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711"/>
        </w:tabs>
        <w:spacing w:before="39" w:line="475" w:lineRule="auto"/>
        <w:ind w:left="3992" w:right="913" w:hanging="3240"/>
        <w:jc w:val="left"/>
        <w:rPr>
          <w:rFonts w:hint="eastAsia"/>
          <w:color w:val="auto"/>
          <w:lang w:val="zh-CN" w:eastAsia="zh-CN"/>
        </w:rPr>
      </w:pPr>
      <w:r>
        <w:rPr>
          <w:rFonts w:hint="eastAsia" w:ascii="PMingLiU"/>
          <w:color w:val="auto"/>
          <w:sz w:val="36"/>
          <w:lang w:eastAsia="zh-CN"/>
        </w:rPr>
        <w:t>枣庄市市场监督管理行政处罚裁量基准</w:t>
      </w:r>
      <w:r>
        <w:rPr>
          <w:rFonts w:hint="eastAsia" w:ascii="PMingLiU" w:eastAsia="PMingLiU"/>
          <w:color w:val="auto"/>
          <w:sz w:val="36"/>
        </w:rPr>
        <w:t>（试行</w:t>
      </w:r>
      <w:r>
        <w:rPr>
          <w:rFonts w:hint="eastAsia" w:ascii="PMingLiU" w:eastAsia="PMingLiU"/>
          <w:color w:val="auto"/>
          <w:spacing w:val="-19"/>
          <w:sz w:val="36"/>
        </w:rPr>
        <w:t>）</w:t>
      </w:r>
      <w:r>
        <w:rPr>
          <w:rFonts w:hint="eastAsia" w:ascii="PMingLiU" w:eastAsia="PMingLiU"/>
          <w:color w:val="auto"/>
          <w:sz w:val="36"/>
        </w:rPr>
        <w:t>目</w:t>
      </w:r>
      <w:r>
        <w:rPr>
          <w:rFonts w:hint="eastAsia" w:ascii="PMingLiU" w:eastAsia="PMingLiU"/>
          <w:color w:val="auto"/>
          <w:sz w:val="36"/>
        </w:rPr>
        <w:tab/>
      </w:r>
      <w:r>
        <w:rPr>
          <w:rFonts w:hint="eastAsia" w:ascii="PMingLiU" w:eastAsia="PMingLiU"/>
          <w:color w:val="auto"/>
          <w:sz w:val="36"/>
        </w:rPr>
        <w:t>录</w:t>
      </w:r>
    </w:p>
    <w:sdt>
      <w:sdtPr>
        <w:rPr>
          <w:color w:val="auto"/>
        </w:rPr>
        <w:id w:val="0"/>
        <w:docPartObj>
          <w:docPartGallery w:val="Table of Contents"/>
          <w:docPartUnique/>
        </w:docPartObj>
      </w:sdtPr>
      <w:sdtEndPr>
        <w:rPr>
          <w:color w:val="auto"/>
        </w:rPr>
      </w:sdtEndPr>
      <w:sdtContent>
        <w:p>
          <w:pPr>
            <w:pStyle w:val="8"/>
            <w:tabs>
              <w:tab w:val="left" w:pos="1627"/>
              <w:tab w:val="left" w:leader="dot" w:pos="8818"/>
            </w:tabs>
            <w:spacing w:before="0" w:line="473" w:lineRule="exact"/>
            <w:ind w:left="564"/>
            <w:rPr>
              <w:color w:val="auto"/>
            </w:rPr>
          </w:pPr>
          <w:r>
            <w:rPr>
              <w:color w:val="auto"/>
            </w:rPr>
            <w:fldChar w:fldCharType="begin"/>
          </w:r>
          <w:r>
            <w:rPr>
              <w:color w:val="auto"/>
            </w:rPr>
            <w:instrText xml:space="preserve"> HYPERLINK \l "_bookmark0" </w:instrText>
          </w:r>
          <w:r>
            <w:rPr>
              <w:color w:val="auto"/>
            </w:rPr>
            <w:fldChar w:fldCharType="separate"/>
          </w:r>
          <w:r>
            <w:rPr>
              <w:color w:val="auto"/>
              <w:spacing w:val="-13"/>
            </w:rPr>
            <w:t>第一</w:t>
          </w:r>
          <w:r>
            <w:rPr>
              <w:color w:val="auto"/>
            </w:rPr>
            <w:t>章</w:t>
          </w:r>
          <w:r>
            <w:rPr>
              <w:color w:val="auto"/>
            </w:rPr>
            <w:tab/>
          </w:r>
          <w:r>
            <w:rPr>
              <w:color w:val="auto"/>
              <w:spacing w:val="-13"/>
            </w:rPr>
            <w:t>企业登记</w:t>
          </w:r>
          <w:r>
            <w:rPr>
              <w:color w:val="auto"/>
              <w:spacing w:val="-10"/>
            </w:rPr>
            <w:t>管</w:t>
          </w:r>
          <w:r>
            <w:rPr>
              <w:color w:val="auto"/>
            </w:rPr>
            <w:t>理</w:t>
          </w:r>
          <w:r>
            <w:rPr>
              <w:color w:val="auto"/>
            </w:rPr>
            <w:tab/>
          </w:r>
          <w:r>
            <w:rPr>
              <w:color w:val="auto"/>
            </w:rPr>
            <w:t>1</w:t>
          </w:r>
          <w:r>
            <w:rPr>
              <w:color w:val="auto"/>
            </w:rPr>
            <w:fldChar w:fldCharType="end"/>
          </w:r>
        </w:p>
        <w:p>
          <w:pPr>
            <w:pStyle w:val="5"/>
            <w:tabs>
              <w:tab w:val="left" w:leader="dot" w:pos="8835"/>
            </w:tabs>
            <w:spacing w:before="100"/>
            <w:rPr>
              <w:color w:val="auto"/>
            </w:rPr>
          </w:pPr>
          <w:r>
            <w:rPr>
              <w:color w:val="auto"/>
            </w:rPr>
            <w:fldChar w:fldCharType="begin"/>
          </w:r>
          <w:r>
            <w:rPr>
              <w:color w:val="auto"/>
            </w:rPr>
            <w:instrText xml:space="preserve"> HYPERLINK \l "_bookmark1" </w:instrText>
          </w:r>
          <w:r>
            <w:rPr>
              <w:color w:val="auto"/>
            </w:rPr>
            <w:fldChar w:fldCharType="separate"/>
          </w:r>
          <w:r>
            <w:rPr>
              <w:color w:val="auto"/>
            </w:rPr>
            <w:t>一、虚报注册资本取得公司登记</w:t>
          </w:r>
          <w:r>
            <w:rPr>
              <w:color w:val="auto"/>
            </w:rPr>
            <w:tab/>
          </w:r>
          <w:r>
            <w:rPr>
              <w:color w:val="auto"/>
            </w:rPr>
            <w:t>1</w:t>
          </w:r>
          <w:r>
            <w:rPr>
              <w:color w:val="auto"/>
            </w:rPr>
            <w:fldChar w:fldCharType="end"/>
          </w:r>
        </w:p>
        <w:p>
          <w:pPr>
            <w:pStyle w:val="5"/>
            <w:tabs>
              <w:tab w:val="left" w:leader="dot" w:pos="8835"/>
            </w:tabs>
            <w:spacing w:before="172"/>
            <w:rPr>
              <w:color w:val="auto"/>
            </w:rPr>
          </w:pPr>
          <w:r>
            <w:rPr>
              <w:color w:val="auto"/>
            </w:rPr>
            <w:fldChar w:fldCharType="begin"/>
          </w:r>
          <w:r>
            <w:rPr>
              <w:color w:val="auto"/>
            </w:rPr>
            <w:instrText xml:space="preserve"> HYPERLINK \l "_bookmark2" </w:instrText>
          </w:r>
          <w:r>
            <w:rPr>
              <w:color w:val="auto"/>
            </w:rPr>
            <w:fldChar w:fldCharType="separate"/>
          </w:r>
          <w:r>
            <w:rPr>
              <w:color w:val="auto"/>
            </w:rPr>
            <w:t>二、提交虚假材料或者采取其他欺诈手段隐瞒重要事实取得公司登记</w:t>
          </w:r>
          <w:r>
            <w:rPr>
              <w:color w:val="auto"/>
            </w:rPr>
            <w:tab/>
          </w:r>
          <w:r>
            <w:rPr>
              <w:color w:val="auto"/>
            </w:rPr>
            <w:t>1</w:t>
          </w:r>
          <w:r>
            <w:rPr>
              <w:color w:val="auto"/>
            </w:rPr>
            <w:fldChar w:fldCharType="end"/>
          </w:r>
        </w:p>
        <w:p>
          <w:pPr>
            <w:pStyle w:val="5"/>
            <w:tabs>
              <w:tab w:val="left" w:leader="dot" w:pos="8835"/>
            </w:tabs>
            <w:spacing w:before="173"/>
            <w:rPr>
              <w:color w:val="auto"/>
            </w:rPr>
          </w:pPr>
          <w:r>
            <w:rPr>
              <w:color w:val="auto"/>
            </w:rPr>
            <w:fldChar w:fldCharType="begin"/>
          </w:r>
          <w:r>
            <w:rPr>
              <w:color w:val="auto"/>
            </w:rPr>
            <w:instrText xml:space="preserve"> HYPERLINK \l "_bookmark3" </w:instrText>
          </w:r>
          <w:r>
            <w:rPr>
              <w:color w:val="auto"/>
            </w:rPr>
            <w:fldChar w:fldCharType="separate"/>
          </w:r>
          <w:r>
            <w:rPr>
              <w:color w:val="auto"/>
            </w:rPr>
            <w:t>三、公司的发起人、股东虚假出资</w:t>
          </w:r>
          <w:r>
            <w:rPr>
              <w:color w:val="auto"/>
            </w:rPr>
            <w:tab/>
          </w:r>
          <w:r>
            <w:rPr>
              <w:color w:val="auto"/>
            </w:rPr>
            <w:t>2</w:t>
          </w:r>
          <w:r>
            <w:rPr>
              <w:color w:val="auto"/>
            </w:rPr>
            <w:fldChar w:fldCharType="end"/>
          </w:r>
        </w:p>
        <w:p>
          <w:pPr>
            <w:pStyle w:val="5"/>
            <w:tabs>
              <w:tab w:val="left" w:leader="dot" w:pos="8835"/>
            </w:tabs>
            <w:spacing w:before="172"/>
            <w:rPr>
              <w:color w:val="auto"/>
            </w:rPr>
          </w:pPr>
          <w:r>
            <w:rPr>
              <w:color w:val="auto"/>
            </w:rPr>
            <w:fldChar w:fldCharType="begin"/>
          </w:r>
          <w:r>
            <w:rPr>
              <w:color w:val="auto"/>
            </w:rPr>
            <w:instrText xml:space="preserve"> HYPERLINK \l "_bookmark4" </w:instrText>
          </w:r>
          <w:r>
            <w:rPr>
              <w:color w:val="auto"/>
            </w:rPr>
            <w:fldChar w:fldCharType="separate"/>
          </w:r>
          <w:r>
            <w:rPr>
              <w:color w:val="auto"/>
            </w:rPr>
            <w:t>四、公司发起人、股东抽逃出资</w:t>
          </w:r>
          <w:r>
            <w:rPr>
              <w:color w:val="auto"/>
            </w:rPr>
            <w:tab/>
          </w:r>
          <w:r>
            <w:rPr>
              <w:color w:val="auto"/>
            </w:rPr>
            <w:t>3</w:t>
          </w:r>
          <w:r>
            <w:rPr>
              <w:color w:val="auto"/>
            </w:rPr>
            <w:fldChar w:fldCharType="end"/>
          </w:r>
        </w:p>
        <w:p>
          <w:pPr>
            <w:pStyle w:val="5"/>
            <w:tabs>
              <w:tab w:val="left" w:leader="dot" w:pos="8835"/>
            </w:tabs>
            <w:spacing w:before="173" w:line="374" w:lineRule="auto"/>
            <w:ind w:right="268"/>
            <w:rPr>
              <w:color w:val="auto"/>
            </w:rPr>
          </w:pPr>
          <w:r>
            <w:rPr>
              <w:color w:val="auto"/>
            </w:rPr>
            <w:fldChar w:fldCharType="begin"/>
          </w:r>
          <w:r>
            <w:rPr>
              <w:color w:val="auto"/>
            </w:rPr>
            <w:instrText xml:space="preserve"> HYPERLINK \l "_bookmark5"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 </w:instrText>
          </w:r>
          <w:r>
            <w:rPr>
              <w:color w:val="auto"/>
            </w:rPr>
            <w:fldChar w:fldCharType="separate"/>
          </w:r>
          <w:r>
            <w:rPr>
              <w:color w:val="auto"/>
              <w:spacing w:val="-12"/>
            </w:rPr>
            <w:t>、</w:t>
          </w:r>
          <w:r>
            <w:rPr>
              <w:color w:val="auto"/>
            </w:rPr>
            <w:t>公司在合并</w:t>
          </w:r>
          <w:r>
            <w:rPr>
              <w:color w:val="auto"/>
              <w:spacing w:val="-12"/>
            </w:rPr>
            <w:t>、</w:t>
          </w:r>
          <w:r>
            <w:rPr>
              <w:color w:val="auto"/>
            </w:rPr>
            <w:t>分立</w:t>
          </w:r>
          <w:r>
            <w:rPr>
              <w:color w:val="auto"/>
              <w:spacing w:val="-12"/>
            </w:rPr>
            <w:t>、</w:t>
          </w:r>
          <w:r>
            <w:rPr>
              <w:color w:val="auto"/>
            </w:rPr>
            <w:t>减少注册资本或者进行清算时不按规定通知或者公告</w:t>
          </w:r>
          <w:r>
            <w:rPr>
              <w:color w:val="auto"/>
              <w:spacing w:val="-17"/>
            </w:rPr>
            <w:t>债</w:t>
          </w:r>
          <w:r>
            <w:rPr>
              <w:color w:val="auto"/>
              <w:spacing w:val="-17"/>
            </w:rPr>
            <w:fldChar w:fldCharType="end"/>
          </w:r>
          <w:r>
            <w:rPr>
              <w:color w:val="auto"/>
            </w:rPr>
            <w:t>权人</w:t>
          </w:r>
          <w:r>
            <w:rPr>
              <w:color w:val="auto"/>
            </w:rPr>
            <w:tab/>
          </w:r>
          <w:r>
            <w:rPr>
              <w:color w:val="auto"/>
              <w:spacing w:val="-17"/>
            </w:rPr>
            <w:t>3</w:t>
          </w:r>
        </w:p>
        <w:p>
          <w:pPr>
            <w:pStyle w:val="5"/>
            <w:tabs>
              <w:tab w:val="left" w:leader="dot" w:pos="8835"/>
            </w:tabs>
            <w:spacing w:line="374" w:lineRule="auto"/>
            <w:ind w:right="268"/>
            <w:rPr>
              <w:color w:val="auto"/>
            </w:rPr>
          </w:pPr>
          <w:r>
            <w:rPr>
              <w:color w:val="auto"/>
            </w:rPr>
            <w:fldChar w:fldCharType="begin"/>
          </w:r>
          <w:r>
            <w:rPr>
              <w:color w:val="auto"/>
            </w:rPr>
            <w:instrText xml:space="preserve"> HYPERLINK \l "_bookmark6"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 </w:instrText>
          </w:r>
          <w:r>
            <w:rPr>
              <w:color w:val="auto"/>
            </w:rPr>
            <w:fldChar w:fldCharType="separate"/>
          </w:r>
          <w:r>
            <w:rPr>
              <w:color w:val="auto"/>
              <w:spacing w:val="-36"/>
            </w:rPr>
            <w:t>、</w:t>
          </w:r>
          <w:r>
            <w:rPr>
              <w:color w:val="auto"/>
            </w:rPr>
            <w:t>清算时隐匿财产对资产负债表或者财产清单作虚假记载或者在未清偿债务</w:t>
          </w:r>
          <w:r>
            <w:rPr>
              <w:color w:val="auto"/>
              <w:spacing w:val="-17"/>
            </w:rPr>
            <w:t>前</w:t>
          </w:r>
          <w:r>
            <w:rPr>
              <w:color w:val="auto"/>
              <w:spacing w:val="-17"/>
            </w:rPr>
            <w:fldChar w:fldCharType="end"/>
          </w:r>
          <w:r>
            <w:rPr>
              <w:color w:val="auto"/>
            </w:rPr>
            <w:t>分配公司财产</w:t>
          </w:r>
          <w:r>
            <w:rPr>
              <w:color w:val="auto"/>
            </w:rPr>
            <w:tab/>
          </w:r>
          <w:r>
            <w:rPr>
              <w:color w:val="auto"/>
              <w:spacing w:val="-17"/>
            </w:rPr>
            <w:t>4</w:t>
          </w:r>
        </w:p>
        <w:p>
          <w:pPr>
            <w:pStyle w:val="5"/>
            <w:tabs>
              <w:tab w:val="left" w:leader="dot" w:pos="8835"/>
            </w:tabs>
            <w:spacing w:line="308" w:lineRule="exact"/>
            <w:rPr>
              <w:color w:val="auto"/>
            </w:rPr>
          </w:pPr>
          <w:r>
            <w:rPr>
              <w:color w:val="auto"/>
            </w:rPr>
            <w:fldChar w:fldCharType="begin"/>
          </w:r>
          <w:r>
            <w:rPr>
              <w:color w:val="auto"/>
            </w:rPr>
            <w:instrText xml:space="preserve"> HYPERLINK \l "_bookmark7" </w:instrText>
          </w:r>
          <w:r>
            <w:rPr>
              <w:color w:val="auto"/>
            </w:rPr>
            <w:fldChar w:fldCharType="separate"/>
          </w:r>
          <w:r>
            <w:rPr>
              <w:color w:val="auto"/>
            </w:rPr>
            <w:t>七、清算组成员利用职权徇私舞弊谋取非法收入或者侵占公司财产</w:t>
          </w:r>
          <w:r>
            <w:rPr>
              <w:color w:val="auto"/>
            </w:rPr>
            <w:tab/>
          </w:r>
          <w:r>
            <w:rPr>
              <w:color w:val="auto"/>
            </w:rPr>
            <w:t>5</w:t>
          </w:r>
          <w:r>
            <w:rPr>
              <w:color w:val="auto"/>
            </w:rPr>
            <w:fldChar w:fldCharType="end"/>
          </w:r>
        </w:p>
        <w:p>
          <w:pPr>
            <w:pStyle w:val="5"/>
            <w:tabs>
              <w:tab w:val="left" w:leader="dot" w:pos="8835"/>
            </w:tabs>
            <w:spacing w:before="173"/>
            <w:rPr>
              <w:color w:val="auto"/>
            </w:rPr>
          </w:pPr>
          <w:r>
            <w:rPr>
              <w:color w:val="auto"/>
            </w:rPr>
            <w:fldChar w:fldCharType="begin"/>
          </w:r>
          <w:r>
            <w:rPr>
              <w:color w:val="auto"/>
            </w:rPr>
            <w:instrText xml:space="preserve"> HYPERLINK \l "_bookmark8" </w:instrText>
          </w:r>
          <w:r>
            <w:rPr>
              <w:color w:val="auto"/>
            </w:rPr>
            <w:fldChar w:fldCharType="separate"/>
          </w:r>
          <w:r>
            <w:rPr>
              <w:color w:val="auto"/>
            </w:rPr>
            <w:t>八、承担资产评估、验资或者验证的机构提供虚假材料</w:t>
          </w:r>
          <w:r>
            <w:rPr>
              <w:color w:val="auto"/>
            </w:rPr>
            <w:tab/>
          </w:r>
          <w:r>
            <w:rPr>
              <w:color w:val="auto"/>
            </w:rPr>
            <w:t>5</w:t>
          </w:r>
          <w:r>
            <w:rPr>
              <w:color w:val="auto"/>
            </w:rPr>
            <w:fldChar w:fldCharType="end"/>
          </w:r>
        </w:p>
        <w:p>
          <w:pPr>
            <w:pStyle w:val="5"/>
            <w:tabs>
              <w:tab w:val="left" w:leader="dot" w:pos="8835"/>
            </w:tabs>
            <w:spacing w:before="172"/>
            <w:rPr>
              <w:color w:val="auto"/>
            </w:rPr>
          </w:pPr>
          <w:r>
            <w:rPr>
              <w:color w:val="auto"/>
            </w:rPr>
            <w:fldChar w:fldCharType="begin"/>
          </w:r>
          <w:r>
            <w:rPr>
              <w:color w:val="auto"/>
            </w:rPr>
            <w:instrText xml:space="preserve"> HYPERLINK \l "_bookmark9" </w:instrText>
          </w:r>
          <w:r>
            <w:rPr>
              <w:color w:val="auto"/>
            </w:rPr>
            <w:fldChar w:fldCharType="separate"/>
          </w:r>
          <w:r>
            <w:rPr>
              <w:color w:val="auto"/>
            </w:rPr>
            <w:t>九、承担资产评估、验资或者验证的机构因过失提供有重大遗漏的报告</w:t>
          </w:r>
          <w:r>
            <w:rPr>
              <w:color w:val="auto"/>
            </w:rPr>
            <w:tab/>
          </w:r>
          <w:r>
            <w:rPr>
              <w:color w:val="auto"/>
            </w:rPr>
            <w:t>6</w:t>
          </w:r>
          <w:r>
            <w:rPr>
              <w:color w:val="auto"/>
            </w:rPr>
            <w:fldChar w:fldCharType="end"/>
          </w:r>
        </w:p>
        <w:p>
          <w:pPr>
            <w:pStyle w:val="5"/>
            <w:tabs>
              <w:tab w:val="left" w:leader="dot" w:pos="8835"/>
            </w:tabs>
            <w:spacing w:before="173"/>
            <w:rPr>
              <w:color w:val="auto"/>
            </w:rPr>
          </w:pPr>
          <w:r>
            <w:rPr>
              <w:color w:val="auto"/>
            </w:rPr>
            <w:fldChar w:fldCharType="begin"/>
          </w:r>
          <w:r>
            <w:rPr>
              <w:color w:val="auto"/>
            </w:rPr>
            <w:instrText xml:space="preserve"> HYPERLINK \l "_bookmark10" </w:instrText>
          </w:r>
          <w:r>
            <w:rPr>
              <w:color w:val="auto"/>
            </w:rPr>
            <w:fldChar w:fldCharType="separate"/>
          </w:r>
          <w:r>
            <w:rPr>
              <w:color w:val="auto"/>
            </w:rPr>
            <w:t>十、冒用公司或者分公司名义</w:t>
          </w:r>
          <w:r>
            <w:rPr>
              <w:color w:val="auto"/>
            </w:rPr>
            <w:tab/>
          </w:r>
          <w:r>
            <w:rPr>
              <w:color w:val="auto"/>
            </w:rPr>
            <w:t>6</w:t>
          </w:r>
          <w:r>
            <w:rPr>
              <w:color w:val="auto"/>
            </w:rPr>
            <w:fldChar w:fldCharType="end"/>
          </w:r>
        </w:p>
        <w:p>
          <w:pPr>
            <w:pStyle w:val="5"/>
            <w:tabs>
              <w:tab w:val="left" w:leader="dot" w:pos="8835"/>
            </w:tabs>
            <w:spacing w:before="172"/>
            <w:rPr>
              <w:color w:val="auto"/>
            </w:rPr>
          </w:pPr>
          <w:r>
            <w:rPr>
              <w:color w:val="auto"/>
            </w:rPr>
            <w:fldChar w:fldCharType="begin"/>
          </w:r>
          <w:r>
            <w:rPr>
              <w:color w:val="auto"/>
            </w:rPr>
            <w:instrText xml:space="preserve"> HYPERLINK \l "_bookmark11" </w:instrText>
          </w:r>
          <w:r>
            <w:rPr>
              <w:color w:val="auto"/>
            </w:rPr>
            <w:fldChar w:fldCharType="separate"/>
          </w:r>
          <w:r>
            <w:rPr>
              <w:color w:val="auto"/>
            </w:rPr>
            <w:t>十一、公司未按规定办理变更登记</w:t>
          </w:r>
          <w:r>
            <w:rPr>
              <w:color w:val="auto"/>
            </w:rPr>
            <w:tab/>
          </w:r>
          <w:r>
            <w:rPr>
              <w:color w:val="auto"/>
            </w:rPr>
            <w:t>7</w:t>
          </w:r>
          <w:r>
            <w:rPr>
              <w:color w:val="auto"/>
            </w:rPr>
            <w:fldChar w:fldCharType="end"/>
          </w:r>
        </w:p>
        <w:p>
          <w:pPr>
            <w:pStyle w:val="5"/>
            <w:tabs>
              <w:tab w:val="left" w:leader="dot" w:pos="8835"/>
            </w:tabs>
            <w:spacing w:before="173"/>
            <w:rPr>
              <w:color w:val="auto"/>
            </w:rPr>
          </w:pPr>
          <w:r>
            <w:rPr>
              <w:color w:val="auto"/>
            </w:rPr>
            <w:fldChar w:fldCharType="begin"/>
          </w:r>
          <w:r>
            <w:rPr>
              <w:color w:val="auto"/>
            </w:rPr>
            <w:instrText xml:space="preserve"> HYPERLINK \l "_bookmark12" </w:instrText>
          </w:r>
          <w:r>
            <w:rPr>
              <w:color w:val="auto"/>
            </w:rPr>
            <w:fldChar w:fldCharType="separate"/>
          </w:r>
          <w:r>
            <w:rPr>
              <w:color w:val="auto"/>
            </w:rPr>
            <w:t>十二、公司未按规定备案</w:t>
          </w:r>
          <w:r>
            <w:rPr>
              <w:color w:val="auto"/>
            </w:rPr>
            <w:tab/>
          </w:r>
          <w:r>
            <w:rPr>
              <w:color w:val="auto"/>
            </w:rPr>
            <w:t>7</w:t>
          </w:r>
          <w:r>
            <w:rPr>
              <w:color w:val="auto"/>
            </w:rPr>
            <w:fldChar w:fldCharType="end"/>
          </w:r>
        </w:p>
        <w:p>
          <w:pPr>
            <w:pStyle w:val="5"/>
            <w:tabs>
              <w:tab w:val="left" w:leader="dot" w:pos="8835"/>
            </w:tabs>
            <w:spacing w:before="172"/>
            <w:rPr>
              <w:color w:val="auto"/>
            </w:rPr>
          </w:pPr>
          <w:r>
            <w:rPr>
              <w:color w:val="auto"/>
            </w:rPr>
            <w:fldChar w:fldCharType="begin"/>
          </w:r>
          <w:r>
            <w:rPr>
              <w:color w:val="auto"/>
            </w:rPr>
            <w:instrText xml:space="preserve"> HYPERLINK \l "_bookmark13" </w:instrText>
          </w:r>
          <w:r>
            <w:rPr>
              <w:color w:val="auto"/>
            </w:rPr>
            <w:fldChar w:fldCharType="separate"/>
          </w:r>
          <w:r>
            <w:rPr>
              <w:color w:val="auto"/>
            </w:rPr>
            <w:t>十三、伪造、涂改、出租、出借、转让公司营业执照</w:t>
          </w:r>
          <w:r>
            <w:rPr>
              <w:color w:val="auto"/>
            </w:rPr>
            <w:tab/>
          </w:r>
          <w:r>
            <w:rPr>
              <w:color w:val="auto"/>
            </w:rPr>
            <w:t>8</w:t>
          </w:r>
          <w:r>
            <w:rPr>
              <w:color w:val="auto"/>
            </w:rPr>
            <w:fldChar w:fldCharType="end"/>
          </w:r>
        </w:p>
        <w:p>
          <w:pPr>
            <w:pStyle w:val="5"/>
            <w:tabs>
              <w:tab w:val="left" w:leader="dot" w:pos="8835"/>
            </w:tabs>
            <w:spacing w:before="173"/>
            <w:rPr>
              <w:color w:val="auto"/>
            </w:rPr>
          </w:pPr>
          <w:r>
            <w:rPr>
              <w:color w:val="auto"/>
            </w:rPr>
            <w:fldChar w:fldCharType="begin"/>
          </w:r>
          <w:r>
            <w:rPr>
              <w:color w:val="auto"/>
            </w:rPr>
            <w:instrText xml:space="preserve"> HYPERLINK \l "_bookmark14" </w:instrText>
          </w:r>
          <w:r>
            <w:rPr>
              <w:color w:val="auto"/>
            </w:rPr>
            <w:fldChar w:fldCharType="separate"/>
          </w:r>
          <w:r>
            <w:rPr>
              <w:color w:val="auto"/>
            </w:rPr>
            <w:t>十四、公司未按规定放置营业执照</w:t>
          </w:r>
          <w:r>
            <w:rPr>
              <w:color w:val="auto"/>
            </w:rPr>
            <w:tab/>
          </w:r>
          <w:r>
            <w:rPr>
              <w:color w:val="auto"/>
            </w:rPr>
            <w:t>8</w:t>
          </w:r>
          <w:r>
            <w:rPr>
              <w:color w:val="auto"/>
            </w:rPr>
            <w:fldChar w:fldCharType="end"/>
          </w:r>
        </w:p>
        <w:p>
          <w:pPr>
            <w:pStyle w:val="5"/>
            <w:tabs>
              <w:tab w:val="left" w:leader="dot" w:pos="8835"/>
            </w:tabs>
            <w:spacing w:before="172"/>
            <w:rPr>
              <w:color w:val="auto"/>
            </w:rPr>
          </w:pPr>
          <w:r>
            <w:rPr>
              <w:color w:val="auto"/>
            </w:rPr>
            <w:fldChar w:fldCharType="begin"/>
          </w:r>
          <w:r>
            <w:rPr>
              <w:color w:val="auto"/>
            </w:rPr>
            <w:instrText xml:space="preserve"> HYPERLINK \l "_bookmark15" </w:instrText>
          </w:r>
          <w:r>
            <w:rPr>
              <w:color w:val="auto"/>
            </w:rPr>
            <w:fldChar w:fldCharType="separate"/>
          </w:r>
          <w:r>
            <w:rPr>
              <w:color w:val="auto"/>
            </w:rPr>
            <w:t>十五、企业或者经营单位擅自从事经营活动</w:t>
          </w:r>
          <w:r>
            <w:rPr>
              <w:color w:val="auto"/>
            </w:rPr>
            <w:tab/>
          </w:r>
          <w:r>
            <w:rPr>
              <w:color w:val="auto"/>
            </w:rPr>
            <w:t>9</w:t>
          </w:r>
          <w:r>
            <w:rPr>
              <w:color w:val="auto"/>
            </w:rPr>
            <w:fldChar w:fldCharType="end"/>
          </w:r>
        </w:p>
        <w:p>
          <w:pPr>
            <w:pStyle w:val="5"/>
            <w:tabs>
              <w:tab w:val="left" w:leader="dot" w:pos="8835"/>
            </w:tabs>
            <w:spacing w:before="173"/>
            <w:rPr>
              <w:color w:val="auto"/>
            </w:rPr>
          </w:pPr>
          <w:r>
            <w:rPr>
              <w:color w:val="auto"/>
            </w:rPr>
            <w:fldChar w:fldCharType="begin"/>
          </w:r>
          <w:r>
            <w:rPr>
              <w:color w:val="auto"/>
            </w:rPr>
            <w:instrText xml:space="preserve"> HYPERLINK \l "_bookmark16" </w:instrText>
          </w:r>
          <w:r>
            <w:rPr>
              <w:color w:val="auto"/>
            </w:rPr>
            <w:fldChar w:fldCharType="separate"/>
          </w:r>
          <w:r>
            <w:rPr>
              <w:color w:val="auto"/>
            </w:rPr>
            <w:t>十六、企业或者经营单位申请登记时隐瞒真实情况弄虚作假</w:t>
          </w:r>
          <w:r>
            <w:rPr>
              <w:color w:val="auto"/>
            </w:rPr>
            <w:tab/>
          </w:r>
          <w:r>
            <w:rPr>
              <w:color w:val="auto"/>
            </w:rPr>
            <w:t>9</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"_bookmark17" </w:instrText>
          </w:r>
          <w:r>
            <w:rPr>
              <w:color w:val="auto"/>
            </w:rPr>
            <w:fldChar w:fldCharType="separate"/>
          </w:r>
          <w:r>
            <w:rPr>
              <w:color w:val="auto"/>
            </w:rPr>
            <w:t>十七、企业或者经营单位伪造证件骗取营业执照</w:t>
          </w:r>
          <w:r>
            <w:rPr>
              <w:color w:val="auto"/>
            </w:rPr>
            <w:tab/>
          </w:r>
          <w:r>
            <w:rPr>
              <w:color w:val="auto"/>
            </w:rPr>
            <w:t>10</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"_bookmark18" </w:instrText>
          </w:r>
          <w:r>
            <w:rPr>
              <w:color w:val="auto"/>
            </w:rPr>
            <w:fldChar w:fldCharType="separate"/>
          </w:r>
          <w:r>
            <w:rPr>
              <w:color w:val="auto"/>
            </w:rPr>
            <w:t>十八、企业或者经营单位不按规定办理变更登记</w:t>
          </w:r>
          <w:r>
            <w:rPr>
              <w:color w:val="auto"/>
            </w:rPr>
            <w:tab/>
          </w:r>
          <w:r>
            <w:rPr>
              <w:color w:val="auto"/>
            </w:rPr>
            <w:t>10</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"_bookmark19" </w:instrText>
          </w:r>
          <w:r>
            <w:rPr>
              <w:color w:val="auto"/>
            </w:rPr>
            <w:fldChar w:fldCharType="separate"/>
          </w:r>
          <w:r>
            <w:rPr>
              <w:color w:val="auto"/>
            </w:rPr>
            <w:t>十九、</w:t>
          </w:r>
          <w:r>
            <w:rPr>
              <w:color w:val="auto"/>
              <w:spacing w:val="-12"/>
            </w:rPr>
            <w:t>企业或者经营单位超出核准登记的经营范围或者经营方式从事经营活</w:t>
          </w:r>
          <w:r>
            <w:rPr>
              <w:color w:val="auto"/>
            </w:rPr>
            <w:t>动</w:t>
          </w:r>
          <w:r>
            <w:rPr>
              <w:color w:val="auto"/>
            </w:rPr>
            <w:tab/>
          </w:r>
          <w:r>
            <w:rPr>
              <w:color w:val="auto"/>
            </w:rPr>
            <w:t>11</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"_bookmark20" </w:instrText>
          </w:r>
          <w:r>
            <w:rPr>
              <w:color w:val="auto"/>
            </w:rPr>
            <w:fldChar w:fldCharType="separate"/>
          </w:r>
          <w:r>
            <w:rPr>
              <w:color w:val="auto"/>
            </w:rPr>
            <w:t>二十、企业或者经营单位伪造、涂改、出租、出借、转让、出卖营业执照</w:t>
          </w:r>
          <w:r>
            <w:rPr>
              <w:color w:val="auto"/>
            </w:rPr>
            <w:tab/>
          </w:r>
          <w:r>
            <w:rPr>
              <w:color w:val="auto"/>
            </w:rPr>
            <w:t>12</w:t>
          </w:r>
          <w:r>
            <w:rPr>
              <w:color w:val="auto"/>
            </w:rPr>
            <w:fldChar w:fldCharType="end"/>
          </w:r>
        </w:p>
        <w:p>
          <w:pPr>
            <w:pStyle w:val="5"/>
            <w:tabs>
              <w:tab w:val="left" w:leader="dot" w:pos="8715"/>
            </w:tabs>
            <w:spacing w:before="172" w:after="240"/>
            <w:rPr>
              <w:color w:val="auto"/>
            </w:rPr>
          </w:pPr>
          <w:r>
            <w:rPr>
              <w:color w:val="auto"/>
            </w:rPr>
            <w:fldChar w:fldCharType="begin"/>
          </w:r>
          <w:r>
            <w:rPr>
              <w:color w:val="auto"/>
            </w:rPr>
            <w:instrText xml:space="preserve"> HYPERLINK \l "_bookmark21" </w:instrText>
          </w:r>
          <w:r>
            <w:rPr>
              <w:color w:val="auto"/>
            </w:rPr>
            <w:fldChar w:fldCharType="separate"/>
          </w:r>
          <w:r>
            <w:rPr>
              <w:color w:val="auto"/>
            </w:rPr>
            <w:t>二十一、企业或者经营单位不按规定悬挂营业执照</w:t>
          </w:r>
          <w:r>
            <w:rPr>
              <w:color w:val="auto"/>
            </w:rPr>
            <w:tab/>
          </w:r>
          <w:r>
            <w:rPr>
              <w:color w:val="auto"/>
            </w:rPr>
            <w:t>13</w:t>
          </w:r>
          <w:r>
            <w:rPr>
              <w:color w:val="auto"/>
            </w:rPr>
            <w:fldChar w:fldCharType="end"/>
          </w:r>
        </w:p>
        <w:p>
          <w:pPr>
            <w:pStyle w:val="5"/>
            <w:tabs>
              <w:tab w:val="left" w:leader="dot" w:pos="8715"/>
            </w:tabs>
            <w:spacing w:before="127"/>
            <w:rPr>
              <w:color w:val="auto"/>
            </w:rPr>
          </w:pPr>
          <w:r>
            <w:rPr>
              <w:color w:val="auto"/>
            </w:rPr>
            <w:fldChar w:fldCharType="begin"/>
          </w:r>
          <w:r>
            <w:rPr>
              <w:color w:val="auto"/>
            </w:rPr>
            <w:instrText xml:space="preserve"> HYPERLINK \l "_bookmark22" </w:instrText>
          </w:r>
          <w:r>
            <w:rPr>
              <w:color w:val="auto"/>
            </w:rPr>
            <w:fldChar w:fldCharType="separate"/>
          </w:r>
          <w:r>
            <w:rPr>
              <w:color w:val="auto"/>
            </w:rPr>
            <w:t>二十二、企业或者经营单位抽逃、转移资金、隐匿财产逃避债务</w:t>
          </w:r>
          <w:r>
            <w:rPr>
              <w:color w:val="auto"/>
            </w:rPr>
            <w:tab/>
          </w:r>
          <w:r>
            <w:rPr>
              <w:color w:val="auto"/>
            </w:rPr>
            <w:t>13</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"_bookmark23" </w:instrText>
          </w:r>
          <w:r>
            <w:rPr>
              <w:color w:val="auto"/>
            </w:rPr>
            <w:fldChar w:fldCharType="separate"/>
          </w:r>
          <w:r>
            <w:rPr>
              <w:color w:val="auto"/>
            </w:rPr>
            <w:t>二十三、企业或者经营单位不按规定申请办理注销登记</w:t>
          </w:r>
          <w:r>
            <w:rPr>
              <w:color w:val="auto"/>
            </w:rPr>
            <w:tab/>
          </w:r>
          <w:r>
            <w:rPr>
              <w:color w:val="auto"/>
            </w:rPr>
            <w:t>14</w:t>
          </w:r>
          <w:r>
            <w:rPr>
              <w:color w:val="auto"/>
            </w:rPr>
            <w:fldChar w:fldCharType="end"/>
          </w:r>
        </w:p>
        <w:p>
          <w:pPr>
            <w:pStyle w:val="5"/>
            <w:tabs>
              <w:tab w:val="left" w:leader="dot" w:pos="8727"/>
            </w:tabs>
            <w:spacing w:before="172"/>
            <w:rPr>
              <w:color w:val="auto"/>
            </w:rPr>
          </w:pPr>
          <w:r>
            <w:rPr>
              <w:color w:val="auto"/>
            </w:rPr>
            <w:fldChar w:fldCharType="begin"/>
          </w:r>
          <w:r>
            <w:rPr>
              <w:color w:val="auto"/>
            </w:rPr>
            <w:instrText xml:space="preserve"> HYPERLINK \l "_bookmark24" </w:instrText>
          </w:r>
          <w:r>
            <w:rPr>
              <w:color w:val="auto"/>
            </w:rPr>
            <w:fldChar w:fldCharType="separate"/>
          </w:r>
          <w:r>
            <w:rPr>
              <w:color w:val="auto"/>
              <w:spacing w:val="-12"/>
            </w:rPr>
            <w:t>二十四、企业或者经营单位拒绝监督检查或者在接受监督检查过程中弄虚作</w:t>
          </w:r>
          <w:r>
            <w:rPr>
              <w:color w:val="auto"/>
            </w:rPr>
            <w:t>假</w:t>
          </w:r>
          <w:r>
            <w:rPr>
              <w:color w:val="auto"/>
            </w:rPr>
            <w:tab/>
          </w:r>
          <w:r>
            <w:rPr>
              <w:color w:val="auto"/>
            </w:rPr>
            <w:t>14</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"_bookmark25" </w:instrText>
          </w:r>
          <w:r>
            <w:rPr>
              <w:color w:val="auto"/>
            </w:rPr>
            <w:fldChar w:fldCharType="separate"/>
          </w:r>
          <w:r>
            <w:rPr>
              <w:color w:val="auto"/>
            </w:rPr>
            <w:t>二十五、单位、个人为企业法人登记提供虚假文件、证件</w:t>
          </w:r>
          <w:r>
            <w:rPr>
              <w:color w:val="auto"/>
            </w:rPr>
            <w:tab/>
          </w:r>
          <w:r>
            <w:rPr>
              <w:color w:val="auto"/>
            </w:rPr>
            <w:t>15</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"_bookmark26" </w:instrText>
          </w:r>
          <w:r>
            <w:rPr>
              <w:color w:val="auto"/>
            </w:rPr>
            <w:fldChar w:fldCharType="separate"/>
          </w:r>
          <w:r>
            <w:rPr>
              <w:color w:val="auto"/>
            </w:rPr>
            <w:t>二十六、使用未经核准登记注册的企业名称从事生产经营活动</w:t>
          </w:r>
          <w:r>
            <w:rPr>
              <w:color w:val="auto"/>
            </w:rPr>
            <w:tab/>
          </w:r>
          <w:r>
            <w:rPr>
              <w:color w:val="auto"/>
            </w:rPr>
            <w:t>15</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"_bookmark27" </w:instrText>
          </w:r>
          <w:r>
            <w:rPr>
              <w:color w:val="auto"/>
            </w:rPr>
            <w:fldChar w:fldCharType="separate"/>
          </w:r>
          <w:r>
            <w:rPr>
              <w:color w:val="auto"/>
            </w:rPr>
            <w:t>二十七、擅自改变企业名称</w:t>
          </w:r>
          <w:r>
            <w:rPr>
              <w:color w:val="auto"/>
            </w:rPr>
            <w:tab/>
          </w:r>
          <w:r>
            <w:rPr>
              <w:color w:val="auto"/>
            </w:rPr>
            <w:t>16</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"_bookmark28" </w:instrText>
          </w:r>
          <w:r>
            <w:rPr>
              <w:color w:val="auto"/>
            </w:rPr>
            <w:fldChar w:fldCharType="separate"/>
          </w:r>
          <w:r>
            <w:rPr>
              <w:color w:val="auto"/>
            </w:rPr>
            <w:t>二十八、擅自转让或者出租企业名称</w:t>
          </w:r>
          <w:r>
            <w:rPr>
              <w:color w:val="auto"/>
            </w:rPr>
            <w:tab/>
          </w:r>
          <w:r>
            <w:rPr>
              <w:color w:val="auto"/>
            </w:rPr>
            <w:t>16</w:t>
          </w:r>
          <w:r>
            <w:rPr>
              <w:color w:val="auto"/>
            </w:rPr>
            <w:fldChar w:fldCharType="end"/>
          </w:r>
        </w:p>
        <w:p>
          <w:pPr>
            <w:pStyle w:val="5"/>
            <w:spacing w:before="173"/>
            <w:rPr>
              <w:color w:val="auto"/>
            </w:rPr>
          </w:pPr>
          <w:r>
            <w:rPr>
              <w:color w:val="auto"/>
            </w:rPr>
            <w:fldChar w:fldCharType="begin"/>
          </w:r>
          <w:r>
            <w:rPr>
              <w:color w:val="auto"/>
            </w:rPr>
            <w:instrText xml:space="preserve"> HYPERLINK \l "_bookmark29"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"_bookmark29" </w:instrText>
          </w:r>
          <w:r>
            <w:rPr>
              <w:color w:val="auto"/>
            </w:rPr>
            <w:fldChar w:fldCharType="separate"/>
          </w:r>
          <w:r>
            <w:rPr>
              <w:color w:val="auto"/>
            </w:rPr>
            <w:t>十九、使用保留期内的企业名称从事生产经营活动或者保留期届满不按期将</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"_TOC_250001" </w:instrText>
          </w:r>
          <w:r>
            <w:rPr>
              <w:color w:val="auto"/>
            </w:rPr>
            <w:fldChar w:fldCharType="separate"/>
          </w:r>
          <w:r>
            <w:rPr>
              <w:color w:val="auto"/>
            </w:rPr>
            <w:t>《企业名称登记证书》交回登记主管机关</w:t>
          </w:r>
          <w:r>
            <w:rPr>
              <w:color w:val="auto"/>
            </w:rPr>
            <w:tab/>
          </w:r>
          <w:r>
            <w:rPr>
              <w:color w:val="auto"/>
            </w:rPr>
            <w:t>16</w:t>
          </w:r>
          <w:r>
            <w:rPr>
              <w:color w:val="auto"/>
            </w:rPr>
            <w:fldChar w:fldCharType="end"/>
          </w:r>
        </w:p>
        <w:p>
          <w:pPr>
            <w:pStyle w:val="5"/>
            <w:tabs>
              <w:tab w:val="left" w:leader="dot" w:pos="8715"/>
            </w:tabs>
            <w:spacing w:before="173" w:line="374" w:lineRule="auto"/>
            <w:ind w:right="148"/>
            <w:rPr>
              <w:color w:val="auto"/>
            </w:rPr>
          </w:pPr>
          <w:r>
            <w:rPr>
              <w:color w:val="auto"/>
            </w:rPr>
            <w:fldChar w:fldCharType="begin"/>
          </w:r>
          <w:r>
            <w:rPr>
              <w:color w:val="auto"/>
            </w:rPr>
            <w:instrText xml:space="preserve"> HYPERLINK \l "_bookmark30"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"_bookmark30" </w:instrText>
          </w:r>
          <w:r>
            <w:rPr>
              <w:color w:val="auto"/>
            </w:rPr>
            <w:fldChar w:fldCharType="separate"/>
          </w:r>
          <w:r>
            <w:rPr>
              <w:color w:val="auto"/>
            </w:rPr>
            <w:t>十</w:t>
          </w:r>
          <w:r>
            <w:rPr>
              <w:color w:val="auto"/>
              <w:spacing w:val="-39"/>
            </w:rPr>
            <w:t>、</w:t>
          </w:r>
          <w:r>
            <w:rPr>
              <w:color w:val="auto"/>
            </w:rPr>
            <w:t>企业的印章</w:t>
          </w:r>
          <w:r>
            <w:rPr>
              <w:color w:val="auto"/>
              <w:spacing w:val="-41"/>
            </w:rPr>
            <w:t>、</w:t>
          </w:r>
          <w:r>
            <w:rPr>
              <w:color w:val="auto"/>
            </w:rPr>
            <w:t>银行账户</w:t>
          </w:r>
          <w:r>
            <w:rPr>
              <w:color w:val="auto"/>
              <w:spacing w:val="-39"/>
            </w:rPr>
            <w:t>、</w:t>
          </w:r>
          <w:r>
            <w:rPr>
              <w:color w:val="auto"/>
            </w:rPr>
            <w:t>牌匾</w:t>
          </w:r>
          <w:r>
            <w:rPr>
              <w:color w:val="auto"/>
              <w:spacing w:val="-39"/>
            </w:rPr>
            <w:t>、</w:t>
          </w:r>
          <w:r>
            <w:rPr>
              <w:color w:val="auto"/>
            </w:rPr>
            <w:t>信笺所使用的名称与登记注册的名称不同</w:t>
          </w:r>
          <w:r>
            <w:rPr>
              <w:color w:val="auto"/>
              <w:spacing w:val="-15"/>
            </w:rPr>
            <w:t xml:space="preserve">， </w:t>
          </w:r>
          <w:r>
            <w:rPr>
              <w:color w:val="auto"/>
              <w:spacing w:val="-15"/>
            </w:rPr>
            <w:fldChar w:fldCharType="end"/>
          </w:r>
          <w:r>
            <w:rPr>
              <w:color w:val="auto"/>
            </w:rPr>
            <w:t>或者从事商业、公共饮食、服务等行业的企业名称牌匾简化后未备案</w:t>
          </w:r>
          <w:r>
            <w:rPr>
              <w:color w:val="auto"/>
            </w:rPr>
            <w:tab/>
          </w:r>
          <w:r>
            <w:rPr>
              <w:color w:val="auto"/>
            </w:rPr>
            <w:t>17</w:t>
          </w:r>
        </w:p>
        <w:p>
          <w:pPr>
            <w:pStyle w:val="5"/>
            <w:tabs>
              <w:tab w:val="left" w:leader="dot" w:pos="8715"/>
            </w:tabs>
            <w:spacing w:line="308" w:lineRule="exact"/>
            <w:rPr>
              <w:color w:val="auto"/>
            </w:rPr>
          </w:pPr>
          <w:r>
            <w:rPr>
              <w:color w:val="auto"/>
            </w:rPr>
            <w:fldChar w:fldCharType="begin"/>
          </w:r>
          <w:r>
            <w:rPr>
              <w:color w:val="auto"/>
            </w:rPr>
            <w:instrText xml:space="preserve"> HYPERLINK \l "_bookmark31" </w:instrText>
          </w:r>
          <w:r>
            <w:rPr>
              <w:color w:val="auto"/>
            </w:rPr>
            <w:fldChar w:fldCharType="separate"/>
          </w:r>
          <w:r>
            <w:rPr>
              <w:color w:val="auto"/>
            </w:rPr>
            <w:t>三十一、侵犯他人企业名称专用权</w:t>
          </w:r>
          <w:r>
            <w:rPr>
              <w:color w:val="auto"/>
            </w:rPr>
            <w:tab/>
          </w:r>
          <w:r>
            <w:rPr>
              <w:color w:val="auto"/>
            </w:rPr>
            <w:t>17</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"_bookmark32" </w:instrText>
          </w:r>
          <w:r>
            <w:rPr>
              <w:color w:val="auto"/>
            </w:rPr>
            <w:fldChar w:fldCharType="separate"/>
          </w:r>
          <w:r>
            <w:rPr>
              <w:color w:val="auto"/>
            </w:rPr>
            <w:t>三十二、隐瞒真实情况采用欺骗手段取得企业法定代表人资格</w:t>
          </w:r>
          <w:r>
            <w:rPr>
              <w:color w:val="auto"/>
            </w:rPr>
            <w:tab/>
          </w:r>
          <w:r>
            <w:rPr>
              <w:color w:val="auto"/>
            </w:rPr>
            <w:t>18</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"_bookmark33" </w:instrText>
          </w:r>
          <w:r>
            <w:rPr>
              <w:color w:val="auto"/>
            </w:rPr>
            <w:fldChar w:fldCharType="separate"/>
          </w:r>
          <w:r>
            <w:rPr>
              <w:color w:val="auto"/>
            </w:rPr>
            <w:t>三十三、未依法办理企业法定代表人变更登记</w:t>
          </w:r>
          <w:r>
            <w:rPr>
              <w:color w:val="auto"/>
            </w:rPr>
            <w:tab/>
          </w:r>
          <w:r>
            <w:rPr>
              <w:color w:val="auto"/>
            </w:rPr>
            <w:t>19</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"_bookmark34" </w:instrText>
          </w:r>
          <w:r>
            <w:rPr>
              <w:color w:val="auto"/>
            </w:rPr>
            <w:fldChar w:fldCharType="separate"/>
          </w:r>
          <w:r>
            <w:rPr>
              <w:color w:val="auto"/>
            </w:rPr>
            <w:t>三十四、单位接收违反任职规定的辞职或者退休公务员</w:t>
          </w:r>
          <w:r>
            <w:rPr>
              <w:color w:val="auto"/>
            </w:rPr>
            <w:tab/>
          </w:r>
          <w:r>
            <w:rPr>
              <w:color w:val="auto"/>
            </w:rPr>
            <w:t>19</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"_bookmark35" </w:instrText>
          </w:r>
          <w:r>
            <w:rPr>
              <w:color w:val="auto"/>
            </w:rPr>
            <w:fldChar w:fldCharType="separate"/>
          </w:r>
          <w:r>
            <w:rPr>
              <w:color w:val="auto"/>
            </w:rPr>
            <w:t>三十五、外国公司擅自设立分支机构</w:t>
          </w:r>
          <w:r>
            <w:rPr>
              <w:color w:val="auto"/>
            </w:rPr>
            <w:tab/>
          </w:r>
          <w:r>
            <w:rPr>
              <w:color w:val="auto"/>
            </w:rPr>
            <w:t>20</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"_bookmark36" </w:instrText>
          </w:r>
          <w:r>
            <w:rPr>
              <w:color w:val="auto"/>
            </w:rPr>
            <w:fldChar w:fldCharType="separate"/>
          </w:r>
          <w:r>
            <w:rPr>
              <w:color w:val="auto"/>
              <w:spacing w:val="-22"/>
            </w:rPr>
            <w:t>三十</w:t>
          </w:r>
          <w:r>
            <w:rPr>
              <w:color w:val="auto"/>
              <w:spacing w:val="-24"/>
            </w:rPr>
            <w:t>六</w:t>
          </w:r>
          <w:r>
            <w:rPr>
              <w:color w:val="auto"/>
              <w:spacing w:val="-22"/>
            </w:rPr>
            <w:t>、外国企业</w:t>
          </w:r>
          <w:r>
            <w:rPr>
              <w:color w:val="auto"/>
              <w:spacing w:val="-24"/>
            </w:rPr>
            <w:t>及</w:t>
          </w:r>
          <w:r>
            <w:rPr>
              <w:color w:val="auto"/>
              <w:spacing w:val="-22"/>
            </w:rPr>
            <w:t>其他经济组</w:t>
          </w:r>
          <w:r>
            <w:rPr>
              <w:color w:val="auto"/>
              <w:spacing w:val="-24"/>
            </w:rPr>
            <w:t>织</w:t>
          </w:r>
          <w:r>
            <w:rPr>
              <w:color w:val="auto"/>
              <w:spacing w:val="-22"/>
            </w:rPr>
            <w:t>擅自设立代</w:t>
          </w:r>
          <w:r>
            <w:rPr>
              <w:color w:val="auto"/>
              <w:spacing w:val="-24"/>
            </w:rPr>
            <w:t>表</w:t>
          </w:r>
          <w:r>
            <w:rPr>
              <w:color w:val="auto"/>
              <w:spacing w:val="-22"/>
            </w:rPr>
            <w:t>机构或者从</w:t>
          </w:r>
          <w:r>
            <w:rPr>
              <w:color w:val="auto"/>
              <w:spacing w:val="-24"/>
            </w:rPr>
            <w:t>事</w:t>
          </w:r>
          <w:r>
            <w:rPr>
              <w:color w:val="auto"/>
              <w:spacing w:val="-22"/>
            </w:rPr>
            <w:t>代表机构业</w:t>
          </w:r>
          <w:r>
            <w:rPr>
              <w:color w:val="auto"/>
              <w:spacing w:val="-24"/>
            </w:rPr>
            <w:t>务</w:t>
          </w:r>
          <w:r>
            <w:rPr>
              <w:color w:val="auto"/>
              <w:spacing w:val="-22"/>
            </w:rPr>
            <w:t>活动</w:t>
          </w:r>
          <w:r>
            <w:rPr>
              <w:color w:val="auto"/>
              <w:spacing w:val="-22"/>
            </w:rPr>
            <w:tab/>
          </w:r>
          <w:r>
            <w:rPr>
              <w:color w:val="auto"/>
            </w:rPr>
            <w:t>20</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"_bookmark37" </w:instrText>
          </w:r>
          <w:r>
            <w:rPr>
              <w:color w:val="auto"/>
            </w:rPr>
            <w:fldChar w:fldCharType="separate"/>
          </w:r>
          <w:r>
            <w:rPr>
              <w:color w:val="auto"/>
            </w:rPr>
            <w:t>三十七、外国企业常驻代表机构从事营利性活动</w:t>
          </w:r>
          <w:r>
            <w:rPr>
              <w:color w:val="auto"/>
            </w:rPr>
            <w:tab/>
          </w:r>
          <w:r>
            <w:rPr>
              <w:color w:val="auto"/>
            </w:rPr>
            <w:t>21</w:t>
          </w:r>
          <w:r>
            <w:rPr>
              <w:color w:val="auto"/>
            </w:rPr>
            <w:fldChar w:fldCharType="end"/>
          </w:r>
        </w:p>
        <w:p>
          <w:pPr>
            <w:pStyle w:val="5"/>
            <w:tabs>
              <w:tab w:val="left" w:leader="dot" w:pos="8715"/>
            </w:tabs>
            <w:spacing w:before="172" w:line="374" w:lineRule="auto"/>
            <w:ind w:right="268"/>
            <w:rPr>
              <w:color w:val="auto"/>
            </w:rPr>
          </w:pPr>
          <w:r>
            <w:rPr>
              <w:color w:val="auto"/>
            </w:rPr>
            <w:fldChar w:fldCharType="begin"/>
          </w:r>
          <w:r>
            <w:rPr>
              <w:color w:val="auto"/>
            </w:rPr>
            <w:instrText xml:space="preserve"> HYPERLINK \l "_bookmark38"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"_bookmark38" </w:instrText>
          </w:r>
          <w:r>
            <w:rPr>
              <w:color w:val="auto"/>
            </w:rPr>
            <w:fldChar w:fldCharType="separate"/>
          </w:r>
          <w:r>
            <w:rPr>
              <w:color w:val="auto"/>
            </w:rPr>
            <w:t>十八</w:t>
          </w:r>
          <w:r>
            <w:rPr>
              <w:color w:val="auto"/>
              <w:spacing w:val="-36"/>
            </w:rPr>
            <w:t>、</w:t>
          </w:r>
          <w:r>
            <w:rPr>
              <w:color w:val="auto"/>
            </w:rPr>
            <w:t>外国企业提交虚假材料或者采取其他欺诈手段隐瞒真实情况取得代表</w:t>
          </w:r>
          <w:r>
            <w:rPr>
              <w:color w:val="auto"/>
              <w:spacing w:val="-17"/>
            </w:rPr>
            <w:t>机</w:t>
          </w:r>
          <w:r>
            <w:rPr>
              <w:color w:val="auto"/>
              <w:spacing w:val="-17"/>
            </w:rPr>
            <w:fldChar w:fldCharType="end"/>
          </w:r>
          <w:r>
            <w:rPr>
              <w:color w:val="auto"/>
            </w:rPr>
            <w:t>构登记或者备案</w:t>
          </w:r>
          <w:r>
            <w:rPr>
              <w:color w:val="auto"/>
            </w:rPr>
            <w:tab/>
          </w:r>
          <w:r>
            <w:rPr>
              <w:color w:val="auto"/>
              <w:spacing w:val="-9"/>
            </w:rPr>
            <w:t>22</w:t>
          </w:r>
        </w:p>
        <w:p>
          <w:pPr>
            <w:pStyle w:val="5"/>
            <w:tabs>
              <w:tab w:val="left" w:leader="dot" w:pos="8715"/>
            </w:tabs>
            <w:spacing w:line="308" w:lineRule="exact"/>
            <w:rPr>
              <w:color w:val="auto"/>
            </w:rPr>
          </w:pPr>
          <w:r>
            <w:rPr>
              <w:color w:val="auto"/>
            </w:rPr>
            <w:fldChar w:fldCharType="begin"/>
          </w:r>
          <w:r>
            <w:rPr>
              <w:color w:val="auto"/>
            </w:rPr>
            <w:instrText xml:space="preserve"> HYPERLINK \l "_bookmark39" </w:instrText>
          </w:r>
          <w:r>
            <w:rPr>
              <w:color w:val="auto"/>
            </w:rPr>
            <w:fldChar w:fldCharType="separate"/>
          </w:r>
          <w:r>
            <w:rPr>
              <w:color w:val="auto"/>
            </w:rPr>
            <w:t>三十九、外国企业常驻代表机构年度报告隐瞒真实情况、弄虚作假</w:t>
          </w:r>
          <w:r>
            <w:rPr>
              <w:color w:val="auto"/>
            </w:rPr>
            <w:tab/>
          </w:r>
          <w:r>
            <w:rPr>
              <w:color w:val="auto"/>
            </w:rPr>
            <w:t>22</w:t>
          </w:r>
          <w:r>
            <w:rPr>
              <w:color w:val="auto"/>
            </w:rPr>
            <w:fldChar w:fldCharType="end"/>
          </w:r>
        </w:p>
        <w:p>
          <w:pPr>
            <w:pStyle w:val="5"/>
            <w:tabs>
              <w:tab w:val="left" w:leader="dot" w:pos="8727"/>
            </w:tabs>
            <w:spacing w:before="173"/>
            <w:rPr>
              <w:color w:val="auto"/>
            </w:rPr>
          </w:pPr>
          <w:r>
            <w:rPr>
              <w:color w:val="auto"/>
            </w:rPr>
            <w:fldChar w:fldCharType="begin"/>
          </w:r>
          <w:r>
            <w:rPr>
              <w:color w:val="auto"/>
            </w:rPr>
            <w:instrText xml:space="preserve"> HYPERLINK \l "_bookmark40" </w:instrText>
          </w:r>
          <w:r>
            <w:rPr>
              <w:color w:val="auto"/>
            </w:rPr>
            <w:fldChar w:fldCharType="separate"/>
          </w:r>
          <w:r>
            <w:rPr>
              <w:color w:val="auto"/>
              <w:spacing w:val="-12"/>
            </w:rPr>
            <w:t>四十、外国企业常驻代表机构伪造、涂改、出租、出借、转让登记证、代表</w:t>
          </w:r>
          <w:r>
            <w:rPr>
              <w:color w:val="auto"/>
            </w:rPr>
            <w:t>证</w:t>
          </w:r>
          <w:r>
            <w:rPr>
              <w:color w:val="auto"/>
            </w:rPr>
            <w:tab/>
          </w:r>
          <w:r>
            <w:rPr>
              <w:color w:val="auto"/>
            </w:rPr>
            <w:t>23</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"_bookmark41" </w:instrText>
          </w:r>
          <w:r>
            <w:rPr>
              <w:color w:val="auto"/>
            </w:rPr>
            <w:fldChar w:fldCharType="separate"/>
          </w:r>
          <w:r>
            <w:rPr>
              <w:color w:val="auto"/>
            </w:rPr>
            <w:t>四十一、外国企业常驻代表机构从事业务活动以外的活动</w:t>
          </w:r>
          <w:r>
            <w:rPr>
              <w:color w:val="auto"/>
            </w:rPr>
            <w:tab/>
          </w:r>
          <w:r>
            <w:rPr>
              <w:color w:val="auto"/>
            </w:rPr>
            <w:t>23</w:t>
          </w:r>
          <w:r>
            <w:rPr>
              <w:color w:val="auto"/>
            </w:rPr>
            <w:fldChar w:fldCharType="end"/>
          </w:r>
        </w:p>
        <w:p>
          <w:pPr>
            <w:pStyle w:val="5"/>
            <w:spacing w:before="173" w:line="374" w:lineRule="auto"/>
            <w:ind w:right="268"/>
            <w:jc w:val="both"/>
            <w:rPr>
              <w:color w:val="auto"/>
            </w:rPr>
          </w:pPr>
          <w:r>
            <w:rPr>
              <w:color w:val="auto"/>
            </w:rPr>
            <w:fldChar w:fldCharType="begin"/>
          </w:r>
          <w:r>
            <w:rPr>
              <w:color w:val="auto"/>
            </w:rPr>
            <w:instrText xml:space="preserve"> HYPERLINK \l "_bookmark42"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"_bookmark42" </w:instrText>
          </w:r>
          <w:r>
            <w:rPr>
              <w:color w:val="auto"/>
            </w:rPr>
            <w:fldChar w:fldCharType="separate"/>
          </w:r>
          <w:r>
            <w:rPr>
              <w:color w:val="auto"/>
              <w:spacing w:val="-7"/>
            </w:rPr>
            <w:t>十二、外国企业常驻代表机构未依照规定提交年度报告、未按照登记机关登记</w:t>
          </w:r>
          <w:r>
            <w:rPr>
              <w:color w:val="auto"/>
              <w:spacing w:val="-7"/>
            </w:rPr>
            <w:fldChar w:fldCharType="end"/>
          </w:r>
          <w:r>
            <w:rPr>
              <w:color w:val="auto"/>
              <w:spacing w:val="-4"/>
            </w:rPr>
            <w:t>的名称从事业务活动、未按照中国政府有关部门要求调整驻在场所、未依照规定</w:t>
          </w:r>
          <w:r>
            <w:rPr>
              <w:color w:val="auto"/>
              <w:spacing w:val="2"/>
            </w:rPr>
            <w:t xml:space="preserve">公告其设立及变更情况、未依照规定办理有关变更登记注销登记或者备案   </w:t>
          </w:r>
          <w:r>
            <w:rPr>
              <w:color w:val="auto"/>
              <w:spacing w:val="-9"/>
            </w:rPr>
            <w:t>24</w:t>
          </w:r>
        </w:p>
        <w:p>
          <w:pPr>
            <w:pStyle w:val="5"/>
            <w:tabs>
              <w:tab w:val="left" w:leader="dot" w:pos="8715"/>
            </w:tabs>
            <w:spacing w:line="308" w:lineRule="exact"/>
            <w:rPr>
              <w:color w:val="auto"/>
            </w:rPr>
          </w:pPr>
          <w:r>
            <w:rPr>
              <w:color w:val="auto"/>
            </w:rPr>
            <w:fldChar w:fldCharType="begin"/>
          </w:r>
          <w:r>
            <w:rPr>
              <w:color w:val="auto"/>
            </w:rPr>
            <w:instrText xml:space="preserve"> HYPERLINK \l "_bookmark43" </w:instrText>
          </w:r>
          <w:r>
            <w:rPr>
              <w:color w:val="auto"/>
            </w:rPr>
            <w:fldChar w:fldCharType="separate"/>
          </w:r>
          <w:r>
            <w:rPr>
              <w:color w:val="auto"/>
            </w:rPr>
            <w:t>四十三、采取提交虚假文件等欺骗手段取得合伙企业登记</w:t>
          </w:r>
          <w:r>
            <w:rPr>
              <w:color w:val="auto"/>
            </w:rPr>
            <w:tab/>
          </w:r>
          <w:r>
            <w:rPr>
              <w:color w:val="auto"/>
            </w:rPr>
            <w:t>25</w:t>
          </w:r>
          <w:r>
            <w:rPr>
              <w:color w:val="auto"/>
            </w:rPr>
            <w:fldChar w:fldCharType="end"/>
          </w:r>
        </w:p>
        <w:p>
          <w:pPr>
            <w:pStyle w:val="5"/>
            <w:tabs>
              <w:tab w:val="left" w:leader="dot" w:pos="8715"/>
            </w:tabs>
            <w:spacing w:after="59" w:line="480" w:lineRule="atLeast"/>
            <w:ind w:right="148"/>
            <w:rPr>
              <w:color w:val="auto"/>
            </w:rPr>
          </w:pPr>
          <w:r>
            <w:rPr>
              <w:color w:val="auto"/>
            </w:rPr>
            <w:fldChar w:fldCharType="begin"/>
          </w:r>
          <w:r>
            <w:rPr>
              <w:color w:val="auto"/>
            </w:rPr>
            <w:instrText xml:space="preserve"> HYPERLINK \l "_bookmark44"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"_bookmark44" </w:instrText>
          </w:r>
          <w:r>
            <w:rPr>
              <w:color w:val="auto"/>
            </w:rPr>
            <w:fldChar w:fldCharType="separate"/>
          </w:r>
          <w:r>
            <w:rPr>
              <w:color w:val="auto"/>
            </w:rPr>
            <w:t>十四</w:t>
          </w:r>
          <w:r>
            <w:rPr>
              <w:color w:val="auto"/>
              <w:spacing w:val="-39"/>
            </w:rPr>
            <w:t>、</w:t>
          </w:r>
          <w:r>
            <w:rPr>
              <w:color w:val="auto"/>
            </w:rPr>
            <w:t>合伙企业未在其名称中标</w:t>
          </w:r>
          <w:r>
            <w:rPr>
              <w:color w:val="auto"/>
              <w:spacing w:val="-39"/>
            </w:rPr>
            <w:t>明</w:t>
          </w:r>
          <w:r>
            <w:rPr>
              <w:color w:val="auto"/>
              <w:spacing w:val="-3"/>
            </w:rPr>
            <w:t>“</w:t>
          </w:r>
          <w:r>
            <w:rPr>
              <w:color w:val="auto"/>
            </w:rPr>
            <w:t>普通合伙</w:t>
          </w:r>
          <w:r>
            <w:rPr>
              <w:color w:val="auto"/>
              <w:spacing w:val="-120"/>
            </w:rPr>
            <w:t>”</w:t>
          </w:r>
          <w:r>
            <w:rPr>
              <w:color w:val="auto"/>
              <w:spacing w:val="-156"/>
            </w:rPr>
            <w:t>、</w:t>
          </w:r>
          <w:r>
            <w:rPr>
              <w:color w:val="auto"/>
              <w:spacing w:val="-3"/>
            </w:rPr>
            <w:t>“</w:t>
          </w:r>
          <w:r>
            <w:rPr>
              <w:color w:val="auto"/>
            </w:rPr>
            <w:t>特殊普通合伙</w:t>
          </w:r>
          <w:r>
            <w:rPr>
              <w:color w:val="auto"/>
              <w:spacing w:val="-120"/>
            </w:rPr>
            <w:t>”</w:t>
          </w:r>
          <w:r>
            <w:rPr>
              <w:color w:val="auto"/>
              <w:spacing w:val="-159"/>
            </w:rPr>
            <w:t>、</w:t>
          </w:r>
          <w:r>
            <w:rPr>
              <w:color w:val="auto"/>
            </w:rPr>
            <w:t>“有限合伙</w:t>
          </w:r>
          <w:r>
            <w:rPr>
              <w:color w:val="auto"/>
              <w:spacing w:val="-14"/>
            </w:rPr>
            <w:t xml:space="preserve">” </w:t>
          </w:r>
          <w:r>
            <w:rPr>
              <w:color w:val="auto"/>
              <w:spacing w:val="-14"/>
            </w:rPr>
            <w:fldChar w:fldCharType="end"/>
          </w:r>
          <w:r>
            <w:rPr>
              <w:color w:val="auto"/>
            </w:rPr>
            <w:t>字样</w:t>
          </w:r>
          <w:r>
            <w:rPr>
              <w:color w:val="auto"/>
            </w:rPr>
            <w:tab/>
          </w:r>
          <w:r>
            <w:rPr>
              <w:color w:val="auto"/>
            </w:rPr>
            <w:t>25</w:t>
          </w:r>
        </w:p>
        <w:p>
          <w:pPr>
            <w:pStyle w:val="5"/>
            <w:tabs>
              <w:tab w:val="left" w:leader="dot" w:pos="8715"/>
            </w:tabs>
            <w:spacing w:before="127"/>
            <w:rPr>
              <w:color w:val="auto"/>
            </w:rPr>
          </w:pPr>
          <w:r>
            <w:rPr>
              <w:color w:val="auto"/>
            </w:rPr>
            <w:fldChar w:fldCharType="begin"/>
          </w:r>
          <w:r>
            <w:rPr>
              <w:color w:val="auto"/>
            </w:rPr>
            <w:instrText xml:space="preserve"> HYPERLINK \l "_bookmark45" </w:instrText>
          </w:r>
          <w:r>
            <w:rPr>
              <w:color w:val="auto"/>
            </w:rPr>
            <w:fldChar w:fldCharType="separate"/>
          </w:r>
          <w:r>
            <w:rPr>
              <w:color w:val="auto"/>
              <w:spacing w:val="-22"/>
            </w:rPr>
            <w:t>四十</w:t>
          </w:r>
          <w:r>
            <w:rPr>
              <w:color w:val="auto"/>
              <w:spacing w:val="-24"/>
            </w:rPr>
            <w:t>五</w:t>
          </w:r>
          <w:r>
            <w:rPr>
              <w:color w:val="auto"/>
              <w:spacing w:val="-22"/>
            </w:rPr>
            <w:t>、未领取营</w:t>
          </w:r>
          <w:r>
            <w:rPr>
              <w:color w:val="auto"/>
              <w:spacing w:val="-24"/>
            </w:rPr>
            <w:t>业</w:t>
          </w:r>
          <w:r>
            <w:rPr>
              <w:color w:val="auto"/>
              <w:spacing w:val="-22"/>
            </w:rPr>
            <w:t>执照而以合</w:t>
          </w:r>
          <w:r>
            <w:rPr>
              <w:color w:val="auto"/>
              <w:spacing w:val="-24"/>
            </w:rPr>
            <w:t>伙</w:t>
          </w:r>
          <w:r>
            <w:rPr>
              <w:color w:val="auto"/>
              <w:spacing w:val="-22"/>
            </w:rPr>
            <w:t>企业或者合</w:t>
          </w:r>
          <w:r>
            <w:rPr>
              <w:color w:val="auto"/>
              <w:spacing w:val="-24"/>
            </w:rPr>
            <w:t>伙</w:t>
          </w:r>
          <w:r>
            <w:rPr>
              <w:color w:val="auto"/>
              <w:spacing w:val="-22"/>
            </w:rPr>
            <w:t>企业分支机</w:t>
          </w:r>
          <w:r>
            <w:rPr>
              <w:color w:val="auto"/>
              <w:spacing w:val="-24"/>
            </w:rPr>
            <w:t>构</w:t>
          </w:r>
          <w:r>
            <w:rPr>
              <w:color w:val="auto"/>
              <w:spacing w:val="-22"/>
            </w:rPr>
            <w:t>名义从事合</w:t>
          </w:r>
          <w:r>
            <w:rPr>
              <w:color w:val="auto"/>
              <w:spacing w:val="-24"/>
            </w:rPr>
            <w:t>伙</w:t>
          </w:r>
          <w:r>
            <w:rPr>
              <w:color w:val="auto"/>
              <w:spacing w:val="-22"/>
            </w:rPr>
            <w:t>业务</w:t>
          </w:r>
          <w:r>
            <w:rPr>
              <w:color w:val="auto"/>
              <w:spacing w:val="-22"/>
            </w:rPr>
            <w:tab/>
          </w:r>
          <w:r>
            <w:rPr>
              <w:color w:val="auto"/>
            </w:rPr>
            <w:t>26</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"_bookmark46" </w:instrText>
          </w:r>
          <w:r>
            <w:rPr>
              <w:color w:val="auto"/>
            </w:rPr>
            <w:fldChar w:fldCharType="separate"/>
          </w:r>
          <w:r>
            <w:rPr>
              <w:color w:val="auto"/>
            </w:rPr>
            <w:t>四十六、合伙企业未按规定办理变更登记</w:t>
          </w:r>
          <w:r>
            <w:rPr>
              <w:color w:val="auto"/>
            </w:rPr>
            <w:tab/>
          </w:r>
          <w:r>
            <w:rPr>
              <w:color w:val="auto"/>
            </w:rPr>
            <w:t>26</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"_bookmark47" </w:instrText>
          </w:r>
          <w:r>
            <w:rPr>
              <w:color w:val="auto"/>
            </w:rPr>
            <w:fldChar w:fldCharType="separate"/>
          </w:r>
          <w:r>
            <w:rPr>
              <w:color w:val="auto"/>
            </w:rPr>
            <w:t>四十七、合伙企业未依照规定办理清算人成员名单备案</w:t>
          </w:r>
          <w:r>
            <w:rPr>
              <w:color w:val="auto"/>
            </w:rPr>
            <w:tab/>
          </w:r>
          <w:r>
            <w:rPr>
              <w:color w:val="auto"/>
            </w:rPr>
            <w:t>27</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"_bookmark48" </w:instrText>
          </w:r>
          <w:r>
            <w:rPr>
              <w:color w:val="auto"/>
            </w:rPr>
            <w:fldChar w:fldCharType="separate"/>
          </w:r>
          <w:r>
            <w:rPr>
              <w:color w:val="auto"/>
            </w:rPr>
            <w:t>四十八、合伙企业未按规定放置营业执照</w:t>
          </w:r>
          <w:r>
            <w:rPr>
              <w:color w:val="auto"/>
            </w:rPr>
            <w:tab/>
          </w:r>
          <w:r>
            <w:rPr>
              <w:color w:val="auto"/>
            </w:rPr>
            <w:t>27</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"_bookmark49" </w:instrText>
          </w:r>
          <w:r>
            <w:rPr>
              <w:color w:val="auto"/>
            </w:rPr>
            <w:fldChar w:fldCharType="separate"/>
          </w:r>
          <w:r>
            <w:rPr>
              <w:color w:val="auto"/>
            </w:rPr>
            <w:t>四十九、合伙企业涂改、出售、出租、出借或者以其他方式转让营业执照</w:t>
          </w:r>
          <w:r>
            <w:rPr>
              <w:color w:val="auto"/>
            </w:rPr>
            <w:tab/>
          </w:r>
          <w:r>
            <w:rPr>
              <w:color w:val="auto"/>
            </w:rPr>
            <w:t>27</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"_bookmark50" </w:instrText>
          </w:r>
          <w:r>
            <w:rPr>
              <w:color w:val="auto"/>
            </w:rPr>
            <w:fldChar w:fldCharType="separate"/>
          </w:r>
          <w:r>
            <w:rPr>
              <w:color w:val="auto"/>
            </w:rPr>
            <w:t>五十、采取提交虚假文件等欺骗手段取得个人独资企业登记</w:t>
          </w:r>
          <w:r>
            <w:rPr>
              <w:color w:val="auto"/>
            </w:rPr>
            <w:tab/>
          </w:r>
          <w:r>
            <w:rPr>
              <w:color w:val="auto"/>
            </w:rPr>
            <w:t>28</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"_bookmark51" </w:instrText>
          </w:r>
          <w:r>
            <w:rPr>
              <w:color w:val="auto"/>
            </w:rPr>
            <w:fldChar w:fldCharType="separate"/>
          </w:r>
          <w:r>
            <w:rPr>
              <w:color w:val="auto"/>
            </w:rPr>
            <w:t>五十一、个人独资企业使用的名称与其登记名称不相符合</w:t>
          </w:r>
          <w:r>
            <w:rPr>
              <w:color w:val="auto"/>
            </w:rPr>
            <w:tab/>
          </w:r>
          <w:r>
            <w:rPr>
              <w:color w:val="auto"/>
            </w:rPr>
            <w:t>29</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"_bookmark52" </w:instrText>
          </w:r>
          <w:r>
            <w:rPr>
              <w:color w:val="auto"/>
            </w:rPr>
            <w:fldChar w:fldCharType="separate"/>
          </w:r>
          <w:r>
            <w:rPr>
              <w:color w:val="auto"/>
            </w:rPr>
            <w:t>五十二、个人独资企业涂改、出借、转让营业执照</w:t>
          </w:r>
          <w:r>
            <w:rPr>
              <w:color w:val="auto"/>
            </w:rPr>
            <w:tab/>
          </w:r>
          <w:r>
            <w:rPr>
              <w:color w:val="auto"/>
            </w:rPr>
            <w:t>29</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"_bookmark53" </w:instrText>
          </w:r>
          <w:r>
            <w:rPr>
              <w:color w:val="auto"/>
            </w:rPr>
            <w:fldChar w:fldCharType="separate"/>
          </w:r>
          <w:r>
            <w:rPr>
              <w:color w:val="auto"/>
            </w:rPr>
            <w:t>五十三、承租、受让个人独资企业营业执照从事经营活动</w:t>
          </w:r>
          <w:r>
            <w:rPr>
              <w:color w:val="auto"/>
            </w:rPr>
            <w:tab/>
          </w:r>
          <w:r>
            <w:rPr>
              <w:color w:val="auto"/>
            </w:rPr>
            <w:t>30</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"_bookmark54" </w:instrText>
          </w:r>
          <w:r>
            <w:rPr>
              <w:color w:val="auto"/>
            </w:rPr>
            <w:fldChar w:fldCharType="separate"/>
          </w:r>
          <w:r>
            <w:rPr>
              <w:color w:val="auto"/>
            </w:rPr>
            <w:t>五十四、伪造个人独资企业营业执照</w:t>
          </w:r>
          <w:r>
            <w:rPr>
              <w:color w:val="auto"/>
            </w:rPr>
            <w:tab/>
          </w:r>
          <w:r>
            <w:rPr>
              <w:color w:val="auto"/>
            </w:rPr>
            <w:t>30</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"_bookmark55" </w:instrText>
          </w:r>
          <w:r>
            <w:rPr>
              <w:color w:val="auto"/>
            </w:rPr>
            <w:fldChar w:fldCharType="separate"/>
          </w:r>
          <w:r>
            <w:rPr>
              <w:color w:val="auto"/>
            </w:rPr>
            <w:t>五十五、擅自以个人独资企业名义从事经营活动</w:t>
          </w:r>
          <w:r>
            <w:rPr>
              <w:color w:val="auto"/>
            </w:rPr>
            <w:tab/>
          </w:r>
          <w:r>
            <w:rPr>
              <w:color w:val="auto"/>
            </w:rPr>
            <w:t>31</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"_bookmark56" </w:instrText>
          </w:r>
          <w:r>
            <w:rPr>
              <w:color w:val="auto"/>
            </w:rPr>
            <w:fldChar w:fldCharType="separate"/>
          </w:r>
          <w:r>
            <w:rPr>
              <w:color w:val="auto"/>
            </w:rPr>
            <w:t>五十六、个人独资企业未按规定办理变更登记</w:t>
          </w:r>
          <w:r>
            <w:rPr>
              <w:color w:val="auto"/>
            </w:rPr>
            <w:tab/>
          </w:r>
          <w:r>
            <w:rPr>
              <w:color w:val="auto"/>
            </w:rPr>
            <w:t>31</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"_bookmark57" </w:instrText>
          </w:r>
          <w:r>
            <w:rPr>
              <w:color w:val="auto"/>
            </w:rPr>
            <w:fldChar w:fldCharType="separate"/>
          </w:r>
          <w:r>
            <w:rPr>
              <w:color w:val="auto"/>
            </w:rPr>
            <w:t>五十七、个人独资企业未按规定放置营业执照</w:t>
          </w:r>
          <w:r>
            <w:rPr>
              <w:color w:val="auto"/>
            </w:rPr>
            <w:tab/>
          </w:r>
          <w:r>
            <w:rPr>
              <w:color w:val="auto"/>
            </w:rPr>
            <w:t>32</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"_bookmark58" </w:instrText>
          </w:r>
          <w:r>
            <w:rPr>
              <w:color w:val="auto"/>
            </w:rPr>
            <w:fldChar w:fldCharType="separate"/>
          </w:r>
          <w:r>
            <w:rPr>
              <w:color w:val="auto"/>
            </w:rPr>
            <w:t>五十八、个体工商户提交虚假材料骗取登记</w:t>
          </w:r>
          <w:r>
            <w:rPr>
              <w:color w:val="auto"/>
            </w:rPr>
            <w:tab/>
          </w:r>
          <w:r>
            <w:rPr>
              <w:color w:val="auto"/>
            </w:rPr>
            <w:t>32</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"_bookmark59" </w:instrText>
          </w:r>
          <w:r>
            <w:rPr>
              <w:color w:val="auto"/>
            </w:rPr>
            <w:fldChar w:fldCharType="separate"/>
          </w:r>
          <w:r>
            <w:rPr>
              <w:color w:val="auto"/>
            </w:rPr>
            <w:t>五十九、个体工商户伪造、涂改、出租、出借、转让营业执照</w:t>
          </w:r>
          <w:r>
            <w:rPr>
              <w:color w:val="auto"/>
            </w:rPr>
            <w:tab/>
          </w:r>
          <w:r>
            <w:rPr>
              <w:color w:val="auto"/>
            </w:rPr>
            <w:t>33</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"_bookmark60" </w:instrText>
          </w:r>
          <w:r>
            <w:rPr>
              <w:color w:val="auto"/>
            </w:rPr>
            <w:fldChar w:fldCharType="separate"/>
          </w:r>
          <w:r>
            <w:rPr>
              <w:color w:val="auto"/>
            </w:rPr>
            <w:t>六十、个体工商户未按规定办理变更登记</w:t>
          </w:r>
          <w:r>
            <w:rPr>
              <w:color w:val="auto"/>
            </w:rPr>
            <w:tab/>
          </w:r>
          <w:r>
            <w:rPr>
              <w:color w:val="auto"/>
            </w:rPr>
            <w:t>33</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"_bookmark61" </w:instrText>
          </w:r>
          <w:r>
            <w:rPr>
              <w:color w:val="auto"/>
            </w:rPr>
            <w:fldChar w:fldCharType="separate"/>
          </w:r>
          <w:r>
            <w:rPr>
              <w:color w:val="auto"/>
            </w:rPr>
            <w:t>六十一、个体工商户未按规定放置营业执照</w:t>
          </w:r>
          <w:r>
            <w:rPr>
              <w:color w:val="auto"/>
            </w:rPr>
            <w:tab/>
          </w:r>
          <w:r>
            <w:rPr>
              <w:color w:val="auto"/>
            </w:rPr>
            <w:t>34</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"_bookmark62" </w:instrText>
          </w:r>
          <w:r>
            <w:rPr>
              <w:color w:val="auto"/>
            </w:rPr>
            <w:fldChar w:fldCharType="separate"/>
          </w:r>
          <w:r>
            <w:rPr>
              <w:color w:val="auto"/>
            </w:rPr>
            <w:t>六十二、无照经营</w:t>
          </w:r>
          <w:r>
            <w:rPr>
              <w:color w:val="auto"/>
            </w:rPr>
            <w:tab/>
          </w:r>
          <w:r>
            <w:rPr>
              <w:color w:val="auto"/>
            </w:rPr>
            <w:t>34</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"_bookmark63" </w:instrText>
          </w:r>
          <w:r>
            <w:rPr>
              <w:color w:val="auto"/>
            </w:rPr>
            <w:fldChar w:fldCharType="separate"/>
          </w:r>
          <w:r>
            <w:rPr>
              <w:color w:val="auto"/>
            </w:rPr>
            <w:t>六十三、为无照经营行为提供条件</w:t>
          </w:r>
          <w:r>
            <w:rPr>
              <w:color w:val="auto"/>
            </w:rPr>
            <w:tab/>
          </w:r>
          <w:r>
            <w:rPr>
              <w:color w:val="auto"/>
            </w:rPr>
            <w:t>35</w:t>
          </w:r>
          <w:r>
            <w:rPr>
              <w:color w:val="auto"/>
            </w:rPr>
            <w:fldChar w:fldCharType="end"/>
          </w:r>
        </w:p>
        <w:p>
          <w:pPr>
            <w:pStyle w:val="5"/>
            <w:tabs>
              <w:tab w:val="left" w:leader="dot" w:pos="8715"/>
            </w:tabs>
            <w:spacing w:before="173" w:line="374" w:lineRule="auto"/>
            <w:ind w:right="232"/>
            <w:jc w:val="both"/>
            <w:rPr>
              <w:color w:val="auto"/>
            </w:rPr>
          </w:pPr>
          <w:r>
            <w:rPr>
              <w:color w:val="auto"/>
            </w:rPr>
            <w:fldChar w:fldCharType="begin"/>
          </w:r>
          <w:r>
            <w:rPr>
              <w:color w:val="auto"/>
            </w:rPr>
            <w:instrText xml:space="preserve"> HYPERLINK \l "_bookmark64" </w:instrText>
          </w:r>
          <w:r>
            <w:rPr>
              <w:color w:val="auto"/>
            </w:rPr>
            <w:fldChar w:fldCharType="separate"/>
          </w:r>
          <w:r>
            <w:rPr>
              <w:color w:val="auto"/>
            </w:rPr>
            <w:t>六十四、擅自设立从事出版物印刷经营活动的企业或者擅自从事印刷经营活动</w:t>
          </w:r>
          <w:r>
            <w:rPr>
              <w:color w:val="auto"/>
              <w:spacing w:val="-9"/>
            </w:rPr>
            <w:t xml:space="preserve">35 </w:t>
          </w:r>
          <w:r>
            <w:rPr>
              <w:color w:val="auto"/>
              <w:spacing w:val="-9"/>
            </w:rPr>
            <w:fldChar w:fldCharType="end"/>
          </w:r>
          <w:r>
            <w:rPr>
              <w:color w:val="auto"/>
            </w:rPr>
            <w:fldChar w:fldCharType="begin"/>
          </w:r>
          <w:r>
            <w:rPr>
              <w:color w:val="auto"/>
            </w:rPr>
            <w:instrText xml:space="preserve"> HYPERLINK \l "_bookmark65"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 </w:instrText>
          </w:r>
          <w:r>
            <w:rPr>
              <w:color w:val="auto"/>
            </w:rPr>
            <w:fldChar w:fldCharType="separate"/>
          </w:r>
          <w:r>
            <w:rPr>
              <w:color w:val="auto"/>
            </w:rPr>
            <w:t>十五、擅自设立音像制品出版、进口单位或者擅自从事音像制品出版、制作</w:t>
          </w:r>
          <w:r>
            <w:rPr>
              <w:color w:val="auto"/>
              <w:spacing w:val="-17"/>
            </w:rPr>
            <w:t>、</w:t>
          </w:r>
          <w:r>
            <w:rPr>
              <w:color w:val="auto"/>
              <w:spacing w:val="-17"/>
            </w:rPr>
            <w:fldChar w:fldCharType="end"/>
          </w:r>
          <w:r>
            <w:rPr>
              <w:color w:val="auto"/>
            </w:rPr>
            <w:t>复制业务或者进口、批发、零售经营活动</w:t>
          </w:r>
          <w:r>
            <w:rPr>
              <w:color w:val="auto"/>
            </w:rPr>
            <w:tab/>
          </w:r>
          <w:r>
            <w:rPr>
              <w:color w:val="auto"/>
            </w:rPr>
            <w:t>36</w:t>
          </w:r>
        </w:p>
        <w:p>
          <w:pPr>
            <w:pStyle w:val="5"/>
            <w:tabs>
              <w:tab w:val="left" w:leader="dot" w:pos="8715"/>
            </w:tabs>
            <w:spacing w:line="374" w:lineRule="auto"/>
            <w:ind w:right="268"/>
            <w:rPr>
              <w:color w:val="auto"/>
            </w:rPr>
          </w:pPr>
          <w:r>
            <w:rPr>
              <w:color w:val="auto"/>
            </w:rPr>
            <w:fldChar w:fldCharType="begin"/>
          </w:r>
          <w:r>
            <w:rPr>
              <w:color w:val="auto"/>
            </w:rPr>
            <w:instrText xml:space="preserve"> HYPERLINK \l "_bookmark66"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 </w:instrText>
          </w:r>
          <w:r>
            <w:rPr>
              <w:color w:val="auto"/>
            </w:rPr>
            <w:fldChar w:fldCharType="separate"/>
          </w:r>
          <w:r>
            <w:rPr>
              <w:color w:val="auto"/>
            </w:rPr>
            <w:t>十六</w:t>
          </w:r>
          <w:r>
            <w:rPr>
              <w:color w:val="auto"/>
              <w:spacing w:val="-10"/>
            </w:rPr>
            <w:t>、</w:t>
          </w:r>
          <w:r>
            <w:rPr>
              <w:color w:val="auto"/>
            </w:rPr>
            <w:t>擅自设立出版物的出版</w:t>
          </w:r>
          <w:r>
            <w:rPr>
              <w:color w:val="auto"/>
              <w:spacing w:val="-10"/>
            </w:rPr>
            <w:t>、</w:t>
          </w:r>
          <w:r>
            <w:rPr>
              <w:color w:val="auto"/>
            </w:rPr>
            <w:t>印刷或者复制</w:t>
          </w:r>
          <w:r>
            <w:rPr>
              <w:color w:val="auto"/>
              <w:spacing w:val="-8"/>
            </w:rPr>
            <w:t>、</w:t>
          </w:r>
          <w:r>
            <w:rPr>
              <w:color w:val="auto"/>
            </w:rPr>
            <w:t>进口单位</w:t>
          </w:r>
          <w:r>
            <w:rPr>
              <w:color w:val="auto"/>
              <w:spacing w:val="-10"/>
            </w:rPr>
            <w:t>，</w:t>
          </w:r>
          <w:r>
            <w:rPr>
              <w:color w:val="auto"/>
            </w:rPr>
            <w:t>或者擅自从事出</w:t>
          </w:r>
          <w:r>
            <w:rPr>
              <w:color w:val="auto"/>
              <w:spacing w:val="-15"/>
            </w:rPr>
            <w:t>版</w:t>
          </w:r>
          <w:r>
            <w:rPr>
              <w:color w:val="auto"/>
              <w:spacing w:val="-15"/>
            </w:rPr>
            <w:fldChar w:fldCharType="end"/>
          </w:r>
          <w:r>
            <w:rPr>
              <w:color w:val="auto"/>
            </w:rPr>
            <w:t>物的出版、印刷或者复制、进口、发行业务</w:t>
          </w:r>
          <w:r>
            <w:rPr>
              <w:color w:val="auto"/>
            </w:rPr>
            <w:tab/>
          </w:r>
          <w:r>
            <w:rPr>
              <w:color w:val="auto"/>
              <w:spacing w:val="-9"/>
            </w:rPr>
            <w:t>38</w:t>
          </w:r>
        </w:p>
        <w:p>
          <w:pPr>
            <w:pStyle w:val="5"/>
            <w:tabs>
              <w:tab w:val="left" w:leader="dot" w:pos="8715"/>
            </w:tabs>
            <w:spacing w:before="1" w:line="374" w:lineRule="auto"/>
            <w:ind w:right="268"/>
            <w:rPr>
              <w:color w:val="auto"/>
            </w:rPr>
          </w:pPr>
          <w:r>
            <w:rPr>
              <w:color w:val="auto"/>
            </w:rPr>
            <w:fldChar w:fldCharType="begin"/>
          </w:r>
          <w:r>
            <w:rPr>
              <w:color w:val="auto"/>
            </w:rPr>
            <w:instrText xml:space="preserve"> HYPERLINK \l "_bookmark67"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 </w:instrText>
          </w:r>
          <w:r>
            <w:rPr>
              <w:color w:val="auto"/>
            </w:rPr>
            <w:fldChar w:fldCharType="separate"/>
          </w:r>
          <w:r>
            <w:rPr>
              <w:color w:val="auto"/>
            </w:rPr>
            <w:t>十七</w:t>
          </w:r>
          <w:r>
            <w:rPr>
              <w:color w:val="auto"/>
              <w:spacing w:val="-8"/>
            </w:rPr>
            <w:t>、</w:t>
          </w:r>
          <w:r>
            <w:rPr>
              <w:color w:val="auto"/>
            </w:rPr>
            <w:t>擅自设立电影片的制片</w:t>
          </w:r>
          <w:r>
            <w:rPr>
              <w:color w:val="auto"/>
              <w:spacing w:val="-8"/>
            </w:rPr>
            <w:t>、</w:t>
          </w:r>
          <w:r>
            <w:rPr>
              <w:color w:val="auto"/>
            </w:rPr>
            <w:t>发行</w:t>
          </w:r>
          <w:r>
            <w:rPr>
              <w:color w:val="auto"/>
              <w:spacing w:val="-8"/>
            </w:rPr>
            <w:t>、</w:t>
          </w:r>
          <w:r>
            <w:rPr>
              <w:color w:val="auto"/>
            </w:rPr>
            <w:t>放映单位</w:t>
          </w:r>
          <w:r>
            <w:rPr>
              <w:color w:val="auto"/>
              <w:spacing w:val="-8"/>
            </w:rPr>
            <w:t>，</w:t>
          </w:r>
          <w:r>
            <w:rPr>
              <w:color w:val="auto"/>
            </w:rPr>
            <w:t>或者擅自从事电影制片</w:t>
          </w:r>
          <w:r>
            <w:rPr>
              <w:color w:val="auto"/>
              <w:spacing w:val="-10"/>
            </w:rPr>
            <w:t>、</w:t>
          </w:r>
          <w:r>
            <w:rPr>
              <w:color w:val="auto"/>
              <w:spacing w:val="-11"/>
            </w:rPr>
            <w:t>进</w:t>
          </w:r>
          <w:r>
            <w:rPr>
              <w:color w:val="auto"/>
              <w:spacing w:val="-11"/>
            </w:rPr>
            <w:fldChar w:fldCharType="end"/>
          </w:r>
          <w:r>
            <w:rPr>
              <w:color w:val="auto"/>
            </w:rPr>
            <w:t>口、发行、放映活动</w:t>
          </w:r>
          <w:r>
            <w:rPr>
              <w:color w:val="auto"/>
            </w:rPr>
            <w:tab/>
          </w:r>
          <w:r>
            <w:rPr>
              <w:color w:val="auto"/>
              <w:spacing w:val="-9"/>
            </w:rPr>
            <w:t>39</w:t>
          </w:r>
        </w:p>
        <w:p>
          <w:pPr>
            <w:pStyle w:val="5"/>
            <w:tabs>
              <w:tab w:val="left" w:leader="dot" w:pos="8715"/>
            </w:tabs>
            <w:spacing w:line="308" w:lineRule="exact"/>
            <w:rPr>
              <w:color w:val="auto"/>
            </w:rPr>
          </w:pPr>
          <w:r>
            <w:rPr>
              <w:color w:val="auto"/>
            </w:rPr>
            <w:fldChar w:fldCharType="begin"/>
          </w:r>
          <w:r>
            <w:rPr>
              <w:color w:val="auto"/>
            </w:rPr>
            <w:instrText xml:space="preserve"> HYPERLINK \l "_bookmark68" </w:instrText>
          </w:r>
          <w:r>
            <w:rPr>
              <w:color w:val="auto"/>
            </w:rPr>
            <w:fldChar w:fldCharType="separate"/>
          </w:r>
          <w:r>
            <w:rPr>
              <w:color w:val="auto"/>
            </w:rPr>
            <w:t>六十八、擅自从事房地产开发经营</w:t>
          </w:r>
          <w:r>
            <w:rPr>
              <w:color w:val="auto"/>
            </w:rPr>
            <w:tab/>
          </w:r>
          <w:r>
            <w:rPr>
              <w:color w:val="auto"/>
            </w:rPr>
            <w:t>40</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"_bookmark69" </w:instrText>
          </w:r>
          <w:r>
            <w:rPr>
              <w:color w:val="auto"/>
            </w:rPr>
            <w:fldChar w:fldCharType="separate"/>
          </w:r>
          <w:r>
            <w:rPr>
              <w:color w:val="auto"/>
            </w:rPr>
            <w:t>六十九、违规买卖重点保护古生物化石</w:t>
          </w:r>
          <w:r>
            <w:rPr>
              <w:color w:val="auto"/>
            </w:rPr>
            <w:tab/>
          </w:r>
          <w:r>
            <w:rPr>
              <w:color w:val="auto"/>
            </w:rPr>
            <w:t>40</w:t>
          </w:r>
          <w:r>
            <w:rPr>
              <w:color w:val="auto"/>
            </w:rPr>
            <w:fldChar w:fldCharType="end"/>
          </w:r>
        </w:p>
        <w:p>
          <w:pPr>
            <w:pStyle w:val="5"/>
            <w:tabs>
              <w:tab w:val="left" w:leader="dot" w:pos="8715"/>
            </w:tabs>
            <w:spacing w:before="172" w:after="59"/>
            <w:rPr>
              <w:color w:val="auto"/>
            </w:rPr>
          </w:pPr>
          <w:r>
            <w:rPr>
              <w:color w:val="auto"/>
            </w:rPr>
            <w:fldChar w:fldCharType="begin"/>
          </w:r>
          <w:r>
            <w:rPr>
              <w:color w:val="auto"/>
            </w:rPr>
            <w:instrText xml:space="preserve"> HYPERLINK \l "_bookmark70" </w:instrText>
          </w:r>
          <w:r>
            <w:rPr>
              <w:color w:val="auto"/>
            </w:rPr>
            <w:fldChar w:fldCharType="separate"/>
          </w:r>
          <w:r>
            <w:rPr>
              <w:color w:val="auto"/>
            </w:rPr>
            <w:t>七十、农民专业合作社违反规定不办理变更登记等违法行为</w:t>
          </w:r>
          <w:r>
            <w:rPr>
              <w:color w:val="auto"/>
            </w:rPr>
            <w:tab/>
          </w:r>
          <w:r>
            <w:rPr>
              <w:color w:val="auto"/>
            </w:rPr>
            <w:t>41</w:t>
          </w:r>
          <w:r>
            <w:rPr>
              <w:color w:val="auto"/>
            </w:rPr>
            <w:fldChar w:fldCharType="end"/>
          </w:r>
        </w:p>
        <w:p>
          <w:pPr>
            <w:pStyle w:val="8"/>
            <w:tabs>
              <w:tab w:val="left" w:pos="1651"/>
              <w:tab w:val="left" w:leader="dot" w:pos="8683"/>
            </w:tabs>
            <w:spacing w:before="22" w:line="486" w:lineRule="exact"/>
            <w:rPr>
              <w:color w:val="auto"/>
            </w:rPr>
          </w:pPr>
          <w:r>
            <w:rPr>
              <w:color w:val="auto"/>
            </w:rPr>
            <w:fldChar w:fldCharType="begin"/>
          </w:r>
          <w:r>
            <w:rPr>
              <w:color w:val="auto"/>
            </w:rPr>
            <w:instrText xml:space="preserve"> HYPERLINK \l "_bookmark71" </w:instrText>
          </w:r>
          <w:r>
            <w:rPr>
              <w:color w:val="auto"/>
            </w:rPr>
            <w:fldChar w:fldCharType="separate"/>
          </w:r>
          <w:r>
            <w:rPr>
              <w:color w:val="auto"/>
              <w:spacing w:val="-13"/>
            </w:rPr>
            <w:t>第二</w:t>
          </w:r>
          <w:r>
            <w:rPr>
              <w:color w:val="auto"/>
            </w:rPr>
            <w:t>章</w:t>
          </w:r>
          <w:r>
            <w:rPr>
              <w:color w:val="auto"/>
            </w:rPr>
            <w:tab/>
          </w:r>
          <w:r>
            <w:rPr>
              <w:color w:val="auto"/>
              <w:spacing w:val="-13"/>
            </w:rPr>
            <w:t>市场规范</w:t>
          </w:r>
          <w:r>
            <w:rPr>
              <w:color w:val="auto"/>
              <w:spacing w:val="-10"/>
            </w:rPr>
            <w:t>管</w:t>
          </w:r>
          <w:r>
            <w:rPr>
              <w:color w:val="auto"/>
            </w:rPr>
            <w:t>理</w:t>
          </w:r>
          <w:r>
            <w:rPr>
              <w:color w:val="auto"/>
            </w:rPr>
            <w:tab/>
          </w:r>
          <w:r>
            <w:rPr>
              <w:color w:val="auto"/>
            </w:rPr>
            <w:t>41</w:t>
          </w:r>
          <w:r>
            <w:rPr>
              <w:color w:val="auto"/>
            </w:rPr>
            <w:fldChar w:fldCharType="end"/>
          </w:r>
        </w:p>
        <w:p>
          <w:pPr>
            <w:pStyle w:val="5"/>
            <w:tabs>
              <w:tab w:val="left" w:leader="dot" w:pos="8715"/>
            </w:tabs>
            <w:spacing w:before="99"/>
            <w:rPr>
              <w:color w:val="auto"/>
            </w:rPr>
          </w:pPr>
          <w:r>
            <w:rPr>
              <w:color w:val="auto"/>
            </w:rPr>
            <w:fldChar w:fldCharType="begin"/>
          </w:r>
          <w:r>
            <w:rPr>
              <w:color w:val="auto"/>
            </w:rPr>
            <w:instrText xml:space="preserve"> HYPERLINK \l "_bookmark72" </w:instrText>
          </w:r>
          <w:r>
            <w:rPr>
              <w:color w:val="auto"/>
            </w:rPr>
            <w:fldChar w:fldCharType="separate"/>
          </w:r>
          <w:r>
            <w:rPr>
              <w:color w:val="auto"/>
            </w:rPr>
            <w:t>七十一、出售、收购国家重点保护野生植物</w:t>
          </w:r>
          <w:r>
            <w:rPr>
              <w:color w:val="auto"/>
            </w:rPr>
            <w:tab/>
          </w:r>
          <w:r>
            <w:rPr>
              <w:color w:val="auto"/>
            </w:rPr>
            <w:t>42</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"_bookmark73" </w:instrText>
          </w:r>
          <w:r>
            <w:rPr>
              <w:color w:val="auto"/>
            </w:rPr>
            <w:fldChar w:fldCharType="separate"/>
          </w:r>
          <w:r>
            <w:rPr>
              <w:color w:val="auto"/>
              <w:spacing w:val="-22"/>
            </w:rPr>
            <w:t>七十</w:t>
          </w:r>
          <w:r>
            <w:rPr>
              <w:color w:val="auto"/>
              <w:spacing w:val="-24"/>
            </w:rPr>
            <w:t>二</w:t>
          </w:r>
          <w:r>
            <w:rPr>
              <w:color w:val="auto"/>
              <w:spacing w:val="-22"/>
            </w:rPr>
            <w:t>、伪造、倒</w:t>
          </w:r>
          <w:r>
            <w:rPr>
              <w:color w:val="auto"/>
              <w:spacing w:val="-24"/>
            </w:rPr>
            <w:t>卖</w:t>
          </w:r>
          <w:r>
            <w:rPr>
              <w:color w:val="auto"/>
              <w:spacing w:val="-22"/>
            </w:rPr>
            <w:t>、转让采集</w:t>
          </w:r>
          <w:r>
            <w:rPr>
              <w:color w:val="auto"/>
              <w:spacing w:val="-24"/>
            </w:rPr>
            <w:t>证</w:t>
          </w:r>
          <w:r>
            <w:rPr>
              <w:color w:val="auto"/>
              <w:spacing w:val="-22"/>
            </w:rPr>
            <w:t>、允许进出</w:t>
          </w:r>
          <w:r>
            <w:rPr>
              <w:color w:val="auto"/>
              <w:spacing w:val="-24"/>
            </w:rPr>
            <w:t>口</w:t>
          </w:r>
          <w:r>
            <w:rPr>
              <w:color w:val="auto"/>
              <w:spacing w:val="-22"/>
            </w:rPr>
            <w:t>证明书或者</w:t>
          </w:r>
          <w:r>
            <w:rPr>
              <w:color w:val="auto"/>
              <w:spacing w:val="-24"/>
            </w:rPr>
            <w:t>有</w:t>
          </w:r>
          <w:r>
            <w:rPr>
              <w:color w:val="auto"/>
              <w:spacing w:val="-22"/>
            </w:rPr>
            <w:t>关批准文件</w:t>
          </w:r>
          <w:r>
            <w:rPr>
              <w:color w:val="auto"/>
              <w:spacing w:val="-24"/>
            </w:rPr>
            <w:t>、</w:t>
          </w:r>
          <w:r>
            <w:rPr>
              <w:color w:val="auto"/>
              <w:spacing w:val="-22"/>
            </w:rPr>
            <w:t>标签</w:t>
          </w:r>
          <w:r>
            <w:rPr>
              <w:color w:val="auto"/>
              <w:spacing w:val="-22"/>
            </w:rPr>
            <w:tab/>
          </w:r>
          <w:r>
            <w:rPr>
              <w:color w:val="auto"/>
            </w:rPr>
            <w:t>42</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"_bookmark74" </w:instrText>
          </w:r>
          <w:r>
            <w:rPr>
              <w:color w:val="auto"/>
            </w:rPr>
            <w:fldChar w:fldCharType="separate"/>
          </w:r>
          <w:r>
            <w:rPr>
              <w:color w:val="auto"/>
            </w:rPr>
            <w:t>七十三、非法经营、出口野生药材</w:t>
          </w:r>
          <w:r>
            <w:rPr>
              <w:color w:val="auto"/>
            </w:rPr>
            <w:tab/>
          </w:r>
          <w:r>
            <w:rPr>
              <w:color w:val="auto"/>
            </w:rPr>
            <w:t>43</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"_bookmark75" </w:instrText>
          </w:r>
          <w:r>
            <w:rPr>
              <w:color w:val="auto"/>
            </w:rPr>
            <w:fldChar w:fldCharType="separate"/>
          </w:r>
          <w:r>
            <w:rPr>
              <w:color w:val="auto"/>
            </w:rPr>
            <w:t>七十四、未经许可经营旅行社业务</w:t>
          </w:r>
          <w:r>
            <w:rPr>
              <w:color w:val="auto"/>
            </w:rPr>
            <w:tab/>
          </w:r>
          <w:r>
            <w:rPr>
              <w:color w:val="auto"/>
            </w:rPr>
            <w:t>44</w:t>
          </w:r>
          <w:r>
            <w:rPr>
              <w:color w:val="auto"/>
            </w:rPr>
            <w:fldChar w:fldCharType="end"/>
          </w:r>
        </w:p>
        <w:p>
          <w:pPr>
            <w:pStyle w:val="5"/>
            <w:tabs>
              <w:tab w:val="left" w:leader="dot" w:pos="8715"/>
            </w:tabs>
            <w:spacing w:before="173" w:line="374" w:lineRule="auto"/>
            <w:ind w:right="268"/>
            <w:jc w:val="both"/>
            <w:rPr>
              <w:color w:val="auto"/>
            </w:rPr>
          </w:pPr>
          <w:r>
            <w:rPr>
              <w:color w:val="auto"/>
            </w:rPr>
            <w:fldChar w:fldCharType="begin"/>
          </w:r>
          <w:r>
            <w:rPr>
              <w:color w:val="auto"/>
            </w:rPr>
            <w:instrText xml:space="preserve"> HYPERLINK \l "_bookmark76"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"_bookmark76" </w:instrText>
          </w:r>
          <w:r>
            <w:rPr>
              <w:color w:val="auto"/>
            </w:rPr>
            <w:fldChar w:fldCharType="separate"/>
          </w:r>
          <w:r>
            <w:rPr>
              <w:color w:val="auto"/>
            </w:rPr>
            <w:t>十五</w:t>
          </w:r>
          <w:r>
            <w:rPr>
              <w:color w:val="auto"/>
              <w:spacing w:val="-10"/>
            </w:rPr>
            <w:t>、</w:t>
          </w:r>
          <w:r>
            <w:rPr>
              <w:color w:val="auto"/>
            </w:rPr>
            <w:t>未经许可经营国内旅游业务</w:t>
          </w:r>
          <w:r>
            <w:rPr>
              <w:color w:val="auto"/>
              <w:spacing w:val="-10"/>
            </w:rPr>
            <w:t>、</w:t>
          </w:r>
          <w:r>
            <w:rPr>
              <w:color w:val="auto"/>
            </w:rPr>
            <w:t>入境旅游业务</w:t>
          </w:r>
          <w:r>
            <w:rPr>
              <w:color w:val="auto"/>
              <w:spacing w:val="-8"/>
            </w:rPr>
            <w:t>、</w:t>
          </w:r>
          <w:r>
            <w:rPr>
              <w:color w:val="auto"/>
            </w:rPr>
            <w:t>出境旅游业务的</w:t>
          </w:r>
          <w:r>
            <w:rPr>
              <w:color w:val="auto"/>
              <w:spacing w:val="-10"/>
            </w:rPr>
            <w:t>，</w:t>
          </w:r>
          <w:r>
            <w:rPr>
              <w:color w:val="auto"/>
            </w:rPr>
            <w:t>分社</w:t>
          </w:r>
          <w:r>
            <w:rPr>
              <w:color w:val="auto"/>
              <w:spacing w:val="-15"/>
            </w:rPr>
            <w:t>的</w:t>
          </w:r>
          <w:r>
            <w:rPr>
              <w:color w:val="auto"/>
              <w:spacing w:val="-15"/>
            </w:rPr>
            <w:fldChar w:fldCharType="end"/>
          </w:r>
          <w:r>
            <w:rPr>
              <w:color w:val="auto"/>
            </w:rPr>
            <w:t>经营范围超出设立分社的旅行社的经营范围的</w:t>
          </w:r>
          <w:r>
            <w:rPr>
              <w:color w:val="auto"/>
              <w:spacing w:val="-20"/>
            </w:rPr>
            <w:t>，</w:t>
          </w:r>
          <w:r>
            <w:rPr>
              <w:color w:val="auto"/>
            </w:rPr>
            <w:t>旅行社服务网点从事招徕</w:t>
          </w:r>
          <w:r>
            <w:rPr>
              <w:color w:val="auto"/>
              <w:spacing w:val="-17"/>
            </w:rPr>
            <w:t>、</w:t>
          </w:r>
          <w:r>
            <w:rPr>
              <w:color w:val="auto"/>
            </w:rPr>
            <w:t>咨</w:t>
          </w:r>
          <w:r>
            <w:rPr>
              <w:color w:val="auto"/>
              <w:spacing w:val="-16"/>
            </w:rPr>
            <w:t>询</w:t>
          </w:r>
          <w:r>
            <w:rPr>
              <w:color w:val="auto"/>
            </w:rPr>
            <w:t>以外的活动</w:t>
          </w:r>
          <w:r>
            <w:rPr>
              <w:color w:val="auto"/>
            </w:rPr>
            <w:tab/>
          </w:r>
          <w:r>
            <w:rPr>
              <w:color w:val="auto"/>
              <w:spacing w:val="-9"/>
            </w:rPr>
            <w:t>45</w:t>
          </w:r>
        </w:p>
        <w:p>
          <w:pPr>
            <w:pStyle w:val="5"/>
            <w:tabs>
              <w:tab w:val="left" w:leader="dot" w:pos="8715"/>
            </w:tabs>
            <w:spacing w:before="1" w:line="374" w:lineRule="auto"/>
            <w:ind w:right="148"/>
            <w:rPr>
              <w:color w:val="auto"/>
            </w:rPr>
          </w:pPr>
          <w:r>
            <w:rPr>
              <w:color w:val="auto"/>
            </w:rPr>
            <w:fldChar w:fldCharType="begin"/>
          </w:r>
          <w:r>
            <w:rPr>
              <w:color w:val="auto"/>
            </w:rPr>
            <w:instrText xml:space="preserve"> HYPERLINK \l "_bookmark77"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"_bookmark77" </w:instrText>
          </w:r>
          <w:r>
            <w:rPr>
              <w:color w:val="auto"/>
            </w:rPr>
            <w:fldChar w:fldCharType="separate"/>
          </w:r>
          <w:r>
            <w:rPr>
              <w:color w:val="auto"/>
            </w:rPr>
            <w:t>十六</w:t>
          </w:r>
          <w:r>
            <w:rPr>
              <w:color w:val="auto"/>
              <w:spacing w:val="-80"/>
            </w:rPr>
            <w:t>、</w:t>
          </w:r>
          <w:r>
            <w:rPr>
              <w:color w:val="auto"/>
            </w:rPr>
            <w:t>拒不履行旅游合同约定的义务</w:t>
          </w:r>
          <w:r>
            <w:rPr>
              <w:color w:val="auto"/>
              <w:spacing w:val="-77"/>
            </w:rPr>
            <w:t>，</w:t>
          </w:r>
          <w:r>
            <w:rPr>
              <w:color w:val="auto"/>
            </w:rPr>
            <w:t>非因不可抗力改变旅游合同安排的行程</w:t>
          </w:r>
          <w:r>
            <w:rPr>
              <w:color w:val="auto"/>
              <w:spacing w:val="-16"/>
            </w:rPr>
            <w:t xml:space="preserve">， </w:t>
          </w:r>
          <w:r>
            <w:rPr>
              <w:color w:val="auto"/>
              <w:spacing w:val="-16"/>
            </w:rPr>
            <w:fldChar w:fldCharType="end"/>
          </w:r>
          <w:r>
            <w:rPr>
              <w:color w:val="auto"/>
            </w:rPr>
            <w:t>欺骗、胁迫旅游者购物或者参加需要另行付费的游览项目</w:t>
          </w:r>
          <w:r>
            <w:rPr>
              <w:color w:val="auto"/>
            </w:rPr>
            <w:tab/>
          </w:r>
          <w:r>
            <w:rPr>
              <w:color w:val="auto"/>
            </w:rPr>
            <w:t>46</w:t>
          </w:r>
        </w:p>
        <w:p>
          <w:pPr>
            <w:pStyle w:val="5"/>
            <w:tabs>
              <w:tab w:val="left" w:leader="dot" w:pos="8715"/>
            </w:tabs>
            <w:spacing w:line="374" w:lineRule="auto"/>
            <w:ind w:right="268"/>
            <w:rPr>
              <w:color w:val="auto"/>
            </w:rPr>
          </w:pPr>
          <w:r>
            <w:rPr>
              <w:color w:val="auto"/>
            </w:rPr>
            <w:fldChar w:fldCharType="begin"/>
          </w:r>
          <w:r>
            <w:rPr>
              <w:color w:val="auto"/>
            </w:rPr>
            <w:instrText xml:space="preserve"> HYPERLINK \l "_bookmark78"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"_bookmark78" </w:instrText>
          </w:r>
          <w:r>
            <w:rPr>
              <w:color w:val="auto"/>
            </w:rPr>
            <w:fldChar w:fldCharType="separate"/>
          </w:r>
          <w:r>
            <w:rPr>
              <w:color w:val="auto"/>
            </w:rPr>
            <w:t>十七</w:t>
          </w:r>
          <w:r>
            <w:rPr>
              <w:color w:val="auto"/>
              <w:spacing w:val="-36"/>
            </w:rPr>
            <w:t>、</w:t>
          </w:r>
          <w:r>
            <w:rPr>
              <w:color w:val="auto"/>
            </w:rPr>
            <w:t>旅行社违反旅游合同约定造成旅游者合法权益受到损害不采取必要的</w:t>
          </w:r>
          <w:r>
            <w:rPr>
              <w:color w:val="auto"/>
              <w:spacing w:val="-17"/>
            </w:rPr>
            <w:t>补</w:t>
          </w:r>
          <w:r>
            <w:rPr>
              <w:color w:val="auto"/>
              <w:spacing w:val="-17"/>
            </w:rPr>
            <w:fldChar w:fldCharType="end"/>
          </w:r>
          <w:r>
            <w:rPr>
              <w:color w:val="auto"/>
            </w:rPr>
            <w:t>救措施</w:t>
          </w:r>
          <w:r>
            <w:rPr>
              <w:color w:val="auto"/>
            </w:rPr>
            <w:tab/>
          </w:r>
          <w:r>
            <w:rPr>
              <w:color w:val="auto"/>
              <w:spacing w:val="-9"/>
            </w:rPr>
            <w:t>47</w:t>
          </w:r>
        </w:p>
        <w:p>
          <w:pPr>
            <w:pStyle w:val="5"/>
            <w:tabs>
              <w:tab w:val="left" w:leader="dot" w:pos="8715"/>
            </w:tabs>
            <w:spacing w:line="308" w:lineRule="exact"/>
            <w:rPr>
              <w:color w:val="auto"/>
            </w:rPr>
          </w:pPr>
          <w:r>
            <w:rPr>
              <w:color w:val="auto"/>
            </w:rPr>
            <w:fldChar w:fldCharType="begin"/>
          </w:r>
          <w:r>
            <w:rPr>
              <w:color w:val="auto"/>
            </w:rPr>
            <w:instrText xml:space="preserve"> HYPERLINK \l "_bookmark79" </w:instrText>
          </w:r>
          <w:r>
            <w:rPr>
              <w:color w:val="auto"/>
            </w:rPr>
            <w:fldChar w:fldCharType="separate"/>
          </w:r>
          <w:r>
            <w:rPr>
              <w:color w:val="auto"/>
            </w:rPr>
            <w:t>七十八、旅行社进行虚假宣传误导旅游者</w:t>
          </w:r>
          <w:r>
            <w:rPr>
              <w:color w:val="auto"/>
            </w:rPr>
            <w:tab/>
          </w:r>
          <w:r>
            <w:rPr>
              <w:color w:val="auto"/>
            </w:rPr>
            <w:t>47</w:t>
          </w:r>
          <w:r>
            <w:rPr>
              <w:color w:val="auto"/>
            </w:rPr>
            <w:fldChar w:fldCharType="end"/>
          </w:r>
        </w:p>
        <w:p>
          <w:pPr>
            <w:pStyle w:val="5"/>
            <w:tabs>
              <w:tab w:val="left" w:leader="dot" w:pos="8715"/>
            </w:tabs>
            <w:spacing w:before="173" w:line="374" w:lineRule="auto"/>
            <w:ind w:right="268"/>
            <w:rPr>
              <w:color w:val="auto"/>
            </w:rPr>
          </w:pPr>
          <w:r>
            <w:rPr>
              <w:color w:val="auto"/>
            </w:rPr>
            <w:fldChar w:fldCharType="begin"/>
          </w:r>
          <w:r>
            <w:rPr>
              <w:color w:val="auto"/>
            </w:rPr>
            <w:instrText xml:space="preserve"> HYPERLINK \l "_bookmark80"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"_bookmark80" </w:instrText>
          </w:r>
          <w:r>
            <w:rPr>
              <w:color w:val="auto"/>
            </w:rPr>
            <w:fldChar w:fldCharType="separate"/>
          </w:r>
          <w:r>
            <w:rPr>
              <w:color w:val="auto"/>
            </w:rPr>
            <w:t>十九</w:t>
          </w:r>
          <w:r>
            <w:rPr>
              <w:color w:val="auto"/>
              <w:spacing w:val="-20"/>
            </w:rPr>
            <w:t>、</w:t>
          </w:r>
          <w:r>
            <w:rPr>
              <w:color w:val="auto"/>
            </w:rPr>
            <w:t>危险化学品经营企业向未经许可违法从事危险化学品生产</w:t>
          </w:r>
          <w:r>
            <w:rPr>
              <w:color w:val="auto"/>
              <w:spacing w:val="-17"/>
            </w:rPr>
            <w:t>、</w:t>
          </w:r>
          <w:r>
            <w:rPr>
              <w:color w:val="auto"/>
            </w:rPr>
            <w:t>经营活动</w:t>
          </w:r>
          <w:r>
            <w:rPr>
              <w:color w:val="auto"/>
              <w:spacing w:val="-16"/>
            </w:rPr>
            <w:t>的</w:t>
          </w:r>
          <w:r>
            <w:rPr>
              <w:color w:val="auto"/>
              <w:spacing w:val="-16"/>
            </w:rPr>
            <w:fldChar w:fldCharType="end"/>
          </w:r>
          <w:r>
            <w:rPr>
              <w:color w:val="auto"/>
            </w:rPr>
            <w:t>企业采购危险化学品</w:t>
          </w:r>
          <w:r>
            <w:rPr>
              <w:color w:val="auto"/>
            </w:rPr>
            <w:tab/>
          </w:r>
          <w:r>
            <w:rPr>
              <w:color w:val="auto"/>
              <w:spacing w:val="-9"/>
            </w:rPr>
            <w:t>48</w:t>
          </w:r>
        </w:p>
        <w:p>
          <w:pPr>
            <w:pStyle w:val="5"/>
            <w:tabs>
              <w:tab w:val="left" w:leader="dot" w:pos="8715"/>
            </w:tabs>
            <w:spacing w:line="374" w:lineRule="auto"/>
            <w:ind w:right="268"/>
            <w:jc w:val="both"/>
            <w:rPr>
              <w:color w:val="auto"/>
            </w:rPr>
          </w:pPr>
          <w:r>
            <w:rPr>
              <w:color w:val="auto"/>
            </w:rPr>
            <w:fldChar w:fldCharType="begin"/>
          </w:r>
          <w:r>
            <w:rPr>
              <w:color w:val="auto"/>
            </w:rPr>
            <w:instrText xml:space="preserve"> HYPERLINK \l "_bookmark81" </w:instrText>
          </w:r>
          <w:r>
            <w:rPr>
              <w:color w:val="auto"/>
            </w:rPr>
            <w:fldChar w:fldCharType="separate"/>
          </w:r>
          <w:r>
            <w:rPr>
              <w:color w:val="auto"/>
            </w:rPr>
            <w:t>八</w:t>
          </w:r>
          <w:r>
            <w:rPr>
              <w:color w:val="auto"/>
            </w:rPr>
            <w:fldChar w:fldCharType="end"/>
          </w:r>
          <w:r>
            <w:rPr>
              <w:color w:val="auto"/>
            </w:rPr>
            <w:fldChar w:fldCharType="begin"/>
          </w:r>
          <w:r>
            <w:rPr>
              <w:color w:val="auto"/>
            </w:rPr>
            <w:instrText xml:space="preserve"> HYPERLINK \l "_bookmark81" </w:instrText>
          </w:r>
          <w:r>
            <w:rPr>
              <w:color w:val="auto"/>
            </w:rPr>
            <w:fldChar w:fldCharType="separate"/>
          </w:r>
          <w:r>
            <w:rPr>
              <w:color w:val="auto"/>
            </w:rPr>
            <w:t>十</w:t>
          </w:r>
          <w:r>
            <w:rPr>
              <w:color w:val="auto"/>
              <w:spacing w:val="-20"/>
            </w:rPr>
            <w:t>、</w:t>
          </w:r>
          <w:r>
            <w:rPr>
              <w:color w:val="auto"/>
            </w:rPr>
            <w:t>商品零售场所以低于经营成本销售塑料购物袋</w:t>
          </w:r>
          <w:r>
            <w:rPr>
              <w:color w:val="auto"/>
              <w:spacing w:val="-17"/>
            </w:rPr>
            <w:t>，</w:t>
          </w:r>
          <w:r>
            <w:rPr>
              <w:color w:val="auto"/>
            </w:rPr>
            <w:t>不标明价格或不按规定</w:t>
          </w:r>
          <w:r>
            <w:rPr>
              <w:color w:val="auto"/>
              <w:spacing w:val="-16"/>
            </w:rPr>
            <w:t>的</w:t>
          </w:r>
          <w:r>
            <w:rPr>
              <w:color w:val="auto"/>
              <w:spacing w:val="-16"/>
            </w:rPr>
            <w:fldChar w:fldCharType="end"/>
          </w:r>
          <w:r>
            <w:rPr>
              <w:color w:val="auto"/>
            </w:rPr>
            <w:t>内容方式标明价格销售塑料购物袋</w:t>
          </w:r>
          <w:r>
            <w:rPr>
              <w:color w:val="auto"/>
              <w:spacing w:val="-36"/>
            </w:rPr>
            <w:t>，</w:t>
          </w:r>
          <w:r>
            <w:rPr>
              <w:color w:val="auto"/>
            </w:rPr>
            <w:t>采取打折或其他方式不按标示的价格向消</w:t>
          </w:r>
          <w:r>
            <w:rPr>
              <w:color w:val="auto"/>
              <w:spacing w:val="-17"/>
            </w:rPr>
            <w:t>费</w:t>
          </w:r>
          <w:r>
            <w:rPr>
              <w:color w:val="auto"/>
            </w:rPr>
            <w:t>者销售塑料购物袋</w:t>
          </w:r>
          <w:r>
            <w:rPr>
              <w:color w:val="auto"/>
              <w:spacing w:val="-20"/>
            </w:rPr>
            <w:t>，</w:t>
          </w:r>
          <w:r>
            <w:rPr>
              <w:color w:val="auto"/>
            </w:rPr>
            <w:t>向消费者无偿或变相无偿提供塑料购物袋</w:t>
          </w:r>
          <w:r>
            <w:rPr>
              <w:color w:val="auto"/>
              <w:spacing w:val="-17"/>
            </w:rPr>
            <w:t>，</w:t>
          </w:r>
          <w:r>
            <w:rPr>
              <w:color w:val="auto"/>
            </w:rPr>
            <w:t>未在销售凭证</w:t>
          </w:r>
          <w:r>
            <w:rPr>
              <w:color w:val="auto"/>
              <w:spacing w:val="-16"/>
            </w:rPr>
            <w:t>上</w:t>
          </w:r>
          <w:r>
            <w:rPr>
              <w:color w:val="auto"/>
            </w:rPr>
            <w:t>单独列示消费者购买塑料购物袋的数量、单价和款项</w:t>
          </w:r>
          <w:r>
            <w:rPr>
              <w:color w:val="auto"/>
            </w:rPr>
            <w:tab/>
          </w:r>
          <w:r>
            <w:rPr>
              <w:color w:val="auto"/>
              <w:spacing w:val="-9"/>
            </w:rPr>
            <w:t>48</w:t>
          </w:r>
        </w:p>
        <w:p>
          <w:pPr>
            <w:pStyle w:val="5"/>
            <w:tabs>
              <w:tab w:val="left" w:leader="dot" w:pos="8715"/>
            </w:tabs>
            <w:spacing w:before="2" w:line="374" w:lineRule="auto"/>
            <w:ind w:right="268"/>
            <w:rPr>
              <w:color w:val="auto"/>
            </w:rPr>
          </w:pPr>
          <w:r>
            <w:rPr>
              <w:color w:val="auto"/>
            </w:rPr>
            <w:fldChar w:fldCharType="begin"/>
          </w:r>
          <w:r>
            <w:rPr>
              <w:color w:val="auto"/>
            </w:rPr>
            <w:instrText xml:space="preserve"> HYPERLINK \l "_bookmark82" </w:instrText>
          </w:r>
          <w:r>
            <w:rPr>
              <w:color w:val="auto"/>
            </w:rPr>
            <w:fldChar w:fldCharType="separate"/>
          </w:r>
          <w:r>
            <w:rPr>
              <w:color w:val="auto"/>
            </w:rPr>
            <w:t>八</w:t>
          </w:r>
          <w:r>
            <w:rPr>
              <w:color w:val="auto"/>
            </w:rPr>
            <w:fldChar w:fldCharType="end"/>
          </w:r>
          <w:r>
            <w:rPr>
              <w:color w:val="auto"/>
            </w:rPr>
            <w:fldChar w:fldCharType="begin"/>
          </w:r>
          <w:r>
            <w:rPr>
              <w:color w:val="auto"/>
            </w:rPr>
            <w:instrText xml:space="preserve"> HYPERLINK \l "_bookmark82" </w:instrText>
          </w:r>
          <w:r>
            <w:rPr>
              <w:color w:val="auto"/>
            </w:rPr>
            <w:fldChar w:fldCharType="separate"/>
          </w:r>
          <w:r>
            <w:rPr>
              <w:color w:val="auto"/>
            </w:rPr>
            <w:t>十一</w:t>
          </w:r>
          <w:r>
            <w:rPr>
              <w:color w:val="auto"/>
              <w:spacing w:val="-20"/>
            </w:rPr>
            <w:t>、</w:t>
          </w:r>
          <w:r>
            <w:rPr>
              <w:color w:val="auto"/>
            </w:rPr>
            <w:t>商品零售场所未向依法设立的塑料购物袋生产厂家</w:t>
          </w:r>
          <w:r>
            <w:rPr>
              <w:color w:val="auto"/>
              <w:spacing w:val="-17"/>
            </w:rPr>
            <w:t>、</w:t>
          </w:r>
          <w:r>
            <w:rPr>
              <w:color w:val="auto"/>
            </w:rPr>
            <w:t>批发商或进口商</w:t>
          </w:r>
          <w:r>
            <w:rPr>
              <w:color w:val="auto"/>
              <w:spacing w:val="-16"/>
            </w:rPr>
            <w:t>采</w:t>
          </w:r>
          <w:r>
            <w:rPr>
              <w:color w:val="auto"/>
              <w:spacing w:val="-16"/>
            </w:rPr>
            <w:fldChar w:fldCharType="end"/>
          </w:r>
          <w:r>
            <w:rPr>
              <w:color w:val="auto"/>
            </w:rPr>
            <w:t>购塑料购物袋，未索取相关证照，未建立塑料购物袋购销台账</w:t>
          </w:r>
          <w:r>
            <w:rPr>
              <w:color w:val="auto"/>
            </w:rPr>
            <w:tab/>
          </w:r>
          <w:r>
            <w:rPr>
              <w:color w:val="auto"/>
              <w:spacing w:val="-9"/>
            </w:rPr>
            <w:t>49</w:t>
          </w:r>
        </w:p>
        <w:p>
          <w:pPr>
            <w:pStyle w:val="5"/>
            <w:tabs>
              <w:tab w:val="left" w:leader="dot" w:pos="8715"/>
            </w:tabs>
            <w:spacing w:line="374" w:lineRule="auto"/>
            <w:ind w:right="268"/>
            <w:rPr>
              <w:color w:val="auto"/>
            </w:rPr>
          </w:pPr>
          <w:r>
            <w:rPr>
              <w:color w:val="auto"/>
            </w:rPr>
            <w:fldChar w:fldCharType="begin"/>
          </w:r>
          <w:r>
            <w:rPr>
              <w:color w:val="auto"/>
            </w:rPr>
            <w:instrText xml:space="preserve"> HYPERLINK \l "_bookmark83" </w:instrText>
          </w:r>
          <w:r>
            <w:rPr>
              <w:color w:val="auto"/>
            </w:rPr>
            <w:fldChar w:fldCharType="separate"/>
          </w:r>
          <w:r>
            <w:rPr>
              <w:color w:val="auto"/>
            </w:rPr>
            <w:t>八</w:t>
          </w:r>
          <w:r>
            <w:rPr>
              <w:color w:val="auto"/>
            </w:rPr>
            <w:fldChar w:fldCharType="end"/>
          </w:r>
          <w:r>
            <w:rPr>
              <w:color w:val="auto"/>
            </w:rPr>
            <w:fldChar w:fldCharType="begin"/>
          </w:r>
          <w:r>
            <w:rPr>
              <w:color w:val="auto"/>
            </w:rPr>
            <w:instrText xml:space="preserve"> HYPERLINK \l "_bookmark83" </w:instrText>
          </w:r>
          <w:r>
            <w:rPr>
              <w:color w:val="auto"/>
            </w:rPr>
            <w:fldChar w:fldCharType="separate"/>
          </w:r>
          <w:r>
            <w:rPr>
              <w:color w:val="auto"/>
            </w:rPr>
            <w:t>十二</w:t>
          </w:r>
          <w:r>
            <w:rPr>
              <w:color w:val="auto"/>
              <w:spacing w:val="-12"/>
            </w:rPr>
            <w:t>、</w:t>
          </w:r>
          <w:r>
            <w:rPr>
              <w:color w:val="auto"/>
            </w:rPr>
            <w:t>擅自设立文物商店</w:t>
          </w:r>
          <w:r>
            <w:rPr>
              <w:color w:val="auto"/>
              <w:spacing w:val="-12"/>
            </w:rPr>
            <w:t>、</w:t>
          </w:r>
          <w:r>
            <w:rPr>
              <w:color w:val="auto"/>
            </w:rPr>
            <w:t>经营文物拍卖的拍卖企业</w:t>
          </w:r>
          <w:r>
            <w:rPr>
              <w:color w:val="auto"/>
              <w:spacing w:val="-12"/>
            </w:rPr>
            <w:t>，</w:t>
          </w:r>
          <w:r>
            <w:rPr>
              <w:color w:val="auto"/>
            </w:rPr>
            <w:t>或者擅自从事文物的</w:t>
          </w:r>
          <w:r>
            <w:rPr>
              <w:color w:val="auto"/>
              <w:spacing w:val="-17"/>
            </w:rPr>
            <w:t>商</w:t>
          </w:r>
          <w:r>
            <w:rPr>
              <w:color w:val="auto"/>
              <w:spacing w:val="-17"/>
            </w:rPr>
            <w:fldChar w:fldCharType="end"/>
          </w:r>
          <w:r>
            <w:rPr>
              <w:color w:val="auto"/>
            </w:rPr>
            <w:t>业经营活动</w:t>
          </w:r>
          <w:r>
            <w:rPr>
              <w:color w:val="auto"/>
            </w:rPr>
            <w:tab/>
          </w:r>
          <w:r>
            <w:rPr>
              <w:color w:val="auto"/>
              <w:spacing w:val="-9"/>
            </w:rPr>
            <w:t>50</w:t>
          </w:r>
        </w:p>
        <w:p>
          <w:pPr>
            <w:pStyle w:val="5"/>
            <w:tabs>
              <w:tab w:val="left" w:leader="dot" w:pos="8715"/>
            </w:tabs>
            <w:spacing w:before="1" w:line="374" w:lineRule="auto"/>
            <w:ind w:right="268"/>
            <w:jc w:val="both"/>
            <w:rPr>
              <w:color w:val="auto"/>
            </w:rPr>
          </w:pPr>
          <w:r>
            <w:rPr>
              <w:color w:val="auto"/>
            </w:rPr>
            <w:fldChar w:fldCharType="begin"/>
          </w:r>
          <w:r>
            <w:rPr>
              <w:color w:val="auto"/>
            </w:rPr>
            <w:instrText xml:space="preserve"> HYPERLINK \l "_bookmark84" </w:instrText>
          </w:r>
          <w:r>
            <w:rPr>
              <w:color w:val="auto"/>
            </w:rPr>
            <w:fldChar w:fldCharType="separate"/>
          </w:r>
          <w:r>
            <w:rPr>
              <w:color w:val="auto"/>
            </w:rPr>
            <w:t>八</w:t>
          </w:r>
          <w:r>
            <w:rPr>
              <w:color w:val="auto"/>
            </w:rPr>
            <w:fldChar w:fldCharType="end"/>
          </w:r>
          <w:r>
            <w:rPr>
              <w:color w:val="auto"/>
            </w:rPr>
            <w:fldChar w:fldCharType="begin"/>
          </w:r>
          <w:r>
            <w:rPr>
              <w:color w:val="auto"/>
            </w:rPr>
            <w:instrText xml:space="preserve"> HYPERLINK \l "_bookmark84" </w:instrText>
          </w:r>
          <w:r>
            <w:rPr>
              <w:color w:val="auto"/>
            </w:rPr>
            <w:fldChar w:fldCharType="separate"/>
          </w:r>
          <w:r>
            <w:rPr>
              <w:color w:val="auto"/>
            </w:rPr>
            <w:t>十三</w:t>
          </w:r>
          <w:r>
            <w:rPr>
              <w:color w:val="auto"/>
              <w:spacing w:val="-20"/>
            </w:rPr>
            <w:t>、</w:t>
          </w:r>
          <w:r>
            <w:rPr>
              <w:color w:val="auto"/>
            </w:rPr>
            <w:t>文物商店从事文物拍卖经营活动</w:t>
          </w:r>
          <w:r>
            <w:rPr>
              <w:color w:val="auto"/>
              <w:spacing w:val="-17"/>
            </w:rPr>
            <w:t>，</w:t>
          </w:r>
          <w:r>
            <w:rPr>
              <w:color w:val="auto"/>
            </w:rPr>
            <w:t>经营文物拍卖的拍卖企业从事文物</w:t>
          </w:r>
          <w:r>
            <w:rPr>
              <w:color w:val="auto"/>
              <w:spacing w:val="-16"/>
            </w:rPr>
            <w:t>购</w:t>
          </w:r>
          <w:r>
            <w:rPr>
              <w:color w:val="auto"/>
              <w:spacing w:val="-16"/>
            </w:rPr>
            <w:fldChar w:fldCharType="end"/>
          </w:r>
          <w:r>
            <w:rPr>
              <w:color w:val="auto"/>
            </w:rPr>
            <w:t>销经营活动</w:t>
          </w:r>
          <w:r>
            <w:rPr>
              <w:color w:val="auto"/>
              <w:spacing w:val="-12"/>
            </w:rPr>
            <w:t>，</w:t>
          </w:r>
          <w:r>
            <w:rPr>
              <w:color w:val="auto"/>
            </w:rPr>
            <w:t>文物商店销售的文物</w:t>
          </w:r>
          <w:r>
            <w:rPr>
              <w:color w:val="auto"/>
              <w:spacing w:val="-12"/>
            </w:rPr>
            <w:t>、</w:t>
          </w:r>
          <w:r>
            <w:rPr>
              <w:color w:val="auto"/>
            </w:rPr>
            <w:t>拍卖企业拍卖的文物未经审核</w:t>
          </w:r>
          <w:r>
            <w:rPr>
              <w:color w:val="auto"/>
              <w:spacing w:val="-12"/>
            </w:rPr>
            <w:t>，</w:t>
          </w:r>
          <w:r>
            <w:rPr>
              <w:color w:val="auto"/>
            </w:rPr>
            <w:t>文物收藏</w:t>
          </w:r>
          <w:r>
            <w:rPr>
              <w:color w:val="auto"/>
              <w:spacing w:val="-17"/>
            </w:rPr>
            <w:t>单</w:t>
          </w:r>
          <w:r>
            <w:rPr>
              <w:color w:val="auto"/>
            </w:rPr>
            <w:t>位从事文物的商业经营活动</w:t>
          </w:r>
          <w:r>
            <w:rPr>
              <w:color w:val="auto"/>
            </w:rPr>
            <w:tab/>
          </w:r>
          <w:r>
            <w:rPr>
              <w:color w:val="auto"/>
              <w:spacing w:val="-9"/>
            </w:rPr>
            <w:t>50</w:t>
          </w:r>
        </w:p>
        <w:p>
          <w:pPr>
            <w:pStyle w:val="5"/>
            <w:tabs>
              <w:tab w:val="left" w:leader="dot" w:pos="8715"/>
            </w:tabs>
            <w:spacing w:line="308" w:lineRule="exact"/>
            <w:rPr>
              <w:color w:val="auto"/>
            </w:rPr>
          </w:pPr>
          <w:r>
            <w:rPr>
              <w:color w:val="auto"/>
            </w:rPr>
            <w:fldChar w:fldCharType="begin"/>
          </w:r>
          <w:r>
            <w:rPr>
              <w:color w:val="auto"/>
            </w:rPr>
            <w:instrText xml:space="preserve"> HYPERLINK \l "_bookmark85" </w:instrText>
          </w:r>
          <w:r>
            <w:rPr>
              <w:color w:val="auto"/>
            </w:rPr>
            <w:fldChar w:fldCharType="separate"/>
          </w:r>
          <w:r>
            <w:rPr>
              <w:color w:val="auto"/>
            </w:rPr>
            <w:t>八十四、合法制糖企业外的企业、个人收购糖料</w:t>
          </w:r>
          <w:r>
            <w:rPr>
              <w:color w:val="auto"/>
            </w:rPr>
            <w:tab/>
          </w:r>
          <w:r>
            <w:rPr>
              <w:color w:val="auto"/>
            </w:rPr>
            <w:t>51</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"_bookmark86" </w:instrText>
          </w:r>
          <w:r>
            <w:rPr>
              <w:color w:val="auto"/>
            </w:rPr>
            <w:fldChar w:fldCharType="separate"/>
          </w:r>
          <w:r>
            <w:rPr>
              <w:color w:val="auto"/>
            </w:rPr>
            <w:t>八十五、农业机械销售者未按规定建立保存销售记录</w:t>
          </w:r>
          <w:r>
            <w:rPr>
              <w:color w:val="auto"/>
            </w:rPr>
            <w:tab/>
          </w:r>
          <w:r>
            <w:rPr>
              <w:color w:val="auto"/>
            </w:rPr>
            <w:t>52</w:t>
          </w:r>
          <w:r>
            <w:rPr>
              <w:color w:val="auto"/>
            </w:rPr>
            <w:fldChar w:fldCharType="end"/>
          </w:r>
        </w:p>
        <w:p>
          <w:pPr>
            <w:pStyle w:val="5"/>
            <w:tabs>
              <w:tab w:val="left" w:leader="dot" w:pos="8715"/>
            </w:tabs>
            <w:spacing w:before="173" w:after="59"/>
            <w:rPr>
              <w:color w:val="auto"/>
            </w:rPr>
          </w:pPr>
          <w:r>
            <w:rPr>
              <w:color w:val="auto"/>
            </w:rPr>
            <w:fldChar w:fldCharType="begin"/>
          </w:r>
          <w:r>
            <w:rPr>
              <w:color w:val="auto"/>
            </w:rPr>
            <w:instrText xml:space="preserve"> HYPERLINK \l "_bookmark87" </w:instrText>
          </w:r>
          <w:r>
            <w:rPr>
              <w:color w:val="auto"/>
            </w:rPr>
            <w:fldChar w:fldCharType="separate"/>
          </w:r>
          <w:r>
            <w:rPr>
              <w:color w:val="auto"/>
            </w:rPr>
            <w:t>八十六、擅自销售商用密码产品</w:t>
          </w:r>
          <w:r>
            <w:rPr>
              <w:color w:val="auto"/>
            </w:rPr>
            <w:tab/>
          </w:r>
          <w:r>
            <w:rPr>
              <w:color w:val="auto"/>
            </w:rPr>
            <w:t>52</w:t>
          </w:r>
          <w:r>
            <w:rPr>
              <w:color w:val="auto"/>
            </w:rPr>
            <w:fldChar w:fldCharType="end"/>
          </w:r>
        </w:p>
        <w:p>
          <w:pPr>
            <w:pStyle w:val="5"/>
            <w:tabs>
              <w:tab w:val="left" w:leader="dot" w:pos="8715"/>
            </w:tabs>
            <w:spacing w:before="127" w:line="374" w:lineRule="auto"/>
            <w:ind w:right="268"/>
            <w:rPr>
              <w:color w:val="auto"/>
            </w:rPr>
          </w:pPr>
          <w:r>
            <w:rPr>
              <w:color w:val="auto"/>
            </w:rPr>
            <w:fldChar w:fldCharType="begin"/>
          </w:r>
          <w:r>
            <w:rPr>
              <w:color w:val="auto"/>
            </w:rPr>
            <w:instrText xml:space="preserve"> HYPERLINK \l "_bookmark88" </w:instrText>
          </w:r>
          <w:r>
            <w:rPr>
              <w:color w:val="auto"/>
            </w:rPr>
            <w:fldChar w:fldCharType="separate"/>
          </w:r>
          <w:r>
            <w:rPr>
              <w:color w:val="auto"/>
            </w:rPr>
            <w:t>八</w:t>
          </w:r>
          <w:r>
            <w:rPr>
              <w:color w:val="auto"/>
            </w:rPr>
            <w:fldChar w:fldCharType="end"/>
          </w:r>
          <w:r>
            <w:rPr>
              <w:color w:val="auto"/>
            </w:rPr>
            <w:fldChar w:fldCharType="begin"/>
          </w:r>
          <w:r>
            <w:rPr>
              <w:color w:val="auto"/>
            </w:rPr>
            <w:instrText xml:space="preserve"> HYPERLINK \l "_bookmark88" </w:instrText>
          </w:r>
          <w:r>
            <w:rPr>
              <w:color w:val="auto"/>
            </w:rPr>
            <w:fldChar w:fldCharType="separate"/>
          </w:r>
          <w:r>
            <w:rPr>
              <w:color w:val="auto"/>
            </w:rPr>
            <w:t>十七</w:t>
          </w:r>
          <w:r>
            <w:rPr>
              <w:color w:val="auto"/>
              <w:spacing w:val="-12"/>
            </w:rPr>
            <w:t>、</w:t>
          </w:r>
          <w:r>
            <w:rPr>
              <w:color w:val="auto"/>
            </w:rPr>
            <w:t>产品集中交易市场的开办企业</w:t>
          </w:r>
          <w:r>
            <w:rPr>
              <w:color w:val="auto"/>
              <w:spacing w:val="-12"/>
            </w:rPr>
            <w:t>、</w:t>
          </w:r>
          <w:r>
            <w:rPr>
              <w:color w:val="auto"/>
            </w:rPr>
            <w:t>产品经营柜台出租企业</w:t>
          </w:r>
          <w:r>
            <w:rPr>
              <w:color w:val="auto"/>
              <w:spacing w:val="-12"/>
            </w:rPr>
            <w:t>、</w:t>
          </w:r>
          <w:r>
            <w:rPr>
              <w:color w:val="auto"/>
            </w:rPr>
            <w:t>产品展销会</w:t>
          </w:r>
          <w:r>
            <w:rPr>
              <w:color w:val="auto"/>
              <w:spacing w:val="-17"/>
            </w:rPr>
            <w:t>的</w:t>
          </w:r>
          <w:r>
            <w:rPr>
              <w:color w:val="auto"/>
              <w:spacing w:val="-17"/>
            </w:rPr>
            <w:fldChar w:fldCharType="end"/>
          </w:r>
          <w:r>
            <w:rPr>
              <w:color w:val="auto"/>
            </w:rPr>
            <w:t>举办企业未依法履行管理义务</w:t>
          </w:r>
          <w:r>
            <w:rPr>
              <w:color w:val="auto"/>
            </w:rPr>
            <w:tab/>
          </w:r>
          <w:r>
            <w:rPr>
              <w:color w:val="auto"/>
              <w:spacing w:val="-9"/>
            </w:rPr>
            <w:t>53</w:t>
          </w:r>
        </w:p>
        <w:p>
          <w:pPr>
            <w:pStyle w:val="5"/>
            <w:tabs>
              <w:tab w:val="left" w:leader="dot" w:pos="8715"/>
            </w:tabs>
            <w:spacing w:line="308" w:lineRule="exact"/>
            <w:rPr>
              <w:color w:val="auto"/>
            </w:rPr>
          </w:pPr>
          <w:r>
            <w:rPr>
              <w:color w:val="auto"/>
            </w:rPr>
            <w:fldChar w:fldCharType="begin"/>
          </w:r>
          <w:r>
            <w:rPr>
              <w:color w:val="auto"/>
            </w:rPr>
            <w:instrText xml:space="preserve"> HYPERLINK \l "_bookmark89" </w:instrText>
          </w:r>
          <w:r>
            <w:rPr>
              <w:color w:val="auto"/>
            </w:rPr>
            <w:fldChar w:fldCharType="separate"/>
          </w:r>
          <w:r>
            <w:rPr>
              <w:color w:val="auto"/>
            </w:rPr>
            <w:t>八十八、销售不符合国家技术规范的强制性要求的畜禽</w:t>
          </w:r>
          <w:r>
            <w:rPr>
              <w:color w:val="auto"/>
            </w:rPr>
            <w:tab/>
          </w:r>
          <w:r>
            <w:rPr>
              <w:color w:val="auto"/>
            </w:rPr>
            <w:t>54</w:t>
          </w:r>
          <w:r>
            <w:rPr>
              <w:color w:val="auto"/>
            </w:rPr>
            <w:fldChar w:fldCharType="end"/>
          </w:r>
        </w:p>
        <w:p>
          <w:pPr>
            <w:pStyle w:val="5"/>
            <w:tabs>
              <w:tab w:val="left" w:leader="dot" w:pos="8715"/>
            </w:tabs>
            <w:spacing w:before="173" w:line="374" w:lineRule="auto"/>
            <w:ind w:right="148"/>
            <w:rPr>
              <w:color w:val="auto"/>
            </w:rPr>
          </w:pPr>
          <w:r>
            <w:rPr>
              <w:color w:val="auto"/>
            </w:rPr>
            <w:fldChar w:fldCharType="begin"/>
          </w:r>
          <w:r>
            <w:rPr>
              <w:color w:val="auto"/>
            </w:rPr>
            <w:instrText xml:space="preserve"> HYPERLINK \l "_bookmark90" </w:instrText>
          </w:r>
          <w:r>
            <w:rPr>
              <w:color w:val="auto"/>
            </w:rPr>
            <w:fldChar w:fldCharType="separate"/>
          </w:r>
          <w:r>
            <w:rPr>
              <w:color w:val="auto"/>
            </w:rPr>
            <w:t>八</w:t>
          </w:r>
          <w:r>
            <w:rPr>
              <w:color w:val="auto"/>
            </w:rPr>
            <w:fldChar w:fldCharType="end"/>
          </w:r>
          <w:r>
            <w:rPr>
              <w:color w:val="auto"/>
            </w:rPr>
            <w:fldChar w:fldCharType="begin"/>
          </w:r>
          <w:r>
            <w:rPr>
              <w:color w:val="auto"/>
            </w:rPr>
            <w:instrText xml:space="preserve"> HYPERLINK \l "_bookmark90" </w:instrText>
          </w:r>
          <w:r>
            <w:rPr>
              <w:color w:val="auto"/>
            </w:rPr>
            <w:fldChar w:fldCharType="separate"/>
          </w:r>
          <w:r>
            <w:rPr>
              <w:color w:val="auto"/>
            </w:rPr>
            <w:t>十九</w:t>
          </w:r>
          <w:r>
            <w:rPr>
              <w:color w:val="auto"/>
              <w:spacing w:val="-39"/>
            </w:rPr>
            <w:t>、</w:t>
          </w:r>
          <w:r>
            <w:rPr>
              <w:color w:val="auto"/>
            </w:rPr>
            <w:t>销售种畜禽未附具种畜禽合格证明</w:t>
          </w:r>
          <w:r>
            <w:rPr>
              <w:color w:val="auto"/>
              <w:spacing w:val="-41"/>
            </w:rPr>
            <w:t>、</w:t>
          </w:r>
          <w:r>
            <w:rPr>
              <w:color w:val="auto"/>
            </w:rPr>
            <w:t>检疫合格证明</w:t>
          </w:r>
          <w:r>
            <w:rPr>
              <w:color w:val="auto"/>
              <w:spacing w:val="-39"/>
            </w:rPr>
            <w:t>、</w:t>
          </w:r>
          <w:r>
            <w:rPr>
              <w:color w:val="auto"/>
            </w:rPr>
            <w:t>家畜系谱的</w:t>
          </w:r>
          <w:r>
            <w:rPr>
              <w:color w:val="auto"/>
              <w:spacing w:val="-39"/>
            </w:rPr>
            <w:t>，</w:t>
          </w:r>
          <w:r>
            <w:rPr>
              <w:color w:val="auto"/>
            </w:rPr>
            <w:t>销售</w:t>
          </w:r>
          <w:r>
            <w:rPr>
              <w:color w:val="auto"/>
              <w:spacing w:val="-15"/>
            </w:rPr>
            <w:t>、</w:t>
          </w:r>
          <w:r>
            <w:rPr>
              <w:color w:val="auto"/>
              <w:spacing w:val="-15"/>
            </w:rPr>
            <w:fldChar w:fldCharType="end"/>
          </w:r>
          <w:r>
            <w:rPr>
              <w:color w:val="auto"/>
            </w:rPr>
            <w:t>收购国务院畜牧兽医行政主管部门规定应当加施标识而没有标识的畜禽的</w:t>
          </w:r>
          <w:r>
            <w:rPr>
              <w:color w:val="auto"/>
              <w:spacing w:val="-36"/>
            </w:rPr>
            <w:t>，</w:t>
          </w:r>
          <w:r>
            <w:rPr>
              <w:color w:val="auto"/>
            </w:rPr>
            <w:t>或者重复使用畜禽标识</w:t>
          </w:r>
          <w:r>
            <w:rPr>
              <w:color w:val="auto"/>
            </w:rPr>
            <w:tab/>
          </w:r>
          <w:r>
            <w:rPr>
              <w:color w:val="auto"/>
            </w:rPr>
            <w:t>54</w:t>
          </w:r>
        </w:p>
        <w:p>
          <w:pPr>
            <w:pStyle w:val="5"/>
            <w:tabs>
              <w:tab w:val="left" w:leader="dot" w:pos="8715"/>
            </w:tabs>
            <w:spacing w:before="1" w:line="374" w:lineRule="auto"/>
            <w:ind w:right="148"/>
            <w:rPr>
              <w:color w:val="auto"/>
            </w:rPr>
          </w:pPr>
          <w:r>
            <w:rPr>
              <w:color w:val="auto"/>
            </w:rPr>
            <w:fldChar w:fldCharType="begin"/>
          </w:r>
          <w:r>
            <w:rPr>
              <w:color w:val="auto"/>
            </w:rPr>
            <w:instrText xml:space="preserve"> HYPERLINK \l "_bookmark91" </w:instrText>
          </w:r>
          <w:r>
            <w:rPr>
              <w:color w:val="auto"/>
            </w:rPr>
            <w:fldChar w:fldCharType="separate"/>
          </w:r>
          <w:r>
            <w:rPr>
              <w:color w:val="auto"/>
            </w:rPr>
            <w:t>九</w:t>
          </w:r>
          <w:r>
            <w:rPr>
              <w:color w:val="auto"/>
            </w:rPr>
            <w:fldChar w:fldCharType="end"/>
          </w:r>
          <w:r>
            <w:rPr>
              <w:color w:val="auto"/>
            </w:rPr>
            <w:fldChar w:fldCharType="begin"/>
          </w:r>
          <w:r>
            <w:rPr>
              <w:color w:val="auto"/>
            </w:rPr>
            <w:instrText xml:space="preserve"> HYPERLINK \l "_bookmark91" </w:instrText>
          </w:r>
          <w:r>
            <w:rPr>
              <w:color w:val="auto"/>
            </w:rPr>
            <w:fldChar w:fldCharType="separate"/>
          </w:r>
          <w:r>
            <w:rPr>
              <w:color w:val="auto"/>
            </w:rPr>
            <w:t>十</w:t>
          </w:r>
          <w:r>
            <w:rPr>
              <w:color w:val="auto"/>
              <w:spacing w:val="-39"/>
            </w:rPr>
            <w:t>、</w:t>
          </w:r>
          <w:r>
            <w:rPr>
              <w:color w:val="auto"/>
            </w:rPr>
            <w:t>销售种畜禽</w:t>
          </w:r>
          <w:r>
            <w:rPr>
              <w:color w:val="auto"/>
              <w:spacing w:val="-41"/>
            </w:rPr>
            <w:t>，</w:t>
          </w:r>
          <w:r>
            <w:rPr>
              <w:color w:val="auto"/>
            </w:rPr>
            <w:t>以其他畜禽品种</w:t>
          </w:r>
          <w:r>
            <w:rPr>
              <w:color w:val="auto"/>
              <w:spacing w:val="-39"/>
            </w:rPr>
            <w:t>、</w:t>
          </w:r>
          <w:r>
            <w:rPr>
              <w:color w:val="auto"/>
            </w:rPr>
            <w:t>配套系冒充所销售的种畜禽品种</w:t>
          </w:r>
          <w:r>
            <w:rPr>
              <w:color w:val="auto"/>
              <w:spacing w:val="-39"/>
            </w:rPr>
            <w:t>、</w:t>
          </w:r>
          <w:r>
            <w:rPr>
              <w:color w:val="auto"/>
            </w:rPr>
            <w:t>配套系</w:t>
          </w:r>
          <w:r>
            <w:rPr>
              <w:color w:val="auto"/>
              <w:spacing w:val="-15"/>
            </w:rPr>
            <w:t xml:space="preserve">， </w:t>
          </w:r>
          <w:r>
            <w:rPr>
              <w:color w:val="auto"/>
              <w:spacing w:val="-15"/>
            </w:rPr>
            <w:fldChar w:fldCharType="end"/>
          </w:r>
          <w:r>
            <w:rPr>
              <w:color w:val="auto"/>
            </w:rPr>
            <w:t>以低代别种畜禽冒充高代别种畜禽</w:t>
          </w:r>
          <w:r>
            <w:rPr>
              <w:color w:val="auto"/>
              <w:spacing w:val="-20"/>
            </w:rPr>
            <w:t>，</w:t>
          </w:r>
          <w:r>
            <w:rPr>
              <w:color w:val="auto"/>
            </w:rPr>
            <w:t>以不符合种用标准的畜禽冒充种畜禽</w:t>
          </w:r>
          <w:r>
            <w:rPr>
              <w:color w:val="auto"/>
              <w:spacing w:val="-17"/>
            </w:rPr>
            <w:t>，</w:t>
          </w:r>
          <w:r>
            <w:rPr>
              <w:color w:val="auto"/>
            </w:rPr>
            <w:t>销售未经批准进口的种畜禽</w:t>
          </w:r>
          <w:r>
            <w:rPr>
              <w:color w:val="auto"/>
            </w:rPr>
            <w:tab/>
          </w:r>
          <w:r>
            <w:rPr>
              <w:color w:val="auto"/>
            </w:rPr>
            <w:t>55</w:t>
          </w:r>
        </w:p>
        <w:p>
          <w:pPr>
            <w:pStyle w:val="5"/>
            <w:tabs>
              <w:tab w:val="left" w:leader="dot" w:pos="8715"/>
            </w:tabs>
            <w:spacing w:line="374" w:lineRule="auto"/>
            <w:ind w:right="151"/>
            <w:rPr>
              <w:color w:val="auto"/>
            </w:rPr>
          </w:pPr>
          <w:r>
            <w:rPr>
              <w:color w:val="auto"/>
            </w:rPr>
            <w:fldChar w:fldCharType="begin"/>
          </w:r>
          <w:r>
            <w:rPr>
              <w:color w:val="auto"/>
            </w:rPr>
            <w:instrText xml:space="preserve"> HYPERLINK \l "_bookmark92" </w:instrText>
          </w:r>
          <w:r>
            <w:rPr>
              <w:color w:val="auto"/>
            </w:rPr>
            <w:fldChar w:fldCharType="separate"/>
          </w:r>
          <w:r>
            <w:rPr>
              <w:color w:val="auto"/>
            </w:rPr>
            <w:t>九</w:t>
          </w:r>
          <w:r>
            <w:rPr>
              <w:color w:val="auto"/>
            </w:rPr>
            <w:fldChar w:fldCharType="end"/>
          </w:r>
          <w:r>
            <w:rPr>
              <w:color w:val="auto"/>
            </w:rPr>
            <w:fldChar w:fldCharType="begin"/>
          </w:r>
          <w:r>
            <w:rPr>
              <w:color w:val="auto"/>
            </w:rPr>
            <w:instrText xml:space="preserve"> HYPERLINK \l "_bookmark92" </w:instrText>
          </w:r>
          <w:r>
            <w:rPr>
              <w:color w:val="auto"/>
            </w:rPr>
            <w:fldChar w:fldCharType="separate"/>
          </w:r>
          <w:r>
            <w:rPr>
              <w:color w:val="auto"/>
            </w:rPr>
            <w:t>十一</w:t>
          </w:r>
          <w:r>
            <w:rPr>
              <w:color w:val="auto"/>
              <w:spacing w:val="-10"/>
            </w:rPr>
            <w:t>、</w:t>
          </w:r>
          <w:r>
            <w:rPr>
              <w:color w:val="auto"/>
            </w:rPr>
            <w:t>未经批准</w:t>
          </w:r>
          <w:r>
            <w:rPr>
              <w:color w:val="auto"/>
              <w:spacing w:val="-10"/>
            </w:rPr>
            <w:t>、</w:t>
          </w:r>
          <w:r>
            <w:rPr>
              <w:color w:val="auto"/>
            </w:rPr>
            <w:t>未取得或者未按照规定使用专用标识</w:t>
          </w:r>
          <w:r>
            <w:rPr>
              <w:color w:val="auto"/>
              <w:spacing w:val="-8"/>
            </w:rPr>
            <w:t>，</w:t>
          </w:r>
          <w:r>
            <w:rPr>
              <w:color w:val="auto"/>
            </w:rPr>
            <w:t>或者未持有</w:t>
          </w:r>
          <w:r>
            <w:rPr>
              <w:color w:val="auto"/>
              <w:spacing w:val="-10"/>
            </w:rPr>
            <w:t>、</w:t>
          </w:r>
          <w:r>
            <w:rPr>
              <w:color w:val="auto"/>
            </w:rPr>
            <w:t>未附有</w:t>
          </w:r>
          <w:r>
            <w:rPr>
              <w:color w:val="auto"/>
            </w:rPr>
            <w:fldChar w:fldCharType="end"/>
          </w:r>
          <w:r>
            <w:rPr>
              <w:color w:val="auto"/>
            </w:rPr>
            <w:t>人工繁育许可证</w:t>
          </w:r>
          <w:r>
            <w:rPr>
              <w:color w:val="auto"/>
              <w:spacing w:val="-32"/>
            </w:rPr>
            <w:t>、</w:t>
          </w:r>
          <w:r>
            <w:rPr>
              <w:color w:val="auto"/>
            </w:rPr>
            <w:t>批准文件的副本或者专用标识出售</w:t>
          </w:r>
          <w:r>
            <w:rPr>
              <w:color w:val="auto"/>
              <w:spacing w:val="-32"/>
            </w:rPr>
            <w:t>、</w:t>
          </w:r>
          <w:r>
            <w:rPr>
              <w:color w:val="auto"/>
            </w:rPr>
            <w:t>购买</w:t>
          </w:r>
          <w:r>
            <w:rPr>
              <w:color w:val="auto"/>
              <w:spacing w:val="-32"/>
            </w:rPr>
            <w:t>、</w:t>
          </w:r>
          <w:r>
            <w:rPr>
              <w:color w:val="auto"/>
            </w:rPr>
            <w:t>利用</w:t>
          </w:r>
          <w:r>
            <w:rPr>
              <w:color w:val="auto"/>
              <w:spacing w:val="-32"/>
            </w:rPr>
            <w:t>、</w:t>
          </w:r>
          <w:r>
            <w:rPr>
              <w:color w:val="auto"/>
            </w:rPr>
            <w:t>运输</w:t>
          </w:r>
          <w:r>
            <w:rPr>
              <w:color w:val="auto"/>
              <w:spacing w:val="-34"/>
            </w:rPr>
            <w:t>、</w:t>
          </w:r>
          <w:r>
            <w:rPr>
              <w:color w:val="auto"/>
            </w:rPr>
            <w:t>携带</w:t>
          </w:r>
          <w:r>
            <w:rPr>
              <w:color w:val="auto"/>
              <w:spacing w:val="-13"/>
            </w:rPr>
            <w:t>、</w:t>
          </w:r>
          <w:r>
            <w:rPr>
              <w:color w:val="auto"/>
            </w:rPr>
            <w:t>寄递国家重点保护野生动物及其制品或者纳入人工繁育国家重点保护野生动物 名录的野生动物及其制品</w:t>
          </w:r>
          <w:r>
            <w:rPr>
              <w:color w:val="auto"/>
            </w:rPr>
            <w:tab/>
          </w:r>
          <w:r>
            <w:rPr>
              <w:color w:val="auto"/>
            </w:rPr>
            <w:t>56</w:t>
          </w:r>
        </w:p>
        <w:p>
          <w:pPr>
            <w:pStyle w:val="5"/>
            <w:tabs>
              <w:tab w:val="left" w:leader="dot" w:pos="8715"/>
            </w:tabs>
            <w:spacing w:line="309" w:lineRule="exact"/>
            <w:rPr>
              <w:color w:val="auto"/>
            </w:rPr>
          </w:pPr>
          <w:r>
            <w:rPr>
              <w:color w:val="auto"/>
            </w:rPr>
            <w:fldChar w:fldCharType="begin"/>
          </w:r>
          <w:r>
            <w:rPr>
              <w:color w:val="auto"/>
            </w:rPr>
            <w:instrText xml:space="preserve"> HYPERLINK \l "_bookmark93" </w:instrText>
          </w:r>
          <w:r>
            <w:rPr>
              <w:color w:val="auto"/>
            </w:rPr>
            <w:fldChar w:fldCharType="separate"/>
          </w:r>
          <w:r>
            <w:rPr>
              <w:color w:val="auto"/>
            </w:rPr>
            <w:t>九十二、未持有合法来源证明出售、利用、运输非国家重点保护野生动物</w:t>
          </w:r>
          <w:r>
            <w:rPr>
              <w:color w:val="auto"/>
            </w:rPr>
            <w:tab/>
          </w:r>
          <w:r>
            <w:rPr>
              <w:color w:val="auto"/>
            </w:rPr>
            <w:t>57</w:t>
          </w:r>
          <w:r>
            <w:rPr>
              <w:color w:val="auto"/>
            </w:rPr>
            <w:fldChar w:fldCharType="end"/>
          </w:r>
        </w:p>
        <w:p>
          <w:pPr>
            <w:pStyle w:val="5"/>
            <w:tabs>
              <w:tab w:val="left" w:leader="dot" w:pos="8715"/>
            </w:tabs>
            <w:spacing w:before="173" w:line="374" w:lineRule="auto"/>
            <w:ind w:right="268"/>
            <w:jc w:val="both"/>
            <w:rPr>
              <w:color w:val="auto"/>
            </w:rPr>
          </w:pPr>
          <w:r>
            <w:rPr>
              <w:color w:val="auto"/>
            </w:rPr>
            <w:fldChar w:fldCharType="begin"/>
          </w:r>
          <w:r>
            <w:rPr>
              <w:color w:val="auto"/>
            </w:rPr>
            <w:instrText xml:space="preserve"> HYPERLINK \l "_bookmark94" </w:instrText>
          </w:r>
          <w:r>
            <w:rPr>
              <w:color w:val="auto"/>
            </w:rPr>
            <w:fldChar w:fldCharType="separate"/>
          </w:r>
          <w:r>
            <w:rPr>
              <w:color w:val="auto"/>
            </w:rPr>
            <w:t>九</w:t>
          </w:r>
          <w:r>
            <w:rPr>
              <w:color w:val="auto"/>
            </w:rPr>
            <w:fldChar w:fldCharType="end"/>
          </w:r>
          <w:r>
            <w:rPr>
              <w:color w:val="auto"/>
            </w:rPr>
            <w:fldChar w:fldCharType="begin"/>
          </w:r>
          <w:r>
            <w:rPr>
              <w:color w:val="auto"/>
            </w:rPr>
            <w:instrText xml:space="preserve"> HYPERLINK \l "_bookmark94" </w:instrText>
          </w:r>
          <w:r>
            <w:rPr>
              <w:color w:val="auto"/>
            </w:rPr>
            <w:fldChar w:fldCharType="separate"/>
          </w:r>
          <w:r>
            <w:rPr>
              <w:color w:val="auto"/>
            </w:rPr>
            <w:t>十三</w:t>
          </w:r>
          <w:r>
            <w:rPr>
              <w:color w:val="auto"/>
              <w:spacing w:val="-20"/>
            </w:rPr>
            <w:t>、</w:t>
          </w:r>
          <w:r>
            <w:rPr>
              <w:color w:val="auto"/>
            </w:rPr>
            <w:t>生产</w:t>
          </w:r>
          <w:r>
            <w:rPr>
              <w:color w:val="auto"/>
              <w:spacing w:val="-17"/>
            </w:rPr>
            <w:t>、</w:t>
          </w:r>
          <w:r>
            <w:rPr>
              <w:color w:val="auto"/>
            </w:rPr>
            <w:t>经营使用国家重点保护野生动物及其制品或者没有合法来源证</w:t>
          </w:r>
          <w:r>
            <w:rPr>
              <w:color w:val="auto"/>
              <w:spacing w:val="-16"/>
            </w:rPr>
            <w:t>明</w:t>
          </w:r>
          <w:r>
            <w:rPr>
              <w:color w:val="auto"/>
              <w:spacing w:val="-16"/>
            </w:rPr>
            <w:fldChar w:fldCharType="end"/>
          </w:r>
          <w:r>
            <w:rPr>
              <w:color w:val="auto"/>
            </w:rPr>
            <w:t>的非国家重点保护野生动物及其制品制作食品</w:t>
          </w:r>
          <w:r>
            <w:rPr>
              <w:color w:val="auto"/>
              <w:spacing w:val="-36"/>
            </w:rPr>
            <w:t>，</w:t>
          </w:r>
          <w:r>
            <w:rPr>
              <w:color w:val="auto"/>
            </w:rPr>
            <w:t>或者为食用非法购买国家重点</w:t>
          </w:r>
          <w:r>
            <w:rPr>
              <w:color w:val="auto"/>
              <w:spacing w:val="-17"/>
            </w:rPr>
            <w:t>保</w:t>
          </w:r>
          <w:r>
            <w:rPr>
              <w:color w:val="auto"/>
            </w:rPr>
            <w:t>护的野生动物及其制品</w:t>
          </w:r>
          <w:r>
            <w:rPr>
              <w:color w:val="auto"/>
            </w:rPr>
            <w:tab/>
          </w:r>
          <w:r>
            <w:rPr>
              <w:color w:val="auto"/>
              <w:spacing w:val="-9"/>
            </w:rPr>
            <w:t>58</w:t>
          </w:r>
        </w:p>
        <w:p>
          <w:pPr>
            <w:pStyle w:val="5"/>
            <w:tabs>
              <w:tab w:val="left" w:leader="dot" w:pos="8715"/>
            </w:tabs>
            <w:spacing w:before="1" w:line="374" w:lineRule="auto"/>
            <w:ind w:right="268"/>
            <w:rPr>
              <w:color w:val="auto"/>
            </w:rPr>
          </w:pPr>
          <w:r>
            <w:rPr>
              <w:color w:val="auto"/>
            </w:rPr>
            <w:fldChar w:fldCharType="begin"/>
          </w:r>
          <w:r>
            <w:rPr>
              <w:color w:val="auto"/>
            </w:rPr>
            <w:instrText xml:space="preserve"> HYPERLINK \l "_bookmark95" </w:instrText>
          </w:r>
          <w:r>
            <w:rPr>
              <w:color w:val="auto"/>
            </w:rPr>
            <w:fldChar w:fldCharType="separate"/>
          </w:r>
          <w:r>
            <w:rPr>
              <w:color w:val="auto"/>
            </w:rPr>
            <w:t>九</w:t>
          </w:r>
          <w:r>
            <w:rPr>
              <w:color w:val="auto"/>
            </w:rPr>
            <w:fldChar w:fldCharType="end"/>
          </w:r>
          <w:r>
            <w:rPr>
              <w:color w:val="auto"/>
            </w:rPr>
            <w:fldChar w:fldCharType="begin"/>
          </w:r>
          <w:r>
            <w:rPr>
              <w:color w:val="auto"/>
            </w:rPr>
            <w:instrText xml:space="preserve"> HYPERLINK \l "_bookmark95" </w:instrText>
          </w:r>
          <w:r>
            <w:rPr>
              <w:color w:val="auto"/>
            </w:rPr>
            <w:fldChar w:fldCharType="separate"/>
          </w:r>
          <w:r>
            <w:rPr>
              <w:color w:val="auto"/>
            </w:rPr>
            <w:t>十四</w:t>
          </w:r>
          <w:r>
            <w:rPr>
              <w:color w:val="auto"/>
              <w:spacing w:val="-12"/>
            </w:rPr>
            <w:t>、</w:t>
          </w:r>
          <w:r>
            <w:rPr>
              <w:color w:val="auto"/>
            </w:rPr>
            <w:t>为违法出售</w:t>
          </w:r>
          <w:r>
            <w:rPr>
              <w:color w:val="auto"/>
              <w:spacing w:val="-12"/>
            </w:rPr>
            <w:t>、</w:t>
          </w:r>
          <w:r>
            <w:rPr>
              <w:color w:val="auto"/>
            </w:rPr>
            <w:t>购买</w:t>
          </w:r>
          <w:r>
            <w:rPr>
              <w:color w:val="auto"/>
              <w:spacing w:val="-12"/>
            </w:rPr>
            <w:t>、</w:t>
          </w:r>
          <w:r>
            <w:rPr>
              <w:color w:val="auto"/>
            </w:rPr>
            <w:t>利用野生动物及其制品或者禁止使用的猎捕工具</w:t>
          </w:r>
          <w:r>
            <w:rPr>
              <w:color w:val="auto"/>
              <w:spacing w:val="-17"/>
            </w:rPr>
            <w:t>提</w:t>
          </w:r>
          <w:r>
            <w:rPr>
              <w:color w:val="auto"/>
              <w:spacing w:val="-17"/>
            </w:rPr>
            <w:fldChar w:fldCharType="end"/>
          </w:r>
          <w:r>
            <w:rPr>
              <w:color w:val="auto"/>
            </w:rPr>
            <w:t>供交易服务</w:t>
          </w:r>
          <w:r>
            <w:rPr>
              <w:color w:val="auto"/>
            </w:rPr>
            <w:tab/>
          </w:r>
          <w:r>
            <w:rPr>
              <w:color w:val="auto"/>
              <w:spacing w:val="-9"/>
            </w:rPr>
            <w:t>59</w:t>
          </w:r>
        </w:p>
        <w:p>
          <w:pPr>
            <w:pStyle w:val="5"/>
            <w:tabs>
              <w:tab w:val="left" w:leader="dot" w:pos="8715"/>
            </w:tabs>
            <w:spacing w:line="308" w:lineRule="exact"/>
            <w:rPr>
              <w:color w:val="auto"/>
            </w:rPr>
          </w:pPr>
          <w:r>
            <w:rPr>
              <w:color w:val="auto"/>
            </w:rPr>
            <w:fldChar w:fldCharType="begin"/>
          </w:r>
          <w:r>
            <w:rPr>
              <w:color w:val="auto"/>
            </w:rPr>
            <w:instrText xml:space="preserve"> HYPERLINK \l "_bookmark96" </w:instrText>
          </w:r>
          <w:r>
            <w:rPr>
              <w:color w:val="auto"/>
            </w:rPr>
            <w:fldChar w:fldCharType="separate"/>
          </w:r>
          <w:r>
            <w:rPr>
              <w:color w:val="auto"/>
            </w:rPr>
            <w:t>九十五、倒卖陈化粮或者不按照规定使用陈化粮</w:t>
          </w:r>
          <w:r>
            <w:rPr>
              <w:color w:val="auto"/>
            </w:rPr>
            <w:tab/>
          </w:r>
          <w:r>
            <w:rPr>
              <w:color w:val="auto"/>
            </w:rPr>
            <w:t>60</w:t>
          </w:r>
          <w:r>
            <w:rPr>
              <w:color w:val="auto"/>
            </w:rPr>
            <w:fldChar w:fldCharType="end"/>
          </w:r>
        </w:p>
        <w:p>
          <w:pPr>
            <w:pStyle w:val="5"/>
            <w:tabs>
              <w:tab w:val="left" w:leader="dot" w:pos="8715"/>
            </w:tabs>
            <w:spacing w:before="172" w:line="374" w:lineRule="auto"/>
            <w:ind w:right="268"/>
            <w:rPr>
              <w:color w:val="auto"/>
            </w:rPr>
          </w:pPr>
          <w:r>
            <w:rPr>
              <w:color w:val="auto"/>
            </w:rPr>
            <w:fldChar w:fldCharType="begin"/>
          </w:r>
          <w:r>
            <w:rPr>
              <w:color w:val="auto"/>
            </w:rPr>
            <w:instrText xml:space="preserve"> HYPERLINK \l "_bookmark97" </w:instrText>
          </w:r>
          <w:r>
            <w:rPr>
              <w:color w:val="auto"/>
            </w:rPr>
            <w:fldChar w:fldCharType="separate"/>
          </w:r>
          <w:r>
            <w:rPr>
              <w:color w:val="auto"/>
            </w:rPr>
            <w:t>九</w:t>
          </w:r>
          <w:r>
            <w:rPr>
              <w:color w:val="auto"/>
            </w:rPr>
            <w:fldChar w:fldCharType="end"/>
          </w:r>
          <w:r>
            <w:rPr>
              <w:color w:val="auto"/>
            </w:rPr>
            <w:fldChar w:fldCharType="begin"/>
          </w:r>
          <w:r>
            <w:rPr>
              <w:color w:val="auto"/>
            </w:rPr>
            <w:instrText xml:space="preserve"> HYPERLINK \l "_bookmark97" </w:instrText>
          </w:r>
          <w:r>
            <w:rPr>
              <w:color w:val="auto"/>
            </w:rPr>
            <w:fldChar w:fldCharType="separate"/>
          </w:r>
          <w:r>
            <w:rPr>
              <w:color w:val="auto"/>
            </w:rPr>
            <w:t>十六</w:t>
          </w:r>
          <w:r>
            <w:rPr>
              <w:color w:val="auto"/>
              <w:spacing w:val="-8"/>
            </w:rPr>
            <w:t>、</w:t>
          </w:r>
          <w:r>
            <w:rPr>
              <w:color w:val="auto"/>
            </w:rPr>
            <w:t>未经中国人民银行批准</w:t>
          </w:r>
          <w:r>
            <w:rPr>
              <w:color w:val="auto"/>
              <w:spacing w:val="-5"/>
            </w:rPr>
            <w:t>，</w:t>
          </w:r>
          <w:r>
            <w:rPr>
              <w:color w:val="auto"/>
            </w:rPr>
            <w:t>研制</w:t>
          </w:r>
          <w:r>
            <w:rPr>
              <w:color w:val="auto"/>
              <w:spacing w:val="-8"/>
            </w:rPr>
            <w:t>、</w:t>
          </w:r>
          <w:r>
            <w:rPr>
              <w:color w:val="auto"/>
            </w:rPr>
            <w:t>仿制</w:t>
          </w:r>
          <w:r>
            <w:rPr>
              <w:color w:val="auto"/>
              <w:spacing w:val="-5"/>
            </w:rPr>
            <w:t>、</w:t>
          </w:r>
          <w:r>
            <w:rPr>
              <w:color w:val="auto"/>
            </w:rPr>
            <w:t>引进</w:t>
          </w:r>
          <w:r>
            <w:rPr>
              <w:color w:val="auto"/>
              <w:spacing w:val="-8"/>
            </w:rPr>
            <w:t>、</w:t>
          </w:r>
          <w:r>
            <w:rPr>
              <w:color w:val="auto"/>
            </w:rPr>
            <w:t>销售</w:t>
          </w:r>
          <w:r>
            <w:rPr>
              <w:color w:val="auto"/>
              <w:spacing w:val="-5"/>
            </w:rPr>
            <w:t>、</w:t>
          </w:r>
          <w:r>
            <w:rPr>
              <w:color w:val="auto"/>
            </w:rPr>
            <w:t>购买和使用印制</w:t>
          </w:r>
          <w:r>
            <w:rPr>
              <w:color w:val="auto"/>
              <w:spacing w:val="-14"/>
            </w:rPr>
            <w:t>人</w:t>
          </w:r>
          <w:r>
            <w:rPr>
              <w:color w:val="auto"/>
              <w:spacing w:val="-14"/>
            </w:rPr>
            <w:fldChar w:fldCharType="end"/>
          </w:r>
          <w:r>
            <w:rPr>
              <w:color w:val="auto"/>
            </w:rPr>
            <w:t>民币所特有的防伪材料、防伪技术、防伪工艺和专用设备</w:t>
          </w:r>
          <w:r>
            <w:rPr>
              <w:color w:val="auto"/>
            </w:rPr>
            <w:tab/>
          </w:r>
          <w:r>
            <w:rPr>
              <w:color w:val="auto"/>
              <w:spacing w:val="-9"/>
            </w:rPr>
            <w:t>60</w:t>
          </w:r>
        </w:p>
        <w:p>
          <w:pPr>
            <w:pStyle w:val="5"/>
            <w:tabs>
              <w:tab w:val="left" w:leader="dot" w:pos="8715"/>
            </w:tabs>
            <w:spacing w:line="308" w:lineRule="exact"/>
            <w:rPr>
              <w:color w:val="auto"/>
            </w:rPr>
          </w:pPr>
          <w:r>
            <w:rPr>
              <w:color w:val="auto"/>
            </w:rPr>
            <w:fldChar w:fldCharType="begin"/>
          </w:r>
          <w:r>
            <w:rPr>
              <w:color w:val="auto"/>
            </w:rPr>
            <w:instrText xml:space="preserve"> HYPERLINK \l "_bookmark98" </w:instrText>
          </w:r>
          <w:r>
            <w:rPr>
              <w:color w:val="auto"/>
            </w:rPr>
            <w:fldChar w:fldCharType="separate"/>
          </w:r>
          <w:r>
            <w:rPr>
              <w:color w:val="auto"/>
            </w:rPr>
            <w:t>九十七、非法买卖流通人民币、经营纪念币或者损害人民币行为</w:t>
          </w:r>
          <w:r>
            <w:rPr>
              <w:color w:val="auto"/>
            </w:rPr>
            <w:tab/>
          </w:r>
          <w:r>
            <w:rPr>
              <w:color w:val="auto"/>
            </w:rPr>
            <w:t>61</w:t>
          </w:r>
          <w:r>
            <w:rPr>
              <w:color w:val="auto"/>
            </w:rPr>
            <w:fldChar w:fldCharType="end"/>
          </w:r>
        </w:p>
        <w:p>
          <w:pPr>
            <w:pStyle w:val="5"/>
            <w:tabs>
              <w:tab w:val="left" w:leader="dot" w:pos="8715"/>
            </w:tabs>
            <w:spacing w:before="173" w:line="374" w:lineRule="auto"/>
            <w:ind w:right="268"/>
            <w:rPr>
              <w:color w:val="auto"/>
            </w:rPr>
          </w:pPr>
          <w:r>
            <w:rPr>
              <w:color w:val="auto"/>
            </w:rPr>
            <w:fldChar w:fldCharType="begin"/>
          </w:r>
          <w:r>
            <w:rPr>
              <w:color w:val="auto"/>
            </w:rPr>
            <w:instrText xml:space="preserve"> HYPERLINK \l "_bookmark99" </w:instrText>
          </w:r>
          <w:r>
            <w:rPr>
              <w:color w:val="auto"/>
            </w:rPr>
            <w:fldChar w:fldCharType="separate"/>
          </w:r>
          <w:r>
            <w:rPr>
              <w:color w:val="auto"/>
            </w:rPr>
            <w:t>九</w:t>
          </w:r>
          <w:r>
            <w:rPr>
              <w:color w:val="auto"/>
            </w:rPr>
            <w:fldChar w:fldCharType="end"/>
          </w:r>
          <w:r>
            <w:rPr>
              <w:color w:val="auto"/>
            </w:rPr>
            <w:fldChar w:fldCharType="begin"/>
          </w:r>
          <w:r>
            <w:rPr>
              <w:color w:val="auto"/>
            </w:rPr>
            <w:instrText xml:space="preserve"> HYPERLINK \l "_bookmark99" </w:instrText>
          </w:r>
          <w:r>
            <w:rPr>
              <w:color w:val="auto"/>
            </w:rPr>
            <w:fldChar w:fldCharType="separate"/>
          </w:r>
          <w:r>
            <w:rPr>
              <w:color w:val="auto"/>
            </w:rPr>
            <w:t>十八</w:t>
          </w:r>
          <w:r>
            <w:rPr>
              <w:color w:val="auto"/>
              <w:spacing w:val="-20"/>
            </w:rPr>
            <w:t>、</w:t>
          </w:r>
          <w:r>
            <w:rPr>
              <w:color w:val="auto"/>
            </w:rPr>
            <w:t>销售没有再利用产品标识的再利用电器电子产品</w:t>
          </w:r>
          <w:r>
            <w:rPr>
              <w:color w:val="auto"/>
              <w:spacing w:val="-17"/>
            </w:rPr>
            <w:t>、</w:t>
          </w:r>
          <w:r>
            <w:rPr>
              <w:color w:val="auto"/>
            </w:rPr>
            <w:t>没有再制造或者翻</w:t>
          </w:r>
          <w:r>
            <w:rPr>
              <w:color w:val="auto"/>
              <w:spacing w:val="-16"/>
            </w:rPr>
            <w:t>新</w:t>
          </w:r>
          <w:r>
            <w:rPr>
              <w:color w:val="auto"/>
              <w:spacing w:val="-16"/>
            </w:rPr>
            <w:fldChar w:fldCharType="end"/>
          </w:r>
          <w:r>
            <w:rPr>
              <w:color w:val="auto"/>
            </w:rPr>
            <w:t>产品标识的再制造或者翻新产品</w:t>
          </w:r>
          <w:r>
            <w:rPr>
              <w:color w:val="auto"/>
            </w:rPr>
            <w:tab/>
          </w:r>
          <w:r>
            <w:rPr>
              <w:color w:val="auto"/>
              <w:spacing w:val="-9"/>
            </w:rPr>
            <w:t>62</w:t>
          </w:r>
        </w:p>
        <w:p>
          <w:pPr>
            <w:pStyle w:val="8"/>
            <w:tabs>
              <w:tab w:val="left" w:leader="dot" w:pos="8683"/>
            </w:tabs>
            <w:spacing w:before="0" w:line="381" w:lineRule="exact"/>
            <w:jc w:val="both"/>
            <w:rPr>
              <w:color w:val="auto"/>
            </w:rPr>
          </w:pPr>
          <w:r>
            <w:rPr>
              <w:color w:val="auto"/>
            </w:rPr>
            <w:fldChar w:fldCharType="begin"/>
          </w:r>
          <w:r>
            <w:rPr>
              <w:color w:val="auto"/>
            </w:rPr>
            <w:instrText xml:space="preserve"> HYPERLINK \l "_bookmark100" </w:instrText>
          </w:r>
          <w:r>
            <w:rPr>
              <w:color w:val="auto"/>
            </w:rPr>
            <w:fldChar w:fldCharType="separate"/>
          </w:r>
          <w:r>
            <w:rPr>
              <w:color w:val="auto"/>
              <w:spacing w:val="-13"/>
            </w:rPr>
            <w:t>第三</w:t>
          </w:r>
          <w:r>
            <w:rPr>
              <w:color w:val="auto"/>
            </w:rPr>
            <w:t xml:space="preserve">章  </w:t>
          </w:r>
          <w:r>
            <w:rPr>
              <w:color w:val="auto"/>
              <w:spacing w:val="43"/>
            </w:rPr>
            <w:t xml:space="preserve"> </w:t>
          </w:r>
          <w:r>
            <w:rPr>
              <w:color w:val="auto"/>
              <w:spacing w:val="-13"/>
            </w:rPr>
            <w:t>网络商品</w:t>
          </w:r>
          <w:r>
            <w:rPr>
              <w:color w:val="auto"/>
              <w:spacing w:val="-10"/>
            </w:rPr>
            <w:t>交</w:t>
          </w:r>
          <w:r>
            <w:rPr>
              <w:color w:val="auto"/>
              <w:spacing w:val="-13"/>
            </w:rPr>
            <w:t>易监督管</w:t>
          </w:r>
          <w:r>
            <w:rPr>
              <w:color w:val="auto"/>
            </w:rPr>
            <w:t>理</w:t>
          </w:r>
          <w:r>
            <w:rPr>
              <w:color w:val="auto"/>
            </w:rPr>
            <w:tab/>
          </w:r>
          <w:r>
            <w:rPr>
              <w:color w:val="auto"/>
            </w:rPr>
            <w:t>63</w:t>
          </w:r>
          <w:r>
            <w:rPr>
              <w:color w:val="auto"/>
            </w:rPr>
            <w:fldChar w:fldCharType="end"/>
          </w:r>
        </w:p>
        <w:p>
          <w:pPr>
            <w:pStyle w:val="5"/>
            <w:tabs>
              <w:tab w:val="left" w:leader="dot" w:pos="8715"/>
            </w:tabs>
            <w:spacing w:before="99"/>
            <w:rPr>
              <w:color w:val="auto"/>
            </w:rPr>
          </w:pPr>
          <w:r>
            <w:rPr>
              <w:color w:val="auto"/>
            </w:rPr>
            <w:fldChar w:fldCharType="begin"/>
          </w:r>
          <w:r>
            <w:rPr>
              <w:color w:val="auto"/>
            </w:rPr>
            <w:instrText xml:space="preserve"> HYPERLINK \l "_bookmark101" </w:instrText>
          </w:r>
          <w:r>
            <w:rPr>
              <w:color w:val="auto"/>
            </w:rPr>
            <w:fldChar w:fldCharType="separate"/>
          </w:r>
          <w:r>
            <w:rPr>
              <w:color w:val="auto"/>
            </w:rPr>
            <w:t>九十九、电子商务经营者未按规定公示有关信息或者链接标识</w:t>
          </w:r>
          <w:r>
            <w:rPr>
              <w:color w:val="auto"/>
            </w:rPr>
            <w:tab/>
          </w:r>
          <w:r>
            <w:rPr>
              <w:color w:val="auto"/>
            </w:rPr>
            <w:t>63</w:t>
          </w:r>
          <w:r>
            <w:rPr>
              <w:color w:val="auto"/>
            </w:rPr>
            <w:fldChar w:fldCharType="end"/>
          </w:r>
        </w:p>
        <w:p>
          <w:pPr>
            <w:pStyle w:val="5"/>
            <w:tabs>
              <w:tab w:val="left" w:leader="dot" w:pos="8715"/>
            </w:tabs>
            <w:spacing w:after="59" w:line="480" w:lineRule="atLeast"/>
            <w:ind w:right="232"/>
            <w:rPr>
              <w:color w:val="auto"/>
            </w:rPr>
          </w:pPr>
          <w:r>
            <w:rPr>
              <w:color w:val="auto"/>
            </w:rPr>
            <w:fldChar w:fldCharType="begin"/>
          </w:r>
          <w:r>
            <w:rPr>
              <w:color w:val="auto"/>
            </w:rPr>
            <w:instrText xml:space="preserve"> HYPERLINK \l "_bookmark102"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"_bookmark102" </w:instrText>
          </w:r>
          <w:r>
            <w:rPr>
              <w:color w:val="auto"/>
            </w:rPr>
            <w:fldChar w:fldCharType="separate"/>
          </w:r>
          <w:r>
            <w:rPr>
              <w:color w:val="auto"/>
            </w:rPr>
            <w:t>百、电子商务经营者未明示用户信息查询、更正、删除以及用户注销的方式</w:t>
          </w:r>
          <w:r>
            <w:rPr>
              <w:color w:val="auto"/>
              <w:spacing w:val="-17"/>
            </w:rPr>
            <w:t>、</w:t>
          </w:r>
          <w:r>
            <w:rPr>
              <w:color w:val="auto"/>
              <w:spacing w:val="-17"/>
            </w:rPr>
            <w:fldChar w:fldCharType="end"/>
          </w:r>
          <w:r>
            <w:rPr>
              <w:color w:val="auto"/>
            </w:rPr>
            <w:t>程序，或者对用户信息查询、更正、删除以及用户注销设置不合理条件</w:t>
          </w:r>
          <w:r>
            <w:rPr>
              <w:color w:val="auto"/>
            </w:rPr>
            <w:tab/>
          </w:r>
          <w:r>
            <w:rPr>
              <w:color w:val="auto"/>
            </w:rPr>
            <w:t>64</w:t>
          </w:r>
        </w:p>
        <w:p>
          <w:pPr>
            <w:pStyle w:val="5"/>
            <w:tabs>
              <w:tab w:val="left" w:leader="dot" w:pos="8715"/>
            </w:tabs>
            <w:spacing w:before="123" w:line="374" w:lineRule="auto"/>
            <w:ind w:right="268"/>
            <w:rPr>
              <w:color w:val="auto"/>
            </w:rPr>
          </w:pPr>
          <w:r>
            <w:rPr>
              <w:color w:val="auto"/>
            </w:rPr>
            <w:fldChar w:fldCharType="begin"/>
          </w:r>
          <w:r>
            <w:rPr>
              <w:color w:val="auto"/>
            </w:rPr>
            <w:instrText xml:space="preserve"> HYPERLINK \l "_bookmark103" </w:instrText>
          </w:r>
          <w:r>
            <w:rPr>
              <w:color w:val="auto"/>
            </w:rPr>
            <w:fldChar w:fldCharType="separate"/>
          </w:r>
          <w:r>
            <w:rPr>
              <w:color w:val="auto"/>
            </w:rPr>
            <w:t>一百零一、电子商务平台经营者对平台内经营者的违法行为未采取必要措施</w:t>
          </w:r>
          <w:r>
            <w:rPr>
              <w:rFonts w:ascii="Times New Roman" w:eastAsia="Times New Roman"/>
              <w:color w:val="auto"/>
              <w:position w:val="2"/>
            </w:rPr>
            <w:t>...</w:t>
          </w:r>
          <w:r>
            <w:rPr>
              <w:rFonts w:ascii="Times New Roman" w:eastAsia="Times New Roman"/>
              <w:color w:val="auto"/>
              <w:spacing w:val="-36"/>
              <w:position w:val="2"/>
            </w:rPr>
            <w:t xml:space="preserve"> </w:t>
          </w:r>
          <w:r>
            <w:rPr>
              <w:color w:val="auto"/>
              <w:spacing w:val="-9"/>
            </w:rPr>
            <w:t xml:space="preserve">65 </w:t>
          </w:r>
          <w:r>
            <w:rPr>
              <w:color w:val="auto"/>
              <w:spacing w:val="-9"/>
            </w:rPr>
            <w:fldChar w:fldCharType="end"/>
          </w:r>
          <w:r>
            <w:rPr>
              <w:color w:val="auto"/>
            </w:rPr>
            <w:fldChar w:fldCharType="begin"/>
          </w:r>
          <w:r>
            <w:rPr>
              <w:color w:val="auto"/>
            </w:rPr>
            <w:instrText xml:space="preserve"> HYPERLINK \l "_bookmark104" </w:instrText>
          </w:r>
          <w:r>
            <w:rPr>
              <w:color w:val="auto"/>
            </w:rPr>
            <w:fldChar w:fldCharType="separate"/>
          </w:r>
          <w:r>
            <w:rPr>
              <w:color w:val="auto"/>
              <w:spacing w:val="-22"/>
            </w:rPr>
            <w:t>一百</w:t>
          </w:r>
          <w:r>
            <w:rPr>
              <w:color w:val="auto"/>
              <w:spacing w:val="-24"/>
            </w:rPr>
            <w:t>零</w:t>
          </w:r>
          <w:r>
            <w:rPr>
              <w:color w:val="auto"/>
              <w:spacing w:val="-22"/>
            </w:rPr>
            <w:t>二、电子</w:t>
          </w:r>
          <w:r>
            <w:rPr>
              <w:color w:val="auto"/>
              <w:spacing w:val="-24"/>
            </w:rPr>
            <w:t>商</w:t>
          </w:r>
          <w:r>
            <w:rPr>
              <w:color w:val="auto"/>
              <w:spacing w:val="-22"/>
            </w:rPr>
            <w:t>务经营者未</w:t>
          </w:r>
          <w:r>
            <w:rPr>
              <w:color w:val="auto"/>
              <w:spacing w:val="-24"/>
            </w:rPr>
            <w:t>按</w:t>
          </w:r>
          <w:r>
            <w:rPr>
              <w:color w:val="auto"/>
              <w:spacing w:val="-22"/>
            </w:rPr>
            <w:t>规定提供搜</w:t>
          </w:r>
          <w:r>
            <w:rPr>
              <w:color w:val="auto"/>
              <w:spacing w:val="-24"/>
            </w:rPr>
            <w:t>索</w:t>
          </w:r>
          <w:r>
            <w:rPr>
              <w:color w:val="auto"/>
              <w:spacing w:val="-22"/>
            </w:rPr>
            <w:t>结果，或者</w:t>
          </w:r>
          <w:r>
            <w:rPr>
              <w:color w:val="auto"/>
              <w:spacing w:val="-24"/>
            </w:rPr>
            <w:t>未</w:t>
          </w:r>
          <w:r>
            <w:rPr>
              <w:color w:val="auto"/>
              <w:spacing w:val="-22"/>
            </w:rPr>
            <w:t>按规定搭售</w:t>
          </w:r>
          <w:r>
            <w:rPr>
              <w:color w:val="auto"/>
              <w:spacing w:val="-24"/>
            </w:rPr>
            <w:t>商</w:t>
          </w:r>
          <w:r>
            <w:rPr>
              <w:color w:val="auto"/>
              <w:spacing w:val="-22"/>
            </w:rPr>
            <w:t>品、服务</w:t>
          </w:r>
          <w:r>
            <w:rPr>
              <w:color w:val="auto"/>
              <w:spacing w:val="-22"/>
            </w:rPr>
            <w:tab/>
          </w:r>
          <w:r>
            <w:rPr>
              <w:color w:val="auto"/>
              <w:spacing w:val="-9"/>
            </w:rPr>
            <w:t>65</w:t>
          </w:r>
          <w:r>
            <w:rPr>
              <w:color w:val="auto"/>
              <w:spacing w:val="-9"/>
            </w:rPr>
            <w:fldChar w:fldCharType="end"/>
          </w:r>
        </w:p>
        <w:p>
          <w:pPr>
            <w:pStyle w:val="5"/>
            <w:tabs>
              <w:tab w:val="left" w:leader="dot" w:pos="8715"/>
            </w:tabs>
            <w:spacing w:before="1" w:line="374" w:lineRule="auto"/>
            <w:ind w:right="268"/>
            <w:rPr>
              <w:color w:val="auto"/>
            </w:rPr>
          </w:pPr>
          <w:r>
            <w:rPr>
              <w:color w:val="auto"/>
            </w:rPr>
            <w:fldChar w:fldCharType="begin"/>
          </w:r>
          <w:r>
            <w:rPr>
              <w:color w:val="auto"/>
            </w:rPr>
            <w:instrText xml:space="preserve"> HYPERLINK \l "_bookmark105"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"_bookmark105" </w:instrText>
          </w:r>
          <w:r>
            <w:rPr>
              <w:color w:val="auto"/>
            </w:rPr>
            <w:fldChar w:fldCharType="separate"/>
          </w:r>
          <w:r>
            <w:rPr>
              <w:color w:val="auto"/>
            </w:rPr>
            <w:t>百零三</w:t>
          </w:r>
          <w:r>
            <w:rPr>
              <w:color w:val="auto"/>
              <w:spacing w:val="-12"/>
            </w:rPr>
            <w:t>、</w:t>
          </w:r>
          <w:r>
            <w:rPr>
              <w:color w:val="auto"/>
            </w:rPr>
            <w:t>电子商务经营者未向消费者明示押金退还的方式</w:t>
          </w:r>
          <w:r>
            <w:rPr>
              <w:color w:val="auto"/>
              <w:spacing w:val="-12"/>
            </w:rPr>
            <w:t>、</w:t>
          </w:r>
          <w:r>
            <w:rPr>
              <w:color w:val="auto"/>
            </w:rPr>
            <w:t>程序</w:t>
          </w:r>
          <w:r>
            <w:rPr>
              <w:color w:val="auto"/>
              <w:spacing w:val="-12"/>
            </w:rPr>
            <w:t>，</w:t>
          </w:r>
          <w:r>
            <w:rPr>
              <w:color w:val="auto"/>
            </w:rPr>
            <w:t>或者对押</w:t>
          </w:r>
          <w:r>
            <w:rPr>
              <w:color w:val="auto"/>
              <w:spacing w:val="-17"/>
            </w:rPr>
            <w:t>金</w:t>
          </w:r>
          <w:r>
            <w:rPr>
              <w:color w:val="auto"/>
              <w:spacing w:val="-17"/>
            </w:rPr>
            <w:fldChar w:fldCharType="end"/>
          </w:r>
          <w:r>
            <w:rPr>
              <w:color w:val="auto"/>
            </w:rPr>
            <w:t>退还设置不合理条件，或者不及时退还押金</w:t>
          </w:r>
          <w:r>
            <w:rPr>
              <w:color w:val="auto"/>
            </w:rPr>
            <w:tab/>
          </w:r>
          <w:r>
            <w:rPr>
              <w:color w:val="auto"/>
              <w:spacing w:val="-9"/>
            </w:rPr>
            <w:t>66</w:t>
          </w:r>
        </w:p>
        <w:p>
          <w:pPr>
            <w:pStyle w:val="5"/>
            <w:tabs>
              <w:tab w:val="left" w:leader="dot" w:pos="8715"/>
            </w:tabs>
            <w:spacing w:line="308" w:lineRule="exact"/>
            <w:rPr>
              <w:color w:val="auto"/>
            </w:rPr>
          </w:pPr>
          <w:r>
            <w:rPr>
              <w:color w:val="auto"/>
            </w:rPr>
            <w:fldChar w:fldCharType="begin"/>
          </w:r>
          <w:r>
            <w:rPr>
              <w:color w:val="auto"/>
            </w:rPr>
            <w:instrText xml:space="preserve"> HYPERLINK \l "_bookmark106" </w:instrText>
          </w:r>
          <w:r>
            <w:rPr>
              <w:color w:val="auto"/>
            </w:rPr>
            <w:fldChar w:fldCharType="separate"/>
          </w:r>
          <w:r>
            <w:rPr>
              <w:color w:val="auto"/>
            </w:rPr>
            <w:t>一百零四、电子商务平台经营者未履行法定的核验、登记义务</w:t>
          </w:r>
          <w:r>
            <w:rPr>
              <w:color w:val="auto"/>
            </w:rPr>
            <w:tab/>
          </w:r>
          <w:r>
            <w:rPr>
              <w:color w:val="auto"/>
            </w:rPr>
            <w:t>67</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"_bookmark107" </w:instrText>
          </w:r>
          <w:r>
            <w:rPr>
              <w:color w:val="auto"/>
            </w:rPr>
            <w:fldChar w:fldCharType="separate"/>
          </w:r>
          <w:r>
            <w:rPr>
              <w:color w:val="auto"/>
            </w:rPr>
            <w:t>一百零五、电子商务平台经营者未依法报送有关信息</w:t>
          </w:r>
          <w:r>
            <w:rPr>
              <w:color w:val="auto"/>
            </w:rPr>
            <w:tab/>
          </w:r>
          <w:r>
            <w:rPr>
              <w:color w:val="auto"/>
            </w:rPr>
            <w:t>68</w:t>
          </w:r>
          <w:r>
            <w:rPr>
              <w:color w:val="auto"/>
            </w:rPr>
            <w:fldChar w:fldCharType="end"/>
          </w:r>
        </w:p>
        <w:p>
          <w:pPr>
            <w:pStyle w:val="5"/>
            <w:tabs>
              <w:tab w:val="left" w:leader="dot" w:pos="8715"/>
            </w:tabs>
            <w:spacing w:before="173" w:line="374" w:lineRule="auto"/>
            <w:ind w:right="268"/>
            <w:rPr>
              <w:color w:val="auto"/>
            </w:rPr>
          </w:pPr>
          <w:r>
            <w:rPr>
              <w:color w:val="auto"/>
            </w:rPr>
            <w:fldChar w:fldCharType="begin"/>
          </w:r>
          <w:r>
            <w:rPr>
              <w:color w:val="auto"/>
            </w:rPr>
            <w:instrText xml:space="preserve"> HYPERLINK \l "_bookmark108"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"_bookmark108" </w:instrText>
          </w:r>
          <w:r>
            <w:rPr>
              <w:color w:val="auto"/>
            </w:rPr>
            <w:fldChar w:fldCharType="separate"/>
          </w:r>
          <w:r>
            <w:rPr>
              <w:color w:val="auto"/>
            </w:rPr>
            <w:t>百零六</w:t>
          </w:r>
          <w:r>
            <w:rPr>
              <w:color w:val="auto"/>
              <w:spacing w:val="-20"/>
            </w:rPr>
            <w:t>、</w:t>
          </w:r>
          <w:r>
            <w:rPr>
              <w:color w:val="auto"/>
            </w:rPr>
            <w:t>电子商务平台经营者没有对发现的违法情形采取必要的处置措施</w:t>
          </w:r>
          <w:r>
            <w:rPr>
              <w:color w:val="auto"/>
              <w:spacing w:val="-17"/>
            </w:rPr>
            <w:t>，</w:t>
          </w:r>
          <w:r>
            <w:rPr>
              <w:color w:val="auto"/>
              <w:spacing w:val="-16"/>
            </w:rPr>
            <w:t>或</w:t>
          </w:r>
          <w:r>
            <w:rPr>
              <w:color w:val="auto"/>
              <w:spacing w:val="-16"/>
            </w:rPr>
            <w:fldChar w:fldCharType="end"/>
          </w:r>
          <w:r>
            <w:rPr>
              <w:color w:val="auto"/>
            </w:rPr>
            <w:t>者没有向有关主管部门报告</w:t>
          </w:r>
          <w:r>
            <w:rPr>
              <w:color w:val="auto"/>
            </w:rPr>
            <w:tab/>
          </w:r>
          <w:r>
            <w:rPr>
              <w:color w:val="auto"/>
              <w:spacing w:val="-9"/>
            </w:rPr>
            <w:t>68</w:t>
          </w:r>
        </w:p>
        <w:p>
          <w:pPr>
            <w:pStyle w:val="5"/>
            <w:tabs>
              <w:tab w:val="left" w:leader="dot" w:pos="8715"/>
            </w:tabs>
            <w:spacing w:line="308" w:lineRule="exact"/>
            <w:rPr>
              <w:color w:val="auto"/>
            </w:rPr>
          </w:pPr>
          <w:r>
            <w:rPr>
              <w:color w:val="auto"/>
            </w:rPr>
            <w:fldChar w:fldCharType="begin"/>
          </w:r>
          <w:r>
            <w:rPr>
              <w:color w:val="auto"/>
            </w:rPr>
            <w:instrText xml:space="preserve"> HYPERLINK \l "_bookmark109" </w:instrText>
          </w:r>
          <w:r>
            <w:rPr>
              <w:color w:val="auto"/>
            </w:rPr>
            <w:fldChar w:fldCharType="separate"/>
          </w:r>
          <w:r>
            <w:rPr>
              <w:color w:val="auto"/>
              <w:spacing w:val="-22"/>
            </w:rPr>
            <w:t>一百</w:t>
          </w:r>
          <w:r>
            <w:rPr>
              <w:color w:val="auto"/>
              <w:spacing w:val="-24"/>
            </w:rPr>
            <w:t>零</w:t>
          </w:r>
          <w:r>
            <w:rPr>
              <w:color w:val="auto"/>
              <w:spacing w:val="-22"/>
            </w:rPr>
            <w:t>七、电子商</w:t>
          </w:r>
          <w:r>
            <w:rPr>
              <w:color w:val="auto"/>
              <w:spacing w:val="-24"/>
            </w:rPr>
            <w:t>务</w:t>
          </w:r>
          <w:r>
            <w:rPr>
              <w:color w:val="auto"/>
              <w:spacing w:val="-22"/>
            </w:rPr>
            <w:t>平台经营者</w:t>
          </w:r>
          <w:r>
            <w:rPr>
              <w:color w:val="auto"/>
              <w:spacing w:val="-24"/>
            </w:rPr>
            <w:t>不</w:t>
          </w:r>
          <w:r>
            <w:rPr>
              <w:color w:val="auto"/>
              <w:spacing w:val="-22"/>
            </w:rPr>
            <w:t>依法履行商</w:t>
          </w:r>
          <w:r>
            <w:rPr>
              <w:color w:val="auto"/>
              <w:spacing w:val="-24"/>
            </w:rPr>
            <w:t>品</w:t>
          </w:r>
          <w:r>
            <w:rPr>
              <w:color w:val="auto"/>
              <w:spacing w:val="-22"/>
            </w:rPr>
            <w:t>和服务信息</w:t>
          </w:r>
          <w:r>
            <w:rPr>
              <w:color w:val="auto"/>
              <w:spacing w:val="-24"/>
            </w:rPr>
            <w:t>、</w:t>
          </w:r>
          <w:r>
            <w:rPr>
              <w:color w:val="auto"/>
              <w:spacing w:val="-22"/>
            </w:rPr>
            <w:t>交易信息保</w:t>
          </w:r>
          <w:r>
            <w:rPr>
              <w:color w:val="auto"/>
              <w:spacing w:val="-24"/>
            </w:rPr>
            <w:t>存</w:t>
          </w:r>
          <w:r>
            <w:rPr>
              <w:color w:val="auto"/>
              <w:spacing w:val="-22"/>
            </w:rPr>
            <w:t>义务</w:t>
          </w:r>
          <w:r>
            <w:rPr>
              <w:color w:val="auto"/>
              <w:spacing w:val="-22"/>
            </w:rPr>
            <w:tab/>
          </w:r>
          <w:r>
            <w:rPr>
              <w:color w:val="auto"/>
            </w:rPr>
            <w:t>70</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"_bookmark110" </w:instrText>
          </w:r>
          <w:r>
            <w:rPr>
              <w:color w:val="auto"/>
            </w:rPr>
            <w:fldChar w:fldCharType="separate"/>
          </w:r>
          <w:r>
            <w:rPr>
              <w:color w:val="auto"/>
            </w:rPr>
            <w:t>一百零八、电子商务平台经营者未按规定公示有关信息或者链接标识</w:t>
          </w:r>
          <w:r>
            <w:rPr>
              <w:color w:val="auto"/>
            </w:rPr>
            <w:tab/>
          </w:r>
          <w:r>
            <w:rPr>
              <w:color w:val="auto"/>
            </w:rPr>
            <w:t>70</w:t>
          </w:r>
          <w:r>
            <w:rPr>
              <w:color w:val="auto"/>
            </w:rPr>
            <w:fldChar w:fldCharType="end"/>
          </w:r>
        </w:p>
        <w:p>
          <w:pPr>
            <w:pStyle w:val="5"/>
            <w:tabs>
              <w:tab w:val="left" w:leader="dot" w:pos="8715"/>
            </w:tabs>
            <w:spacing w:before="173" w:line="374" w:lineRule="auto"/>
            <w:ind w:right="268"/>
            <w:rPr>
              <w:color w:val="auto"/>
            </w:rPr>
          </w:pPr>
          <w:r>
            <w:rPr>
              <w:color w:val="auto"/>
            </w:rPr>
            <w:fldChar w:fldCharType="begin"/>
          </w:r>
          <w:r>
            <w:rPr>
              <w:color w:val="auto"/>
            </w:rPr>
            <w:instrText xml:space="preserve"> HYPERLINK \l "_bookmark111"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"_bookmark111" </w:instrText>
          </w:r>
          <w:r>
            <w:rPr>
              <w:color w:val="auto"/>
            </w:rPr>
            <w:fldChar w:fldCharType="separate"/>
          </w:r>
          <w:r>
            <w:rPr>
              <w:color w:val="auto"/>
            </w:rPr>
            <w:t>百零九</w:t>
          </w:r>
          <w:r>
            <w:rPr>
              <w:color w:val="auto"/>
              <w:spacing w:val="-20"/>
            </w:rPr>
            <w:t>、</w:t>
          </w:r>
          <w:r>
            <w:rPr>
              <w:color w:val="auto"/>
            </w:rPr>
            <w:t>电子商务平台经营者修改交易规则未按规定公开或公示</w:t>
          </w:r>
          <w:r>
            <w:rPr>
              <w:color w:val="auto"/>
              <w:spacing w:val="-17"/>
            </w:rPr>
            <w:t>，</w:t>
          </w:r>
          <w:r>
            <w:rPr>
              <w:color w:val="auto"/>
            </w:rPr>
            <w:t>或者阻止</w:t>
          </w:r>
          <w:r>
            <w:rPr>
              <w:color w:val="auto"/>
              <w:spacing w:val="-16"/>
            </w:rPr>
            <w:t>平</w:t>
          </w:r>
          <w:r>
            <w:rPr>
              <w:color w:val="auto"/>
              <w:spacing w:val="-16"/>
            </w:rPr>
            <w:fldChar w:fldCharType="end"/>
          </w:r>
          <w:r>
            <w:rPr>
              <w:color w:val="auto"/>
            </w:rPr>
            <w:t>台内经营者退出</w:t>
          </w:r>
          <w:r>
            <w:rPr>
              <w:color w:val="auto"/>
            </w:rPr>
            <w:tab/>
          </w:r>
          <w:r>
            <w:rPr>
              <w:color w:val="auto"/>
              <w:spacing w:val="-9"/>
            </w:rPr>
            <w:t>71</w:t>
          </w:r>
        </w:p>
        <w:p>
          <w:pPr>
            <w:pStyle w:val="5"/>
            <w:tabs>
              <w:tab w:val="left" w:leader="dot" w:pos="8715"/>
            </w:tabs>
            <w:spacing w:line="374" w:lineRule="auto"/>
            <w:ind w:right="268"/>
            <w:rPr>
              <w:color w:val="auto"/>
            </w:rPr>
          </w:pPr>
          <w:r>
            <w:rPr>
              <w:color w:val="auto"/>
            </w:rPr>
            <w:fldChar w:fldCharType="begin"/>
          </w:r>
          <w:r>
            <w:rPr>
              <w:color w:val="auto"/>
            </w:rPr>
            <w:instrText xml:space="preserve"> HYPERLINK \l "_bookmark112"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"_bookmark112" </w:instrText>
          </w:r>
          <w:r>
            <w:rPr>
              <w:color w:val="auto"/>
            </w:rPr>
            <w:fldChar w:fldCharType="separate"/>
          </w:r>
          <w:r>
            <w:rPr>
              <w:color w:val="auto"/>
            </w:rPr>
            <w:t>百一十</w:t>
          </w:r>
          <w:r>
            <w:rPr>
              <w:color w:val="auto"/>
              <w:spacing w:val="-36"/>
            </w:rPr>
            <w:t>、</w:t>
          </w:r>
          <w:r>
            <w:rPr>
              <w:color w:val="auto"/>
            </w:rPr>
            <w:t>电子商务平台经营者未以显著方式区分标记自营业务和平台内经营</w:t>
          </w:r>
          <w:r>
            <w:rPr>
              <w:color w:val="auto"/>
              <w:spacing w:val="-17"/>
            </w:rPr>
            <w:t>者</w:t>
          </w:r>
          <w:r>
            <w:rPr>
              <w:color w:val="auto"/>
              <w:spacing w:val="-17"/>
            </w:rPr>
            <w:fldChar w:fldCharType="end"/>
          </w:r>
          <w:r>
            <w:rPr>
              <w:color w:val="auto"/>
            </w:rPr>
            <w:t>开展的业务</w:t>
          </w:r>
          <w:r>
            <w:rPr>
              <w:color w:val="auto"/>
            </w:rPr>
            <w:tab/>
          </w:r>
          <w:r>
            <w:rPr>
              <w:color w:val="auto"/>
              <w:spacing w:val="-9"/>
            </w:rPr>
            <w:t>72</w:t>
          </w:r>
        </w:p>
        <w:p>
          <w:pPr>
            <w:pStyle w:val="5"/>
            <w:tabs>
              <w:tab w:val="left" w:leader="dot" w:pos="8715"/>
            </w:tabs>
            <w:spacing w:before="1" w:line="374" w:lineRule="auto"/>
            <w:ind w:right="268"/>
            <w:rPr>
              <w:color w:val="auto"/>
            </w:rPr>
          </w:pPr>
          <w:r>
            <w:rPr>
              <w:color w:val="auto"/>
            </w:rPr>
            <w:fldChar w:fldCharType="begin"/>
          </w:r>
          <w:r>
            <w:rPr>
              <w:color w:val="auto"/>
            </w:rPr>
            <w:instrText xml:space="preserve"> HYPERLINK \l "_bookmark113"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"_bookmark113" </w:instrText>
          </w:r>
          <w:r>
            <w:rPr>
              <w:color w:val="auto"/>
            </w:rPr>
            <w:fldChar w:fldCharType="separate"/>
          </w:r>
          <w:r>
            <w:rPr>
              <w:color w:val="auto"/>
            </w:rPr>
            <w:t>百一十一</w:t>
          </w:r>
          <w:r>
            <w:rPr>
              <w:color w:val="auto"/>
              <w:spacing w:val="-36"/>
            </w:rPr>
            <w:t>、</w:t>
          </w:r>
          <w:r>
            <w:rPr>
              <w:color w:val="auto"/>
            </w:rPr>
            <w:t>电子商务平台经营者未为消费者提供对平台内销售的商品或者提</w:t>
          </w:r>
          <w:r>
            <w:rPr>
              <w:color w:val="auto"/>
              <w:spacing w:val="-17"/>
            </w:rPr>
            <w:t>供</w:t>
          </w:r>
          <w:r>
            <w:rPr>
              <w:color w:val="auto"/>
              <w:spacing w:val="-17"/>
            </w:rPr>
            <w:fldChar w:fldCharType="end"/>
          </w:r>
          <w:r>
            <w:rPr>
              <w:color w:val="auto"/>
            </w:rPr>
            <w:t>的服务进行评价的途径，或者擅自删除消费者的评价</w:t>
          </w:r>
          <w:r>
            <w:rPr>
              <w:color w:val="auto"/>
            </w:rPr>
            <w:tab/>
          </w:r>
          <w:r>
            <w:rPr>
              <w:color w:val="auto"/>
              <w:spacing w:val="-9"/>
            </w:rPr>
            <w:t>73</w:t>
          </w:r>
        </w:p>
        <w:p>
          <w:pPr>
            <w:pStyle w:val="5"/>
            <w:tabs>
              <w:tab w:val="left" w:leader="dot" w:pos="8715"/>
            </w:tabs>
            <w:spacing w:line="374" w:lineRule="auto"/>
            <w:ind w:right="268"/>
            <w:rPr>
              <w:color w:val="auto"/>
            </w:rPr>
          </w:pPr>
          <w:r>
            <w:rPr>
              <w:color w:val="auto"/>
            </w:rPr>
            <w:fldChar w:fldCharType="begin"/>
          </w:r>
          <w:r>
            <w:rPr>
              <w:color w:val="auto"/>
            </w:rPr>
            <w:instrText xml:space="preserve"> HYPERLINK \l "_bookmark114"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"_bookmark114" </w:instrText>
          </w:r>
          <w:r>
            <w:rPr>
              <w:color w:val="auto"/>
            </w:rPr>
            <w:fldChar w:fldCharType="separate"/>
          </w:r>
          <w:r>
            <w:rPr>
              <w:color w:val="auto"/>
            </w:rPr>
            <w:t>百一十二</w:t>
          </w:r>
          <w:r>
            <w:rPr>
              <w:color w:val="auto"/>
              <w:spacing w:val="-36"/>
            </w:rPr>
            <w:t>、</w:t>
          </w:r>
          <w:r>
            <w:rPr>
              <w:color w:val="auto"/>
            </w:rPr>
            <w:t>电子商务平台经营者对平台内交易进行不合理限制或者附加不合</w:t>
          </w:r>
          <w:r>
            <w:rPr>
              <w:color w:val="auto"/>
              <w:spacing w:val="-17"/>
            </w:rPr>
            <w:t>理</w:t>
          </w:r>
          <w:r>
            <w:rPr>
              <w:color w:val="auto"/>
              <w:spacing w:val="-17"/>
            </w:rPr>
            <w:fldChar w:fldCharType="end"/>
          </w:r>
          <w:r>
            <w:rPr>
              <w:color w:val="auto"/>
            </w:rPr>
            <w:t>条件，或者收取不合理费用</w:t>
          </w:r>
          <w:r>
            <w:rPr>
              <w:color w:val="auto"/>
            </w:rPr>
            <w:tab/>
          </w:r>
          <w:r>
            <w:rPr>
              <w:color w:val="auto"/>
              <w:spacing w:val="-9"/>
            </w:rPr>
            <w:t>73</w:t>
          </w:r>
        </w:p>
        <w:p>
          <w:pPr>
            <w:pStyle w:val="5"/>
            <w:tabs>
              <w:tab w:val="left" w:leader="dot" w:pos="8715"/>
            </w:tabs>
            <w:spacing w:before="1" w:line="374" w:lineRule="auto"/>
            <w:ind w:left="567" w:right="256" w:firstLine="24"/>
            <w:rPr>
              <w:color w:val="auto"/>
            </w:rPr>
          </w:pPr>
          <w:r>
            <w:rPr>
              <w:color w:val="auto"/>
            </w:rPr>
            <w:fldChar w:fldCharType="begin"/>
          </w:r>
          <w:r>
            <w:rPr>
              <w:color w:val="auto"/>
            </w:rPr>
            <w:instrText xml:space="preserve"> HYPERLINK \l "_bookmark115" </w:instrText>
          </w:r>
          <w:r>
            <w:rPr>
              <w:color w:val="auto"/>
            </w:rPr>
            <w:fldChar w:fldCharType="separate"/>
          </w:r>
          <w:r>
            <w:rPr>
              <w:color w:val="auto"/>
              <w:spacing w:val="-12"/>
            </w:rPr>
            <w:t>一</w:t>
          </w:r>
          <w:r>
            <w:rPr>
              <w:color w:val="auto"/>
              <w:spacing w:val="-12"/>
            </w:rPr>
            <w:fldChar w:fldCharType="end"/>
          </w:r>
          <w:r>
            <w:rPr>
              <w:color w:val="auto"/>
            </w:rPr>
            <w:fldChar w:fldCharType="begin"/>
          </w:r>
          <w:r>
            <w:rPr>
              <w:color w:val="auto"/>
            </w:rPr>
            <w:instrText xml:space="preserve"> HYPERLINK \l "_bookmark115" </w:instrText>
          </w:r>
          <w:r>
            <w:rPr>
              <w:color w:val="auto"/>
            </w:rPr>
            <w:fldChar w:fldCharType="separate"/>
          </w:r>
          <w:r>
            <w:rPr>
              <w:color w:val="auto"/>
              <w:spacing w:val="-12"/>
            </w:rPr>
            <w:t>百一十三</w:t>
          </w:r>
          <w:r>
            <w:rPr>
              <w:color w:val="auto"/>
              <w:spacing w:val="-48"/>
            </w:rPr>
            <w:t>、</w:t>
          </w:r>
          <w:r>
            <w:rPr>
              <w:color w:val="auto"/>
              <w:spacing w:val="-12"/>
            </w:rPr>
            <w:t>电子商务平台经营者对侵害消费者合法权益行为未采取必要措施</w:t>
          </w:r>
          <w:r>
            <w:rPr>
              <w:color w:val="auto"/>
              <w:spacing w:val="-48"/>
            </w:rPr>
            <w:t>，</w:t>
          </w:r>
          <w:r>
            <w:rPr>
              <w:color w:val="auto"/>
              <w:spacing w:val="-12"/>
            </w:rPr>
            <w:t>或</w:t>
          </w:r>
          <w:r>
            <w:rPr>
              <w:color w:val="auto"/>
              <w:spacing w:val="-17"/>
            </w:rPr>
            <w:t>者</w:t>
          </w:r>
          <w:r>
            <w:rPr>
              <w:color w:val="auto"/>
              <w:spacing w:val="-17"/>
            </w:rPr>
            <w:fldChar w:fldCharType="end"/>
          </w:r>
          <w:r>
            <w:rPr>
              <w:color w:val="auto"/>
              <w:spacing w:val="-12"/>
            </w:rPr>
            <w:t>对平台内经营者未尽到资质资格审核义务，或者对消费者未尽到安全保障义</w:t>
          </w:r>
          <w:r>
            <w:rPr>
              <w:color w:val="auto"/>
            </w:rPr>
            <w:t>务</w:t>
          </w:r>
          <w:r>
            <w:rPr>
              <w:color w:val="auto"/>
            </w:rPr>
            <w:tab/>
          </w:r>
          <w:r>
            <w:rPr>
              <w:color w:val="auto"/>
            </w:rPr>
            <w:t>74</w:t>
          </w:r>
        </w:p>
        <w:p>
          <w:pPr>
            <w:pStyle w:val="5"/>
            <w:tabs>
              <w:tab w:val="left" w:leader="dot" w:pos="8715"/>
            </w:tabs>
            <w:spacing w:line="308" w:lineRule="exact"/>
            <w:rPr>
              <w:color w:val="auto"/>
            </w:rPr>
          </w:pPr>
          <w:r>
            <w:rPr>
              <w:color w:val="auto"/>
            </w:rPr>
            <w:fldChar w:fldCharType="begin"/>
          </w:r>
          <w:r>
            <w:rPr>
              <w:color w:val="auto"/>
            </w:rPr>
            <w:instrText xml:space="preserve"> HYPERLINK \l "_bookmark116" </w:instrText>
          </w:r>
          <w:r>
            <w:rPr>
              <w:color w:val="auto"/>
            </w:rPr>
            <w:fldChar w:fldCharType="separate"/>
          </w:r>
          <w:r>
            <w:rPr>
              <w:color w:val="auto"/>
            </w:rPr>
            <w:t>一百一十四、电子商务平台经营者对实施侵犯知识产权行为未采取必要措施</w:t>
          </w:r>
          <w:r>
            <w:rPr>
              <w:color w:val="auto"/>
            </w:rPr>
            <w:tab/>
          </w:r>
          <w:r>
            <w:rPr>
              <w:color w:val="auto"/>
            </w:rPr>
            <w:t>75</w:t>
          </w:r>
          <w:r>
            <w:rPr>
              <w:color w:val="auto"/>
            </w:rPr>
            <w:fldChar w:fldCharType="end"/>
          </w:r>
        </w:p>
        <w:p>
          <w:pPr>
            <w:pStyle w:val="5"/>
            <w:tabs>
              <w:tab w:val="left" w:leader="dot" w:pos="8715"/>
            </w:tabs>
            <w:spacing w:before="173" w:line="374" w:lineRule="auto"/>
            <w:ind w:right="232"/>
            <w:rPr>
              <w:color w:val="auto"/>
            </w:rPr>
          </w:pPr>
          <w:r>
            <w:rPr>
              <w:color w:val="auto"/>
            </w:rPr>
            <w:fldChar w:fldCharType="begin"/>
          </w:r>
          <w:r>
            <w:rPr>
              <w:color w:val="auto"/>
            </w:rPr>
            <w:instrText xml:space="preserve"> HYPERLINK \l "_bookmark117"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"_bookmark117" </w:instrText>
          </w:r>
          <w:r>
            <w:rPr>
              <w:color w:val="auto"/>
            </w:rPr>
            <w:fldChar w:fldCharType="separate"/>
          </w:r>
          <w:r>
            <w:rPr>
              <w:color w:val="auto"/>
            </w:rPr>
            <w:t>百一十五、从事网络商品交易的自然人未通过第三方交易平台开展经营活动</w:t>
          </w:r>
          <w:r>
            <w:rPr>
              <w:color w:val="auto"/>
              <w:spacing w:val="-17"/>
            </w:rPr>
            <w:t xml:space="preserve">， </w:t>
          </w:r>
          <w:r>
            <w:rPr>
              <w:color w:val="auto"/>
              <w:spacing w:val="-17"/>
            </w:rPr>
            <w:fldChar w:fldCharType="end"/>
          </w:r>
          <w:r>
            <w:rPr>
              <w:color w:val="auto"/>
            </w:rPr>
            <w:t>或者未提交真实身份信息，或者具备登记注册条件而未依法办理工商登记</w:t>
          </w:r>
          <w:r>
            <w:rPr>
              <w:color w:val="auto"/>
            </w:rPr>
            <w:tab/>
          </w:r>
          <w:r>
            <w:rPr>
              <w:color w:val="auto"/>
            </w:rPr>
            <w:t>76</w:t>
          </w:r>
        </w:p>
        <w:p>
          <w:pPr>
            <w:pStyle w:val="5"/>
            <w:tabs>
              <w:tab w:val="left" w:leader="dot" w:pos="8715"/>
            </w:tabs>
            <w:spacing w:line="374" w:lineRule="auto"/>
            <w:ind w:right="268"/>
            <w:rPr>
              <w:color w:val="auto"/>
            </w:rPr>
          </w:pPr>
          <w:r>
            <w:rPr>
              <w:color w:val="auto"/>
            </w:rPr>
            <w:fldChar w:fldCharType="begin"/>
          </w:r>
          <w:r>
            <w:rPr>
              <w:color w:val="auto"/>
            </w:rPr>
            <w:instrText xml:space="preserve"> HYPERLINK \l "_bookmark118"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"_bookmark118" </w:instrText>
          </w:r>
          <w:r>
            <w:rPr>
              <w:color w:val="auto"/>
            </w:rPr>
            <w:fldChar w:fldCharType="separate"/>
          </w:r>
          <w:r>
            <w:rPr>
              <w:color w:val="auto"/>
            </w:rPr>
            <w:t>百一十六</w:t>
          </w:r>
          <w:r>
            <w:rPr>
              <w:color w:val="auto"/>
              <w:spacing w:val="-12"/>
            </w:rPr>
            <w:t>、</w:t>
          </w:r>
          <w:r>
            <w:rPr>
              <w:color w:val="auto"/>
            </w:rPr>
            <w:t>第三方交易平台经营者未对经营主体身份进行审查</w:t>
          </w:r>
          <w:r>
            <w:rPr>
              <w:color w:val="auto"/>
              <w:spacing w:val="-12"/>
            </w:rPr>
            <w:t>、</w:t>
          </w:r>
          <w:r>
            <w:rPr>
              <w:color w:val="auto"/>
            </w:rPr>
            <w:t>登记</w:t>
          </w:r>
          <w:r>
            <w:rPr>
              <w:color w:val="auto"/>
              <w:spacing w:val="-12"/>
            </w:rPr>
            <w:t>、</w:t>
          </w:r>
          <w:r>
            <w:rPr>
              <w:color w:val="auto"/>
            </w:rPr>
            <w:t>建档</w:t>
          </w:r>
          <w:r>
            <w:rPr>
              <w:color w:val="auto"/>
              <w:spacing w:val="-17"/>
            </w:rPr>
            <w:t>并</w:t>
          </w:r>
          <w:r>
            <w:rPr>
              <w:color w:val="auto"/>
              <w:spacing w:val="-17"/>
            </w:rPr>
            <w:fldChar w:fldCharType="end"/>
          </w:r>
          <w:r>
            <w:rPr>
              <w:color w:val="auto"/>
            </w:rPr>
            <w:t>定期核实更新，或者未按要求公开营业执照信息</w:t>
          </w:r>
          <w:r>
            <w:rPr>
              <w:color w:val="auto"/>
            </w:rPr>
            <w:tab/>
          </w:r>
          <w:r>
            <w:rPr>
              <w:color w:val="auto"/>
              <w:spacing w:val="-9"/>
            </w:rPr>
            <w:t>77</w:t>
          </w:r>
        </w:p>
        <w:p>
          <w:pPr>
            <w:pStyle w:val="5"/>
            <w:tabs>
              <w:tab w:val="left" w:leader="dot" w:pos="8715"/>
            </w:tabs>
            <w:spacing w:line="308" w:lineRule="exact"/>
            <w:rPr>
              <w:color w:val="auto"/>
            </w:rPr>
          </w:pPr>
          <w:r>
            <w:rPr>
              <w:color w:val="auto"/>
            </w:rPr>
            <w:fldChar w:fldCharType="begin"/>
          </w:r>
          <w:r>
            <w:rPr>
              <w:color w:val="auto"/>
            </w:rPr>
            <w:instrText xml:space="preserve"> HYPERLINK \l "_bookmark119" </w:instrText>
          </w:r>
          <w:r>
            <w:rPr>
              <w:color w:val="auto"/>
            </w:rPr>
            <w:fldChar w:fldCharType="separate"/>
          </w:r>
          <w:r>
            <w:rPr>
              <w:color w:val="auto"/>
            </w:rPr>
            <w:t>一百一十七、第三方交易平台经营者未建立有关管理制度并按规定显示</w:t>
          </w:r>
          <w:r>
            <w:rPr>
              <w:color w:val="auto"/>
            </w:rPr>
            <w:tab/>
          </w:r>
          <w:r>
            <w:rPr>
              <w:color w:val="auto"/>
            </w:rPr>
            <w:t>78</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"_bookmark120" </w:instrText>
          </w:r>
          <w:r>
            <w:rPr>
              <w:color w:val="auto"/>
            </w:rPr>
            <w:fldChar w:fldCharType="separate"/>
          </w:r>
          <w:r>
            <w:rPr>
              <w:color w:val="auto"/>
              <w:spacing w:val="-22"/>
            </w:rPr>
            <w:t>一百</w:t>
          </w:r>
          <w:r>
            <w:rPr>
              <w:color w:val="auto"/>
              <w:spacing w:val="-24"/>
            </w:rPr>
            <w:t>一</w:t>
          </w:r>
          <w:r>
            <w:rPr>
              <w:color w:val="auto"/>
              <w:spacing w:val="-22"/>
            </w:rPr>
            <w:t>十八、第三</w:t>
          </w:r>
          <w:r>
            <w:rPr>
              <w:color w:val="auto"/>
              <w:spacing w:val="-24"/>
            </w:rPr>
            <w:t>方</w:t>
          </w:r>
          <w:r>
            <w:rPr>
              <w:color w:val="auto"/>
              <w:spacing w:val="-22"/>
            </w:rPr>
            <w:t>交易平台经</w:t>
          </w:r>
          <w:r>
            <w:rPr>
              <w:color w:val="auto"/>
              <w:spacing w:val="-24"/>
            </w:rPr>
            <w:t>营</w:t>
          </w:r>
          <w:r>
            <w:rPr>
              <w:color w:val="auto"/>
              <w:spacing w:val="-22"/>
            </w:rPr>
            <w:t>者未按照工</w:t>
          </w:r>
          <w:r>
            <w:rPr>
              <w:color w:val="auto"/>
              <w:spacing w:val="-24"/>
            </w:rPr>
            <w:t>商</w:t>
          </w:r>
          <w:r>
            <w:rPr>
              <w:color w:val="auto"/>
              <w:spacing w:val="-22"/>
            </w:rPr>
            <w:t>部门要求采</w:t>
          </w:r>
          <w:r>
            <w:rPr>
              <w:color w:val="auto"/>
              <w:spacing w:val="-24"/>
            </w:rPr>
            <w:t>取</w:t>
          </w:r>
          <w:r>
            <w:rPr>
              <w:color w:val="auto"/>
              <w:spacing w:val="-22"/>
            </w:rPr>
            <w:t>措施制止违</w:t>
          </w:r>
          <w:r>
            <w:rPr>
              <w:color w:val="auto"/>
              <w:spacing w:val="-24"/>
            </w:rPr>
            <w:t>法</w:t>
          </w:r>
          <w:r>
            <w:rPr>
              <w:color w:val="auto"/>
              <w:spacing w:val="-22"/>
            </w:rPr>
            <w:t>行为</w:t>
          </w:r>
          <w:r>
            <w:rPr>
              <w:color w:val="auto"/>
              <w:spacing w:val="-22"/>
            </w:rPr>
            <w:tab/>
          </w:r>
          <w:r>
            <w:rPr>
              <w:color w:val="auto"/>
            </w:rPr>
            <w:t>78</w:t>
          </w:r>
          <w:r>
            <w:rPr>
              <w:color w:val="auto"/>
            </w:rPr>
            <w:fldChar w:fldCharType="end"/>
          </w:r>
        </w:p>
        <w:p>
          <w:pPr>
            <w:pStyle w:val="5"/>
            <w:tabs>
              <w:tab w:val="left" w:leader="dot" w:pos="8715"/>
            </w:tabs>
            <w:spacing w:after="59" w:line="480" w:lineRule="atLeast"/>
            <w:ind w:right="268"/>
            <w:rPr>
              <w:color w:val="auto"/>
            </w:rPr>
          </w:pPr>
          <w:r>
            <w:rPr>
              <w:color w:val="auto"/>
            </w:rPr>
            <w:fldChar w:fldCharType="begin"/>
          </w:r>
          <w:r>
            <w:rPr>
              <w:color w:val="auto"/>
            </w:rPr>
            <w:instrText xml:space="preserve"> HYPERLINK \l "_bookmark121"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"_bookmark121" </w:instrText>
          </w:r>
          <w:r>
            <w:rPr>
              <w:color w:val="auto"/>
            </w:rPr>
            <w:fldChar w:fldCharType="separate"/>
          </w:r>
          <w:r>
            <w:rPr>
              <w:color w:val="auto"/>
            </w:rPr>
            <w:t>百一十九</w:t>
          </w:r>
          <w:r>
            <w:rPr>
              <w:color w:val="auto"/>
              <w:spacing w:val="-36"/>
            </w:rPr>
            <w:t>、</w:t>
          </w:r>
          <w:r>
            <w:rPr>
              <w:color w:val="auto"/>
            </w:rPr>
            <w:t>第三方交易平台经营者未以显著方式对自营业务和平台内其他经</w:t>
          </w:r>
          <w:r>
            <w:rPr>
              <w:color w:val="auto"/>
              <w:spacing w:val="-17"/>
            </w:rPr>
            <w:t>营</w:t>
          </w:r>
          <w:r>
            <w:rPr>
              <w:color w:val="auto"/>
              <w:spacing w:val="-17"/>
            </w:rPr>
            <w:fldChar w:fldCharType="end"/>
          </w:r>
          <w:r>
            <w:rPr>
              <w:color w:val="auto"/>
            </w:rPr>
            <w:t>者业务进行区分和标记</w:t>
          </w:r>
          <w:r>
            <w:rPr>
              <w:color w:val="auto"/>
            </w:rPr>
            <w:tab/>
          </w:r>
          <w:r>
            <w:rPr>
              <w:color w:val="auto"/>
              <w:spacing w:val="-9"/>
            </w:rPr>
            <w:t>79</w:t>
          </w:r>
        </w:p>
        <w:p>
          <w:pPr>
            <w:pStyle w:val="5"/>
            <w:tabs>
              <w:tab w:val="left" w:leader="dot" w:pos="8715"/>
            </w:tabs>
            <w:spacing w:before="127" w:line="374" w:lineRule="auto"/>
            <w:ind w:right="268"/>
            <w:jc w:val="both"/>
            <w:rPr>
              <w:color w:val="auto"/>
            </w:rPr>
          </w:pPr>
          <w:r>
            <w:rPr>
              <w:color w:val="auto"/>
            </w:rPr>
            <w:fldChar w:fldCharType="begin"/>
          </w:r>
          <w:r>
            <w:rPr>
              <w:color w:val="auto"/>
            </w:rPr>
            <w:instrText xml:space="preserve"> HYPERLINK \l "_bookmark122"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"_bookmark122" </w:instrText>
          </w:r>
          <w:r>
            <w:rPr>
              <w:color w:val="auto"/>
            </w:rPr>
            <w:fldChar w:fldCharType="separate"/>
          </w:r>
          <w:r>
            <w:rPr>
              <w:color w:val="auto"/>
            </w:rPr>
            <w:t>百二十</w:t>
          </w:r>
          <w:r>
            <w:rPr>
              <w:color w:val="auto"/>
              <w:spacing w:val="-12"/>
            </w:rPr>
            <w:t>、</w:t>
          </w:r>
          <w:r>
            <w:rPr>
              <w:color w:val="auto"/>
            </w:rPr>
            <w:t>第三方交易平台经营者未按规定审查</w:t>
          </w:r>
          <w:r>
            <w:rPr>
              <w:color w:val="auto"/>
              <w:spacing w:val="-12"/>
            </w:rPr>
            <w:t>、</w:t>
          </w:r>
          <w:r>
            <w:rPr>
              <w:color w:val="auto"/>
            </w:rPr>
            <w:t>记录</w:t>
          </w:r>
          <w:r>
            <w:rPr>
              <w:color w:val="auto"/>
              <w:spacing w:val="-12"/>
            </w:rPr>
            <w:t>、</w:t>
          </w:r>
          <w:r>
            <w:rPr>
              <w:color w:val="auto"/>
            </w:rPr>
            <w:t>保存在其平台上发布</w:t>
          </w:r>
          <w:r>
            <w:rPr>
              <w:color w:val="auto"/>
              <w:spacing w:val="-17"/>
            </w:rPr>
            <w:t>的</w:t>
          </w:r>
          <w:r>
            <w:rPr>
              <w:color w:val="auto"/>
              <w:spacing w:val="-17"/>
            </w:rPr>
            <w:fldChar w:fldCharType="end"/>
          </w:r>
          <w:r>
            <w:rPr>
              <w:color w:val="auto"/>
            </w:rPr>
            <w:t>商品和服务信息内容及其发布时间的</w:t>
          </w:r>
          <w:r>
            <w:rPr>
              <w:color w:val="auto"/>
              <w:spacing w:val="-36"/>
            </w:rPr>
            <w:t>，</w:t>
          </w:r>
          <w:r>
            <w:rPr>
              <w:color w:val="auto"/>
            </w:rPr>
            <w:t>或者未采取有效手段确保网络交易数据</w:t>
          </w:r>
          <w:r>
            <w:rPr>
              <w:color w:val="auto"/>
              <w:spacing w:val="-17"/>
            </w:rPr>
            <w:t>和</w:t>
          </w:r>
          <w:r>
            <w:rPr>
              <w:color w:val="auto"/>
            </w:rPr>
            <w:t>资料的完整性、安全性和原始数据的真实性</w:t>
          </w:r>
          <w:r>
            <w:rPr>
              <w:color w:val="auto"/>
            </w:rPr>
            <w:tab/>
          </w:r>
          <w:r>
            <w:rPr>
              <w:color w:val="auto"/>
              <w:spacing w:val="-9"/>
            </w:rPr>
            <w:t>79</w:t>
          </w:r>
        </w:p>
        <w:p>
          <w:pPr>
            <w:pStyle w:val="5"/>
            <w:tabs>
              <w:tab w:val="left" w:leader="dot" w:pos="8715"/>
            </w:tabs>
            <w:spacing w:before="1" w:line="374" w:lineRule="auto"/>
            <w:ind w:right="268"/>
            <w:rPr>
              <w:color w:val="auto"/>
            </w:rPr>
          </w:pPr>
          <w:r>
            <w:rPr>
              <w:color w:val="auto"/>
            </w:rPr>
            <w:fldChar w:fldCharType="begin"/>
          </w:r>
          <w:r>
            <w:rPr>
              <w:color w:val="auto"/>
            </w:rPr>
            <w:instrText xml:space="preserve"> HYPERLINK \l "_bookmark123"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"_bookmark123" </w:instrText>
          </w:r>
          <w:r>
            <w:rPr>
              <w:color w:val="auto"/>
            </w:rPr>
            <w:fldChar w:fldCharType="separate"/>
          </w:r>
          <w:r>
            <w:rPr>
              <w:color w:val="auto"/>
            </w:rPr>
            <w:t>百二十一</w:t>
          </w:r>
          <w:r>
            <w:rPr>
              <w:color w:val="auto"/>
              <w:spacing w:val="-36"/>
            </w:rPr>
            <w:t>、</w:t>
          </w:r>
          <w:r>
            <w:rPr>
              <w:color w:val="auto"/>
            </w:rPr>
            <w:t>第三方交易平台经营者和为网络商品交易提供服务的有关服务经</w:t>
          </w:r>
          <w:r>
            <w:rPr>
              <w:color w:val="auto"/>
              <w:spacing w:val="-17"/>
            </w:rPr>
            <w:t>营</w:t>
          </w:r>
          <w:r>
            <w:rPr>
              <w:color w:val="auto"/>
              <w:spacing w:val="-17"/>
            </w:rPr>
            <w:fldChar w:fldCharType="end"/>
          </w:r>
          <w:r>
            <w:rPr>
              <w:color w:val="auto"/>
            </w:rPr>
            <w:t>者未积极协助工商部门查处网上违法经营行为</w:t>
          </w:r>
          <w:r>
            <w:rPr>
              <w:color w:val="auto"/>
            </w:rPr>
            <w:tab/>
          </w:r>
          <w:r>
            <w:rPr>
              <w:color w:val="auto"/>
              <w:spacing w:val="-9"/>
            </w:rPr>
            <w:t>80</w:t>
          </w:r>
        </w:p>
        <w:p>
          <w:pPr>
            <w:pStyle w:val="5"/>
            <w:tabs>
              <w:tab w:val="left" w:leader="dot" w:pos="8715"/>
            </w:tabs>
            <w:spacing w:before="1" w:line="374" w:lineRule="auto"/>
            <w:ind w:right="232"/>
            <w:jc w:val="both"/>
            <w:rPr>
              <w:color w:val="auto"/>
            </w:rPr>
          </w:pPr>
          <w:r>
            <w:rPr>
              <w:color w:val="auto"/>
            </w:rPr>
            <w:fldChar w:fldCharType="begin"/>
          </w:r>
          <w:r>
            <w:rPr>
              <w:color w:val="auto"/>
            </w:rPr>
            <w:instrText xml:space="preserve"> HYPERLINK \l "_bookmark124"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"_bookmark124" </w:instrText>
          </w:r>
          <w:r>
            <w:rPr>
              <w:color w:val="auto"/>
            </w:rPr>
            <w:fldChar w:fldCharType="separate"/>
          </w:r>
          <w:r>
            <w:rPr>
              <w:color w:val="auto"/>
            </w:rPr>
            <w:t>百二十二</w:t>
          </w:r>
          <w:r>
            <w:rPr>
              <w:color w:val="auto"/>
              <w:spacing w:val="-36"/>
            </w:rPr>
            <w:t>、</w:t>
          </w:r>
          <w:r>
            <w:rPr>
              <w:color w:val="auto"/>
            </w:rPr>
            <w:t>为网络商品交易提供服务的有关服务经营者未要求申请者提供经营</w:t>
          </w:r>
          <w:r>
            <w:rPr>
              <w:color w:val="auto"/>
            </w:rPr>
            <w:fldChar w:fldCharType="end"/>
          </w:r>
          <w:r>
            <w:rPr>
              <w:color w:val="auto"/>
            </w:rPr>
            <w:t>资格证明和个人真实身份信息的，未签订服务合同，未依法记录其上网信息的</w:t>
          </w:r>
          <w:r>
            <w:rPr>
              <w:color w:val="auto"/>
              <w:spacing w:val="-17"/>
            </w:rPr>
            <w:t xml:space="preserve">， </w:t>
          </w:r>
          <w:r>
            <w:rPr>
              <w:color w:val="auto"/>
            </w:rPr>
            <w:t>或者未按要求备份保存有关信息</w:t>
          </w:r>
          <w:r>
            <w:rPr>
              <w:color w:val="auto"/>
            </w:rPr>
            <w:tab/>
          </w:r>
          <w:r>
            <w:rPr>
              <w:color w:val="auto"/>
            </w:rPr>
            <w:t>81</w:t>
          </w:r>
        </w:p>
        <w:p>
          <w:pPr>
            <w:pStyle w:val="5"/>
            <w:tabs>
              <w:tab w:val="left" w:leader="dot" w:pos="8715"/>
            </w:tabs>
            <w:spacing w:line="374" w:lineRule="auto"/>
            <w:ind w:right="268"/>
            <w:rPr>
              <w:color w:val="auto"/>
            </w:rPr>
          </w:pPr>
          <w:r>
            <w:rPr>
              <w:color w:val="auto"/>
            </w:rPr>
            <w:fldChar w:fldCharType="begin"/>
          </w:r>
          <w:r>
            <w:rPr>
              <w:color w:val="auto"/>
            </w:rPr>
            <w:instrText xml:space="preserve"> HYPERLINK \l "_bookmark125"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"_bookmark125" </w:instrText>
          </w:r>
          <w:r>
            <w:rPr>
              <w:color w:val="auto"/>
            </w:rPr>
            <w:fldChar w:fldCharType="separate"/>
          </w:r>
          <w:r>
            <w:rPr>
              <w:color w:val="auto"/>
            </w:rPr>
            <w:t>百二十三、为网络商品交易提供信用评价服务的有关服务经营者未按规定采</w:t>
          </w:r>
          <w:r>
            <w:rPr>
              <w:color w:val="auto"/>
            </w:rPr>
            <w:fldChar w:fldCharType="end"/>
          </w:r>
          <w:r>
            <w:rPr>
              <w:color w:val="auto"/>
            </w:rPr>
            <w:t>集、调整、使用信用信息</w:t>
          </w:r>
          <w:r>
            <w:rPr>
              <w:color w:val="auto"/>
            </w:rPr>
            <w:tab/>
          </w:r>
          <w:r>
            <w:rPr>
              <w:color w:val="auto"/>
              <w:spacing w:val="-9"/>
            </w:rPr>
            <w:t>82</w:t>
          </w:r>
        </w:p>
        <w:p>
          <w:pPr>
            <w:pStyle w:val="5"/>
            <w:tabs>
              <w:tab w:val="left" w:leader="dot" w:pos="8715"/>
            </w:tabs>
            <w:spacing w:line="308" w:lineRule="exact"/>
            <w:rPr>
              <w:color w:val="auto"/>
            </w:rPr>
          </w:pPr>
          <w:r>
            <w:rPr>
              <w:color w:val="auto"/>
            </w:rPr>
            <w:fldChar w:fldCharType="begin"/>
          </w:r>
          <w:r>
            <w:rPr>
              <w:color w:val="auto"/>
            </w:rPr>
            <w:instrText xml:space="preserve"> HYPERLINK \l "_bookmark126" </w:instrText>
          </w:r>
          <w:r>
            <w:rPr>
              <w:color w:val="auto"/>
            </w:rPr>
            <w:fldChar w:fldCharType="separate"/>
          </w:r>
          <w:r>
            <w:rPr>
              <w:color w:val="auto"/>
            </w:rPr>
            <w:t>一百二十四、未按规定公开营业执照登载的信息或者电子链接标识</w:t>
          </w:r>
          <w:r>
            <w:rPr>
              <w:color w:val="auto"/>
            </w:rPr>
            <w:tab/>
          </w:r>
          <w:r>
            <w:rPr>
              <w:color w:val="auto"/>
            </w:rPr>
            <w:t>82</w:t>
          </w:r>
          <w:r>
            <w:rPr>
              <w:color w:val="auto"/>
            </w:rPr>
            <w:fldChar w:fldCharType="end"/>
          </w:r>
        </w:p>
        <w:p>
          <w:pPr>
            <w:pStyle w:val="7"/>
            <w:tabs>
              <w:tab w:val="left" w:leader="dot" w:pos="8123"/>
            </w:tabs>
            <w:rPr>
              <w:color w:val="auto"/>
            </w:rPr>
          </w:pPr>
          <w:r>
            <w:rPr>
              <w:color w:val="auto"/>
            </w:rPr>
            <w:fldChar w:fldCharType="begin"/>
          </w:r>
          <w:r>
            <w:rPr>
              <w:color w:val="auto"/>
            </w:rPr>
            <w:instrText xml:space="preserve"> HYPERLINK \l "_bookmark127" </w:instrText>
          </w:r>
          <w:r>
            <w:rPr>
              <w:color w:val="auto"/>
            </w:rPr>
            <w:fldChar w:fldCharType="separate"/>
          </w:r>
          <w:r>
            <w:rPr>
              <w:color w:val="auto"/>
            </w:rPr>
            <w:t>一百二十五、网络商品经营者、有关服务经营者未按规定报送经营统计资料</w:t>
          </w:r>
          <w:r>
            <w:rPr>
              <w:color w:val="auto"/>
            </w:rPr>
            <w:tab/>
          </w:r>
          <w:r>
            <w:rPr>
              <w:color w:val="auto"/>
            </w:rPr>
            <w:t>83</w:t>
          </w:r>
          <w:r>
            <w:rPr>
              <w:color w:val="auto"/>
            </w:rPr>
            <w:fldChar w:fldCharType="end"/>
          </w:r>
        </w:p>
        <w:p>
          <w:pPr>
            <w:pStyle w:val="5"/>
            <w:tabs>
              <w:tab w:val="left" w:leader="dot" w:pos="8715"/>
            </w:tabs>
            <w:spacing w:before="172" w:line="374" w:lineRule="auto"/>
            <w:ind w:left="111" w:right="268" w:firstLine="480"/>
            <w:jc w:val="right"/>
            <w:rPr>
              <w:color w:val="auto"/>
            </w:rPr>
          </w:pPr>
          <w:r>
            <w:rPr>
              <w:color w:val="auto"/>
            </w:rPr>
            <w:fldChar w:fldCharType="begin"/>
          </w:r>
          <w:r>
            <w:rPr>
              <w:color w:val="auto"/>
            </w:rPr>
            <w:instrText xml:space="preserve"> HYPERLINK \l "_bookmark128"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"_bookmark128" </w:instrText>
          </w:r>
          <w:r>
            <w:rPr>
              <w:color w:val="auto"/>
            </w:rPr>
            <w:fldChar w:fldCharType="separate"/>
          </w:r>
          <w:r>
            <w:rPr>
              <w:color w:val="auto"/>
            </w:rPr>
            <w:t>百二十六</w:t>
          </w:r>
          <w:r>
            <w:rPr>
              <w:color w:val="auto"/>
              <w:spacing w:val="-20"/>
            </w:rPr>
            <w:t>、</w:t>
          </w:r>
          <w:r>
            <w:rPr>
              <w:color w:val="auto"/>
            </w:rPr>
            <w:t>网络商品经营者</w:t>
          </w:r>
          <w:r>
            <w:rPr>
              <w:color w:val="auto"/>
              <w:spacing w:val="-17"/>
            </w:rPr>
            <w:t>、</w:t>
          </w:r>
          <w:r>
            <w:rPr>
              <w:color w:val="auto"/>
            </w:rPr>
            <w:t>有关服务经营者以交易达成后违背事实的恶意</w:t>
          </w:r>
          <w:r>
            <w:rPr>
              <w:color w:val="auto"/>
              <w:spacing w:val="-16"/>
            </w:rPr>
            <w:t>评</w:t>
          </w:r>
          <w:r>
            <w:rPr>
              <w:color w:val="auto"/>
              <w:spacing w:val="-16"/>
            </w:rPr>
            <w:fldChar w:fldCharType="end"/>
          </w:r>
          <w:r>
            <w:rPr>
              <w:color w:val="auto"/>
            </w:rPr>
            <w:t>价损害竞争对手的商业信誉</w:t>
          </w:r>
          <w:r>
            <w:rPr>
              <w:color w:val="auto"/>
            </w:rPr>
            <w:tab/>
          </w:r>
          <w:r>
            <w:rPr>
              <w:color w:val="auto"/>
              <w:spacing w:val="-9"/>
            </w:rPr>
            <w:t>83</w:t>
          </w:r>
        </w:p>
        <w:p>
          <w:pPr>
            <w:pStyle w:val="5"/>
            <w:tabs>
              <w:tab w:val="left" w:leader="dot" w:pos="8715"/>
            </w:tabs>
            <w:spacing w:before="1" w:line="374" w:lineRule="auto"/>
            <w:ind w:right="268"/>
            <w:jc w:val="right"/>
            <w:rPr>
              <w:color w:val="auto"/>
            </w:rPr>
          </w:pPr>
          <w:r>
            <w:rPr>
              <w:color w:val="auto"/>
            </w:rPr>
            <w:fldChar w:fldCharType="begin"/>
          </w:r>
          <w:r>
            <w:rPr>
              <w:color w:val="auto"/>
            </w:rPr>
            <w:instrText xml:space="preserve"> HYPERLINK \l "_bookmark129"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"_bookmark129" </w:instrText>
          </w:r>
          <w:r>
            <w:rPr>
              <w:color w:val="auto"/>
            </w:rPr>
            <w:fldChar w:fldCharType="separate"/>
          </w:r>
          <w:r>
            <w:rPr>
              <w:color w:val="auto"/>
            </w:rPr>
            <w:t>百二十七</w:t>
          </w:r>
          <w:r>
            <w:rPr>
              <w:color w:val="auto"/>
              <w:spacing w:val="-36"/>
            </w:rPr>
            <w:t>、</w:t>
          </w:r>
          <w:r>
            <w:rPr>
              <w:color w:val="auto"/>
            </w:rPr>
            <w:t>对竞争对手的网站或者网页进行非法技术攻击造成竞争对手无法</w:t>
          </w:r>
          <w:r>
            <w:rPr>
              <w:color w:val="auto"/>
              <w:spacing w:val="-17"/>
            </w:rPr>
            <w:t>正</w:t>
          </w:r>
          <w:r>
            <w:rPr>
              <w:color w:val="auto"/>
              <w:spacing w:val="-17"/>
            </w:rPr>
            <w:fldChar w:fldCharType="end"/>
          </w:r>
          <w:r>
            <w:rPr>
              <w:color w:val="auto"/>
            </w:rPr>
            <w:t>常经营</w:t>
          </w:r>
          <w:r>
            <w:rPr>
              <w:color w:val="auto"/>
            </w:rPr>
            <w:tab/>
          </w:r>
          <w:r>
            <w:rPr>
              <w:color w:val="auto"/>
              <w:spacing w:val="-9"/>
            </w:rPr>
            <w:t>84</w:t>
          </w:r>
        </w:p>
        <w:p>
          <w:pPr>
            <w:pStyle w:val="8"/>
            <w:tabs>
              <w:tab w:val="left" w:pos="1651"/>
              <w:tab w:val="left" w:leader="dot" w:pos="8683"/>
            </w:tabs>
            <w:spacing w:before="0" w:line="381" w:lineRule="exact"/>
            <w:rPr>
              <w:color w:val="auto"/>
            </w:rPr>
          </w:pPr>
          <w:r>
            <w:rPr>
              <w:color w:val="auto"/>
            </w:rPr>
            <w:fldChar w:fldCharType="begin"/>
          </w:r>
          <w:r>
            <w:rPr>
              <w:color w:val="auto"/>
            </w:rPr>
            <w:instrText xml:space="preserve"> HYPERLINK \l "_bookmark130" </w:instrText>
          </w:r>
          <w:r>
            <w:rPr>
              <w:color w:val="auto"/>
            </w:rPr>
            <w:fldChar w:fldCharType="separate"/>
          </w:r>
          <w:r>
            <w:rPr>
              <w:color w:val="auto"/>
              <w:spacing w:val="-13"/>
            </w:rPr>
            <w:t>第四</w:t>
          </w:r>
          <w:r>
            <w:rPr>
              <w:color w:val="auto"/>
            </w:rPr>
            <w:t>章</w:t>
          </w:r>
          <w:r>
            <w:rPr>
              <w:color w:val="auto"/>
            </w:rPr>
            <w:tab/>
          </w:r>
          <w:r>
            <w:rPr>
              <w:color w:val="auto"/>
              <w:spacing w:val="-13"/>
            </w:rPr>
            <w:t>合同监督</w:t>
          </w:r>
          <w:r>
            <w:rPr>
              <w:color w:val="auto"/>
              <w:spacing w:val="-10"/>
            </w:rPr>
            <w:t>管</w:t>
          </w:r>
          <w:r>
            <w:rPr>
              <w:color w:val="auto"/>
            </w:rPr>
            <w:t>理</w:t>
          </w:r>
          <w:r>
            <w:rPr>
              <w:color w:val="auto"/>
            </w:rPr>
            <w:tab/>
          </w:r>
          <w:r>
            <w:rPr>
              <w:color w:val="auto"/>
            </w:rPr>
            <w:t>85</w:t>
          </w:r>
          <w:r>
            <w:rPr>
              <w:color w:val="auto"/>
            </w:rPr>
            <w:fldChar w:fldCharType="end"/>
          </w:r>
        </w:p>
        <w:p>
          <w:pPr>
            <w:pStyle w:val="7"/>
            <w:tabs>
              <w:tab w:val="left" w:leader="dot" w:pos="8123"/>
            </w:tabs>
            <w:spacing w:before="99"/>
            <w:rPr>
              <w:color w:val="auto"/>
            </w:rPr>
          </w:pPr>
          <w:r>
            <w:rPr>
              <w:color w:val="auto"/>
            </w:rPr>
            <w:fldChar w:fldCharType="begin"/>
          </w:r>
          <w:r>
            <w:rPr>
              <w:color w:val="auto"/>
            </w:rPr>
            <w:instrText xml:space="preserve"> HYPERLINK \l "_bookmark131" </w:instrText>
          </w:r>
          <w:r>
            <w:rPr>
              <w:color w:val="auto"/>
            </w:rPr>
            <w:fldChar w:fldCharType="separate"/>
          </w:r>
          <w:r>
            <w:rPr>
              <w:color w:val="auto"/>
            </w:rPr>
            <w:t>一百二十八、未经许可从事拍卖业务</w:t>
          </w:r>
          <w:r>
            <w:rPr>
              <w:color w:val="auto"/>
            </w:rPr>
            <w:tab/>
          </w:r>
          <w:r>
            <w:rPr>
              <w:color w:val="auto"/>
            </w:rPr>
            <w:t>85</w:t>
          </w:r>
          <w:r>
            <w:rPr>
              <w:color w:val="auto"/>
            </w:rPr>
            <w:fldChar w:fldCharType="end"/>
          </w:r>
        </w:p>
        <w:p>
          <w:pPr>
            <w:pStyle w:val="7"/>
            <w:tabs>
              <w:tab w:val="left" w:leader="dot" w:pos="8123"/>
            </w:tabs>
            <w:rPr>
              <w:color w:val="auto"/>
            </w:rPr>
          </w:pPr>
          <w:r>
            <w:rPr>
              <w:color w:val="auto"/>
            </w:rPr>
            <w:fldChar w:fldCharType="begin"/>
          </w:r>
          <w:r>
            <w:rPr>
              <w:color w:val="auto"/>
            </w:rPr>
            <w:instrText xml:space="preserve"> HYPERLINK \l "_bookmark132" </w:instrText>
          </w:r>
          <w:r>
            <w:rPr>
              <w:color w:val="auto"/>
            </w:rPr>
            <w:fldChar w:fldCharType="separate"/>
          </w:r>
          <w:r>
            <w:rPr>
              <w:color w:val="auto"/>
            </w:rPr>
            <w:t>一百二十九、拍卖人及其工作人员违反规定参与竞买或者委托他人代为竞买</w:t>
          </w:r>
          <w:r>
            <w:rPr>
              <w:color w:val="auto"/>
            </w:rPr>
            <w:tab/>
          </w:r>
          <w:r>
            <w:rPr>
              <w:color w:val="auto"/>
            </w:rPr>
            <w:t>86</w:t>
          </w:r>
          <w:r>
            <w:rPr>
              <w:color w:val="auto"/>
            </w:rPr>
            <w:fldChar w:fldCharType="end"/>
          </w:r>
        </w:p>
        <w:p>
          <w:pPr>
            <w:pStyle w:val="7"/>
            <w:tabs>
              <w:tab w:val="left" w:leader="dot" w:pos="8123"/>
            </w:tabs>
            <w:spacing w:before="172"/>
            <w:rPr>
              <w:color w:val="auto"/>
            </w:rPr>
          </w:pPr>
          <w:r>
            <w:rPr>
              <w:color w:val="auto"/>
            </w:rPr>
            <w:fldChar w:fldCharType="begin"/>
          </w:r>
          <w:r>
            <w:rPr>
              <w:color w:val="auto"/>
            </w:rPr>
            <w:instrText xml:space="preserve"> HYPERLINK \l "_bookmark133" </w:instrText>
          </w:r>
          <w:r>
            <w:rPr>
              <w:color w:val="auto"/>
            </w:rPr>
            <w:fldChar w:fldCharType="separate"/>
          </w:r>
          <w:r>
            <w:rPr>
              <w:color w:val="auto"/>
            </w:rPr>
            <w:t>一百三十、委托人违反规定参与竞买或者委托他人代为竞买</w:t>
          </w:r>
          <w:r>
            <w:rPr>
              <w:color w:val="auto"/>
            </w:rPr>
            <w:tab/>
          </w:r>
          <w:r>
            <w:rPr>
              <w:color w:val="auto"/>
            </w:rPr>
            <w:t>86</w:t>
          </w:r>
          <w:r>
            <w:rPr>
              <w:color w:val="auto"/>
            </w:rPr>
            <w:fldChar w:fldCharType="end"/>
          </w:r>
        </w:p>
        <w:p>
          <w:pPr>
            <w:pStyle w:val="7"/>
            <w:tabs>
              <w:tab w:val="left" w:leader="dot" w:pos="8123"/>
            </w:tabs>
            <w:rPr>
              <w:color w:val="auto"/>
            </w:rPr>
          </w:pPr>
          <w:r>
            <w:rPr>
              <w:color w:val="auto"/>
            </w:rPr>
            <w:fldChar w:fldCharType="begin"/>
          </w:r>
          <w:r>
            <w:rPr>
              <w:color w:val="auto"/>
            </w:rPr>
            <w:instrText xml:space="preserve"> HYPERLINK \l "_bookmark134" </w:instrText>
          </w:r>
          <w:r>
            <w:rPr>
              <w:color w:val="auto"/>
            </w:rPr>
            <w:fldChar w:fldCharType="separate"/>
          </w:r>
          <w:r>
            <w:rPr>
              <w:color w:val="auto"/>
            </w:rPr>
            <w:t>一百三十一、竞买人之间、竞买人与拍卖人之间恶意串通损害他人利益</w:t>
          </w:r>
          <w:r>
            <w:rPr>
              <w:color w:val="auto"/>
            </w:rPr>
            <w:tab/>
          </w:r>
          <w:r>
            <w:rPr>
              <w:color w:val="auto"/>
            </w:rPr>
            <w:t>87</w:t>
          </w:r>
          <w:r>
            <w:rPr>
              <w:color w:val="auto"/>
            </w:rPr>
            <w:fldChar w:fldCharType="end"/>
          </w:r>
        </w:p>
        <w:p>
          <w:pPr>
            <w:pStyle w:val="7"/>
            <w:tabs>
              <w:tab w:val="left" w:leader="dot" w:pos="8123"/>
            </w:tabs>
            <w:spacing w:before="172"/>
            <w:rPr>
              <w:color w:val="auto"/>
            </w:rPr>
          </w:pPr>
          <w:r>
            <w:rPr>
              <w:color w:val="auto"/>
            </w:rPr>
            <w:fldChar w:fldCharType="begin"/>
          </w:r>
          <w:r>
            <w:rPr>
              <w:color w:val="auto"/>
            </w:rPr>
            <w:instrText xml:space="preserve"> HYPERLINK \l "_bookmark135" </w:instrText>
          </w:r>
          <w:r>
            <w:rPr>
              <w:color w:val="auto"/>
            </w:rPr>
            <w:fldChar w:fldCharType="separate"/>
          </w:r>
          <w:r>
            <w:rPr>
              <w:color w:val="auto"/>
            </w:rPr>
            <w:t>一百三十二、拍卖人雇佣非拍卖师主持拍卖活动</w:t>
          </w:r>
          <w:r>
            <w:rPr>
              <w:color w:val="auto"/>
            </w:rPr>
            <w:tab/>
          </w:r>
          <w:r>
            <w:rPr>
              <w:color w:val="auto"/>
            </w:rPr>
            <w:t>87</w:t>
          </w:r>
          <w:r>
            <w:rPr>
              <w:color w:val="auto"/>
            </w:rPr>
            <w:fldChar w:fldCharType="end"/>
          </w:r>
        </w:p>
        <w:p>
          <w:pPr>
            <w:pStyle w:val="7"/>
            <w:tabs>
              <w:tab w:val="left" w:leader="dot" w:pos="8123"/>
            </w:tabs>
            <w:rPr>
              <w:color w:val="auto"/>
            </w:rPr>
          </w:pPr>
          <w:r>
            <w:rPr>
              <w:color w:val="auto"/>
            </w:rPr>
            <w:fldChar w:fldCharType="begin"/>
          </w:r>
          <w:r>
            <w:rPr>
              <w:color w:val="auto"/>
            </w:rPr>
            <w:instrText xml:space="preserve"> HYPERLINK \l "_bookmark136" </w:instrText>
          </w:r>
          <w:r>
            <w:rPr>
              <w:color w:val="auto"/>
            </w:rPr>
            <w:fldChar w:fldCharType="separate"/>
          </w:r>
          <w:r>
            <w:rPr>
              <w:color w:val="auto"/>
            </w:rPr>
            <w:t>一百三十三、伪造合同</w:t>
          </w:r>
          <w:r>
            <w:rPr>
              <w:color w:val="auto"/>
            </w:rPr>
            <w:tab/>
          </w:r>
          <w:r>
            <w:rPr>
              <w:color w:val="auto"/>
            </w:rPr>
            <w:t>88</w:t>
          </w:r>
          <w:r>
            <w:rPr>
              <w:color w:val="auto"/>
            </w:rPr>
            <w:fldChar w:fldCharType="end"/>
          </w:r>
        </w:p>
        <w:p>
          <w:pPr>
            <w:pStyle w:val="7"/>
            <w:tabs>
              <w:tab w:val="left" w:leader="dot" w:pos="8123"/>
            </w:tabs>
            <w:spacing w:before="172"/>
            <w:rPr>
              <w:color w:val="auto"/>
            </w:rPr>
          </w:pPr>
          <w:r>
            <w:rPr>
              <w:color w:val="auto"/>
            </w:rPr>
            <w:fldChar w:fldCharType="begin"/>
          </w:r>
          <w:r>
            <w:rPr>
              <w:color w:val="auto"/>
            </w:rPr>
            <w:instrText xml:space="preserve"> HYPERLINK \l "_bookmark137" </w:instrText>
          </w:r>
          <w:r>
            <w:rPr>
              <w:color w:val="auto"/>
            </w:rPr>
            <w:fldChar w:fldCharType="separate"/>
          </w:r>
          <w:r>
            <w:rPr>
              <w:color w:val="auto"/>
            </w:rPr>
            <w:t>一百三十四、虚构合同主体资格或者盗用、冒用他人名义订立合同</w:t>
          </w:r>
          <w:r>
            <w:rPr>
              <w:color w:val="auto"/>
            </w:rPr>
            <w:tab/>
          </w:r>
          <w:r>
            <w:rPr>
              <w:color w:val="auto"/>
            </w:rPr>
            <w:t>89</w:t>
          </w:r>
          <w:r>
            <w:rPr>
              <w:color w:val="auto"/>
            </w:rPr>
            <w:fldChar w:fldCharType="end"/>
          </w:r>
        </w:p>
        <w:p>
          <w:pPr>
            <w:pStyle w:val="7"/>
            <w:tabs>
              <w:tab w:val="left" w:leader="dot" w:pos="8123"/>
            </w:tabs>
            <w:rPr>
              <w:color w:val="auto"/>
            </w:rPr>
          </w:pPr>
          <w:r>
            <w:rPr>
              <w:color w:val="auto"/>
            </w:rPr>
            <w:fldChar w:fldCharType="begin"/>
          </w:r>
          <w:r>
            <w:rPr>
              <w:color w:val="auto"/>
            </w:rPr>
            <w:instrText xml:space="preserve"> HYPERLINK \l "_bookmark138" </w:instrText>
          </w:r>
          <w:r>
            <w:rPr>
              <w:color w:val="auto"/>
            </w:rPr>
            <w:fldChar w:fldCharType="separate"/>
          </w:r>
          <w:r>
            <w:rPr>
              <w:color w:val="auto"/>
            </w:rPr>
            <w:t>一百三十五、虚构合同标的、货源、销售渠道诱人订立、履行合同</w:t>
          </w:r>
          <w:r>
            <w:rPr>
              <w:color w:val="auto"/>
            </w:rPr>
            <w:tab/>
          </w:r>
          <w:r>
            <w:rPr>
              <w:color w:val="auto"/>
            </w:rPr>
            <w:t>90</w:t>
          </w:r>
          <w:r>
            <w:rPr>
              <w:color w:val="auto"/>
            </w:rPr>
            <w:fldChar w:fldCharType="end"/>
          </w:r>
        </w:p>
        <w:p>
          <w:pPr>
            <w:pStyle w:val="7"/>
            <w:tabs>
              <w:tab w:val="left" w:leader="dot" w:pos="8123"/>
            </w:tabs>
            <w:spacing w:before="172"/>
            <w:rPr>
              <w:color w:val="auto"/>
            </w:rPr>
          </w:pPr>
          <w:r>
            <w:rPr>
              <w:color w:val="auto"/>
            </w:rPr>
            <w:fldChar w:fldCharType="begin"/>
          </w:r>
          <w:r>
            <w:rPr>
              <w:color w:val="auto"/>
            </w:rPr>
            <w:instrText xml:space="preserve"> HYPERLINK \l "_bookmark139" </w:instrText>
          </w:r>
          <w:r>
            <w:rPr>
              <w:color w:val="auto"/>
            </w:rPr>
            <w:fldChar w:fldCharType="separate"/>
          </w:r>
          <w:r>
            <w:rPr>
              <w:color w:val="auto"/>
            </w:rPr>
            <w:t>一百三十六、发布或者利用虚假信息诱人订立合同</w:t>
          </w:r>
          <w:r>
            <w:rPr>
              <w:color w:val="auto"/>
            </w:rPr>
            <w:tab/>
          </w:r>
          <w:r>
            <w:rPr>
              <w:color w:val="auto"/>
            </w:rPr>
            <w:t>91</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"_bookmark140" </w:instrText>
          </w:r>
          <w:r>
            <w:rPr>
              <w:color w:val="auto"/>
            </w:rPr>
            <w:fldChar w:fldCharType="separate"/>
          </w:r>
          <w:r>
            <w:rPr>
              <w:color w:val="auto"/>
            </w:rPr>
            <w:t>一百三十七、隐瞒重要事实诱骗对方订立或者履行合同</w:t>
          </w:r>
          <w:r>
            <w:rPr>
              <w:color w:val="auto"/>
            </w:rPr>
            <w:tab/>
          </w:r>
          <w:r>
            <w:rPr>
              <w:color w:val="auto"/>
            </w:rPr>
            <w:t>92</w:t>
          </w:r>
          <w:r>
            <w:rPr>
              <w:color w:val="auto"/>
            </w:rPr>
            <w:fldChar w:fldCharType="end"/>
          </w:r>
        </w:p>
        <w:p>
          <w:pPr>
            <w:pStyle w:val="5"/>
            <w:tabs>
              <w:tab w:val="left" w:leader="dot" w:pos="8715"/>
            </w:tabs>
            <w:spacing w:after="59" w:line="480" w:lineRule="atLeast"/>
            <w:ind w:right="268"/>
            <w:rPr>
              <w:color w:val="auto"/>
            </w:rPr>
          </w:pPr>
          <w:r>
            <w:rPr>
              <w:color w:val="auto"/>
            </w:rPr>
            <w:fldChar w:fldCharType="begin"/>
          </w:r>
          <w:r>
            <w:rPr>
              <w:color w:val="auto"/>
            </w:rPr>
            <w:instrText xml:space="preserve"> HYPERLINK \l "_bookmark141"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"_bookmark141" </w:instrText>
          </w:r>
          <w:r>
            <w:rPr>
              <w:color w:val="auto"/>
            </w:rPr>
            <w:fldChar w:fldCharType="separate"/>
          </w:r>
          <w:r>
            <w:rPr>
              <w:color w:val="auto"/>
            </w:rPr>
            <w:t>百三十八</w:t>
          </w:r>
          <w:r>
            <w:rPr>
              <w:color w:val="auto"/>
              <w:spacing w:val="-20"/>
            </w:rPr>
            <w:t>、</w:t>
          </w:r>
          <w:r>
            <w:rPr>
              <w:color w:val="auto"/>
            </w:rPr>
            <w:t>没有履行能力</w:t>
          </w:r>
          <w:r>
            <w:rPr>
              <w:color w:val="auto"/>
              <w:spacing w:val="-17"/>
            </w:rPr>
            <w:t>、</w:t>
          </w:r>
          <w:r>
            <w:rPr>
              <w:color w:val="auto"/>
            </w:rPr>
            <w:t>以先履行小额合同或者部分履行合同的方法诱骗</w:t>
          </w:r>
          <w:r>
            <w:rPr>
              <w:color w:val="auto"/>
              <w:spacing w:val="-16"/>
            </w:rPr>
            <w:t>对</w:t>
          </w:r>
          <w:r>
            <w:rPr>
              <w:color w:val="auto"/>
              <w:spacing w:val="-16"/>
            </w:rPr>
            <w:fldChar w:fldCharType="end"/>
          </w:r>
          <w:r>
            <w:rPr>
              <w:color w:val="auto"/>
            </w:rPr>
            <w:t>方当事人订立、履行合同</w:t>
          </w:r>
          <w:r>
            <w:rPr>
              <w:color w:val="auto"/>
            </w:rPr>
            <w:tab/>
          </w:r>
          <w:r>
            <w:rPr>
              <w:color w:val="auto"/>
              <w:spacing w:val="-9"/>
            </w:rPr>
            <w:t>93</w:t>
          </w:r>
        </w:p>
        <w:p>
          <w:pPr>
            <w:pStyle w:val="5"/>
            <w:tabs>
              <w:tab w:val="left" w:leader="dot" w:pos="8715"/>
            </w:tabs>
            <w:spacing w:before="127"/>
            <w:rPr>
              <w:color w:val="auto"/>
            </w:rPr>
          </w:pPr>
          <w:r>
            <w:rPr>
              <w:color w:val="auto"/>
            </w:rPr>
            <w:fldChar w:fldCharType="begin"/>
          </w:r>
          <w:r>
            <w:rPr>
              <w:color w:val="auto"/>
            </w:rPr>
            <w:instrText xml:space="preserve"> HYPERLINK \l "_bookmark142" </w:instrText>
          </w:r>
          <w:r>
            <w:rPr>
              <w:color w:val="auto"/>
            </w:rPr>
            <w:fldChar w:fldCharType="separate"/>
          </w:r>
          <w:r>
            <w:rPr>
              <w:color w:val="auto"/>
            </w:rPr>
            <w:t>一百三十九、恶意设置事实上不能履行的条款造成对方无法履行合同</w:t>
          </w:r>
          <w:r>
            <w:rPr>
              <w:color w:val="auto"/>
            </w:rPr>
            <w:tab/>
          </w:r>
          <w:r>
            <w:rPr>
              <w:color w:val="auto"/>
            </w:rPr>
            <w:t>94</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"_bookmark143" </w:instrText>
          </w:r>
          <w:r>
            <w:rPr>
              <w:color w:val="auto"/>
            </w:rPr>
            <w:fldChar w:fldCharType="separate"/>
          </w:r>
          <w:r>
            <w:rPr>
              <w:color w:val="auto"/>
            </w:rPr>
            <w:t>一百四十、编造虚假理由中止（终止）合同骗取财物</w:t>
          </w:r>
          <w:r>
            <w:rPr>
              <w:color w:val="auto"/>
            </w:rPr>
            <w:tab/>
          </w:r>
          <w:r>
            <w:rPr>
              <w:color w:val="auto"/>
            </w:rPr>
            <w:t>95</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"_bookmark144" </w:instrText>
          </w:r>
          <w:r>
            <w:rPr>
              <w:color w:val="auto"/>
            </w:rPr>
            <w:fldChar w:fldCharType="separate"/>
          </w:r>
          <w:r>
            <w:rPr>
              <w:color w:val="auto"/>
            </w:rPr>
            <w:t>一百四十一、利用合同提供虚假担保</w:t>
          </w:r>
          <w:r>
            <w:rPr>
              <w:color w:val="auto"/>
            </w:rPr>
            <w:tab/>
          </w:r>
          <w:r>
            <w:rPr>
              <w:color w:val="auto"/>
            </w:rPr>
            <w:t>95</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"_bookmark145" </w:instrText>
          </w:r>
          <w:r>
            <w:rPr>
              <w:color w:val="auto"/>
            </w:rPr>
            <w:fldChar w:fldCharType="separate"/>
          </w:r>
          <w:r>
            <w:rPr>
              <w:color w:val="auto"/>
              <w:spacing w:val="-22"/>
            </w:rPr>
            <w:t>一百</w:t>
          </w:r>
          <w:r>
            <w:rPr>
              <w:color w:val="auto"/>
              <w:spacing w:val="-24"/>
            </w:rPr>
            <w:t>四</w:t>
          </w:r>
          <w:r>
            <w:rPr>
              <w:color w:val="auto"/>
              <w:spacing w:val="-22"/>
            </w:rPr>
            <w:t>十二、以贿</w:t>
          </w:r>
          <w:r>
            <w:rPr>
              <w:color w:val="auto"/>
              <w:spacing w:val="-24"/>
            </w:rPr>
            <w:t>赂</w:t>
          </w:r>
          <w:r>
            <w:rPr>
              <w:color w:val="auto"/>
              <w:spacing w:val="-22"/>
            </w:rPr>
            <w:t>、胁迫等手</w:t>
          </w:r>
          <w:r>
            <w:rPr>
              <w:color w:val="auto"/>
              <w:spacing w:val="-24"/>
            </w:rPr>
            <w:t>段</w:t>
          </w:r>
          <w:r>
            <w:rPr>
              <w:color w:val="auto"/>
              <w:spacing w:val="-22"/>
            </w:rPr>
            <w:t>订立、履行</w:t>
          </w:r>
          <w:r>
            <w:rPr>
              <w:color w:val="auto"/>
              <w:spacing w:val="-24"/>
            </w:rPr>
            <w:t>合</w:t>
          </w:r>
          <w:r>
            <w:rPr>
              <w:color w:val="auto"/>
              <w:spacing w:val="-22"/>
            </w:rPr>
            <w:t>同损害国家</w:t>
          </w:r>
          <w:r>
            <w:rPr>
              <w:color w:val="auto"/>
              <w:spacing w:val="-24"/>
            </w:rPr>
            <w:t>利</w:t>
          </w:r>
          <w:r>
            <w:rPr>
              <w:color w:val="auto"/>
              <w:spacing w:val="-22"/>
            </w:rPr>
            <w:t>益、社会公</w:t>
          </w:r>
          <w:r>
            <w:rPr>
              <w:color w:val="auto"/>
              <w:spacing w:val="-24"/>
            </w:rPr>
            <w:t>共</w:t>
          </w:r>
          <w:r>
            <w:rPr>
              <w:color w:val="auto"/>
              <w:spacing w:val="-22"/>
            </w:rPr>
            <w:t>利益</w:t>
          </w:r>
          <w:r>
            <w:rPr>
              <w:color w:val="auto"/>
              <w:spacing w:val="-22"/>
            </w:rPr>
            <w:tab/>
          </w:r>
          <w:r>
            <w:rPr>
              <w:color w:val="auto"/>
            </w:rPr>
            <w:t>96</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"_bookmark146" </w:instrText>
          </w:r>
          <w:r>
            <w:rPr>
              <w:color w:val="auto"/>
            </w:rPr>
            <w:fldChar w:fldCharType="separate"/>
          </w:r>
          <w:r>
            <w:rPr>
              <w:color w:val="auto"/>
            </w:rPr>
            <w:t>一百四十三、以恶意串通手段订立、履行合同损害国家利益、社会公共利益</w:t>
          </w:r>
          <w:r>
            <w:rPr>
              <w:color w:val="auto"/>
            </w:rPr>
            <w:tab/>
          </w:r>
          <w:r>
            <w:rPr>
              <w:color w:val="auto"/>
            </w:rPr>
            <w:t>97</w:t>
          </w:r>
          <w:r>
            <w:rPr>
              <w:color w:val="auto"/>
            </w:rPr>
            <w:fldChar w:fldCharType="end"/>
          </w:r>
        </w:p>
        <w:p>
          <w:pPr>
            <w:pStyle w:val="5"/>
            <w:tabs>
              <w:tab w:val="left" w:leader="dot" w:pos="8715"/>
            </w:tabs>
            <w:spacing w:before="173"/>
            <w:rPr>
              <w:color w:val="auto"/>
            </w:rPr>
          </w:pPr>
          <w:r>
            <w:rPr>
              <w:color w:val="auto"/>
            </w:rPr>
            <w:fldChar w:fldCharType="begin"/>
          </w:r>
          <w:r>
            <w:rPr>
              <w:color w:val="auto"/>
            </w:rPr>
            <w:instrText xml:space="preserve"> HYPERLINK \l "_bookmark147" </w:instrText>
          </w:r>
          <w:r>
            <w:rPr>
              <w:color w:val="auto"/>
            </w:rPr>
            <w:fldChar w:fldCharType="separate"/>
          </w:r>
          <w:r>
            <w:rPr>
              <w:color w:val="auto"/>
            </w:rPr>
            <w:t>一百四十四、利用合同非法买卖国家禁止或者限制买卖的财物</w:t>
          </w:r>
          <w:r>
            <w:rPr>
              <w:color w:val="auto"/>
            </w:rPr>
            <w:tab/>
          </w:r>
          <w:r>
            <w:rPr>
              <w:color w:val="auto"/>
            </w:rPr>
            <w:t>98</w:t>
          </w:r>
          <w:r>
            <w:rPr>
              <w:color w:val="auto"/>
            </w:rPr>
            <w:fldChar w:fldCharType="end"/>
          </w:r>
        </w:p>
        <w:p>
          <w:pPr>
            <w:pStyle w:val="5"/>
            <w:tabs>
              <w:tab w:val="left" w:leader="dot" w:pos="8715"/>
            </w:tabs>
            <w:spacing w:before="172"/>
            <w:rPr>
              <w:color w:val="auto"/>
            </w:rPr>
          </w:pPr>
          <w:r>
            <w:rPr>
              <w:color w:val="auto"/>
            </w:rPr>
            <w:fldChar w:fldCharType="begin"/>
          </w:r>
          <w:r>
            <w:rPr>
              <w:color w:val="auto"/>
            </w:rPr>
            <w:instrText xml:space="preserve"> HYPERLINK \l "_bookmark148" </w:instrText>
          </w:r>
          <w:r>
            <w:rPr>
              <w:color w:val="auto"/>
            </w:rPr>
            <w:fldChar w:fldCharType="separate"/>
          </w:r>
          <w:r>
            <w:rPr>
              <w:color w:val="auto"/>
            </w:rPr>
            <w:t>一百四十五、无正当理由不履行国家指令性合同义务</w:t>
          </w:r>
          <w:r>
            <w:rPr>
              <w:color w:val="auto"/>
            </w:rPr>
            <w:tab/>
          </w:r>
          <w:r>
            <w:rPr>
              <w:color w:val="auto"/>
            </w:rPr>
            <w:t>99</w:t>
          </w:r>
          <w:r>
            <w:rPr>
              <w:color w:val="auto"/>
            </w:rPr>
            <w:fldChar w:fldCharType="end"/>
          </w:r>
        </w:p>
        <w:p>
          <w:pPr>
            <w:pStyle w:val="5"/>
            <w:tabs>
              <w:tab w:val="left" w:leader="dot" w:pos="8611"/>
            </w:tabs>
            <w:spacing w:before="173"/>
            <w:rPr>
              <w:color w:val="auto"/>
            </w:rPr>
          </w:pPr>
          <w:r>
            <w:rPr>
              <w:color w:val="auto"/>
            </w:rPr>
            <w:fldChar w:fldCharType="begin"/>
          </w:r>
          <w:r>
            <w:rPr>
              <w:color w:val="auto"/>
            </w:rPr>
            <w:instrText xml:space="preserve"> HYPERLINK \l "_bookmark149" </w:instrText>
          </w:r>
          <w:r>
            <w:rPr>
              <w:color w:val="auto"/>
            </w:rPr>
            <w:fldChar w:fldCharType="separate"/>
          </w:r>
          <w:r>
            <w:rPr>
              <w:color w:val="auto"/>
              <w:spacing w:val="-12"/>
            </w:rPr>
            <w:t>一百四十六、在知道或者应当知道的情况下为他人合同违法行为提供便利条</w:t>
          </w:r>
          <w:r>
            <w:rPr>
              <w:color w:val="auto"/>
            </w:rPr>
            <w:t>件</w:t>
          </w:r>
          <w:r>
            <w:rPr>
              <w:color w:val="auto"/>
            </w:rPr>
            <w:tab/>
          </w:r>
          <w:r>
            <w:rPr>
              <w:color w:val="auto"/>
              <w:spacing w:val="-4"/>
            </w:rPr>
            <w:t>100</w:t>
          </w:r>
          <w:r>
            <w:rPr>
              <w:color w:val="auto"/>
              <w:spacing w:val="-4"/>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"_bookmark150" </w:instrText>
          </w:r>
          <w:r>
            <w:rPr>
              <w:color w:val="auto"/>
            </w:rPr>
            <w:fldChar w:fldCharType="separate"/>
          </w:r>
          <w:r>
            <w:rPr>
              <w:color w:val="auto"/>
            </w:rPr>
            <w:t>一百四十七、经营者在格式条款中免除自己造成消费者人身伤害的责任</w:t>
          </w:r>
          <w:r>
            <w:rPr>
              <w:color w:val="auto"/>
            </w:rPr>
            <w:tab/>
          </w:r>
          <w:r>
            <w:rPr>
              <w:color w:val="auto"/>
            </w:rPr>
            <w:t>101</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"_bookmark151"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"_bookmark151" </w:instrText>
          </w:r>
          <w:r>
            <w:rPr>
              <w:color w:val="auto"/>
            </w:rPr>
            <w:fldChar w:fldCharType="separate"/>
          </w:r>
          <w:r>
            <w:rPr>
              <w:color w:val="auto"/>
            </w:rPr>
            <w:t>百四十八</w:t>
          </w:r>
          <w:r>
            <w:rPr>
              <w:color w:val="auto"/>
              <w:spacing w:val="-36"/>
            </w:rPr>
            <w:t>、</w:t>
          </w:r>
          <w:r>
            <w:rPr>
              <w:color w:val="auto"/>
            </w:rPr>
            <w:t>经营者在格式条款中免除自己因故意或者重大过失造成消费者财</w:t>
          </w:r>
          <w:r>
            <w:rPr>
              <w:color w:val="auto"/>
              <w:spacing w:val="-17"/>
            </w:rPr>
            <w:t>产</w:t>
          </w:r>
          <w:r>
            <w:rPr>
              <w:color w:val="auto"/>
              <w:spacing w:val="-17"/>
            </w:rPr>
            <w:fldChar w:fldCharType="end"/>
          </w:r>
          <w:r>
            <w:rPr>
              <w:color w:val="auto"/>
            </w:rPr>
            <w:t>损失的责任</w:t>
          </w:r>
          <w:r>
            <w:rPr>
              <w:color w:val="auto"/>
            </w:rPr>
            <w:tab/>
          </w:r>
          <w:r>
            <w:rPr>
              <w:color w:val="auto"/>
              <w:spacing w:val="-6"/>
            </w:rPr>
            <w:t>102</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"_bookmark152"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"_bookmark152" </w:instrText>
          </w:r>
          <w:r>
            <w:rPr>
              <w:color w:val="auto"/>
            </w:rPr>
            <w:fldChar w:fldCharType="separate"/>
          </w:r>
          <w:r>
            <w:rPr>
              <w:color w:val="auto"/>
            </w:rPr>
            <w:t>百四十九</w:t>
          </w:r>
          <w:r>
            <w:rPr>
              <w:color w:val="auto"/>
              <w:spacing w:val="-36"/>
            </w:rPr>
            <w:t>、</w:t>
          </w:r>
          <w:r>
            <w:rPr>
              <w:color w:val="auto"/>
            </w:rPr>
            <w:t>经营者在格式条款中免除自己对提供的商品或者服务依法应当承</w:t>
          </w:r>
          <w:r>
            <w:rPr>
              <w:color w:val="auto"/>
              <w:spacing w:val="-17"/>
            </w:rPr>
            <w:t>担</w:t>
          </w:r>
          <w:r>
            <w:rPr>
              <w:color w:val="auto"/>
              <w:spacing w:val="-17"/>
            </w:rPr>
            <w:fldChar w:fldCharType="end"/>
          </w:r>
          <w:r>
            <w:rPr>
              <w:color w:val="auto"/>
            </w:rPr>
            <w:t>的保证责任</w:t>
          </w:r>
          <w:r>
            <w:rPr>
              <w:color w:val="auto"/>
            </w:rPr>
            <w:tab/>
          </w:r>
          <w:r>
            <w:rPr>
              <w:color w:val="auto"/>
              <w:spacing w:val="-6"/>
            </w:rPr>
            <w:t>103</w:t>
          </w:r>
        </w:p>
        <w:p>
          <w:pPr>
            <w:pStyle w:val="5"/>
            <w:tabs>
              <w:tab w:val="left" w:leader="dot" w:pos="8595"/>
            </w:tabs>
            <w:spacing w:line="308" w:lineRule="exact"/>
            <w:rPr>
              <w:color w:val="auto"/>
            </w:rPr>
          </w:pPr>
          <w:r>
            <w:rPr>
              <w:color w:val="auto"/>
            </w:rPr>
            <w:fldChar w:fldCharType="begin"/>
          </w:r>
          <w:r>
            <w:rPr>
              <w:color w:val="auto"/>
            </w:rPr>
            <w:instrText xml:space="preserve"> HYPERLINK \l "_bookmark153" </w:instrText>
          </w:r>
          <w:r>
            <w:rPr>
              <w:color w:val="auto"/>
            </w:rPr>
            <w:fldChar w:fldCharType="separate"/>
          </w:r>
          <w:r>
            <w:rPr>
              <w:color w:val="auto"/>
            </w:rPr>
            <w:t>一百五十、经营者在格式条款中免除自己因违约依法应当承担的违约责任</w:t>
          </w:r>
          <w:r>
            <w:rPr>
              <w:color w:val="auto"/>
            </w:rPr>
            <w:tab/>
          </w:r>
          <w:r>
            <w:rPr>
              <w:color w:val="auto"/>
            </w:rPr>
            <w:t>104</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"_bookmark154"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"_bookmark154" </w:instrText>
          </w:r>
          <w:r>
            <w:rPr>
              <w:color w:val="auto"/>
            </w:rPr>
            <w:fldChar w:fldCharType="separate"/>
          </w:r>
          <w:r>
            <w:rPr>
              <w:color w:val="auto"/>
            </w:rPr>
            <w:t>百五十一</w:t>
          </w:r>
          <w:r>
            <w:rPr>
              <w:color w:val="auto"/>
              <w:spacing w:val="-36"/>
            </w:rPr>
            <w:t>、</w:t>
          </w:r>
          <w:r>
            <w:rPr>
              <w:color w:val="auto"/>
            </w:rPr>
            <w:t>经营者在格式条款中就违约金或者损害赔偿金超过法定数额或者</w:t>
          </w:r>
          <w:r>
            <w:rPr>
              <w:color w:val="auto"/>
              <w:spacing w:val="-17"/>
            </w:rPr>
            <w:t>合</w:t>
          </w:r>
          <w:r>
            <w:rPr>
              <w:color w:val="auto"/>
              <w:spacing w:val="-17"/>
            </w:rPr>
            <w:fldChar w:fldCharType="end"/>
          </w:r>
          <w:r>
            <w:rPr>
              <w:color w:val="auto"/>
            </w:rPr>
            <w:t>理数额方面加重消费者责任</w:t>
          </w:r>
          <w:r>
            <w:rPr>
              <w:color w:val="auto"/>
            </w:rPr>
            <w:tab/>
          </w:r>
          <w:r>
            <w:rPr>
              <w:color w:val="auto"/>
              <w:spacing w:val="-6"/>
            </w:rPr>
            <w:t>105</w:t>
          </w:r>
        </w:p>
        <w:p>
          <w:pPr>
            <w:pStyle w:val="5"/>
            <w:tabs>
              <w:tab w:val="left" w:leader="dot" w:pos="8595"/>
            </w:tabs>
            <w:spacing w:line="308" w:lineRule="exact"/>
            <w:rPr>
              <w:color w:val="auto"/>
            </w:rPr>
          </w:pPr>
          <w:r>
            <w:rPr>
              <w:color w:val="auto"/>
            </w:rPr>
            <w:fldChar w:fldCharType="begin"/>
          </w:r>
          <w:r>
            <w:rPr>
              <w:color w:val="auto"/>
            </w:rPr>
            <w:instrText xml:space="preserve"> HYPERLINK \l "_bookmark155" </w:instrText>
          </w:r>
          <w:r>
            <w:rPr>
              <w:color w:val="auto"/>
            </w:rPr>
            <w:fldChar w:fldCharType="separate"/>
          </w:r>
          <w:r>
            <w:rPr>
              <w:color w:val="auto"/>
            </w:rPr>
            <w:t>一百五十二、经营者在格式条款中就经营风险责任方面加重消费者责任</w:t>
          </w:r>
          <w:r>
            <w:rPr>
              <w:color w:val="auto"/>
            </w:rPr>
            <w:tab/>
          </w:r>
          <w:r>
            <w:rPr>
              <w:color w:val="auto"/>
            </w:rPr>
            <w:t>106</w:t>
          </w:r>
          <w:r>
            <w:rPr>
              <w:color w:val="auto"/>
            </w:rPr>
            <w:fldChar w:fldCharType="end"/>
          </w:r>
        </w:p>
        <w:p>
          <w:pPr>
            <w:pStyle w:val="5"/>
            <w:tabs>
              <w:tab w:val="left" w:leader="dot" w:pos="8611"/>
            </w:tabs>
            <w:spacing w:before="172"/>
            <w:rPr>
              <w:color w:val="auto"/>
            </w:rPr>
          </w:pPr>
          <w:r>
            <w:rPr>
              <w:color w:val="auto"/>
            </w:rPr>
            <w:fldChar w:fldCharType="begin"/>
          </w:r>
          <w:r>
            <w:rPr>
              <w:color w:val="auto"/>
            </w:rPr>
            <w:instrText xml:space="preserve"> HYPERLINK \l "_bookmark156" </w:instrText>
          </w:r>
          <w:r>
            <w:rPr>
              <w:color w:val="auto"/>
            </w:rPr>
            <w:fldChar w:fldCharType="separate"/>
          </w:r>
          <w:r>
            <w:rPr>
              <w:color w:val="auto"/>
              <w:spacing w:val="-12"/>
            </w:rPr>
            <w:t>一百五十三、经营者在格式条款中排除消费者依法变更或者解除合同的权</w:t>
          </w:r>
          <w:r>
            <w:rPr>
              <w:color w:val="auto"/>
            </w:rPr>
            <w:t>利</w:t>
          </w:r>
          <w:r>
            <w:rPr>
              <w:color w:val="auto"/>
            </w:rPr>
            <w:tab/>
          </w:r>
          <w:r>
            <w:rPr>
              <w:color w:val="auto"/>
              <w:spacing w:val="-4"/>
            </w:rPr>
            <w:t>107</w:t>
          </w:r>
          <w:r>
            <w:rPr>
              <w:color w:val="auto"/>
              <w:spacing w:val="-4"/>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"_bookmark157" </w:instrText>
          </w:r>
          <w:r>
            <w:rPr>
              <w:color w:val="auto"/>
            </w:rPr>
            <w:fldChar w:fldCharType="separate"/>
          </w:r>
          <w:r>
            <w:rPr>
              <w:color w:val="auto"/>
            </w:rPr>
            <w:t>一百五十四、经营者在格式条款中排除消费者请求支付违约金的权利</w:t>
          </w:r>
          <w:r>
            <w:rPr>
              <w:color w:val="auto"/>
            </w:rPr>
            <w:tab/>
          </w:r>
          <w:r>
            <w:rPr>
              <w:color w:val="auto"/>
            </w:rPr>
            <w:t>108</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"_bookmark158" </w:instrText>
          </w:r>
          <w:r>
            <w:rPr>
              <w:color w:val="auto"/>
            </w:rPr>
            <w:fldChar w:fldCharType="separate"/>
          </w:r>
          <w:r>
            <w:rPr>
              <w:color w:val="auto"/>
            </w:rPr>
            <w:t>一百五十五、经营者在格式条款中排除消费者请求损害赔偿的权利</w:t>
          </w:r>
          <w:r>
            <w:rPr>
              <w:color w:val="auto"/>
            </w:rPr>
            <w:tab/>
          </w:r>
          <w:r>
            <w:rPr>
              <w:color w:val="auto"/>
            </w:rPr>
            <w:t>109</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"_bookmark159" </w:instrText>
          </w:r>
          <w:r>
            <w:rPr>
              <w:color w:val="auto"/>
            </w:rPr>
            <w:fldChar w:fldCharType="separate"/>
          </w:r>
          <w:r>
            <w:rPr>
              <w:color w:val="auto"/>
            </w:rPr>
            <w:t>一百五十六、经营者在格式条款中排除消费者解释格式条款的权利</w:t>
          </w:r>
          <w:r>
            <w:rPr>
              <w:color w:val="auto"/>
            </w:rPr>
            <w:tab/>
          </w:r>
          <w:r>
            <w:rPr>
              <w:color w:val="auto"/>
            </w:rPr>
            <w:t>110</w:t>
          </w:r>
          <w:r>
            <w:rPr>
              <w:color w:val="auto"/>
            </w:rPr>
            <w:fldChar w:fldCharType="end"/>
          </w:r>
        </w:p>
        <w:p>
          <w:pPr>
            <w:pStyle w:val="5"/>
            <w:tabs>
              <w:tab w:val="left" w:leader="dot" w:pos="8611"/>
            </w:tabs>
            <w:spacing w:before="172"/>
            <w:rPr>
              <w:color w:val="auto"/>
            </w:rPr>
          </w:pPr>
          <w:r>
            <w:rPr>
              <w:color w:val="auto"/>
            </w:rPr>
            <w:fldChar w:fldCharType="begin"/>
          </w:r>
          <w:r>
            <w:rPr>
              <w:color w:val="auto"/>
            </w:rPr>
            <w:instrText xml:space="preserve"> HYPERLINK \l "_bookmark160" </w:instrText>
          </w:r>
          <w:r>
            <w:rPr>
              <w:color w:val="auto"/>
            </w:rPr>
            <w:fldChar w:fldCharType="separate"/>
          </w:r>
          <w:r>
            <w:rPr>
              <w:color w:val="auto"/>
              <w:spacing w:val="-12"/>
            </w:rPr>
            <w:t>一百五十七、经营者在格式条款中排除消费者就格式条款争议提起诉讼的权</w:t>
          </w:r>
          <w:r>
            <w:rPr>
              <w:color w:val="auto"/>
            </w:rPr>
            <w:t>利</w:t>
          </w:r>
          <w:r>
            <w:rPr>
              <w:color w:val="auto"/>
            </w:rPr>
            <w:tab/>
          </w:r>
          <w:r>
            <w:rPr>
              <w:color w:val="auto"/>
              <w:spacing w:val="-4"/>
            </w:rPr>
            <w:t>111</w:t>
          </w:r>
          <w:r>
            <w:rPr>
              <w:color w:val="auto"/>
              <w:spacing w:val="-4"/>
            </w:rPr>
            <w:fldChar w:fldCharType="end"/>
          </w:r>
        </w:p>
        <w:p>
          <w:pPr>
            <w:pStyle w:val="8"/>
            <w:tabs>
              <w:tab w:val="left" w:pos="1651"/>
              <w:tab w:val="left" w:leader="dot" w:pos="8549"/>
            </w:tabs>
            <w:rPr>
              <w:color w:val="auto"/>
            </w:rPr>
          </w:pPr>
          <w:r>
            <w:rPr>
              <w:color w:val="auto"/>
            </w:rPr>
            <w:fldChar w:fldCharType="begin"/>
          </w:r>
          <w:r>
            <w:rPr>
              <w:color w:val="auto"/>
            </w:rPr>
            <w:instrText xml:space="preserve"> HYPERLINK \l "_bookmark161" </w:instrText>
          </w:r>
          <w:r>
            <w:rPr>
              <w:color w:val="auto"/>
            </w:rPr>
            <w:fldChar w:fldCharType="separate"/>
          </w:r>
          <w:r>
            <w:rPr>
              <w:color w:val="auto"/>
              <w:spacing w:val="-13"/>
            </w:rPr>
            <w:t>第五</w:t>
          </w:r>
          <w:r>
            <w:rPr>
              <w:color w:val="auto"/>
            </w:rPr>
            <w:t>章</w:t>
          </w:r>
          <w:r>
            <w:rPr>
              <w:color w:val="auto"/>
            </w:rPr>
            <w:tab/>
          </w:r>
          <w:r>
            <w:rPr>
              <w:color w:val="auto"/>
              <w:spacing w:val="-13"/>
            </w:rPr>
            <w:t>消费者权</w:t>
          </w:r>
          <w:r>
            <w:rPr>
              <w:color w:val="auto"/>
              <w:spacing w:val="-10"/>
            </w:rPr>
            <w:t>益</w:t>
          </w:r>
          <w:r>
            <w:rPr>
              <w:color w:val="auto"/>
              <w:spacing w:val="-13"/>
            </w:rPr>
            <w:t>保</w:t>
          </w:r>
          <w:r>
            <w:rPr>
              <w:color w:val="auto"/>
            </w:rPr>
            <w:t>护</w:t>
          </w:r>
          <w:r>
            <w:rPr>
              <w:color w:val="auto"/>
            </w:rPr>
            <w:tab/>
          </w:r>
          <w:r>
            <w:rPr>
              <w:color w:val="auto"/>
              <w:spacing w:val="-3"/>
            </w:rPr>
            <w:t>112</w:t>
          </w:r>
          <w:r>
            <w:rPr>
              <w:color w:val="auto"/>
              <w:spacing w:val="-3"/>
            </w:rPr>
            <w:fldChar w:fldCharType="end"/>
          </w:r>
        </w:p>
        <w:p>
          <w:pPr>
            <w:pStyle w:val="5"/>
            <w:tabs>
              <w:tab w:val="left" w:leader="dot" w:pos="8595"/>
            </w:tabs>
            <w:spacing w:before="98"/>
            <w:rPr>
              <w:color w:val="auto"/>
            </w:rPr>
          </w:pPr>
          <w:r>
            <w:rPr>
              <w:color w:val="auto"/>
            </w:rPr>
            <w:fldChar w:fldCharType="begin"/>
          </w:r>
          <w:r>
            <w:rPr>
              <w:color w:val="auto"/>
            </w:rPr>
            <w:instrText xml:space="preserve"> HYPERLINK \l "_bookmark162" </w:instrText>
          </w:r>
          <w:r>
            <w:rPr>
              <w:color w:val="auto"/>
            </w:rPr>
            <w:fldChar w:fldCharType="separate"/>
          </w:r>
          <w:r>
            <w:rPr>
              <w:color w:val="auto"/>
            </w:rPr>
            <w:t>一百五十八、篡改生产日期</w:t>
          </w:r>
          <w:r>
            <w:rPr>
              <w:color w:val="auto"/>
            </w:rPr>
            <w:tab/>
          </w:r>
          <w:r>
            <w:rPr>
              <w:color w:val="auto"/>
            </w:rPr>
            <w:t>112</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"_bookmark163" </w:instrText>
          </w:r>
          <w:r>
            <w:rPr>
              <w:color w:val="auto"/>
            </w:rPr>
            <w:fldChar w:fldCharType="separate"/>
          </w:r>
          <w:r>
            <w:rPr>
              <w:color w:val="auto"/>
              <w:spacing w:val="-34"/>
            </w:rPr>
            <w:t>一百</w:t>
          </w:r>
          <w:r>
            <w:rPr>
              <w:color w:val="auto"/>
              <w:spacing w:val="-36"/>
            </w:rPr>
            <w:t>五</w:t>
          </w:r>
          <w:r>
            <w:rPr>
              <w:color w:val="auto"/>
              <w:spacing w:val="-34"/>
            </w:rPr>
            <w:t>十九、销售</w:t>
          </w:r>
          <w:r>
            <w:rPr>
              <w:color w:val="auto"/>
              <w:spacing w:val="-36"/>
            </w:rPr>
            <w:t>的</w:t>
          </w:r>
          <w:r>
            <w:rPr>
              <w:color w:val="auto"/>
              <w:spacing w:val="-34"/>
            </w:rPr>
            <w:t>商品应当检</w:t>
          </w:r>
          <w:r>
            <w:rPr>
              <w:color w:val="auto"/>
              <w:spacing w:val="-36"/>
            </w:rPr>
            <w:t>验</w:t>
          </w:r>
          <w:r>
            <w:rPr>
              <w:color w:val="auto"/>
              <w:spacing w:val="-34"/>
            </w:rPr>
            <w:t>、检疫而未</w:t>
          </w:r>
          <w:r>
            <w:rPr>
              <w:color w:val="auto"/>
              <w:spacing w:val="-36"/>
            </w:rPr>
            <w:t>检</w:t>
          </w:r>
          <w:r>
            <w:rPr>
              <w:color w:val="auto"/>
              <w:spacing w:val="-34"/>
            </w:rPr>
            <w:t>验、检疫或</w:t>
          </w:r>
          <w:r>
            <w:rPr>
              <w:color w:val="auto"/>
              <w:spacing w:val="-36"/>
            </w:rPr>
            <w:t>者</w:t>
          </w:r>
          <w:r>
            <w:rPr>
              <w:color w:val="auto"/>
              <w:spacing w:val="-34"/>
            </w:rPr>
            <w:t>伪造检验、</w:t>
          </w:r>
          <w:r>
            <w:rPr>
              <w:color w:val="auto"/>
              <w:spacing w:val="-36"/>
            </w:rPr>
            <w:t>检</w:t>
          </w:r>
          <w:r>
            <w:rPr>
              <w:color w:val="auto"/>
              <w:spacing w:val="-34"/>
            </w:rPr>
            <w:t>疫结果</w:t>
          </w:r>
          <w:r>
            <w:rPr>
              <w:color w:val="auto"/>
              <w:spacing w:val="-34"/>
            </w:rPr>
            <w:tab/>
          </w:r>
          <w:r>
            <w:rPr>
              <w:color w:val="auto"/>
            </w:rPr>
            <w:t>113</w:t>
          </w:r>
          <w:r>
            <w:rPr>
              <w:color w:val="auto"/>
            </w:rPr>
            <w:fldChar w:fldCharType="end"/>
          </w:r>
        </w:p>
        <w:p>
          <w:pPr>
            <w:pStyle w:val="5"/>
            <w:tabs>
              <w:tab w:val="left" w:leader="dot" w:pos="8595"/>
            </w:tabs>
            <w:spacing w:before="173" w:line="374" w:lineRule="auto"/>
            <w:ind w:right="232"/>
            <w:rPr>
              <w:color w:val="auto"/>
            </w:rPr>
          </w:pPr>
          <w:r>
            <w:rPr>
              <w:color w:val="auto"/>
            </w:rPr>
            <w:fldChar w:fldCharType="begin"/>
          </w:r>
          <w:r>
            <w:rPr>
              <w:color w:val="auto"/>
            </w:rPr>
            <w:instrText xml:space="preserve"> HYPERLINK \l "_bookmark164"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"_bookmark164" </w:instrText>
          </w:r>
          <w:r>
            <w:rPr>
              <w:color w:val="auto"/>
            </w:rPr>
            <w:fldChar w:fldCharType="separate"/>
          </w:r>
          <w:r>
            <w:rPr>
              <w:color w:val="auto"/>
            </w:rPr>
            <w:t>百六十、拒绝或者拖延有关行政部门责令对缺陷商品或者服务采取停止销售</w:t>
          </w:r>
          <w:r>
            <w:rPr>
              <w:color w:val="auto"/>
              <w:spacing w:val="-17"/>
            </w:rPr>
            <w:t>、</w:t>
          </w:r>
          <w:r>
            <w:rPr>
              <w:color w:val="auto"/>
              <w:spacing w:val="-17"/>
            </w:rPr>
            <w:fldChar w:fldCharType="end"/>
          </w:r>
          <w:r>
            <w:rPr>
              <w:color w:val="auto"/>
            </w:rPr>
            <w:t>警示、召回、无害化处理、销毁、停止生产或者服务等措施</w:t>
          </w:r>
          <w:r>
            <w:rPr>
              <w:color w:val="auto"/>
            </w:rPr>
            <w:tab/>
          </w:r>
          <w:r>
            <w:rPr>
              <w:color w:val="auto"/>
            </w:rPr>
            <w:t>114</w:t>
          </w:r>
        </w:p>
        <w:p>
          <w:pPr>
            <w:pStyle w:val="5"/>
            <w:rPr>
              <w:color w:val="auto"/>
            </w:rPr>
          </w:pPr>
          <w:r>
            <w:rPr>
              <w:color w:val="auto"/>
            </w:rPr>
            <w:fldChar w:fldCharType="begin"/>
          </w:r>
          <w:r>
            <w:rPr>
              <w:color w:val="auto"/>
            </w:rPr>
            <w:instrText xml:space="preserve"> HYPERLINK \l "_bookmark165"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"_bookmark165" </w:instrText>
          </w:r>
          <w:r>
            <w:rPr>
              <w:color w:val="auto"/>
            </w:rPr>
            <w:fldChar w:fldCharType="separate"/>
          </w:r>
          <w:r>
            <w:rPr>
              <w:color w:val="auto"/>
              <w:spacing w:val="-6"/>
            </w:rPr>
            <w:t>百六十一、对消费者提出的修理、重作、更换、退货、补足商品数量、退还货</w:t>
          </w:r>
          <w:r>
            <w:rPr>
              <w:color w:val="auto"/>
              <w:spacing w:val="-6"/>
            </w:rPr>
            <w:fldChar w:fldCharType="end"/>
          </w:r>
        </w:p>
        <w:p>
          <w:pPr>
            <w:pStyle w:val="5"/>
            <w:tabs>
              <w:tab w:val="left" w:leader="dot" w:pos="8595"/>
            </w:tabs>
            <w:spacing w:before="173" w:after="59"/>
            <w:rPr>
              <w:color w:val="auto"/>
            </w:rPr>
          </w:pPr>
          <w:r>
            <w:rPr>
              <w:color w:val="auto"/>
            </w:rPr>
            <w:t>款和服务费用或者赔偿损失的要求故意拖延或者无理拒绝</w:t>
          </w:r>
          <w:r>
            <w:rPr>
              <w:color w:val="auto"/>
            </w:rPr>
            <w:tab/>
          </w:r>
          <w:r>
            <w:rPr>
              <w:color w:val="auto"/>
            </w:rPr>
            <w:t>116</w:t>
          </w:r>
        </w:p>
        <w:p>
          <w:pPr>
            <w:pStyle w:val="5"/>
            <w:tabs>
              <w:tab w:val="left" w:leader="dot" w:pos="8595"/>
            </w:tabs>
            <w:spacing w:before="127"/>
            <w:rPr>
              <w:color w:val="auto"/>
            </w:rPr>
          </w:pPr>
          <w:r>
            <w:rPr>
              <w:color w:val="auto"/>
            </w:rPr>
            <w:fldChar w:fldCharType="begin"/>
          </w:r>
          <w:r>
            <w:rPr>
              <w:color w:val="auto"/>
            </w:rPr>
            <w:instrText xml:space="preserve"> HYPERLINK \l "_bookmark166" </w:instrText>
          </w:r>
          <w:r>
            <w:rPr>
              <w:color w:val="auto"/>
            </w:rPr>
            <w:fldChar w:fldCharType="separate"/>
          </w:r>
          <w:r>
            <w:rPr>
              <w:color w:val="auto"/>
            </w:rPr>
            <w:t>一百六十二、非法使用消费者个人信息</w:t>
          </w:r>
          <w:r>
            <w:rPr>
              <w:color w:val="auto"/>
            </w:rPr>
            <w:tab/>
          </w:r>
          <w:r>
            <w:rPr>
              <w:color w:val="auto"/>
            </w:rPr>
            <w:t>117</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"_bookmark167" </w:instrText>
          </w:r>
          <w:r>
            <w:rPr>
              <w:color w:val="auto"/>
            </w:rPr>
            <w:fldChar w:fldCharType="separate"/>
          </w:r>
          <w:r>
            <w:rPr>
              <w:color w:val="auto"/>
            </w:rPr>
            <w:t>一百六十三、销售失效变质产品</w:t>
          </w:r>
          <w:r>
            <w:rPr>
              <w:color w:val="auto"/>
            </w:rPr>
            <w:tab/>
          </w:r>
          <w:r>
            <w:rPr>
              <w:color w:val="auto"/>
            </w:rPr>
            <w:t>118</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"_bookmark168" </w:instrText>
          </w:r>
          <w:r>
            <w:rPr>
              <w:color w:val="auto"/>
            </w:rPr>
            <w:fldChar w:fldCharType="separate"/>
          </w:r>
          <w:r>
            <w:rPr>
              <w:color w:val="auto"/>
            </w:rPr>
            <w:t>一百六十四、经营者私自拆封、毁损备份样品</w:t>
          </w:r>
          <w:r>
            <w:rPr>
              <w:color w:val="auto"/>
            </w:rPr>
            <w:tab/>
          </w:r>
          <w:r>
            <w:rPr>
              <w:color w:val="auto"/>
            </w:rPr>
            <w:t>119</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"_bookmark169"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"_bookmark169" </w:instrText>
          </w:r>
          <w:r>
            <w:rPr>
              <w:color w:val="auto"/>
            </w:rPr>
            <w:fldChar w:fldCharType="separate"/>
          </w:r>
          <w:r>
            <w:rPr>
              <w:color w:val="auto"/>
            </w:rPr>
            <w:t>百六十五</w:t>
          </w:r>
          <w:r>
            <w:rPr>
              <w:color w:val="auto"/>
              <w:spacing w:val="-36"/>
            </w:rPr>
            <w:t>、</w:t>
          </w:r>
          <w:r>
            <w:rPr>
              <w:color w:val="auto"/>
            </w:rPr>
            <w:t>经营者未在规定期限内提供相关产品标准或者提供虚假企业标准</w:t>
          </w:r>
          <w:r>
            <w:rPr>
              <w:color w:val="auto"/>
              <w:spacing w:val="-17"/>
            </w:rPr>
            <w:t>以</w:t>
          </w:r>
          <w:r>
            <w:rPr>
              <w:color w:val="auto"/>
              <w:spacing w:val="-17"/>
            </w:rPr>
            <w:fldChar w:fldCharType="end"/>
          </w:r>
          <w:r>
            <w:rPr>
              <w:color w:val="auto"/>
            </w:rPr>
            <w:t>及与抽检商品相关虚假信息</w:t>
          </w:r>
          <w:r>
            <w:rPr>
              <w:color w:val="auto"/>
            </w:rPr>
            <w:tab/>
          </w:r>
          <w:r>
            <w:rPr>
              <w:color w:val="auto"/>
              <w:spacing w:val="-6"/>
            </w:rPr>
            <w:t>119</w:t>
          </w:r>
        </w:p>
        <w:p>
          <w:pPr>
            <w:pStyle w:val="5"/>
            <w:tabs>
              <w:tab w:val="left" w:leader="dot" w:pos="8595"/>
            </w:tabs>
            <w:spacing w:line="308" w:lineRule="exact"/>
            <w:rPr>
              <w:color w:val="auto"/>
            </w:rPr>
          </w:pPr>
          <w:r>
            <w:rPr>
              <w:color w:val="auto"/>
            </w:rPr>
            <w:fldChar w:fldCharType="begin"/>
          </w:r>
          <w:r>
            <w:rPr>
              <w:color w:val="auto"/>
            </w:rPr>
            <w:instrText xml:space="preserve"> HYPERLINK \l "_bookmark170" </w:instrText>
          </w:r>
          <w:r>
            <w:rPr>
              <w:color w:val="auto"/>
            </w:rPr>
            <w:fldChar w:fldCharType="separate"/>
          </w:r>
          <w:r>
            <w:rPr>
              <w:color w:val="auto"/>
            </w:rPr>
            <w:t>一百六十六、被抽检的经营者逾期不改正</w:t>
          </w:r>
          <w:r>
            <w:rPr>
              <w:color w:val="auto"/>
            </w:rPr>
            <w:tab/>
          </w:r>
          <w:r>
            <w:rPr>
              <w:color w:val="auto"/>
            </w:rPr>
            <w:t>120</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"_bookmark171"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"_bookmark171" </w:instrText>
          </w:r>
          <w:r>
            <w:rPr>
              <w:color w:val="auto"/>
            </w:rPr>
            <w:fldChar w:fldCharType="separate"/>
          </w:r>
          <w:r>
            <w:rPr>
              <w:color w:val="auto"/>
            </w:rPr>
            <w:t>百六十七</w:t>
          </w:r>
          <w:r>
            <w:rPr>
              <w:color w:val="auto"/>
              <w:spacing w:val="-20"/>
            </w:rPr>
            <w:t>、</w:t>
          </w:r>
          <w:r>
            <w:rPr>
              <w:color w:val="auto"/>
            </w:rPr>
            <w:t>发现或者有事实证明其提供的商品或者服务存在缺陷</w:t>
          </w:r>
          <w:r>
            <w:rPr>
              <w:color w:val="auto"/>
              <w:spacing w:val="-17"/>
            </w:rPr>
            <w:t>，</w:t>
          </w:r>
          <w:r>
            <w:rPr>
              <w:color w:val="auto"/>
            </w:rPr>
            <w:t>可能对消</w:t>
          </w:r>
          <w:r>
            <w:rPr>
              <w:color w:val="auto"/>
              <w:spacing w:val="-16"/>
            </w:rPr>
            <w:t>费</w:t>
          </w:r>
          <w:r>
            <w:rPr>
              <w:color w:val="auto"/>
              <w:spacing w:val="-16"/>
            </w:rPr>
            <w:fldChar w:fldCharType="end"/>
          </w:r>
          <w:r>
            <w:rPr>
              <w:color w:val="auto"/>
            </w:rPr>
            <w:t>者人身、财产安全造成危害，未立即报告有关部门和告知消费者</w:t>
          </w:r>
          <w:r>
            <w:rPr>
              <w:color w:val="auto"/>
            </w:rPr>
            <w:tab/>
          </w:r>
          <w:r>
            <w:rPr>
              <w:color w:val="auto"/>
              <w:spacing w:val="-6"/>
            </w:rPr>
            <w:t>120</w:t>
          </w:r>
        </w:p>
        <w:p>
          <w:pPr>
            <w:pStyle w:val="5"/>
            <w:tabs>
              <w:tab w:val="left" w:leader="dot" w:pos="8595"/>
            </w:tabs>
            <w:spacing w:line="308" w:lineRule="exact"/>
            <w:rPr>
              <w:color w:val="auto"/>
            </w:rPr>
          </w:pPr>
          <w:r>
            <w:rPr>
              <w:color w:val="auto"/>
            </w:rPr>
            <w:fldChar w:fldCharType="begin"/>
          </w:r>
          <w:r>
            <w:rPr>
              <w:color w:val="auto"/>
            </w:rPr>
            <w:instrText xml:space="preserve"> HYPERLINK \l "_bookmark172" </w:instrText>
          </w:r>
          <w:r>
            <w:rPr>
              <w:color w:val="auto"/>
            </w:rPr>
            <w:fldChar w:fldCharType="separate"/>
          </w:r>
          <w:r>
            <w:rPr>
              <w:color w:val="auto"/>
              <w:spacing w:val="-12"/>
            </w:rPr>
            <w:t>一百六十八、未标明租赁期限、特许经营期限、经营地址、联系方式等事</w:t>
          </w:r>
          <w:r>
            <w:rPr>
              <w:color w:val="auto"/>
            </w:rPr>
            <w:t>项</w:t>
          </w:r>
          <w:r>
            <w:rPr>
              <w:color w:val="auto"/>
            </w:rPr>
            <w:tab/>
          </w:r>
          <w:r>
            <w:rPr>
              <w:color w:val="auto"/>
            </w:rPr>
            <w:t>121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"_bookmark173" </w:instrText>
          </w:r>
          <w:r>
            <w:rPr>
              <w:color w:val="auto"/>
            </w:rPr>
            <w:fldChar w:fldCharType="separate"/>
          </w:r>
          <w:r>
            <w:rPr>
              <w:color w:val="auto"/>
            </w:rPr>
            <w:t>一百六十九、未核验销售者或者服务者的营业执照、许可证件等资料</w:t>
          </w:r>
          <w:r>
            <w:rPr>
              <w:color w:val="auto"/>
            </w:rPr>
            <w:tab/>
          </w:r>
          <w:r>
            <w:rPr>
              <w:color w:val="auto"/>
            </w:rPr>
            <w:t>122</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"_bookmark174" </w:instrText>
          </w:r>
          <w:r>
            <w:rPr>
              <w:color w:val="auto"/>
            </w:rPr>
            <w:fldChar w:fldCharType="separate"/>
          </w:r>
          <w:r>
            <w:rPr>
              <w:color w:val="auto"/>
            </w:rPr>
            <w:t>一百七十、未设置告知程序提示消费者索要发票等购货凭证</w:t>
          </w:r>
          <w:r>
            <w:rPr>
              <w:color w:val="auto"/>
            </w:rPr>
            <w:tab/>
          </w:r>
          <w:r>
            <w:rPr>
              <w:color w:val="auto"/>
            </w:rPr>
            <w:t>122</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"_bookmark175" </w:instrText>
          </w:r>
          <w:r>
            <w:rPr>
              <w:color w:val="auto"/>
            </w:rPr>
            <w:fldChar w:fldCharType="separate"/>
          </w:r>
          <w:r>
            <w:rPr>
              <w:color w:val="auto"/>
            </w:rPr>
            <w:t>一百七十一、销售不适用无理由退货商品时未设置显著的提示程序</w:t>
          </w:r>
          <w:r>
            <w:rPr>
              <w:color w:val="auto"/>
            </w:rPr>
            <w:tab/>
          </w:r>
          <w:r>
            <w:rPr>
              <w:color w:val="auto"/>
            </w:rPr>
            <w:t>123</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"_bookmark176"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"_bookmark176" </w:instrText>
          </w:r>
          <w:r>
            <w:rPr>
              <w:color w:val="auto"/>
            </w:rPr>
            <w:fldChar w:fldCharType="separate"/>
          </w:r>
          <w:r>
            <w:rPr>
              <w:color w:val="auto"/>
            </w:rPr>
            <w:t>百七十二</w:t>
          </w:r>
          <w:r>
            <w:rPr>
              <w:color w:val="auto"/>
              <w:spacing w:val="-36"/>
            </w:rPr>
            <w:t>、</w:t>
          </w:r>
          <w:r>
            <w:rPr>
              <w:color w:val="auto"/>
            </w:rPr>
            <w:t>以预收款方式提供商品或者服务的经营者未按照规定退还预付款</w:t>
          </w:r>
          <w:r>
            <w:rPr>
              <w:color w:val="auto"/>
              <w:spacing w:val="-17"/>
            </w:rPr>
            <w:t>及</w:t>
          </w:r>
          <w:r>
            <w:rPr>
              <w:color w:val="auto"/>
              <w:spacing w:val="-17"/>
            </w:rPr>
            <w:fldChar w:fldCharType="end"/>
          </w:r>
          <w:r>
            <w:rPr>
              <w:color w:val="auto"/>
            </w:rPr>
            <w:t>其利息</w:t>
          </w:r>
          <w:r>
            <w:rPr>
              <w:color w:val="auto"/>
            </w:rPr>
            <w:tab/>
          </w:r>
          <w:r>
            <w:rPr>
              <w:color w:val="auto"/>
              <w:spacing w:val="-6"/>
            </w:rPr>
            <w:t>124</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"_bookmark177"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"_bookmark177" </w:instrText>
          </w:r>
          <w:r>
            <w:rPr>
              <w:color w:val="auto"/>
            </w:rPr>
            <w:fldChar w:fldCharType="separate"/>
          </w:r>
          <w:r>
            <w:rPr>
              <w:color w:val="auto"/>
            </w:rPr>
            <w:t>百七十三</w:t>
          </w:r>
          <w:r>
            <w:rPr>
              <w:color w:val="auto"/>
              <w:spacing w:val="-20"/>
            </w:rPr>
            <w:t>、</w:t>
          </w:r>
          <w:r>
            <w:rPr>
              <w:color w:val="auto"/>
            </w:rPr>
            <w:t>以预收款方式提供商品或者服务的经营者停业</w:t>
          </w:r>
          <w:r>
            <w:rPr>
              <w:color w:val="auto"/>
              <w:spacing w:val="-17"/>
            </w:rPr>
            <w:t>、</w:t>
          </w:r>
          <w:r>
            <w:rPr>
              <w:color w:val="auto"/>
            </w:rPr>
            <w:t>歇业或者变更经</w:t>
          </w:r>
          <w:r>
            <w:rPr>
              <w:color w:val="auto"/>
              <w:spacing w:val="-16"/>
            </w:rPr>
            <w:t>营</w:t>
          </w:r>
          <w:r>
            <w:rPr>
              <w:color w:val="auto"/>
              <w:spacing w:val="-16"/>
            </w:rPr>
            <w:fldChar w:fldCharType="end"/>
          </w:r>
          <w:r>
            <w:rPr>
              <w:color w:val="auto"/>
            </w:rPr>
            <w:t>场所未按规定提前通知消费者</w:t>
          </w:r>
          <w:r>
            <w:rPr>
              <w:color w:val="auto"/>
            </w:rPr>
            <w:tab/>
          </w:r>
          <w:r>
            <w:rPr>
              <w:color w:val="auto"/>
              <w:spacing w:val="-6"/>
            </w:rPr>
            <w:t>125</w:t>
          </w:r>
        </w:p>
        <w:p>
          <w:pPr>
            <w:pStyle w:val="5"/>
            <w:tabs>
              <w:tab w:val="left" w:leader="dot" w:pos="8595"/>
            </w:tabs>
            <w:spacing w:line="308" w:lineRule="exact"/>
            <w:rPr>
              <w:color w:val="auto"/>
            </w:rPr>
          </w:pPr>
          <w:r>
            <w:rPr>
              <w:color w:val="auto"/>
            </w:rPr>
            <w:fldChar w:fldCharType="begin"/>
          </w:r>
          <w:r>
            <w:rPr>
              <w:color w:val="auto"/>
            </w:rPr>
            <w:instrText xml:space="preserve"> HYPERLINK \l "_bookmark178" </w:instrText>
          </w:r>
          <w:r>
            <w:rPr>
              <w:color w:val="auto"/>
            </w:rPr>
            <w:fldChar w:fldCharType="separate"/>
          </w:r>
          <w:r>
            <w:rPr>
              <w:color w:val="auto"/>
            </w:rPr>
            <w:t>一百七十四、购进或者销售无厂名、厂址等来源不明的商品</w:t>
          </w:r>
          <w:r>
            <w:rPr>
              <w:color w:val="auto"/>
            </w:rPr>
            <w:tab/>
          </w:r>
          <w:r>
            <w:rPr>
              <w:color w:val="auto"/>
            </w:rPr>
            <w:t>126</w:t>
          </w:r>
          <w:r>
            <w:rPr>
              <w:color w:val="auto"/>
            </w:rPr>
            <w:fldChar w:fldCharType="end"/>
          </w:r>
        </w:p>
        <w:p>
          <w:pPr>
            <w:pStyle w:val="5"/>
            <w:tabs>
              <w:tab w:val="left" w:leader="dot" w:pos="8595"/>
            </w:tabs>
            <w:spacing w:before="172" w:line="374" w:lineRule="auto"/>
            <w:ind w:right="232"/>
            <w:rPr>
              <w:color w:val="auto"/>
            </w:rPr>
          </w:pPr>
          <w:r>
            <w:rPr>
              <w:color w:val="auto"/>
            </w:rPr>
            <w:fldChar w:fldCharType="begin"/>
          </w:r>
          <w:r>
            <w:rPr>
              <w:color w:val="auto"/>
            </w:rPr>
            <w:instrText xml:space="preserve"> HYPERLINK \l "_bookmark179"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"_bookmark179" </w:instrText>
          </w:r>
          <w:r>
            <w:rPr>
              <w:color w:val="auto"/>
            </w:rPr>
            <w:fldChar w:fldCharType="separate"/>
          </w:r>
          <w:r>
            <w:rPr>
              <w:color w:val="auto"/>
            </w:rPr>
            <w:t>百七十五、商品经营柜台出租者、商品展销会举办者、网络交易平台提供者</w:t>
          </w:r>
          <w:r>
            <w:rPr>
              <w:color w:val="auto"/>
              <w:spacing w:val="-17"/>
            </w:rPr>
            <w:t>、</w:t>
          </w:r>
          <w:r>
            <w:rPr>
              <w:color w:val="auto"/>
              <w:spacing w:val="-17"/>
            </w:rPr>
            <w:fldChar w:fldCharType="end"/>
          </w:r>
          <w:r>
            <w:rPr>
              <w:color w:val="auto"/>
            </w:rPr>
            <w:t>广播电视购物平台经营者对申请进入其经营场所或者平台销售商品的经营者的 主体资格未履行审查登记义务</w:t>
          </w:r>
          <w:r>
            <w:rPr>
              <w:color w:val="auto"/>
              <w:spacing w:val="-36"/>
            </w:rPr>
            <w:t>，</w:t>
          </w:r>
          <w:r>
            <w:rPr>
              <w:color w:val="auto"/>
            </w:rPr>
            <w:t>或者拒绝协助工商行政管理部门对涉嫌违法行为采取措施、开展调查</w:t>
          </w:r>
          <w:r>
            <w:rPr>
              <w:color w:val="auto"/>
            </w:rPr>
            <w:tab/>
          </w:r>
          <w:r>
            <w:rPr>
              <w:color w:val="auto"/>
            </w:rPr>
            <w:t>126</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"_bookmark180"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"_bookmark180" </w:instrText>
          </w:r>
          <w:r>
            <w:rPr>
              <w:color w:val="auto"/>
            </w:rPr>
            <w:fldChar w:fldCharType="separate"/>
          </w:r>
          <w:r>
            <w:rPr>
              <w:color w:val="auto"/>
            </w:rPr>
            <w:t>百七十六</w:t>
          </w:r>
          <w:r>
            <w:rPr>
              <w:color w:val="auto"/>
              <w:spacing w:val="-10"/>
            </w:rPr>
            <w:t>、</w:t>
          </w:r>
          <w:r>
            <w:rPr>
              <w:color w:val="auto"/>
            </w:rPr>
            <w:t>经营者向消费者提供商品或者服务使用格式条款</w:t>
          </w:r>
          <w:r>
            <w:rPr>
              <w:color w:val="auto"/>
              <w:spacing w:val="-10"/>
            </w:rPr>
            <w:t>、</w:t>
          </w:r>
          <w:r>
            <w:rPr>
              <w:color w:val="auto"/>
            </w:rPr>
            <w:t>通知</w:t>
          </w:r>
          <w:r>
            <w:rPr>
              <w:color w:val="auto"/>
              <w:spacing w:val="-8"/>
            </w:rPr>
            <w:t>、</w:t>
          </w:r>
          <w:r>
            <w:rPr>
              <w:color w:val="auto"/>
            </w:rPr>
            <w:t>声明</w:t>
          </w:r>
          <w:r>
            <w:rPr>
              <w:color w:val="auto"/>
              <w:spacing w:val="-10"/>
            </w:rPr>
            <w:t>、</w:t>
          </w:r>
          <w:r>
            <w:rPr>
              <w:color w:val="auto"/>
              <w:spacing w:val="-15"/>
            </w:rPr>
            <w:t>店</w:t>
          </w:r>
          <w:r>
            <w:rPr>
              <w:color w:val="auto"/>
              <w:spacing w:val="-15"/>
            </w:rPr>
            <w:fldChar w:fldCharType="end"/>
          </w:r>
          <w:r>
            <w:rPr>
              <w:color w:val="auto"/>
            </w:rPr>
            <w:t>堂告示等的</w:t>
          </w:r>
          <w:r>
            <w:rPr>
              <w:color w:val="auto"/>
              <w:spacing w:val="-36"/>
            </w:rPr>
            <w:t>，</w:t>
          </w:r>
          <w:r>
            <w:rPr>
              <w:color w:val="auto"/>
            </w:rPr>
            <w:t>含有免除或者部分免除经营者对其所提供的商品或者服务应当承</w:t>
          </w:r>
          <w:r>
            <w:rPr>
              <w:color w:val="auto"/>
              <w:spacing w:val="-17"/>
            </w:rPr>
            <w:t>担</w:t>
          </w:r>
          <w:r>
            <w:rPr>
              <w:color w:val="auto"/>
            </w:rPr>
            <w:t>的修理</w:t>
          </w:r>
          <w:r>
            <w:rPr>
              <w:color w:val="auto"/>
              <w:spacing w:val="-8"/>
            </w:rPr>
            <w:t>、</w:t>
          </w:r>
          <w:r>
            <w:rPr>
              <w:color w:val="auto"/>
            </w:rPr>
            <w:t>重作</w:t>
          </w:r>
          <w:r>
            <w:rPr>
              <w:color w:val="auto"/>
              <w:spacing w:val="-5"/>
            </w:rPr>
            <w:t>、</w:t>
          </w:r>
          <w:r>
            <w:rPr>
              <w:color w:val="auto"/>
            </w:rPr>
            <w:t>更换</w:t>
          </w:r>
          <w:r>
            <w:rPr>
              <w:color w:val="auto"/>
              <w:spacing w:val="-8"/>
            </w:rPr>
            <w:t>、</w:t>
          </w:r>
          <w:r>
            <w:rPr>
              <w:color w:val="auto"/>
            </w:rPr>
            <w:t>退货</w:t>
          </w:r>
          <w:r>
            <w:rPr>
              <w:color w:val="auto"/>
              <w:spacing w:val="-5"/>
            </w:rPr>
            <w:t>、</w:t>
          </w:r>
          <w:r>
            <w:rPr>
              <w:color w:val="auto"/>
            </w:rPr>
            <w:t>补足商品数量</w:t>
          </w:r>
          <w:r>
            <w:rPr>
              <w:color w:val="auto"/>
              <w:spacing w:val="-8"/>
            </w:rPr>
            <w:t>、</w:t>
          </w:r>
          <w:r>
            <w:rPr>
              <w:color w:val="auto"/>
            </w:rPr>
            <w:t>退还货款和服务费用</w:t>
          </w:r>
          <w:r>
            <w:rPr>
              <w:color w:val="auto"/>
              <w:spacing w:val="-5"/>
            </w:rPr>
            <w:t>、</w:t>
          </w:r>
          <w:r>
            <w:rPr>
              <w:color w:val="auto"/>
            </w:rPr>
            <w:t>赔偿损失</w:t>
          </w:r>
          <w:r>
            <w:rPr>
              <w:color w:val="auto"/>
              <w:spacing w:val="-14"/>
            </w:rPr>
            <w:t>等</w:t>
          </w:r>
          <w:r>
            <w:rPr>
              <w:color w:val="auto"/>
            </w:rPr>
            <w:t>责任的内容</w:t>
          </w:r>
          <w:r>
            <w:rPr>
              <w:color w:val="auto"/>
            </w:rPr>
            <w:tab/>
          </w:r>
          <w:r>
            <w:rPr>
              <w:color w:val="auto"/>
              <w:spacing w:val="-6"/>
            </w:rPr>
            <w:t>127</w:t>
          </w:r>
        </w:p>
        <w:p>
          <w:pPr>
            <w:pStyle w:val="5"/>
            <w:tabs>
              <w:tab w:val="left" w:leader="dot" w:pos="8595"/>
            </w:tabs>
            <w:spacing w:before="2" w:after="240" w:line="374" w:lineRule="auto"/>
            <w:ind w:right="268"/>
            <w:jc w:val="both"/>
            <w:rPr>
              <w:color w:val="auto"/>
            </w:rPr>
          </w:pPr>
          <w:r>
            <w:rPr>
              <w:color w:val="auto"/>
            </w:rPr>
            <w:fldChar w:fldCharType="begin"/>
          </w:r>
          <w:r>
            <w:rPr>
              <w:color w:val="auto"/>
            </w:rPr>
            <w:instrText xml:space="preserve"> HYPERLINK \l "_bookmark181"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"_bookmark181" </w:instrText>
          </w:r>
          <w:r>
            <w:rPr>
              <w:color w:val="auto"/>
            </w:rPr>
            <w:fldChar w:fldCharType="separate"/>
          </w:r>
          <w:r>
            <w:rPr>
              <w:color w:val="auto"/>
            </w:rPr>
            <w:t>百七十七</w:t>
          </w:r>
          <w:r>
            <w:rPr>
              <w:color w:val="auto"/>
              <w:spacing w:val="-10"/>
            </w:rPr>
            <w:t>、</w:t>
          </w:r>
          <w:r>
            <w:rPr>
              <w:color w:val="auto"/>
            </w:rPr>
            <w:t>经营者向消费者提供商品或者服务使用格式条款</w:t>
          </w:r>
          <w:r>
            <w:rPr>
              <w:color w:val="auto"/>
              <w:spacing w:val="-10"/>
            </w:rPr>
            <w:t>、</w:t>
          </w:r>
          <w:r>
            <w:rPr>
              <w:color w:val="auto"/>
            </w:rPr>
            <w:t>通知</w:t>
          </w:r>
          <w:r>
            <w:rPr>
              <w:color w:val="auto"/>
              <w:spacing w:val="-8"/>
            </w:rPr>
            <w:t>、</w:t>
          </w:r>
          <w:r>
            <w:rPr>
              <w:color w:val="auto"/>
            </w:rPr>
            <w:t>声明</w:t>
          </w:r>
          <w:r>
            <w:rPr>
              <w:color w:val="auto"/>
              <w:spacing w:val="-10"/>
            </w:rPr>
            <w:t>、</w:t>
          </w:r>
          <w:r>
            <w:rPr>
              <w:color w:val="auto"/>
              <w:spacing w:val="-15"/>
            </w:rPr>
            <w:t>店</w:t>
          </w:r>
          <w:r>
            <w:rPr>
              <w:color w:val="auto"/>
              <w:spacing w:val="-15"/>
            </w:rPr>
            <w:fldChar w:fldCharType="end"/>
          </w:r>
          <w:r>
            <w:rPr>
              <w:color w:val="auto"/>
            </w:rPr>
            <w:t>堂告示等的</w:t>
          </w:r>
          <w:r>
            <w:rPr>
              <w:color w:val="auto"/>
              <w:spacing w:val="-10"/>
            </w:rPr>
            <w:t>，</w:t>
          </w:r>
          <w:r>
            <w:rPr>
              <w:color w:val="auto"/>
            </w:rPr>
            <w:t>含有排除或者限制消费者提出修理</w:t>
          </w:r>
          <w:r>
            <w:rPr>
              <w:color w:val="auto"/>
              <w:spacing w:val="-10"/>
            </w:rPr>
            <w:t>、</w:t>
          </w:r>
          <w:r>
            <w:rPr>
              <w:color w:val="auto"/>
            </w:rPr>
            <w:t>更换</w:t>
          </w:r>
          <w:r>
            <w:rPr>
              <w:color w:val="auto"/>
              <w:spacing w:val="-8"/>
            </w:rPr>
            <w:t>、</w:t>
          </w:r>
          <w:r>
            <w:rPr>
              <w:color w:val="auto"/>
            </w:rPr>
            <w:t>退货</w:t>
          </w:r>
          <w:r>
            <w:rPr>
              <w:color w:val="auto"/>
              <w:spacing w:val="-10"/>
            </w:rPr>
            <w:t>、</w:t>
          </w:r>
          <w:r>
            <w:rPr>
              <w:color w:val="auto"/>
            </w:rPr>
            <w:t>赔偿损失以及</w:t>
          </w:r>
          <w:r>
            <w:rPr>
              <w:color w:val="auto"/>
              <w:spacing w:val="-15"/>
            </w:rPr>
            <w:t>获</w:t>
          </w:r>
          <w:r>
            <w:rPr>
              <w:color w:val="auto"/>
            </w:rPr>
            <w:t>得违约金和其他合理赔偿的权利的内容</w:t>
          </w:r>
          <w:r>
            <w:rPr>
              <w:color w:val="auto"/>
            </w:rPr>
            <w:tab/>
          </w:r>
          <w:r>
            <w:rPr>
              <w:color w:val="auto"/>
              <w:spacing w:val="-6"/>
            </w:rPr>
            <w:t>128</w:t>
          </w:r>
        </w:p>
        <w:p>
          <w:pPr>
            <w:pStyle w:val="5"/>
            <w:tabs>
              <w:tab w:val="left" w:leader="dot" w:pos="8595"/>
            </w:tabs>
            <w:spacing w:before="127" w:line="374" w:lineRule="auto"/>
            <w:ind w:left="567" w:right="256" w:firstLine="24"/>
            <w:rPr>
              <w:color w:val="auto"/>
            </w:rPr>
          </w:pPr>
          <w:r>
            <w:rPr>
              <w:color w:val="auto"/>
            </w:rPr>
            <w:fldChar w:fldCharType="begin"/>
          </w:r>
          <w:r>
            <w:rPr>
              <w:color w:val="auto"/>
            </w:rPr>
            <w:instrText xml:space="preserve"> HYPERLINK \l "_bookmark182" </w:instrText>
          </w:r>
          <w:r>
            <w:rPr>
              <w:color w:val="auto"/>
            </w:rPr>
            <w:fldChar w:fldCharType="separate"/>
          </w:r>
          <w:r>
            <w:rPr>
              <w:color w:val="auto"/>
              <w:spacing w:val="-12"/>
            </w:rPr>
            <w:t>一</w:t>
          </w:r>
          <w:r>
            <w:rPr>
              <w:color w:val="auto"/>
              <w:spacing w:val="-12"/>
            </w:rPr>
            <w:fldChar w:fldCharType="end"/>
          </w:r>
          <w:r>
            <w:rPr>
              <w:color w:val="auto"/>
            </w:rPr>
            <w:fldChar w:fldCharType="begin"/>
          </w:r>
          <w:r>
            <w:rPr>
              <w:color w:val="auto"/>
            </w:rPr>
            <w:instrText xml:space="preserve"> HYPERLINK \l "_bookmark182" </w:instrText>
          </w:r>
          <w:r>
            <w:rPr>
              <w:color w:val="auto"/>
            </w:rPr>
            <w:fldChar w:fldCharType="separate"/>
          </w:r>
          <w:r>
            <w:rPr>
              <w:color w:val="auto"/>
              <w:spacing w:val="-12"/>
            </w:rPr>
            <w:t>百七十八</w:t>
          </w:r>
          <w:r>
            <w:rPr>
              <w:color w:val="auto"/>
              <w:spacing w:val="-32"/>
            </w:rPr>
            <w:t>、</w:t>
          </w:r>
          <w:r>
            <w:rPr>
              <w:color w:val="auto"/>
              <w:spacing w:val="-12"/>
            </w:rPr>
            <w:t>经营者向消费者提供商品或者服务使用格式条款</w:t>
          </w:r>
          <w:r>
            <w:rPr>
              <w:color w:val="auto"/>
              <w:spacing w:val="-29"/>
            </w:rPr>
            <w:t>、</w:t>
          </w:r>
          <w:r>
            <w:rPr>
              <w:color w:val="auto"/>
              <w:spacing w:val="-12"/>
            </w:rPr>
            <w:t>通知</w:t>
          </w:r>
          <w:r>
            <w:rPr>
              <w:color w:val="auto"/>
              <w:spacing w:val="-32"/>
            </w:rPr>
            <w:t>、</w:t>
          </w:r>
          <w:r>
            <w:rPr>
              <w:color w:val="auto"/>
              <w:spacing w:val="-12"/>
            </w:rPr>
            <w:t>声明</w:t>
          </w:r>
          <w:r>
            <w:rPr>
              <w:color w:val="auto"/>
              <w:spacing w:val="-29"/>
            </w:rPr>
            <w:t>、</w:t>
          </w:r>
          <w:r>
            <w:rPr>
              <w:color w:val="auto"/>
              <w:spacing w:val="-12"/>
            </w:rPr>
            <w:t>店堂</w:t>
          </w:r>
          <w:r>
            <w:rPr>
              <w:color w:val="auto"/>
              <w:spacing w:val="-15"/>
            </w:rPr>
            <w:t>告</w:t>
          </w:r>
          <w:r>
            <w:rPr>
              <w:color w:val="auto"/>
              <w:spacing w:val="-15"/>
            </w:rPr>
            <w:fldChar w:fldCharType="end"/>
          </w:r>
          <w:r>
            <w:rPr>
              <w:color w:val="auto"/>
              <w:spacing w:val="-12"/>
            </w:rPr>
            <w:t>示等的，含有排除或者限制消费者依法投诉、举报、提起诉讼的权利的内</w:t>
          </w:r>
          <w:r>
            <w:rPr>
              <w:color w:val="auto"/>
            </w:rPr>
            <w:t>容</w:t>
          </w:r>
          <w:r>
            <w:rPr>
              <w:color w:val="auto"/>
            </w:rPr>
            <w:tab/>
          </w:r>
          <w:r>
            <w:rPr>
              <w:color w:val="auto"/>
            </w:rPr>
            <w:t>129</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"_bookmark183"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"_bookmark183" </w:instrText>
          </w:r>
          <w:r>
            <w:rPr>
              <w:color w:val="auto"/>
            </w:rPr>
            <w:fldChar w:fldCharType="separate"/>
          </w:r>
          <w:r>
            <w:rPr>
              <w:color w:val="auto"/>
            </w:rPr>
            <w:t>百七十九</w:t>
          </w:r>
          <w:r>
            <w:rPr>
              <w:color w:val="auto"/>
              <w:spacing w:val="-10"/>
            </w:rPr>
            <w:t>、</w:t>
          </w:r>
          <w:r>
            <w:rPr>
              <w:color w:val="auto"/>
            </w:rPr>
            <w:t>经营者向消费者提供商品或者服务使用格式条款</w:t>
          </w:r>
          <w:r>
            <w:rPr>
              <w:color w:val="auto"/>
              <w:spacing w:val="-10"/>
            </w:rPr>
            <w:t>、</w:t>
          </w:r>
          <w:r>
            <w:rPr>
              <w:color w:val="auto"/>
            </w:rPr>
            <w:t>通知</w:t>
          </w:r>
          <w:r>
            <w:rPr>
              <w:color w:val="auto"/>
              <w:spacing w:val="-8"/>
            </w:rPr>
            <w:t>、</w:t>
          </w:r>
          <w:r>
            <w:rPr>
              <w:color w:val="auto"/>
            </w:rPr>
            <w:t>声明</w:t>
          </w:r>
          <w:r>
            <w:rPr>
              <w:color w:val="auto"/>
              <w:spacing w:val="-10"/>
            </w:rPr>
            <w:t>、</w:t>
          </w:r>
          <w:r>
            <w:rPr>
              <w:color w:val="auto"/>
              <w:spacing w:val="-15"/>
            </w:rPr>
            <w:t>店</w:t>
          </w:r>
          <w:r>
            <w:rPr>
              <w:color w:val="auto"/>
              <w:spacing w:val="-15"/>
            </w:rPr>
            <w:fldChar w:fldCharType="end"/>
          </w:r>
          <w:r>
            <w:rPr>
              <w:color w:val="auto"/>
            </w:rPr>
            <w:t>堂告示等的</w:t>
          </w:r>
          <w:r>
            <w:rPr>
              <w:color w:val="auto"/>
              <w:spacing w:val="-36"/>
            </w:rPr>
            <w:t>，</w:t>
          </w:r>
          <w:r>
            <w:rPr>
              <w:color w:val="auto"/>
            </w:rPr>
            <w:t>含有强制或者变相强制消费者购买和使用其提供的或者其指定的</w:t>
          </w:r>
          <w:r>
            <w:rPr>
              <w:color w:val="auto"/>
              <w:spacing w:val="-17"/>
            </w:rPr>
            <w:t>经</w:t>
          </w:r>
          <w:r>
            <w:rPr>
              <w:color w:val="auto"/>
            </w:rPr>
            <w:t>营者提供的商品或者服务</w:t>
          </w:r>
          <w:r>
            <w:rPr>
              <w:color w:val="auto"/>
              <w:spacing w:val="-36"/>
            </w:rPr>
            <w:t>，</w:t>
          </w:r>
          <w:r>
            <w:rPr>
              <w:color w:val="auto"/>
            </w:rPr>
            <w:t>对不接受其不合理条件的消费者拒绝提供相应商品</w:t>
          </w:r>
          <w:r>
            <w:rPr>
              <w:color w:val="auto"/>
              <w:spacing w:val="-17"/>
            </w:rPr>
            <w:t>或</w:t>
          </w:r>
          <w:r>
            <w:rPr>
              <w:color w:val="auto"/>
            </w:rPr>
            <w:t>者服务，或者提高收费标准的内容</w:t>
          </w:r>
          <w:r>
            <w:rPr>
              <w:color w:val="auto"/>
            </w:rPr>
            <w:tab/>
          </w:r>
          <w:r>
            <w:rPr>
              <w:color w:val="auto"/>
              <w:spacing w:val="-6"/>
            </w:rPr>
            <w:t>130</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"_bookmark184"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"_bookmark184" </w:instrText>
          </w:r>
          <w:r>
            <w:rPr>
              <w:color w:val="auto"/>
            </w:rPr>
            <w:fldChar w:fldCharType="separate"/>
          </w:r>
          <w:r>
            <w:rPr>
              <w:color w:val="auto"/>
            </w:rPr>
            <w:t>百八十</w:t>
          </w:r>
          <w:r>
            <w:rPr>
              <w:color w:val="auto"/>
              <w:spacing w:val="-10"/>
            </w:rPr>
            <w:t>、</w:t>
          </w:r>
          <w:r>
            <w:rPr>
              <w:color w:val="auto"/>
            </w:rPr>
            <w:t>经营者向消费者提供商品或者服务使用格式条款</w:t>
          </w:r>
          <w:r>
            <w:rPr>
              <w:color w:val="auto"/>
              <w:spacing w:val="-10"/>
            </w:rPr>
            <w:t>、</w:t>
          </w:r>
          <w:r>
            <w:rPr>
              <w:color w:val="auto"/>
            </w:rPr>
            <w:t>通知</w:t>
          </w:r>
          <w:r>
            <w:rPr>
              <w:color w:val="auto"/>
              <w:spacing w:val="-8"/>
            </w:rPr>
            <w:t>、</w:t>
          </w:r>
          <w:r>
            <w:rPr>
              <w:color w:val="auto"/>
            </w:rPr>
            <w:t>声明</w:t>
          </w:r>
          <w:r>
            <w:rPr>
              <w:color w:val="auto"/>
              <w:spacing w:val="-10"/>
            </w:rPr>
            <w:t>、</w:t>
          </w:r>
          <w:r>
            <w:rPr>
              <w:color w:val="auto"/>
            </w:rPr>
            <w:t>店</w:t>
          </w:r>
          <w:r>
            <w:rPr>
              <w:color w:val="auto"/>
              <w:spacing w:val="-15"/>
            </w:rPr>
            <w:t>堂</w:t>
          </w:r>
          <w:r>
            <w:rPr>
              <w:color w:val="auto"/>
              <w:spacing w:val="-15"/>
            </w:rPr>
            <w:fldChar w:fldCharType="end"/>
          </w:r>
          <w:r>
            <w:rPr>
              <w:color w:val="auto"/>
            </w:rPr>
            <w:t>告示等的</w:t>
          </w:r>
          <w:r>
            <w:rPr>
              <w:color w:val="auto"/>
              <w:spacing w:val="-20"/>
            </w:rPr>
            <w:t>，</w:t>
          </w:r>
          <w:r>
            <w:rPr>
              <w:color w:val="auto"/>
            </w:rPr>
            <w:t>含有规定经营者有权任意变更或者解除合同</w:t>
          </w:r>
          <w:r>
            <w:rPr>
              <w:color w:val="auto"/>
              <w:spacing w:val="-17"/>
            </w:rPr>
            <w:t>，</w:t>
          </w:r>
          <w:r>
            <w:rPr>
              <w:color w:val="auto"/>
            </w:rPr>
            <w:t>限制消费者依法变更</w:t>
          </w:r>
          <w:r>
            <w:rPr>
              <w:color w:val="auto"/>
              <w:spacing w:val="-16"/>
            </w:rPr>
            <w:t>或</w:t>
          </w:r>
          <w:r>
            <w:rPr>
              <w:color w:val="auto"/>
            </w:rPr>
            <w:t>者解除合同权利的内容</w:t>
          </w:r>
          <w:r>
            <w:rPr>
              <w:color w:val="auto"/>
            </w:rPr>
            <w:tab/>
          </w:r>
          <w:r>
            <w:rPr>
              <w:color w:val="auto"/>
              <w:spacing w:val="-6"/>
            </w:rPr>
            <w:t>131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"_bookmark185"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"_bookmark185" </w:instrText>
          </w:r>
          <w:r>
            <w:rPr>
              <w:color w:val="auto"/>
            </w:rPr>
            <w:fldChar w:fldCharType="separate"/>
          </w:r>
          <w:r>
            <w:rPr>
              <w:color w:val="auto"/>
            </w:rPr>
            <w:t>百八十一</w:t>
          </w:r>
          <w:r>
            <w:rPr>
              <w:color w:val="auto"/>
              <w:spacing w:val="-10"/>
            </w:rPr>
            <w:t>、</w:t>
          </w:r>
          <w:r>
            <w:rPr>
              <w:color w:val="auto"/>
            </w:rPr>
            <w:t>经营者向消费者提供商品或者服务使用格式条款</w:t>
          </w:r>
          <w:r>
            <w:rPr>
              <w:color w:val="auto"/>
              <w:spacing w:val="-10"/>
            </w:rPr>
            <w:t>、</w:t>
          </w:r>
          <w:r>
            <w:rPr>
              <w:color w:val="auto"/>
            </w:rPr>
            <w:t>通知</w:t>
          </w:r>
          <w:r>
            <w:rPr>
              <w:color w:val="auto"/>
              <w:spacing w:val="-8"/>
            </w:rPr>
            <w:t>、</w:t>
          </w:r>
          <w:r>
            <w:rPr>
              <w:color w:val="auto"/>
            </w:rPr>
            <w:t>声明</w:t>
          </w:r>
          <w:r>
            <w:rPr>
              <w:color w:val="auto"/>
              <w:spacing w:val="-10"/>
            </w:rPr>
            <w:t>、</w:t>
          </w:r>
          <w:r>
            <w:rPr>
              <w:color w:val="auto"/>
              <w:spacing w:val="-15"/>
            </w:rPr>
            <w:t>店</w:t>
          </w:r>
          <w:r>
            <w:rPr>
              <w:color w:val="auto"/>
              <w:spacing w:val="-15"/>
            </w:rPr>
            <w:fldChar w:fldCharType="end"/>
          </w:r>
          <w:r>
            <w:rPr>
              <w:color w:val="auto"/>
            </w:rPr>
            <w:t>堂告示等的，含有规定经营者单方享有解释权或者最终解释权的内容</w:t>
          </w:r>
          <w:r>
            <w:rPr>
              <w:color w:val="auto"/>
            </w:rPr>
            <w:tab/>
          </w:r>
          <w:r>
            <w:rPr>
              <w:color w:val="auto"/>
              <w:spacing w:val="-6"/>
            </w:rPr>
            <w:t>131</w:t>
          </w:r>
        </w:p>
        <w:p>
          <w:pPr>
            <w:pStyle w:val="5"/>
            <w:tabs>
              <w:tab w:val="left" w:leader="dot" w:pos="8595"/>
            </w:tabs>
            <w:spacing w:line="374" w:lineRule="auto"/>
            <w:ind w:right="148"/>
            <w:rPr>
              <w:color w:val="auto"/>
            </w:rPr>
          </w:pPr>
          <w:r>
            <w:rPr>
              <w:color w:val="auto"/>
            </w:rPr>
            <w:fldChar w:fldCharType="begin"/>
          </w:r>
          <w:r>
            <w:rPr>
              <w:color w:val="auto"/>
            </w:rPr>
            <w:instrText xml:space="preserve"> HYPERLINK \l "_bookmark186"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"_bookmark186" </w:instrText>
          </w:r>
          <w:r>
            <w:rPr>
              <w:color w:val="auto"/>
            </w:rPr>
            <w:fldChar w:fldCharType="separate"/>
          </w:r>
          <w:r>
            <w:rPr>
              <w:color w:val="auto"/>
            </w:rPr>
            <w:t>百八十二</w:t>
          </w:r>
          <w:r>
            <w:rPr>
              <w:color w:val="auto"/>
              <w:spacing w:val="-10"/>
            </w:rPr>
            <w:t>、</w:t>
          </w:r>
          <w:r>
            <w:rPr>
              <w:color w:val="auto"/>
            </w:rPr>
            <w:t>从事为消费者提供修理</w:t>
          </w:r>
          <w:r>
            <w:rPr>
              <w:color w:val="auto"/>
              <w:spacing w:val="-10"/>
            </w:rPr>
            <w:t>、</w:t>
          </w:r>
          <w:r>
            <w:rPr>
              <w:color w:val="auto"/>
            </w:rPr>
            <w:t>加工</w:t>
          </w:r>
          <w:r>
            <w:rPr>
              <w:color w:val="auto"/>
              <w:spacing w:val="-8"/>
            </w:rPr>
            <w:t>、</w:t>
          </w:r>
          <w:r>
            <w:rPr>
              <w:color w:val="auto"/>
            </w:rPr>
            <w:t>安装</w:t>
          </w:r>
          <w:r>
            <w:rPr>
              <w:color w:val="auto"/>
              <w:spacing w:val="-10"/>
            </w:rPr>
            <w:t>、</w:t>
          </w:r>
          <w:r>
            <w:rPr>
              <w:color w:val="auto"/>
            </w:rPr>
            <w:t>装饰装修等服务的经营者谎</w:t>
          </w:r>
          <w:r>
            <w:rPr>
              <w:color w:val="auto"/>
            </w:rPr>
            <w:fldChar w:fldCharType="end"/>
          </w:r>
          <w:r>
            <w:rPr>
              <w:color w:val="auto"/>
            </w:rPr>
            <w:t>报用工用料</w:t>
          </w:r>
          <w:r>
            <w:rPr>
              <w:color w:val="auto"/>
              <w:spacing w:val="-12"/>
            </w:rPr>
            <w:t>，</w:t>
          </w:r>
          <w:r>
            <w:rPr>
              <w:color w:val="auto"/>
            </w:rPr>
            <w:t>故意损坏</w:t>
          </w:r>
          <w:r>
            <w:rPr>
              <w:color w:val="auto"/>
              <w:spacing w:val="-12"/>
            </w:rPr>
            <w:t>、</w:t>
          </w:r>
          <w:r>
            <w:rPr>
              <w:color w:val="auto"/>
            </w:rPr>
            <w:t>偷换零部件或材料</w:t>
          </w:r>
          <w:r>
            <w:rPr>
              <w:color w:val="auto"/>
              <w:spacing w:val="-12"/>
            </w:rPr>
            <w:t>，</w:t>
          </w:r>
          <w:r>
            <w:rPr>
              <w:color w:val="auto"/>
            </w:rPr>
            <w:t>使用不符合国家质量标准或者与约定不相符的零部件或材料</w:t>
          </w:r>
          <w:r>
            <w:rPr>
              <w:color w:val="auto"/>
              <w:spacing w:val="-53"/>
            </w:rPr>
            <w:t>，</w:t>
          </w:r>
          <w:r>
            <w:rPr>
              <w:color w:val="auto"/>
            </w:rPr>
            <w:t>更换不需要更换的零部件</w:t>
          </w:r>
          <w:r>
            <w:rPr>
              <w:color w:val="auto"/>
              <w:spacing w:val="-51"/>
            </w:rPr>
            <w:t>，</w:t>
          </w:r>
          <w:r>
            <w:rPr>
              <w:color w:val="auto"/>
            </w:rPr>
            <w:t>或者偷工减料</w:t>
          </w:r>
          <w:r>
            <w:rPr>
              <w:color w:val="auto"/>
              <w:spacing w:val="-53"/>
            </w:rPr>
            <w:t>、</w:t>
          </w:r>
          <w:r>
            <w:rPr>
              <w:color w:val="auto"/>
            </w:rPr>
            <w:t>加收费用</w:t>
          </w:r>
          <w:r>
            <w:rPr>
              <w:color w:val="auto"/>
              <w:spacing w:val="-15"/>
            </w:rPr>
            <w:t xml:space="preserve">， </w:t>
          </w:r>
          <w:r>
            <w:rPr>
              <w:color w:val="auto"/>
            </w:rPr>
            <w:t>损害消费者权益</w:t>
          </w:r>
          <w:r>
            <w:rPr>
              <w:color w:val="auto"/>
            </w:rPr>
            <w:tab/>
          </w:r>
          <w:r>
            <w:rPr>
              <w:color w:val="auto"/>
            </w:rPr>
            <w:t>132</w:t>
          </w:r>
        </w:p>
        <w:p>
          <w:pPr>
            <w:pStyle w:val="5"/>
            <w:tabs>
              <w:tab w:val="left" w:leader="dot" w:pos="8595"/>
            </w:tabs>
            <w:spacing w:before="2" w:line="374" w:lineRule="auto"/>
            <w:ind w:right="268"/>
            <w:rPr>
              <w:color w:val="auto"/>
            </w:rPr>
          </w:pPr>
          <w:r>
            <w:rPr>
              <w:color w:val="auto"/>
            </w:rPr>
            <w:fldChar w:fldCharType="begin"/>
          </w:r>
          <w:r>
            <w:rPr>
              <w:color w:val="auto"/>
            </w:rPr>
            <w:instrText xml:space="preserve"> HYPERLINK \l "_bookmark187"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"_bookmark187" </w:instrText>
          </w:r>
          <w:r>
            <w:rPr>
              <w:color w:val="auto"/>
            </w:rPr>
            <w:fldChar w:fldCharType="separate"/>
          </w:r>
          <w:r>
            <w:rPr>
              <w:color w:val="auto"/>
            </w:rPr>
            <w:t>百八十三</w:t>
          </w:r>
          <w:r>
            <w:rPr>
              <w:color w:val="auto"/>
              <w:spacing w:val="-20"/>
            </w:rPr>
            <w:t>、</w:t>
          </w:r>
          <w:r>
            <w:rPr>
              <w:color w:val="auto"/>
            </w:rPr>
            <w:t>从事房屋租赁</w:t>
          </w:r>
          <w:r>
            <w:rPr>
              <w:color w:val="auto"/>
              <w:spacing w:val="-17"/>
            </w:rPr>
            <w:t>、</w:t>
          </w:r>
          <w:r>
            <w:rPr>
              <w:color w:val="auto"/>
            </w:rPr>
            <w:t>家政服务等中介服务的经营者提供虚假信息或者</w:t>
          </w:r>
          <w:r>
            <w:rPr>
              <w:color w:val="auto"/>
              <w:spacing w:val="-16"/>
            </w:rPr>
            <w:t>采</w:t>
          </w:r>
          <w:r>
            <w:rPr>
              <w:color w:val="auto"/>
              <w:spacing w:val="-16"/>
            </w:rPr>
            <w:fldChar w:fldCharType="end"/>
          </w:r>
          <w:r>
            <w:rPr>
              <w:color w:val="auto"/>
            </w:rPr>
            <w:t>取欺骗、恶意串通等手段损害消费者权益</w:t>
          </w:r>
          <w:r>
            <w:rPr>
              <w:color w:val="auto"/>
            </w:rPr>
            <w:tab/>
          </w:r>
          <w:r>
            <w:rPr>
              <w:color w:val="auto"/>
              <w:spacing w:val="-6"/>
            </w:rPr>
            <w:t>133</w:t>
          </w:r>
        </w:p>
        <w:p>
          <w:pPr>
            <w:pStyle w:val="5"/>
            <w:tabs>
              <w:tab w:val="left" w:leader="dot" w:pos="8595"/>
            </w:tabs>
            <w:spacing w:line="308" w:lineRule="exact"/>
            <w:rPr>
              <w:color w:val="auto"/>
            </w:rPr>
          </w:pPr>
          <w:r>
            <w:rPr>
              <w:color w:val="auto"/>
            </w:rPr>
            <w:fldChar w:fldCharType="begin"/>
          </w:r>
          <w:r>
            <w:rPr>
              <w:color w:val="auto"/>
            </w:rPr>
            <w:instrText xml:space="preserve"> HYPERLINK \l "_bookmark188" </w:instrText>
          </w:r>
          <w:r>
            <w:rPr>
              <w:color w:val="auto"/>
            </w:rPr>
            <w:fldChar w:fldCharType="separate"/>
          </w:r>
          <w:r>
            <w:rPr>
              <w:color w:val="auto"/>
            </w:rPr>
            <w:t>一百八十四、平台未履行标注义务</w:t>
          </w:r>
          <w:r>
            <w:rPr>
              <w:color w:val="auto"/>
            </w:rPr>
            <w:tab/>
          </w:r>
          <w:r>
            <w:rPr>
              <w:color w:val="auto"/>
            </w:rPr>
            <w:t>134</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"_bookmark189"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"_bookmark189" </w:instrText>
          </w:r>
          <w:r>
            <w:rPr>
              <w:color w:val="auto"/>
            </w:rPr>
            <w:fldChar w:fldCharType="separate"/>
          </w:r>
          <w:r>
            <w:rPr>
              <w:color w:val="auto"/>
            </w:rPr>
            <w:t>百八十五、网络商品销售者销售不能够完全恢复到初始状态的无理由退货商</w:t>
          </w:r>
          <w:r>
            <w:rPr>
              <w:color w:val="auto"/>
            </w:rPr>
            <w:fldChar w:fldCharType="end"/>
          </w:r>
          <w:r>
            <w:rPr>
              <w:color w:val="auto"/>
            </w:rPr>
            <w:t>品，且未通过显著的方式明确标注商品实际情况</w:t>
          </w:r>
          <w:r>
            <w:rPr>
              <w:color w:val="auto"/>
            </w:rPr>
            <w:tab/>
          </w:r>
          <w:r>
            <w:rPr>
              <w:color w:val="auto"/>
              <w:spacing w:val="-6"/>
            </w:rPr>
            <w:t>134</w:t>
          </w:r>
        </w:p>
        <w:p>
          <w:pPr>
            <w:pStyle w:val="5"/>
            <w:tabs>
              <w:tab w:val="left" w:leader="dot" w:pos="8595"/>
            </w:tabs>
            <w:spacing w:line="308" w:lineRule="exact"/>
            <w:rPr>
              <w:color w:val="auto"/>
            </w:rPr>
          </w:pPr>
          <w:r>
            <w:rPr>
              <w:color w:val="auto"/>
            </w:rPr>
            <w:fldChar w:fldCharType="begin"/>
          </w:r>
          <w:r>
            <w:rPr>
              <w:color w:val="auto"/>
            </w:rPr>
            <w:instrText xml:space="preserve"> HYPERLINK \l "_bookmark190" </w:instrText>
          </w:r>
          <w:r>
            <w:rPr>
              <w:color w:val="auto"/>
            </w:rPr>
            <w:fldChar w:fldCharType="separate"/>
          </w:r>
          <w:r>
            <w:rPr>
              <w:color w:val="auto"/>
            </w:rPr>
            <w:t>一百八十六、平台拒不履行协助义务</w:t>
          </w:r>
          <w:r>
            <w:rPr>
              <w:color w:val="auto"/>
            </w:rPr>
            <w:tab/>
          </w:r>
          <w:r>
            <w:rPr>
              <w:color w:val="auto"/>
            </w:rPr>
            <w:t>135</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"_bookmark191" </w:instrText>
          </w:r>
          <w:r>
            <w:rPr>
              <w:color w:val="auto"/>
            </w:rPr>
            <w:fldChar w:fldCharType="separate"/>
          </w:r>
          <w:r>
            <w:rPr>
              <w:color w:val="auto"/>
            </w:rPr>
            <w:t>一百八十七、销售者对发现销售的产品存在安全缺陷未履行相关法定义务</w:t>
          </w:r>
          <w:r>
            <w:rPr>
              <w:color w:val="auto"/>
            </w:rPr>
            <w:tab/>
          </w:r>
          <w:r>
            <w:rPr>
              <w:color w:val="auto"/>
            </w:rPr>
            <w:t>136</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"_bookmark192"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"_bookmark192" </w:instrText>
          </w:r>
          <w:r>
            <w:rPr>
              <w:color w:val="auto"/>
            </w:rPr>
            <w:fldChar w:fldCharType="separate"/>
          </w:r>
          <w:r>
            <w:rPr>
              <w:color w:val="auto"/>
            </w:rPr>
            <w:t>百八十八</w:t>
          </w:r>
          <w:r>
            <w:rPr>
              <w:color w:val="auto"/>
              <w:spacing w:val="-12"/>
            </w:rPr>
            <w:t>、</w:t>
          </w:r>
          <w:r>
            <w:rPr>
              <w:color w:val="auto"/>
            </w:rPr>
            <w:t>需要依法取得许可证照或者经认证的产品</w:t>
          </w:r>
          <w:r>
            <w:rPr>
              <w:color w:val="auto"/>
              <w:spacing w:val="-12"/>
            </w:rPr>
            <w:t>，</w:t>
          </w:r>
          <w:r>
            <w:rPr>
              <w:color w:val="auto"/>
            </w:rPr>
            <w:t>不按照法定条件</w:t>
          </w:r>
          <w:r>
            <w:rPr>
              <w:color w:val="auto"/>
              <w:spacing w:val="-12"/>
            </w:rPr>
            <w:t>、</w:t>
          </w:r>
          <w:r>
            <w:rPr>
              <w:color w:val="auto"/>
            </w:rPr>
            <w:t>要</w:t>
          </w:r>
          <w:r>
            <w:rPr>
              <w:color w:val="auto"/>
              <w:spacing w:val="-17"/>
            </w:rPr>
            <w:t>求</w:t>
          </w:r>
          <w:r>
            <w:rPr>
              <w:color w:val="auto"/>
              <w:spacing w:val="-17"/>
            </w:rPr>
            <w:fldChar w:fldCharType="end"/>
          </w:r>
          <w:r>
            <w:rPr>
              <w:color w:val="auto"/>
            </w:rPr>
            <w:t>从事生产经营活动或者生产、销售不符合法定要求的产品</w:t>
          </w:r>
          <w:r>
            <w:rPr>
              <w:color w:val="auto"/>
            </w:rPr>
            <w:tab/>
          </w:r>
          <w:r>
            <w:rPr>
              <w:color w:val="auto"/>
              <w:spacing w:val="-6"/>
            </w:rPr>
            <w:t>137</w:t>
          </w:r>
        </w:p>
        <w:p>
          <w:pPr>
            <w:pStyle w:val="5"/>
            <w:tabs>
              <w:tab w:val="left" w:leader="dot" w:pos="8595"/>
            </w:tabs>
            <w:spacing w:line="308" w:lineRule="exact"/>
            <w:rPr>
              <w:color w:val="auto"/>
            </w:rPr>
          </w:pPr>
          <w:r>
            <w:rPr>
              <w:color w:val="auto"/>
            </w:rPr>
            <w:fldChar w:fldCharType="begin"/>
          </w:r>
          <w:r>
            <w:rPr>
              <w:color w:val="auto"/>
            </w:rPr>
            <w:instrText xml:space="preserve"> HYPERLINK \l "_bookmark193" </w:instrText>
          </w:r>
          <w:r>
            <w:rPr>
              <w:color w:val="auto"/>
            </w:rPr>
            <w:fldChar w:fldCharType="separate"/>
          </w:r>
          <w:r>
            <w:rPr>
              <w:color w:val="auto"/>
            </w:rPr>
            <w:t>一百八十九、依法应当取得许可证照而未取得许可证照从事生产经营活动</w:t>
          </w:r>
          <w:r>
            <w:rPr>
              <w:color w:val="auto"/>
            </w:rPr>
            <w:tab/>
          </w:r>
          <w:r>
            <w:rPr>
              <w:color w:val="auto"/>
            </w:rPr>
            <w:t>137</w:t>
          </w:r>
          <w:r>
            <w:rPr>
              <w:color w:val="auto"/>
            </w:rPr>
            <w:fldChar w:fldCharType="end"/>
          </w:r>
        </w:p>
        <w:p>
          <w:pPr>
            <w:pStyle w:val="8"/>
            <w:tabs>
              <w:tab w:val="left" w:leader="dot" w:pos="8549"/>
            </w:tabs>
            <w:jc w:val="both"/>
            <w:rPr>
              <w:color w:val="auto"/>
            </w:rPr>
          </w:pPr>
          <w:r>
            <w:rPr>
              <w:color w:val="auto"/>
            </w:rPr>
            <w:fldChar w:fldCharType="begin"/>
          </w:r>
          <w:r>
            <w:rPr>
              <w:color w:val="auto"/>
            </w:rPr>
            <w:instrText xml:space="preserve"> HYPERLINK \l "_bookmark194" </w:instrText>
          </w:r>
          <w:r>
            <w:rPr>
              <w:color w:val="auto"/>
            </w:rPr>
            <w:fldChar w:fldCharType="separate"/>
          </w:r>
          <w:r>
            <w:rPr>
              <w:color w:val="auto"/>
              <w:spacing w:val="-13"/>
            </w:rPr>
            <w:t>第六</w:t>
          </w:r>
          <w:r>
            <w:rPr>
              <w:color w:val="auto"/>
            </w:rPr>
            <w:t xml:space="preserve">章  </w:t>
          </w:r>
          <w:r>
            <w:rPr>
              <w:color w:val="auto"/>
              <w:spacing w:val="41"/>
            </w:rPr>
            <w:t xml:space="preserve"> </w:t>
          </w:r>
          <w:r>
            <w:rPr>
              <w:color w:val="auto"/>
              <w:spacing w:val="-13"/>
            </w:rPr>
            <w:t>商标监督</w:t>
          </w:r>
          <w:r>
            <w:rPr>
              <w:color w:val="auto"/>
              <w:spacing w:val="-10"/>
            </w:rPr>
            <w:t>管</w:t>
          </w:r>
          <w:r>
            <w:rPr>
              <w:color w:val="auto"/>
            </w:rPr>
            <w:t>理</w:t>
          </w:r>
          <w:r>
            <w:rPr>
              <w:color w:val="auto"/>
            </w:rPr>
            <w:tab/>
          </w:r>
          <w:r>
            <w:rPr>
              <w:color w:val="auto"/>
              <w:spacing w:val="-3"/>
            </w:rPr>
            <w:t>138</w:t>
          </w:r>
          <w:r>
            <w:rPr>
              <w:color w:val="auto"/>
              <w:spacing w:val="-3"/>
            </w:rPr>
            <w:fldChar w:fldCharType="end"/>
          </w:r>
        </w:p>
        <w:p>
          <w:pPr>
            <w:pStyle w:val="5"/>
            <w:tabs>
              <w:tab w:val="left" w:leader="dot" w:pos="8595"/>
            </w:tabs>
            <w:spacing w:before="98"/>
            <w:rPr>
              <w:color w:val="auto"/>
            </w:rPr>
          </w:pPr>
          <w:r>
            <w:rPr>
              <w:color w:val="auto"/>
            </w:rPr>
            <w:fldChar w:fldCharType="begin"/>
          </w:r>
          <w:r>
            <w:rPr>
              <w:color w:val="auto"/>
            </w:rPr>
            <w:instrText xml:space="preserve"> HYPERLINK \l "_bookmark195" </w:instrText>
          </w:r>
          <w:r>
            <w:rPr>
              <w:color w:val="auto"/>
            </w:rPr>
            <w:fldChar w:fldCharType="separate"/>
          </w:r>
          <w:r>
            <w:rPr>
              <w:color w:val="auto"/>
            </w:rPr>
            <w:t>一百九十、必须使用注册商标的商品未经核准注册在市场上销售</w:t>
          </w:r>
          <w:r>
            <w:rPr>
              <w:color w:val="auto"/>
            </w:rPr>
            <w:tab/>
          </w:r>
          <w:r>
            <w:rPr>
              <w:color w:val="auto"/>
            </w:rPr>
            <w:t>138</w:t>
          </w:r>
          <w:r>
            <w:rPr>
              <w:color w:val="auto"/>
            </w:rPr>
            <w:fldChar w:fldCharType="end"/>
          </w:r>
        </w:p>
        <w:p>
          <w:pPr>
            <w:pStyle w:val="5"/>
            <w:tabs>
              <w:tab w:val="left" w:leader="dot" w:pos="8595"/>
            </w:tabs>
            <w:spacing w:after="59" w:line="480" w:lineRule="atLeast"/>
            <w:ind w:right="268"/>
            <w:rPr>
              <w:color w:val="auto"/>
            </w:rPr>
          </w:pPr>
          <w:r>
            <w:rPr>
              <w:color w:val="auto"/>
            </w:rPr>
            <w:fldChar w:fldCharType="begin"/>
          </w:r>
          <w:r>
            <w:rPr>
              <w:color w:val="auto"/>
            </w:rPr>
            <w:instrText xml:space="preserve"> HYPERLINK \l "_bookmark196" </w:instrText>
          </w:r>
          <w:r>
            <w:rPr>
              <w:color w:val="auto"/>
            </w:rPr>
            <w:fldChar w:fldCharType="separate"/>
          </w:r>
          <w:r>
            <w:rPr>
              <w:color w:val="auto"/>
            </w:rPr>
            <w:t>一</w:t>
          </w:r>
          <w:r>
            <w:rPr>
              <w:color w:val="auto"/>
            </w:rPr>
            <w:fldChar w:fldCharType="end"/>
          </w:r>
          <w:r>
            <w:rPr>
              <w:color w:val="auto"/>
            </w:rPr>
            <w:fldChar w:fldCharType="begin"/>
          </w:r>
          <w:r>
            <w:rPr>
              <w:color w:val="auto"/>
            </w:rPr>
            <w:instrText xml:space="preserve"> HYPERLINK \l "_bookmark196" </w:instrText>
          </w:r>
          <w:r>
            <w:rPr>
              <w:color w:val="auto"/>
            </w:rPr>
            <w:fldChar w:fldCharType="separate"/>
          </w:r>
          <w:r>
            <w:rPr>
              <w:color w:val="auto"/>
            </w:rPr>
            <w:t>百九十一</w:t>
          </w:r>
          <w:r>
            <w:rPr>
              <w:color w:val="auto"/>
              <w:spacing w:val="-36"/>
            </w:rPr>
            <w:t>、</w:t>
          </w:r>
          <w:r>
            <w:rPr>
              <w:color w:val="auto"/>
            </w:rPr>
            <w:t>使用未注册商标冒充注册商标或者使用法律禁止使用的标志作为</w:t>
          </w:r>
          <w:r>
            <w:rPr>
              <w:color w:val="auto"/>
              <w:spacing w:val="-17"/>
            </w:rPr>
            <w:t>未</w:t>
          </w:r>
          <w:r>
            <w:rPr>
              <w:color w:val="auto"/>
              <w:spacing w:val="-17"/>
            </w:rPr>
            <w:fldChar w:fldCharType="end"/>
          </w:r>
          <w:r>
            <w:rPr>
              <w:color w:val="auto"/>
            </w:rPr>
            <w:t>注册商标使用</w:t>
          </w:r>
          <w:r>
            <w:rPr>
              <w:color w:val="auto"/>
            </w:rPr>
            <w:tab/>
          </w:r>
          <w:r>
            <w:rPr>
              <w:color w:val="auto"/>
              <w:spacing w:val="-6"/>
            </w:rPr>
            <w:t>139</w:t>
          </w:r>
        </w:p>
        <w:p>
          <w:pPr>
            <w:pStyle w:val="5"/>
            <w:tabs>
              <w:tab w:val="left" w:leader="dot" w:pos="8595"/>
            </w:tabs>
            <w:spacing w:before="123" w:line="374" w:lineRule="auto"/>
            <w:ind w:right="268"/>
            <w:rPr>
              <w:color w:val="auto"/>
            </w:rPr>
          </w:pPr>
          <w:r>
            <w:rPr>
              <w:color w:val="auto"/>
            </w:rPr>
            <w:fldChar w:fldCharType="begin"/>
          </w:r>
          <w:r>
            <w:rPr>
              <w:color w:val="auto"/>
            </w:rPr>
            <w:instrText xml:space="preserve"> HYPERLINK \l "_bookmark197" </w:instrText>
          </w:r>
          <w:r>
            <w:rPr>
              <w:color w:val="auto"/>
            </w:rPr>
            <w:fldChar w:fldCharType="separate"/>
          </w:r>
          <w:r>
            <w:rPr>
              <w:color w:val="auto"/>
            </w:rPr>
            <w:t>一百九十二、经许可使用他人注册商标但未标明被许可人的名称和商品产地</w:t>
          </w:r>
          <w:r>
            <w:rPr>
              <w:rFonts w:ascii="Times New Roman" w:eastAsia="Times New Roman"/>
              <w:color w:val="auto"/>
              <w:position w:val="2"/>
            </w:rPr>
            <w:t>.</w:t>
          </w:r>
          <w:r>
            <w:rPr>
              <w:rFonts w:ascii="Times New Roman" w:eastAsia="Times New Roman"/>
              <w:color w:val="auto"/>
              <w:spacing w:val="-36"/>
              <w:position w:val="2"/>
            </w:rPr>
            <w:t xml:space="preserve"> </w:t>
          </w:r>
          <w:r>
            <w:rPr>
              <w:color w:val="auto"/>
              <w:spacing w:val="-6"/>
            </w:rPr>
            <w:t xml:space="preserve">140 </w:t>
          </w:r>
          <w:r>
            <w:rPr>
              <w:color w:val="auto"/>
              <w:spacing w:val="-6"/>
            </w:rPr>
            <w:fldChar w:fldCharType="end"/>
          </w:r>
          <w:r>
            <w:rPr>
              <w:color w:val="auto"/>
            </w:rPr>
            <w:fldChar w:fldCharType="begin"/>
          </w:r>
          <w:r>
            <w:rPr>
              <w:color w:val="auto"/>
            </w:rPr>
            <w:instrText xml:space="preserve"> HYPERLINK \l "_bookmark198" </w:instrText>
          </w:r>
          <w:r>
            <w:rPr>
              <w:color w:val="auto"/>
            </w:rPr>
            <w:fldChar w:fldCharType="separate"/>
          </w:r>
          <w:r>
            <w:rPr>
              <w:color w:val="auto"/>
            </w:rPr>
            <w:t>一百九十三、侵犯注册商标专用权</w:t>
          </w:r>
          <w:r>
            <w:rPr>
              <w:color w:val="auto"/>
            </w:rPr>
            <w:tab/>
          </w:r>
          <w:r>
            <w:rPr>
              <w:color w:val="auto"/>
              <w:spacing w:val="-6"/>
            </w:rPr>
            <w:t>141</w:t>
          </w:r>
          <w:r>
            <w:rPr>
              <w:color w:val="auto"/>
              <w:spacing w:val="-6"/>
            </w:rPr>
            <w:fldChar w:fldCharType="end"/>
          </w:r>
        </w:p>
        <w:p>
          <w:pPr>
            <w:pStyle w:val="5"/>
            <w:tabs>
              <w:tab w:val="left" w:leader="dot" w:pos="8595"/>
            </w:tabs>
            <w:spacing w:line="308" w:lineRule="exact"/>
            <w:rPr>
              <w:color w:val="auto"/>
            </w:rPr>
          </w:pPr>
          <w:r>
            <w:rPr>
              <w:color w:val="auto"/>
            </w:rPr>
            <w:fldChar w:fldCharType="begin"/>
          </w:r>
          <w:r>
            <w:rPr>
              <w:color w:val="auto"/>
            </w:rPr>
            <w:instrText xml:space="preserve"> HYPERLINK \l "_bookmark199" </w:instrText>
          </w:r>
          <w:r>
            <w:rPr>
              <w:color w:val="auto"/>
            </w:rPr>
            <w:fldChar w:fldCharType="separate"/>
          </w:r>
          <w:r>
            <w:rPr>
              <w:color w:val="auto"/>
            </w:rPr>
            <w:t>一百九十四、商标代理机构违法从事代理业务</w:t>
          </w:r>
          <w:r>
            <w:rPr>
              <w:color w:val="auto"/>
            </w:rPr>
            <w:tab/>
          </w:r>
          <w:r>
            <w:rPr>
              <w:color w:val="auto"/>
            </w:rPr>
            <w:t>142</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"_bookmark200" </w:instrText>
          </w:r>
          <w:r>
            <w:rPr>
              <w:color w:val="auto"/>
            </w:rPr>
            <w:fldChar w:fldCharType="separate"/>
          </w:r>
          <w:r>
            <w:rPr>
              <w:color w:val="auto"/>
            </w:rPr>
            <w:t>一百九十五、侵犯奥林匹克标志专用权</w:t>
          </w:r>
          <w:r>
            <w:rPr>
              <w:color w:val="auto"/>
            </w:rPr>
            <w:tab/>
          </w:r>
          <w:r>
            <w:rPr>
              <w:color w:val="auto"/>
            </w:rPr>
            <w:t>143</w:t>
          </w:r>
          <w:r>
            <w:rPr>
              <w:color w:val="auto"/>
            </w:rPr>
            <w:fldChar w:fldCharType="end"/>
          </w:r>
        </w:p>
        <w:p>
          <w:pPr>
            <w:pStyle w:val="5"/>
            <w:tabs>
              <w:tab w:val="left" w:leader="dot" w:pos="8595"/>
            </w:tabs>
            <w:spacing w:before="172" w:line="374" w:lineRule="auto"/>
            <w:ind w:left="567" w:right="145" w:firstLine="24"/>
            <w:rPr>
              <w:color w:val="auto"/>
            </w:rPr>
          </w:pPr>
          <w:r>
            <w:rPr>
              <w:color w:val="auto"/>
            </w:rPr>
            <w:fldChar w:fldCharType="begin"/>
          </w:r>
          <w:r>
            <w:rPr>
              <w:color w:val="auto"/>
            </w:rPr>
            <w:instrText xml:space="preserve"> HYPERLINK \l "_bookmark201" </w:instrText>
          </w:r>
          <w:r>
            <w:rPr>
              <w:color w:val="auto"/>
            </w:rPr>
            <w:fldChar w:fldCharType="separate"/>
          </w:r>
          <w:r>
            <w:rPr>
              <w:color w:val="auto"/>
              <w:spacing w:val="-12"/>
            </w:rPr>
            <w:t>一</w:t>
          </w:r>
          <w:r>
            <w:rPr>
              <w:color w:val="auto"/>
              <w:spacing w:val="-12"/>
            </w:rPr>
            <w:fldChar w:fldCharType="end"/>
          </w:r>
          <w:r>
            <w:rPr>
              <w:color w:val="auto"/>
            </w:rPr>
            <w:fldChar w:fldCharType="begin"/>
          </w:r>
          <w:r>
            <w:rPr>
              <w:color w:val="auto"/>
            </w:rPr>
            <w:instrText xml:space="preserve"> HYPERLINK \l "_bookmark201" </w:instrText>
          </w:r>
          <w:r>
            <w:rPr>
              <w:color w:val="auto"/>
            </w:rPr>
            <w:fldChar w:fldCharType="separate"/>
          </w:r>
          <w:r>
            <w:rPr>
              <w:color w:val="auto"/>
              <w:spacing w:val="-12"/>
            </w:rPr>
            <w:t>百九十六</w:t>
          </w:r>
          <w:r>
            <w:rPr>
              <w:color w:val="auto"/>
              <w:spacing w:val="-106"/>
            </w:rPr>
            <w:t>、</w:t>
          </w:r>
          <w:r>
            <w:rPr>
              <w:color w:val="auto"/>
              <w:spacing w:val="-12"/>
            </w:rPr>
            <w:t>集体商标</w:t>
          </w:r>
          <w:r>
            <w:rPr>
              <w:color w:val="auto"/>
              <w:spacing w:val="-106"/>
            </w:rPr>
            <w:t>、</w:t>
          </w:r>
          <w:r>
            <w:rPr>
              <w:color w:val="auto"/>
              <w:spacing w:val="-12"/>
            </w:rPr>
            <w:t>证明商标注册人没有对该商标的使用进行有效管理或者控制</w:t>
          </w:r>
          <w:r>
            <w:rPr>
              <w:color w:val="auto"/>
              <w:spacing w:val="-18"/>
            </w:rPr>
            <w:t xml:space="preserve">， </w:t>
          </w:r>
          <w:r>
            <w:rPr>
              <w:color w:val="auto"/>
              <w:spacing w:val="-18"/>
            </w:rPr>
            <w:fldChar w:fldCharType="end"/>
          </w:r>
          <w:r>
            <w:rPr>
              <w:color w:val="auto"/>
              <w:spacing w:val="-12"/>
            </w:rPr>
            <w:t>致使该商标使用的商品达不到其使用管理规则的要求，对消费者造成损</w:t>
          </w:r>
          <w:r>
            <w:rPr>
              <w:color w:val="auto"/>
            </w:rPr>
            <w:t>害</w:t>
          </w:r>
          <w:r>
            <w:rPr>
              <w:color w:val="auto"/>
            </w:rPr>
            <w:tab/>
          </w:r>
          <w:r>
            <w:rPr>
              <w:color w:val="auto"/>
            </w:rPr>
            <w:t>145</w:t>
          </w:r>
        </w:p>
        <w:p>
          <w:pPr>
            <w:pStyle w:val="5"/>
            <w:tabs>
              <w:tab w:val="left" w:leader="dot" w:pos="8595"/>
            </w:tabs>
            <w:spacing w:line="308" w:lineRule="exact"/>
            <w:rPr>
              <w:color w:val="auto"/>
            </w:rPr>
          </w:pPr>
          <w:r>
            <w:rPr>
              <w:color w:val="auto"/>
            </w:rPr>
            <w:fldChar w:fldCharType="begin"/>
          </w:r>
          <w:r>
            <w:rPr>
              <w:color w:val="auto"/>
            </w:rPr>
            <w:instrText xml:space="preserve"> HYPERLINK \l "_bookmark202" </w:instrText>
          </w:r>
          <w:r>
            <w:rPr>
              <w:color w:val="auto"/>
            </w:rPr>
            <w:fldChar w:fldCharType="separate"/>
          </w:r>
          <w:r>
            <w:rPr>
              <w:color w:val="auto"/>
            </w:rPr>
            <w:t>一百九十七、集体商标注册人的成员发生变化未申请变更</w:t>
          </w:r>
          <w:r>
            <w:rPr>
              <w:color w:val="auto"/>
            </w:rPr>
            <w:tab/>
          </w:r>
          <w:r>
            <w:rPr>
              <w:color w:val="auto"/>
            </w:rPr>
            <w:t>145</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"_bookmark203" </w:instrText>
          </w:r>
          <w:r>
            <w:rPr>
              <w:color w:val="auto"/>
            </w:rPr>
            <w:fldChar w:fldCharType="separate"/>
          </w:r>
          <w:r>
            <w:rPr>
              <w:color w:val="auto"/>
              <w:spacing w:val="-12"/>
            </w:rPr>
            <w:t>一百九十八、证明商标注册人准许他人使用其商标但未在一年内报商标局备</w:t>
          </w:r>
          <w:r>
            <w:rPr>
              <w:color w:val="auto"/>
            </w:rPr>
            <w:t>案</w:t>
          </w:r>
          <w:r>
            <w:rPr>
              <w:color w:val="auto"/>
            </w:rPr>
            <w:tab/>
          </w:r>
          <w:r>
            <w:rPr>
              <w:color w:val="auto"/>
            </w:rPr>
            <w:t>146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"_bookmark204" </w:instrText>
          </w:r>
          <w:r>
            <w:rPr>
              <w:color w:val="auto"/>
            </w:rPr>
            <w:fldChar w:fldCharType="separate"/>
          </w:r>
          <w:r>
            <w:rPr>
              <w:color w:val="auto"/>
            </w:rPr>
            <w:t>一百九十九、集体商标许可非集体成员使用</w:t>
          </w:r>
          <w:r>
            <w:rPr>
              <w:color w:val="auto"/>
            </w:rPr>
            <w:tab/>
          </w:r>
          <w:r>
            <w:rPr>
              <w:color w:val="auto"/>
            </w:rPr>
            <w:t>147</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"_bookmark205" </w:instrText>
          </w:r>
          <w:r>
            <w:rPr>
              <w:color w:val="auto"/>
            </w:rPr>
            <w:fldChar w:fldCharType="separate"/>
          </w:r>
          <w:r>
            <w:rPr>
              <w:color w:val="auto"/>
            </w:rPr>
            <w:t>二百、证明商标注册人拒绝为符合条件的使用人办理手续</w:t>
          </w:r>
          <w:r>
            <w:rPr>
              <w:color w:val="auto"/>
            </w:rPr>
            <w:tab/>
          </w:r>
          <w:r>
            <w:rPr>
              <w:color w:val="auto"/>
            </w:rPr>
            <w:t>147</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"_bookmark206" </w:instrText>
          </w:r>
          <w:r>
            <w:rPr>
              <w:color w:val="auto"/>
            </w:rPr>
            <w:fldChar w:fldCharType="separate"/>
          </w:r>
          <w:r>
            <w:rPr>
              <w:color w:val="auto"/>
            </w:rPr>
            <w:t>二百零一、证明商标的注册人在自己提供的商品上使用该证明商标</w:t>
          </w:r>
          <w:r>
            <w:rPr>
              <w:color w:val="auto"/>
            </w:rPr>
            <w:tab/>
          </w:r>
          <w:r>
            <w:rPr>
              <w:color w:val="auto"/>
            </w:rPr>
            <w:t>148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"_bookmark207" </w:instrText>
          </w:r>
          <w:r>
            <w:rPr>
              <w:color w:val="auto"/>
            </w:rPr>
            <w:fldChar w:fldCharType="separate"/>
          </w:r>
          <w:r>
            <w:rPr>
              <w:color w:val="auto"/>
            </w:rPr>
            <w:t>二百零二、商标印制单位未履行法定职责</w:t>
          </w:r>
          <w:r>
            <w:rPr>
              <w:color w:val="auto"/>
            </w:rPr>
            <w:tab/>
          </w:r>
          <w:r>
            <w:rPr>
              <w:color w:val="auto"/>
            </w:rPr>
            <w:t>149</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"_bookmark208" </w:instrText>
          </w:r>
          <w:r>
            <w:rPr>
              <w:color w:val="auto"/>
            </w:rPr>
            <w:fldChar w:fldCharType="separate"/>
          </w:r>
          <w:r>
            <w:rPr>
              <w:color w:val="auto"/>
            </w:rPr>
            <w:t>二百零三、印刷企业违法接受委托印刷注册商标标识、广告宣传品</w:t>
          </w:r>
          <w:r>
            <w:rPr>
              <w:color w:val="auto"/>
            </w:rPr>
            <w:tab/>
          </w:r>
          <w:r>
            <w:rPr>
              <w:color w:val="auto"/>
            </w:rPr>
            <w:t>150</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"_bookmark209" </w:instrText>
          </w:r>
          <w:r>
            <w:rPr>
              <w:color w:val="auto"/>
            </w:rPr>
            <w:fldChar w:fldCharType="separate"/>
          </w:r>
          <w:r>
            <w:rPr>
              <w:color w:val="auto"/>
            </w:rPr>
            <w:t>二百零四、特殊标志所有人或者使用人违规使用特殊标志</w:t>
          </w:r>
          <w:r>
            <w:rPr>
              <w:color w:val="auto"/>
            </w:rPr>
            <w:tab/>
          </w:r>
          <w:r>
            <w:rPr>
              <w:color w:val="auto"/>
            </w:rPr>
            <w:t>151</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"_bookmark210" </w:instrText>
          </w:r>
          <w:r>
            <w:rPr>
              <w:color w:val="auto"/>
            </w:rPr>
            <w:fldChar w:fldCharType="separate"/>
          </w:r>
          <w:r>
            <w:rPr>
              <w:color w:val="auto"/>
            </w:rPr>
            <w:t>二百零五、非特殊标志所有人或者授权使用人擅自使用特殊标志</w:t>
          </w:r>
          <w:r>
            <w:rPr>
              <w:color w:val="auto"/>
            </w:rPr>
            <w:tab/>
          </w:r>
          <w:r>
            <w:rPr>
              <w:color w:val="auto"/>
            </w:rPr>
            <w:t>151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"_bookmark211" </w:instrText>
          </w:r>
          <w:r>
            <w:rPr>
              <w:color w:val="auto"/>
            </w:rPr>
            <w:fldChar w:fldCharType="separate"/>
          </w:r>
          <w:r>
            <w:rPr>
              <w:color w:val="auto"/>
            </w:rPr>
            <w:t>二百零六、侵犯世界博览会标志专有权</w:t>
          </w:r>
          <w:r>
            <w:rPr>
              <w:color w:val="auto"/>
            </w:rPr>
            <w:tab/>
          </w:r>
          <w:r>
            <w:rPr>
              <w:color w:val="auto"/>
            </w:rPr>
            <w:t>152</w:t>
          </w:r>
          <w:r>
            <w:rPr>
              <w:color w:val="auto"/>
            </w:rPr>
            <w:fldChar w:fldCharType="end"/>
          </w:r>
        </w:p>
        <w:p>
          <w:pPr>
            <w:pStyle w:val="8"/>
            <w:tabs>
              <w:tab w:val="left" w:pos="1651"/>
              <w:tab w:val="left" w:leader="dot" w:pos="8549"/>
            </w:tabs>
            <w:rPr>
              <w:color w:val="auto"/>
            </w:rPr>
          </w:pPr>
          <w:r>
            <w:rPr>
              <w:color w:val="auto"/>
            </w:rPr>
            <w:fldChar w:fldCharType="begin"/>
          </w:r>
          <w:r>
            <w:rPr>
              <w:color w:val="auto"/>
            </w:rPr>
            <w:instrText xml:space="preserve"> HYPERLINK \l "_bookmark212" </w:instrText>
          </w:r>
          <w:r>
            <w:rPr>
              <w:color w:val="auto"/>
            </w:rPr>
            <w:fldChar w:fldCharType="separate"/>
          </w:r>
          <w:r>
            <w:rPr>
              <w:color w:val="auto"/>
              <w:spacing w:val="-13"/>
            </w:rPr>
            <w:t>第七</w:t>
          </w:r>
          <w:r>
            <w:rPr>
              <w:color w:val="auto"/>
            </w:rPr>
            <w:t>章</w:t>
          </w:r>
          <w:r>
            <w:rPr>
              <w:color w:val="auto"/>
            </w:rPr>
            <w:tab/>
          </w:r>
          <w:r>
            <w:rPr>
              <w:color w:val="auto"/>
              <w:spacing w:val="-13"/>
            </w:rPr>
            <w:t>广告监督</w:t>
          </w:r>
          <w:r>
            <w:rPr>
              <w:color w:val="auto"/>
              <w:spacing w:val="-10"/>
            </w:rPr>
            <w:t>管</w:t>
          </w:r>
          <w:r>
            <w:rPr>
              <w:color w:val="auto"/>
            </w:rPr>
            <w:t>理</w:t>
          </w:r>
          <w:r>
            <w:rPr>
              <w:color w:val="auto"/>
            </w:rPr>
            <w:tab/>
          </w:r>
          <w:r>
            <w:rPr>
              <w:color w:val="auto"/>
              <w:spacing w:val="-3"/>
            </w:rPr>
            <w:t>153</w:t>
          </w:r>
          <w:r>
            <w:rPr>
              <w:color w:val="auto"/>
              <w:spacing w:val="-3"/>
            </w:rPr>
            <w:fldChar w:fldCharType="end"/>
          </w:r>
        </w:p>
        <w:p>
          <w:pPr>
            <w:pStyle w:val="5"/>
            <w:tabs>
              <w:tab w:val="left" w:leader="dot" w:pos="8595"/>
            </w:tabs>
            <w:spacing w:before="97"/>
            <w:rPr>
              <w:color w:val="auto"/>
            </w:rPr>
          </w:pPr>
          <w:r>
            <w:rPr>
              <w:color w:val="auto"/>
            </w:rPr>
            <w:fldChar w:fldCharType="begin"/>
          </w:r>
          <w:r>
            <w:rPr>
              <w:color w:val="auto"/>
            </w:rPr>
            <w:instrText xml:space="preserve"> HYPERLINK \l "_bookmark213" </w:instrText>
          </w:r>
          <w:r>
            <w:rPr>
              <w:color w:val="auto"/>
            </w:rPr>
            <w:fldChar w:fldCharType="separate"/>
          </w:r>
          <w:r>
            <w:rPr>
              <w:color w:val="auto"/>
            </w:rPr>
            <w:t>二百零七、发布虚假广告</w:t>
          </w:r>
          <w:r>
            <w:rPr>
              <w:color w:val="auto"/>
            </w:rPr>
            <w:tab/>
          </w:r>
          <w:r>
            <w:rPr>
              <w:color w:val="auto"/>
            </w:rPr>
            <w:t>153</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"_bookmark214" </w:instrText>
          </w:r>
          <w:r>
            <w:rPr>
              <w:color w:val="auto"/>
            </w:rPr>
            <w:fldChar w:fldCharType="separate"/>
          </w:r>
          <w:r>
            <w:rPr>
              <w:color w:val="auto"/>
            </w:rPr>
            <w:t>二百零八、广告内容违反国家禁止性规定</w:t>
          </w:r>
          <w:r>
            <w:rPr>
              <w:color w:val="auto"/>
            </w:rPr>
            <w:tab/>
          </w:r>
          <w:r>
            <w:rPr>
              <w:color w:val="auto"/>
            </w:rPr>
            <w:t>156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"_bookmark215" </w:instrText>
          </w:r>
          <w:r>
            <w:rPr>
              <w:color w:val="auto"/>
            </w:rPr>
            <w:fldChar w:fldCharType="separate"/>
          </w:r>
          <w:r>
            <w:rPr>
              <w:color w:val="auto"/>
            </w:rPr>
            <w:t>二百零九、广告内容损害未成年人和残疾人身心健康</w:t>
          </w:r>
          <w:r>
            <w:rPr>
              <w:color w:val="auto"/>
            </w:rPr>
            <w:tab/>
          </w:r>
          <w:r>
            <w:rPr>
              <w:color w:val="auto"/>
            </w:rPr>
            <w:t>158</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"_bookmark216"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"_bookmark216" </w:instrText>
          </w:r>
          <w:r>
            <w:rPr>
              <w:color w:val="auto"/>
            </w:rPr>
            <w:fldChar w:fldCharType="separate"/>
          </w:r>
          <w:r>
            <w:rPr>
              <w:color w:val="auto"/>
            </w:rPr>
            <w:t>百一十</w:t>
          </w:r>
          <w:r>
            <w:rPr>
              <w:color w:val="auto"/>
              <w:spacing w:val="-12"/>
            </w:rPr>
            <w:t>、</w:t>
          </w:r>
          <w:r>
            <w:rPr>
              <w:color w:val="auto"/>
            </w:rPr>
            <w:t>违法发布处方药广告</w:t>
          </w:r>
          <w:r>
            <w:rPr>
              <w:color w:val="auto"/>
              <w:spacing w:val="-12"/>
            </w:rPr>
            <w:t>、</w:t>
          </w:r>
          <w:r>
            <w:rPr>
              <w:color w:val="auto"/>
            </w:rPr>
            <w:t>药品类易制毒化学品广告</w:t>
          </w:r>
          <w:r>
            <w:rPr>
              <w:color w:val="auto"/>
              <w:spacing w:val="-12"/>
            </w:rPr>
            <w:t>、</w:t>
          </w:r>
          <w:r>
            <w:rPr>
              <w:color w:val="auto"/>
            </w:rPr>
            <w:t>戒毒治疗的医疗</w:t>
          </w:r>
          <w:r>
            <w:rPr>
              <w:color w:val="auto"/>
              <w:spacing w:val="-17"/>
            </w:rPr>
            <w:t>器</w:t>
          </w:r>
          <w:r>
            <w:rPr>
              <w:color w:val="auto"/>
              <w:spacing w:val="-17"/>
            </w:rPr>
            <w:fldChar w:fldCharType="end"/>
          </w:r>
          <w:r>
            <w:rPr>
              <w:color w:val="auto"/>
            </w:rPr>
            <w:t>械和治疗方法广告</w:t>
          </w:r>
          <w:r>
            <w:rPr>
              <w:color w:val="auto"/>
            </w:rPr>
            <w:tab/>
          </w:r>
          <w:r>
            <w:rPr>
              <w:color w:val="auto"/>
              <w:spacing w:val="-6"/>
            </w:rPr>
            <w:t>159</w:t>
          </w:r>
        </w:p>
        <w:p>
          <w:pPr>
            <w:pStyle w:val="5"/>
            <w:tabs>
              <w:tab w:val="left" w:leader="dot" w:pos="8595"/>
            </w:tabs>
            <w:spacing w:line="308" w:lineRule="exact"/>
            <w:rPr>
              <w:color w:val="auto"/>
            </w:rPr>
          </w:pPr>
          <w:r>
            <w:rPr>
              <w:color w:val="auto"/>
            </w:rPr>
            <w:fldChar w:fldCharType="begin"/>
          </w:r>
          <w:r>
            <w:rPr>
              <w:color w:val="auto"/>
            </w:rPr>
            <w:instrText xml:space="preserve"> HYPERLINK \l "_bookmark217" </w:instrText>
          </w:r>
          <w:r>
            <w:rPr>
              <w:color w:val="auto"/>
            </w:rPr>
            <w:fldChar w:fldCharType="separate"/>
          </w:r>
          <w:r>
            <w:rPr>
              <w:color w:val="auto"/>
            </w:rPr>
            <w:t>二百一十一、违法发布母乳代用品广告</w:t>
          </w:r>
          <w:r>
            <w:rPr>
              <w:color w:val="auto"/>
            </w:rPr>
            <w:tab/>
          </w:r>
          <w:r>
            <w:rPr>
              <w:color w:val="auto"/>
            </w:rPr>
            <w:t>161</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"_bookmark218" </w:instrText>
          </w:r>
          <w:r>
            <w:rPr>
              <w:color w:val="auto"/>
            </w:rPr>
            <w:fldChar w:fldCharType="separate"/>
          </w:r>
          <w:r>
            <w:rPr>
              <w:color w:val="auto"/>
            </w:rPr>
            <w:t>二百一十二、违法发布烟草广告</w:t>
          </w:r>
          <w:r>
            <w:rPr>
              <w:color w:val="auto"/>
            </w:rPr>
            <w:tab/>
          </w:r>
          <w:r>
            <w:rPr>
              <w:color w:val="auto"/>
            </w:rPr>
            <w:t>162</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"_bookmark219"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"_bookmark219" </w:instrText>
          </w:r>
          <w:r>
            <w:rPr>
              <w:color w:val="auto"/>
            </w:rPr>
            <w:fldChar w:fldCharType="separate"/>
          </w:r>
          <w:r>
            <w:rPr>
              <w:color w:val="auto"/>
            </w:rPr>
            <w:t>百一十三</w:t>
          </w:r>
          <w:r>
            <w:rPr>
              <w:color w:val="auto"/>
              <w:spacing w:val="-20"/>
            </w:rPr>
            <w:t>、</w:t>
          </w:r>
          <w:r>
            <w:rPr>
              <w:color w:val="auto"/>
            </w:rPr>
            <w:t>利用广告推销禁止生产</w:t>
          </w:r>
          <w:r>
            <w:rPr>
              <w:color w:val="auto"/>
              <w:spacing w:val="-17"/>
            </w:rPr>
            <w:t>、</w:t>
          </w:r>
          <w:r>
            <w:rPr>
              <w:color w:val="auto"/>
            </w:rPr>
            <w:t>销售的产品或者提供的服务或者禁止发</w:t>
          </w:r>
          <w:r>
            <w:rPr>
              <w:color w:val="auto"/>
              <w:spacing w:val="-16"/>
            </w:rPr>
            <w:t>布</w:t>
          </w:r>
          <w:r>
            <w:rPr>
              <w:color w:val="auto"/>
              <w:spacing w:val="-16"/>
            </w:rPr>
            <w:fldChar w:fldCharType="end"/>
          </w:r>
          <w:r>
            <w:rPr>
              <w:color w:val="auto"/>
            </w:rPr>
            <w:t>广告的商品或者服务</w:t>
          </w:r>
          <w:r>
            <w:rPr>
              <w:color w:val="auto"/>
            </w:rPr>
            <w:tab/>
          </w:r>
          <w:r>
            <w:rPr>
              <w:color w:val="auto"/>
              <w:spacing w:val="-6"/>
            </w:rPr>
            <w:t>163</w:t>
          </w:r>
        </w:p>
        <w:p>
          <w:pPr>
            <w:pStyle w:val="5"/>
            <w:tabs>
              <w:tab w:val="left" w:leader="dot" w:pos="8595"/>
            </w:tabs>
            <w:spacing w:line="308" w:lineRule="exact"/>
            <w:rPr>
              <w:color w:val="auto"/>
            </w:rPr>
          </w:pPr>
          <w:r>
            <w:rPr>
              <w:color w:val="auto"/>
            </w:rPr>
            <w:fldChar w:fldCharType="begin"/>
          </w:r>
          <w:r>
            <w:rPr>
              <w:color w:val="auto"/>
            </w:rPr>
            <w:instrText xml:space="preserve"> HYPERLINK \l "_bookmark220" </w:instrText>
          </w:r>
          <w:r>
            <w:rPr>
              <w:color w:val="auto"/>
            </w:rPr>
            <w:fldChar w:fldCharType="separate"/>
          </w:r>
          <w:r>
            <w:rPr>
              <w:color w:val="auto"/>
            </w:rPr>
            <w:t>二百一十四、违法发布医疗、药品、医疗器械广告</w:t>
          </w:r>
          <w:r>
            <w:rPr>
              <w:color w:val="auto"/>
            </w:rPr>
            <w:tab/>
          </w:r>
          <w:r>
            <w:rPr>
              <w:color w:val="auto"/>
            </w:rPr>
            <w:t>165</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"_bookmark221" </w:instrText>
          </w:r>
          <w:r>
            <w:rPr>
              <w:color w:val="auto"/>
            </w:rPr>
            <w:fldChar w:fldCharType="separate"/>
          </w:r>
          <w:r>
            <w:rPr>
              <w:color w:val="auto"/>
            </w:rPr>
            <w:t>二百一十五、非医疗、药品、医疗器械广告使用医药用语</w:t>
          </w:r>
          <w:r>
            <w:rPr>
              <w:color w:val="auto"/>
            </w:rPr>
            <w:tab/>
          </w:r>
          <w:r>
            <w:rPr>
              <w:color w:val="auto"/>
            </w:rPr>
            <w:t>167</w:t>
          </w:r>
          <w:r>
            <w:rPr>
              <w:color w:val="auto"/>
            </w:rPr>
            <w:fldChar w:fldCharType="end"/>
          </w:r>
        </w:p>
        <w:p>
          <w:pPr>
            <w:pStyle w:val="5"/>
            <w:tabs>
              <w:tab w:val="left" w:leader="dot" w:pos="8595"/>
            </w:tabs>
            <w:spacing w:before="173" w:after="59"/>
            <w:rPr>
              <w:color w:val="auto"/>
            </w:rPr>
          </w:pPr>
          <w:r>
            <w:rPr>
              <w:color w:val="auto"/>
            </w:rPr>
            <w:fldChar w:fldCharType="begin"/>
          </w:r>
          <w:r>
            <w:rPr>
              <w:color w:val="auto"/>
            </w:rPr>
            <w:instrText xml:space="preserve"> HYPERLINK \l "_bookmark222" </w:instrText>
          </w:r>
          <w:r>
            <w:rPr>
              <w:color w:val="auto"/>
            </w:rPr>
            <w:fldChar w:fldCharType="separate"/>
          </w:r>
          <w:r>
            <w:rPr>
              <w:color w:val="auto"/>
            </w:rPr>
            <w:t>二百一十六、违法发布保健食品广告</w:t>
          </w:r>
          <w:r>
            <w:rPr>
              <w:color w:val="auto"/>
            </w:rPr>
            <w:tab/>
          </w:r>
          <w:r>
            <w:rPr>
              <w:color w:val="auto"/>
            </w:rPr>
            <w:t>169</w:t>
          </w:r>
          <w:r>
            <w:rPr>
              <w:color w:val="auto"/>
            </w:rPr>
            <w:fldChar w:fldCharType="end"/>
          </w:r>
        </w:p>
        <w:p>
          <w:pPr>
            <w:pStyle w:val="5"/>
            <w:tabs>
              <w:tab w:val="left" w:leader="dot" w:pos="8595"/>
            </w:tabs>
            <w:spacing w:before="127"/>
            <w:rPr>
              <w:color w:val="auto"/>
            </w:rPr>
          </w:pPr>
          <w:r>
            <w:rPr>
              <w:color w:val="auto"/>
            </w:rPr>
            <w:fldChar w:fldCharType="begin"/>
          </w:r>
          <w:r>
            <w:rPr>
              <w:color w:val="auto"/>
            </w:rPr>
            <w:instrText xml:space="preserve"> HYPERLINK \l "_bookmark223" </w:instrText>
          </w:r>
          <w:r>
            <w:rPr>
              <w:color w:val="auto"/>
            </w:rPr>
            <w:fldChar w:fldCharType="separate"/>
          </w:r>
          <w:r>
            <w:rPr>
              <w:color w:val="auto"/>
            </w:rPr>
            <w:t>二百一十七、违法发布农药、兽药、饲料和饲料添加剂广告</w:t>
          </w:r>
          <w:r>
            <w:rPr>
              <w:color w:val="auto"/>
            </w:rPr>
            <w:tab/>
          </w:r>
          <w:r>
            <w:rPr>
              <w:color w:val="auto"/>
            </w:rPr>
            <w:t>171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"_bookmark224" </w:instrText>
          </w:r>
          <w:r>
            <w:rPr>
              <w:color w:val="auto"/>
            </w:rPr>
            <w:fldChar w:fldCharType="separate"/>
          </w:r>
          <w:r>
            <w:rPr>
              <w:color w:val="auto"/>
            </w:rPr>
            <w:t>二百一十八、违法发布酒类广告</w:t>
          </w:r>
          <w:r>
            <w:rPr>
              <w:color w:val="auto"/>
            </w:rPr>
            <w:tab/>
          </w:r>
          <w:r>
            <w:rPr>
              <w:color w:val="auto"/>
            </w:rPr>
            <w:t>173</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"_bookmark225" </w:instrText>
          </w:r>
          <w:r>
            <w:rPr>
              <w:color w:val="auto"/>
            </w:rPr>
            <w:fldChar w:fldCharType="separate"/>
          </w:r>
          <w:r>
            <w:rPr>
              <w:color w:val="auto"/>
            </w:rPr>
            <w:t>二百一十九、违法发布教育、培训广告</w:t>
          </w:r>
          <w:r>
            <w:rPr>
              <w:color w:val="auto"/>
            </w:rPr>
            <w:tab/>
          </w:r>
          <w:r>
            <w:rPr>
              <w:color w:val="auto"/>
            </w:rPr>
            <w:t>175</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"_bookmark226" </w:instrText>
          </w:r>
          <w:r>
            <w:rPr>
              <w:color w:val="auto"/>
            </w:rPr>
            <w:fldChar w:fldCharType="separate"/>
          </w:r>
          <w:r>
            <w:rPr>
              <w:color w:val="auto"/>
            </w:rPr>
            <w:t>二百二十、违法发布招商等有投资回报预期的商品或者服务广告</w:t>
          </w:r>
          <w:r>
            <w:rPr>
              <w:color w:val="auto"/>
            </w:rPr>
            <w:tab/>
          </w:r>
          <w:r>
            <w:rPr>
              <w:color w:val="auto"/>
            </w:rPr>
            <w:t>177</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"_bookmark227" </w:instrText>
          </w:r>
          <w:r>
            <w:rPr>
              <w:color w:val="auto"/>
            </w:rPr>
            <w:fldChar w:fldCharType="separate"/>
          </w:r>
          <w:r>
            <w:rPr>
              <w:color w:val="auto"/>
            </w:rPr>
            <w:t>二百二十一、违法发布房地产广告</w:t>
          </w:r>
          <w:r>
            <w:rPr>
              <w:color w:val="auto"/>
            </w:rPr>
            <w:tab/>
          </w:r>
          <w:r>
            <w:rPr>
              <w:color w:val="auto"/>
            </w:rPr>
            <w:t>179</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"_bookmark228" </w:instrText>
          </w:r>
          <w:r>
            <w:rPr>
              <w:color w:val="auto"/>
            </w:rPr>
            <w:fldChar w:fldCharType="separate"/>
          </w:r>
          <w:r>
            <w:rPr>
              <w:color w:val="auto"/>
            </w:rPr>
            <w:t>二百二十二、违法发布种子、种植养植广告</w:t>
          </w:r>
          <w:r>
            <w:rPr>
              <w:color w:val="auto"/>
            </w:rPr>
            <w:tab/>
          </w:r>
          <w:r>
            <w:rPr>
              <w:color w:val="auto"/>
            </w:rPr>
            <w:t>183</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"_bookmark229" </w:instrText>
          </w:r>
          <w:r>
            <w:rPr>
              <w:color w:val="auto"/>
            </w:rPr>
            <w:fldChar w:fldCharType="separate"/>
          </w:r>
          <w:r>
            <w:rPr>
              <w:color w:val="auto"/>
            </w:rPr>
            <w:t>二百二十三、利用不具备资格的广告代言人发布广告</w:t>
          </w:r>
          <w:r>
            <w:rPr>
              <w:color w:val="auto"/>
            </w:rPr>
            <w:tab/>
          </w:r>
          <w:r>
            <w:rPr>
              <w:color w:val="auto"/>
            </w:rPr>
            <w:t>185</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"_bookmark230" </w:instrText>
          </w:r>
          <w:r>
            <w:rPr>
              <w:color w:val="auto"/>
            </w:rPr>
            <w:fldChar w:fldCharType="separate"/>
          </w:r>
          <w:r>
            <w:rPr>
              <w:color w:val="auto"/>
            </w:rPr>
            <w:t>二百二十四、在学校、幼儿园内或者利用教材等发布广告</w:t>
          </w:r>
          <w:r>
            <w:rPr>
              <w:color w:val="auto"/>
            </w:rPr>
            <w:tab/>
          </w:r>
          <w:r>
            <w:rPr>
              <w:color w:val="auto"/>
            </w:rPr>
            <w:t>187</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"_bookmark231" </w:instrText>
          </w:r>
          <w:r>
            <w:rPr>
              <w:color w:val="auto"/>
            </w:rPr>
            <w:fldChar w:fldCharType="separate"/>
          </w:r>
          <w:r>
            <w:rPr>
              <w:color w:val="auto"/>
            </w:rPr>
            <w:t>二百二十五、发布针对不满十四周岁的未成年人的商品或者服务的广告</w:t>
          </w:r>
          <w:r>
            <w:rPr>
              <w:color w:val="auto"/>
            </w:rPr>
            <w:tab/>
          </w:r>
          <w:r>
            <w:rPr>
              <w:color w:val="auto"/>
            </w:rPr>
            <w:t>188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"_bookmark232" </w:instrText>
          </w:r>
          <w:r>
            <w:rPr>
              <w:color w:val="auto"/>
            </w:rPr>
            <w:fldChar w:fldCharType="separate"/>
          </w:r>
          <w:r>
            <w:rPr>
              <w:color w:val="auto"/>
            </w:rPr>
            <w:t>二百二十六、未经审查发布特殊商品和服务广告</w:t>
          </w:r>
          <w:r>
            <w:rPr>
              <w:color w:val="auto"/>
            </w:rPr>
            <w:tab/>
          </w:r>
          <w:r>
            <w:rPr>
              <w:color w:val="auto"/>
            </w:rPr>
            <w:t>190</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"_bookmark233" </w:instrText>
          </w:r>
          <w:r>
            <w:rPr>
              <w:color w:val="auto"/>
            </w:rPr>
            <w:fldChar w:fldCharType="separate"/>
          </w:r>
          <w:r>
            <w:rPr>
              <w:color w:val="auto"/>
            </w:rPr>
            <w:t>二百二十七、广告内容不准确、不清楚、不明白</w:t>
          </w:r>
          <w:r>
            <w:rPr>
              <w:color w:val="auto"/>
            </w:rPr>
            <w:tab/>
          </w:r>
          <w:r>
            <w:rPr>
              <w:color w:val="auto"/>
            </w:rPr>
            <w:t>192</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"_bookmark234" </w:instrText>
          </w:r>
          <w:r>
            <w:rPr>
              <w:color w:val="auto"/>
            </w:rPr>
            <w:fldChar w:fldCharType="separate"/>
          </w:r>
          <w:r>
            <w:rPr>
              <w:color w:val="auto"/>
            </w:rPr>
            <w:t>二百二十八、发布贬低其他生产经营者的商品或者服务的广告</w:t>
          </w:r>
          <w:r>
            <w:rPr>
              <w:color w:val="auto"/>
            </w:rPr>
            <w:tab/>
          </w:r>
          <w:r>
            <w:rPr>
              <w:color w:val="auto"/>
            </w:rPr>
            <w:t>193</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"_bookmark235" </w:instrText>
          </w:r>
          <w:r>
            <w:rPr>
              <w:color w:val="auto"/>
            </w:rPr>
            <w:fldChar w:fldCharType="separate"/>
          </w:r>
          <w:r>
            <w:rPr>
              <w:color w:val="auto"/>
            </w:rPr>
            <w:t>二百二十九、发布不具有可识别性广告</w:t>
          </w:r>
          <w:r>
            <w:rPr>
              <w:color w:val="auto"/>
            </w:rPr>
            <w:tab/>
          </w:r>
          <w:r>
            <w:rPr>
              <w:color w:val="auto"/>
            </w:rPr>
            <w:t>194</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"_bookmark236" </w:instrText>
          </w:r>
          <w:r>
            <w:rPr>
              <w:color w:val="auto"/>
            </w:rPr>
            <w:fldChar w:fldCharType="separate"/>
          </w:r>
          <w:r>
            <w:rPr>
              <w:color w:val="auto"/>
            </w:rPr>
            <w:t>二百三十、变相发布医疗、药品、医疗器械、保健食品广告</w:t>
          </w:r>
          <w:r>
            <w:rPr>
              <w:color w:val="auto"/>
            </w:rPr>
            <w:tab/>
          </w:r>
          <w:r>
            <w:rPr>
              <w:color w:val="auto"/>
            </w:rPr>
            <w:t>195</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"_bookmark237" </w:instrText>
          </w:r>
          <w:r>
            <w:rPr>
              <w:color w:val="auto"/>
            </w:rPr>
            <w:fldChar w:fldCharType="separate"/>
          </w:r>
          <w:r>
            <w:rPr>
              <w:color w:val="auto"/>
            </w:rPr>
            <w:t>二百三十一、未办理广告发布登记擅自从事广告发布业务</w:t>
          </w:r>
          <w:r>
            <w:rPr>
              <w:color w:val="auto"/>
            </w:rPr>
            <w:tab/>
          </w:r>
          <w:r>
            <w:rPr>
              <w:color w:val="auto"/>
            </w:rPr>
            <w:t>196</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"_bookmark238" </w:instrText>
          </w:r>
          <w:r>
            <w:rPr>
              <w:color w:val="auto"/>
            </w:rPr>
            <w:fldChar w:fldCharType="separate"/>
          </w:r>
          <w:r>
            <w:rPr>
              <w:color w:val="auto"/>
            </w:rPr>
            <w:t>二百三十二、未按规定建立健全广告业务管理制度、未履行广告审查义务</w:t>
          </w:r>
          <w:r>
            <w:rPr>
              <w:color w:val="auto"/>
            </w:rPr>
            <w:tab/>
          </w:r>
          <w:r>
            <w:rPr>
              <w:color w:val="auto"/>
            </w:rPr>
            <w:t>196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"_bookmark239" </w:instrText>
          </w:r>
          <w:r>
            <w:rPr>
              <w:color w:val="auto"/>
            </w:rPr>
            <w:fldChar w:fldCharType="separate"/>
          </w:r>
          <w:r>
            <w:rPr>
              <w:color w:val="auto"/>
            </w:rPr>
            <w:t>二百三十三、广告代言人违法代言</w:t>
          </w:r>
          <w:r>
            <w:rPr>
              <w:color w:val="auto"/>
            </w:rPr>
            <w:tab/>
          </w:r>
          <w:r>
            <w:rPr>
              <w:color w:val="auto"/>
            </w:rPr>
            <w:t>197</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"_bookmark240" </w:instrText>
          </w:r>
          <w:r>
            <w:rPr>
              <w:color w:val="auto"/>
            </w:rPr>
            <w:fldChar w:fldCharType="separate"/>
          </w:r>
          <w:r>
            <w:rPr>
              <w:color w:val="auto"/>
            </w:rPr>
            <w:t>二百三十四、擅自向特定对象发送广告</w:t>
          </w:r>
          <w:r>
            <w:rPr>
              <w:color w:val="auto"/>
            </w:rPr>
            <w:tab/>
          </w:r>
          <w:r>
            <w:rPr>
              <w:color w:val="auto"/>
            </w:rPr>
            <w:t>198</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"_bookmark241" </w:instrText>
          </w:r>
          <w:r>
            <w:rPr>
              <w:color w:val="auto"/>
            </w:rPr>
            <w:fldChar w:fldCharType="separate"/>
          </w:r>
          <w:r>
            <w:rPr>
              <w:color w:val="auto"/>
            </w:rPr>
            <w:t>二百三十五、利用互联网发布广告未显著标明关闭标志、确保一键关闭</w:t>
          </w:r>
          <w:r>
            <w:rPr>
              <w:color w:val="auto"/>
            </w:rPr>
            <w:tab/>
          </w:r>
          <w:r>
            <w:rPr>
              <w:color w:val="auto"/>
            </w:rPr>
            <w:t>199</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"_bookmark242"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"_bookmark242" </w:instrText>
          </w:r>
          <w:r>
            <w:rPr>
              <w:color w:val="auto"/>
            </w:rPr>
            <w:fldChar w:fldCharType="separate"/>
          </w:r>
          <w:r>
            <w:rPr>
              <w:color w:val="auto"/>
            </w:rPr>
            <w:t>百三十六</w:t>
          </w:r>
          <w:r>
            <w:rPr>
              <w:color w:val="auto"/>
              <w:spacing w:val="-20"/>
            </w:rPr>
            <w:t>、</w:t>
          </w:r>
          <w:r>
            <w:rPr>
              <w:color w:val="auto"/>
            </w:rPr>
            <w:t>公共场所的管理者和电信业务经营者</w:t>
          </w:r>
          <w:r>
            <w:rPr>
              <w:color w:val="auto"/>
              <w:spacing w:val="-17"/>
            </w:rPr>
            <w:t>、</w:t>
          </w:r>
          <w:r>
            <w:rPr>
              <w:color w:val="auto"/>
            </w:rPr>
            <w:t>互联网信息服务提供者不</w:t>
          </w:r>
          <w:r>
            <w:rPr>
              <w:color w:val="auto"/>
              <w:spacing w:val="-16"/>
            </w:rPr>
            <w:t>履</w:t>
          </w:r>
          <w:r>
            <w:rPr>
              <w:color w:val="auto"/>
              <w:spacing w:val="-16"/>
            </w:rPr>
            <w:fldChar w:fldCharType="end"/>
          </w:r>
          <w:r>
            <w:rPr>
              <w:color w:val="auto"/>
            </w:rPr>
            <w:t>行制止违法广告义务</w:t>
          </w:r>
          <w:r>
            <w:rPr>
              <w:color w:val="auto"/>
            </w:rPr>
            <w:tab/>
          </w:r>
          <w:r>
            <w:rPr>
              <w:color w:val="auto"/>
              <w:spacing w:val="-6"/>
            </w:rPr>
            <w:t>199</w:t>
          </w:r>
        </w:p>
        <w:p>
          <w:pPr>
            <w:pStyle w:val="5"/>
            <w:tabs>
              <w:tab w:val="left" w:leader="dot" w:pos="8595"/>
            </w:tabs>
            <w:spacing w:line="308" w:lineRule="exact"/>
            <w:rPr>
              <w:color w:val="auto"/>
            </w:rPr>
          </w:pPr>
          <w:r>
            <w:rPr>
              <w:color w:val="auto"/>
            </w:rPr>
            <w:fldChar w:fldCharType="begin"/>
          </w:r>
          <w:r>
            <w:rPr>
              <w:color w:val="auto"/>
            </w:rPr>
            <w:instrText xml:space="preserve"> HYPERLINK \l "_bookmark243" </w:instrText>
          </w:r>
          <w:r>
            <w:rPr>
              <w:color w:val="auto"/>
            </w:rPr>
            <w:fldChar w:fldCharType="separate"/>
          </w:r>
          <w:r>
            <w:rPr>
              <w:color w:val="auto"/>
            </w:rPr>
            <w:t>二百三十七、伪造、变造或者转让广告审查批准文件</w:t>
          </w:r>
          <w:r>
            <w:rPr>
              <w:color w:val="auto"/>
            </w:rPr>
            <w:tab/>
          </w:r>
          <w:r>
            <w:rPr>
              <w:color w:val="auto"/>
            </w:rPr>
            <w:t>200</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"_bookmark244" </w:instrText>
          </w:r>
          <w:r>
            <w:rPr>
              <w:color w:val="auto"/>
            </w:rPr>
            <w:fldChar w:fldCharType="separate"/>
          </w:r>
          <w:r>
            <w:rPr>
              <w:color w:val="auto"/>
            </w:rPr>
            <w:t>二百三十八、诱使用户点击广告和未经允许在电子邮件中附加广告</w:t>
          </w:r>
          <w:r>
            <w:rPr>
              <w:color w:val="auto"/>
            </w:rPr>
            <w:tab/>
          </w:r>
          <w:r>
            <w:rPr>
              <w:color w:val="auto"/>
            </w:rPr>
            <w:t>201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"_bookmark245" </w:instrText>
          </w:r>
          <w:r>
            <w:rPr>
              <w:color w:val="auto"/>
            </w:rPr>
            <w:fldChar w:fldCharType="separate"/>
          </w:r>
          <w:r>
            <w:rPr>
              <w:color w:val="auto"/>
            </w:rPr>
            <w:t>二百三十九、互联网广告未标明来源</w:t>
          </w:r>
          <w:r>
            <w:rPr>
              <w:color w:val="auto"/>
            </w:rPr>
            <w:tab/>
          </w:r>
          <w:r>
            <w:rPr>
              <w:color w:val="auto"/>
            </w:rPr>
            <w:t>202</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"_bookmark246"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"_bookmark246" </w:instrText>
          </w:r>
          <w:r>
            <w:rPr>
              <w:color w:val="auto"/>
            </w:rPr>
            <w:fldChar w:fldCharType="separate"/>
          </w:r>
          <w:r>
            <w:rPr>
              <w:color w:val="auto"/>
            </w:rPr>
            <w:t>百四十</w:t>
          </w:r>
          <w:r>
            <w:rPr>
              <w:color w:val="auto"/>
              <w:spacing w:val="-12"/>
            </w:rPr>
            <w:t>、</w:t>
          </w:r>
          <w:r>
            <w:rPr>
              <w:color w:val="auto"/>
            </w:rPr>
            <w:t>媒介方平台经营者</w:t>
          </w:r>
          <w:r>
            <w:rPr>
              <w:color w:val="auto"/>
              <w:spacing w:val="-12"/>
            </w:rPr>
            <w:t>、</w:t>
          </w:r>
          <w:r>
            <w:rPr>
              <w:color w:val="auto"/>
            </w:rPr>
            <w:t>广告信息交换平台经营者</w:t>
          </w:r>
          <w:r>
            <w:rPr>
              <w:color w:val="auto"/>
              <w:spacing w:val="-12"/>
            </w:rPr>
            <w:t>、</w:t>
          </w:r>
          <w:r>
            <w:rPr>
              <w:color w:val="auto"/>
            </w:rPr>
            <w:t>媒介方平台成员未</w:t>
          </w:r>
          <w:r>
            <w:rPr>
              <w:color w:val="auto"/>
              <w:spacing w:val="-17"/>
            </w:rPr>
            <w:t>履</w:t>
          </w:r>
          <w:r>
            <w:rPr>
              <w:color w:val="auto"/>
              <w:spacing w:val="-17"/>
            </w:rPr>
            <w:fldChar w:fldCharType="end"/>
          </w:r>
          <w:r>
            <w:rPr>
              <w:color w:val="auto"/>
            </w:rPr>
            <w:t>行法定义务</w:t>
          </w:r>
          <w:r>
            <w:rPr>
              <w:color w:val="auto"/>
            </w:rPr>
            <w:tab/>
          </w:r>
          <w:r>
            <w:rPr>
              <w:color w:val="auto"/>
              <w:spacing w:val="-6"/>
            </w:rPr>
            <w:t>202</w:t>
          </w:r>
        </w:p>
        <w:p>
          <w:pPr>
            <w:pStyle w:val="5"/>
            <w:tabs>
              <w:tab w:val="left" w:leader="dot" w:pos="8595"/>
            </w:tabs>
            <w:spacing w:line="308" w:lineRule="exact"/>
            <w:rPr>
              <w:color w:val="auto"/>
            </w:rPr>
          </w:pPr>
          <w:r>
            <w:rPr>
              <w:color w:val="auto"/>
            </w:rPr>
            <w:fldChar w:fldCharType="begin"/>
          </w:r>
          <w:r>
            <w:rPr>
              <w:color w:val="auto"/>
            </w:rPr>
            <w:instrText xml:space="preserve"> HYPERLINK \l "_bookmark247" </w:instrText>
          </w:r>
          <w:r>
            <w:rPr>
              <w:color w:val="auto"/>
            </w:rPr>
            <w:fldChar w:fldCharType="separate"/>
          </w:r>
          <w:r>
            <w:rPr>
              <w:color w:val="auto"/>
            </w:rPr>
            <w:t>二百四十一、违反《药品广告审查发布标准》发布广告</w:t>
          </w:r>
          <w:r>
            <w:rPr>
              <w:color w:val="auto"/>
            </w:rPr>
            <w:tab/>
          </w:r>
          <w:r>
            <w:rPr>
              <w:color w:val="auto"/>
            </w:rPr>
            <w:t>203</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"_bookmark248" </w:instrText>
          </w:r>
          <w:r>
            <w:rPr>
              <w:color w:val="auto"/>
            </w:rPr>
            <w:fldChar w:fldCharType="separate"/>
          </w:r>
          <w:r>
            <w:rPr>
              <w:color w:val="auto"/>
            </w:rPr>
            <w:t>二百四十二、违反《医疗广告管理办法》发布广告</w:t>
          </w:r>
          <w:r>
            <w:rPr>
              <w:color w:val="auto"/>
            </w:rPr>
            <w:tab/>
          </w:r>
          <w:r>
            <w:rPr>
              <w:color w:val="auto"/>
            </w:rPr>
            <w:t>204</w:t>
          </w:r>
          <w:r>
            <w:rPr>
              <w:color w:val="auto"/>
            </w:rPr>
            <w:fldChar w:fldCharType="end"/>
          </w:r>
        </w:p>
        <w:p>
          <w:pPr>
            <w:pStyle w:val="5"/>
            <w:tabs>
              <w:tab w:val="left" w:leader="dot" w:pos="8595"/>
            </w:tabs>
            <w:spacing w:before="172" w:after="59"/>
            <w:rPr>
              <w:color w:val="auto"/>
            </w:rPr>
          </w:pPr>
          <w:r>
            <w:rPr>
              <w:color w:val="auto"/>
            </w:rPr>
            <w:fldChar w:fldCharType="begin"/>
          </w:r>
          <w:r>
            <w:rPr>
              <w:color w:val="auto"/>
            </w:rPr>
            <w:instrText xml:space="preserve"> HYPERLINK \l "_bookmark249" </w:instrText>
          </w:r>
          <w:r>
            <w:rPr>
              <w:color w:val="auto"/>
            </w:rPr>
            <w:fldChar w:fldCharType="separate"/>
          </w:r>
          <w:r>
            <w:rPr>
              <w:color w:val="auto"/>
            </w:rPr>
            <w:t>二百四十三、违反《医疗器械广告审查发布标准》发布广告</w:t>
          </w:r>
          <w:r>
            <w:rPr>
              <w:color w:val="auto"/>
            </w:rPr>
            <w:tab/>
          </w:r>
          <w:r>
            <w:rPr>
              <w:color w:val="auto"/>
            </w:rPr>
            <w:t>205</w:t>
          </w:r>
          <w:r>
            <w:rPr>
              <w:color w:val="auto"/>
            </w:rPr>
            <w:fldChar w:fldCharType="end"/>
          </w:r>
        </w:p>
        <w:p>
          <w:pPr>
            <w:pStyle w:val="5"/>
            <w:tabs>
              <w:tab w:val="left" w:leader="dot" w:pos="8595"/>
            </w:tabs>
            <w:spacing w:before="127"/>
            <w:rPr>
              <w:color w:val="auto"/>
            </w:rPr>
          </w:pPr>
          <w:r>
            <w:rPr>
              <w:color w:val="auto"/>
            </w:rPr>
            <w:fldChar w:fldCharType="begin"/>
          </w:r>
          <w:r>
            <w:rPr>
              <w:color w:val="auto"/>
            </w:rPr>
            <w:instrText xml:space="preserve"> HYPERLINK \l "_bookmark250" </w:instrText>
          </w:r>
          <w:r>
            <w:rPr>
              <w:color w:val="auto"/>
            </w:rPr>
            <w:fldChar w:fldCharType="separate"/>
          </w:r>
          <w:r>
            <w:rPr>
              <w:color w:val="auto"/>
            </w:rPr>
            <w:t>二百四十四、违反《食品广告发布暂行规定》发布广告</w:t>
          </w:r>
          <w:r>
            <w:rPr>
              <w:color w:val="auto"/>
            </w:rPr>
            <w:tab/>
          </w:r>
          <w:r>
            <w:rPr>
              <w:color w:val="auto"/>
            </w:rPr>
            <w:t>207</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"_bookmark251" </w:instrText>
          </w:r>
          <w:r>
            <w:rPr>
              <w:color w:val="auto"/>
            </w:rPr>
            <w:fldChar w:fldCharType="separate"/>
          </w:r>
          <w:r>
            <w:rPr>
              <w:color w:val="auto"/>
            </w:rPr>
            <w:t>二百四十五、违反《农药广告审查发布标准》发布广告</w:t>
          </w:r>
          <w:r>
            <w:rPr>
              <w:color w:val="auto"/>
            </w:rPr>
            <w:tab/>
          </w:r>
          <w:r>
            <w:rPr>
              <w:color w:val="auto"/>
            </w:rPr>
            <w:t>208</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"_bookmark252" </w:instrText>
          </w:r>
          <w:r>
            <w:rPr>
              <w:color w:val="auto"/>
            </w:rPr>
            <w:fldChar w:fldCharType="separate"/>
          </w:r>
          <w:r>
            <w:rPr>
              <w:color w:val="auto"/>
            </w:rPr>
            <w:t>二百四十六、违反《兽药广告审查发布标准》发布广告</w:t>
          </w:r>
          <w:r>
            <w:rPr>
              <w:color w:val="auto"/>
            </w:rPr>
            <w:tab/>
          </w:r>
          <w:r>
            <w:rPr>
              <w:color w:val="auto"/>
            </w:rPr>
            <w:t>208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"_bookmark253" </w:instrText>
          </w:r>
          <w:r>
            <w:rPr>
              <w:color w:val="auto"/>
            </w:rPr>
            <w:fldChar w:fldCharType="separate"/>
          </w:r>
          <w:r>
            <w:rPr>
              <w:color w:val="auto"/>
            </w:rPr>
            <w:t>二百四十七、未按《广告发布登记管理规定》变更登记</w:t>
          </w:r>
          <w:r>
            <w:rPr>
              <w:color w:val="auto"/>
            </w:rPr>
            <w:tab/>
          </w:r>
          <w:r>
            <w:rPr>
              <w:color w:val="auto"/>
            </w:rPr>
            <w:t>209</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"_bookmark254" </w:instrText>
          </w:r>
          <w:r>
            <w:rPr>
              <w:color w:val="auto"/>
            </w:rPr>
            <w:fldChar w:fldCharType="separate"/>
          </w:r>
          <w:r>
            <w:rPr>
              <w:color w:val="auto"/>
            </w:rPr>
            <w:t>二百四十八、不按规定报送《广告业统计报表》</w:t>
          </w:r>
          <w:r>
            <w:rPr>
              <w:color w:val="auto"/>
            </w:rPr>
            <w:tab/>
          </w:r>
          <w:r>
            <w:rPr>
              <w:color w:val="auto"/>
            </w:rPr>
            <w:t>210</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"_bookmark255" </w:instrText>
          </w:r>
          <w:r>
            <w:rPr>
              <w:color w:val="auto"/>
            </w:rPr>
            <w:fldChar w:fldCharType="separate"/>
          </w:r>
          <w:r>
            <w:rPr>
              <w:color w:val="auto"/>
            </w:rPr>
            <w:t>二百四十九、擅自发布境外就业中介服务广告</w:t>
          </w:r>
          <w:r>
            <w:rPr>
              <w:color w:val="auto"/>
            </w:rPr>
            <w:tab/>
          </w:r>
          <w:r>
            <w:rPr>
              <w:color w:val="auto"/>
            </w:rPr>
            <w:t>210</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"_bookmark256" </w:instrText>
          </w:r>
          <w:r>
            <w:rPr>
              <w:color w:val="auto"/>
            </w:rPr>
            <w:fldChar w:fldCharType="separate"/>
          </w:r>
          <w:r>
            <w:rPr>
              <w:color w:val="auto"/>
            </w:rPr>
            <w:t>二百五十、广告语言文字不符合规定</w:t>
          </w:r>
          <w:r>
            <w:rPr>
              <w:color w:val="auto"/>
            </w:rPr>
            <w:tab/>
          </w:r>
          <w:r>
            <w:rPr>
              <w:color w:val="auto"/>
            </w:rPr>
            <w:t>211</w:t>
          </w:r>
          <w:r>
            <w:rPr>
              <w:color w:val="auto"/>
            </w:rPr>
            <w:fldChar w:fldCharType="end"/>
          </w:r>
        </w:p>
        <w:p>
          <w:pPr>
            <w:pStyle w:val="8"/>
            <w:tabs>
              <w:tab w:val="left" w:pos="1651"/>
              <w:tab w:val="left" w:leader="dot" w:pos="8549"/>
            </w:tabs>
            <w:rPr>
              <w:color w:val="auto"/>
            </w:rPr>
          </w:pPr>
          <w:r>
            <w:rPr>
              <w:color w:val="auto"/>
            </w:rPr>
            <w:fldChar w:fldCharType="begin"/>
          </w:r>
          <w:r>
            <w:rPr>
              <w:color w:val="auto"/>
            </w:rPr>
            <w:instrText xml:space="preserve"> HYPERLINK \l "_bookmark257" </w:instrText>
          </w:r>
          <w:r>
            <w:rPr>
              <w:color w:val="auto"/>
            </w:rPr>
            <w:fldChar w:fldCharType="separate"/>
          </w:r>
          <w:r>
            <w:rPr>
              <w:color w:val="auto"/>
              <w:spacing w:val="-13"/>
            </w:rPr>
            <w:t>第八</w:t>
          </w:r>
          <w:r>
            <w:rPr>
              <w:color w:val="auto"/>
            </w:rPr>
            <w:t>章</w:t>
          </w:r>
          <w:r>
            <w:rPr>
              <w:color w:val="auto"/>
            </w:rPr>
            <w:tab/>
          </w:r>
          <w:r>
            <w:rPr>
              <w:color w:val="auto"/>
              <w:spacing w:val="-13"/>
            </w:rPr>
            <w:t>反不正当</w:t>
          </w:r>
          <w:r>
            <w:rPr>
              <w:color w:val="auto"/>
              <w:spacing w:val="-10"/>
            </w:rPr>
            <w:t>竞</w:t>
          </w:r>
          <w:r>
            <w:rPr>
              <w:color w:val="auto"/>
              <w:spacing w:val="-15"/>
            </w:rPr>
            <w:t>争</w:t>
          </w:r>
          <w:r>
            <w:rPr>
              <w:color w:val="auto"/>
              <w:spacing w:val="-13"/>
            </w:rPr>
            <w:t>执</w:t>
          </w:r>
          <w:r>
            <w:rPr>
              <w:color w:val="auto"/>
            </w:rPr>
            <w:t>法</w:t>
          </w:r>
          <w:r>
            <w:rPr>
              <w:color w:val="auto"/>
            </w:rPr>
            <w:tab/>
          </w:r>
          <w:r>
            <w:rPr>
              <w:color w:val="auto"/>
              <w:spacing w:val="-3"/>
            </w:rPr>
            <w:t>212</w:t>
          </w:r>
          <w:r>
            <w:rPr>
              <w:color w:val="auto"/>
              <w:spacing w:val="-3"/>
            </w:rPr>
            <w:fldChar w:fldCharType="end"/>
          </w:r>
        </w:p>
        <w:p>
          <w:pPr>
            <w:pStyle w:val="5"/>
            <w:tabs>
              <w:tab w:val="left" w:leader="dot" w:pos="8595"/>
            </w:tabs>
            <w:spacing w:before="98" w:line="374" w:lineRule="auto"/>
            <w:ind w:right="268"/>
            <w:rPr>
              <w:color w:val="auto"/>
            </w:rPr>
          </w:pPr>
          <w:r>
            <w:rPr>
              <w:color w:val="auto"/>
            </w:rPr>
            <w:fldChar w:fldCharType="begin"/>
          </w:r>
          <w:r>
            <w:rPr>
              <w:color w:val="auto"/>
            </w:rPr>
            <w:instrText xml:space="preserve"> HYPERLINK \l "_bookmark258"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"_bookmark258" </w:instrText>
          </w:r>
          <w:r>
            <w:rPr>
              <w:color w:val="auto"/>
            </w:rPr>
            <w:fldChar w:fldCharType="separate"/>
          </w:r>
          <w:r>
            <w:rPr>
              <w:color w:val="auto"/>
            </w:rPr>
            <w:t>百五十一</w:t>
          </w:r>
          <w:r>
            <w:rPr>
              <w:color w:val="auto"/>
              <w:spacing w:val="-20"/>
            </w:rPr>
            <w:t>、</w:t>
          </w:r>
          <w:r>
            <w:rPr>
              <w:color w:val="auto"/>
            </w:rPr>
            <w:t>经营者实施混淆行为</w:t>
          </w:r>
          <w:r>
            <w:rPr>
              <w:color w:val="auto"/>
              <w:spacing w:val="-17"/>
            </w:rPr>
            <w:t>，</w:t>
          </w:r>
          <w:r>
            <w:rPr>
              <w:color w:val="auto"/>
            </w:rPr>
            <w:t>引人误认为是他人商品或者与他人存在特</w:t>
          </w:r>
          <w:r>
            <w:rPr>
              <w:color w:val="auto"/>
              <w:spacing w:val="-16"/>
            </w:rPr>
            <w:t>定</w:t>
          </w:r>
          <w:r>
            <w:rPr>
              <w:color w:val="auto"/>
              <w:spacing w:val="-16"/>
            </w:rPr>
            <w:fldChar w:fldCharType="end"/>
          </w:r>
          <w:r>
            <w:rPr>
              <w:color w:val="auto"/>
            </w:rPr>
            <w:t>联系</w:t>
          </w:r>
          <w:r>
            <w:rPr>
              <w:color w:val="auto"/>
            </w:rPr>
            <w:tab/>
          </w:r>
          <w:r>
            <w:rPr>
              <w:color w:val="auto"/>
              <w:spacing w:val="-6"/>
            </w:rPr>
            <w:t>212</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"_bookmark259"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"_bookmark259" </w:instrText>
          </w:r>
          <w:r>
            <w:rPr>
              <w:color w:val="auto"/>
            </w:rPr>
            <w:fldChar w:fldCharType="separate"/>
          </w:r>
          <w:r>
            <w:rPr>
              <w:color w:val="auto"/>
            </w:rPr>
            <w:t>百五十二</w:t>
          </w:r>
          <w:r>
            <w:rPr>
              <w:color w:val="auto"/>
              <w:spacing w:val="-20"/>
            </w:rPr>
            <w:t>、</w:t>
          </w:r>
          <w:r>
            <w:rPr>
              <w:color w:val="auto"/>
            </w:rPr>
            <w:t>经营者采用财物或者其他手段进行贿赂</w:t>
          </w:r>
          <w:r>
            <w:rPr>
              <w:color w:val="auto"/>
              <w:spacing w:val="-17"/>
            </w:rPr>
            <w:t>，</w:t>
          </w:r>
          <w:r>
            <w:rPr>
              <w:color w:val="auto"/>
            </w:rPr>
            <w:t>以谋取交易机会或者竞</w:t>
          </w:r>
          <w:r>
            <w:rPr>
              <w:color w:val="auto"/>
              <w:spacing w:val="-16"/>
            </w:rPr>
            <w:t>争</w:t>
          </w:r>
          <w:r>
            <w:rPr>
              <w:color w:val="auto"/>
              <w:spacing w:val="-16"/>
            </w:rPr>
            <w:fldChar w:fldCharType="end"/>
          </w:r>
          <w:r>
            <w:rPr>
              <w:color w:val="auto"/>
            </w:rPr>
            <w:t>优势</w:t>
          </w:r>
          <w:r>
            <w:rPr>
              <w:color w:val="auto"/>
            </w:rPr>
            <w:tab/>
          </w:r>
          <w:r>
            <w:rPr>
              <w:color w:val="auto"/>
              <w:spacing w:val="-6"/>
            </w:rPr>
            <w:t>213</w:t>
          </w:r>
        </w:p>
        <w:p>
          <w:pPr>
            <w:pStyle w:val="5"/>
            <w:tabs>
              <w:tab w:val="left" w:leader="dot" w:pos="8595"/>
            </w:tabs>
            <w:spacing w:line="308" w:lineRule="exact"/>
            <w:rPr>
              <w:color w:val="auto"/>
            </w:rPr>
          </w:pPr>
          <w:r>
            <w:rPr>
              <w:color w:val="auto"/>
            </w:rPr>
            <w:fldChar w:fldCharType="begin"/>
          </w:r>
          <w:r>
            <w:rPr>
              <w:color w:val="auto"/>
            </w:rPr>
            <w:instrText xml:space="preserve"> HYPERLINK \l "_bookmark260" </w:instrText>
          </w:r>
          <w:r>
            <w:rPr>
              <w:color w:val="auto"/>
            </w:rPr>
            <w:fldChar w:fldCharType="separate"/>
          </w:r>
          <w:r>
            <w:rPr>
              <w:color w:val="auto"/>
            </w:rPr>
            <w:t>二百五十三、经营者实施虚假或引人误解的商业宣传</w:t>
          </w:r>
          <w:r>
            <w:rPr>
              <w:color w:val="auto"/>
            </w:rPr>
            <w:tab/>
          </w:r>
          <w:r>
            <w:rPr>
              <w:color w:val="auto"/>
            </w:rPr>
            <w:t>214</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"_bookmark261" </w:instrText>
          </w:r>
          <w:r>
            <w:rPr>
              <w:color w:val="auto"/>
            </w:rPr>
            <w:fldChar w:fldCharType="separate"/>
          </w:r>
          <w:r>
            <w:rPr>
              <w:color w:val="auto"/>
            </w:rPr>
            <w:t>二百五十四、侵犯商业秘密</w:t>
          </w:r>
          <w:r>
            <w:rPr>
              <w:color w:val="auto"/>
            </w:rPr>
            <w:tab/>
          </w:r>
          <w:r>
            <w:rPr>
              <w:color w:val="auto"/>
            </w:rPr>
            <w:t>215</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"_bookmark262" </w:instrText>
          </w:r>
          <w:r>
            <w:rPr>
              <w:color w:val="auto"/>
            </w:rPr>
            <w:fldChar w:fldCharType="separate"/>
          </w:r>
          <w:r>
            <w:rPr>
              <w:color w:val="auto"/>
            </w:rPr>
            <w:t>二百五十五、不正当有奖销售</w:t>
          </w:r>
          <w:r>
            <w:rPr>
              <w:color w:val="auto"/>
            </w:rPr>
            <w:tab/>
          </w:r>
          <w:r>
            <w:rPr>
              <w:color w:val="auto"/>
            </w:rPr>
            <w:t>217</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"_bookmark263" </w:instrText>
          </w:r>
          <w:r>
            <w:rPr>
              <w:color w:val="auto"/>
            </w:rPr>
            <w:fldChar w:fldCharType="separate"/>
          </w:r>
          <w:r>
            <w:rPr>
              <w:color w:val="auto"/>
            </w:rPr>
            <w:t>二百五十六、商业诋毁</w:t>
          </w:r>
          <w:r>
            <w:rPr>
              <w:color w:val="auto"/>
            </w:rPr>
            <w:tab/>
          </w:r>
          <w:r>
            <w:rPr>
              <w:color w:val="auto"/>
            </w:rPr>
            <w:t>217</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"_bookmark264" </w:instrText>
          </w:r>
          <w:r>
            <w:rPr>
              <w:color w:val="auto"/>
            </w:rPr>
            <w:fldChar w:fldCharType="separate"/>
          </w:r>
          <w:r>
            <w:rPr>
              <w:color w:val="auto"/>
            </w:rPr>
            <w:t>二百五十七、网络领域不正当竞争行为</w:t>
          </w:r>
          <w:r>
            <w:rPr>
              <w:color w:val="auto"/>
            </w:rPr>
            <w:tab/>
          </w:r>
          <w:r>
            <w:rPr>
              <w:color w:val="auto"/>
            </w:rPr>
            <w:t>218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"_bookmark265" </w:instrText>
          </w:r>
          <w:r>
            <w:rPr>
              <w:color w:val="auto"/>
            </w:rPr>
            <w:fldChar w:fldCharType="separate"/>
          </w:r>
          <w:r>
            <w:rPr>
              <w:color w:val="auto"/>
            </w:rPr>
            <w:t>二百五十八、妨害监督检查部门依照本法履行职责，拒绝、阻碍调查</w:t>
          </w:r>
          <w:r>
            <w:rPr>
              <w:color w:val="auto"/>
            </w:rPr>
            <w:tab/>
          </w:r>
          <w:r>
            <w:rPr>
              <w:color w:val="auto"/>
            </w:rPr>
            <w:t>219</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"_bookmark266" </w:instrText>
          </w:r>
          <w:r>
            <w:rPr>
              <w:color w:val="auto"/>
            </w:rPr>
            <w:fldChar w:fldCharType="separate"/>
          </w:r>
          <w:r>
            <w:rPr>
              <w:color w:val="auto"/>
            </w:rPr>
            <w:t>二百五十九、违反零售商供应商公平交易管理</w:t>
          </w:r>
          <w:r>
            <w:rPr>
              <w:color w:val="auto"/>
            </w:rPr>
            <w:tab/>
          </w:r>
          <w:r>
            <w:rPr>
              <w:color w:val="auto"/>
            </w:rPr>
            <w:t>220</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"_bookmark267" </w:instrText>
          </w:r>
          <w:r>
            <w:rPr>
              <w:color w:val="auto"/>
            </w:rPr>
            <w:fldChar w:fldCharType="separate"/>
          </w:r>
          <w:r>
            <w:rPr>
              <w:color w:val="auto"/>
            </w:rPr>
            <w:t>二百六十、违反《零售商促销行为管理办法》规定</w:t>
          </w:r>
          <w:r>
            <w:rPr>
              <w:color w:val="auto"/>
            </w:rPr>
            <w:tab/>
          </w:r>
          <w:r>
            <w:rPr>
              <w:color w:val="auto"/>
            </w:rPr>
            <w:t>220</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"_bookmark268" </w:instrText>
          </w:r>
          <w:r>
            <w:rPr>
              <w:color w:val="auto"/>
            </w:rPr>
            <w:fldChar w:fldCharType="separate"/>
          </w:r>
          <w:r>
            <w:rPr>
              <w:color w:val="auto"/>
            </w:rPr>
            <w:t>二百六十一、未经批准从事直销活动</w:t>
          </w:r>
          <w:r>
            <w:rPr>
              <w:color w:val="auto"/>
            </w:rPr>
            <w:tab/>
          </w:r>
          <w:r>
            <w:rPr>
              <w:color w:val="auto"/>
            </w:rPr>
            <w:t>221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"_bookmark269" </w:instrText>
          </w:r>
          <w:r>
            <w:rPr>
              <w:color w:val="auto"/>
            </w:rPr>
            <w:fldChar w:fldCharType="separate"/>
          </w:r>
          <w:r>
            <w:rPr>
              <w:color w:val="auto"/>
            </w:rPr>
            <w:t>二百六十二、通过欺骗、贿赂等手段取得直销经营许可</w:t>
          </w:r>
          <w:r>
            <w:rPr>
              <w:color w:val="auto"/>
            </w:rPr>
            <w:tab/>
          </w:r>
          <w:r>
            <w:rPr>
              <w:color w:val="auto"/>
            </w:rPr>
            <w:t>222</w:t>
          </w:r>
          <w:r>
            <w:rPr>
              <w:color w:val="auto"/>
            </w:rPr>
            <w:fldChar w:fldCharType="end"/>
          </w:r>
        </w:p>
        <w:p>
          <w:pPr>
            <w:pStyle w:val="5"/>
            <w:tabs>
              <w:tab w:val="left" w:leader="dot" w:pos="8611"/>
            </w:tabs>
            <w:spacing w:before="172"/>
            <w:rPr>
              <w:color w:val="auto"/>
            </w:rPr>
          </w:pPr>
          <w:r>
            <w:rPr>
              <w:color w:val="auto"/>
            </w:rPr>
            <w:fldChar w:fldCharType="begin"/>
          </w:r>
          <w:r>
            <w:rPr>
              <w:color w:val="auto"/>
            </w:rPr>
            <w:instrText xml:space="preserve"> HYPERLINK \l "_bookmark270" </w:instrText>
          </w:r>
          <w:r>
            <w:rPr>
              <w:color w:val="auto"/>
            </w:rPr>
            <w:fldChar w:fldCharType="separate"/>
          </w:r>
          <w:r>
            <w:rPr>
              <w:color w:val="auto"/>
              <w:spacing w:val="-12"/>
            </w:rPr>
            <w:t>二百六十三、直销企业申请文件、资料内容发生重大变更未依照规定程序报</w:t>
          </w:r>
          <w:r>
            <w:rPr>
              <w:color w:val="auto"/>
            </w:rPr>
            <w:t>批</w:t>
          </w:r>
          <w:r>
            <w:rPr>
              <w:color w:val="auto"/>
            </w:rPr>
            <w:tab/>
          </w:r>
          <w:r>
            <w:rPr>
              <w:color w:val="auto"/>
              <w:spacing w:val="-4"/>
            </w:rPr>
            <w:t>224</w:t>
          </w:r>
          <w:r>
            <w:rPr>
              <w:color w:val="auto"/>
              <w:spacing w:val="-4"/>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"_bookmark271" </w:instrText>
          </w:r>
          <w:r>
            <w:rPr>
              <w:color w:val="auto"/>
            </w:rPr>
            <w:fldChar w:fldCharType="separate"/>
          </w:r>
          <w:r>
            <w:rPr>
              <w:color w:val="auto"/>
            </w:rPr>
            <w:t>二百六十四、超出直销产品范围从事直销经营活动</w:t>
          </w:r>
          <w:r>
            <w:rPr>
              <w:color w:val="auto"/>
            </w:rPr>
            <w:tab/>
          </w:r>
          <w:r>
            <w:rPr>
              <w:color w:val="auto"/>
            </w:rPr>
            <w:t>224</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"_bookmark272" </w:instrText>
          </w:r>
          <w:r>
            <w:rPr>
              <w:color w:val="auto"/>
            </w:rPr>
            <w:fldChar w:fldCharType="separate"/>
          </w:r>
          <w:r>
            <w:rPr>
              <w:color w:val="auto"/>
            </w:rPr>
            <w:t>二百六十五、直销企业及其直销员有欺骗、误导等宣传和推销行为</w:t>
          </w:r>
          <w:r>
            <w:rPr>
              <w:color w:val="auto"/>
            </w:rPr>
            <w:tab/>
          </w:r>
          <w:r>
            <w:rPr>
              <w:color w:val="auto"/>
            </w:rPr>
            <w:t>225</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"_bookmark273" </w:instrText>
          </w:r>
          <w:r>
            <w:rPr>
              <w:color w:val="auto"/>
            </w:rPr>
            <w:fldChar w:fldCharType="separate"/>
          </w:r>
          <w:r>
            <w:rPr>
              <w:color w:val="auto"/>
            </w:rPr>
            <w:t>二百六十六、直销企业及其分支机构违规招募直销员</w:t>
          </w:r>
          <w:r>
            <w:rPr>
              <w:color w:val="auto"/>
            </w:rPr>
            <w:tab/>
          </w:r>
          <w:r>
            <w:rPr>
              <w:color w:val="auto"/>
            </w:rPr>
            <w:t>226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"_bookmark274" </w:instrText>
          </w:r>
          <w:r>
            <w:rPr>
              <w:color w:val="auto"/>
            </w:rPr>
            <w:fldChar w:fldCharType="separate"/>
          </w:r>
          <w:r>
            <w:rPr>
              <w:color w:val="auto"/>
            </w:rPr>
            <w:t>二百六十七、未取得直销员证从事直销活动</w:t>
          </w:r>
          <w:r>
            <w:rPr>
              <w:color w:val="auto"/>
            </w:rPr>
            <w:tab/>
          </w:r>
          <w:r>
            <w:rPr>
              <w:color w:val="auto"/>
            </w:rPr>
            <w:t>226</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"_bookmark275" </w:instrText>
          </w:r>
          <w:r>
            <w:rPr>
              <w:color w:val="auto"/>
            </w:rPr>
            <w:fldChar w:fldCharType="separate"/>
          </w:r>
          <w:r>
            <w:rPr>
              <w:color w:val="auto"/>
            </w:rPr>
            <w:t>二百六十八、直销企业违反规定进行直销员业务培训</w:t>
          </w:r>
          <w:r>
            <w:rPr>
              <w:color w:val="auto"/>
            </w:rPr>
            <w:tab/>
          </w:r>
          <w:r>
            <w:rPr>
              <w:color w:val="auto"/>
            </w:rPr>
            <w:t>227</w:t>
          </w:r>
          <w:r>
            <w:rPr>
              <w:color w:val="auto"/>
            </w:rPr>
            <w:fldChar w:fldCharType="end"/>
          </w:r>
        </w:p>
        <w:p>
          <w:pPr>
            <w:pStyle w:val="5"/>
            <w:tabs>
              <w:tab w:val="left" w:leader="dot" w:pos="8595"/>
            </w:tabs>
            <w:spacing w:before="172" w:after="59"/>
            <w:rPr>
              <w:color w:val="auto"/>
            </w:rPr>
          </w:pPr>
          <w:r>
            <w:rPr>
              <w:color w:val="auto"/>
            </w:rPr>
            <w:fldChar w:fldCharType="begin"/>
          </w:r>
          <w:r>
            <w:rPr>
              <w:color w:val="auto"/>
            </w:rPr>
            <w:instrText xml:space="preserve"> HYPERLINK \l "_bookmark276" </w:instrText>
          </w:r>
          <w:r>
            <w:rPr>
              <w:color w:val="auto"/>
            </w:rPr>
            <w:fldChar w:fldCharType="separate"/>
          </w:r>
          <w:r>
            <w:rPr>
              <w:color w:val="auto"/>
            </w:rPr>
            <w:t>二百六十九、直销企业以外的单位和个人组织直销员业务培训</w:t>
          </w:r>
          <w:r>
            <w:rPr>
              <w:color w:val="auto"/>
            </w:rPr>
            <w:tab/>
          </w:r>
          <w:r>
            <w:rPr>
              <w:color w:val="auto"/>
            </w:rPr>
            <w:t>228</w:t>
          </w:r>
          <w:r>
            <w:rPr>
              <w:color w:val="auto"/>
            </w:rPr>
            <w:fldChar w:fldCharType="end"/>
          </w:r>
        </w:p>
        <w:p>
          <w:pPr>
            <w:pStyle w:val="5"/>
            <w:tabs>
              <w:tab w:val="left" w:leader="dot" w:pos="8595"/>
            </w:tabs>
            <w:spacing w:before="127"/>
            <w:rPr>
              <w:color w:val="auto"/>
            </w:rPr>
          </w:pPr>
          <w:r>
            <w:rPr>
              <w:color w:val="auto"/>
            </w:rPr>
            <w:fldChar w:fldCharType="begin"/>
          </w:r>
          <w:r>
            <w:rPr>
              <w:color w:val="auto"/>
            </w:rPr>
            <w:instrText xml:space="preserve"> HYPERLINK \l "_bookmark277" </w:instrText>
          </w:r>
          <w:r>
            <w:rPr>
              <w:color w:val="auto"/>
            </w:rPr>
            <w:fldChar w:fldCharType="separate"/>
          </w:r>
          <w:r>
            <w:rPr>
              <w:color w:val="auto"/>
            </w:rPr>
            <w:t>二百七十、直销员违反规定向消费者推销产品</w:t>
          </w:r>
          <w:r>
            <w:rPr>
              <w:color w:val="auto"/>
            </w:rPr>
            <w:tab/>
          </w:r>
          <w:r>
            <w:rPr>
              <w:color w:val="auto"/>
            </w:rPr>
            <w:t>228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"_bookmark278" </w:instrText>
          </w:r>
          <w:r>
            <w:rPr>
              <w:color w:val="auto"/>
            </w:rPr>
            <w:fldChar w:fldCharType="separate"/>
          </w:r>
          <w:r>
            <w:rPr>
              <w:color w:val="auto"/>
            </w:rPr>
            <w:t>二百七十一、直销企业未按规定支付直销员报酬</w:t>
          </w:r>
          <w:r>
            <w:rPr>
              <w:color w:val="auto"/>
            </w:rPr>
            <w:tab/>
          </w:r>
          <w:r>
            <w:rPr>
              <w:color w:val="auto"/>
            </w:rPr>
            <w:t>229</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"_bookmark279" </w:instrText>
          </w:r>
          <w:r>
            <w:rPr>
              <w:color w:val="auto"/>
            </w:rPr>
            <w:fldChar w:fldCharType="separate"/>
          </w:r>
          <w:r>
            <w:rPr>
              <w:color w:val="auto"/>
            </w:rPr>
            <w:t>二百七十二、直销企业未建立并实行完善的换货和退货制度</w:t>
          </w:r>
          <w:r>
            <w:rPr>
              <w:color w:val="auto"/>
            </w:rPr>
            <w:tab/>
          </w:r>
          <w:r>
            <w:rPr>
              <w:color w:val="auto"/>
            </w:rPr>
            <w:t>230</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"_bookmark280" </w:instrText>
          </w:r>
          <w:r>
            <w:rPr>
              <w:color w:val="auto"/>
            </w:rPr>
            <w:fldChar w:fldCharType="separate"/>
          </w:r>
          <w:r>
            <w:rPr>
              <w:color w:val="auto"/>
            </w:rPr>
            <w:t>二百七十三、直销企业未依照有关规定进行信息报备和披露</w:t>
          </w:r>
          <w:r>
            <w:rPr>
              <w:color w:val="auto"/>
            </w:rPr>
            <w:tab/>
          </w:r>
          <w:r>
            <w:rPr>
              <w:color w:val="auto"/>
            </w:rPr>
            <w:t>231</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"_bookmark281" </w:instrText>
          </w:r>
          <w:r>
            <w:rPr>
              <w:color w:val="auto"/>
            </w:rPr>
            <w:fldChar w:fldCharType="separate"/>
          </w:r>
          <w:r>
            <w:rPr>
              <w:color w:val="auto"/>
            </w:rPr>
            <w:t>二百七十四、直销企业违反保证金存缴、使用规定</w:t>
          </w:r>
          <w:r>
            <w:rPr>
              <w:color w:val="auto"/>
            </w:rPr>
            <w:tab/>
          </w:r>
          <w:r>
            <w:rPr>
              <w:color w:val="auto"/>
            </w:rPr>
            <w:t>231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"_bookmark282" </w:instrText>
          </w:r>
          <w:r>
            <w:rPr>
              <w:color w:val="auto"/>
            </w:rPr>
            <w:fldChar w:fldCharType="separate"/>
          </w:r>
          <w:r>
            <w:rPr>
              <w:color w:val="auto"/>
            </w:rPr>
            <w:t>二百七十五、组织策划传销</w:t>
          </w:r>
          <w:r>
            <w:rPr>
              <w:color w:val="auto"/>
            </w:rPr>
            <w:tab/>
          </w:r>
          <w:r>
            <w:rPr>
              <w:color w:val="auto"/>
            </w:rPr>
            <w:t>232</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"_bookmark283" </w:instrText>
          </w:r>
          <w:r>
            <w:rPr>
              <w:color w:val="auto"/>
            </w:rPr>
            <w:fldChar w:fldCharType="separate"/>
          </w:r>
          <w:r>
            <w:rPr>
              <w:color w:val="auto"/>
            </w:rPr>
            <w:t>二百七十六、介绍、诱骗、胁迫他人参加传销</w:t>
          </w:r>
          <w:r>
            <w:rPr>
              <w:color w:val="auto"/>
            </w:rPr>
            <w:tab/>
          </w:r>
          <w:r>
            <w:rPr>
              <w:color w:val="auto"/>
            </w:rPr>
            <w:t>233</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"_bookmark284" </w:instrText>
          </w:r>
          <w:r>
            <w:rPr>
              <w:color w:val="auto"/>
            </w:rPr>
            <w:fldChar w:fldCharType="separate"/>
          </w:r>
          <w:r>
            <w:rPr>
              <w:color w:val="auto"/>
            </w:rPr>
            <w:t>二百七十七、参加传销活动</w:t>
          </w:r>
          <w:r>
            <w:rPr>
              <w:color w:val="auto"/>
            </w:rPr>
            <w:tab/>
          </w:r>
          <w:r>
            <w:rPr>
              <w:color w:val="auto"/>
            </w:rPr>
            <w:t>234</w:t>
          </w:r>
          <w:r>
            <w:rPr>
              <w:color w:val="auto"/>
            </w:rPr>
            <w:fldChar w:fldCharType="end"/>
          </w:r>
        </w:p>
        <w:p>
          <w:pPr>
            <w:pStyle w:val="5"/>
            <w:tabs>
              <w:tab w:val="left" w:leader="dot" w:pos="8611"/>
            </w:tabs>
            <w:spacing w:before="172"/>
            <w:rPr>
              <w:color w:val="auto"/>
            </w:rPr>
          </w:pPr>
          <w:r>
            <w:rPr>
              <w:color w:val="auto"/>
            </w:rPr>
            <w:fldChar w:fldCharType="begin"/>
          </w:r>
          <w:r>
            <w:rPr>
              <w:color w:val="auto"/>
            </w:rPr>
            <w:instrText xml:space="preserve"> HYPERLINK \l "_bookmark285" </w:instrText>
          </w:r>
          <w:r>
            <w:rPr>
              <w:color w:val="auto"/>
            </w:rPr>
            <w:fldChar w:fldCharType="separate"/>
          </w:r>
          <w:r>
            <w:rPr>
              <w:color w:val="auto"/>
              <w:spacing w:val="-12"/>
            </w:rPr>
            <w:t>二百七十八、为传销行为提供经营场所、培训场所、货源、保管、仓储等条</w:t>
          </w:r>
          <w:r>
            <w:rPr>
              <w:color w:val="auto"/>
            </w:rPr>
            <w:t>件</w:t>
          </w:r>
          <w:r>
            <w:rPr>
              <w:color w:val="auto"/>
            </w:rPr>
            <w:tab/>
          </w:r>
          <w:r>
            <w:rPr>
              <w:color w:val="auto"/>
              <w:spacing w:val="-4"/>
            </w:rPr>
            <w:t>234</w:t>
          </w:r>
          <w:r>
            <w:rPr>
              <w:color w:val="auto"/>
              <w:spacing w:val="-4"/>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"_bookmark286" </w:instrText>
          </w:r>
          <w:r>
            <w:rPr>
              <w:color w:val="auto"/>
            </w:rPr>
            <w:fldChar w:fldCharType="separate"/>
          </w:r>
          <w:r>
            <w:rPr>
              <w:color w:val="auto"/>
            </w:rPr>
            <w:t>二百七十九、擅自动用、调换、转移、损毁被查封、扣押财物</w:t>
          </w:r>
          <w:r>
            <w:rPr>
              <w:color w:val="auto"/>
            </w:rPr>
            <w:tab/>
          </w:r>
          <w:r>
            <w:rPr>
              <w:color w:val="auto"/>
            </w:rPr>
            <w:t>235</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"_bookmark287"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"_bookmark287" </w:instrText>
          </w:r>
          <w:r>
            <w:rPr>
              <w:color w:val="auto"/>
            </w:rPr>
            <w:fldChar w:fldCharType="separate"/>
          </w:r>
          <w:r>
            <w:rPr>
              <w:color w:val="auto"/>
            </w:rPr>
            <w:t>百八十</w:t>
          </w:r>
          <w:r>
            <w:rPr>
              <w:color w:val="auto"/>
              <w:spacing w:val="-8"/>
            </w:rPr>
            <w:t>、</w:t>
          </w:r>
          <w:r>
            <w:rPr>
              <w:color w:val="auto"/>
            </w:rPr>
            <w:t>非法生产军服</w:t>
          </w:r>
          <w:r>
            <w:rPr>
              <w:color w:val="auto"/>
              <w:spacing w:val="-8"/>
            </w:rPr>
            <w:t>、</w:t>
          </w:r>
          <w:r>
            <w:rPr>
              <w:color w:val="auto"/>
            </w:rPr>
            <w:t>军服专用材料</w:t>
          </w:r>
          <w:r>
            <w:rPr>
              <w:color w:val="auto"/>
              <w:spacing w:val="-8"/>
            </w:rPr>
            <w:t>，</w:t>
          </w:r>
          <w:r>
            <w:rPr>
              <w:color w:val="auto"/>
            </w:rPr>
            <w:t>买卖军服</w:t>
          </w:r>
          <w:r>
            <w:rPr>
              <w:color w:val="auto"/>
              <w:spacing w:val="-8"/>
            </w:rPr>
            <w:t>、</w:t>
          </w:r>
          <w:r>
            <w:rPr>
              <w:color w:val="auto"/>
            </w:rPr>
            <w:t>军服专用材料</w:t>
          </w:r>
          <w:r>
            <w:rPr>
              <w:color w:val="auto"/>
              <w:spacing w:val="-10"/>
            </w:rPr>
            <w:t>，</w:t>
          </w:r>
          <w:r>
            <w:rPr>
              <w:color w:val="auto"/>
            </w:rPr>
            <w:t>生产销</w:t>
          </w:r>
          <w:r>
            <w:rPr>
              <w:color w:val="auto"/>
              <w:spacing w:val="-11"/>
            </w:rPr>
            <w:t>售</w:t>
          </w:r>
          <w:r>
            <w:rPr>
              <w:color w:val="auto"/>
              <w:spacing w:val="-11"/>
            </w:rPr>
            <w:fldChar w:fldCharType="end"/>
          </w:r>
          <w:r>
            <w:rPr>
              <w:color w:val="auto"/>
            </w:rPr>
            <w:t>军服仿制品</w:t>
          </w:r>
          <w:r>
            <w:rPr>
              <w:color w:val="auto"/>
            </w:rPr>
            <w:tab/>
          </w:r>
          <w:r>
            <w:rPr>
              <w:color w:val="auto"/>
              <w:spacing w:val="-6"/>
            </w:rPr>
            <w:t>236</w:t>
          </w:r>
        </w:p>
        <w:p>
          <w:pPr>
            <w:pStyle w:val="5"/>
            <w:tabs>
              <w:tab w:val="left" w:leader="dot" w:pos="8595"/>
            </w:tabs>
            <w:spacing w:before="1" w:line="374" w:lineRule="auto"/>
            <w:ind w:left="567" w:right="256" w:firstLine="24"/>
            <w:jc w:val="both"/>
            <w:rPr>
              <w:color w:val="auto"/>
            </w:rPr>
          </w:pPr>
          <w:r>
            <w:rPr>
              <w:color w:val="auto"/>
            </w:rPr>
            <w:fldChar w:fldCharType="begin"/>
          </w:r>
          <w:r>
            <w:rPr>
              <w:color w:val="auto"/>
            </w:rPr>
            <w:instrText xml:space="preserve"> HYPERLINK \l "_bookmark288" </w:instrText>
          </w:r>
          <w:r>
            <w:rPr>
              <w:color w:val="auto"/>
            </w:rPr>
            <w:fldChar w:fldCharType="separate"/>
          </w:r>
          <w:r>
            <w:rPr>
              <w:color w:val="auto"/>
              <w:spacing w:val="-12"/>
            </w:rPr>
            <w:t>二</w:t>
          </w:r>
          <w:r>
            <w:rPr>
              <w:color w:val="auto"/>
              <w:spacing w:val="-12"/>
            </w:rPr>
            <w:fldChar w:fldCharType="end"/>
          </w:r>
          <w:r>
            <w:rPr>
              <w:color w:val="auto"/>
            </w:rPr>
            <w:fldChar w:fldCharType="begin"/>
          </w:r>
          <w:r>
            <w:rPr>
              <w:color w:val="auto"/>
            </w:rPr>
            <w:instrText xml:space="preserve"> HYPERLINK \l "_bookmark288" </w:instrText>
          </w:r>
          <w:r>
            <w:rPr>
              <w:color w:val="auto"/>
            </w:rPr>
            <w:fldChar w:fldCharType="separate"/>
          </w:r>
          <w:r>
            <w:rPr>
              <w:color w:val="auto"/>
              <w:spacing w:val="-12"/>
            </w:rPr>
            <w:t>百八十一</w:t>
          </w:r>
          <w:r>
            <w:rPr>
              <w:color w:val="auto"/>
              <w:spacing w:val="-36"/>
            </w:rPr>
            <w:t>、</w:t>
          </w:r>
          <w:r>
            <w:rPr>
              <w:color w:val="auto"/>
              <w:spacing w:val="-12"/>
            </w:rPr>
            <w:t>转让军服</w:t>
          </w:r>
          <w:r>
            <w:rPr>
              <w:color w:val="auto"/>
              <w:spacing w:val="-36"/>
            </w:rPr>
            <w:t>、</w:t>
          </w:r>
          <w:r>
            <w:rPr>
              <w:color w:val="auto"/>
              <w:spacing w:val="-12"/>
            </w:rPr>
            <w:t>军服专用材料生产合同或者生产技术规范</w:t>
          </w:r>
          <w:r>
            <w:rPr>
              <w:color w:val="auto"/>
              <w:spacing w:val="-36"/>
            </w:rPr>
            <w:t>，</w:t>
          </w:r>
          <w:r>
            <w:rPr>
              <w:color w:val="auto"/>
              <w:spacing w:val="-12"/>
            </w:rPr>
            <w:t>委托其他企业</w:t>
          </w:r>
          <w:r>
            <w:rPr>
              <w:color w:val="auto"/>
              <w:spacing w:val="-17"/>
            </w:rPr>
            <w:t>生</w:t>
          </w:r>
          <w:r>
            <w:rPr>
              <w:color w:val="auto"/>
              <w:spacing w:val="-17"/>
            </w:rPr>
            <w:fldChar w:fldCharType="end"/>
          </w:r>
          <w:r>
            <w:rPr>
              <w:color w:val="auto"/>
              <w:spacing w:val="-12"/>
            </w:rPr>
            <w:t>产军服</w:t>
          </w:r>
          <w:r>
            <w:rPr>
              <w:color w:val="auto"/>
              <w:spacing w:val="-24"/>
            </w:rPr>
            <w:t>、</w:t>
          </w:r>
          <w:r>
            <w:rPr>
              <w:color w:val="auto"/>
              <w:spacing w:val="-12"/>
            </w:rPr>
            <w:t>军服专用材料</w:t>
          </w:r>
          <w:r>
            <w:rPr>
              <w:color w:val="auto"/>
              <w:spacing w:val="-24"/>
            </w:rPr>
            <w:t>，</w:t>
          </w:r>
          <w:r>
            <w:rPr>
              <w:color w:val="auto"/>
              <w:spacing w:val="-12"/>
            </w:rPr>
            <w:t>销售或者以其他方式转让未经改制</w:t>
          </w:r>
          <w:r>
            <w:rPr>
              <w:color w:val="auto"/>
              <w:spacing w:val="-24"/>
            </w:rPr>
            <w:t>、</w:t>
          </w:r>
          <w:r>
            <w:rPr>
              <w:color w:val="auto"/>
              <w:spacing w:val="-12"/>
            </w:rPr>
            <w:t>染色等处理的军服</w:t>
          </w:r>
          <w:r>
            <w:rPr>
              <w:color w:val="auto"/>
              <w:spacing w:val="-24"/>
            </w:rPr>
            <w:t>、</w:t>
          </w:r>
          <w:r>
            <w:rPr>
              <w:color w:val="auto"/>
              <w:spacing w:val="-17"/>
            </w:rPr>
            <w:t>军</w:t>
          </w:r>
          <w:r>
            <w:rPr>
              <w:color w:val="auto"/>
              <w:spacing w:val="-12"/>
            </w:rPr>
            <w:t>服专用材料残次品，未将军服生产中剩余的军服专用材料妥善保管移</w:t>
          </w:r>
          <w:r>
            <w:rPr>
              <w:color w:val="auto"/>
            </w:rPr>
            <w:t>交</w:t>
          </w:r>
          <w:r>
            <w:rPr>
              <w:color w:val="auto"/>
            </w:rPr>
            <w:tab/>
          </w:r>
          <w:r>
            <w:rPr>
              <w:color w:val="auto"/>
            </w:rPr>
            <w:t>237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"_bookmark289"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"_bookmark289" </w:instrText>
          </w:r>
          <w:r>
            <w:rPr>
              <w:color w:val="auto"/>
            </w:rPr>
            <w:fldChar w:fldCharType="separate"/>
          </w:r>
          <w:r>
            <w:rPr>
              <w:color w:val="auto"/>
            </w:rPr>
            <w:t>百八十二</w:t>
          </w:r>
          <w:r>
            <w:rPr>
              <w:color w:val="auto"/>
              <w:spacing w:val="-20"/>
            </w:rPr>
            <w:t>、</w:t>
          </w:r>
          <w:r>
            <w:rPr>
              <w:color w:val="auto"/>
            </w:rPr>
            <w:t>使用军服和中国人民解放军曾经装备的制式服装从事经营活动</w:t>
          </w:r>
          <w:r>
            <w:rPr>
              <w:color w:val="auto"/>
              <w:spacing w:val="-17"/>
            </w:rPr>
            <w:t>，</w:t>
          </w:r>
          <w:r>
            <w:rPr>
              <w:color w:val="auto"/>
              <w:spacing w:val="-16"/>
            </w:rPr>
            <w:t>以</w:t>
          </w:r>
          <w:r>
            <w:rPr>
              <w:color w:val="auto"/>
              <w:spacing w:val="-16"/>
            </w:rPr>
            <w:fldChar w:fldCharType="end"/>
          </w:r>
          <w:r>
            <w:rPr>
              <w:color w:val="auto"/>
            </w:rPr>
            <w:t>“军需</w:t>
          </w:r>
          <w:r>
            <w:rPr>
              <w:color w:val="auto"/>
              <w:spacing w:val="-120"/>
            </w:rPr>
            <w:t>”、</w:t>
          </w:r>
          <w:r>
            <w:rPr>
              <w:color w:val="auto"/>
            </w:rPr>
            <w:t>“军服</w:t>
          </w:r>
          <w:r>
            <w:rPr>
              <w:color w:val="auto"/>
              <w:spacing w:val="-120"/>
            </w:rPr>
            <w:t>”、</w:t>
          </w:r>
          <w:r>
            <w:rPr>
              <w:color w:val="auto"/>
            </w:rPr>
            <w:t>“军品”等用语招揽顾客</w:t>
          </w:r>
          <w:r>
            <w:rPr>
              <w:color w:val="auto"/>
            </w:rPr>
            <w:tab/>
          </w:r>
          <w:r>
            <w:rPr>
              <w:color w:val="auto"/>
              <w:spacing w:val="-6"/>
            </w:rPr>
            <w:t>237</w:t>
          </w:r>
        </w:p>
        <w:p>
          <w:pPr>
            <w:pStyle w:val="5"/>
            <w:tabs>
              <w:tab w:val="left" w:leader="dot" w:pos="8595"/>
            </w:tabs>
            <w:spacing w:line="308" w:lineRule="exact"/>
            <w:rPr>
              <w:color w:val="auto"/>
            </w:rPr>
          </w:pPr>
          <w:r>
            <w:rPr>
              <w:color w:val="auto"/>
            </w:rPr>
            <w:fldChar w:fldCharType="begin"/>
          </w:r>
          <w:r>
            <w:rPr>
              <w:color w:val="auto"/>
            </w:rPr>
            <w:instrText xml:space="preserve"> HYPERLINK \l "_bookmark290" </w:instrText>
          </w:r>
          <w:r>
            <w:rPr>
              <w:color w:val="auto"/>
            </w:rPr>
            <w:fldChar w:fldCharType="separate"/>
          </w:r>
          <w:r>
            <w:rPr>
              <w:color w:val="auto"/>
            </w:rPr>
            <w:t>二百八十三、擅自销售卫星地面接收设施</w:t>
          </w:r>
          <w:r>
            <w:rPr>
              <w:color w:val="auto"/>
            </w:rPr>
            <w:tab/>
          </w:r>
          <w:r>
            <w:rPr>
              <w:color w:val="auto"/>
            </w:rPr>
            <w:t>238</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"_bookmark291" </w:instrText>
          </w:r>
          <w:r>
            <w:rPr>
              <w:color w:val="auto"/>
            </w:rPr>
            <w:fldChar w:fldCharType="separate"/>
          </w:r>
          <w:r>
            <w:rPr>
              <w:color w:val="auto"/>
            </w:rPr>
            <w:t>二百八十四、采用不正当手段垄断种苗市场或者哄抬种苗价格</w:t>
          </w:r>
          <w:r>
            <w:rPr>
              <w:color w:val="auto"/>
            </w:rPr>
            <w:tab/>
          </w:r>
          <w:r>
            <w:rPr>
              <w:color w:val="auto"/>
            </w:rPr>
            <w:t>239</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"_bookmark292" </w:instrText>
          </w:r>
          <w:r>
            <w:rPr>
              <w:color w:val="auto"/>
            </w:rPr>
            <w:fldChar w:fldCharType="separate"/>
          </w:r>
          <w:r>
            <w:rPr>
              <w:color w:val="auto"/>
            </w:rPr>
            <w:t>二百八十五、无烟草专卖零售许可证经营烟草制品零售业务</w:t>
          </w:r>
          <w:r>
            <w:rPr>
              <w:color w:val="auto"/>
            </w:rPr>
            <w:tab/>
          </w:r>
          <w:r>
            <w:rPr>
              <w:color w:val="auto"/>
            </w:rPr>
            <w:t>239</w:t>
          </w:r>
          <w:r>
            <w:rPr>
              <w:color w:val="auto"/>
            </w:rPr>
            <w:fldChar w:fldCharType="end"/>
          </w:r>
        </w:p>
        <w:p>
          <w:pPr>
            <w:pStyle w:val="8"/>
            <w:tabs>
              <w:tab w:val="left" w:leader="dot" w:pos="8549"/>
            </w:tabs>
            <w:jc w:val="both"/>
            <w:rPr>
              <w:color w:val="auto"/>
            </w:rPr>
          </w:pPr>
          <w:r>
            <w:rPr>
              <w:color w:val="auto"/>
            </w:rPr>
            <w:fldChar w:fldCharType="begin"/>
          </w:r>
          <w:r>
            <w:rPr>
              <w:color w:val="auto"/>
            </w:rPr>
            <w:instrText xml:space="preserve"> HYPERLINK \l "_bookmark293" </w:instrText>
          </w:r>
          <w:r>
            <w:rPr>
              <w:color w:val="auto"/>
            </w:rPr>
            <w:fldChar w:fldCharType="separate"/>
          </w:r>
          <w:r>
            <w:rPr>
              <w:color w:val="auto"/>
              <w:spacing w:val="-13"/>
            </w:rPr>
            <w:t>第九</w:t>
          </w:r>
          <w:r>
            <w:rPr>
              <w:color w:val="auto"/>
            </w:rPr>
            <w:t xml:space="preserve">章  </w:t>
          </w:r>
          <w:r>
            <w:rPr>
              <w:color w:val="auto"/>
              <w:spacing w:val="41"/>
            </w:rPr>
            <w:t xml:space="preserve"> </w:t>
          </w:r>
          <w:r>
            <w:rPr>
              <w:color w:val="auto"/>
              <w:spacing w:val="-13"/>
            </w:rPr>
            <w:t>产品质量监</w:t>
          </w:r>
          <w:r>
            <w:rPr>
              <w:color w:val="auto"/>
            </w:rPr>
            <w:t>管</w:t>
          </w:r>
          <w:r>
            <w:rPr>
              <w:color w:val="auto"/>
            </w:rPr>
            <w:tab/>
          </w:r>
          <w:r>
            <w:rPr>
              <w:color w:val="auto"/>
              <w:spacing w:val="-3"/>
            </w:rPr>
            <w:t>240</w:t>
          </w:r>
          <w:r>
            <w:rPr>
              <w:color w:val="auto"/>
              <w:spacing w:val="-3"/>
            </w:rPr>
            <w:fldChar w:fldCharType="end"/>
          </w:r>
        </w:p>
        <w:p>
          <w:pPr>
            <w:pStyle w:val="5"/>
            <w:tabs>
              <w:tab w:val="left" w:leader="dot" w:pos="8595"/>
            </w:tabs>
            <w:spacing w:before="97" w:line="374" w:lineRule="auto"/>
            <w:ind w:right="268"/>
            <w:rPr>
              <w:color w:val="auto"/>
            </w:rPr>
          </w:pPr>
          <w:r>
            <w:rPr>
              <w:color w:val="auto"/>
            </w:rPr>
            <w:fldChar w:fldCharType="begin"/>
          </w:r>
          <w:r>
            <w:rPr>
              <w:color w:val="auto"/>
            </w:rPr>
            <w:instrText xml:space="preserve"> HYPERLINK \l "_bookmark294"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"_bookmark294" </w:instrText>
          </w:r>
          <w:r>
            <w:rPr>
              <w:color w:val="auto"/>
            </w:rPr>
            <w:fldChar w:fldCharType="separate"/>
          </w:r>
          <w:r>
            <w:rPr>
              <w:color w:val="auto"/>
            </w:rPr>
            <w:t>百八十六</w:t>
          </w:r>
          <w:r>
            <w:rPr>
              <w:color w:val="auto"/>
              <w:spacing w:val="-10"/>
            </w:rPr>
            <w:t>、</w:t>
          </w:r>
          <w:r>
            <w:rPr>
              <w:color w:val="auto"/>
            </w:rPr>
            <w:t>生产</w:t>
          </w:r>
          <w:r>
            <w:rPr>
              <w:color w:val="auto"/>
              <w:spacing w:val="-10"/>
            </w:rPr>
            <w:t>、</w:t>
          </w:r>
          <w:r>
            <w:rPr>
              <w:color w:val="auto"/>
            </w:rPr>
            <w:t>销售不符合保障人体健康和人身</w:t>
          </w:r>
          <w:r>
            <w:rPr>
              <w:color w:val="auto"/>
              <w:spacing w:val="-8"/>
            </w:rPr>
            <w:t>、</w:t>
          </w:r>
          <w:r>
            <w:rPr>
              <w:color w:val="auto"/>
            </w:rPr>
            <w:t>财产安全的国家标准</w:t>
          </w:r>
          <w:r>
            <w:rPr>
              <w:color w:val="auto"/>
              <w:spacing w:val="-10"/>
            </w:rPr>
            <w:t>、</w:t>
          </w:r>
          <w:r>
            <w:rPr>
              <w:color w:val="auto"/>
              <w:spacing w:val="-15"/>
            </w:rPr>
            <w:t>行</w:t>
          </w:r>
          <w:r>
            <w:rPr>
              <w:color w:val="auto"/>
              <w:spacing w:val="-15"/>
            </w:rPr>
            <w:fldChar w:fldCharType="end"/>
          </w:r>
          <w:r>
            <w:rPr>
              <w:color w:val="auto"/>
            </w:rPr>
            <w:t>业标准的产品</w:t>
          </w:r>
          <w:r>
            <w:rPr>
              <w:color w:val="auto"/>
            </w:rPr>
            <w:tab/>
          </w:r>
          <w:r>
            <w:rPr>
              <w:color w:val="auto"/>
              <w:spacing w:val="-6"/>
            </w:rPr>
            <w:t>240</w:t>
          </w:r>
        </w:p>
        <w:p>
          <w:pPr>
            <w:pStyle w:val="5"/>
            <w:tabs>
              <w:tab w:val="left" w:leader="dot" w:pos="8595"/>
            </w:tabs>
            <w:spacing w:line="308" w:lineRule="exact"/>
            <w:rPr>
              <w:color w:val="auto"/>
            </w:rPr>
          </w:pPr>
          <w:r>
            <w:rPr>
              <w:color w:val="auto"/>
            </w:rPr>
            <w:fldChar w:fldCharType="begin"/>
          </w:r>
          <w:r>
            <w:rPr>
              <w:color w:val="auto"/>
            </w:rPr>
            <w:instrText xml:space="preserve"> HYPERLINK \l "_bookmark295" </w:instrText>
          </w:r>
          <w:r>
            <w:rPr>
              <w:color w:val="auto"/>
            </w:rPr>
            <w:fldChar w:fldCharType="separate"/>
          </w:r>
          <w:r>
            <w:rPr>
              <w:color w:val="auto"/>
            </w:rPr>
            <w:t>二百八十七、在产品中掺杂、掺假</w:t>
          </w:r>
          <w:r>
            <w:rPr>
              <w:color w:val="auto"/>
            </w:rPr>
            <w:tab/>
          </w:r>
          <w:r>
            <w:rPr>
              <w:color w:val="auto"/>
            </w:rPr>
            <w:t>242</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"_bookmark296" </w:instrText>
          </w:r>
          <w:r>
            <w:rPr>
              <w:color w:val="auto"/>
            </w:rPr>
            <w:fldChar w:fldCharType="separate"/>
          </w:r>
          <w:r>
            <w:rPr>
              <w:color w:val="auto"/>
            </w:rPr>
            <w:t>二百八十八、产品以假充真</w:t>
          </w:r>
          <w:r>
            <w:rPr>
              <w:color w:val="auto"/>
            </w:rPr>
            <w:tab/>
          </w:r>
          <w:r>
            <w:rPr>
              <w:color w:val="auto"/>
            </w:rPr>
            <w:t>243</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"_bookmark297" </w:instrText>
          </w:r>
          <w:r>
            <w:rPr>
              <w:color w:val="auto"/>
            </w:rPr>
            <w:fldChar w:fldCharType="separate"/>
          </w:r>
          <w:r>
            <w:rPr>
              <w:color w:val="auto"/>
            </w:rPr>
            <w:t>二百八十九、产品以次充好</w:t>
          </w:r>
          <w:r>
            <w:rPr>
              <w:color w:val="auto"/>
            </w:rPr>
            <w:tab/>
          </w:r>
          <w:r>
            <w:rPr>
              <w:color w:val="auto"/>
            </w:rPr>
            <w:t>245</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"_bookmark298" </w:instrText>
          </w:r>
          <w:r>
            <w:rPr>
              <w:color w:val="auto"/>
            </w:rPr>
            <w:fldChar w:fldCharType="separate"/>
          </w:r>
          <w:r>
            <w:rPr>
              <w:color w:val="auto"/>
            </w:rPr>
            <w:t>二百九十、以不合格产品冒充合格产品</w:t>
          </w:r>
          <w:r>
            <w:rPr>
              <w:color w:val="auto"/>
            </w:rPr>
            <w:tab/>
          </w:r>
          <w:r>
            <w:rPr>
              <w:color w:val="auto"/>
            </w:rPr>
            <w:t>246</w:t>
          </w:r>
          <w:r>
            <w:rPr>
              <w:color w:val="auto"/>
            </w:rPr>
            <w:fldChar w:fldCharType="end"/>
          </w:r>
        </w:p>
        <w:p>
          <w:pPr>
            <w:pStyle w:val="5"/>
            <w:tabs>
              <w:tab w:val="left" w:leader="dot" w:pos="8595"/>
            </w:tabs>
            <w:spacing w:before="172" w:after="240"/>
            <w:rPr>
              <w:color w:val="auto"/>
            </w:rPr>
          </w:pPr>
          <w:r>
            <w:rPr>
              <w:color w:val="auto"/>
            </w:rPr>
            <w:fldChar w:fldCharType="begin"/>
          </w:r>
          <w:r>
            <w:rPr>
              <w:color w:val="auto"/>
            </w:rPr>
            <w:instrText xml:space="preserve"> HYPERLINK \l "_bookmark299" </w:instrText>
          </w:r>
          <w:r>
            <w:rPr>
              <w:color w:val="auto"/>
            </w:rPr>
            <w:fldChar w:fldCharType="separate"/>
          </w:r>
          <w:r>
            <w:rPr>
              <w:color w:val="auto"/>
              <w:spacing w:val="-12"/>
            </w:rPr>
            <w:t>二百九十一、生产国家明令淘汰的产品，销售国家明令淘汰并停止销售的产</w:t>
          </w:r>
          <w:r>
            <w:rPr>
              <w:color w:val="auto"/>
            </w:rPr>
            <w:t>品</w:t>
          </w:r>
          <w:r>
            <w:rPr>
              <w:color w:val="auto"/>
            </w:rPr>
            <w:tab/>
          </w:r>
          <w:r>
            <w:rPr>
              <w:color w:val="auto"/>
            </w:rPr>
            <w:t>248</w:t>
          </w:r>
          <w:r>
            <w:rPr>
              <w:color w:val="auto"/>
            </w:rPr>
            <w:fldChar w:fldCharType="end"/>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"_bookmark300"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"_bookmark300" </w:instrText>
          </w:r>
          <w:r>
            <w:rPr>
              <w:color w:val="auto"/>
            </w:rPr>
            <w:fldChar w:fldCharType="separate"/>
          </w:r>
          <w:r>
            <w:rPr>
              <w:color w:val="auto"/>
            </w:rPr>
            <w:t>百九十二</w:t>
          </w:r>
          <w:r>
            <w:rPr>
              <w:color w:val="auto"/>
              <w:spacing w:val="-10"/>
            </w:rPr>
            <w:t>、</w:t>
          </w:r>
          <w:r>
            <w:rPr>
              <w:color w:val="auto"/>
            </w:rPr>
            <w:t>伪造产品产地</w:t>
          </w:r>
          <w:r>
            <w:rPr>
              <w:color w:val="auto"/>
              <w:spacing w:val="-10"/>
            </w:rPr>
            <w:t>；</w:t>
          </w:r>
          <w:r>
            <w:rPr>
              <w:color w:val="auto"/>
            </w:rPr>
            <w:t>伪造或者冒用他人厂名</w:t>
          </w:r>
          <w:r>
            <w:rPr>
              <w:color w:val="auto"/>
              <w:spacing w:val="-8"/>
            </w:rPr>
            <w:t>、</w:t>
          </w:r>
          <w:r>
            <w:rPr>
              <w:color w:val="auto"/>
            </w:rPr>
            <w:t>厂址</w:t>
          </w:r>
          <w:r>
            <w:rPr>
              <w:color w:val="auto"/>
              <w:spacing w:val="-10"/>
            </w:rPr>
            <w:t>；</w:t>
          </w:r>
          <w:r>
            <w:rPr>
              <w:color w:val="auto"/>
            </w:rPr>
            <w:t>伪造或者冒用认</w:t>
          </w:r>
          <w:r>
            <w:rPr>
              <w:color w:val="auto"/>
              <w:spacing w:val="-15"/>
            </w:rPr>
            <w:t>证</w:t>
          </w:r>
          <w:r>
            <w:rPr>
              <w:color w:val="auto"/>
              <w:spacing w:val="-15"/>
            </w:rPr>
            <w:fldChar w:fldCharType="end"/>
          </w:r>
          <w:r>
            <w:rPr>
              <w:color w:val="auto"/>
            </w:rPr>
            <w:t>标志等质量标志</w:t>
          </w:r>
          <w:r>
            <w:rPr>
              <w:color w:val="auto"/>
            </w:rPr>
            <w:tab/>
          </w:r>
          <w:r>
            <w:rPr>
              <w:color w:val="auto"/>
              <w:spacing w:val="-6"/>
            </w:rPr>
            <w:t>250</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"_bookmark301"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"_bookmark301" </w:instrText>
          </w:r>
          <w:r>
            <w:rPr>
              <w:color w:val="auto"/>
            </w:rPr>
            <w:fldChar w:fldCharType="separate"/>
          </w:r>
          <w:r>
            <w:rPr>
              <w:color w:val="auto"/>
            </w:rPr>
            <w:t>百九十三</w:t>
          </w:r>
          <w:r>
            <w:rPr>
              <w:color w:val="auto"/>
              <w:spacing w:val="-20"/>
            </w:rPr>
            <w:t>、</w:t>
          </w:r>
          <w:r>
            <w:rPr>
              <w:color w:val="auto"/>
            </w:rPr>
            <w:t>限期使用的产品</w:t>
          </w:r>
          <w:r>
            <w:rPr>
              <w:color w:val="auto"/>
              <w:spacing w:val="-17"/>
            </w:rPr>
            <w:t>，</w:t>
          </w:r>
          <w:r>
            <w:rPr>
              <w:color w:val="auto"/>
            </w:rPr>
            <w:t>没有在显著位置清晰地标注生产日期和安全使</w:t>
          </w:r>
          <w:r>
            <w:rPr>
              <w:color w:val="auto"/>
              <w:spacing w:val="-16"/>
            </w:rPr>
            <w:t>用</w:t>
          </w:r>
          <w:r>
            <w:rPr>
              <w:color w:val="auto"/>
              <w:spacing w:val="-16"/>
            </w:rPr>
            <w:fldChar w:fldCharType="end"/>
          </w:r>
          <w:r>
            <w:rPr>
              <w:color w:val="auto"/>
            </w:rPr>
            <w:t>期或者失效日期</w:t>
          </w:r>
          <w:r>
            <w:rPr>
              <w:color w:val="auto"/>
            </w:rPr>
            <w:tab/>
          </w:r>
          <w:r>
            <w:rPr>
              <w:color w:val="auto"/>
              <w:spacing w:val="-6"/>
            </w:rPr>
            <w:t>251</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"_bookmark302"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"_bookmark302" </w:instrText>
          </w:r>
          <w:r>
            <w:rPr>
              <w:color w:val="auto"/>
            </w:rPr>
            <w:fldChar w:fldCharType="separate"/>
          </w:r>
          <w:r>
            <w:rPr>
              <w:color w:val="auto"/>
            </w:rPr>
            <w:t>百九十四</w:t>
          </w:r>
          <w:r>
            <w:rPr>
              <w:color w:val="auto"/>
              <w:spacing w:val="-12"/>
            </w:rPr>
            <w:t>、</w:t>
          </w:r>
          <w:r>
            <w:rPr>
              <w:color w:val="auto"/>
            </w:rPr>
            <w:t>使用不当</w:t>
          </w:r>
          <w:r>
            <w:rPr>
              <w:color w:val="auto"/>
              <w:spacing w:val="-12"/>
            </w:rPr>
            <w:t>，</w:t>
          </w:r>
          <w:r>
            <w:rPr>
              <w:color w:val="auto"/>
            </w:rPr>
            <w:t>容易造成产品本身损害或者可能危及人身</w:t>
          </w:r>
          <w:r>
            <w:rPr>
              <w:color w:val="auto"/>
              <w:spacing w:val="-12"/>
            </w:rPr>
            <w:t>，</w:t>
          </w:r>
          <w:r>
            <w:rPr>
              <w:color w:val="auto"/>
            </w:rPr>
            <w:t>财产安全</w:t>
          </w:r>
          <w:r>
            <w:rPr>
              <w:color w:val="auto"/>
              <w:spacing w:val="-17"/>
            </w:rPr>
            <w:t>的</w:t>
          </w:r>
          <w:r>
            <w:rPr>
              <w:color w:val="auto"/>
              <w:spacing w:val="-17"/>
            </w:rPr>
            <w:fldChar w:fldCharType="end"/>
          </w:r>
          <w:r>
            <w:rPr>
              <w:color w:val="auto"/>
            </w:rPr>
            <w:t>产品，没有警示标志或者中文警示说明</w:t>
          </w:r>
          <w:r>
            <w:rPr>
              <w:color w:val="auto"/>
            </w:rPr>
            <w:tab/>
          </w:r>
          <w:r>
            <w:rPr>
              <w:color w:val="auto"/>
              <w:spacing w:val="-6"/>
            </w:rPr>
            <w:t>253</w:t>
          </w:r>
        </w:p>
        <w:p>
          <w:pPr>
            <w:pStyle w:val="5"/>
            <w:tabs>
              <w:tab w:val="left" w:leader="dot" w:pos="8595"/>
            </w:tabs>
            <w:spacing w:line="308" w:lineRule="exact"/>
            <w:rPr>
              <w:color w:val="auto"/>
            </w:rPr>
          </w:pPr>
          <w:r>
            <w:rPr>
              <w:color w:val="auto"/>
            </w:rPr>
            <w:fldChar w:fldCharType="begin"/>
          </w:r>
          <w:r>
            <w:rPr>
              <w:color w:val="auto"/>
            </w:rPr>
            <w:instrText xml:space="preserve"> HYPERLINK \l "_bookmark303" </w:instrText>
          </w:r>
          <w:r>
            <w:rPr>
              <w:color w:val="auto"/>
            </w:rPr>
            <w:fldChar w:fldCharType="separate"/>
          </w:r>
          <w:r>
            <w:rPr>
              <w:color w:val="auto"/>
            </w:rPr>
            <w:t>二百九十五、拒绝接受依法进行的产品质量监督检查</w:t>
          </w:r>
          <w:r>
            <w:rPr>
              <w:color w:val="auto"/>
            </w:rPr>
            <w:tab/>
          </w:r>
          <w:r>
            <w:rPr>
              <w:color w:val="auto"/>
            </w:rPr>
            <w:t>254</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"_bookmark304" </w:instrText>
          </w:r>
          <w:r>
            <w:rPr>
              <w:color w:val="auto"/>
            </w:rPr>
            <w:fldChar w:fldCharType="separate"/>
          </w:r>
          <w:r>
            <w:rPr>
              <w:color w:val="auto"/>
              <w:spacing w:val="-12"/>
            </w:rPr>
            <w:t>二百九十六、产品质量检验机构、认证机构伪造检验结果或者出具虚假证</w:t>
          </w:r>
          <w:r>
            <w:rPr>
              <w:color w:val="auto"/>
            </w:rPr>
            <w:t>明</w:t>
          </w:r>
          <w:r>
            <w:rPr>
              <w:color w:val="auto"/>
            </w:rPr>
            <w:tab/>
          </w:r>
          <w:r>
            <w:rPr>
              <w:color w:val="auto"/>
            </w:rPr>
            <w:t>255</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"_bookmark305"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"_bookmark305" </w:instrText>
          </w:r>
          <w:r>
            <w:rPr>
              <w:color w:val="auto"/>
            </w:rPr>
            <w:fldChar w:fldCharType="separate"/>
          </w:r>
          <w:r>
            <w:rPr>
              <w:color w:val="auto"/>
            </w:rPr>
            <w:t>百九十七</w:t>
          </w:r>
          <w:r>
            <w:rPr>
              <w:color w:val="auto"/>
              <w:spacing w:val="-12"/>
            </w:rPr>
            <w:t>、</w:t>
          </w:r>
          <w:r>
            <w:rPr>
              <w:color w:val="auto"/>
            </w:rPr>
            <w:t>产品质量检验机构</w:t>
          </w:r>
          <w:r>
            <w:rPr>
              <w:color w:val="auto"/>
              <w:spacing w:val="-12"/>
            </w:rPr>
            <w:t>、</w:t>
          </w:r>
          <w:r>
            <w:rPr>
              <w:color w:val="auto"/>
            </w:rPr>
            <w:t>认证机构出具的检验结果或者证明不实</w:t>
          </w:r>
          <w:r>
            <w:rPr>
              <w:color w:val="auto"/>
              <w:spacing w:val="-12"/>
            </w:rPr>
            <w:t>，</w:t>
          </w:r>
          <w:r>
            <w:rPr>
              <w:color w:val="auto"/>
            </w:rPr>
            <w:t>造</w:t>
          </w:r>
          <w:r>
            <w:rPr>
              <w:color w:val="auto"/>
              <w:spacing w:val="-17"/>
            </w:rPr>
            <w:t>成</w:t>
          </w:r>
          <w:r>
            <w:rPr>
              <w:color w:val="auto"/>
              <w:spacing w:val="-17"/>
            </w:rPr>
            <w:fldChar w:fldCharType="end"/>
          </w:r>
          <w:r>
            <w:rPr>
              <w:color w:val="auto"/>
            </w:rPr>
            <w:t>损失</w:t>
          </w:r>
          <w:r>
            <w:rPr>
              <w:color w:val="auto"/>
            </w:rPr>
            <w:tab/>
          </w:r>
          <w:r>
            <w:rPr>
              <w:color w:val="auto"/>
              <w:spacing w:val="-6"/>
            </w:rPr>
            <w:t>256</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"_bookmark306" </w:instrText>
          </w:r>
          <w:r>
            <w:rPr>
              <w:color w:val="auto"/>
            </w:rPr>
            <w:fldChar w:fldCharType="separate"/>
          </w:r>
          <w:r>
            <w:rPr>
              <w:color w:val="auto"/>
            </w:rPr>
            <w:t>二</w:t>
          </w:r>
          <w:r>
            <w:rPr>
              <w:color w:val="auto"/>
            </w:rPr>
            <w:fldChar w:fldCharType="end"/>
          </w:r>
          <w:r>
            <w:rPr>
              <w:color w:val="auto"/>
            </w:rPr>
            <w:fldChar w:fldCharType="begin"/>
          </w:r>
          <w:r>
            <w:rPr>
              <w:color w:val="auto"/>
            </w:rPr>
            <w:instrText xml:space="preserve"> HYPERLINK \l "_bookmark306" </w:instrText>
          </w:r>
          <w:r>
            <w:rPr>
              <w:color w:val="auto"/>
            </w:rPr>
            <w:fldChar w:fldCharType="separate"/>
          </w:r>
          <w:r>
            <w:rPr>
              <w:color w:val="auto"/>
            </w:rPr>
            <w:t>百九十八</w:t>
          </w:r>
          <w:r>
            <w:rPr>
              <w:color w:val="auto"/>
              <w:spacing w:val="-20"/>
            </w:rPr>
            <w:t>、</w:t>
          </w:r>
          <w:r>
            <w:rPr>
              <w:color w:val="auto"/>
            </w:rPr>
            <w:t>产品质量认证机构违反规定</w:t>
          </w:r>
          <w:r>
            <w:rPr>
              <w:color w:val="auto"/>
              <w:spacing w:val="-17"/>
            </w:rPr>
            <w:t>，</w:t>
          </w:r>
          <w:r>
            <w:rPr>
              <w:color w:val="auto"/>
            </w:rPr>
            <w:t>对不符合认证标准而使用认证标志</w:t>
          </w:r>
          <w:r>
            <w:rPr>
              <w:color w:val="auto"/>
              <w:spacing w:val="-16"/>
            </w:rPr>
            <w:t>的</w:t>
          </w:r>
          <w:r>
            <w:rPr>
              <w:color w:val="auto"/>
              <w:spacing w:val="-16"/>
            </w:rPr>
            <w:fldChar w:fldCharType="end"/>
          </w:r>
          <w:r>
            <w:rPr>
              <w:color w:val="auto"/>
            </w:rPr>
            <w:t>产品，未依法要求其改正或者取消其使用认证标志资格</w:t>
          </w:r>
          <w:r>
            <w:rPr>
              <w:color w:val="auto"/>
            </w:rPr>
            <w:tab/>
          </w:r>
          <w:r>
            <w:rPr>
              <w:color w:val="auto"/>
              <w:spacing w:val="-6"/>
            </w:rPr>
            <w:t>257</w:t>
          </w:r>
        </w:p>
        <w:p>
          <w:pPr>
            <w:pStyle w:val="5"/>
            <w:tabs>
              <w:tab w:val="left" w:leader="dot" w:pos="8595"/>
            </w:tabs>
            <w:spacing w:line="374" w:lineRule="auto"/>
            <w:ind w:left="567" w:right="256" w:firstLine="24"/>
            <w:rPr>
              <w:color w:val="auto"/>
            </w:rPr>
          </w:pPr>
          <w:r>
            <w:rPr>
              <w:color w:val="auto"/>
            </w:rPr>
            <w:fldChar w:fldCharType="begin"/>
          </w:r>
          <w:r>
            <w:rPr>
              <w:color w:val="auto"/>
            </w:rPr>
            <w:instrText xml:space="preserve"> HYPERLINK \l "_bookmark307" </w:instrText>
          </w:r>
          <w:r>
            <w:rPr>
              <w:color w:val="auto"/>
            </w:rPr>
            <w:fldChar w:fldCharType="separate"/>
          </w:r>
          <w:r>
            <w:rPr>
              <w:color w:val="auto"/>
              <w:spacing w:val="-12"/>
            </w:rPr>
            <w:t>二</w:t>
          </w:r>
          <w:r>
            <w:rPr>
              <w:color w:val="auto"/>
              <w:spacing w:val="-12"/>
            </w:rPr>
            <w:fldChar w:fldCharType="end"/>
          </w:r>
          <w:r>
            <w:rPr>
              <w:color w:val="auto"/>
            </w:rPr>
            <w:fldChar w:fldCharType="begin"/>
          </w:r>
          <w:r>
            <w:rPr>
              <w:color w:val="auto"/>
            </w:rPr>
            <w:instrText xml:space="preserve"> HYPERLINK \l "_bookmark307" </w:instrText>
          </w:r>
          <w:r>
            <w:rPr>
              <w:color w:val="auto"/>
            </w:rPr>
            <w:fldChar w:fldCharType="separate"/>
          </w:r>
          <w:r>
            <w:rPr>
              <w:color w:val="auto"/>
              <w:spacing w:val="-12"/>
            </w:rPr>
            <w:t>百九十九</w:t>
          </w:r>
          <w:r>
            <w:rPr>
              <w:color w:val="auto"/>
              <w:spacing w:val="-48"/>
            </w:rPr>
            <w:t>、</w:t>
          </w:r>
          <w:r>
            <w:rPr>
              <w:color w:val="auto"/>
              <w:spacing w:val="-12"/>
            </w:rPr>
            <w:t>知道或者应当知道产品质量法规定禁止生产</w:t>
          </w:r>
          <w:r>
            <w:rPr>
              <w:color w:val="auto"/>
              <w:spacing w:val="-48"/>
            </w:rPr>
            <w:t>、</w:t>
          </w:r>
          <w:r>
            <w:rPr>
              <w:color w:val="auto"/>
              <w:spacing w:val="-12"/>
            </w:rPr>
            <w:t>销售的产品而为其提供</w:t>
          </w:r>
          <w:r>
            <w:rPr>
              <w:color w:val="auto"/>
              <w:spacing w:val="-17"/>
            </w:rPr>
            <w:t>运</w:t>
          </w:r>
          <w:r>
            <w:rPr>
              <w:color w:val="auto"/>
              <w:spacing w:val="-17"/>
            </w:rPr>
            <w:fldChar w:fldCharType="end"/>
          </w:r>
          <w:r>
            <w:rPr>
              <w:color w:val="auto"/>
              <w:spacing w:val="-12"/>
            </w:rPr>
            <w:t>输、保管、仓储等便利条件，或者为以假充真的产品提供制假生产技</w:t>
          </w:r>
          <w:r>
            <w:rPr>
              <w:color w:val="auto"/>
            </w:rPr>
            <w:t>术</w:t>
          </w:r>
          <w:r>
            <w:rPr>
              <w:color w:val="auto"/>
            </w:rPr>
            <w:tab/>
          </w:r>
          <w:r>
            <w:rPr>
              <w:color w:val="auto"/>
            </w:rPr>
            <w:t>257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"_bookmark308"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"_bookmark308" </w:instrText>
          </w:r>
          <w:r>
            <w:rPr>
              <w:color w:val="auto"/>
            </w:rPr>
            <w:fldChar w:fldCharType="separate"/>
          </w:r>
          <w:r>
            <w:rPr>
              <w:color w:val="auto"/>
            </w:rPr>
            <w:t>百</w:t>
          </w:r>
          <w:r>
            <w:rPr>
              <w:color w:val="auto"/>
              <w:spacing w:val="-12"/>
            </w:rPr>
            <w:t>、</w:t>
          </w:r>
          <w:r>
            <w:rPr>
              <w:color w:val="auto"/>
            </w:rPr>
            <w:t>服务业的经营者对知道或者应当知道所使用的产品属</w:t>
          </w:r>
          <w:r>
            <w:rPr>
              <w:color w:val="auto"/>
              <w:spacing w:val="-12"/>
            </w:rPr>
            <w:t>于</w:t>
          </w:r>
          <w:r>
            <w:rPr>
              <w:color w:val="auto"/>
            </w:rPr>
            <w:t>《产品质量法</w:t>
          </w:r>
          <w:r>
            <w:rPr>
              <w:color w:val="auto"/>
              <w:spacing w:val="-12"/>
            </w:rPr>
            <w:t>》</w:t>
          </w:r>
          <w:r>
            <w:rPr>
              <w:color w:val="auto"/>
              <w:spacing w:val="-17"/>
            </w:rPr>
            <w:t>规</w:t>
          </w:r>
          <w:r>
            <w:rPr>
              <w:color w:val="auto"/>
              <w:spacing w:val="-17"/>
            </w:rPr>
            <w:fldChar w:fldCharType="end"/>
          </w:r>
          <w:r>
            <w:rPr>
              <w:color w:val="auto"/>
            </w:rPr>
            <w:t>定禁止销售的产品用于经营性服务</w:t>
          </w:r>
          <w:r>
            <w:rPr>
              <w:color w:val="auto"/>
            </w:rPr>
            <w:tab/>
          </w:r>
          <w:r>
            <w:rPr>
              <w:color w:val="auto"/>
              <w:spacing w:val="-6"/>
            </w:rPr>
            <w:t>260</w:t>
          </w:r>
        </w:p>
        <w:p>
          <w:pPr>
            <w:pStyle w:val="5"/>
            <w:tabs>
              <w:tab w:val="left" w:leader="dot" w:pos="8595"/>
            </w:tabs>
            <w:spacing w:line="308" w:lineRule="exact"/>
            <w:rPr>
              <w:color w:val="auto"/>
            </w:rPr>
          </w:pPr>
          <w:r>
            <w:rPr>
              <w:color w:val="auto"/>
            </w:rPr>
            <w:fldChar w:fldCharType="begin"/>
          </w:r>
          <w:r>
            <w:rPr>
              <w:color w:val="auto"/>
            </w:rPr>
            <w:instrText xml:space="preserve"> HYPERLINK \l "_bookmark309" </w:instrText>
          </w:r>
          <w:r>
            <w:rPr>
              <w:color w:val="auto"/>
            </w:rPr>
            <w:fldChar w:fldCharType="separate"/>
          </w:r>
          <w:r>
            <w:rPr>
              <w:color w:val="auto"/>
              <w:spacing w:val="-12"/>
            </w:rPr>
            <w:t>三百零一、隐匿、转移、变卖、损毁被市场监督管理部门查封、扣押的物</w:t>
          </w:r>
          <w:r>
            <w:rPr>
              <w:color w:val="auto"/>
            </w:rPr>
            <w:t>品</w:t>
          </w:r>
          <w:r>
            <w:rPr>
              <w:color w:val="auto"/>
            </w:rPr>
            <w:tab/>
          </w:r>
          <w:r>
            <w:rPr>
              <w:color w:val="auto"/>
            </w:rPr>
            <w:t>261</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"_bookmark310"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"_bookmark310" </w:instrText>
          </w:r>
          <w:r>
            <w:rPr>
              <w:color w:val="auto"/>
            </w:rPr>
            <w:fldChar w:fldCharType="separate"/>
          </w:r>
          <w:r>
            <w:rPr>
              <w:color w:val="auto"/>
            </w:rPr>
            <w:t>百零二</w:t>
          </w:r>
          <w:r>
            <w:rPr>
              <w:color w:val="auto"/>
              <w:spacing w:val="-20"/>
            </w:rPr>
            <w:t>、</w:t>
          </w:r>
          <w:r>
            <w:rPr>
              <w:color w:val="auto"/>
            </w:rPr>
            <w:t>产品质量检验机构向社会推荐生产者的产品或者以监制</w:t>
          </w:r>
          <w:r>
            <w:rPr>
              <w:color w:val="auto"/>
              <w:spacing w:val="-17"/>
            </w:rPr>
            <w:t>、</w:t>
          </w:r>
          <w:r>
            <w:rPr>
              <w:color w:val="auto"/>
            </w:rPr>
            <w:t>监销等方</w:t>
          </w:r>
          <w:r>
            <w:rPr>
              <w:color w:val="auto"/>
              <w:spacing w:val="-16"/>
            </w:rPr>
            <w:t>式</w:t>
          </w:r>
          <w:r>
            <w:rPr>
              <w:color w:val="auto"/>
              <w:spacing w:val="-16"/>
            </w:rPr>
            <w:fldChar w:fldCharType="end"/>
          </w:r>
          <w:r>
            <w:rPr>
              <w:color w:val="auto"/>
            </w:rPr>
            <w:t>参与产品经营活动</w:t>
          </w:r>
          <w:r>
            <w:rPr>
              <w:color w:val="auto"/>
            </w:rPr>
            <w:tab/>
          </w:r>
          <w:r>
            <w:rPr>
              <w:color w:val="auto"/>
              <w:spacing w:val="-6"/>
            </w:rPr>
            <w:t>262</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"_bookmark311"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"_bookmark311" </w:instrText>
          </w:r>
          <w:r>
            <w:rPr>
              <w:color w:val="auto"/>
            </w:rPr>
            <w:fldChar w:fldCharType="separate"/>
          </w:r>
          <w:r>
            <w:rPr>
              <w:color w:val="auto"/>
            </w:rPr>
            <w:t>百零三</w:t>
          </w:r>
          <w:r>
            <w:rPr>
              <w:color w:val="auto"/>
              <w:spacing w:val="-20"/>
            </w:rPr>
            <w:t>、</w:t>
          </w:r>
          <w:r>
            <w:rPr>
              <w:color w:val="auto"/>
            </w:rPr>
            <w:t>生产大型机电设备</w:t>
          </w:r>
          <w:r>
            <w:rPr>
              <w:color w:val="auto"/>
              <w:spacing w:val="-17"/>
            </w:rPr>
            <w:t>、</w:t>
          </w:r>
          <w:r>
            <w:rPr>
              <w:color w:val="auto"/>
            </w:rPr>
            <w:t>机动运输工具以及国务院经济贸易行政主管部</w:t>
          </w:r>
          <w:r>
            <w:rPr>
              <w:color w:val="auto"/>
              <w:spacing w:val="-16"/>
            </w:rPr>
            <w:t>门</w:t>
          </w:r>
          <w:r>
            <w:rPr>
              <w:color w:val="auto"/>
              <w:spacing w:val="-16"/>
            </w:rPr>
            <w:fldChar w:fldCharType="end"/>
          </w:r>
          <w:r>
            <w:rPr>
              <w:color w:val="auto"/>
            </w:rPr>
            <w:t>指定的其他产品的企业</w:t>
          </w:r>
          <w:r>
            <w:rPr>
              <w:color w:val="auto"/>
              <w:spacing w:val="-36"/>
            </w:rPr>
            <w:t>，</w:t>
          </w:r>
          <w:r>
            <w:rPr>
              <w:color w:val="auto"/>
            </w:rPr>
            <w:t>没有按照国务院标准化行政主管部门或者其授权机构</w:t>
          </w:r>
          <w:r>
            <w:rPr>
              <w:color w:val="auto"/>
              <w:spacing w:val="-17"/>
            </w:rPr>
            <w:t>制</w:t>
          </w:r>
          <w:r>
            <w:rPr>
              <w:color w:val="auto"/>
            </w:rPr>
            <w:t>定的技术规范</w:t>
          </w:r>
          <w:r>
            <w:rPr>
              <w:color w:val="auto"/>
              <w:spacing w:val="-20"/>
            </w:rPr>
            <w:t>，</w:t>
          </w:r>
          <w:r>
            <w:rPr>
              <w:color w:val="auto"/>
            </w:rPr>
            <w:t>在产品的主体构件上注明材料成分的标准牌号</w:t>
          </w:r>
          <w:r>
            <w:rPr>
              <w:color w:val="auto"/>
              <w:spacing w:val="-17"/>
            </w:rPr>
            <w:t>，</w:t>
          </w:r>
          <w:r>
            <w:rPr>
              <w:color w:val="auto"/>
            </w:rPr>
            <w:t>未标注产品材</w:t>
          </w:r>
          <w:r>
            <w:rPr>
              <w:color w:val="auto"/>
              <w:spacing w:val="-16"/>
            </w:rPr>
            <w:t>料</w:t>
          </w:r>
          <w:r>
            <w:rPr>
              <w:color w:val="auto"/>
            </w:rPr>
            <w:t>的成分或者不如实标注</w:t>
          </w:r>
          <w:r>
            <w:rPr>
              <w:color w:val="auto"/>
            </w:rPr>
            <w:tab/>
          </w:r>
          <w:r>
            <w:rPr>
              <w:color w:val="auto"/>
              <w:spacing w:val="-6"/>
            </w:rPr>
            <w:t>264</w:t>
          </w:r>
        </w:p>
        <w:p>
          <w:pPr>
            <w:pStyle w:val="5"/>
            <w:tabs>
              <w:tab w:val="left" w:leader="dot" w:pos="8611"/>
            </w:tabs>
            <w:spacing w:line="309" w:lineRule="exact"/>
            <w:rPr>
              <w:color w:val="auto"/>
            </w:rPr>
          </w:pPr>
          <w:r>
            <w:rPr>
              <w:color w:val="auto"/>
            </w:rPr>
            <w:fldChar w:fldCharType="begin"/>
          </w:r>
          <w:r>
            <w:rPr>
              <w:color w:val="auto"/>
            </w:rPr>
            <w:instrText xml:space="preserve"> HYPERLINK \l "_bookmark312" </w:instrText>
          </w:r>
          <w:r>
            <w:rPr>
              <w:color w:val="auto"/>
            </w:rPr>
            <w:fldChar w:fldCharType="separate"/>
          </w:r>
          <w:r>
            <w:rPr>
              <w:color w:val="auto"/>
              <w:spacing w:val="-12"/>
            </w:rPr>
            <w:t>三百零四、生产、销售和使用有毒、有害物质超过国家标准的建筑和装修材</w:t>
          </w:r>
          <w:r>
            <w:rPr>
              <w:color w:val="auto"/>
            </w:rPr>
            <w:t>料</w:t>
          </w:r>
          <w:r>
            <w:rPr>
              <w:color w:val="auto"/>
            </w:rPr>
            <w:tab/>
          </w:r>
          <w:r>
            <w:rPr>
              <w:color w:val="auto"/>
              <w:spacing w:val="-4"/>
            </w:rPr>
            <w:t>265</w:t>
          </w:r>
          <w:r>
            <w:rPr>
              <w:color w:val="auto"/>
              <w:spacing w:val="-4"/>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"_bookmark313" </w:instrText>
          </w:r>
          <w:r>
            <w:rPr>
              <w:color w:val="auto"/>
            </w:rPr>
            <w:fldChar w:fldCharType="separate"/>
          </w:r>
          <w:r>
            <w:rPr>
              <w:color w:val="auto"/>
            </w:rPr>
            <w:t>三百零五、生产不合格消防产品或者国家明令淘汰的消防产品</w:t>
          </w:r>
          <w:r>
            <w:rPr>
              <w:color w:val="auto"/>
            </w:rPr>
            <w:tab/>
          </w:r>
          <w:r>
            <w:rPr>
              <w:color w:val="auto"/>
            </w:rPr>
            <w:t>267</w:t>
          </w:r>
          <w:r>
            <w:rPr>
              <w:color w:val="auto"/>
            </w:rPr>
            <w:fldChar w:fldCharType="end"/>
          </w:r>
        </w:p>
        <w:p>
          <w:pPr>
            <w:pStyle w:val="5"/>
            <w:tabs>
              <w:tab w:val="left" w:leader="dot" w:pos="8595"/>
            </w:tabs>
            <w:spacing w:before="172" w:line="374" w:lineRule="auto"/>
            <w:ind w:right="268"/>
            <w:jc w:val="both"/>
            <w:rPr>
              <w:color w:val="auto"/>
            </w:rPr>
          </w:pPr>
          <w:r>
            <w:rPr>
              <w:color w:val="auto"/>
            </w:rPr>
            <w:fldChar w:fldCharType="begin"/>
          </w:r>
          <w:r>
            <w:rPr>
              <w:color w:val="auto"/>
            </w:rPr>
            <w:instrText xml:space="preserve"> HYPERLINK \l "_bookmark314"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"_bookmark314" </w:instrText>
          </w:r>
          <w:r>
            <w:rPr>
              <w:color w:val="auto"/>
            </w:rPr>
            <w:fldChar w:fldCharType="separate"/>
          </w:r>
          <w:r>
            <w:rPr>
              <w:color w:val="auto"/>
            </w:rPr>
            <w:t>百零六</w:t>
          </w:r>
          <w:r>
            <w:rPr>
              <w:color w:val="auto"/>
              <w:spacing w:val="-20"/>
            </w:rPr>
            <w:t>、</w:t>
          </w:r>
          <w:r>
            <w:rPr>
              <w:color w:val="auto"/>
            </w:rPr>
            <w:t>机动车生产企业经国家机动车产品主管部门许可生产的机动车型</w:t>
          </w:r>
          <w:r>
            <w:rPr>
              <w:color w:val="auto"/>
              <w:spacing w:val="-17"/>
            </w:rPr>
            <w:t>，</w:t>
          </w:r>
          <w:r>
            <w:rPr>
              <w:color w:val="auto"/>
              <w:spacing w:val="-16"/>
            </w:rPr>
            <w:t>不</w:t>
          </w:r>
          <w:r>
            <w:rPr>
              <w:color w:val="auto"/>
              <w:spacing w:val="-16"/>
            </w:rPr>
            <w:fldChar w:fldCharType="end"/>
          </w:r>
          <w:r>
            <w:rPr>
              <w:color w:val="auto"/>
            </w:rPr>
            <w:t>执行机动车国家安全技术标准或者不严格进行机动车成品质量检验</w:t>
          </w:r>
          <w:r>
            <w:rPr>
              <w:color w:val="auto"/>
              <w:spacing w:val="-36"/>
            </w:rPr>
            <w:t>，</w:t>
          </w:r>
          <w:r>
            <w:rPr>
              <w:color w:val="auto"/>
            </w:rPr>
            <w:t>致使质量</w:t>
          </w:r>
          <w:r>
            <w:rPr>
              <w:color w:val="auto"/>
              <w:spacing w:val="-17"/>
            </w:rPr>
            <w:t>不</w:t>
          </w:r>
          <w:r>
            <w:rPr>
              <w:color w:val="auto"/>
            </w:rPr>
            <w:t>合格的机动车出厂销售</w:t>
          </w:r>
          <w:r>
            <w:rPr>
              <w:color w:val="auto"/>
            </w:rPr>
            <w:tab/>
          </w:r>
          <w:r>
            <w:rPr>
              <w:color w:val="auto"/>
              <w:spacing w:val="-6"/>
            </w:rPr>
            <w:t>267</w:t>
          </w:r>
        </w:p>
        <w:p>
          <w:pPr>
            <w:pStyle w:val="5"/>
            <w:tabs>
              <w:tab w:val="left" w:leader="dot" w:pos="8595"/>
            </w:tabs>
            <w:spacing w:after="59" w:line="308" w:lineRule="exact"/>
            <w:rPr>
              <w:color w:val="auto"/>
            </w:rPr>
          </w:pPr>
          <w:r>
            <w:rPr>
              <w:color w:val="auto"/>
            </w:rPr>
            <w:fldChar w:fldCharType="begin"/>
          </w:r>
          <w:r>
            <w:rPr>
              <w:color w:val="auto"/>
            </w:rPr>
            <w:instrText xml:space="preserve"> HYPERLINK \l "_bookmark315" </w:instrText>
          </w:r>
          <w:r>
            <w:rPr>
              <w:color w:val="auto"/>
            </w:rPr>
            <w:fldChar w:fldCharType="separate"/>
          </w:r>
          <w:r>
            <w:rPr>
              <w:color w:val="auto"/>
            </w:rPr>
            <w:t>三百零七、企业未依照规定申请取得生产许可证而擅自生产列入目录产品</w:t>
          </w:r>
          <w:r>
            <w:rPr>
              <w:color w:val="auto"/>
            </w:rPr>
            <w:tab/>
          </w:r>
          <w:r>
            <w:rPr>
              <w:color w:val="auto"/>
            </w:rPr>
            <w:t>269</w:t>
          </w:r>
          <w:r>
            <w:rPr>
              <w:color w:val="auto"/>
            </w:rPr>
            <w:fldChar w:fldCharType="end"/>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"_bookmark316"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"_bookmark316" </w:instrText>
          </w:r>
          <w:r>
            <w:rPr>
              <w:color w:val="auto"/>
            </w:rPr>
            <w:fldChar w:fldCharType="separate"/>
          </w:r>
          <w:r>
            <w:rPr>
              <w:color w:val="auto"/>
            </w:rPr>
            <w:t>百零八</w:t>
          </w:r>
          <w:r>
            <w:rPr>
              <w:color w:val="auto"/>
              <w:spacing w:val="-12"/>
            </w:rPr>
            <w:t>、</w:t>
          </w:r>
          <w:r>
            <w:rPr>
              <w:color w:val="auto"/>
            </w:rPr>
            <w:t>取得生产许可证的企业生产条件</w:t>
          </w:r>
          <w:r>
            <w:rPr>
              <w:color w:val="auto"/>
              <w:spacing w:val="-12"/>
            </w:rPr>
            <w:t>、</w:t>
          </w:r>
          <w:r>
            <w:rPr>
              <w:color w:val="auto"/>
            </w:rPr>
            <w:t>检验手段</w:t>
          </w:r>
          <w:r>
            <w:rPr>
              <w:color w:val="auto"/>
              <w:spacing w:val="-12"/>
            </w:rPr>
            <w:t>、</w:t>
          </w:r>
          <w:r>
            <w:rPr>
              <w:color w:val="auto"/>
            </w:rPr>
            <w:t>生产技术或者工艺发</w:t>
          </w:r>
          <w:r>
            <w:rPr>
              <w:color w:val="auto"/>
              <w:spacing w:val="-17"/>
            </w:rPr>
            <w:t>生</w:t>
          </w:r>
          <w:r>
            <w:rPr>
              <w:color w:val="auto"/>
              <w:spacing w:val="-17"/>
            </w:rPr>
            <w:fldChar w:fldCharType="end"/>
          </w:r>
          <w:r>
            <w:rPr>
              <w:color w:val="auto"/>
            </w:rPr>
            <w:t>变化，未依照规定办理重新审查手续</w:t>
          </w:r>
          <w:r>
            <w:rPr>
              <w:color w:val="auto"/>
            </w:rPr>
            <w:tab/>
          </w:r>
          <w:r>
            <w:rPr>
              <w:color w:val="auto"/>
              <w:spacing w:val="-6"/>
            </w:rPr>
            <w:t>271</w:t>
          </w:r>
        </w:p>
        <w:p>
          <w:pPr>
            <w:pStyle w:val="5"/>
            <w:tabs>
              <w:tab w:val="left" w:leader="dot" w:pos="8611"/>
            </w:tabs>
            <w:spacing w:line="308" w:lineRule="exact"/>
            <w:rPr>
              <w:color w:val="auto"/>
            </w:rPr>
          </w:pPr>
          <w:r>
            <w:rPr>
              <w:color w:val="auto"/>
            </w:rPr>
            <w:fldChar w:fldCharType="begin"/>
          </w:r>
          <w:r>
            <w:rPr>
              <w:color w:val="auto"/>
            </w:rPr>
            <w:instrText xml:space="preserve"> HYPERLINK \l "_bookmark317" </w:instrText>
          </w:r>
          <w:r>
            <w:rPr>
              <w:color w:val="auto"/>
            </w:rPr>
            <w:fldChar w:fldCharType="separate"/>
          </w:r>
          <w:r>
            <w:rPr>
              <w:color w:val="auto"/>
              <w:spacing w:val="-12"/>
            </w:rPr>
            <w:t>三百零九、取得生产许可证的企业名称发生变化，未依照规定办理变更手</w:t>
          </w:r>
          <w:r>
            <w:rPr>
              <w:color w:val="auto"/>
            </w:rPr>
            <w:t>续</w:t>
          </w:r>
          <w:r>
            <w:rPr>
              <w:color w:val="auto"/>
            </w:rPr>
            <w:tab/>
          </w:r>
          <w:r>
            <w:rPr>
              <w:color w:val="auto"/>
              <w:spacing w:val="-4"/>
            </w:rPr>
            <w:t>272</w:t>
          </w:r>
          <w:r>
            <w:rPr>
              <w:color w:val="auto"/>
              <w:spacing w:val="-4"/>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"_bookmark318"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"_bookmark318" </w:instrText>
          </w:r>
          <w:r>
            <w:rPr>
              <w:color w:val="auto"/>
            </w:rPr>
            <w:fldChar w:fldCharType="separate"/>
          </w:r>
          <w:r>
            <w:rPr>
              <w:color w:val="auto"/>
            </w:rPr>
            <w:t>百一十</w:t>
          </w:r>
          <w:r>
            <w:rPr>
              <w:color w:val="auto"/>
              <w:spacing w:val="-20"/>
            </w:rPr>
            <w:t>、</w:t>
          </w:r>
          <w:r>
            <w:rPr>
              <w:color w:val="auto"/>
            </w:rPr>
            <w:t>取得生产许可证的企业未依照规定在产品</w:t>
          </w:r>
          <w:r>
            <w:rPr>
              <w:color w:val="auto"/>
              <w:spacing w:val="-17"/>
            </w:rPr>
            <w:t>、</w:t>
          </w:r>
          <w:r>
            <w:rPr>
              <w:color w:val="auto"/>
            </w:rPr>
            <w:t>包装或者说明书上标注</w:t>
          </w:r>
          <w:r>
            <w:rPr>
              <w:color w:val="auto"/>
              <w:spacing w:val="-16"/>
            </w:rPr>
            <w:t>生</w:t>
          </w:r>
          <w:r>
            <w:rPr>
              <w:color w:val="auto"/>
              <w:spacing w:val="-16"/>
            </w:rPr>
            <w:fldChar w:fldCharType="end"/>
          </w:r>
          <w:r>
            <w:rPr>
              <w:color w:val="auto"/>
            </w:rPr>
            <w:t>产许可证标志和编号</w:t>
          </w:r>
          <w:r>
            <w:rPr>
              <w:color w:val="auto"/>
            </w:rPr>
            <w:tab/>
          </w:r>
          <w:r>
            <w:rPr>
              <w:color w:val="auto"/>
              <w:spacing w:val="-6"/>
            </w:rPr>
            <w:t>274</w:t>
          </w:r>
        </w:p>
        <w:p>
          <w:pPr>
            <w:pStyle w:val="5"/>
            <w:tabs>
              <w:tab w:val="left" w:leader="dot" w:pos="8611"/>
            </w:tabs>
            <w:spacing w:line="308" w:lineRule="exact"/>
            <w:rPr>
              <w:color w:val="auto"/>
            </w:rPr>
          </w:pPr>
          <w:r>
            <w:rPr>
              <w:color w:val="auto"/>
            </w:rPr>
            <w:fldChar w:fldCharType="begin"/>
          </w:r>
          <w:r>
            <w:rPr>
              <w:color w:val="auto"/>
            </w:rPr>
            <w:instrText xml:space="preserve"> HYPERLINK \l "_bookmark319" </w:instrText>
          </w:r>
          <w:r>
            <w:rPr>
              <w:color w:val="auto"/>
            </w:rPr>
            <w:fldChar w:fldCharType="separate"/>
          </w:r>
          <w:r>
            <w:rPr>
              <w:color w:val="auto"/>
              <w:spacing w:val="-12"/>
            </w:rPr>
            <w:t>三百一十一、销售或者在经营活动中使用未取得生产许可证的列入目录产</w:t>
          </w:r>
          <w:r>
            <w:rPr>
              <w:color w:val="auto"/>
            </w:rPr>
            <w:t>品</w:t>
          </w:r>
          <w:r>
            <w:rPr>
              <w:color w:val="auto"/>
            </w:rPr>
            <w:tab/>
          </w:r>
          <w:r>
            <w:rPr>
              <w:color w:val="auto"/>
              <w:spacing w:val="-4"/>
            </w:rPr>
            <w:t>275</w:t>
          </w:r>
          <w:r>
            <w:rPr>
              <w:color w:val="auto"/>
              <w:spacing w:val="-4"/>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"_bookmark320"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"_bookmark320" </w:instrText>
          </w:r>
          <w:r>
            <w:rPr>
              <w:color w:val="auto"/>
            </w:rPr>
            <w:fldChar w:fldCharType="separate"/>
          </w:r>
          <w:r>
            <w:rPr>
              <w:color w:val="auto"/>
            </w:rPr>
            <w:t>百一十二</w:t>
          </w:r>
          <w:r>
            <w:rPr>
              <w:color w:val="auto"/>
              <w:spacing w:val="-12"/>
            </w:rPr>
            <w:t>、</w:t>
          </w:r>
          <w:r>
            <w:rPr>
              <w:color w:val="auto"/>
            </w:rPr>
            <w:t>取得生产许可证的企业出租</w:t>
          </w:r>
          <w:r>
            <w:rPr>
              <w:color w:val="auto"/>
              <w:spacing w:val="-12"/>
            </w:rPr>
            <w:t>、</w:t>
          </w:r>
          <w:r>
            <w:rPr>
              <w:color w:val="auto"/>
            </w:rPr>
            <w:t>出借或者转让生产许可证证书</w:t>
          </w:r>
          <w:r>
            <w:rPr>
              <w:color w:val="auto"/>
              <w:spacing w:val="-12"/>
            </w:rPr>
            <w:t>、</w:t>
          </w:r>
          <w:r>
            <w:rPr>
              <w:color w:val="auto"/>
            </w:rPr>
            <w:t>生</w:t>
          </w:r>
          <w:r>
            <w:rPr>
              <w:color w:val="auto"/>
              <w:spacing w:val="-17"/>
            </w:rPr>
            <w:t>产</w:t>
          </w:r>
          <w:r>
            <w:rPr>
              <w:color w:val="auto"/>
              <w:spacing w:val="-17"/>
            </w:rPr>
            <w:fldChar w:fldCharType="end"/>
          </w:r>
          <w:r>
            <w:rPr>
              <w:color w:val="auto"/>
            </w:rPr>
            <w:t>许可证标志和编号</w:t>
          </w:r>
          <w:r>
            <w:rPr>
              <w:color w:val="auto"/>
            </w:rPr>
            <w:tab/>
          </w:r>
          <w:r>
            <w:rPr>
              <w:color w:val="auto"/>
              <w:spacing w:val="-6"/>
            </w:rPr>
            <w:t>276</w:t>
          </w:r>
        </w:p>
        <w:p>
          <w:pPr>
            <w:pStyle w:val="5"/>
            <w:tabs>
              <w:tab w:val="left" w:leader="dot" w:pos="8595"/>
            </w:tabs>
            <w:spacing w:line="308" w:lineRule="exact"/>
            <w:rPr>
              <w:color w:val="auto"/>
            </w:rPr>
          </w:pPr>
          <w:r>
            <w:rPr>
              <w:color w:val="auto"/>
            </w:rPr>
            <w:fldChar w:fldCharType="begin"/>
          </w:r>
          <w:r>
            <w:rPr>
              <w:color w:val="auto"/>
            </w:rPr>
            <w:instrText xml:space="preserve"> HYPERLINK \l "_bookmark321" </w:instrText>
          </w:r>
          <w:r>
            <w:rPr>
              <w:color w:val="auto"/>
            </w:rPr>
            <w:fldChar w:fldCharType="separate"/>
          </w:r>
          <w:r>
            <w:rPr>
              <w:color w:val="auto"/>
              <w:spacing w:val="-34"/>
            </w:rPr>
            <w:t>三百</w:t>
          </w:r>
          <w:r>
            <w:rPr>
              <w:color w:val="auto"/>
              <w:spacing w:val="-36"/>
            </w:rPr>
            <w:t>一</w:t>
          </w:r>
          <w:r>
            <w:rPr>
              <w:color w:val="auto"/>
              <w:spacing w:val="-34"/>
            </w:rPr>
            <w:t>十三、违</w:t>
          </w:r>
          <w:r>
            <w:rPr>
              <w:color w:val="auto"/>
              <w:spacing w:val="-36"/>
            </w:rPr>
            <w:t>法</w:t>
          </w:r>
          <w:r>
            <w:rPr>
              <w:color w:val="auto"/>
              <w:spacing w:val="-34"/>
            </w:rPr>
            <w:t>接受并使用</w:t>
          </w:r>
          <w:r>
            <w:rPr>
              <w:color w:val="auto"/>
              <w:spacing w:val="-36"/>
            </w:rPr>
            <w:t>他</w:t>
          </w:r>
          <w:r>
            <w:rPr>
              <w:color w:val="auto"/>
              <w:spacing w:val="-34"/>
            </w:rPr>
            <w:t>人提供的生</w:t>
          </w:r>
          <w:r>
            <w:rPr>
              <w:color w:val="auto"/>
              <w:spacing w:val="-36"/>
            </w:rPr>
            <w:t>产</w:t>
          </w:r>
          <w:r>
            <w:rPr>
              <w:color w:val="auto"/>
              <w:spacing w:val="-34"/>
            </w:rPr>
            <w:t>许可证证书</w:t>
          </w:r>
          <w:r>
            <w:rPr>
              <w:color w:val="auto"/>
              <w:spacing w:val="-36"/>
            </w:rPr>
            <w:t>、</w:t>
          </w:r>
          <w:r>
            <w:rPr>
              <w:color w:val="auto"/>
              <w:spacing w:val="-34"/>
            </w:rPr>
            <w:t>生产许可证</w:t>
          </w:r>
          <w:r>
            <w:rPr>
              <w:color w:val="auto"/>
              <w:spacing w:val="-36"/>
            </w:rPr>
            <w:t>标</w:t>
          </w:r>
          <w:r>
            <w:rPr>
              <w:color w:val="auto"/>
              <w:spacing w:val="-34"/>
            </w:rPr>
            <w:t>志和编号</w:t>
          </w:r>
          <w:r>
            <w:rPr>
              <w:color w:val="auto"/>
              <w:spacing w:val="-34"/>
            </w:rPr>
            <w:tab/>
          </w:r>
          <w:r>
            <w:rPr>
              <w:color w:val="auto"/>
            </w:rPr>
            <w:t>278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"_bookmark322" </w:instrText>
          </w:r>
          <w:r>
            <w:rPr>
              <w:color w:val="auto"/>
            </w:rPr>
            <w:fldChar w:fldCharType="separate"/>
          </w:r>
          <w:r>
            <w:rPr>
              <w:color w:val="auto"/>
            </w:rPr>
            <w:t>三百一十四、擅自动用、调换、转移、损坏被查封、扣押财物</w:t>
          </w:r>
          <w:r>
            <w:rPr>
              <w:color w:val="auto"/>
            </w:rPr>
            <w:tab/>
          </w:r>
          <w:r>
            <w:rPr>
              <w:color w:val="auto"/>
            </w:rPr>
            <w:t>279</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"_bookmark323" </w:instrText>
          </w:r>
          <w:r>
            <w:rPr>
              <w:color w:val="auto"/>
            </w:rPr>
            <w:fldChar w:fldCharType="separate"/>
          </w:r>
          <w:r>
            <w:rPr>
              <w:color w:val="auto"/>
            </w:rPr>
            <w:t>三百一十五、伪造、变造许可证证书、生产许可证标志和编号</w:t>
          </w:r>
          <w:r>
            <w:rPr>
              <w:color w:val="auto"/>
            </w:rPr>
            <w:tab/>
          </w:r>
          <w:r>
            <w:rPr>
              <w:color w:val="auto"/>
            </w:rPr>
            <w:t>281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"_bookmark324" </w:instrText>
          </w:r>
          <w:r>
            <w:rPr>
              <w:color w:val="auto"/>
            </w:rPr>
            <w:fldChar w:fldCharType="separate"/>
          </w:r>
          <w:r>
            <w:rPr>
              <w:color w:val="auto"/>
            </w:rPr>
            <w:t>三百一十六、企业用欺骗、贿赂等不正当手段取得生产许可证</w:t>
          </w:r>
          <w:r>
            <w:rPr>
              <w:color w:val="auto"/>
            </w:rPr>
            <w:tab/>
          </w:r>
          <w:r>
            <w:rPr>
              <w:color w:val="auto"/>
            </w:rPr>
            <w:t>282</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"_bookmark325"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"_bookmark325" </w:instrText>
          </w:r>
          <w:r>
            <w:rPr>
              <w:color w:val="auto"/>
            </w:rPr>
            <w:fldChar w:fldCharType="separate"/>
          </w:r>
          <w:r>
            <w:rPr>
              <w:color w:val="auto"/>
            </w:rPr>
            <w:t>百一十七</w:t>
          </w:r>
          <w:r>
            <w:rPr>
              <w:color w:val="auto"/>
              <w:spacing w:val="-36"/>
            </w:rPr>
            <w:t>、</w:t>
          </w:r>
          <w:r>
            <w:rPr>
              <w:color w:val="auto"/>
            </w:rPr>
            <w:t>取得生产许可证的产品经产品质量国家监督抽查或者省级监督抽</w:t>
          </w:r>
          <w:r>
            <w:rPr>
              <w:color w:val="auto"/>
              <w:spacing w:val="-17"/>
            </w:rPr>
            <w:t>查</w:t>
          </w:r>
          <w:r>
            <w:rPr>
              <w:color w:val="auto"/>
              <w:spacing w:val="-17"/>
            </w:rPr>
            <w:fldChar w:fldCharType="end"/>
          </w:r>
          <w:r>
            <w:rPr>
              <w:color w:val="auto"/>
            </w:rPr>
            <w:t>不合格</w:t>
          </w:r>
          <w:r>
            <w:rPr>
              <w:color w:val="auto"/>
            </w:rPr>
            <w:tab/>
          </w:r>
          <w:r>
            <w:rPr>
              <w:color w:val="auto"/>
              <w:spacing w:val="-6"/>
            </w:rPr>
            <w:t>284</w:t>
          </w:r>
        </w:p>
        <w:p>
          <w:pPr>
            <w:pStyle w:val="5"/>
            <w:tabs>
              <w:tab w:val="left" w:leader="dot" w:pos="8628"/>
            </w:tabs>
            <w:spacing w:line="308" w:lineRule="exact"/>
            <w:rPr>
              <w:color w:val="auto"/>
            </w:rPr>
          </w:pPr>
          <w:r>
            <w:rPr>
              <w:color w:val="auto"/>
            </w:rPr>
            <w:fldChar w:fldCharType="begin"/>
          </w:r>
          <w:r>
            <w:rPr>
              <w:color w:val="auto"/>
            </w:rPr>
            <w:instrText xml:space="preserve"> HYPERLINK \l "_bookmark326" </w:instrText>
          </w:r>
          <w:r>
            <w:rPr>
              <w:color w:val="auto"/>
            </w:rPr>
            <w:fldChar w:fldCharType="separate"/>
          </w:r>
          <w:r>
            <w:rPr>
              <w:color w:val="auto"/>
              <w:spacing w:val="-22"/>
            </w:rPr>
            <w:t>三百</w:t>
          </w:r>
          <w:r>
            <w:rPr>
              <w:color w:val="auto"/>
              <w:spacing w:val="-24"/>
            </w:rPr>
            <w:t>一</w:t>
          </w:r>
          <w:r>
            <w:rPr>
              <w:color w:val="auto"/>
              <w:spacing w:val="-22"/>
            </w:rPr>
            <w:t>十八、承</w:t>
          </w:r>
          <w:r>
            <w:rPr>
              <w:color w:val="auto"/>
              <w:spacing w:val="-24"/>
            </w:rPr>
            <w:t>担</w:t>
          </w:r>
          <w:r>
            <w:rPr>
              <w:color w:val="auto"/>
              <w:spacing w:val="-22"/>
            </w:rPr>
            <w:t>发证产品检</w:t>
          </w:r>
          <w:r>
            <w:rPr>
              <w:color w:val="auto"/>
              <w:spacing w:val="-24"/>
            </w:rPr>
            <w:t>验</w:t>
          </w:r>
          <w:r>
            <w:rPr>
              <w:color w:val="auto"/>
              <w:spacing w:val="-22"/>
            </w:rPr>
            <w:t>工作的检验</w:t>
          </w:r>
          <w:r>
            <w:rPr>
              <w:color w:val="auto"/>
              <w:spacing w:val="-24"/>
            </w:rPr>
            <w:t>机</w:t>
          </w:r>
          <w:r>
            <w:rPr>
              <w:color w:val="auto"/>
              <w:spacing w:val="-22"/>
            </w:rPr>
            <w:t>构伪造检验</w:t>
          </w:r>
          <w:r>
            <w:rPr>
              <w:color w:val="auto"/>
              <w:spacing w:val="-24"/>
            </w:rPr>
            <w:t>结</w:t>
          </w:r>
          <w:r>
            <w:rPr>
              <w:color w:val="auto"/>
              <w:spacing w:val="-22"/>
            </w:rPr>
            <w:t>论或者出具</w:t>
          </w:r>
          <w:r>
            <w:rPr>
              <w:color w:val="auto"/>
              <w:spacing w:val="-24"/>
            </w:rPr>
            <w:t>虚</w:t>
          </w:r>
          <w:r>
            <w:rPr>
              <w:color w:val="auto"/>
              <w:spacing w:val="-22"/>
            </w:rPr>
            <w:t>假证明</w:t>
          </w:r>
          <w:r>
            <w:rPr>
              <w:color w:val="auto"/>
              <w:spacing w:val="-22"/>
            </w:rPr>
            <w:tab/>
          </w:r>
          <w:r>
            <w:rPr>
              <w:color w:val="auto"/>
              <w:spacing w:val="-7"/>
            </w:rPr>
            <w:t>284</w:t>
          </w:r>
          <w:r>
            <w:rPr>
              <w:color w:val="auto"/>
              <w:spacing w:val="-7"/>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"_bookmark327"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"_bookmark327" </w:instrText>
          </w:r>
          <w:r>
            <w:rPr>
              <w:color w:val="auto"/>
            </w:rPr>
            <w:fldChar w:fldCharType="separate"/>
          </w:r>
          <w:r>
            <w:rPr>
              <w:color w:val="auto"/>
            </w:rPr>
            <w:t>百一十九</w:t>
          </w:r>
          <w:r>
            <w:rPr>
              <w:color w:val="auto"/>
              <w:spacing w:val="-20"/>
            </w:rPr>
            <w:t>、</w:t>
          </w:r>
          <w:r>
            <w:rPr>
              <w:color w:val="auto"/>
            </w:rPr>
            <w:t>检验机构和检验人员从事与其检验的列入目录产品相关的生产</w:t>
          </w:r>
          <w:r>
            <w:rPr>
              <w:color w:val="auto"/>
              <w:spacing w:val="-17"/>
            </w:rPr>
            <w:t>、</w:t>
          </w:r>
          <w:r>
            <w:rPr>
              <w:color w:val="auto"/>
              <w:spacing w:val="-16"/>
            </w:rPr>
            <w:t>销</w:t>
          </w:r>
          <w:r>
            <w:rPr>
              <w:color w:val="auto"/>
              <w:spacing w:val="-16"/>
            </w:rPr>
            <w:fldChar w:fldCharType="end"/>
          </w:r>
          <w:r>
            <w:rPr>
              <w:color w:val="auto"/>
            </w:rPr>
            <w:t>售活动，或者以其名义推荐或者监制、监销其检验的列入目录产品</w:t>
          </w:r>
          <w:r>
            <w:rPr>
              <w:color w:val="auto"/>
            </w:rPr>
            <w:tab/>
          </w:r>
          <w:r>
            <w:rPr>
              <w:color w:val="auto"/>
              <w:spacing w:val="-6"/>
            </w:rPr>
            <w:t>285</w:t>
          </w:r>
        </w:p>
        <w:p>
          <w:pPr>
            <w:pStyle w:val="5"/>
            <w:tabs>
              <w:tab w:val="left" w:leader="dot" w:pos="8595"/>
            </w:tabs>
            <w:spacing w:line="308" w:lineRule="exact"/>
            <w:rPr>
              <w:color w:val="auto"/>
            </w:rPr>
          </w:pPr>
          <w:r>
            <w:rPr>
              <w:color w:val="auto"/>
            </w:rPr>
            <w:fldChar w:fldCharType="begin"/>
          </w:r>
          <w:r>
            <w:rPr>
              <w:color w:val="auto"/>
            </w:rPr>
            <w:instrText xml:space="preserve"> HYPERLINK \l "_bookmark328" </w:instrText>
          </w:r>
          <w:r>
            <w:rPr>
              <w:color w:val="auto"/>
            </w:rPr>
            <w:fldChar w:fldCharType="separate"/>
          </w:r>
          <w:r>
            <w:rPr>
              <w:color w:val="auto"/>
            </w:rPr>
            <w:t>三百二十、未取得危险化学品生产许可证，擅自开工生产危险化学品</w:t>
          </w:r>
          <w:r>
            <w:rPr>
              <w:color w:val="auto"/>
            </w:rPr>
            <w:tab/>
          </w:r>
          <w:r>
            <w:rPr>
              <w:color w:val="auto"/>
            </w:rPr>
            <w:t>286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"_bookmark329" </w:instrText>
          </w:r>
          <w:r>
            <w:rPr>
              <w:color w:val="auto"/>
            </w:rPr>
            <w:fldChar w:fldCharType="separate"/>
          </w:r>
          <w:r>
            <w:rPr>
              <w:color w:val="auto"/>
            </w:rPr>
            <w:t>三百二十一、销售未经检验或者经检验不合格的危险化学品包装物、容器</w:t>
          </w:r>
          <w:r>
            <w:rPr>
              <w:color w:val="auto"/>
            </w:rPr>
            <w:tab/>
          </w:r>
          <w:r>
            <w:rPr>
              <w:color w:val="auto"/>
            </w:rPr>
            <w:t>288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"_bookmark330" </w:instrText>
          </w:r>
          <w:r>
            <w:rPr>
              <w:color w:val="auto"/>
            </w:rPr>
            <w:fldChar w:fldCharType="separate"/>
          </w:r>
          <w:r>
            <w:rPr>
              <w:color w:val="auto"/>
            </w:rPr>
            <w:t>三百二十二、伪造、变造或者出租、出借、转让工业产品生产许可证</w:t>
          </w:r>
          <w:r>
            <w:rPr>
              <w:color w:val="auto"/>
            </w:rPr>
            <w:tab/>
          </w:r>
          <w:r>
            <w:rPr>
              <w:color w:val="auto"/>
            </w:rPr>
            <w:t>290</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"_bookmark331"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"_bookmark331" </w:instrText>
          </w:r>
          <w:r>
            <w:rPr>
              <w:color w:val="auto"/>
            </w:rPr>
            <w:fldChar w:fldCharType="separate"/>
          </w:r>
          <w:r>
            <w:rPr>
              <w:color w:val="auto"/>
            </w:rPr>
            <w:t>百二十三</w:t>
          </w:r>
          <w:r>
            <w:rPr>
              <w:color w:val="auto"/>
              <w:spacing w:val="-20"/>
            </w:rPr>
            <w:t>、</w:t>
          </w:r>
          <w:r>
            <w:rPr>
              <w:color w:val="auto"/>
            </w:rPr>
            <w:t>生产者伪造</w:t>
          </w:r>
          <w:r>
            <w:rPr>
              <w:color w:val="auto"/>
              <w:spacing w:val="-17"/>
            </w:rPr>
            <w:t>、</w:t>
          </w:r>
          <w:r>
            <w:rPr>
              <w:color w:val="auto"/>
            </w:rPr>
            <w:t>篡改或者冒用产品质量检验机构的检验结论以及其</w:t>
          </w:r>
          <w:r>
            <w:rPr>
              <w:color w:val="auto"/>
              <w:spacing w:val="-16"/>
            </w:rPr>
            <w:t>他</w:t>
          </w:r>
          <w:r>
            <w:rPr>
              <w:color w:val="auto"/>
              <w:spacing w:val="-16"/>
            </w:rPr>
            <w:fldChar w:fldCharType="end"/>
          </w:r>
          <w:r>
            <w:rPr>
              <w:color w:val="auto"/>
            </w:rPr>
            <w:t>质量证明用以推销产品</w:t>
          </w:r>
          <w:r>
            <w:rPr>
              <w:color w:val="auto"/>
            </w:rPr>
            <w:tab/>
          </w:r>
          <w:r>
            <w:rPr>
              <w:color w:val="auto"/>
              <w:spacing w:val="-6"/>
            </w:rPr>
            <w:t>291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"_bookmark332"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"_bookmark332" </w:instrText>
          </w:r>
          <w:r>
            <w:rPr>
              <w:color w:val="auto"/>
            </w:rPr>
            <w:fldChar w:fldCharType="separate"/>
          </w:r>
          <w:r>
            <w:rPr>
              <w:color w:val="auto"/>
            </w:rPr>
            <w:t>百二十四</w:t>
          </w:r>
          <w:r>
            <w:rPr>
              <w:color w:val="auto"/>
              <w:spacing w:val="-12"/>
            </w:rPr>
            <w:t>、</w:t>
          </w:r>
          <w:r>
            <w:rPr>
              <w:color w:val="auto"/>
            </w:rPr>
            <w:t>知道或者应当知道他人生产</w:t>
          </w:r>
          <w:r>
            <w:rPr>
              <w:color w:val="auto"/>
              <w:spacing w:val="-12"/>
            </w:rPr>
            <w:t>、</w:t>
          </w:r>
          <w:r>
            <w:rPr>
              <w:color w:val="auto"/>
            </w:rPr>
            <w:t>销售国家禁止生产</w:t>
          </w:r>
          <w:r>
            <w:rPr>
              <w:color w:val="auto"/>
              <w:spacing w:val="-12"/>
            </w:rPr>
            <w:t>、</w:t>
          </w:r>
          <w:r>
            <w:rPr>
              <w:color w:val="auto"/>
            </w:rPr>
            <w:t>销售的产品而</w:t>
          </w:r>
          <w:r>
            <w:rPr>
              <w:color w:val="auto"/>
              <w:spacing w:val="-17"/>
            </w:rPr>
            <w:t>提</w:t>
          </w:r>
          <w:r>
            <w:rPr>
              <w:color w:val="auto"/>
              <w:spacing w:val="-17"/>
            </w:rPr>
            <w:fldChar w:fldCharType="end"/>
          </w:r>
          <w:r>
            <w:rPr>
              <w:color w:val="auto"/>
            </w:rPr>
            <w:t>供票据、帐号、虚假证明或者代签合同</w:t>
          </w:r>
          <w:r>
            <w:rPr>
              <w:color w:val="auto"/>
            </w:rPr>
            <w:tab/>
          </w:r>
          <w:r>
            <w:rPr>
              <w:color w:val="auto"/>
              <w:spacing w:val="-6"/>
            </w:rPr>
            <w:t>293</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"_bookmark333"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"_bookmark333" </w:instrText>
          </w:r>
          <w:r>
            <w:rPr>
              <w:color w:val="auto"/>
            </w:rPr>
            <w:fldChar w:fldCharType="separate"/>
          </w:r>
          <w:r>
            <w:rPr>
              <w:color w:val="auto"/>
            </w:rPr>
            <w:t>百二十五</w:t>
          </w:r>
          <w:r>
            <w:rPr>
              <w:color w:val="auto"/>
              <w:spacing w:val="-10"/>
            </w:rPr>
            <w:t>、</w:t>
          </w:r>
          <w:r>
            <w:rPr>
              <w:color w:val="auto"/>
            </w:rPr>
            <w:t>知道或者应当知道他人生产</w:t>
          </w:r>
          <w:r>
            <w:rPr>
              <w:color w:val="auto"/>
              <w:spacing w:val="-10"/>
            </w:rPr>
            <w:t>、</w:t>
          </w:r>
          <w:r>
            <w:rPr>
              <w:color w:val="auto"/>
            </w:rPr>
            <w:t>销售国家禁止生产</w:t>
          </w:r>
          <w:r>
            <w:rPr>
              <w:color w:val="auto"/>
              <w:spacing w:val="-8"/>
            </w:rPr>
            <w:t>、</w:t>
          </w:r>
          <w:r>
            <w:rPr>
              <w:color w:val="auto"/>
            </w:rPr>
            <w:t>销售的产品</w:t>
          </w:r>
          <w:r>
            <w:rPr>
              <w:color w:val="auto"/>
              <w:spacing w:val="-10"/>
            </w:rPr>
            <w:t>，</w:t>
          </w:r>
          <w:r>
            <w:rPr>
              <w:color w:val="auto"/>
              <w:spacing w:val="-15"/>
            </w:rPr>
            <w:t>制</w:t>
          </w:r>
          <w:r>
            <w:rPr>
              <w:color w:val="auto"/>
              <w:spacing w:val="-15"/>
            </w:rPr>
            <w:fldChar w:fldCharType="end"/>
          </w:r>
          <w:r>
            <w:rPr>
              <w:color w:val="auto"/>
            </w:rPr>
            <w:t>作、销售或者提供标识、包装物</w:t>
          </w:r>
          <w:r>
            <w:rPr>
              <w:color w:val="auto"/>
            </w:rPr>
            <w:tab/>
          </w:r>
          <w:r>
            <w:rPr>
              <w:color w:val="auto"/>
              <w:spacing w:val="-6"/>
            </w:rPr>
            <w:t>294</w:t>
          </w:r>
        </w:p>
        <w:p>
          <w:pPr>
            <w:pStyle w:val="5"/>
            <w:spacing w:before="1" w:line="374" w:lineRule="auto"/>
            <w:ind w:right="148"/>
            <w:rPr>
              <w:color w:val="auto"/>
            </w:rPr>
          </w:pPr>
          <w:r>
            <w:rPr>
              <w:color w:val="auto"/>
            </w:rPr>
            <w:fldChar w:fldCharType="begin"/>
          </w:r>
          <w:r>
            <w:rPr>
              <w:color w:val="auto"/>
            </w:rPr>
            <w:instrText xml:space="preserve"> HYPERLINK \l "_bookmark334"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"_bookmark334" </w:instrText>
          </w:r>
          <w:r>
            <w:rPr>
              <w:color w:val="auto"/>
            </w:rPr>
            <w:fldChar w:fldCharType="separate"/>
          </w:r>
          <w:r>
            <w:rPr>
              <w:color w:val="auto"/>
              <w:spacing w:val="-12"/>
            </w:rPr>
            <w:t>百二十六、企业名称、住所或者生产地址名称发生变化</w:t>
          </w:r>
          <w:r>
            <w:rPr>
              <w:color w:val="auto"/>
              <w:spacing w:val="-3"/>
            </w:rPr>
            <w:t>（</w:t>
          </w:r>
          <w:r>
            <w:rPr>
              <w:color w:val="auto"/>
              <w:spacing w:val="-7"/>
            </w:rPr>
            <w:t>生产条件、检验手段、</w:t>
          </w:r>
          <w:r>
            <w:rPr>
              <w:color w:val="auto"/>
              <w:spacing w:val="-7"/>
            </w:rPr>
            <w:fldChar w:fldCharType="end"/>
          </w:r>
          <w:r>
            <w:rPr>
              <w:color w:val="auto"/>
            </w:rPr>
            <w:t>生产技术或者工艺未发生变化</w:t>
          </w:r>
          <w:r>
            <w:rPr>
              <w:color w:val="auto"/>
              <w:spacing w:val="-120"/>
            </w:rPr>
            <w:t>）</w:t>
          </w:r>
          <w:r>
            <w:rPr>
              <w:color w:val="auto"/>
              <w:spacing w:val="-15"/>
            </w:rPr>
            <w:t xml:space="preserve">，未在 </w:t>
          </w:r>
          <w:r>
            <w:rPr>
              <w:color w:val="auto"/>
            </w:rPr>
            <w:t>1</w:t>
          </w:r>
          <w:r>
            <w:rPr>
              <w:color w:val="auto"/>
              <w:spacing w:val="-8"/>
            </w:rPr>
            <w:t xml:space="preserve"> 个月内向所在地省级市场监督管理局提</w:t>
          </w:r>
        </w:p>
        <w:p>
          <w:pPr>
            <w:pStyle w:val="5"/>
            <w:tabs>
              <w:tab w:val="left" w:leader="dot" w:pos="8595"/>
            </w:tabs>
            <w:spacing w:after="59" w:line="308" w:lineRule="exact"/>
            <w:rPr>
              <w:color w:val="auto"/>
            </w:rPr>
          </w:pPr>
          <w:r>
            <w:rPr>
              <w:color w:val="auto"/>
            </w:rPr>
            <w:t>出变更申请</w:t>
          </w:r>
          <w:r>
            <w:rPr>
              <w:color w:val="auto"/>
            </w:rPr>
            <w:tab/>
          </w:r>
          <w:r>
            <w:rPr>
              <w:color w:val="auto"/>
            </w:rPr>
            <w:t>296</w:t>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"_bookmark335"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"_bookmark335" </w:instrText>
          </w:r>
          <w:r>
            <w:rPr>
              <w:color w:val="auto"/>
            </w:rPr>
            <w:fldChar w:fldCharType="separate"/>
          </w:r>
          <w:r>
            <w:rPr>
              <w:color w:val="auto"/>
            </w:rPr>
            <w:t>百二十七</w:t>
          </w:r>
          <w:r>
            <w:rPr>
              <w:color w:val="auto"/>
              <w:spacing w:val="-20"/>
            </w:rPr>
            <w:t>、</w:t>
          </w:r>
          <w:r>
            <w:rPr>
              <w:color w:val="auto"/>
            </w:rPr>
            <w:t>采取委托方式加工生产列入目录产品</w:t>
          </w:r>
          <w:r>
            <w:rPr>
              <w:color w:val="auto"/>
              <w:spacing w:val="-17"/>
            </w:rPr>
            <w:t>，</w:t>
          </w:r>
          <w:r>
            <w:rPr>
              <w:color w:val="auto"/>
            </w:rPr>
            <w:t>未按规定要求标注相关企</w:t>
          </w:r>
          <w:r>
            <w:rPr>
              <w:color w:val="auto"/>
              <w:spacing w:val="-16"/>
            </w:rPr>
            <w:t>业</w:t>
          </w:r>
          <w:r>
            <w:rPr>
              <w:color w:val="auto"/>
              <w:spacing w:val="-16"/>
            </w:rPr>
            <w:fldChar w:fldCharType="end"/>
          </w:r>
          <w:r>
            <w:rPr>
              <w:color w:val="auto"/>
            </w:rPr>
            <w:t>的名称、住所、生产许可证标志和编号</w:t>
          </w:r>
          <w:r>
            <w:rPr>
              <w:color w:val="auto"/>
            </w:rPr>
            <w:tab/>
          </w:r>
          <w:r>
            <w:rPr>
              <w:color w:val="auto"/>
              <w:spacing w:val="-6"/>
            </w:rPr>
            <w:t>298</w:t>
          </w:r>
        </w:p>
        <w:p>
          <w:pPr>
            <w:pStyle w:val="5"/>
            <w:tabs>
              <w:tab w:val="left" w:leader="dot" w:pos="8595"/>
            </w:tabs>
            <w:spacing w:line="308" w:lineRule="exact"/>
            <w:rPr>
              <w:color w:val="auto"/>
            </w:rPr>
          </w:pPr>
          <w:r>
            <w:rPr>
              <w:color w:val="auto"/>
            </w:rPr>
            <w:fldChar w:fldCharType="begin"/>
          </w:r>
          <w:r>
            <w:rPr>
              <w:color w:val="auto"/>
            </w:rPr>
            <w:instrText xml:space="preserve"> HYPERLINK \l "_bookmark336" </w:instrText>
          </w:r>
          <w:r>
            <w:rPr>
              <w:color w:val="auto"/>
            </w:rPr>
            <w:fldChar w:fldCharType="separate"/>
          </w:r>
          <w:r>
            <w:rPr>
              <w:color w:val="auto"/>
            </w:rPr>
            <w:t>三百二十八、冒用他人的生产许可证证书、生产许可证标志和编号</w:t>
          </w:r>
          <w:r>
            <w:rPr>
              <w:color w:val="auto"/>
            </w:rPr>
            <w:tab/>
          </w:r>
          <w:r>
            <w:rPr>
              <w:color w:val="auto"/>
            </w:rPr>
            <w:t>299</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"_bookmark337"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"_bookmark337" </w:instrText>
          </w:r>
          <w:r>
            <w:rPr>
              <w:color w:val="auto"/>
            </w:rPr>
            <w:fldChar w:fldCharType="separate"/>
          </w:r>
          <w:r>
            <w:rPr>
              <w:color w:val="auto"/>
            </w:rPr>
            <w:t>百二十九</w:t>
          </w:r>
          <w:r>
            <w:rPr>
              <w:color w:val="auto"/>
              <w:spacing w:val="-20"/>
            </w:rPr>
            <w:t>、</w:t>
          </w:r>
          <w:r>
            <w:rPr>
              <w:color w:val="auto"/>
            </w:rPr>
            <w:t>试生产的产品未经出厂检验合格或者未在产品或者包装</w:t>
          </w:r>
          <w:r>
            <w:rPr>
              <w:color w:val="auto"/>
              <w:spacing w:val="-17"/>
            </w:rPr>
            <w:t>、</w:t>
          </w:r>
          <w:r>
            <w:rPr>
              <w:color w:val="auto"/>
            </w:rPr>
            <w:t>说明书</w:t>
          </w:r>
          <w:r>
            <w:rPr>
              <w:color w:val="auto"/>
              <w:spacing w:val="-16"/>
            </w:rPr>
            <w:t>标</w:t>
          </w:r>
          <w:r>
            <w:rPr>
              <w:color w:val="auto"/>
              <w:spacing w:val="-16"/>
            </w:rPr>
            <w:fldChar w:fldCharType="end"/>
          </w:r>
          <w:r>
            <w:rPr>
              <w:color w:val="auto"/>
            </w:rPr>
            <w:t>明“试制品”即销售</w:t>
          </w:r>
          <w:r>
            <w:rPr>
              <w:color w:val="auto"/>
            </w:rPr>
            <w:tab/>
          </w:r>
          <w:r>
            <w:rPr>
              <w:color w:val="auto"/>
              <w:spacing w:val="-6"/>
            </w:rPr>
            <w:t>300</w:t>
          </w:r>
        </w:p>
        <w:p>
          <w:pPr>
            <w:pStyle w:val="5"/>
            <w:tabs>
              <w:tab w:val="left" w:leader="dot" w:pos="8595"/>
            </w:tabs>
            <w:spacing w:line="308" w:lineRule="exact"/>
            <w:rPr>
              <w:color w:val="auto"/>
            </w:rPr>
          </w:pPr>
          <w:r>
            <w:rPr>
              <w:color w:val="auto"/>
            </w:rPr>
            <w:fldChar w:fldCharType="begin"/>
          </w:r>
          <w:r>
            <w:rPr>
              <w:color w:val="auto"/>
            </w:rPr>
            <w:instrText xml:space="preserve"> HYPERLINK \l "_bookmark338" </w:instrText>
          </w:r>
          <w:r>
            <w:rPr>
              <w:color w:val="auto"/>
            </w:rPr>
            <w:fldChar w:fldCharType="separate"/>
          </w:r>
          <w:r>
            <w:rPr>
              <w:color w:val="auto"/>
            </w:rPr>
            <w:t>三百三十、取得生产许可的企业未能持续保持取得生产许可的规定条件</w:t>
          </w:r>
          <w:r>
            <w:rPr>
              <w:color w:val="auto"/>
            </w:rPr>
            <w:tab/>
          </w:r>
          <w:r>
            <w:rPr>
              <w:color w:val="auto"/>
            </w:rPr>
            <w:t>301</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"_bookmark339" </w:instrText>
          </w:r>
          <w:r>
            <w:rPr>
              <w:color w:val="auto"/>
            </w:rPr>
            <w:fldChar w:fldCharType="separate"/>
          </w:r>
          <w:r>
            <w:rPr>
              <w:color w:val="auto"/>
              <w:spacing w:val="-34"/>
            </w:rPr>
            <w:t>三百</w:t>
          </w:r>
          <w:r>
            <w:rPr>
              <w:color w:val="auto"/>
              <w:spacing w:val="-36"/>
            </w:rPr>
            <w:t>三</w:t>
          </w:r>
          <w:r>
            <w:rPr>
              <w:color w:val="auto"/>
              <w:spacing w:val="-34"/>
            </w:rPr>
            <w:t>十一、委</w:t>
          </w:r>
          <w:r>
            <w:rPr>
              <w:color w:val="auto"/>
              <w:spacing w:val="-36"/>
            </w:rPr>
            <w:t>托</w:t>
          </w:r>
          <w:r>
            <w:rPr>
              <w:color w:val="auto"/>
              <w:spacing w:val="-34"/>
            </w:rPr>
            <w:t>未取得与委</w:t>
          </w:r>
          <w:r>
            <w:rPr>
              <w:color w:val="auto"/>
              <w:spacing w:val="-36"/>
            </w:rPr>
            <w:t>托</w:t>
          </w:r>
          <w:r>
            <w:rPr>
              <w:color w:val="auto"/>
              <w:spacing w:val="-34"/>
            </w:rPr>
            <w:t>加工产品相</w:t>
          </w:r>
          <w:r>
            <w:rPr>
              <w:color w:val="auto"/>
              <w:spacing w:val="-36"/>
            </w:rPr>
            <w:t>应</w:t>
          </w:r>
          <w:r>
            <w:rPr>
              <w:color w:val="auto"/>
              <w:spacing w:val="-34"/>
            </w:rPr>
            <w:t>的生产许可</w:t>
          </w:r>
          <w:r>
            <w:rPr>
              <w:color w:val="auto"/>
              <w:spacing w:val="-36"/>
            </w:rPr>
            <w:t>的</w:t>
          </w:r>
          <w:r>
            <w:rPr>
              <w:color w:val="auto"/>
              <w:spacing w:val="-34"/>
            </w:rPr>
            <w:t>企业生产列</w:t>
          </w:r>
          <w:r>
            <w:rPr>
              <w:color w:val="auto"/>
              <w:spacing w:val="-36"/>
            </w:rPr>
            <w:t>入</w:t>
          </w:r>
          <w:r>
            <w:rPr>
              <w:color w:val="auto"/>
              <w:spacing w:val="-34"/>
            </w:rPr>
            <w:t>目录产品</w:t>
          </w:r>
          <w:r>
            <w:rPr>
              <w:color w:val="auto"/>
              <w:spacing w:val="-34"/>
            </w:rPr>
            <w:tab/>
          </w:r>
          <w:r>
            <w:rPr>
              <w:color w:val="auto"/>
            </w:rPr>
            <w:t>302</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"_bookmark340"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"_bookmark340" </w:instrText>
          </w:r>
          <w:r>
            <w:rPr>
              <w:color w:val="auto"/>
            </w:rPr>
            <w:fldChar w:fldCharType="separate"/>
          </w:r>
          <w:r>
            <w:rPr>
              <w:color w:val="auto"/>
            </w:rPr>
            <w:t>百三十二</w:t>
          </w:r>
          <w:r>
            <w:rPr>
              <w:color w:val="auto"/>
              <w:spacing w:val="-36"/>
            </w:rPr>
            <w:t>、</w:t>
          </w:r>
          <w:r>
            <w:rPr>
              <w:color w:val="auto"/>
            </w:rPr>
            <w:t>未向省级市场监督管理局或者其委托的市县级市场监督管理局提</w:t>
          </w:r>
          <w:r>
            <w:rPr>
              <w:color w:val="auto"/>
              <w:spacing w:val="-17"/>
            </w:rPr>
            <w:t>交</w:t>
          </w:r>
          <w:r>
            <w:rPr>
              <w:color w:val="auto"/>
              <w:spacing w:val="-17"/>
            </w:rPr>
            <w:fldChar w:fldCharType="end"/>
          </w:r>
          <w:r>
            <w:rPr>
              <w:color w:val="auto"/>
            </w:rPr>
            <w:t>自查报告</w:t>
          </w:r>
          <w:r>
            <w:rPr>
              <w:color w:val="auto"/>
            </w:rPr>
            <w:tab/>
          </w:r>
          <w:r>
            <w:rPr>
              <w:color w:val="auto"/>
              <w:spacing w:val="-6"/>
            </w:rPr>
            <w:t>303</w:t>
          </w:r>
        </w:p>
        <w:p>
          <w:pPr>
            <w:pStyle w:val="5"/>
            <w:tabs>
              <w:tab w:val="left" w:leader="dot" w:pos="8595"/>
            </w:tabs>
            <w:spacing w:line="308" w:lineRule="exact"/>
            <w:rPr>
              <w:color w:val="auto"/>
            </w:rPr>
          </w:pPr>
          <w:r>
            <w:rPr>
              <w:color w:val="auto"/>
            </w:rPr>
            <w:fldChar w:fldCharType="begin"/>
          </w:r>
          <w:r>
            <w:rPr>
              <w:color w:val="auto"/>
            </w:rPr>
            <w:instrText xml:space="preserve"> HYPERLINK \l "_bookmark341" </w:instrText>
          </w:r>
          <w:r>
            <w:rPr>
              <w:color w:val="auto"/>
            </w:rPr>
            <w:fldChar w:fldCharType="separate"/>
          </w:r>
          <w:r>
            <w:rPr>
              <w:color w:val="auto"/>
            </w:rPr>
            <w:t>三百三十三、生产者未按规定要求进行相关信息备案</w:t>
          </w:r>
          <w:r>
            <w:rPr>
              <w:color w:val="auto"/>
            </w:rPr>
            <w:tab/>
          </w:r>
          <w:r>
            <w:rPr>
              <w:color w:val="auto"/>
            </w:rPr>
            <w:t>304</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"_bookmark342" </w:instrText>
          </w:r>
          <w:r>
            <w:rPr>
              <w:color w:val="auto"/>
            </w:rPr>
            <w:fldChar w:fldCharType="separate"/>
          </w:r>
          <w:r>
            <w:rPr>
              <w:color w:val="auto"/>
            </w:rPr>
            <w:t>三百三十四、生产者未按规定要求建立健全信息档案</w:t>
          </w:r>
          <w:r>
            <w:rPr>
              <w:color w:val="auto"/>
            </w:rPr>
            <w:tab/>
          </w:r>
          <w:r>
            <w:rPr>
              <w:color w:val="auto"/>
            </w:rPr>
            <w:t>305</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"_bookmark343"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"_bookmark343" </w:instrText>
          </w:r>
          <w:r>
            <w:rPr>
              <w:color w:val="auto"/>
            </w:rPr>
            <w:fldChar w:fldCharType="separate"/>
          </w:r>
          <w:r>
            <w:rPr>
              <w:color w:val="auto"/>
            </w:rPr>
            <w:t>百三十五</w:t>
          </w:r>
          <w:r>
            <w:rPr>
              <w:color w:val="auto"/>
              <w:spacing w:val="-20"/>
            </w:rPr>
            <w:t>、</w:t>
          </w:r>
          <w:r>
            <w:rPr>
              <w:color w:val="auto"/>
            </w:rPr>
            <w:t>生产者接到省级以上市场监督管理部门缺陷调查通知</w:t>
          </w:r>
          <w:r>
            <w:rPr>
              <w:color w:val="auto"/>
              <w:spacing w:val="-17"/>
            </w:rPr>
            <w:t>，</w:t>
          </w:r>
          <w:r>
            <w:rPr>
              <w:color w:val="auto"/>
            </w:rPr>
            <w:t>但未及时</w:t>
          </w:r>
          <w:r>
            <w:rPr>
              <w:color w:val="auto"/>
              <w:spacing w:val="-16"/>
            </w:rPr>
            <w:t>进</w:t>
          </w:r>
          <w:r>
            <w:rPr>
              <w:color w:val="auto"/>
              <w:spacing w:val="-16"/>
            </w:rPr>
            <w:fldChar w:fldCharType="end"/>
          </w:r>
          <w:r>
            <w:rPr>
              <w:color w:val="auto"/>
            </w:rPr>
            <w:t>行缺陷调查</w:t>
          </w:r>
          <w:r>
            <w:rPr>
              <w:color w:val="auto"/>
            </w:rPr>
            <w:tab/>
          </w:r>
          <w:r>
            <w:rPr>
              <w:color w:val="auto"/>
              <w:spacing w:val="-6"/>
            </w:rPr>
            <w:t>306</w:t>
          </w:r>
        </w:p>
        <w:p>
          <w:pPr>
            <w:pStyle w:val="5"/>
            <w:tabs>
              <w:tab w:val="left" w:leader="dot" w:pos="8595"/>
            </w:tabs>
            <w:spacing w:line="308" w:lineRule="exact"/>
            <w:rPr>
              <w:color w:val="auto"/>
            </w:rPr>
          </w:pPr>
          <w:r>
            <w:rPr>
              <w:color w:val="auto"/>
            </w:rPr>
            <w:fldChar w:fldCharType="begin"/>
          </w:r>
          <w:r>
            <w:rPr>
              <w:color w:val="auto"/>
            </w:rPr>
            <w:instrText xml:space="preserve"> HYPERLINK \l "_bookmark344" </w:instrText>
          </w:r>
          <w:r>
            <w:rPr>
              <w:color w:val="auto"/>
            </w:rPr>
            <w:fldChar w:fldCharType="separate"/>
          </w:r>
          <w:r>
            <w:rPr>
              <w:color w:val="auto"/>
            </w:rPr>
            <w:t>三百三十六、生产者拒绝配合省级以上市场监督管理部门进行缺陷调查</w:t>
          </w:r>
          <w:r>
            <w:rPr>
              <w:color w:val="auto"/>
            </w:rPr>
            <w:tab/>
          </w:r>
          <w:r>
            <w:rPr>
              <w:color w:val="auto"/>
            </w:rPr>
            <w:t>308</w:t>
          </w:r>
          <w:r>
            <w:rPr>
              <w:color w:val="auto"/>
            </w:rPr>
            <w:fldChar w:fldCharType="end"/>
          </w:r>
        </w:p>
        <w:p>
          <w:pPr>
            <w:pStyle w:val="5"/>
            <w:tabs>
              <w:tab w:val="left" w:leader="dot" w:pos="8595"/>
            </w:tabs>
            <w:spacing w:before="168" w:line="374" w:lineRule="auto"/>
            <w:ind w:right="268"/>
            <w:rPr>
              <w:color w:val="auto"/>
            </w:rPr>
          </w:pPr>
          <w:r>
            <w:rPr>
              <w:color w:val="auto"/>
            </w:rPr>
            <w:fldChar w:fldCharType="begin"/>
          </w:r>
          <w:r>
            <w:rPr>
              <w:color w:val="auto"/>
            </w:rPr>
            <w:instrText xml:space="preserve"> HYPERLINK \l "_bookmark345" </w:instrText>
          </w:r>
          <w:r>
            <w:rPr>
              <w:color w:val="auto"/>
            </w:rPr>
            <w:fldChar w:fldCharType="separate"/>
          </w:r>
          <w:r>
            <w:rPr>
              <w:color w:val="auto"/>
            </w:rPr>
            <w:t>三百三十七、生产者未及时将缺陷调查结果报告省级以上市场监督管理部门</w:t>
          </w:r>
          <w:r>
            <w:rPr>
              <w:rFonts w:ascii="Times New Roman" w:eastAsia="Times New Roman"/>
              <w:color w:val="auto"/>
              <w:position w:val="2"/>
            </w:rPr>
            <w:t>.</w:t>
          </w:r>
          <w:r>
            <w:rPr>
              <w:rFonts w:ascii="Times New Roman" w:eastAsia="Times New Roman"/>
              <w:color w:val="auto"/>
              <w:spacing w:val="-36"/>
              <w:position w:val="2"/>
            </w:rPr>
            <w:t xml:space="preserve"> </w:t>
          </w:r>
          <w:r>
            <w:rPr>
              <w:color w:val="auto"/>
              <w:spacing w:val="-6"/>
            </w:rPr>
            <w:t xml:space="preserve">309 </w:t>
          </w:r>
          <w:r>
            <w:rPr>
              <w:color w:val="auto"/>
              <w:spacing w:val="-6"/>
            </w:rPr>
            <w:fldChar w:fldCharType="end"/>
          </w:r>
          <w:r>
            <w:rPr>
              <w:color w:val="auto"/>
            </w:rPr>
            <w:fldChar w:fldCharType="begin"/>
          </w:r>
          <w:r>
            <w:rPr>
              <w:color w:val="auto"/>
            </w:rPr>
            <w:instrText xml:space="preserve"> HYPERLINK \l "_bookmark346" </w:instrText>
          </w:r>
          <w:r>
            <w:rPr>
              <w:color w:val="auto"/>
            </w:rPr>
            <w:fldChar w:fldCharType="separate"/>
          </w:r>
          <w:r>
            <w:rPr>
              <w:color w:val="auto"/>
              <w:spacing w:val="-34"/>
            </w:rPr>
            <w:t>三百</w:t>
          </w:r>
          <w:r>
            <w:rPr>
              <w:color w:val="auto"/>
              <w:spacing w:val="-36"/>
            </w:rPr>
            <w:t>三</w:t>
          </w:r>
          <w:r>
            <w:rPr>
              <w:color w:val="auto"/>
              <w:spacing w:val="-34"/>
            </w:rPr>
            <w:t>十八、生</w:t>
          </w:r>
          <w:r>
            <w:rPr>
              <w:color w:val="auto"/>
              <w:spacing w:val="-36"/>
            </w:rPr>
            <w:t>产</w:t>
          </w:r>
          <w:r>
            <w:rPr>
              <w:color w:val="auto"/>
              <w:spacing w:val="-34"/>
            </w:rPr>
            <w:t>者确认儿童</w:t>
          </w:r>
          <w:r>
            <w:rPr>
              <w:color w:val="auto"/>
              <w:spacing w:val="-36"/>
            </w:rPr>
            <w:t>玩</w:t>
          </w:r>
          <w:r>
            <w:rPr>
              <w:color w:val="auto"/>
              <w:spacing w:val="-34"/>
            </w:rPr>
            <w:t>具存在缺陷</w:t>
          </w:r>
          <w:r>
            <w:rPr>
              <w:color w:val="auto"/>
              <w:spacing w:val="-36"/>
            </w:rPr>
            <w:t>，</w:t>
          </w:r>
          <w:r>
            <w:rPr>
              <w:color w:val="auto"/>
              <w:spacing w:val="-34"/>
            </w:rPr>
            <w:t>未停止生产</w:t>
          </w:r>
          <w:r>
            <w:rPr>
              <w:color w:val="auto"/>
              <w:spacing w:val="-36"/>
            </w:rPr>
            <w:t>销</w:t>
          </w:r>
          <w:r>
            <w:rPr>
              <w:color w:val="auto"/>
              <w:spacing w:val="-34"/>
            </w:rPr>
            <w:t>售存在缺陷</w:t>
          </w:r>
          <w:r>
            <w:rPr>
              <w:color w:val="auto"/>
              <w:spacing w:val="-36"/>
            </w:rPr>
            <w:t>的</w:t>
          </w:r>
          <w:r>
            <w:rPr>
              <w:color w:val="auto"/>
              <w:spacing w:val="-34"/>
            </w:rPr>
            <w:t>儿童玩具</w:t>
          </w:r>
          <w:r>
            <w:rPr>
              <w:color w:val="auto"/>
              <w:spacing w:val="-34"/>
            </w:rPr>
            <w:tab/>
          </w:r>
          <w:r>
            <w:rPr>
              <w:color w:val="auto"/>
              <w:spacing w:val="-6"/>
            </w:rPr>
            <w:t>310</w:t>
          </w:r>
          <w:r>
            <w:rPr>
              <w:color w:val="auto"/>
              <w:spacing w:val="-6"/>
            </w:rPr>
            <w:fldChar w:fldCharType="end"/>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"_bookmark347"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"_bookmark347" </w:instrText>
          </w:r>
          <w:r>
            <w:rPr>
              <w:color w:val="auto"/>
            </w:rPr>
            <w:fldChar w:fldCharType="separate"/>
          </w:r>
          <w:r>
            <w:rPr>
              <w:color w:val="auto"/>
            </w:rPr>
            <w:t>百三十九</w:t>
          </w:r>
          <w:r>
            <w:rPr>
              <w:color w:val="auto"/>
              <w:spacing w:val="-20"/>
            </w:rPr>
            <w:t>、</w:t>
          </w:r>
          <w:r>
            <w:rPr>
              <w:color w:val="auto"/>
            </w:rPr>
            <w:t>生产者在收到国家质检总局发出的责令召回通告后</w:t>
          </w:r>
          <w:r>
            <w:rPr>
              <w:color w:val="auto"/>
              <w:spacing w:val="-17"/>
            </w:rPr>
            <w:t>，</w:t>
          </w:r>
          <w:r>
            <w:rPr>
              <w:color w:val="auto"/>
            </w:rPr>
            <w:t>未停止生产</w:t>
          </w:r>
          <w:r>
            <w:rPr>
              <w:color w:val="auto"/>
              <w:spacing w:val="-16"/>
            </w:rPr>
            <w:t>销</w:t>
          </w:r>
          <w:r>
            <w:rPr>
              <w:color w:val="auto"/>
              <w:spacing w:val="-16"/>
            </w:rPr>
            <w:fldChar w:fldCharType="end"/>
          </w:r>
          <w:r>
            <w:rPr>
              <w:color w:val="auto"/>
            </w:rPr>
            <w:t>售存在缺陷的儿童玩具</w:t>
          </w:r>
          <w:r>
            <w:rPr>
              <w:color w:val="auto"/>
            </w:rPr>
            <w:tab/>
          </w:r>
          <w:r>
            <w:rPr>
              <w:color w:val="auto"/>
              <w:spacing w:val="-6"/>
            </w:rPr>
            <w:t>312</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"_bookmark348"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"_bookmark348" </w:instrText>
          </w:r>
          <w:r>
            <w:rPr>
              <w:color w:val="auto"/>
            </w:rPr>
            <w:fldChar w:fldCharType="separate"/>
          </w:r>
          <w:r>
            <w:rPr>
              <w:color w:val="auto"/>
            </w:rPr>
            <w:t>百四十</w:t>
          </w:r>
          <w:r>
            <w:rPr>
              <w:color w:val="auto"/>
              <w:spacing w:val="-20"/>
            </w:rPr>
            <w:t>、</w:t>
          </w:r>
          <w:r>
            <w:rPr>
              <w:color w:val="auto"/>
            </w:rPr>
            <w:t>确认儿童玩具存在缺陷的</w:t>
          </w:r>
          <w:r>
            <w:rPr>
              <w:color w:val="auto"/>
              <w:spacing w:val="-17"/>
            </w:rPr>
            <w:t>，</w:t>
          </w:r>
          <w:r>
            <w:rPr>
              <w:color w:val="auto"/>
            </w:rPr>
            <w:t>生产者未依法向社会公布有关儿童玩具</w:t>
          </w:r>
          <w:r>
            <w:rPr>
              <w:color w:val="auto"/>
              <w:spacing w:val="-16"/>
            </w:rPr>
            <w:t>缺</w:t>
          </w:r>
          <w:r>
            <w:rPr>
              <w:color w:val="auto"/>
              <w:spacing w:val="-16"/>
            </w:rPr>
            <w:fldChar w:fldCharType="end"/>
          </w:r>
          <w:r>
            <w:rPr>
              <w:color w:val="auto"/>
            </w:rPr>
            <w:t>陷等信息</w:t>
          </w:r>
          <w:r>
            <w:rPr>
              <w:color w:val="auto"/>
              <w:spacing w:val="-20"/>
            </w:rPr>
            <w:t>、</w:t>
          </w:r>
          <w:r>
            <w:rPr>
              <w:color w:val="auto"/>
            </w:rPr>
            <w:t>通知销售者停止销售存在缺陷的儿童玩具</w:t>
          </w:r>
          <w:r>
            <w:rPr>
              <w:color w:val="auto"/>
              <w:spacing w:val="-17"/>
            </w:rPr>
            <w:t>、</w:t>
          </w:r>
          <w:r>
            <w:rPr>
              <w:color w:val="auto"/>
            </w:rPr>
            <w:t>通知消费者停止消费存</w:t>
          </w:r>
          <w:r>
            <w:rPr>
              <w:color w:val="auto"/>
              <w:spacing w:val="-16"/>
            </w:rPr>
            <w:t>在</w:t>
          </w:r>
          <w:r>
            <w:rPr>
              <w:color w:val="auto"/>
            </w:rPr>
            <w:t>缺陷的儿童玩具，未实施主动召回</w:t>
          </w:r>
          <w:r>
            <w:rPr>
              <w:color w:val="auto"/>
            </w:rPr>
            <w:tab/>
          </w:r>
          <w:r>
            <w:rPr>
              <w:color w:val="auto"/>
              <w:spacing w:val="-6"/>
            </w:rPr>
            <w:t>313</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"_bookmark349"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"_bookmark349" </w:instrText>
          </w:r>
          <w:r>
            <w:rPr>
              <w:color w:val="auto"/>
            </w:rPr>
            <w:fldChar w:fldCharType="separate"/>
          </w:r>
          <w:r>
            <w:rPr>
              <w:color w:val="auto"/>
            </w:rPr>
            <w:t>百四十一</w:t>
          </w:r>
          <w:r>
            <w:rPr>
              <w:color w:val="auto"/>
              <w:spacing w:val="-20"/>
            </w:rPr>
            <w:t>、</w:t>
          </w:r>
          <w:r>
            <w:rPr>
              <w:color w:val="auto"/>
            </w:rPr>
            <w:t>生产者召回儿童玩具</w:t>
          </w:r>
          <w:r>
            <w:rPr>
              <w:color w:val="auto"/>
              <w:spacing w:val="-17"/>
            </w:rPr>
            <w:t>，</w:t>
          </w:r>
          <w:r>
            <w:rPr>
              <w:color w:val="auto"/>
            </w:rPr>
            <w:t>未及时将主动召回计划提交所在地的省级</w:t>
          </w:r>
          <w:r>
            <w:rPr>
              <w:color w:val="auto"/>
              <w:spacing w:val="-16"/>
            </w:rPr>
            <w:t>市</w:t>
          </w:r>
          <w:r>
            <w:rPr>
              <w:color w:val="auto"/>
              <w:spacing w:val="-16"/>
            </w:rPr>
            <w:fldChar w:fldCharType="end"/>
          </w:r>
          <w:r>
            <w:rPr>
              <w:color w:val="auto"/>
            </w:rPr>
            <w:t>场监督管理部门备案</w:t>
          </w:r>
          <w:r>
            <w:rPr>
              <w:color w:val="auto"/>
            </w:rPr>
            <w:tab/>
          </w:r>
          <w:r>
            <w:rPr>
              <w:color w:val="auto"/>
              <w:spacing w:val="-6"/>
            </w:rPr>
            <w:t>315</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"_bookmark350"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"_bookmark350" </w:instrText>
          </w:r>
          <w:r>
            <w:rPr>
              <w:color w:val="auto"/>
            </w:rPr>
            <w:fldChar w:fldCharType="separate"/>
          </w:r>
          <w:r>
            <w:rPr>
              <w:color w:val="auto"/>
            </w:rPr>
            <w:t>百四十二</w:t>
          </w:r>
          <w:r>
            <w:rPr>
              <w:color w:val="auto"/>
              <w:spacing w:val="-36"/>
            </w:rPr>
            <w:t>、</w:t>
          </w:r>
          <w:r>
            <w:rPr>
              <w:color w:val="auto"/>
            </w:rPr>
            <w:t>儿童玩具生产者在接到国家市场监管总局责令召回通告</w:t>
          </w:r>
          <w:r>
            <w:rPr>
              <w:color w:val="auto"/>
              <w:spacing w:val="-60"/>
            </w:rPr>
            <w:t xml:space="preserve"> </w:t>
          </w:r>
          <w:r>
            <w:rPr>
              <w:color w:val="auto"/>
            </w:rPr>
            <w:t>5</w:t>
          </w:r>
          <w:r>
            <w:rPr>
              <w:color w:val="auto"/>
              <w:spacing w:val="-60"/>
            </w:rPr>
            <w:t xml:space="preserve"> </w:t>
          </w:r>
          <w:r>
            <w:rPr>
              <w:color w:val="auto"/>
            </w:rPr>
            <w:t>个工作</w:t>
          </w:r>
          <w:r>
            <w:rPr>
              <w:color w:val="auto"/>
              <w:spacing w:val="-17"/>
            </w:rPr>
            <w:t>日</w:t>
          </w:r>
          <w:r>
            <w:rPr>
              <w:color w:val="auto"/>
              <w:spacing w:val="-17"/>
            </w:rPr>
            <w:fldChar w:fldCharType="end"/>
          </w:r>
          <w:r>
            <w:rPr>
              <w:color w:val="auto"/>
            </w:rPr>
            <w:t>内，未向国家市场监管总局提交召回报告</w:t>
          </w:r>
          <w:r>
            <w:rPr>
              <w:color w:val="auto"/>
            </w:rPr>
            <w:tab/>
          </w:r>
          <w:r>
            <w:rPr>
              <w:color w:val="auto"/>
              <w:spacing w:val="-6"/>
            </w:rPr>
            <w:t>316</w:t>
          </w:r>
        </w:p>
        <w:p>
          <w:pPr>
            <w:pStyle w:val="5"/>
            <w:spacing w:line="374" w:lineRule="auto"/>
            <w:ind w:right="268"/>
            <w:rPr>
              <w:color w:val="auto"/>
            </w:rPr>
          </w:pPr>
          <w:r>
            <w:rPr>
              <w:color w:val="auto"/>
            </w:rPr>
            <w:fldChar w:fldCharType="begin"/>
          </w:r>
          <w:r>
            <w:rPr>
              <w:color w:val="auto"/>
            </w:rPr>
            <w:instrText xml:space="preserve"> HYPERLINK \l "_bookmark351"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"_bookmark351" </w:instrText>
          </w:r>
          <w:r>
            <w:rPr>
              <w:color w:val="auto"/>
            </w:rPr>
            <w:fldChar w:fldCharType="separate"/>
          </w:r>
          <w:r>
            <w:rPr>
              <w:color w:val="auto"/>
              <w:spacing w:val="-2"/>
            </w:rPr>
            <w:t xml:space="preserve">百四十三、儿童玩具生产者在召回报告确定的召回完成时限期满后 </w:t>
          </w:r>
          <w:r>
            <w:rPr>
              <w:color w:val="auto"/>
            </w:rPr>
            <w:t>15</w:t>
          </w:r>
          <w:r>
            <w:rPr>
              <w:color w:val="auto"/>
              <w:spacing w:val="-15"/>
            </w:rPr>
            <w:t xml:space="preserve"> 个工作</w:t>
          </w:r>
          <w:r>
            <w:rPr>
              <w:color w:val="auto"/>
              <w:spacing w:val="-15"/>
            </w:rPr>
            <w:fldChar w:fldCharType="end"/>
          </w:r>
          <w:r>
            <w:rPr>
              <w:color w:val="auto"/>
              <w:spacing w:val="-10"/>
            </w:rPr>
            <w:t>日内，未向所在地的省级市场监督管理部门提交主动召回总结；在责令召回实施</w:t>
          </w:r>
          <w:r>
            <w:rPr>
              <w:color w:val="auto"/>
              <w:spacing w:val="-3"/>
            </w:rPr>
            <w:t>过程中未按照国家市场监管总局的要求提交阶段性召回总结；或未制作并保存完</w:t>
          </w:r>
        </w:p>
        <w:p>
          <w:pPr>
            <w:pStyle w:val="5"/>
            <w:tabs>
              <w:tab w:val="left" w:leader="dot" w:pos="8595"/>
            </w:tabs>
            <w:spacing w:after="59" w:line="308" w:lineRule="exact"/>
            <w:rPr>
              <w:color w:val="auto"/>
            </w:rPr>
          </w:pPr>
          <w:r>
            <w:rPr>
              <w:color w:val="auto"/>
            </w:rPr>
            <w:t>整的责令召回记录，并及时向国家市场监管总局提交召回总结</w:t>
          </w:r>
          <w:r>
            <w:rPr>
              <w:color w:val="auto"/>
            </w:rPr>
            <w:tab/>
          </w:r>
          <w:r>
            <w:rPr>
              <w:color w:val="auto"/>
            </w:rPr>
            <w:t>318</w:t>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"_bookmark352"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"_bookmark352" </w:instrText>
          </w:r>
          <w:r>
            <w:rPr>
              <w:color w:val="auto"/>
            </w:rPr>
            <w:fldChar w:fldCharType="separate"/>
          </w:r>
          <w:r>
            <w:rPr>
              <w:color w:val="auto"/>
            </w:rPr>
            <w:t>百四十四</w:t>
          </w:r>
          <w:r>
            <w:rPr>
              <w:color w:val="auto"/>
              <w:spacing w:val="-36"/>
            </w:rPr>
            <w:t>、</w:t>
          </w:r>
          <w:r>
            <w:rPr>
              <w:color w:val="auto"/>
            </w:rPr>
            <w:t>儿童玩具生产者未按已经国家市场监管总局审查批准的召回报告</w:t>
          </w:r>
          <w:r>
            <w:rPr>
              <w:color w:val="auto"/>
              <w:spacing w:val="-17"/>
            </w:rPr>
            <w:t>或</w:t>
          </w:r>
          <w:r>
            <w:rPr>
              <w:color w:val="auto"/>
              <w:spacing w:val="-17"/>
            </w:rPr>
            <w:fldChar w:fldCharType="end"/>
          </w:r>
          <w:r>
            <w:rPr>
              <w:color w:val="auto"/>
            </w:rPr>
            <w:t>国家市场监管总局提出的召回要求实施召回</w:t>
          </w:r>
          <w:r>
            <w:rPr>
              <w:color w:val="auto"/>
            </w:rPr>
            <w:tab/>
          </w:r>
          <w:r>
            <w:rPr>
              <w:color w:val="auto"/>
              <w:spacing w:val="-6"/>
            </w:rPr>
            <w:t>319</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"_bookmark353"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"_bookmark353" </w:instrText>
          </w:r>
          <w:r>
            <w:rPr>
              <w:color w:val="auto"/>
            </w:rPr>
            <w:fldChar w:fldCharType="separate"/>
          </w:r>
          <w:r>
            <w:rPr>
              <w:color w:val="auto"/>
            </w:rPr>
            <w:t>百四十五</w:t>
          </w:r>
          <w:r>
            <w:rPr>
              <w:color w:val="auto"/>
              <w:spacing w:val="-12"/>
            </w:rPr>
            <w:t>、</w:t>
          </w:r>
          <w:r>
            <w:rPr>
              <w:color w:val="auto"/>
            </w:rPr>
            <w:t>未</w:t>
          </w:r>
          <w:r>
            <w:rPr>
              <w:color w:val="auto"/>
              <w:spacing w:val="-12"/>
            </w:rPr>
            <w:t>按</w:t>
          </w:r>
          <w:r>
            <w:rPr>
              <w:color w:val="auto"/>
            </w:rPr>
            <w:t>《产品防伪监督管理办法</w:t>
          </w:r>
          <w:r>
            <w:rPr>
              <w:color w:val="auto"/>
              <w:spacing w:val="-12"/>
            </w:rPr>
            <w:t>》</w:t>
          </w:r>
          <w:r>
            <w:rPr>
              <w:color w:val="auto"/>
            </w:rPr>
            <w:t>取得生产许可证而擅自生产销售</w:t>
          </w:r>
          <w:r>
            <w:rPr>
              <w:color w:val="auto"/>
              <w:spacing w:val="-17"/>
            </w:rPr>
            <w:t>防</w:t>
          </w:r>
          <w:r>
            <w:rPr>
              <w:color w:val="auto"/>
              <w:spacing w:val="-17"/>
            </w:rPr>
            <w:fldChar w:fldCharType="end"/>
          </w:r>
          <w:r>
            <w:rPr>
              <w:color w:val="auto"/>
            </w:rPr>
            <w:t>伪技术产品</w:t>
          </w:r>
          <w:r>
            <w:rPr>
              <w:color w:val="auto"/>
              <w:spacing w:val="-20"/>
            </w:rPr>
            <w:t>，</w:t>
          </w:r>
          <w:r>
            <w:rPr>
              <w:color w:val="auto"/>
            </w:rPr>
            <w:t>以及已获得防伪技术产品生产许可证</w:t>
          </w:r>
          <w:r>
            <w:rPr>
              <w:color w:val="auto"/>
              <w:spacing w:val="-17"/>
            </w:rPr>
            <w:t>，</w:t>
          </w:r>
          <w:r>
            <w:rPr>
              <w:color w:val="auto"/>
            </w:rPr>
            <w:t>而超出规定范围生产防伪</w:t>
          </w:r>
          <w:r>
            <w:rPr>
              <w:color w:val="auto"/>
              <w:spacing w:val="-16"/>
            </w:rPr>
            <w:t>技</w:t>
          </w:r>
          <w:r>
            <w:rPr>
              <w:color w:val="auto"/>
            </w:rPr>
            <w:t>术产品</w:t>
          </w:r>
          <w:r>
            <w:rPr>
              <w:color w:val="auto"/>
            </w:rPr>
            <w:tab/>
          </w:r>
          <w:r>
            <w:rPr>
              <w:color w:val="auto"/>
              <w:spacing w:val="-6"/>
            </w:rPr>
            <w:t>321</w:t>
          </w:r>
        </w:p>
        <w:p>
          <w:pPr>
            <w:pStyle w:val="5"/>
            <w:tabs>
              <w:tab w:val="left" w:leader="dot" w:pos="8595"/>
            </w:tabs>
            <w:spacing w:line="308" w:lineRule="exact"/>
            <w:rPr>
              <w:color w:val="auto"/>
            </w:rPr>
          </w:pPr>
          <w:r>
            <w:rPr>
              <w:color w:val="auto"/>
            </w:rPr>
            <w:fldChar w:fldCharType="begin"/>
          </w:r>
          <w:r>
            <w:rPr>
              <w:color w:val="auto"/>
            </w:rPr>
            <w:instrText xml:space="preserve"> HYPERLINK \l "_bookmark354" </w:instrText>
          </w:r>
          <w:r>
            <w:rPr>
              <w:color w:val="auto"/>
            </w:rPr>
            <w:fldChar w:fldCharType="separate"/>
          </w:r>
          <w:r>
            <w:rPr>
              <w:color w:val="auto"/>
            </w:rPr>
            <w:t>三百四十六、生产不符合有关强制性标准的防伪技术产品</w:t>
          </w:r>
          <w:r>
            <w:rPr>
              <w:color w:val="auto"/>
            </w:rPr>
            <w:tab/>
          </w:r>
          <w:r>
            <w:rPr>
              <w:color w:val="auto"/>
            </w:rPr>
            <w:t>323</w:t>
          </w:r>
          <w:r>
            <w:rPr>
              <w:color w:val="auto"/>
            </w:rPr>
            <w:fldChar w:fldCharType="end"/>
          </w:r>
        </w:p>
        <w:p>
          <w:pPr>
            <w:pStyle w:val="5"/>
            <w:tabs>
              <w:tab w:val="left" w:leader="dot" w:pos="8595"/>
            </w:tabs>
            <w:spacing w:before="172" w:line="374" w:lineRule="auto"/>
            <w:ind w:right="268"/>
            <w:jc w:val="both"/>
            <w:rPr>
              <w:color w:val="auto"/>
            </w:rPr>
          </w:pPr>
          <w:r>
            <w:rPr>
              <w:color w:val="auto"/>
            </w:rPr>
            <w:fldChar w:fldCharType="begin"/>
          </w:r>
          <w:r>
            <w:rPr>
              <w:color w:val="auto"/>
            </w:rPr>
            <w:instrText xml:space="preserve"> HYPERLINK \l "_bookmark355"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"_bookmark355" </w:instrText>
          </w:r>
          <w:r>
            <w:rPr>
              <w:color w:val="auto"/>
            </w:rPr>
            <w:fldChar w:fldCharType="separate"/>
          </w:r>
          <w:r>
            <w:rPr>
              <w:color w:val="auto"/>
            </w:rPr>
            <w:t>百四十七</w:t>
          </w:r>
          <w:r>
            <w:rPr>
              <w:color w:val="auto"/>
              <w:spacing w:val="-20"/>
            </w:rPr>
            <w:t>、</w:t>
          </w:r>
          <w:r>
            <w:rPr>
              <w:color w:val="auto"/>
            </w:rPr>
            <w:t>生产假冒他人的防伪技术产品</w:t>
          </w:r>
          <w:r>
            <w:rPr>
              <w:color w:val="auto"/>
              <w:spacing w:val="-17"/>
            </w:rPr>
            <w:t>，</w:t>
          </w:r>
          <w:r>
            <w:rPr>
              <w:color w:val="auto"/>
            </w:rPr>
            <w:t>为第三方生产相同或者近似的防</w:t>
          </w:r>
          <w:r>
            <w:rPr>
              <w:color w:val="auto"/>
              <w:spacing w:val="-16"/>
            </w:rPr>
            <w:t>伪</w:t>
          </w:r>
          <w:r>
            <w:rPr>
              <w:color w:val="auto"/>
              <w:spacing w:val="-16"/>
            </w:rPr>
            <w:fldChar w:fldCharType="end"/>
          </w:r>
          <w:r>
            <w:rPr>
              <w:color w:val="auto"/>
            </w:rPr>
            <w:t>技术产品</w:t>
          </w:r>
          <w:r>
            <w:rPr>
              <w:color w:val="auto"/>
              <w:spacing w:val="-20"/>
            </w:rPr>
            <w:t>，</w:t>
          </w:r>
          <w:r>
            <w:rPr>
              <w:color w:val="auto"/>
            </w:rPr>
            <w:t>以及未订立合同或者违背合同非法生产</w:t>
          </w:r>
          <w:r>
            <w:rPr>
              <w:color w:val="auto"/>
              <w:spacing w:val="-17"/>
            </w:rPr>
            <w:t>、</w:t>
          </w:r>
          <w:r>
            <w:rPr>
              <w:color w:val="auto"/>
            </w:rPr>
            <w:t>买卖防伪技术产品或者含</w:t>
          </w:r>
          <w:r>
            <w:rPr>
              <w:color w:val="auto"/>
              <w:spacing w:val="-16"/>
            </w:rPr>
            <w:t>有</w:t>
          </w:r>
          <w:r>
            <w:rPr>
              <w:color w:val="auto"/>
            </w:rPr>
            <w:t>防伪技术产品的包装物、标签</w:t>
          </w:r>
          <w:r>
            <w:rPr>
              <w:color w:val="auto"/>
            </w:rPr>
            <w:tab/>
          </w:r>
          <w:r>
            <w:rPr>
              <w:color w:val="auto"/>
              <w:spacing w:val="-6"/>
            </w:rPr>
            <w:t>325</w:t>
          </w:r>
        </w:p>
        <w:p>
          <w:pPr>
            <w:pStyle w:val="5"/>
            <w:spacing w:line="308" w:lineRule="exact"/>
            <w:jc w:val="both"/>
            <w:rPr>
              <w:color w:val="auto"/>
            </w:rPr>
          </w:pPr>
          <w:r>
            <w:rPr>
              <w:color w:val="auto"/>
            </w:rPr>
            <w:fldChar w:fldCharType="begin"/>
          </w:r>
          <w:r>
            <w:rPr>
              <w:color w:val="auto"/>
            </w:rPr>
            <w:instrText xml:space="preserve"> HYPERLINK \l "_bookmark356" </w:instrText>
          </w:r>
          <w:r>
            <w:rPr>
              <w:color w:val="auto"/>
            </w:rPr>
            <w:fldChar w:fldCharType="separate"/>
          </w:r>
          <w:r>
            <w:rPr>
              <w:color w:val="auto"/>
              <w:spacing w:val="-35"/>
            </w:rPr>
            <w:t xml:space="preserve">三百四十八、选用未获得生产许可证的防伪技术产品生产企业生产的防伪技术产品      </w:t>
          </w:r>
          <w:r>
            <w:rPr>
              <w:color w:val="auto"/>
            </w:rPr>
            <w:t>326</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"_bookmark357" </w:instrText>
          </w:r>
          <w:r>
            <w:rPr>
              <w:color w:val="auto"/>
            </w:rPr>
            <w:fldChar w:fldCharType="separate"/>
          </w:r>
          <w:r>
            <w:rPr>
              <w:color w:val="auto"/>
            </w:rPr>
            <w:t>三百四十九、选用未获得防伪注册登记的境外防伪技术产品</w:t>
          </w:r>
          <w:r>
            <w:rPr>
              <w:color w:val="auto"/>
            </w:rPr>
            <w:tab/>
          </w:r>
          <w:r>
            <w:rPr>
              <w:color w:val="auto"/>
            </w:rPr>
            <w:t>327</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"_bookmark358" </w:instrText>
          </w:r>
          <w:r>
            <w:rPr>
              <w:color w:val="auto"/>
            </w:rPr>
            <w:fldChar w:fldCharType="separate"/>
          </w:r>
          <w:r>
            <w:rPr>
              <w:color w:val="auto"/>
            </w:rPr>
            <w:t>三百五十、在假冒产品上使用防伪技术产品</w:t>
          </w:r>
          <w:r>
            <w:rPr>
              <w:color w:val="auto"/>
            </w:rPr>
            <w:tab/>
          </w:r>
          <w:r>
            <w:rPr>
              <w:color w:val="auto"/>
            </w:rPr>
            <w:t>329</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"_bookmark359"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"_bookmark359" </w:instrText>
          </w:r>
          <w:r>
            <w:rPr>
              <w:color w:val="auto"/>
            </w:rPr>
            <w:fldChar w:fldCharType="separate"/>
          </w:r>
          <w:r>
            <w:rPr>
              <w:color w:val="auto"/>
            </w:rPr>
            <w:t>百五十一</w:t>
          </w:r>
          <w:r>
            <w:rPr>
              <w:color w:val="auto"/>
              <w:spacing w:val="-20"/>
            </w:rPr>
            <w:t>、</w:t>
          </w:r>
          <w:r>
            <w:rPr>
              <w:color w:val="auto"/>
            </w:rPr>
            <w:t>伪造或者冒用防伪技术评审</w:t>
          </w:r>
          <w:r>
            <w:rPr>
              <w:color w:val="auto"/>
              <w:spacing w:val="-17"/>
            </w:rPr>
            <w:t>、</w:t>
          </w:r>
          <w:r>
            <w:rPr>
              <w:color w:val="auto"/>
            </w:rPr>
            <w:t>防伪技术产品生产许可及防伪注册</w:t>
          </w:r>
          <w:r>
            <w:rPr>
              <w:color w:val="auto"/>
              <w:spacing w:val="-16"/>
            </w:rPr>
            <w:t>登</w:t>
          </w:r>
          <w:r>
            <w:rPr>
              <w:color w:val="auto"/>
              <w:spacing w:val="-16"/>
            </w:rPr>
            <w:fldChar w:fldCharType="end"/>
          </w:r>
          <w:r>
            <w:rPr>
              <w:color w:val="auto"/>
            </w:rPr>
            <w:t>记等证书</w:t>
          </w:r>
          <w:r>
            <w:rPr>
              <w:color w:val="auto"/>
            </w:rPr>
            <w:tab/>
          </w:r>
          <w:r>
            <w:rPr>
              <w:color w:val="auto"/>
              <w:spacing w:val="-6"/>
            </w:rPr>
            <w:t>330</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"_bookmark360"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"_bookmark360" </w:instrText>
          </w:r>
          <w:r>
            <w:rPr>
              <w:color w:val="auto"/>
            </w:rPr>
            <w:fldChar w:fldCharType="separate"/>
          </w:r>
          <w:r>
            <w:rPr>
              <w:color w:val="auto"/>
            </w:rPr>
            <w:t>百五十二</w:t>
          </w:r>
          <w:r>
            <w:rPr>
              <w:color w:val="auto"/>
              <w:spacing w:val="-20"/>
            </w:rPr>
            <w:t>、</w:t>
          </w:r>
          <w:r>
            <w:rPr>
              <w:color w:val="auto"/>
            </w:rPr>
            <w:t>电器电子产品生产者所采用的材料</w:t>
          </w:r>
          <w:r>
            <w:rPr>
              <w:color w:val="auto"/>
              <w:spacing w:val="-17"/>
            </w:rPr>
            <w:t>、</w:t>
          </w:r>
          <w:r>
            <w:rPr>
              <w:color w:val="auto"/>
            </w:rPr>
            <w:t>技术和工艺违反电器电子产</w:t>
          </w:r>
          <w:r>
            <w:rPr>
              <w:color w:val="auto"/>
              <w:spacing w:val="-16"/>
            </w:rPr>
            <w:t>品</w:t>
          </w:r>
          <w:r>
            <w:rPr>
              <w:color w:val="auto"/>
              <w:spacing w:val="-16"/>
            </w:rPr>
            <w:fldChar w:fldCharType="end"/>
          </w:r>
          <w:r>
            <w:rPr>
              <w:color w:val="auto"/>
            </w:rPr>
            <w:t>有害物质限制使用国家标准或行业标准，以及将不符合要求的电器电子产品出厂、销售</w:t>
          </w:r>
          <w:r>
            <w:rPr>
              <w:color w:val="auto"/>
            </w:rPr>
            <w:tab/>
          </w:r>
          <w:r>
            <w:rPr>
              <w:color w:val="auto"/>
              <w:spacing w:val="-6"/>
            </w:rPr>
            <w:t>332</w:t>
          </w:r>
        </w:p>
        <w:p>
          <w:pPr>
            <w:pStyle w:val="5"/>
            <w:tabs>
              <w:tab w:val="left" w:leader="dot" w:pos="8595"/>
            </w:tabs>
            <w:spacing w:before="1" w:line="374" w:lineRule="auto"/>
            <w:ind w:left="548" w:right="247" w:firstLine="43"/>
            <w:rPr>
              <w:color w:val="auto"/>
            </w:rPr>
          </w:pPr>
          <w:r>
            <w:rPr>
              <w:color w:val="auto"/>
            </w:rPr>
            <w:fldChar w:fldCharType="begin"/>
          </w:r>
          <w:r>
            <w:rPr>
              <w:color w:val="auto"/>
            </w:rPr>
            <w:instrText xml:space="preserve"> HYPERLINK \l "_bookmark361" </w:instrText>
          </w:r>
          <w:r>
            <w:rPr>
              <w:color w:val="auto"/>
            </w:rPr>
            <w:fldChar w:fldCharType="separate"/>
          </w:r>
          <w:r>
            <w:rPr>
              <w:color w:val="auto"/>
              <w:spacing w:val="-22"/>
            </w:rPr>
            <w:t>三</w:t>
          </w:r>
          <w:r>
            <w:rPr>
              <w:color w:val="auto"/>
              <w:spacing w:val="-22"/>
            </w:rPr>
            <w:fldChar w:fldCharType="end"/>
          </w:r>
          <w:r>
            <w:rPr>
              <w:color w:val="auto"/>
            </w:rPr>
            <w:fldChar w:fldCharType="begin"/>
          </w:r>
          <w:r>
            <w:rPr>
              <w:color w:val="auto"/>
            </w:rPr>
            <w:instrText xml:space="preserve"> HYPERLINK \l "_bookmark361" </w:instrText>
          </w:r>
          <w:r>
            <w:rPr>
              <w:color w:val="auto"/>
            </w:rPr>
            <w:fldChar w:fldCharType="separate"/>
          </w:r>
          <w:r>
            <w:rPr>
              <w:color w:val="auto"/>
              <w:spacing w:val="-22"/>
            </w:rPr>
            <w:t>百</w:t>
          </w:r>
          <w:r>
            <w:rPr>
              <w:color w:val="auto"/>
              <w:spacing w:val="-24"/>
            </w:rPr>
            <w:t>五</w:t>
          </w:r>
          <w:r>
            <w:rPr>
              <w:color w:val="auto"/>
              <w:spacing w:val="-22"/>
            </w:rPr>
            <w:t>十三、未</w:t>
          </w:r>
          <w:r>
            <w:rPr>
              <w:color w:val="auto"/>
              <w:spacing w:val="-24"/>
            </w:rPr>
            <w:t>向</w:t>
          </w:r>
          <w:r>
            <w:rPr>
              <w:color w:val="auto"/>
              <w:spacing w:val="-22"/>
            </w:rPr>
            <w:t>国家市场</w:t>
          </w:r>
          <w:r>
            <w:rPr>
              <w:color w:val="auto"/>
              <w:spacing w:val="-24"/>
            </w:rPr>
            <w:t>监</w:t>
          </w:r>
          <w:r>
            <w:rPr>
              <w:color w:val="auto"/>
              <w:spacing w:val="-20"/>
            </w:rPr>
            <w:t>管</w:t>
          </w:r>
          <w:r>
            <w:rPr>
              <w:color w:val="auto"/>
              <w:spacing w:val="-22"/>
            </w:rPr>
            <w:t>总局</w:t>
          </w:r>
          <w:r>
            <w:rPr>
              <w:color w:val="auto"/>
              <w:spacing w:val="-24"/>
            </w:rPr>
            <w:t>备</w:t>
          </w:r>
          <w:r>
            <w:rPr>
              <w:color w:val="auto"/>
              <w:spacing w:val="-22"/>
            </w:rPr>
            <w:t>案生产者基</w:t>
          </w:r>
          <w:r>
            <w:rPr>
              <w:color w:val="auto"/>
              <w:spacing w:val="-24"/>
            </w:rPr>
            <w:t>本</w:t>
          </w:r>
          <w:r>
            <w:rPr>
              <w:color w:val="auto"/>
              <w:spacing w:val="-22"/>
            </w:rPr>
            <w:t>信息、车型</w:t>
          </w:r>
          <w:r>
            <w:rPr>
              <w:color w:val="auto"/>
              <w:spacing w:val="-24"/>
            </w:rPr>
            <w:t>信</w:t>
          </w:r>
          <w:r>
            <w:rPr>
              <w:color w:val="auto"/>
              <w:spacing w:val="-22"/>
            </w:rPr>
            <w:t>息、约定的</w:t>
          </w:r>
          <w:r>
            <w:rPr>
              <w:color w:val="auto"/>
              <w:spacing w:val="-24"/>
            </w:rPr>
            <w:t>销</w:t>
          </w:r>
          <w:r>
            <w:rPr>
              <w:color w:val="auto"/>
              <w:spacing w:val="-22"/>
            </w:rPr>
            <w:t>售和</w:t>
          </w:r>
          <w:r>
            <w:rPr>
              <w:color w:val="auto"/>
            </w:rPr>
            <w:t>修</w:t>
          </w:r>
          <w:r>
            <w:rPr>
              <w:color w:val="auto"/>
            </w:rPr>
            <w:fldChar w:fldCharType="end"/>
          </w:r>
          <w:r>
            <w:rPr>
              <w:color w:val="auto"/>
              <w:spacing w:val="-22"/>
            </w:rPr>
            <w:t>理网</w:t>
          </w:r>
          <w:r>
            <w:rPr>
              <w:color w:val="auto"/>
              <w:spacing w:val="-24"/>
            </w:rPr>
            <w:t>点</w:t>
          </w:r>
          <w:r>
            <w:rPr>
              <w:color w:val="auto"/>
              <w:spacing w:val="-22"/>
            </w:rPr>
            <w:t>资料</w:t>
          </w:r>
          <w:r>
            <w:rPr>
              <w:color w:val="auto"/>
              <w:spacing w:val="-46"/>
            </w:rPr>
            <w:t>、</w:t>
          </w:r>
          <w:r>
            <w:rPr>
              <w:color w:val="auto"/>
              <w:spacing w:val="-22"/>
            </w:rPr>
            <w:t>产品</w:t>
          </w:r>
          <w:r>
            <w:rPr>
              <w:color w:val="auto"/>
              <w:spacing w:val="-24"/>
            </w:rPr>
            <w:t>使</w:t>
          </w:r>
          <w:r>
            <w:rPr>
              <w:color w:val="auto"/>
              <w:spacing w:val="-22"/>
            </w:rPr>
            <w:t>用说明</w:t>
          </w:r>
          <w:r>
            <w:rPr>
              <w:color w:val="auto"/>
              <w:spacing w:val="-24"/>
            </w:rPr>
            <w:t>书</w:t>
          </w:r>
          <w:r>
            <w:rPr>
              <w:color w:val="auto"/>
              <w:spacing w:val="-44"/>
            </w:rPr>
            <w:t>、</w:t>
          </w:r>
          <w:r>
            <w:rPr>
              <w:color w:val="auto"/>
              <w:spacing w:val="-22"/>
            </w:rPr>
            <w:t>三包</w:t>
          </w:r>
          <w:r>
            <w:rPr>
              <w:color w:val="auto"/>
              <w:spacing w:val="-24"/>
            </w:rPr>
            <w:t>凭</w:t>
          </w:r>
          <w:r>
            <w:rPr>
              <w:color w:val="auto"/>
              <w:spacing w:val="-22"/>
            </w:rPr>
            <w:t>证</w:t>
          </w:r>
          <w:r>
            <w:rPr>
              <w:color w:val="auto"/>
              <w:spacing w:val="-46"/>
            </w:rPr>
            <w:t>、</w:t>
          </w:r>
          <w:r>
            <w:rPr>
              <w:color w:val="auto"/>
              <w:spacing w:val="-22"/>
            </w:rPr>
            <w:t>维修</w:t>
          </w:r>
          <w:r>
            <w:rPr>
              <w:color w:val="auto"/>
              <w:spacing w:val="-24"/>
            </w:rPr>
            <w:t>保</w:t>
          </w:r>
          <w:r>
            <w:rPr>
              <w:color w:val="auto"/>
              <w:spacing w:val="-22"/>
            </w:rPr>
            <w:t>养手册</w:t>
          </w:r>
          <w:r>
            <w:rPr>
              <w:color w:val="auto"/>
              <w:spacing w:val="-46"/>
            </w:rPr>
            <w:t>、</w:t>
          </w:r>
          <w:r>
            <w:rPr>
              <w:color w:val="auto"/>
              <w:spacing w:val="-22"/>
            </w:rPr>
            <w:t>三包</w:t>
          </w:r>
          <w:r>
            <w:rPr>
              <w:color w:val="auto"/>
              <w:spacing w:val="-24"/>
            </w:rPr>
            <w:t>责</w:t>
          </w:r>
          <w:r>
            <w:rPr>
              <w:color w:val="auto"/>
              <w:spacing w:val="-22"/>
            </w:rPr>
            <w:t>任争议处理</w:t>
          </w:r>
          <w:r>
            <w:rPr>
              <w:color w:val="auto"/>
              <w:spacing w:val="-24"/>
            </w:rPr>
            <w:t>和</w:t>
          </w:r>
          <w:r>
            <w:rPr>
              <w:color w:val="auto"/>
              <w:spacing w:val="-22"/>
            </w:rPr>
            <w:t>退换车</w:t>
          </w:r>
          <w:r>
            <w:rPr>
              <w:color w:val="auto"/>
            </w:rPr>
            <w:t>信</w:t>
          </w:r>
          <w:r>
            <w:rPr>
              <w:color w:val="auto"/>
              <w:spacing w:val="-22"/>
            </w:rPr>
            <w:t>息等</w:t>
          </w:r>
          <w:r>
            <w:rPr>
              <w:color w:val="auto"/>
              <w:spacing w:val="-24"/>
            </w:rPr>
            <w:t>家</w:t>
          </w:r>
          <w:r>
            <w:rPr>
              <w:color w:val="auto"/>
              <w:spacing w:val="-22"/>
            </w:rPr>
            <w:t>用汽车产品</w:t>
          </w:r>
          <w:r>
            <w:rPr>
              <w:color w:val="auto"/>
              <w:spacing w:val="-24"/>
            </w:rPr>
            <w:t>三</w:t>
          </w:r>
          <w:r>
            <w:rPr>
              <w:color w:val="auto"/>
              <w:spacing w:val="-22"/>
            </w:rPr>
            <w:t>包有关信息</w:t>
          </w:r>
          <w:r>
            <w:rPr>
              <w:color w:val="auto"/>
              <w:spacing w:val="-24"/>
            </w:rPr>
            <w:t>，</w:t>
          </w:r>
          <w:r>
            <w:rPr>
              <w:color w:val="auto"/>
              <w:spacing w:val="-22"/>
            </w:rPr>
            <w:t>并在信息发</w:t>
          </w:r>
          <w:r>
            <w:rPr>
              <w:color w:val="auto"/>
              <w:spacing w:val="-24"/>
            </w:rPr>
            <w:t>生</w:t>
          </w:r>
          <w:r>
            <w:rPr>
              <w:color w:val="auto"/>
              <w:spacing w:val="-22"/>
            </w:rPr>
            <w:t>变化时及时</w:t>
          </w:r>
          <w:r>
            <w:rPr>
              <w:color w:val="auto"/>
              <w:spacing w:val="-24"/>
            </w:rPr>
            <w:t>更</w:t>
          </w:r>
          <w:r>
            <w:rPr>
              <w:color w:val="auto"/>
              <w:spacing w:val="-22"/>
            </w:rPr>
            <w:t>新备案</w:t>
          </w:r>
          <w:r>
            <w:rPr>
              <w:color w:val="auto"/>
              <w:spacing w:val="-22"/>
            </w:rPr>
            <w:tab/>
          </w:r>
          <w:r>
            <w:rPr>
              <w:color w:val="auto"/>
            </w:rPr>
            <w:t>333</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"_bookmark362"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"_bookmark362" </w:instrText>
          </w:r>
          <w:r>
            <w:rPr>
              <w:color w:val="auto"/>
            </w:rPr>
            <w:fldChar w:fldCharType="separate"/>
          </w:r>
          <w:r>
            <w:rPr>
              <w:color w:val="auto"/>
            </w:rPr>
            <w:t>百五十四</w:t>
          </w:r>
          <w:r>
            <w:rPr>
              <w:color w:val="auto"/>
              <w:spacing w:val="-36"/>
            </w:rPr>
            <w:t>、</w:t>
          </w:r>
          <w:r>
            <w:rPr>
              <w:color w:val="auto"/>
            </w:rPr>
            <w:t>家用汽车产品未具有中文的产品合格证或相关证明以及产品使用</w:t>
          </w:r>
          <w:r>
            <w:rPr>
              <w:color w:val="auto"/>
              <w:spacing w:val="-17"/>
            </w:rPr>
            <w:t>说</w:t>
          </w:r>
          <w:r>
            <w:rPr>
              <w:color w:val="auto"/>
              <w:spacing w:val="-17"/>
            </w:rPr>
            <w:fldChar w:fldCharType="end"/>
          </w:r>
          <w:r>
            <w:rPr>
              <w:color w:val="auto"/>
            </w:rPr>
            <w:t>明书、三包凭证、维修保养手册等随车文件</w:t>
          </w:r>
          <w:r>
            <w:rPr>
              <w:color w:val="auto"/>
            </w:rPr>
            <w:tab/>
          </w:r>
          <w:r>
            <w:rPr>
              <w:color w:val="auto"/>
              <w:spacing w:val="-6"/>
            </w:rPr>
            <w:t>334</w:t>
          </w:r>
        </w:p>
        <w:p>
          <w:pPr>
            <w:pStyle w:val="5"/>
            <w:tabs>
              <w:tab w:val="left" w:leader="dot" w:pos="8595"/>
            </w:tabs>
            <w:spacing w:line="308" w:lineRule="exact"/>
            <w:rPr>
              <w:color w:val="auto"/>
            </w:rPr>
          </w:pPr>
          <w:r>
            <w:rPr>
              <w:color w:val="auto"/>
            </w:rPr>
            <w:fldChar w:fldCharType="begin"/>
          </w:r>
          <w:r>
            <w:rPr>
              <w:color w:val="auto"/>
            </w:rPr>
            <w:instrText xml:space="preserve"> HYPERLINK \l "_bookmark363" </w:instrText>
          </w:r>
          <w:r>
            <w:rPr>
              <w:color w:val="auto"/>
            </w:rPr>
            <w:fldChar w:fldCharType="separate"/>
          </w:r>
          <w:r>
            <w:rPr>
              <w:color w:val="auto"/>
            </w:rPr>
            <w:t>三百五十五、销售者销售家用汽车产品不符合要求</w:t>
          </w:r>
          <w:r>
            <w:rPr>
              <w:color w:val="auto"/>
            </w:rPr>
            <w:tab/>
          </w:r>
          <w:r>
            <w:rPr>
              <w:color w:val="auto"/>
            </w:rPr>
            <w:t>336</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"_bookmark364" </w:instrText>
          </w:r>
          <w:r>
            <w:rPr>
              <w:color w:val="auto"/>
            </w:rPr>
            <w:fldChar w:fldCharType="separate"/>
          </w:r>
          <w:r>
            <w:rPr>
              <w:color w:val="auto"/>
            </w:rPr>
            <w:t>三百五十六、修理者未按照规定修理</w:t>
          </w:r>
          <w:r>
            <w:rPr>
              <w:color w:val="auto"/>
            </w:rPr>
            <w:tab/>
          </w:r>
          <w:r>
            <w:rPr>
              <w:color w:val="auto"/>
            </w:rPr>
            <w:t>337</w:t>
          </w:r>
          <w:r>
            <w:rPr>
              <w:color w:val="auto"/>
            </w:rPr>
            <w:fldChar w:fldCharType="end"/>
          </w:r>
        </w:p>
        <w:p>
          <w:pPr>
            <w:pStyle w:val="5"/>
            <w:tabs>
              <w:tab w:val="left" w:leader="dot" w:pos="8595"/>
            </w:tabs>
            <w:spacing w:before="172" w:line="374" w:lineRule="auto"/>
            <w:ind w:right="232"/>
            <w:rPr>
              <w:color w:val="auto"/>
            </w:rPr>
          </w:pPr>
          <w:r>
            <w:rPr>
              <w:color w:val="auto"/>
            </w:rPr>
            <w:fldChar w:fldCharType="begin"/>
          </w:r>
          <w:r>
            <w:rPr>
              <w:color w:val="auto"/>
            </w:rPr>
            <w:instrText xml:space="preserve"> HYPERLINK \l "_bookmark365"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"_bookmark365" </w:instrText>
          </w:r>
          <w:r>
            <w:rPr>
              <w:color w:val="auto"/>
            </w:rPr>
            <w:fldChar w:fldCharType="separate"/>
          </w:r>
          <w:r>
            <w:rPr>
              <w:color w:val="auto"/>
            </w:rPr>
            <w:t>百五十七、未按照规定保存有关汽车产品、车主的信息记录、备案有关信息</w:t>
          </w:r>
          <w:r>
            <w:rPr>
              <w:color w:val="auto"/>
              <w:spacing w:val="-17"/>
            </w:rPr>
            <w:t>、</w:t>
          </w:r>
          <w:r>
            <w:rPr>
              <w:color w:val="auto"/>
              <w:spacing w:val="-17"/>
            </w:rPr>
            <w:fldChar w:fldCharType="end"/>
          </w:r>
          <w:r>
            <w:rPr>
              <w:color w:val="auto"/>
            </w:rPr>
            <w:t>召回计划、提交有关召回报告</w:t>
          </w:r>
          <w:r>
            <w:rPr>
              <w:color w:val="auto"/>
            </w:rPr>
            <w:tab/>
          </w:r>
          <w:r>
            <w:rPr>
              <w:color w:val="auto"/>
            </w:rPr>
            <w:t>338</w:t>
          </w:r>
        </w:p>
        <w:p>
          <w:pPr>
            <w:pStyle w:val="5"/>
            <w:tabs>
              <w:tab w:val="left" w:leader="dot" w:pos="8595"/>
            </w:tabs>
            <w:spacing w:before="1" w:after="240" w:line="374" w:lineRule="auto"/>
            <w:ind w:right="268"/>
            <w:rPr>
              <w:color w:val="auto"/>
            </w:rPr>
          </w:pPr>
          <w:r>
            <w:rPr>
              <w:color w:val="auto"/>
            </w:rPr>
            <w:fldChar w:fldCharType="begin"/>
          </w:r>
          <w:r>
            <w:rPr>
              <w:color w:val="auto"/>
            </w:rPr>
            <w:instrText xml:space="preserve"> HYPERLINK \l "_bookmark366"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"_bookmark366" </w:instrText>
          </w:r>
          <w:r>
            <w:rPr>
              <w:color w:val="auto"/>
            </w:rPr>
            <w:fldChar w:fldCharType="separate"/>
          </w:r>
          <w:r>
            <w:rPr>
              <w:color w:val="auto"/>
            </w:rPr>
            <w:t>百五十八</w:t>
          </w:r>
          <w:r>
            <w:rPr>
              <w:color w:val="auto"/>
              <w:spacing w:val="-12"/>
            </w:rPr>
            <w:t>、</w:t>
          </w:r>
          <w:r>
            <w:rPr>
              <w:color w:val="auto"/>
            </w:rPr>
            <w:t>生产者</w:t>
          </w:r>
          <w:r>
            <w:rPr>
              <w:color w:val="auto"/>
              <w:spacing w:val="-12"/>
            </w:rPr>
            <w:t>、</w:t>
          </w:r>
          <w:r>
            <w:rPr>
              <w:color w:val="auto"/>
            </w:rPr>
            <w:t>经营者不配合市场监督管理部门缺陷调查</w:t>
          </w:r>
          <w:r>
            <w:rPr>
              <w:color w:val="auto"/>
              <w:spacing w:val="-12"/>
            </w:rPr>
            <w:t>、</w:t>
          </w:r>
          <w:r>
            <w:rPr>
              <w:color w:val="auto"/>
            </w:rPr>
            <w:t>生产者未按</w:t>
          </w:r>
          <w:r>
            <w:rPr>
              <w:color w:val="auto"/>
              <w:spacing w:val="-17"/>
            </w:rPr>
            <w:t>照</w:t>
          </w:r>
          <w:r>
            <w:rPr>
              <w:color w:val="auto"/>
              <w:spacing w:val="-17"/>
            </w:rPr>
            <w:fldChar w:fldCharType="end"/>
          </w:r>
          <w:r>
            <w:rPr>
              <w:color w:val="auto"/>
            </w:rPr>
            <w:t>已备案的召回计划实施召回、生产者未将召回计划通报销售者</w:t>
          </w:r>
          <w:r>
            <w:rPr>
              <w:color w:val="auto"/>
            </w:rPr>
            <w:tab/>
          </w:r>
          <w:r>
            <w:rPr>
              <w:color w:val="auto"/>
              <w:spacing w:val="-6"/>
            </w:rPr>
            <w:t>339</w:t>
          </w:r>
        </w:p>
        <w:p>
          <w:pPr>
            <w:pStyle w:val="5"/>
            <w:tabs>
              <w:tab w:val="left" w:leader="dot" w:pos="8595"/>
            </w:tabs>
            <w:spacing w:before="127" w:line="374" w:lineRule="auto"/>
            <w:ind w:right="232"/>
            <w:rPr>
              <w:color w:val="auto"/>
            </w:rPr>
          </w:pPr>
          <w:r>
            <w:rPr>
              <w:color w:val="auto"/>
            </w:rPr>
            <w:fldChar w:fldCharType="begin"/>
          </w:r>
          <w:r>
            <w:rPr>
              <w:color w:val="auto"/>
            </w:rPr>
            <w:instrText xml:space="preserve"> HYPERLINK \l "_bookmark367"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"_bookmark367" </w:instrText>
          </w:r>
          <w:r>
            <w:rPr>
              <w:color w:val="auto"/>
            </w:rPr>
            <w:fldChar w:fldCharType="separate"/>
          </w:r>
          <w:r>
            <w:rPr>
              <w:color w:val="auto"/>
            </w:rPr>
            <w:t>百五十九、生产者未停止生产、销售或者进口缺陷汽车产品，隐瞒缺陷情况</w:t>
          </w:r>
          <w:r>
            <w:rPr>
              <w:color w:val="auto"/>
              <w:spacing w:val="-17"/>
            </w:rPr>
            <w:t xml:space="preserve">， </w:t>
          </w:r>
          <w:r>
            <w:rPr>
              <w:color w:val="auto"/>
              <w:spacing w:val="-17"/>
            </w:rPr>
            <w:fldChar w:fldCharType="end"/>
          </w:r>
          <w:r>
            <w:rPr>
              <w:color w:val="auto"/>
            </w:rPr>
            <w:t>经责令召回拒不召回</w:t>
          </w:r>
          <w:r>
            <w:rPr>
              <w:color w:val="auto"/>
            </w:rPr>
            <w:tab/>
          </w:r>
          <w:r>
            <w:rPr>
              <w:color w:val="auto"/>
            </w:rPr>
            <w:t>341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"_bookmark368"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"_bookmark368" </w:instrText>
          </w:r>
          <w:r>
            <w:rPr>
              <w:color w:val="auto"/>
            </w:rPr>
            <w:fldChar w:fldCharType="separate"/>
          </w:r>
          <w:r>
            <w:rPr>
              <w:color w:val="auto"/>
            </w:rPr>
            <w:t>百六十</w:t>
          </w:r>
          <w:r>
            <w:rPr>
              <w:color w:val="auto"/>
              <w:spacing w:val="-20"/>
            </w:rPr>
            <w:t>、</w:t>
          </w:r>
          <w:r>
            <w:rPr>
              <w:color w:val="auto"/>
            </w:rPr>
            <w:t>拒不接受负有大气环境保护监督管理职责的部门的监督检查</w:t>
          </w:r>
          <w:r>
            <w:rPr>
              <w:color w:val="auto"/>
              <w:spacing w:val="-17"/>
            </w:rPr>
            <w:t>，</w:t>
          </w:r>
          <w:r>
            <w:rPr>
              <w:color w:val="auto"/>
            </w:rPr>
            <w:t>或者</w:t>
          </w:r>
          <w:r>
            <w:rPr>
              <w:color w:val="auto"/>
              <w:spacing w:val="-16"/>
            </w:rPr>
            <w:t>在</w:t>
          </w:r>
          <w:r>
            <w:rPr>
              <w:color w:val="auto"/>
              <w:spacing w:val="-16"/>
            </w:rPr>
            <w:fldChar w:fldCharType="end"/>
          </w:r>
          <w:r>
            <w:rPr>
              <w:color w:val="auto"/>
            </w:rPr>
            <w:t>接受监督检查时弄虚作假</w:t>
          </w:r>
          <w:r>
            <w:rPr>
              <w:color w:val="auto"/>
            </w:rPr>
            <w:tab/>
          </w:r>
          <w:r>
            <w:rPr>
              <w:color w:val="auto"/>
              <w:spacing w:val="-6"/>
            </w:rPr>
            <w:t>342</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"_bookmark369"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"_bookmark369" </w:instrText>
          </w:r>
          <w:r>
            <w:rPr>
              <w:color w:val="auto"/>
            </w:rPr>
            <w:fldChar w:fldCharType="separate"/>
          </w:r>
          <w:r>
            <w:rPr>
              <w:color w:val="auto"/>
            </w:rPr>
            <w:t>百六十一</w:t>
          </w:r>
          <w:r>
            <w:rPr>
              <w:color w:val="auto"/>
              <w:spacing w:val="-10"/>
            </w:rPr>
            <w:t>、</w:t>
          </w:r>
          <w:r>
            <w:rPr>
              <w:color w:val="auto"/>
            </w:rPr>
            <w:t>销售不符合质量标准的煤炭</w:t>
          </w:r>
          <w:r>
            <w:rPr>
              <w:color w:val="auto"/>
              <w:spacing w:val="-10"/>
            </w:rPr>
            <w:t>、</w:t>
          </w:r>
          <w:r>
            <w:rPr>
              <w:color w:val="auto"/>
            </w:rPr>
            <w:t>石油焦</w:t>
          </w:r>
          <w:r>
            <w:rPr>
              <w:color w:val="auto"/>
              <w:spacing w:val="-8"/>
            </w:rPr>
            <w:t>，</w:t>
          </w:r>
          <w:r>
            <w:rPr>
              <w:color w:val="auto"/>
            </w:rPr>
            <w:t>生产</w:t>
          </w:r>
          <w:r>
            <w:rPr>
              <w:color w:val="auto"/>
              <w:spacing w:val="-10"/>
            </w:rPr>
            <w:t>、</w:t>
          </w:r>
          <w:r>
            <w:rPr>
              <w:color w:val="auto"/>
            </w:rPr>
            <w:t>销售挥发性有机物</w:t>
          </w:r>
          <w:r>
            <w:rPr>
              <w:color w:val="auto"/>
              <w:spacing w:val="-15"/>
            </w:rPr>
            <w:t>含</w:t>
          </w:r>
          <w:r>
            <w:rPr>
              <w:color w:val="auto"/>
              <w:spacing w:val="-15"/>
            </w:rPr>
            <w:fldChar w:fldCharType="end"/>
          </w:r>
          <w:r>
            <w:rPr>
              <w:color w:val="auto"/>
            </w:rPr>
            <w:t>量不符合质量标准或者要求的原材料和产品</w:t>
          </w:r>
          <w:r>
            <w:rPr>
              <w:color w:val="auto"/>
              <w:spacing w:val="-20"/>
            </w:rPr>
            <w:t>，</w:t>
          </w:r>
          <w:r>
            <w:rPr>
              <w:color w:val="auto"/>
            </w:rPr>
            <w:t>生产</w:t>
          </w:r>
          <w:r>
            <w:rPr>
              <w:color w:val="auto"/>
              <w:spacing w:val="-17"/>
            </w:rPr>
            <w:t>、</w:t>
          </w:r>
          <w:r>
            <w:rPr>
              <w:color w:val="auto"/>
            </w:rPr>
            <w:t>销售不符合标准的机动车</w:t>
          </w:r>
          <w:r>
            <w:rPr>
              <w:color w:val="auto"/>
              <w:spacing w:val="-16"/>
            </w:rPr>
            <w:t>船</w:t>
          </w:r>
          <w:r>
            <w:rPr>
              <w:color w:val="auto"/>
            </w:rPr>
            <w:t>和非道路移动机械用燃料</w:t>
          </w:r>
          <w:r>
            <w:rPr>
              <w:color w:val="auto"/>
              <w:spacing w:val="-12"/>
            </w:rPr>
            <w:t>、</w:t>
          </w:r>
          <w:r>
            <w:rPr>
              <w:color w:val="auto"/>
            </w:rPr>
            <w:t>发动机油</w:t>
          </w:r>
          <w:r>
            <w:rPr>
              <w:color w:val="auto"/>
              <w:spacing w:val="-12"/>
            </w:rPr>
            <w:t>、</w:t>
          </w:r>
          <w:r>
            <w:rPr>
              <w:color w:val="auto"/>
            </w:rPr>
            <w:t>氮氧化物还原剂</w:t>
          </w:r>
          <w:r>
            <w:rPr>
              <w:color w:val="auto"/>
              <w:spacing w:val="-12"/>
            </w:rPr>
            <w:t>、</w:t>
          </w:r>
          <w:r>
            <w:rPr>
              <w:color w:val="auto"/>
            </w:rPr>
            <w:t>燃料和润滑油添加剂</w:t>
          </w:r>
          <w:r>
            <w:rPr>
              <w:color w:val="auto"/>
              <w:spacing w:val="-17"/>
            </w:rPr>
            <w:t>以</w:t>
          </w:r>
          <w:r>
            <w:rPr>
              <w:color w:val="auto"/>
            </w:rPr>
            <w:t>及其他添加剂，及在禁燃区内销售高污染燃料</w:t>
          </w:r>
          <w:r>
            <w:rPr>
              <w:color w:val="auto"/>
            </w:rPr>
            <w:tab/>
          </w:r>
          <w:r>
            <w:rPr>
              <w:color w:val="auto"/>
              <w:spacing w:val="-6"/>
            </w:rPr>
            <w:t>343</w:t>
          </w:r>
        </w:p>
        <w:p>
          <w:pPr>
            <w:pStyle w:val="5"/>
            <w:tabs>
              <w:tab w:val="left" w:leader="dot" w:pos="8595"/>
            </w:tabs>
            <w:spacing w:line="309" w:lineRule="exact"/>
            <w:rPr>
              <w:color w:val="auto"/>
            </w:rPr>
          </w:pPr>
          <w:r>
            <w:rPr>
              <w:color w:val="auto"/>
            </w:rPr>
            <w:fldChar w:fldCharType="begin"/>
          </w:r>
          <w:r>
            <w:rPr>
              <w:color w:val="auto"/>
            </w:rPr>
            <w:instrText xml:space="preserve"> HYPERLINK \l "_bookmark370" </w:instrText>
          </w:r>
          <w:r>
            <w:rPr>
              <w:color w:val="auto"/>
            </w:rPr>
            <w:fldChar w:fldCharType="separate"/>
          </w:r>
          <w:r>
            <w:rPr>
              <w:color w:val="auto"/>
            </w:rPr>
            <w:t>三百六十二、生产、销售或者使用不符合规定标准或者要求的锅炉</w:t>
          </w:r>
          <w:r>
            <w:rPr>
              <w:color w:val="auto"/>
            </w:rPr>
            <w:tab/>
          </w:r>
          <w:r>
            <w:rPr>
              <w:color w:val="auto"/>
            </w:rPr>
            <w:t>345</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"_bookmark371"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"_bookmark371" </w:instrText>
          </w:r>
          <w:r>
            <w:rPr>
              <w:color w:val="auto"/>
            </w:rPr>
            <w:fldChar w:fldCharType="separate"/>
          </w:r>
          <w:r>
            <w:rPr>
              <w:color w:val="auto"/>
            </w:rPr>
            <w:t>百六十三</w:t>
          </w:r>
          <w:r>
            <w:rPr>
              <w:color w:val="auto"/>
              <w:spacing w:val="-20"/>
            </w:rPr>
            <w:t>、</w:t>
          </w:r>
          <w:r>
            <w:rPr>
              <w:color w:val="auto"/>
            </w:rPr>
            <w:t>伪造机动车</w:t>
          </w:r>
          <w:r>
            <w:rPr>
              <w:color w:val="auto"/>
              <w:spacing w:val="-17"/>
            </w:rPr>
            <w:t>、</w:t>
          </w:r>
          <w:r>
            <w:rPr>
              <w:color w:val="auto"/>
            </w:rPr>
            <w:t>非道路移动机械排放检验结果或者出具虚假排放检</w:t>
          </w:r>
          <w:r>
            <w:rPr>
              <w:color w:val="auto"/>
              <w:spacing w:val="-16"/>
            </w:rPr>
            <w:t>验</w:t>
          </w:r>
          <w:r>
            <w:rPr>
              <w:color w:val="auto"/>
              <w:spacing w:val="-16"/>
            </w:rPr>
            <w:fldChar w:fldCharType="end"/>
          </w:r>
          <w:r>
            <w:rPr>
              <w:color w:val="auto"/>
            </w:rPr>
            <w:t>报告</w:t>
          </w:r>
          <w:r>
            <w:rPr>
              <w:color w:val="auto"/>
            </w:rPr>
            <w:tab/>
          </w:r>
          <w:r>
            <w:rPr>
              <w:color w:val="auto"/>
              <w:spacing w:val="-6"/>
            </w:rPr>
            <w:t>346</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"_bookmark372"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"_bookmark372" </w:instrText>
          </w:r>
          <w:r>
            <w:rPr>
              <w:color w:val="auto"/>
            </w:rPr>
            <w:fldChar w:fldCharType="separate"/>
          </w:r>
          <w:r>
            <w:rPr>
              <w:color w:val="auto"/>
            </w:rPr>
            <w:t>百六十四</w:t>
          </w:r>
          <w:r>
            <w:rPr>
              <w:color w:val="auto"/>
              <w:spacing w:val="-20"/>
            </w:rPr>
            <w:t>、</w:t>
          </w:r>
          <w:r>
            <w:rPr>
              <w:color w:val="auto"/>
            </w:rPr>
            <w:t>在拆解或者处置过程中可能造成环境污染的电器电子等产品</w:t>
          </w:r>
          <w:r>
            <w:rPr>
              <w:color w:val="auto"/>
              <w:spacing w:val="-17"/>
            </w:rPr>
            <w:t>，</w:t>
          </w:r>
          <w:r>
            <w:rPr>
              <w:color w:val="auto"/>
            </w:rPr>
            <w:t>设</w:t>
          </w:r>
          <w:r>
            <w:rPr>
              <w:color w:val="auto"/>
              <w:spacing w:val="-16"/>
            </w:rPr>
            <w:t>计</w:t>
          </w:r>
          <w:r>
            <w:rPr>
              <w:color w:val="auto"/>
              <w:spacing w:val="-16"/>
            </w:rPr>
            <w:fldChar w:fldCharType="end"/>
          </w:r>
          <w:r>
            <w:rPr>
              <w:color w:val="auto"/>
            </w:rPr>
            <w:t>使用列入国家禁止使用名录的有毒有害物质，逾期不改正</w:t>
          </w:r>
          <w:r>
            <w:rPr>
              <w:color w:val="auto"/>
            </w:rPr>
            <w:tab/>
          </w:r>
          <w:r>
            <w:rPr>
              <w:color w:val="auto"/>
              <w:spacing w:val="-6"/>
            </w:rPr>
            <w:t>347</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"_bookmark373"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"_bookmark373" </w:instrText>
          </w:r>
          <w:r>
            <w:rPr>
              <w:color w:val="auto"/>
            </w:rPr>
            <w:fldChar w:fldCharType="separate"/>
          </w:r>
          <w:r>
            <w:rPr>
              <w:color w:val="auto"/>
            </w:rPr>
            <w:t>百六十五</w:t>
          </w:r>
          <w:r>
            <w:rPr>
              <w:color w:val="auto"/>
              <w:spacing w:val="-20"/>
            </w:rPr>
            <w:t>、</w:t>
          </w:r>
          <w:r>
            <w:rPr>
              <w:color w:val="auto"/>
            </w:rPr>
            <w:t>电器电子产品生产者</w:t>
          </w:r>
          <w:r>
            <w:rPr>
              <w:color w:val="auto"/>
              <w:spacing w:val="-17"/>
            </w:rPr>
            <w:t>、</w:t>
          </w:r>
          <w:r>
            <w:rPr>
              <w:color w:val="auto"/>
            </w:rPr>
            <w:t>进口电器电子产品的收货人或者其代理人</w:t>
          </w:r>
          <w:r>
            <w:rPr>
              <w:color w:val="auto"/>
              <w:spacing w:val="-16"/>
            </w:rPr>
            <w:t>生</w:t>
          </w:r>
          <w:r>
            <w:rPr>
              <w:color w:val="auto"/>
              <w:spacing w:val="-16"/>
            </w:rPr>
            <w:fldChar w:fldCharType="end"/>
          </w:r>
          <w:r>
            <w:rPr>
              <w:color w:val="auto"/>
            </w:rPr>
            <w:t>产</w:t>
          </w:r>
          <w:r>
            <w:rPr>
              <w:color w:val="auto"/>
              <w:spacing w:val="-36"/>
            </w:rPr>
            <w:t>、</w:t>
          </w:r>
          <w:r>
            <w:rPr>
              <w:color w:val="auto"/>
            </w:rPr>
            <w:t>进口的电器电子产品上或者产品说明书中未按照规定提供有关有毒有害物</w:t>
          </w:r>
          <w:r>
            <w:rPr>
              <w:color w:val="auto"/>
              <w:spacing w:val="-17"/>
            </w:rPr>
            <w:t>质</w:t>
          </w:r>
          <w:r>
            <w:rPr>
              <w:color w:val="auto"/>
            </w:rPr>
            <w:t>含量、回收处理提示性说明等信息</w:t>
          </w:r>
          <w:r>
            <w:rPr>
              <w:color w:val="auto"/>
            </w:rPr>
            <w:tab/>
          </w:r>
          <w:r>
            <w:rPr>
              <w:color w:val="auto"/>
              <w:spacing w:val="-6"/>
            </w:rPr>
            <w:t>348</w:t>
          </w:r>
        </w:p>
        <w:p>
          <w:pPr>
            <w:pStyle w:val="5"/>
            <w:tabs>
              <w:tab w:val="left" w:leader="dot" w:pos="8595"/>
            </w:tabs>
            <w:spacing w:line="308" w:lineRule="exact"/>
            <w:rPr>
              <w:color w:val="auto"/>
            </w:rPr>
          </w:pPr>
          <w:r>
            <w:rPr>
              <w:color w:val="auto"/>
            </w:rPr>
            <w:fldChar w:fldCharType="begin"/>
          </w:r>
          <w:r>
            <w:rPr>
              <w:color w:val="auto"/>
            </w:rPr>
            <w:instrText xml:space="preserve"> HYPERLINK \l "_bookmark374" </w:instrText>
          </w:r>
          <w:r>
            <w:rPr>
              <w:color w:val="auto"/>
            </w:rPr>
            <w:fldChar w:fldCharType="separate"/>
          </w:r>
          <w:r>
            <w:rPr>
              <w:color w:val="auto"/>
            </w:rPr>
            <w:t>三百六十六、食品检验机构、食品检验人员出具虚假检验报告</w:t>
          </w:r>
          <w:r>
            <w:rPr>
              <w:color w:val="auto"/>
            </w:rPr>
            <w:tab/>
          </w:r>
          <w:r>
            <w:rPr>
              <w:color w:val="auto"/>
            </w:rPr>
            <w:t>349</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"_bookmark375" </w:instrText>
          </w:r>
          <w:r>
            <w:rPr>
              <w:color w:val="auto"/>
            </w:rPr>
            <w:fldChar w:fldCharType="separate"/>
          </w:r>
          <w:r>
            <w:rPr>
              <w:color w:val="auto"/>
            </w:rPr>
            <w:t>三百六十七、认证机构出具虚假认证结论</w:t>
          </w:r>
          <w:r>
            <w:rPr>
              <w:color w:val="auto"/>
            </w:rPr>
            <w:tab/>
          </w:r>
          <w:r>
            <w:rPr>
              <w:color w:val="auto"/>
            </w:rPr>
            <w:t>350</w:t>
          </w:r>
          <w:r>
            <w:rPr>
              <w:color w:val="auto"/>
            </w:rPr>
            <w:fldChar w:fldCharType="end"/>
          </w:r>
        </w:p>
        <w:p>
          <w:pPr>
            <w:pStyle w:val="5"/>
            <w:tabs>
              <w:tab w:val="left" w:leader="dot" w:pos="8595"/>
            </w:tabs>
            <w:spacing w:before="172" w:line="374" w:lineRule="auto"/>
            <w:ind w:right="232"/>
            <w:rPr>
              <w:color w:val="auto"/>
            </w:rPr>
          </w:pPr>
          <w:r>
            <w:rPr>
              <w:color w:val="auto"/>
            </w:rPr>
            <w:fldChar w:fldCharType="begin"/>
          </w:r>
          <w:r>
            <w:rPr>
              <w:color w:val="auto"/>
            </w:rPr>
            <w:instrText xml:space="preserve"> HYPERLINK \l "_bookmark376"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"_bookmark376" </w:instrText>
          </w:r>
          <w:r>
            <w:rPr>
              <w:color w:val="auto"/>
            </w:rPr>
            <w:fldChar w:fldCharType="separate"/>
          </w:r>
          <w:r>
            <w:rPr>
              <w:color w:val="auto"/>
            </w:rPr>
            <w:t>百六十八、生产、销售利用残次零配件或者报废农业机械的发动机、方向机</w:t>
          </w:r>
          <w:r>
            <w:rPr>
              <w:color w:val="auto"/>
              <w:spacing w:val="-17"/>
            </w:rPr>
            <w:t>、</w:t>
          </w:r>
          <w:r>
            <w:rPr>
              <w:color w:val="auto"/>
              <w:spacing w:val="-17"/>
            </w:rPr>
            <w:fldChar w:fldCharType="end"/>
          </w:r>
          <w:r>
            <w:rPr>
              <w:color w:val="auto"/>
            </w:rPr>
            <w:t>变速器、车架等部件拼装的农业机械</w:t>
          </w:r>
          <w:r>
            <w:rPr>
              <w:color w:val="auto"/>
            </w:rPr>
            <w:tab/>
          </w:r>
          <w:r>
            <w:rPr>
              <w:color w:val="auto"/>
            </w:rPr>
            <w:t>351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"_bookmark377"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"_bookmark377" </w:instrText>
          </w:r>
          <w:r>
            <w:rPr>
              <w:color w:val="auto"/>
            </w:rPr>
            <w:fldChar w:fldCharType="separate"/>
          </w:r>
          <w:r>
            <w:rPr>
              <w:color w:val="auto"/>
            </w:rPr>
            <w:t>百六十九</w:t>
          </w:r>
          <w:r>
            <w:rPr>
              <w:color w:val="auto"/>
              <w:spacing w:val="-8"/>
            </w:rPr>
            <w:t>、</w:t>
          </w:r>
          <w:r>
            <w:rPr>
              <w:color w:val="auto"/>
            </w:rPr>
            <w:t>生产</w:t>
          </w:r>
          <w:r>
            <w:rPr>
              <w:color w:val="auto"/>
              <w:spacing w:val="-8"/>
            </w:rPr>
            <w:t>、</w:t>
          </w:r>
          <w:r>
            <w:rPr>
              <w:color w:val="auto"/>
            </w:rPr>
            <w:t>进口</w:t>
          </w:r>
          <w:r>
            <w:rPr>
              <w:color w:val="auto"/>
              <w:spacing w:val="-8"/>
            </w:rPr>
            <w:t>、</w:t>
          </w:r>
          <w:r>
            <w:rPr>
              <w:color w:val="auto"/>
            </w:rPr>
            <w:t>销</w:t>
          </w:r>
          <w:r>
            <w:rPr>
              <w:color w:val="auto"/>
              <w:spacing w:val="-8"/>
            </w:rPr>
            <w:t>售</w:t>
          </w:r>
          <w:r>
            <w:rPr>
              <w:color w:val="auto"/>
            </w:rPr>
            <w:t>（含网络商品经营</w:t>
          </w:r>
          <w:r>
            <w:rPr>
              <w:color w:val="auto"/>
              <w:spacing w:val="-10"/>
            </w:rPr>
            <w:t>）</w:t>
          </w:r>
          <w:r>
            <w:rPr>
              <w:color w:val="auto"/>
            </w:rPr>
            <w:t>应当标注水效标识而未标</w:t>
          </w:r>
          <w:r>
            <w:rPr>
              <w:color w:val="auto"/>
              <w:spacing w:val="-11"/>
            </w:rPr>
            <w:t>注</w:t>
          </w:r>
          <w:r>
            <w:rPr>
              <w:color w:val="auto"/>
              <w:spacing w:val="-11"/>
            </w:rPr>
            <w:fldChar w:fldCharType="end"/>
          </w:r>
          <w:r>
            <w:rPr>
              <w:color w:val="auto"/>
            </w:rPr>
            <w:t>的产品</w:t>
          </w:r>
          <w:r>
            <w:rPr>
              <w:color w:val="auto"/>
            </w:rPr>
            <w:tab/>
          </w:r>
          <w:r>
            <w:rPr>
              <w:color w:val="auto"/>
              <w:spacing w:val="-6"/>
            </w:rPr>
            <w:t>352</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"_bookmark378"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"_bookmark378" </w:instrText>
          </w:r>
          <w:r>
            <w:rPr>
              <w:color w:val="auto"/>
            </w:rPr>
            <w:fldChar w:fldCharType="separate"/>
          </w:r>
          <w:r>
            <w:rPr>
              <w:color w:val="auto"/>
            </w:rPr>
            <w:t>百七十</w:t>
          </w:r>
          <w:r>
            <w:rPr>
              <w:color w:val="auto"/>
              <w:spacing w:val="-8"/>
            </w:rPr>
            <w:t>、</w:t>
          </w:r>
          <w:r>
            <w:rPr>
              <w:color w:val="auto"/>
            </w:rPr>
            <w:t>生产</w:t>
          </w:r>
          <w:r>
            <w:rPr>
              <w:color w:val="auto"/>
              <w:spacing w:val="-8"/>
            </w:rPr>
            <w:t>、</w:t>
          </w:r>
          <w:r>
            <w:rPr>
              <w:color w:val="auto"/>
            </w:rPr>
            <w:t>进口</w:t>
          </w:r>
          <w:r>
            <w:rPr>
              <w:color w:val="auto"/>
              <w:spacing w:val="-8"/>
            </w:rPr>
            <w:t>、</w:t>
          </w:r>
          <w:r>
            <w:rPr>
              <w:color w:val="auto"/>
            </w:rPr>
            <w:t>销</w:t>
          </w:r>
          <w:r>
            <w:rPr>
              <w:color w:val="auto"/>
              <w:spacing w:val="-8"/>
            </w:rPr>
            <w:t>售</w:t>
          </w:r>
          <w:r>
            <w:rPr>
              <w:color w:val="auto"/>
            </w:rPr>
            <w:t>（含网络商品经营</w:t>
          </w:r>
          <w:r>
            <w:rPr>
              <w:color w:val="auto"/>
              <w:spacing w:val="-10"/>
            </w:rPr>
            <w:t>）</w:t>
          </w:r>
          <w:r>
            <w:rPr>
              <w:color w:val="auto"/>
            </w:rPr>
            <w:t>使用不符合规定的水效标识</w:t>
          </w:r>
          <w:r>
            <w:rPr>
              <w:color w:val="auto"/>
              <w:spacing w:val="-11"/>
            </w:rPr>
            <w:t>的</w:t>
          </w:r>
          <w:r>
            <w:rPr>
              <w:color w:val="auto"/>
              <w:spacing w:val="-11"/>
            </w:rPr>
            <w:fldChar w:fldCharType="end"/>
          </w:r>
          <w:r>
            <w:rPr>
              <w:color w:val="auto"/>
            </w:rPr>
            <w:t>产品</w:t>
          </w:r>
          <w:r>
            <w:rPr>
              <w:color w:val="auto"/>
            </w:rPr>
            <w:tab/>
          </w:r>
          <w:r>
            <w:rPr>
              <w:color w:val="auto"/>
              <w:spacing w:val="-6"/>
            </w:rPr>
            <w:t>353</w:t>
          </w:r>
        </w:p>
        <w:p>
          <w:pPr>
            <w:pStyle w:val="5"/>
            <w:tabs>
              <w:tab w:val="left" w:leader="dot" w:pos="8595"/>
            </w:tabs>
            <w:spacing w:line="308" w:lineRule="exact"/>
            <w:rPr>
              <w:color w:val="auto"/>
            </w:rPr>
          </w:pPr>
          <w:r>
            <w:rPr>
              <w:color w:val="auto"/>
            </w:rPr>
            <w:fldChar w:fldCharType="begin"/>
          </w:r>
          <w:r>
            <w:rPr>
              <w:color w:val="auto"/>
            </w:rPr>
            <w:instrText xml:space="preserve"> HYPERLINK \l "_bookmark379" </w:instrText>
          </w:r>
          <w:r>
            <w:rPr>
              <w:color w:val="auto"/>
            </w:rPr>
            <w:fldChar w:fldCharType="separate"/>
          </w:r>
          <w:r>
            <w:rPr>
              <w:color w:val="auto"/>
              <w:spacing w:val="-34"/>
            </w:rPr>
            <w:t>三百</w:t>
          </w:r>
          <w:r>
            <w:rPr>
              <w:color w:val="auto"/>
              <w:spacing w:val="-36"/>
            </w:rPr>
            <w:t>七</w:t>
          </w:r>
          <w:r>
            <w:rPr>
              <w:color w:val="auto"/>
              <w:spacing w:val="-34"/>
            </w:rPr>
            <w:t>十一、生产</w:t>
          </w:r>
          <w:r>
            <w:rPr>
              <w:color w:val="auto"/>
              <w:spacing w:val="-36"/>
            </w:rPr>
            <w:t>者</w:t>
          </w:r>
          <w:r>
            <w:rPr>
              <w:color w:val="auto"/>
              <w:spacing w:val="-34"/>
            </w:rPr>
            <w:t>、进口商、</w:t>
          </w:r>
          <w:r>
            <w:rPr>
              <w:color w:val="auto"/>
              <w:spacing w:val="-36"/>
            </w:rPr>
            <w:t>销</w:t>
          </w:r>
          <w:r>
            <w:rPr>
              <w:color w:val="auto"/>
              <w:spacing w:val="-34"/>
            </w:rPr>
            <w:t>售者（含网</w:t>
          </w:r>
          <w:r>
            <w:rPr>
              <w:color w:val="auto"/>
              <w:spacing w:val="-36"/>
            </w:rPr>
            <w:t>络</w:t>
          </w:r>
          <w:r>
            <w:rPr>
              <w:color w:val="auto"/>
              <w:spacing w:val="-34"/>
            </w:rPr>
            <w:t>商品经营者</w:t>
          </w:r>
          <w:r>
            <w:rPr>
              <w:color w:val="auto"/>
              <w:spacing w:val="-36"/>
            </w:rPr>
            <w:t>）</w:t>
          </w:r>
          <w:r>
            <w:rPr>
              <w:color w:val="auto"/>
              <w:spacing w:val="-34"/>
            </w:rPr>
            <w:t>伪造、冒用</w:t>
          </w:r>
          <w:r>
            <w:rPr>
              <w:color w:val="auto"/>
              <w:spacing w:val="-36"/>
            </w:rPr>
            <w:t>水</w:t>
          </w:r>
          <w:r>
            <w:rPr>
              <w:color w:val="auto"/>
              <w:spacing w:val="-34"/>
            </w:rPr>
            <w:t>效标识</w:t>
          </w:r>
          <w:r>
            <w:rPr>
              <w:color w:val="auto"/>
              <w:spacing w:val="-34"/>
            </w:rPr>
            <w:tab/>
          </w:r>
          <w:r>
            <w:rPr>
              <w:color w:val="auto"/>
            </w:rPr>
            <w:t>354</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"_bookmark380"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"_bookmark380" </w:instrText>
          </w:r>
          <w:r>
            <w:rPr>
              <w:color w:val="auto"/>
            </w:rPr>
            <w:fldChar w:fldCharType="separate"/>
          </w:r>
          <w:r>
            <w:rPr>
              <w:color w:val="auto"/>
            </w:rPr>
            <w:t>百七十二</w:t>
          </w:r>
          <w:r>
            <w:rPr>
              <w:color w:val="auto"/>
              <w:spacing w:val="-12"/>
            </w:rPr>
            <w:t>、</w:t>
          </w:r>
          <w:r>
            <w:rPr>
              <w:color w:val="auto"/>
            </w:rPr>
            <w:t>销售</w:t>
          </w:r>
          <w:r>
            <w:rPr>
              <w:color w:val="auto"/>
              <w:spacing w:val="-12"/>
            </w:rPr>
            <w:t>者</w:t>
          </w:r>
          <w:r>
            <w:rPr>
              <w:color w:val="auto"/>
            </w:rPr>
            <w:t>（含网络商品经营者</w:t>
          </w:r>
          <w:r>
            <w:rPr>
              <w:color w:val="auto"/>
              <w:spacing w:val="-12"/>
            </w:rPr>
            <w:t>）</w:t>
          </w:r>
          <w:r>
            <w:rPr>
              <w:color w:val="auto"/>
            </w:rPr>
            <w:t>在网络交易产品信息主页面展示的</w:t>
          </w:r>
          <w:r>
            <w:rPr>
              <w:color w:val="auto"/>
              <w:spacing w:val="-17"/>
            </w:rPr>
            <w:t>水</w:t>
          </w:r>
          <w:r>
            <w:rPr>
              <w:color w:val="auto"/>
              <w:spacing w:val="-17"/>
            </w:rPr>
            <w:fldChar w:fldCharType="end"/>
          </w:r>
          <w:r>
            <w:rPr>
              <w:color w:val="auto"/>
            </w:rPr>
            <w:t>效标识不符合规定</w:t>
          </w:r>
          <w:r>
            <w:rPr>
              <w:color w:val="auto"/>
            </w:rPr>
            <w:tab/>
          </w:r>
          <w:r>
            <w:rPr>
              <w:color w:val="auto"/>
              <w:spacing w:val="-6"/>
            </w:rPr>
            <w:t>355</w:t>
          </w:r>
        </w:p>
        <w:p>
          <w:pPr>
            <w:pStyle w:val="5"/>
            <w:tabs>
              <w:tab w:val="left" w:leader="dot" w:pos="8595"/>
            </w:tabs>
            <w:spacing w:after="240" w:line="308" w:lineRule="exact"/>
            <w:rPr>
              <w:color w:val="auto"/>
            </w:rPr>
          </w:pPr>
          <w:r>
            <w:rPr>
              <w:color w:val="auto"/>
            </w:rPr>
            <w:fldChar w:fldCharType="begin"/>
          </w:r>
          <w:r>
            <w:rPr>
              <w:color w:val="auto"/>
            </w:rPr>
            <w:instrText xml:space="preserve"> HYPERLINK \l "_bookmark381" </w:instrText>
          </w:r>
          <w:r>
            <w:rPr>
              <w:color w:val="auto"/>
            </w:rPr>
            <w:fldChar w:fldCharType="separate"/>
          </w:r>
          <w:r>
            <w:rPr>
              <w:color w:val="auto"/>
            </w:rPr>
            <w:t>三百七十三、被抽查企业擅自更换、隐匿、处理已抽查封存的样品</w:t>
          </w:r>
          <w:r>
            <w:rPr>
              <w:color w:val="auto"/>
            </w:rPr>
            <w:tab/>
          </w:r>
          <w:r>
            <w:rPr>
              <w:color w:val="auto"/>
            </w:rPr>
            <w:t>356</w:t>
          </w:r>
          <w:r>
            <w:rPr>
              <w:color w:val="auto"/>
            </w:rPr>
            <w:fldChar w:fldCharType="end"/>
          </w:r>
        </w:p>
        <w:p>
          <w:pPr>
            <w:pStyle w:val="5"/>
            <w:tabs>
              <w:tab w:val="left" w:leader="dot" w:pos="8595"/>
            </w:tabs>
            <w:spacing w:before="127" w:line="374" w:lineRule="auto"/>
            <w:ind w:right="268"/>
            <w:jc w:val="both"/>
            <w:rPr>
              <w:color w:val="auto"/>
            </w:rPr>
          </w:pPr>
          <w:r>
            <w:rPr>
              <w:color w:val="auto"/>
            </w:rPr>
            <w:fldChar w:fldCharType="begin"/>
          </w:r>
          <w:r>
            <w:rPr>
              <w:color w:val="auto"/>
            </w:rPr>
            <w:instrText xml:space="preserve"> HYPERLINK \l "_bookmark382"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"_bookmark382" </w:instrText>
          </w:r>
          <w:r>
            <w:rPr>
              <w:color w:val="auto"/>
            </w:rPr>
            <w:fldChar w:fldCharType="separate"/>
          </w:r>
          <w:r>
            <w:rPr>
              <w:color w:val="auto"/>
            </w:rPr>
            <w:t>百七十四</w:t>
          </w:r>
          <w:r>
            <w:rPr>
              <w:color w:val="auto"/>
              <w:spacing w:val="-12"/>
            </w:rPr>
            <w:t>、</w:t>
          </w:r>
          <w:r>
            <w:rPr>
              <w:color w:val="auto"/>
            </w:rPr>
            <w:t>检验机构违规分包检验任务</w:t>
          </w:r>
          <w:r>
            <w:rPr>
              <w:color w:val="auto"/>
              <w:spacing w:val="-12"/>
            </w:rPr>
            <w:t>，</w:t>
          </w:r>
          <w:r>
            <w:rPr>
              <w:color w:val="auto"/>
            </w:rPr>
            <w:t>或者未经组织监督抽查部门批准</w:t>
          </w:r>
          <w:r>
            <w:rPr>
              <w:color w:val="auto"/>
              <w:spacing w:val="-12"/>
            </w:rPr>
            <w:t>，</w:t>
          </w:r>
          <w:r>
            <w:rPr>
              <w:color w:val="auto"/>
              <w:spacing w:val="-17"/>
            </w:rPr>
            <w:t>租</w:t>
          </w:r>
          <w:r>
            <w:rPr>
              <w:color w:val="auto"/>
              <w:spacing w:val="-17"/>
            </w:rPr>
            <w:fldChar w:fldCharType="end"/>
          </w:r>
          <w:r>
            <w:rPr>
              <w:color w:val="auto"/>
            </w:rPr>
            <w:t>借他人检测设备</w:t>
          </w:r>
          <w:r>
            <w:rPr>
              <w:color w:val="auto"/>
              <w:spacing w:val="-20"/>
            </w:rPr>
            <w:t>，</w:t>
          </w:r>
          <w:r>
            <w:rPr>
              <w:color w:val="auto"/>
            </w:rPr>
            <w:t>或者未按规定及时报送检验报告及有关情况和复检结果</w:t>
          </w:r>
          <w:r>
            <w:rPr>
              <w:color w:val="auto"/>
              <w:spacing w:val="-17"/>
            </w:rPr>
            <w:t>，</w:t>
          </w:r>
          <w:r>
            <w:rPr>
              <w:color w:val="auto"/>
            </w:rPr>
            <w:t>且</w:t>
          </w:r>
          <w:r>
            <w:rPr>
              <w:color w:val="auto"/>
              <w:spacing w:val="-16"/>
            </w:rPr>
            <w:t>情</w:t>
          </w:r>
          <w:r>
            <w:rPr>
              <w:color w:val="auto"/>
            </w:rPr>
            <w:t>节严重拒不改正</w:t>
          </w:r>
          <w:r>
            <w:rPr>
              <w:color w:val="auto"/>
            </w:rPr>
            <w:tab/>
          </w:r>
          <w:r>
            <w:rPr>
              <w:color w:val="auto"/>
              <w:spacing w:val="-6"/>
            </w:rPr>
            <w:t>357</w:t>
          </w:r>
        </w:p>
        <w:p>
          <w:pPr>
            <w:pStyle w:val="5"/>
            <w:tabs>
              <w:tab w:val="left" w:leader="dot" w:pos="8595"/>
            </w:tabs>
            <w:spacing w:line="308" w:lineRule="exact"/>
            <w:rPr>
              <w:color w:val="auto"/>
            </w:rPr>
          </w:pPr>
          <w:r>
            <w:rPr>
              <w:color w:val="auto"/>
            </w:rPr>
            <w:fldChar w:fldCharType="begin"/>
          </w:r>
          <w:r>
            <w:rPr>
              <w:color w:val="auto"/>
            </w:rPr>
            <w:instrText xml:space="preserve"> HYPERLINK \l "_bookmark383" </w:instrText>
          </w:r>
          <w:r>
            <w:rPr>
              <w:color w:val="auto"/>
            </w:rPr>
            <w:fldChar w:fldCharType="separate"/>
          </w:r>
          <w:r>
            <w:rPr>
              <w:color w:val="auto"/>
            </w:rPr>
            <w:t>三百七十五、检验机构违规抽样且情节严重拒不改正</w:t>
          </w:r>
          <w:r>
            <w:rPr>
              <w:color w:val="auto"/>
            </w:rPr>
            <w:tab/>
          </w:r>
          <w:r>
            <w:rPr>
              <w:color w:val="auto"/>
            </w:rPr>
            <w:t>358</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"_bookmark384"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"_bookmark384" </w:instrText>
          </w:r>
          <w:r>
            <w:rPr>
              <w:color w:val="auto"/>
            </w:rPr>
            <w:fldChar w:fldCharType="separate"/>
          </w:r>
          <w:r>
            <w:rPr>
              <w:color w:val="auto"/>
            </w:rPr>
            <w:t>百七十六</w:t>
          </w:r>
          <w:r>
            <w:rPr>
              <w:color w:val="auto"/>
              <w:spacing w:val="-20"/>
            </w:rPr>
            <w:t>、</w:t>
          </w:r>
          <w:r>
            <w:rPr>
              <w:color w:val="auto"/>
            </w:rPr>
            <w:t>检验机构向被抽查企业收取费用或者超过规定的数量索取样品</w:t>
          </w:r>
          <w:r>
            <w:rPr>
              <w:color w:val="auto"/>
              <w:spacing w:val="-17"/>
            </w:rPr>
            <w:t>，</w:t>
          </w:r>
          <w:r>
            <w:rPr>
              <w:color w:val="auto"/>
              <w:spacing w:val="-16"/>
            </w:rPr>
            <w:t>情</w:t>
          </w:r>
          <w:r>
            <w:rPr>
              <w:color w:val="auto"/>
              <w:spacing w:val="-16"/>
            </w:rPr>
            <w:fldChar w:fldCharType="end"/>
          </w:r>
          <w:r>
            <w:rPr>
              <w:color w:val="auto"/>
            </w:rPr>
            <w:t>节严重且拒不改正</w:t>
          </w:r>
          <w:r>
            <w:rPr>
              <w:color w:val="auto"/>
            </w:rPr>
            <w:tab/>
          </w:r>
          <w:r>
            <w:rPr>
              <w:color w:val="auto"/>
              <w:spacing w:val="-6"/>
            </w:rPr>
            <w:t>359</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"_bookmark385"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"_bookmark385" </w:instrText>
          </w:r>
          <w:r>
            <w:rPr>
              <w:color w:val="auto"/>
            </w:rPr>
            <w:fldChar w:fldCharType="separate"/>
          </w:r>
          <w:r>
            <w:rPr>
              <w:color w:val="auto"/>
            </w:rPr>
            <w:t>百七十七</w:t>
          </w:r>
          <w:r>
            <w:rPr>
              <w:color w:val="auto"/>
              <w:spacing w:val="-12"/>
            </w:rPr>
            <w:t>、</w:t>
          </w:r>
          <w:r>
            <w:rPr>
              <w:color w:val="auto"/>
            </w:rPr>
            <w:t>生产者未按规定更新备案信息</w:t>
          </w:r>
          <w:r>
            <w:rPr>
              <w:color w:val="auto"/>
              <w:spacing w:val="-12"/>
            </w:rPr>
            <w:t>、</w:t>
          </w:r>
          <w:r>
            <w:rPr>
              <w:color w:val="auto"/>
            </w:rPr>
            <w:t>未按规定提交调查分析结果</w:t>
          </w:r>
          <w:r>
            <w:rPr>
              <w:color w:val="auto"/>
              <w:spacing w:val="-12"/>
            </w:rPr>
            <w:t>、</w:t>
          </w:r>
          <w:r>
            <w:rPr>
              <w:color w:val="auto"/>
            </w:rPr>
            <w:t>未</w:t>
          </w:r>
          <w:r>
            <w:rPr>
              <w:color w:val="auto"/>
              <w:spacing w:val="-17"/>
            </w:rPr>
            <w:t>按</w:t>
          </w:r>
          <w:r>
            <w:rPr>
              <w:color w:val="auto"/>
              <w:spacing w:val="-17"/>
            </w:rPr>
            <w:fldChar w:fldCharType="end"/>
          </w:r>
          <w:r>
            <w:rPr>
              <w:color w:val="auto"/>
            </w:rPr>
            <w:t>规定保存汽车产品召回记录</w:t>
          </w:r>
          <w:r>
            <w:rPr>
              <w:color w:val="auto"/>
              <w:spacing w:val="-20"/>
            </w:rPr>
            <w:t>、</w:t>
          </w:r>
          <w:r>
            <w:rPr>
              <w:color w:val="auto"/>
            </w:rPr>
            <w:t>未按规定发布缺陷汽车产品信息和召回信息</w:t>
          </w:r>
          <w:r>
            <w:rPr>
              <w:color w:val="auto"/>
              <w:spacing w:val="-17"/>
            </w:rPr>
            <w:t>，</w:t>
          </w:r>
          <w:r>
            <w:rPr>
              <w:color w:val="auto"/>
            </w:rPr>
            <w:t>且</w:t>
          </w:r>
          <w:r>
            <w:rPr>
              <w:color w:val="auto"/>
              <w:spacing w:val="-16"/>
            </w:rPr>
            <w:t>逾</w:t>
          </w:r>
          <w:r>
            <w:rPr>
              <w:color w:val="auto"/>
            </w:rPr>
            <w:t>期未改</w:t>
          </w:r>
          <w:r>
            <w:rPr>
              <w:color w:val="auto"/>
            </w:rPr>
            <w:tab/>
          </w:r>
          <w:r>
            <w:rPr>
              <w:color w:val="auto"/>
              <w:spacing w:val="-6"/>
            </w:rPr>
            <w:t>360</w:t>
          </w:r>
        </w:p>
        <w:p>
          <w:pPr>
            <w:pStyle w:val="5"/>
            <w:tabs>
              <w:tab w:val="left" w:leader="dot" w:pos="8595"/>
            </w:tabs>
            <w:spacing w:line="308" w:lineRule="exact"/>
            <w:rPr>
              <w:color w:val="auto"/>
            </w:rPr>
          </w:pPr>
          <w:r>
            <w:rPr>
              <w:color w:val="auto"/>
            </w:rPr>
            <w:fldChar w:fldCharType="begin"/>
          </w:r>
          <w:r>
            <w:rPr>
              <w:color w:val="auto"/>
            </w:rPr>
            <w:instrText xml:space="preserve"> HYPERLINK \l "_bookmark386" </w:instrText>
          </w:r>
          <w:r>
            <w:rPr>
              <w:color w:val="auto"/>
            </w:rPr>
            <w:fldChar w:fldCharType="separate"/>
          </w:r>
          <w:r>
            <w:rPr>
              <w:color w:val="auto"/>
            </w:rPr>
            <w:t>三百七十八、零部件生产者不配合缺陷调查</w:t>
          </w:r>
          <w:r>
            <w:rPr>
              <w:color w:val="auto"/>
            </w:rPr>
            <w:tab/>
          </w:r>
          <w:r>
            <w:rPr>
              <w:color w:val="auto"/>
            </w:rPr>
            <w:t>361</w:t>
          </w:r>
          <w:r>
            <w:rPr>
              <w:color w:val="auto"/>
            </w:rPr>
            <w:fldChar w:fldCharType="end"/>
          </w:r>
        </w:p>
        <w:p>
          <w:pPr>
            <w:pStyle w:val="8"/>
            <w:tabs>
              <w:tab w:val="left" w:pos="1651"/>
              <w:tab w:val="left" w:leader="dot" w:pos="8549"/>
            </w:tabs>
            <w:rPr>
              <w:color w:val="auto"/>
            </w:rPr>
          </w:pPr>
          <w:r>
            <w:rPr>
              <w:color w:val="auto"/>
            </w:rPr>
            <w:fldChar w:fldCharType="begin"/>
          </w:r>
          <w:r>
            <w:rPr>
              <w:color w:val="auto"/>
            </w:rPr>
            <w:instrText xml:space="preserve"> HYPERLINK \l "_bookmark387" </w:instrText>
          </w:r>
          <w:r>
            <w:rPr>
              <w:color w:val="auto"/>
            </w:rPr>
            <w:fldChar w:fldCharType="separate"/>
          </w:r>
          <w:r>
            <w:rPr>
              <w:color w:val="auto"/>
              <w:spacing w:val="-13"/>
            </w:rPr>
            <w:t>第十</w:t>
          </w:r>
          <w:r>
            <w:rPr>
              <w:color w:val="auto"/>
            </w:rPr>
            <w:t>章</w:t>
          </w:r>
          <w:r>
            <w:rPr>
              <w:color w:val="auto"/>
            </w:rPr>
            <w:tab/>
          </w:r>
          <w:r>
            <w:rPr>
              <w:color w:val="auto"/>
              <w:spacing w:val="-13"/>
            </w:rPr>
            <w:t>标准化监</w:t>
          </w:r>
          <w:r>
            <w:rPr>
              <w:color w:val="auto"/>
            </w:rPr>
            <w:t>管</w:t>
          </w:r>
          <w:r>
            <w:rPr>
              <w:color w:val="auto"/>
            </w:rPr>
            <w:tab/>
          </w:r>
          <w:r>
            <w:rPr>
              <w:color w:val="auto"/>
              <w:spacing w:val="-3"/>
            </w:rPr>
            <w:t>362</w:t>
          </w:r>
          <w:r>
            <w:rPr>
              <w:color w:val="auto"/>
              <w:spacing w:val="-3"/>
            </w:rPr>
            <w:fldChar w:fldCharType="end"/>
          </w:r>
        </w:p>
        <w:p>
          <w:pPr>
            <w:pStyle w:val="5"/>
            <w:tabs>
              <w:tab w:val="left" w:leader="dot" w:pos="8595"/>
            </w:tabs>
            <w:spacing w:before="98"/>
            <w:rPr>
              <w:color w:val="auto"/>
            </w:rPr>
          </w:pPr>
          <w:r>
            <w:rPr>
              <w:color w:val="auto"/>
            </w:rPr>
            <w:fldChar w:fldCharType="begin"/>
          </w:r>
          <w:r>
            <w:rPr>
              <w:color w:val="auto"/>
            </w:rPr>
            <w:instrText xml:space="preserve"> HYPERLINK \l "_bookmark388" </w:instrText>
          </w:r>
          <w:r>
            <w:rPr>
              <w:color w:val="auto"/>
            </w:rPr>
            <w:fldChar w:fldCharType="separate"/>
          </w:r>
          <w:r>
            <w:rPr>
              <w:color w:val="auto"/>
            </w:rPr>
            <w:t>三百七十九、生产不符合强制性标准的产品</w:t>
          </w:r>
          <w:r>
            <w:rPr>
              <w:color w:val="auto"/>
            </w:rPr>
            <w:tab/>
          </w:r>
          <w:r>
            <w:rPr>
              <w:color w:val="auto"/>
            </w:rPr>
            <w:t>362</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"_bookmark389" </w:instrText>
          </w:r>
          <w:r>
            <w:rPr>
              <w:color w:val="auto"/>
            </w:rPr>
            <w:fldChar w:fldCharType="separate"/>
          </w:r>
          <w:r>
            <w:rPr>
              <w:color w:val="auto"/>
            </w:rPr>
            <w:t>三百八十、销售不符合强制性标准的商品</w:t>
          </w:r>
          <w:r>
            <w:rPr>
              <w:color w:val="auto"/>
            </w:rPr>
            <w:tab/>
          </w:r>
          <w:r>
            <w:rPr>
              <w:color w:val="auto"/>
            </w:rPr>
            <w:t>363</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"_bookmark390" </w:instrText>
          </w:r>
          <w:r>
            <w:rPr>
              <w:color w:val="auto"/>
            </w:rPr>
            <w:fldChar w:fldCharType="separate"/>
          </w:r>
          <w:r>
            <w:rPr>
              <w:color w:val="auto"/>
            </w:rPr>
            <w:t>三百八十一、进口不符合强制性标准的产品</w:t>
          </w:r>
          <w:r>
            <w:rPr>
              <w:color w:val="auto"/>
            </w:rPr>
            <w:tab/>
          </w:r>
          <w:r>
            <w:rPr>
              <w:color w:val="auto"/>
            </w:rPr>
            <w:t>365</w:t>
          </w:r>
          <w:r>
            <w:rPr>
              <w:color w:val="auto"/>
            </w:rPr>
            <w:fldChar w:fldCharType="end"/>
          </w:r>
        </w:p>
        <w:p>
          <w:pPr>
            <w:pStyle w:val="5"/>
            <w:tabs>
              <w:tab w:val="left" w:leader="dot" w:pos="8611"/>
            </w:tabs>
            <w:spacing w:before="172"/>
            <w:rPr>
              <w:color w:val="auto"/>
            </w:rPr>
          </w:pPr>
          <w:r>
            <w:rPr>
              <w:color w:val="auto"/>
            </w:rPr>
            <w:fldChar w:fldCharType="begin"/>
          </w:r>
          <w:r>
            <w:rPr>
              <w:color w:val="auto"/>
            </w:rPr>
            <w:instrText xml:space="preserve"> HYPERLINK \l "_bookmark391" </w:instrText>
          </w:r>
          <w:r>
            <w:rPr>
              <w:color w:val="auto"/>
            </w:rPr>
            <w:fldChar w:fldCharType="separate"/>
          </w:r>
          <w:r>
            <w:rPr>
              <w:color w:val="auto"/>
              <w:spacing w:val="-12"/>
            </w:rPr>
            <w:t>三百八十二、获得认证证书的产品不符合认证标准而使用认证标志出厂销</w:t>
          </w:r>
          <w:r>
            <w:rPr>
              <w:color w:val="auto"/>
            </w:rPr>
            <w:t>售</w:t>
          </w:r>
          <w:r>
            <w:rPr>
              <w:color w:val="auto"/>
            </w:rPr>
            <w:tab/>
          </w:r>
          <w:r>
            <w:rPr>
              <w:color w:val="auto"/>
              <w:spacing w:val="-4"/>
            </w:rPr>
            <w:t>367</w:t>
          </w:r>
          <w:r>
            <w:rPr>
              <w:color w:val="auto"/>
              <w:spacing w:val="-4"/>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"_bookmark392" </w:instrText>
          </w:r>
          <w:r>
            <w:rPr>
              <w:color w:val="auto"/>
            </w:rPr>
            <w:fldChar w:fldCharType="separate"/>
          </w:r>
          <w:r>
            <w:rPr>
              <w:color w:val="auto"/>
            </w:rPr>
            <w:t>三百八十三、产品未经认证或者认证不合格而擅自使用认证标志出厂销售</w:t>
          </w:r>
          <w:r>
            <w:rPr>
              <w:color w:val="auto"/>
            </w:rPr>
            <w:tab/>
          </w:r>
          <w:r>
            <w:rPr>
              <w:color w:val="auto"/>
            </w:rPr>
            <w:t>368</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"_bookmark393" </w:instrText>
          </w:r>
          <w:r>
            <w:rPr>
              <w:color w:val="auto"/>
            </w:rPr>
            <w:fldChar w:fldCharType="separate"/>
          </w:r>
          <w:r>
            <w:rPr>
              <w:color w:val="auto"/>
              <w:spacing w:val="-34"/>
            </w:rPr>
            <w:t>三百</w:t>
          </w:r>
          <w:r>
            <w:rPr>
              <w:color w:val="auto"/>
              <w:spacing w:val="-36"/>
            </w:rPr>
            <w:t>八</w:t>
          </w:r>
          <w:r>
            <w:rPr>
              <w:color w:val="auto"/>
              <w:spacing w:val="-34"/>
            </w:rPr>
            <w:t>十四、生产</w:t>
          </w:r>
          <w:r>
            <w:rPr>
              <w:color w:val="auto"/>
              <w:spacing w:val="-36"/>
            </w:rPr>
            <w:t>、</w:t>
          </w:r>
          <w:r>
            <w:rPr>
              <w:color w:val="auto"/>
              <w:spacing w:val="-34"/>
            </w:rPr>
            <w:t>销售的产品</w:t>
          </w:r>
          <w:r>
            <w:rPr>
              <w:color w:val="auto"/>
              <w:spacing w:val="-36"/>
            </w:rPr>
            <w:t>，</w:t>
          </w:r>
          <w:r>
            <w:rPr>
              <w:color w:val="auto"/>
              <w:spacing w:val="-34"/>
            </w:rPr>
            <w:t>其标签、使</w:t>
          </w:r>
          <w:r>
            <w:rPr>
              <w:color w:val="auto"/>
              <w:spacing w:val="-36"/>
            </w:rPr>
            <w:t>用</w:t>
          </w:r>
          <w:r>
            <w:rPr>
              <w:color w:val="auto"/>
              <w:spacing w:val="-34"/>
            </w:rPr>
            <w:t>说明等标识</w:t>
          </w:r>
          <w:r>
            <w:rPr>
              <w:color w:val="auto"/>
              <w:spacing w:val="-36"/>
            </w:rPr>
            <w:t>不</w:t>
          </w:r>
          <w:r>
            <w:rPr>
              <w:color w:val="auto"/>
              <w:spacing w:val="-34"/>
            </w:rPr>
            <w:t>符合强制性</w:t>
          </w:r>
          <w:r>
            <w:rPr>
              <w:color w:val="auto"/>
              <w:spacing w:val="-36"/>
            </w:rPr>
            <w:t>标</w:t>
          </w:r>
          <w:r>
            <w:rPr>
              <w:color w:val="auto"/>
              <w:spacing w:val="-34"/>
            </w:rPr>
            <w:t>准规定</w:t>
          </w:r>
          <w:r>
            <w:rPr>
              <w:color w:val="auto"/>
              <w:spacing w:val="-34"/>
            </w:rPr>
            <w:tab/>
          </w:r>
          <w:r>
            <w:rPr>
              <w:color w:val="auto"/>
            </w:rPr>
            <w:t>369</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"_bookmark394" </w:instrText>
          </w:r>
          <w:r>
            <w:rPr>
              <w:color w:val="auto"/>
            </w:rPr>
            <w:fldChar w:fldCharType="separate"/>
          </w:r>
          <w:r>
            <w:rPr>
              <w:color w:val="auto"/>
            </w:rPr>
            <w:t>三百八十五、系统成员转让厂商识别代码和相应条码</w:t>
          </w:r>
          <w:r>
            <w:rPr>
              <w:color w:val="auto"/>
            </w:rPr>
            <w:tab/>
          </w:r>
          <w:r>
            <w:rPr>
              <w:color w:val="auto"/>
            </w:rPr>
            <w:t>371</w:t>
          </w:r>
          <w:r>
            <w:rPr>
              <w:color w:val="auto"/>
            </w:rPr>
            <w:fldChar w:fldCharType="end"/>
          </w:r>
        </w:p>
        <w:p>
          <w:pPr>
            <w:pStyle w:val="5"/>
            <w:tabs>
              <w:tab w:val="left" w:leader="dot" w:pos="8595"/>
            </w:tabs>
            <w:spacing w:before="172" w:line="374" w:lineRule="auto"/>
            <w:ind w:right="268"/>
            <w:jc w:val="both"/>
            <w:rPr>
              <w:color w:val="auto"/>
            </w:rPr>
          </w:pPr>
          <w:r>
            <w:rPr>
              <w:color w:val="auto"/>
            </w:rPr>
            <w:fldChar w:fldCharType="begin"/>
          </w:r>
          <w:r>
            <w:rPr>
              <w:color w:val="auto"/>
            </w:rPr>
            <w:instrText xml:space="preserve"> HYPERLINK \l "_bookmark395"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"_bookmark395" </w:instrText>
          </w:r>
          <w:r>
            <w:rPr>
              <w:color w:val="auto"/>
            </w:rPr>
            <w:fldChar w:fldCharType="separate"/>
          </w:r>
          <w:r>
            <w:rPr>
              <w:color w:val="auto"/>
            </w:rPr>
            <w:t>百八十六</w:t>
          </w:r>
          <w:r>
            <w:rPr>
              <w:color w:val="auto"/>
              <w:spacing w:val="-20"/>
            </w:rPr>
            <w:t>、</w:t>
          </w:r>
          <w:r>
            <w:rPr>
              <w:color w:val="auto"/>
            </w:rPr>
            <w:t>未经核准注册使用厂商识别代码和相应商品条码</w:t>
          </w:r>
          <w:r>
            <w:rPr>
              <w:color w:val="auto"/>
              <w:spacing w:val="-17"/>
            </w:rPr>
            <w:t>，</w:t>
          </w:r>
          <w:r>
            <w:rPr>
              <w:color w:val="auto"/>
            </w:rPr>
            <w:t>在商品包装上</w:t>
          </w:r>
          <w:r>
            <w:rPr>
              <w:color w:val="auto"/>
              <w:spacing w:val="-16"/>
            </w:rPr>
            <w:t>使</w:t>
          </w:r>
          <w:r>
            <w:rPr>
              <w:color w:val="auto"/>
              <w:spacing w:val="-16"/>
            </w:rPr>
            <w:fldChar w:fldCharType="end"/>
          </w:r>
          <w:r>
            <w:rPr>
              <w:color w:val="auto"/>
            </w:rPr>
            <w:t>用其它条码冒充商品条码或伪造商品条码</w:t>
          </w:r>
          <w:r>
            <w:rPr>
              <w:color w:val="auto"/>
              <w:spacing w:val="-36"/>
            </w:rPr>
            <w:t>，</w:t>
          </w:r>
          <w:r>
            <w:rPr>
              <w:color w:val="auto"/>
            </w:rPr>
            <w:t>或者使用已经注销的厂商识别代码</w:t>
          </w:r>
          <w:r>
            <w:rPr>
              <w:color w:val="auto"/>
              <w:spacing w:val="-17"/>
            </w:rPr>
            <w:t>和</w:t>
          </w:r>
          <w:r>
            <w:rPr>
              <w:color w:val="auto"/>
            </w:rPr>
            <w:t>相应商品条码</w:t>
          </w:r>
          <w:r>
            <w:rPr>
              <w:color w:val="auto"/>
            </w:rPr>
            <w:tab/>
          </w:r>
          <w:r>
            <w:rPr>
              <w:color w:val="auto"/>
              <w:spacing w:val="-6"/>
            </w:rPr>
            <w:t>371</w:t>
          </w:r>
        </w:p>
        <w:p>
          <w:pPr>
            <w:pStyle w:val="5"/>
            <w:tabs>
              <w:tab w:val="left" w:leader="dot" w:pos="8595"/>
            </w:tabs>
            <w:spacing w:line="308" w:lineRule="exact"/>
            <w:rPr>
              <w:color w:val="auto"/>
            </w:rPr>
          </w:pPr>
          <w:r>
            <w:rPr>
              <w:color w:val="auto"/>
            </w:rPr>
            <w:fldChar w:fldCharType="begin"/>
          </w:r>
          <w:r>
            <w:rPr>
              <w:color w:val="auto"/>
            </w:rPr>
            <w:instrText xml:space="preserve"> HYPERLINK \l "_bookmark396" </w:instrText>
          </w:r>
          <w:r>
            <w:rPr>
              <w:color w:val="auto"/>
            </w:rPr>
            <w:fldChar w:fldCharType="separate"/>
          </w:r>
          <w:r>
            <w:rPr>
              <w:color w:val="auto"/>
            </w:rPr>
            <w:t>三百八十七、经销的商品印有未经核准注册、备案或者伪造的商品条码</w:t>
          </w:r>
          <w:r>
            <w:rPr>
              <w:color w:val="auto"/>
            </w:rPr>
            <w:tab/>
          </w:r>
          <w:r>
            <w:rPr>
              <w:color w:val="auto"/>
            </w:rPr>
            <w:t>372</w:t>
          </w:r>
          <w:r>
            <w:rPr>
              <w:color w:val="auto"/>
            </w:rPr>
            <w:fldChar w:fldCharType="end"/>
          </w:r>
        </w:p>
        <w:p>
          <w:pPr>
            <w:pStyle w:val="8"/>
            <w:tabs>
              <w:tab w:val="left" w:pos="1920"/>
              <w:tab w:val="left" w:leader="dot" w:pos="8549"/>
            </w:tabs>
            <w:rPr>
              <w:color w:val="auto"/>
            </w:rPr>
          </w:pPr>
          <w:r>
            <w:rPr>
              <w:color w:val="auto"/>
            </w:rPr>
            <w:fldChar w:fldCharType="begin"/>
          </w:r>
          <w:r>
            <w:rPr>
              <w:color w:val="auto"/>
            </w:rPr>
            <w:instrText xml:space="preserve"> HYPERLINK \l "_bookmark397" </w:instrText>
          </w:r>
          <w:r>
            <w:rPr>
              <w:color w:val="auto"/>
            </w:rPr>
            <w:fldChar w:fldCharType="separate"/>
          </w:r>
          <w:r>
            <w:rPr>
              <w:color w:val="auto"/>
              <w:spacing w:val="-13"/>
            </w:rPr>
            <w:t>第十一</w:t>
          </w:r>
          <w:r>
            <w:rPr>
              <w:color w:val="auto"/>
            </w:rPr>
            <w:t>章</w:t>
          </w:r>
          <w:r>
            <w:rPr>
              <w:color w:val="auto"/>
            </w:rPr>
            <w:tab/>
          </w:r>
          <w:r>
            <w:rPr>
              <w:color w:val="auto"/>
              <w:spacing w:val="-13"/>
            </w:rPr>
            <w:t>计量监</w:t>
          </w:r>
          <w:r>
            <w:rPr>
              <w:color w:val="auto"/>
            </w:rPr>
            <w:t>管</w:t>
          </w:r>
          <w:r>
            <w:rPr>
              <w:color w:val="auto"/>
            </w:rPr>
            <w:tab/>
          </w:r>
          <w:r>
            <w:rPr>
              <w:color w:val="auto"/>
              <w:spacing w:val="-3"/>
            </w:rPr>
            <w:t>373</w:t>
          </w:r>
          <w:r>
            <w:rPr>
              <w:color w:val="auto"/>
              <w:spacing w:val="-3"/>
            </w:rPr>
            <w:fldChar w:fldCharType="end"/>
          </w:r>
        </w:p>
        <w:p>
          <w:pPr>
            <w:pStyle w:val="5"/>
            <w:tabs>
              <w:tab w:val="left" w:leader="dot" w:pos="8595"/>
            </w:tabs>
            <w:spacing w:before="98"/>
            <w:rPr>
              <w:color w:val="auto"/>
            </w:rPr>
          </w:pPr>
          <w:r>
            <w:rPr>
              <w:color w:val="auto"/>
            </w:rPr>
            <w:fldChar w:fldCharType="begin"/>
          </w:r>
          <w:r>
            <w:rPr>
              <w:color w:val="auto"/>
            </w:rPr>
            <w:instrText xml:space="preserve"> HYPERLINK \l "_bookmark398" </w:instrText>
          </w:r>
          <w:r>
            <w:rPr>
              <w:color w:val="auto"/>
            </w:rPr>
            <w:fldChar w:fldCharType="separate"/>
          </w:r>
          <w:r>
            <w:rPr>
              <w:color w:val="auto"/>
            </w:rPr>
            <w:t>三百八十八、生产、进口、销售国家明令淘汰的用能产品、设备</w:t>
          </w:r>
          <w:r>
            <w:rPr>
              <w:color w:val="auto"/>
            </w:rPr>
            <w:tab/>
          </w:r>
          <w:r>
            <w:rPr>
              <w:color w:val="auto"/>
            </w:rPr>
            <w:t>373</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"_bookmark399" </w:instrText>
          </w:r>
          <w:r>
            <w:rPr>
              <w:color w:val="auto"/>
            </w:rPr>
            <w:fldChar w:fldCharType="separate"/>
          </w:r>
          <w:r>
            <w:rPr>
              <w:color w:val="auto"/>
            </w:rPr>
            <w:t>三百八十九、使用伪造的节能产品认证标志或者冒用节能产品认证标志</w:t>
          </w:r>
          <w:r>
            <w:rPr>
              <w:color w:val="auto"/>
            </w:rPr>
            <w:tab/>
          </w:r>
          <w:r>
            <w:rPr>
              <w:color w:val="auto"/>
            </w:rPr>
            <w:t>375</w:t>
          </w:r>
          <w:r>
            <w:rPr>
              <w:color w:val="auto"/>
            </w:rPr>
            <w:fldChar w:fldCharType="end"/>
          </w:r>
        </w:p>
        <w:p>
          <w:pPr>
            <w:pStyle w:val="5"/>
            <w:tabs>
              <w:tab w:val="left" w:leader="dot" w:pos="8611"/>
            </w:tabs>
            <w:spacing w:before="173"/>
            <w:rPr>
              <w:color w:val="auto"/>
            </w:rPr>
          </w:pPr>
          <w:r>
            <w:rPr>
              <w:color w:val="auto"/>
            </w:rPr>
            <w:fldChar w:fldCharType="begin"/>
          </w:r>
          <w:r>
            <w:rPr>
              <w:color w:val="auto"/>
            </w:rPr>
            <w:instrText xml:space="preserve"> HYPERLINK \l "_bookmark400" </w:instrText>
          </w:r>
          <w:r>
            <w:rPr>
              <w:color w:val="auto"/>
            </w:rPr>
            <w:fldChar w:fldCharType="separate"/>
          </w:r>
          <w:r>
            <w:rPr>
              <w:color w:val="auto"/>
              <w:spacing w:val="-12"/>
            </w:rPr>
            <w:t>三百九十、生产、进口、销售不符合强制性能源效率标准的用能产品、设</w:t>
          </w:r>
          <w:r>
            <w:rPr>
              <w:color w:val="auto"/>
            </w:rPr>
            <w:t>备</w:t>
          </w:r>
          <w:r>
            <w:rPr>
              <w:color w:val="auto"/>
            </w:rPr>
            <w:tab/>
          </w:r>
          <w:r>
            <w:rPr>
              <w:color w:val="auto"/>
              <w:spacing w:val="-4"/>
            </w:rPr>
            <w:t>376</w:t>
          </w:r>
          <w:r>
            <w:rPr>
              <w:color w:val="auto"/>
              <w:spacing w:val="-4"/>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"_bookmark401" </w:instrText>
          </w:r>
          <w:r>
            <w:rPr>
              <w:color w:val="auto"/>
            </w:rPr>
            <w:fldChar w:fldCharType="separate"/>
          </w:r>
          <w:r>
            <w:rPr>
              <w:color w:val="auto"/>
            </w:rPr>
            <w:t>三百九十一、应当标注能源效率标识而未标注</w:t>
          </w:r>
          <w:r>
            <w:rPr>
              <w:color w:val="auto"/>
            </w:rPr>
            <w:tab/>
          </w:r>
          <w:r>
            <w:rPr>
              <w:color w:val="auto"/>
            </w:rPr>
            <w:t>378</w:t>
          </w:r>
          <w:r>
            <w:rPr>
              <w:color w:val="auto"/>
            </w:rPr>
            <w:fldChar w:fldCharType="end"/>
          </w:r>
        </w:p>
        <w:p>
          <w:pPr>
            <w:pStyle w:val="5"/>
            <w:tabs>
              <w:tab w:val="left" w:leader="dot" w:pos="8611"/>
            </w:tabs>
            <w:spacing w:before="173"/>
            <w:rPr>
              <w:color w:val="auto"/>
            </w:rPr>
          </w:pPr>
          <w:r>
            <w:rPr>
              <w:color w:val="auto"/>
            </w:rPr>
            <w:fldChar w:fldCharType="begin"/>
          </w:r>
          <w:r>
            <w:rPr>
              <w:color w:val="auto"/>
            </w:rPr>
            <w:instrText xml:space="preserve"> HYPERLINK \l "_bookmark402" </w:instrText>
          </w:r>
          <w:r>
            <w:rPr>
              <w:color w:val="auto"/>
            </w:rPr>
            <w:fldChar w:fldCharType="separate"/>
          </w:r>
          <w:r>
            <w:rPr>
              <w:color w:val="auto"/>
              <w:spacing w:val="-12"/>
            </w:rPr>
            <w:t>三百九十二、未办理能源效率标识备案，或者使用的能源效率标识不符合规</w:t>
          </w:r>
          <w:r>
            <w:rPr>
              <w:color w:val="auto"/>
            </w:rPr>
            <w:t>定</w:t>
          </w:r>
          <w:r>
            <w:rPr>
              <w:color w:val="auto"/>
            </w:rPr>
            <w:tab/>
          </w:r>
          <w:r>
            <w:rPr>
              <w:color w:val="auto"/>
              <w:spacing w:val="-4"/>
            </w:rPr>
            <w:t>379</w:t>
          </w:r>
          <w:r>
            <w:rPr>
              <w:color w:val="auto"/>
              <w:spacing w:val="-4"/>
            </w:rPr>
            <w:fldChar w:fldCharType="end"/>
          </w:r>
        </w:p>
        <w:p>
          <w:pPr>
            <w:pStyle w:val="5"/>
            <w:tabs>
              <w:tab w:val="left" w:leader="dot" w:pos="8611"/>
            </w:tabs>
            <w:spacing w:before="172" w:after="59"/>
            <w:rPr>
              <w:color w:val="auto"/>
            </w:rPr>
          </w:pPr>
          <w:r>
            <w:rPr>
              <w:color w:val="auto"/>
            </w:rPr>
            <w:fldChar w:fldCharType="begin"/>
          </w:r>
          <w:r>
            <w:rPr>
              <w:color w:val="auto"/>
            </w:rPr>
            <w:instrText xml:space="preserve"> HYPERLINK \l "_bookmark403" </w:instrText>
          </w:r>
          <w:r>
            <w:rPr>
              <w:color w:val="auto"/>
            </w:rPr>
            <w:fldChar w:fldCharType="separate"/>
          </w:r>
          <w:r>
            <w:rPr>
              <w:color w:val="auto"/>
              <w:spacing w:val="-12"/>
            </w:rPr>
            <w:t>三百九十三、伪造、冒用能源效率标识或者利用能源效率标识进行虚假宣</w:t>
          </w:r>
          <w:r>
            <w:rPr>
              <w:color w:val="auto"/>
            </w:rPr>
            <w:t>传</w:t>
          </w:r>
          <w:r>
            <w:rPr>
              <w:color w:val="auto"/>
            </w:rPr>
            <w:tab/>
          </w:r>
          <w:r>
            <w:rPr>
              <w:color w:val="auto"/>
              <w:spacing w:val="-4"/>
            </w:rPr>
            <w:t>380</w:t>
          </w:r>
          <w:r>
            <w:rPr>
              <w:color w:val="auto"/>
              <w:spacing w:val="-4"/>
            </w:rPr>
            <w:fldChar w:fldCharType="end"/>
          </w:r>
        </w:p>
        <w:p>
          <w:pPr>
            <w:pStyle w:val="5"/>
            <w:tabs>
              <w:tab w:val="left" w:leader="dot" w:pos="8595"/>
            </w:tabs>
            <w:spacing w:before="127"/>
            <w:rPr>
              <w:color w:val="auto"/>
            </w:rPr>
          </w:pPr>
          <w:r>
            <w:rPr>
              <w:color w:val="auto"/>
            </w:rPr>
            <w:fldChar w:fldCharType="begin"/>
          </w:r>
          <w:r>
            <w:rPr>
              <w:color w:val="auto"/>
            </w:rPr>
            <w:instrText xml:space="preserve"> HYPERLINK \l "_bookmark404" </w:instrText>
          </w:r>
          <w:r>
            <w:rPr>
              <w:color w:val="auto"/>
            </w:rPr>
            <w:fldChar w:fldCharType="separate"/>
          </w:r>
          <w:r>
            <w:rPr>
              <w:color w:val="auto"/>
            </w:rPr>
            <w:t>三百九十四、用能单位未按照规定配备、使用能源计量器具</w:t>
          </w:r>
          <w:r>
            <w:rPr>
              <w:color w:val="auto"/>
            </w:rPr>
            <w:tab/>
          </w:r>
          <w:r>
            <w:rPr>
              <w:color w:val="auto"/>
            </w:rPr>
            <w:t>382</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"_bookmark405" </w:instrText>
          </w:r>
          <w:r>
            <w:rPr>
              <w:color w:val="auto"/>
            </w:rPr>
            <w:fldChar w:fldCharType="separate"/>
          </w:r>
          <w:r>
            <w:rPr>
              <w:color w:val="auto"/>
            </w:rPr>
            <w:t>三百九十五、使用非法定计量单位</w:t>
          </w:r>
          <w:r>
            <w:rPr>
              <w:color w:val="auto"/>
            </w:rPr>
            <w:tab/>
          </w:r>
          <w:r>
            <w:rPr>
              <w:color w:val="auto"/>
            </w:rPr>
            <w:t>383</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"_bookmark406" </w:instrText>
          </w:r>
          <w:r>
            <w:rPr>
              <w:color w:val="auto"/>
            </w:rPr>
            <w:fldChar w:fldCharType="separate"/>
          </w:r>
          <w:r>
            <w:rPr>
              <w:color w:val="auto"/>
            </w:rPr>
            <w:t>三百九十六、制造、销售和进口非法定计量单位的计量器具</w:t>
          </w:r>
          <w:r>
            <w:rPr>
              <w:color w:val="auto"/>
            </w:rPr>
            <w:tab/>
          </w:r>
          <w:r>
            <w:rPr>
              <w:color w:val="auto"/>
            </w:rPr>
            <w:t>383</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"_bookmark407"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"_bookmark407" </w:instrText>
          </w:r>
          <w:r>
            <w:rPr>
              <w:color w:val="auto"/>
            </w:rPr>
            <w:fldChar w:fldCharType="separate"/>
          </w:r>
          <w:r>
            <w:rPr>
              <w:color w:val="auto"/>
            </w:rPr>
            <w:t>百九十七</w:t>
          </w:r>
          <w:r>
            <w:rPr>
              <w:color w:val="auto"/>
              <w:spacing w:val="-12"/>
            </w:rPr>
            <w:t>、</w:t>
          </w:r>
          <w:r>
            <w:rPr>
              <w:color w:val="auto"/>
            </w:rPr>
            <w:t>部门和企业</w:t>
          </w:r>
          <w:r>
            <w:rPr>
              <w:color w:val="auto"/>
              <w:spacing w:val="-12"/>
            </w:rPr>
            <w:t>、</w:t>
          </w:r>
          <w:r>
            <w:rPr>
              <w:color w:val="auto"/>
            </w:rPr>
            <w:t>事业单位的各项最高计量标准</w:t>
          </w:r>
          <w:r>
            <w:rPr>
              <w:color w:val="auto"/>
              <w:spacing w:val="-12"/>
            </w:rPr>
            <w:t>，</w:t>
          </w:r>
          <w:r>
            <w:rPr>
              <w:color w:val="auto"/>
            </w:rPr>
            <w:t>未经有关人民政府</w:t>
          </w:r>
          <w:r>
            <w:rPr>
              <w:color w:val="auto"/>
              <w:spacing w:val="-17"/>
            </w:rPr>
            <w:t>计</w:t>
          </w:r>
          <w:r>
            <w:rPr>
              <w:color w:val="auto"/>
              <w:spacing w:val="-17"/>
            </w:rPr>
            <w:fldChar w:fldCharType="end"/>
          </w:r>
          <w:r>
            <w:rPr>
              <w:color w:val="auto"/>
            </w:rPr>
            <w:t>量行政部门考核合格而开展计量检定</w:t>
          </w:r>
          <w:r>
            <w:rPr>
              <w:color w:val="auto"/>
            </w:rPr>
            <w:tab/>
          </w:r>
          <w:r>
            <w:rPr>
              <w:color w:val="auto"/>
              <w:spacing w:val="-6"/>
            </w:rPr>
            <w:t>385</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"_bookmark408" </w:instrText>
          </w:r>
          <w:r>
            <w:rPr>
              <w:color w:val="auto"/>
            </w:rPr>
            <w:fldChar w:fldCharType="separate"/>
          </w:r>
          <w:r>
            <w:rPr>
              <w:color w:val="auto"/>
            </w:rPr>
            <w:t>三</w:t>
          </w:r>
          <w:r>
            <w:rPr>
              <w:color w:val="auto"/>
            </w:rPr>
            <w:fldChar w:fldCharType="end"/>
          </w:r>
          <w:r>
            <w:rPr>
              <w:color w:val="auto"/>
            </w:rPr>
            <w:fldChar w:fldCharType="begin"/>
          </w:r>
          <w:r>
            <w:rPr>
              <w:color w:val="auto"/>
            </w:rPr>
            <w:instrText xml:space="preserve"> HYPERLINK \l "_bookmark408" </w:instrText>
          </w:r>
          <w:r>
            <w:rPr>
              <w:color w:val="auto"/>
            </w:rPr>
            <w:fldChar w:fldCharType="separate"/>
          </w:r>
          <w:r>
            <w:rPr>
              <w:color w:val="auto"/>
            </w:rPr>
            <w:t>百九十八</w:t>
          </w:r>
          <w:r>
            <w:rPr>
              <w:color w:val="auto"/>
              <w:spacing w:val="-36"/>
            </w:rPr>
            <w:t>、</w:t>
          </w:r>
          <w:r>
            <w:rPr>
              <w:color w:val="auto"/>
            </w:rPr>
            <w:t>属于强制检定范围的计量器具未按规定申请检定或者检定不合格</w:t>
          </w:r>
          <w:r>
            <w:rPr>
              <w:color w:val="auto"/>
              <w:spacing w:val="-17"/>
            </w:rPr>
            <w:t>继</w:t>
          </w:r>
          <w:r>
            <w:rPr>
              <w:color w:val="auto"/>
              <w:spacing w:val="-17"/>
            </w:rPr>
            <w:fldChar w:fldCharType="end"/>
          </w:r>
          <w:r>
            <w:rPr>
              <w:color w:val="auto"/>
            </w:rPr>
            <w:t>续使用</w:t>
          </w:r>
          <w:r>
            <w:rPr>
              <w:color w:val="auto"/>
              <w:spacing w:val="-36"/>
            </w:rPr>
            <w:t>，</w:t>
          </w:r>
          <w:r>
            <w:rPr>
              <w:color w:val="auto"/>
            </w:rPr>
            <w:t>属于非强制检定范围的计量器具未自行定期检定或者送其他计量检定</w:t>
          </w:r>
          <w:r>
            <w:rPr>
              <w:color w:val="auto"/>
              <w:spacing w:val="-17"/>
            </w:rPr>
            <w:t>机</w:t>
          </w:r>
          <w:r>
            <w:rPr>
              <w:color w:val="auto"/>
            </w:rPr>
            <w:t>构定期检定或检定不合格继续使用</w:t>
          </w:r>
          <w:r>
            <w:rPr>
              <w:color w:val="auto"/>
            </w:rPr>
            <w:tab/>
          </w:r>
          <w:r>
            <w:rPr>
              <w:color w:val="auto"/>
              <w:spacing w:val="-6"/>
            </w:rPr>
            <w:t>386</w:t>
          </w:r>
        </w:p>
        <w:p>
          <w:pPr>
            <w:pStyle w:val="5"/>
            <w:tabs>
              <w:tab w:val="left" w:leader="dot" w:pos="8595"/>
            </w:tabs>
            <w:spacing w:line="308" w:lineRule="exact"/>
            <w:rPr>
              <w:color w:val="auto"/>
            </w:rPr>
          </w:pPr>
          <w:r>
            <w:rPr>
              <w:color w:val="auto"/>
            </w:rPr>
            <w:fldChar w:fldCharType="begin"/>
          </w:r>
          <w:r>
            <w:rPr>
              <w:color w:val="auto"/>
            </w:rPr>
            <w:instrText xml:space="preserve"> HYPERLINK \l "_bookmark409" </w:instrText>
          </w:r>
          <w:r>
            <w:rPr>
              <w:color w:val="auto"/>
            </w:rPr>
            <w:fldChar w:fldCharType="separate"/>
          </w:r>
          <w:r>
            <w:rPr>
              <w:color w:val="auto"/>
            </w:rPr>
            <w:t>三百九十九、制造、销售未经型式批准或样机试验合格的计量器具新产品</w:t>
          </w:r>
          <w:r>
            <w:rPr>
              <w:color w:val="auto"/>
            </w:rPr>
            <w:tab/>
          </w:r>
          <w:r>
            <w:rPr>
              <w:color w:val="auto"/>
            </w:rPr>
            <w:t>387</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"_bookmark410" </w:instrText>
          </w:r>
          <w:r>
            <w:rPr>
              <w:color w:val="auto"/>
            </w:rPr>
            <w:fldChar w:fldCharType="separate"/>
          </w:r>
          <w:r>
            <w:rPr>
              <w:color w:val="auto"/>
            </w:rPr>
            <w:t>四百、制造、修理的计量器具未经出厂检定或者经检定不合格而出厂</w:t>
          </w:r>
          <w:r>
            <w:rPr>
              <w:color w:val="auto"/>
            </w:rPr>
            <w:tab/>
          </w:r>
          <w:r>
            <w:rPr>
              <w:color w:val="auto"/>
            </w:rPr>
            <w:t>388</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"_bookmark411"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"_bookmark411" </w:instrText>
          </w:r>
          <w:r>
            <w:rPr>
              <w:color w:val="auto"/>
            </w:rPr>
            <w:fldChar w:fldCharType="separate"/>
          </w:r>
          <w:r>
            <w:rPr>
              <w:color w:val="auto"/>
            </w:rPr>
            <w:t>百零一</w:t>
          </w:r>
          <w:r>
            <w:rPr>
              <w:color w:val="auto"/>
              <w:spacing w:val="-20"/>
            </w:rPr>
            <w:t>、</w:t>
          </w:r>
          <w:r>
            <w:rPr>
              <w:color w:val="auto"/>
            </w:rPr>
            <w:t>使用不合格计量器具或者破坏计量器具准确度和伪造数据</w:t>
          </w:r>
          <w:r>
            <w:rPr>
              <w:color w:val="auto"/>
              <w:spacing w:val="-17"/>
            </w:rPr>
            <w:t>，</w:t>
          </w:r>
          <w:r>
            <w:rPr>
              <w:color w:val="auto"/>
            </w:rPr>
            <w:t>给国家</w:t>
          </w:r>
          <w:r>
            <w:rPr>
              <w:color w:val="auto"/>
              <w:spacing w:val="-16"/>
            </w:rPr>
            <w:t>和</w:t>
          </w:r>
          <w:r>
            <w:rPr>
              <w:color w:val="auto"/>
              <w:spacing w:val="-16"/>
            </w:rPr>
            <w:fldChar w:fldCharType="end"/>
          </w:r>
          <w:r>
            <w:rPr>
              <w:color w:val="auto"/>
            </w:rPr>
            <w:t>消费者造成损失</w:t>
          </w:r>
          <w:r>
            <w:rPr>
              <w:color w:val="auto"/>
            </w:rPr>
            <w:tab/>
          </w:r>
          <w:r>
            <w:rPr>
              <w:color w:val="auto"/>
              <w:spacing w:val="-6"/>
            </w:rPr>
            <w:t>389</w:t>
          </w:r>
        </w:p>
        <w:p>
          <w:pPr>
            <w:pStyle w:val="5"/>
            <w:tabs>
              <w:tab w:val="left" w:leader="dot" w:pos="8595"/>
            </w:tabs>
            <w:spacing w:line="308" w:lineRule="exact"/>
            <w:rPr>
              <w:color w:val="auto"/>
            </w:rPr>
          </w:pPr>
          <w:r>
            <w:rPr>
              <w:color w:val="auto"/>
            </w:rPr>
            <w:fldChar w:fldCharType="begin"/>
          </w:r>
          <w:r>
            <w:rPr>
              <w:color w:val="auto"/>
            </w:rPr>
            <w:instrText xml:space="preserve"> HYPERLINK \l "_bookmark412" </w:instrText>
          </w:r>
          <w:r>
            <w:rPr>
              <w:color w:val="auto"/>
            </w:rPr>
            <w:fldChar w:fldCharType="separate"/>
          </w:r>
          <w:r>
            <w:rPr>
              <w:color w:val="auto"/>
            </w:rPr>
            <w:t>四百零二、经营销售残次计量器具零配件</w:t>
          </w:r>
          <w:r>
            <w:rPr>
              <w:color w:val="auto"/>
            </w:rPr>
            <w:tab/>
          </w:r>
          <w:r>
            <w:rPr>
              <w:color w:val="auto"/>
            </w:rPr>
            <w:t>390</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"_bookmark413" </w:instrText>
          </w:r>
          <w:r>
            <w:rPr>
              <w:color w:val="auto"/>
            </w:rPr>
            <w:fldChar w:fldCharType="separate"/>
          </w:r>
          <w:r>
            <w:rPr>
              <w:color w:val="auto"/>
            </w:rPr>
            <w:t>四百零三、制造、销售、使用、修理以欺骗消费者为目的的计量器具</w:t>
          </w:r>
          <w:r>
            <w:rPr>
              <w:color w:val="auto"/>
            </w:rPr>
            <w:tab/>
          </w:r>
          <w:r>
            <w:rPr>
              <w:color w:val="auto"/>
            </w:rPr>
            <w:t>391</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"_bookmark414"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"_bookmark414" </w:instrText>
          </w:r>
          <w:r>
            <w:rPr>
              <w:color w:val="auto"/>
            </w:rPr>
            <w:fldChar w:fldCharType="separate"/>
          </w:r>
          <w:r>
            <w:rPr>
              <w:color w:val="auto"/>
            </w:rPr>
            <w:t>百零四</w:t>
          </w:r>
          <w:r>
            <w:rPr>
              <w:color w:val="auto"/>
              <w:spacing w:val="-20"/>
            </w:rPr>
            <w:t>、</w:t>
          </w:r>
          <w:r>
            <w:rPr>
              <w:color w:val="auto"/>
            </w:rPr>
            <w:t>个体工商户制造</w:t>
          </w:r>
          <w:r>
            <w:rPr>
              <w:color w:val="auto"/>
              <w:spacing w:val="-17"/>
            </w:rPr>
            <w:t>、</w:t>
          </w:r>
          <w:r>
            <w:rPr>
              <w:color w:val="auto"/>
            </w:rPr>
            <w:t>修理国家规定范围以外的计量器具或者不按照规</w:t>
          </w:r>
          <w:r>
            <w:rPr>
              <w:color w:val="auto"/>
              <w:spacing w:val="-16"/>
            </w:rPr>
            <w:t>定</w:t>
          </w:r>
          <w:r>
            <w:rPr>
              <w:color w:val="auto"/>
              <w:spacing w:val="-16"/>
            </w:rPr>
            <w:fldChar w:fldCharType="end"/>
          </w:r>
          <w:r>
            <w:rPr>
              <w:color w:val="auto"/>
            </w:rPr>
            <w:t>场所从事经营活动</w:t>
          </w:r>
          <w:r>
            <w:rPr>
              <w:color w:val="auto"/>
            </w:rPr>
            <w:tab/>
          </w:r>
          <w:r>
            <w:rPr>
              <w:color w:val="auto"/>
              <w:spacing w:val="-6"/>
            </w:rPr>
            <w:t>392</w:t>
          </w:r>
        </w:p>
        <w:p>
          <w:pPr>
            <w:pStyle w:val="5"/>
            <w:tabs>
              <w:tab w:val="left" w:leader="dot" w:pos="8595"/>
            </w:tabs>
            <w:spacing w:line="308" w:lineRule="exact"/>
            <w:rPr>
              <w:color w:val="auto"/>
            </w:rPr>
          </w:pPr>
          <w:r>
            <w:rPr>
              <w:color w:val="auto"/>
            </w:rPr>
            <w:fldChar w:fldCharType="begin"/>
          </w:r>
          <w:r>
            <w:rPr>
              <w:color w:val="auto"/>
            </w:rPr>
            <w:instrText xml:space="preserve"> HYPERLINK \l "_bookmark415" </w:instrText>
          </w:r>
          <w:r>
            <w:rPr>
              <w:color w:val="auto"/>
            </w:rPr>
            <w:fldChar w:fldCharType="separate"/>
          </w:r>
          <w:r>
            <w:rPr>
              <w:color w:val="auto"/>
              <w:spacing w:val="-22"/>
            </w:rPr>
            <w:t>四百</w:t>
          </w:r>
          <w:r>
            <w:rPr>
              <w:color w:val="auto"/>
              <w:spacing w:val="-24"/>
            </w:rPr>
            <w:t>零</w:t>
          </w:r>
          <w:r>
            <w:rPr>
              <w:color w:val="auto"/>
              <w:spacing w:val="-22"/>
            </w:rPr>
            <w:t>五、未取得</w:t>
          </w:r>
          <w:r>
            <w:rPr>
              <w:color w:val="auto"/>
              <w:spacing w:val="-24"/>
            </w:rPr>
            <w:t>计</w:t>
          </w:r>
          <w:r>
            <w:rPr>
              <w:color w:val="auto"/>
              <w:spacing w:val="-22"/>
            </w:rPr>
            <w:t>量认证合格</w:t>
          </w:r>
          <w:r>
            <w:rPr>
              <w:color w:val="auto"/>
              <w:spacing w:val="-24"/>
            </w:rPr>
            <w:t>证</w:t>
          </w:r>
          <w:r>
            <w:rPr>
              <w:color w:val="auto"/>
              <w:spacing w:val="-22"/>
            </w:rPr>
            <w:t>书的产品质</w:t>
          </w:r>
          <w:r>
            <w:rPr>
              <w:color w:val="auto"/>
              <w:spacing w:val="-24"/>
            </w:rPr>
            <w:t>量</w:t>
          </w:r>
          <w:r>
            <w:rPr>
              <w:color w:val="auto"/>
              <w:spacing w:val="-22"/>
            </w:rPr>
            <w:t>检验机构，</w:t>
          </w:r>
          <w:r>
            <w:rPr>
              <w:color w:val="auto"/>
              <w:spacing w:val="-24"/>
            </w:rPr>
            <w:t>为</w:t>
          </w:r>
          <w:r>
            <w:rPr>
              <w:color w:val="auto"/>
              <w:spacing w:val="-22"/>
            </w:rPr>
            <w:t>社会提供公</w:t>
          </w:r>
          <w:r>
            <w:rPr>
              <w:color w:val="auto"/>
              <w:spacing w:val="-24"/>
            </w:rPr>
            <w:t>证</w:t>
          </w:r>
          <w:r>
            <w:rPr>
              <w:color w:val="auto"/>
              <w:spacing w:val="-22"/>
            </w:rPr>
            <w:t>数据</w:t>
          </w:r>
          <w:r>
            <w:rPr>
              <w:color w:val="auto"/>
              <w:spacing w:val="-22"/>
            </w:rPr>
            <w:tab/>
          </w:r>
          <w:r>
            <w:rPr>
              <w:color w:val="auto"/>
            </w:rPr>
            <w:t>393</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"_bookmark416" </w:instrText>
          </w:r>
          <w:r>
            <w:rPr>
              <w:color w:val="auto"/>
            </w:rPr>
            <w:fldChar w:fldCharType="separate"/>
          </w:r>
          <w:r>
            <w:rPr>
              <w:color w:val="auto"/>
            </w:rPr>
            <w:t>四百零六、伪造、盗用、倒卖强制检定印、证</w:t>
          </w:r>
          <w:r>
            <w:rPr>
              <w:color w:val="auto"/>
            </w:rPr>
            <w:tab/>
          </w:r>
          <w:r>
            <w:rPr>
              <w:color w:val="auto"/>
            </w:rPr>
            <w:t>394</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"_bookmark417" </w:instrText>
          </w:r>
          <w:r>
            <w:rPr>
              <w:color w:val="auto"/>
            </w:rPr>
            <w:fldChar w:fldCharType="separate"/>
          </w:r>
          <w:r>
            <w:rPr>
              <w:color w:val="auto"/>
            </w:rPr>
            <w:t>四百零七、进口或者销售未经国务院计量行政部门型式批准的计量器具</w:t>
          </w:r>
          <w:r>
            <w:rPr>
              <w:color w:val="auto"/>
            </w:rPr>
            <w:tab/>
          </w:r>
          <w:r>
            <w:rPr>
              <w:color w:val="auto"/>
            </w:rPr>
            <w:t>395</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"_bookmark418" </w:instrText>
          </w:r>
          <w:r>
            <w:rPr>
              <w:color w:val="auto"/>
            </w:rPr>
            <w:fldChar w:fldCharType="separate"/>
          </w:r>
          <w:r>
            <w:rPr>
              <w:color w:val="auto"/>
            </w:rPr>
            <w:t>四百零八、制造、修理的计量器具，其计量性能不符合规定</w:t>
          </w:r>
          <w:r>
            <w:rPr>
              <w:color w:val="auto"/>
            </w:rPr>
            <w:tab/>
          </w:r>
          <w:r>
            <w:rPr>
              <w:color w:val="auto"/>
            </w:rPr>
            <w:t>397</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"_bookmark419"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"_bookmark419" </w:instrText>
          </w:r>
          <w:r>
            <w:rPr>
              <w:color w:val="auto"/>
            </w:rPr>
            <w:fldChar w:fldCharType="separate"/>
          </w:r>
          <w:r>
            <w:rPr>
              <w:color w:val="auto"/>
            </w:rPr>
            <w:t>百零九</w:t>
          </w:r>
          <w:r>
            <w:rPr>
              <w:color w:val="auto"/>
              <w:spacing w:val="-10"/>
            </w:rPr>
            <w:t>、</w:t>
          </w:r>
          <w:r>
            <w:rPr>
              <w:color w:val="auto"/>
            </w:rPr>
            <w:t>制造</w:t>
          </w:r>
          <w:r>
            <w:rPr>
              <w:color w:val="auto"/>
              <w:spacing w:val="-10"/>
            </w:rPr>
            <w:t>、</w:t>
          </w:r>
          <w:r>
            <w:rPr>
              <w:color w:val="auto"/>
            </w:rPr>
            <w:t>修理</w:t>
          </w:r>
          <w:r>
            <w:rPr>
              <w:color w:val="auto"/>
              <w:spacing w:val="-8"/>
            </w:rPr>
            <w:t>、</w:t>
          </w:r>
          <w:r>
            <w:rPr>
              <w:color w:val="auto"/>
            </w:rPr>
            <w:t>安装</w:t>
          </w:r>
          <w:r>
            <w:rPr>
              <w:color w:val="auto"/>
              <w:spacing w:val="-10"/>
            </w:rPr>
            <w:t>、</w:t>
          </w:r>
          <w:r>
            <w:rPr>
              <w:color w:val="auto"/>
            </w:rPr>
            <w:t>改装计量器具过程中为计量器具增加作弊装置</w:t>
          </w:r>
          <w:r>
            <w:rPr>
              <w:color w:val="auto"/>
              <w:spacing w:val="-15"/>
            </w:rPr>
            <w:t>或</w:t>
          </w:r>
          <w:r>
            <w:rPr>
              <w:color w:val="auto"/>
              <w:spacing w:val="-15"/>
            </w:rPr>
            <w:fldChar w:fldCharType="end"/>
          </w:r>
          <w:r>
            <w:rPr>
              <w:color w:val="auto"/>
            </w:rPr>
            <w:t>者功能</w:t>
          </w:r>
          <w:r>
            <w:rPr>
              <w:color w:val="auto"/>
            </w:rPr>
            <w:tab/>
          </w:r>
          <w:r>
            <w:rPr>
              <w:color w:val="auto"/>
              <w:spacing w:val="-6"/>
            </w:rPr>
            <w:t>398</w:t>
          </w:r>
        </w:p>
        <w:p>
          <w:pPr>
            <w:pStyle w:val="5"/>
            <w:tabs>
              <w:tab w:val="left" w:leader="dot" w:pos="8595"/>
            </w:tabs>
            <w:spacing w:line="308" w:lineRule="exact"/>
            <w:rPr>
              <w:color w:val="auto"/>
            </w:rPr>
          </w:pPr>
          <w:r>
            <w:rPr>
              <w:color w:val="auto"/>
            </w:rPr>
            <w:fldChar w:fldCharType="begin"/>
          </w:r>
          <w:r>
            <w:rPr>
              <w:color w:val="auto"/>
            </w:rPr>
            <w:instrText xml:space="preserve"> HYPERLINK \l "_bookmark420" </w:instrText>
          </w:r>
          <w:r>
            <w:rPr>
              <w:color w:val="auto"/>
            </w:rPr>
            <w:fldChar w:fldCharType="separate"/>
          </w:r>
          <w:r>
            <w:rPr>
              <w:color w:val="auto"/>
            </w:rPr>
            <w:t>四百一十、使用计量器具过程中为计量器具增加作弊装置或者功能</w:t>
          </w:r>
          <w:r>
            <w:rPr>
              <w:color w:val="auto"/>
            </w:rPr>
            <w:tab/>
          </w:r>
          <w:r>
            <w:rPr>
              <w:color w:val="auto"/>
            </w:rPr>
            <w:t>399</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"_bookmark421" </w:instrText>
          </w:r>
          <w:r>
            <w:rPr>
              <w:color w:val="auto"/>
            </w:rPr>
            <w:fldChar w:fldCharType="separate"/>
          </w:r>
          <w:r>
            <w:rPr>
              <w:color w:val="auto"/>
            </w:rPr>
            <w:t>四百一十一、私自开启计量器具检定封印、破坏检定封缄或者防作弊装置</w:t>
          </w:r>
          <w:r>
            <w:rPr>
              <w:color w:val="auto"/>
            </w:rPr>
            <w:tab/>
          </w:r>
          <w:r>
            <w:rPr>
              <w:color w:val="auto"/>
            </w:rPr>
            <w:t>401</w:t>
          </w:r>
          <w:r>
            <w:rPr>
              <w:color w:val="auto"/>
            </w:rPr>
            <w:fldChar w:fldCharType="end"/>
          </w:r>
        </w:p>
        <w:p>
          <w:pPr>
            <w:pStyle w:val="5"/>
            <w:tabs>
              <w:tab w:val="left" w:leader="dot" w:pos="8595"/>
            </w:tabs>
            <w:spacing w:before="172" w:line="374" w:lineRule="auto"/>
            <w:ind w:right="232"/>
            <w:rPr>
              <w:color w:val="auto"/>
            </w:rPr>
          </w:pPr>
          <w:r>
            <w:rPr>
              <w:color w:val="auto"/>
            </w:rPr>
            <w:fldChar w:fldCharType="begin"/>
          </w:r>
          <w:r>
            <w:rPr>
              <w:color w:val="auto"/>
            </w:rPr>
            <w:instrText xml:space="preserve"> HYPERLINK \l "_bookmark422"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"_bookmark422" </w:instrText>
          </w:r>
          <w:r>
            <w:rPr>
              <w:color w:val="auto"/>
            </w:rPr>
            <w:fldChar w:fldCharType="separate"/>
          </w:r>
          <w:r>
            <w:rPr>
              <w:color w:val="auto"/>
            </w:rPr>
            <w:t>百一十二、建设单位安装未经首次强制检定或者经检定不合格的住宅用水表</w:t>
          </w:r>
          <w:r>
            <w:rPr>
              <w:color w:val="auto"/>
              <w:spacing w:val="-17"/>
            </w:rPr>
            <w:t>、</w:t>
          </w:r>
          <w:r>
            <w:rPr>
              <w:color w:val="auto"/>
              <w:spacing w:val="-17"/>
            </w:rPr>
            <w:fldChar w:fldCharType="end"/>
          </w:r>
          <w:r>
            <w:rPr>
              <w:color w:val="auto"/>
            </w:rPr>
            <w:t>电能表、燃气表、热能表</w:t>
          </w:r>
          <w:r>
            <w:rPr>
              <w:color w:val="auto"/>
            </w:rPr>
            <w:tab/>
          </w:r>
          <w:r>
            <w:rPr>
              <w:color w:val="auto"/>
            </w:rPr>
            <w:t>402</w:t>
          </w:r>
        </w:p>
        <w:p>
          <w:pPr>
            <w:pStyle w:val="5"/>
            <w:tabs>
              <w:tab w:val="left" w:leader="dot" w:pos="8595"/>
            </w:tabs>
            <w:spacing w:before="1" w:after="240" w:line="374" w:lineRule="auto"/>
            <w:ind w:right="268"/>
            <w:rPr>
              <w:color w:val="auto"/>
            </w:rPr>
          </w:pPr>
          <w:r>
            <w:rPr>
              <w:color w:val="auto"/>
            </w:rPr>
            <w:fldChar w:fldCharType="begin"/>
          </w:r>
          <w:r>
            <w:rPr>
              <w:color w:val="auto"/>
            </w:rPr>
            <w:instrText xml:space="preserve"> HYPERLINK \l "_bookmark423"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"_bookmark423" </w:instrText>
          </w:r>
          <w:r>
            <w:rPr>
              <w:color w:val="auto"/>
            </w:rPr>
            <w:fldChar w:fldCharType="separate"/>
          </w:r>
          <w:r>
            <w:rPr>
              <w:color w:val="auto"/>
            </w:rPr>
            <w:t>百一十三</w:t>
          </w:r>
          <w:r>
            <w:rPr>
              <w:color w:val="auto"/>
              <w:spacing w:val="-20"/>
            </w:rPr>
            <w:t>、</w:t>
          </w:r>
          <w:r>
            <w:rPr>
              <w:color w:val="auto"/>
            </w:rPr>
            <w:t>商品交易市场主办者未按规定设置便于公众校验的计量器具</w:t>
          </w:r>
          <w:r>
            <w:rPr>
              <w:color w:val="auto"/>
              <w:spacing w:val="-17"/>
            </w:rPr>
            <w:t>，</w:t>
          </w:r>
          <w:r>
            <w:rPr>
              <w:color w:val="auto"/>
            </w:rPr>
            <w:t>或</w:t>
          </w:r>
          <w:r>
            <w:rPr>
              <w:color w:val="auto"/>
              <w:spacing w:val="-16"/>
            </w:rPr>
            <w:t>者</w:t>
          </w:r>
          <w:r>
            <w:rPr>
              <w:color w:val="auto"/>
              <w:spacing w:val="-16"/>
            </w:rPr>
            <w:fldChar w:fldCharType="end"/>
          </w:r>
          <w:r>
            <w:rPr>
              <w:color w:val="auto"/>
            </w:rPr>
            <w:t>经营者配备和使用的计量器具不符合国家规定要求</w:t>
          </w:r>
          <w:r>
            <w:rPr>
              <w:color w:val="auto"/>
            </w:rPr>
            <w:tab/>
          </w:r>
          <w:r>
            <w:rPr>
              <w:color w:val="auto"/>
              <w:spacing w:val="-6"/>
            </w:rPr>
            <w:t>403</w:t>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"_bookmark424"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"_bookmark424" </w:instrText>
          </w:r>
          <w:r>
            <w:rPr>
              <w:color w:val="auto"/>
            </w:rPr>
            <w:fldChar w:fldCharType="separate"/>
          </w:r>
          <w:r>
            <w:rPr>
              <w:color w:val="auto"/>
            </w:rPr>
            <w:t>百一十四</w:t>
          </w:r>
          <w:r>
            <w:rPr>
              <w:color w:val="auto"/>
              <w:spacing w:val="-36"/>
            </w:rPr>
            <w:t>、</w:t>
          </w:r>
          <w:r>
            <w:rPr>
              <w:color w:val="auto"/>
            </w:rPr>
            <w:t>商品量或者服务量的结算量值与实际量值的计量偏差超出国家或</w:t>
          </w:r>
          <w:r>
            <w:rPr>
              <w:color w:val="auto"/>
              <w:spacing w:val="-17"/>
            </w:rPr>
            <w:t>者</w:t>
          </w:r>
          <w:r>
            <w:rPr>
              <w:color w:val="auto"/>
              <w:spacing w:val="-17"/>
            </w:rPr>
            <w:fldChar w:fldCharType="end"/>
          </w:r>
          <w:r>
            <w:rPr>
              <w:color w:val="auto"/>
            </w:rPr>
            <w:t>本省规定</w:t>
          </w:r>
          <w:r>
            <w:rPr>
              <w:color w:val="auto"/>
            </w:rPr>
            <w:tab/>
          </w:r>
          <w:r>
            <w:rPr>
              <w:color w:val="auto"/>
              <w:spacing w:val="-6"/>
            </w:rPr>
            <w:t>404</w:t>
          </w:r>
        </w:p>
        <w:p>
          <w:pPr>
            <w:pStyle w:val="5"/>
            <w:tabs>
              <w:tab w:val="left" w:leader="dot" w:pos="8595"/>
            </w:tabs>
            <w:spacing w:line="308" w:lineRule="exact"/>
            <w:rPr>
              <w:color w:val="auto"/>
            </w:rPr>
          </w:pPr>
          <w:r>
            <w:rPr>
              <w:color w:val="auto"/>
            </w:rPr>
            <w:fldChar w:fldCharType="begin"/>
          </w:r>
          <w:r>
            <w:rPr>
              <w:color w:val="auto"/>
            </w:rPr>
            <w:instrText xml:space="preserve"> HYPERLINK \l "_bookmark425" </w:instrText>
          </w:r>
          <w:r>
            <w:rPr>
              <w:color w:val="auto"/>
            </w:rPr>
            <w:fldChar w:fldCharType="separate"/>
          </w:r>
          <w:r>
            <w:rPr>
              <w:color w:val="auto"/>
            </w:rPr>
            <w:t>四百一十五、生产的定量包装商品其净含量偏差不符合国家有关规定</w:t>
          </w:r>
          <w:r>
            <w:rPr>
              <w:color w:val="auto"/>
            </w:rPr>
            <w:tab/>
          </w:r>
          <w:r>
            <w:rPr>
              <w:color w:val="auto"/>
            </w:rPr>
            <w:t>405</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"_bookmark426"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"_bookmark426" </w:instrText>
          </w:r>
          <w:r>
            <w:rPr>
              <w:color w:val="auto"/>
            </w:rPr>
            <w:fldChar w:fldCharType="separate"/>
          </w:r>
          <w:r>
            <w:rPr>
              <w:color w:val="auto"/>
            </w:rPr>
            <w:t>百一十六</w:t>
          </w:r>
          <w:r>
            <w:rPr>
              <w:color w:val="auto"/>
              <w:spacing w:val="-12"/>
            </w:rPr>
            <w:t>、</w:t>
          </w:r>
          <w:r>
            <w:rPr>
              <w:color w:val="auto"/>
            </w:rPr>
            <w:t>供水</w:t>
          </w:r>
          <w:r>
            <w:rPr>
              <w:color w:val="auto"/>
              <w:spacing w:val="-12"/>
            </w:rPr>
            <w:t>、</w:t>
          </w:r>
          <w:r>
            <w:rPr>
              <w:color w:val="auto"/>
            </w:rPr>
            <w:t>供电</w:t>
          </w:r>
          <w:r>
            <w:rPr>
              <w:color w:val="auto"/>
              <w:spacing w:val="-12"/>
            </w:rPr>
            <w:t>、</w:t>
          </w:r>
          <w:r>
            <w:rPr>
              <w:color w:val="auto"/>
            </w:rPr>
            <w:t>供气和供热的经营者未按照计量器具显示的实际量</w:t>
          </w:r>
          <w:r>
            <w:rPr>
              <w:color w:val="auto"/>
              <w:spacing w:val="-17"/>
            </w:rPr>
            <w:t>值</w:t>
          </w:r>
          <w:r>
            <w:rPr>
              <w:color w:val="auto"/>
              <w:spacing w:val="-17"/>
            </w:rPr>
            <w:fldChar w:fldCharType="end"/>
          </w:r>
          <w:r>
            <w:rPr>
              <w:color w:val="auto"/>
            </w:rPr>
            <w:t>结算，或者违法转嫁户外管线或者其他设施所造成的损耗</w:t>
          </w:r>
          <w:r>
            <w:rPr>
              <w:color w:val="auto"/>
            </w:rPr>
            <w:tab/>
          </w:r>
          <w:r>
            <w:rPr>
              <w:color w:val="auto"/>
              <w:spacing w:val="-6"/>
            </w:rPr>
            <w:t>407</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"_bookmark427"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"_bookmark427" </w:instrText>
          </w:r>
          <w:r>
            <w:rPr>
              <w:color w:val="auto"/>
            </w:rPr>
            <w:fldChar w:fldCharType="separate"/>
          </w:r>
          <w:r>
            <w:rPr>
              <w:color w:val="auto"/>
            </w:rPr>
            <w:t>百一十七</w:t>
          </w:r>
          <w:r>
            <w:rPr>
              <w:color w:val="auto"/>
              <w:spacing w:val="-36"/>
            </w:rPr>
            <w:t>、</w:t>
          </w:r>
          <w:r>
            <w:rPr>
              <w:color w:val="auto"/>
            </w:rPr>
            <w:t>农副产品收购者和农业生产资料销售者利用计量器具压低等级或</w:t>
          </w:r>
          <w:r>
            <w:rPr>
              <w:color w:val="auto"/>
              <w:spacing w:val="-17"/>
            </w:rPr>
            <w:t>者</w:t>
          </w:r>
          <w:r>
            <w:rPr>
              <w:color w:val="auto"/>
              <w:spacing w:val="-17"/>
            </w:rPr>
            <w:fldChar w:fldCharType="end"/>
          </w:r>
          <w:r>
            <w:rPr>
              <w:color w:val="auto"/>
            </w:rPr>
            <w:t>伪造数据</w:t>
          </w:r>
          <w:r>
            <w:rPr>
              <w:color w:val="auto"/>
            </w:rPr>
            <w:tab/>
          </w:r>
          <w:r>
            <w:rPr>
              <w:color w:val="auto"/>
              <w:spacing w:val="-6"/>
            </w:rPr>
            <w:t>408</w:t>
          </w:r>
        </w:p>
        <w:p>
          <w:pPr>
            <w:pStyle w:val="5"/>
            <w:tabs>
              <w:tab w:val="left" w:leader="dot" w:pos="8595"/>
            </w:tabs>
            <w:spacing w:before="1" w:line="374" w:lineRule="auto"/>
            <w:ind w:right="232"/>
            <w:rPr>
              <w:color w:val="auto"/>
            </w:rPr>
          </w:pPr>
          <w:r>
            <w:rPr>
              <w:color w:val="auto"/>
            </w:rPr>
            <w:fldChar w:fldCharType="begin"/>
          </w:r>
          <w:r>
            <w:rPr>
              <w:color w:val="auto"/>
            </w:rPr>
            <w:instrText xml:space="preserve"> HYPERLINK \l "_bookmark428"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"_bookmark428" </w:instrText>
          </w:r>
          <w:r>
            <w:rPr>
              <w:color w:val="auto"/>
            </w:rPr>
            <w:fldChar w:fldCharType="separate"/>
          </w:r>
          <w:r>
            <w:rPr>
              <w:color w:val="auto"/>
            </w:rPr>
            <w:t>百一十八、计量技术机构、检测机构、计量中介服务机构出具虚假计量检定</w:t>
          </w:r>
          <w:r>
            <w:rPr>
              <w:color w:val="auto"/>
              <w:spacing w:val="-17"/>
            </w:rPr>
            <w:t>、</w:t>
          </w:r>
          <w:r>
            <w:rPr>
              <w:color w:val="auto"/>
              <w:spacing w:val="-17"/>
            </w:rPr>
            <w:fldChar w:fldCharType="end"/>
          </w:r>
          <w:r>
            <w:rPr>
              <w:color w:val="auto"/>
            </w:rPr>
            <w:t>检测、检验数据</w:t>
          </w:r>
          <w:r>
            <w:rPr>
              <w:color w:val="auto"/>
            </w:rPr>
            <w:tab/>
          </w:r>
          <w:r>
            <w:rPr>
              <w:color w:val="auto"/>
            </w:rPr>
            <w:t>409</w:t>
          </w:r>
        </w:p>
        <w:p>
          <w:pPr>
            <w:pStyle w:val="5"/>
            <w:tabs>
              <w:tab w:val="left" w:leader="dot" w:pos="8595"/>
            </w:tabs>
            <w:spacing w:line="308" w:lineRule="exact"/>
            <w:rPr>
              <w:color w:val="auto"/>
            </w:rPr>
          </w:pPr>
          <w:r>
            <w:rPr>
              <w:color w:val="auto"/>
            </w:rPr>
            <w:fldChar w:fldCharType="begin"/>
          </w:r>
          <w:r>
            <w:rPr>
              <w:color w:val="auto"/>
            </w:rPr>
            <w:instrText xml:space="preserve"> HYPERLINK \l "_bookmark429" </w:instrText>
          </w:r>
          <w:r>
            <w:rPr>
              <w:color w:val="auto"/>
            </w:rPr>
            <w:fldChar w:fldCharType="separate"/>
          </w:r>
          <w:r>
            <w:rPr>
              <w:color w:val="auto"/>
            </w:rPr>
            <w:t>四百一十九、伪造计量器具检定合格证明</w:t>
          </w:r>
          <w:r>
            <w:rPr>
              <w:color w:val="auto"/>
            </w:rPr>
            <w:tab/>
          </w:r>
          <w:r>
            <w:rPr>
              <w:color w:val="auto"/>
            </w:rPr>
            <w:t>411</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"_bookmark430" </w:instrText>
          </w:r>
          <w:r>
            <w:rPr>
              <w:color w:val="auto"/>
            </w:rPr>
            <w:fldChar w:fldCharType="separate"/>
          </w:r>
          <w:r>
            <w:rPr>
              <w:color w:val="auto"/>
            </w:rPr>
            <w:t>四百二十、社会公用计量标准经检查达不到原考核条件</w:t>
          </w:r>
          <w:r>
            <w:rPr>
              <w:color w:val="auto"/>
            </w:rPr>
            <w:tab/>
          </w:r>
          <w:r>
            <w:rPr>
              <w:color w:val="auto"/>
            </w:rPr>
            <w:t>412</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"_bookmark431"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"_bookmark431" </w:instrText>
          </w:r>
          <w:r>
            <w:rPr>
              <w:color w:val="auto"/>
            </w:rPr>
            <w:fldChar w:fldCharType="separate"/>
          </w:r>
          <w:r>
            <w:rPr>
              <w:color w:val="auto"/>
            </w:rPr>
            <w:t>百二十一</w:t>
          </w:r>
          <w:r>
            <w:rPr>
              <w:color w:val="auto"/>
              <w:spacing w:val="-20"/>
            </w:rPr>
            <w:t>、</w:t>
          </w:r>
          <w:r>
            <w:rPr>
              <w:color w:val="auto"/>
            </w:rPr>
            <w:t>计量标准考核证书有效期满</w:t>
          </w:r>
          <w:r>
            <w:rPr>
              <w:color w:val="auto"/>
              <w:spacing w:val="-17"/>
            </w:rPr>
            <w:t>，</w:t>
          </w:r>
          <w:r>
            <w:rPr>
              <w:color w:val="auto"/>
            </w:rPr>
            <w:t>未经原发证机关复查合格而继续开</w:t>
          </w:r>
          <w:r>
            <w:rPr>
              <w:color w:val="auto"/>
              <w:spacing w:val="-16"/>
            </w:rPr>
            <w:t>展</w:t>
          </w:r>
          <w:r>
            <w:rPr>
              <w:color w:val="auto"/>
              <w:spacing w:val="-16"/>
            </w:rPr>
            <w:fldChar w:fldCharType="end"/>
          </w:r>
          <w:r>
            <w:rPr>
              <w:color w:val="auto"/>
            </w:rPr>
            <w:t>检定</w:t>
          </w:r>
          <w:r>
            <w:rPr>
              <w:color w:val="auto"/>
            </w:rPr>
            <w:tab/>
          </w:r>
          <w:r>
            <w:rPr>
              <w:color w:val="auto"/>
              <w:spacing w:val="-6"/>
            </w:rPr>
            <w:t>412</w:t>
          </w:r>
        </w:p>
        <w:p>
          <w:pPr>
            <w:pStyle w:val="5"/>
            <w:tabs>
              <w:tab w:val="left" w:leader="dot" w:pos="8595"/>
            </w:tabs>
            <w:spacing w:line="308" w:lineRule="exact"/>
            <w:rPr>
              <w:color w:val="auto"/>
            </w:rPr>
          </w:pPr>
          <w:r>
            <w:rPr>
              <w:color w:val="auto"/>
            </w:rPr>
            <w:fldChar w:fldCharType="begin"/>
          </w:r>
          <w:r>
            <w:rPr>
              <w:color w:val="auto"/>
            </w:rPr>
            <w:instrText xml:space="preserve"> HYPERLINK \l "_bookmark432" </w:instrText>
          </w:r>
          <w:r>
            <w:rPr>
              <w:color w:val="auto"/>
            </w:rPr>
            <w:fldChar w:fldCharType="separate"/>
          </w:r>
          <w:r>
            <w:rPr>
              <w:color w:val="auto"/>
            </w:rPr>
            <w:t>四百二十二、考核合格投入使用的计量标准，经检查达不到原考核条件</w:t>
          </w:r>
          <w:r>
            <w:rPr>
              <w:color w:val="auto"/>
            </w:rPr>
            <w:tab/>
          </w:r>
          <w:r>
            <w:rPr>
              <w:color w:val="auto"/>
            </w:rPr>
            <w:t>413</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"_bookmark433" </w:instrText>
          </w:r>
          <w:r>
            <w:rPr>
              <w:color w:val="auto"/>
            </w:rPr>
            <w:fldChar w:fldCharType="separate"/>
          </w:r>
          <w:r>
            <w:rPr>
              <w:color w:val="auto"/>
            </w:rPr>
            <w:t>四百二十三、被授权项目经检查达不到原考核条件</w:t>
          </w:r>
          <w:r>
            <w:rPr>
              <w:color w:val="auto"/>
            </w:rPr>
            <w:tab/>
          </w:r>
          <w:r>
            <w:rPr>
              <w:color w:val="auto"/>
            </w:rPr>
            <w:t>413</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"_bookmark434" </w:instrText>
          </w:r>
          <w:r>
            <w:rPr>
              <w:color w:val="auto"/>
            </w:rPr>
            <w:fldChar w:fldCharType="separate"/>
          </w:r>
          <w:r>
            <w:rPr>
              <w:color w:val="auto"/>
            </w:rPr>
            <w:t>四百二十四、超出授权项目擅自对外进行检定、测试</w:t>
          </w:r>
          <w:r>
            <w:rPr>
              <w:color w:val="auto"/>
            </w:rPr>
            <w:tab/>
          </w:r>
          <w:r>
            <w:rPr>
              <w:color w:val="auto"/>
            </w:rPr>
            <w:t>414</w:t>
          </w:r>
          <w:r>
            <w:rPr>
              <w:color w:val="auto"/>
            </w:rPr>
            <w:fldChar w:fldCharType="end"/>
          </w:r>
        </w:p>
        <w:p>
          <w:pPr>
            <w:pStyle w:val="5"/>
            <w:tabs>
              <w:tab w:val="left" w:leader="dot" w:pos="8595"/>
            </w:tabs>
            <w:spacing w:before="172" w:line="374" w:lineRule="auto"/>
            <w:ind w:right="112"/>
            <w:rPr>
              <w:color w:val="auto"/>
            </w:rPr>
          </w:pPr>
          <w:r>
            <w:rPr>
              <w:color w:val="auto"/>
            </w:rPr>
            <w:fldChar w:fldCharType="begin"/>
          </w:r>
          <w:r>
            <w:rPr>
              <w:color w:val="auto"/>
            </w:rPr>
            <w:instrText xml:space="preserve"> HYPERLINK \l "_bookmark435" </w:instrText>
          </w:r>
          <w:r>
            <w:rPr>
              <w:color w:val="auto"/>
            </w:rPr>
            <w:fldChar w:fldCharType="separate"/>
          </w:r>
          <w:r>
            <w:rPr>
              <w:color w:val="auto"/>
            </w:rPr>
            <w:t>四百二十五、未经有关人民政府计量行政部门授权，擅自对外进行检定、测试</w:t>
          </w:r>
          <w:r>
            <w:rPr>
              <w:color w:val="auto"/>
              <w:spacing w:val="-6"/>
            </w:rPr>
            <w:t xml:space="preserve">414 </w:t>
          </w:r>
          <w:r>
            <w:rPr>
              <w:color w:val="auto"/>
              <w:spacing w:val="-6"/>
            </w:rPr>
            <w:fldChar w:fldCharType="end"/>
          </w:r>
          <w:r>
            <w:rPr>
              <w:color w:val="auto"/>
            </w:rPr>
            <w:fldChar w:fldCharType="begin"/>
          </w:r>
          <w:r>
            <w:rPr>
              <w:color w:val="auto"/>
            </w:rPr>
            <w:instrText xml:space="preserve"> HYPERLINK \l "_bookmark436" </w:instrText>
          </w:r>
          <w:r>
            <w:rPr>
              <w:color w:val="auto"/>
            </w:rPr>
            <w:fldChar w:fldCharType="separate"/>
          </w:r>
          <w:r>
            <w:rPr>
              <w:color w:val="auto"/>
            </w:rPr>
            <w:t>四百二十六、在经销活动中，使用非法定计量单位计量器具</w:t>
          </w:r>
          <w:r>
            <w:rPr>
              <w:color w:val="auto"/>
            </w:rPr>
            <w:tab/>
          </w:r>
          <w:r>
            <w:rPr>
              <w:color w:val="auto"/>
            </w:rPr>
            <w:t>415</w:t>
          </w:r>
          <w:r>
            <w:rPr>
              <w:color w:val="auto"/>
            </w:rPr>
            <w:fldChar w:fldCharType="end"/>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"_bookmark437"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"_bookmark437" </w:instrText>
          </w:r>
          <w:r>
            <w:rPr>
              <w:color w:val="auto"/>
            </w:rPr>
            <w:fldChar w:fldCharType="separate"/>
          </w:r>
          <w:r>
            <w:rPr>
              <w:color w:val="auto"/>
            </w:rPr>
            <w:t>百二十七</w:t>
          </w:r>
          <w:r>
            <w:rPr>
              <w:color w:val="auto"/>
              <w:spacing w:val="-10"/>
            </w:rPr>
            <w:t>、</w:t>
          </w:r>
          <w:r>
            <w:rPr>
              <w:color w:val="auto"/>
            </w:rPr>
            <w:t>已取得制造许可证的计量器具</w:t>
          </w:r>
          <w:r>
            <w:rPr>
              <w:color w:val="auto"/>
              <w:spacing w:val="-10"/>
            </w:rPr>
            <w:t>，</w:t>
          </w:r>
          <w:r>
            <w:rPr>
              <w:color w:val="auto"/>
            </w:rPr>
            <w:t>在销售时</w:t>
          </w:r>
          <w:r>
            <w:rPr>
              <w:color w:val="auto"/>
              <w:spacing w:val="-8"/>
            </w:rPr>
            <w:t>，</w:t>
          </w:r>
          <w:r>
            <w:rPr>
              <w:color w:val="auto"/>
            </w:rPr>
            <w:t>没有产品合格印</w:t>
          </w:r>
          <w:r>
            <w:rPr>
              <w:color w:val="auto"/>
              <w:spacing w:val="-10"/>
            </w:rPr>
            <w:t>、</w:t>
          </w:r>
          <w:r>
            <w:rPr>
              <w:color w:val="auto"/>
            </w:rPr>
            <w:t>证</w:t>
          </w:r>
          <w:r>
            <w:rPr>
              <w:color w:val="auto"/>
              <w:spacing w:val="-15"/>
            </w:rPr>
            <w:t>或</w:t>
          </w:r>
          <w:r>
            <w:rPr>
              <w:color w:val="auto"/>
              <w:spacing w:val="-15"/>
            </w:rPr>
            <w:fldChar w:fldCharType="end"/>
          </w:r>
          <w:r>
            <w:rPr>
              <w:color w:val="auto"/>
            </w:rPr>
            <w:t>没有使用制造许可证标志</w:t>
          </w:r>
          <w:r>
            <w:rPr>
              <w:color w:val="auto"/>
            </w:rPr>
            <w:tab/>
          </w:r>
          <w:r>
            <w:rPr>
              <w:color w:val="auto"/>
              <w:spacing w:val="-6"/>
            </w:rPr>
            <w:t>415</w:t>
          </w:r>
        </w:p>
        <w:p>
          <w:pPr>
            <w:pStyle w:val="5"/>
            <w:tabs>
              <w:tab w:val="left" w:leader="dot" w:pos="8595"/>
            </w:tabs>
            <w:spacing w:line="308" w:lineRule="exact"/>
            <w:rPr>
              <w:color w:val="auto"/>
            </w:rPr>
          </w:pPr>
          <w:r>
            <w:rPr>
              <w:color w:val="auto"/>
            </w:rPr>
            <w:fldChar w:fldCharType="begin"/>
          </w:r>
          <w:r>
            <w:rPr>
              <w:color w:val="auto"/>
            </w:rPr>
            <w:instrText xml:space="preserve"> HYPERLINK \l "_bookmark438" </w:instrText>
          </w:r>
          <w:r>
            <w:rPr>
              <w:color w:val="auto"/>
            </w:rPr>
            <w:fldChar w:fldCharType="separate"/>
          </w:r>
          <w:r>
            <w:rPr>
              <w:color w:val="auto"/>
            </w:rPr>
            <w:t>四百二十八、销售超过有效期的标准物质</w:t>
          </w:r>
          <w:r>
            <w:rPr>
              <w:color w:val="auto"/>
            </w:rPr>
            <w:tab/>
          </w:r>
          <w:r>
            <w:rPr>
              <w:color w:val="auto"/>
            </w:rPr>
            <w:t>415</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"_bookmark439" </w:instrText>
          </w:r>
          <w:r>
            <w:rPr>
              <w:color w:val="auto"/>
            </w:rPr>
            <w:fldChar w:fldCharType="separate"/>
          </w:r>
          <w:r>
            <w:rPr>
              <w:color w:val="auto"/>
            </w:rPr>
            <w:t>四百二十九、定量包装商品未正确、清晰地标注净含量</w:t>
          </w:r>
          <w:r>
            <w:rPr>
              <w:color w:val="auto"/>
            </w:rPr>
            <w:tab/>
          </w:r>
          <w:r>
            <w:rPr>
              <w:color w:val="auto"/>
            </w:rPr>
            <w:t>416</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"_bookmark440" </w:instrText>
          </w:r>
          <w:r>
            <w:rPr>
              <w:color w:val="auto"/>
            </w:rPr>
            <w:fldChar w:fldCharType="separate"/>
          </w:r>
          <w:r>
            <w:rPr>
              <w:color w:val="auto"/>
            </w:rPr>
            <w:t>四百三十、已取得计量认证合格证书，经检查不符合原考核条件</w:t>
          </w:r>
          <w:r>
            <w:rPr>
              <w:color w:val="auto"/>
            </w:rPr>
            <w:tab/>
          </w:r>
          <w:r>
            <w:rPr>
              <w:color w:val="auto"/>
            </w:rPr>
            <w:t>416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"_bookmark441" </w:instrText>
          </w:r>
          <w:r>
            <w:rPr>
              <w:color w:val="auto"/>
            </w:rPr>
            <w:fldChar w:fldCharType="separate"/>
          </w:r>
          <w:r>
            <w:rPr>
              <w:color w:val="auto"/>
            </w:rPr>
            <w:t>四百三十一、经计量认证合格的产品质量检验机构，失去公正地位</w:t>
          </w:r>
          <w:r>
            <w:rPr>
              <w:color w:val="auto"/>
            </w:rPr>
            <w:tab/>
          </w:r>
          <w:r>
            <w:rPr>
              <w:color w:val="auto"/>
            </w:rPr>
            <w:t>417</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"_bookmark442"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"_bookmark442" </w:instrText>
          </w:r>
          <w:r>
            <w:rPr>
              <w:color w:val="auto"/>
            </w:rPr>
            <w:fldChar w:fldCharType="separate"/>
          </w:r>
          <w:r>
            <w:rPr>
              <w:color w:val="auto"/>
            </w:rPr>
            <w:t>百三十二</w:t>
          </w:r>
          <w:r>
            <w:rPr>
              <w:color w:val="auto"/>
              <w:spacing w:val="-20"/>
            </w:rPr>
            <w:t>、</w:t>
          </w:r>
          <w:r>
            <w:rPr>
              <w:color w:val="auto"/>
            </w:rPr>
            <w:t>加油站经营者使用计量器具许可证标志</w:t>
          </w:r>
          <w:r>
            <w:rPr>
              <w:color w:val="auto"/>
              <w:spacing w:val="-17"/>
            </w:rPr>
            <w:t>、</w:t>
          </w:r>
          <w:r>
            <w:rPr>
              <w:color w:val="auto"/>
            </w:rPr>
            <w:t>编号和出厂产品合格证</w:t>
          </w:r>
          <w:r>
            <w:rPr>
              <w:color w:val="auto"/>
              <w:spacing w:val="-16"/>
            </w:rPr>
            <w:t>不</w:t>
          </w:r>
          <w:r>
            <w:rPr>
              <w:color w:val="auto"/>
              <w:spacing w:val="-16"/>
            </w:rPr>
            <w:fldChar w:fldCharType="end"/>
          </w:r>
          <w:r>
            <w:rPr>
              <w:color w:val="auto"/>
            </w:rPr>
            <w:t>齐全的计量器具</w:t>
          </w:r>
          <w:r>
            <w:rPr>
              <w:color w:val="auto"/>
            </w:rPr>
            <w:tab/>
          </w:r>
          <w:r>
            <w:rPr>
              <w:color w:val="auto"/>
              <w:spacing w:val="-6"/>
            </w:rPr>
            <w:t>417</w:t>
          </w:r>
        </w:p>
        <w:p>
          <w:pPr>
            <w:pStyle w:val="5"/>
            <w:tabs>
              <w:tab w:val="left" w:leader="dot" w:pos="8595"/>
            </w:tabs>
            <w:spacing w:after="240" w:line="374" w:lineRule="auto"/>
            <w:ind w:right="268"/>
            <w:rPr>
              <w:color w:val="auto"/>
            </w:rPr>
          </w:pPr>
          <w:r>
            <w:rPr>
              <w:color w:val="auto"/>
            </w:rPr>
            <w:fldChar w:fldCharType="begin"/>
          </w:r>
          <w:r>
            <w:rPr>
              <w:color w:val="auto"/>
            </w:rPr>
            <w:instrText xml:space="preserve"> HYPERLINK \l "_bookmark443"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"_bookmark443" </w:instrText>
          </w:r>
          <w:r>
            <w:rPr>
              <w:color w:val="auto"/>
            </w:rPr>
            <w:fldChar w:fldCharType="separate"/>
          </w:r>
          <w:r>
            <w:rPr>
              <w:color w:val="auto"/>
            </w:rPr>
            <w:t>百三十三</w:t>
          </w:r>
          <w:r>
            <w:rPr>
              <w:color w:val="auto"/>
              <w:spacing w:val="-36"/>
            </w:rPr>
            <w:t>、</w:t>
          </w:r>
          <w:r>
            <w:rPr>
              <w:color w:val="auto"/>
            </w:rPr>
            <w:t>燃油加油机安装后未报经市场监督管理部门授权的法定计量检定</w:t>
          </w:r>
          <w:r>
            <w:rPr>
              <w:color w:val="auto"/>
              <w:spacing w:val="-17"/>
            </w:rPr>
            <w:t>机</w:t>
          </w:r>
          <w:r>
            <w:rPr>
              <w:color w:val="auto"/>
              <w:spacing w:val="-17"/>
            </w:rPr>
            <w:fldChar w:fldCharType="end"/>
          </w:r>
          <w:r>
            <w:rPr>
              <w:color w:val="auto"/>
            </w:rPr>
            <w:t>构强制检定合格即投入使用</w:t>
          </w:r>
          <w:r>
            <w:rPr>
              <w:color w:val="auto"/>
            </w:rPr>
            <w:tab/>
          </w:r>
          <w:r>
            <w:rPr>
              <w:color w:val="auto"/>
              <w:spacing w:val="-6"/>
            </w:rPr>
            <w:t>418</w:t>
          </w:r>
        </w:p>
        <w:p>
          <w:pPr>
            <w:pStyle w:val="5"/>
            <w:tabs>
              <w:tab w:val="left" w:leader="dot" w:pos="8595"/>
            </w:tabs>
            <w:spacing w:before="127" w:line="374" w:lineRule="auto"/>
            <w:ind w:right="268"/>
            <w:jc w:val="both"/>
            <w:rPr>
              <w:color w:val="auto"/>
            </w:rPr>
          </w:pPr>
          <w:r>
            <w:rPr>
              <w:color w:val="auto"/>
            </w:rPr>
            <w:fldChar w:fldCharType="begin"/>
          </w:r>
          <w:r>
            <w:rPr>
              <w:color w:val="auto"/>
            </w:rPr>
            <w:instrText xml:space="preserve"> HYPERLINK \l "_bookmark444"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"_bookmark444" </w:instrText>
          </w:r>
          <w:r>
            <w:rPr>
              <w:color w:val="auto"/>
            </w:rPr>
            <w:fldChar w:fldCharType="separate"/>
          </w:r>
          <w:r>
            <w:rPr>
              <w:color w:val="auto"/>
            </w:rPr>
            <w:t>百三十四</w:t>
          </w:r>
          <w:r>
            <w:rPr>
              <w:color w:val="auto"/>
              <w:spacing w:val="-20"/>
            </w:rPr>
            <w:t>、</w:t>
          </w:r>
          <w:r>
            <w:rPr>
              <w:color w:val="auto"/>
            </w:rPr>
            <w:t>加油站经营者需要维修燃油加油机</w:t>
          </w:r>
          <w:r>
            <w:rPr>
              <w:color w:val="auto"/>
              <w:spacing w:val="-17"/>
            </w:rPr>
            <w:t>，</w:t>
          </w:r>
          <w:r>
            <w:rPr>
              <w:color w:val="auto"/>
            </w:rPr>
            <w:t>未向具有合法维修资格的单</w:t>
          </w:r>
          <w:r>
            <w:rPr>
              <w:color w:val="auto"/>
              <w:spacing w:val="-16"/>
            </w:rPr>
            <w:t>位</w:t>
          </w:r>
          <w:r>
            <w:rPr>
              <w:color w:val="auto"/>
              <w:spacing w:val="-16"/>
            </w:rPr>
            <w:fldChar w:fldCharType="end"/>
          </w:r>
          <w:r>
            <w:rPr>
              <w:color w:val="auto"/>
            </w:rPr>
            <w:t>报修</w:t>
          </w:r>
          <w:r>
            <w:rPr>
              <w:color w:val="auto"/>
              <w:spacing w:val="-36"/>
            </w:rPr>
            <w:t>，</w:t>
          </w:r>
          <w:r>
            <w:rPr>
              <w:color w:val="auto"/>
            </w:rPr>
            <w:t>维修后的燃油加油机未报经执行强制检定的法定计量检定机构检定后重</w:t>
          </w:r>
          <w:r>
            <w:rPr>
              <w:color w:val="auto"/>
              <w:spacing w:val="-17"/>
            </w:rPr>
            <w:t>新</w:t>
          </w:r>
          <w:r>
            <w:rPr>
              <w:color w:val="auto"/>
            </w:rPr>
            <w:t>投入使用</w:t>
          </w:r>
          <w:r>
            <w:rPr>
              <w:color w:val="auto"/>
            </w:rPr>
            <w:tab/>
          </w:r>
          <w:r>
            <w:rPr>
              <w:color w:val="auto"/>
              <w:spacing w:val="-6"/>
            </w:rPr>
            <w:t>420</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"_bookmark445"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"_bookmark445" </w:instrText>
          </w:r>
          <w:r>
            <w:rPr>
              <w:color w:val="auto"/>
            </w:rPr>
            <w:fldChar w:fldCharType="separate"/>
          </w:r>
          <w:r>
            <w:rPr>
              <w:color w:val="auto"/>
            </w:rPr>
            <w:t>百三十五</w:t>
          </w:r>
          <w:r>
            <w:rPr>
              <w:color w:val="auto"/>
              <w:spacing w:val="-20"/>
            </w:rPr>
            <w:t>、</w:t>
          </w:r>
          <w:r>
            <w:rPr>
              <w:color w:val="auto"/>
            </w:rPr>
            <w:t>加油站经营者使用非法定计量单位</w:t>
          </w:r>
          <w:r>
            <w:rPr>
              <w:color w:val="auto"/>
              <w:spacing w:val="-17"/>
            </w:rPr>
            <w:t>，</w:t>
          </w:r>
          <w:r>
            <w:rPr>
              <w:color w:val="auto"/>
            </w:rPr>
            <w:t>使用国务院规定废除的非法</w:t>
          </w:r>
          <w:r>
            <w:rPr>
              <w:color w:val="auto"/>
              <w:spacing w:val="-16"/>
            </w:rPr>
            <w:t>定</w:t>
          </w:r>
          <w:r>
            <w:rPr>
              <w:color w:val="auto"/>
              <w:spacing w:val="-16"/>
            </w:rPr>
            <w:fldChar w:fldCharType="end"/>
          </w:r>
          <w:r>
            <w:rPr>
              <w:color w:val="auto"/>
            </w:rPr>
            <w:t>计量单位的计量器具以及国家明令淘汰或者禁止使用的计量器具用于成品油贸易交接</w:t>
          </w:r>
          <w:r>
            <w:rPr>
              <w:color w:val="auto"/>
            </w:rPr>
            <w:tab/>
          </w:r>
          <w:r>
            <w:rPr>
              <w:color w:val="auto"/>
              <w:spacing w:val="-6"/>
            </w:rPr>
            <w:t>421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"_bookmark446"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"_bookmark446" </w:instrText>
          </w:r>
          <w:r>
            <w:rPr>
              <w:color w:val="auto"/>
            </w:rPr>
            <w:fldChar w:fldCharType="separate"/>
          </w:r>
          <w:r>
            <w:rPr>
              <w:color w:val="auto"/>
            </w:rPr>
            <w:t>百三十六</w:t>
          </w:r>
          <w:r>
            <w:rPr>
              <w:color w:val="auto"/>
              <w:spacing w:val="-20"/>
            </w:rPr>
            <w:t>、</w:t>
          </w:r>
          <w:r>
            <w:rPr>
              <w:color w:val="auto"/>
            </w:rPr>
            <w:t>加油站经营者使用未经检定</w:t>
          </w:r>
          <w:r>
            <w:rPr>
              <w:color w:val="auto"/>
              <w:spacing w:val="-17"/>
            </w:rPr>
            <w:t>、</w:t>
          </w:r>
          <w:r>
            <w:rPr>
              <w:color w:val="auto"/>
            </w:rPr>
            <w:t>超过检定周期或者经检定不合格的</w:t>
          </w:r>
          <w:r>
            <w:rPr>
              <w:color w:val="auto"/>
              <w:spacing w:val="-16"/>
            </w:rPr>
            <w:t>计</w:t>
          </w:r>
          <w:r>
            <w:rPr>
              <w:color w:val="auto"/>
              <w:spacing w:val="-16"/>
            </w:rPr>
            <w:fldChar w:fldCharType="end"/>
          </w:r>
          <w:r>
            <w:rPr>
              <w:color w:val="auto"/>
            </w:rPr>
            <w:t>量器具</w:t>
          </w:r>
          <w:r>
            <w:rPr>
              <w:color w:val="auto"/>
            </w:rPr>
            <w:tab/>
          </w:r>
          <w:r>
            <w:rPr>
              <w:color w:val="auto"/>
              <w:spacing w:val="-6"/>
            </w:rPr>
            <w:t>423</w:t>
          </w:r>
        </w:p>
        <w:p>
          <w:pPr>
            <w:pStyle w:val="5"/>
            <w:tabs>
              <w:tab w:val="left" w:leader="dot" w:pos="8595"/>
            </w:tabs>
            <w:spacing w:line="374" w:lineRule="auto"/>
            <w:ind w:left="567" w:right="256" w:firstLine="24"/>
            <w:rPr>
              <w:color w:val="auto"/>
            </w:rPr>
          </w:pPr>
          <w:r>
            <w:rPr>
              <w:color w:val="auto"/>
            </w:rPr>
            <w:fldChar w:fldCharType="begin"/>
          </w:r>
          <w:r>
            <w:rPr>
              <w:color w:val="auto"/>
            </w:rPr>
            <w:instrText xml:space="preserve"> HYPERLINK \l "_bookmark447" </w:instrText>
          </w:r>
          <w:r>
            <w:rPr>
              <w:color w:val="auto"/>
            </w:rPr>
            <w:fldChar w:fldCharType="separate"/>
          </w:r>
          <w:r>
            <w:rPr>
              <w:color w:val="auto"/>
              <w:spacing w:val="-12"/>
            </w:rPr>
            <w:t>四</w:t>
          </w:r>
          <w:r>
            <w:rPr>
              <w:color w:val="auto"/>
              <w:spacing w:val="-12"/>
            </w:rPr>
            <w:fldChar w:fldCharType="end"/>
          </w:r>
          <w:r>
            <w:rPr>
              <w:color w:val="auto"/>
            </w:rPr>
            <w:fldChar w:fldCharType="begin"/>
          </w:r>
          <w:r>
            <w:rPr>
              <w:color w:val="auto"/>
            </w:rPr>
            <w:instrText xml:space="preserve"> HYPERLINK \l "_bookmark447" </w:instrText>
          </w:r>
          <w:r>
            <w:rPr>
              <w:color w:val="auto"/>
            </w:rPr>
            <w:fldChar w:fldCharType="separate"/>
          </w:r>
          <w:r>
            <w:rPr>
              <w:color w:val="auto"/>
              <w:spacing w:val="-12"/>
            </w:rPr>
            <w:t>百三十七</w:t>
          </w:r>
          <w:r>
            <w:rPr>
              <w:color w:val="auto"/>
              <w:spacing w:val="-27"/>
            </w:rPr>
            <w:t>、</w:t>
          </w:r>
          <w:r>
            <w:rPr>
              <w:color w:val="auto"/>
              <w:spacing w:val="-12"/>
            </w:rPr>
            <w:t>加油站经营者破坏计量器具及其</w:t>
          </w:r>
          <w:r>
            <w:rPr>
              <w:color w:val="auto"/>
              <w:spacing w:val="-27"/>
            </w:rPr>
            <w:t>铅</w:t>
          </w:r>
          <w:r>
            <w:rPr>
              <w:color w:val="auto"/>
              <w:spacing w:val="-12"/>
            </w:rPr>
            <w:t>（签</w:t>
          </w:r>
          <w:r>
            <w:rPr>
              <w:color w:val="auto"/>
              <w:spacing w:val="-27"/>
            </w:rPr>
            <w:t>）</w:t>
          </w:r>
          <w:r>
            <w:rPr>
              <w:color w:val="auto"/>
              <w:spacing w:val="-12"/>
            </w:rPr>
            <w:t>封</w:t>
          </w:r>
          <w:r>
            <w:rPr>
              <w:color w:val="auto"/>
              <w:spacing w:val="-27"/>
            </w:rPr>
            <w:t>，</w:t>
          </w:r>
          <w:r>
            <w:rPr>
              <w:color w:val="auto"/>
              <w:spacing w:val="-12"/>
            </w:rPr>
            <w:t>擅自改动</w:t>
          </w:r>
          <w:r>
            <w:rPr>
              <w:color w:val="auto"/>
              <w:spacing w:val="-27"/>
            </w:rPr>
            <w:t>、</w:t>
          </w:r>
          <w:r>
            <w:rPr>
              <w:color w:val="auto"/>
              <w:spacing w:val="-12"/>
            </w:rPr>
            <w:t>拆装燃油加</w:t>
          </w:r>
          <w:r>
            <w:rPr>
              <w:color w:val="auto"/>
              <w:spacing w:val="-14"/>
            </w:rPr>
            <w:t>油</w:t>
          </w:r>
          <w:r>
            <w:rPr>
              <w:color w:val="auto"/>
              <w:spacing w:val="-14"/>
            </w:rPr>
            <w:fldChar w:fldCharType="end"/>
          </w:r>
          <w:r>
            <w:rPr>
              <w:color w:val="auto"/>
              <w:spacing w:val="-12"/>
            </w:rPr>
            <w:t>机，使用未经批准而改动的燃油加油机，以及弄虚作假、给消费者造成损</w:t>
          </w:r>
          <w:r>
            <w:rPr>
              <w:color w:val="auto"/>
            </w:rPr>
            <w:t>失</w:t>
          </w:r>
          <w:r>
            <w:rPr>
              <w:color w:val="auto"/>
            </w:rPr>
            <w:tab/>
          </w:r>
          <w:r>
            <w:rPr>
              <w:color w:val="auto"/>
            </w:rPr>
            <w:t>424</w:t>
          </w:r>
        </w:p>
        <w:p>
          <w:pPr>
            <w:pStyle w:val="5"/>
            <w:tabs>
              <w:tab w:val="left" w:leader="dot" w:pos="8595"/>
            </w:tabs>
            <w:spacing w:line="308" w:lineRule="exact"/>
            <w:rPr>
              <w:color w:val="auto"/>
            </w:rPr>
          </w:pPr>
          <w:r>
            <w:rPr>
              <w:color w:val="auto"/>
            </w:rPr>
            <w:fldChar w:fldCharType="begin"/>
          </w:r>
          <w:r>
            <w:rPr>
              <w:color w:val="auto"/>
            </w:rPr>
            <w:instrText xml:space="preserve"> HYPERLINK \l "_bookmark448" </w:instrText>
          </w:r>
          <w:r>
            <w:rPr>
              <w:color w:val="auto"/>
            </w:rPr>
            <w:fldChar w:fldCharType="separate"/>
          </w:r>
          <w:r>
            <w:rPr>
              <w:color w:val="auto"/>
            </w:rPr>
            <w:t>四百三十八、加油站经营者进行成品油零售时未使用计量器具</w:t>
          </w:r>
          <w:r>
            <w:rPr>
              <w:color w:val="auto"/>
            </w:rPr>
            <w:tab/>
          </w:r>
          <w:r>
            <w:rPr>
              <w:color w:val="auto"/>
            </w:rPr>
            <w:t>425</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"_bookmark449" </w:instrText>
          </w:r>
          <w:r>
            <w:rPr>
              <w:color w:val="auto"/>
            </w:rPr>
            <w:fldChar w:fldCharType="separate"/>
          </w:r>
          <w:r>
            <w:rPr>
              <w:color w:val="auto"/>
            </w:rPr>
            <w:t>四百三十九、成品油零售量的结算值与实际值之差超过国家规定允许误差</w:t>
          </w:r>
          <w:r>
            <w:rPr>
              <w:color w:val="auto"/>
            </w:rPr>
            <w:tab/>
          </w:r>
          <w:r>
            <w:rPr>
              <w:color w:val="auto"/>
            </w:rPr>
            <w:t>427</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"_bookmark450"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"_bookmark450" </w:instrText>
          </w:r>
          <w:r>
            <w:rPr>
              <w:color w:val="auto"/>
            </w:rPr>
            <w:fldChar w:fldCharType="separate"/>
          </w:r>
          <w:r>
            <w:rPr>
              <w:color w:val="auto"/>
            </w:rPr>
            <w:t>百四十</w:t>
          </w:r>
          <w:r>
            <w:rPr>
              <w:color w:val="auto"/>
              <w:spacing w:val="-10"/>
            </w:rPr>
            <w:t>、</w:t>
          </w:r>
          <w:r>
            <w:rPr>
              <w:color w:val="auto"/>
            </w:rPr>
            <w:t>加油站经营者违</w:t>
          </w:r>
          <w:r>
            <w:rPr>
              <w:color w:val="auto"/>
              <w:spacing w:val="-10"/>
            </w:rPr>
            <w:t>反</w:t>
          </w:r>
          <w:r>
            <w:rPr>
              <w:color w:val="auto"/>
            </w:rPr>
            <w:t>《加油站计量监督管理办法</w:t>
          </w:r>
          <w:r>
            <w:rPr>
              <w:color w:val="auto"/>
              <w:spacing w:val="-8"/>
            </w:rPr>
            <w:t>》</w:t>
          </w:r>
          <w:r>
            <w:rPr>
              <w:color w:val="auto"/>
            </w:rPr>
            <w:t>的规定</w:t>
          </w:r>
          <w:r>
            <w:rPr>
              <w:color w:val="auto"/>
              <w:spacing w:val="-10"/>
            </w:rPr>
            <w:t>，</w:t>
          </w:r>
          <w:r>
            <w:rPr>
              <w:color w:val="auto"/>
            </w:rPr>
            <w:t>拒不提供</w:t>
          </w:r>
          <w:r>
            <w:rPr>
              <w:color w:val="auto"/>
              <w:spacing w:val="-15"/>
            </w:rPr>
            <w:t>成</w:t>
          </w:r>
          <w:r>
            <w:rPr>
              <w:color w:val="auto"/>
              <w:spacing w:val="-15"/>
            </w:rPr>
            <w:fldChar w:fldCharType="end"/>
          </w:r>
          <w:r>
            <w:rPr>
              <w:color w:val="auto"/>
            </w:rPr>
            <w:t>品油零售账目或者提供不真实账目使违法所得难以计算</w:t>
          </w:r>
          <w:r>
            <w:rPr>
              <w:color w:val="auto"/>
            </w:rPr>
            <w:tab/>
          </w:r>
          <w:r>
            <w:rPr>
              <w:color w:val="auto"/>
              <w:spacing w:val="-6"/>
            </w:rPr>
            <w:t>428</w:t>
          </w:r>
        </w:p>
        <w:p>
          <w:pPr>
            <w:pStyle w:val="5"/>
            <w:tabs>
              <w:tab w:val="left" w:leader="dot" w:pos="8595"/>
            </w:tabs>
            <w:spacing w:before="1" w:line="374" w:lineRule="auto"/>
            <w:ind w:right="232"/>
            <w:jc w:val="both"/>
            <w:rPr>
              <w:color w:val="auto"/>
            </w:rPr>
          </w:pPr>
          <w:r>
            <w:rPr>
              <w:color w:val="auto"/>
            </w:rPr>
            <w:fldChar w:fldCharType="begin"/>
          </w:r>
          <w:r>
            <w:rPr>
              <w:color w:val="auto"/>
            </w:rPr>
            <w:instrText xml:space="preserve"> HYPERLINK \l "_bookmark451"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"_bookmark451" </w:instrText>
          </w:r>
          <w:r>
            <w:rPr>
              <w:color w:val="auto"/>
            </w:rPr>
            <w:fldChar w:fldCharType="separate"/>
          </w:r>
          <w:r>
            <w:rPr>
              <w:color w:val="auto"/>
            </w:rPr>
            <w:t>百四十一、眼镜制配者使用属于强制检定的计量器具，未按照规定登记造册</w:t>
          </w:r>
          <w:r>
            <w:rPr>
              <w:color w:val="auto"/>
              <w:spacing w:val="-17"/>
            </w:rPr>
            <w:t>、</w:t>
          </w:r>
          <w:r>
            <w:rPr>
              <w:color w:val="auto"/>
              <w:spacing w:val="-17"/>
            </w:rPr>
            <w:fldChar w:fldCharType="end"/>
          </w:r>
          <w:r>
            <w:rPr>
              <w:color w:val="auto"/>
            </w:rPr>
            <w:t>报当地县级市场监督管理部门备案</w:t>
          </w:r>
          <w:r>
            <w:rPr>
              <w:color w:val="auto"/>
              <w:spacing w:val="-20"/>
            </w:rPr>
            <w:t>，</w:t>
          </w:r>
          <w:r>
            <w:rPr>
              <w:color w:val="auto"/>
            </w:rPr>
            <w:t>或者未按照规定申请检定</w:t>
          </w:r>
          <w:r>
            <w:rPr>
              <w:color w:val="auto"/>
              <w:spacing w:val="-17"/>
            </w:rPr>
            <w:t>，</w:t>
          </w:r>
          <w:r>
            <w:rPr>
              <w:color w:val="auto"/>
            </w:rPr>
            <w:t>或者超过检定周期继续使用</w:t>
          </w:r>
          <w:r>
            <w:rPr>
              <w:color w:val="auto"/>
              <w:spacing w:val="-12"/>
            </w:rPr>
            <w:t>，</w:t>
          </w:r>
          <w:r>
            <w:rPr>
              <w:color w:val="auto"/>
            </w:rPr>
            <w:t>或者经检定不合格继续使用</w:t>
          </w:r>
          <w:r>
            <w:rPr>
              <w:color w:val="auto"/>
              <w:spacing w:val="-12"/>
            </w:rPr>
            <w:t>；</w:t>
          </w:r>
          <w:r>
            <w:rPr>
              <w:color w:val="auto"/>
            </w:rPr>
            <w:t>使用属于非强制检定的计量器具</w:t>
          </w:r>
          <w:r>
            <w:rPr>
              <w:color w:val="auto"/>
              <w:spacing w:val="-12"/>
            </w:rPr>
            <w:t>，</w:t>
          </w:r>
          <w:r>
            <w:rPr>
              <w:color w:val="auto"/>
            </w:rPr>
            <w:t>未按照规定定期检定以及经检定不合格继续使用</w:t>
          </w:r>
          <w:r>
            <w:rPr>
              <w:color w:val="auto"/>
            </w:rPr>
            <w:tab/>
          </w:r>
          <w:r>
            <w:rPr>
              <w:color w:val="auto"/>
            </w:rPr>
            <w:t>429</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"_bookmark452"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"_bookmark452" </w:instrText>
          </w:r>
          <w:r>
            <w:rPr>
              <w:color w:val="auto"/>
            </w:rPr>
            <w:fldChar w:fldCharType="separate"/>
          </w:r>
          <w:r>
            <w:rPr>
              <w:color w:val="auto"/>
            </w:rPr>
            <w:t>百四十二</w:t>
          </w:r>
          <w:r>
            <w:rPr>
              <w:color w:val="auto"/>
              <w:spacing w:val="-20"/>
            </w:rPr>
            <w:t>、</w:t>
          </w:r>
          <w:r>
            <w:rPr>
              <w:color w:val="auto"/>
            </w:rPr>
            <w:t>眼镜制配者使用非法定计量单位</w:t>
          </w:r>
          <w:r>
            <w:rPr>
              <w:color w:val="auto"/>
              <w:spacing w:val="-17"/>
            </w:rPr>
            <w:t>，</w:t>
          </w:r>
          <w:r>
            <w:rPr>
              <w:color w:val="auto"/>
            </w:rPr>
            <w:t>或者使用国务院规定废除的非</w:t>
          </w:r>
          <w:r>
            <w:rPr>
              <w:color w:val="auto"/>
              <w:spacing w:val="-16"/>
            </w:rPr>
            <w:t>法</w:t>
          </w:r>
          <w:r>
            <w:rPr>
              <w:color w:val="auto"/>
              <w:spacing w:val="-16"/>
            </w:rPr>
            <w:fldChar w:fldCharType="end"/>
          </w:r>
          <w:r>
            <w:rPr>
              <w:color w:val="auto"/>
            </w:rPr>
            <w:t>定计量单位的计量器具和国务院禁止使用的其他计量器具</w:t>
          </w:r>
          <w:r>
            <w:rPr>
              <w:color w:val="auto"/>
            </w:rPr>
            <w:tab/>
          </w:r>
          <w:r>
            <w:rPr>
              <w:color w:val="auto"/>
              <w:spacing w:val="-6"/>
            </w:rPr>
            <w:t>431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"_bookmark453"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"_bookmark453" </w:instrText>
          </w:r>
          <w:r>
            <w:rPr>
              <w:color w:val="auto"/>
            </w:rPr>
            <w:fldChar w:fldCharType="separate"/>
          </w:r>
          <w:r>
            <w:rPr>
              <w:color w:val="auto"/>
            </w:rPr>
            <w:t>百四十三</w:t>
          </w:r>
          <w:r>
            <w:rPr>
              <w:color w:val="auto"/>
              <w:spacing w:val="-12"/>
            </w:rPr>
            <w:t>、</w:t>
          </w:r>
          <w:r>
            <w:rPr>
              <w:color w:val="auto"/>
            </w:rPr>
            <w:t>眼镜镜片</w:t>
          </w:r>
          <w:r>
            <w:rPr>
              <w:color w:val="auto"/>
              <w:spacing w:val="-12"/>
            </w:rPr>
            <w:t>、</w:t>
          </w:r>
          <w:r>
            <w:rPr>
              <w:color w:val="auto"/>
            </w:rPr>
            <w:t>角膜接触镜</w:t>
          </w:r>
          <w:r>
            <w:rPr>
              <w:color w:val="auto"/>
              <w:spacing w:val="-12"/>
            </w:rPr>
            <w:t>、</w:t>
          </w:r>
          <w:r>
            <w:rPr>
              <w:color w:val="auto"/>
            </w:rPr>
            <w:t>成品眼镜生产者未配备与生产相适应的</w:t>
          </w:r>
          <w:r>
            <w:rPr>
              <w:color w:val="auto"/>
              <w:spacing w:val="-17"/>
            </w:rPr>
            <w:t>顶</w:t>
          </w:r>
          <w:r>
            <w:rPr>
              <w:color w:val="auto"/>
              <w:spacing w:val="-17"/>
            </w:rPr>
            <w:fldChar w:fldCharType="end"/>
          </w:r>
          <w:r>
            <w:rPr>
              <w:color w:val="auto"/>
            </w:rPr>
            <w:t>焦度、透过率和厚度等计量检测设备</w:t>
          </w:r>
          <w:r>
            <w:rPr>
              <w:color w:val="auto"/>
            </w:rPr>
            <w:tab/>
          </w:r>
          <w:r>
            <w:rPr>
              <w:color w:val="auto"/>
              <w:spacing w:val="-6"/>
            </w:rPr>
            <w:t>432</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"_bookmark454"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"_bookmark454" </w:instrText>
          </w:r>
          <w:r>
            <w:rPr>
              <w:color w:val="auto"/>
            </w:rPr>
            <w:fldChar w:fldCharType="separate"/>
          </w:r>
          <w:r>
            <w:rPr>
              <w:color w:val="auto"/>
            </w:rPr>
            <w:t>百四十四</w:t>
          </w:r>
          <w:r>
            <w:rPr>
              <w:color w:val="auto"/>
              <w:spacing w:val="-12"/>
            </w:rPr>
            <w:t>、</w:t>
          </w:r>
          <w:r>
            <w:rPr>
              <w:color w:val="auto"/>
            </w:rPr>
            <w:t>眼镜镜片</w:t>
          </w:r>
          <w:r>
            <w:rPr>
              <w:color w:val="auto"/>
              <w:spacing w:val="-12"/>
            </w:rPr>
            <w:t>、</w:t>
          </w:r>
          <w:r>
            <w:rPr>
              <w:color w:val="auto"/>
            </w:rPr>
            <w:t>角膜接触镜</w:t>
          </w:r>
          <w:r>
            <w:rPr>
              <w:color w:val="auto"/>
              <w:spacing w:val="-12"/>
            </w:rPr>
            <w:t>、</w:t>
          </w:r>
          <w:r>
            <w:rPr>
              <w:color w:val="auto"/>
            </w:rPr>
            <w:t>成品眼镜生产者出具的眼镜产品计量数</w:t>
          </w:r>
          <w:r>
            <w:rPr>
              <w:color w:val="auto"/>
              <w:spacing w:val="-17"/>
            </w:rPr>
            <w:t>据</w:t>
          </w:r>
          <w:r>
            <w:rPr>
              <w:color w:val="auto"/>
              <w:spacing w:val="-17"/>
            </w:rPr>
            <w:fldChar w:fldCharType="end"/>
          </w:r>
          <w:r>
            <w:rPr>
              <w:color w:val="auto"/>
            </w:rPr>
            <w:t>不准确可靠</w:t>
          </w:r>
          <w:r>
            <w:rPr>
              <w:color w:val="auto"/>
            </w:rPr>
            <w:tab/>
          </w:r>
          <w:r>
            <w:rPr>
              <w:color w:val="auto"/>
              <w:spacing w:val="-6"/>
            </w:rPr>
            <w:t>433</w:t>
          </w:r>
        </w:p>
        <w:p>
          <w:pPr>
            <w:pStyle w:val="5"/>
            <w:tabs>
              <w:tab w:val="left" w:leader="dot" w:pos="8595"/>
            </w:tabs>
            <w:spacing w:before="1" w:line="374" w:lineRule="auto"/>
            <w:ind w:right="232"/>
            <w:jc w:val="both"/>
            <w:rPr>
              <w:color w:val="auto"/>
            </w:rPr>
          </w:pPr>
          <w:r>
            <w:rPr>
              <w:color w:val="auto"/>
            </w:rPr>
            <w:fldChar w:fldCharType="begin"/>
          </w:r>
          <w:r>
            <w:rPr>
              <w:color w:val="auto"/>
            </w:rPr>
            <w:instrText xml:space="preserve"> HYPERLINK \l "_bookmark455"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"_bookmark455" </w:instrText>
          </w:r>
          <w:r>
            <w:rPr>
              <w:color w:val="auto"/>
            </w:rPr>
            <w:fldChar w:fldCharType="separate"/>
          </w:r>
          <w:r>
            <w:rPr>
              <w:color w:val="auto"/>
            </w:rPr>
            <w:t>百四十五</w:t>
          </w:r>
          <w:r>
            <w:rPr>
              <w:color w:val="auto"/>
              <w:spacing w:val="-10"/>
            </w:rPr>
            <w:t>、</w:t>
          </w:r>
          <w:r>
            <w:rPr>
              <w:color w:val="auto"/>
            </w:rPr>
            <w:t>从事眼镜镜片</w:t>
          </w:r>
          <w:r>
            <w:rPr>
              <w:color w:val="auto"/>
              <w:spacing w:val="-10"/>
            </w:rPr>
            <w:t>、</w:t>
          </w:r>
          <w:r>
            <w:rPr>
              <w:color w:val="auto"/>
            </w:rPr>
            <w:t>角膜接触镜</w:t>
          </w:r>
          <w:r>
            <w:rPr>
              <w:color w:val="auto"/>
              <w:spacing w:val="-8"/>
            </w:rPr>
            <w:t>、</w:t>
          </w:r>
          <w:r>
            <w:rPr>
              <w:color w:val="auto"/>
            </w:rPr>
            <w:t>成品眼镜销售以及从事配镜验光</w:t>
          </w:r>
          <w:r>
            <w:rPr>
              <w:color w:val="auto"/>
              <w:spacing w:val="-10"/>
            </w:rPr>
            <w:t>、</w:t>
          </w:r>
          <w:r>
            <w:rPr>
              <w:color w:val="auto"/>
            </w:rPr>
            <w:t>定</w:t>
          </w:r>
          <w:r>
            <w:rPr>
              <w:color w:val="auto"/>
            </w:rPr>
            <w:fldChar w:fldCharType="end"/>
          </w:r>
          <w:r>
            <w:rPr>
              <w:color w:val="auto"/>
            </w:rPr>
            <w:t>配眼镜、角膜接触镜配戴经营者未配备与销售、经营业务相适应的验光、瞳距</w:t>
          </w:r>
          <w:r>
            <w:rPr>
              <w:color w:val="auto"/>
              <w:spacing w:val="-17"/>
            </w:rPr>
            <w:t>、</w:t>
          </w:r>
          <w:r>
            <w:rPr>
              <w:color w:val="auto"/>
            </w:rPr>
            <w:t>顶焦度、透过率、厚度等计量检测设备</w:t>
          </w:r>
          <w:r>
            <w:rPr>
              <w:color w:val="auto"/>
            </w:rPr>
            <w:tab/>
          </w:r>
          <w:r>
            <w:rPr>
              <w:color w:val="auto"/>
            </w:rPr>
            <w:t>434</w:t>
          </w:r>
        </w:p>
        <w:p>
          <w:pPr>
            <w:pStyle w:val="5"/>
            <w:spacing w:before="1"/>
            <w:rPr>
              <w:color w:val="auto"/>
            </w:rPr>
          </w:pPr>
          <w:r>
            <w:rPr>
              <w:color w:val="auto"/>
            </w:rPr>
            <w:fldChar w:fldCharType="begin"/>
          </w:r>
          <w:r>
            <w:rPr>
              <w:color w:val="auto"/>
            </w:rPr>
            <w:instrText xml:space="preserve"> HYPERLINK \l "_bookmark456" </w:instrText>
          </w:r>
          <w:r>
            <w:rPr>
              <w:color w:val="auto"/>
            </w:rPr>
            <w:fldChar w:fldCharType="separate"/>
          </w:r>
          <w:r>
            <w:rPr>
              <w:color w:val="auto"/>
              <w:spacing w:val="-12"/>
            </w:rPr>
            <w:t>四</w:t>
          </w:r>
          <w:r>
            <w:rPr>
              <w:color w:val="auto"/>
              <w:spacing w:val="-12"/>
            </w:rPr>
            <w:fldChar w:fldCharType="end"/>
          </w:r>
          <w:r>
            <w:rPr>
              <w:color w:val="auto"/>
            </w:rPr>
            <w:fldChar w:fldCharType="begin"/>
          </w:r>
          <w:r>
            <w:rPr>
              <w:color w:val="auto"/>
            </w:rPr>
            <w:instrText xml:space="preserve"> HYPERLINK \l "_bookmark456" </w:instrText>
          </w:r>
          <w:r>
            <w:rPr>
              <w:color w:val="auto"/>
            </w:rPr>
            <w:fldChar w:fldCharType="separate"/>
          </w:r>
          <w:r>
            <w:rPr>
              <w:color w:val="auto"/>
              <w:spacing w:val="-20"/>
            </w:rPr>
            <w:t>百四十六、从事眼镜镜片、角膜接触镜、成品眼镜销售以及从事配镜验光、定配眼</w:t>
          </w:r>
          <w:r>
            <w:rPr>
              <w:color w:val="auto"/>
              <w:spacing w:val="-20"/>
            </w:rPr>
            <w:fldChar w:fldCharType="end"/>
          </w:r>
        </w:p>
        <w:p>
          <w:pPr>
            <w:pStyle w:val="5"/>
            <w:tabs>
              <w:tab w:val="left" w:leader="dot" w:pos="8595"/>
            </w:tabs>
            <w:spacing w:before="172" w:after="59"/>
            <w:ind w:left="567"/>
            <w:rPr>
              <w:color w:val="auto"/>
            </w:rPr>
          </w:pPr>
          <w:r>
            <w:rPr>
              <w:color w:val="auto"/>
              <w:spacing w:val="-12"/>
            </w:rPr>
            <w:t>镜、角膜接触镜配戴经营者未配备与经营业务相适应的眼科计量检测设</w:t>
          </w:r>
          <w:r>
            <w:rPr>
              <w:color w:val="auto"/>
            </w:rPr>
            <w:t>备</w:t>
          </w:r>
          <w:r>
            <w:rPr>
              <w:color w:val="auto"/>
            </w:rPr>
            <w:tab/>
          </w:r>
          <w:r>
            <w:rPr>
              <w:color w:val="auto"/>
            </w:rPr>
            <w:t>436</w:t>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"_bookmark457"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"_bookmark457" </w:instrText>
          </w:r>
          <w:r>
            <w:rPr>
              <w:color w:val="auto"/>
            </w:rPr>
            <w:fldChar w:fldCharType="separate"/>
          </w:r>
          <w:r>
            <w:rPr>
              <w:color w:val="auto"/>
            </w:rPr>
            <w:t>百四十七</w:t>
          </w:r>
          <w:r>
            <w:rPr>
              <w:color w:val="auto"/>
              <w:spacing w:val="-10"/>
            </w:rPr>
            <w:t>、</w:t>
          </w:r>
          <w:r>
            <w:rPr>
              <w:color w:val="auto"/>
            </w:rPr>
            <w:t>从事眼镜镜片</w:t>
          </w:r>
          <w:r>
            <w:rPr>
              <w:color w:val="auto"/>
              <w:spacing w:val="-10"/>
            </w:rPr>
            <w:t>、</w:t>
          </w:r>
          <w:r>
            <w:rPr>
              <w:color w:val="auto"/>
            </w:rPr>
            <w:t>角膜接触镜</w:t>
          </w:r>
          <w:r>
            <w:rPr>
              <w:color w:val="auto"/>
              <w:spacing w:val="-8"/>
            </w:rPr>
            <w:t>、</w:t>
          </w:r>
          <w:r>
            <w:rPr>
              <w:color w:val="auto"/>
            </w:rPr>
            <w:t>成品眼镜销售以及从事配镜验光</w:t>
          </w:r>
          <w:r>
            <w:rPr>
              <w:color w:val="auto"/>
              <w:spacing w:val="-10"/>
            </w:rPr>
            <w:t>、</w:t>
          </w:r>
          <w:r>
            <w:rPr>
              <w:color w:val="auto"/>
              <w:spacing w:val="-15"/>
            </w:rPr>
            <w:t>定</w:t>
          </w:r>
          <w:r>
            <w:rPr>
              <w:color w:val="auto"/>
              <w:spacing w:val="-15"/>
            </w:rPr>
            <w:fldChar w:fldCharType="end"/>
          </w:r>
          <w:r>
            <w:rPr>
              <w:color w:val="auto"/>
            </w:rPr>
            <w:t>配眼镜、角膜接触镜配戴经营者出具的眼镜产品计量数据不准确可靠</w:t>
          </w:r>
          <w:r>
            <w:rPr>
              <w:color w:val="auto"/>
            </w:rPr>
            <w:tab/>
          </w:r>
          <w:r>
            <w:rPr>
              <w:color w:val="auto"/>
              <w:spacing w:val="-6"/>
            </w:rPr>
            <w:t>437</w:t>
          </w:r>
        </w:p>
        <w:p>
          <w:pPr>
            <w:pStyle w:val="5"/>
            <w:tabs>
              <w:tab w:val="left" w:leader="dot" w:pos="8595"/>
            </w:tabs>
            <w:spacing w:line="308" w:lineRule="exact"/>
            <w:rPr>
              <w:color w:val="auto"/>
            </w:rPr>
          </w:pPr>
          <w:r>
            <w:rPr>
              <w:color w:val="auto"/>
            </w:rPr>
            <w:fldChar w:fldCharType="begin"/>
          </w:r>
          <w:r>
            <w:rPr>
              <w:color w:val="auto"/>
            </w:rPr>
            <w:instrText xml:space="preserve"> HYPERLINK \l "_bookmark458" </w:instrText>
          </w:r>
          <w:r>
            <w:rPr>
              <w:color w:val="auto"/>
            </w:rPr>
            <w:fldChar w:fldCharType="separate"/>
          </w:r>
          <w:r>
            <w:rPr>
              <w:color w:val="auto"/>
            </w:rPr>
            <w:t>四百四十八、眼镜制配者拒不提供眼镜制配账目，使违法所得难以计算</w:t>
          </w:r>
          <w:r>
            <w:rPr>
              <w:color w:val="auto"/>
            </w:rPr>
            <w:tab/>
          </w:r>
          <w:r>
            <w:rPr>
              <w:color w:val="auto"/>
            </w:rPr>
            <w:t>438</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"_bookmark459"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"_bookmark459" </w:instrText>
          </w:r>
          <w:r>
            <w:rPr>
              <w:color w:val="auto"/>
            </w:rPr>
            <w:fldChar w:fldCharType="separate"/>
          </w:r>
          <w:r>
            <w:rPr>
              <w:color w:val="auto"/>
            </w:rPr>
            <w:t>百四十九</w:t>
          </w:r>
          <w:r>
            <w:rPr>
              <w:color w:val="auto"/>
              <w:spacing w:val="-36"/>
            </w:rPr>
            <w:t>、</w:t>
          </w:r>
          <w:r>
            <w:rPr>
              <w:color w:val="auto"/>
            </w:rPr>
            <w:t>集贸市场使用的属于强制检定的计量器具未登记造册并向市场监</w:t>
          </w:r>
          <w:r>
            <w:rPr>
              <w:color w:val="auto"/>
              <w:spacing w:val="-17"/>
            </w:rPr>
            <w:t>督</w:t>
          </w:r>
          <w:r>
            <w:rPr>
              <w:color w:val="auto"/>
              <w:spacing w:val="-17"/>
            </w:rPr>
            <w:fldChar w:fldCharType="end"/>
          </w:r>
          <w:r>
            <w:rPr>
              <w:color w:val="auto"/>
            </w:rPr>
            <w:t>管理部门备案</w:t>
          </w:r>
          <w:r>
            <w:rPr>
              <w:color w:val="auto"/>
            </w:rPr>
            <w:tab/>
          </w:r>
          <w:r>
            <w:rPr>
              <w:color w:val="auto"/>
              <w:spacing w:val="-6"/>
            </w:rPr>
            <w:t>439</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"_bookmark460"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"_bookmark460" </w:instrText>
          </w:r>
          <w:r>
            <w:rPr>
              <w:color w:val="auto"/>
            </w:rPr>
            <w:fldChar w:fldCharType="separate"/>
          </w:r>
          <w:r>
            <w:rPr>
              <w:color w:val="auto"/>
            </w:rPr>
            <w:t>百五十</w:t>
          </w:r>
          <w:r>
            <w:rPr>
              <w:color w:val="auto"/>
              <w:spacing w:val="-20"/>
            </w:rPr>
            <w:t>、</w:t>
          </w:r>
          <w:r>
            <w:rPr>
              <w:color w:val="auto"/>
            </w:rPr>
            <w:t>集贸市场主办者使用国家明令淘汰的计量器具</w:t>
          </w:r>
          <w:r>
            <w:rPr>
              <w:color w:val="auto"/>
              <w:spacing w:val="-17"/>
            </w:rPr>
            <w:t>，</w:t>
          </w:r>
          <w:r>
            <w:rPr>
              <w:color w:val="auto"/>
            </w:rPr>
            <w:t>未遵守有关规定使</w:t>
          </w:r>
          <w:r>
            <w:rPr>
              <w:color w:val="auto"/>
              <w:spacing w:val="-16"/>
            </w:rPr>
            <w:t>用</w:t>
          </w:r>
          <w:r>
            <w:rPr>
              <w:color w:val="auto"/>
              <w:spacing w:val="-16"/>
            </w:rPr>
            <w:fldChar w:fldCharType="end"/>
          </w:r>
          <w:r>
            <w:rPr>
              <w:color w:val="auto"/>
            </w:rPr>
            <w:t>国家限制使用的计量器具</w:t>
          </w:r>
          <w:r>
            <w:rPr>
              <w:color w:val="auto"/>
              <w:spacing w:val="-20"/>
            </w:rPr>
            <w:t>，</w:t>
          </w:r>
          <w:r>
            <w:rPr>
              <w:color w:val="auto"/>
            </w:rPr>
            <w:t>使用未申请检定</w:t>
          </w:r>
          <w:r>
            <w:rPr>
              <w:color w:val="auto"/>
              <w:spacing w:val="-17"/>
            </w:rPr>
            <w:t>、</w:t>
          </w:r>
          <w:r>
            <w:rPr>
              <w:color w:val="auto"/>
            </w:rPr>
            <w:t>超检定周期或者经检定不合格的</w:t>
          </w:r>
          <w:r>
            <w:rPr>
              <w:color w:val="auto"/>
              <w:spacing w:val="-16"/>
            </w:rPr>
            <w:t>计</w:t>
          </w:r>
          <w:r>
            <w:rPr>
              <w:color w:val="auto"/>
            </w:rPr>
            <w:t>量器具</w:t>
          </w:r>
          <w:r>
            <w:rPr>
              <w:color w:val="auto"/>
            </w:rPr>
            <w:tab/>
          </w:r>
          <w:r>
            <w:rPr>
              <w:color w:val="auto"/>
              <w:spacing w:val="-6"/>
            </w:rPr>
            <w:t>440</w:t>
          </w:r>
        </w:p>
        <w:p>
          <w:pPr>
            <w:pStyle w:val="5"/>
            <w:tabs>
              <w:tab w:val="left" w:leader="dot" w:pos="8595"/>
            </w:tabs>
            <w:spacing w:line="308" w:lineRule="exact"/>
            <w:rPr>
              <w:color w:val="auto"/>
            </w:rPr>
          </w:pPr>
          <w:r>
            <w:rPr>
              <w:color w:val="auto"/>
            </w:rPr>
            <w:fldChar w:fldCharType="begin"/>
          </w:r>
          <w:r>
            <w:rPr>
              <w:color w:val="auto"/>
            </w:rPr>
            <w:instrText xml:space="preserve"> HYPERLINK \l "_bookmark461" </w:instrText>
          </w:r>
          <w:r>
            <w:rPr>
              <w:color w:val="auto"/>
            </w:rPr>
            <w:fldChar w:fldCharType="separate"/>
          </w:r>
          <w:r>
            <w:rPr>
              <w:color w:val="auto"/>
            </w:rPr>
            <w:t>四百五十一、集贸市场主办者未设立公平秤并检定合格</w:t>
          </w:r>
          <w:r>
            <w:rPr>
              <w:color w:val="auto"/>
            </w:rPr>
            <w:tab/>
          </w:r>
          <w:r>
            <w:rPr>
              <w:color w:val="auto"/>
            </w:rPr>
            <w:t>441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"_bookmark462" </w:instrText>
          </w:r>
          <w:r>
            <w:rPr>
              <w:color w:val="auto"/>
            </w:rPr>
            <w:fldChar w:fldCharType="separate"/>
          </w:r>
          <w:r>
            <w:rPr>
              <w:color w:val="auto"/>
            </w:rPr>
            <w:t>四百五十二、集贸市场经营者未定期接受法定计量检定机构的强制检定</w:t>
          </w:r>
          <w:r>
            <w:rPr>
              <w:color w:val="auto"/>
            </w:rPr>
            <w:tab/>
          </w:r>
          <w:r>
            <w:rPr>
              <w:color w:val="auto"/>
            </w:rPr>
            <w:t>442</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"_bookmark463"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"_bookmark463" </w:instrText>
          </w:r>
          <w:r>
            <w:rPr>
              <w:color w:val="auto"/>
            </w:rPr>
            <w:fldChar w:fldCharType="separate"/>
          </w:r>
          <w:r>
            <w:rPr>
              <w:color w:val="auto"/>
            </w:rPr>
            <w:t>百五十三</w:t>
          </w:r>
          <w:r>
            <w:rPr>
              <w:color w:val="auto"/>
              <w:spacing w:val="-20"/>
            </w:rPr>
            <w:t>、</w:t>
          </w:r>
          <w:r>
            <w:rPr>
              <w:color w:val="auto"/>
            </w:rPr>
            <w:t>集贸市场经营者使用不合格计量器具</w:t>
          </w:r>
          <w:r>
            <w:rPr>
              <w:color w:val="auto"/>
              <w:spacing w:val="-17"/>
            </w:rPr>
            <w:t>，</w:t>
          </w:r>
          <w:r>
            <w:rPr>
              <w:color w:val="auto"/>
            </w:rPr>
            <w:t>破坏计量器具准确度或伪</w:t>
          </w:r>
          <w:r>
            <w:rPr>
              <w:color w:val="auto"/>
              <w:spacing w:val="-16"/>
            </w:rPr>
            <w:t>造</w:t>
          </w:r>
          <w:r>
            <w:rPr>
              <w:color w:val="auto"/>
              <w:spacing w:val="-16"/>
            </w:rPr>
            <w:fldChar w:fldCharType="end"/>
          </w:r>
          <w:r>
            <w:rPr>
              <w:color w:val="auto"/>
            </w:rPr>
            <w:t>数据，破坏铅签封</w:t>
          </w:r>
          <w:r>
            <w:rPr>
              <w:color w:val="auto"/>
            </w:rPr>
            <w:tab/>
          </w:r>
          <w:r>
            <w:rPr>
              <w:color w:val="auto"/>
              <w:spacing w:val="-6"/>
            </w:rPr>
            <w:t>443</w:t>
          </w:r>
        </w:p>
        <w:p>
          <w:pPr>
            <w:pStyle w:val="5"/>
            <w:tabs>
              <w:tab w:val="left" w:leader="dot" w:pos="8595"/>
            </w:tabs>
            <w:spacing w:line="308" w:lineRule="exact"/>
            <w:rPr>
              <w:color w:val="auto"/>
            </w:rPr>
          </w:pPr>
          <w:r>
            <w:rPr>
              <w:color w:val="auto"/>
            </w:rPr>
            <w:fldChar w:fldCharType="begin"/>
          </w:r>
          <w:r>
            <w:rPr>
              <w:color w:val="auto"/>
            </w:rPr>
            <w:instrText xml:space="preserve"> HYPERLINK \l "_bookmark464" </w:instrText>
          </w:r>
          <w:r>
            <w:rPr>
              <w:color w:val="auto"/>
            </w:rPr>
            <w:fldChar w:fldCharType="separate"/>
          </w:r>
          <w:r>
            <w:rPr>
              <w:color w:val="auto"/>
            </w:rPr>
            <w:t>四百五十四、集贸市场经营者应当使用计量器具而未使用计量器具</w:t>
          </w:r>
          <w:r>
            <w:rPr>
              <w:color w:val="auto"/>
            </w:rPr>
            <w:tab/>
          </w:r>
          <w:r>
            <w:rPr>
              <w:color w:val="auto"/>
            </w:rPr>
            <w:t>444</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"_bookmark465"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"_bookmark465" </w:instrText>
          </w:r>
          <w:r>
            <w:rPr>
              <w:color w:val="auto"/>
            </w:rPr>
            <w:fldChar w:fldCharType="separate"/>
          </w:r>
          <w:r>
            <w:rPr>
              <w:color w:val="auto"/>
            </w:rPr>
            <w:t>百五十五</w:t>
          </w:r>
          <w:r>
            <w:rPr>
              <w:color w:val="auto"/>
              <w:spacing w:val="-12"/>
            </w:rPr>
            <w:t>、</w:t>
          </w:r>
          <w:r>
            <w:rPr>
              <w:color w:val="auto"/>
            </w:rPr>
            <w:t>生产者生产定量包装商品</w:t>
          </w:r>
          <w:r>
            <w:rPr>
              <w:color w:val="auto"/>
              <w:spacing w:val="-12"/>
            </w:rPr>
            <w:t>，</w:t>
          </w:r>
          <w:r>
            <w:rPr>
              <w:color w:val="auto"/>
            </w:rPr>
            <w:t>其实际量与标注量不相符</w:t>
          </w:r>
          <w:r>
            <w:rPr>
              <w:color w:val="auto"/>
              <w:spacing w:val="-12"/>
            </w:rPr>
            <w:t>，</w:t>
          </w:r>
          <w:r>
            <w:rPr>
              <w:color w:val="auto"/>
            </w:rPr>
            <w:t>计量偏差</w:t>
          </w:r>
          <w:r>
            <w:rPr>
              <w:color w:val="auto"/>
              <w:spacing w:val="-17"/>
            </w:rPr>
            <w:t>超</w:t>
          </w:r>
          <w:r>
            <w:rPr>
              <w:color w:val="auto"/>
              <w:spacing w:val="-17"/>
            </w:rPr>
            <w:fldChar w:fldCharType="end"/>
          </w:r>
          <w:r>
            <w:rPr>
              <w:color w:val="auto"/>
            </w:rPr>
            <w:t>过《定量包装商品计量监督规定》或者其他有关规定</w:t>
          </w:r>
          <w:r>
            <w:rPr>
              <w:color w:val="auto"/>
            </w:rPr>
            <w:tab/>
          </w:r>
          <w:r>
            <w:rPr>
              <w:color w:val="auto"/>
              <w:spacing w:val="-6"/>
            </w:rPr>
            <w:t>444</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"_bookmark466"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"_bookmark466" </w:instrText>
          </w:r>
          <w:r>
            <w:rPr>
              <w:color w:val="auto"/>
            </w:rPr>
            <w:fldChar w:fldCharType="separate"/>
          </w:r>
          <w:r>
            <w:rPr>
              <w:color w:val="auto"/>
            </w:rPr>
            <w:t>百五十六</w:t>
          </w:r>
          <w:r>
            <w:rPr>
              <w:color w:val="auto"/>
              <w:spacing w:val="-20"/>
            </w:rPr>
            <w:t>、</w:t>
          </w:r>
          <w:r>
            <w:rPr>
              <w:color w:val="auto"/>
            </w:rPr>
            <w:t>销售者销售的定量包装商品或者零售商品</w:t>
          </w:r>
          <w:r>
            <w:rPr>
              <w:color w:val="auto"/>
              <w:spacing w:val="-17"/>
            </w:rPr>
            <w:t>，</w:t>
          </w:r>
          <w:r>
            <w:rPr>
              <w:color w:val="auto"/>
            </w:rPr>
            <w:t>其实际量与标注量或</w:t>
          </w:r>
          <w:r>
            <w:rPr>
              <w:color w:val="auto"/>
              <w:spacing w:val="-16"/>
            </w:rPr>
            <w:t>者</w:t>
          </w:r>
          <w:r>
            <w:rPr>
              <w:color w:val="auto"/>
              <w:spacing w:val="-16"/>
            </w:rPr>
            <w:fldChar w:fldCharType="end"/>
          </w:r>
          <w:r>
            <w:rPr>
              <w:color w:val="auto"/>
            </w:rPr>
            <w:t>实际量与贸易结算量不相符</w:t>
          </w:r>
          <w:r>
            <w:rPr>
              <w:color w:val="auto"/>
              <w:spacing w:val="-58"/>
            </w:rPr>
            <w:t>，</w:t>
          </w:r>
          <w:r>
            <w:rPr>
              <w:color w:val="auto"/>
            </w:rPr>
            <w:t>计量偏差超</w:t>
          </w:r>
          <w:r>
            <w:rPr>
              <w:color w:val="auto"/>
              <w:spacing w:val="-56"/>
            </w:rPr>
            <w:t>过</w:t>
          </w:r>
          <w:r>
            <w:rPr>
              <w:color w:val="auto"/>
            </w:rPr>
            <w:t>《定量包装商品计量监督规定</w:t>
          </w:r>
          <w:r>
            <w:rPr>
              <w:color w:val="auto"/>
              <w:spacing w:val="-58"/>
            </w:rPr>
            <w:t>》</w:t>
          </w:r>
          <w:r>
            <w:rPr>
              <w:color w:val="auto"/>
              <w:spacing w:val="-106"/>
            </w:rPr>
            <w:t>、</w:t>
          </w:r>
          <w:r>
            <w:rPr>
              <w:color w:val="auto"/>
            </w:rPr>
            <w:t>《</w:t>
          </w:r>
          <w:r>
            <w:rPr>
              <w:color w:val="auto"/>
              <w:spacing w:val="-14"/>
            </w:rPr>
            <w:t>零</w:t>
          </w:r>
          <w:r>
            <w:rPr>
              <w:color w:val="auto"/>
            </w:rPr>
            <w:t>售商品称重计量监督规定》或者其他有关规定</w:t>
          </w:r>
          <w:r>
            <w:rPr>
              <w:color w:val="auto"/>
            </w:rPr>
            <w:tab/>
          </w:r>
          <w:r>
            <w:rPr>
              <w:color w:val="auto"/>
              <w:spacing w:val="-6"/>
            </w:rPr>
            <w:t>446</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"_bookmark467"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"_bookmark467" </w:instrText>
          </w:r>
          <w:r>
            <w:rPr>
              <w:color w:val="auto"/>
            </w:rPr>
            <w:fldChar w:fldCharType="separate"/>
          </w:r>
          <w:r>
            <w:rPr>
              <w:color w:val="auto"/>
            </w:rPr>
            <w:t>百五十七</w:t>
          </w:r>
          <w:r>
            <w:rPr>
              <w:color w:val="auto"/>
              <w:spacing w:val="-20"/>
            </w:rPr>
            <w:t>、</w:t>
          </w:r>
          <w:r>
            <w:rPr>
              <w:color w:val="auto"/>
            </w:rPr>
            <w:t>销售者销售国家对计量偏差没有规定的商品</w:t>
          </w:r>
          <w:r>
            <w:rPr>
              <w:color w:val="auto"/>
              <w:spacing w:val="-17"/>
            </w:rPr>
            <w:t>，</w:t>
          </w:r>
          <w:r>
            <w:rPr>
              <w:color w:val="auto"/>
            </w:rPr>
            <w:t>其实际量与贸易结</w:t>
          </w:r>
          <w:r>
            <w:rPr>
              <w:color w:val="auto"/>
              <w:spacing w:val="-16"/>
            </w:rPr>
            <w:t>算</w:t>
          </w:r>
          <w:r>
            <w:rPr>
              <w:color w:val="auto"/>
              <w:spacing w:val="-16"/>
            </w:rPr>
            <w:fldChar w:fldCharType="end"/>
          </w:r>
          <w:r>
            <w:rPr>
              <w:color w:val="auto"/>
            </w:rPr>
            <w:t>量之差，超过国家规定使用的计量器具极限误差</w:t>
          </w:r>
          <w:r>
            <w:rPr>
              <w:color w:val="auto"/>
            </w:rPr>
            <w:tab/>
          </w:r>
          <w:r>
            <w:rPr>
              <w:color w:val="auto"/>
              <w:spacing w:val="-6"/>
            </w:rPr>
            <w:t>447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"_bookmark468"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"_bookmark468" </w:instrText>
          </w:r>
          <w:r>
            <w:rPr>
              <w:color w:val="auto"/>
            </w:rPr>
            <w:fldChar w:fldCharType="separate"/>
          </w:r>
          <w:r>
            <w:rPr>
              <w:color w:val="auto"/>
            </w:rPr>
            <w:t>百五十八</w:t>
          </w:r>
          <w:r>
            <w:rPr>
              <w:color w:val="auto"/>
              <w:spacing w:val="-12"/>
            </w:rPr>
            <w:t>、</w:t>
          </w:r>
          <w:r>
            <w:rPr>
              <w:color w:val="auto"/>
            </w:rPr>
            <w:t>收购者收购商品</w:t>
          </w:r>
          <w:r>
            <w:rPr>
              <w:color w:val="auto"/>
              <w:spacing w:val="-12"/>
            </w:rPr>
            <w:t>，</w:t>
          </w:r>
          <w:r>
            <w:rPr>
              <w:color w:val="auto"/>
            </w:rPr>
            <w:t>其实际量与贸易结算量之差</w:t>
          </w:r>
          <w:r>
            <w:rPr>
              <w:color w:val="auto"/>
              <w:spacing w:val="-12"/>
            </w:rPr>
            <w:t>，</w:t>
          </w:r>
          <w:r>
            <w:rPr>
              <w:color w:val="auto"/>
            </w:rPr>
            <w:t>超过国家规定使</w:t>
          </w:r>
          <w:r>
            <w:rPr>
              <w:color w:val="auto"/>
              <w:spacing w:val="-17"/>
            </w:rPr>
            <w:t>用</w:t>
          </w:r>
          <w:r>
            <w:rPr>
              <w:color w:val="auto"/>
              <w:spacing w:val="-17"/>
            </w:rPr>
            <w:fldChar w:fldCharType="end"/>
          </w:r>
          <w:r>
            <w:rPr>
              <w:color w:val="auto"/>
            </w:rPr>
            <w:t>的计量器具极限误差</w:t>
          </w:r>
          <w:r>
            <w:rPr>
              <w:color w:val="auto"/>
            </w:rPr>
            <w:tab/>
          </w:r>
          <w:r>
            <w:rPr>
              <w:color w:val="auto"/>
              <w:spacing w:val="-6"/>
            </w:rPr>
            <w:t>449</w:t>
          </w:r>
        </w:p>
        <w:p>
          <w:pPr>
            <w:pStyle w:val="5"/>
            <w:rPr>
              <w:color w:val="auto"/>
            </w:rPr>
          </w:pPr>
          <w:r>
            <w:rPr>
              <w:color w:val="auto"/>
            </w:rPr>
            <w:fldChar w:fldCharType="begin"/>
          </w:r>
          <w:r>
            <w:rPr>
              <w:color w:val="auto"/>
            </w:rPr>
            <w:instrText xml:space="preserve"> HYPERLINK \l "_bookmark469"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"_bookmark469" </w:instrText>
          </w:r>
          <w:r>
            <w:rPr>
              <w:color w:val="auto"/>
            </w:rPr>
            <w:fldChar w:fldCharType="separate"/>
          </w:r>
          <w:r>
            <w:rPr>
              <w:color w:val="auto"/>
              <w:spacing w:val="-6"/>
            </w:rPr>
            <w:t>百五十九、获得《定量包装商品生产企业计量保证能力证书》的生产者，违反</w:t>
          </w:r>
          <w:r>
            <w:rPr>
              <w:color w:val="auto"/>
              <w:spacing w:val="-6"/>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"_TOC_250000" </w:instrText>
          </w:r>
          <w:r>
            <w:rPr>
              <w:color w:val="auto"/>
            </w:rPr>
            <w:fldChar w:fldCharType="separate"/>
          </w:r>
          <w:r>
            <w:rPr>
              <w:color w:val="auto"/>
            </w:rPr>
            <w:t>《定量包装商品生产企业计量保证能力评价规范》要求</w:t>
          </w:r>
          <w:r>
            <w:rPr>
              <w:color w:val="auto"/>
            </w:rPr>
            <w:tab/>
          </w:r>
          <w:r>
            <w:rPr>
              <w:color w:val="auto"/>
            </w:rPr>
            <w:t>449</w:t>
          </w:r>
          <w:r>
            <w:rPr>
              <w:color w:val="auto"/>
            </w:rPr>
            <w:fldChar w:fldCharType="end"/>
          </w:r>
        </w:p>
        <w:p>
          <w:pPr>
            <w:pStyle w:val="5"/>
            <w:tabs>
              <w:tab w:val="left" w:leader="dot" w:pos="8611"/>
            </w:tabs>
            <w:spacing w:before="172"/>
            <w:rPr>
              <w:color w:val="auto"/>
            </w:rPr>
          </w:pPr>
          <w:r>
            <w:rPr>
              <w:color w:val="auto"/>
            </w:rPr>
            <w:fldChar w:fldCharType="begin"/>
          </w:r>
          <w:r>
            <w:rPr>
              <w:color w:val="auto"/>
            </w:rPr>
            <w:instrText xml:space="preserve"> HYPERLINK \l "_bookmark470" </w:instrText>
          </w:r>
          <w:r>
            <w:rPr>
              <w:color w:val="auto"/>
            </w:rPr>
            <w:fldChar w:fldCharType="separate"/>
          </w:r>
          <w:r>
            <w:rPr>
              <w:color w:val="auto"/>
              <w:spacing w:val="-12"/>
            </w:rPr>
            <w:t>四百六十、定量包装商品生产者未经备案，擅自使用计量保证能力合格标</w:t>
          </w:r>
          <w:r>
            <w:rPr>
              <w:color w:val="auto"/>
            </w:rPr>
            <w:t>志</w:t>
          </w:r>
          <w:r>
            <w:rPr>
              <w:color w:val="auto"/>
            </w:rPr>
            <w:tab/>
          </w:r>
          <w:r>
            <w:rPr>
              <w:color w:val="auto"/>
              <w:spacing w:val="-4"/>
            </w:rPr>
            <w:t>451</w:t>
          </w:r>
          <w:r>
            <w:rPr>
              <w:color w:val="auto"/>
              <w:spacing w:val="-4"/>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"_bookmark471" </w:instrText>
          </w:r>
          <w:r>
            <w:rPr>
              <w:color w:val="auto"/>
            </w:rPr>
            <w:fldChar w:fldCharType="separate"/>
          </w:r>
          <w:r>
            <w:rPr>
              <w:color w:val="auto"/>
            </w:rPr>
            <w:t>四百六十一、生产、销售定量包装商品未标注净含量</w:t>
          </w:r>
          <w:r>
            <w:rPr>
              <w:color w:val="auto"/>
            </w:rPr>
            <w:tab/>
          </w:r>
          <w:r>
            <w:rPr>
              <w:color w:val="auto"/>
            </w:rPr>
            <w:t>452</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"_bookmark472" </w:instrText>
          </w:r>
          <w:r>
            <w:rPr>
              <w:color w:val="auto"/>
            </w:rPr>
            <w:fldChar w:fldCharType="separate"/>
          </w:r>
          <w:r>
            <w:rPr>
              <w:color w:val="auto"/>
            </w:rPr>
            <w:t>四百六十二、生产、销售的定量包装商品经检验计量不合格</w:t>
          </w:r>
          <w:r>
            <w:rPr>
              <w:color w:val="auto"/>
            </w:rPr>
            <w:tab/>
          </w:r>
          <w:r>
            <w:rPr>
              <w:color w:val="auto"/>
            </w:rPr>
            <w:t>453</w:t>
          </w:r>
          <w:r>
            <w:rPr>
              <w:color w:val="auto"/>
            </w:rPr>
            <w:fldChar w:fldCharType="end"/>
          </w:r>
        </w:p>
        <w:p>
          <w:pPr>
            <w:pStyle w:val="5"/>
            <w:tabs>
              <w:tab w:val="left" w:leader="dot" w:pos="8595"/>
            </w:tabs>
            <w:spacing w:after="59" w:line="480" w:lineRule="atLeast"/>
            <w:ind w:right="268"/>
            <w:rPr>
              <w:color w:val="auto"/>
            </w:rPr>
          </w:pPr>
          <w:r>
            <w:rPr>
              <w:color w:val="auto"/>
            </w:rPr>
            <w:fldChar w:fldCharType="begin"/>
          </w:r>
          <w:r>
            <w:rPr>
              <w:color w:val="auto"/>
            </w:rPr>
            <w:instrText xml:space="preserve"> HYPERLINK \l "_bookmark473"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"_bookmark473" </w:instrText>
          </w:r>
          <w:r>
            <w:rPr>
              <w:color w:val="auto"/>
            </w:rPr>
            <w:fldChar w:fldCharType="separate"/>
          </w:r>
          <w:r>
            <w:rPr>
              <w:color w:val="auto"/>
            </w:rPr>
            <w:t>百六十三</w:t>
          </w:r>
          <w:r>
            <w:rPr>
              <w:color w:val="auto"/>
              <w:spacing w:val="-8"/>
            </w:rPr>
            <w:t>、</w:t>
          </w:r>
          <w:r>
            <w:rPr>
              <w:color w:val="auto"/>
            </w:rPr>
            <w:t>在用能产品中掺杂</w:t>
          </w:r>
          <w:r>
            <w:rPr>
              <w:color w:val="auto"/>
              <w:spacing w:val="-8"/>
            </w:rPr>
            <w:t>、</w:t>
          </w:r>
          <w:r>
            <w:rPr>
              <w:color w:val="auto"/>
            </w:rPr>
            <w:t>掺假</w:t>
          </w:r>
          <w:r>
            <w:rPr>
              <w:color w:val="auto"/>
              <w:spacing w:val="-8"/>
            </w:rPr>
            <w:t>，</w:t>
          </w:r>
          <w:r>
            <w:rPr>
              <w:color w:val="auto"/>
            </w:rPr>
            <w:t>以假充真</w:t>
          </w:r>
          <w:r>
            <w:rPr>
              <w:color w:val="auto"/>
              <w:spacing w:val="-8"/>
            </w:rPr>
            <w:t>、</w:t>
          </w:r>
          <w:r>
            <w:rPr>
              <w:color w:val="auto"/>
            </w:rPr>
            <w:t>以次充好</w:t>
          </w:r>
          <w:r>
            <w:rPr>
              <w:color w:val="auto"/>
              <w:spacing w:val="-10"/>
            </w:rPr>
            <w:t>，</w:t>
          </w:r>
          <w:r>
            <w:rPr>
              <w:color w:val="auto"/>
            </w:rPr>
            <w:t>以不合格品冒</w:t>
          </w:r>
          <w:r>
            <w:rPr>
              <w:color w:val="auto"/>
              <w:spacing w:val="-11"/>
            </w:rPr>
            <w:t>充</w:t>
          </w:r>
          <w:r>
            <w:rPr>
              <w:color w:val="auto"/>
              <w:spacing w:val="-11"/>
            </w:rPr>
            <w:fldChar w:fldCharType="end"/>
          </w:r>
          <w:r>
            <w:rPr>
              <w:color w:val="auto"/>
            </w:rPr>
            <w:t>合格品</w:t>
          </w:r>
          <w:r>
            <w:rPr>
              <w:color w:val="auto"/>
            </w:rPr>
            <w:tab/>
          </w:r>
          <w:r>
            <w:rPr>
              <w:color w:val="auto"/>
              <w:spacing w:val="-6"/>
            </w:rPr>
            <w:t>454</w:t>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"_bookmark474"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"_bookmark474" </w:instrText>
          </w:r>
          <w:r>
            <w:rPr>
              <w:color w:val="auto"/>
            </w:rPr>
            <w:fldChar w:fldCharType="separate"/>
          </w:r>
          <w:r>
            <w:rPr>
              <w:color w:val="auto"/>
            </w:rPr>
            <w:t>百六十四</w:t>
          </w:r>
          <w:r>
            <w:rPr>
              <w:color w:val="auto"/>
              <w:spacing w:val="-12"/>
            </w:rPr>
            <w:t>、</w:t>
          </w:r>
          <w:r>
            <w:rPr>
              <w:color w:val="auto"/>
            </w:rPr>
            <w:t>企业自有检测实验室</w:t>
          </w:r>
          <w:r>
            <w:rPr>
              <w:color w:val="auto"/>
              <w:spacing w:val="-12"/>
            </w:rPr>
            <w:t>、</w:t>
          </w:r>
          <w:r>
            <w:rPr>
              <w:color w:val="auto"/>
            </w:rPr>
            <w:t>第三方检验检测机构在能效检测中</w:t>
          </w:r>
          <w:r>
            <w:rPr>
              <w:color w:val="auto"/>
              <w:spacing w:val="-12"/>
            </w:rPr>
            <w:t>，</w:t>
          </w:r>
          <w:r>
            <w:rPr>
              <w:color w:val="auto"/>
            </w:rPr>
            <w:t>伪造</w:t>
          </w:r>
          <w:r>
            <w:rPr>
              <w:color w:val="auto"/>
              <w:spacing w:val="-17"/>
            </w:rPr>
            <w:t>检</w:t>
          </w:r>
          <w:r>
            <w:rPr>
              <w:color w:val="auto"/>
              <w:spacing w:val="-17"/>
            </w:rPr>
            <w:fldChar w:fldCharType="end"/>
          </w:r>
          <w:r>
            <w:rPr>
              <w:color w:val="auto"/>
            </w:rPr>
            <w:t>验检测结果或者出具虚假能效检测报告</w:t>
          </w:r>
          <w:r>
            <w:rPr>
              <w:color w:val="auto"/>
            </w:rPr>
            <w:tab/>
          </w:r>
          <w:r>
            <w:rPr>
              <w:color w:val="auto"/>
              <w:spacing w:val="-6"/>
            </w:rPr>
            <w:t>456</w:t>
          </w:r>
        </w:p>
        <w:p>
          <w:pPr>
            <w:pStyle w:val="5"/>
            <w:tabs>
              <w:tab w:val="left" w:leader="dot" w:pos="8595"/>
            </w:tabs>
            <w:spacing w:line="308" w:lineRule="exact"/>
            <w:rPr>
              <w:color w:val="auto"/>
            </w:rPr>
          </w:pPr>
          <w:r>
            <w:rPr>
              <w:color w:val="auto"/>
            </w:rPr>
            <w:fldChar w:fldCharType="begin"/>
          </w:r>
          <w:r>
            <w:rPr>
              <w:color w:val="auto"/>
            </w:rPr>
            <w:instrText xml:space="preserve"> HYPERLINK \l "_bookmark475" </w:instrText>
          </w:r>
          <w:r>
            <w:rPr>
              <w:color w:val="auto"/>
            </w:rPr>
            <w:fldChar w:fldCharType="separate"/>
          </w:r>
          <w:r>
            <w:rPr>
              <w:color w:val="auto"/>
            </w:rPr>
            <w:t>四百六十五、不符合国家强制性标准对产品进行过度包装</w:t>
          </w:r>
          <w:r>
            <w:rPr>
              <w:color w:val="auto"/>
            </w:rPr>
            <w:tab/>
          </w:r>
          <w:r>
            <w:rPr>
              <w:color w:val="auto"/>
            </w:rPr>
            <w:t>458</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"_bookmark476"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"_bookmark476" </w:instrText>
          </w:r>
          <w:r>
            <w:rPr>
              <w:color w:val="auto"/>
            </w:rPr>
            <w:fldChar w:fldCharType="separate"/>
          </w:r>
          <w:r>
            <w:rPr>
              <w:color w:val="auto"/>
            </w:rPr>
            <w:t>百六十六</w:t>
          </w:r>
          <w:r>
            <w:rPr>
              <w:color w:val="auto"/>
              <w:spacing w:val="-36"/>
            </w:rPr>
            <w:t>、</w:t>
          </w:r>
          <w:r>
            <w:rPr>
              <w:color w:val="auto"/>
            </w:rPr>
            <w:t>重点用能单位未按照规定配备能源计量工作人员或者能源计量工</w:t>
          </w:r>
          <w:r>
            <w:rPr>
              <w:color w:val="auto"/>
              <w:spacing w:val="-17"/>
            </w:rPr>
            <w:t>作</w:t>
          </w:r>
          <w:r>
            <w:rPr>
              <w:color w:val="auto"/>
              <w:spacing w:val="-17"/>
            </w:rPr>
            <w:fldChar w:fldCharType="end"/>
          </w:r>
          <w:r>
            <w:rPr>
              <w:color w:val="auto"/>
            </w:rPr>
            <w:t>人员未接受能源计量专业知识培训</w:t>
          </w:r>
          <w:r>
            <w:rPr>
              <w:color w:val="auto"/>
            </w:rPr>
            <w:tab/>
          </w:r>
          <w:r>
            <w:rPr>
              <w:color w:val="auto"/>
              <w:spacing w:val="-6"/>
            </w:rPr>
            <w:t>459</w:t>
          </w:r>
        </w:p>
        <w:p>
          <w:pPr>
            <w:pStyle w:val="5"/>
            <w:tabs>
              <w:tab w:val="left" w:leader="dot" w:pos="8595"/>
            </w:tabs>
            <w:spacing w:line="308" w:lineRule="exact"/>
            <w:rPr>
              <w:color w:val="auto"/>
            </w:rPr>
          </w:pPr>
          <w:r>
            <w:rPr>
              <w:color w:val="auto"/>
            </w:rPr>
            <w:fldChar w:fldCharType="begin"/>
          </w:r>
          <w:r>
            <w:rPr>
              <w:color w:val="auto"/>
            </w:rPr>
            <w:instrText xml:space="preserve"> HYPERLINK \l "_bookmark477" </w:instrText>
          </w:r>
          <w:r>
            <w:rPr>
              <w:color w:val="auto"/>
            </w:rPr>
            <w:fldChar w:fldCharType="separate"/>
          </w:r>
          <w:r>
            <w:rPr>
              <w:color w:val="auto"/>
            </w:rPr>
            <w:t>四百六十七、拒绝、阻碍能源计量监督检查</w:t>
          </w:r>
          <w:r>
            <w:rPr>
              <w:color w:val="auto"/>
            </w:rPr>
            <w:tab/>
          </w:r>
          <w:r>
            <w:rPr>
              <w:color w:val="auto"/>
            </w:rPr>
            <w:t>460</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"_bookmark478"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"_bookmark478" </w:instrText>
          </w:r>
          <w:r>
            <w:rPr>
              <w:color w:val="auto"/>
            </w:rPr>
            <w:fldChar w:fldCharType="separate"/>
          </w:r>
          <w:r>
            <w:rPr>
              <w:color w:val="auto"/>
            </w:rPr>
            <w:t>百六十八</w:t>
          </w:r>
          <w:r>
            <w:rPr>
              <w:color w:val="auto"/>
              <w:spacing w:val="-36"/>
            </w:rPr>
            <w:t>、</w:t>
          </w:r>
          <w:r>
            <w:rPr>
              <w:color w:val="auto"/>
            </w:rPr>
            <w:t>法定计量检定机构未经市场监管部门授权开展须经授权方可开展</w:t>
          </w:r>
          <w:r>
            <w:rPr>
              <w:color w:val="auto"/>
              <w:spacing w:val="-17"/>
            </w:rPr>
            <w:t>的</w:t>
          </w:r>
          <w:r>
            <w:rPr>
              <w:color w:val="auto"/>
              <w:spacing w:val="-17"/>
            </w:rPr>
            <w:fldChar w:fldCharType="end"/>
          </w:r>
          <w:r>
            <w:rPr>
              <w:color w:val="auto"/>
            </w:rPr>
            <w:t>工作，或超过授权期限继续开展被授权项目工作</w:t>
          </w:r>
          <w:r>
            <w:rPr>
              <w:color w:val="auto"/>
            </w:rPr>
            <w:tab/>
          </w:r>
          <w:r>
            <w:rPr>
              <w:color w:val="auto"/>
              <w:spacing w:val="-6"/>
            </w:rPr>
            <w:t>460</w:t>
          </w:r>
        </w:p>
        <w:p>
          <w:pPr>
            <w:pStyle w:val="5"/>
            <w:tabs>
              <w:tab w:val="left" w:leader="dot" w:pos="8595"/>
            </w:tabs>
            <w:spacing w:line="308" w:lineRule="exact"/>
            <w:rPr>
              <w:color w:val="auto"/>
            </w:rPr>
          </w:pPr>
          <w:r>
            <w:rPr>
              <w:color w:val="auto"/>
            </w:rPr>
            <w:fldChar w:fldCharType="begin"/>
          </w:r>
          <w:r>
            <w:rPr>
              <w:color w:val="auto"/>
            </w:rPr>
            <w:instrText xml:space="preserve"> HYPERLINK \l "_bookmark479" </w:instrText>
          </w:r>
          <w:r>
            <w:rPr>
              <w:color w:val="auto"/>
            </w:rPr>
            <w:fldChar w:fldCharType="separate"/>
          </w:r>
          <w:r>
            <w:rPr>
              <w:color w:val="auto"/>
              <w:spacing w:val="-34"/>
            </w:rPr>
            <w:t>四百</w:t>
          </w:r>
          <w:r>
            <w:rPr>
              <w:color w:val="auto"/>
              <w:spacing w:val="-36"/>
            </w:rPr>
            <w:t>六</w:t>
          </w:r>
          <w:r>
            <w:rPr>
              <w:color w:val="auto"/>
              <w:spacing w:val="-34"/>
            </w:rPr>
            <w:t>十九、法定</w:t>
          </w:r>
          <w:r>
            <w:rPr>
              <w:color w:val="auto"/>
              <w:spacing w:val="-36"/>
            </w:rPr>
            <w:t>计</w:t>
          </w:r>
          <w:r>
            <w:rPr>
              <w:color w:val="auto"/>
              <w:spacing w:val="-34"/>
            </w:rPr>
            <w:t>量检定机构</w:t>
          </w:r>
          <w:r>
            <w:rPr>
              <w:color w:val="auto"/>
              <w:spacing w:val="-36"/>
            </w:rPr>
            <w:t>未</w:t>
          </w:r>
          <w:r>
            <w:rPr>
              <w:color w:val="auto"/>
              <w:spacing w:val="-34"/>
            </w:rPr>
            <w:t>经市场监管</w:t>
          </w:r>
          <w:r>
            <w:rPr>
              <w:color w:val="auto"/>
              <w:spacing w:val="-36"/>
            </w:rPr>
            <w:t>部</w:t>
          </w:r>
          <w:r>
            <w:rPr>
              <w:color w:val="auto"/>
              <w:spacing w:val="-34"/>
            </w:rPr>
            <w:t>门授权或批</w:t>
          </w:r>
          <w:r>
            <w:rPr>
              <w:color w:val="auto"/>
              <w:spacing w:val="-36"/>
            </w:rPr>
            <w:t>准</w:t>
          </w:r>
          <w:r>
            <w:rPr>
              <w:color w:val="auto"/>
              <w:spacing w:val="-34"/>
            </w:rPr>
            <w:t>，擅自变更</w:t>
          </w:r>
          <w:r>
            <w:rPr>
              <w:color w:val="auto"/>
              <w:spacing w:val="-36"/>
            </w:rPr>
            <w:t>授</w:t>
          </w:r>
          <w:r>
            <w:rPr>
              <w:color w:val="auto"/>
              <w:spacing w:val="-34"/>
            </w:rPr>
            <w:t>权项目</w:t>
          </w:r>
          <w:r>
            <w:rPr>
              <w:color w:val="auto"/>
              <w:spacing w:val="-34"/>
            </w:rPr>
            <w:tab/>
          </w:r>
          <w:r>
            <w:rPr>
              <w:color w:val="auto"/>
            </w:rPr>
            <w:t>461</w:t>
          </w:r>
          <w:r>
            <w:rPr>
              <w:color w:val="auto"/>
            </w:rPr>
            <w:fldChar w:fldCharType="end"/>
          </w:r>
        </w:p>
        <w:p>
          <w:pPr>
            <w:pStyle w:val="5"/>
            <w:tabs>
              <w:tab w:val="left" w:leader="dot" w:pos="8595"/>
            </w:tabs>
            <w:spacing w:before="173" w:line="374" w:lineRule="auto"/>
            <w:ind w:right="268"/>
            <w:jc w:val="both"/>
            <w:rPr>
              <w:color w:val="auto"/>
            </w:rPr>
          </w:pPr>
          <w:r>
            <w:rPr>
              <w:color w:val="auto"/>
            </w:rPr>
            <w:fldChar w:fldCharType="begin"/>
          </w:r>
          <w:r>
            <w:rPr>
              <w:color w:val="auto"/>
            </w:rPr>
            <w:instrText xml:space="preserve"> HYPERLINK \l "_bookmark480"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"_bookmark480" </w:instrText>
          </w:r>
          <w:r>
            <w:rPr>
              <w:color w:val="auto"/>
            </w:rPr>
            <w:fldChar w:fldCharType="separate"/>
          </w:r>
          <w:r>
            <w:rPr>
              <w:color w:val="auto"/>
            </w:rPr>
            <w:t>百七十</w:t>
          </w:r>
          <w:r>
            <w:rPr>
              <w:color w:val="auto"/>
              <w:spacing w:val="-12"/>
            </w:rPr>
            <w:t>、</w:t>
          </w:r>
          <w:r>
            <w:rPr>
              <w:color w:val="auto"/>
            </w:rPr>
            <w:t>法定计量检定机构伪造数据</w:t>
          </w:r>
          <w:r>
            <w:rPr>
              <w:color w:val="auto"/>
              <w:spacing w:val="-12"/>
            </w:rPr>
            <w:t>，</w:t>
          </w:r>
          <w:r>
            <w:rPr>
              <w:color w:val="auto"/>
            </w:rPr>
            <w:t>违反计量检定规程进行计量检定</w:t>
          </w:r>
          <w:r>
            <w:rPr>
              <w:color w:val="auto"/>
              <w:spacing w:val="-12"/>
            </w:rPr>
            <w:t>，</w:t>
          </w:r>
          <w:r>
            <w:rPr>
              <w:color w:val="auto"/>
            </w:rPr>
            <w:t>使</w:t>
          </w:r>
          <w:r>
            <w:rPr>
              <w:color w:val="auto"/>
              <w:spacing w:val="-17"/>
            </w:rPr>
            <w:t>用</w:t>
          </w:r>
          <w:r>
            <w:rPr>
              <w:color w:val="auto"/>
              <w:spacing w:val="-17"/>
            </w:rPr>
            <w:fldChar w:fldCharType="end"/>
          </w:r>
          <w:r>
            <w:rPr>
              <w:color w:val="auto"/>
            </w:rPr>
            <w:t>未经考核合格或者超过有效期的计量基</w:t>
          </w:r>
          <w:r>
            <w:rPr>
              <w:color w:val="auto"/>
              <w:spacing w:val="-20"/>
            </w:rPr>
            <w:t>、</w:t>
          </w:r>
          <w:r>
            <w:rPr>
              <w:color w:val="auto"/>
            </w:rPr>
            <w:t>标准开展计量检定工作</w:t>
          </w:r>
          <w:r>
            <w:rPr>
              <w:color w:val="auto"/>
              <w:spacing w:val="-17"/>
            </w:rPr>
            <w:t>，</w:t>
          </w:r>
          <w:r>
            <w:rPr>
              <w:color w:val="auto"/>
            </w:rPr>
            <w:t>指派未取得</w:t>
          </w:r>
          <w:r>
            <w:rPr>
              <w:color w:val="auto"/>
              <w:spacing w:val="-16"/>
            </w:rPr>
            <w:t>计</w:t>
          </w:r>
          <w:r>
            <w:rPr>
              <w:color w:val="auto"/>
            </w:rPr>
            <w:t>量检定证件的人员开展计量检定工作</w:t>
          </w:r>
          <w:r>
            <w:rPr>
              <w:color w:val="auto"/>
            </w:rPr>
            <w:tab/>
          </w:r>
          <w:r>
            <w:rPr>
              <w:color w:val="auto"/>
              <w:spacing w:val="-6"/>
            </w:rPr>
            <w:t>462</w:t>
          </w:r>
        </w:p>
        <w:p>
          <w:pPr>
            <w:pStyle w:val="5"/>
            <w:tabs>
              <w:tab w:val="left" w:leader="dot" w:pos="8595"/>
            </w:tabs>
            <w:spacing w:line="308" w:lineRule="exact"/>
            <w:rPr>
              <w:color w:val="auto"/>
            </w:rPr>
          </w:pPr>
          <w:r>
            <w:rPr>
              <w:color w:val="auto"/>
            </w:rPr>
            <w:fldChar w:fldCharType="begin"/>
          </w:r>
          <w:r>
            <w:rPr>
              <w:color w:val="auto"/>
            </w:rPr>
            <w:instrText xml:space="preserve"> HYPERLINK \l "_bookmark481" </w:instrText>
          </w:r>
          <w:r>
            <w:rPr>
              <w:color w:val="auto"/>
            </w:rPr>
            <w:fldChar w:fldCharType="separate"/>
          </w:r>
          <w:r>
            <w:rPr>
              <w:color w:val="auto"/>
            </w:rPr>
            <w:t>四百七十一、法定计量检定机构伪造、盗用、倒卖强制检定印、证</w:t>
          </w:r>
          <w:r>
            <w:rPr>
              <w:color w:val="auto"/>
            </w:rPr>
            <w:tab/>
          </w:r>
          <w:r>
            <w:rPr>
              <w:color w:val="auto"/>
            </w:rPr>
            <w:t>463</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"_bookmark482"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"_bookmark482" </w:instrText>
          </w:r>
          <w:r>
            <w:rPr>
              <w:color w:val="auto"/>
            </w:rPr>
            <w:fldChar w:fldCharType="separate"/>
          </w:r>
          <w:r>
            <w:rPr>
              <w:color w:val="auto"/>
            </w:rPr>
            <w:t>百七十二</w:t>
          </w:r>
          <w:r>
            <w:rPr>
              <w:color w:val="auto"/>
              <w:spacing w:val="-20"/>
            </w:rPr>
            <w:t>、</w:t>
          </w:r>
          <w:r>
            <w:rPr>
              <w:color w:val="auto"/>
            </w:rPr>
            <w:t>未取得计量检定人员资格</w:t>
          </w:r>
          <w:r>
            <w:rPr>
              <w:color w:val="auto"/>
              <w:spacing w:val="-17"/>
            </w:rPr>
            <w:t>，</w:t>
          </w:r>
          <w:r>
            <w:rPr>
              <w:color w:val="auto"/>
            </w:rPr>
            <w:t>擅自在法定计量检定机构等技术机构</w:t>
          </w:r>
          <w:r>
            <w:rPr>
              <w:color w:val="auto"/>
              <w:spacing w:val="-16"/>
            </w:rPr>
            <w:t>中</w:t>
          </w:r>
          <w:r>
            <w:rPr>
              <w:color w:val="auto"/>
              <w:spacing w:val="-16"/>
            </w:rPr>
            <w:fldChar w:fldCharType="end"/>
          </w:r>
          <w:r>
            <w:rPr>
              <w:color w:val="auto"/>
            </w:rPr>
            <w:t>从事计量检定活动</w:t>
          </w:r>
          <w:r>
            <w:rPr>
              <w:color w:val="auto"/>
            </w:rPr>
            <w:tab/>
          </w:r>
          <w:r>
            <w:rPr>
              <w:color w:val="auto"/>
              <w:spacing w:val="-6"/>
            </w:rPr>
            <w:t>464</w:t>
          </w:r>
        </w:p>
        <w:p>
          <w:pPr>
            <w:pStyle w:val="5"/>
            <w:tabs>
              <w:tab w:val="left" w:leader="dot" w:pos="8595"/>
            </w:tabs>
            <w:spacing w:line="308" w:lineRule="exact"/>
            <w:rPr>
              <w:color w:val="auto"/>
            </w:rPr>
          </w:pPr>
          <w:r>
            <w:rPr>
              <w:color w:val="auto"/>
            </w:rPr>
            <w:fldChar w:fldCharType="begin"/>
          </w:r>
          <w:r>
            <w:rPr>
              <w:color w:val="auto"/>
            </w:rPr>
            <w:instrText xml:space="preserve"> HYPERLINK \l "_bookmark483" </w:instrText>
          </w:r>
          <w:r>
            <w:rPr>
              <w:color w:val="auto"/>
            </w:rPr>
            <w:fldChar w:fldCharType="separate"/>
          </w:r>
          <w:r>
            <w:rPr>
              <w:color w:val="auto"/>
            </w:rPr>
            <w:t>四百七十三、伪造、冒用《计量检定员证》或者《注册计量师注册证》</w:t>
          </w:r>
          <w:r>
            <w:rPr>
              <w:color w:val="auto"/>
            </w:rPr>
            <w:tab/>
          </w:r>
          <w:r>
            <w:rPr>
              <w:color w:val="auto"/>
            </w:rPr>
            <w:t>464</w:t>
          </w:r>
          <w:r>
            <w:rPr>
              <w:color w:val="auto"/>
            </w:rPr>
            <w:fldChar w:fldCharType="end"/>
          </w:r>
        </w:p>
        <w:p>
          <w:pPr>
            <w:pStyle w:val="5"/>
            <w:tabs>
              <w:tab w:val="left" w:leader="dot" w:pos="8595"/>
            </w:tabs>
            <w:spacing w:before="173" w:line="374" w:lineRule="auto"/>
            <w:ind w:left="548" w:right="139" w:firstLine="43"/>
            <w:rPr>
              <w:color w:val="auto"/>
            </w:rPr>
          </w:pPr>
          <w:r>
            <w:rPr>
              <w:color w:val="auto"/>
            </w:rPr>
            <w:fldChar w:fldCharType="begin"/>
          </w:r>
          <w:r>
            <w:rPr>
              <w:color w:val="auto"/>
            </w:rPr>
            <w:instrText xml:space="preserve"> HYPERLINK \l "_bookmark484" </w:instrText>
          </w:r>
          <w:r>
            <w:rPr>
              <w:color w:val="auto"/>
            </w:rPr>
            <w:fldChar w:fldCharType="separate"/>
          </w:r>
          <w:r>
            <w:rPr>
              <w:color w:val="auto"/>
              <w:spacing w:val="-22"/>
            </w:rPr>
            <w:t>四</w:t>
          </w:r>
          <w:r>
            <w:rPr>
              <w:color w:val="auto"/>
              <w:spacing w:val="-22"/>
            </w:rPr>
            <w:fldChar w:fldCharType="end"/>
          </w:r>
          <w:r>
            <w:rPr>
              <w:color w:val="auto"/>
            </w:rPr>
            <w:fldChar w:fldCharType="begin"/>
          </w:r>
          <w:r>
            <w:rPr>
              <w:color w:val="auto"/>
            </w:rPr>
            <w:instrText xml:space="preserve"> HYPERLINK \l "_bookmark484" </w:instrText>
          </w:r>
          <w:r>
            <w:rPr>
              <w:color w:val="auto"/>
            </w:rPr>
            <w:fldChar w:fldCharType="separate"/>
          </w:r>
          <w:r>
            <w:rPr>
              <w:color w:val="auto"/>
              <w:spacing w:val="-22"/>
            </w:rPr>
            <w:t>百</w:t>
          </w:r>
          <w:r>
            <w:rPr>
              <w:color w:val="auto"/>
              <w:spacing w:val="-24"/>
            </w:rPr>
            <w:t>七</w:t>
          </w:r>
          <w:r>
            <w:rPr>
              <w:color w:val="auto"/>
              <w:spacing w:val="-22"/>
            </w:rPr>
            <w:t>十四、计量</w:t>
          </w:r>
          <w:r>
            <w:rPr>
              <w:color w:val="auto"/>
              <w:spacing w:val="-24"/>
            </w:rPr>
            <w:t>检</w:t>
          </w:r>
          <w:r>
            <w:rPr>
              <w:color w:val="auto"/>
              <w:spacing w:val="-22"/>
            </w:rPr>
            <w:t>定人员伪造</w:t>
          </w:r>
          <w:r>
            <w:rPr>
              <w:color w:val="auto"/>
              <w:spacing w:val="-24"/>
            </w:rPr>
            <w:t>、</w:t>
          </w:r>
          <w:r>
            <w:rPr>
              <w:color w:val="auto"/>
              <w:spacing w:val="-22"/>
            </w:rPr>
            <w:t>篡改数据、</w:t>
          </w:r>
          <w:r>
            <w:rPr>
              <w:color w:val="auto"/>
              <w:spacing w:val="-24"/>
            </w:rPr>
            <w:t>报</w:t>
          </w:r>
          <w:r>
            <w:rPr>
              <w:color w:val="auto"/>
              <w:spacing w:val="-22"/>
            </w:rPr>
            <w:t>告、证书或</w:t>
          </w:r>
          <w:r>
            <w:rPr>
              <w:color w:val="auto"/>
              <w:spacing w:val="-24"/>
            </w:rPr>
            <w:t>技</w:t>
          </w:r>
          <w:r>
            <w:rPr>
              <w:color w:val="auto"/>
              <w:spacing w:val="-22"/>
            </w:rPr>
            <w:t>术档案等资</w:t>
          </w:r>
          <w:r>
            <w:rPr>
              <w:color w:val="auto"/>
              <w:spacing w:val="-24"/>
            </w:rPr>
            <w:t>料</w:t>
          </w:r>
          <w:r>
            <w:rPr>
              <w:color w:val="auto"/>
              <w:spacing w:val="-22"/>
            </w:rPr>
            <w:t>，违反计</w:t>
          </w:r>
          <w:r>
            <w:rPr>
              <w:color w:val="auto"/>
            </w:rPr>
            <w:t>量</w:t>
          </w:r>
          <w:r>
            <w:rPr>
              <w:color w:val="auto"/>
            </w:rPr>
            <w:fldChar w:fldCharType="end"/>
          </w:r>
          <w:r>
            <w:rPr>
              <w:color w:val="auto"/>
              <w:spacing w:val="-22"/>
            </w:rPr>
            <w:t>检定</w:t>
          </w:r>
          <w:r>
            <w:rPr>
              <w:color w:val="auto"/>
              <w:spacing w:val="-24"/>
            </w:rPr>
            <w:t>规</w:t>
          </w:r>
          <w:r>
            <w:rPr>
              <w:color w:val="auto"/>
              <w:spacing w:val="-22"/>
            </w:rPr>
            <w:t>程开展计量</w:t>
          </w:r>
          <w:r>
            <w:rPr>
              <w:color w:val="auto"/>
              <w:spacing w:val="-24"/>
            </w:rPr>
            <w:t>检</w:t>
          </w:r>
          <w:r>
            <w:rPr>
              <w:color w:val="auto"/>
              <w:spacing w:val="-22"/>
            </w:rPr>
            <w:t>定</w:t>
          </w:r>
          <w:r>
            <w:rPr>
              <w:color w:val="auto"/>
              <w:spacing w:val="-75"/>
            </w:rPr>
            <w:t>，</w:t>
          </w:r>
          <w:r>
            <w:rPr>
              <w:color w:val="auto"/>
              <w:spacing w:val="-22"/>
            </w:rPr>
            <w:t>使用</w:t>
          </w:r>
          <w:r>
            <w:rPr>
              <w:color w:val="auto"/>
              <w:spacing w:val="-24"/>
            </w:rPr>
            <w:t>未</w:t>
          </w:r>
          <w:r>
            <w:rPr>
              <w:color w:val="auto"/>
              <w:spacing w:val="-22"/>
            </w:rPr>
            <w:t>经考核合格</w:t>
          </w:r>
          <w:r>
            <w:rPr>
              <w:color w:val="auto"/>
              <w:spacing w:val="-24"/>
            </w:rPr>
            <w:t>的</w:t>
          </w:r>
          <w:r>
            <w:rPr>
              <w:color w:val="auto"/>
              <w:spacing w:val="-22"/>
            </w:rPr>
            <w:t>计量标准开</w:t>
          </w:r>
          <w:r>
            <w:rPr>
              <w:color w:val="auto"/>
              <w:spacing w:val="-24"/>
            </w:rPr>
            <w:t>展</w:t>
          </w:r>
          <w:r>
            <w:rPr>
              <w:color w:val="auto"/>
              <w:spacing w:val="-22"/>
            </w:rPr>
            <w:t>计量检定</w:t>
          </w:r>
          <w:r>
            <w:rPr>
              <w:color w:val="auto"/>
              <w:spacing w:val="-72"/>
            </w:rPr>
            <w:t>，</w:t>
          </w:r>
          <w:r>
            <w:rPr>
              <w:color w:val="auto"/>
              <w:spacing w:val="-22"/>
            </w:rPr>
            <w:t>变造</w:t>
          </w:r>
          <w:r>
            <w:rPr>
              <w:color w:val="auto"/>
              <w:spacing w:val="-75"/>
            </w:rPr>
            <w:t>、</w:t>
          </w:r>
          <w:r>
            <w:rPr>
              <w:color w:val="auto"/>
              <w:spacing w:val="-22"/>
            </w:rPr>
            <w:t>倒卖</w:t>
          </w:r>
          <w:r>
            <w:rPr>
              <w:color w:val="auto"/>
              <w:spacing w:val="-72"/>
            </w:rPr>
            <w:t>、</w:t>
          </w:r>
          <w:r>
            <w:rPr>
              <w:color w:val="auto"/>
              <w:spacing w:val="-22"/>
            </w:rPr>
            <w:t>出</w:t>
          </w:r>
          <w:r>
            <w:rPr>
              <w:color w:val="auto"/>
              <w:spacing w:val="-24"/>
            </w:rPr>
            <w:t>租</w:t>
          </w:r>
          <w:r>
            <w:rPr>
              <w:color w:val="auto"/>
            </w:rPr>
            <w:t>、</w:t>
          </w:r>
          <w:r>
            <w:rPr>
              <w:color w:val="auto"/>
              <w:spacing w:val="-22"/>
            </w:rPr>
            <w:t>出借</w:t>
          </w:r>
          <w:r>
            <w:rPr>
              <w:color w:val="auto"/>
              <w:spacing w:val="-24"/>
            </w:rPr>
            <w:t>或</w:t>
          </w:r>
          <w:r>
            <w:rPr>
              <w:color w:val="auto"/>
              <w:spacing w:val="-22"/>
            </w:rPr>
            <w:t>者以其他方</w:t>
          </w:r>
          <w:r>
            <w:rPr>
              <w:color w:val="auto"/>
              <w:spacing w:val="-24"/>
            </w:rPr>
            <w:t>式</w:t>
          </w:r>
          <w:r>
            <w:rPr>
              <w:color w:val="auto"/>
              <w:spacing w:val="-22"/>
            </w:rPr>
            <w:t>非法转让《</w:t>
          </w:r>
          <w:r>
            <w:rPr>
              <w:color w:val="auto"/>
              <w:spacing w:val="-24"/>
            </w:rPr>
            <w:t>计</w:t>
          </w:r>
          <w:r>
            <w:rPr>
              <w:color w:val="auto"/>
              <w:spacing w:val="-22"/>
            </w:rPr>
            <w:t>量检定员证</w:t>
          </w:r>
          <w:r>
            <w:rPr>
              <w:color w:val="auto"/>
              <w:spacing w:val="-24"/>
            </w:rPr>
            <w:t>》</w:t>
          </w:r>
          <w:r>
            <w:rPr>
              <w:color w:val="auto"/>
              <w:spacing w:val="-22"/>
            </w:rPr>
            <w:t>或《注册计</w:t>
          </w:r>
          <w:r>
            <w:rPr>
              <w:color w:val="auto"/>
              <w:spacing w:val="-24"/>
            </w:rPr>
            <w:t>量</w:t>
          </w:r>
          <w:r>
            <w:rPr>
              <w:color w:val="auto"/>
              <w:spacing w:val="-22"/>
            </w:rPr>
            <w:t>师注册证</w:t>
          </w:r>
          <w:r>
            <w:rPr>
              <w:color w:val="auto"/>
              <w:spacing w:val="-24"/>
            </w:rPr>
            <w:t>》</w:t>
          </w:r>
          <w:r>
            <w:rPr>
              <w:color w:val="auto"/>
              <w:spacing w:val="-24"/>
            </w:rPr>
            <w:tab/>
          </w:r>
          <w:r>
            <w:rPr>
              <w:color w:val="auto"/>
            </w:rPr>
            <w:t>466</w:t>
          </w:r>
        </w:p>
        <w:p>
          <w:pPr>
            <w:pStyle w:val="8"/>
            <w:tabs>
              <w:tab w:val="left" w:leader="dot" w:pos="8549"/>
            </w:tabs>
            <w:spacing w:before="0" w:line="382" w:lineRule="exact"/>
            <w:jc w:val="both"/>
            <w:rPr>
              <w:color w:val="auto"/>
            </w:rPr>
          </w:pPr>
          <w:r>
            <w:rPr>
              <w:color w:val="auto"/>
            </w:rPr>
            <w:fldChar w:fldCharType="begin"/>
          </w:r>
          <w:r>
            <w:rPr>
              <w:color w:val="auto"/>
            </w:rPr>
            <w:instrText xml:space="preserve"> HYPERLINK \l "_bookmark485" </w:instrText>
          </w:r>
          <w:r>
            <w:rPr>
              <w:color w:val="auto"/>
            </w:rPr>
            <w:fldChar w:fldCharType="separate"/>
          </w:r>
          <w:r>
            <w:rPr>
              <w:color w:val="auto"/>
              <w:spacing w:val="-13"/>
            </w:rPr>
            <w:t>第十二</w:t>
          </w:r>
          <w:r>
            <w:rPr>
              <w:color w:val="auto"/>
            </w:rPr>
            <w:t xml:space="preserve">章  </w:t>
          </w:r>
          <w:r>
            <w:rPr>
              <w:color w:val="auto"/>
              <w:spacing w:val="40"/>
            </w:rPr>
            <w:t xml:space="preserve"> </w:t>
          </w:r>
          <w:r>
            <w:rPr>
              <w:color w:val="auto"/>
              <w:spacing w:val="-13"/>
            </w:rPr>
            <w:t>认证监</w:t>
          </w:r>
          <w:r>
            <w:rPr>
              <w:color w:val="auto"/>
            </w:rPr>
            <w:t>管</w:t>
          </w:r>
          <w:r>
            <w:rPr>
              <w:color w:val="auto"/>
            </w:rPr>
            <w:tab/>
          </w:r>
          <w:r>
            <w:rPr>
              <w:color w:val="auto"/>
              <w:spacing w:val="-3"/>
            </w:rPr>
            <w:t>466</w:t>
          </w:r>
          <w:r>
            <w:rPr>
              <w:color w:val="auto"/>
              <w:spacing w:val="-3"/>
            </w:rPr>
            <w:fldChar w:fldCharType="end"/>
          </w:r>
        </w:p>
        <w:p>
          <w:pPr>
            <w:pStyle w:val="5"/>
            <w:tabs>
              <w:tab w:val="left" w:leader="dot" w:pos="8595"/>
            </w:tabs>
            <w:spacing w:before="99"/>
            <w:rPr>
              <w:color w:val="auto"/>
            </w:rPr>
          </w:pPr>
          <w:r>
            <w:rPr>
              <w:color w:val="auto"/>
            </w:rPr>
            <w:fldChar w:fldCharType="begin"/>
          </w:r>
          <w:r>
            <w:rPr>
              <w:color w:val="auto"/>
            </w:rPr>
            <w:instrText xml:space="preserve"> HYPERLINK \l "_bookmark486" </w:instrText>
          </w:r>
          <w:r>
            <w:rPr>
              <w:color w:val="auto"/>
            </w:rPr>
            <w:fldChar w:fldCharType="separate"/>
          </w:r>
          <w:r>
            <w:rPr>
              <w:color w:val="auto"/>
            </w:rPr>
            <w:t>四百七十五、未经批准擅自从事认证活动</w:t>
          </w:r>
          <w:r>
            <w:rPr>
              <w:color w:val="auto"/>
            </w:rPr>
            <w:tab/>
          </w:r>
          <w:r>
            <w:rPr>
              <w:color w:val="auto"/>
            </w:rPr>
            <w:t>466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"_bookmark487" </w:instrText>
          </w:r>
          <w:r>
            <w:rPr>
              <w:color w:val="auto"/>
            </w:rPr>
            <w:fldChar w:fldCharType="separate"/>
          </w:r>
          <w:r>
            <w:rPr>
              <w:color w:val="auto"/>
            </w:rPr>
            <w:t>四百七十六、境外认证机构未经登记在中华人民共和国境内设立代表机构</w:t>
          </w:r>
          <w:r>
            <w:rPr>
              <w:color w:val="auto"/>
            </w:rPr>
            <w:tab/>
          </w:r>
          <w:r>
            <w:rPr>
              <w:color w:val="auto"/>
            </w:rPr>
            <w:t>467</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"_bookmark488"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"_bookmark488" </w:instrText>
          </w:r>
          <w:r>
            <w:rPr>
              <w:color w:val="auto"/>
            </w:rPr>
            <w:fldChar w:fldCharType="separate"/>
          </w:r>
          <w:r>
            <w:rPr>
              <w:color w:val="auto"/>
            </w:rPr>
            <w:t>百七十七</w:t>
          </w:r>
          <w:r>
            <w:rPr>
              <w:color w:val="auto"/>
              <w:spacing w:val="-36"/>
            </w:rPr>
            <w:t>、</w:t>
          </w:r>
          <w:r>
            <w:rPr>
              <w:color w:val="auto"/>
            </w:rPr>
            <w:t>经登记设立的境外认证机构代表机构在中华人民共和国境内从事</w:t>
          </w:r>
          <w:r>
            <w:rPr>
              <w:color w:val="auto"/>
              <w:spacing w:val="-17"/>
            </w:rPr>
            <w:t>认</w:t>
          </w:r>
          <w:r>
            <w:rPr>
              <w:color w:val="auto"/>
              <w:spacing w:val="-17"/>
            </w:rPr>
            <w:fldChar w:fldCharType="end"/>
          </w:r>
          <w:r>
            <w:rPr>
              <w:color w:val="auto"/>
            </w:rPr>
            <w:t>证活动</w:t>
          </w:r>
          <w:r>
            <w:rPr>
              <w:color w:val="auto"/>
            </w:rPr>
            <w:tab/>
          </w:r>
          <w:r>
            <w:rPr>
              <w:color w:val="auto"/>
              <w:spacing w:val="-6"/>
            </w:rPr>
            <w:t>468</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"_bookmark489"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"_bookmark489" </w:instrText>
          </w:r>
          <w:r>
            <w:rPr>
              <w:color w:val="auto"/>
            </w:rPr>
            <w:fldChar w:fldCharType="separate"/>
          </w:r>
          <w:r>
            <w:rPr>
              <w:color w:val="auto"/>
            </w:rPr>
            <w:t>百七十八</w:t>
          </w:r>
          <w:r>
            <w:rPr>
              <w:color w:val="auto"/>
              <w:spacing w:val="-20"/>
            </w:rPr>
            <w:t>、</w:t>
          </w:r>
          <w:r>
            <w:rPr>
              <w:color w:val="auto"/>
            </w:rPr>
            <w:t>认证机构接受可能对认证活动的客观公正产生影响的资助</w:t>
          </w:r>
          <w:r>
            <w:rPr>
              <w:color w:val="auto"/>
              <w:spacing w:val="-17"/>
            </w:rPr>
            <w:t>，</w:t>
          </w:r>
          <w:r>
            <w:rPr>
              <w:color w:val="auto"/>
            </w:rPr>
            <w:t>或者</w:t>
          </w:r>
          <w:r>
            <w:rPr>
              <w:color w:val="auto"/>
              <w:spacing w:val="-16"/>
            </w:rPr>
            <w:t>从</w:t>
          </w:r>
          <w:r>
            <w:rPr>
              <w:color w:val="auto"/>
              <w:spacing w:val="-16"/>
            </w:rPr>
            <w:fldChar w:fldCharType="end"/>
          </w:r>
          <w:r>
            <w:rPr>
              <w:color w:val="auto"/>
            </w:rPr>
            <w:t>事可能对认证活动的客观公正产生影响的产品开发</w:t>
          </w:r>
          <w:r>
            <w:rPr>
              <w:color w:val="auto"/>
              <w:spacing w:val="-20"/>
            </w:rPr>
            <w:t>、</w:t>
          </w:r>
          <w:r>
            <w:rPr>
              <w:color w:val="auto"/>
            </w:rPr>
            <w:t>营销等活动</w:t>
          </w:r>
          <w:r>
            <w:rPr>
              <w:color w:val="auto"/>
              <w:spacing w:val="-17"/>
            </w:rPr>
            <w:t>，</w:t>
          </w:r>
          <w:r>
            <w:rPr>
              <w:color w:val="auto"/>
            </w:rPr>
            <w:t>或者与认证</w:t>
          </w:r>
          <w:r>
            <w:rPr>
              <w:color w:val="auto"/>
              <w:spacing w:val="-16"/>
            </w:rPr>
            <w:t>委</w:t>
          </w:r>
          <w:r>
            <w:rPr>
              <w:color w:val="auto"/>
            </w:rPr>
            <w:t>托人存在资产、管理方面的利益关系</w:t>
          </w:r>
          <w:r>
            <w:rPr>
              <w:color w:val="auto"/>
            </w:rPr>
            <w:tab/>
          </w:r>
          <w:r>
            <w:rPr>
              <w:color w:val="auto"/>
              <w:spacing w:val="-6"/>
            </w:rPr>
            <w:t>469</w:t>
          </w:r>
        </w:p>
        <w:p>
          <w:pPr>
            <w:pStyle w:val="5"/>
            <w:tabs>
              <w:tab w:val="left" w:leader="dot" w:pos="8595"/>
            </w:tabs>
            <w:spacing w:line="308" w:lineRule="exact"/>
            <w:rPr>
              <w:color w:val="auto"/>
            </w:rPr>
          </w:pPr>
          <w:r>
            <w:rPr>
              <w:color w:val="auto"/>
            </w:rPr>
            <w:fldChar w:fldCharType="begin"/>
          </w:r>
          <w:r>
            <w:rPr>
              <w:color w:val="auto"/>
            </w:rPr>
            <w:instrText xml:space="preserve"> HYPERLINK \l "_bookmark490" </w:instrText>
          </w:r>
          <w:r>
            <w:rPr>
              <w:color w:val="auto"/>
            </w:rPr>
            <w:fldChar w:fldCharType="separate"/>
          </w:r>
          <w:r>
            <w:rPr>
              <w:color w:val="auto"/>
            </w:rPr>
            <w:t>四百七十九、超出批准范围从事认证活动</w:t>
          </w:r>
          <w:r>
            <w:rPr>
              <w:color w:val="auto"/>
            </w:rPr>
            <w:tab/>
          </w:r>
          <w:r>
            <w:rPr>
              <w:color w:val="auto"/>
            </w:rPr>
            <w:t>470</w:t>
          </w:r>
          <w:r>
            <w:rPr>
              <w:color w:val="auto"/>
            </w:rPr>
            <w:fldChar w:fldCharType="end"/>
          </w:r>
        </w:p>
        <w:p>
          <w:pPr>
            <w:pStyle w:val="5"/>
            <w:tabs>
              <w:tab w:val="left" w:leader="dot" w:pos="8611"/>
            </w:tabs>
            <w:spacing w:before="173" w:after="59"/>
            <w:rPr>
              <w:color w:val="auto"/>
            </w:rPr>
          </w:pPr>
          <w:r>
            <w:rPr>
              <w:color w:val="auto"/>
            </w:rPr>
            <w:fldChar w:fldCharType="begin"/>
          </w:r>
          <w:r>
            <w:rPr>
              <w:color w:val="auto"/>
            </w:rPr>
            <w:instrText xml:space="preserve"> HYPERLINK \l "_bookmark491" </w:instrText>
          </w:r>
          <w:r>
            <w:rPr>
              <w:color w:val="auto"/>
            </w:rPr>
            <w:fldChar w:fldCharType="separate"/>
          </w:r>
          <w:r>
            <w:rPr>
              <w:color w:val="auto"/>
              <w:spacing w:val="-12"/>
            </w:rPr>
            <w:t>四百八十、认证机构增加、减少、遗漏认证基本规范、认证规则规定的程</w:t>
          </w:r>
          <w:r>
            <w:rPr>
              <w:color w:val="auto"/>
            </w:rPr>
            <w:t>序</w:t>
          </w:r>
          <w:r>
            <w:rPr>
              <w:color w:val="auto"/>
            </w:rPr>
            <w:tab/>
          </w:r>
          <w:r>
            <w:rPr>
              <w:color w:val="auto"/>
              <w:spacing w:val="-4"/>
            </w:rPr>
            <w:t>471</w:t>
          </w:r>
          <w:r>
            <w:rPr>
              <w:color w:val="auto"/>
              <w:spacing w:val="-4"/>
            </w:rPr>
            <w:fldChar w:fldCharType="end"/>
          </w:r>
        </w:p>
        <w:p>
          <w:pPr>
            <w:pStyle w:val="5"/>
            <w:tabs>
              <w:tab w:val="left" w:leader="dot" w:pos="8595"/>
            </w:tabs>
            <w:spacing w:before="127" w:line="374" w:lineRule="auto"/>
            <w:ind w:right="268"/>
            <w:jc w:val="both"/>
            <w:rPr>
              <w:color w:val="auto"/>
            </w:rPr>
          </w:pPr>
          <w:r>
            <w:rPr>
              <w:color w:val="auto"/>
            </w:rPr>
            <w:fldChar w:fldCharType="begin"/>
          </w:r>
          <w:r>
            <w:rPr>
              <w:color w:val="auto"/>
            </w:rPr>
            <w:instrText xml:space="preserve"> HYPERLINK \l "_bookmark492"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"_bookmark492" </w:instrText>
          </w:r>
          <w:r>
            <w:rPr>
              <w:color w:val="auto"/>
            </w:rPr>
            <w:fldChar w:fldCharType="separate"/>
          </w:r>
          <w:r>
            <w:rPr>
              <w:color w:val="auto"/>
            </w:rPr>
            <w:t>百八十一</w:t>
          </w:r>
          <w:r>
            <w:rPr>
              <w:color w:val="auto"/>
              <w:spacing w:val="-10"/>
            </w:rPr>
            <w:t>、</w:t>
          </w:r>
          <w:r>
            <w:rPr>
              <w:color w:val="auto"/>
            </w:rPr>
            <w:t>未对其认证的产品</w:t>
          </w:r>
          <w:r>
            <w:rPr>
              <w:color w:val="auto"/>
              <w:spacing w:val="-10"/>
            </w:rPr>
            <w:t>、</w:t>
          </w:r>
          <w:r>
            <w:rPr>
              <w:color w:val="auto"/>
            </w:rPr>
            <w:t>服务</w:t>
          </w:r>
          <w:r>
            <w:rPr>
              <w:color w:val="auto"/>
              <w:spacing w:val="-8"/>
            </w:rPr>
            <w:t>、</w:t>
          </w:r>
          <w:r>
            <w:rPr>
              <w:color w:val="auto"/>
            </w:rPr>
            <w:t>管理体系实施有效的跟踪调查</w:t>
          </w:r>
          <w:r>
            <w:rPr>
              <w:color w:val="auto"/>
              <w:spacing w:val="-10"/>
            </w:rPr>
            <w:t>，</w:t>
          </w:r>
          <w:r>
            <w:rPr>
              <w:color w:val="auto"/>
            </w:rPr>
            <w:t>或者</w:t>
          </w:r>
          <w:r>
            <w:rPr>
              <w:color w:val="auto"/>
              <w:spacing w:val="-15"/>
            </w:rPr>
            <w:t>发</w:t>
          </w:r>
          <w:r>
            <w:rPr>
              <w:color w:val="auto"/>
              <w:spacing w:val="-15"/>
            </w:rPr>
            <w:fldChar w:fldCharType="end"/>
          </w:r>
          <w:r>
            <w:rPr>
              <w:color w:val="auto"/>
            </w:rPr>
            <w:t>现其认证的产品</w:t>
          </w:r>
          <w:r>
            <w:rPr>
              <w:color w:val="auto"/>
              <w:spacing w:val="-12"/>
            </w:rPr>
            <w:t>、</w:t>
          </w:r>
          <w:r>
            <w:rPr>
              <w:color w:val="auto"/>
            </w:rPr>
            <w:t>服务</w:t>
          </w:r>
          <w:r>
            <w:rPr>
              <w:color w:val="auto"/>
              <w:spacing w:val="-12"/>
            </w:rPr>
            <w:t>、</w:t>
          </w:r>
          <w:r>
            <w:rPr>
              <w:color w:val="auto"/>
            </w:rPr>
            <w:t>管理体系不能持续符合认证要求</w:t>
          </w:r>
          <w:r>
            <w:rPr>
              <w:color w:val="auto"/>
              <w:spacing w:val="-12"/>
            </w:rPr>
            <w:t>，</w:t>
          </w:r>
          <w:r>
            <w:rPr>
              <w:color w:val="auto"/>
            </w:rPr>
            <w:t>不及时暂停其使用</w:t>
          </w:r>
          <w:r>
            <w:rPr>
              <w:color w:val="auto"/>
              <w:spacing w:val="-17"/>
            </w:rPr>
            <w:t>或</w:t>
          </w:r>
          <w:r>
            <w:rPr>
              <w:color w:val="auto"/>
            </w:rPr>
            <w:t>者撤销认证证书并予公布</w:t>
          </w:r>
          <w:r>
            <w:rPr>
              <w:color w:val="auto"/>
            </w:rPr>
            <w:tab/>
          </w:r>
          <w:r>
            <w:rPr>
              <w:color w:val="auto"/>
              <w:spacing w:val="-6"/>
            </w:rPr>
            <w:t>471</w:t>
          </w:r>
        </w:p>
        <w:p>
          <w:pPr>
            <w:pStyle w:val="5"/>
            <w:tabs>
              <w:tab w:val="left" w:leader="dot" w:pos="8595"/>
            </w:tabs>
            <w:spacing w:line="308" w:lineRule="exact"/>
            <w:rPr>
              <w:color w:val="auto"/>
            </w:rPr>
          </w:pPr>
          <w:r>
            <w:rPr>
              <w:color w:val="auto"/>
            </w:rPr>
            <w:fldChar w:fldCharType="begin"/>
          </w:r>
          <w:r>
            <w:rPr>
              <w:color w:val="auto"/>
            </w:rPr>
            <w:instrText xml:space="preserve"> HYPERLINK \l "_bookmark493" </w:instrText>
          </w:r>
          <w:r>
            <w:rPr>
              <w:color w:val="auto"/>
            </w:rPr>
            <w:fldChar w:fldCharType="separate"/>
          </w:r>
          <w:r>
            <w:rPr>
              <w:color w:val="auto"/>
            </w:rPr>
            <w:t>四百八十二、聘用未经认可机构注册的人员从事认证活动</w:t>
          </w:r>
          <w:r>
            <w:rPr>
              <w:color w:val="auto"/>
            </w:rPr>
            <w:tab/>
          </w:r>
          <w:r>
            <w:rPr>
              <w:color w:val="auto"/>
            </w:rPr>
            <w:t>472</w:t>
          </w:r>
          <w:r>
            <w:rPr>
              <w:color w:val="auto"/>
            </w:rPr>
            <w:fldChar w:fldCharType="end"/>
          </w:r>
        </w:p>
        <w:p>
          <w:pPr>
            <w:pStyle w:val="5"/>
            <w:tabs>
              <w:tab w:val="left" w:leader="dot" w:pos="8595"/>
            </w:tabs>
            <w:spacing w:before="173" w:line="374" w:lineRule="auto"/>
            <w:ind w:right="232"/>
            <w:rPr>
              <w:color w:val="auto"/>
            </w:rPr>
          </w:pPr>
          <w:r>
            <w:rPr>
              <w:color w:val="auto"/>
            </w:rPr>
            <w:fldChar w:fldCharType="begin"/>
          </w:r>
          <w:r>
            <w:rPr>
              <w:color w:val="auto"/>
            </w:rPr>
            <w:instrText xml:space="preserve"> HYPERLINK \l "_bookmark494"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"_bookmark494" </w:instrText>
          </w:r>
          <w:r>
            <w:rPr>
              <w:color w:val="auto"/>
            </w:rPr>
            <w:fldChar w:fldCharType="separate"/>
          </w:r>
          <w:r>
            <w:rPr>
              <w:color w:val="auto"/>
            </w:rPr>
            <w:t>百八十三、与认证有关的检查机构、实验室增加、减少、遗漏认证基本规范</w:t>
          </w:r>
          <w:r>
            <w:rPr>
              <w:color w:val="auto"/>
              <w:spacing w:val="-17"/>
            </w:rPr>
            <w:t>、</w:t>
          </w:r>
          <w:r>
            <w:rPr>
              <w:color w:val="auto"/>
              <w:spacing w:val="-17"/>
            </w:rPr>
            <w:fldChar w:fldCharType="end"/>
          </w:r>
          <w:r>
            <w:rPr>
              <w:color w:val="auto"/>
            </w:rPr>
            <w:t>认证规则规定的程序</w:t>
          </w:r>
          <w:r>
            <w:rPr>
              <w:color w:val="auto"/>
            </w:rPr>
            <w:tab/>
          </w:r>
          <w:r>
            <w:rPr>
              <w:color w:val="auto"/>
            </w:rPr>
            <w:t>473</w:t>
          </w:r>
        </w:p>
        <w:p>
          <w:pPr>
            <w:pStyle w:val="5"/>
            <w:tabs>
              <w:tab w:val="left" w:leader="dot" w:pos="8595"/>
            </w:tabs>
            <w:spacing w:line="374" w:lineRule="auto"/>
            <w:ind w:left="567" w:right="268" w:firstLine="24"/>
            <w:rPr>
              <w:color w:val="auto"/>
            </w:rPr>
          </w:pPr>
          <w:r>
            <w:rPr>
              <w:color w:val="auto"/>
            </w:rPr>
            <w:fldChar w:fldCharType="begin"/>
          </w:r>
          <w:r>
            <w:rPr>
              <w:color w:val="auto"/>
            </w:rPr>
            <w:instrText xml:space="preserve"> HYPERLINK \l "_bookmark495" </w:instrText>
          </w:r>
          <w:r>
            <w:rPr>
              <w:color w:val="auto"/>
            </w:rPr>
            <w:fldChar w:fldCharType="separate"/>
          </w:r>
          <w:r>
            <w:rPr>
              <w:color w:val="auto"/>
              <w:spacing w:val="-22"/>
            </w:rPr>
            <w:t>四</w:t>
          </w:r>
          <w:r>
            <w:rPr>
              <w:color w:val="auto"/>
              <w:spacing w:val="-22"/>
            </w:rPr>
            <w:fldChar w:fldCharType="end"/>
          </w:r>
          <w:r>
            <w:rPr>
              <w:color w:val="auto"/>
            </w:rPr>
            <w:fldChar w:fldCharType="begin"/>
          </w:r>
          <w:r>
            <w:rPr>
              <w:color w:val="auto"/>
            </w:rPr>
            <w:instrText xml:space="preserve"> HYPERLINK \l "_bookmark495" </w:instrText>
          </w:r>
          <w:r>
            <w:rPr>
              <w:color w:val="auto"/>
            </w:rPr>
            <w:fldChar w:fldCharType="separate"/>
          </w:r>
          <w:r>
            <w:rPr>
              <w:color w:val="auto"/>
              <w:spacing w:val="-22"/>
            </w:rPr>
            <w:t>百</w:t>
          </w:r>
          <w:r>
            <w:rPr>
              <w:color w:val="auto"/>
              <w:spacing w:val="-24"/>
            </w:rPr>
            <w:t>八</w:t>
          </w:r>
          <w:r>
            <w:rPr>
              <w:color w:val="auto"/>
              <w:spacing w:val="-22"/>
            </w:rPr>
            <w:t>十四、以委</w:t>
          </w:r>
          <w:r>
            <w:rPr>
              <w:color w:val="auto"/>
              <w:spacing w:val="-24"/>
            </w:rPr>
            <w:t>托</w:t>
          </w:r>
          <w:r>
            <w:rPr>
              <w:color w:val="auto"/>
              <w:spacing w:val="-22"/>
            </w:rPr>
            <w:t>人未参加认</w:t>
          </w:r>
          <w:r>
            <w:rPr>
              <w:color w:val="auto"/>
              <w:spacing w:val="-24"/>
            </w:rPr>
            <w:t>证</w:t>
          </w:r>
          <w:r>
            <w:rPr>
              <w:color w:val="auto"/>
              <w:spacing w:val="-22"/>
            </w:rPr>
            <w:t>咨询或者认</w:t>
          </w:r>
          <w:r>
            <w:rPr>
              <w:color w:val="auto"/>
              <w:spacing w:val="-24"/>
            </w:rPr>
            <w:t>证</w:t>
          </w:r>
          <w:r>
            <w:rPr>
              <w:color w:val="auto"/>
              <w:spacing w:val="-22"/>
            </w:rPr>
            <w:t>培训等为理</w:t>
          </w:r>
          <w:r>
            <w:rPr>
              <w:color w:val="auto"/>
              <w:spacing w:val="-24"/>
            </w:rPr>
            <w:t>由</w:t>
          </w:r>
          <w:r>
            <w:rPr>
              <w:color w:val="auto"/>
              <w:spacing w:val="-22"/>
            </w:rPr>
            <w:t>，拒绝提供</w:t>
          </w:r>
          <w:r>
            <w:rPr>
              <w:color w:val="auto"/>
              <w:spacing w:val="-24"/>
            </w:rPr>
            <w:t>本</w:t>
          </w:r>
          <w:r>
            <w:rPr>
              <w:color w:val="auto"/>
              <w:spacing w:val="-22"/>
            </w:rPr>
            <w:t>认证机构</w:t>
          </w:r>
          <w:r>
            <w:rPr>
              <w:color w:val="auto"/>
            </w:rPr>
            <w:t>业</w:t>
          </w:r>
          <w:r>
            <w:rPr>
              <w:color w:val="auto"/>
            </w:rPr>
            <w:fldChar w:fldCharType="end"/>
          </w:r>
          <w:r>
            <w:rPr>
              <w:color w:val="auto"/>
              <w:spacing w:val="-22"/>
            </w:rPr>
            <w:t>务范</w:t>
          </w:r>
          <w:r>
            <w:rPr>
              <w:color w:val="auto"/>
              <w:spacing w:val="-24"/>
            </w:rPr>
            <w:t>围</w:t>
          </w:r>
          <w:r>
            <w:rPr>
              <w:color w:val="auto"/>
              <w:spacing w:val="-22"/>
            </w:rPr>
            <w:t>内的认证服</w:t>
          </w:r>
          <w:r>
            <w:rPr>
              <w:color w:val="auto"/>
              <w:spacing w:val="-24"/>
            </w:rPr>
            <w:t>务</w:t>
          </w:r>
          <w:r>
            <w:rPr>
              <w:color w:val="auto"/>
              <w:spacing w:val="-22"/>
            </w:rPr>
            <w:t>，或者向委</w:t>
          </w:r>
          <w:r>
            <w:rPr>
              <w:color w:val="auto"/>
              <w:spacing w:val="-24"/>
            </w:rPr>
            <w:t>托</w:t>
          </w:r>
          <w:r>
            <w:rPr>
              <w:color w:val="auto"/>
              <w:spacing w:val="-22"/>
            </w:rPr>
            <w:t>人提出与认</w:t>
          </w:r>
          <w:r>
            <w:rPr>
              <w:color w:val="auto"/>
              <w:spacing w:val="-24"/>
            </w:rPr>
            <w:t>证</w:t>
          </w:r>
          <w:r>
            <w:rPr>
              <w:color w:val="auto"/>
              <w:spacing w:val="-22"/>
            </w:rPr>
            <w:t>活动无关的</w:t>
          </w:r>
          <w:r>
            <w:rPr>
              <w:color w:val="auto"/>
              <w:spacing w:val="-24"/>
            </w:rPr>
            <w:t>要</w:t>
          </w:r>
          <w:r>
            <w:rPr>
              <w:color w:val="auto"/>
              <w:spacing w:val="-22"/>
            </w:rPr>
            <w:t>求或者限制</w:t>
          </w:r>
          <w:r>
            <w:rPr>
              <w:color w:val="auto"/>
              <w:spacing w:val="-24"/>
            </w:rPr>
            <w:t>条</w:t>
          </w:r>
          <w:r>
            <w:rPr>
              <w:color w:val="auto"/>
              <w:spacing w:val="-22"/>
            </w:rPr>
            <w:t>件</w:t>
          </w:r>
          <w:r>
            <w:rPr>
              <w:color w:val="auto"/>
              <w:spacing w:val="-22"/>
            </w:rPr>
            <w:tab/>
          </w:r>
          <w:r>
            <w:rPr>
              <w:color w:val="auto"/>
              <w:spacing w:val="-6"/>
            </w:rPr>
            <w:t>474</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"_bookmark496"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"_bookmark496" </w:instrText>
          </w:r>
          <w:r>
            <w:rPr>
              <w:color w:val="auto"/>
            </w:rPr>
            <w:fldChar w:fldCharType="separate"/>
          </w:r>
          <w:r>
            <w:rPr>
              <w:color w:val="auto"/>
            </w:rPr>
            <w:t>百八十五</w:t>
          </w:r>
          <w:r>
            <w:rPr>
              <w:color w:val="auto"/>
              <w:spacing w:val="-12"/>
            </w:rPr>
            <w:t>、</w:t>
          </w:r>
          <w:r>
            <w:rPr>
              <w:color w:val="auto"/>
            </w:rPr>
            <w:t>自行制定的认证标志的式样</w:t>
          </w:r>
          <w:r>
            <w:rPr>
              <w:color w:val="auto"/>
              <w:spacing w:val="-12"/>
            </w:rPr>
            <w:t>、</w:t>
          </w:r>
          <w:r>
            <w:rPr>
              <w:color w:val="auto"/>
            </w:rPr>
            <w:t>文字和名称</w:t>
          </w:r>
          <w:r>
            <w:rPr>
              <w:color w:val="auto"/>
              <w:spacing w:val="-12"/>
            </w:rPr>
            <w:t>，</w:t>
          </w:r>
          <w:r>
            <w:rPr>
              <w:color w:val="auto"/>
            </w:rPr>
            <w:t>与国家推行的认证标</w:t>
          </w:r>
          <w:r>
            <w:rPr>
              <w:color w:val="auto"/>
              <w:spacing w:val="-17"/>
            </w:rPr>
            <w:t>志</w:t>
          </w:r>
          <w:r>
            <w:rPr>
              <w:color w:val="auto"/>
              <w:spacing w:val="-17"/>
            </w:rPr>
            <w:fldChar w:fldCharType="end"/>
          </w:r>
          <w:r>
            <w:rPr>
              <w:color w:val="auto"/>
            </w:rPr>
            <w:t>相同或者近似，或者妨碍社会管理，或者有损社会道德风尚</w:t>
          </w:r>
          <w:r>
            <w:rPr>
              <w:color w:val="auto"/>
            </w:rPr>
            <w:tab/>
          </w:r>
          <w:r>
            <w:rPr>
              <w:color w:val="auto"/>
              <w:spacing w:val="-6"/>
            </w:rPr>
            <w:t>475</w:t>
          </w:r>
        </w:p>
        <w:p>
          <w:pPr>
            <w:pStyle w:val="5"/>
            <w:tabs>
              <w:tab w:val="left" w:leader="dot" w:pos="8595"/>
            </w:tabs>
            <w:spacing w:line="308" w:lineRule="exact"/>
            <w:rPr>
              <w:color w:val="auto"/>
            </w:rPr>
          </w:pPr>
          <w:r>
            <w:rPr>
              <w:color w:val="auto"/>
            </w:rPr>
            <w:fldChar w:fldCharType="begin"/>
          </w:r>
          <w:r>
            <w:rPr>
              <w:color w:val="auto"/>
            </w:rPr>
            <w:instrText xml:space="preserve"> HYPERLINK \l "_bookmark497" </w:instrText>
          </w:r>
          <w:r>
            <w:rPr>
              <w:color w:val="auto"/>
            </w:rPr>
            <w:fldChar w:fldCharType="separate"/>
          </w:r>
          <w:r>
            <w:rPr>
              <w:color w:val="auto"/>
            </w:rPr>
            <w:t>四百八十六、未公开认证基本规范、认证规则、收费标准等信息</w:t>
          </w:r>
          <w:r>
            <w:rPr>
              <w:color w:val="auto"/>
            </w:rPr>
            <w:tab/>
          </w:r>
          <w:r>
            <w:rPr>
              <w:color w:val="auto"/>
            </w:rPr>
            <w:t>476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"_bookmark498" </w:instrText>
          </w:r>
          <w:r>
            <w:rPr>
              <w:color w:val="auto"/>
            </w:rPr>
            <w:fldChar w:fldCharType="separate"/>
          </w:r>
          <w:r>
            <w:rPr>
              <w:color w:val="auto"/>
            </w:rPr>
            <w:t>四百八十七、未对认证过程作出完整记录、归档留存</w:t>
          </w:r>
          <w:r>
            <w:rPr>
              <w:color w:val="auto"/>
            </w:rPr>
            <w:tab/>
          </w:r>
          <w:r>
            <w:rPr>
              <w:color w:val="auto"/>
            </w:rPr>
            <w:t>477</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"_bookmark499" </w:instrText>
          </w:r>
          <w:r>
            <w:rPr>
              <w:color w:val="auto"/>
            </w:rPr>
            <w:fldChar w:fldCharType="separate"/>
          </w:r>
          <w:r>
            <w:rPr>
              <w:color w:val="auto"/>
            </w:rPr>
            <w:t>四百八十八、未及时向其认证的委托人出具认证证书</w:t>
          </w:r>
          <w:r>
            <w:rPr>
              <w:color w:val="auto"/>
            </w:rPr>
            <w:tab/>
          </w:r>
          <w:r>
            <w:rPr>
              <w:color w:val="auto"/>
            </w:rPr>
            <w:t>477</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"_bookmark500"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"_bookmark500" </w:instrText>
          </w:r>
          <w:r>
            <w:rPr>
              <w:color w:val="auto"/>
            </w:rPr>
            <w:fldChar w:fldCharType="separate"/>
          </w:r>
          <w:r>
            <w:rPr>
              <w:color w:val="auto"/>
            </w:rPr>
            <w:t>百八十九</w:t>
          </w:r>
          <w:r>
            <w:rPr>
              <w:color w:val="auto"/>
              <w:spacing w:val="-12"/>
            </w:rPr>
            <w:t>、</w:t>
          </w:r>
          <w:r>
            <w:rPr>
              <w:color w:val="auto"/>
            </w:rPr>
            <w:t>与认证有关的检查机构</w:t>
          </w:r>
          <w:r>
            <w:rPr>
              <w:color w:val="auto"/>
              <w:spacing w:val="-12"/>
            </w:rPr>
            <w:t>、</w:t>
          </w:r>
          <w:r>
            <w:rPr>
              <w:color w:val="auto"/>
            </w:rPr>
            <w:t>实验室未对与认证有关的检查</w:t>
          </w:r>
          <w:r>
            <w:rPr>
              <w:color w:val="auto"/>
              <w:spacing w:val="-12"/>
            </w:rPr>
            <w:t>、</w:t>
          </w:r>
          <w:r>
            <w:rPr>
              <w:color w:val="auto"/>
            </w:rPr>
            <w:t>检测过</w:t>
          </w:r>
          <w:r>
            <w:rPr>
              <w:color w:val="auto"/>
              <w:spacing w:val="-17"/>
            </w:rPr>
            <w:t>程</w:t>
          </w:r>
          <w:r>
            <w:rPr>
              <w:color w:val="auto"/>
              <w:spacing w:val="-17"/>
            </w:rPr>
            <w:fldChar w:fldCharType="end"/>
          </w:r>
          <w:r>
            <w:rPr>
              <w:color w:val="auto"/>
            </w:rPr>
            <w:t>作出完整记录、归档留存</w:t>
          </w:r>
          <w:r>
            <w:rPr>
              <w:color w:val="auto"/>
            </w:rPr>
            <w:tab/>
          </w:r>
          <w:r>
            <w:rPr>
              <w:color w:val="auto"/>
              <w:spacing w:val="-6"/>
            </w:rPr>
            <w:t>478</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"_bookmark501"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"_bookmark501" </w:instrText>
          </w:r>
          <w:r>
            <w:rPr>
              <w:color w:val="auto"/>
            </w:rPr>
            <w:fldChar w:fldCharType="separate"/>
          </w:r>
          <w:r>
            <w:rPr>
              <w:color w:val="auto"/>
            </w:rPr>
            <w:t>百九十</w:t>
          </w:r>
          <w:r>
            <w:rPr>
              <w:color w:val="auto"/>
              <w:spacing w:val="-20"/>
            </w:rPr>
            <w:t>、</w:t>
          </w:r>
          <w:r>
            <w:rPr>
              <w:color w:val="auto"/>
            </w:rPr>
            <w:t>认证机构或指定的认证机构出具虚假认证结论</w:t>
          </w:r>
          <w:r>
            <w:rPr>
              <w:color w:val="auto"/>
              <w:spacing w:val="-17"/>
            </w:rPr>
            <w:t>，</w:t>
          </w:r>
          <w:r>
            <w:rPr>
              <w:color w:val="auto"/>
            </w:rPr>
            <w:t>或者出具的认证结</w:t>
          </w:r>
          <w:r>
            <w:rPr>
              <w:color w:val="auto"/>
              <w:spacing w:val="-16"/>
            </w:rPr>
            <w:t>论</w:t>
          </w:r>
          <w:r>
            <w:rPr>
              <w:color w:val="auto"/>
              <w:spacing w:val="-16"/>
            </w:rPr>
            <w:fldChar w:fldCharType="end"/>
          </w:r>
          <w:r>
            <w:rPr>
              <w:color w:val="auto"/>
            </w:rPr>
            <w:t>严重失实</w:t>
          </w:r>
          <w:r>
            <w:rPr>
              <w:color w:val="auto"/>
            </w:rPr>
            <w:tab/>
          </w:r>
          <w:r>
            <w:rPr>
              <w:color w:val="auto"/>
              <w:spacing w:val="-6"/>
            </w:rPr>
            <w:t>479</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"_bookmark502"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"_bookmark502" </w:instrText>
          </w:r>
          <w:r>
            <w:rPr>
              <w:color w:val="auto"/>
            </w:rPr>
            <w:fldChar w:fldCharType="separate"/>
          </w:r>
          <w:r>
            <w:rPr>
              <w:color w:val="auto"/>
            </w:rPr>
            <w:t>百九十一</w:t>
          </w:r>
          <w:r>
            <w:rPr>
              <w:color w:val="auto"/>
              <w:spacing w:val="-20"/>
            </w:rPr>
            <w:t>、</w:t>
          </w:r>
          <w:r>
            <w:rPr>
              <w:color w:val="auto"/>
            </w:rPr>
            <w:t>认证人员从事认证活动</w:t>
          </w:r>
          <w:r>
            <w:rPr>
              <w:color w:val="auto"/>
              <w:spacing w:val="-17"/>
            </w:rPr>
            <w:t>，</w:t>
          </w:r>
          <w:r>
            <w:rPr>
              <w:color w:val="auto"/>
            </w:rPr>
            <w:t>不在认证机构执业或者同时在两个以上</w:t>
          </w:r>
          <w:r>
            <w:rPr>
              <w:color w:val="auto"/>
              <w:spacing w:val="-16"/>
            </w:rPr>
            <w:t>认</w:t>
          </w:r>
          <w:r>
            <w:rPr>
              <w:color w:val="auto"/>
              <w:spacing w:val="-16"/>
            </w:rPr>
            <w:fldChar w:fldCharType="end"/>
          </w:r>
          <w:r>
            <w:rPr>
              <w:color w:val="auto"/>
            </w:rPr>
            <w:t>证机构执业</w:t>
          </w:r>
          <w:r>
            <w:rPr>
              <w:color w:val="auto"/>
            </w:rPr>
            <w:tab/>
          </w:r>
          <w:r>
            <w:rPr>
              <w:color w:val="auto"/>
              <w:spacing w:val="-6"/>
            </w:rPr>
            <w:t>479</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"_bookmark503"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"_bookmark503" </w:instrText>
          </w:r>
          <w:r>
            <w:rPr>
              <w:color w:val="auto"/>
            </w:rPr>
            <w:fldChar w:fldCharType="separate"/>
          </w:r>
          <w:r>
            <w:rPr>
              <w:color w:val="auto"/>
            </w:rPr>
            <w:t>百九十二</w:t>
          </w:r>
          <w:r>
            <w:rPr>
              <w:color w:val="auto"/>
              <w:spacing w:val="-20"/>
            </w:rPr>
            <w:t>、</w:t>
          </w:r>
          <w:r>
            <w:rPr>
              <w:color w:val="auto"/>
            </w:rPr>
            <w:t>认证机构以及与认证有关的检查机构</w:t>
          </w:r>
          <w:r>
            <w:rPr>
              <w:color w:val="auto"/>
              <w:spacing w:val="-17"/>
            </w:rPr>
            <w:t>、</w:t>
          </w:r>
          <w:r>
            <w:rPr>
              <w:color w:val="auto"/>
            </w:rPr>
            <w:t>实验室未经指定擅自从事</w:t>
          </w:r>
          <w:r>
            <w:rPr>
              <w:color w:val="auto"/>
              <w:spacing w:val="-16"/>
            </w:rPr>
            <w:t>列</w:t>
          </w:r>
          <w:r>
            <w:rPr>
              <w:color w:val="auto"/>
              <w:spacing w:val="-16"/>
            </w:rPr>
            <w:fldChar w:fldCharType="end"/>
          </w:r>
          <w:r>
            <w:rPr>
              <w:color w:val="auto"/>
            </w:rPr>
            <w:t>入目录产品的认证以及与认证有关的检查、检测活动</w:t>
          </w:r>
          <w:r>
            <w:rPr>
              <w:color w:val="auto"/>
            </w:rPr>
            <w:tab/>
          </w:r>
          <w:r>
            <w:rPr>
              <w:color w:val="auto"/>
              <w:spacing w:val="-6"/>
            </w:rPr>
            <w:t>480</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"_bookmark504"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"_bookmark504" </w:instrText>
          </w:r>
          <w:r>
            <w:rPr>
              <w:color w:val="auto"/>
            </w:rPr>
            <w:fldChar w:fldCharType="separate"/>
          </w:r>
          <w:r>
            <w:rPr>
              <w:color w:val="auto"/>
            </w:rPr>
            <w:t>百九十三</w:t>
          </w:r>
          <w:r>
            <w:rPr>
              <w:color w:val="auto"/>
              <w:spacing w:val="-12"/>
            </w:rPr>
            <w:t>、</w:t>
          </w:r>
          <w:r>
            <w:rPr>
              <w:color w:val="auto"/>
            </w:rPr>
            <w:t>指定的认证机构</w:t>
          </w:r>
          <w:r>
            <w:rPr>
              <w:color w:val="auto"/>
              <w:spacing w:val="-12"/>
            </w:rPr>
            <w:t>、</w:t>
          </w:r>
          <w:r>
            <w:rPr>
              <w:color w:val="auto"/>
            </w:rPr>
            <w:t>检查机构</w:t>
          </w:r>
          <w:r>
            <w:rPr>
              <w:color w:val="auto"/>
              <w:spacing w:val="-12"/>
            </w:rPr>
            <w:t>、</w:t>
          </w:r>
          <w:r>
            <w:rPr>
              <w:color w:val="auto"/>
            </w:rPr>
            <w:t>实验室超出指定的业务范围从事列</w:t>
          </w:r>
          <w:r>
            <w:rPr>
              <w:color w:val="auto"/>
              <w:spacing w:val="-17"/>
            </w:rPr>
            <w:t>入</w:t>
          </w:r>
          <w:r>
            <w:rPr>
              <w:color w:val="auto"/>
              <w:spacing w:val="-17"/>
            </w:rPr>
            <w:fldChar w:fldCharType="end"/>
          </w:r>
          <w:r>
            <w:rPr>
              <w:color w:val="auto"/>
            </w:rPr>
            <w:t>目录产品的认证以及与认证有关的检查、检测活动</w:t>
          </w:r>
          <w:r>
            <w:rPr>
              <w:color w:val="auto"/>
            </w:rPr>
            <w:tab/>
          </w:r>
          <w:r>
            <w:rPr>
              <w:color w:val="auto"/>
              <w:spacing w:val="-6"/>
            </w:rPr>
            <w:t>481</w:t>
          </w:r>
        </w:p>
        <w:p>
          <w:pPr>
            <w:pStyle w:val="5"/>
            <w:tabs>
              <w:tab w:val="left" w:leader="dot" w:pos="8595"/>
            </w:tabs>
            <w:spacing w:line="308" w:lineRule="exact"/>
            <w:rPr>
              <w:color w:val="auto"/>
            </w:rPr>
          </w:pPr>
          <w:r>
            <w:rPr>
              <w:color w:val="auto"/>
            </w:rPr>
            <w:fldChar w:fldCharType="begin"/>
          </w:r>
          <w:r>
            <w:rPr>
              <w:color w:val="auto"/>
            </w:rPr>
            <w:instrText xml:space="preserve"> HYPERLINK \l "_bookmark505" </w:instrText>
          </w:r>
          <w:r>
            <w:rPr>
              <w:color w:val="auto"/>
            </w:rPr>
            <w:fldChar w:fldCharType="separate"/>
          </w:r>
          <w:r>
            <w:rPr>
              <w:color w:val="auto"/>
            </w:rPr>
            <w:t>四百九十四、指定的认证机构转让指定的认证业务</w:t>
          </w:r>
          <w:r>
            <w:rPr>
              <w:color w:val="auto"/>
            </w:rPr>
            <w:tab/>
          </w:r>
          <w:r>
            <w:rPr>
              <w:color w:val="auto"/>
            </w:rPr>
            <w:t>482</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"_bookmark506"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"_bookmark506" </w:instrText>
          </w:r>
          <w:r>
            <w:rPr>
              <w:color w:val="auto"/>
            </w:rPr>
            <w:fldChar w:fldCharType="separate"/>
          </w:r>
          <w:r>
            <w:rPr>
              <w:color w:val="auto"/>
            </w:rPr>
            <w:t>百九十五</w:t>
          </w:r>
          <w:r>
            <w:rPr>
              <w:color w:val="auto"/>
              <w:spacing w:val="-10"/>
            </w:rPr>
            <w:t>、</w:t>
          </w:r>
          <w:r>
            <w:rPr>
              <w:color w:val="auto"/>
            </w:rPr>
            <w:t>认证机构</w:t>
          </w:r>
          <w:r>
            <w:rPr>
              <w:color w:val="auto"/>
              <w:spacing w:val="-10"/>
            </w:rPr>
            <w:t>、</w:t>
          </w:r>
          <w:r>
            <w:rPr>
              <w:color w:val="auto"/>
            </w:rPr>
            <w:t>检查机构</w:t>
          </w:r>
          <w:r>
            <w:rPr>
              <w:color w:val="auto"/>
              <w:spacing w:val="-8"/>
            </w:rPr>
            <w:t>、</w:t>
          </w:r>
          <w:r>
            <w:rPr>
              <w:color w:val="auto"/>
            </w:rPr>
            <w:t>实验室取得境外认可机构认可</w:t>
          </w:r>
          <w:r>
            <w:rPr>
              <w:color w:val="auto"/>
              <w:spacing w:val="-10"/>
            </w:rPr>
            <w:t>，</w:t>
          </w:r>
          <w:r>
            <w:rPr>
              <w:color w:val="auto"/>
            </w:rPr>
            <w:t>未向国务</w:t>
          </w:r>
          <w:r>
            <w:rPr>
              <w:color w:val="auto"/>
              <w:spacing w:val="-15"/>
            </w:rPr>
            <w:t>院</w:t>
          </w:r>
          <w:r>
            <w:rPr>
              <w:color w:val="auto"/>
              <w:spacing w:val="-15"/>
            </w:rPr>
            <w:fldChar w:fldCharType="end"/>
          </w:r>
          <w:r>
            <w:rPr>
              <w:color w:val="auto"/>
            </w:rPr>
            <w:t>认证认可监督管理部门备案</w:t>
          </w:r>
          <w:r>
            <w:rPr>
              <w:color w:val="auto"/>
            </w:rPr>
            <w:tab/>
          </w:r>
          <w:r>
            <w:rPr>
              <w:color w:val="auto"/>
              <w:spacing w:val="-6"/>
            </w:rPr>
            <w:t>482</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"_bookmark507"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"_bookmark507" </w:instrText>
          </w:r>
          <w:r>
            <w:rPr>
              <w:color w:val="auto"/>
            </w:rPr>
            <w:fldChar w:fldCharType="separate"/>
          </w:r>
          <w:r>
            <w:rPr>
              <w:color w:val="auto"/>
            </w:rPr>
            <w:t>百九十六</w:t>
          </w:r>
          <w:r>
            <w:rPr>
              <w:color w:val="auto"/>
              <w:spacing w:val="-10"/>
            </w:rPr>
            <w:t>、</w:t>
          </w:r>
          <w:r>
            <w:rPr>
              <w:color w:val="auto"/>
            </w:rPr>
            <w:t>列入目录的产品未经认证</w:t>
          </w:r>
          <w:r>
            <w:rPr>
              <w:color w:val="auto"/>
              <w:spacing w:val="-10"/>
            </w:rPr>
            <w:t>，</w:t>
          </w:r>
          <w:r>
            <w:rPr>
              <w:color w:val="auto"/>
            </w:rPr>
            <w:t>擅自出厂</w:t>
          </w:r>
          <w:r>
            <w:rPr>
              <w:color w:val="auto"/>
              <w:spacing w:val="-8"/>
            </w:rPr>
            <w:t>、</w:t>
          </w:r>
          <w:r>
            <w:rPr>
              <w:color w:val="auto"/>
            </w:rPr>
            <w:t>销售</w:t>
          </w:r>
          <w:r>
            <w:rPr>
              <w:color w:val="auto"/>
              <w:spacing w:val="-10"/>
            </w:rPr>
            <w:t>、</w:t>
          </w:r>
          <w:r>
            <w:rPr>
              <w:color w:val="auto"/>
            </w:rPr>
            <w:t>进口或者在其他经</w:t>
          </w:r>
          <w:r>
            <w:rPr>
              <w:color w:val="auto"/>
              <w:spacing w:val="-15"/>
            </w:rPr>
            <w:t>营</w:t>
          </w:r>
          <w:r>
            <w:rPr>
              <w:color w:val="auto"/>
              <w:spacing w:val="-15"/>
            </w:rPr>
            <w:fldChar w:fldCharType="end"/>
          </w:r>
          <w:r>
            <w:rPr>
              <w:color w:val="auto"/>
            </w:rPr>
            <w:t>活动中使用</w:t>
          </w:r>
          <w:r>
            <w:rPr>
              <w:color w:val="auto"/>
            </w:rPr>
            <w:tab/>
          </w:r>
          <w:r>
            <w:rPr>
              <w:color w:val="auto"/>
              <w:spacing w:val="-6"/>
            </w:rPr>
            <w:t>483</w:t>
          </w:r>
        </w:p>
        <w:p>
          <w:pPr>
            <w:pStyle w:val="5"/>
            <w:tabs>
              <w:tab w:val="left" w:leader="dot" w:pos="8595"/>
            </w:tabs>
            <w:spacing w:after="59" w:line="308" w:lineRule="exact"/>
            <w:rPr>
              <w:color w:val="auto"/>
            </w:rPr>
          </w:pPr>
          <w:r>
            <w:rPr>
              <w:color w:val="auto"/>
            </w:rPr>
            <w:fldChar w:fldCharType="begin"/>
          </w:r>
          <w:r>
            <w:rPr>
              <w:color w:val="auto"/>
            </w:rPr>
            <w:instrText xml:space="preserve"> HYPERLINK \l "_bookmark508" </w:instrText>
          </w:r>
          <w:r>
            <w:rPr>
              <w:color w:val="auto"/>
            </w:rPr>
            <w:fldChar w:fldCharType="separate"/>
          </w:r>
          <w:r>
            <w:rPr>
              <w:color w:val="auto"/>
            </w:rPr>
            <w:t>四百九十七、伪造、冒用、买卖认证标志或者认证证书</w:t>
          </w:r>
          <w:r>
            <w:rPr>
              <w:color w:val="auto"/>
            </w:rPr>
            <w:tab/>
          </w:r>
          <w:r>
            <w:rPr>
              <w:color w:val="auto"/>
            </w:rPr>
            <w:t>484</w:t>
          </w:r>
          <w:r>
            <w:rPr>
              <w:color w:val="auto"/>
            </w:rPr>
            <w:fldChar w:fldCharType="end"/>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"_bookmark509"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"_bookmark509" </w:instrText>
          </w:r>
          <w:r>
            <w:rPr>
              <w:color w:val="auto"/>
            </w:rPr>
            <w:fldChar w:fldCharType="separate"/>
          </w:r>
          <w:r>
            <w:rPr>
              <w:color w:val="auto"/>
            </w:rPr>
            <w:t>百九十八</w:t>
          </w:r>
          <w:r>
            <w:rPr>
              <w:color w:val="auto"/>
              <w:spacing w:val="-12"/>
            </w:rPr>
            <w:t>、</w:t>
          </w:r>
          <w:r>
            <w:rPr>
              <w:color w:val="auto"/>
            </w:rPr>
            <w:t>列入目录的产品经过认证后</w:t>
          </w:r>
          <w:r>
            <w:rPr>
              <w:color w:val="auto"/>
              <w:spacing w:val="-12"/>
            </w:rPr>
            <w:t>，</w:t>
          </w:r>
          <w:r>
            <w:rPr>
              <w:color w:val="auto"/>
            </w:rPr>
            <w:t>不按照法定条件</w:t>
          </w:r>
          <w:r>
            <w:rPr>
              <w:color w:val="auto"/>
              <w:spacing w:val="-12"/>
            </w:rPr>
            <w:t>、</w:t>
          </w:r>
          <w:r>
            <w:rPr>
              <w:color w:val="auto"/>
            </w:rPr>
            <w:t>要求从事生产经</w:t>
          </w:r>
          <w:r>
            <w:rPr>
              <w:color w:val="auto"/>
              <w:spacing w:val="-17"/>
            </w:rPr>
            <w:t>营</w:t>
          </w:r>
          <w:r>
            <w:rPr>
              <w:color w:val="auto"/>
              <w:spacing w:val="-17"/>
            </w:rPr>
            <w:fldChar w:fldCharType="end"/>
          </w:r>
          <w:r>
            <w:rPr>
              <w:color w:val="auto"/>
            </w:rPr>
            <w:t>活动或者生产、销售不符合法定要求的产品</w:t>
          </w:r>
          <w:r>
            <w:rPr>
              <w:color w:val="auto"/>
            </w:rPr>
            <w:tab/>
          </w:r>
          <w:r>
            <w:rPr>
              <w:color w:val="auto"/>
              <w:spacing w:val="-6"/>
            </w:rPr>
            <w:t>485</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"_bookmark510" </w:instrText>
          </w:r>
          <w:r>
            <w:rPr>
              <w:color w:val="auto"/>
            </w:rPr>
            <w:fldChar w:fldCharType="separate"/>
          </w:r>
          <w:r>
            <w:rPr>
              <w:color w:val="auto"/>
            </w:rPr>
            <w:t>四</w:t>
          </w:r>
          <w:r>
            <w:rPr>
              <w:color w:val="auto"/>
            </w:rPr>
            <w:fldChar w:fldCharType="end"/>
          </w:r>
          <w:r>
            <w:rPr>
              <w:color w:val="auto"/>
            </w:rPr>
            <w:fldChar w:fldCharType="begin"/>
          </w:r>
          <w:r>
            <w:rPr>
              <w:color w:val="auto"/>
            </w:rPr>
            <w:instrText xml:space="preserve"> HYPERLINK \l "_bookmark510" </w:instrText>
          </w:r>
          <w:r>
            <w:rPr>
              <w:color w:val="auto"/>
            </w:rPr>
            <w:fldChar w:fldCharType="separate"/>
          </w:r>
          <w:r>
            <w:rPr>
              <w:color w:val="auto"/>
            </w:rPr>
            <w:t>百九十九</w:t>
          </w:r>
          <w:r>
            <w:rPr>
              <w:color w:val="auto"/>
              <w:spacing w:val="-10"/>
            </w:rPr>
            <w:t>、</w:t>
          </w:r>
          <w:r>
            <w:rPr>
              <w:color w:val="auto"/>
            </w:rPr>
            <w:t>认证证书注销</w:t>
          </w:r>
          <w:r>
            <w:rPr>
              <w:color w:val="auto"/>
              <w:spacing w:val="-10"/>
            </w:rPr>
            <w:t>、</w:t>
          </w:r>
          <w:r>
            <w:rPr>
              <w:color w:val="auto"/>
            </w:rPr>
            <w:t>撤销或者暂停期间</w:t>
          </w:r>
          <w:r>
            <w:rPr>
              <w:color w:val="auto"/>
              <w:spacing w:val="-8"/>
            </w:rPr>
            <w:t>，</w:t>
          </w:r>
          <w:r>
            <w:rPr>
              <w:color w:val="auto"/>
            </w:rPr>
            <w:t>不符合认证要求的产品</w:t>
          </w:r>
          <w:r>
            <w:rPr>
              <w:color w:val="auto"/>
              <w:spacing w:val="-10"/>
            </w:rPr>
            <w:t>，</w:t>
          </w:r>
          <w:r>
            <w:rPr>
              <w:color w:val="auto"/>
            </w:rPr>
            <w:t>继</w:t>
          </w:r>
          <w:r>
            <w:rPr>
              <w:color w:val="auto"/>
              <w:spacing w:val="-15"/>
            </w:rPr>
            <w:t>续</w:t>
          </w:r>
          <w:r>
            <w:rPr>
              <w:color w:val="auto"/>
              <w:spacing w:val="-15"/>
            </w:rPr>
            <w:fldChar w:fldCharType="end"/>
          </w:r>
          <w:r>
            <w:rPr>
              <w:color w:val="auto"/>
            </w:rPr>
            <w:t>出厂、销售、进口或者在其他经营活动中使用</w:t>
          </w:r>
          <w:r>
            <w:rPr>
              <w:color w:val="auto"/>
            </w:rPr>
            <w:tab/>
          </w:r>
          <w:r>
            <w:rPr>
              <w:color w:val="auto"/>
              <w:spacing w:val="-6"/>
            </w:rPr>
            <w:t>487</w:t>
          </w:r>
        </w:p>
        <w:p>
          <w:pPr>
            <w:pStyle w:val="5"/>
            <w:tabs>
              <w:tab w:val="left" w:leader="dot" w:pos="8611"/>
            </w:tabs>
            <w:spacing w:line="308" w:lineRule="exact"/>
            <w:rPr>
              <w:color w:val="auto"/>
            </w:rPr>
          </w:pPr>
          <w:r>
            <w:rPr>
              <w:color w:val="auto"/>
            </w:rPr>
            <w:fldChar w:fldCharType="begin"/>
          </w:r>
          <w:r>
            <w:rPr>
              <w:color w:val="auto"/>
            </w:rPr>
            <w:instrText xml:space="preserve"> HYPERLINK \l "_bookmark511" </w:instrText>
          </w:r>
          <w:r>
            <w:rPr>
              <w:color w:val="auto"/>
            </w:rPr>
            <w:fldChar w:fldCharType="separate"/>
          </w:r>
          <w:r>
            <w:rPr>
              <w:color w:val="auto"/>
              <w:spacing w:val="-12"/>
            </w:rPr>
            <w:t>五百、伪造、变造、出租、出借、冒用、买卖或者转让强制性产品认证证</w:t>
          </w:r>
          <w:r>
            <w:rPr>
              <w:color w:val="auto"/>
            </w:rPr>
            <w:t>书</w:t>
          </w:r>
          <w:r>
            <w:rPr>
              <w:color w:val="auto"/>
            </w:rPr>
            <w:tab/>
          </w:r>
          <w:r>
            <w:rPr>
              <w:color w:val="auto"/>
              <w:spacing w:val="-4"/>
            </w:rPr>
            <w:t>488</w:t>
          </w:r>
          <w:r>
            <w:rPr>
              <w:color w:val="auto"/>
              <w:spacing w:val="-4"/>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"_bookmark512" </w:instrText>
          </w:r>
          <w:r>
            <w:rPr>
              <w:color w:val="auto"/>
            </w:rPr>
            <w:fldChar w:fldCharType="separate"/>
          </w:r>
          <w:r>
            <w:rPr>
              <w:color w:val="auto"/>
            </w:rPr>
            <w:t>五百零一、转让或者倒卖强制性产品认证标志</w:t>
          </w:r>
          <w:r>
            <w:rPr>
              <w:color w:val="auto"/>
            </w:rPr>
            <w:tab/>
          </w:r>
          <w:r>
            <w:rPr>
              <w:color w:val="auto"/>
            </w:rPr>
            <w:t>488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"_bookmark513" </w:instrText>
          </w:r>
          <w:r>
            <w:rPr>
              <w:color w:val="auto"/>
            </w:rPr>
            <w:fldChar w:fldCharType="separate"/>
          </w:r>
          <w:r>
            <w:rPr>
              <w:color w:val="auto"/>
            </w:rPr>
            <w:t>五百零二、认证委托人提供的样品与实际生产的产品不一致</w:t>
          </w:r>
          <w:r>
            <w:rPr>
              <w:color w:val="auto"/>
            </w:rPr>
            <w:tab/>
          </w:r>
          <w:r>
            <w:rPr>
              <w:color w:val="auto"/>
            </w:rPr>
            <w:t>489</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"_bookmark514"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"_bookmark514" </w:instrText>
          </w:r>
          <w:r>
            <w:rPr>
              <w:color w:val="auto"/>
            </w:rPr>
            <w:fldChar w:fldCharType="separate"/>
          </w:r>
          <w:r>
            <w:rPr>
              <w:color w:val="auto"/>
            </w:rPr>
            <w:t>百零三</w:t>
          </w:r>
          <w:r>
            <w:rPr>
              <w:color w:val="auto"/>
              <w:spacing w:val="-10"/>
            </w:rPr>
            <w:t>、</w:t>
          </w:r>
          <w:r>
            <w:rPr>
              <w:color w:val="auto"/>
            </w:rPr>
            <w:t>未按照规定向认证机构申请认证证书变更</w:t>
          </w:r>
          <w:r>
            <w:rPr>
              <w:color w:val="auto"/>
              <w:spacing w:val="-10"/>
            </w:rPr>
            <w:t>，</w:t>
          </w:r>
          <w:r>
            <w:rPr>
              <w:color w:val="auto"/>
            </w:rPr>
            <w:t>擅自出厂</w:t>
          </w:r>
          <w:r>
            <w:rPr>
              <w:color w:val="auto"/>
              <w:spacing w:val="-8"/>
            </w:rPr>
            <w:t>、</w:t>
          </w:r>
          <w:r>
            <w:rPr>
              <w:color w:val="auto"/>
            </w:rPr>
            <w:t>销售</w:t>
          </w:r>
          <w:r>
            <w:rPr>
              <w:color w:val="auto"/>
              <w:spacing w:val="-10"/>
            </w:rPr>
            <w:t>、</w:t>
          </w:r>
          <w:r>
            <w:rPr>
              <w:color w:val="auto"/>
            </w:rPr>
            <w:t>进口</w:t>
          </w:r>
          <w:r>
            <w:rPr>
              <w:color w:val="auto"/>
              <w:spacing w:val="-15"/>
            </w:rPr>
            <w:t>或</w:t>
          </w:r>
          <w:r>
            <w:rPr>
              <w:color w:val="auto"/>
              <w:spacing w:val="-15"/>
            </w:rPr>
            <w:fldChar w:fldCharType="end"/>
          </w:r>
          <w:r>
            <w:rPr>
              <w:color w:val="auto"/>
            </w:rPr>
            <w:t>者在其他经营活动中使用列入目录产品</w:t>
          </w:r>
          <w:r>
            <w:rPr>
              <w:color w:val="auto"/>
            </w:rPr>
            <w:tab/>
          </w:r>
          <w:r>
            <w:rPr>
              <w:color w:val="auto"/>
              <w:spacing w:val="-6"/>
            </w:rPr>
            <w:t>490</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"_bookmark515"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"_bookmark515" </w:instrText>
          </w:r>
          <w:r>
            <w:rPr>
              <w:color w:val="auto"/>
            </w:rPr>
            <w:fldChar w:fldCharType="separate"/>
          </w:r>
          <w:r>
            <w:rPr>
              <w:color w:val="auto"/>
            </w:rPr>
            <w:t>百零四</w:t>
          </w:r>
          <w:r>
            <w:rPr>
              <w:color w:val="auto"/>
              <w:spacing w:val="-10"/>
            </w:rPr>
            <w:t>、</w:t>
          </w:r>
          <w:r>
            <w:rPr>
              <w:color w:val="auto"/>
            </w:rPr>
            <w:t>未按照规定向认证机构申请认证证书扩展</w:t>
          </w:r>
          <w:r>
            <w:rPr>
              <w:color w:val="auto"/>
              <w:spacing w:val="-10"/>
            </w:rPr>
            <w:t>，</w:t>
          </w:r>
          <w:r>
            <w:rPr>
              <w:color w:val="auto"/>
            </w:rPr>
            <w:t>擅自出厂</w:t>
          </w:r>
          <w:r>
            <w:rPr>
              <w:color w:val="auto"/>
              <w:spacing w:val="-8"/>
            </w:rPr>
            <w:t>、</w:t>
          </w:r>
          <w:r>
            <w:rPr>
              <w:color w:val="auto"/>
            </w:rPr>
            <w:t>销售</w:t>
          </w:r>
          <w:r>
            <w:rPr>
              <w:color w:val="auto"/>
              <w:spacing w:val="-10"/>
            </w:rPr>
            <w:t>、</w:t>
          </w:r>
          <w:r>
            <w:rPr>
              <w:color w:val="auto"/>
            </w:rPr>
            <w:t>进口</w:t>
          </w:r>
          <w:r>
            <w:rPr>
              <w:color w:val="auto"/>
              <w:spacing w:val="-15"/>
            </w:rPr>
            <w:t>或</w:t>
          </w:r>
          <w:r>
            <w:rPr>
              <w:color w:val="auto"/>
              <w:spacing w:val="-15"/>
            </w:rPr>
            <w:fldChar w:fldCharType="end"/>
          </w:r>
          <w:r>
            <w:rPr>
              <w:color w:val="auto"/>
            </w:rPr>
            <w:t>者在其他经营活动中使用列入目录产品</w:t>
          </w:r>
          <w:r>
            <w:rPr>
              <w:color w:val="auto"/>
            </w:rPr>
            <w:tab/>
          </w:r>
          <w:r>
            <w:rPr>
              <w:color w:val="auto"/>
              <w:spacing w:val="-6"/>
            </w:rPr>
            <w:t>491</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"_bookmark516"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"_bookmark516" </w:instrText>
          </w:r>
          <w:r>
            <w:rPr>
              <w:color w:val="auto"/>
            </w:rPr>
            <w:fldChar w:fldCharType="separate"/>
          </w:r>
          <w:r>
            <w:rPr>
              <w:color w:val="auto"/>
            </w:rPr>
            <w:t>百零五</w:t>
          </w:r>
          <w:r>
            <w:rPr>
              <w:color w:val="auto"/>
              <w:spacing w:val="-36"/>
            </w:rPr>
            <w:t>、</w:t>
          </w:r>
          <w:r>
            <w:rPr>
              <w:color w:val="auto"/>
            </w:rPr>
            <w:t>获证产品及其销售包装上标注的认证证书所含内容与认证证书内容</w:t>
          </w:r>
          <w:r>
            <w:rPr>
              <w:color w:val="auto"/>
              <w:spacing w:val="-17"/>
            </w:rPr>
            <w:t>不</w:t>
          </w:r>
          <w:r>
            <w:rPr>
              <w:color w:val="auto"/>
              <w:spacing w:val="-17"/>
            </w:rPr>
            <w:fldChar w:fldCharType="end"/>
          </w:r>
          <w:r>
            <w:rPr>
              <w:color w:val="auto"/>
            </w:rPr>
            <w:t>一致</w:t>
          </w:r>
          <w:r>
            <w:rPr>
              <w:color w:val="auto"/>
            </w:rPr>
            <w:tab/>
          </w:r>
          <w:r>
            <w:rPr>
              <w:color w:val="auto"/>
              <w:spacing w:val="-6"/>
            </w:rPr>
            <w:t>492</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"_bookmark517"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"_bookmark517" </w:instrText>
          </w:r>
          <w:r>
            <w:rPr>
              <w:color w:val="auto"/>
            </w:rPr>
            <w:fldChar w:fldCharType="separate"/>
          </w:r>
          <w:r>
            <w:rPr>
              <w:color w:val="auto"/>
            </w:rPr>
            <w:t>百零六</w:t>
          </w:r>
          <w:r>
            <w:rPr>
              <w:color w:val="auto"/>
              <w:spacing w:val="-12"/>
            </w:rPr>
            <w:t>、</w:t>
          </w:r>
          <w:r>
            <w:rPr>
              <w:color w:val="auto"/>
            </w:rPr>
            <w:t>未按照认证规则规定在产品及其包装</w:t>
          </w:r>
          <w:r>
            <w:rPr>
              <w:color w:val="auto"/>
              <w:spacing w:val="-12"/>
            </w:rPr>
            <w:t>、</w:t>
          </w:r>
          <w:r>
            <w:rPr>
              <w:color w:val="auto"/>
            </w:rPr>
            <w:t>广告</w:t>
          </w:r>
          <w:r>
            <w:rPr>
              <w:color w:val="auto"/>
              <w:spacing w:val="-12"/>
            </w:rPr>
            <w:t>、</w:t>
          </w:r>
          <w:r>
            <w:rPr>
              <w:color w:val="auto"/>
            </w:rPr>
            <w:t>产品介绍等宣传材料</w:t>
          </w:r>
          <w:r>
            <w:rPr>
              <w:color w:val="auto"/>
              <w:spacing w:val="-17"/>
            </w:rPr>
            <w:t>中</w:t>
          </w:r>
          <w:r>
            <w:rPr>
              <w:color w:val="auto"/>
              <w:spacing w:val="-17"/>
            </w:rPr>
            <w:fldChar w:fldCharType="end"/>
          </w:r>
          <w:r>
            <w:rPr>
              <w:color w:val="auto"/>
            </w:rPr>
            <w:t>正确使用和标注认证标志</w:t>
          </w:r>
          <w:r>
            <w:rPr>
              <w:color w:val="auto"/>
            </w:rPr>
            <w:tab/>
          </w:r>
          <w:r>
            <w:rPr>
              <w:color w:val="auto"/>
              <w:spacing w:val="-6"/>
            </w:rPr>
            <w:t>493</w:t>
          </w:r>
        </w:p>
        <w:p>
          <w:pPr>
            <w:pStyle w:val="5"/>
            <w:tabs>
              <w:tab w:val="left" w:leader="dot" w:pos="8595"/>
            </w:tabs>
            <w:spacing w:line="308" w:lineRule="exact"/>
            <w:rPr>
              <w:color w:val="auto"/>
            </w:rPr>
          </w:pPr>
          <w:r>
            <w:rPr>
              <w:color w:val="auto"/>
            </w:rPr>
            <w:fldChar w:fldCharType="begin"/>
          </w:r>
          <w:r>
            <w:rPr>
              <w:color w:val="auto"/>
            </w:rPr>
            <w:instrText xml:space="preserve"> HYPERLINK \l "_bookmark518" </w:instrText>
          </w:r>
          <w:r>
            <w:rPr>
              <w:color w:val="auto"/>
            </w:rPr>
            <w:fldChar w:fldCharType="separate"/>
          </w:r>
          <w:r>
            <w:rPr>
              <w:color w:val="auto"/>
            </w:rPr>
            <w:t>五百零七、混淆使用认证证书和认证标志</w:t>
          </w:r>
          <w:r>
            <w:rPr>
              <w:color w:val="auto"/>
            </w:rPr>
            <w:tab/>
          </w:r>
          <w:r>
            <w:rPr>
              <w:color w:val="auto"/>
            </w:rPr>
            <w:t>494</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"_bookmark519"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"_bookmark519" </w:instrText>
          </w:r>
          <w:r>
            <w:rPr>
              <w:color w:val="auto"/>
            </w:rPr>
            <w:fldChar w:fldCharType="separate"/>
          </w:r>
          <w:r>
            <w:rPr>
              <w:color w:val="auto"/>
            </w:rPr>
            <w:t>百零八</w:t>
          </w:r>
          <w:r>
            <w:rPr>
              <w:color w:val="auto"/>
              <w:spacing w:val="-10"/>
            </w:rPr>
            <w:t>、</w:t>
          </w:r>
          <w:r>
            <w:rPr>
              <w:color w:val="auto"/>
            </w:rPr>
            <w:t>未通过认证</w:t>
          </w:r>
          <w:r>
            <w:rPr>
              <w:color w:val="auto"/>
              <w:spacing w:val="-10"/>
            </w:rPr>
            <w:t>，</w:t>
          </w:r>
          <w:r>
            <w:rPr>
              <w:color w:val="auto"/>
            </w:rPr>
            <w:t>但在其产品或者产品包装上</w:t>
          </w:r>
          <w:r>
            <w:rPr>
              <w:color w:val="auto"/>
              <w:spacing w:val="-8"/>
            </w:rPr>
            <w:t>、</w:t>
          </w:r>
          <w:r>
            <w:rPr>
              <w:color w:val="auto"/>
            </w:rPr>
            <w:t>广告等其他宣传中</w:t>
          </w:r>
          <w:r>
            <w:rPr>
              <w:color w:val="auto"/>
              <w:spacing w:val="-10"/>
            </w:rPr>
            <w:t>，</w:t>
          </w:r>
          <w:r>
            <w:rPr>
              <w:color w:val="auto"/>
            </w:rPr>
            <w:t>使</w:t>
          </w:r>
          <w:r>
            <w:rPr>
              <w:color w:val="auto"/>
              <w:spacing w:val="-15"/>
            </w:rPr>
            <w:t>用</w:t>
          </w:r>
          <w:r>
            <w:rPr>
              <w:color w:val="auto"/>
              <w:spacing w:val="-15"/>
            </w:rPr>
            <w:fldChar w:fldCharType="end"/>
          </w:r>
          <w:r>
            <w:rPr>
              <w:color w:val="auto"/>
            </w:rPr>
            <w:t>虚假文字表明其通过认证</w:t>
          </w:r>
          <w:r>
            <w:rPr>
              <w:color w:val="auto"/>
            </w:rPr>
            <w:tab/>
          </w:r>
          <w:r>
            <w:rPr>
              <w:color w:val="auto"/>
              <w:spacing w:val="-6"/>
            </w:rPr>
            <w:t>494</w:t>
          </w:r>
        </w:p>
        <w:p>
          <w:pPr>
            <w:pStyle w:val="5"/>
            <w:tabs>
              <w:tab w:val="left" w:leader="dot" w:pos="8595"/>
            </w:tabs>
            <w:spacing w:line="308" w:lineRule="exact"/>
            <w:rPr>
              <w:color w:val="auto"/>
            </w:rPr>
          </w:pPr>
          <w:r>
            <w:rPr>
              <w:color w:val="auto"/>
            </w:rPr>
            <w:fldChar w:fldCharType="begin"/>
          </w:r>
          <w:r>
            <w:rPr>
              <w:color w:val="auto"/>
            </w:rPr>
            <w:instrText xml:space="preserve"> HYPERLINK \l "_bookmark520" </w:instrText>
          </w:r>
          <w:r>
            <w:rPr>
              <w:color w:val="auto"/>
            </w:rPr>
            <w:fldChar w:fldCharType="separate"/>
          </w:r>
          <w:r>
            <w:rPr>
              <w:color w:val="auto"/>
            </w:rPr>
            <w:t>五百零九、伪造、冒用认证证书</w:t>
          </w:r>
          <w:r>
            <w:rPr>
              <w:color w:val="auto"/>
            </w:rPr>
            <w:tab/>
          </w:r>
          <w:r>
            <w:rPr>
              <w:color w:val="auto"/>
            </w:rPr>
            <w:t>496</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"_bookmark521" </w:instrText>
          </w:r>
          <w:r>
            <w:rPr>
              <w:color w:val="auto"/>
            </w:rPr>
            <w:fldChar w:fldCharType="separate"/>
          </w:r>
          <w:r>
            <w:rPr>
              <w:color w:val="auto"/>
            </w:rPr>
            <w:t>五百一十、非法买卖或者转让认证证书</w:t>
          </w:r>
          <w:r>
            <w:rPr>
              <w:color w:val="auto"/>
            </w:rPr>
            <w:tab/>
          </w:r>
          <w:r>
            <w:rPr>
              <w:color w:val="auto"/>
            </w:rPr>
            <w:t>496</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"_bookmark522"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"_bookmark522" </w:instrText>
          </w:r>
          <w:r>
            <w:rPr>
              <w:color w:val="auto"/>
            </w:rPr>
            <w:fldChar w:fldCharType="separate"/>
          </w:r>
          <w:r>
            <w:rPr>
              <w:color w:val="auto"/>
            </w:rPr>
            <w:t>百一十一、认证机构自行制定的认证标志的式样（包括使用的符号</w:t>
          </w:r>
          <w:r>
            <w:rPr>
              <w:color w:val="auto"/>
              <w:spacing w:val="-120"/>
            </w:rPr>
            <w:t>）</w:t>
          </w:r>
          <w:r>
            <w:rPr>
              <w:color w:val="auto"/>
            </w:rPr>
            <w:t>、文字和</w:t>
          </w:r>
          <w:r>
            <w:rPr>
              <w:color w:val="auto"/>
            </w:rPr>
            <w:fldChar w:fldCharType="end"/>
          </w:r>
          <w:r>
            <w:rPr>
              <w:color w:val="auto"/>
            </w:rPr>
            <w:t>名称与强制性认证标志</w:t>
          </w:r>
          <w:r>
            <w:rPr>
              <w:color w:val="auto"/>
              <w:spacing w:val="-36"/>
            </w:rPr>
            <w:t>、</w:t>
          </w:r>
          <w:r>
            <w:rPr>
              <w:color w:val="auto"/>
            </w:rPr>
            <w:t>国家统一的自愿性认证标志或者已经国家认监委备案</w:t>
          </w:r>
          <w:r>
            <w:rPr>
              <w:color w:val="auto"/>
              <w:spacing w:val="-17"/>
            </w:rPr>
            <w:t>的</w:t>
          </w:r>
          <w:r>
            <w:rPr>
              <w:color w:val="auto"/>
            </w:rPr>
            <w:t>认证机构自行制定的认证标志相同或者近似</w:t>
          </w:r>
          <w:r>
            <w:rPr>
              <w:color w:val="auto"/>
            </w:rPr>
            <w:tab/>
          </w:r>
          <w:r>
            <w:rPr>
              <w:color w:val="auto"/>
              <w:spacing w:val="-6"/>
            </w:rPr>
            <w:t>496</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"_bookmark523"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"_bookmark523" </w:instrText>
          </w:r>
          <w:r>
            <w:rPr>
              <w:color w:val="auto"/>
            </w:rPr>
            <w:fldChar w:fldCharType="separate"/>
          </w:r>
          <w:r>
            <w:rPr>
              <w:color w:val="auto"/>
            </w:rPr>
            <w:t>百一十二</w:t>
          </w:r>
          <w:r>
            <w:rPr>
              <w:color w:val="auto"/>
              <w:spacing w:val="-12"/>
            </w:rPr>
            <w:t>、</w:t>
          </w:r>
          <w:r>
            <w:rPr>
              <w:color w:val="auto"/>
            </w:rPr>
            <w:t>认证机构发现其认证的产品</w:t>
          </w:r>
          <w:r>
            <w:rPr>
              <w:color w:val="auto"/>
              <w:spacing w:val="-12"/>
            </w:rPr>
            <w:t>、</w:t>
          </w:r>
          <w:r>
            <w:rPr>
              <w:color w:val="auto"/>
            </w:rPr>
            <w:t>服务</w:t>
          </w:r>
          <w:r>
            <w:rPr>
              <w:color w:val="auto"/>
              <w:spacing w:val="-12"/>
            </w:rPr>
            <w:t>、</w:t>
          </w:r>
          <w:r>
            <w:rPr>
              <w:color w:val="auto"/>
            </w:rPr>
            <w:t>管理体系不能持续符合认证</w:t>
          </w:r>
          <w:r>
            <w:rPr>
              <w:color w:val="auto"/>
              <w:spacing w:val="-17"/>
            </w:rPr>
            <w:t>要</w:t>
          </w:r>
          <w:r>
            <w:rPr>
              <w:color w:val="auto"/>
              <w:spacing w:val="-17"/>
            </w:rPr>
            <w:fldChar w:fldCharType="end"/>
          </w:r>
          <w:r>
            <w:rPr>
              <w:color w:val="auto"/>
            </w:rPr>
            <w:t>求</w:t>
          </w:r>
          <w:r>
            <w:rPr>
              <w:color w:val="auto"/>
              <w:spacing w:val="-20"/>
            </w:rPr>
            <w:t>，</w:t>
          </w:r>
          <w:r>
            <w:rPr>
              <w:color w:val="auto"/>
            </w:rPr>
            <w:t>不及时暂停其使用认证证书和认证标志</w:t>
          </w:r>
          <w:r>
            <w:rPr>
              <w:color w:val="auto"/>
              <w:spacing w:val="-17"/>
            </w:rPr>
            <w:t>，</w:t>
          </w:r>
          <w:r>
            <w:rPr>
              <w:color w:val="auto"/>
            </w:rPr>
            <w:t>或者不及时撤销认证证书或者停</w:t>
          </w:r>
          <w:r>
            <w:rPr>
              <w:color w:val="auto"/>
              <w:spacing w:val="-16"/>
            </w:rPr>
            <w:t>止</w:t>
          </w:r>
          <w:r>
            <w:rPr>
              <w:color w:val="auto"/>
            </w:rPr>
            <w:t>其使用认证标志</w:t>
          </w:r>
          <w:r>
            <w:rPr>
              <w:color w:val="auto"/>
            </w:rPr>
            <w:tab/>
          </w:r>
          <w:r>
            <w:rPr>
              <w:color w:val="auto"/>
              <w:spacing w:val="-6"/>
            </w:rPr>
            <w:t>497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"_bookmark524"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"_bookmark524" </w:instrText>
          </w:r>
          <w:r>
            <w:rPr>
              <w:color w:val="auto"/>
            </w:rPr>
            <w:fldChar w:fldCharType="separate"/>
          </w:r>
          <w:r>
            <w:rPr>
              <w:color w:val="auto"/>
            </w:rPr>
            <w:t>百一十三</w:t>
          </w:r>
          <w:r>
            <w:rPr>
              <w:color w:val="auto"/>
              <w:spacing w:val="-36"/>
            </w:rPr>
            <w:t>、</w:t>
          </w:r>
          <w:r>
            <w:rPr>
              <w:color w:val="auto"/>
            </w:rPr>
            <w:t>认证机构未按照规定向社会公布本机构认证证书和认证标志使用</w:t>
          </w:r>
          <w:r>
            <w:rPr>
              <w:color w:val="auto"/>
              <w:spacing w:val="-17"/>
            </w:rPr>
            <w:t>等</w:t>
          </w:r>
          <w:r>
            <w:rPr>
              <w:color w:val="auto"/>
              <w:spacing w:val="-17"/>
            </w:rPr>
            <w:fldChar w:fldCharType="end"/>
          </w:r>
          <w:r>
            <w:rPr>
              <w:color w:val="auto"/>
            </w:rPr>
            <w:t>相关信息</w:t>
          </w:r>
          <w:r>
            <w:rPr>
              <w:color w:val="auto"/>
            </w:rPr>
            <w:tab/>
          </w:r>
          <w:r>
            <w:rPr>
              <w:color w:val="auto"/>
              <w:spacing w:val="-6"/>
            </w:rPr>
            <w:t>499</w:t>
          </w:r>
        </w:p>
        <w:p>
          <w:pPr>
            <w:pStyle w:val="5"/>
            <w:tabs>
              <w:tab w:val="left" w:leader="dot" w:pos="8595"/>
            </w:tabs>
            <w:spacing w:after="59" w:line="308" w:lineRule="exact"/>
            <w:rPr>
              <w:color w:val="auto"/>
            </w:rPr>
          </w:pPr>
          <w:r>
            <w:rPr>
              <w:color w:val="auto"/>
            </w:rPr>
            <w:fldChar w:fldCharType="begin"/>
          </w:r>
          <w:r>
            <w:rPr>
              <w:color w:val="auto"/>
            </w:rPr>
            <w:instrText xml:space="preserve"> HYPERLINK \l "_bookmark525" </w:instrText>
          </w:r>
          <w:r>
            <w:rPr>
              <w:color w:val="auto"/>
            </w:rPr>
            <w:fldChar w:fldCharType="separate"/>
          </w:r>
          <w:r>
            <w:rPr>
              <w:color w:val="auto"/>
            </w:rPr>
            <w:t>五百一十四、伪造、冒用、非法买卖认证标志</w:t>
          </w:r>
          <w:r>
            <w:rPr>
              <w:color w:val="auto"/>
            </w:rPr>
            <w:tab/>
          </w:r>
          <w:r>
            <w:rPr>
              <w:color w:val="auto"/>
            </w:rPr>
            <w:t>499</w:t>
          </w:r>
          <w:r>
            <w:rPr>
              <w:color w:val="auto"/>
            </w:rPr>
            <w:fldChar w:fldCharType="end"/>
          </w:r>
        </w:p>
        <w:p>
          <w:pPr>
            <w:pStyle w:val="5"/>
            <w:tabs>
              <w:tab w:val="left" w:leader="dot" w:pos="8595"/>
            </w:tabs>
            <w:spacing w:before="127"/>
            <w:rPr>
              <w:color w:val="auto"/>
            </w:rPr>
          </w:pPr>
          <w:r>
            <w:rPr>
              <w:color w:val="auto"/>
            </w:rPr>
            <w:fldChar w:fldCharType="begin"/>
          </w:r>
          <w:r>
            <w:rPr>
              <w:color w:val="auto"/>
            </w:rPr>
            <w:instrText xml:space="preserve"> HYPERLINK \l "_bookmark526" </w:instrText>
          </w:r>
          <w:r>
            <w:rPr>
              <w:color w:val="auto"/>
            </w:rPr>
            <w:fldChar w:fldCharType="separate"/>
          </w:r>
          <w:r>
            <w:rPr>
              <w:color w:val="auto"/>
            </w:rPr>
            <w:t>五百一十五、伪造、变造、冒用、非法买卖、转让、涂改认证证书</w:t>
          </w:r>
          <w:r>
            <w:rPr>
              <w:color w:val="auto"/>
            </w:rPr>
            <w:tab/>
          </w:r>
          <w:r>
            <w:rPr>
              <w:color w:val="auto"/>
            </w:rPr>
            <w:t>500</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"_bookmark527"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"_bookmark527" </w:instrText>
          </w:r>
          <w:r>
            <w:rPr>
              <w:color w:val="auto"/>
            </w:rPr>
            <w:fldChar w:fldCharType="separate"/>
          </w:r>
          <w:r>
            <w:rPr>
              <w:color w:val="auto"/>
            </w:rPr>
            <w:t>百一十六</w:t>
          </w:r>
          <w:r>
            <w:rPr>
              <w:color w:val="auto"/>
              <w:spacing w:val="-36"/>
            </w:rPr>
            <w:t>、</w:t>
          </w:r>
          <w:r>
            <w:rPr>
              <w:color w:val="auto"/>
            </w:rPr>
            <w:t>认证机构向不符合国家规定的有机产品生产产地环境要求区域或</w:t>
          </w:r>
          <w:r>
            <w:rPr>
              <w:color w:val="auto"/>
              <w:spacing w:val="-17"/>
            </w:rPr>
            <w:t>者</w:t>
          </w:r>
          <w:r>
            <w:rPr>
              <w:color w:val="auto"/>
              <w:spacing w:val="-17"/>
            </w:rPr>
            <w:fldChar w:fldCharType="end"/>
          </w:r>
          <w:r>
            <w:rPr>
              <w:color w:val="auto"/>
            </w:rPr>
            <w:t>有机产品认证目录外产品的认证委托人出具认证证书</w:t>
          </w:r>
          <w:r>
            <w:rPr>
              <w:color w:val="auto"/>
            </w:rPr>
            <w:tab/>
          </w:r>
          <w:r>
            <w:rPr>
              <w:color w:val="auto"/>
              <w:spacing w:val="-6"/>
            </w:rPr>
            <w:t>501</w:t>
          </w:r>
        </w:p>
        <w:p>
          <w:pPr>
            <w:pStyle w:val="5"/>
            <w:tabs>
              <w:tab w:val="left" w:leader="dot" w:pos="8595"/>
            </w:tabs>
            <w:spacing w:line="374" w:lineRule="auto"/>
            <w:ind w:left="548" w:right="139" w:firstLine="43"/>
            <w:rPr>
              <w:color w:val="auto"/>
            </w:rPr>
          </w:pPr>
          <w:r>
            <w:rPr>
              <w:color w:val="auto"/>
            </w:rPr>
            <w:fldChar w:fldCharType="begin"/>
          </w:r>
          <w:r>
            <w:rPr>
              <w:color w:val="auto"/>
            </w:rPr>
            <w:instrText xml:space="preserve"> HYPERLINK \l "_bookmark528" </w:instrText>
          </w:r>
          <w:r>
            <w:rPr>
              <w:color w:val="auto"/>
            </w:rPr>
            <w:fldChar w:fldCharType="separate"/>
          </w:r>
          <w:r>
            <w:rPr>
              <w:color w:val="auto"/>
              <w:spacing w:val="-22"/>
            </w:rPr>
            <w:t>五</w:t>
          </w:r>
          <w:r>
            <w:rPr>
              <w:color w:val="auto"/>
              <w:spacing w:val="-22"/>
            </w:rPr>
            <w:fldChar w:fldCharType="end"/>
          </w:r>
          <w:r>
            <w:rPr>
              <w:color w:val="auto"/>
            </w:rPr>
            <w:fldChar w:fldCharType="begin"/>
          </w:r>
          <w:r>
            <w:rPr>
              <w:color w:val="auto"/>
            </w:rPr>
            <w:instrText xml:space="preserve"> HYPERLINK \l "_bookmark528" </w:instrText>
          </w:r>
          <w:r>
            <w:rPr>
              <w:color w:val="auto"/>
            </w:rPr>
            <w:fldChar w:fldCharType="separate"/>
          </w:r>
          <w:r>
            <w:rPr>
              <w:color w:val="auto"/>
              <w:spacing w:val="-22"/>
            </w:rPr>
            <w:t>百</w:t>
          </w:r>
          <w:r>
            <w:rPr>
              <w:color w:val="auto"/>
              <w:spacing w:val="-24"/>
            </w:rPr>
            <w:t>一</w:t>
          </w:r>
          <w:r>
            <w:rPr>
              <w:color w:val="auto"/>
              <w:spacing w:val="-22"/>
            </w:rPr>
            <w:t>十七</w:t>
          </w:r>
          <w:r>
            <w:rPr>
              <w:color w:val="auto"/>
              <w:spacing w:val="-29"/>
            </w:rPr>
            <w:t>、</w:t>
          </w:r>
          <w:r>
            <w:rPr>
              <w:color w:val="auto"/>
              <w:spacing w:val="-22"/>
            </w:rPr>
            <w:t>未获</w:t>
          </w:r>
          <w:r>
            <w:rPr>
              <w:color w:val="auto"/>
              <w:spacing w:val="-24"/>
            </w:rPr>
            <w:t>得</w:t>
          </w:r>
          <w:r>
            <w:rPr>
              <w:color w:val="auto"/>
              <w:spacing w:val="-22"/>
            </w:rPr>
            <w:t>有机产品认</w:t>
          </w:r>
          <w:r>
            <w:rPr>
              <w:color w:val="auto"/>
              <w:spacing w:val="-24"/>
            </w:rPr>
            <w:t>证</w:t>
          </w:r>
          <w:r>
            <w:rPr>
              <w:color w:val="auto"/>
              <w:spacing w:val="-22"/>
            </w:rPr>
            <w:t>的产品</w:t>
          </w:r>
          <w:r>
            <w:rPr>
              <w:color w:val="auto"/>
              <w:spacing w:val="-32"/>
            </w:rPr>
            <w:t>，</w:t>
          </w:r>
          <w:r>
            <w:rPr>
              <w:color w:val="auto"/>
              <w:spacing w:val="-22"/>
            </w:rPr>
            <w:t>在产</w:t>
          </w:r>
          <w:r>
            <w:rPr>
              <w:color w:val="auto"/>
              <w:spacing w:val="-24"/>
            </w:rPr>
            <w:t>品</w:t>
          </w:r>
          <w:r>
            <w:rPr>
              <w:color w:val="auto"/>
              <w:spacing w:val="-22"/>
            </w:rPr>
            <w:t>或者产品包</w:t>
          </w:r>
          <w:r>
            <w:rPr>
              <w:color w:val="auto"/>
              <w:spacing w:val="-24"/>
            </w:rPr>
            <w:t>装</w:t>
          </w:r>
          <w:r>
            <w:rPr>
              <w:color w:val="auto"/>
              <w:spacing w:val="-22"/>
            </w:rPr>
            <w:t>及标签上标</w:t>
          </w:r>
          <w:r>
            <w:rPr>
              <w:color w:val="auto"/>
              <w:spacing w:val="-29"/>
            </w:rPr>
            <w:t>注</w:t>
          </w:r>
          <w:r>
            <w:rPr>
              <w:color w:val="auto"/>
              <w:spacing w:val="-22"/>
            </w:rPr>
            <w:t>“有机</w:t>
          </w:r>
          <w:r>
            <w:rPr>
              <w:color w:val="auto"/>
              <w:spacing w:val="-32"/>
            </w:rPr>
            <w:t>”</w:t>
          </w:r>
          <w:r>
            <w:rPr>
              <w:color w:val="auto"/>
            </w:rPr>
            <w:t>、</w:t>
          </w:r>
          <w:r>
            <w:rPr>
              <w:color w:val="auto"/>
            </w:rPr>
            <w:fldChar w:fldCharType="end"/>
          </w:r>
          <w:r>
            <w:rPr>
              <w:color w:val="auto"/>
              <w:spacing w:val="-14"/>
            </w:rPr>
            <w:t>“ORGANIC”</w:t>
          </w:r>
          <w:r>
            <w:rPr>
              <w:color w:val="auto"/>
              <w:spacing w:val="-22"/>
            </w:rPr>
            <w:t>等字</w:t>
          </w:r>
          <w:r>
            <w:rPr>
              <w:color w:val="auto"/>
              <w:spacing w:val="-24"/>
            </w:rPr>
            <w:t>样</w:t>
          </w:r>
          <w:r>
            <w:rPr>
              <w:color w:val="auto"/>
              <w:spacing w:val="-22"/>
            </w:rPr>
            <w:t>且可能误导</w:t>
          </w:r>
          <w:r>
            <w:rPr>
              <w:color w:val="auto"/>
              <w:spacing w:val="-24"/>
            </w:rPr>
            <w:t>公</w:t>
          </w:r>
          <w:r>
            <w:rPr>
              <w:color w:val="auto"/>
              <w:spacing w:val="-22"/>
            </w:rPr>
            <w:t>众认为该产</w:t>
          </w:r>
          <w:r>
            <w:rPr>
              <w:color w:val="auto"/>
              <w:spacing w:val="-24"/>
            </w:rPr>
            <w:t>品</w:t>
          </w:r>
          <w:r>
            <w:rPr>
              <w:color w:val="auto"/>
              <w:spacing w:val="-22"/>
            </w:rPr>
            <w:t>为有机产品</w:t>
          </w:r>
          <w:r>
            <w:rPr>
              <w:color w:val="auto"/>
              <w:spacing w:val="-24"/>
            </w:rPr>
            <w:t>的</w:t>
          </w:r>
          <w:r>
            <w:rPr>
              <w:color w:val="auto"/>
              <w:spacing w:val="-22"/>
            </w:rPr>
            <w:t>文字表述和</w:t>
          </w:r>
          <w:r>
            <w:rPr>
              <w:color w:val="auto"/>
              <w:spacing w:val="-24"/>
            </w:rPr>
            <w:t>图</w:t>
          </w:r>
          <w:r>
            <w:rPr>
              <w:color w:val="auto"/>
              <w:spacing w:val="-22"/>
            </w:rPr>
            <w:t>案</w:t>
          </w:r>
          <w:r>
            <w:rPr>
              <w:color w:val="auto"/>
              <w:spacing w:val="-22"/>
            </w:rPr>
            <w:tab/>
          </w:r>
          <w:r>
            <w:rPr>
              <w:color w:val="auto"/>
            </w:rPr>
            <w:t>501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"_bookmark529"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"_bookmark529" </w:instrText>
          </w:r>
          <w:r>
            <w:rPr>
              <w:color w:val="auto"/>
            </w:rPr>
            <w:fldChar w:fldCharType="separate"/>
          </w:r>
          <w:r>
            <w:rPr>
              <w:color w:val="auto"/>
            </w:rPr>
            <w:t>百一十八</w:t>
          </w:r>
          <w:r>
            <w:rPr>
              <w:color w:val="auto"/>
              <w:spacing w:val="-20"/>
            </w:rPr>
            <w:t>、</w:t>
          </w:r>
          <w:r>
            <w:rPr>
              <w:color w:val="auto"/>
            </w:rPr>
            <w:t>认证机构发放的有机产品销售证数量</w:t>
          </w:r>
          <w:r>
            <w:rPr>
              <w:color w:val="auto"/>
              <w:spacing w:val="-17"/>
            </w:rPr>
            <w:t>，</w:t>
          </w:r>
          <w:r>
            <w:rPr>
              <w:color w:val="auto"/>
            </w:rPr>
            <w:t>超过获证产品的认证委托</w:t>
          </w:r>
          <w:r>
            <w:rPr>
              <w:color w:val="auto"/>
              <w:spacing w:val="-16"/>
            </w:rPr>
            <w:t>人</w:t>
          </w:r>
          <w:r>
            <w:rPr>
              <w:color w:val="auto"/>
              <w:spacing w:val="-16"/>
            </w:rPr>
            <w:fldChar w:fldCharType="end"/>
          </w:r>
          <w:r>
            <w:rPr>
              <w:color w:val="auto"/>
            </w:rPr>
            <w:t>所生产、加工的有机产品实际数量</w:t>
          </w:r>
          <w:r>
            <w:rPr>
              <w:color w:val="auto"/>
            </w:rPr>
            <w:tab/>
          </w:r>
          <w:r>
            <w:rPr>
              <w:color w:val="auto"/>
              <w:spacing w:val="-6"/>
            </w:rPr>
            <w:t>502</w:t>
          </w:r>
        </w:p>
        <w:p>
          <w:pPr>
            <w:pStyle w:val="5"/>
            <w:tabs>
              <w:tab w:val="left" w:leader="dot" w:pos="8611"/>
            </w:tabs>
            <w:spacing w:line="308" w:lineRule="exact"/>
            <w:rPr>
              <w:color w:val="auto"/>
            </w:rPr>
          </w:pPr>
          <w:r>
            <w:rPr>
              <w:color w:val="auto"/>
            </w:rPr>
            <w:fldChar w:fldCharType="begin"/>
          </w:r>
          <w:r>
            <w:rPr>
              <w:color w:val="auto"/>
            </w:rPr>
            <w:instrText xml:space="preserve"> HYPERLINK \l "_bookmark530" </w:instrText>
          </w:r>
          <w:r>
            <w:rPr>
              <w:color w:val="auto"/>
            </w:rPr>
            <w:fldChar w:fldCharType="separate"/>
          </w:r>
          <w:r>
            <w:rPr>
              <w:color w:val="auto"/>
              <w:spacing w:val="-12"/>
            </w:rPr>
            <w:t>五百一十九、认证机构对有机配料含量低</w:t>
          </w:r>
          <w:r>
            <w:rPr>
              <w:color w:val="auto"/>
            </w:rPr>
            <w:t>于</w:t>
          </w:r>
          <w:r>
            <w:rPr>
              <w:color w:val="auto"/>
              <w:spacing w:val="-75"/>
            </w:rPr>
            <w:t xml:space="preserve"> </w:t>
          </w:r>
          <w:r>
            <w:rPr>
              <w:color w:val="auto"/>
              <w:spacing w:val="-9"/>
            </w:rPr>
            <w:t>95％</w:t>
          </w:r>
          <w:r>
            <w:rPr>
              <w:color w:val="auto"/>
              <w:spacing w:val="-12"/>
            </w:rPr>
            <w:t>的加工产品进行有机产品认</w:t>
          </w:r>
          <w:r>
            <w:rPr>
              <w:color w:val="auto"/>
            </w:rPr>
            <w:t>证</w:t>
          </w:r>
          <w:r>
            <w:rPr>
              <w:color w:val="auto"/>
            </w:rPr>
            <w:tab/>
          </w:r>
          <w:r>
            <w:rPr>
              <w:color w:val="auto"/>
              <w:spacing w:val="-4"/>
            </w:rPr>
            <w:t>503</w:t>
          </w:r>
          <w:r>
            <w:rPr>
              <w:color w:val="auto"/>
              <w:spacing w:val="-4"/>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"_bookmark531" </w:instrText>
          </w:r>
          <w:r>
            <w:rPr>
              <w:color w:val="auto"/>
            </w:rPr>
            <w:fldChar w:fldCharType="separate"/>
          </w:r>
          <w:r>
            <w:rPr>
              <w:color w:val="auto"/>
            </w:rPr>
            <w:t>五百二十、认证机构未及时暂停或者撤销认证证书并对外公布</w:t>
          </w:r>
          <w:r>
            <w:rPr>
              <w:color w:val="auto"/>
            </w:rPr>
            <w:tab/>
          </w:r>
          <w:r>
            <w:rPr>
              <w:color w:val="auto"/>
            </w:rPr>
            <w:t>504</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"_bookmark532"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"_bookmark532" </w:instrText>
          </w:r>
          <w:r>
            <w:rPr>
              <w:color w:val="auto"/>
            </w:rPr>
            <w:fldChar w:fldCharType="separate"/>
          </w:r>
          <w:r>
            <w:rPr>
              <w:color w:val="auto"/>
            </w:rPr>
            <w:t>百二十一</w:t>
          </w:r>
          <w:r>
            <w:rPr>
              <w:color w:val="auto"/>
              <w:spacing w:val="-20"/>
            </w:rPr>
            <w:t>、</w:t>
          </w:r>
          <w:r>
            <w:rPr>
              <w:color w:val="auto"/>
            </w:rPr>
            <w:t>认证委托人未获得有机产品认证的加工产品</w:t>
          </w:r>
          <w:r>
            <w:rPr>
              <w:color w:val="auto"/>
              <w:spacing w:val="-17"/>
            </w:rPr>
            <w:t>，</w:t>
          </w:r>
          <w:r>
            <w:rPr>
              <w:color w:val="auto"/>
            </w:rPr>
            <w:t>违规进行有机产品</w:t>
          </w:r>
          <w:r>
            <w:rPr>
              <w:color w:val="auto"/>
              <w:spacing w:val="-16"/>
            </w:rPr>
            <w:t>认</w:t>
          </w:r>
          <w:r>
            <w:rPr>
              <w:color w:val="auto"/>
              <w:spacing w:val="-16"/>
            </w:rPr>
            <w:fldChar w:fldCharType="end"/>
          </w:r>
          <w:r>
            <w:rPr>
              <w:color w:val="auto"/>
            </w:rPr>
            <w:t>证标识标注</w:t>
          </w:r>
          <w:r>
            <w:rPr>
              <w:color w:val="auto"/>
            </w:rPr>
            <w:tab/>
          </w:r>
          <w:r>
            <w:rPr>
              <w:color w:val="auto"/>
              <w:spacing w:val="-6"/>
            </w:rPr>
            <w:t>505</w:t>
          </w:r>
        </w:p>
        <w:p>
          <w:pPr>
            <w:pStyle w:val="5"/>
            <w:tabs>
              <w:tab w:val="left" w:leader="dot" w:pos="8595"/>
            </w:tabs>
            <w:spacing w:line="308" w:lineRule="exact"/>
            <w:rPr>
              <w:color w:val="auto"/>
            </w:rPr>
          </w:pPr>
          <w:r>
            <w:rPr>
              <w:color w:val="auto"/>
            </w:rPr>
            <w:fldChar w:fldCharType="begin"/>
          </w:r>
          <w:r>
            <w:rPr>
              <w:color w:val="auto"/>
            </w:rPr>
            <w:instrText xml:space="preserve"> HYPERLINK \l "_bookmark533" </w:instrText>
          </w:r>
          <w:r>
            <w:rPr>
              <w:color w:val="auto"/>
            </w:rPr>
            <w:fldChar w:fldCharType="separate"/>
          </w:r>
          <w:r>
            <w:rPr>
              <w:color w:val="auto"/>
            </w:rPr>
            <w:t>五百二十二、认证委托人违规使用认证标志</w:t>
          </w:r>
          <w:r>
            <w:rPr>
              <w:color w:val="auto"/>
            </w:rPr>
            <w:tab/>
          </w:r>
          <w:r>
            <w:rPr>
              <w:color w:val="auto"/>
            </w:rPr>
            <w:t>506</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"_bookmark534"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"_bookmark534" </w:instrText>
          </w:r>
          <w:r>
            <w:rPr>
              <w:color w:val="auto"/>
            </w:rPr>
            <w:fldChar w:fldCharType="separate"/>
          </w:r>
          <w:r>
            <w:rPr>
              <w:color w:val="auto"/>
            </w:rPr>
            <w:t>百二十三</w:t>
          </w:r>
          <w:r>
            <w:rPr>
              <w:color w:val="auto"/>
              <w:spacing w:val="-12"/>
            </w:rPr>
            <w:t>、</w:t>
          </w:r>
          <w:r>
            <w:rPr>
              <w:color w:val="auto"/>
            </w:rPr>
            <w:t>认证委托人在认证证书暂停期间或者被注销</w:t>
          </w:r>
          <w:r>
            <w:rPr>
              <w:color w:val="auto"/>
              <w:spacing w:val="-12"/>
            </w:rPr>
            <w:t>、</w:t>
          </w:r>
          <w:r>
            <w:rPr>
              <w:color w:val="auto"/>
            </w:rPr>
            <w:t>撤销后</w:t>
          </w:r>
          <w:r>
            <w:rPr>
              <w:color w:val="auto"/>
              <w:spacing w:val="-12"/>
            </w:rPr>
            <w:t>，</w:t>
          </w:r>
          <w:r>
            <w:rPr>
              <w:color w:val="auto"/>
            </w:rPr>
            <w:t>仍继续使</w:t>
          </w:r>
          <w:r>
            <w:rPr>
              <w:color w:val="auto"/>
              <w:spacing w:val="-17"/>
            </w:rPr>
            <w:t>用</w:t>
          </w:r>
          <w:r>
            <w:rPr>
              <w:color w:val="auto"/>
              <w:spacing w:val="-17"/>
            </w:rPr>
            <w:fldChar w:fldCharType="end"/>
          </w:r>
          <w:r>
            <w:rPr>
              <w:color w:val="auto"/>
            </w:rPr>
            <w:t>认证证书和认证标志</w:t>
          </w:r>
          <w:r>
            <w:rPr>
              <w:color w:val="auto"/>
            </w:rPr>
            <w:tab/>
          </w:r>
          <w:r>
            <w:rPr>
              <w:color w:val="auto"/>
              <w:spacing w:val="-6"/>
            </w:rPr>
            <w:t>507</w:t>
          </w:r>
        </w:p>
        <w:p>
          <w:pPr>
            <w:pStyle w:val="5"/>
            <w:tabs>
              <w:tab w:val="left" w:leader="dot" w:pos="8595"/>
            </w:tabs>
            <w:spacing w:line="308" w:lineRule="exact"/>
            <w:rPr>
              <w:color w:val="auto"/>
            </w:rPr>
          </w:pPr>
          <w:r>
            <w:rPr>
              <w:color w:val="auto"/>
            </w:rPr>
            <w:fldChar w:fldCharType="begin"/>
          </w:r>
          <w:r>
            <w:rPr>
              <w:color w:val="auto"/>
            </w:rPr>
            <w:instrText xml:space="preserve"> HYPERLINK \l "_bookmark535" </w:instrText>
          </w:r>
          <w:r>
            <w:rPr>
              <w:color w:val="auto"/>
            </w:rPr>
            <w:fldChar w:fldCharType="separate"/>
          </w:r>
          <w:r>
            <w:rPr>
              <w:color w:val="auto"/>
            </w:rPr>
            <w:t>五百二十四、拒绝接受国家认监委或者地方认证监管部门监督检查</w:t>
          </w:r>
          <w:r>
            <w:rPr>
              <w:color w:val="auto"/>
            </w:rPr>
            <w:tab/>
          </w:r>
          <w:r>
            <w:rPr>
              <w:color w:val="auto"/>
            </w:rPr>
            <w:t>508</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"_bookmark536"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"_bookmark536" </w:instrText>
          </w:r>
          <w:r>
            <w:rPr>
              <w:color w:val="auto"/>
            </w:rPr>
            <w:fldChar w:fldCharType="separate"/>
          </w:r>
          <w:r>
            <w:rPr>
              <w:color w:val="auto"/>
            </w:rPr>
            <w:t>百二十五</w:t>
          </w:r>
          <w:r>
            <w:rPr>
              <w:color w:val="auto"/>
              <w:spacing w:val="-8"/>
            </w:rPr>
            <w:t>、</w:t>
          </w:r>
          <w:r>
            <w:rPr>
              <w:color w:val="auto"/>
            </w:rPr>
            <w:t>伪造</w:t>
          </w:r>
          <w:r>
            <w:rPr>
              <w:color w:val="auto"/>
              <w:spacing w:val="-8"/>
            </w:rPr>
            <w:t>、</w:t>
          </w:r>
          <w:r>
            <w:rPr>
              <w:color w:val="auto"/>
            </w:rPr>
            <w:t>冒用</w:t>
          </w:r>
          <w:r>
            <w:rPr>
              <w:color w:val="auto"/>
              <w:spacing w:val="-8"/>
            </w:rPr>
            <w:t>、</w:t>
          </w:r>
          <w:r>
            <w:rPr>
              <w:color w:val="auto"/>
            </w:rPr>
            <w:t>转让</w:t>
          </w:r>
          <w:r>
            <w:rPr>
              <w:color w:val="auto"/>
              <w:spacing w:val="-8"/>
            </w:rPr>
            <w:t>、</w:t>
          </w:r>
          <w:r>
            <w:rPr>
              <w:color w:val="auto"/>
            </w:rPr>
            <w:t>买卖无公害农产品产地认定证书</w:t>
          </w:r>
          <w:r>
            <w:rPr>
              <w:color w:val="auto"/>
              <w:spacing w:val="-10"/>
            </w:rPr>
            <w:t>、</w:t>
          </w:r>
          <w:r>
            <w:rPr>
              <w:color w:val="auto"/>
            </w:rPr>
            <w:t>产品认证</w:t>
          </w:r>
          <w:r>
            <w:rPr>
              <w:color w:val="auto"/>
              <w:spacing w:val="-11"/>
            </w:rPr>
            <w:t>证</w:t>
          </w:r>
          <w:r>
            <w:rPr>
              <w:color w:val="auto"/>
              <w:spacing w:val="-11"/>
            </w:rPr>
            <w:fldChar w:fldCharType="end"/>
          </w:r>
          <w:r>
            <w:rPr>
              <w:color w:val="auto"/>
            </w:rPr>
            <w:t>书和标志</w:t>
          </w:r>
          <w:r>
            <w:rPr>
              <w:color w:val="auto"/>
            </w:rPr>
            <w:tab/>
          </w:r>
          <w:r>
            <w:rPr>
              <w:color w:val="auto"/>
              <w:spacing w:val="-6"/>
            </w:rPr>
            <w:t>508</w:t>
          </w:r>
        </w:p>
        <w:p>
          <w:pPr>
            <w:pStyle w:val="5"/>
            <w:tabs>
              <w:tab w:val="left" w:leader="dot" w:pos="8595"/>
            </w:tabs>
            <w:spacing w:line="374" w:lineRule="auto"/>
            <w:ind w:right="232"/>
            <w:rPr>
              <w:color w:val="auto"/>
            </w:rPr>
          </w:pPr>
          <w:r>
            <w:rPr>
              <w:color w:val="auto"/>
            </w:rPr>
            <w:fldChar w:fldCharType="begin"/>
          </w:r>
          <w:r>
            <w:rPr>
              <w:color w:val="auto"/>
            </w:rPr>
            <w:instrText xml:space="preserve"> HYPERLINK \l "_bookmark537"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"_bookmark537" </w:instrText>
          </w:r>
          <w:r>
            <w:rPr>
              <w:color w:val="auto"/>
            </w:rPr>
            <w:fldChar w:fldCharType="separate"/>
          </w:r>
          <w:r>
            <w:rPr>
              <w:color w:val="auto"/>
            </w:rPr>
            <w:t>百二十六、获得无公害农产品认证并加贴标志的产品，经检查、检测、鉴定</w:t>
          </w:r>
          <w:r>
            <w:rPr>
              <w:color w:val="auto"/>
              <w:spacing w:val="-17"/>
            </w:rPr>
            <w:t xml:space="preserve">， </w:t>
          </w:r>
          <w:r>
            <w:rPr>
              <w:color w:val="auto"/>
              <w:spacing w:val="-17"/>
            </w:rPr>
            <w:fldChar w:fldCharType="end"/>
          </w:r>
          <w:r>
            <w:rPr>
              <w:color w:val="auto"/>
            </w:rPr>
            <w:t>不符合无公害农产品质量标准要求</w:t>
          </w:r>
          <w:r>
            <w:rPr>
              <w:color w:val="auto"/>
            </w:rPr>
            <w:tab/>
          </w:r>
          <w:r>
            <w:rPr>
              <w:color w:val="auto"/>
            </w:rPr>
            <w:t>509</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"_bookmark538"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"_bookmark538" </w:instrText>
          </w:r>
          <w:r>
            <w:rPr>
              <w:color w:val="auto"/>
            </w:rPr>
            <w:fldChar w:fldCharType="separate"/>
          </w:r>
          <w:r>
            <w:rPr>
              <w:color w:val="auto"/>
            </w:rPr>
            <w:t>百二十七</w:t>
          </w:r>
          <w:r>
            <w:rPr>
              <w:color w:val="auto"/>
              <w:spacing w:val="-20"/>
            </w:rPr>
            <w:t>、</w:t>
          </w:r>
          <w:r>
            <w:rPr>
              <w:color w:val="auto"/>
            </w:rPr>
            <w:t>未依法取得资质认定的食品检验机构</w:t>
          </w:r>
          <w:r>
            <w:rPr>
              <w:color w:val="auto"/>
              <w:spacing w:val="-17"/>
            </w:rPr>
            <w:t>，</w:t>
          </w:r>
          <w:r>
            <w:rPr>
              <w:color w:val="auto"/>
            </w:rPr>
            <w:t>擅自向社会出具具有证明</w:t>
          </w:r>
          <w:r>
            <w:rPr>
              <w:color w:val="auto"/>
              <w:spacing w:val="-16"/>
            </w:rPr>
            <w:t>作</w:t>
          </w:r>
          <w:r>
            <w:rPr>
              <w:color w:val="auto"/>
              <w:spacing w:val="-16"/>
            </w:rPr>
            <w:fldChar w:fldCharType="end"/>
          </w:r>
          <w:r>
            <w:rPr>
              <w:color w:val="auto"/>
            </w:rPr>
            <w:t>用的食品检验数据和结果</w:t>
          </w:r>
          <w:r>
            <w:rPr>
              <w:color w:val="auto"/>
            </w:rPr>
            <w:tab/>
          </w:r>
          <w:r>
            <w:rPr>
              <w:color w:val="auto"/>
              <w:spacing w:val="-6"/>
            </w:rPr>
            <w:t>509</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"_bookmark539"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"_bookmark539" </w:instrText>
          </w:r>
          <w:r>
            <w:rPr>
              <w:color w:val="auto"/>
            </w:rPr>
            <w:fldChar w:fldCharType="separate"/>
          </w:r>
          <w:r>
            <w:rPr>
              <w:color w:val="auto"/>
            </w:rPr>
            <w:t>百二十八</w:t>
          </w:r>
          <w:r>
            <w:rPr>
              <w:color w:val="auto"/>
              <w:spacing w:val="-12"/>
            </w:rPr>
            <w:t>、</w:t>
          </w:r>
          <w:r>
            <w:rPr>
              <w:color w:val="auto"/>
            </w:rPr>
            <w:t>不能持续符合资质认定条件继续从事食品检验活动</w:t>
          </w:r>
          <w:r>
            <w:rPr>
              <w:color w:val="auto"/>
              <w:spacing w:val="-12"/>
            </w:rPr>
            <w:t>；</w:t>
          </w:r>
          <w:r>
            <w:rPr>
              <w:color w:val="auto"/>
            </w:rPr>
            <w:t>违反规定</w:t>
          </w:r>
          <w:r>
            <w:rPr>
              <w:color w:val="auto"/>
              <w:spacing w:val="-12"/>
            </w:rPr>
            <w:t>，</w:t>
          </w:r>
          <w:r>
            <w:rPr>
              <w:color w:val="auto"/>
              <w:spacing w:val="-17"/>
            </w:rPr>
            <w:t>擅</w:t>
          </w:r>
          <w:r>
            <w:rPr>
              <w:color w:val="auto"/>
              <w:spacing w:val="-17"/>
            </w:rPr>
            <w:fldChar w:fldCharType="end"/>
          </w:r>
          <w:r>
            <w:rPr>
              <w:color w:val="auto"/>
            </w:rPr>
            <w:t>自增加检验项目或者超出资质认定批准范围从事食品检验活动并对外出具食品检验报告</w:t>
          </w:r>
          <w:r>
            <w:rPr>
              <w:color w:val="auto"/>
              <w:spacing w:val="-20"/>
            </w:rPr>
            <w:t>；</w:t>
          </w:r>
          <w:r>
            <w:rPr>
              <w:color w:val="auto"/>
            </w:rPr>
            <w:t>接受影响检验公正性的资助或者存在影响检验公正性行为</w:t>
          </w:r>
          <w:r>
            <w:rPr>
              <w:color w:val="auto"/>
              <w:spacing w:val="-17"/>
            </w:rPr>
            <w:t>；</w:t>
          </w:r>
          <w:r>
            <w:rPr>
              <w:color w:val="auto"/>
            </w:rPr>
            <w:t>未依照</w:t>
          </w:r>
          <w:r>
            <w:rPr>
              <w:color w:val="auto"/>
              <w:spacing w:val="-16"/>
            </w:rPr>
            <w:t>食</w:t>
          </w:r>
          <w:r>
            <w:rPr>
              <w:color w:val="auto"/>
            </w:rPr>
            <w:t>品安全标准</w:t>
          </w:r>
          <w:r>
            <w:rPr>
              <w:color w:val="auto"/>
              <w:spacing w:val="-12"/>
            </w:rPr>
            <w:t>、</w:t>
          </w:r>
          <w:r>
            <w:rPr>
              <w:color w:val="auto"/>
            </w:rPr>
            <w:t>检验规范的规定进行食品检验</w:t>
          </w:r>
          <w:r>
            <w:rPr>
              <w:color w:val="auto"/>
              <w:spacing w:val="-12"/>
            </w:rPr>
            <w:t>，</w:t>
          </w:r>
          <w:r>
            <w:rPr>
              <w:color w:val="auto"/>
            </w:rPr>
            <w:t>造成不良后果</w:t>
          </w:r>
          <w:r>
            <w:rPr>
              <w:color w:val="auto"/>
              <w:spacing w:val="-12"/>
            </w:rPr>
            <w:t>；</w:t>
          </w:r>
          <w:r>
            <w:rPr>
              <w:color w:val="auto"/>
            </w:rPr>
            <w:t>或者利用承担行</w:t>
          </w:r>
          <w:r>
            <w:rPr>
              <w:color w:val="auto"/>
              <w:spacing w:val="-17"/>
            </w:rPr>
            <w:t>政</w:t>
          </w:r>
          <w:r>
            <w:rPr>
              <w:color w:val="auto"/>
            </w:rPr>
            <w:t>机关指定检验任务，进行其他违规行为</w:t>
          </w:r>
          <w:r>
            <w:rPr>
              <w:color w:val="auto"/>
            </w:rPr>
            <w:tab/>
          </w:r>
          <w:r>
            <w:rPr>
              <w:color w:val="auto"/>
              <w:spacing w:val="-6"/>
            </w:rPr>
            <w:t>510</w:t>
          </w:r>
        </w:p>
        <w:p>
          <w:pPr>
            <w:pStyle w:val="5"/>
            <w:tabs>
              <w:tab w:val="left" w:leader="dot" w:pos="8611"/>
            </w:tabs>
            <w:spacing w:line="309" w:lineRule="exact"/>
            <w:rPr>
              <w:color w:val="auto"/>
            </w:rPr>
          </w:pPr>
          <w:r>
            <w:rPr>
              <w:color w:val="auto"/>
            </w:rPr>
            <w:fldChar w:fldCharType="begin"/>
          </w:r>
          <w:r>
            <w:rPr>
              <w:color w:val="auto"/>
            </w:rPr>
            <w:instrText xml:space="preserve"> HYPERLINK \l "_bookmark540" </w:instrText>
          </w:r>
          <w:r>
            <w:rPr>
              <w:color w:val="auto"/>
            </w:rPr>
            <w:fldChar w:fldCharType="separate"/>
          </w:r>
          <w:r>
            <w:rPr>
              <w:color w:val="auto"/>
              <w:spacing w:val="-12"/>
            </w:rPr>
            <w:t>五百二十九、伪造、变造、冒用、非法买卖或者转让节能、低碳产品认证证</w:t>
          </w:r>
          <w:r>
            <w:rPr>
              <w:color w:val="auto"/>
            </w:rPr>
            <w:t>书</w:t>
          </w:r>
          <w:r>
            <w:rPr>
              <w:color w:val="auto"/>
            </w:rPr>
            <w:tab/>
          </w:r>
          <w:r>
            <w:rPr>
              <w:color w:val="auto"/>
              <w:spacing w:val="-4"/>
            </w:rPr>
            <w:t>511</w:t>
          </w:r>
          <w:r>
            <w:rPr>
              <w:color w:val="auto"/>
              <w:spacing w:val="-4"/>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"_bookmark541" </w:instrText>
          </w:r>
          <w:r>
            <w:rPr>
              <w:color w:val="auto"/>
            </w:rPr>
            <w:fldChar w:fldCharType="separate"/>
          </w:r>
          <w:r>
            <w:rPr>
              <w:color w:val="auto"/>
            </w:rPr>
            <w:t>五百三十、伪造、变造、冒用、非法买卖节能、低碳产品认证标志</w:t>
          </w:r>
          <w:r>
            <w:rPr>
              <w:color w:val="auto"/>
            </w:rPr>
            <w:tab/>
          </w:r>
          <w:r>
            <w:rPr>
              <w:color w:val="auto"/>
            </w:rPr>
            <w:t>511</w:t>
          </w:r>
          <w:r>
            <w:rPr>
              <w:color w:val="auto"/>
            </w:rPr>
            <w:fldChar w:fldCharType="end"/>
          </w:r>
        </w:p>
        <w:p>
          <w:pPr>
            <w:pStyle w:val="5"/>
            <w:tabs>
              <w:tab w:val="left" w:leader="dot" w:pos="8595"/>
            </w:tabs>
            <w:spacing w:before="173" w:after="59"/>
            <w:rPr>
              <w:color w:val="auto"/>
            </w:rPr>
          </w:pPr>
          <w:r>
            <w:rPr>
              <w:color w:val="auto"/>
            </w:rPr>
            <w:fldChar w:fldCharType="begin"/>
          </w:r>
          <w:r>
            <w:rPr>
              <w:color w:val="auto"/>
            </w:rPr>
            <w:instrText xml:space="preserve"> HYPERLINK \l "_bookmark542" </w:instrText>
          </w:r>
          <w:r>
            <w:rPr>
              <w:color w:val="auto"/>
            </w:rPr>
            <w:fldChar w:fldCharType="separate"/>
          </w:r>
          <w:r>
            <w:rPr>
              <w:color w:val="auto"/>
            </w:rPr>
            <w:t>五百三十一、转让节能、低碳产品认证标志</w:t>
          </w:r>
          <w:r>
            <w:rPr>
              <w:color w:val="auto"/>
            </w:rPr>
            <w:tab/>
          </w:r>
          <w:r>
            <w:rPr>
              <w:color w:val="auto"/>
            </w:rPr>
            <w:t>512</w:t>
          </w:r>
          <w:r>
            <w:rPr>
              <w:color w:val="auto"/>
            </w:rPr>
            <w:fldChar w:fldCharType="end"/>
          </w:r>
        </w:p>
        <w:p>
          <w:pPr>
            <w:pStyle w:val="5"/>
            <w:tabs>
              <w:tab w:val="left" w:leader="dot" w:pos="8595"/>
            </w:tabs>
            <w:spacing w:before="127" w:line="374" w:lineRule="auto"/>
            <w:ind w:right="112"/>
            <w:rPr>
              <w:color w:val="auto"/>
            </w:rPr>
          </w:pPr>
          <w:r>
            <w:rPr>
              <w:color w:val="auto"/>
            </w:rPr>
            <w:fldChar w:fldCharType="begin"/>
          </w:r>
          <w:r>
            <w:rPr>
              <w:color w:val="auto"/>
            </w:rPr>
            <w:instrText xml:space="preserve"> HYPERLINK \l "_bookmark543"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"_bookmark543" </w:instrText>
          </w:r>
          <w:r>
            <w:rPr>
              <w:color w:val="auto"/>
            </w:rPr>
            <w:fldChar w:fldCharType="separate"/>
          </w:r>
          <w:r>
            <w:rPr>
              <w:color w:val="auto"/>
            </w:rPr>
            <w:t>百三十二</w:t>
          </w:r>
          <w:r>
            <w:rPr>
              <w:color w:val="auto"/>
              <w:spacing w:val="-20"/>
            </w:rPr>
            <w:t>、</w:t>
          </w:r>
          <w:r>
            <w:rPr>
              <w:color w:val="auto"/>
            </w:rPr>
            <w:t>认证机构受到告诫或者警告后仍未改正</w:t>
          </w:r>
          <w:r>
            <w:rPr>
              <w:color w:val="auto"/>
              <w:spacing w:val="-17"/>
            </w:rPr>
            <w:t>；</w:t>
          </w:r>
          <w:r>
            <w:rPr>
              <w:color w:val="auto"/>
            </w:rPr>
            <w:t>违规向认证对象出具认证</w:t>
          </w:r>
          <w:r>
            <w:rPr>
              <w:color w:val="auto"/>
            </w:rPr>
            <w:fldChar w:fldCharType="end"/>
          </w:r>
          <w:r>
            <w:rPr>
              <w:color w:val="auto"/>
            </w:rPr>
            <w:t>证书</w:t>
          </w:r>
          <w:r>
            <w:rPr>
              <w:color w:val="auto"/>
              <w:spacing w:val="-12"/>
            </w:rPr>
            <w:t>；</w:t>
          </w:r>
          <w:r>
            <w:rPr>
              <w:color w:val="auto"/>
            </w:rPr>
            <w:t>发现认证对象未正确使用认证证书和认证标志</w:t>
          </w:r>
          <w:r>
            <w:rPr>
              <w:color w:val="auto"/>
              <w:spacing w:val="-12"/>
            </w:rPr>
            <w:t>，</w:t>
          </w:r>
          <w:r>
            <w:rPr>
              <w:color w:val="auto"/>
            </w:rPr>
            <w:t>未采取有效措施纠正</w:t>
          </w:r>
          <w:r>
            <w:rPr>
              <w:color w:val="auto"/>
              <w:spacing w:val="-12"/>
            </w:rPr>
            <w:t>；</w:t>
          </w:r>
          <w:r>
            <w:rPr>
              <w:color w:val="auto"/>
            </w:rPr>
            <w:t>在监督检查工作中不予配合和协助，拒绝、隐瞒或者不如实提供相关材料和信息</w:t>
          </w:r>
          <w:r>
            <w:rPr>
              <w:color w:val="auto"/>
              <w:spacing w:val="-6"/>
            </w:rPr>
            <w:t xml:space="preserve">514 </w:t>
          </w:r>
          <w:r>
            <w:rPr>
              <w:color w:val="auto"/>
            </w:rPr>
            <w:fldChar w:fldCharType="begin"/>
          </w:r>
          <w:r>
            <w:rPr>
              <w:color w:val="auto"/>
            </w:rPr>
            <w:instrText xml:space="preserve"> HYPERLINK \l "_bookmark544"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"_bookmark544" </w:instrText>
          </w:r>
          <w:r>
            <w:rPr>
              <w:color w:val="auto"/>
            </w:rPr>
            <w:fldChar w:fldCharType="separate"/>
          </w:r>
          <w:r>
            <w:rPr>
              <w:color w:val="auto"/>
            </w:rPr>
            <w:t>百三十三</w:t>
          </w:r>
          <w:r>
            <w:rPr>
              <w:color w:val="auto"/>
              <w:spacing w:val="-20"/>
            </w:rPr>
            <w:t>、</w:t>
          </w:r>
          <w:r>
            <w:rPr>
              <w:color w:val="auto"/>
            </w:rPr>
            <w:t>检验检测机构未依法取得资质认定</w:t>
          </w:r>
          <w:r>
            <w:rPr>
              <w:color w:val="auto"/>
              <w:spacing w:val="-17"/>
            </w:rPr>
            <w:t>，</w:t>
          </w:r>
          <w:r>
            <w:rPr>
              <w:color w:val="auto"/>
            </w:rPr>
            <w:t>擅自向社会出具具有证明作用</w:t>
          </w:r>
          <w:r>
            <w:rPr>
              <w:color w:val="auto"/>
            </w:rPr>
            <w:fldChar w:fldCharType="end"/>
          </w:r>
          <w:r>
            <w:rPr>
              <w:color w:val="auto"/>
            </w:rPr>
            <w:t>数据、结果</w:t>
          </w:r>
          <w:r>
            <w:rPr>
              <w:color w:val="auto"/>
            </w:rPr>
            <w:tab/>
          </w:r>
          <w:r>
            <w:rPr>
              <w:color w:val="auto"/>
            </w:rPr>
            <w:t>514</w:t>
          </w:r>
        </w:p>
        <w:p>
          <w:pPr>
            <w:pStyle w:val="5"/>
            <w:tabs>
              <w:tab w:val="left" w:leader="dot" w:pos="8595"/>
            </w:tabs>
            <w:spacing w:before="2" w:line="374" w:lineRule="auto"/>
            <w:ind w:right="268"/>
            <w:rPr>
              <w:color w:val="auto"/>
            </w:rPr>
          </w:pPr>
          <w:r>
            <w:rPr>
              <w:color w:val="auto"/>
            </w:rPr>
            <w:fldChar w:fldCharType="begin"/>
          </w:r>
          <w:r>
            <w:rPr>
              <w:color w:val="auto"/>
            </w:rPr>
            <w:instrText xml:space="preserve"> HYPERLINK \l "_bookmark545"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"_bookmark545" </w:instrText>
          </w:r>
          <w:r>
            <w:rPr>
              <w:color w:val="auto"/>
            </w:rPr>
            <w:fldChar w:fldCharType="separate"/>
          </w:r>
          <w:r>
            <w:rPr>
              <w:color w:val="auto"/>
            </w:rPr>
            <w:t>百三十四</w:t>
          </w:r>
          <w:r>
            <w:rPr>
              <w:color w:val="auto"/>
              <w:spacing w:val="-12"/>
            </w:rPr>
            <w:t>、</w:t>
          </w:r>
          <w:r>
            <w:rPr>
              <w:color w:val="auto"/>
            </w:rPr>
            <w:t>检验检测机构违规出具检验检测数据</w:t>
          </w:r>
          <w:r>
            <w:rPr>
              <w:color w:val="auto"/>
              <w:spacing w:val="-12"/>
            </w:rPr>
            <w:t>、</w:t>
          </w:r>
          <w:r>
            <w:rPr>
              <w:color w:val="auto"/>
            </w:rPr>
            <w:t>结果</w:t>
          </w:r>
          <w:r>
            <w:rPr>
              <w:color w:val="auto"/>
              <w:spacing w:val="-12"/>
            </w:rPr>
            <w:t>，</w:t>
          </w:r>
          <w:r>
            <w:rPr>
              <w:color w:val="auto"/>
            </w:rPr>
            <w:t>逾期未改正或者改</w:t>
          </w:r>
          <w:r>
            <w:rPr>
              <w:color w:val="auto"/>
              <w:spacing w:val="-17"/>
            </w:rPr>
            <w:t>正</w:t>
          </w:r>
          <w:r>
            <w:rPr>
              <w:color w:val="auto"/>
              <w:spacing w:val="-17"/>
            </w:rPr>
            <w:fldChar w:fldCharType="end"/>
          </w:r>
          <w:r>
            <w:rPr>
              <w:color w:val="auto"/>
            </w:rPr>
            <w:t>后仍不符合要求</w:t>
          </w:r>
          <w:r>
            <w:rPr>
              <w:color w:val="auto"/>
            </w:rPr>
            <w:tab/>
          </w:r>
          <w:r>
            <w:rPr>
              <w:color w:val="auto"/>
              <w:spacing w:val="-6"/>
            </w:rPr>
            <w:t>515</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"_bookmark546"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"_bookmark546" </w:instrText>
          </w:r>
          <w:r>
            <w:rPr>
              <w:color w:val="auto"/>
            </w:rPr>
            <w:fldChar w:fldCharType="separate"/>
          </w:r>
          <w:r>
            <w:rPr>
              <w:color w:val="auto"/>
            </w:rPr>
            <w:t>百三十五</w:t>
          </w:r>
          <w:r>
            <w:rPr>
              <w:color w:val="auto"/>
              <w:spacing w:val="-20"/>
            </w:rPr>
            <w:t>、</w:t>
          </w:r>
          <w:r>
            <w:rPr>
              <w:color w:val="auto"/>
            </w:rPr>
            <w:t>检验检测机构未按照规定对检验检测人员实施有效管理</w:t>
          </w:r>
          <w:r>
            <w:rPr>
              <w:color w:val="auto"/>
              <w:spacing w:val="-17"/>
            </w:rPr>
            <w:t>，</w:t>
          </w:r>
          <w:r>
            <w:rPr>
              <w:color w:val="auto"/>
            </w:rPr>
            <w:t>影响检</w:t>
          </w:r>
          <w:r>
            <w:rPr>
              <w:color w:val="auto"/>
              <w:spacing w:val="-16"/>
            </w:rPr>
            <w:t>验</w:t>
          </w:r>
          <w:r>
            <w:rPr>
              <w:color w:val="auto"/>
              <w:spacing w:val="-16"/>
            </w:rPr>
            <w:fldChar w:fldCharType="end"/>
          </w:r>
          <w:r>
            <w:rPr>
              <w:color w:val="auto"/>
            </w:rPr>
            <w:t>检测独立、公正、诚信，逾期未改正或者改正后仍不符合要求</w:t>
          </w:r>
          <w:r>
            <w:rPr>
              <w:color w:val="auto"/>
            </w:rPr>
            <w:tab/>
          </w:r>
          <w:r>
            <w:rPr>
              <w:color w:val="auto"/>
              <w:spacing w:val="-6"/>
            </w:rPr>
            <w:t>516</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"_bookmark547"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"_bookmark547" </w:instrText>
          </w:r>
          <w:r>
            <w:rPr>
              <w:color w:val="auto"/>
            </w:rPr>
            <w:fldChar w:fldCharType="separate"/>
          </w:r>
          <w:r>
            <w:rPr>
              <w:color w:val="auto"/>
            </w:rPr>
            <w:t>百三十六</w:t>
          </w:r>
          <w:r>
            <w:rPr>
              <w:color w:val="auto"/>
              <w:spacing w:val="-12"/>
            </w:rPr>
            <w:t>、</w:t>
          </w:r>
          <w:r>
            <w:rPr>
              <w:color w:val="auto"/>
            </w:rPr>
            <w:t>检验检测机构未按规定对原始记录和报告进行管理</w:t>
          </w:r>
          <w:r>
            <w:rPr>
              <w:color w:val="auto"/>
              <w:spacing w:val="-12"/>
            </w:rPr>
            <w:t>、</w:t>
          </w:r>
          <w:r>
            <w:rPr>
              <w:color w:val="auto"/>
            </w:rPr>
            <w:t>保存</w:t>
          </w:r>
          <w:r>
            <w:rPr>
              <w:color w:val="auto"/>
              <w:spacing w:val="-12"/>
            </w:rPr>
            <w:t>，</w:t>
          </w:r>
          <w:r>
            <w:rPr>
              <w:color w:val="auto"/>
            </w:rPr>
            <w:t>逾期</w:t>
          </w:r>
          <w:r>
            <w:rPr>
              <w:color w:val="auto"/>
              <w:spacing w:val="-17"/>
            </w:rPr>
            <w:t>未</w:t>
          </w:r>
          <w:r>
            <w:rPr>
              <w:color w:val="auto"/>
              <w:spacing w:val="-17"/>
            </w:rPr>
            <w:fldChar w:fldCharType="end"/>
          </w:r>
          <w:r>
            <w:rPr>
              <w:color w:val="auto"/>
            </w:rPr>
            <w:t>改正或者改正后仍不符合要求</w:t>
          </w:r>
          <w:r>
            <w:rPr>
              <w:color w:val="auto"/>
            </w:rPr>
            <w:tab/>
          </w:r>
          <w:r>
            <w:rPr>
              <w:color w:val="auto"/>
              <w:spacing w:val="-6"/>
            </w:rPr>
            <w:t>517</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"_bookmark548"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"_bookmark548" </w:instrText>
          </w:r>
          <w:r>
            <w:rPr>
              <w:color w:val="auto"/>
            </w:rPr>
            <w:fldChar w:fldCharType="separate"/>
          </w:r>
          <w:r>
            <w:rPr>
              <w:color w:val="auto"/>
            </w:rPr>
            <w:t>百三十七</w:t>
          </w:r>
          <w:r>
            <w:rPr>
              <w:color w:val="auto"/>
              <w:spacing w:val="-20"/>
            </w:rPr>
            <w:t>、</w:t>
          </w:r>
          <w:r>
            <w:rPr>
              <w:color w:val="auto"/>
            </w:rPr>
            <w:t>检验检测机构违反规定分包检验检测项目</w:t>
          </w:r>
          <w:r>
            <w:rPr>
              <w:color w:val="auto"/>
              <w:spacing w:val="-17"/>
            </w:rPr>
            <w:t>，</w:t>
          </w:r>
          <w:r>
            <w:rPr>
              <w:color w:val="auto"/>
            </w:rPr>
            <w:t>逾期未改正或者改正</w:t>
          </w:r>
          <w:r>
            <w:rPr>
              <w:color w:val="auto"/>
              <w:spacing w:val="-16"/>
            </w:rPr>
            <w:t>后</w:t>
          </w:r>
          <w:r>
            <w:rPr>
              <w:color w:val="auto"/>
              <w:spacing w:val="-16"/>
            </w:rPr>
            <w:fldChar w:fldCharType="end"/>
          </w:r>
          <w:r>
            <w:rPr>
              <w:color w:val="auto"/>
            </w:rPr>
            <w:t>仍不符合要求</w:t>
          </w:r>
          <w:r>
            <w:rPr>
              <w:color w:val="auto"/>
            </w:rPr>
            <w:tab/>
          </w:r>
          <w:r>
            <w:rPr>
              <w:color w:val="auto"/>
              <w:spacing w:val="-6"/>
            </w:rPr>
            <w:t>518</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"_bookmark549"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"_bookmark549" </w:instrText>
          </w:r>
          <w:r>
            <w:rPr>
              <w:color w:val="auto"/>
            </w:rPr>
            <w:fldChar w:fldCharType="separate"/>
          </w:r>
          <w:r>
            <w:rPr>
              <w:color w:val="auto"/>
            </w:rPr>
            <w:t>百三十八</w:t>
          </w:r>
          <w:r>
            <w:rPr>
              <w:color w:val="auto"/>
              <w:spacing w:val="-20"/>
            </w:rPr>
            <w:t>、</w:t>
          </w:r>
          <w:r>
            <w:rPr>
              <w:color w:val="auto"/>
            </w:rPr>
            <w:t>检验检测机构未按规定办理变更手续</w:t>
          </w:r>
          <w:r>
            <w:rPr>
              <w:color w:val="auto"/>
              <w:spacing w:val="-17"/>
            </w:rPr>
            <w:t>，</w:t>
          </w:r>
          <w:r>
            <w:rPr>
              <w:color w:val="auto"/>
            </w:rPr>
            <w:t>逾期未改正或者改正后仍</w:t>
          </w:r>
          <w:r>
            <w:rPr>
              <w:color w:val="auto"/>
              <w:spacing w:val="-16"/>
            </w:rPr>
            <w:t>不</w:t>
          </w:r>
          <w:r>
            <w:rPr>
              <w:color w:val="auto"/>
              <w:spacing w:val="-16"/>
            </w:rPr>
            <w:fldChar w:fldCharType="end"/>
          </w:r>
          <w:r>
            <w:rPr>
              <w:color w:val="auto"/>
            </w:rPr>
            <w:t>符合要求</w:t>
          </w:r>
          <w:r>
            <w:rPr>
              <w:color w:val="auto"/>
            </w:rPr>
            <w:tab/>
          </w:r>
          <w:r>
            <w:rPr>
              <w:color w:val="auto"/>
              <w:spacing w:val="-6"/>
            </w:rPr>
            <w:t>519</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"_bookmark550"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"_bookmark550" </w:instrText>
          </w:r>
          <w:r>
            <w:rPr>
              <w:color w:val="auto"/>
            </w:rPr>
            <w:fldChar w:fldCharType="separate"/>
          </w:r>
          <w:r>
            <w:rPr>
              <w:color w:val="auto"/>
            </w:rPr>
            <w:t>百三十九</w:t>
          </w:r>
          <w:r>
            <w:rPr>
              <w:color w:val="auto"/>
              <w:spacing w:val="-20"/>
            </w:rPr>
            <w:t>、</w:t>
          </w:r>
          <w:r>
            <w:rPr>
              <w:color w:val="auto"/>
            </w:rPr>
            <w:t>检验检测机构未按照资质认定部门要求参加能力验证或者比对</w:t>
          </w:r>
          <w:r>
            <w:rPr>
              <w:color w:val="auto"/>
              <w:spacing w:val="-17"/>
            </w:rPr>
            <w:t>，</w:t>
          </w:r>
          <w:r>
            <w:rPr>
              <w:color w:val="auto"/>
              <w:spacing w:val="-16"/>
            </w:rPr>
            <w:t>逾</w:t>
          </w:r>
          <w:r>
            <w:rPr>
              <w:color w:val="auto"/>
              <w:spacing w:val="-16"/>
            </w:rPr>
            <w:fldChar w:fldCharType="end"/>
          </w:r>
          <w:r>
            <w:rPr>
              <w:color w:val="auto"/>
            </w:rPr>
            <w:t>期未改正或者改正后仍不符合要求</w:t>
          </w:r>
          <w:r>
            <w:rPr>
              <w:color w:val="auto"/>
            </w:rPr>
            <w:tab/>
          </w:r>
          <w:r>
            <w:rPr>
              <w:color w:val="auto"/>
              <w:spacing w:val="-6"/>
            </w:rPr>
            <w:t>519</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"_bookmark551"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"_bookmark551" </w:instrText>
          </w:r>
          <w:r>
            <w:rPr>
              <w:color w:val="auto"/>
            </w:rPr>
            <w:fldChar w:fldCharType="separate"/>
          </w:r>
          <w:r>
            <w:rPr>
              <w:color w:val="auto"/>
            </w:rPr>
            <w:t>百四十</w:t>
          </w:r>
          <w:r>
            <w:rPr>
              <w:color w:val="auto"/>
              <w:spacing w:val="-20"/>
            </w:rPr>
            <w:t>、</w:t>
          </w:r>
          <w:r>
            <w:rPr>
              <w:color w:val="auto"/>
            </w:rPr>
            <w:t>检验检测机构未按照规定上报年度报告</w:t>
          </w:r>
          <w:r>
            <w:rPr>
              <w:color w:val="auto"/>
              <w:spacing w:val="-17"/>
            </w:rPr>
            <w:t>、</w:t>
          </w:r>
          <w:r>
            <w:rPr>
              <w:color w:val="auto"/>
            </w:rPr>
            <w:t>统计数据等相关信息或者</w:t>
          </w:r>
          <w:r>
            <w:rPr>
              <w:color w:val="auto"/>
              <w:spacing w:val="-16"/>
            </w:rPr>
            <w:t>自</w:t>
          </w:r>
          <w:r>
            <w:rPr>
              <w:color w:val="auto"/>
              <w:spacing w:val="-16"/>
            </w:rPr>
            <w:fldChar w:fldCharType="end"/>
          </w:r>
          <w:r>
            <w:rPr>
              <w:color w:val="auto"/>
            </w:rPr>
            <w:t>我声明内容虚假，逾期未改正或者改正后仍不符合要求</w:t>
          </w:r>
          <w:r>
            <w:rPr>
              <w:color w:val="auto"/>
            </w:rPr>
            <w:tab/>
          </w:r>
          <w:r>
            <w:rPr>
              <w:color w:val="auto"/>
              <w:spacing w:val="-6"/>
            </w:rPr>
            <w:t>520</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"_bookmark552"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"_bookmark552" </w:instrText>
          </w:r>
          <w:r>
            <w:rPr>
              <w:color w:val="auto"/>
            </w:rPr>
            <w:fldChar w:fldCharType="separate"/>
          </w:r>
          <w:r>
            <w:rPr>
              <w:color w:val="auto"/>
            </w:rPr>
            <w:t>百四十一</w:t>
          </w:r>
          <w:r>
            <w:rPr>
              <w:color w:val="auto"/>
              <w:spacing w:val="-12"/>
            </w:rPr>
            <w:t>、</w:t>
          </w:r>
          <w:r>
            <w:rPr>
              <w:color w:val="auto"/>
            </w:rPr>
            <w:t>检验检测机构无正当理由拒不接受</w:t>
          </w:r>
          <w:r>
            <w:rPr>
              <w:color w:val="auto"/>
              <w:spacing w:val="-12"/>
            </w:rPr>
            <w:t>、</w:t>
          </w:r>
          <w:r>
            <w:rPr>
              <w:color w:val="auto"/>
            </w:rPr>
            <w:t>不配合监督检查</w:t>
          </w:r>
          <w:r>
            <w:rPr>
              <w:color w:val="auto"/>
              <w:spacing w:val="-12"/>
            </w:rPr>
            <w:t>，</w:t>
          </w:r>
          <w:r>
            <w:rPr>
              <w:color w:val="auto"/>
            </w:rPr>
            <w:t>逾期未改</w:t>
          </w:r>
          <w:r>
            <w:rPr>
              <w:color w:val="auto"/>
              <w:spacing w:val="-17"/>
            </w:rPr>
            <w:t>正</w:t>
          </w:r>
          <w:r>
            <w:rPr>
              <w:color w:val="auto"/>
              <w:spacing w:val="-17"/>
            </w:rPr>
            <w:fldChar w:fldCharType="end"/>
          </w:r>
          <w:r>
            <w:rPr>
              <w:color w:val="auto"/>
            </w:rPr>
            <w:t>或者改正后仍不符合要求</w:t>
          </w:r>
          <w:r>
            <w:rPr>
              <w:color w:val="auto"/>
            </w:rPr>
            <w:tab/>
          </w:r>
          <w:r>
            <w:rPr>
              <w:color w:val="auto"/>
              <w:spacing w:val="-6"/>
            </w:rPr>
            <w:t>521</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"_bookmark553"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"_bookmark553" </w:instrText>
          </w:r>
          <w:r>
            <w:rPr>
              <w:color w:val="auto"/>
            </w:rPr>
            <w:fldChar w:fldCharType="separate"/>
          </w:r>
          <w:r>
            <w:rPr>
              <w:color w:val="auto"/>
            </w:rPr>
            <w:t>百四十二</w:t>
          </w:r>
          <w:r>
            <w:rPr>
              <w:color w:val="auto"/>
              <w:spacing w:val="-36"/>
            </w:rPr>
            <w:t>、</w:t>
          </w:r>
          <w:r>
            <w:rPr>
              <w:color w:val="auto"/>
            </w:rPr>
            <w:t>检验检测机构基本条件和技术能力不能持续符合资质认定条件和</w:t>
          </w:r>
          <w:r>
            <w:rPr>
              <w:color w:val="auto"/>
              <w:spacing w:val="-17"/>
            </w:rPr>
            <w:t>要</w:t>
          </w:r>
          <w:r>
            <w:rPr>
              <w:color w:val="auto"/>
              <w:spacing w:val="-17"/>
            </w:rPr>
            <w:fldChar w:fldCharType="end"/>
          </w:r>
          <w:r>
            <w:rPr>
              <w:color w:val="auto"/>
            </w:rPr>
            <w:t>求，擅自向社会出具具有证明作用数据、结果</w:t>
          </w:r>
          <w:r>
            <w:rPr>
              <w:color w:val="auto"/>
            </w:rPr>
            <w:tab/>
          </w:r>
          <w:r>
            <w:rPr>
              <w:color w:val="auto"/>
              <w:spacing w:val="-6"/>
            </w:rPr>
            <w:t>522</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"_bookmark554"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"_bookmark554" </w:instrText>
          </w:r>
          <w:r>
            <w:rPr>
              <w:color w:val="auto"/>
            </w:rPr>
            <w:fldChar w:fldCharType="separate"/>
          </w:r>
          <w:r>
            <w:rPr>
              <w:color w:val="auto"/>
            </w:rPr>
            <w:t>百四十三</w:t>
          </w:r>
          <w:r>
            <w:rPr>
              <w:color w:val="auto"/>
              <w:spacing w:val="-20"/>
            </w:rPr>
            <w:t>、</w:t>
          </w:r>
          <w:r>
            <w:rPr>
              <w:color w:val="auto"/>
            </w:rPr>
            <w:t>检验检测机构超出资质认定证书规定的检验检测能力范围</w:t>
          </w:r>
          <w:r>
            <w:rPr>
              <w:color w:val="auto"/>
              <w:spacing w:val="-17"/>
            </w:rPr>
            <w:t>，</w:t>
          </w:r>
          <w:r>
            <w:rPr>
              <w:color w:val="auto"/>
            </w:rPr>
            <w:t>擅自</w:t>
          </w:r>
          <w:r>
            <w:rPr>
              <w:color w:val="auto"/>
              <w:spacing w:val="-16"/>
            </w:rPr>
            <w:t>向</w:t>
          </w:r>
          <w:r>
            <w:rPr>
              <w:color w:val="auto"/>
              <w:spacing w:val="-16"/>
            </w:rPr>
            <w:fldChar w:fldCharType="end"/>
          </w:r>
          <w:r>
            <w:rPr>
              <w:color w:val="auto"/>
            </w:rPr>
            <w:t>社会出具具有证明作用数据、结果</w:t>
          </w:r>
          <w:r>
            <w:rPr>
              <w:color w:val="auto"/>
            </w:rPr>
            <w:tab/>
          </w:r>
          <w:r>
            <w:rPr>
              <w:color w:val="auto"/>
              <w:spacing w:val="-6"/>
            </w:rPr>
            <w:t>523</w:t>
          </w:r>
        </w:p>
        <w:p>
          <w:pPr>
            <w:pStyle w:val="5"/>
            <w:tabs>
              <w:tab w:val="left" w:leader="dot" w:pos="8595"/>
            </w:tabs>
            <w:spacing w:line="308" w:lineRule="exact"/>
            <w:rPr>
              <w:color w:val="auto"/>
            </w:rPr>
          </w:pPr>
          <w:r>
            <w:rPr>
              <w:color w:val="auto"/>
            </w:rPr>
            <w:fldChar w:fldCharType="begin"/>
          </w:r>
          <w:r>
            <w:rPr>
              <w:color w:val="auto"/>
            </w:rPr>
            <w:instrText xml:space="preserve"> HYPERLINK \l "_bookmark555" </w:instrText>
          </w:r>
          <w:r>
            <w:rPr>
              <w:color w:val="auto"/>
            </w:rPr>
            <w:fldChar w:fldCharType="separate"/>
          </w:r>
          <w:r>
            <w:rPr>
              <w:color w:val="auto"/>
            </w:rPr>
            <w:t>五百四十四、检验检测机构出具的检验检测数据、结果失实</w:t>
          </w:r>
          <w:r>
            <w:rPr>
              <w:color w:val="auto"/>
            </w:rPr>
            <w:tab/>
          </w:r>
          <w:r>
            <w:rPr>
              <w:color w:val="auto"/>
            </w:rPr>
            <w:t>524</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"_bookmark556"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"_bookmark556" </w:instrText>
          </w:r>
          <w:r>
            <w:rPr>
              <w:color w:val="auto"/>
            </w:rPr>
            <w:fldChar w:fldCharType="separate"/>
          </w:r>
          <w:r>
            <w:rPr>
              <w:color w:val="auto"/>
            </w:rPr>
            <w:t>百四十五</w:t>
          </w:r>
          <w:r>
            <w:rPr>
              <w:color w:val="auto"/>
              <w:spacing w:val="-36"/>
            </w:rPr>
            <w:t>、</w:t>
          </w:r>
          <w:r>
            <w:rPr>
              <w:color w:val="auto"/>
            </w:rPr>
            <w:t>检验检测机构接受影响检验检测公正性的资助或者存在影响检验</w:t>
          </w:r>
          <w:r>
            <w:rPr>
              <w:color w:val="auto"/>
              <w:spacing w:val="-17"/>
            </w:rPr>
            <w:t>检</w:t>
          </w:r>
          <w:r>
            <w:rPr>
              <w:color w:val="auto"/>
              <w:spacing w:val="-17"/>
            </w:rPr>
            <w:fldChar w:fldCharType="end"/>
          </w:r>
          <w:r>
            <w:rPr>
              <w:color w:val="auto"/>
            </w:rPr>
            <w:t>测公正性行为</w:t>
          </w:r>
          <w:r>
            <w:rPr>
              <w:color w:val="auto"/>
            </w:rPr>
            <w:tab/>
          </w:r>
          <w:r>
            <w:rPr>
              <w:color w:val="auto"/>
              <w:spacing w:val="-6"/>
            </w:rPr>
            <w:t>526</w:t>
          </w:r>
        </w:p>
        <w:p>
          <w:pPr>
            <w:pStyle w:val="5"/>
            <w:tabs>
              <w:tab w:val="left" w:leader="dot" w:pos="8595"/>
            </w:tabs>
            <w:spacing w:after="59" w:line="308" w:lineRule="exact"/>
            <w:rPr>
              <w:color w:val="auto"/>
            </w:rPr>
          </w:pPr>
          <w:r>
            <w:rPr>
              <w:color w:val="auto"/>
            </w:rPr>
            <w:fldChar w:fldCharType="begin"/>
          </w:r>
          <w:r>
            <w:rPr>
              <w:color w:val="auto"/>
            </w:rPr>
            <w:instrText xml:space="preserve"> HYPERLINK \l "_bookmark557" </w:instrText>
          </w:r>
          <w:r>
            <w:rPr>
              <w:color w:val="auto"/>
            </w:rPr>
            <w:fldChar w:fldCharType="separate"/>
          </w:r>
          <w:r>
            <w:rPr>
              <w:color w:val="auto"/>
            </w:rPr>
            <w:t>五百四十六、检验检测机构非授权签字人签发检验检测报告</w:t>
          </w:r>
          <w:r>
            <w:rPr>
              <w:color w:val="auto"/>
            </w:rPr>
            <w:tab/>
          </w:r>
          <w:r>
            <w:rPr>
              <w:color w:val="auto"/>
            </w:rPr>
            <w:t>527</w:t>
          </w:r>
          <w:r>
            <w:rPr>
              <w:color w:val="auto"/>
            </w:rPr>
            <w:fldChar w:fldCharType="end"/>
          </w:r>
        </w:p>
        <w:p>
          <w:pPr>
            <w:pStyle w:val="5"/>
            <w:tabs>
              <w:tab w:val="left" w:leader="dot" w:pos="8595"/>
            </w:tabs>
            <w:spacing w:before="127" w:line="374" w:lineRule="auto"/>
            <w:ind w:left="548" w:right="139" w:firstLine="43"/>
            <w:rPr>
              <w:color w:val="auto"/>
            </w:rPr>
          </w:pPr>
          <w:r>
            <w:rPr>
              <w:color w:val="auto"/>
            </w:rPr>
            <w:fldChar w:fldCharType="begin"/>
          </w:r>
          <w:r>
            <w:rPr>
              <w:color w:val="auto"/>
            </w:rPr>
            <w:instrText xml:space="preserve"> HYPERLINK \l "_bookmark558" </w:instrText>
          </w:r>
          <w:r>
            <w:rPr>
              <w:color w:val="auto"/>
            </w:rPr>
            <w:fldChar w:fldCharType="separate"/>
          </w:r>
          <w:r>
            <w:rPr>
              <w:color w:val="auto"/>
              <w:spacing w:val="-22"/>
            </w:rPr>
            <w:t>五</w:t>
          </w:r>
          <w:r>
            <w:rPr>
              <w:color w:val="auto"/>
              <w:spacing w:val="-22"/>
            </w:rPr>
            <w:fldChar w:fldCharType="end"/>
          </w:r>
          <w:r>
            <w:rPr>
              <w:color w:val="auto"/>
            </w:rPr>
            <w:fldChar w:fldCharType="begin"/>
          </w:r>
          <w:r>
            <w:rPr>
              <w:color w:val="auto"/>
            </w:rPr>
            <w:instrText xml:space="preserve"> HYPERLINK \l "_bookmark558" </w:instrText>
          </w:r>
          <w:r>
            <w:rPr>
              <w:color w:val="auto"/>
            </w:rPr>
            <w:fldChar w:fldCharType="separate"/>
          </w:r>
          <w:r>
            <w:rPr>
              <w:color w:val="auto"/>
              <w:spacing w:val="-22"/>
            </w:rPr>
            <w:t>百</w:t>
          </w:r>
          <w:r>
            <w:rPr>
              <w:color w:val="auto"/>
              <w:spacing w:val="-24"/>
            </w:rPr>
            <w:t>四</w:t>
          </w:r>
          <w:r>
            <w:rPr>
              <w:color w:val="auto"/>
              <w:spacing w:val="-22"/>
            </w:rPr>
            <w:t>十七</w:t>
          </w:r>
          <w:r>
            <w:rPr>
              <w:color w:val="auto"/>
              <w:spacing w:val="-27"/>
            </w:rPr>
            <w:t>、</w:t>
          </w:r>
          <w:r>
            <w:rPr>
              <w:color w:val="auto"/>
              <w:spacing w:val="-22"/>
            </w:rPr>
            <w:t>检验</w:t>
          </w:r>
          <w:r>
            <w:rPr>
              <w:color w:val="auto"/>
              <w:spacing w:val="-24"/>
            </w:rPr>
            <w:t>检</w:t>
          </w:r>
          <w:r>
            <w:rPr>
              <w:color w:val="auto"/>
              <w:spacing w:val="-22"/>
            </w:rPr>
            <w:t>测机构转</w:t>
          </w:r>
          <w:r>
            <w:rPr>
              <w:color w:val="auto"/>
              <w:spacing w:val="-24"/>
            </w:rPr>
            <w:t>让</w:t>
          </w:r>
          <w:r>
            <w:rPr>
              <w:color w:val="auto"/>
              <w:spacing w:val="-27"/>
            </w:rPr>
            <w:t>、</w:t>
          </w:r>
          <w:r>
            <w:rPr>
              <w:color w:val="auto"/>
              <w:spacing w:val="-22"/>
            </w:rPr>
            <w:t>出租</w:t>
          </w:r>
          <w:r>
            <w:rPr>
              <w:color w:val="auto"/>
              <w:spacing w:val="-27"/>
            </w:rPr>
            <w:t>、</w:t>
          </w:r>
          <w:r>
            <w:rPr>
              <w:color w:val="auto"/>
              <w:spacing w:val="-22"/>
            </w:rPr>
            <w:t>出借</w:t>
          </w:r>
          <w:r>
            <w:rPr>
              <w:color w:val="auto"/>
              <w:spacing w:val="-24"/>
            </w:rPr>
            <w:t>资</w:t>
          </w:r>
          <w:r>
            <w:rPr>
              <w:color w:val="auto"/>
              <w:spacing w:val="-22"/>
            </w:rPr>
            <w:t>质认定证书</w:t>
          </w:r>
          <w:r>
            <w:rPr>
              <w:color w:val="auto"/>
              <w:spacing w:val="-24"/>
            </w:rPr>
            <w:t>和</w:t>
          </w:r>
          <w:r>
            <w:rPr>
              <w:color w:val="auto"/>
              <w:spacing w:val="-22"/>
            </w:rPr>
            <w:t>标志</w:t>
          </w:r>
          <w:r>
            <w:rPr>
              <w:color w:val="auto"/>
              <w:spacing w:val="-27"/>
            </w:rPr>
            <w:t>，</w:t>
          </w:r>
          <w:r>
            <w:rPr>
              <w:color w:val="auto"/>
              <w:spacing w:val="-22"/>
            </w:rPr>
            <w:t>伪</w:t>
          </w:r>
          <w:r>
            <w:rPr>
              <w:color w:val="auto"/>
              <w:spacing w:val="-24"/>
            </w:rPr>
            <w:t>造</w:t>
          </w:r>
          <w:r>
            <w:rPr>
              <w:color w:val="auto"/>
              <w:spacing w:val="-27"/>
            </w:rPr>
            <w:t>、</w:t>
          </w:r>
          <w:r>
            <w:rPr>
              <w:color w:val="auto"/>
              <w:spacing w:val="-22"/>
            </w:rPr>
            <w:t>变造</w:t>
          </w:r>
          <w:r>
            <w:rPr>
              <w:color w:val="auto"/>
              <w:spacing w:val="-27"/>
            </w:rPr>
            <w:t>、</w:t>
          </w:r>
          <w:r>
            <w:rPr>
              <w:color w:val="auto"/>
              <w:spacing w:val="-22"/>
            </w:rPr>
            <w:t>冒</w:t>
          </w:r>
          <w:r>
            <w:rPr>
              <w:color w:val="auto"/>
              <w:spacing w:val="-24"/>
            </w:rPr>
            <w:t>用</w:t>
          </w:r>
          <w:r>
            <w:rPr>
              <w:color w:val="auto"/>
            </w:rPr>
            <w:t>、</w:t>
          </w:r>
          <w:r>
            <w:rPr>
              <w:color w:val="auto"/>
            </w:rPr>
            <w:fldChar w:fldCharType="end"/>
          </w:r>
          <w:r>
            <w:rPr>
              <w:color w:val="auto"/>
              <w:spacing w:val="-22"/>
            </w:rPr>
            <w:t>租借</w:t>
          </w:r>
          <w:r>
            <w:rPr>
              <w:color w:val="auto"/>
              <w:spacing w:val="-24"/>
            </w:rPr>
            <w:t>资</w:t>
          </w:r>
          <w:r>
            <w:rPr>
              <w:color w:val="auto"/>
              <w:spacing w:val="-22"/>
            </w:rPr>
            <w:t>质认定证书</w:t>
          </w:r>
          <w:r>
            <w:rPr>
              <w:color w:val="auto"/>
              <w:spacing w:val="-24"/>
            </w:rPr>
            <w:t>和</w:t>
          </w:r>
          <w:r>
            <w:rPr>
              <w:color w:val="auto"/>
              <w:spacing w:val="-22"/>
            </w:rPr>
            <w:t>标志，或使</w:t>
          </w:r>
          <w:r>
            <w:rPr>
              <w:color w:val="auto"/>
              <w:spacing w:val="-24"/>
            </w:rPr>
            <w:t>用</w:t>
          </w:r>
          <w:r>
            <w:rPr>
              <w:color w:val="auto"/>
              <w:spacing w:val="-22"/>
            </w:rPr>
            <w:t>已失效、撤</w:t>
          </w:r>
          <w:r>
            <w:rPr>
              <w:color w:val="auto"/>
              <w:spacing w:val="-24"/>
            </w:rPr>
            <w:t>销</w:t>
          </w:r>
          <w:r>
            <w:rPr>
              <w:color w:val="auto"/>
              <w:spacing w:val="-22"/>
            </w:rPr>
            <w:t>、注销的资</w:t>
          </w:r>
          <w:r>
            <w:rPr>
              <w:color w:val="auto"/>
              <w:spacing w:val="-24"/>
            </w:rPr>
            <w:t>质</w:t>
          </w:r>
          <w:r>
            <w:rPr>
              <w:color w:val="auto"/>
              <w:spacing w:val="-22"/>
            </w:rPr>
            <w:t>认定证书和</w:t>
          </w:r>
          <w:r>
            <w:rPr>
              <w:color w:val="auto"/>
              <w:spacing w:val="-24"/>
            </w:rPr>
            <w:t>标</w:t>
          </w:r>
          <w:r>
            <w:rPr>
              <w:color w:val="auto"/>
              <w:spacing w:val="-22"/>
            </w:rPr>
            <w:t>志</w:t>
          </w:r>
          <w:r>
            <w:rPr>
              <w:color w:val="auto"/>
              <w:spacing w:val="-22"/>
            </w:rPr>
            <w:tab/>
          </w:r>
          <w:r>
            <w:rPr>
              <w:color w:val="auto"/>
            </w:rPr>
            <w:t>528</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"_bookmark559"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"_bookmark559" </w:instrText>
          </w:r>
          <w:r>
            <w:rPr>
              <w:color w:val="auto"/>
            </w:rPr>
            <w:fldChar w:fldCharType="separate"/>
          </w:r>
          <w:r>
            <w:rPr>
              <w:color w:val="auto"/>
            </w:rPr>
            <w:t>百四十八</w:t>
          </w:r>
          <w:r>
            <w:rPr>
              <w:color w:val="auto"/>
              <w:spacing w:val="-12"/>
            </w:rPr>
            <w:t>、</w:t>
          </w:r>
          <w:r>
            <w:rPr>
              <w:color w:val="auto"/>
            </w:rPr>
            <w:t>检验检测机构未经检验检测或者以篡改数据</w:t>
          </w:r>
          <w:r>
            <w:rPr>
              <w:color w:val="auto"/>
              <w:spacing w:val="-12"/>
            </w:rPr>
            <w:t>、</w:t>
          </w:r>
          <w:r>
            <w:rPr>
              <w:color w:val="auto"/>
            </w:rPr>
            <w:t>结果等方式</w:t>
          </w:r>
          <w:r>
            <w:rPr>
              <w:color w:val="auto"/>
              <w:spacing w:val="-12"/>
            </w:rPr>
            <w:t>，</w:t>
          </w:r>
          <w:r>
            <w:rPr>
              <w:color w:val="auto"/>
            </w:rPr>
            <w:t>出具</w:t>
          </w:r>
          <w:r>
            <w:rPr>
              <w:color w:val="auto"/>
              <w:spacing w:val="-17"/>
            </w:rPr>
            <w:t>虚</w:t>
          </w:r>
          <w:r>
            <w:rPr>
              <w:color w:val="auto"/>
              <w:spacing w:val="-17"/>
            </w:rPr>
            <w:fldChar w:fldCharType="end"/>
          </w:r>
          <w:r>
            <w:rPr>
              <w:color w:val="auto"/>
            </w:rPr>
            <w:t>假检验检测数据、结果</w:t>
          </w:r>
          <w:r>
            <w:rPr>
              <w:color w:val="auto"/>
            </w:rPr>
            <w:tab/>
          </w:r>
          <w:r>
            <w:rPr>
              <w:color w:val="auto"/>
              <w:spacing w:val="-6"/>
            </w:rPr>
            <w:t>529</w:t>
          </w:r>
        </w:p>
        <w:p>
          <w:pPr>
            <w:pStyle w:val="5"/>
            <w:tabs>
              <w:tab w:val="left" w:leader="dot" w:pos="8595"/>
            </w:tabs>
            <w:spacing w:line="308" w:lineRule="exact"/>
            <w:rPr>
              <w:color w:val="auto"/>
            </w:rPr>
          </w:pPr>
          <w:r>
            <w:rPr>
              <w:color w:val="auto"/>
            </w:rPr>
            <w:fldChar w:fldCharType="begin"/>
          </w:r>
          <w:r>
            <w:rPr>
              <w:color w:val="auto"/>
            </w:rPr>
            <w:instrText xml:space="preserve"> HYPERLINK \l "_bookmark560" </w:instrText>
          </w:r>
          <w:r>
            <w:rPr>
              <w:color w:val="auto"/>
            </w:rPr>
            <w:fldChar w:fldCharType="separate"/>
          </w:r>
          <w:r>
            <w:rPr>
              <w:color w:val="auto"/>
            </w:rPr>
            <w:t>五百四十九、验检测机构以欺骗、贿赂等不正当手段取得资质认定</w:t>
          </w:r>
          <w:r>
            <w:rPr>
              <w:color w:val="auto"/>
            </w:rPr>
            <w:tab/>
          </w:r>
          <w:r>
            <w:rPr>
              <w:color w:val="auto"/>
            </w:rPr>
            <w:t>530</w:t>
          </w:r>
          <w:r>
            <w:rPr>
              <w:color w:val="auto"/>
            </w:rPr>
            <w:fldChar w:fldCharType="end"/>
          </w:r>
        </w:p>
        <w:p>
          <w:pPr>
            <w:pStyle w:val="8"/>
            <w:tabs>
              <w:tab w:val="left" w:pos="1920"/>
              <w:tab w:val="left" w:leader="dot" w:pos="8549"/>
            </w:tabs>
            <w:rPr>
              <w:color w:val="auto"/>
            </w:rPr>
          </w:pPr>
          <w:r>
            <w:rPr>
              <w:color w:val="auto"/>
            </w:rPr>
            <w:fldChar w:fldCharType="begin"/>
          </w:r>
          <w:r>
            <w:rPr>
              <w:color w:val="auto"/>
            </w:rPr>
            <w:instrText xml:space="preserve"> HYPERLINK \l "_bookmark561" </w:instrText>
          </w:r>
          <w:r>
            <w:rPr>
              <w:color w:val="auto"/>
            </w:rPr>
            <w:fldChar w:fldCharType="separate"/>
          </w:r>
          <w:r>
            <w:rPr>
              <w:color w:val="auto"/>
              <w:spacing w:val="-13"/>
            </w:rPr>
            <w:t>第十三</w:t>
          </w:r>
          <w:r>
            <w:rPr>
              <w:color w:val="auto"/>
            </w:rPr>
            <w:t>章</w:t>
          </w:r>
          <w:r>
            <w:rPr>
              <w:color w:val="auto"/>
            </w:rPr>
            <w:tab/>
          </w:r>
          <w:r>
            <w:rPr>
              <w:color w:val="auto"/>
              <w:spacing w:val="-13"/>
            </w:rPr>
            <w:t>特种设备监</w:t>
          </w:r>
          <w:r>
            <w:rPr>
              <w:color w:val="auto"/>
            </w:rPr>
            <w:t>管</w:t>
          </w:r>
          <w:r>
            <w:rPr>
              <w:color w:val="auto"/>
            </w:rPr>
            <w:tab/>
          </w:r>
          <w:r>
            <w:rPr>
              <w:color w:val="auto"/>
              <w:spacing w:val="-3"/>
            </w:rPr>
            <w:t>530</w:t>
          </w:r>
          <w:r>
            <w:rPr>
              <w:color w:val="auto"/>
              <w:spacing w:val="-3"/>
            </w:rPr>
            <w:fldChar w:fldCharType="end"/>
          </w:r>
        </w:p>
        <w:p>
          <w:pPr>
            <w:pStyle w:val="5"/>
            <w:tabs>
              <w:tab w:val="left" w:leader="dot" w:pos="8595"/>
            </w:tabs>
            <w:spacing w:before="97"/>
            <w:rPr>
              <w:color w:val="auto"/>
            </w:rPr>
          </w:pPr>
          <w:r>
            <w:rPr>
              <w:color w:val="auto"/>
            </w:rPr>
            <w:fldChar w:fldCharType="begin"/>
          </w:r>
          <w:r>
            <w:rPr>
              <w:color w:val="auto"/>
            </w:rPr>
            <w:instrText xml:space="preserve"> HYPERLINK \l "_bookmark562" </w:instrText>
          </w:r>
          <w:r>
            <w:rPr>
              <w:color w:val="auto"/>
            </w:rPr>
            <w:fldChar w:fldCharType="separate"/>
          </w:r>
          <w:r>
            <w:rPr>
              <w:color w:val="auto"/>
            </w:rPr>
            <w:t>五百五十、未经许可从事特种设备生产活动</w:t>
          </w:r>
          <w:r>
            <w:rPr>
              <w:color w:val="auto"/>
            </w:rPr>
            <w:tab/>
          </w:r>
          <w:r>
            <w:rPr>
              <w:color w:val="auto"/>
            </w:rPr>
            <w:t>530</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"_bookmark563" </w:instrText>
          </w:r>
          <w:r>
            <w:rPr>
              <w:color w:val="auto"/>
            </w:rPr>
            <w:fldChar w:fldCharType="separate"/>
          </w:r>
          <w:r>
            <w:rPr>
              <w:color w:val="auto"/>
            </w:rPr>
            <w:t>五百五十一、特种设备的设计文件未经鉴定，擅自用于制造</w:t>
          </w:r>
          <w:r>
            <w:rPr>
              <w:color w:val="auto"/>
            </w:rPr>
            <w:tab/>
          </w:r>
          <w:r>
            <w:rPr>
              <w:color w:val="auto"/>
            </w:rPr>
            <w:t>532</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"_bookmark564" </w:instrText>
          </w:r>
          <w:r>
            <w:rPr>
              <w:color w:val="auto"/>
            </w:rPr>
            <w:fldChar w:fldCharType="separate"/>
          </w:r>
          <w:r>
            <w:rPr>
              <w:color w:val="auto"/>
            </w:rPr>
            <w:t>五百五十二、未进行型式试验，逾期未改正</w:t>
          </w:r>
          <w:r>
            <w:rPr>
              <w:color w:val="auto"/>
            </w:rPr>
            <w:tab/>
          </w:r>
          <w:r>
            <w:rPr>
              <w:color w:val="auto"/>
            </w:rPr>
            <w:t>533</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"_bookmark565"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"_bookmark565" </w:instrText>
          </w:r>
          <w:r>
            <w:rPr>
              <w:color w:val="auto"/>
            </w:rPr>
            <w:fldChar w:fldCharType="separate"/>
          </w:r>
          <w:r>
            <w:rPr>
              <w:color w:val="auto"/>
            </w:rPr>
            <w:t>百五十三</w:t>
          </w:r>
          <w:r>
            <w:rPr>
              <w:color w:val="auto"/>
              <w:spacing w:val="-20"/>
            </w:rPr>
            <w:t>、</w:t>
          </w:r>
          <w:r>
            <w:rPr>
              <w:color w:val="auto"/>
            </w:rPr>
            <w:t>特种设备出厂时</w:t>
          </w:r>
          <w:r>
            <w:rPr>
              <w:color w:val="auto"/>
              <w:spacing w:val="-17"/>
            </w:rPr>
            <w:t>，</w:t>
          </w:r>
          <w:r>
            <w:rPr>
              <w:color w:val="auto"/>
            </w:rPr>
            <w:t>未按照安全技术规范的要求随附相关技术资料</w:t>
          </w:r>
          <w:r>
            <w:rPr>
              <w:color w:val="auto"/>
              <w:spacing w:val="-16"/>
            </w:rPr>
            <w:t>和</w:t>
          </w:r>
          <w:r>
            <w:rPr>
              <w:color w:val="auto"/>
              <w:spacing w:val="-16"/>
            </w:rPr>
            <w:fldChar w:fldCharType="end"/>
          </w:r>
          <w:r>
            <w:rPr>
              <w:color w:val="auto"/>
            </w:rPr>
            <w:t>文件，逾期未改正</w:t>
          </w:r>
          <w:r>
            <w:rPr>
              <w:color w:val="auto"/>
            </w:rPr>
            <w:tab/>
          </w:r>
          <w:r>
            <w:rPr>
              <w:color w:val="auto"/>
              <w:spacing w:val="-6"/>
            </w:rPr>
            <w:t>534</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"_bookmark566"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"_bookmark566" </w:instrText>
          </w:r>
          <w:r>
            <w:rPr>
              <w:color w:val="auto"/>
            </w:rPr>
            <w:fldChar w:fldCharType="separate"/>
          </w:r>
          <w:r>
            <w:rPr>
              <w:color w:val="auto"/>
            </w:rPr>
            <w:t>百五十四</w:t>
          </w:r>
          <w:r>
            <w:rPr>
              <w:color w:val="auto"/>
              <w:spacing w:val="-12"/>
            </w:rPr>
            <w:t>、</w:t>
          </w:r>
          <w:r>
            <w:rPr>
              <w:color w:val="auto"/>
            </w:rPr>
            <w:t>特种设备安装</w:t>
          </w:r>
          <w:r>
            <w:rPr>
              <w:color w:val="auto"/>
              <w:spacing w:val="-12"/>
            </w:rPr>
            <w:t>、</w:t>
          </w:r>
          <w:r>
            <w:rPr>
              <w:color w:val="auto"/>
            </w:rPr>
            <w:t>改造</w:t>
          </w:r>
          <w:r>
            <w:rPr>
              <w:color w:val="auto"/>
              <w:spacing w:val="-12"/>
            </w:rPr>
            <w:t>、</w:t>
          </w:r>
          <w:r>
            <w:rPr>
              <w:color w:val="auto"/>
            </w:rPr>
            <w:t>修理的施工单位在施工前未书面告知负责</w:t>
          </w:r>
          <w:r>
            <w:rPr>
              <w:color w:val="auto"/>
              <w:spacing w:val="-17"/>
            </w:rPr>
            <w:t>特</w:t>
          </w:r>
          <w:r>
            <w:rPr>
              <w:color w:val="auto"/>
              <w:spacing w:val="-17"/>
            </w:rPr>
            <w:fldChar w:fldCharType="end"/>
          </w:r>
          <w:r>
            <w:rPr>
              <w:color w:val="auto"/>
            </w:rPr>
            <w:t>种设备安全监督管理的部门即行施工</w:t>
          </w:r>
          <w:r>
            <w:rPr>
              <w:color w:val="auto"/>
              <w:spacing w:val="-36"/>
            </w:rPr>
            <w:t>，</w:t>
          </w:r>
          <w:r>
            <w:rPr>
              <w:color w:val="auto"/>
            </w:rPr>
            <w:t>或者在验收后三十日内未将相关技术资</w:t>
          </w:r>
          <w:r>
            <w:rPr>
              <w:color w:val="auto"/>
              <w:spacing w:val="-17"/>
            </w:rPr>
            <w:t>料</w:t>
          </w:r>
          <w:r>
            <w:rPr>
              <w:color w:val="auto"/>
            </w:rPr>
            <w:t>和文件移交特种设备使用单位，逾期未改正</w:t>
          </w:r>
          <w:r>
            <w:rPr>
              <w:color w:val="auto"/>
            </w:rPr>
            <w:tab/>
          </w:r>
          <w:r>
            <w:rPr>
              <w:color w:val="auto"/>
              <w:spacing w:val="-6"/>
            </w:rPr>
            <w:t>535</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"_bookmark567"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"_bookmark567" </w:instrText>
          </w:r>
          <w:r>
            <w:rPr>
              <w:color w:val="auto"/>
            </w:rPr>
            <w:fldChar w:fldCharType="separate"/>
          </w:r>
          <w:r>
            <w:rPr>
              <w:color w:val="auto"/>
            </w:rPr>
            <w:t>百五十五</w:t>
          </w:r>
          <w:r>
            <w:rPr>
              <w:color w:val="auto"/>
              <w:spacing w:val="-8"/>
            </w:rPr>
            <w:t>、</w:t>
          </w:r>
          <w:r>
            <w:rPr>
              <w:color w:val="auto"/>
            </w:rPr>
            <w:t>特种设备的制造</w:t>
          </w:r>
          <w:r>
            <w:rPr>
              <w:color w:val="auto"/>
              <w:spacing w:val="-8"/>
            </w:rPr>
            <w:t>、</w:t>
          </w:r>
          <w:r>
            <w:rPr>
              <w:color w:val="auto"/>
            </w:rPr>
            <w:t>安装</w:t>
          </w:r>
          <w:r>
            <w:rPr>
              <w:color w:val="auto"/>
              <w:spacing w:val="-8"/>
            </w:rPr>
            <w:t>、</w:t>
          </w:r>
          <w:r>
            <w:rPr>
              <w:color w:val="auto"/>
            </w:rPr>
            <w:t>改造</w:t>
          </w:r>
          <w:r>
            <w:rPr>
              <w:color w:val="auto"/>
              <w:spacing w:val="-8"/>
            </w:rPr>
            <w:t>、</w:t>
          </w:r>
          <w:r>
            <w:rPr>
              <w:color w:val="auto"/>
            </w:rPr>
            <w:t>重大修理以及锅炉清洗过程</w:t>
          </w:r>
          <w:r>
            <w:rPr>
              <w:color w:val="auto"/>
              <w:spacing w:val="-10"/>
            </w:rPr>
            <w:t>，</w:t>
          </w:r>
          <w:r>
            <w:rPr>
              <w:color w:val="auto"/>
            </w:rPr>
            <w:t>未</w:t>
          </w:r>
          <w:r>
            <w:rPr>
              <w:color w:val="auto"/>
              <w:spacing w:val="-11"/>
            </w:rPr>
            <w:t>经</w:t>
          </w:r>
          <w:r>
            <w:rPr>
              <w:color w:val="auto"/>
              <w:spacing w:val="-11"/>
            </w:rPr>
            <w:fldChar w:fldCharType="end"/>
          </w:r>
          <w:r>
            <w:rPr>
              <w:color w:val="auto"/>
            </w:rPr>
            <w:t>监督检验，逾期未改正</w:t>
          </w:r>
          <w:r>
            <w:rPr>
              <w:color w:val="auto"/>
            </w:rPr>
            <w:tab/>
          </w:r>
          <w:r>
            <w:rPr>
              <w:color w:val="auto"/>
              <w:spacing w:val="-6"/>
            </w:rPr>
            <w:t>536</w:t>
          </w:r>
        </w:p>
        <w:p>
          <w:pPr>
            <w:pStyle w:val="5"/>
            <w:tabs>
              <w:tab w:val="left" w:leader="dot" w:pos="8595"/>
            </w:tabs>
            <w:spacing w:line="308" w:lineRule="exact"/>
            <w:rPr>
              <w:color w:val="auto"/>
            </w:rPr>
          </w:pPr>
          <w:r>
            <w:rPr>
              <w:color w:val="auto"/>
            </w:rPr>
            <w:fldChar w:fldCharType="begin"/>
          </w:r>
          <w:r>
            <w:rPr>
              <w:color w:val="auto"/>
            </w:rPr>
            <w:instrText xml:space="preserve"> HYPERLINK \l "_bookmark568" </w:instrText>
          </w:r>
          <w:r>
            <w:rPr>
              <w:color w:val="auto"/>
            </w:rPr>
            <w:fldChar w:fldCharType="separate"/>
          </w:r>
          <w:r>
            <w:rPr>
              <w:color w:val="auto"/>
            </w:rPr>
            <w:t>五百五十六、未按照安全技术规范的要求对电梯进行校验、调试</w:t>
          </w:r>
          <w:r>
            <w:rPr>
              <w:color w:val="auto"/>
            </w:rPr>
            <w:tab/>
          </w:r>
          <w:r>
            <w:rPr>
              <w:color w:val="auto"/>
            </w:rPr>
            <w:t>537</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"_bookmark569"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"_bookmark569" </w:instrText>
          </w:r>
          <w:r>
            <w:rPr>
              <w:color w:val="auto"/>
            </w:rPr>
            <w:fldChar w:fldCharType="separate"/>
          </w:r>
          <w:r>
            <w:rPr>
              <w:color w:val="auto"/>
            </w:rPr>
            <w:t>百五十七</w:t>
          </w:r>
          <w:r>
            <w:rPr>
              <w:color w:val="auto"/>
              <w:spacing w:val="-20"/>
            </w:rPr>
            <w:t>、</w:t>
          </w:r>
          <w:r>
            <w:rPr>
              <w:color w:val="auto"/>
            </w:rPr>
            <w:t>电梯存在严重事故隐患</w:t>
          </w:r>
          <w:r>
            <w:rPr>
              <w:color w:val="auto"/>
              <w:spacing w:val="-17"/>
            </w:rPr>
            <w:t>，</w:t>
          </w:r>
          <w:r>
            <w:rPr>
              <w:color w:val="auto"/>
            </w:rPr>
            <w:t>未及时告知电梯使用单位并向负责特种</w:t>
          </w:r>
          <w:r>
            <w:rPr>
              <w:color w:val="auto"/>
              <w:spacing w:val="-16"/>
            </w:rPr>
            <w:t>设</w:t>
          </w:r>
          <w:r>
            <w:rPr>
              <w:color w:val="auto"/>
              <w:spacing w:val="-16"/>
            </w:rPr>
            <w:fldChar w:fldCharType="end"/>
          </w:r>
          <w:r>
            <w:rPr>
              <w:color w:val="auto"/>
            </w:rPr>
            <w:t>备安全监督管理的部门报告</w:t>
          </w:r>
          <w:r>
            <w:rPr>
              <w:color w:val="auto"/>
            </w:rPr>
            <w:tab/>
          </w:r>
          <w:r>
            <w:rPr>
              <w:color w:val="auto"/>
              <w:spacing w:val="-6"/>
            </w:rPr>
            <w:t>538</w:t>
          </w:r>
        </w:p>
        <w:p>
          <w:pPr>
            <w:pStyle w:val="5"/>
            <w:tabs>
              <w:tab w:val="left" w:leader="dot" w:pos="8611"/>
            </w:tabs>
            <w:spacing w:line="308" w:lineRule="exact"/>
            <w:rPr>
              <w:color w:val="auto"/>
            </w:rPr>
          </w:pPr>
          <w:r>
            <w:rPr>
              <w:color w:val="auto"/>
            </w:rPr>
            <w:fldChar w:fldCharType="begin"/>
          </w:r>
          <w:r>
            <w:rPr>
              <w:color w:val="auto"/>
            </w:rPr>
            <w:instrText xml:space="preserve"> HYPERLINK \l "_bookmark570" </w:instrText>
          </w:r>
          <w:r>
            <w:rPr>
              <w:color w:val="auto"/>
            </w:rPr>
            <w:fldChar w:fldCharType="separate"/>
          </w:r>
          <w:r>
            <w:rPr>
              <w:color w:val="auto"/>
              <w:spacing w:val="-12"/>
            </w:rPr>
            <w:t>五百五十八、不再具备生产条件、生产许可证已经过期或者超出许可范围生</w:t>
          </w:r>
          <w:r>
            <w:rPr>
              <w:color w:val="auto"/>
            </w:rPr>
            <w:t>产</w:t>
          </w:r>
          <w:r>
            <w:rPr>
              <w:color w:val="auto"/>
            </w:rPr>
            <w:tab/>
          </w:r>
          <w:r>
            <w:rPr>
              <w:color w:val="auto"/>
              <w:spacing w:val="-4"/>
            </w:rPr>
            <w:t>540</w:t>
          </w:r>
          <w:r>
            <w:rPr>
              <w:color w:val="auto"/>
              <w:spacing w:val="-4"/>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"_bookmark571" </w:instrText>
          </w:r>
          <w:r>
            <w:rPr>
              <w:color w:val="auto"/>
            </w:rPr>
            <w:fldChar w:fldCharType="separate"/>
          </w:r>
          <w:r>
            <w:rPr>
              <w:color w:val="auto"/>
            </w:rPr>
            <w:t>五百五十九、明知特种设备存在同一性缺陷，未立即停止生产并召回</w:t>
          </w:r>
          <w:r>
            <w:rPr>
              <w:color w:val="auto"/>
            </w:rPr>
            <w:tab/>
          </w:r>
          <w:r>
            <w:rPr>
              <w:color w:val="auto"/>
            </w:rPr>
            <w:t>541</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"_bookmark572" </w:instrText>
          </w:r>
          <w:r>
            <w:rPr>
              <w:color w:val="auto"/>
            </w:rPr>
            <w:fldChar w:fldCharType="separate"/>
          </w:r>
          <w:r>
            <w:rPr>
              <w:color w:val="auto"/>
            </w:rPr>
            <w:t>五百六十、特种设备生产单位生产、销售、交付国家明令淘汰的特种设备</w:t>
          </w:r>
          <w:r>
            <w:rPr>
              <w:color w:val="auto"/>
            </w:rPr>
            <w:tab/>
          </w:r>
          <w:r>
            <w:rPr>
              <w:color w:val="auto"/>
            </w:rPr>
            <w:t>541</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"_bookmark573" </w:instrText>
          </w:r>
          <w:r>
            <w:rPr>
              <w:color w:val="auto"/>
            </w:rPr>
            <w:fldChar w:fldCharType="separate"/>
          </w:r>
          <w:r>
            <w:rPr>
              <w:color w:val="auto"/>
            </w:rPr>
            <w:t>五百六十一、特种设备生产单位涂改、倒卖、出租、出借生产许可证</w:t>
          </w:r>
          <w:r>
            <w:rPr>
              <w:color w:val="auto"/>
            </w:rPr>
            <w:tab/>
          </w:r>
          <w:r>
            <w:rPr>
              <w:color w:val="auto"/>
            </w:rPr>
            <w:t>543</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"_bookmark574" </w:instrText>
          </w:r>
          <w:r>
            <w:rPr>
              <w:color w:val="auto"/>
            </w:rPr>
            <w:fldChar w:fldCharType="separate"/>
          </w:r>
          <w:r>
            <w:rPr>
              <w:color w:val="auto"/>
              <w:spacing w:val="-22"/>
            </w:rPr>
            <w:t>五百</w:t>
          </w:r>
          <w:r>
            <w:rPr>
              <w:color w:val="auto"/>
              <w:spacing w:val="-24"/>
            </w:rPr>
            <w:t>六</w:t>
          </w:r>
          <w:r>
            <w:rPr>
              <w:color w:val="auto"/>
              <w:spacing w:val="-22"/>
            </w:rPr>
            <w:t>十二、销售</w:t>
          </w:r>
          <w:r>
            <w:rPr>
              <w:color w:val="auto"/>
              <w:spacing w:val="-24"/>
            </w:rPr>
            <w:t>、</w:t>
          </w:r>
          <w:r>
            <w:rPr>
              <w:color w:val="auto"/>
              <w:spacing w:val="-22"/>
            </w:rPr>
            <w:t>出租未取得</w:t>
          </w:r>
          <w:r>
            <w:rPr>
              <w:color w:val="auto"/>
              <w:spacing w:val="-24"/>
            </w:rPr>
            <w:t>许</w:t>
          </w:r>
          <w:r>
            <w:rPr>
              <w:color w:val="auto"/>
              <w:spacing w:val="-22"/>
            </w:rPr>
            <w:t>可生产，未</w:t>
          </w:r>
          <w:r>
            <w:rPr>
              <w:color w:val="auto"/>
              <w:spacing w:val="-24"/>
            </w:rPr>
            <w:t>经</w:t>
          </w:r>
          <w:r>
            <w:rPr>
              <w:color w:val="auto"/>
              <w:spacing w:val="-22"/>
            </w:rPr>
            <w:t>检验或者检</w:t>
          </w:r>
          <w:r>
            <w:rPr>
              <w:color w:val="auto"/>
              <w:spacing w:val="-24"/>
            </w:rPr>
            <w:t>验</w:t>
          </w:r>
          <w:r>
            <w:rPr>
              <w:color w:val="auto"/>
              <w:spacing w:val="-22"/>
            </w:rPr>
            <w:t>不合格的特</w:t>
          </w:r>
          <w:r>
            <w:rPr>
              <w:color w:val="auto"/>
              <w:spacing w:val="-24"/>
            </w:rPr>
            <w:t>种</w:t>
          </w:r>
          <w:r>
            <w:rPr>
              <w:color w:val="auto"/>
              <w:spacing w:val="-22"/>
            </w:rPr>
            <w:t>设备</w:t>
          </w:r>
          <w:r>
            <w:rPr>
              <w:color w:val="auto"/>
              <w:spacing w:val="-22"/>
            </w:rPr>
            <w:tab/>
          </w:r>
          <w:r>
            <w:rPr>
              <w:color w:val="auto"/>
            </w:rPr>
            <w:t>544</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"_bookmark575"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"_bookmark575" </w:instrText>
          </w:r>
          <w:r>
            <w:rPr>
              <w:color w:val="auto"/>
            </w:rPr>
            <w:fldChar w:fldCharType="separate"/>
          </w:r>
          <w:r>
            <w:rPr>
              <w:color w:val="auto"/>
            </w:rPr>
            <w:t>百六十三</w:t>
          </w:r>
          <w:r>
            <w:rPr>
              <w:color w:val="auto"/>
              <w:spacing w:val="-10"/>
            </w:rPr>
            <w:t>、</w:t>
          </w:r>
          <w:r>
            <w:rPr>
              <w:color w:val="auto"/>
            </w:rPr>
            <w:t>销售</w:t>
          </w:r>
          <w:r>
            <w:rPr>
              <w:color w:val="auto"/>
              <w:spacing w:val="-10"/>
            </w:rPr>
            <w:t>、</w:t>
          </w:r>
          <w:r>
            <w:rPr>
              <w:color w:val="auto"/>
            </w:rPr>
            <w:t>出租国家明令淘汰</w:t>
          </w:r>
          <w:r>
            <w:rPr>
              <w:color w:val="auto"/>
              <w:spacing w:val="-8"/>
            </w:rPr>
            <w:t>、</w:t>
          </w:r>
          <w:r>
            <w:rPr>
              <w:color w:val="auto"/>
            </w:rPr>
            <w:t>已经报废的特种设备</w:t>
          </w:r>
          <w:r>
            <w:rPr>
              <w:color w:val="auto"/>
              <w:spacing w:val="-10"/>
            </w:rPr>
            <w:t>，</w:t>
          </w:r>
          <w:r>
            <w:rPr>
              <w:color w:val="auto"/>
            </w:rPr>
            <w:t>或者未按照安</w:t>
          </w:r>
          <w:r>
            <w:rPr>
              <w:color w:val="auto"/>
              <w:spacing w:val="-15"/>
            </w:rPr>
            <w:t>全</w:t>
          </w:r>
          <w:r>
            <w:rPr>
              <w:color w:val="auto"/>
              <w:spacing w:val="-15"/>
            </w:rPr>
            <w:fldChar w:fldCharType="end"/>
          </w:r>
          <w:r>
            <w:rPr>
              <w:color w:val="auto"/>
            </w:rPr>
            <w:t>技术规范的要求进行维护保养的特种设备</w:t>
          </w:r>
          <w:r>
            <w:rPr>
              <w:color w:val="auto"/>
            </w:rPr>
            <w:tab/>
          </w:r>
          <w:r>
            <w:rPr>
              <w:color w:val="auto"/>
              <w:spacing w:val="-6"/>
            </w:rPr>
            <w:t>545</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"_bookmark576"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"_bookmark576" </w:instrText>
          </w:r>
          <w:r>
            <w:rPr>
              <w:color w:val="auto"/>
            </w:rPr>
            <w:fldChar w:fldCharType="separate"/>
          </w:r>
          <w:r>
            <w:rPr>
              <w:color w:val="auto"/>
            </w:rPr>
            <w:t>百六十四</w:t>
          </w:r>
          <w:r>
            <w:rPr>
              <w:color w:val="auto"/>
              <w:spacing w:val="-20"/>
            </w:rPr>
            <w:t>、</w:t>
          </w:r>
          <w:r>
            <w:rPr>
              <w:color w:val="auto"/>
            </w:rPr>
            <w:t>特种设备销售单位未建立检查验收和销售记录制度</w:t>
          </w:r>
          <w:r>
            <w:rPr>
              <w:color w:val="auto"/>
              <w:spacing w:val="-17"/>
            </w:rPr>
            <w:t>，</w:t>
          </w:r>
          <w:r>
            <w:rPr>
              <w:color w:val="auto"/>
            </w:rPr>
            <w:t>或者进口特</w:t>
          </w:r>
          <w:r>
            <w:rPr>
              <w:color w:val="auto"/>
              <w:spacing w:val="-16"/>
            </w:rPr>
            <w:t>种</w:t>
          </w:r>
          <w:r>
            <w:rPr>
              <w:color w:val="auto"/>
              <w:spacing w:val="-16"/>
            </w:rPr>
            <w:fldChar w:fldCharType="end"/>
          </w:r>
          <w:r>
            <w:rPr>
              <w:color w:val="auto"/>
            </w:rPr>
            <w:t>设备未履行提前告知义务</w:t>
          </w:r>
          <w:r>
            <w:rPr>
              <w:color w:val="auto"/>
            </w:rPr>
            <w:tab/>
          </w:r>
          <w:r>
            <w:rPr>
              <w:color w:val="auto"/>
              <w:spacing w:val="-6"/>
            </w:rPr>
            <w:t>546</w:t>
          </w:r>
        </w:p>
        <w:p>
          <w:pPr>
            <w:pStyle w:val="5"/>
            <w:tabs>
              <w:tab w:val="left" w:leader="dot" w:pos="8595"/>
            </w:tabs>
            <w:spacing w:after="59" w:line="308" w:lineRule="exact"/>
            <w:rPr>
              <w:color w:val="auto"/>
            </w:rPr>
          </w:pPr>
          <w:r>
            <w:rPr>
              <w:color w:val="auto"/>
            </w:rPr>
            <w:fldChar w:fldCharType="begin"/>
          </w:r>
          <w:r>
            <w:rPr>
              <w:color w:val="auto"/>
            </w:rPr>
            <w:instrText xml:space="preserve"> HYPERLINK \l "_bookmark577" </w:instrText>
          </w:r>
          <w:r>
            <w:rPr>
              <w:color w:val="auto"/>
            </w:rPr>
            <w:fldChar w:fldCharType="separate"/>
          </w:r>
          <w:r>
            <w:rPr>
              <w:color w:val="auto"/>
              <w:spacing w:val="-22"/>
            </w:rPr>
            <w:t>五百</w:t>
          </w:r>
          <w:r>
            <w:rPr>
              <w:color w:val="auto"/>
              <w:spacing w:val="-24"/>
            </w:rPr>
            <w:t>六</w:t>
          </w:r>
          <w:r>
            <w:rPr>
              <w:color w:val="auto"/>
              <w:spacing w:val="-22"/>
            </w:rPr>
            <w:t>十五、特种</w:t>
          </w:r>
          <w:r>
            <w:rPr>
              <w:color w:val="auto"/>
              <w:spacing w:val="-24"/>
            </w:rPr>
            <w:t>设</w:t>
          </w:r>
          <w:r>
            <w:rPr>
              <w:color w:val="auto"/>
              <w:spacing w:val="-22"/>
            </w:rPr>
            <w:t>备生产单位</w:t>
          </w:r>
          <w:r>
            <w:rPr>
              <w:color w:val="auto"/>
              <w:spacing w:val="-24"/>
            </w:rPr>
            <w:t>销</w:t>
          </w:r>
          <w:r>
            <w:rPr>
              <w:color w:val="auto"/>
              <w:spacing w:val="-22"/>
            </w:rPr>
            <w:t>售、交付未</w:t>
          </w:r>
          <w:r>
            <w:rPr>
              <w:color w:val="auto"/>
              <w:spacing w:val="-24"/>
            </w:rPr>
            <w:t>经</w:t>
          </w:r>
          <w:r>
            <w:rPr>
              <w:color w:val="auto"/>
              <w:spacing w:val="-22"/>
            </w:rPr>
            <w:t>检验或者检</w:t>
          </w:r>
          <w:r>
            <w:rPr>
              <w:color w:val="auto"/>
              <w:spacing w:val="-24"/>
            </w:rPr>
            <w:t>验</w:t>
          </w:r>
          <w:r>
            <w:rPr>
              <w:color w:val="auto"/>
              <w:spacing w:val="-22"/>
            </w:rPr>
            <w:t>不合格的特</w:t>
          </w:r>
          <w:r>
            <w:rPr>
              <w:color w:val="auto"/>
              <w:spacing w:val="-24"/>
            </w:rPr>
            <w:t>种</w:t>
          </w:r>
          <w:r>
            <w:rPr>
              <w:color w:val="auto"/>
              <w:spacing w:val="-22"/>
            </w:rPr>
            <w:t>设备</w:t>
          </w:r>
          <w:r>
            <w:rPr>
              <w:color w:val="auto"/>
              <w:spacing w:val="-22"/>
            </w:rPr>
            <w:tab/>
          </w:r>
          <w:r>
            <w:rPr>
              <w:color w:val="auto"/>
            </w:rPr>
            <w:t>548</w:t>
          </w:r>
          <w:r>
            <w:rPr>
              <w:color w:val="auto"/>
            </w:rPr>
            <w:fldChar w:fldCharType="end"/>
          </w:r>
        </w:p>
        <w:p>
          <w:pPr>
            <w:pStyle w:val="5"/>
            <w:tabs>
              <w:tab w:val="left" w:leader="dot" w:pos="8595"/>
            </w:tabs>
            <w:spacing w:before="141"/>
            <w:rPr>
              <w:color w:val="auto"/>
            </w:rPr>
          </w:pPr>
          <w:r>
            <w:rPr>
              <w:color w:val="auto"/>
            </w:rPr>
            <w:fldChar w:fldCharType="begin"/>
          </w:r>
          <w:r>
            <w:rPr>
              <w:color w:val="auto"/>
            </w:rPr>
            <w:instrText xml:space="preserve"> HYPERLINK \l "_bookmark578" </w:instrText>
          </w:r>
          <w:r>
            <w:rPr>
              <w:color w:val="auto"/>
            </w:rPr>
            <w:fldChar w:fldCharType="separate"/>
          </w:r>
          <w:r>
            <w:rPr>
              <w:color w:val="auto"/>
            </w:rPr>
            <w:t>五百六十六、使用特种设备未按照规定办理使用登记</w:t>
          </w:r>
          <w:r>
            <w:rPr>
              <w:color w:val="auto"/>
            </w:rPr>
            <w:tab/>
          </w:r>
          <w:r>
            <w:rPr>
              <w:color w:val="auto"/>
            </w:rPr>
            <w:t>549</w:t>
          </w:r>
          <w:r>
            <w:rPr>
              <w:color w:val="auto"/>
            </w:rPr>
            <w:fldChar w:fldCharType="end"/>
          </w:r>
        </w:p>
        <w:p>
          <w:pPr>
            <w:pStyle w:val="5"/>
            <w:tabs>
              <w:tab w:val="left" w:leader="dot" w:pos="8595"/>
            </w:tabs>
            <w:spacing w:before="195" w:line="388" w:lineRule="auto"/>
            <w:ind w:right="232"/>
            <w:rPr>
              <w:color w:val="auto"/>
            </w:rPr>
          </w:pPr>
          <w:r>
            <w:rPr>
              <w:color w:val="auto"/>
            </w:rPr>
            <w:fldChar w:fldCharType="begin"/>
          </w:r>
          <w:r>
            <w:rPr>
              <w:color w:val="auto"/>
            </w:rPr>
            <w:instrText xml:space="preserve"> HYPERLINK \l "_bookmark579"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"_bookmark579" </w:instrText>
          </w:r>
          <w:r>
            <w:rPr>
              <w:color w:val="auto"/>
            </w:rPr>
            <w:fldChar w:fldCharType="separate"/>
          </w:r>
          <w:r>
            <w:rPr>
              <w:color w:val="auto"/>
            </w:rPr>
            <w:t>百六十七、未建立特种设备安全技术档案或者安全技术档案不符合规定要求</w:t>
          </w:r>
          <w:r>
            <w:rPr>
              <w:color w:val="auto"/>
              <w:spacing w:val="-17"/>
            </w:rPr>
            <w:t xml:space="preserve">， </w:t>
          </w:r>
          <w:r>
            <w:rPr>
              <w:color w:val="auto"/>
              <w:spacing w:val="-17"/>
            </w:rPr>
            <w:fldChar w:fldCharType="end"/>
          </w:r>
          <w:r>
            <w:rPr>
              <w:color w:val="auto"/>
            </w:rPr>
            <w:t>或者未依法设置使用登记标志、定期检验标志</w:t>
          </w:r>
          <w:r>
            <w:rPr>
              <w:color w:val="auto"/>
            </w:rPr>
            <w:tab/>
          </w:r>
          <w:r>
            <w:rPr>
              <w:color w:val="auto"/>
            </w:rPr>
            <w:t>550</w:t>
          </w:r>
        </w:p>
        <w:p>
          <w:pPr>
            <w:pStyle w:val="5"/>
            <w:tabs>
              <w:tab w:val="left" w:leader="dot" w:pos="8595"/>
            </w:tabs>
            <w:spacing w:before="2" w:line="391" w:lineRule="auto"/>
            <w:ind w:left="548" w:right="268" w:firstLine="43"/>
            <w:rPr>
              <w:color w:val="auto"/>
            </w:rPr>
          </w:pPr>
          <w:r>
            <w:rPr>
              <w:color w:val="auto"/>
            </w:rPr>
            <w:fldChar w:fldCharType="begin"/>
          </w:r>
          <w:r>
            <w:rPr>
              <w:color w:val="auto"/>
            </w:rPr>
            <w:instrText xml:space="preserve"> HYPERLINK \l "_bookmark580" </w:instrText>
          </w:r>
          <w:r>
            <w:rPr>
              <w:color w:val="auto"/>
            </w:rPr>
            <w:fldChar w:fldCharType="separate"/>
          </w:r>
          <w:r>
            <w:rPr>
              <w:color w:val="auto"/>
              <w:spacing w:val="-22"/>
            </w:rPr>
            <w:t>五</w:t>
          </w:r>
          <w:r>
            <w:rPr>
              <w:color w:val="auto"/>
              <w:spacing w:val="-22"/>
            </w:rPr>
            <w:fldChar w:fldCharType="end"/>
          </w:r>
          <w:r>
            <w:rPr>
              <w:color w:val="auto"/>
            </w:rPr>
            <w:fldChar w:fldCharType="begin"/>
          </w:r>
          <w:r>
            <w:rPr>
              <w:color w:val="auto"/>
            </w:rPr>
            <w:instrText xml:space="preserve"> HYPERLINK \l "_bookmark580" </w:instrText>
          </w:r>
          <w:r>
            <w:rPr>
              <w:color w:val="auto"/>
            </w:rPr>
            <w:fldChar w:fldCharType="separate"/>
          </w:r>
          <w:r>
            <w:rPr>
              <w:color w:val="auto"/>
              <w:spacing w:val="-22"/>
            </w:rPr>
            <w:t>百</w:t>
          </w:r>
          <w:r>
            <w:rPr>
              <w:color w:val="auto"/>
              <w:spacing w:val="-24"/>
            </w:rPr>
            <w:t>六</w:t>
          </w:r>
          <w:r>
            <w:rPr>
              <w:color w:val="auto"/>
              <w:spacing w:val="-22"/>
            </w:rPr>
            <w:t>十八、未对</w:t>
          </w:r>
          <w:r>
            <w:rPr>
              <w:color w:val="auto"/>
              <w:spacing w:val="-24"/>
            </w:rPr>
            <w:t>其</w:t>
          </w:r>
          <w:r>
            <w:rPr>
              <w:color w:val="auto"/>
              <w:spacing w:val="-22"/>
            </w:rPr>
            <w:t>使用的特种</w:t>
          </w:r>
          <w:r>
            <w:rPr>
              <w:color w:val="auto"/>
              <w:spacing w:val="-24"/>
            </w:rPr>
            <w:t>设</w:t>
          </w:r>
          <w:r>
            <w:rPr>
              <w:color w:val="auto"/>
              <w:spacing w:val="-22"/>
            </w:rPr>
            <w:t>备进行经常</w:t>
          </w:r>
          <w:r>
            <w:rPr>
              <w:color w:val="auto"/>
              <w:spacing w:val="-24"/>
            </w:rPr>
            <w:t>性</w:t>
          </w:r>
          <w:r>
            <w:rPr>
              <w:color w:val="auto"/>
              <w:spacing w:val="-22"/>
            </w:rPr>
            <w:t>维护保养和</w:t>
          </w:r>
          <w:r>
            <w:rPr>
              <w:color w:val="auto"/>
              <w:spacing w:val="-24"/>
            </w:rPr>
            <w:t>定</w:t>
          </w:r>
          <w:r>
            <w:rPr>
              <w:color w:val="auto"/>
              <w:spacing w:val="-22"/>
            </w:rPr>
            <w:t>期自行检查</w:t>
          </w:r>
          <w:r>
            <w:rPr>
              <w:color w:val="auto"/>
              <w:spacing w:val="-24"/>
            </w:rPr>
            <w:t>，</w:t>
          </w:r>
          <w:r>
            <w:rPr>
              <w:color w:val="auto"/>
              <w:spacing w:val="-22"/>
            </w:rPr>
            <w:t>或者未对</w:t>
          </w:r>
          <w:r>
            <w:rPr>
              <w:color w:val="auto"/>
            </w:rPr>
            <w:t>其</w:t>
          </w:r>
          <w:r>
            <w:rPr>
              <w:color w:val="auto"/>
            </w:rPr>
            <w:fldChar w:fldCharType="end"/>
          </w:r>
          <w:r>
            <w:rPr>
              <w:color w:val="auto"/>
              <w:spacing w:val="-22"/>
            </w:rPr>
            <w:t>使用</w:t>
          </w:r>
          <w:r>
            <w:rPr>
              <w:color w:val="auto"/>
              <w:spacing w:val="-24"/>
            </w:rPr>
            <w:t>的</w:t>
          </w:r>
          <w:r>
            <w:rPr>
              <w:color w:val="auto"/>
              <w:spacing w:val="-22"/>
            </w:rPr>
            <w:t>特种设备的</w:t>
          </w:r>
          <w:r>
            <w:rPr>
              <w:color w:val="auto"/>
              <w:spacing w:val="-24"/>
            </w:rPr>
            <w:t>安</w:t>
          </w:r>
          <w:r>
            <w:rPr>
              <w:color w:val="auto"/>
              <w:spacing w:val="-22"/>
            </w:rPr>
            <w:t>全附件、安</w:t>
          </w:r>
          <w:r>
            <w:rPr>
              <w:color w:val="auto"/>
              <w:spacing w:val="-24"/>
            </w:rPr>
            <w:t>全</w:t>
          </w:r>
          <w:r>
            <w:rPr>
              <w:color w:val="auto"/>
              <w:spacing w:val="-22"/>
            </w:rPr>
            <w:t>保护装置进</w:t>
          </w:r>
          <w:r>
            <w:rPr>
              <w:color w:val="auto"/>
              <w:spacing w:val="-24"/>
            </w:rPr>
            <w:t>行</w:t>
          </w:r>
          <w:r>
            <w:rPr>
              <w:color w:val="auto"/>
              <w:spacing w:val="-22"/>
            </w:rPr>
            <w:t>定期校验、</w:t>
          </w:r>
          <w:r>
            <w:rPr>
              <w:color w:val="auto"/>
              <w:spacing w:val="-24"/>
            </w:rPr>
            <w:t>检</w:t>
          </w:r>
          <w:r>
            <w:rPr>
              <w:color w:val="auto"/>
              <w:spacing w:val="-22"/>
            </w:rPr>
            <w:t>修，并作出</w:t>
          </w:r>
          <w:r>
            <w:rPr>
              <w:color w:val="auto"/>
              <w:spacing w:val="-24"/>
            </w:rPr>
            <w:t>记</w:t>
          </w:r>
          <w:r>
            <w:rPr>
              <w:color w:val="auto"/>
              <w:spacing w:val="-22"/>
            </w:rPr>
            <w:t>录</w:t>
          </w:r>
          <w:r>
            <w:rPr>
              <w:color w:val="auto"/>
              <w:spacing w:val="-22"/>
            </w:rPr>
            <w:tab/>
          </w:r>
          <w:r>
            <w:rPr>
              <w:color w:val="auto"/>
              <w:spacing w:val="-6"/>
            </w:rPr>
            <w:t>551</w:t>
          </w:r>
        </w:p>
        <w:p>
          <w:pPr>
            <w:pStyle w:val="5"/>
            <w:tabs>
              <w:tab w:val="left" w:leader="dot" w:pos="8595"/>
            </w:tabs>
            <w:spacing w:line="306" w:lineRule="exact"/>
            <w:rPr>
              <w:color w:val="auto"/>
            </w:rPr>
          </w:pPr>
          <w:r>
            <w:rPr>
              <w:color w:val="auto"/>
            </w:rPr>
            <w:fldChar w:fldCharType="begin"/>
          </w:r>
          <w:r>
            <w:rPr>
              <w:color w:val="auto"/>
            </w:rPr>
            <w:instrText xml:space="preserve"> HYPERLINK \l "_bookmark581" </w:instrText>
          </w:r>
          <w:r>
            <w:rPr>
              <w:color w:val="auto"/>
            </w:rPr>
            <w:fldChar w:fldCharType="separate"/>
          </w:r>
          <w:r>
            <w:rPr>
              <w:color w:val="auto"/>
            </w:rPr>
            <w:t>五百六十九、未按照安全技术规范的要求及时申报并接受检验</w:t>
          </w:r>
          <w:r>
            <w:rPr>
              <w:color w:val="auto"/>
            </w:rPr>
            <w:tab/>
          </w:r>
          <w:r>
            <w:rPr>
              <w:color w:val="auto"/>
            </w:rPr>
            <w:t>553</w:t>
          </w:r>
          <w:r>
            <w:rPr>
              <w:color w:val="auto"/>
            </w:rPr>
            <w:fldChar w:fldCharType="end"/>
          </w:r>
        </w:p>
        <w:p>
          <w:pPr>
            <w:pStyle w:val="5"/>
            <w:tabs>
              <w:tab w:val="left" w:leader="dot" w:pos="8595"/>
            </w:tabs>
            <w:spacing w:before="191"/>
            <w:rPr>
              <w:color w:val="auto"/>
            </w:rPr>
          </w:pPr>
          <w:r>
            <w:rPr>
              <w:color w:val="auto"/>
            </w:rPr>
            <w:fldChar w:fldCharType="begin"/>
          </w:r>
          <w:r>
            <w:rPr>
              <w:color w:val="auto"/>
            </w:rPr>
            <w:instrText xml:space="preserve"> HYPERLINK \l "_bookmark582" </w:instrText>
          </w:r>
          <w:r>
            <w:rPr>
              <w:color w:val="auto"/>
            </w:rPr>
            <w:fldChar w:fldCharType="separate"/>
          </w:r>
          <w:r>
            <w:rPr>
              <w:color w:val="auto"/>
            </w:rPr>
            <w:t>五百七十、未按照安全技术规范的要求进行锅炉水（介）质处理</w:t>
          </w:r>
          <w:r>
            <w:rPr>
              <w:color w:val="auto"/>
            </w:rPr>
            <w:tab/>
          </w:r>
          <w:r>
            <w:rPr>
              <w:color w:val="auto"/>
            </w:rPr>
            <w:t>554</w:t>
          </w:r>
          <w:r>
            <w:rPr>
              <w:color w:val="auto"/>
            </w:rPr>
            <w:fldChar w:fldCharType="end"/>
          </w:r>
        </w:p>
        <w:p>
          <w:pPr>
            <w:pStyle w:val="5"/>
            <w:tabs>
              <w:tab w:val="left" w:leader="dot" w:pos="8595"/>
            </w:tabs>
            <w:spacing w:before="194"/>
            <w:rPr>
              <w:color w:val="auto"/>
            </w:rPr>
          </w:pPr>
          <w:r>
            <w:rPr>
              <w:color w:val="auto"/>
            </w:rPr>
            <w:fldChar w:fldCharType="begin"/>
          </w:r>
          <w:r>
            <w:rPr>
              <w:color w:val="auto"/>
            </w:rPr>
            <w:instrText xml:space="preserve"> HYPERLINK \l "_bookmark583" </w:instrText>
          </w:r>
          <w:r>
            <w:rPr>
              <w:color w:val="auto"/>
            </w:rPr>
            <w:fldChar w:fldCharType="separate"/>
          </w:r>
          <w:r>
            <w:rPr>
              <w:color w:val="auto"/>
            </w:rPr>
            <w:t>五百七十一、未制定特种设备事故应急专项预案</w:t>
          </w:r>
          <w:r>
            <w:rPr>
              <w:color w:val="auto"/>
            </w:rPr>
            <w:tab/>
          </w:r>
          <w:r>
            <w:rPr>
              <w:color w:val="auto"/>
            </w:rPr>
            <w:t>555</w:t>
          </w:r>
          <w:r>
            <w:rPr>
              <w:color w:val="auto"/>
            </w:rPr>
            <w:fldChar w:fldCharType="end"/>
          </w:r>
        </w:p>
        <w:p>
          <w:pPr>
            <w:pStyle w:val="5"/>
            <w:tabs>
              <w:tab w:val="left" w:leader="dot" w:pos="8595"/>
            </w:tabs>
            <w:spacing w:before="192" w:line="388" w:lineRule="auto"/>
            <w:ind w:right="268"/>
            <w:rPr>
              <w:color w:val="auto"/>
            </w:rPr>
          </w:pPr>
          <w:r>
            <w:rPr>
              <w:color w:val="auto"/>
            </w:rPr>
            <w:fldChar w:fldCharType="begin"/>
          </w:r>
          <w:r>
            <w:rPr>
              <w:color w:val="auto"/>
            </w:rPr>
            <w:instrText xml:space="preserve"> HYPERLINK \l "_bookmark584"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"_bookmark584" </w:instrText>
          </w:r>
          <w:r>
            <w:rPr>
              <w:color w:val="auto"/>
            </w:rPr>
            <w:fldChar w:fldCharType="separate"/>
          </w:r>
          <w:r>
            <w:rPr>
              <w:color w:val="auto"/>
            </w:rPr>
            <w:t>百七十二</w:t>
          </w:r>
          <w:r>
            <w:rPr>
              <w:color w:val="auto"/>
              <w:spacing w:val="-12"/>
            </w:rPr>
            <w:t>、</w:t>
          </w:r>
          <w:r>
            <w:rPr>
              <w:color w:val="auto"/>
            </w:rPr>
            <w:t>使用未取得许可生产</w:t>
          </w:r>
          <w:r>
            <w:rPr>
              <w:color w:val="auto"/>
              <w:spacing w:val="-12"/>
            </w:rPr>
            <w:t>，</w:t>
          </w:r>
          <w:r>
            <w:rPr>
              <w:color w:val="auto"/>
            </w:rPr>
            <w:t>未经检验或者检验不合格的特种设备</w:t>
          </w:r>
          <w:r>
            <w:rPr>
              <w:color w:val="auto"/>
              <w:spacing w:val="-12"/>
            </w:rPr>
            <w:t>，</w:t>
          </w:r>
          <w:r>
            <w:rPr>
              <w:color w:val="auto"/>
            </w:rPr>
            <w:t>或</w:t>
          </w:r>
          <w:r>
            <w:rPr>
              <w:color w:val="auto"/>
              <w:spacing w:val="-17"/>
            </w:rPr>
            <w:t>者</w:t>
          </w:r>
          <w:r>
            <w:rPr>
              <w:color w:val="auto"/>
              <w:spacing w:val="-17"/>
            </w:rPr>
            <w:fldChar w:fldCharType="end"/>
          </w:r>
          <w:r>
            <w:rPr>
              <w:color w:val="auto"/>
            </w:rPr>
            <w:t>国家明令淘汰、已经报废的特种设备</w:t>
          </w:r>
          <w:r>
            <w:rPr>
              <w:color w:val="auto"/>
            </w:rPr>
            <w:tab/>
          </w:r>
          <w:r>
            <w:rPr>
              <w:color w:val="auto"/>
              <w:spacing w:val="-6"/>
            </w:rPr>
            <w:t>556</w:t>
          </w:r>
        </w:p>
        <w:p>
          <w:pPr>
            <w:pStyle w:val="5"/>
            <w:tabs>
              <w:tab w:val="left" w:leader="dot" w:pos="8595"/>
            </w:tabs>
            <w:spacing w:before="5" w:line="388" w:lineRule="auto"/>
            <w:ind w:right="268"/>
            <w:rPr>
              <w:color w:val="auto"/>
            </w:rPr>
          </w:pPr>
          <w:r>
            <w:rPr>
              <w:color w:val="auto"/>
            </w:rPr>
            <w:fldChar w:fldCharType="begin"/>
          </w:r>
          <w:r>
            <w:rPr>
              <w:color w:val="auto"/>
            </w:rPr>
            <w:instrText xml:space="preserve"> HYPERLINK \l "_bookmark585"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"_bookmark585" </w:instrText>
          </w:r>
          <w:r>
            <w:rPr>
              <w:color w:val="auto"/>
            </w:rPr>
            <w:fldChar w:fldCharType="separate"/>
          </w:r>
          <w:r>
            <w:rPr>
              <w:color w:val="auto"/>
            </w:rPr>
            <w:t>百七十三</w:t>
          </w:r>
          <w:r>
            <w:rPr>
              <w:color w:val="auto"/>
              <w:spacing w:val="-12"/>
            </w:rPr>
            <w:t>、</w:t>
          </w:r>
          <w:r>
            <w:rPr>
              <w:color w:val="auto"/>
            </w:rPr>
            <w:t>特种设备出现故障或者发生异常情况</w:t>
          </w:r>
          <w:r>
            <w:rPr>
              <w:color w:val="auto"/>
              <w:spacing w:val="-12"/>
            </w:rPr>
            <w:t>，</w:t>
          </w:r>
          <w:r>
            <w:rPr>
              <w:color w:val="auto"/>
            </w:rPr>
            <w:t>未对其进行全面检查</w:t>
          </w:r>
          <w:r>
            <w:rPr>
              <w:color w:val="auto"/>
              <w:spacing w:val="-12"/>
            </w:rPr>
            <w:t>、</w:t>
          </w:r>
          <w:r>
            <w:rPr>
              <w:color w:val="auto"/>
            </w:rPr>
            <w:t>消</w:t>
          </w:r>
          <w:r>
            <w:rPr>
              <w:color w:val="auto"/>
              <w:spacing w:val="-17"/>
            </w:rPr>
            <w:t>除</w:t>
          </w:r>
          <w:r>
            <w:rPr>
              <w:color w:val="auto"/>
              <w:spacing w:val="-17"/>
            </w:rPr>
            <w:fldChar w:fldCharType="end"/>
          </w:r>
          <w:r>
            <w:rPr>
              <w:color w:val="auto"/>
            </w:rPr>
            <w:t>事故隐患，继续使用</w:t>
          </w:r>
          <w:r>
            <w:rPr>
              <w:color w:val="auto"/>
            </w:rPr>
            <w:tab/>
          </w:r>
          <w:r>
            <w:rPr>
              <w:color w:val="auto"/>
              <w:spacing w:val="-6"/>
            </w:rPr>
            <w:t>557</w:t>
          </w:r>
        </w:p>
        <w:p>
          <w:pPr>
            <w:pStyle w:val="5"/>
            <w:tabs>
              <w:tab w:val="left" w:leader="dot" w:pos="8595"/>
            </w:tabs>
            <w:spacing w:before="2" w:line="391" w:lineRule="auto"/>
            <w:ind w:left="548" w:right="268" w:firstLine="43"/>
            <w:rPr>
              <w:color w:val="auto"/>
            </w:rPr>
          </w:pPr>
          <w:r>
            <w:rPr>
              <w:color w:val="auto"/>
            </w:rPr>
            <w:fldChar w:fldCharType="begin"/>
          </w:r>
          <w:r>
            <w:rPr>
              <w:color w:val="auto"/>
            </w:rPr>
            <w:instrText xml:space="preserve"> HYPERLINK \l "_bookmark586" </w:instrText>
          </w:r>
          <w:r>
            <w:rPr>
              <w:color w:val="auto"/>
            </w:rPr>
            <w:fldChar w:fldCharType="separate"/>
          </w:r>
          <w:r>
            <w:rPr>
              <w:color w:val="auto"/>
              <w:spacing w:val="-22"/>
            </w:rPr>
            <w:t>五</w:t>
          </w:r>
          <w:r>
            <w:rPr>
              <w:color w:val="auto"/>
              <w:spacing w:val="-22"/>
            </w:rPr>
            <w:fldChar w:fldCharType="end"/>
          </w:r>
          <w:r>
            <w:rPr>
              <w:color w:val="auto"/>
            </w:rPr>
            <w:fldChar w:fldCharType="begin"/>
          </w:r>
          <w:r>
            <w:rPr>
              <w:color w:val="auto"/>
            </w:rPr>
            <w:instrText xml:space="preserve"> HYPERLINK \l "_bookmark586" </w:instrText>
          </w:r>
          <w:r>
            <w:rPr>
              <w:color w:val="auto"/>
            </w:rPr>
            <w:fldChar w:fldCharType="separate"/>
          </w:r>
          <w:r>
            <w:rPr>
              <w:color w:val="auto"/>
              <w:spacing w:val="-22"/>
            </w:rPr>
            <w:t>百</w:t>
          </w:r>
          <w:r>
            <w:rPr>
              <w:color w:val="auto"/>
              <w:spacing w:val="-24"/>
            </w:rPr>
            <w:t>七</w:t>
          </w:r>
          <w:r>
            <w:rPr>
              <w:color w:val="auto"/>
              <w:spacing w:val="-22"/>
            </w:rPr>
            <w:t>十四、特种</w:t>
          </w:r>
          <w:r>
            <w:rPr>
              <w:color w:val="auto"/>
              <w:spacing w:val="-24"/>
            </w:rPr>
            <w:t>设</w:t>
          </w:r>
          <w:r>
            <w:rPr>
              <w:color w:val="auto"/>
              <w:spacing w:val="-22"/>
            </w:rPr>
            <w:t>备存在严重</w:t>
          </w:r>
          <w:r>
            <w:rPr>
              <w:color w:val="auto"/>
              <w:spacing w:val="-24"/>
            </w:rPr>
            <w:t>事</w:t>
          </w:r>
          <w:r>
            <w:rPr>
              <w:color w:val="auto"/>
              <w:spacing w:val="-22"/>
            </w:rPr>
            <w:t>故隐患，无</w:t>
          </w:r>
          <w:r>
            <w:rPr>
              <w:color w:val="auto"/>
              <w:spacing w:val="-24"/>
            </w:rPr>
            <w:t>改</w:t>
          </w:r>
          <w:r>
            <w:rPr>
              <w:color w:val="auto"/>
              <w:spacing w:val="-22"/>
            </w:rPr>
            <w:t>造、修理价</w:t>
          </w:r>
          <w:r>
            <w:rPr>
              <w:color w:val="auto"/>
              <w:spacing w:val="-24"/>
            </w:rPr>
            <w:t>值</w:t>
          </w:r>
          <w:r>
            <w:rPr>
              <w:color w:val="auto"/>
              <w:spacing w:val="-22"/>
            </w:rPr>
            <w:t>，或者达到</w:t>
          </w:r>
          <w:r>
            <w:rPr>
              <w:color w:val="auto"/>
              <w:spacing w:val="-24"/>
            </w:rPr>
            <w:t>安</w:t>
          </w:r>
          <w:r>
            <w:rPr>
              <w:color w:val="auto"/>
              <w:spacing w:val="-22"/>
            </w:rPr>
            <w:t>全技术规</w:t>
          </w:r>
          <w:r>
            <w:rPr>
              <w:color w:val="auto"/>
            </w:rPr>
            <w:t>范</w:t>
          </w:r>
          <w:r>
            <w:rPr>
              <w:color w:val="auto"/>
            </w:rPr>
            <w:fldChar w:fldCharType="end"/>
          </w:r>
          <w:r>
            <w:rPr>
              <w:color w:val="auto"/>
              <w:spacing w:val="-22"/>
            </w:rPr>
            <w:t>规定</w:t>
          </w:r>
          <w:r>
            <w:rPr>
              <w:color w:val="auto"/>
              <w:spacing w:val="-24"/>
            </w:rPr>
            <w:t>的</w:t>
          </w:r>
          <w:r>
            <w:rPr>
              <w:color w:val="auto"/>
              <w:spacing w:val="-22"/>
            </w:rPr>
            <w:t>其他报废条</w:t>
          </w:r>
          <w:r>
            <w:rPr>
              <w:color w:val="auto"/>
              <w:spacing w:val="-24"/>
            </w:rPr>
            <w:t>件</w:t>
          </w:r>
          <w:r>
            <w:rPr>
              <w:color w:val="auto"/>
              <w:spacing w:val="-22"/>
            </w:rPr>
            <w:t>，未依法履</w:t>
          </w:r>
          <w:r>
            <w:rPr>
              <w:color w:val="auto"/>
              <w:spacing w:val="-24"/>
            </w:rPr>
            <w:t>行</w:t>
          </w:r>
          <w:r>
            <w:rPr>
              <w:color w:val="auto"/>
              <w:spacing w:val="-22"/>
            </w:rPr>
            <w:t>报废义务并</w:t>
          </w:r>
          <w:r>
            <w:rPr>
              <w:color w:val="auto"/>
              <w:spacing w:val="-24"/>
            </w:rPr>
            <w:t>办</w:t>
          </w:r>
          <w:r>
            <w:rPr>
              <w:color w:val="auto"/>
              <w:spacing w:val="-22"/>
            </w:rPr>
            <w:t>理使用登记</w:t>
          </w:r>
          <w:r>
            <w:rPr>
              <w:color w:val="auto"/>
              <w:spacing w:val="-24"/>
            </w:rPr>
            <w:t>证</w:t>
          </w:r>
          <w:r>
            <w:rPr>
              <w:color w:val="auto"/>
              <w:spacing w:val="-22"/>
            </w:rPr>
            <w:t>书注销手</w:t>
          </w:r>
          <w:r>
            <w:rPr>
              <w:color w:val="auto"/>
              <w:spacing w:val="-24"/>
            </w:rPr>
            <w:t>续</w:t>
          </w:r>
          <w:r>
            <w:rPr>
              <w:color w:val="auto"/>
              <w:spacing w:val="-24"/>
            </w:rPr>
            <w:tab/>
          </w:r>
          <w:r>
            <w:rPr>
              <w:color w:val="auto"/>
              <w:spacing w:val="-6"/>
            </w:rPr>
            <w:t>558</w:t>
          </w:r>
        </w:p>
        <w:p>
          <w:pPr>
            <w:pStyle w:val="5"/>
            <w:tabs>
              <w:tab w:val="left" w:leader="dot" w:pos="8595"/>
            </w:tabs>
            <w:spacing w:line="388" w:lineRule="auto"/>
            <w:ind w:right="268"/>
            <w:rPr>
              <w:color w:val="auto"/>
            </w:rPr>
          </w:pPr>
          <w:r>
            <w:rPr>
              <w:color w:val="auto"/>
            </w:rPr>
            <w:fldChar w:fldCharType="begin"/>
          </w:r>
          <w:r>
            <w:rPr>
              <w:color w:val="auto"/>
            </w:rPr>
            <w:instrText xml:space="preserve"> HYPERLINK \l "_bookmark587"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"_bookmark587" </w:instrText>
          </w:r>
          <w:r>
            <w:rPr>
              <w:color w:val="auto"/>
            </w:rPr>
            <w:fldChar w:fldCharType="separate"/>
          </w:r>
          <w:r>
            <w:rPr>
              <w:color w:val="auto"/>
            </w:rPr>
            <w:t>百七十五</w:t>
          </w:r>
          <w:r>
            <w:rPr>
              <w:color w:val="auto"/>
              <w:spacing w:val="-12"/>
            </w:rPr>
            <w:t>、</w:t>
          </w:r>
          <w:r>
            <w:rPr>
              <w:color w:val="auto"/>
            </w:rPr>
            <w:t>移动式压力容器</w:t>
          </w:r>
          <w:r>
            <w:rPr>
              <w:color w:val="auto"/>
              <w:spacing w:val="-12"/>
            </w:rPr>
            <w:t>、</w:t>
          </w:r>
          <w:r>
            <w:rPr>
              <w:color w:val="auto"/>
            </w:rPr>
            <w:t>气瓶充装单位未依法实施充装前后的检查</w:t>
          </w:r>
          <w:r>
            <w:rPr>
              <w:color w:val="auto"/>
              <w:spacing w:val="-12"/>
            </w:rPr>
            <w:t>、</w:t>
          </w:r>
          <w:r>
            <w:rPr>
              <w:color w:val="auto"/>
            </w:rPr>
            <w:t>记</w:t>
          </w:r>
          <w:r>
            <w:rPr>
              <w:color w:val="auto"/>
              <w:spacing w:val="-17"/>
            </w:rPr>
            <w:t>录</w:t>
          </w:r>
          <w:r>
            <w:rPr>
              <w:color w:val="auto"/>
              <w:spacing w:val="-17"/>
            </w:rPr>
            <w:fldChar w:fldCharType="end"/>
          </w:r>
          <w:r>
            <w:rPr>
              <w:color w:val="auto"/>
            </w:rPr>
            <w:t>制度</w:t>
          </w:r>
          <w:r>
            <w:rPr>
              <w:color w:val="auto"/>
            </w:rPr>
            <w:tab/>
          </w:r>
          <w:r>
            <w:rPr>
              <w:color w:val="auto"/>
              <w:spacing w:val="-6"/>
            </w:rPr>
            <w:t>559</w:t>
          </w:r>
        </w:p>
        <w:p>
          <w:pPr>
            <w:pStyle w:val="5"/>
            <w:tabs>
              <w:tab w:val="left" w:leader="dot" w:pos="8595"/>
            </w:tabs>
            <w:spacing w:before="3" w:line="388" w:lineRule="auto"/>
            <w:ind w:right="268"/>
            <w:rPr>
              <w:color w:val="auto"/>
            </w:rPr>
          </w:pPr>
          <w:r>
            <w:rPr>
              <w:color w:val="auto"/>
            </w:rPr>
            <w:fldChar w:fldCharType="begin"/>
          </w:r>
          <w:r>
            <w:rPr>
              <w:color w:val="auto"/>
            </w:rPr>
            <w:instrText xml:space="preserve"> HYPERLINK \l "_bookmark588"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"_bookmark588" </w:instrText>
          </w:r>
          <w:r>
            <w:rPr>
              <w:color w:val="auto"/>
            </w:rPr>
            <w:fldChar w:fldCharType="separate"/>
          </w:r>
          <w:r>
            <w:rPr>
              <w:color w:val="auto"/>
            </w:rPr>
            <w:t>百七十六</w:t>
          </w:r>
          <w:r>
            <w:rPr>
              <w:color w:val="auto"/>
              <w:spacing w:val="-20"/>
            </w:rPr>
            <w:t>、</w:t>
          </w:r>
          <w:r>
            <w:rPr>
              <w:color w:val="auto"/>
            </w:rPr>
            <w:t>移动式压力容器</w:t>
          </w:r>
          <w:r>
            <w:rPr>
              <w:color w:val="auto"/>
              <w:spacing w:val="-17"/>
            </w:rPr>
            <w:t>、</w:t>
          </w:r>
          <w:r>
            <w:rPr>
              <w:color w:val="auto"/>
            </w:rPr>
            <w:t>气瓶充装单位对不符合安全技术规范要求的移</w:t>
          </w:r>
          <w:r>
            <w:rPr>
              <w:color w:val="auto"/>
              <w:spacing w:val="-16"/>
            </w:rPr>
            <w:t>动</w:t>
          </w:r>
          <w:r>
            <w:rPr>
              <w:color w:val="auto"/>
              <w:spacing w:val="-16"/>
            </w:rPr>
            <w:fldChar w:fldCharType="end"/>
          </w:r>
          <w:r>
            <w:rPr>
              <w:color w:val="auto"/>
            </w:rPr>
            <w:t>式压力容器和气瓶进行充装</w:t>
          </w:r>
          <w:r>
            <w:rPr>
              <w:color w:val="auto"/>
            </w:rPr>
            <w:tab/>
          </w:r>
          <w:r>
            <w:rPr>
              <w:color w:val="auto"/>
              <w:spacing w:val="-6"/>
            </w:rPr>
            <w:t>559</w:t>
          </w:r>
        </w:p>
        <w:p>
          <w:pPr>
            <w:pStyle w:val="5"/>
            <w:tabs>
              <w:tab w:val="left" w:leader="dot" w:pos="8595"/>
            </w:tabs>
            <w:spacing w:line="310" w:lineRule="exact"/>
            <w:rPr>
              <w:color w:val="auto"/>
            </w:rPr>
          </w:pPr>
          <w:r>
            <w:rPr>
              <w:color w:val="auto"/>
            </w:rPr>
            <w:fldChar w:fldCharType="begin"/>
          </w:r>
          <w:r>
            <w:rPr>
              <w:color w:val="auto"/>
            </w:rPr>
            <w:instrText xml:space="preserve"> HYPERLINK \l "_bookmark589" </w:instrText>
          </w:r>
          <w:r>
            <w:rPr>
              <w:color w:val="auto"/>
            </w:rPr>
            <w:fldChar w:fldCharType="separate"/>
          </w:r>
          <w:r>
            <w:rPr>
              <w:color w:val="auto"/>
            </w:rPr>
            <w:t>五百七十七、未经许可，擅自从事移动式压力容器或者气瓶充装活动</w:t>
          </w:r>
          <w:r>
            <w:rPr>
              <w:color w:val="auto"/>
            </w:rPr>
            <w:tab/>
          </w:r>
          <w:r>
            <w:rPr>
              <w:color w:val="auto"/>
            </w:rPr>
            <w:t>561</w:t>
          </w:r>
          <w:r>
            <w:rPr>
              <w:color w:val="auto"/>
            </w:rPr>
            <w:fldChar w:fldCharType="end"/>
          </w:r>
        </w:p>
        <w:p>
          <w:pPr>
            <w:pStyle w:val="5"/>
            <w:tabs>
              <w:tab w:val="left" w:leader="dot" w:pos="8595"/>
            </w:tabs>
            <w:spacing w:before="194" w:line="388" w:lineRule="auto"/>
            <w:ind w:right="268"/>
            <w:rPr>
              <w:color w:val="auto"/>
            </w:rPr>
          </w:pPr>
          <w:r>
            <w:rPr>
              <w:color w:val="auto"/>
            </w:rPr>
            <w:fldChar w:fldCharType="begin"/>
          </w:r>
          <w:r>
            <w:rPr>
              <w:color w:val="auto"/>
            </w:rPr>
            <w:instrText xml:space="preserve"> HYPERLINK \l "_bookmark590"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"_bookmark590" </w:instrText>
          </w:r>
          <w:r>
            <w:rPr>
              <w:color w:val="auto"/>
            </w:rPr>
            <w:fldChar w:fldCharType="separate"/>
          </w:r>
          <w:r>
            <w:rPr>
              <w:color w:val="auto"/>
            </w:rPr>
            <w:t>百七十八</w:t>
          </w:r>
          <w:r>
            <w:rPr>
              <w:color w:val="auto"/>
              <w:spacing w:val="-12"/>
            </w:rPr>
            <w:t>、</w:t>
          </w:r>
          <w:r>
            <w:rPr>
              <w:color w:val="auto"/>
            </w:rPr>
            <w:t>特种设备生产</w:t>
          </w:r>
          <w:r>
            <w:rPr>
              <w:color w:val="auto"/>
              <w:spacing w:val="-12"/>
            </w:rPr>
            <w:t>、</w:t>
          </w:r>
          <w:r>
            <w:rPr>
              <w:color w:val="auto"/>
            </w:rPr>
            <w:t>经营</w:t>
          </w:r>
          <w:r>
            <w:rPr>
              <w:color w:val="auto"/>
              <w:spacing w:val="-12"/>
            </w:rPr>
            <w:t>、</w:t>
          </w:r>
          <w:r>
            <w:rPr>
              <w:color w:val="auto"/>
            </w:rPr>
            <w:t>使用单位未配备具有相应资格的特种设备</w:t>
          </w:r>
          <w:r>
            <w:rPr>
              <w:color w:val="auto"/>
              <w:spacing w:val="-17"/>
            </w:rPr>
            <w:t>安</w:t>
          </w:r>
          <w:r>
            <w:rPr>
              <w:color w:val="auto"/>
              <w:spacing w:val="-17"/>
            </w:rPr>
            <w:fldChar w:fldCharType="end"/>
          </w:r>
          <w:r>
            <w:rPr>
              <w:color w:val="auto"/>
            </w:rPr>
            <w:t>全管理人员、检测人员和作业人员</w:t>
          </w:r>
          <w:r>
            <w:rPr>
              <w:color w:val="auto"/>
            </w:rPr>
            <w:tab/>
          </w:r>
          <w:r>
            <w:rPr>
              <w:color w:val="auto"/>
              <w:spacing w:val="-6"/>
            </w:rPr>
            <w:t>561</w:t>
          </w:r>
        </w:p>
        <w:p>
          <w:pPr>
            <w:pStyle w:val="5"/>
            <w:tabs>
              <w:tab w:val="left" w:leader="dot" w:pos="8595"/>
            </w:tabs>
            <w:spacing w:before="2" w:line="391" w:lineRule="auto"/>
            <w:ind w:right="268"/>
            <w:rPr>
              <w:color w:val="auto"/>
            </w:rPr>
          </w:pPr>
          <w:r>
            <w:rPr>
              <w:color w:val="auto"/>
            </w:rPr>
            <w:fldChar w:fldCharType="begin"/>
          </w:r>
          <w:r>
            <w:rPr>
              <w:color w:val="auto"/>
            </w:rPr>
            <w:instrText xml:space="preserve"> HYPERLINK \l "_bookmark591"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"_bookmark591" </w:instrText>
          </w:r>
          <w:r>
            <w:rPr>
              <w:color w:val="auto"/>
            </w:rPr>
            <w:fldChar w:fldCharType="separate"/>
          </w:r>
          <w:r>
            <w:rPr>
              <w:color w:val="auto"/>
            </w:rPr>
            <w:t>百七十九</w:t>
          </w:r>
          <w:r>
            <w:rPr>
              <w:color w:val="auto"/>
              <w:spacing w:val="-36"/>
            </w:rPr>
            <w:t>、</w:t>
          </w:r>
          <w:r>
            <w:rPr>
              <w:color w:val="auto"/>
            </w:rPr>
            <w:t>特种设备使用单位使用未取得相应资格的人员从事特种设备安全</w:t>
          </w:r>
          <w:r>
            <w:rPr>
              <w:color w:val="auto"/>
              <w:spacing w:val="-17"/>
            </w:rPr>
            <w:t>管</w:t>
          </w:r>
          <w:r>
            <w:rPr>
              <w:color w:val="auto"/>
              <w:spacing w:val="-17"/>
            </w:rPr>
            <w:fldChar w:fldCharType="end"/>
          </w:r>
          <w:r>
            <w:rPr>
              <w:color w:val="auto"/>
            </w:rPr>
            <w:t>理、检测和作业</w:t>
          </w:r>
          <w:r>
            <w:rPr>
              <w:color w:val="auto"/>
            </w:rPr>
            <w:tab/>
          </w:r>
          <w:r>
            <w:rPr>
              <w:color w:val="auto"/>
              <w:spacing w:val="-6"/>
            </w:rPr>
            <w:t>563</w:t>
          </w:r>
        </w:p>
        <w:p>
          <w:pPr>
            <w:pStyle w:val="5"/>
            <w:tabs>
              <w:tab w:val="left" w:leader="dot" w:pos="8595"/>
            </w:tabs>
            <w:spacing w:line="388" w:lineRule="auto"/>
            <w:ind w:right="268"/>
            <w:rPr>
              <w:color w:val="auto"/>
            </w:rPr>
          </w:pPr>
          <w:r>
            <w:rPr>
              <w:color w:val="auto"/>
            </w:rPr>
            <w:fldChar w:fldCharType="begin"/>
          </w:r>
          <w:r>
            <w:rPr>
              <w:color w:val="auto"/>
            </w:rPr>
            <w:instrText xml:space="preserve"> HYPERLINK \l "_bookmark592"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"_bookmark592" </w:instrText>
          </w:r>
          <w:r>
            <w:rPr>
              <w:color w:val="auto"/>
            </w:rPr>
            <w:fldChar w:fldCharType="separate"/>
          </w:r>
          <w:r>
            <w:rPr>
              <w:color w:val="auto"/>
            </w:rPr>
            <w:t>百八十</w:t>
          </w:r>
          <w:r>
            <w:rPr>
              <w:color w:val="auto"/>
              <w:spacing w:val="-20"/>
            </w:rPr>
            <w:t>、</w:t>
          </w:r>
          <w:r>
            <w:rPr>
              <w:color w:val="auto"/>
            </w:rPr>
            <w:t>特种设备使用单位未对特种设备安全管理人员</w:t>
          </w:r>
          <w:r>
            <w:rPr>
              <w:color w:val="auto"/>
              <w:spacing w:val="-17"/>
            </w:rPr>
            <w:t>、</w:t>
          </w:r>
          <w:r>
            <w:rPr>
              <w:color w:val="auto"/>
            </w:rPr>
            <w:t>检测人员和作业人</w:t>
          </w:r>
          <w:r>
            <w:rPr>
              <w:color w:val="auto"/>
              <w:spacing w:val="-16"/>
            </w:rPr>
            <w:t>员</w:t>
          </w:r>
          <w:r>
            <w:rPr>
              <w:color w:val="auto"/>
              <w:spacing w:val="-16"/>
            </w:rPr>
            <w:fldChar w:fldCharType="end"/>
          </w:r>
          <w:r>
            <w:rPr>
              <w:color w:val="auto"/>
            </w:rPr>
            <w:t>进行安全教育和技能培训</w:t>
          </w:r>
          <w:r>
            <w:rPr>
              <w:color w:val="auto"/>
            </w:rPr>
            <w:tab/>
          </w:r>
          <w:r>
            <w:rPr>
              <w:color w:val="auto"/>
              <w:spacing w:val="-6"/>
            </w:rPr>
            <w:t>564</w:t>
          </w:r>
        </w:p>
        <w:p>
          <w:pPr>
            <w:pStyle w:val="5"/>
            <w:tabs>
              <w:tab w:val="left" w:leader="dot" w:pos="8595"/>
            </w:tabs>
            <w:spacing w:before="3" w:after="240" w:line="388" w:lineRule="auto"/>
            <w:ind w:right="268"/>
            <w:rPr>
              <w:color w:val="auto"/>
            </w:rPr>
          </w:pPr>
          <w:r>
            <w:rPr>
              <w:color w:val="auto"/>
            </w:rPr>
            <w:fldChar w:fldCharType="begin"/>
          </w:r>
          <w:r>
            <w:rPr>
              <w:color w:val="auto"/>
            </w:rPr>
            <w:instrText xml:space="preserve"> HYPERLINK \l "_bookmark593"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"_bookmark593" </w:instrText>
          </w:r>
          <w:r>
            <w:rPr>
              <w:color w:val="auto"/>
            </w:rPr>
            <w:fldChar w:fldCharType="separate"/>
          </w:r>
          <w:r>
            <w:rPr>
              <w:color w:val="auto"/>
            </w:rPr>
            <w:t>百八十一</w:t>
          </w:r>
          <w:r>
            <w:rPr>
              <w:color w:val="auto"/>
              <w:spacing w:val="-12"/>
            </w:rPr>
            <w:t>、</w:t>
          </w:r>
          <w:r>
            <w:rPr>
              <w:color w:val="auto"/>
            </w:rPr>
            <w:t>电梯</w:t>
          </w:r>
          <w:r>
            <w:rPr>
              <w:color w:val="auto"/>
              <w:spacing w:val="-12"/>
            </w:rPr>
            <w:t>、</w:t>
          </w:r>
          <w:r>
            <w:rPr>
              <w:color w:val="auto"/>
            </w:rPr>
            <w:t>客运索道</w:t>
          </w:r>
          <w:r>
            <w:rPr>
              <w:color w:val="auto"/>
              <w:spacing w:val="-12"/>
            </w:rPr>
            <w:t>、</w:t>
          </w:r>
          <w:r>
            <w:rPr>
              <w:color w:val="auto"/>
            </w:rPr>
            <w:t>大型游乐设施的运营使用单位未设置特种设备</w:t>
          </w:r>
          <w:r>
            <w:rPr>
              <w:color w:val="auto"/>
              <w:spacing w:val="-17"/>
            </w:rPr>
            <w:t>安</w:t>
          </w:r>
          <w:r>
            <w:rPr>
              <w:color w:val="auto"/>
              <w:spacing w:val="-17"/>
            </w:rPr>
            <w:fldChar w:fldCharType="end"/>
          </w:r>
          <w:r>
            <w:rPr>
              <w:color w:val="auto"/>
            </w:rPr>
            <w:t>全管理机构或者配备专职的特种设备安全管理人员</w:t>
          </w:r>
          <w:r>
            <w:rPr>
              <w:color w:val="auto"/>
            </w:rPr>
            <w:tab/>
          </w:r>
          <w:r>
            <w:rPr>
              <w:color w:val="auto"/>
              <w:spacing w:val="-6"/>
            </w:rPr>
            <w:t>565</w:t>
          </w:r>
        </w:p>
        <w:p>
          <w:pPr>
            <w:pStyle w:val="5"/>
            <w:tabs>
              <w:tab w:val="left" w:leader="dot" w:pos="8595"/>
            </w:tabs>
            <w:spacing w:before="141" w:line="391" w:lineRule="auto"/>
            <w:ind w:right="268"/>
            <w:jc w:val="both"/>
            <w:rPr>
              <w:color w:val="auto"/>
            </w:rPr>
          </w:pPr>
          <w:r>
            <w:rPr>
              <w:color w:val="auto"/>
            </w:rPr>
            <w:fldChar w:fldCharType="begin"/>
          </w:r>
          <w:r>
            <w:rPr>
              <w:color w:val="auto"/>
            </w:rPr>
            <w:instrText xml:space="preserve"> HYPERLINK \l "_bookmark594"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"_bookmark594" </w:instrText>
          </w:r>
          <w:r>
            <w:rPr>
              <w:color w:val="auto"/>
            </w:rPr>
            <w:fldChar w:fldCharType="separate"/>
          </w:r>
          <w:r>
            <w:rPr>
              <w:color w:val="auto"/>
            </w:rPr>
            <w:t>百八十二</w:t>
          </w:r>
          <w:r>
            <w:rPr>
              <w:color w:val="auto"/>
              <w:spacing w:val="-12"/>
            </w:rPr>
            <w:t>、</w:t>
          </w:r>
          <w:r>
            <w:rPr>
              <w:color w:val="auto"/>
            </w:rPr>
            <w:t>客运索道</w:t>
          </w:r>
          <w:r>
            <w:rPr>
              <w:color w:val="auto"/>
              <w:spacing w:val="-12"/>
            </w:rPr>
            <w:t>、</w:t>
          </w:r>
          <w:r>
            <w:rPr>
              <w:color w:val="auto"/>
            </w:rPr>
            <w:t>大型游乐设施的运营使用单位在客运索道</w:t>
          </w:r>
          <w:r>
            <w:rPr>
              <w:color w:val="auto"/>
              <w:spacing w:val="-12"/>
            </w:rPr>
            <w:t>、</w:t>
          </w:r>
          <w:r>
            <w:rPr>
              <w:color w:val="auto"/>
            </w:rPr>
            <w:t>大型游乐</w:t>
          </w:r>
          <w:r>
            <w:rPr>
              <w:color w:val="auto"/>
              <w:spacing w:val="-17"/>
            </w:rPr>
            <w:t>设</w:t>
          </w:r>
          <w:r>
            <w:rPr>
              <w:color w:val="auto"/>
              <w:spacing w:val="-17"/>
            </w:rPr>
            <w:fldChar w:fldCharType="end"/>
          </w:r>
          <w:r>
            <w:rPr>
              <w:color w:val="auto"/>
            </w:rPr>
            <w:t>施每日投入使用前</w:t>
          </w:r>
          <w:r>
            <w:rPr>
              <w:color w:val="auto"/>
              <w:spacing w:val="-20"/>
            </w:rPr>
            <w:t>，</w:t>
          </w:r>
          <w:r>
            <w:rPr>
              <w:color w:val="auto"/>
            </w:rPr>
            <w:t>未进行试运行和例行安全检查</w:t>
          </w:r>
          <w:r>
            <w:rPr>
              <w:color w:val="auto"/>
              <w:spacing w:val="-17"/>
            </w:rPr>
            <w:t>，</w:t>
          </w:r>
          <w:r>
            <w:rPr>
              <w:color w:val="auto"/>
            </w:rPr>
            <w:t>未对安全附件和安全保护</w:t>
          </w:r>
          <w:r>
            <w:rPr>
              <w:color w:val="auto"/>
              <w:spacing w:val="-16"/>
            </w:rPr>
            <w:t>装</w:t>
          </w:r>
          <w:r>
            <w:rPr>
              <w:color w:val="auto"/>
            </w:rPr>
            <w:t>置进行检查确认</w:t>
          </w:r>
          <w:r>
            <w:rPr>
              <w:color w:val="auto"/>
            </w:rPr>
            <w:tab/>
          </w:r>
          <w:r>
            <w:rPr>
              <w:color w:val="auto"/>
              <w:spacing w:val="-6"/>
            </w:rPr>
            <w:t>566</w:t>
          </w:r>
        </w:p>
        <w:p>
          <w:pPr>
            <w:pStyle w:val="5"/>
            <w:tabs>
              <w:tab w:val="left" w:leader="dot" w:pos="8595"/>
            </w:tabs>
            <w:spacing w:line="391" w:lineRule="auto"/>
            <w:ind w:right="268"/>
            <w:jc w:val="both"/>
            <w:rPr>
              <w:color w:val="auto"/>
            </w:rPr>
          </w:pPr>
          <w:r>
            <w:rPr>
              <w:color w:val="auto"/>
            </w:rPr>
            <w:fldChar w:fldCharType="begin"/>
          </w:r>
          <w:r>
            <w:rPr>
              <w:color w:val="auto"/>
            </w:rPr>
            <w:instrText xml:space="preserve"> HYPERLINK \l "_bookmark595"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"_bookmark595" </w:instrText>
          </w:r>
          <w:r>
            <w:rPr>
              <w:color w:val="auto"/>
            </w:rPr>
            <w:fldChar w:fldCharType="separate"/>
          </w:r>
          <w:r>
            <w:rPr>
              <w:color w:val="auto"/>
            </w:rPr>
            <w:t>百八十三</w:t>
          </w:r>
          <w:r>
            <w:rPr>
              <w:color w:val="auto"/>
              <w:spacing w:val="-10"/>
            </w:rPr>
            <w:t>、</w:t>
          </w:r>
          <w:r>
            <w:rPr>
              <w:color w:val="auto"/>
            </w:rPr>
            <w:t>电梯</w:t>
          </w:r>
          <w:r>
            <w:rPr>
              <w:color w:val="auto"/>
              <w:spacing w:val="-10"/>
            </w:rPr>
            <w:t>、</w:t>
          </w:r>
          <w:r>
            <w:rPr>
              <w:color w:val="auto"/>
            </w:rPr>
            <w:t>客运索道</w:t>
          </w:r>
          <w:r>
            <w:rPr>
              <w:color w:val="auto"/>
              <w:spacing w:val="-8"/>
            </w:rPr>
            <w:t>、</w:t>
          </w:r>
          <w:r>
            <w:rPr>
              <w:color w:val="auto"/>
            </w:rPr>
            <w:t>大型游乐设施的运营使用单位未将电梯</w:t>
          </w:r>
          <w:r>
            <w:rPr>
              <w:color w:val="auto"/>
              <w:spacing w:val="-10"/>
            </w:rPr>
            <w:t>、</w:t>
          </w:r>
          <w:r>
            <w:rPr>
              <w:color w:val="auto"/>
            </w:rPr>
            <w:t>客运</w:t>
          </w:r>
          <w:r>
            <w:rPr>
              <w:color w:val="auto"/>
              <w:spacing w:val="-15"/>
            </w:rPr>
            <w:t>索</w:t>
          </w:r>
          <w:r>
            <w:rPr>
              <w:color w:val="auto"/>
              <w:spacing w:val="-15"/>
            </w:rPr>
            <w:fldChar w:fldCharType="end"/>
          </w:r>
          <w:r>
            <w:rPr>
              <w:color w:val="auto"/>
            </w:rPr>
            <w:t>道</w:t>
          </w:r>
          <w:r>
            <w:rPr>
              <w:color w:val="auto"/>
              <w:spacing w:val="-20"/>
            </w:rPr>
            <w:t>、</w:t>
          </w:r>
          <w:r>
            <w:rPr>
              <w:color w:val="auto"/>
            </w:rPr>
            <w:t>大型游乐设施的安全使用说明</w:t>
          </w:r>
          <w:r>
            <w:rPr>
              <w:color w:val="auto"/>
              <w:spacing w:val="-17"/>
            </w:rPr>
            <w:t>、</w:t>
          </w:r>
          <w:r>
            <w:rPr>
              <w:color w:val="auto"/>
            </w:rPr>
            <w:t>安全注意事项和警示标志置于易于为乘客</w:t>
          </w:r>
          <w:r>
            <w:rPr>
              <w:color w:val="auto"/>
              <w:spacing w:val="-16"/>
            </w:rPr>
            <w:t>注</w:t>
          </w:r>
          <w:r>
            <w:rPr>
              <w:color w:val="auto"/>
            </w:rPr>
            <w:t>意的显著位置</w:t>
          </w:r>
          <w:r>
            <w:rPr>
              <w:color w:val="auto"/>
            </w:rPr>
            <w:tab/>
          </w:r>
          <w:r>
            <w:rPr>
              <w:color w:val="auto"/>
              <w:spacing w:val="-6"/>
            </w:rPr>
            <w:t>567</w:t>
          </w:r>
        </w:p>
        <w:p>
          <w:pPr>
            <w:pStyle w:val="5"/>
            <w:tabs>
              <w:tab w:val="left" w:leader="dot" w:pos="8595"/>
            </w:tabs>
            <w:spacing w:line="304" w:lineRule="exact"/>
            <w:rPr>
              <w:color w:val="auto"/>
            </w:rPr>
          </w:pPr>
          <w:r>
            <w:rPr>
              <w:color w:val="auto"/>
            </w:rPr>
            <w:fldChar w:fldCharType="begin"/>
          </w:r>
          <w:r>
            <w:rPr>
              <w:color w:val="auto"/>
            </w:rPr>
            <w:instrText xml:space="preserve"> HYPERLINK \l "_bookmark596" </w:instrText>
          </w:r>
          <w:r>
            <w:rPr>
              <w:color w:val="auto"/>
            </w:rPr>
            <w:fldChar w:fldCharType="separate"/>
          </w:r>
          <w:r>
            <w:rPr>
              <w:color w:val="auto"/>
            </w:rPr>
            <w:t>五百八十四、未经许可，擅自从事电梯维护保养</w:t>
          </w:r>
          <w:r>
            <w:rPr>
              <w:color w:val="auto"/>
            </w:rPr>
            <w:tab/>
          </w:r>
          <w:r>
            <w:rPr>
              <w:color w:val="auto"/>
            </w:rPr>
            <w:t>567</w:t>
          </w:r>
          <w:r>
            <w:rPr>
              <w:color w:val="auto"/>
            </w:rPr>
            <w:fldChar w:fldCharType="end"/>
          </w:r>
        </w:p>
        <w:p>
          <w:pPr>
            <w:pStyle w:val="5"/>
            <w:tabs>
              <w:tab w:val="left" w:leader="dot" w:pos="8595"/>
            </w:tabs>
            <w:spacing w:before="191"/>
            <w:rPr>
              <w:color w:val="auto"/>
            </w:rPr>
          </w:pPr>
          <w:r>
            <w:rPr>
              <w:color w:val="auto"/>
            </w:rPr>
            <w:fldChar w:fldCharType="begin"/>
          </w:r>
          <w:r>
            <w:rPr>
              <w:color w:val="auto"/>
            </w:rPr>
            <w:instrText xml:space="preserve"> HYPERLINK \l "_bookmark597" </w:instrText>
          </w:r>
          <w:r>
            <w:rPr>
              <w:color w:val="auto"/>
            </w:rPr>
            <w:fldChar w:fldCharType="separate"/>
          </w:r>
          <w:r>
            <w:rPr>
              <w:color w:val="auto"/>
            </w:rPr>
            <w:t>五百八十五、电梯的维护保养单位未按规定要求进行电梯维护保养</w:t>
          </w:r>
          <w:r>
            <w:rPr>
              <w:color w:val="auto"/>
            </w:rPr>
            <w:tab/>
          </w:r>
          <w:r>
            <w:rPr>
              <w:color w:val="auto"/>
            </w:rPr>
            <w:t>568</w:t>
          </w:r>
          <w:r>
            <w:rPr>
              <w:color w:val="auto"/>
            </w:rPr>
            <w:fldChar w:fldCharType="end"/>
          </w:r>
        </w:p>
        <w:p>
          <w:pPr>
            <w:pStyle w:val="5"/>
            <w:tabs>
              <w:tab w:val="left" w:leader="dot" w:pos="8595"/>
            </w:tabs>
            <w:spacing w:before="192" w:line="388" w:lineRule="auto"/>
            <w:ind w:right="268"/>
            <w:rPr>
              <w:color w:val="auto"/>
            </w:rPr>
          </w:pPr>
          <w:r>
            <w:rPr>
              <w:color w:val="auto"/>
            </w:rPr>
            <w:fldChar w:fldCharType="begin"/>
          </w:r>
          <w:r>
            <w:rPr>
              <w:color w:val="auto"/>
            </w:rPr>
            <w:instrText xml:space="preserve"> HYPERLINK \l "_bookmark598"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"_bookmark598" </w:instrText>
          </w:r>
          <w:r>
            <w:rPr>
              <w:color w:val="auto"/>
            </w:rPr>
            <w:fldChar w:fldCharType="separate"/>
          </w:r>
          <w:r>
            <w:rPr>
              <w:color w:val="auto"/>
            </w:rPr>
            <w:t>百八十六</w:t>
          </w:r>
          <w:r>
            <w:rPr>
              <w:color w:val="auto"/>
              <w:spacing w:val="-20"/>
            </w:rPr>
            <w:t>、</w:t>
          </w:r>
          <w:r>
            <w:rPr>
              <w:color w:val="auto"/>
            </w:rPr>
            <w:t>发生特种设备事故时</w:t>
          </w:r>
          <w:r>
            <w:rPr>
              <w:color w:val="auto"/>
              <w:spacing w:val="-17"/>
            </w:rPr>
            <w:t>，</w:t>
          </w:r>
          <w:r>
            <w:rPr>
              <w:color w:val="auto"/>
            </w:rPr>
            <w:t>不立即组织抢救或者在事故调查处理期间</w:t>
          </w:r>
          <w:r>
            <w:rPr>
              <w:color w:val="auto"/>
              <w:spacing w:val="-16"/>
            </w:rPr>
            <w:t>擅</w:t>
          </w:r>
          <w:r>
            <w:rPr>
              <w:color w:val="auto"/>
              <w:spacing w:val="-16"/>
            </w:rPr>
            <w:fldChar w:fldCharType="end"/>
          </w:r>
          <w:r>
            <w:rPr>
              <w:color w:val="auto"/>
            </w:rPr>
            <w:t>离职守或者逃匿</w:t>
          </w:r>
          <w:r>
            <w:rPr>
              <w:color w:val="auto"/>
            </w:rPr>
            <w:tab/>
          </w:r>
          <w:r>
            <w:rPr>
              <w:color w:val="auto"/>
              <w:spacing w:val="-6"/>
            </w:rPr>
            <w:t>569</w:t>
          </w:r>
        </w:p>
        <w:p>
          <w:pPr>
            <w:pStyle w:val="5"/>
            <w:tabs>
              <w:tab w:val="left" w:leader="dot" w:pos="8595"/>
            </w:tabs>
            <w:spacing w:before="4"/>
            <w:rPr>
              <w:color w:val="auto"/>
            </w:rPr>
          </w:pPr>
          <w:r>
            <w:rPr>
              <w:color w:val="auto"/>
            </w:rPr>
            <w:fldChar w:fldCharType="begin"/>
          </w:r>
          <w:r>
            <w:rPr>
              <w:color w:val="auto"/>
            </w:rPr>
            <w:instrText xml:space="preserve"> HYPERLINK \l "_bookmark599" </w:instrText>
          </w:r>
          <w:r>
            <w:rPr>
              <w:color w:val="auto"/>
            </w:rPr>
            <w:fldChar w:fldCharType="separate"/>
          </w:r>
          <w:r>
            <w:rPr>
              <w:color w:val="auto"/>
            </w:rPr>
            <w:t>五百八十七、发生特种设备事故时，对特种设备事故迟报、谎报或者瞒报</w:t>
          </w:r>
          <w:r>
            <w:rPr>
              <w:color w:val="auto"/>
            </w:rPr>
            <w:tab/>
          </w:r>
          <w:r>
            <w:rPr>
              <w:color w:val="auto"/>
            </w:rPr>
            <w:t>570</w:t>
          </w:r>
          <w:r>
            <w:rPr>
              <w:color w:val="auto"/>
            </w:rPr>
            <w:fldChar w:fldCharType="end"/>
          </w:r>
        </w:p>
        <w:p>
          <w:pPr>
            <w:pStyle w:val="5"/>
            <w:tabs>
              <w:tab w:val="left" w:leader="dot" w:pos="8595"/>
            </w:tabs>
            <w:spacing w:before="192"/>
            <w:rPr>
              <w:color w:val="auto"/>
            </w:rPr>
          </w:pPr>
          <w:r>
            <w:rPr>
              <w:color w:val="auto"/>
            </w:rPr>
            <w:fldChar w:fldCharType="begin"/>
          </w:r>
          <w:r>
            <w:rPr>
              <w:color w:val="auto"/>
            </w:rPr>
            <w:instrText xml:space="preserve"> HYPERLINK \l "_bookmark600" </w:instrText>
          </w:r>
          <w:r>
            <w:rPr>
              <w:color w:val="auto"/>
            </w:rPr>
            <w:fldChar w:fldCharType="separate"/>
          </w:r>
          <w:r>
            <w:rPr>
              <w:color w:val="auto"/>
            </w:rPr>
            <w:t>五百八十八、单位对发生特种设备事故负有责任</w:t>
          </w:r>
          <w:r>
            <w:rPr>
              <w:color w:val="auto"/>
            </w:rPr>
            <w:tab/>
          </w:r>
          <w:r>
            <w:rPr>
              <w:color w:val="auto"/>
            </w:rPr>
            <w:t>570</w:t>
          </w:r>
          <w:r>
            <w:rPr>
              <w:color w:val="auto"/>
            </w:rPr>
            <w:fldChar w:fldCharType="end"/>
          </w:r>
        </w:p>
        <w:p>
          <w:pPr>
            <w:pStyle w:val="5"/>
            <w:tabs>
              <w:tab w:val="left" w:leader="dot" w:pos="8595"/>
            </w:tabs>
            <w:spacing w:before="192"/>
            <w:rPr>
              <w:color w:val="auto"/>
            </w:rPr>
          </w:pPr>
          <w:r>
            <w:rPr>
              <w:color w:val="auto"/>
            </w:rPr>
            <w:fldChar w:fldCharType="begin"/>
          </w:r>
          <w:r>
            <w:rPr>
              <w:color w:val="auto"/>
            </w:rPr>
            <w:instrText xml:space="preserve"> HYPERLINK \l "_bookmark601" </w:instrText>
          </w:r>
          <w:r>
            <w:rPr>
              <w:color w:val="auto"/>
            </w:rPr>
            <w:fldChar w:fldCharType="separate"/>
          </w:r>
          <w:r>
            <w:rPr>
              <w:color w:val="auto"/>
            </w:rPr>
            <w:t>五百八十九、单位的主要负责人对发生特种设备事故负有责任</w:t>
          </w:r>
          <w:r>
            <w:rPr>
              <w:color w:val="auto"/>
            </w:rPr>
            <w:tab/>
          </w:r>
          <w:r>
            <w:rPr>
              <w:color w:val="auto"/>
            </w:rPr>
            <w:t>571</w:t>
          </w:r>
          <w:r>
            <w:rPr>
              <w:color w:val="auto"/>
            </w:rPr>
            <w:fldChar w:fldCharType="end"/>
          </w:r>
        </w:p>
        <w:p>
          <w:pPr>
            <w:pStyle w:val="5"/>
            <w:tabs>
              <w:tab w:val="left" w:leader="dot" w:pos="8595"/>
            </w:tabs>
            <w:spacing w:before="194" w:line="388" w:lineRule="auto"/>
            <w:ind w:right="232"/>
            <w:rPr>
              <w:color w:val="auto"/>
            </w:rPr>
          </w:pPr>
          <w:r>
            <w:rPr>
              <w:color w:val="auto"/>
            </w:rPr>
            <w:fldChar w:fldCharType="begin"/>
          </w:r>
          <w:r>
            <w:rPr>
              <w:color w:val="auto"/>
            </w:rPr>
            <w:instrText xml:space="preserve"> HYPERLINK \l "_bookmark602"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"_bookmark602" </w:instrText>
          </w:r>
          <w:r>
            <w:rPr>
              <w:color w:val="auto"/>
            </w:rPr>
            <w:fldChar w:fldCharType="separate"/>
          </w:r>
          <w:r>
            <w:rPr>
              <w:color w:val="auto"/>
            </w:rPr>
            <w:t>百九十、未经核准或者超出核准范围、使用未取得相应资格的人员从事检验</w:t>
          </w:r>
          <w:r>
            <w:rPr>
              <w:color w:val="auto"/>
              <w:spacing w:val="-17"/>
            </w:rPr>
            <w:t>、</w:t>
          </w:r>
          <w:r>
            <w:rPr>
              <w:color w:val="auto"/>
              <w:spacing w:val="-17"/>
            </w:rPr>
            <w:fldChar w:fldCharType="end"/>
          </w:r>
          <w:r>
            <w:rPr>
              <w:color w:val="auto"/>
            </w:rPr>
            <w:t>检测</w:t>
          </w:r>
          <w:r>
            <w:rPr>
              <w:color w:val="auto"/>
            </w:rPr>
            <w:tab/>
          </w:r>
          <w:r>
            <w:rPr>
              <w:color w:val="auto"/>
            </w:rPr>
            <w:t>572</w:t>
          </w:r>
        </w:p>
        <w:p>
          <w:pPr>
            <w:pStyle w:val="5"/>
            <w:tabs>
              <w:tab w:val="left" w:leader="dot" w:pos="8595"/>
            </w:tabs>
            <w:spacing w:before="2" w:line="391" w:lineRule="auto"/>
            <w:ind w:right="268"/>
            <w:rPr>
              <w:color w:val="auto"/>
            </w:rPr>
          </w:pPr>
          <w:r>
            <w:rPr>
              <w:color w:val="auto"/>
            </w:rPr>
            <w:fldChar w:fldCharType="begin"/>
          </w:r>
          <w:r>
            <w:rPr>
              <w:color w:val="auto"/>
            </w:rPr>
            <w:instrText xml:space="preserve"> HYPERLINK \l "_bookmark603"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"_bookmark603" </w:instrText>
          </w:r>
          <w:r>
            <w:rPr>
              <w:color w:val="auto"/>
            </w:rPr>
            <w:fldChar w:fldCharType="separate"/>
          </w:r>
          <w:r>
            <w:rPr>
              <w:color w:val="auto"/>
            </w:rPr>
            <w:t>百九十一</w:t>
          </w:r>
          <w:r>
            <w:rPr>
              <w:color w:val="auto"/>
              <w:spacing w:val="-12"/>
            </w:rPr>
            <w:t>、</w:t>
          </w:r>
          <w:r>
            <w:rPr>
              <w:color w:val="auto"/>
            </w:rPr>
            <w:t>特种设备检验</w:t>
          </w:r>
          <w:r>
            <w:rPr>
              <w:color w:val="auto"/>
              <w:spacing w:val="-12"/>
            </w:rPr>
            <w:t>、</w:t>
          </w:r>
          <w:r>
            <w:rPr>
              <w:color w:val="auto"/>
            </w:rPr>
            <w:t>检测机构及其检验</w:t>
          </w:r>
          <w:r>
            <w:rPr>
              <w:color w:val="auto"/>
              <w:spacing w:val="-12"/>
            </w:rPr>
            <w:t>、</w:t>
          </w:r>
          <w:r>
            <w:rPr>
              <w:color w:val="auto"/>
            </w:rPr>
            <w:t>检测人员未按照安全技术规</w:t>
          </w:r>
          <w:r>
            <w:rPr>
              <w:color w:val="auto"/>
              <w:spacing w:val="-17"/>
            </w:rPr>
            <w:t>范</w:t>
          </w:r>
          <w:r>
            <w:rPr>
              <w:color w:val="auto"/>
              <w:spacing w:val="-17"/>
            </w:rPr>
            <w:fldChar w:fldCharType="end"/>
          </w:r>
          <w:r>
            <w:rPr>
              <w:color w:val="auto"/>
            </w:rPr>
            <w:t>的要求进行检验、检测</w:t>
          </w:r>
          <w:r>
            <w:rPr>
              <w:color w:val="auto"/>
            </w:rPr>
            <w:tab/>
          </w:r>
          <w:r>
            <w:rPr>
              <w:color w:val="auto"/>
              <w:spacing w:val="-6"/>
            </w:rPr>
            <w:t>573</w:t>
          </w:r>
        </w:p>
        <w:p>
          <w:pPr>
            <w:pStyle w:val="5"/>
            <w:tabs>
              <w:tab w:val="left" w:leader="dot" w:pos="8595"/>
            </w:tabs>
            <w:spacing w:line="388" w:lineRule="auto"/>
            <w:ind w:right="268"/>
            <w:rPr>
              <w:color w:val="auto"/>
            </w:rPr>
          </w:pPr>
          <w:r>
            <w:rPr>
              <w:color w:val="auto"/>
            </w:rPr>
            <w:fldChar w:fldCharType="begin"/>
          </w:r>
          <w:r>
            <w:rPr>
              <w:color w:val="auto"/>
            </w:rPr>
            <w:instrText xml:space="preserve"> HYPERLINK \l "_bookmark604"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"_bookmark604" </w:instrText>
          </w:r>
          <w:r>
            <w:rPr>
              <w:color w:val="auto"/>
            </w:rPr>
            <w:fldChar w:fldCharType="separate"/>
          </w:r>
          <w:r>
            <w:rPr>
              <w:color w:val="auto"/>
            </w:rPr>
            <w:t>百九十二</w:t>
          </w:r>
          <w:r>
            <w:rPr>
              <w:color w:val="auto"/>
              <w:spacing w:val="-10"/>
            </w:rPr>
            <w:t>、</w:t>
          </w:r>
          <w:r>
            <w:rPr>
              <w:color w:val="auto"/>
            </w:rPr>
            <w:t>特种设备检验</w:t>
          </w:r>
          <w:r>
            <w:rPr>
              <w:color w:val="auto"/>
              <w:spacing w:val="-10"/>
            </w:rPr>
            <w:t>、</w:t>
          </w:r>
          <w:r>
            <w:rPr>
              <w:color w:val="auto"/>
            </w:rPr>
            <w:t>检测机构及其检验</w:t>
          </w:r>
          <w:r>
            <w:rPr>
              <w:color w:val="auto"/>
              <w:spacing w:val="-8"/>
            </w:rPr>
            <w:t>、</w:t>
          </w:r>
          <w:r>
            <w:rPr>
              <w:color w:val="auto"/>
            </w:rPr>
            <w:t>检测人员出具虚假的检验</w:t>
          </w:r>
          <w:r>
            <w:rPr>
              <w:color w:val="auto"/>
              <w:spacing w:val="-10"/>
            </w:rPr>
            <w:t>、</w:t>
          </w:r>
          <w:r>
            <w:rPr>
              <w:color w:val="auto"/>
              <w:spacing w:val="-15"/>
            </w:rPr>
            <w:t>检</w:t>
          </w:r>
          <w:r>
            <w:rPr>
              <w:color w:val="auto"/>
              <w:spacing w:val="-15"/>
            </w:rPr>
            <w:fldChar w:fldCharType="end"/>
          </w:r>
          <w:r>
            <w:rPr>
              <w:color w:val="auto"/>
            </w:rPr>
            <w:t>测结果和鉴定结论或者检验、检测结果和鉴定结论严重失实</w:t>
          </w:r>
          <w:r>
            <w:rPr>
              <w:color w:val="auto"/>
            </w:rPr>
            <w:tab/>
          </w:r>
          <w:r>
            <w:rPr>
              <w:color w:val="auto"/>
              <w:spacing w:val="-6"/>
            </w:rPr>
            <w:t>574</w:t>
          </w:r>
        </w:p>
        <w:p>
          <w:pPr>
            <w:pStyle w:val="5"/>
            <w:tabs>
              <w:tab w:val="left" w:leader="dot" w:pos="8595"/>
            </w:tabs>
            <w:spacing w:before="3" w:line="388" w:lineRule="auto"/>
            <w:ind w:left="548" w:right="268" w:firstLine="43"/>
            <w:rPr>
              <w:color w:val="auto"/>
            </w:rPr>
          </w:pPr>
          <w:r>
            <w:rPr>
              <w:color w:val="auto"/>
            </w:rPr>
            <w:fldChar w:fldCharType="begin"/>
          </w:r>
          <w:r>
            <w:rPr>
              <w:color w:val="auto"/>
            </w:rPr>
            <w:instrText xml:space="preserve"> HYPERLINK \l "_bookmark605" </w:instrText>
          </w:r>
          <w:r>
            <w:rPr>
              <w:color w:val="auto"/>
            </w:rPr>
            <w:fldChar w:fldCharType="separate"/>
          </w:r>
          <w:r>
            <w:rPr>
              <w:color w:val="auto"/>
              <w:spacing w:val="-22"/>
            </w:rPr>
            <w:t>五</w:t>
          </w:r>
          <w:r>
            <w:rPr>
              <w:color w:val="auto"/>
              <w:spacing w:val="-22"/>
            </w:rPr>
            <w:fldChar w:fldCharType="end"/>
          </w:r>
          <w:r>
            <w:rPr>
              <w:color w:val="auto"/>
            </w:rPr>
            <w:fldChar w:fldCharType="begin"/>
          </w:r>
          <w:r>
            <w:rPr>
              <w:color w:val="auto"/>
            </w:rPr>
            <w:instrText xml:space="preserve"> HYPERLINK \l "_bookmark605" </w:instrText>
          </w:r>
          <w:r>
            <w:rPr>
              <w:color w:val="auto"/>
            </w:rPr>
            <w:fldChar w:fldCharType="separate"/>
          </w:r>
          <w:r>
            <w:rPr>
              <w:color w:val="auto"/>
              <w:spacing w:val="-22"/>
            </w:rPr>
            <w:t>百</w:t>
          </w:r>
          <w:r>
            <w:rPr>
              <w:color w:val="auto"/>
              <w:spacing w:val="-24"/>
            </w:rPr>
            <w:t>九</w:t>
          </w:r>
          <w:r>
            <w:rPr>
              <w:color w:val="auto"/>
              <w:spacing w:val="-22"/>
            </w:rPr>
            <w:t>十三、特种</w:t>
          </w:r>
          <w:r>
            <w:rPr>
              <w:color w:val="auto"/>
              <w:spacing w:val="-24"/>
            </w:rPr>
            <w:t>设</w:t>
          </w:r>
          <w:r>
            <w:rPr>
              <w:color w:val="auto"/>
              <w:spacing w:val="-22"/>
            </w:rPr>
            <w:t>备检验、检</w:t>
          </w:r>
          <w:r>
            <w:rPr>
              <w:color w:val="auto"/>
              <w:spacing w:val="-24"/>
            </w:rPr>
            <w:t>测</w:t>
          </w:r>
          <w:r>
            <w:rPr>
              <w:color w:val="auto"/>
              <w:spacing w:val="-22"/>
            </w:rPr>
            <w:t>机构及其检</w:t>
          </w:r>
          <w:r>
            <w:rPr>
              <w:color w:val="auto"/>
              <w:spacing w:val="-24"/>
            </w:rPr>
            <w:t>验</w:t>
          </w:r>
          <w:r>
            <w:rPr>
              <w:color w:val="auto"/>
              <w:spacing w:val="-22"/>
            </w:rPr>
            <w:t>、检测人员</w:t>
          </w:r>
          <w:r>
            <w:rPr>
              <w:color w:val="auto"/>
              <w:spacing w:val="-24"/>
            </w:rPr>
            <w:t>发</w:t>
          </w:r>
          <w:r>
            <w:rPr>
              <w:color w:val="auto"/>
              <w:spacing w:val="-22"/>
            </w:rPr>
            <w:t>现特种设备</w:t>
          </w:r>
          <w:r>
            <w:rPr>
              <w:color w:val="auto"/>
              <w:spacing w:val="-24"/>
            </w:rPr>
            <w:t>存</w:t>
          </w:r>
          <w:r>
            <w:rPr>
              <w:color w:val="auto"/>
              <w:spacing w:val="-22"/>
            </w:rPr>
            <w:t>在严重事</w:t>
          </w:r>
          <w:r>
            <w:rPr>
              <w:color w:val="auto"/>
            </w:rPr>
            <w:t>故</w:t>
          </w:r>
          <w:r>
            <w:rPr>
              <w:color w:val="auto"/>
            </w:rPr>
            <w:fldChar w:fldCharType="end"/>
          </w:r>
          <w:r>
            <w:rPr>
              <w:color w:val="auto"/>
              <w:spacing w:val="-22"/>
            </w:rPr>
            <w:t>隐患</w:t>
          </w:r>
          <w:r>
            <w:rPr>
              <w:color w:val="auto"/>
              <w:spacing w:val="-24"/>
            </w:rPr>
            <w:t>，</w:t>
          </w:r>
          <w:r>
            <w:rPr>
              <w:color w:val="auto"/>
              <w:spacing w:val="-22"/>
            </w:rPr>
            <w:t>未及时告知</w:t>
          </w:r>
          <w:r>
            <w:rPr>
              <w:color w:val="auto"/>
              <w:spacing w:val="-24"/>
            </w:rPr>
            <w:t>相</w:t>
          </w:r>
          <w:r>
            <w:rPr>
              <w:color w:val="auto"/>
              <w:spacing w:val="-22"/>
            </w:rPr>
            <w:t>关单位，并</w:t>
          </w:r>
          <w:r>
            <w:rPr>
              <w:color w:val="auto"/>
              <w:spacing w:val="-24"/>
            </w:rPr>
            <w:t>立</w:t>
          </w:r>
          <w:r>
            <w:rPr>
              <w:color w:val="auto"/>
              <w:spacing w:val="-22"/>
            </w:rPr>
            <w:t>即向负责特</w:t>
          </w:r>
          <w:r>
            <w:rPr>
              <w:color w:val="auto"/>
              <w:spacing w:val="-24"/>
            </w:rPr>
            <w:t>种</w:t>
          </w:r>
          <w:r>
            <w:rPr>
              <w:color w:val="auto"/>
              <w:spacing w:val="-22"/>
            </w:rPr>
            <w:t>设备安全监</w:t>
          </w:r>
          <w:r>
            <w:rPr>
              <w:color w:val="auto"/>
              <w:spacing w:val="-24"/>
            </w:rPr>
            <w:t>督</w:t>
          </w:r>
          <w:r>
            <w:rPr>
              <w:color w:val="auto"/>
              <w:spacing w:val="-22"/>
            </w:rPr>
            <w:t>管理的部门</w:t>
          </w:r>
          <w:r>
            <w:rPr>
              <w:color w:val="auto"/>
              <w:spacing w:val="-24"/>
            </w:rPr>
            <w:t>报</w:t>
          </w:r>
          <w:r>
            <w:rPr>
              <w:color w:val="auto"/>
              <w:spacing w:val="-22"/>
            </w:rPr>
            <w:t>告</w:t>
          </w:r>
          <w:r>
            <w:rPr>
              <w:color w:val="auto"/>
              <w:spacing w:val="-22"/>
            </w:rPr>
            <w:tab/>
          </w:r>
          <w:r>
            <w:rPr>
              <w:color w:val="auto"/>
              <w:spacing w:val="-6"/>
            </w:rPr>
            <w:t>575</w:t>
          </w:r>
        </w:p>
        <w:p>
          <w:pPr>
            <w:pStyle w:val="5"/>
            <w:tabs>
              <w:tab w:val="left" w:leader="dot" w:pos="8595"/>
            </w:tabs>
            <w:spacing w:before="2" w:line="391" w:lineRule="auto"/>
            <w:ind w:right="268"/>
            <w:rPr>
              <w:color w:val="auto"/>
            </w:rPr>
          </w:pPr>
          <w:r>
            <w:rPr>
              <w:color w:val="auto"/>
            </w:rPr>
            <w:fldChar w:fldCharType="begin"/>
          </w:r>
          <w:r>
            <w:rPr>
              <w:color w:val="auto"/>
            </w:rPr>
            <w:instrText xml:space="preserve"> HYPERLINK \l "_bookmark606"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"_bookmark606" </w:instrText>
          </w:r>
          <w:r>
            <w:rPr>
              <w:color w:val="auto"/>
            </w:rPr>
            <w:fldChar w:fldCharType="separate"/>
          </w:r>
          <w:r>
            <w:rPr>
              <w:color w:val="auto"/>
            </w:rPr>
            <w:t>百九十四</w:t>
          </w:r>
          <w:r>
            <w:rPr>
              <w:color w:val="auto"/>
              <w:spacing w:val="-10"/>
            </w:rPr>
            <w:t>、</w:t>
          </w:r>
          <w:r>
            <w:rPr>
              <w:color w:val="auto"/>
            </w:rPr>
            <w:t>特种设备检验</w:t>
          </w:r>
          <w:r>
            <w:rPr>
              <w:color w:val="auto"/>
              <w:spacing w:val="-10"/>
            </w:rPr>
            <w:t>、</w:t>
          </w:r>
          <w:r>
            <w:rPr>
              <w:color w:val="auto"/>
            </w:rPr>
            <w:t>检测机构及其检验</w:t>
          </w:r>
          <w:r>
            <w:rPr>
              <w:color w:val="auto"/>
              <w:spacing w:val="-8"/>
            </w:rPr>
            <w:t>、</w:t>
          </w:r>
          <w:r>
            <w:rPr>
              <w:color w:val="auto"/>
            </w:rPr>
            <w:t>检测人员泄露检验</w:t>
          </w:r>
          <w:r>
            <w:rPr>
              <w:color w:val="auto"/>
              <w:spacing w:val="-10"/>
            </w:rPr>
            <w:t>、</w:t>
          </w:r>
          <w:r>
            <w:rPr>
              <w:color w:val="auto"/>
            </w:rPr>
            <w:t>检测过</w:t>
          </w:r>
          <w:r>
            <w:rPr>
              <w:color w:val="auto"/>
              <w:spacing w:val="-15"/>
            </w:rPr>
            <w:t>程</w:t>
          </w:r>
          <w:r>
            <w:rPr>
              <w:color w:val="auto"/>
              <w:spacing w:val="-15"/>
            </w:rPr>
            <w:fldChar w:fldCharType="end"/>
          </w:r>
          <w:r>
            <w:rPr>
              <w:color w:val="auto"/>
            </w:rPr>
            <w:t>中知悉的商业秘密</w:t>
          </w:r>
          <w:r>
            <w:rPr>
              <w:color w:val="auto"/>
            </w:rPr>
            <w:tab/>
          </w:r>
          <w:r>
            <w:rPr>
              <w:color w:val="auto"/>
              <w:spacing w:val="-6"/>
            </w:rPr>
            <w:t>576</w:t>
          </w:r>
        </w:p>
        <w:p>
          <w:pPr>
            <w:pStyle w:val="5"/>
            <w:tabs>
              <w:tab w:val="left" w:leader="dot" w:pos="8595"/>
            </w:tabs>
            <w:spacing w:line="388" w:lineRule="auto"/>
            <w:ind w:right="268"/>
            <w:rPr>
              <w:color w:val="auto"/>
            </w:rPr>
          </w:pPr>
          <w:r>
            <w:rPr>
              <w:color w:val="auto"/>
            </w:rPr>
            <w:fldChar w:fldCharType="begin"/>
          </w:r>
          <w:r>
            <w:rPr>
              <w:color w:val="auto"/>
            </w:rPr>
            <w:instrText xml:space="preserve"> HYPERLINK \l "_bookmark607"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"_bookmark607" </w:instrText>
          </w:r>
          <w:r>
            <w:rPr>
              <w:color w:val="auto"/>
            </w:rPr>
            <w:fldChar w:fldCharType="separate"/>
          </w:r>
          <w:r>
            <w:rPr>
              <w:color w:val="auto"/>
            </w:rPr>
            <w:t>百九十五</w:t>
          </w:r>
          <w:r>
            <w:rPr>
              <w:color w:val="auto"/>
              <w:spacing w:val="-12"/>
            </w:rPr>
            <w:t>、</w:t>
          </w:r>
          <w:r>
            <w:rPr>
              <w:color w:val="auto"/>
            </w:rPr>
            <w:t>特种设备检验</w:t>
          </w:r>
          <w:r>
            <w:rPr>
              <w:color w:val="auto"/>
              <w:spacing w:val="-12"/>
            </w:rPr>
            <w:t>、</w:t>
          </w:r>
          <w:r>
            <w:rPr>
              <w:color w:val="auto"/>
            </w:rPr>
            <w:t>检测机构及其检验</w:t>
          </w:r>
          <w:r>
            <w:rPr>
              <w:color w:val="auto"/>
              <w:spacing w:val="-12"/>
            </w:rPr>
            <w:t>、</w:t>
          </w:r>
          <w:r>
            <w:rPr>
              <w:color w:val="auto"/>
            </w:rPr>
            <w:t>检测人员从事有关特种设备</w:t>
          </w:r>
          <w:r>
            <w:rPr>
              <w:color w:val="auto"/>
              <w:spacing w:val="-17"/>
            </w:rPr>
            <w:t>的</w:t>
          </w:r>
          <w:r>
            <w:rPr>
              <w:color w:val="auto"/>
              <w:spacing w:val="-17"/>
            </w:rPr>
            <w:fldChar w:fldCharType="end"/>
          </w:r>
          <w:r>
            <w:rPr>
              <w:color w:val="auto"/>
            </w:rPr>
            <w:t>生产、经营活动</w:t>
          </w:r>
          <w:r>
            <w:rPr>
              <w:color w:val="auto"/>
            </w:rPr>
            <w:tab/>
          </w:r>
          <w:r>
            <w:rPr>
              <w:color w:val="auto"/>
              <w:spacing w:val="-6"/>
            </w:rPr>
            <w:t>577</w:t>
          </w:r>
        </w:p>
        <w:p>
          <w:pPr>
            <w:pStyle w:val="5"/>
            <w:tabs>
              <w:tab w:val="left" w:leader="dot" w:pos="8595"/>
            </w:tabs>
            <w:spacing w:before="3" w:after="240" w:line="388" w:lineRule="auto"/>
            <w:ind w:right="268"/>
            <w:rPr>
              <w:color w:val="auto"/>
            </w:rPr>
          </w:pPr>
          <w:r>
            <w:rPr>
              <w:color w:val="auto"/>
            </w:rPr>
            <w:fldChar w:fldCharType="begin"/>
          </w:r>
          <w:r>
            <w:rPr>
              <w:color w:val="auto"/>
            </w:rPr>
            <w:instrText xml:space="preserve"> HYPERLINK \l "_bookmark608"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"_bookmark608" </w:instrText>
          </w:r>
          <w:r>
            <w:rPr>
              <w:color w:val="auto"/>
            </w:rPr>
            <w:fldChar w:fldCharType="separate"/>
          </w:r>
          <w:r>
            <w:rPr>
              <w:color w:val="auto"/>
            </w:rPr>
            <w:t>百九十六</w:t>
          </w:r>
          <w:r>
            <w:rPr>
              <w:color w:val="auto"/>
              <w:spacing w:val="-10"/>
            </w:rPr>
            <w:t>、</w:t>
          </w:r>
          <w:r>
            <w:rPr>
              <w:color w:val="auto"/>
            </w:rPr>
            <w:t>特种设备检验</w:t>
          </w:r>
          <w:r>
            <w:rPr>
              <w:color w:val="auto"/>
              <w:spacing w:val="-10"/>
            </w:rPr>
            <w:t>、</w:t>
          </w:r>
          <w:r>
            <w:rPr>
              <w:color w:val="auto"/>
            </w:rPr>
            <w:t>检测机构及其检验</w:t>
          </w:r>
          <w:r>
            <w:rPr>
              <w:color w:val="auto"/>
              <w:spacing w:val="-8"/>
            </w:rPr>
            <w:t>、</w:t>
          </w:r>
          <w:r>
            <w:rPr>
              <w:color w:val="auto"/>
            </w:rPr>
            <w:t>检测人员推荐或者监制</w:t>
          </w:r>
          <w:r>
            <w:rPr>
              <w:color w:val="auto"/>
              <w:spacing w:val="-10"/>
            </w:rPr>
            <w:t>、</w:t>
          </w:r>
          <w:r>
            <w:rPr>
              <w:color w:val="auto"/>
            </w:rPr>
            <w:t>监</w:t>
          </w:r>
          <w:r>
            <w:rPr>
              <w:color w:val="auto"/>
              <w:spacing w:val="-15"/>
            </w:rPr>
            <w:t>销</w:t>
          </w:r>
          <w:r>
            <w:rPr>
              <w:color w:val="auto"/>
              <w:spacing w:val="-15"/>
            </w:rPr>
            <w:fldChar w:fldCharType="end"/>
          </w:r>
          <w:r>
            <w:rPr>
              <w:color w:val="auto"/>
            </w:rPr>
            <w:t>特种设备</w:t>
          </w:r>
          <w:r>
            <w:rPr>
              <w:color w:val="auto"/>
            </w:rPr>
            <w:tab/>
          </w:r>
          <w:r>
            <w:rPr>
              <w:color w:val="auto"/>
              <w:spacing w:val="-6"/>
            </w:rPr>
            <w:t>578</w:t>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"_bookmark609"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"_bookmark609" </w:instrText>
          </w:r>
          <w:r>
            <w:rPr>
              <w:color w:val="auto"/>
            </w:rPr>
            <w:fldChar w:fldCharType="separate"/>
          </w:r>
          <w:r>
            <w:rPr>
              <w:color w:val="auto"/>
            </w:rPr>
            <w:t>百九十七</w:t>
          </w:r>
          <w:r>
            <w:rPr>
              <w:color w:val="auto"/>
              <w:spacing w:val="-12"/>
            </w:rPr>
            <w:t>、</w:t>
          </w:r>
          <w:r>
            <w:rPr>
              <w:color w:val="auto"/>
            </w:rPr>
            <w:t>特种设备检验</w:t>
          </w:r>
          <w:r>
            <w:rPr>
              <w:color w:val="auto"/>
              <w:spacing w:val="-12"/>
            </w:rPr>
            <w:t>、</w:t>
          </w:r>
          <w:r>
            <w:rPr>
              <w:color w:val="auto"/>
            </w:rPr>
            <w:t>检测机构及其检验</w:t>
          </w:r>
          <w:r>
            <w:rPr>
              <w:color w:val="auto"/>
              <w:spacing w:val="-12"/>
            </w:rPr>
            <w:t>、</w:t>
          </w:r>
          <w:r>
            <w:rPr>
              <w:color w:val="auto"/>
            </w:rPr>
            <w:t>检测人员利用检验工作故意</w:t>
          </w:r>
          <w:r>
            <w:rPr>
              <w:color w:val="auto"/>
              <w:spacing w:val="-17"/>
            </w:rPr>
            <w:t>刁</w:t>
          </w:r>
          <w:r>
            <w:rPr>
              <w:color w:val="auto"/>
              <w:spacing w:val="-17"/>
            </w:rPr>
            <w:fldChar w:fldCharType="end"/>
          </w:r>
          <w:r>
            <w:rPr>
              <w:color w:val="auto"/>
            </w:rPr>
            <w:t>难相关单位</w:t>
          </w:r>
          <w:r>
            <w:rPr>
              <w:color w:val="auto"/>
            </w:rPr>
            <w:tab/>
          </w:r>
          <w:r>
            <w:rPr>
              <w:color w:val="auto"/>
              <w:spacing w:val="-6"/>
            </w:rPr>
            <w:t>579</w:t>
          </w:r>
        </w:p>
        <w:p>
          <w:pPr>
            <w:pStyle w:val="5"/>
            <w:tabs>
              <w:tab w:val="left" w:leader="dot" w:pos="8595"/>
            </w:tabs>
            <w:spacing w:before="1" w:line="374" w:lineRule="auto"/>
            <w:ind w:right="232"/>
            <w:rPr>
              <w:color w:val="auto"/>
            </w:rPr>
          </w:pPr>
          <w:r>
            <w:rPr>
              <w:color w:val="auto"/>
            </w:rPr>
            <w:fldChar w:fldCharType="begin"/>
          </w:r>
          <w:r>
            <w:rPr>
              <w:color w:val="auto"/>
            </w:rPr>
            <w:instrText xml:space="preserve"> HYPERLINK \l "_bookmark610"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"_bookmark610" </w:instrText>
          </w:r>
          <w:r>
            <w:rPr>
              <w:color w:val="auto"/>
            </w:rPr>
            <w:fldChar w:fldCharType="separate"/>
          </w:r>
          <w:r>
            <w:rPr>
              <w:color w:val="auto"/>
            </w:rPr>
            <w:t>百九十八、特种设备检验、检测机构的检验、检测人员同时在两个以上检验</w:t>
          </w:r>
          <w:r>
            <w:rPr>
              <w:color w:val="auto"/>
              <w:spacing w:val="-17"/>
            </w:rPr>
            <w:t>、</w:t>
          </w:r>
          <w:r>
            <w:rPr>
              <w:color w:val="auto"/>
              <w:spacing w:val="-17"/>
            </w:rPr>
            <w:fldChar w:fldCharType="end"/>
          </w:r>
          <w:r>
            <w:rPr>
              <w:color w:val="auto"/>
            </w:rPr>
            <w:t>检测机构中执业</w:t>
          </w:r>
          <w:r>
            <w:rPr>
              <w:color w:val="auto"/>
            </w:rPr>
            <w:tab/>
          </w:r>
          <w:r>
            <w:rPr>
              <w:color w:val="auto"/>
            </w:rPr>
            <w:t>580</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"_bookmark611" </w:instrText>
          </w:r>
          <w:r>
            <w:rPr>
              <w:color w:val="auto"/>
            </w:rPr>
            <w:fldChar w:fldCharType="separate"/>
          </w:r>
          <w:r>
            <w:rPr>
              <w:color w:val="auto"/>
            </w:rPr>
            <w:t>五</w:t>
          </w:r>
          <w:r>
            <w:rPr>
              <w:color w:val="auto"/>
            </w:rPr>
            <w:fldChar w:fldCharType="end"/>
          </w:r>
          <w:r>
            <w:rPr>
              <w:color w:val="auto"/>
            </w:rPr>
            <w:fldChar w:fldCharType="begin"/>
          </w:r>
          <w:r>
            <w:rPr>
              <w:color w:val="auto"/>
            </w:rPr>
            <w:instrText xml:space="preserve"> HYPERLINK \l "_bookmark611" </w:instrText>
          </w:r>
          <w:r>
            <w:rPr>
              <w:color w:val="auto"/>
            </w:rPr>
            <w:fldChar w:fldCharType="separate"/>
          </w:r>
          <w:r>
            <w:rPr>
              <w:color w:val="auto"/>
            </w:rPr>
            <w:t>百九十九</w:t>
          </w:r>
          <w:r>
            <w:rPr>
              <w:color w:val="auto"/>
              <w:spacing w:val="-10"/>
            </w:rPr>
            <w:t>、</w:t>
          </w:r>
          <w:r>
            <w:rPr>
              <w:color w:val="auto"/>
            </w:rPr>
            <w:t>特种设备生产</w:t>
          </w:r>
          <w:r>
            <w:rPr>
              <w:color w:val="auto"/>
              <w:spacing w:val="-10"/>
            </w:rPr>
            <w:t>、</w:t>
          </w:r>
          <w:r>
            <w:rPr>
              <w:color w:val="auto"/>
            </w:rPr>
            <w:t>经营</w:t>
          </w:r>
          <w:r>
            <w:rPr>
              <w:color w:val="auto"/>
              <w:spacing w:val="-8"/>
            </w:rPr>
            <w:t>、</w:t>
          </w:r>
          <w:r>
            <w:rPr>
              <w:color w:val="auto"/>
            </w:rPr>
            <w:t>使用单位或者检验</w:t>
          </w:r>
          <w:r>
            <w:rPr>
              <w:color w:val="auto"/>
              <w:spacing w:val="-10"/>
            </w:rPr>
            <w:t>、</w:t>
          </w:r>
          <w:r>
            <w:rPr>
              <w:color w:val="auto"/>
            </w:rPr>
            <w:t>检测机构拒不接受负</w:t>
          </w:r>
          <w:r>
            <w:rPr>
              <w:color w:val="auto"/>
              <w:spacing w:val="-15"/>
            </w:rPr>
            <w:t>责</w:t>
          </w:r>
          <w:r>
            <w:rPr>
              <w:color w:val="auto"/>
              <w:spacing w:val="-15"/>
            </w:rPr>
            <w:fldChar w:fldCharType="end"/>
          </w:r>
          <w:r>
            <w:rPr>
              <w:color w:val="auto"/>
            </w:rPr>
            <w:t>特种设备安全监督管理的部门依法实施的监督检查</w:t>
          </w:r>
          <w:r>
            <w:rPr>
              <w:color w:val="auto"/>
            </w:rPr>
            <w:tab/>
          </w:r>
          <w:r>
            <w:rPr>
              <w:color w:val="auto"/>
              <w:spacing w:val="-6"/>
            </w:rPr>
            <w:t>580</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"_bookmark612"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"_bookmark612" </w:instrText>
          </w:r>
          <w:r>
            <w:rPr>
              <w:color w:val="auto"/>
            </w:rPr>
            <w:fldChar w:fldCharType="separate"/>
          </w:r>
          <w:r>
            <w:rPr>
              <w:color w:val="auto"/>
            </w:rPr>
            <w:t>百</w:t>
          </w:r>
          <w:r>
            <w:rPr>
              <w:color w:val="auto"/>
              <w:spacing w:val="-8"/>
            </w:rPr>
            <w:t>、</w:t>
          </w:r>
          <w:r>
            <w:rPr>
              <w:color w:val="auto"/>
            </w:rPr>
            <w:t>特种设备生产</w:t>
          </w:r>
          <w:r>
            <w:rPr>
              <w:color w:val="auto"/>
              <w:spacing w:val="-5"/>
            </w:rPr>
            <w:t>、</w:t>
          </w:r>
          <w:r>
            <w:rPr>
              <w:color w:val="auto"/>
            </w:rPr>
            <w:t>经营</w:t>
          </w:r>
          <w:r>
            <w:rPr>
              <w:color w:val="auto"/>
              <w:spacing w:val="-5"/>
            </w:rPr>
            <w:t>、</w:t>
          </w:r>
          <w:r>
            <w:rPr>
              <w:color w:val="auto"/>
            </w:rPr>
            <w:t>使用单位擅自动用</w:t>
          </w:r>
          <w:r>
            <w:rPr>
              <w:color w:val="auto"/>
              <w:spacing w:val="-5"/>
            </w:rPr>
            <w:t>、</w:t>
          </w:r>
          <w:r>
            <w:rPr>
              <w:color w:val="auto"/>
            </w:rPr>
            <w:t>调换</w:t>
          </w:r>
          <w:r>
            <w:rPr>
              <w:color w:val="auto"/>
              <w:spacing w:val="-5"/>
            </w:rPr>
            <w:t>、</w:t>
          </w:r>
          <w:r>
            <w:rPr>
              <w:color w:val="auto"/>
            </w:rPr>
            <w:t>转移</w:t>
          </w:r>
          <w:r>
            <w:rPr>
              <w:color w:val="auto"/>
              <w:spacing w:val="-5"/>
            </w:rPr>
            <w:t>、</w:t>
          </w:r>
          <w:r>
            <w:rPr>
              <w:color w:val="auto"/>
            </w:rPr>
            <w:t>损毁被查封</w:t>
          </w:r>
          <w:r>
            <w:rPr>
              <w:color w:val="auto"/>
              <w:spacing w:val="-5"/>
            </w:rPr>
            <w:t>、</w:t>
          </w:r>
          <w:r>
            <w:rPr>
              <w:color w:val="auto"/>
              <w:spacing w:val="-15"/>
            </w:rPr>
            <w:t>扣</w:t>
          </w:r>
          <w:r>
            <w:rPr>
              <w:color w:val="auto"/>
              <w:spacing w:val="-15"/>
            </w:rPr>
            <w:fldChar w:fldCharType="end"/>
          </w:r>
          <w:r>
            <w:rPr>
              <w:color w:val="auto"/>
            </w:rPr>
            <w:t>押的特种设备或者其主要部件</w:t>
          </w:r>
          <w:r>
            <w:rPr>
              <w:color w:val="auto"/>
            </w:rPr>
            <w:tab/>
          </w:r>
          <w:r>
            <w:rPr>
              <w:color w:val="auto"/>
              <w:spacing w:val="-6"/>
            </w:rPr>
            <w:t>581</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"_bookmark613"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"_bookmark613" </w:instrText>
          </w:r>
          <w:r>
            <w:rPr>
              <w:color w:val="auto"/>
            </w:rPr>
            <w:fldChar w:fldCharType="separate"/>
          </w:r>
          <w:r>
            <w:rPr>
              <w:color w:val="auto"/>
            </w:rPr>
            <w:t>百零一</w:t>
          </w:r>
          <w:r>
            <w:rPr>
              <w:color w:val="auto"/>
              <w:spacing w:val="-12"/>
            </w:rPr>
            <w:t>、</w:t>
          </w:r>
          <w:r>
            <w:rPr>
              <w:color w:val="auto"/>
            </w:rPr>
            <w:t>已经取得许可</w:t>
          </w:r>
          <w:r>
            <w:rPr>
              <w:color w:val="auto"/>
              <w:spacing w:val="-12"/>
            </w:rPr>
            <w:t>、</w:t>
          </w:r>
          <w:r>
            <w:rPr>
              <w:color w:val="auto"/>
            </w:rPr>
            <w:t>核准的特种设备生产单位</w:t>
          </w:r>
          <w:r>
            <w:rPr>
              <w:color w:val="auto"/>
              <w:spacing w:val="-12"/>
            </w:rPr>
            <w:t>、</w:t>
          </w:r>
          <w:r>
            <w:rPr>
              <w:color w:val="auto"/>
            </w:rPr>
            <w:t>检验检测机构未按照安</w:t>
          </w:r>
          <w:r>
            <w:rPr>
              <w:color w:val="auto"/>
              <w:spacing w:val="-17"/>
            </w:rPr>
            <w:t>全</w:t>
          </w:r>
          <w:r>
            <w:rPr>
              <w:color w:val="auto"/>
              <w:spacing w:val="-17"/>
            </w:rPr>
            <w:fldChar w:fldCharType="end"/>
          </w:r>
          <w:r>
            <w:rPr>
              <w:color w:val="auto"/>
            </w:rPr>
            <w:t>技术规范的要求办理许可证变更手续</w:t>
          </w:r>
          <w:r>
            <w:rPr>
              <w:color w:val="auto"/>
            </w:rPr>
            <w:tab/>
          </w:r>
          <w:r>
            <w:rPr>
              <w:color w:val="auto"/>
              <w:spacing w:val="-6"/>
            </w:rPr>
            <w:t>582</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"_bookmark614"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"_bookmark614" </w:instrText>
          </w:r>
          <w:r>
            <w:rPr>
              <w:color w:val="auto"/>
            </w:rPr>
            <w:fldChar w:fldCharType="separate"/>
          </w:r>
          <w:r>
            <w:rPr>
              <w:color w:val="auto"/>
            </w:rPr>
            <w:t>百零二</w:t>
          </w:r>
          <w:r>
            <w:rPr>
              <w:color w:val="auto"/>
              <w:spacing w:val="-20"/>
            </w:rPr>
            <w:t>、</w:t>
          </w:r>
          <w:r>
            <w:rPr>
              <w:color w:val="auto"/>
            </w:rPr>
            <w:t>特种设备使用单位使用的特种设备不符合能效指标</w:t>
          </w:r>
          <w:r>
            <w:rPr>
              <w:color w:val="auto"/>
              <w:spacing w:val="-17"/>
            </w:rPr>
            <w:t>，</w:t>
          </w:r>
          <w:r>
            <w:rPr>
              <w:color w:val="auto"/>
            </w:rPr>
            <w:t>未及时采取相</w:t>
          </w:r>
          <w:r>
            <w:rPr>
              <w:color w:val="auto"/>
              <w:spacing w:val="-16"/>
            </w:rPr>
            <w:t>应</w:t>
          </w:r>
          <w:r>
            <w:rPr>
              <w:color w:val="auto"/>
              <w:spacing w:val="-16"/>
            </w:rPr>
            <w:fldChar w:fldCharType="end"/>
          </w:r>
          <w:r>
            <w:rPr>
              <w:color w:val="auto"/>
            </w:rPr>
            <w:t>措施进行整改</w:t>
          </w:r>
          <w:r>
            <w:rPr>
              <w:color w:val="auto"/>
            </w:rPr>
            <w:tab/>
          </w:r>
          <w:r>
            <w:rPr>
              <w:color w:val="auto"/>
              <w:spacing w:val="-6"/>
            </w:rPr>
            <w:t>583</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"_bookmark615"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"_bookmark615" </w:instrText>
          </w:r>
          <w:r>
            <w:rPr>
              <w:color w:val="auto"/>
            </w:rPr>
            <w:fldChar w:fldCharType="separate"/>
          </w:r>
          <w:r>
            <w:rPr>
              <w:color w:val="auto"/>
            </w:rPr>
            <w:t>百零三</w:t>
          </w:r>
          <w:r>
            <w:rPr>
              <w:color w:val="auto"/>
              <w:spacing w:val="-12"/>
            </w:rPr>
            <w:t>、</w:t>
          </w:r>
          <w:r>
            <w:rPr>
              <w:color w:val="auto"/>
            </w:rPr>
            <w:t>在进行特种设备检验检测中</w:t>
          </w:r>
          <w:r>
            <w:rPr>
              <w:color w:val="auto"/>
              <w:spacing w:val="-12"/>
            </w:rPr>
            <w:t>，</w:t>
          </w:r>
          <w:r>
            <w:rPr>
              <w:color w:val="auto"/>
            </w:rPr>
            <w:t>发现能耗严重超标</w:t>
          </w:r>
          <w:r>
            <w:rPr>
              <w:color w:val="auto"/>
              <w:spacing w:val="-12"/>
            </w:rPr>
            <w:t>，</w:t>
          </w:r>
          <w:r>
            <w:rPr>
              <w:color w:val="auto"/>
            </w:rPr>
            <w:t>未及时告知特种</w:t>
          </w:r>
          <w:r>
            <w:rPr>
              <w:color w:val="auto"/>
              <w:spacing w:val="-17"/>
            </w:rPr>
            <w:t>设</w:t>
          </w:r>
          <w:r>
            <w:rPr>
              <w:color w:val="auto"/>
              <w:spacing w:val="-17"/>
            </w:rPr>
            <w:fldChar w:fldCharType="end"/>
          </w:r>
          <w:r>
            <w:rPr>
              <w:color w:val="auto"/>
            </w:rPr>
            <w:t>备使用单位，并立即向特种设备安全监督管理部门报告</w:t>
          </w:r>
          <w:r>
            <w:rPr>
              <w:color w:val="auto"/>
            </w:rPr>
            <w:tab/>
          </w:r>
          <w:r>
            <w:rPr>
              <w:color w:val="auto"/>
              <w:spacing w:val="-6"/>
            </w:rPr>
            <w:t>584</w:t>
          </w:r>
        </w:p>
        <w:p>
          <w:pPr>
            <w:pStyle w:val="5"/>
            <w:tabs>
              <w:tab w:val="left" w:leader="dot" w:pos="8595"/>
            </w:tabs>
            <w:spacing w:line="308" w:lineRule="exact"/>
            <w:rPr>
              <w:color w:val="auto"/>
            </w:rPr>
          </w:pPr>
          <w:r>
            <w:rPr>
              <w:color w:val="auto"/>
            </w:rPr>
            <w:fldChar w:fldCharType="begin"/>
          </w:r>
          <w:r>
            <w:rPr>
              <w:color w:val="auto"/>
            </w:rPr>
            <w:instrText xml:space="preserve"> HYPERLINK \l "_bookmark616" </w:instrText>
          </w:r>
          <w:r>
            <w:rPr>
              <w:color w:val="auto"/>
            </w:rPr>
            <w:fldChar w:fldCharType="separate"/>
          </w:r>
          <w:r>
            <w:rPr>
              <w:color w:val="auto"/>
            </w:rPr>
            <w:t>六百零四、制造单位没有采用符合安全技术规范要求的起重机械设计文件</w:t>
          </w:r>
          <w:r>
            <w:rPr>
              <w:color w:val="auto"/>
            </w:rPr>
            <w:tab/>
          </w:r>
          <w:r>
            <w:rPr>
              <w:color w:val="auto"/>
            </w:rPr>
            <w:t>585</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"_bookmark617" </w:instrText>
          </w:r>
          <w:r>
            <w:rPr>
              <w:color w:val="auto"/>
            </w:rPr>
            <w:fldChar w:fldCharType="separate"/>
          </w:r>
          <w:r>
            <w:rPr>
              <w:color w:val="auto"/>
            </w:rPr>
            <w:t>六百零五、未在被许可的场所内制造起重机械</w:t>
          </w:r>
          <w:r>
            <w:rPr>
              <w:color w:val="auto"/>
            </w:rPr>
            <w:tab/>
          </w:r>
          <w:r>
            <w:rPr>
              <w:color w:val="auto"/>
            </w:rPr>
            <w:t>586</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"_bookmark618"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"_bookmark618" </w:instrText>
          </w:r>
          <w:r>
            <w:rPr>
              <w:color w:val="auto"/>
            </w:rPr>
            <w:fldChar w:fldCharType="separate"/>
          </w:r>
          <w:r>
            <w:rPr>
              <w:color w:val="auto"/>
            </w:rPr>
            <w:t>百零六</w:t>
          </w:r>
          <w:r>
            <w:rPr>
              <w:color w:val="auto"/>
              <w:spacing w:val="-36"/>
            </w:rPr>
            <w:t>、</w:t>
          </w:r>
          <w:r>
            <w:rPr>
              <w:color w:val="auto"/>
            </w:rPr>
            <w:t>制造单位违反规定将主要受力结构件全部委托加工或者购买并用于</w:t>
          </w:r>
          <w:r>
            <w:rPr>
              <w:color w:val="auto"/>
              <w:spacing w:val="-17"/>
            </w:rPr>
            <w:t>起</w:t>
          </w:r>
          <w:r>
            <w:rPr>
              <w:color w:val="auto"/>
              <w:spacing w:val="-17"/>
            </w:rPr>
            <w:fldChar w:fldCharType="end"/>
          </w:r>
          <w:r>
            <w:rPr>
              <w:color w:val="auto"/>
            </w:rPr>
            <w:t>重机械制造</w:t>
          </w:r>
          <w:r>
            <w:rPr>
              <w:color w:val="auto"/>
              <w:spacing w:val="-20"/>
            </w:rPr>
            <w:t>；</w:t>
          </w:r>
          <w:r>
            <w:rPr>
              <w:color w:val="auto"/>
            </w:rPr>
            <w:t>主要受力结构件需要部分委托加工或者购买</w:t>
          </w:r>
          <w:r>
            <w:rPr>
              <w:color w:val="auto"/>
              <w:spacing w:val="-17"/>
            </w:rPr>
            <w:t>，</w:t>
          </w:r>
          <w:r>
            <w:rPr>
              <w:color w:val="auto"/>
            </w:rPr>
            <w:t>制造单位委托未取</w:t>
          </w:r>
          <w:r>
            <w:rPr>
              <w:color w:val="auto"/>
              <w:spacing w:val="-16"/>
            </w:rPr>
            <w:t>得</w:t>
          </w:r>
          <w:r>
            <w:rPr>
              <w:color w:val="auto"/>
            </w:rPr>
            <w:t>相应起重机械类型和级别资质的制造单位加工或者购买其加工的主要受力结构件并用于起重机械制造</w:t>
          </w:r>
          <w:r>
            <w:rPr>
              <w:color w:val="auto"/>
            </w:rPr>
            <w:tab/>
          </w:r>
          <w:r>
            <w:rPr>
              <w:color w:val="auto"/>
              <w:spacing w:val="-6"/>
            </w:rPr>
            <w:t>587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"_bookmark619"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"_bookmark619" </w:instrText>
          </w:r>
          <w:r>
            <w:rPr>
              <w:color w:val="auto"/>
            </w:rPr>
            <w:fldChar w:fldCharType="separate"/>
          </w:r>
          <w:r>
            <w:rPr>
              <w:color w:val="auto"/>
            </w:rPr>
            <w:t>百零七</w:t>
          </w:r>
          <w:r>
            <w:rPr>
              <w:color w:val="auto"/>
              <w:spacing w:val="-12"/>
            </w:rPr>
            <w:t>、</w:t>
          </w:r>
          <w:r>
            <w:rPr>
              <w:color w:val="auto"/>
            </w:rPr>
            <w:t>起重机械拆卸施工单位施工前</w:t>
          </w:r>
          <w:r>
            <w:rPr>
              <w:color w:val="auto"/>
              <w:spacing w:val="-12"/>
            </w:rPr>
            <w:t>，</w:t>
          </w:r>
          <w:r>
            <w:rPr>
              <w:color w:val="auto"/>
            </w:rPr>
            <w:t>未制定周密的拆卸作业指导书</w:t>
          </w:r>
          <w:r>
            <w:rPr>
              <w:color w:val="auto"/>
              <w:spacing w:val="-12"/>
            </w:rPr>
            <w:t>，</w:t>
          </w:r>
          <w:r>
            <w:rPr>
              <w:color w:val="auto"/>
            </w:rPr>
            <w:t>未</w:t>
          </w:r>
          <w:r>
            <w:rPr>
              <w:color w:val="auto"/>
              <w:spacing w:val="-17"/>
            </w:rPr>
            <w:t>按</w:t>
          </w:r>
          <w:r>
            <w:rPr>
              <w:color w:val="auto"/>
              <w:spacing w:val="-17"/>
            </w:rPr>
            <w:fldChar w:fldCharType="end"/>
          </w:r>
          <w:r>
            <w:rPr>
              <w:color w:val="auto"/>
            </w:rPr>
            <w:t>照拆卸作业指导书的要求进行施工</w:t>
          </w:r>
          <w:r>
            <w:rPr>
              <w:color w:val="auto"/>
            </w:rPr>
            <w:tab/>
          </w:r>
          <w:r>
            <w:rPr>
              <w:color w:val="auto"/>
              <w:spacing w:val="-6"/>
            </w:rPr>
            <w:t>588</w:t>
          </w:r>
        </w:p>
        <w:p>
          <w:pPr>
            <w:pStyle w:val="5"/>
            <w:tabs>
              <w:tab w:val="left" w:leader="dot" w:pos="8595"/>
            </w:tabs>
            <w:spacing w:line="308" w:lineRule="exact"/>
            <w:rPr>
              <w:color w:val="auto"/>
            </w:rPr>
          </w:pPr>
          <w:r>
            <w:rPr>
              <w:color w:val="auto"/>
            </w:rPr>
            <w:fldChar w:fldCharType="begin"/>
          </w:r>
          <w:r>
            <w:rPr>
              <w:color w:val="auto"/>
            </w:rPr>
            <w:instrText xml:space="preserve"> HYPERLINK \l "_bookmark620" </w:instrText>
          </w:r>
          <w:r>
            <w:rPr>
              <w:color w:val="auto"/>
            </w:rPr>
            <w:fldChar w:fldCharType="separate"/>
          </w:r>
          <w:r>
            <w:rPr>
              <w:color w:val="auto"/>
            </w:rPr>
            <w:t>六百零八、对使用过的非重复充装气瓶再次进行充装</w:t>
          </w:r>
          <w:r>
            <w:rPr>
              <w:color w:val="auto"/>
            </w:rPr>
            <w:tab/>
          </w:r>
          <w:r>
            <w:rPr>
              <w:color w:val="auto"/>
            </w:rPr>
            <w:t>589</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"_bookmark621"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"_bookmark621" </w:instrText>
          </w:r>
          <w:r>
            <w:rPr>
              <w:color w:val="auto"/>
            </w:rPr>
            <w:fldChar w:fldCharType="separate"/>
          </w:r>
          <w:r>
            <w:rPr>
              <w:color w:val="auto"/>
            </w:rPr>
            <w:t>百零九</w:t>
          </w:r>
          <w:r>
            <w:rPr>
              <w:color w:val="auto"/>
              <w:spacing w:val="-20"/>
            </w:rPr>
            <w:t>、</w:t>
          </w:r>
          <w:r>
            <w:rPr>
              <w:color w:val="auto"/>
            </w:rPr>
            <w:t>气瓶检验机构对定期检验不合格应予报废的气瓶</w:t>
          </w:r>
          <w:r>
            <w:rPr>
              <w:color w:val="auto"/>
              <w:spacing w:val="-17"/>
            </w:rPr>
            <w:t>，</w:t>
          </w:r>
          <w:r>
            <w:rPr>
              <w:color w:val="auto"/>
            </w:rPr>
            <w:t>未进行破坏性处</w:t>
          </w:r>
          <w:r>
            <w:rPr>
              <w:color w:val="auto"/>
              <w:spacing w:val="-16"/>
            </w:rPr>
            <w:t>理</w:t>
          </w:r>
          <w:r>
            <w:rPr>
              <w:color w:val="auto"/>
              <w:spacing w:val="-16"/>
            </w:rPr>
            <w:fldChar w:fldCharType="end"/>
          </w:r>
          <w:r>
            <w:rPr>
              <w:color w:val="auto"/>
            </w:rPr>
            <w:t>而直接退回气瓶送检单位或者转卖给其他单位或个人</w:t>
          </w:r>
          <w:r>
            <w:rPr>
              <w:color w:val="auto"/>
            </w:rPr>
            <w:tab/>
          </w:r>
          <w:r>
            <w:rPr>
              <w:color w:val="auto"/>
              <w:spacing w:val="-6"/>
            </w:rPr>
            <w:t>589</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"_bookmark622"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"_bookmark622" </w:instrText>
          </w:r>
          <w:r>
            <w:rPr>
              <w:color w:val="auto"/>
            </w:rPr>
            <w:fldChar w:fldCharType="separate"/>
          </w:r>
          <w:r>
            <w:rPr>
              <w:color w:val="auto"/>
            </w:rPr>
            <w:t>百一十</w:t>
          </w:r>
          <w:r>
            <w:rPr>
              <w:color w:val="auto"/>
              <w:spacing w:val="-20"/>
            </w:rPr>
            <w:t>、</w:t>
          </w:r>
          <w:r>
            <w:rPr>
              <w:color w:val="auto"/>
            </w:rPr>
            <w:t>气瓶或者瓶装气体销售单位或者个人收购</w:t>
          </w:r>
          <w:r>
            <w:rPr>
              <w:color w:val="auto"/>
              <w:spacing w:val="-17"/>
            </w:rPr>
            <w:t>、</w:t>
          </w:r>
          <w:r>
            <w:rPr>
              <w:color w:val="auto"/>
            </w:rPr>
            <w:t>销售未经破坏性处理的</w:t>
          </w:r>
          <w:r>
            <w:rPr>
              <w:color w:val="auto"/>
              <w:spacing w:val="-16"/>
            </w:rPr>
            <w:t>报</w:t>
          </w:r>
          <w:r>
            <w:rPr>
              <w:color w:val="auto"/>
              <w:spacing w:val="-16"/>
            </w:rPr>
            <w:fldChar w:fldCharType="end"/>
          </w:r>
          <w:r>
            <w:rPr>
              <w:color w:val="auto"/>
            </w:rPr>
            <w:t>废气瓶或者使用过的非重复充装气瓶以及其他不符合安全要求的气瓶</w:t>
          </w:r>
          <w:r>
            <w:rPr>
              <w:color w:val="auto"/>
            </w:rPr>
            <w:tab/>
          </w:r>
          <w:r>
            <w:rPr>
              <w:color w:val="auto"/>
              <w:spacing w:val="-6"/>
            </w:rPr>
            <w:t>590</w:t>
          </w:r>
        </w:p>
        <w:p>
          <w:pPr>
            <w:pStyle w:val="5"/>
            <w:spacing w:before="1"/>
            <w:rPr>
              <w:color w:val="auto"/>
            </w:rPr>
          </w:pPr>
          <w:r>
            <w:rPr>
              <w:color w:val="auto"/>
            </w:rPr>
            <w:fldChar w:fldCharType="begin"/>
          </w:r>
          <w:r>
            <w:rPr>
              <w:color w:val="auto"/>
            </w:rPr>
            <w:instrText xml:space="preserve"> HYPERLINK \l "_bookmark623" </w:instrText>
          </w:r>
          <w:r>
            <w:rPr>
              <w:color w:val="auto"/>
            </w:rPr>
            <w:fldChar w:fldCharType="separate"/>
          </w:r>
          <w:r>
            <w:rPr>
              <w:color w:val="auto"/>
              <w:spacing w:val="-12"/>
            </w:rPr>
            <w:t>六</w:t>
          </w:r>
          <w:r>
            <w:rPr>
              <w:color w:val="auto"/>
              <w:spacing w:val="-12"/>
            </w:rPr>
            <w:fldChar w:fldCharType="end"/>
          </w:r>
          <w:r>
            <w:rPr>
              <w:color w:val="auto"/>
            </w:rPr>
            <w:fldChar w:fldCharType="begin"/>
          </w:r>
          <w:r>
            <w:rPr>
              <w:color w:val="auto"/>
            </w:rPr>
            <w:instrText xml:space="preserve"> HYPERLINK \l "_bookmark623" </w:instrText>
          </w:r>
          <w:r>
            <w:rPr>
              <w:color w:val="auto"/>
            </w:rPr>
            <w:fldChar w:fldCharType="separate"/>
          </w:r>
          <w:r>
            <w:rPr>
              <w:color w:val="auto"/>
              <w:spacing w:val="-12"/>
            </w:rPr>
            <w:t>百一十一、非法印制、伪造、涂改、倒卖、出租、出借《特种设备作业人员证》，</w:t>
          </w:r>
          <w:r>
            <w:rPr>
              <w:color w:val="auto"/>
              <w:spacing w:val="-12"/>
            </w:rPr>
            <w:fldChar w:fldCharType="end"/>
          </w:r>
        </w:p>
        <w:p>
          <w:pPr>
            <w:pStyle w:val="5"/>
            <w:tabs>
              <w:tab w:val="left" w:leader="dot" w:pos="8595"/>
            </w:tabs>
            <w:spacing w:before="172" w:after="59"/>
            <w:ind w:left="567"/>
            <w:rPr>
              <w:color w:val="auto"/>
            </w:rPr>
          </w:pPr>
          <w:r>
            <w:rPr>
              <w:color w:val="auto"/>
              <w:spacing w:val="-12"/>
            </w:rPr>
            <w:t>或者使用非法印制、伪造、涂改、倒卖、出租、出借《特种设备作业人员证</w:t>
          </w:r>
          <w:r>
            <w:rPr>
              <w:color w:val="auto"/>
            </w:rPr>
            <w:t>》</w:t>
          </w:r>
          <w:r>
            <w:rPr>
              <w:color w:val="auto"/>
            </w:rPr>
            <w:tab/>
          </w:r>
          <w:r>
            <w:rPr>
              <w:color w:val="auto"/>
            </w:rPr>
            <w:t>591</w:t>
          </w:r>
        </w:p>
        <w:p>
          <w:pPr>
            <w:pStyle w:val="5"/>
            <w:tabs>
              <w:tab w:val="left" w:leader="dot" w:pos="8595"/>
            </w:tabs>
            <w:spacing w:before="127"/>
            <w:rPr>
              <w:color w:val="auto"/>
            </w:rPr>
          </w:pPr>
          <w:r>
            <w:rPr>
              <w:color w:val="auto"/>
            </w:rPr>
            <w:fldChar w:fldCharType="begin"/>
          </w:r>
          <w:r>
            <w:rPr>
              <w:color w:val="auto"/>
            </w:rPr>
            <w:instrText xml:space="preserve"> HYPERLINK \l "_bookmark624" </w:instrText>
          </w:r>
          <w:r>
            <w:rPr>
              <w:color w:val="auto"/>
            </w:rPr>
            <w:fldChar w:fldCharType="separate"/>
          </w:r>
          <w:r>
            <w:rPr>
              <w:color w:val="auto"/>
            </w:rPr>
            <w:t>六百一十二、发生特种设备事故，伪造或者故意破坏事故现场</w:t>
          </w:r>
          <w:r>
            <w:rPr>
              <w:color w:val="auto"/>
            </w:rPr>
            <w:tab/>
          </w:r>
          <w:r>
            <w:rPr>
              <w:color w:val="auto"/>
            </w:rPr>
            <w:t>592</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"_bookmark625" </w:instrText>
          </w:r>
          <w:r>
            <w:rPr>
              <w:color w:val="auto"/>
            </w:rPr>
            <w:fldChar w:fldCharType="separate"/>
          </w:r>
          <w:r>
            <w:rPr>
              <w:color w:val="auto"/>
              <w:spacing w:val="-22"/>
            </w:rPr>
            <w:t>六百</w:t>
          </w:r>
          <w:r>
            <w:rPr>
              <w:color w:val="auto"/>
              <w:spacing w:val="-24"/>
            </w:rPr>
            <w:t>一</w:t>
          </w:r>
          <w:r>
            <w:rPr>
              <w:color w:val="auto"/>
              <w:spacing w:val="-22"/>
            </w:rPr>
            <w:t>十三、发生</w:t>
          </w:r>
          <w:r>
            <w:rPr>
              <w:color w:val="auto"/>
              <w:spacing w:val="-24"/>
            </w:rPr>
            <w:t>特</w:t>
          </w:r>
          <w:r>
            <w:rPr>
              <w:color w:val="auto"/>
              <w:spacing w:val="-22"/>
            </w:rPr>
            <w:t>种设备事故</w:t>
          </w:r>
          <w:r>
            <w:rPr>
              <w:color w:val="auto"/>
              <w:spacing w:val="-24"/>
            </w:rPr>
            <w:t>，</w:t>
          </w:r>
          <w:r>
            <w:rPr>
              <w:color w:val="auto"/>
              <w:spacing w:val="-22"/>
            </w:rPr>
            <w:t>拒绝接受调</w:t>
          </w:r>
          <w:r>
            <w:rPr>
              <w:color w:val="auto"/>
              <w:spacing w:val="-24"/>
            </w:rPr>
            <w:t>查</w:t>
          </w:r>
          <w:r>
            <w:rPr>
              <w:color w:val="auto"/>
              <w:spacing w:val="-22"/>
            </w:rPr>
            <w:t>或者拒绝提</w:t>
          </w:r>
          <w:r>
            <w:rPr>
              <w:color w:val="auto"/>
              <w:spacing w:val="-24"/>
            </w:rPr>
            <w:t>供</w:t>
          </w:r>
          <w:r>
            <w:rPr>
              <w:color w:val="auto"/>
              <w:spacing w:val="-22"/>
            </w:rPr>
            <w:t>有关情况或</w:t>
          </w:r>
          <w:r>
            <w:rPr>
              <w:color w:val="auto"/>
              <w:spacing w:val="-24"/>
            </w:rPr>
            <w:t>者</w:t>
          </w:r>
          <w:r>
            <w:rPr>
              <w:color w:val="auto"/>
              <w:spacing w:val="-22"/>
            </w:rPr>
            <w:t>资料</w:t>
          </w:r>
          <w:r>
            <w:rPr>
              <w:color w:val="auto"/>
              <w:spacing w:val="-22"/>
            </w:rPr>
            <w:tab/>
          </w:r>
          <w:r>
            <w:rPr>
              <w:color w:val="auto"/>
            </w:rPr>
            <w:t>593</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"_bookmark626" </w:instrText>
          </w:r>
          <w:r>
            <w:rPr>
              <w:color w:val="auto"/>
            </w:rPr>
            <w:fldChar w:fldCharType="separate"/>
          </w:r>
          <w:r>
            <w:rPr>
              <w:color w:val="auto"/>
              <w:spacing w:val="-22"/>
            </w:rPr>
            <w:t>六百</w:t>
          </w:r>
          <w:r>
            <w:rPr>
              <w:color w:val="auto"/>
              <w:spacing w:val="-24"/>
            </w:rPr>
            <w:t>一</w:t>
          </w:r>
          <w:r>
            <w:rPr>
              <w:color w:val="auto"/>
              <w:spacing w:val="-22"/>
            </w:rPr>
            <w:t>十四、发生</w:t>
          </w:r>
          <w:r>
            <w:rPr>
              <w:color w:val="auto"/>
              <w:spacing w:val="-24"/>
            </w:rPr>
            <w:t>特</w:t>
          </w:r>
          <w:r>
            <w:rPr>
              <w:color w:val="auto"/>
              <w:spacing w:val="-22"/>
            </w:rPr>
            <w:t>种设备事故</w:t>
          </w:r>
          <w:r>
            <w:rPr>
              <w:color w:val="auto"/>
              <w:spacing w:val="-24"/>
            </w:rPr>
            <w:t>，</w:t>
          </w:r>
          <w:r>
            <w:rPr>
              <w:color w:val="auto"/>
              <w:spacing w:val="-22"/>
            </w:rPr>
            <w:t>阻挠、干涉</w:t>
          </w:r>
          <w:r>
            <w:rPr>
              <w:color w:val="auto"/>
              <w:spacing w:val="-24"/>
            </w:rPr>
            <w:t>特</w:t>
          </w:r>
          <w:r>
            <w:rPr>
              <w:color w:val="auto"/>
              <w:spacing w:val="-22"/>
            </w:rPr>
            <w:t>种设备事故</w:t>
          </w:r>
          <w:r>
            <w:rPr>
              <w:color w:val="auto"/>
              <w:spacing w:val="-24"/>
            </w:rPr>
            <w:t>报</w:t>
          </w:r>
          <w:r>
            <w:rPr>
              <w:color w:val="auto"/>
              <w:spacing w:val="-22"/>
            </w:rPr>
            <w:t>告和调查处</w:t>
          </w:r>
          <w:r>
            <w:rPr>
              <w:color w:val="auto"/>
              <w:spacing w:val="-24"/>
            </w:rPr>
            <w:t>理</w:t>
          </w:r>
          <w:r>
            <w:rPr>
              <w:color w:val="auto"/>
              <w:spacing w:val="-22"/>
            </w:rPr>
            <w:t>工作</w:t>
          </w:r>
          <w:r>
            <w:rPr>
              <w:color w:val="auto"/>
              <w:spacing w:val="-22"/>
            </w:rPr>
            <w:tab/>
          </w:r>
          <w:r>
            <w:rPr>
              <w:color w:val="auto"/>
            </w:rPr>
            <w:t>593</w:t>
          </w:r>
          <w:r>
            <w:rPr>
              <w:color w:val="auto"/>
            </w:rPr>
            <w:fldChar w:fldCharType="end"/>
          </w:r>
        </w:p>
        <w:p>
          <w:pPr>
            <w:pStyle w:val="5"/>
            <w:tabs>
              <w:tab w:val="left" w:leader="dot" w:pos="8595"/>
            </w:tabs>
            <w:spacing w:before="173" w:line="374" w:lineRule="auto"/>
            <w:ind w:right="148"/>
            <w:rPr>
              <w:color w:val="auto"/>
            </w:rPr>
          </w:pPr>
          <w:r>
            <w:rPr>
              <w:color w:val="auto"/>
            </w:rPr>
            <w:fldChar w:fldCharType="begin"/>
          </w:r>
          <w:r>
            <w:rPr>
              <w:color w:val="auto"/>
            </w:rPr>
            <w:instrText xml:space="preserve"> HYPERLINK \l "_bookmark627"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"_bookmark627" </w:instrText>
          </w:r>
          <w:r>
            <w:rPr>
              <w:color w:val="auto"/>
            </w:rPr>
            <w:fldChar w:fldCharType="separate"/>
          </w:r>
          <w:r>
            <w:rPr>
              <w:color w:val="auto"/>
            </w:rPr>
            <w:t>百一十五</w:t>
          </w:r>
          <w:r>
            <w:rPr>
              <w:color w:val="auto"/>
              <w:spacing w:val="-80"/>
            </w:rPr>
            <w:t>、</w:t>
          </w:r>
          <w:r>
            <w:rPr>
              <w:color w:val="auto"/>
            </w:rPr>
            <w:t>大型游乐设施制造</w:t>
          </w:r>
          <w:r>
            <w:rPr>
              <w:color w:val="auto"/>
              <w:spacing w:val="-77"/>
            </w:rPr>
            <w:t>、</w:t>
          </w:r>
          <w:r>
            <w:rPr>
              <w:color w:val="auto"/>
            </w:rPr>
            <w:t>安装单位未对大型游乐设施设计进行安全评价</w:t>
          </w:r>
          <w:r>
            <w:rPr>
              <w:color w:val="auto"/>
              <w:spacing w:val="-16"/>
            </w:rPr>
            <w:t xml:space="preserve">， </w:t>
          </w:r>
          <w:r>
            <w:rPr>
              <w:color w:val="auto"/>
              <w:spacing w:val="-16"/>
            </w:rPr>
            <w:fldChar w:fldCharType="end"/>
          </w:r>
          <w:r>
            <w:rPr>
              <w:color w:val="auto"/>
            </w:rPr>
            <w:t>提出安全风险防控措施</w:t>
          </w:r>
          <w:r>
            <w:rPr>
              <w:color w:val="auto"/>
            </w:rPr>
            <w:tab/>
          </w:r>
          <w:r>
            <w:rPr>
              <w:color w:val="auto"/>
            </w:rPr>
            <w:t>594</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"_bookmark628"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"_bookmark628" </w:instrText>
          </w:r>
          <w:r>
            <w:rPr>
              <w:color w:val="auto"/>
            </w:rPr>
            <w:fldChar w:fldCharType="separate"/>
          </w:r>
          <w:r>
            <w:rPr>
              <w:color w:val="auto"/>
            </w:rPr>
            <w:t>百一十六</w:t>
          </w:r>
          <w:r>
            <w:rPr>
              <w:color w:val="auto"/>
              <w:spacing w:val="-20"/>
            </w:rPr>
            <w:t>、</w:t>
          </w:r>
          <w:r>
            <w:rPr>
              <w:color w:val="auto"/>
            </w:rPr>
            <w:t>大型游乐设施制造</w:t>
          </w:r>
          <w:r>
            <w:rPr>
              <w:color w:val="auto"/>
              <w:spacing w:val="-17"/>
            </w:rPr>
            <w:t>、</w:t>
          </w:r>
          <w:r>
            <w:rPr>
              <w:color w:val="auto"/>
            </w:rPr>
            <w:t>安装单位未对大型游乐设施设计中首次使用</w:t>
          </w:r>
          <w:r>
            <w:rPr>
              <w:color w:val="auto"/>
              <w:spacing w:val="-16"/>
            </w:rPr>
            <w:t>的</w:t>
          </w:r>
          <w:r>
            <w:rPr>
              <w:color w:val="auto"/>
              <w:spacing w:val="-16"/>
            </w:rPr>
            <w:fldChar w:fldCharType="end"/>
          </w:r>
          <w:r>
            <w:rPr>
              <w:color w:val="auto"/>
            </w:rPr>
            <w:t>新技术进行安全性能验证</w:t>
          </w:r>
          <w:r>
            <w:rPr>
              <w:color w:val="auto"/>
            </w:rPr>
            <w:tab/>
          </w:r>
          <w:r>
            <w:rPr>
              <w:color w:val="auto"/>
              <w:spacing w:val="-6"/>
            </w:rPr>
            <w:t>595</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"_bookmark629"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"_bookmark629" </w:instrText>
          </w:r>
          <w:r>
            <w:rPr>
              <w:color w:val="auto"/>
            </w:rPr>
            <w:fldChar w:fldCharType="separate"/>
          </w:r>
          <w:r>
            <w:rPr>
              <w:color w:val="auto"/>
            </w:rPr>
            <w:t>百一十七</w:t>
          </w:r>
          <w:r>
            <w:rPr>
              <w:color w:val="auto"/>
              <w:spacing w:val="-12"/>
            </w:rPr>
            <w:t>、</w:t>
          </w:r>
          <w:r>
            <w:rPr>
              <w:color w:val="auto"/>
            </w:rPr>
            <w:t>大型游乐设施制造</w:t>
          </w:r>
          <w:r>
            <w:rPr>
              <w:color w:val="auto"/>
              <w:spacing w:val="-12"/>
            </w:rPr>
            <w:t>、</w:t>
          </w:r>
          <w:r>
            <w:rPr>
              <w:color w:val="auto"/>
            </w:rPr>
            <w:t>安装单位未明确大型游乐设施整机</w:t>
          </w:r>
          <w:r>
            <w:rPr>
              <w:color w:val="auto"/>
              <w:spacing w:val="-12"/>
            </w:rPr>
            <w:t>、</w:t>
          </w:r>
          <w:r>
            <w:rPr>
              <w:color w:val="auto"/>
            </w:rPr>
            <w:t>主要受</w:t>
          </w:r>
          <w:r>
            <w:rPr>
              <w:color w:val="auto"/>
              <w:spacing w:val="-17"/>
            </w:rPr>
            <w:t>力</w:t>
          </w:r>
          <w:r>
            <w:rPr>
              <w:color w:val="auto"/>
              <w:spacing w:val="-17"/>
            </w:rPr>
            <w:fldChar w:fldCharType="end"/>
          </w:r>
          <w:r>
            <w:rPr>
              <w:color w:val="auto"/>
            </w:rPr>
            <w:t>部件的设计使用期限</w:t>
          </w:r>
          <w:r>
            <w:rPr>
              <w:color w:val="auto"/>
            </w:rPr>
            <w:tab/>
          </w:r>
          <w:r>
            <w:rPr>
              <w:color w:val="auto"/>
              <w:spacing w:val="-6"/>
            </w:rPr>
            <w:t>595</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"_bookmark630"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"_bookmark630" </w:instrText>
          </w:r>
          <w:r>
            <w:rPr>
              <w:color w:val="auto"/>
            </w:rPr>
            <w:fldChar w:fldCharType="separate"/>
          </w:r>
          <w:r>
            <w:rPr>
              <w:color w:val="auto"/>
            </w:rPr>
            <w:t>百一十八</w:t>
          </w:r>
          <w:r>
            <w:rPr>
              <w:color w:val="auto"/>
              <w:spacing w:val="-8"/>
            </w:rPr>
            <w:t>、</w:t>
          </w:r>
          <w:r>
            <w:rPr>
              <w:color w:val="auto"/>
            </w:rPr>
            <w:t>大型游乐设施制造</w:t>
          </w:r>
          <w:r>
            <w:rPr>
              <w:color w:val="auto"/>
              <w:spacing w:val="-8"/>
            </w:rPr>
            <w:t>、</w:t>
          </w:r>
          <w:r>
            <w:rPr>
              <w:color w:val="auto"/>
            </w:rPr>
            <w:t>安装单位对因设计</w:t>
          </w:r>
          <w:r>
            <w:rPr>
              <w:color w:val="auto"/>
              <w:spacing w:val="-8"/>
            </w:rPr>
            <w:t>、</w:t>
          </w:r>
          <w:r>
            <w:rPr>
              <w:color w:val="auto"/>
            </w:rPr>
            <w:t>制造</w:t>
          </w:r>
          <w:r>
            <w:rPr>
              <w:color w:val="auto"/>
              <w:spacing w:val="-8"/>
            </w:rPr>
            <w:t>、</w:t>
          </w:r>
          <w:r>
            <w:rPr>
              <w:color w:val="auto"/>
            </w:rPr>
            <w:t>安装原因</w:t>
          </w:r>
          <w:r>
            <w:rPr>
              <w:color w:val="auto"/>
              <w:spacing w:val="-10"/>
            </w:rPr>
            <w:t>，</w:t>
          </w:r>
          <w:r>
            <w:rPr>
              <w:color w:val="auto"/>
            </w:rPr>
            <w:t>存在</w:t>
          </w:r>
          <w:r>
            <w:rPr>
              <w:color w:val="auto"/>
              <w:spacing w:val="-11"/>
            </w:rPr>
            <w:t>质</w:t>
          </w:r>
          <w:r>
            <w:rPr>
              <w:color w:val="auto"/>
              <w:spacing w:val="-11"/>
            </w:rPr>
            <w:fldChar w:fldCharType="end"/>
          </w:r>
          <w:r>
            <w:rPr>
              <w:color w:val="auto"/>
            </w:rPr>
            <w:t>量安全问题隐患的大型游乐设施，未按照规定要求进行排查处理</w:t>
          </w:r>
          <w:r>
            <w:rPr>
              <w:color w:val="auto"/>
            </w:rPr>
            <w:tab/>
          </w:r>
          <w:r>
            <w:rPr>
              <w:color w:val="auto"/>
              <w:spacing w:val="-6"/>
            </w:rPr>
            <w:t>596</w:t>
          </w:r>
        </w:p>
        <w:p>
          <w:pPr>
            <w:pStyle w:val="5"/>
            <w:tabs>
              <w:tab w:val="left" w:leader="dot" w:pos="8595"/>
            </w:tabs>
            <w:spacing w:line="308" w:lineRule="exact"/>
            <w:rPr>
              <w:color w:val="auto"/>
            </w:rPr>
          </w:pPr>
          <w:r>
            <w:rPr>
              <w:color w:val="auto"/>
            </w:rPr>
            <w:fldChar w:fldCharType="begin"/>
          </w:r>
          <w:r>
            <w:rPr>
              <w:color w:val="auto"/>
            </w:rPr>
            <w:instrText xml:space="preserve"> HYPERLINK \l "_bookmark631" </w:instrText>
          </w:r>
          <w:r>
            <w:rPr>
              <w:color w:val="auto"/>
            </w:rPr>
            <w:fldChar w:fldCharType="separate"/>
          </w:r>
          <w:r>
            <w:rPr>
              <w:color w:val="auto"/>
              <w:spacing w:val="-22"/>
            </w:rPr>
            <w:t>六百</w:t>
          </w:r>
          <w:r>
            <w:rPr>
              <w:color w:val="auto"/>
              <w:spacing w:val="-24"/>
            </w:rPr>
            <w:t>一</w:t>
          </w:r>
          <w:r>
            <w:rPr>
              <w:color w:val="auto"/>
              <w:spacing w:val="-22"/>
            </w:rPr>
            <w:t>十九、大型</w:t>
          </w:r>
          <w:r>
            <w:rPr>
              <w:color w:val="auto"/>
              <w:spacing w:val="-24"/>
            </w:rPr>
            <w:t>游</w:t>
          </w:r>
          <w:r>
            <w:rPr>
              <w:color w:val="auto"/>
              <w:spacing w:val="-22"/>
            </w:rPr>
            <w:t>乐设施运营</w:t>
          </w:r>
          <w:r>
            <w:rPr>
              <w:color w:val="auto"/>
              <w:spacing w:val="-24"/>
            </w:rPr>
            <w:t>使</w:t>
          </w:r>
          <w:r>
            <w:rPr>
              <w:color w:val="auto"/>
              <w:spacing w:val="-22"/>
            </w:rPr>
            <w:t>用单位在设</w:t>
          </w:r>
          <w:r>
            <w:rPr>
              <w:color w:val="auto"/>
              <w:spacing w:val="-24"/>
            </w:rPr>
            <w:t>备</w:t>
          </w:r>
          <w:r>
            <w:rPr>
              <w:color w:val="auto"/>
              <w:spacing w:val="-22"/>
            </w:rPr>
            <w:t>运营期间，</w:t>
          </w:r>
          <w:r>
            <w:rPr>
              <w:color w:val="auto"/>
              <w:spacing w:val="-24"/>
            </w:rPr>
            <w:t>无</w:t>
          </w:r>
          <w:r>
            <w:rPr>
              <w:color w:val="auto"/>
              <w:spacing w:val="-22"/>
            </w:rPr>
            <w:t>安全管理人</w:t>
          </w:r>
          <w:r>
            <w:rPr>
              <w:color w:val="auto"/>
              <w:spacing w:val="-24"/>
            </w:rPr>
            <w:t>员</w:t>
          </w:r>
          <w:r>
            <w:rPr>
              <w:color w:val="auto"/>
              <w:spacing w:val="-22"/>
            </w:rPr>
            <w:t>在岗</w:t>
          </w:r>
          <w:r>
            <w:rPr>
              <w:color w:val="auto"/>
              <w:spacing w:val="-22"/>
            </w:rPr>
            <w:tab/>
          </w:r>
          <w:r>
            <w:rPr>
              <w:color w:val="auto"/>
            </w:rPr>
            <w:t>597</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"_bookmark632"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"_bookmark632" </w:instrText>
          </w:r>
          <w:r>
            <w:rPr>
              <w:color w:val="auto"/>
            </w:rPr>
            <w:fldChar w:fldCharType="separate"/>
          </w:r>
          <w:r>
            <w:rPr>
              <w:color w:val="auto"/>
            </w:rPr>
            <w:t>百二十</w:t>
          </w:r>
          <w:r>
            <w:rPr>
              <w:color w:val="auto"/>
              <w:spacing w:val="-36"/>
            </w:rPr>
            <w:t>、</w:t>
          </w:r>
          <w:r>
            <w:rPr>
              <w:color w:val="auto"/>
            </w:rPr>
            <w:t>大型游乐设施运营使用单位未及时更换超过设计使用期限要求的主</w:t>
          </w:r>
          <w:r>
            <w:rPr>
              <w:color w:val="auto"/>
              <w:spacing w:val="-17"/>
            </w:rPr>
            <w:t>要</w:t>
          </w:r>
          <w:r>
            <w:rPr>
              <w:color w:val="auto"/>
              <w:spacing w:val="-17"/>
            </w:rPr>
            <w:fldChar w:fldCharType="end"/>
          </w:r>
          <w:r>
            <w:rPr>
              <w:color w:val="auto"/>
            </w:rPr>
            <w:t>受力部件</w:t>
          </w:r>
          <w:r>
            <w:rPr>
              <w:color w:val="auto"/>
            </w:rPr>
            <w:tab/>
          </w:r>
          <w:r>
            <w:rPr>
              <w:color w:val="auto"/>
              <w:spacing w:val="-6"/>
            </w:rPr>
            <w:t>597</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"_bookmark633"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"_bookmark633" </w:instrText>
          </w:r>
          <w:r>
            <w:rPr>
              <w:color w:val="auto"/>
            </w:rPr>
            <w:fldChar w:fldCharType="separate"/>
          </w:r>
          <w:r>
            <w:rPr>
              <w:color w:val="auto"/>
            </w:rPr>
            <w:t>百二十一</w:t>
          </w:r>
          <w:r>
            <w:rPr>
              <w:color w:val="auto"/>
              <w:spacing w:val="-20"/>
            </w:rPr>
            <w:t>、</w:t>
          </w:r>
          <w:r>
            <w:rPr>
              <w:color w:val="auto"/>
            </w:rPr>
            <w:t>租借场地开展大型游乐设施经营的单位</w:t>
          </w:r>
          <w:r>
            <w:rPr>
              <w:color w:val="auto"/>
              <w:spacing w:val="-17"/>
            </w:rPr>
            <w:t>，</w:t>
          </w:r>
          <w:r>
            <w:rPr>
              <w:color w:val="auto"/>
            </w:rPr>
            <w:t>未与场地提供单位签订</w:t>
          </w:r>
          <w:r>
            <w:rPr>
              <w:color w:val="auto"/>
              <w:spacing w:val="-16"/>
            </w:rPr>
            <w:t>安</w:t>
          </w:r>
          <w:r>
            <w:rPr>
              <w:color w:val="auto"/>
              <w:spacing w:val="-16"/>
            </w:rPr>
            <w:fldChar w:fldCharType="end"/>
          </w:r>
          <w:r>
            <w:rPr>
              <w:color w:val="auto"/>
            </w:rPr>
            <w:t>全管理协议，落实安全管理制度</w:t>
          </w:r>
          <w:r>
            <w:rPr>
              <w:color w:val="auto"/>
            </w:rPr>
            <w:tab/>
          </w:r>
          <w:r>
            <w:rPr>
              <w:color w:val="auto"/>
              <w:spacing w:val="-6"/>
            </w:rPr>
            <w:t>598</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"_bookmark634"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"_bookmark634" </w:instrText>
          </w:r>
          <w:r>
            <w:rPr>
              <w:color w:val="auto"/>
            </w:rPr>
            <w:fldChar w:fldCharType="separate"/>
          </w:r>
          <w:r>
            <w:rPr>
              <w:color w:val="auto"/>
            </w:rPr>
            <w:t>百二十二</w:t>
          </w:r>
          <w:r>
            <w:rPr>
              <w:color w:val="auto"/>
              <w:spacing w:val="-36"/>
            </w:rPr>
            <w:t>、</w:t>
          </w:r>
          <w:r>
            <w:rPr>
              <w:color w:val="auto"/>
            </w:rPr>
            <w:t>大型游乐设施运营使用单位未按照安全技术规范和使用维护说明</w:t>
          </w:r>
          <w:r>
            <w:rPr>
              <w:color w:val="auto"/>
              <w:spacing w:val="-17"/>
            </w:rPr>
            <w:t>书</w:t>
          </w:r>
          <w:r>
            <w:rPr>
              <w:color w:val="auto"/>
              <w:spacing w:val="-17"/>
            </w:rPr>
            <w:fldChar w:fldCharType="end"/>
          </w:r>
          <w:r>
            <w:rPr>
              <w:color w:val="auto"/>
            </w:rPr>
            <w:t>等要求进行重大修理</w:t>
          </w:r>
          <w:r>
            <w:rPr>
              <w:color w:val="auto"/>
            </w:rPr>
            <w:tab/>
          </w:r>
          <w:r>
            <w:rPr>
              <w:color w:val="auto"/>
              <w:spacing w:val="-6"/>
            </w:rPr>
            <w:t>599</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"_bookmark635"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"_bookmark635" </w:instrText>
          </w:r>
          <w:r>
            <w:rPr>
              <w:color w:val="auto"/>
            </w:rPr>
            <w:fldChar w:fldCharType="separate"/>
          </w:r>
          <w:r>
            <w:rPr>
              <w:color w:val="auto"/>
            </w:rPr>
            <w:t>百二十三</w:t>
          </w:r>
          <w:r>
            <w:rPr>
              <w:color w:val="auto"/>
              <w:spacing w:val="-20"/>
            </w:rPr>
            <w:t>、</w:t>
          </w:r>
          <w:r>
            <w:rPr>
              <w:color w:val="auto"/>
            </w:rPr>
            <w:t>安装</w:t>
          </w:r>
          <w:r>
            <w:rPr>
              <w:color w:val="auto"/>
              <w:spacing w:val="-17"/>
            </w:rPr>
            <w:t>、</w:t>
          </w:r>
          <w:r>
            <w:rPr>
              <w:color w:val="auto"/>
            </w:rPr>
            <w:t>改造和重大修理施工现场的作业人员数量不能满足施工要</w:t>
          </w:r>
          <w:r>
            <w:rPr>
              <w:color w:val="auto"/>
              <w:spacing w:val="-16"/>
            </w:rPr>
            <w:t>求</w:t>
          </w:r>
          <w:r>
            <w:rPr>
              <w:color w:val="auto"/>
              <w:spacing w:val="-16"/>
            </w:rPr>
            <w:fldChar w:fldCharType="end"/>
          </w:r>
          <w:r>
            <w:rPr>
              <w:color w:val="auto"/>
            </w:rPr>
            <w:t>或具有相应特种设备作业人员资格的人数不符合安全技术规范要求</w:t>
          </w:r>
          <w:r>
            <w:rPr>
              <w:color w:val="auto"/>
            </w:rPr>
            <w:tab/>
          </w:r>
          <w:r>
            <w:rPr>
              <w:color w:val="auto"/>
              <w:spacing w:val="-6"/>
            </w:rPr>
            <w:t>599</w:t>
          </w:r>
        </w:p>
        <w:p>
          <w:pPr>
            <w:pStyle w:val="5"/>
            <w:tabs>
              <w:tab w:val="left" w:leader="dot" w:pos="8595"/>
            </w:tabs>
            <w:spacing w:line="308" w:lineRule="exact"/>
            <w:rPr>
              <w:color w:val="auto"/>
            </w:rPr>
          </w:pPr>
          <w:r>
            <w:rPr>
              <w:color w:val="auto"/>
            </w:rPr>
            <w:fldChar w:fldCharType="begin"/>
          </w:r>
          <w:r>
            <w:rPr>
              <w:color w:val="auto"/>
            </w:rPr>
            <w:instrText xml:space="preserve"> HYPERLINK \l "_bookmark636" </w:instrText>
          </w:r>
          <w:r>
            <w:rPr>
              <w:color w:val="auto"/>
            </w:rPr>
            <w:fldChar w:fldCharType="separate"/>
          </w:r>
          <w:r>
            <w:rPr>
              <w:color w:val="auto"/>
            </w:rPr>
            <w:t>六百二十四、公众聚集场所的电梯未配置使用监控系统，逾期未改</w:t>
          </w:r>
          <w:r>
            <w:rPr>
              <w:color w:val="auto"/>
            </w:rPr>
            <w:tab/>
          </w:r>
          <w:r>
            <w:rPr>
              <w:color w:val="auto"/>
            </w:rPr>
            <w:t>600</w:t>
          </w:r>
          <w:r>
            <w:rPr>
              <w:color w:val="auto"/>
            </w:rPr>
            <w:fldChar w:fldCharType="end"/>
          </w:r>
        </w:p>
        <w:p>
          <w:pPr>
            <w:pStyle w:val="5"/>
            <w:tabs>
              <w:tab w:val="left" w:leader="dot" w:pos="8595"/>
            </w:tabs>
            <w:spacing w:before="172" w:line="374" w:lineRule="auto"/>
            <w:ind w:right="268"/>
            <w:jc w:val="both"/>
            <w:rPr>
              <w:color w:val="auto"/>
            </w:rPr>
          </w:pPr>
          <w:r>
            <w:rPr>
              <w:color w:val="auto"/>
            </w:rPr>
            <w:fldChar w:fldCharType="begin"/>
          </w:r>
          <w:r>
            <w:rPr>
              <w:color w:val="auto"/>
            </w:rPr>
            <w:instrText xml:space="preserve"> HYPERLINK \l "_bookmark637"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"_bookmark637" </w:instrText>
          </w:r>
          <w:r>
            <w:rPr>
              <w:color w:val="auto"/>
            </w:rPr>
            <w:fldChar w:fldCharType="separate"/>
          </w:r>
          <w:r>
            <w:rPr>
              <w:color w:val="auto"/>
            </w:rPr>
            <w:t>百二十五</w:t>
          </w:r>
          <w:r>
            <w:rPr>
              <w:color w:val="auto"/>
              <w:spacing w:val="-20"/>
            </w:rPr>
            <w:t>、</w:t>
          </w:r>
          <w:r>
            <w:rPr>
              <w:color w:val="auto"/>
            </w:rPr>
            <w:t>电梯运营使用单位不能保证电梯紧急报警装置有效使用</w:t>
          </w:r>
          <w:r>
            <w:rPr>
              <w:color w:val="auto"/>
              <w:spacing w:val="-17"/>
            </w:rPr>
            <w:t>，</w:t>
          </w:r>
          <w:r>
            <w:rPr>
              <w:color w:val="auto"/>
            </w:rPr>
            <w:t>不能保</w:t>
          </w:r>
          <w:r>
            <w:rPr>
              <w:color w:val="auto"/>
              <w:spacing w:val="-16"/>
            </w:rPr>
            <w:t>持</w:t>
          </w:r>
          <w:r>
            <w:rPr>
              <w:color w:val="auto"/>
              <w:spacing w:val="-16"/>
            </w:rPr>
            <w:fldChar w:fldCharType="end"/>
          </w:r>
          <w:r>
            <w:rPr>
              <w:color w:val="auto"/>
            </w:rPr>
            <w:t>电梯紧急报警装置与值班人员通讯畅通</w:t>
          </w:r>
          <w:r>
            <w:rPr>
              <w:color w:val="auto"/>
              <w:spacing w:val="-10"/>
            </w:rPr>
            <w:t>，</w:t>
          </w:r>
          <w:r>
            <w:rPr>
              <w:color w:val="auto"/>
            </w:rPr>
            <w:t>或在电梯轿厢</w:t>
          </w:r>
          <w:r>
            <w:rPr>
              <w:color w:val="auto"/>
              <w:spacing w:val="-10"/>
            </w:rPr>
            <w:t>、</w:t>
          </w:r>
          <w:r>
            <w:rPr>
              <w:color w:val="auto"/>
            </w:rPr>
            <w:t>机房</w:t>
          </w:r>
          <w:r>
            <w:rPr>
              <w:color w:val="auto"/>
              <w:spacing w:val="-8"/>
            </w:rPr>
            <w:t>、</w:t>
          </w:r>
          <w:r>
            <w:rPr>
              <w:color w:val="auto"/>
            </w:rPr>
            <w:t>井道内安装</w:t>
          </w:r>
          <w:r>
            <w:rPr>
              <w:color w:val="auto"/>
              <w:spacing w:val="-10"/>
            </w:rPr>
            <w:t>、</w:t>
          </w:r>
          <w:r>
            <w:rPr>
              <w:color w:val="auto"/>
              <w:spacing w:val="-15"/>
            </w:rPr>
            <w:t>放</w:t>
          </w:r>
          <w:r>
            <w:rPr>
              <w:color w:val="auto"/>
            </w:rPr>
            <w:t>置与电梯运行无关的设施和物品，逾期未改</w:t>
          </w:r>
          <w:r>
            <w:rPr>
              <w:color w:val="auto"/>
            </w:rPr>
            <w:tab/>
          </w:r>
          <w:r>
            <w:rPr>
              <w:color w:val="auto"/>
              <w:spacing w:val="-6"/>
            </w:rPr>
            <w:t>601</w:t>
          </w:r>
        </w:p>
        <w:p>
          <w:pPr>
            <w:pStyle w:val="5"/>
            <w:tabs>
              <w:tab w:val="left" w:leader="dot" w:pos="8595"/>
            </w:tabs>
            <w:spacing w:line="308" w:lineRule="exact"/>
            <w:rPr>
              <w:color w:val="auto"/>
            </w:rPr>
          </w:pPr>
          <w:r>
            <w:rPr>
              <w:color w:val="auto"/>
            </w:rPr>
            <w:fldChar w:fldCharType="begin"/>
          </w:r>
          <w:r>
            <w:rPr>
              <w:color w:val="auto"/>
            </w:rPr>
            <w:instrText xml:space="preserve"> HYPERLINK \l "_bookmark638" </w:instrText>
          </w:r>
          <w:r>
            <w:rPr>
              <w:color w:val="auto"/>
            </w:rPr>
            <w:fldChar w:fldCharType="separate"/>
          </w:r>
          <w:r>
            <w:rPr>
              <w:color w:val="auto"/>
            </w:rPr>
            <w:t>六百二十六、电梯维护保养单位违法转包、分包维护保养业务</w:t>
          </w:r>
          <w:r>
            <w:rPr>
              <w:color w:val="auto"/>
            </w:rPr>
            <w:tab/>
          </w:r>
          <w:r>
            <w:rPr>
              <w:color w:val="auto"/>
            </w:rPr>
            <w:t>602</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"_bookmark639"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"_bookmark639" </w:instrText>
          </w:r>
          <w:r>
            <w:rPr>
              <w:color w:val="auto"/>
            </w:rPr>
            <w:fldChar w:fldCharType="separate"/>
          </w:r>
          <w:r>
            <w:rPr>
              <w:color w:val="auto"/>
            </w:rPr>
            <w:t>百二十七</w:t>
          </w:r>
          <w:r>
            <w:rPr>
              <w:color w:val="auto"/>
              <w:spacing w:val="-12"/>
            </w:rPr>
            <w:t>、</w:t>
          </w:r>
          <w:r>
            <w:rPr>
              <w:color w:val="auto"/>
            </w:rPr>
            <w:t>机构或个人倒卖</w:t>
          </w:r>
          <w:r>
            <w:rPr>
              <w:color w:val="auto"/>
              <w:spacing w:val="-12"/>
            </w:rPr>
            <w:t>、</w:t>
          </w:r>
          <w:r>
            <w:rPr>
              <w:color w:val="auto"/>
            </w:rPr>
            <w:t>出租</w:t>
          </w:r>
          <w:r>
            <w:rPr>
              <w:color w:val="auto"/>
              <w:spacing w:val="-12"/>
            </w:rPr>
            <w:t>、</w:t>
          </w:r>
          <w:r>
            <w:rPr>
              <w:color w:val="auto"/>
            </w:rPr>
            <w:t>出借或者以其他形式非法转让核准资质</w:t>
          </w:r>
          <w:r>
            <w:rPr>
              <w:color w:val="auto"/>
              <w:spacing w:val="-17"/>
            </w:rPr>
            <w:t>和</w:t>
          </w:r>
          <w:r>
            <w:rPr>
              <w:color w:val="auto"/>
              <w:spacing w:val="-17"/>
            </w:rPr>
            <w:fldChar w:fldCharType="end"/>
          </w:r>
          <w:r>
            <w:rPr>
              <w:color w:val="auto"/>
            </w:rPr>
            <w:t>资格</w:t>
          </w:r>
          <w:r>
            <w:rPr>
              <w:color w:val="auto"/>
            </w:rPr>
            <w:tab/>
          </w:r>
          <w:r>
            <w:rPr>
              <w:color w:val="auto"/>
              <w:spacing w:val="-6"/>
            </w:rPr>
            <w:t>602</w:t>
          </w:r>
        </w:p>
        <w:p>
          <w:pPr>
            <w:pStyle w:val="5"/>
            <w:tabs>
              <w:tab w:val="left" w:leader="dot" w:pos="8595"/>
            </w:tabs>
            <w:spacing w:after="240" w:line="308" w:lineRule="exact"/>
            <w:rPr>
              <w:color w:val="auto"/>
            </w:rPr>
          </w:pPr>
          <w:r>
            <w:rPr>
              <w:color w:val="auto"/>
            </w:rPr>
            <w:fldChar w:fldCharType="begin"/>
          </w:r>
          <w:r>
            <w:rPr>
              <w:color w:val="auto"/>
            </w:rPr>
            <w:instrText xml:space="preserve"> HYPERLINK \l "_bookmark640" </w:instrText>
          </w:r>
          <w:r>
            <w:rPr>
              <w:color w:val="auto"/>
            </w:rPr>
            <w:fldChar w:fldCharType="separate"/>
          </w:r>
          <w:r>
            <w:rPr>
              <w:color w:val="auto"/>
            </w:rPr>
            <w:t>六百二十八、客运索道使用单位未按照规定开展应急救援演练，逾期未改</w:t>
          </w:r>
          <w:r>
            <w:rPr>
              <w:color w:val="auto"/>
            </w:rPr>
            <w:tab/>
          </w:r>
          <w:r>
            <w:rPr>
              <w:color w:val="auto"/>
            </w:rPr>
            <w:t>603</w:t>
          </w:r>
          <w:r>
            <w:rPr>
              <w:color w:val="auto"/>
            </w:rPr>
            <w:fldChar w:fldCharType="end"/>
          </w:r>
        </w:p>
        <w:p>
          <w:pPr>
            <w:pStyle w:val="8"/>
            <w:tabs>
              <w:tab w:val="left" w:pos="1920"/>
              <w:tab w:val="left" w:leader="dot" w:pos="8549"/>
            </w:tabs>
            <w:spacing w:before="22" w:line="486" w:lineRule="exact"/>
            <w:rPr>
              <w:color w:val="auto"/>
            </w:rPr>
          </w:pPr>
          <w:r>
            <w:rPr>
              <w:color w:val="auto"/>
            </w:rPr>
            <w:fldChar w:fldCharType="begin"/>
          </w:r>
          <w:r>
            <w:rPr>
              <w:color w:val="auto"/>
            </w:rPr>
            <w:instrText xml:space="preserve"> HYPERLINK \l "_bookmark641" </w:instrText>
          </w:r>
          <w:r>
            <w:rPr>
              <w:color w:val="auto"/>
            </w:rPr>
            <w:fldChar w:fldCharType="separate"/>
          </w:r>
          <w:r>
            <w:rPr>
              <w:color w:val="auto"/>
              <w:spacing w:val="-13"/>
            </w:rPr>
            <w:t>第十四</w:t>
          </w:r>
          <w:r>
            <w:rPr>
              <w:color w:val="auto"/>
            </w:rPr>
            <w:t>章</w:t>
          </w:r>
          <w:r>
            <w:rPr>
              <w:color w:val="auto"/>
            </w:rPr>
            <w:tab/>
          </w:r>
          <w:r>
            <w:rPr>
              <w:color w:val="auto"/>
              <w:spacing w:val="-13"/>
            </w:rPr>
            <w:t>纤维监</w:t>
          </w:r>
          <w:r>
            <w:rPr>
              <w:color w:val="auto"/>
            </w:rPr>
            <w:t>管</w:t>
          </w:r>
          <w:r>
            <w:rPr>
              <w:color w:val="auto"/>
            </w:rPr>
            <w:tab/>
          </w:r>
          <w:r>
            <w:rPr>
              <w:color w:val="auto"/>
              <w:spacing w:val="-3"/>
            </w:rPr>
            <w:t>603</w:t>
          </w:r>
          <w:r>
            <w:rPr>
              <w:color w:val="auto"/>
              <w:spacing w:val="-3"/>
            </w:rPr>
            <w:fldChar w:fldCharType="end"/>
          </w:r>
        </w:p>
        <w:p>
          <w:pPr>
            <w:pStyle w:val="5"/>
            <w:tabs>
              <w:tab w:val="left" w:leader="dot" w:pos="8595"/>
            </w:tabs>
            <w:spacing w:before="99" w:line="374" w:lineRule="auto"/>
            <w:ind w:left="548" w:right="249" w:firstLine="43"/>
            <w:rPr>
              <w:color w:val="auto"/>
            </w:rPr>
          </w:pPr>
          <w:r>
            <w:rPr>
              <w:color w:val="auto"/>
            </w:rPr>
            <w:fldChar w:fldCharType="begin"/>
          </w:r>
          <w:r>
            <w:rPr>
              <w:color w:val="auto"/>
            </w:rPr>
            <w:instrText xml:space="preserve"> HYPERLINK \l "_bookmark642" </w:instrText>
          </w:r>
          <w:r>
            <w:rPr>
              <w:color w:val="auto"/>
            </w:rPr>
            <w:fldChar w:fldCharType="separate"/>
          </w:r>
          <w:r>
            <w:rPr>
              <w:color w:val="auto"/>
              <w:spacing w:val="-22"/>
            </w:rPr>
            <w:t>六</w:t>
          </w:r>
          <w:r>
            <w:rPr>
              <w:color w:val="auto"/>
              <w:spacing w:val="-22"/>
            </w:rPr>
            <w:fldChar w:fldCharType="end"/>
          </w:r>
          <w:r>
            <w:rPr>
              <w:color w:val="auto"/>
            </w:rPr>
            <w:fldChar w:fldCharType="begin"/>
          </w:r>
          <w:r>
            <w:rPr>
              <w:color w:val="auto"/>
            </w:rPr>
            <w:instrText xml:space="preserve"> HYPERLINK \l "_bookmark642" </w:instrText>
          </w:r>
          <w:r>
            <w:rPr>
              <w:color w:val="auto"/>
            </w:rPr>
            <w:fldChar w:fldCharType="separate"/>
          </w:r>
          <w:r>
            <w:rPr>
              <w:color w:val="auto"/>
              <w:spacing w:val="-22"/>
            </w:rPr>
            <w:t>百</w:t>
          </w:r>
          <w:r>
            <w:rPr>
              <w:color w:val="auto"/>
              <w:spacing w:val="-24"/>
            </w:rPr>
            <w:t>二</w:t>
          </w:r>
          <w:r>
            <w:rPr>
              <w:color w:val="auto"/>
              <w:spacing w:val="-22"/>
            </w:rPr>
            <w:t>十九、棉花</w:t>
          </w:r>
          <w:r>
            <w:rPr>
              <w:color w:val="auto"/>
              <w:spacing w:val="-24"/>
            </w:rPr>
            <w:t>经</w:t>
          </w:r>
          <w:r>
            <w:rPr>
              <w:color w:val="auto"/>
              <w:spacing w:val="-22"/>
            </w:rPr>
            <w:t>营者收购棉</w:t>
          </w:r>
          <w:r>
            <w:rPr>
              <w:color w:val="auto"/>
              <w:spacing w:val="-24"/>
            </w:rPr>
            <w:t>花</w:t>
          </w:r>
          <w:r>
            <w:rPr>
              <w:color w:val="auto"/>
              <w:spacing w:val="-22"/>
            </w:rPr>
            <w:t>，未按照国</w:t>
          </w:r>
          <w:r>
            <w:rPr>
              <w:color w:val="auto"/>
              <w:spacing w:val="-24"/>
            </w:rPr>
            <w:t>家</w:t>
          </w:r>
          <w:r>
            <w:rPr>
              <w:color w:val="auto"/>
              <w:spacing w:val="-22"/>
            </w:rPr>
            <w:t>标准和技术</w:t>
          </w:r>
          <w:r>
            <w:rPr>
              <w:color w:val="auto"/>
              <w:spacing w:val="-24"/>
            </w:rPr>
            <w:t>规</w:t>
          </w:r>
          <w:r>
            <w:rPr>
              <w:color w:val="auto"/>
              <w:spacing w:val="-22"/>
            </w:rPr>
            <w:t>范排除异性</w:t>
          </w:r>
          <w:r>
            <w:rPr>
              <w:color w:val="auto"/>
              <w:spacing w:val="-24"/>
            </w:rPr>
            <w:t>纤</w:t>
          </w:r>
          <w:r>
            <w:rPr>
              <w:color w:val="auto"/>
              <w:spacing w:val="-22"/>
            </w:rPr>
            <w:t>维和其他</w:t>
          </w:r>
          <w:r>
            <w:rPr>
              <w:color w:val="auto"/>
            </w:rPr>
            <w:t>有</w:t>
          </w:r>
          <w:r>
            <w:rPr>
              <w:color w:val="auto"/>
            </w:rPr>
            <w:fldChar w:fldCharType="end"/>
          </w:r>
          <w:r>
            <w:rPr>
              <w:color w:val="auto"/>
              <w:spacing w:val="-22"/>
            </w:rPr>
            <w:t>害物</w:t>
          </w:r>
          <w:r>
            <w:rPr>
              <w:color w:val="auto"/>
              <w:spacing w:val="-24"/>
            </w:rPr>
            <w:t>质</w:t>
          </w:r>
          <w:r>
            <w:rPr>
              <w:color w:val="auto"/>
              <w:spacing w:val="-22"/>
            </w:rPr>
            <w:t>后确定所收</w:t>
          </w:r>
          <w:r>
            <w:rPr>
              <w:color w:val="auto"/>
              <w:spacing w:val="-24"/>
            </w:rPr>
            <w:t>购</w:t>
          </w:r>
          <w:r>
            <w:rPr>
              <w:color w:val="auto"/>
              <w:spacing w:val="-22"/>
            </w:rPr>
            <w:t>棉花的类</w:t>
          </w:r>
          <w:r>
            <w:rPr>
              <w:color w:val="auto"/>
              <w:spacing w:val="-24"/>
            </w:rPr>
            <w:t>别</w:t>
          </w:r>
          <w:r>
            <w:rPr>
              <w:color w:val="auto"/>
              <w:spacing w:val="-53"/>
            </w:rPr>
            <w:t>、</w:t>
          </w:r>
          <w:r>
            <w:rPr>
              <w:color w:val="auto"/>
              <w:spacing w:val="-22"/>
            </w:rPr>
            <w:t>等</w:t>
          </w:r>
          <w:r>
            <w:rPr>
              <w:color w:val="auto"/>
              <w:spacing w:val="-24"/>
            </w:rPr>
            <w:t>级</w:t>
          </w:r>
          <w:r>
            <w:rPr>
              <w:color w:val="auto"/>
              <w:spacing w:val="-53"/>
            </w:rPr>
            <w:t>、</w:t>
          </w:r>
          <w:r>
            <w:rPr>
              <w:color w:val="auto"/>
              <w:spacing w:val="-22"/>
            </w:rPr>
            <w:t>数量</w:t>
          </w:r>
          <w:r>
            <w:rPr>
              <w:color w:val="auto"/>
              <w:spacing w:val="-56"/>
            </w:rPr>
            <w:t>，</w:t>
          </w:r>
          <w:r>
            <w:rPr>
              <w:color w:val="auto"/>
              <w:spacing w:val="-22"/>
            </w:rPr>
            <w:t>或者</w:t>
          </w:r>
          <w:r>
            <w:rPr>
              <w:color w:val="auto"/>
              <w:spacing w:val="-24"/>
            </w:rPr>
            <w:t>对</w:t>
          </w:r>
          <w:r>
            <w:rPr>
              <w:color w:val="auto"/>
              <w:spacing w:val="-22"/>
            </w:rPr>
            <w:t>所收购的超</w:t>
          </w:r>
          <w:r>
            <w:rPr>
              <w:color w:val="auto"/>
              <w:spacing w:val="-24"/>
            </w:rPr>
            <w:t>出</w:t>
          </w:r>
          <w:r>
            <w:rPr>
              <w:color w:val="auto"/>
              <w:spacing w:val="-22"/>
            </w:rPr>
            <w:t>国家规定水</w:t>
          </w:r>
          <w:r>
            <w:rPr>
              <w:color w:val="auto"/>
              <w:spacing w:val="-24"/>
            </w:rPr>
            <w:t>分</w:t>
          </w:r>
          <w:r>
            <w:rPr>
              <w:color w:val="auto"/>
              <w:spacing w:val="-22"/>
            </w:rPr>
            <w:t>标准</w:t>
          </w:r>
          <w:r>
            <w:rPr>
              <w:color w:val="auto"/>
            </w:rPr>
            <w:t>的</w:t>
          </w:r>
          <w:r>
            <w:rPr>
              <w:color w:val="auto"/>
              <w:spacing w:val="-22"/>
            </w:rPr>
            <w:t>棉花</w:t>
          </w:r>
          <w:r>
            <w:rPr>
              <w:color w:val="auto"/>
              <w:spacing w:val="-24"/>
            </w:rPr>
            <w:t>不</w:t>
          </w:r>
          <w:r>
            <w:rPr>
              <w:color w:val="auto"/>
              <w:spacing w:val="-22"/>
            </w:rPr>
            <w:t>进行技术处</w:t>
          </w:r>
          <w:r>
            <w:rPr>
              <w:color w:val="auto"/>
              <w:spacing w:val="-24"/>
            </w:rPr>
            <w:t>理</w:t>
          </w:r>
          <w:r>
            <w:rPr>
              <w:color w:val="auto"/>
              <w:spacing w:val="-22"/>
            </w:rPr>
            <w:t>，或者对所</w:t>
          </w:r>
          <w:r>
            <w:rPr>
              <w:color w:val="auto"/>
              <w:spacing w:val="-24"/>
            </w:rPr>
            <w:t>收</w:t>
          </w:r>
          <w:r>
            <w:rPr>
              <w:color w:val="auto"/>
              <w:spacing w:val="-22"/>
            </w:rPr>
            <w:t>购的棉花不</w:t>
          </w:r>
          <w:r>
            <w:rPr>
              <w:color w:val="auto"/>
              <w:spacing w:val="-24"/>
            </w:rPr>
            <w:t>分</w:t>
          </w:r>
          <w:r>
            <w:rPr>
              <w:color w:val="auto"/>
              <w:spacing w:val="-22"/>
            </w:rPr>
            <w:t>类别、分等</w:t>
          </w:r>
          <w:r>
            <w:rPr>
              <w:color w:val="auto"/>
              <w:spacing w:val="-24"/>
            </w:rPr>
            <w:t>级</w:t>
          </w:r>
          <w:r>
            <w:rPr>
              <w:color w:val="auto"/>
              <w:spacing w:val="-22"/>
            </w:rPr>
            <w:t>置放</w:t>
          </w:r>
          <w:r>
            <w:rPr>
              <w:color w:val="auto"/>
              <w:spacing w:val="-22"/>
            </w:rPr>
            <w:tab/>
          </w:r>
          <w:r>
            <w:rPr>
              <w:color w:val="auto"/>
            </w:rPr>
            <w:t>603</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"_bookmark643"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"_bookmark643" </w:instrText>
          </w:r>
          <w:r>
            <w:rPr>
              <w:color w:val="auto"/>
            </w:rPr>
            <w:fldChar w:fldCharType="separate"/>
          </w:r>
          <w:r>
            <w:rPr>
              <w:color w:val="auto"/>
            </w:rPr>
            <w:t>百三十</w:t>
          </w:r>
          <w:r>
            <w:rPr>
              <w:color w:val="auto"/>
              <w:spacing w:val="-12"/>
            </w:rPr>
            <w:t>、</w:t>
          </w:r>
          <w:r>
            <w:rPr>
              <w:color w:val="auto"/>
            </w:rPr>
            <w:t>棉花经营者加工棉花</w:t>
          </w:r>
          <w:r>
            <w:rPr>
              <w:color w:val="auto"/>
              <w:spacing w:val="-12"/>
            </w:rPr>
            <w:t>，</w:t>
          </w:r>
          <w:r>
            <w:rPr>
              <w:color w:val="auto"/>
            </w:rPr>
            <w:t>未按照国家标准分拣</w:t>
          </w:r>
          <w:r>
            <w:rPr>
              <w:color w:val="auto"/>
              <w:spacing w:val="-12"/>
            </w:rPr>
            <w:t>、</w:t>
          </w:r>
          <w:r>
            <w:rPr>
              <w:color w:val="auto"/>
            </w:rPr>
            <w:t>排除异性纤维和其他</w:t>
          </w:r>
          <w:r>
            <w:rPr>
              <w:color w:val="auto"/>
              <w:spacing w:val="-17"/>
            </w:rPr>
            <w:t>有</w:t>
          </w:r>
          <w:r>
            <w:rPr>
              <w:color w:val="auto"/>
              <w:spacing w:val="-17"/>
            </w:rPr>
            <w:fldChar w:fldCharType="end"/>
          </w:r>
          <w:r>
            <w:rPr>
              <w:color w:val="auto"/>
            </w:rPr>
            <w:t>害物质</w:t>
          </w:r>
          <w:r>
            <w:rPr>
              <w:color w:val="auto"/>
              <w:spacing w:val="-12"/>
            </w:rPr>
            <w:t>，</w:t>
          </w:r>
          <w:r>
            <w:rPr>
              <w:color w:val="auto"/>
            </w:rPr>
            <w:t>或者未按照国家标准对棉花分等级加工</w:t>
          </w:r>
          <w:r>
            <w:rPr>
              <w:color w:val="auto"/>
              <w:spacing w:val="-12"/>
            </w:rPr>
            <w:t>、</w:t>
          </w:r>
          <w:r>
            <w:rPr>
              <w:color w:val="auto"/>
            </w:rPr>
            <w:t>进行包装并标注标识</w:t>
          </w:r>
          <w:r>
            <w:rPr>
              <w:color w:val="auto"/>
              <w:spacing w:val="-12"/>
            </w:rPr>
            <w:t>，</w:t>
          </w:r>
          <w:r>
            <w:rPr>
              <w:color w:val="auto"/>
            </w:rPr>
            <w:t>或者</w:t>
          </w:r>
          <w:r>
            <w:rPr>
              <w:color w:val="auto"/>
              <w:spacing w:val="-17"/>
            </w:rPr>
            <w:t>未</w:t>
          </w:r>
          <w:r>
            <w:rPr>
              <w:color w:val="auto"/>
            </w:rPr>
            <w:t>按照国家标准成包组批放置</w:t>
          </w:r>
          <w:r>
            <w:rPr>
              <w:color w:val="auto"/>
            </w:rPr>
            <w:tab/>
          </w:r>
          <w:r>
            <w:rPr>
              <w:color w:val="auto"/>
              <w:spacing w:val="-6"/>
            </w:rPr>
            <w:t>605</w:t>
          </w:r>
        </w:p>
        <w:p>
          <w:pPr>
            <w:pStyle w:val="5"/>
            <w:tabs>
              <w:tab w:val="left" w:leader="dot" w:pos="8595"/>
            </w:tabs>
            <w:spacing w:line="308" w:lineRule="exact"/>
            <w:rPr>
              <w:color w:val="auto"/>
            </w:rPr>
          </w:pPr>
          <w:r>
            <w:rPr>
              <w:color w:val="auto"/>
            </w:rPr>
            <w:fldChar w:fldCharType="begin"/>
          </w:r>
          <w:r>
            <w:rPr>
              <w:color w:val="auto"/>
            </w:rPr>
            <w:instrText xml:space="preserve"> HYPERLINK \l "_bookmark644" </w:instrText>
          </w:r>
          <w:r>
            <w:rPr>
              <w:color w:val="auto"/>
            </w:rPr>
            <w:fldChar w:fldCharType="separate"/>
          </w:r>
          <w:r>
            <w:rPr>
              <w:color w:val="auto"/>
            </w:rPr>
            <w:t>六百三十一、棉花经营者加工棉花使用国家明令禁止的棉花加工设备</w:t>
          </w:r>
          <w:r>
            <w:rPr>
              <w:color w:val="auto"/>
            </w:rPr>
            <w:tab/>
          </w:r>
          <w:r>
            <w:rPr>
              <w:color w:val="auto"/>
            </w:rPr>
            <w:t>607</w:t>
          </w:r>
          <w:r>
            <w:rPr>
              <w:color w:val="auto"/>
            </w:rPr>
            <w:fldChar w:fldCharType="end"/>
          </w:r>
        </w:p>
        <w:p>
          <w:pPr>
            <w:pStyle w:val="5"/>
            <w:tabs>
              <w:tab w:val="left" w:leader="dot" w:pos="8595"/>
            </w:tabs>
            <w:spacing w:before="172" w:line="374" w:lineRule="auto"/>
            <w:ind w:right="268"/>
            <w:jc w:val="both"/>
            <w:rPr>
              <w:color w:val="auto"/>
            </w:rPr>
          </w:pPr>
          <w:r>
            <w:rPr>
              <w:color w:val="auto"/>
            </w:rPr>
            <w:fldChar w:fldCharType="begin"/>
          </w:r>
          <w:r>
            <w:rPr>
              <w:color w:val="auto"/>
            </w:rPr>
            <w:instrText xml:space="preserve"> HYPERLINK \l "_bookmark645"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"_bookmark645" </w:instrText>
          </w:r>
          <w:r>
            <w:rPr>
              <w:color w:val="auto"/>
            </w:rPr>
            <w:fldChar w:fldCharType="separate"/>
          </w:r>
          <w:r>
            <w:rPr>
              <w:color w:val="auto"/>
            </w:rPr>
            <w:t>百三十二</w:t>
          </w:r>
          <w:r>
            <w:rPr>
              <w:color w:val="auto"/>
              <w:spacing w:val="-12"/>
            </w:rPr>
            <w:t>、</w:t>
          </w:r>
          <w:r>
            <w:rPr>
              <w:color w:val="auto"/>
            </w:rPr>
            <w:t>棉花经营者销售的每批棉花没有质量凭证</w:t>
          </w:r>
          <w:r>
            <w:rPr>
              <w:color w:val="auto"/>
              <w:spacing w:val="-12"/>
            </w:rPr>
            <w:t>，</w:t>
          </w:r>
          <w:r>
            <w:rPr>
              <w:color w:val="auto"/>
            </w:rPr>
            <w:t>或者其包装</w:t>
          </w:r>
          <w:r>
            <w:rPr>
              <w:color w:val="auto"/>
              <w:spacing w:val="-12"/>
            </w:rPr>
            <w:t>、</w:t>
          </w:r>
          <w:r>
            <w:rPr>
              <w:color w:val="auto"/>
            </w:rPr>
            <w:t>标识不</w:t>
          </w:r>
          <w:r>
            <w:rPr>
              <w:color w:val="auto"/>
              <w:spacing w:val="-17"/>
            </w:rPr>
            <w:t>符</w:t>
          </w:r>
          <w:r>
            <w:rPr>
              <w:color w:val="auto"/>
              <w:spacing w:val="-17"/>
            </w:rPr>
            <w:fldChar w:fldCharType="end"/>
          </w:r>
          <w:r>
            <w:rPr>
              <w:color w:val="auto"/>
            </w:rPr>
            <w:t>合国家标准</w:t>
          </w:r>
          <w:r>
            <w:rPr>
              <w:color w:val="auto"/>
              <w:spacing w:val="-12"/>
            </w:rPr>
            <w:t>，</w:t>
          </w:r>
          <w:r>
            <w:rPr>
              <w:color w:val="auto"/>
            </w:rPr>
            <w:t>或者质量凭证</w:t>
          </w:r>
          <w:r>
            <w:rPr>
              <w:color w:val="auto"/>
              <w:spacing w:val="-12"/>
            </w:rPr>
            <w:t>、</w:t>
          </w:r>
          <w:r>
            <w:rPr>
              <w:color w:val="auto"/>
            </w:rPr>
            <w:t>标识与实物不符</w:t>
          </w:r>
          <w:r>
            <w:rPr>
              <w:color w:val="auto"/>
              <w:spacing w:val="-12"/>
            </w:rPr>
            <w:t>，</w:t>
          </w:r>
          <w:r>
            <w:rPr>
              <w:color w:val="auto"/>
            </w:rPr>
            <w:t>或者经公证检验的棉花没有公</w:t>
          </w:r>
          <w:r>
            <w:rPr>
              <w:color w:val="auto"/>
              <w:spacing w:val="-17"/>
            </w:rPr>
            <w:t>证</w:t>
          </w:r>
          <w:r>
            <w:rPr>
              <w:color w:val="auto"/>
            </w:rPr>
            <w:t>检验证书、国家储备棉没有粘贴公证检验标志</w:t>
          </w:r>
          <w:r>
            <w:rPr>
              <w:color w:val="auto"/>
            </w:rPr>
            <w:tab/>
          </w:r>
          <w:r>
            <w:rPr>
              <w:color w:val="auto"/>
              <w:spacing w:val="-6"/>
            </w:rPr>
            <w:t>608</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"_bookmark646"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"_bookmark646" </w:instrText>
          </w:r>
          <w:r>
            <w:rPr>
              <w:color w:val="auto"/>
            </w:rPr>
            <w:fldChar w:fldCharType="separate"/>
          </w:r>
          <w:r>
            <w:rPr>
              <w:color w:val="auto"/>
            </w:rPr>
            <w:t>百三十三</w:t>
          </w:r>
          <w:r>
            <w:rPr>
              <w:color w:val="auto"/>
              <w:spacing w:val="-12"/>
            </w:rPr>
            <w:t>、</w:t>
          </w:r>
          <w:r>
            <w:rPr>
              <w:color w:val="auto"/>
            </w:rPr>
            <w:t>棉花经营者承储国家储备棉</w:t>
          </w:r>
          <w:r>
            <w:rPr>
              <w:color w:val="auto"/>
              <w:spacing w:val="-12"/>
            </w:rPr>
            <w:t>，</w:t>
          </w:r>
          <w:r>
            <w:rPr>
              <w:color w:val="auto"/>
            </w:rPr>
            <w:t>未建立棉花入库</w:t>
          </w:r>
          <w:r>
            <w:rPr>
              <w:color w:val="auto"/>
              <w:spacing w:val="-12"/>
            </w:rPr>
            <w:t>、</w:t>
          </w:r>
          <w:r>
            <w:rPr>
              <w:color w:val="auto"/>
            </w:rPr>
            <w:t>出库质量检查验</w:t>
          </w:r>
          <w:r>
            <w:rPr>
              <w:color w:val="auto"/>
              <w:spacing w:val="-17"/>
            </w:rPr>
            <w:t>收</w:t>
          </w:r>
          <w:r>
            <w:rPr>
              <w:color w:val="auto"/>
              <w:spacing w:val="-17"/>
            </w:rPr>
            <w:fldChar w:fldCharType="end"/>
          </w:r>
          <w:r>
            <w:rPr>
              <w:color w:val="auto"/>
            </w:rPr>
            <w:t>制度</w:t>
          </w:r>
          <w:r>
            <w:rPr>
              <w:color w:val="auto"/>
              <w:spacing w:val="-10"/>
            </w:rPr>
            <w:t>，</w:t>
          </w:r>
          <w:r>
            <w:rPr>
              <w:color w:val="auto"/>
            </w:rPr>
            <w:t>或者入库</w:t>
          </w:r>
          <w:r>
            <w:rPr>
              <w:color w:val="auto"/>
              <w:spacing w:val="-10"/>
            </w:rPr>
            <w:t>、</w:t>
          </w:r>
          <w:r>
            <w:rPr>
              <w:color w:val="auto"/>
            </w:rPr>
            <w:t>出库的国家储备棉实物与公证检验证书</w:t>
          </w:r>
          <w:r>
            <w:rPr>
              <w:color w:val="auto"/>
              <w:spacing w:val="-8"/>
            </w:rPr>
            <w:t>、</w:t>
          </w:r>
          <w:r>
            <w:rPr>
              <w:color w:val="auto"/>
            </w:rPr>
            <w:t>标志不符</w:t>
          </w:r>
          <w:r>
            <w:rPr>
              <w:color w:val="auto"/>
              <w:spacing w:val="-10"/>
            </w:rPr>
            <w:t>，</w:t>
          </w:r>
          <w:r>
            <w:rPr>
              <w:color w:val="auto"/>
            </w:rPr>
            <w:t>或者不</w:t>
          </w:r>
          <w:r>
            <w:rPr>
              <w:color w:val="auto"/>
              <w:spacing w:val="-15"/>
            </w:rPr>
            <w:t>按</w:t>
          </w:r>
          <w:r>
            <w:rPr>
              <w:color w:val="auto"/>
            </w:rPr>
            <w:t>照国家规定维护</w:t>
          </w:r>
          <w:r>
            <w:rPr>
              <w:color w:val="auto"/>
              <w:spacing w:val="-20"/>
            </w:rPr>
            <w:t>、</w:t>
          </w:r>
          <w:r>
            <w:rPr>
              <w:color w:val="auto"/>
            </w:rPr>
            <w:t>保养承储设施致使国家储备棉质量变异</w:t>
          </w:r>
          <w:r>
            <w:rPr>
              <w:color w:val="auto"/>
              <w:spacing w:val="-17"/>
            </w:rPr>
            <w:t>，</w:t>
          </w:r>
          <w:r>
            <w:rPr>
              <w:color w:val="auto"/>
            </w:rPr>
            <w:t>或者将未经公证检</w:t>
          </w:r>
          <w:r>
            <w:rPr>
              <w:color w:val="auto"/>
              <w:spacing w:val="-16"/>
            </w:rPr>
            <w:t>验</w:t>
          </w:r>
          <w:r>
            <w:rPr>
              <w:color w:val="auto"/>
            </w:rPr>
            <w:t>的棉花作为国家储备棉入库、出库</w:t>
          </w:r>
          <w:r>
            <w:rPr>
              <w:color w:val="auto"/>
            </w:rPr>
            <w:tab/>
          </w:r>
          <w:r>
            <w:rPr>
              <w:color w:val="auto"/>
              <w:spacing w:val="-6"/>
            </w:rPr>
            <w:t>610</w:t>
          </w:r>
        </w:p>
        <w:p>
          <w:pPr>
            <w:pStyle w:val="5"/>
            <w:spacing w:line="309" w:lineRule="exact"/>
            <w:jc w:val="both"/>
            <w:rPr>
              <w:color w:val="auto"/>
            </w:rPr>
          </w:pPr>
          <w:r>
            <w:rPr>
              <w:color w:val="auto"/>
            </w:rPr>
            <w:fldChar w:fldCharType="begin"/>
          </w:r>
          <w:r>
            <w:rPr>
              <w:color w:val="auto"/>
            </w:rPr>
            <w:instrText xml:space="preserve"> HYPERLINK \l "_bookmark647" </w:instrText>
          </w:r>
          <w:r>
            <w:rPr>
              <w:color w:val="auto"/>
            </w:rPr>
            <w:fldChar w:fldCharType="separate"/>
          </w:r>
          <w:r>
            <w:rPr>
              <w:color w:val="auto"/>
              <w:spacing w:val="-35"/>
            </w:rPr>
            <w:t xml:space="preserve">六百三十四、棉花经营者隐匿、转移、损毁被棉花质量监督机构查封、扣押的物品      </w:t>
          </w:r>
          <w:r>
            <w:rPr>
              <w:color w:val="auto"/>
            </w:rPr>
            <w:t>612</w:t>
          </w:r>
          <w:r>
            <w:rPr>
              <w:color w:val="auto"/>
            </w:rPr>
            <w:fldChar w:fldCharType="end"/>
          </w:r>
        </w:p>
        <w:p>
          <w:pPr>
            <w:pStyle w:val="5"/>
            <w:tabs>
              <w:tab w:val="left" w:leader="dot" w:pos="8595"/>
            </w:tabs>
            <w:spacing w:before="173" w:line="374" w:lineRule="auto"/>
            <w:ind w:right="151"/>
            <w:rPr>
              <w:color w:val="auto"/>
            </w:rPr>
          </w:pPr>
          <w:r>
            <w:rPr>
              <w:color w:val="auto"/>
            </w:rPr>
            <w:fldChar w:fldCharType="begin"/>
          </w:r>
          <w:r>
            <w:rPr>
              <w:color w:val="auto"/>
            </w:rPr>
            <w:instrText xml:space="preserve"> HYPERLINK \l "_bookmark648"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"_bookmark648" </w:instrText>
          </w:r>
          <w:r>
            <w:rPr>
              <w:color w:val="auto"/>
            </w:rPr>
            <w:fldChar w:fldCharType="separate"/>
          </w:r>
          <w:r>
            <w:rPr>
              <w:color w:val="auto"/>
            </w:rPr>
            <w:t>百三十五</w:t>
          </w:r>
          <w:r>
            <w:rPr>
              <w:color w:val="auto"/>
              <w:spacing w:val="-32"/>
            </w:rPr>
            <w:t>、</w:t>
          </w:r>
          <w:r>
            <w:rPr>
              <w:color w:val="auto"/>
            </w:rPr>
            <w:t>棉花经营者伪造</w:t>
          </w:r>
          <w:r>
            <w:rPr>
              <w:color w:val="auto"/>
              <w:spacing w:val="-32"/>
            </w:rPr>
            <w:t>、</w:t>
          </w:r>
          <w:r>
            <w:rPr>
              <w:color w:val="auto"/>
            </w:rPr>
            <w:t>变造</w:t>
          </w:r>
          <w:r>
            <w:rPr>
              <w:color w:val="auto"/>
              <w:spacing w:val="-32"/>
            </w:rPr>
            <w:t>、</w:t>
          </w:r>
          <w:r>
            <w:rPr>
              <w:color w:val="auto"/>
            </w:rPr>
            <w:t>冒用棉花质量凭证</w:t>
          </w:r>
          <w:r>
            <w:rPr>
              <w:color w:val="auto"/>
              <w:spacing w:val="-32"/>
            </w:rPr>
            <w:t>、</w:t>
          </w:r>
          <w:r>
            <w:rPr>
              <w:color w:val="auto"/>
            </w:rPr>
            <w:t>标识</w:t>
          </w:r>
          <w:r>
            <w:rPr>
              <w:color w:val="auto"/>
              <w:spacing w:val="-34"/>
            </w:rPr>
            <w:t>、</w:t>
          </w:r>
          <w:r>
            <w:rPr>
              <w:color w:val="auto"/>
            </w:rPr>
            <w:t>公证检验证书</w:t>
          </w:r>
          <w:r>
            <w:rPr>
              <w:color w:val="auto"/>
              <w:spacing w:val="-14"/>
            </w:rPr>
            <w:t>、</w:t>
          </w:r>
          <w:r>
            <w:rPr>
              <w:color w:val="auto"/>
              <w:spacing w:val="-14"/>
            </w:rPr>
            <w:fldChar w:fldCharType="end"/>
          </w:r>
          <w:r>
            <w:rPr>
              <w:color w:val="auto"/>
            </w:rPr>
            <w:t>公证检验标志</w:t>
          </w:r>
          <w:r>
            <w:rPr>
              <w:color w:val="auto"/>
            </w:rPr>
            <w:tab/>
          </w:r>
          <w:r>
            <w:rPr>
              <w:color w:val="auto"/>
            </w:rPr>
            <w:t>613</w:t>
          </w:r>
        </w:p>
        <w:p>
          <w:pPr>
            <w:pStyle w:val="5"/>
            <w:tabs>
              <w:tab w:val="left" w:leader="dot" w:pos="8595"/>
            </w:tabs>
            <w:spacing w:line="308" w:lineRule="exact"/>
            <w:rPr>
              <w:color w:val="auto"/>
            </w:rPr>
          </w:pPr>
          <w:r>
            <w:rPr>
              <w:color w:val="auto"/>
            </w:rPr>
            <w:fldChar w:fldCharType="begin"/>
          </w:r>
          <w:r>
            <w:rPr>
              <w:color w:val="auto"/>
            </w:rPr>
            <w:instrText xml:space="preserve"> HYPERLINK \l "_bookmark649" </w:instrText>
          </w:r>
          <w:r>
            <w:rPr>
              <w:color w:val="auto"/>
            </w:rPr>
            <w:fldChar w:fldCharType="separate"/>
          </w:r>
          <w:r>
            <w:rPr>
              <w:color w:val="auto"/>
            </w:rPr>
            <w:t>六百三十六、棉花经营活动中掺杂掺假、以次充好、以假充真</w:t>
          </w:r>
          <w:r>
            <w:rPr>
              <w:color w:val="auto"/>
            </w:rPr>
            <w:tab/>
          </w:r>
          <w:r>
            <w:rPr>
              <w:color w:val="auto"/>
            </w:rPr>
            <w:t>614</w:t>
          </w:r>
          <w:r>
            <w:rPr>
              <w:color w:val="auto"/>
            </w:rPr>
            <w:fldChar w:fldCharType="end"/>
          </w:r>
        </w:p>
        <w:p>
          <w:pPr>
            <w:pStyle w:val="5"/>
            <w:tabs>
              <w:tab w:val="left" w:leader="dot" w:pos="8611"/>
            </w:tabs>
            <w:spacing w:before="172"/>
            <w:rPr>
              <w:color w:val="auto"/>
            </w:rPr>
          </w:pPr>
          <w:r>
            <w:rPr>
              <w:color w:val="auto"/>
            </w:rPr>
            <w:fldChar w:fldCharType="begin"/>
          </w:r>
          <w:r>
            <w:rPr>
              <w:color w:val="auto"/>
            </w:rPr>
            <w:instrText xml:space="preserve"> HYPERLINK \l "_bookmark650" </w:instrText>
          </w:r>
          <w:r>
            <w:rPr>
              <w:color w:val="auto"/>
            </w:rPr>
            <w:fldChar w:fldCharType="separate"/>
          </w:r>
          <w:r>
            <w:rPr>
              <w:color w:val="auto"/>
              <w:spacing w:val="-12"/>
            </w:rPr>
            <w:t>六百三十七、毛绒纤维经营者在经营活动中掺杂掺假、以假充真、以次充</w:t>
          </w:r>
          <w:r>
            <w:rPr>
              <w:color w:val="auto"/>
            </w:rPr>
            <w:t>好</w:t>
          </w:r>
          <w:r>
            <w:rPr>
              <w:color w:val="auto"/>
            </w:rPr>
            <w:tab/>
          </w:r>
          <w:r>
            <w:rPr>
              <w:color w:val="auto"/>
              <w:spacing w:val="-4"/>
            </w:rPr>
            <w:t>615</w:t>
          </w:r>
          <w:r>
            <w:rPr>
              <w:color w:val="auto"/>
              <w:spacing w:val="-4"/>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"_bookmark651"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"_bookmark651" </w:instrText>
          </w:r>
          <w:r>
            <w:rPr>
              <w:color w:val="auto"/>
            </w:rPr>
            <w:fldChar w:fldCharType="separate"/>
          </w:r>
          <w:r>
            <w:rPr>
              <w:color w:val="auto"/>
            </w:rPr>
            <w:t>百三十八</w:t>
          </w:r>
          <w:r>
            <w:rPr>
              <w:color w:val="auto"/>
              <w:spacing w:val="-12"/>
            </w:rPr>
            <w:t>、</w:t>
          </w:r>
          <w:r>
            <w:rPr>
              <w:color w:val="auto"/>
            </w:rPr>
            <w:t>毛绒纤维经营者收购毛绒纤维</w:t>
          </w:r>
          <w:r>
            <w:rPr>
              <w:color w:val="auto"/>
              <w:spacing w:val="-12"/>
            </w:rPr>
            <w:t>，</w:t>
          </w:r>
          <w:r>
            <w:rPr>
              <w:color w:val="auto"/>
            </w:rPr>
            <w:t>未按照国家标准</w:t>
          </w:r>
          <w:r>
            <w:rPr>
              <w:color w:val="auto"/>
              <w:spacing w:val="-12"/>
            </w:rPr>
            <w:t>、</w:t>
          </w:r>
          <w:r>
            <w:rPr>
              <w:color w:val="auto"/>
            </w:rPr>
            <w:t>技术规范真实</w:t>
          </w:r>
          <w:r>
            <w:rPr>
              <w:color w:val="auto"/>
              <w:spacing w:val="-17"/>
            </w:rPr>
            <w:t>确</w:t>
          </w:r>
          <w:r>
            <w:rPr>
              <w:color w:val="auto"/>
              <w:spacing w:val="-17"/>
            </w:rPr>
            <w:fldChar w:fldCharType="end"/>
          </w:r>
          <w:r>
            <w:rPr>
              <w:color w:val="auto"/>
            </w:rPr>
            <w:t>定所收购毛绒纤维的类别、等级、重量</w:t>
          </w:r>
          <w:r>
            <w:rPr>
              <w:color w:val="auto"/>
            </w:rPr>
            <w:tab/>
          </w:r>
          <w:r>
            <w:rPr>
              <w:color w:val="auto"/>
              <w:spacing w:val="-6"/>
            </w:rPr>
            <w:t>616</w:t>
          </w:r>
        </w:p>
        <w:p>
          <w:pPr>
            <w:pStyle w:val="5"/>
            <w:tabs>
              <w:tab w:val="left" w:leader="dot" w:pos="8595"/>
            </w:tabs>
            <w:spacing w:line="374" w:lineRule="auto"/>
            <w:ind w:right="232"/>
            <w:rPr>
              <w:color w:val="auto"/>
            </w:rPr>
          </w:pPr>
          <w:r>
            <w:rPr>
              <w:color w:val="auto"/>
            </w:rPr>
            <w:fldChar w:fldCharType="begin"/>
          </w:r>
          <w:r>
            <w:rPr>
              <w:color w:val="auto"/>
            </w:rPr>
            <w:instrText xml:space="preserve"> HYPERLINK \l "_bookmark652"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"_bookmark652" </w:instrText>
          </w:r>
          <w:r>
            <w:rPr>
              <w:color w:val="auto"/>
            </w:rPr>
            <w:fldChar w:fldCharType="separate"/>
          </w:r>
          <w:r>
            <w:rPr>
              <w:color w:val="auto"/>
            </w:rPr>
            <w:t>百三十九、毛绒纤维经营者收购毛绒纤维，未按照国家标准、技术规范挑拣</w:t>
          </w:r>
          <w:r>
            <w:rPr>
              <w:color w:val="auto"/>
              <w:spacing w:val="-17"/>
            </w:rPr>
            <w:t>、</w:t>
          </w:r>
          <w:r>
            <w:rPr>
              <w:color w:val="auto"/>
              <w:spacing w:val="-17"/>
            </w:rPr>
            <w:fldChar w:fldCharType="end"/>
          </w:r>
          <w:r>
            <w:rPr>
              <w:color w:val="auto"/>
            </w:rPr>
            <w:t>排除导致质量下降的异性纤维及其他非毛绒纤维物质</w:t>
          </w:r>
          <w:r>
            <w:rPr>
              <w:color w:val="auto"/>
            </w:rPr>
            <w:tab/>
          </w:r>
          <w:r>
            <w:rPr>
              <w:color w:val="auto"/>
            </w:rPr>
            <w:t>617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"_bookmark653"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"_bookmark653" </w:instrText>
          </w:r>
          <w:r>
            <w:rPr>
              <w:color w:val="auto"/>
            </w:rPr>
            <w:fldChar w:fldCharType="separate"/>
          </w:r>
          <w:r>
            <w:rPr>
              <w:color w:val="auto"/>
            </w:rPr>
            <w:t>百四十</w:t>
          </w:r>
          <w:r>
            <w:rPr>
              <w:color w:val="auto"/>
              <w:spacing w:val="-20"/>
            </w:rPr>
            <w:t>、</w:t>
          </w:r>
          <w:r>
            <w:rPr>
              <w:color w:val="auto"/>
            </w:rPr>
            <w:t>毛绒纤维经营者对收购的水分含量超过国家标准规定的毛绒纤维</w:t>
          </w:r>
          <w:r>
            <w:rPr>
              <w:color w:val="auto"/>
              <w:spacing w:val="-17"/>
            </w:rPr>
            <w:t>，</w:t>
          </w:r>
          <w:r>
            <w:rPr>
              <w:color w:val="auto"/>
              <w:spacing w:val="-16"/>
            </w:rPr>
            <w:t>未</w:t>
          </w:r>
          <w:r>
            <w:rPr>
              <w:color w:val="auto"/>
              <w:spacing w:val="-16"/>
            </w:rPr>
            <w:fldChar w:fldCharType="end"/>
          </w:r>
          <w:r>
            <w:rPr>
              <w:color w:val="auto"/>
            </w:rPr>
            <w:t>进行晾晒、烘干等技术处理</w:t>
          </w:r>
          <w:r>
            <w:rPr>
              <w:color w:val="auto"/>
            </w:rPr>
            <w:tab/>
          </w:r>
          <w:r>
            <w:rPr>
              <w:color w:val="auto"/>
              <w:spacing w:val="-6"/>
            </w:rPr>
            <w:t>618</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"_bookmark654"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"_bookmark654" </w:instrText>
          </w:r>
          <w:r>
            <w:rPr>
              <w:color w:val="auto"/>
            </w:rPr>
            <w:fldChar w:fldCharType="separate"/>
          </w:r>
          <w:r>
            <w:rPr>
              <w:color w:val="auto"/>
            </w:rPr>
            <w:t>百四十一</w:t>
          </w:r>
          <w:r>
            <w:rPr>
              <w:color w:val="auto"/>
              <w:spacing w:val="-12"/>
            </w:rPr>
            <w:t>、</w:t>
          </w:r>
          <w:r>
            <w:rPr>
              <w:color w:val="auto"/>
            </w:rPr>
            <w:t>毛绒纤维经营者未对所收购的毛绒纤维按类别</w:t>
          </w:r>
          <w:r>
            <w:rPr>
              <w:color w:val="auto"/>
              <w:spacing w:val="-12"/>
            </w:rPr>
            <w:t>、</w:t>
          </w:r>
          <w:r>
            <w:rPr>
              <w:color w:val="auto"/>
            </w:rPr>
            <w:t>等级</w:t>
          </w:r>
          <w:r>
            <w:rPr>
              <w:color w:val="auto"/>
              <w:spacing w:val="-12"/>
            </w:rPr>
            <w:t>、</w:t>
          </w:r>
          <w:r>
            <w:rPr>
              <w:color w:val="auto"/>
            </w:rPr>
            <w:t>型号分别</w:t>
          </w:r>
          <w:r>
            <w:rPr>
              <w:color w:val="auto"/>
              <w:spacing w:val="-17"/>
            </w:rPr>
            <w:t>置</w:t>
          </w:r>
          <w:r>
            <w:rPr>
              <w:color w:val="auto"/>
              <w:spacing w:val="-17"/>
            </w:rPr>
            <w:fldChar w:fldCharType="end"/>
          </w:r>
          <w:r>
            <w:rPr>
              <w:color w:val="auto"/>
            </w:rPr>
            <w:t>放并妥善保管</w:t>
          </w:r>
          <w:r>
            <w:rPr>
              <w:color w:val="auto"/>
            </w:rPr>
            <w:tab/>
          </w:r>
          <w:r>
            <w:rPr>
              <w:color w:val="auto"/>
              <w:spacing w:val="-6"/>
            </w:rPr>
            <w:t>619</w:t>
          </w:r>
        </w:p>
        <w:p>
          <w:pPr>
            <w:pStyle w:val="5"/>
            <w:tabs>
              <w:tab w:val="left" w:leader="dot" w:pos="8595"/>
            </w:tabs>
            <w:spacing w:after="59" w:line="308" w:lineRule="exact"/>
            <w:rPr>
              <w:color w:val="auto"/>
            </w:rPr>
          </w:pPr>
          <w:r>
            <w:rPr>
              <w:color w:val="auto"/>
            </w:rPr>
            <w:fldChar w:fldCharType="begin"/>
          </w:r>
          <w:r>
            <w:rPr>
              <w:color w:val="auto"/>
            </w:rPr>
            <w:instrText xml:space="preserve"> HYPERLINK \l "_bookmark655" </w:instrText>
          </w:r>
          <w:r>
            <w:rPr>
              <w:color w:val="auto"/>
            </w:rPr>
            <w:fldChar w:fldCharType="separate"/>
          </w:r>
          <w:r>
            <w:rPr>
              <w:color w:val="auto"/>
            </w:rPr>
            <w:t>六百四十二、毛绒纤维经营者未对所收购的毛绒纤维按净毛绒计算公量</w:t>
          </w:r>
          <w:r>
            <w:rPr>
              <w:color w:val="auto"/>
            </w:rPr>
            <w:tab/>
          </w:r>
          <w:r>
            <w:rPr>
              <w:color w:val="auto"/>
            </w:rPr>
            <w:t>620</w:t>
          </w:r>
          <w:r>
            <w:rPr>
              <w:color w:val="auto"/>
            </w:rPr>
            <w:fldChar w:fldCharType="end"/>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"_bookmark656"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"_bookmark656" </w:instrText>
          </w:r>
          <w:r>
            <w:rPr>
              <w:color w:val="auto"/>
            </w:rPr>
            <w:fldChar w:fldCharType="separate"/>
          </w:r>
          <w:r>
            <w:rPr>
              <w:color w:val="auto"/>
            </w:rPr>
            <w:t>百四十三</w:t>
          </w:r>
          <w:r>
            <w:rPr>
              <w:color w:val="auto"/>
              <w:spacing w:val="-12"/>
            </w:rPr>
            <w:t>、</w:t>
          </w:r>
          <w:r>
            <w:rPr>
              <w:color w:val="auto"/>
            </w:rPr>
            <w:t>毛绒纤维经营者不具备符合规定的质量标准</w:t>
          </w:r>
          <w:r>
            <w:rPr>
              <w:color w:val="auto"/>
              <w:spacing w:val="-12"/>
            </w:rPr>
            <w:t>、</w:t>
          </w:r>
          <w:r>
            <w:rPr>
              <w:color w:val="auto"/>
            </w:rPr>
            <w:t>检验设备和环境</w:t>
          </w:r>
          <w:r>
            <w:rPr>
              <w:color w:val="auto"/>
              <w:spacing w:val="-12"/>
            </w:rPr>
            <w:t>、</w:t>
          </w:r>
          <w:r>
            <w:rPr>
              <w:color w:val="auto"/>
              <w:spacing w:val="-17"/>
            </w:rPr>
            <w:t>检</w:t>
          </w:r>
          <w:r>
            <w:rPr>
              <w:color w:val="auto"/>
              <w:spacing w:val="-17"/>
            </w:rPr>
            <w:fldChar w:fldCharType="end"/>
          </w:r>
          <w:r>
            <w:rPr>
              <w:color w:val="auto"/>
            </w:rPr>
            <w:t>验人员、加工机械和加工场所、质量保证制度以及国家规定的其他条件</w:t>
          </w:r>
          <w:r>
            <w:rPr>
              <w:color w:val="auto"/>
            </w:rPr>
            <w:tab/>
          </w:r>
          <w:r>
            <w:rPr>
              <w:color w:val="auto"/>
              <w:spacing w:val="-6"/>
            </w:rPr>
            <w:t>621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"_bookmark657"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"_bookmark657" </w:instrText>
          </w:r>
          <w:r>
            <w:rPr>
              <w:color w:val="auto"/>
            </w:rPr>
            <w:fldChar w:fldCharType="separate"/>
          </w:r>
          <w:r>
            <w:rPr>
              <w:color w:val="auto"/>
            </w:rPr>
            <w:t>百四十四</w:t>
          </w:r>
          <w:r>
            <w:rPr>
              <w:color w:val="auto"/>
              <w:spacing w:val="-20"/>
            </w:rPr>
            <w:t>、</w:t>
          </w:r>
          <w:r>
            <w:rPr>
              <w:color w:val="auto"/>
            </w:rPr>
            <w:t>毛绒纤维经营者未挑拣</w:t>
          </w:r>
          <w:r>
            <w:rPr>
              <w:color w:val="auto"/>
              <w:spacing w:val="-17"/>
            </w:rPr>
            <w:t>、</w:t>
          </w:r>
          <w:r>
            <w:rPr>
              <w:color w:val="auto"/>
            </w:rPr>
            <w:t>排除毛绒纤维中导致质量下降的异性纤</w:t>
          </w:r>
          <w:r>
            <w:rPr>
              <w:color w:val="auto"/>
              <w:spacing w:val="-16"/>
            </w:rPr>
            <w:t>维</w:t>
          </w:r>
          <w:r>
            <w:rPr>
              <w:color w:val="auto"/>
              <w:spacing w:val="-16"/>
            </w:rPr>
            <w:fldChar w:fldCharType="end"/>
          </w:r>
          <w:r>
            <w:rPr>
              <w:color w:val="auto"/>
            </w:rPr>
            <w:t>及其他非毛绒纤维物质</w:t>
          </w:r>
          <w:r>
            <w:rPr>
              <w:color w:val="auto"/>
            </w:rPr>
            <w:tab/>
          </w:r>
          <w:r>
            <w:rPr>
              <w:color w:val="auto"/>
              <w:spacing w:val="-6"/>
            </w:rPr>
            <w:t>622</w:t>
          </w:r>
        </w:p>
        <w:p>
          <w:pPr>
            <w:pStyle w:val="5"/>
            <w:tabs>
              <w:tab w:val="left" w:leader="dot" w:pos="8595"/>
            </w:tabs>
            <w:spacing w:line="374" w:lineRule="auto"/>
            <w:ind w:right="232"/>
            <w:rPr>
              <w:color w:val="auto"/>
            </w:rPr>
          </w:pPr>
          <w:r>
            <w:rPr>
              <w:color w:val="auto"/>
            </w:rPr>
            <w:fldChar w:fldCharType="begin"/>
          </w:r>
          <w:r>
            <w:rPr>
              <w:color w:val="auto"/>
            </w:rPr>
            <w:instrText xml:space="preserve"> HYPERLINK \l "_bookmark658"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"_bookmark658" </w:instrText>
          </w:r>
          <w:r>
            <w:rPr>
              <w:color w:val="auto"/>
            </w:rPr>
            <w:fldChar w:fldCharType="separate"/>
          </w:r>
          <w:r>
            <w:rPr>
              <w:color w:val="auto"/>
            </w:rPr>
            <w:t>百四十五、毛绒纤维经营者未按照国家标准、技术规范，对毛绒纤维分类别</w:t>
          </w:r>
          <w:r>
            <w:rPr>
              <w:color w:val="auto"/>
              <w:spacing w:val="-17"/>
            </w:rPr>
            <w:t>、</w:t>
          </w:r>
          <w:r>
            <w:rPr>
              <w:color w:val="auto"/>
              <w:spacing w:val="-17"/>
            </w:rPr>
            <w:fldChar w:fldCharType="end"/>
          </w:r>
          <w:r>
            <w:rPr>
              <w:color w:val="auto"/>
            </w:rPr>
            <w:t>分等级加工和对加工后的毛绒纤维成包组批</w:t>
          </w:r>
          <w:r>
            <w:rPr>
              <w:color w:val="auto"/>
            </w:rPr>
            <w:tab/>
          </w:r>
          <w:r>
            <w:rPr>
              <w:color w:val="auto"/>
            </w:rPr>
            <w:t>623</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"_bookmark659"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"_bookmark659" </w:instrText>
          </w:r>
          <w:r>
            <w:rPr>
              <w:color w:val="auto"/>
            </w:rPr>
            <w:fldChar w:fldCharType="separate"/>
          </w:r>
          <w:r>
            <w:rPr>
              <w:color w:val="auto"/>
            </w:rPr>
            <w:t>百四十六</w:t>
          </w:r>
          <w:r>
            <w:rPr>
              <w:color w:val="auto"/>
              <w:spacing w:val="-20"/>
            </w:rPr>
            <w:t>、</w:t>
          </w:r>
          <w:r>
            <w:rPr>
              <w:color w:val="auto"/>
            </w:rPr>
            <w:t>毛绒纤维经营者未按国家标准</w:t>
          </w:r>
          <w:r>
            <w:rPr>
              <w:color w:val="auto"/>
              <w:spacing w:val="-17"/>
            </w:rPr>
            <w:t>、</w:t>
          </w:r>
          <w:r>
            <w:rPr>
              <w:color w:val="auto"/>
            </w:rPr>
            <w:t>技术规范对加工后的毛绒纤维进</w:t>
          </w:r>
          <w:r>
            <w:rPr>
              <w:color w:val="auto"/>
              <w:spacing w:val="-16"/>
            </w:rPr>
            <w:t>行</w:t>
          </w:r>
          <w:r>
            <w:rPr>
              <w:color w:val="auto"/>
              <w:spacing w:val="-16"/>
            </w:rPr>
            <w:fldChar w:fldCharType="end"/>
          </w:r>
          <w:r>
            <w:rPr>
              <w:color w:val="auto"/>
            </w:rPr>
            <w:t>包装并标注标识，或者标注的标识与毛绒纤维的质量、数量不符</w:t>
          </w:r>
          <w:r>
            <w:rPr>
              <w:color w:val="auto"/>
            </w:rPr>
            <w:tab/>
          </w:r>
          <w:r>
            <w:rPr>
              <w:color w:val="auto"/>
              <w:spacing w:val="-6"/>
            </w:rPr>
            <w:t>624</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"_bookmark660"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"_bookmark660" </w:instrText>
          </w:r>
          <w:r>
            <w:rPr>
              <w:color w:val="auto"/>
            </w:rPr>
            <w:fldChar w:fldCharType="separate"/>
          </w:r>
          <w:r>
            <w:rPr>
              <w:color w:val="auto"/>
            </w:rPr>
            <w:t>百四十七</w:t>
          </w:r>
          <w:r>
            <w:rPr>
              <w:color w:val="auto"/>
              <w:spacing w:val="-36"/>
            </w:rPr>
            <w:t>、</w:t>
          </w:r>
          <w:r>
            <w:rPr>
              <w:color w:val="auto"/>
            </w:rPr>
            <w:t>经毛绒纤维质量公证检验的毛绒纤维未附有毛绒纤维质量公证检</w:t>
          </w:r>
          <w:r>
            <w:rPr>
              <w:color w:val="auto"/>
              <w:spacing w:val="-17"/>
            </w:rPr>
            <w:t>验</w:t>
          </w:r>
          <w:r>
            <w:rPr>
              <w:color w:val="auto"/>
              <w:spacing w:val="-17"/>
            </w:rPr>
            <w:fldChar w:fldCharType="end"/>
          </w:r>
          <w:r>
            <w:rPr>
              <w:color w:val="auto"/>
            </w:rPr>
            <w:t>证书和标志</w:t>
          </w:r>
          <w:r>
            <w:rPr>
              <w:color w:val="auto"/>
              <w:spacing w:val="-36"/>
            </w:rPr>
            <w:t>，</w:t>
          </w:r>
          <w:r>
            <w:rPr>
              <w:color w:val="auto"/>
            </w:rPr>
            <w:t>或者未经毛绒纤维质量公证检验的毛绒纤维未附有质量凭证或所</w:t>
          </w:r>
          <w:r>
            <w:rPr>
              <w:color w:val="auto"/>
              <w:spacing w:val="-17"/>
            </w:rPr>
            <w:t>附</w:t>
          </w:r>
          <w:r>
            <w:rPr>
              <w:color w:val="auto"/>
            </w:rPr>
            <w:t>质量凭证与实物质量不符</w:t>
          </w:r>
          <w:r>
            <w:rPr>
              <w:color w:val="auto"/>
            </w:rPr>
            <w:tab/>
          </w:r>
          <w:r>
            <w:rPr>
              <w:color w:val="auto"/>
              <w:spacing w:val="-6"/>
            </w:rPr>
            <w:t>625</w:t>
          </w:r>
        </w:p>
        <w:p>
          <w:pPr>
            <w:pStyle w:val="5"/>
            <w:tabs>
              <w:tab w:val="left" w:leader="dot" w:pos="8595"/>
            </w:tabs>
            <w:spacing w:line="308" w:lineRule="exact"/>
            <w:rPr>
              <w:color w:val="auto"/>
            </w:rPr>
          </w:pPr>
          <w:r>
            <w:rPr>
              <w:color w:val="auto"/>
            </w:rPr>
            <w:fldChar w:fldCharType="begin"/>
          </w:r>
          <w:r>
            <w:rPr>
              <w:color w:val="auto"/>
            </w:rPr>
            <w:instrText xml:space="preserve"> HYPERLINK \l "_bookmark661" </w:instrText>
          </w:r>
          <w:r>
            <w:rPr>
              <w:color w:val="auto"/>
            </w:rPr>
            <w:fldChar w:fldCharType="separate"/>
          </w:r>
          <w:r>
            <w:rPr>
              <w:color w:val="auto"/>
            </w:rPr>
            <w:t>六百四十八、从事毛绒纤维加工活动使用国家明令禁用的加工设备</w:t>
          </w:r>
          <w:r>
            <w:rPr>
              <w:color w:val="auto"/>
            </w:rPr>
            <w:tab/>
          </w:r>
          <w:r>
            <w:rPr>
              <w:color w:val="auto"/>
            </w:rPr>
            <w:t>627</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"_bookmark662"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"_bookmark662" </w:instrText>
          </w:r>
          <w:r>
            <w:rPr>
              <w:color w:val="auto"/>
            </w:rPr>
            <w:fldChar w:fldCharType="separate"/>
          </w:r>
          <w:r>
            <w:rPr>
              <w:color w:val="auto"/>
            </w:rPr>
            <w:t>百四十九</w:t>
          </w:r>
          <w:r>
            <w:rPr>
              <w:color w:val="auto"/>
              <w:spacing w:val="-20"/>
            </w:rPr>
            <w:t>、</w:t>
          </w:r>
          <w:r>
            <w:rPr>
              <w:color w:val="auto"/>
            </w:rPr>
            <w:t>毛绒纤维经营者对批量销售未经过加工的毛绒纤维进行包装</w:t>
          </w:r>
          <w:r>
            <w:rPr>
              <w:color w:val="auto"/>
              <w:spacing w:val="-17"/>
            </w:rPr>
            <w:t>，</w:t>
          </w:r>
          <w:r>
            <w:rPr>
              <w:color w:val="auto"/>
            </w:rPr>
            <w:t>未</w:t>
          </w:r>
          <w:r>
            <w:rPr>
              <w:color w:val="auto"/>
              <w:spacing w:val="-16"/>
            </w:rPr>
            <w:t>防</w:t>
          </w:r>
          <w:r>
            <w:rPr>
              <w:color w:val="auto"/>
              <w:spacing w:val="-16"/>
            </w:rPr>
            <w:fldChar w:fldCharType="end"/>
          </w:r>
          <w:r>
            <w:rPr>
              <w:color w:val="auto"/>
            </w:rPr>
            <w:t>止异性纤维及其他非毛绒纤维物质混入包装</w:t>
          </w:r>
          <w:r>
            <w:rPr>
              <w:color w:val="auto"/>
            </w:rPr>
            <w:tab/>
          </w:r>
          <w:r>
            <w:rPr>
              <w:color w:val="auto"/>
              <w:spacing w:val="-6"/>
            </w:rPr>
            <w:t>628</w:t>
          </w:r>
        </w:p>
        <w:p>
          <w:pPr>
            <w:pStyle w:val="5"/>
            <w:tabs>
              <w:tab w:val="left" w:leader="dot" w:pos="8595"/>
            </w:tabs>
            <w:spacing w:before="1" w:line="374" w:lineRule="auto"/>
            <w:ind w:right="232"/>
            <w:rPr>
              <w:color w:val="auto"/>
            </w:rPr>
          </w:pPr>
          <w:r>
            <w:rPr>
              <w:color w:val="auto"/>
            </w:rPr>
            <w:fldChar w:fldCharType="begin"/>
          </w:r>
          <w:r>
            <w:rPr>
              <w:color w:val="auto"/>
            </w:rPr>
            <w:instrText xml:space="preserve"> HYPERLINK \l "_bookmark663"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"_bookmark663" </w:instrText>
          </w:r>
          <w:r>
            <w:rPr>
              <w:color w:val="auto"/>
            </w:rPr>
            <w:fldChar w:fldCharType="separate"/>
          </w:r>
          <w:r>
            <w:rPr>
              <w:color w:val="auto"/>
            </w:rPr>
            <w:t>百五十、毛绒纤维经营者批量销售的未经过加工的毛绒纤维，其类别、型号</w:t>
          </w:r>
          <w:r>
            <w:rPr>
              <w:color w:val="auto"/>
              <w:spacing w:val="-17"/>
            </w:rPr>
            <w:t>、</w:t>
          </w:r>
          <w:r>
            <w:rPr>
              <w:color w:val="auto"/>
              <w:spacing w:val="-17"/>
            </w:rPr>
            <w:fldChar w:fldCharType="end"/>
          </w:r>
          <w:r>
            <w:rPr>
              <w:color w:val="auto"/>
            </w:rPr>
            <w:t>等级、标识与国家标准、技术规范不一致</w:t>
          </w:r>
          <w:r>
            <w:rPr>
              <w:color w:val="auto"/>
            </w:rPr>
            <w:tab/>
          </w:r>
          <w:r>
            <w:rPr>
              <w:color w:val="auto"/>
            </w:rPr>
            <w:t>629</w:t>
          </w:r>
        </w:p>
        <w:p>
          <w:pPr>
            <w:pStyle w:val="5"/>
            <w:spacing w:line="374" w:lineRule="auto"/>
            <w:ind w:right="268"/>
            <w:jc w:val="both"/>
            <w:rPr>
              <w:color w:val="auto"/>
            </w:rPr>
          </w:pPr>
          <w:r>
            <w:rPr>
              <w:color w:val="auto"/>
            </w:rPr>
            <w:fldChar w:fldCharType="begin"/>
          </w:r>
          <w:r>
            <w:rPr>
              <w:color w:val="auto"/>
            </w:rPr>
            <w:instrText xml:space="preserve"> HYPERLINK \l "_bookmark664"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"_bookmark664" </w:instrText>
          </w:r>
          <w:r>
            <w:rPr>
              <w:color w:val="auto"/>
            </w:rPr>
            <w:fldChar w:fldCharType="separate"/>
          </w:r>
          <w:r>
            <w:rPr>
              <w:color w:val="auto"/>
              <w:spacing w:val="-6"/>
            </w:rPr>
            <w:t>百五十一、经过质量公证检验或《毛绒纤维质量监督管理办法》第九条规定的</w:t>
          </w:r>
          <w:r>
            <w:rPr>
              <w:color w:val="auto"/>
              <w:spacing w:val="-6"/>
            </w:rPr>
            <w:fldChar w:fldCharType="end"/>
          </w:r>
          <w:r>
            <w:rPr>
              <w:color w:val="auto"/>
              <w:spacing w:val="-5"/>
            </w:rPr>
            <w:t>检验的毛绒纤维，未附有毛绒纤维质量公证检验证书、标志或《毛绒纤维质量监</w:t>
          </w:r>
          <w:r>
            <w:rPr>
              <w:color w:val="auto"/>
              <w:spacing w:val="-6"/>
            </w:rPr>
            <w:t>督管理办法》第九条规定的检验证书；既未经过毛绒纤维质量公证检验也未经过</w:t>
          </w:r>
        </w:p>
        <w:p>
          <w:pPr>
            <w:pStyle w:val="5"/>
            <w:tabs>
              <w:tab w:val="left" w:leader="dot" w:pos="8595"/>
            </w:tabs>
            <w:spacing w:before="1" w:line="374" w:lineRule="auto"/>
            <w:ind w:right="268"/>
            <w:rPr>
              <w:color w:val="auto"/>
            </w:rPr>
          </w:pPr>
          <w:r>
            <w:rPr>
              <w:color w:val="auto"/>
            </w:rPr>
            <w:t>《毛绒纤维质量监督管理办法</w:t>
          </w:r>
          <w:r>
            <w:rPr>
              <w:color w:val="auto"/>
              <w:spacing w:val="-20"/>
            </w:rPr>
            <w:t>》</w:t>
          </w:r>
          <w:r>
            <w:rPr>
              <w:color w:val="auto"/>
            </w:rPr>
            <w:t>第九条规定的检验的毛绒纤维</w:t>
          </w:r>
          <w:r>
            <w:rPr>
              <w:color w:val="auto"/>
              <w:spacing w:val="-17"/>
            </w:rPr>
            <w:t>，</w:t>
          </w:r>
          <w:r>
            <w:rPr>
              <w:color w:val="auto"/>
            </w:rPr>
            <w:t>未附有质量凭</w:t>
          </w:r>
          <w:r>
            <w:rPr>
              <w:color w:val="auto"/>
              <w:spacing w:val="-16"/>
            </w:rPr>
            <w:t>证</w:t>
          </w:r>
          <w:r>
            <w:rPr>
              <w:color w:val="auto"/>
            </w:rPr>
            <w:t>或所附的质量凭证与实物质量不符</w:t>
          </w:r>
          <w:r>
            <w:rPr>
              <w:color w:val="auto"/>
            </w:rPr>
            <w:tab/>
          </w:r>
          <w:r>
            <w:rPr>
              <w:color w:val="auto"/>
              <w:spacing w:val="-6"/>
            </w:rPr>
            <w:t>631</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"_bookmark665"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"_bookmark665" </w:instrText>
          </w:r>
          <w:r>
            <w:rPr>
              <w:color w:val="auto"/>
            </w:rPr>
            <w:fldChar w:fldCharType="separate"/>
          </w:r>
          <w:r>
            <w:rPr>
              <w:color w:val="auto"/>
            </w:rPr>
            <w:t>百五十二</w:t>
          </w:r>
          <w:r>
            <w:rPr>
              <w:color w:val="auto"/>
              <w:spacing w:val="-36"/>
            </w:rPr>
            <w:t>、</w:t>
          </w:r>
          <w:r>
            <w:rPr>
              <w:color w:val="auto"/>
            </w:rPr>
            <w:t>毛绒纤维经营者批量销售未经过加工的毛绒纤维违反国家规定的</w:t>
          </w:r>
          <w:r>
            <w:rPr>
              <w:color w:val="auto"/>
              <w:spacing w:val="-17"/>
            </w:rPr>
            <w:t>其</w:t>
          </w:r>
          <w:r>
            <w:rPr>
              <w:color w:val="auto"/>
              <w:spacing w:val="-17"/>
            </w:rPr>
            <w:fldChar w:fldCharType="end"/>
          </w:r>
          <w:r>
            <w:rPr>
              <w:color w:val="auto"/>
            </w:rPr>
            <w:t>他要求</w:t>
          </w:r>
          <w:r>
            <w:rPr>
              <w:color w:val="auto"/>
            </w:rPr>
            <w:tab/>
          </w:r>
          <w:r>
            <w:rPr>
              <w:color w:val="auto"/>
              <w:spacing w:val="-6"/>
            </w:rPr>
            <w:t>632</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"_bookmark666"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"_bookmark666" </w:instrText>
          </w:r>
          <w:r>
            <w:rPr>
              <w:color w:val="auto"/>
            </w:rPr>
            <w:fldChar w:fldCharType="separate"/>
          </w:r>
          <w:r>
            <w:rPr>
              <w:color w:val="auto"/>
            </w:rPr>
            <w:t>百五十三</w:t>
          </w:r>
          <w:r>
            <w:rPr>
              <w:color w:val="auto"/>
              <w:spacing w:val="-12"/>
            </w:rPr>
            <w:t>、</w:t>
          </w:r>
          <w:r>
            <w:rPr>
              <w:color w:val="auto"/>
            </w:rPr>
            <w:t>毛绒纤维经营者销售的经过加工的毛绒纤维</w:t>
          </w:r>
          <w:r>
            <w:rPr>
              <w:color w:val="auto"/>
              <w:spacing w:val="-12"/>
            </w:rPr>
            <w:t>，</w:t>
          </w:r>
          <w:r>
            <w:rPr>
              <w:color w:val="auto"/>
            </w:rPr>
            <w:t>未按国家标准</w:t>
          </w:r>
          <w:r>
            <w:rPr>
              <w:color w:val="auto"/>
              <w:spacing w:val="-12"/>
            </w:rPr>
            <w:t>、</w:t>
          </w:r>
          <w:r>
            <w:rPr>
              <w:color w:val="auto"/>
            </w:rPr>
            <w:t>技</w:t>
          </w:r>
          <w:r>
            <w:rPr>
              <w:color w:val="auto"/>
              <w:spacing w:val="-17"/>
            </w:rPr>
            <w:t>术</w:t>
          </w:r>
          <w:r>
            <w:rPr>
              <w:color w:val="auto"/>
              <w:spacing w:val="-17"/>
            </w:rPr>
            <w:fldChar w:fldCharType="end"/>
          </w:r>
          <w:r>
            <w:rPr>
              <w:color w:val="auto"/>
            </w:rPr>
            <w:t>规范进行包装并标注标识，或者标注的标识与毛绒纤维的质量、数量不相符</w:t>
          </w:r>
          <w:r>
            <w:rPr>
              <w:rFonts w:ascii="Times New Roman" w:eastAsia="Times New Roman"/>
              <w:color w:val="auto"/>
              <w:position w:val="2"/>
            </w:rPr>
            <w:t>.</w:t>
          </w:r>
          <w:r>
            <w:rPr>
              <w:rFonts w:ascii="Times New Roman" w:eastAsia="Times New Roman"/>
              <w:color w:val="auto"/>
              <w:spacing w:val="-36"/>
              <w:position w:val="2"/>
            </w:rPr>
            <w:t xml:space="preserve"> </w:t>
          </w:r>
          <w:r>
            <w:rPr>
              <w:color w:val="auto"/>
              <w:spacing w:val="-6"/>
            </w:rPr>
            <w:t xml:space="preserve">633 </w:t>
          </w:r>
          <w:r>
            <w:rPr>
              <w:color w:val="auto"/>
            </w:rPr>
            <w:fldChar w:fldCharType="begin"/>
          </w:r>
          <w:r>
            <w:rPr>
              <w:color w:val="auto"/>
            </w:rPr>
            <w:instrText xml:space="preserve"> HYPERLINK \l "_bookmark667"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"_bookmark667" </w:instrText>
          </w:r>
          <w:r>
            <w:rPr>
              <w:color w:val="auto"/>
            </w:rPr>
            <w:fldChar w:fldCharType="separate"/>
          </w:r>
          <w:r>
            <w:rPr>
              <w:color w:val="auto"/>
            </w:rPr>
            <w:t>百五十四</w:t>
          </w:r>
          <w:r>
            <w:rPr>
              <w:color w:val="auto"/>
              <w:spacing w:val="-20"/>
            </w:rPr>
            <w:t>、</w:t>
          </w:r>
          <w:r>
            <w:rPr>
              <w:color w:val="auto"/>
            </w:rPr>
            <w:t>毛绒纤维经营者批量销售的未经过加工的毛绒纤维</w:t>
          </w:r>
          <w:r>
            <w:rPr>
              <w:color w:val="auto"/>
              <w:spacing w:val="-17"/>
            </w:rPr>
            <w:t>，</w:t>
          </w:r>
          <w:r>
            <w:rPr>
              <w:color w:val="auto"/>
            </w:rPr>
            <w:t>未按净毛绒</w:t>
          </w:r>
          <w:r>
            <w:rPr>
              <w:color w:val="auto"/>
              <w:spacing w:val="-16"/>
            </w:rPr>
            <w:t>计</w:t>
          </w:r>
          <w:r>
            <w:rPr>
              <w:color w:val="auto"/>
              <w:spacing w:val="-16"/>
            </w:rPr>
            <w:fldChar w:fldCharType="end"/>
          </w:r>
          <w:r>
            <w:rPr>
              <w:color w:val="auto"/>
            </w:rPr>
            <w:t>算公量</w:t>
          </w:r>
          <w:r>
            <w:rPr>
              <w:color w:val="auto"/>
            </w:rPr>
            <w:tab/>
          </w:r>
          <w:r>
            <w:rPr>
              <w:color w:val="auto"/>
              <w:spacing w:val="-6"/>
            </w:rPr>
            <w:t>635</w:t>
          </w:r>
        </w:p>
        <w:p>
          <w:pPr>
            <w:pStyle w:val="5"/>
            <w:spacing w:line="305" w:lineRule="exact"/>
            <w:rPr>
              <w:color w:val="auto"/>
            </w:rPr>
          </w:pPr>
          <w:r>
            <w:rPr>
              <w:color w:val="auto"/>
            </w:rPr>
            <w:fldChar w:fldCharType="begin"/>
          </w:r>
          <w:r>
            <w:rPr>
              <w:color w:val="auto"/>
            </w:rPr>
            <w:instrText xml:space="preserve"> HYPERLINK \l "_bookmark668"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"_bookmark668" </w:instrText>
          </w:r>
          <w:r>
            <w:rPr>
              <w:color w:val="auto"/>
            </w:rPr>
            <w:fldChar w:fldCharType="separate"/>
          </w:r>
          <w:r>
            <w:rPr>
              <w:color w:val="auto"/>
              <w:spacing w:val="-5"/>
            </w:rPr>
            <w:t>百五十五、毛绒纤维经营者销售未实施公证检验的批量山羊绒，未向省级专业</w:t>
          </w:r>
          <w:r>
            <w:rPr>
              <w:color w:val="auto"/>
              <w:spacing w:val="-5"/>
            </w:rPr>
            <w:fldChar w:fldCharType="end"/>
          </w:r>
        </w:p>
        <w:p>
          <w:pPr>
            <w:pStyle w:val="5"/>
            <w:tabs>
              <w:tab w:val="left" w:leader="dot" w:pos="8595"/>
            </w:tabs>
            <w:spacing w:before="173" w:after="59"/>
            <w:rPr>
              <w:color w:val="auto"/>
            </w:rPr>
          </w:pPr>
          <w:r>
            <w:rPr>
              <w:color w:val="auto"/>
            </w:rPr>
            <w:t>纤维检验机构或者其指定的地（市）级以上专业纤维检验机构申请检验</w:t>
          </w:r>
          <w:r>
            <w:rPr>
              <w:color w:val="auto"/>
            </w:rPr>
            <w:tab/>
          </w:r>
          <w:r>
            <w:rPr>
              <w:color w:val="auto"/>
            </w:rPr>
            <w:t>636</w:t>
          </w:r>
        </w:p>
        <w:p>
          <w:pPr>
            <w:pStyle w:val="5"/>
            <w:tabs>
              <w:tab w:val="left" w:leader="dot" w:pos="8595"/>
            </w:tabs>
            <w:spacing w:before="127" w:line="374" w:lineRule="auto"/>
            <w:ind w:right="232"/>
            <w:jc w:val="both"/>
            <w:rPr>
              <w:color w:val="auto"/>
            </w:rPr>
          </w:pPr>
          <w:r>
            <w:rPr>
              <w:color w:val="auto"/>
            </w:rPr>
            <w:fldChar w:fldCharType="begin"/>
          </w:r>
          <w:r>
            <w:rPr>
              <w:color w:val="auto"/>
            </w:rPr>
            <w:instrText xml:space="preserve"> HYPERLINK \l "_bookmark669"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"_bookmark669" </w:instrText>
          </w:r>
          <w:r>
            <w:rPr>
              <w:color w:val="auto"/>
            </w:rPr>
            <w:fldChar w:fldCharType="separate"/>
          </w:r>
          <w:r>
            <w:rPr>
              <w:color w:val="auto"/>
            </w:rPr>
            <w:t>百五十六</w:t>
          </w:r>
          <w:r>
            <w:rPr>
              <w:color w:val="auto"/>
              <w:spacing w:val="-20"/>
            </w:rPr>
            <w:t>、</w:t>
          </w:r>
          <w:r>
            <w:rPr>
              <w:color w:val="auto"/>
            </w:rPr>
            <w:t>毛绒纤维经营者承储国家储备毛绒纤维</w:t>
          </w:r>
          <w:r>
            <w:rPr>
              <w:color w:val="auto"/>
              <w:spacing w:val="-17"/>
            </w:rPr>
            <w:t>，</w:t>
          </w:r>
          <w:r>
            <w:rPr>
              <w:color w:val="auto"/>
            </w:rPr>
            <w:t>未建立健全毛绒纤维入库</w:t>
          </w:r>
          <w:r>
            <w:rPr>
              <w:color w:val="auto"/>
            </w:rPr>
            <w:fldChar w:fldCharType="end"/>
          </w:r>
          <w:r>
            <w:rPr>
              <w:color w:val="auto"/>
            </w:rPr>
            <w:t>质量验收、出库质量检查制度，入库、出库的国家储备毛绒纤维的类别、型号</w:t>
          </w:r>
          <w:r>
            <w:rPr>
              <w:color w:val="auto"/>
              <w:spacing w:val="-17"/>
            </w:rPr>
            <w:t>、</w:t>
          </w:r>
          <w:r>
            <w:rPr>
              <w:color w:val="auto"/>
            </w:rPr>
            <w:t>等级、数量、包装、标识等与质量凭证不相符</w:t>
          </w:r>
          <w:r>
            <w:rPr>
              <w:color w:val="auto"/>
            </w:rPr>
            <w:tab/>
          </w:r>
          <w:r>
            <w:rPr>
              <w:color w:val="auto"/>
            </w:rPr>
            <w:t>637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"_bookmark670"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"_bookmark670" </w:instrText>
          </w:r>
          <w:r>
            <w:rPr>
              <w:color w:val="auto"/>
            </w:rPr>
            <w:fldChar w:fldCharType="separate"/>
          </w:r>
          <w:r>
            <w:rPr>
              <w:color w:val="auto"/>
            </w:rPr>
            <w:t>百五十七</w:t>
          </w:r>
          <w:r>
            <w:rPr>
              <w:color w:val="auto"/>
              <w:spacing w:val="-8"/>
            </w:rPr>
            <w:t>、</w:t>
          </w:r>
          <w:r>
            <w:rPr>
              <w:color w:val="auto"/>
            </w:rPr>
            <w:t>毛绒纤维经营者在收购</w:t>
          </w:r>
          <w:r>
            <w:rPr>
              <w:color w:val="auto"/>
              <w:spacing w:val="-5"/>
            </w:rPr>
            <w:t>、</w:t>
          </w:r>
          <w:r>
            <w:rPr>
              <w:color w:val="auto"/>
            </w:rPr>
            <w:t>加工</w:t>
          </w:r>
          <w:r>
            <w:rPr>
              <w:color w:val="auto"/>
              <w:spacing w:val="-8"/>
            </w:rPr>
            <w:t>、</w:t>
          </w:r>
          <w:r>
            <w:rPr>
              <w:color w:val="auto"/>
            </w:rPr>
            <w:t>销售</w:t>
          </w:r>
          <w:r>
            <w:rPr>
              <w:color w:val="auto"/>
              <w:spacing w:val="-5"/>
            </w:rPr>
            <w:t>、</w:t>
          </w:r>
          <w:r>
            <w:rPr>
              <w:color w:val="auto"/>
            </w:rPr>
            <w:t>承储活动中伪造</w:t>
          </w:r>
          <w:r>
            <w:rPr>
              <w:color w:val="auto"/>
              <w:spacing w:val="-8"/>
            </w:rPr>
            <w:t>、</w:t>
          </w:r>
          <w:r>
            <w:rPr>
              <w:color w:val="auto"/>
            </w:rPr>
            <w:t>变造</w:t>
          </w:r>
          <w:r>
            <w:rPr>
              <w:color w:val="auto"/>
              <w:spacing w:val="-5"/>
            </w:rPr>
            <w:t>、</w:t>
          </w:r>
          <w:r>
            <w:rPr>
              <w:color w:val="auto"/>
              <w:spacing w:val="-14"/>
            </w:rPr>
            <w:t>冒</w:t>
          </w:r>
          <w:r>
            <w:rPr>
              <w:color w:val="auto"/>
              <w:spacing w:val="-14"/>
            </w:rPr>
            <w:fldChar w:fldCharType="end"/>
          </w:r>
          <w:r>
            <w:rPr>
              <w:color w:val="auto"/>
            </w:rPr>
            <w:t>用毛绒纤维质量凭证、标识、毛绒纤维质量公证检验证书和标志</w:t>
          </w:r>
          <w:r>
            <w:rPr>
              <w:color w:val="auto"/>
            </w:rPr>
            <w:tab/>
          </w:r>
          <w:r>
            <w:rPr>
              <w:color w:val="auto"/>
              <w:spacing w:val="-6"/>
            </w:rPr>
            <w:t>639</w:t>
          </w:r>
        </w:p>
        <w:p>
          <w:pPr>
            <w:pStyle w:val="5"/>
            <w:tabs>
              <w:tab w:val="left" w:leader="dot" w:pos="8595"/>
            </w:tabs>
            <w:spacing w:line="308" w:lineRule="exact"/>
            <w:rPr>
              <w:color w:val="auto"/>
            </w:rPr>
          </w:pPr>
          <w:r>
            <w:rPr>
              <w:color w:val="auto"/>
            </w:rPr>
            <w:fldChar w:fldCharType="begin"/>
          </w:r>
          <w:r>
            <w:rPr>
              <w:color w:val="auto"/>
            </w:rPr>
            <w:instrText xml:space="preserve"> HYPERLINK \l "_bookmark671" </w:instrText>
          </w:r>
          <w:r>
            <w:rPr>
              <w:color w:val="auto"/>
            </w:rPr>
            <w:fldChar w:fldCharType="separate"/>
          </w:r>
          <w:r>
            <w:rPr>
              <w:color w:val="auto"/>
            </w:rPr>
            <w:t>六百五十八、在麻类纤维经营活动中掺杂掺假、以假充真、以次充好</w:t>
          </w:r>
          <w:r>
            <w:rPr>
              <w:color w:val="auto"/>
            </w:rPr>
            <w:tab/>
          </w:r>
          <w:r>
            <w:rPr>
              <w:color w:val="auto"/>
            </w:rPr>
            <w:t>640</w:t>
          </w:r>
          <w:r>
            <w:rPr>
              <w:color w:val="auto"/>
            </w:rPr>
            <w:fldChar w:fldCharType="end"/>
          </w:r>
        </w:p>
        <w:p>
          <w:pPr>
            <w:pStyle w:val="5"/>
            <w:tabs>
              <w:tab w:val="left" w:leader="dot" w:pos="8595"/>
            </w:tabs>
            <w:spacing w:before="173" w:line="374" w:lineRule="auto"/>
            <w:ind w:right="148"/>
            <w:rPr>
              <w:color w:val="auto"/>
            </w:rPr>
          </w:pPr>
          <w:r>
            <w:rPr>
              <w:color w:val="auto"/>
            </w:rPr>
            <w:fldChar w:fldCharType="begin"/>
          </w:r>
          <w:r>
            <w:rPr>
              <w:color w:val="auto"/>
            </w:rPr>
            <w:instrText xml:space="preserve"> HYPERLINK \l "_bookmark672"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"_bookmark672" </w:instrText>
          </w:r>
          <w:r>
            <w:rPr>
              <w:color w:val="auto"/>
            </w:rPr>
            <w:fldChar w:fldCharType="separate"/>
          </w:r>
          <w:r>
            <w:rPr>
              <w:color w:val="auto"/>
            </w:rPr>
            <w:t>百五十九</w:t>
          </w:r>
          <w:r>
            <w:rPr>
              <w:color w:val="auto"/>
              <w:spacing w:val="-80"/>
            </w:rPr>
            <w:t>、</w:t>
          </w:r>
          <w:r>
            <w:rPr>
              <w:color w:val="auto"/>
            </w:rPr>
            <w:t>麻类纤维经营者收购麻类纤维</w:t>
          </w:r>
          <w:r>
            <w:rPr>
              <w:color w:val="auto"/>
              <w:spacing w:val="-77"/>
            </w:rPr>
            <w:t>，</w:t>
          </w:r>
          <w:r>
            <w:rPr>
              <w:color w:val="auto"/>
            </w:rPr>
            <w:t>不具备麻类纤维收购质量验收制度</w:t>
          </w:r>
          <w:r>
            <w:rPr>
              <w:color w:val="auto"/>
              <w:spacing w:val="-16"/>
            </w:rPr>
            <w:t>、</w:t>
          </w:r>
          <w:r>
            <w:rPr>
              <w:color w:val="auto"/>
              <w:spacing w:val="-16"/>
            </w:rPr>
            <w:fldChar w:fldCharType="end"/>
          </w:r>
          <w:r>
            <w:rPr>
              <w:color w:val="auto"/>
            </w:rPr>
            <w:t>相应的文字标准和实物标准样品等质量保证基本条件</w:t>
          </w:r>
          <w:r>
            <w:rPr>
              <w:color w:val="auto"/>
            </w:rPr>
            <w:tab/>
          </w:r>
          <w:r>
            <w:rPr>
              <w:color w:val="auto"/>
            </w:rPr>
            <w:t>641</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"_bookmark673"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"_bookmark673" </w:instrText>
          </w:r>
          <w:r>
            <w:rPr>
              <w:color w:val="auto"/>
            </w:rPr>
            <w:fldChar w:fldCharType="separate"/>
          </w:r>
          <w:r>
            <w:rPr>
              <w:color w:val="auto"/>
            </w:rPr>
            <w:t>百六十</w:t>
          </w:r>
          <w:r>
            <w:rPr>
              <w:color w:val="auto"/>
              <w:spacing w:val="-12"/>
            </w:rPr>
            <w:t>、</w:t>
          </w:r>
          <w:r>
            <w:rPr>
              <w:color w:val="auto"/>
            </w:rPr>
            <w:t>麻类纤维经营者收购麻类纤维</w:t>
          </w:r>
          <w:r>
            <w:rPr>
              <w:color w:val="auto"/>
              <w:spacing w:val="-12"/>
            </w:rPr>
            <w:t>，</w:t>
          </w:r>
          <w:r>
            <w:rPr>
              <w:color w:val="auto"/>
            </w:rPr>
            <w:t>未按照国家标准</w:t>
          </w:r>
          <w:r>
            <w:rPr>
              <w:color w:val="auto"/>
              <w:spacing w:val="-12"/>
            </w:rPr>
            <w:t>、</w:t>
          </w:r>
          <w:r>
            <w:rPr>
              <w:color w:val="auto"/>
            </w:rPr>
            <w:t>技术规范确定所</w:t>
          </w:r>
          <w:r>
            <w:rPr>
              <w:color w:val="auto"/>
              <w:spacing w:val="-17"/>
            </w:rPr>
            <w:t>收</w:t>
          </w:r>
          <w:r>
            <w:rPr>
              <w:color w:val="auto"/>
              <w:spacing w:val="-17"/>
            </w:rPr>
            <w:fldChar w:fldCharType="end"/>
          </w:r>
          <w:r>
            <w:rPr>
              <w:color w:val="auto"/>
            </w:rPr>
            <w:t>购麻类纤维的品种、类别、季别、等级、重量并分别置放</w:t>
          </w:r>
          <w:r>
            <w:rPr>
              <w:color w:val="auto"/>
            </w:rPr>
            <w:tab/>
          </w:r>
          <w:r>
            <w:rPr>
              <w:color w:val="auto"/>
              <w:spacing w:val="-6"/>
            </w:rPr>
            <w:t>642</w:t>
          </w:r>
        </w:p>
        <w:p>
          <w:pPr>
            <w:pStyle w:val="5"/>
            <w:tabs>
              <w:tab w:val="left" w:leader="dot" w:pos="8595"/>
            </w:tabs>
            <w:spacing w:before="1" w:line="374" w:lineRule="auto"/>
            <w:ind w:right="232"/>
            <w:rPr>
              <w:color w:val="auto"/>
            </w:rPr>
          </w:pPr>
          <w:r>
            <w:rPr>
              <w:color w:val="auto"/>
            </w:rPr>
            <w:fldChar w:fldCharType="begin"/>
          </w:r>
          <w:r>
            <w:rPr>
              <w:color w:val="auto"/>
            </w:rPr>
            <w:instrText xml:space="preserve"> HYPERLINK \l "_bookmark674"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"_bookmark674" </w:instrText>
          </w:r>
          <w:r>
            <w:rPr>
              <w:color w:val="auto"/>
            </w:rPr>
            <w:fldChar w:fldCharType="separate"/>
          </w:r>
          <w:r>
            <w:rPr>
              <w:color w:val="auto"/>
            </w:rPr>
            <w:t>百六十一、麻类纤维经营者收购麻类纤维，未按照国家标准、技术规范挑拣</w:t>
          </w:r>
          <w:r>
            <w:rPr>
              <w:color w:val="auto"/>
              <w:spacing w:val="-17"/>
            </w:rPr>
            <w:t>、</w:t>
          </w:r>
          <w:r>
            <w:rPr>
              <w:color w:val="auto"/>
              <w:spacing w:val="-17"/>
            </w:rPr>
            <w:fldChar w:fldCharType="end"/>
          </w:r>
          <w:r>
            <w:rPr>
              <w:color w:val="auto"/>
            </w:rPr>
            <w:t>排除麻类纤维中的异性纤维及其他非麻类纤维物质</w:t>
          </w:r>
          <w:r>
            <w:rPr>
              <w:color w:val="auto"/>
            </w:rPr>
            <w:tab/>
          </w:r>
          <w:r>
            <w:rPr>
              <w:color w:val="auto"/>
            </w:rPr>
            <w:t>643</w:t>
          </w:r>
        </w:p>
        <w:p>
          <w:pPr>
            <w:pStyle w:val="5"/>
            <w:tabs>
              <w:tab w:val="left" w:leader="dot" w:pos="8595"/>
            </w:tabs>
            <w:spacing w:line="374" w:lineRule="auto"/>
            <w:ind w:right="232"/>
            <w:rPr>
              <w:color w:val="auto"/>
            </w:rPr>
          </w:pPr>
          <w:r>
            <w:rPr>
              <w:color w:val="auto"/>
            </w:rPr>
            <w:fldChar w:fldCharType="begin"/>
          </w:r>
          <w:r>
            <w:rPr>
              <w:color w:val="auto"/>
            </w:rPr>
            <w:instrText xml:space="preserve"> HYPERLINK \l "_bookmark675"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"_bookmark675" </w:instrText>
          </w:r>
          <w:r>
            <w:rPr>
              <w:color w:val="auto"/>
            </w:rPr>
            <w:fldChar w:fldCharType="separate"/>
          </w:r>
          <w:r>
            <w:rPr>
              <w:color w:val="auto"/>
            </w:rPr>
            <w:t>百六十二、麻类纤维经营者对收购的水分含量超过国家标准规定的麻类纤维</w:t>
          </w:r>
          <w:r>
            <w:rPr>
              <w:color w:val="auto"/>
              <w:spacing w:val="-17"/>
            </w:rPr>
            <w:t xml:space="preserve">， </w:t>
          </w:r>
          <w:r>
            <w:rPr>
              <w:color w:val="auto"/>
              <w:spacing w:val="-17"/>
            </w:rPr>
            <w:fldChar w:fldCharType="end"/>
          </w:r>
          <w:r>
            <w:rPr>
              <w:color w:val="auto"/>
            </w:rPr>
            <w:t>未进行晾晒等技术处理</w:t>
          </w:r>
          <w:r>
            <w:rPr>
              <w:color w:val="auto"/>
            </w:rPr>
            <w:tab/>
          </w:r>
          <w:r>
            <w:rPr>
              <w:color w:val="auto"/>
            </w:rPr>
            <w:t>644</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"_bookmark676"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"_bookmark676" </w:instrText>
          </w:r>
          <w:r>
            <w:rPr>
              <w:color w:val="auto"/>
            </w:rPr>
            <w:fldChar w:fldCharType="separate"/>
          </w:r>
          <w:r>
            <w:rPr>
              <w:color w:val="auto"/>
            </w:rPr>
            <w:t>百六十三</w:t>
          </w:r>
          <w:r>
            <w:rPr>
              <w:color w:val="auto"/>
              <w:spacing w:val="-20"/>
            </w:rPr>
            <w:t>、</w:t>
          </w:r>
          <w:r>
            <w:rPr>
              <w:color w:val="auto"/>
            </w:rPr>
            <w:t>麻类纤维经营者从事麻类纤维加工活动</w:t>
          </w:r>
          <w:r>
            <w:rPr>
              <w:color w:val="auto"/>
              <w:spacing w:val="-17"/>
            </w:rPr>
            <w:t>，</w:t>
          </w:r>
          <w:r>
            <w:rPr>
              <w:color w:val="auto"/>
            </w:rPr>
            <w:t>不具备符合规定的质量</w:t>
          </w:r>
          <w:r>
            <w:rPr>
              <w:color w:val="auto"/>
              <w:spacing w:val="-16"/>
            </w:rPr>
            <w:t>标</w:t>
          </w:r>
          <w:r>
            <w:rPr>
              <w:color w:val="auto"/>
              <w:spacing w:val="-16"/>
            </w:rPr>
            <w:fldChar w:fldCharType="end"/>
          </w:r>
          <w:r>
            <w:rPr>
              <w:color w:val="auto"/>
            </w:rPr>
            <w:t>准</w:t>
          </w:r>
          <w:r>
            <w:rPr>
              <w:color w:val="auto"/>
              <w:spacing w:val="-10"/>
            </w:rPr>
            <w:t>、</w:t>
          </w:r>
          <w:r>
            <w:rPr>
              <w:color w:val="auto"/>
            </w:rPr>
            <w:t>检验设备和环境</w:t>
          </w:r>
          <w:r>
            <w:rPr>
              <w:color w:val="auto"/>
              <w:spacing w:val="-10"/>
            </w:rPr>
            <w:t>、</w:t>
          </w:r>
          <w:r>
            <w:rPr>
              <w:color w:val="auto"/>
            </w:rPr>
            <w:t>检验人员</w:t>
          </w:r>
          <w:r>
            <w:rPr>
              <w:color w:val="auto"/>
              <w:spacing w:val="-8"/>
            </w:rPr>
            <w:t>、</w:t>
          </w:r>
          <w:r>
            <w:rPr>
              <w:color w:val="auto"/>
            </w:rPr>
            <w:t>加工机械和加工场所</w:t>
          </w:r>
          <w:r>
            <w:rPr>
              <w:color w:val="auto"/>
              <w:spacing w:val="-10"/>
            </w:rPr>
            <w:t>、</w:t>
          </w:r>
          <w:r>
            <w:rPr>
              <w:color w:val="auto"/>
            </w:rPr>
            <w:t>质量保证制度等质量</w:t>
          </w:r>
          <w:r>
            <w:rPr>
              <w:color w:val="auto"/>
              <w:spacing w:val="-15"/>
            </w:rPr>
            <w:t>保</w:t>
          </w:r>
          <w:r>
            <w:rPr>
              <w:color w:val="auto"/>
            </w:rPr>
            <w:t>证基本条件</w:t>
          </w:r>
          <w:r>
            <w:rPr>
              <w:color w:val="auto"/>
            </w:rPr>
            <w:tab/>
          </w:r>
          <w:r>
            <w:rPr>
              <w:color w:val="auto"/>
              <w:spacing w:val="-6"/>
            </w:rPr>
            <w:t>645</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"_bookmark677"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"_bookmark677" </w:instrText>
          </w:r>
          <w:r>
            <w:rPr>
              <w:color w:val="auto"/>
            </w:rPr>
            <w:fldChar w:fldCharType="separate"/>
          </w:r>
          <w:r>
            <w:rPr>
              <w:color w:val="auto"/>
            </w:rPr>
            <w:t>百六十四</w:t>
          </w:r>
          <w:r>
            <w:rPr>
              <w:color w:val="auto"/>
              <w:spacing w:val="-12"/>
            </w:rPr>
            <w:t>、</w:t>
          </w:r>
          <w:r>
            <w:rPr>
              <w:color w:val="auto"/>
            </w:rPr>
            <w:t>麻类纤维经营者从事麻类纤维加工活动</w:t>
          </w:r>
          <w:r>
            <w:rPr>
              <w:color w:val="auto"/>
              <w:spacing w:val="-12"/>
            </w:rPr>
            <w:t>，</w:t>
          </w:r>
          <w:r>
            <w:rPr>
              <w:color w:val="auto"/>
            </w:rPr>
            <w:t>未挑拣</w:t>
          </w:r>
          <w:r>
            <w:rPr>
              <w:color w:val="auto"/>
              <w:spacing w:val="-12"/>
            </w:rPr>
            <w:t>、</w:t>
          </w:r>
          <w:r>
            <w:rPr>
              <w:color w:val="auto"/>
            </w:rPr>
            <w:t>排除麻类纤维</w:t>
          </w:r>
          <w:r>
            <w:rPr>
              <w:color w:val="auto"/>
              <w:spacing w:val="-17"/>
            </w:rPr>
            <w:t>中</w:t>
          </w:r>
          <w:r>
            <w:rPr>
              <w:color w:val="auto"/>
              <w:spacing w:val="-17"/>
            </w:rPr>
            <w:fldChar w:fldCharType="end"/>
          </w:r>
          <w:r>
            <w:rPr>
              <w:color w:val="auto"/>
            </w:rPr>
            <w:t>的异性纤维及其他非麻类纤维物质</w:t>
          </w:r>
          <w:r>
            <w:rPr>
              <w:color w:val="auto"/>
            </w:rPr>
            <w:tab/>
          </w:r>
          <w:r>
            <w:rPr>
              <w:color w:val="auto"/>
              <w:spacing w:val="-6"/>
            </w:rPr>
            <w:t>646</w:t>
          </w:r>
        </w:p>
        <w:p>
          <w:pPr>
            <w:pStyle w:val="5"/>
            <w:tabs>
              <w:tab w:val="left" w:leader="dot" w:pos="8595"/>
            </w:tabs>
            <w:spacing w:line="374" w:lineRule="auto"/>
            <w:ind w:left="548" w:right="268" w:firstLine="43"/>
            <w:rPr>
              <w:color w:val="auto"/>
            </w:rPr>
          </w:pPr>
          <w:r>
            <w:rPr>
              <w:color w:val="auto"/>
            </w:rPr>
            <w:fldChar w:fldCharType="begin"/>
          </w:r>
          <w:r>
            <w:rPr>
              <w:color w:val="auto"/>
            </w:rPr>
            <w:instrText xml:space="preserve"> HYPERLINK \l "_bookmark678" </w:instrText>
          </w:r>
          <w:r>
            <w:rPr>
              <w:color w:val="auto"/>
            </w:rPr>
            <w:fldChar w:fldCharType="separate"/>
          </w:r>
          <w:r>
            <w:rPr>
              <w:color w:val="auto"/>
              <w:spacing w:val="-22"/>
            </w:rPr>
            <w:t>六</w:t>
          </w:r>
          <w:r>
            <w:rPr>
              <w:color w:val="auto"/>
              <w:spacing w:val="-22"/>
            </w:rPr>
            <w:fldChar w:fldCharType="end"/>
          </w:r>
          <w:r>
            <w:rPr>
              <w:color w:val="auto"/>
            </w:rPr>
            <w:fldChar w:fldCharType="begin"/>
          </w:r>
          <w:r>
            <w:rPr>
              <w:color w:val="auto"/>
            </w:rPr>
            <w:instrText xml:space="preserve"> HYPERLINK \l "_bookmark678" </w:instrText>
          </w:r>
          <w:r>
            <w:rPr>
              <w:color w:val="auto"/>
            </w:rPr>
            <w:fldChar w:fldCharType="separate"/>
          </w:r>
          <w:r>
            <w:rPr>
              <w:color w:val="auto"/>
              <w:spacing w:val="-22"/>
            </w:rPr>
            <w:t>百</w:t>
          </w:r>
          <w:r>
            <w:rPr>
              <w:color w:val="auto"/>
              <w:spacing w:val="-24"/>
            </w:rPr>
            <w:t>六</w:t>
          </w:r>
          <w:r>
            <w:rPr>
              <w:color w:val="auto"/>
              <w:spacing w:val="-22"/>
            </w:rPr>
            <w:t>十五、麻类</w:t>
          </w:r>
          <w:r>
            <w:rPr>
              <w:color w:val="auto"/>
              <w:spacing w:val="-24"/>
            </w:rPr>
            <w:t>纤</w:t>
          </w:r>
          <w:r>
            <w:rPr>
              <w:color w:val="auto"/>
              <w:spacing w:val="-22"/>
            </w:rPr>
            <w:t>维经营者从</w:t>
          </w:r>
          <w:r>
            <w:rPr>
              <w:color w:val="auto"/>
              <w:spacing w:val="-24"/>
            </w:rPr>
            <w:t>事</w:t>
          </w:r>
          <w:r>
            <w:rPr>
              <w:color w:val="auto"/>
              <w:spacing w:val="-22"/>
            </w:rPr>
            <w:t>麻类纤维加</w:t>
          </w:r>
          <w:r>
            <w:rPr>
              <w:color w:val="auto"/>
              <w:spacing w:val="-24"/>
            </w:rPr>
            <w:t>工</w:t>
          </w:r>
          <w:r>
            <w:rPr>
              <w:color w:val="auto"/>
              <w:spacing w:val="-22"/>
            </w:rPr>
            <w:t>活动，未按</w:t>
          </w:r>
          <w:r>
            <w:rPr>
              <w:color w:val="auto"/>
              <w:spacing w:val="-24"/>
            </w:rPr>
            <w:t>照</w:t>
          </w:r>
          <w:r>
            <w:rPr>
              <w:color w:val="auto"/>
              <w:spacing w:val="-22"/>
            </w:rPr>
            <w:t>国家标准、</w:t>
          </w:r>
          <w:r>
            <w:rPr>
              <w:color w:val="auto"/>
              <w:spacing w:val="-24"/>
            </w:rPr>
            <w:t>技</w:t>
          </w:r>
          <w:r>
            <w:rPr>
              <w:color w:val="auto"/>
              <w:spacing w:val="-22"/>
            </w:rPr>
            <w:t>术规范对</w:t>
          </w:r>
          <w:r>
            <w:rPr>
              <w:color w:val="auto"/>
            </w:rPr>
            <w:t>麻</w:t>
          </w:r>
          <w:r>
            <w:rPr>
              <w:color w:val="auto"/>
            </w:rPr>
            <w:fldChar w:fldCharType="end"/>
          </w:r>
          <w:r>
            <w:rPr>
              <w:color w:val="auto"/>
              <w:spacing w:val="-22"/>
            </w:rPr>
            <w:t>类纤</w:t>
          </w:r>
          <w:r>
            <w:rPr>
              <w:color w:val="auto"/>
              <w:spacing w:val="-24"/>
            </w:rPr>
            <w:t>维</w:t>
          </w:r>
          <w:r>
            <w:rPr>
              <w:color w:val="auto"/>
              <w:spacing w:val="-22"/>
            </w:rPr>
            <w:t>分品种、分</w:t>
          </w:r>
          <w:r>
            <w:rPr>
              <w:color w:val="auto"/>
              <w:spacing w:val="-24"/>
            </w:rPr>
            <w:t>类</w:t>
          </w:r>
          <w:r>
            <w:rPr>
              <w:color w:val="auto"/>
              <w:spacing w:val="-22"/>
            </w:rPr>
            <w:t>别、分等级</w:t>
          </w:r>
          <w:r>
            <w:rPr>
              <w:color w:val="auto"/>
              <w:spacing w:val="-24"/>
            </w:rPr>
            <w:t>加</w:t>
          </w:r>
          <w:r>
            <w:rPr>
              <w:color w:val="auto"/>
              <w:spacing w:val="-22"/>
            </w:rPr>
            <w:t>工，或者未</w:t>
          </w:r>
          <w:r>
            <w:rPr>
              <w:color w:val="auto"/>
              <w:spacing w:val="-24"/>
            </w:rPr>
            <w:t>对</w:t>
          </w:r>
          <w:r>
            <w:rPr>
              <w:color w:val="auto"/>
              <w:spacing w:val="-22"/>
            </w:rPr>
            <w:t>加工后的麻</w:t>
          </w:r>
          <w:r>
            <w:rPr>
              <w:color w:val="auto"/>
              <w:spacing w:val="-24"/>
            </w:rPr>
            <w:t>类</w:t>
          </w:r>
          <w:r>
            <w:rPr>
              <w:color w:val="auto"/>
              <w:spacing w:val="-22"/>
            </w:rPr>
            <w:t>纤维组批置</w:t>
          </w:r>
          <w:r>
            <w:rPr>
              <w:color w:val="auto"/>
              <w:spacing w:val="-24"/>
            </w:rPr>
            <w:t>放</w:t>
          </w:r>
          <w:r>
            <w:rPr>
              <w:color w:val="auto"/>
              <w:spacing w:val="-24"/>
            </w:rPr>
            <w:tab/>
          </w:r>
          <w:r>
            <w:rPr>
              <w:color w:val="auto"/>
              <w:spacing w:val="-6"/>
            </w:rPr>
            <w:t>647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"_bookmark679"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"_bookmark679" </w:instrText>
          </w:r>
          <w:r>
            <w:rPr>
              <w:color w:val="auto"/>
            </w:rPr>
            <w:fldChar w:fldCharType="separate"/>
          </w:r>
          <w:r>
            <w:rPr>
              <w:color w:val="auto"/>
            </w:rPr>
            <w:t>百六十六</w:t>
          </w:r>
          <w:r>
            <w:rPr>
              <w:color w:val="auto"/>
              <w:spacing w:val="-12"/>
            </w:rPr>
            <w:t>、</w:t>
          </w:r>
          <w:r>
            <w:rPr>
              <w:color w:val="auto"/>
            </w:rPr>
            <w:t>麻类纤维经营者从事麻类纤维加工活动</w:t>
          </w:r>
          <w:r>
            <w:rPr>
              <w:color w:val="auto"/>
              <w:spacing w:val="-12"/>
            </w:rPr>
            <w:t>，</w:t>
          </w:r>
          <w:r>
            <w:rPr>
              <w:color w:val="auto"/>
            </w:rPr>
            <w:t>未按国家标准</w:t>
          </w:r>
          <w:r>
            <w:rPr>
              <w:color w:val="auto"/>
              <w:spacing w:val="-12"/>
            </w:rPr>
            <w:t>、</w:t>
          </w:r>
          <w:r>
            <w:rPr>
              <w:color w:val="auto"/>
            </w:rPr>
            <w:t>技术规</w:t>
          </w:r>
          <w:r>
            <w:rPr>
              <w:color w:val="auto"/>
              <w:spacing w:val="-17"/>
            </w:rPr>
            <w:t>范</w:t>
          </w:r>
          <w:r>
            <w:rPr>
              <w:color w:val="auto"/>
              <w:spacing w:val="-17"/>
            </w:rPr>
            <w:fldChar w:fldCharType="end"/>
          </w:r>
          <w:r>
            <w:rPr>
              <w:color w:val="auto"/>
            </w:rPr>
            <w:t>对加工后的麻类纤维进行包装</w:t>
          </w:r>
          <w:r>
            <w:rPr>
              <w:color w:val="auto"/>
            </w:rPr>
            <w:tab/>
          </w:r>
          <w:r>
            <w:rPr>
              <w:color w:val="auto"/>
              <w:spacing w:val="-6"/>
            </w:rPr>
            <w:t>648</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"_bookmark680"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"_bookmark680" </w:instrText>
          </w:r>
          <w:r>
            <w:rPr>
              <w:color w:val="auto"/>
            </w:rPr>
            <w:fldChar w:fldCharType="separate"/>
          </w:r>
          <w:r>
            <w:rPr>
              <w:color w:val="auto"/>
            </w:rPr>
            <w:t>百六十七</w:t>
          </w:r>
          <w:r>
            <w:rPr>
              <w:color w:val="auto"/>
              <w:spacing w:val="-20"/>
            </w:rPr>
            <w:t>、</w:t>
          </w:r>
          <w:r>
            <w:rPr>
              <w:color w:val="auto"/>
            </w:rPr>
            <w:t>麻类纤维经营者从事麻类纤维加工活动</w:t>
          </w:r>
          <w:r>
            <w:rPr>
              <w:color w:val="auto"/>
              <w:spacing w:val="-17"/>
            </w:rPr>
            <w:t>，</w:t>
          </w:r>
          <w:r>
            <w:rPr>
              <w:color w:val="auto"/>
            </w:rPr>
            <w:t>未按规定要求对加工后</w:t>
          </w:r>
          <w:r>
            <w:rPr>
              <w:color w:val="auto"/>
              <w:spacing w:val="-16"/>
            </w:rPr>
            <w:t>的</w:t>
          </w:r>
          <w:r>
            <w:rPr>
              <w:color w:val="auto"/>
              <w:spacing w:val="-16"/>
            </w:rPr>
            <w:fldChar w:fldCharType="end"/>
          </w:r>
          <w:r>
            <w:rPr>
              <w:color w:val="auto"/>
            </w:rPr>
            <w:t>麻类纤维标注标识</w:t>
          </w:r>
          <w:r>
            <w:rPr>
              <w:color w:val="auto"/>
            </w:rPr>
            <w:tab/>
          </w:r>
          <w:r>
            <w:rPr>
              <w:color w:val="auto"/>
              <w:spacing w:val="-6"/>
            </w:rPr>
            <w:t>649</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"_bookmark681"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"_bookmark681" </w:instrText>
          </w:r>
          <w:r>
            <w:rPr>
              <w:color w:val="auto"/>
            </w:rPr>
            <w:fldChar w:fldCharType="separate"/>
          </w:r>
          <w:r>
            <w:rPr>
              <w:color w:val="auto"/>
            </w:rPr>
            <w:t>百六十八</w:t>
          </w:r>
          <w:r>
            <w:rPr>
              <w:color w:val="auto"/>
              <w:spacing w:val="-12"/>
            </w:rPr>
            <w:t>、</w:t>
          </w:r>
          <w:r>
            <w:rPr>
              <w:color w:val="auto"/>
            </w:rPr>
            <w:t>麻类纤维经营者加工的麻类纤维</w:t>
          </w:r>
          <w:r>
            <w:rPr>
              <w:color w:val="auto"/>
              <w:spacing w:val="-12"/>
            </w:rPr>
            <w:t>，</w:t>
          </w:r>
          <w:r>
            <w:rPr>
              <w:color w:val="auto"/>
            </w:rPr>
            <w:t>标识和质量凭证与质量</w:t>
          </w:r>
          <w:r>
            <w:rPr>
              <w:color w:val="auto"/>
              <w:spacing w:val="-12"/>
            </w:rPr>
            <w:t>、</w:t>
          </w:r>
          <w:r>
            <w:rPr>
              <w:color w:val="auto"/>
            </w:rPr>
            <w:t>数量</w:t>
          </w:r>
          <w:r>
            <w:rPr>
              <w:color w:val="auto"/>
              <w:spacing w:val="-17"/>
            </w:rPr>
            <w:t>不</w:t>
          </w:r>
          <w:r>
            <w:rPr>
              <w:color w:val="auto"/>
              <w:spacing w:val="-17"/>
            </w:rPr>
            <w:fldChar w:fldCharType="end"/>
          </w:r>
          <w:r>
            <w:rPr>
              <w:color w:val="auto"/>
            </w:rPr>
            <w:t>相符</w:t>
          </w:r>
          <w:r>
            <w:rPr>
              <w:color w:val="auto"/>
            </w:rPr>
            <w:tab/>
          </w:r>
          <w:r>
            <w:rPr>
              <w:color w:val="auto"/>
              <w:spacing w:val="-6"/>
            </w:rPr>
            <w:t>650</w:t>
          </w:r>
        </w:p>
        <w:p>
          <w:pPr>
            <w:pStyle w:val="5"/>
            <w:tabs>
              <w:tab w:val="left" w:leader="dot" w:pos="8595"/>
            </w:tabs>
            <w:spacing w:after="240" w:line="308" w:lineRule="exact"/>
            <w:rPr>
              <w:color w:val="auto"/>
            </w:rPr>
          </w:pPr>
          <w:r>
            <w:rPr>
              <w:color w:val="auto"/>
            </w:rPr>
            <w:fldChar w:fldCharType="begin"/>
          </w:r>
          <w:r>
            <w:rPr>
              <w:color w:val="auto"/>
            </w:rPr>
            <w:instrText xml:space="preserve"> HYPERLINK \l "_bookmark682" </w:instrText>
          </w:r>
          <w:r>
            <w:rPr>
              <w:color w:val="auto"/>
            </w:rPr>
            <w:fldChar w:fldCharType="separate"/>
          </w:r>
          <w:r>
            <w:rPr>
              <w:color w:val="auto"/>
            </w:rPr>
            <w:t>六百六十九、麻类纤维经营者销售的麻类纤维未每批附有质量凭证</w:t>
          </w:r>
          <w:r>
            <w:rPr>
              <w:color w:val="auto"/>
            </w:rPr>
            <w:tab/>
          </w:r>
          <w:r>
            <w:rPr>
              <w:color w:val="auto"/>
            </w:rPr>
            <w:t>651</w:t>
          </w:r>
          <w:r>
            <w:rPr>
              <w:color w:val="auto"/>
            </w:rPr>
            <w:fldChar w:fldCharType="end"/>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"_bookmark683"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"_bookmark683" </w:instrText>
          </w:r>
          <w:r>
            <w:rPr>
              <w:color w:val="auto"/>
            </w:rPr>
            <w:fldChar w:fldCharType="separate"/>
          </w:r>
          <w:r>
            <w:rPr>
              <w:color w:val="auto"/>
            </w:rPr>
            <w:t>百七十</w:t>
          </w:r>
          <w:r>
            <w:rPr>
              <w:color w:val="auto"/>
              <w:spacing w:val="-12"/>
            </w:rPr>
            <w:t>、</w:t>
          </w:r>
          <w:r>
            <w:rPr>
              <w:color w:val="auto"/>
            </w:rPr>
            <w:t>麻类纤维经营者销售麻类纤维</w:t>
          </w:r>
          <w:r>
            <w:rPr>
              <w:color w:val="auto"/>
              <w:spacing w:val="-12"/>
            </w:rPr>
            <w:t>，</w:t>
          </w:r>
          <w:r>
            <w:rPr>
              <w:color w:val="auto"/>
            </w:rPr>
            <w:t>未按照国家标准</w:t>
          </w:r>
          <w:r>
            <w:rPr>
              <w:color w:val="auto"/>
              <w:spacing w:val="-12"/>
            </w:rPr>
            <w:t>、</w:t>
          </w:r>
          <w:r>
            <w:rPr>
              <w:color w:val="auto"/>
            </w:rPr>
            <w:t>技术规范进行包</w:t>
          </w:r>
          <w:r>
            <w:rPr>
              <w:color w:val="auto"/>
              <w:spacing w:val="-17"/>
            </w:rPr>
            <w:t>装</w:t>
          </w:r>
          <w:r>
            <w:rPr>
              <w:color w:val="auto"/>
              <w:spacing w:val="-17"/>
            </w:rPr>
            <w:fldChar w:fldCharType="end"/>
          </w:r>
          <w:r>
            <w:rPr>
              <w:color w:val="auto"/>
            </w:rPr>
            <w:t>或标注标识</w:t>
          </w:r>
          <w:r>
            <w:rPr>
              <w:color w:val="auto"/>
            </w:rPr>
            <w:tab/>
          </w:r>
          <w:r>
            <w:rPr>
              <w:color w:val="auto"/>
              <w:spacing w:val="-6"/>
            </w:rPr>
            <w:t>652</w:t>
          </w:r>
        </w:p>
        <w:p>
          <w:pPr>
            <w:pStyle w:val="5"/>
            <w:tabs>
              <w:tab w:val="left" w:leader="dot" w:pos="8595"/>
            </w:tabs>
            <w:spacing w:before="1" w:line="374" w:lineRule="auto"/>
            <w:ind w:right="232"/>
            <w:rPr>
              <w:color w:val="auto"/>
            </w:rPr>
          </w:pPr>
          <w:r>
            <w:rPr>
              <w:color w:val="auto"/>
            </w:rPr>
            <w:fldChar w:fldCharType="begin"/>
          </w:r>
          <w:r>
            <w:rPr>
              <w:color w:val="auto"/>
            </w:rPr>
            <w:instrText xml:space="preserve"> HYPERLINK \l "_bookmark684"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"_bookmark684" </w:instrText>
          </w:r>
          <w:r>
            <w:rPr>
              <w:color w:val="auto"/>
            </w:rPr>
            <w:fldChar w:fldCharType="separate"/>
          </w:r>
          <w:r>
            <w:rPr>
              <w:color w:val="auto"/>
            </w:rPr>
            <w:t>百七十一、麻类纤维经营者销售的麻类纤维，品种、等级、重量与质量凭证</w:t>
          </w:r>
          <w:r>
            <w:rPr>
              <w:color w:val="auto"/>
              <w:spacing w:val="-17"/>
            </w:rPr>
            <w:t>、</w:t>
          </w:r>
          <w:r>
            <w:rPr>
              <w:color w:val="auto"/>
              <w:spacing w:val="-17"/>
            </w:rPr>
            <w:fldChar w:fldCharType="end"/>
          </w:r>
          <w:r>
            <w:rPr>
              <w:color w:val="auto"/>
            </w:rPr>
            <w:t>标识不相符</w:t>
          </w:r>
          <w:r>
            <w:rPr>
              <w:color w:val="auto"/>
            </w:rPr>
            <w:tab/>
          </w:r>
          <w:r>
            <w:rPr>
              <w:color w:val="auto"/>
            </w:rPr>
            <w:t>654</w:t>
          </w:r>
        </w:p>
        <w:p>
          <w:pPr>
            <w:pStyle w:val="5"/>
            <w:tabs>
              <w:tab w:val="left" w:leader="dot" w:pos="8595"/>
            </w:tabs>
            <w:spacing w:line="374" w:lineRule="auto"/>
            <w:ind w:right="148"/>
            <w:rPr>
              <w:color w:val="auto"/>
            </w:rPr>
          </w:pPr>
          <w:r>
            <w:rPr>
              <w:color w:val="auto"/>
            </w:rPr>
            <w:fldChar w:fldCharType="begin"/>
          </w:r>
          <w:r>
            <w:rPr>
              <w:color w:val="auto"/>
            </w:rPr>
            <w:instrText xml:space="preserve"> HYPERLINK \l "_bookmark685"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"_bookmark685" </w:instrText>
          </w:r>
          <w:r>
            <w:rPr>
              <w:color w:val="auto"/>
            </w:rPr>
            <w:fldChar w:fldCharType="separate"/>
          </w:r>
          <w:r>
            <w:rPr>
              <w:color w:val="auto"/>
            </w:rPr>
            <w:t>百七十二</w:t>
          </w:r>
          <w:r>
            <w:rPr>
              <w:color w:val="auto"/>
              <w:spacing w:val="-80"/>
            </w:rPr>
            <w:t>、</w:t>
          </w:r>
          <w:r>
            <w:rPr>
              <w:color w:val="auto"/>
            </w:rPr>
            <w:t>麻类纤维经营者销售经公证检验的麻类纤维</w:t>
          </w:r>
          <w:r>
            <w:rPr>
              <w:color w:val="auto"/>
              <w:spacing w:val="-77"/>
            </w:rPr>
            <w:t>，</w:t>
          </w:r>
          <w:r>
            <w:rPr>
              <w:color w:val="auto"/>
            </w:rPr>
            <w:t>未附有公证检验证书</w:t>
          </w:r>
          <w:r>
            <w:rPr>
              <w:color w:val="auto"/>
              <w:spacing w:val="-16"/>
            </w:rPr>
            <w:t>、</w:t>
          </w:r>
          <w:r>
            <w:rPr>
              <w:color w:val="auto"/>
              <w:spacing w:val="-16"/>
            </w:rPr>
            <w:fldChar w:fldCharType="end"/>
          </w:r>
          <w:r>
            <w:rPr>
              <w:color w:val="auto"/>
            </w:rPr>
            <w:t>公证检验标志</w:t>
          </w:r>
          <w:r>
            <w:rPr>
              <w:color w:val="auto"/>
            </w:rPr>
            <w:tab/>
          </w:r>
          <w:r>
            <w:rPr>
              <w:color w:val="auto"/>
            </w:rPr>
            <w:t>655</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"_bookmark686"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"_bookmark686" </w:instrText>
          </w:r>
          <w:r>
            <w:rPr>
              <w:color w:val="auto"/>
            </w:rPr>
            <w:fldChar w:fldCharType="separate"/>
          </w:r>
          <w:r>
            <w:rPr>
              <w:color w:val="auto"/>
            </w:rPr>
            <w:t>百七十三</w:t>
          </w:r>
          <w:r>
            <w:rPr>
              <w:color w:val="auto"/>
              <w:spacing w:val="-8"/>
            </w:rPr>
            <w:t>、</w:t>
          </w:r>
          <w:r>
            <w:rPr>
              <w:color w:val="auto"/>
            </w:rPr>
            <w:t>伪造</w:t>
          </w:r>
          <w:r>
            <w:rPr>
              <w:color w:val="auto"/>
              <w:spacing w:val="-5"/>
            </w:rPr>
            <w:t>、</w:t>
          </w:r>
          <w:r>
            <w:rPr>
              <w:color w:val="auto"/>
            </w:rPr>
            <w:t>变造</w:t>
          </w:r>
          <w:r>
            <w:rPr>
              <w:color w:val="auto"/>
              <w:spacing w:val="-8"/>
            </w:rPr>
            <w:t>、</w:t>
          </w:r>
          <w:r>
            <w:rPr>
              <w:color w:val="auto"/>
            </w:rPr>
            <w:t>冒用麻类纤维质量凭证</w:t>
          </w:r>
          <w:r>
            <w:rPr>
              <w:color w:val="auto"/>
              <w:spacing w:val="-5"/>
            </w:rPr>
            <w:t>、</w:t>
          </w:r>
          <w:r>
            <w:rPr>
              <w:color w:val="auto"/>
            </w:rPr>
            <w:t>标识</w:t>
          </w:r>
          <w:r>
            <w:rPr>
              <w:color w:val="auto"/>
              <w:spacing w:val="-8"/>
            </w:rPr>
            <w:t>、</w:t>
          </w:r>
          <w:r>
            <w:rPr>
              <w:color w:val="auto"/>
            </w:rPr>
            <w:t>公证检验证书</w:t>
          </w:r>
          <w:r>
            <w:rPr>
              <w:color w:val="auto"/>
              <w:spacing w:val="-5"/>
            </w:rPr>
            <w:t>、</w:t>
          </w:r>
          <w:r>
            <w:rPr>
              <w:color w:val="auto"/>
            </w:rPr>
            <w:t>公</w:t>
          </w:r>
          <w:r>
            <w:rPr>
              <w:color w:val="auto"/>
              <w:spacing w:val="-14"/>
            </w:rPr>
            <w:t>证</w:t>
          </w:r>
          <w:r>
            <w:rPr>
              <w:color w:val="auto"/>
              <w:spacing w:val="-14"/>
            </w:rPr>
            <w:fldChar w:fldCharType="end"/>
          </w:r>
          <w:r>
            <w:rPr>
              <w:color w:val="auto"/>
            </w:rPr>
            <w:t>检验标志</w:t>
          </w:r>
          <w:r>
            <w:rPr>
              <w:color w:val="auto"/>
            </w:rPr>
            <w:tab/>
          </w:r>
          <w:r>
            <w:rPr>
              <w:color w:val="auto"/>
              <w:spacing w:val="-6"/>
            </w:rPr>
            <w:t>656</w:t>
          </w:r>
        </w:p>
        <w:p>
          <w:pPr>
            <w:pStyle w:val="5"/>
            <w:tabs>
              <w:tab w:val="left" w:leader="dot" w:pos="8595"/>
            </w:tabs>
            <w:spacing w:line="308" w:lineRule="exact"/>
            <w:rPr>
              <w:color w:val="auto"/>
            </w:rPr>
          </w:pPr>
          <w:r>
            <w:rPr>
              <w:color w:val="auto"/>
            </w:rPr>
            <w:fldChar w:fldCharType="begin"/>
          </w:r>
          <w:r>
            <w:rPr>
              <w:color w:val="auto"/>
            </w:rPr>
            <w:instrText xml:space="preserve"> HYPERLINK \l "_bookmark687" </w:instrText>
          </w:r>
          <w:r>
            <w:rPr>
              <w:color w:val="auto"/>
            </w:rPr>
            <w:fldChar w:fldCharType="separate"/>
          </w:r>
          <w:r>
            <w:rPr>
              <w:color w:val="auto"/>
            </w:rPr>
            <w:t>六百七十四、隐匿、转移、损毁被纤维质量监督机构查封、扣押物品</w:t>
          </w:r>
          <w:r>
            <w:rPr>
              <w:color w:val="auto"/>
            </w:rPr>
            <w:tab/>
          </w:r>
          <w:r>
            <w:rPr>
              <w:color w:val="auto"/>
            </w:rPr>
            <w:t>657</w:t>
          </w:r>
          <w:r>
            <w:rPr>
              <w:color w:val="auto"/>
            </w:rPr>
            <w:fldChar w:fldCharType="end"/>
          </w:r>
        </w:p>
        <w:p>
          <w:pPr>
            <w:pStyle w:val="5"/>
            <w:tabs>
              <w:tab w:val="left" w:leader="dot" w:pos="8595"/>
            </w:tabs>
            <w:spacing w:before="172" w:line="374" w:lineRule="auto"/>
            <w:ind w:right="232"/>
            <w:rPr>
              <w:color w:val="auto"/>
            </w:rPr>
          </w:pPr>
          <w:r>
            <w:rPr>
              <w:color w:val="auto"/>
            </w:rPr>
            <w:fldChar w:fldCharType="begin"/>
          </w:r>
          <w:r>
            <w:rPr>
              <w:color w:val="auto"/>
            </w:rPr>
            <w:instrText xml:space="preserve"> HYPERLINK \l "_bookmark688"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"_bookmark688" </w:instrText>
          </w:r>
          <w:r>
            <w:rPr>
              <w:color w:val="auto"/>
            </w:rPr>
            <w:fldChar w:fldCharType="separate"/>
          </w:r>
          <w:r>
            <w:rPr>
              <w:color w:val="auto"/>
            </w:rPr>
            <w:t>百七十五、茧丝经营者收购蚕茧不具备设施和环境、设备和仪器、从业人员</w:t>
          </w:r>
          <w:r>
            <w:rPr>
              <w:color w:val="auto"/>
              <w:spacing w:val="-17"/>
            </w:rPr>
            <w:t>、</w:t>
          </w:r>
          <w:r>
            <w:rPr>
              <w:color w:val="auto"/>
              <w:spacing w:val="-17"/>
            </w:rPr>
            <w:fldChar w:fldCharType="end"/>
          </w:r>
          <w:r>
            <w:rPr>
              <w:color w:val="auto"/>
            </w:rPr>
            <w:t>质量检验标准、内部质量保证制度等方面规定的条件</w:t>
          </w:r>
          <w:r>
            <w:rPr>
              <w:color w:val="auto"/>
            </w:rPr>
            <w:tab/>
          </w:r>
          <w:r>
            <w:rPr>
              <w:color w:val="auto"/>
            </w:rPr>
            <w:t>658</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"_bookmark689"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"_bookmark689" </w:instrText>
          </w:r>
          <w:r>
            <w:rPr>
              <w:color w:val="auto"/>
            </w:rPr>
            <w:fldChar w:fldCharType="separate"/>
          </w:r>
          <w:r>
            <w:rPr>
              <w:color w:val="auto"/>
            </w:rPr>
            <w:t>百七十六</w:t>
          </w:r>
          <w:r>
            <w:rPr>
              <w:color w:val="auto"/>
              <w:spacing w:val="-20"/>
            </w:rPr>
            <w:t>、</w:t>
          </w:r>
          <w:r>
            <w:rPr>
              <w:color w:val="auto"/>
            </w:rPr>
            <w:t>茧丝经营者收购蚕茧未按照国家标准</w:t>
          </w:r>
          <w:r>
            <w:rPr>
              <w:color w:val="auto"/>
              <w:spacing w:val="-17"/>
            </w:rPr>
            <w:t>、</w:t>
          </w:r>
          <w:r>
            <w:rPr>
              <w:color w:val="auto"/>
            </w:rPr>
            <w:t>行业标准或者地方标准以</w:t>
          </w:r>
          <w:r>
            <w:rPr>
              <w:color w:val="auto"/>
              <w:spacing w:val="-16"/>
            </w:rPr>
            <w:t>及</w:t>
          </w:r>
          <w:r>
            <w:rPr>
              <w:color w:val="auto"/>
              <w:spacing w:val="-16"/>
            </w:rPr>
            <w:fldChar w:fldCharType="end"/>
          </w:r>
          <w:r>
            <w:rPr>
              <w:color w:val="auto"/>
            </w:rPr>
            <w:t>技术规范，保证收购蚕茧质量</w:t>
          </w:r>
          <w:r>
            <w:rPr>
              <w:color w:val="auto"/>
            </w:rPr>
            <w:tab/>
          </w:r>
          <w:r>
            <w:rPr>
              <w:color w:val="auto"/>
              <w:spacing w:val="-6"/>
            </w:rPr>
            <w:t>659</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"_bookmark690"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"_bookmark690" </w:instrText>
          </w:r>
          <w:r>
            <w:rPr>
              <w:color w:val="auto"/>
            </w:rPr>
            <w:fldChar w:fldCharType="separate"/>
          </w:r>
          <w:r>
            <w:rPr>
              <w:color w:val="auto"/>
            </w:rPr>
            <w:t>百七十七</w:t>
          </w:r>
          <w:r>
            <w:rPr>
              <w:color w:val="auto"/>
              <w:spacing w:val="-20"/>
            </w:rPr>
            <w:t>、</w:t>
          </w:r>
          <w:r>
            <w:rPr>
              <w:color w:val="auto"/>
            </w:rPr>
            <w:t>茧丝经营者收购蚕茧未按照国家标准</w:t>
          </w:r>
          <w:r>
            <w:rPr>
              <w:color w:val="auto"/>
              <w:spacing w:val="-17"/>
            </w:rPr>
            <w:t>、</w:t>
          </w:r>
          <w:r>
            <w:rPr>
              <w:color w:val="auto"/>
            </w:rPr>
            <w:t>行业标准或者地方标准以</w:t>
          </w:r>
          <w:r>
            <w:rPr>
              <w:color w:val="auto"/>
              <w:spacing w:val="-16"/>
            </w:rPr>
            <w:t>及</w:t>
          </w:r>
          <w:r>
            <w:rPr>
              <w:color w:val="auto"/>
              <w:spacing w:val="-16"/>
            </w:rPr>
            <w:fldChar w:fldCharType="end"/>
          </w:r>
          <w:r>
            <w:rPr>
              <w:color w:val="auto"/>
            </w:rPr>
            <w:t>技术规范，对收购的桑蚕鲜茧进行仪评</w:t>
          </w:r>
          <w:r>
            <w:rPr>
              <w:color w:val="auto"/>
            </w:rPr>
            <w:tab/>
          </w:r>
          <w:r>
            <w:rPr>
              <w:color w:val="auto"/>
              <w:spacing w:val="-6"/>
            </w:rPr>
            <w:t>660</w:t>
          </w:r>
        </w:p>
        <w:p>
          <w:pPr>
            <w:pStyle w:val="5"/>
            <w:tabs>
              <w:tab w:val="left" w:leader="dot" w:pos="8595"/>
            </w:tabs>
            <w:spacing w:line="374" w:lineRule="auto"/>
            <w:ind w:right="112"/>
            <w:rPr>
              <w:color w:val="auto"/>
            </w:rPr>
          </w:pPr>
          <w:r>
            <w:rPr>
              <w:color w:val="auto"/>
            </w:rPr>
            <w:fldChar w:fldCharType="begin"/>
          </w:r>
          <w:r>
            <w:rPr>
              <w:color w:val="auto"/>
            </w:rPr>
            <w:instrText xml:space="preserve"> HYPERLINK \l "_bookmark691"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"_bookmark691" </w:instrText>
          </w:r>
          <w:r>
            <w:rPr>
              <w:color w:val="auto"/>
            </w:rPr>
            <w:fldChar w:fldCharType="separate"/>
          </w:r>
          <w:r>
            <w:rPr>
              <w:color w:val="auto"/>
            </w:rPr>
            <w:t>百七十八</w:t>
          </w:r>
          <w:r>
            <w:rPr>
              <w:color w:val="auto"/>
              <w:spacing w:val="-20"/>
            </w:rPr>
            <w:t>、</w:t>
          </w:r>
          <w:r>
            <w:rPr>
              <w:color w:val="auto"/>
            </w:rPr>
            <w:t>茧丝经营者收购蚕茧</w:t>
          </w:r>
          <w:r>
            <w:rPr>
              <w:color w:val="auto"/>
              <w:spacing w:val="-17"/>
            </w:rPr>
            <w:t>，</w:t>
          </w:r>
          <w:r>
            <w:rPr>
              <w:color w:val="auto"/>
            </w:rPr>
            <w:t>不根据仪评的结果真实确定所收购桑蚕鲜茧</w:t>
          </w:r>
          <w:r>
            <w:rPr>
              <w:color w:val="auto"/>
            </w:rPr>
            <w:fldChar w:fldCharType="end"/>
          </w:r>
          <w:r>
            <w:rPr>
              <w:color w:val="auto"/>
            </w:rPr>
            <w:t>的类别、等级、数量并在与交售者结算前以书面形式将仪评结果告知交售者</w:t>
          </w:r>
          <w:r>
            <w:rPr>
              <w:rFonts w:ascii="Times New Roman" w:eastAsia="Times New Roman"/>
              <w:color w:val="auto"/>
              <w:position w:val="2"/>
            </w:rPr>
            <w:t>.</w:t>
          </w:r>
          <w:r>
            <w:rPr>
              <w:rFonts w:ascii="Times New Roman" w:eastAsia="Times New Roman"/>
              <w:color w:val="auto"/>
              <w:spacing w:val="-36"/>
              <w:position w:val="2"/>
            </w:rPr>
            <w:t xml:space="preserve"> </w:t>
          </w:r>
          <w:r>
            <w:rPr>
              <w:color w:val="auto"/>
            </w:rPr>
            <w:t xml:space="preserve">661 </w:t>
          </w:r>
          <w:r>
            <w:rPr>
              <w:color w:val="auto"/>
            </w:rPr>
            <w:fldChar w:fldCharType="begin"/>
          </w:r>
          <w:r>
            <w:rPr>
              <w:color w:val="auto"/>
            </w:rPr>
            <w:instrText xml:space="preserve"> HYPERLINK \l "_bookmark692" </w:instrText>
          </w:r>
          <w:r>
            <w:rPr>
              <w:color w:val="auto"/>
            </w:rPr>
            <w:fldChar w:fldCharType="separate"/>
          </w:r>
          <w:r>
            <w:rPr>
              <w:color w:val="auto"/>
            </w:rPr>
            <w:t>六百七十九、茧丝经营者收购毛脚茧、过潮茧、统茧等有严重质量问题的蚕茧</w:t>
          </w:r>
          <w:r>
            <w:rPr>
              <w:color w:val="auto"/>
              <w:spacing w:val="-6"/>
            </w:rPr>
            <w:t xml:space="preserve">663 </w:t>
          </w:r>
          <w:r>
            <w:rPr>
              <w:color w:val="auto"/>
              <w:spacing w:val="-6"/>
            </w:rPr>
            <w:fldChar w:fldCharType="end"/>
          </w:r>
          <w:r>
            <w:rPr>
              <w:color w:val="auto"/>
            </w:rPr>
            <w:fldChar w:fldCharType="begin"/>
          </w:r>
          <w:r>
            <w:rPr>
              <w:color w:val="auto"/>
            </w:rPr>
            <w:instrText xml:space="preserve"> HYPERLINK \l "_bookmark693" </w:instrText>
          </w:r>
          <w:r>
            <w:rPr>
              <w:color w:val="auto"/>
            </w:rPr>
            <w:fldChar w:fldCharType="separate"/>
          </w:r>
          <w:r>
            <w:rPr>
              <w:color w:val="auto"/>
            </w:rPr>
            <w:t>六百八十、茧丝经营者未分类别、分等级置放所收购的蚕茧</w:t>
          </w:r>
          <w:r>
            <w:rPr>
              <w:color w:val="auto"/>
            </w:rPr>
            <w:tab/>
          </w:r>
          <w:r>
            <w:rPr>
              <w:color w:val="auto"/>
            </w:rPr>
            <w:t>664</w:t>
          </w:r>
          <w:r>
            <w:rPr>
              <w:color w:val="auto"/>
            </w:rPr>
            <w:fldChar w:fldCharType="end"/>
          </w:r>
        </w:p>
        <w:p>
          <w:pPr>
            <w:pStyle w:val="5"/>
            <w:tabs>
              <w:tab w:val="left" w:leader="dot" w:pos="8595"/>
            </w:tabs>
            <w:spacing w:line="374" w:lineRule="auto"/>
            <w:ind w:right="148"/>
            <w:rPr>
              <w:color w:val="auto"/>
            </w:rPr>
          </w:pPr>
          <w:r>
            <w:rPr>
              <w:color w:val="auto"/>
            </w:rPr>
            <w:fldChar w:fldCharType="begin"/>
          </w:r>
          <w:r>
            <w:rPr>
              <w:color w:val="auto"/>
            </w:rPr>
            <w:instrText xml:space="preserve"> HYPERLINK \l "_bookmark694"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"_bookmark694" </w:instrText>
          </w:r>
          <w:r>
            <w:rPr>
              <w:color w:val="auto"/>
            </w:rPr>
            <w:fldChar w:fldCharType="separate"/>
          </w:r>
          <w:r>
            <w:rPr>
              <w:color w:val="auto"/>
            </w:rPr>
            <w:t>百八十一</w:t>
          </w:r>
          <w:r>
            <w:rPr>
              <w:color w:val="auto"/>
              <w:spacing w:val="-53"/>
            </w:rPr>
            <w:t>、</w:t>
          </w:r>
          <w:r>
            <w:rPr>
              <w:color w:val="auto"/>
            </w:rPr>
            <w:t>茧丝经营者从事桑蚕干茧加工</w:t>
          </w:r>
          <w:r>
            <w:rPr>
              <w:color w:val="auto"/>
              <w:spacing w:val="-51"/>
            </w:rPr>
            <w:t>，</w:t>
          </w:r>
          <w:r>
            <w:rPr>
              <w:color w:val="auto"/>
            </w:rPr>
            <w:t>不具备在设施和环境</w:t>
          </w:r>
          <w:r>
            <w:rPr>
              <w:color w:val="auto"/>
              <w:spacing w:val="-53"/>
            </w:rPr>
            <w:t>、</w:t>
          </w:r>
          <w:r>
            <w:rPr>
              <w:color w:val="auto"/>
            </w:rPr>
            <w:t>设备和仪器</w:t>
          </w:r>
          <w:r>
            <w:rPr>
              <w:color w:val="auto"/>
              <w:spacing w:val="-16"/>
            </w:rPr>
            <w:t>、</w:t>
          </w:r>
          <w:r>
            <w:rPr>
              <w:color w:val="auto"/>
              <w:spacing w:val="-16"/>
            </w:rPr>
            <w:fldChar w:fldCharType="end"/>
          </w:r>
          <w:r>
            <w:rPr>
              <w:color w:val="auto"/>
            </w:rPr>
            <w:t>从业人员、质量检验标准、内部质量保证制度等方面规定的条件</w:t>
          </w:r>
          <w:r>
            <w:rPr>
              <w:color w:val="auto"/>
            </w:rPr>
            <w:tab/>
          </w:r>
          <w:r>
            <w:rPr>
              <w:color w:val="auto"/>
            </w:rPr>
            <w:t>665</w:t>
          </w:r>
        </w:p>
        <w:p>
          <w:pPr>
            <w:pStyle w:val="5"/>
            <w:tabs>
              <w:tab w:val="left" w:leader="dot" w:pos="8595"/>
            </w:tabs>
            <w:spacing w:line="308" w:lineRule="exact"/>
            <w:rPr>
              <w:color w:val="auto"/>
            </w:rPr>
          </w:pPr>
          <w:r>
            <w:rPr>
              <w:color w:val="auto"/>
            </w:rPr>
            <w:fldChar w:fldCharType="begin"/>
          </w:r>
          <w:r>
            <w:rPr>
              <w:color w:val="auto"/>
            </w:rPr>
            <w:instrText xml:space="preserve"> HYPERLINK \l "_bookmark695" </w:instrText>
          </w:r>
          <w:r>
            <w:rPr>
              <w:color w:val="auto"/>
            </w:rPr>
            <w:fldChar w:fldCharType="separate"/>
          </w:r>
          <w:r>
            <w:rPr>
              <w:color w:val="auto"/>
            </w:rPr>
            <w:t>六百八十二、茧丝经营者从事生丝生产，不具备相应的质量保证条件</w:t>
          </w:r>
          <w:r>
            <w:rPr>
              <w:color w:val="auto"/>
            </w:rPr>
            <w:tab/>
          </w:r>
          <w:r>
            <w:rPr>
              <w:color w:val="auto"/>
            </w:rPr>
            <w:t>666</w:t>
          </w:r>
          <w:r>
            <w:rPr>
              <w:color w:val="auto"/>
            </w:rPr>
            <w:fldChar w:fldCharType="end"/>
          </w:r>
        </w:p>
        <w:p>
          <w:pPr>
            <w:pStyle w:val="5"/>
            <w:tabs>
              <w:tab w:val="left" w:leader="dot" w:pos="8595"/>
            </w:tabs>
            <w:spacing w:before="170" w:line="374" w:lineRule="auto"/>
            <w:ind w:left="548" w:right="268" w:firstLine="43"/>
            <w:rPr>
              <w:color w:val="auto"/>
            </w:rPr>
          </w:pPr>
          <w:r>
            <w:rPr>
              <w:color w:val="auto"/>
            </w:rPr>
            <w:fldChar w:fldCharType="begin"/>
          </w:r>
          <w:r>
            <w:rPr>
              <w:color w:val="auto"/>
            </w:rPr>
            <w:instrText xml:space="preserve"> HYPERLINK \l "_bookmark696" </w:instrText>
          </w:r>
          <w:r>
            <w:rPr>
              <w:color w:val="auto"/>
            </w:rPr>
            <w:fldChar w:fldCharType="separate"/>
          </w:r>
          <w:r>
            <w:rPr>
              <w:color w:val="auto"/>
              <w:spacing w:val="-22"/>
            </w:rPr>
            <w:t>六</w:t>
          </w:r>
          <w:r>
            <w:rPr>
              <w:color w:val="auto"/>
              <w:spacing w:val="-22"/>
            </w:rPr>
            <w:fldChar w:fldCharType="end"/>
          </w:r>
          <w:r>
            <w:rPr>
              <w:color w:val="auto"/>
            </w:rPr>
            <w:fldChar w:fldCharType="begin"/>
          </w:r>
          <w:r>
            <w:rPr>
              <w:color w:val="auto"/>
            </w:rPr>
            <w:instrText xml:space="preserve"> HYPERLINK \l "_bookmark696" </w:instrText>
          </w:r>
          <w:r>
            <w:rPr>
              <w:color w:val="auto"/>
            </w:rPr>
            <w:fldChar w:fldCharType="separate"/>
          </w:r>
          <w:r>
            <w:rPr>
              <w:color w:val="auto"/>
              <w:spacing w:val="-22"/>
            </w:rPr>
            <w:t>百</w:t>
          </w:r>
          <w:r>
            <w:rPr>
              <w:color w:val="auto"/>
              <w:spacing w:val="-24"/>
            </w:rPr>
            <w:t>八</w:t>
          </w:r>
          <w:r>
            <w:rPr>
              <w:color w:val="auto"/>
              <w:spacing w:val="-22"/>
            </w:rPr>
            <w:t>十三、茧丝</w:t>
          </w:r>
          <w:r>
            <w:rPr>
              <w:color w:val="auto"/>
              <w:spacing w:val="-24"/>
            </w:rPr>
            <w:t>经</w:t>
          </w:r>
          <w:r>
            <w:rPr>
              <w:color w:val="auto"/>
              <w:spacing w:val="-22"/>
            </w:rPr>
            <w:t>营者未按照</w:t>
          </w:r>
          <w:r>
            <w:rPr>
              <w:color w:val="auto"/>
              <w:spacing w:val="-24"/>
            </w:rPr>
            <w:t>国</w:t>
          </w:r>
          <w:r>
            <w:rPr>
              <w:color w:val="auto"/>
              <w:spacing w:val="-22"/>
            </w:rPr>
            <w:t>家标准、行</w:t>
          </w:r>
          <w:r>
            <w:rPr>
              <w:color w:val="auto"/>
              <w:spacing w:val="-24"/>
            </w:rPr>
            <w:t>业</w:t>
          </w:r>
          <w:r>
            <w:rPr>
              <w:color w:val="auto"/>
              <w:spacing w:val="-22"/>
            </w:rPr>
            <w:t>标准或者地</w:t>
          </w:r>
          <w:r>
            <w:rPr>
              <w:color w:val="auto"/>
              <w:spacing w:val="-24"/>
            </w:rPr>
            <w:t>方</w:t>
          </w:r>
          <w:r>
            <w:rPr>
              <w:color w:val="auto"/>
              <w:spacing w:val="-22"/>
            </w:rPr>
            <w:t>标准以及技</w:t>
          </w:r>
          <w:r>
            <w:rPr>
              <w:color w:val="auto"/>
              <w:spacing w:val="-24"/>
            </w:rPr>
            <w:t>术</w:t>
          </w:r>
          <w:r>
            <w:rPr>
              <w:color w:val="auto"/>
              <w:spacing w:val="-22"/>
            </w:rPr>
            <w:t>规范对茧</w:t>
          </w:r>
          <w:r>
            <w:rPr>
              <w:color w:val="auto"/>
            </w:rPr>
            <w:t>丝</w:t>
          </w:r>
          <w:r>
            <w:rPr>
              <w:color w:val="auto"/>
            </w:rPr>
            <w:fldChar w:fldCharType="end"/>
          </w:r>
          <w:r>
            <w:rPr>
              <w:color w:val="auto"/>
              <w:spacing w:val="-22"/>
            </w:rPr>
            <w:t>进行</w:t>
          </w:r>
          <w:r>
            <w:rPr>
              <w:color w:val="auto"/>
              <w:spacing w:val="-24"/>
            </w:rPr>
            <w:t>加</w:t>
          </w:r>
          <w:r>
            <w:rPr>
              <w:color w:val="auto"/>
              <w:spacing w:val="-22"/>
            </w:rPr>
            <w:t>工，或者使</w:t>
          </w:r>
          <w:r>
            <w:rPr>
              <w:color w:val="auto"/>
              <w:spacing w:val="-24"/>
            </w:rPr>
            <w:t>用</w:t>
          </w:r>
          <w:r>
            <w:rPr>
              <w:color w:val="auto"/>
              <w:spacing w:val="-22"/>
            </w:rPr>
            <w:t>土灶加工等</w:t>
          </w:r>
          <w:r>
            <w:rPr>
              <w:color w:val="auto"/>
              <w:spacing w:val="-24"/>
            </w:rPr>
            <w:t>可</w:t>
          </w:r>
          <w:r>
            <w:rPr>
              <w:color w:val="auto"/>
              <w:spacing w:val="-22"/>
            </w:rPr>
            <w:t>能导致茧丝</w:t>
          </w:r>
          <w:r>
            <w:rPr>
              <w:color w:val="auto"/>
              <w:spacing w:val="-24"/>
            </w:rPr>
            <w:t>资</w:t>
          </w:r>
          <w:r>
            <w:rPr>
              <w:color w:val="auto"/>
              <w:spacing w:val="-22"/>
            </w:rPr>
            <w:t>源被破坏的</w:t>
          </w:r>
          <w:r>
            <w:rPr>
              <w:color w:val="auto"/>
              <w:spacing w:val="-24"/>
            </w:rPr>
            <w:t>方</w:t>
          </w:r>
          <w:r>
            <w:rPr>
              <w:color w:val="auto"/>
              <w:spacing w:val="-22"/>
            </w:rPr>
            <w:t>法加工茧</w:t>
          </w:r>
          <w:r>
            <w:rPr>
              <w:color w:val="auto"/>
              <w:spacing w:val="-24"/>
            </w:rPr>
            <w:t>丝</w:t>
          </w:r>
          <w:r>
            <w:rPr>
              <w:color w:val="auto"/>
              <w:spacing w:val="-24"/>
            </w:rPr>
            <w:tab/>
          </w:r>
          <w:r>
            <w:rPr>
              <w:color w:val="auto"/>
              <w:spacing w:val="-6"/>
            </w:rPr>
            <w:t>667</w:t>
          </w:r>
        </w:p>
        <w:p>
          <w:pPr>
            <w:pStyle w:val="5"/>
            <w:tabs>
              <w:tab w:val="left" w:leader="dot" w:pos="8595"/>
            </w:tabs>
            <w:spacing w:line="308" w:lineRule="exact"/>
            <w:rPr>
              <w:color w:val="auto"/>
            </w:rPr>
          </w:pPr>
          <w:r>
            <w:rPr>
              <w:color w:val="auto"/>
            </w:rPr>
            <w:fldChar w:fldCharType="begin"/>
          </w:r>
          <w:r>
            <w:rPr>
              <w:color w:val="auto"/>
            </w:rPr>
            <w:instrText xml:space="preserve"> HYPERLINK \l "_bookmark697" </w:instrText>
          </w:r>
          <w:r>
            <w:rPr>
              <w:color w:val="auto"/>
            </w:rPr>
            <w:fldChar w:fldCharType="separate"/>
          </w:r>
          <w:r>
            <w:rPr>
              <w:color w:val="auto"/>
            </w:rPr>
            <w:t>六百八十四、茧丝经营者未按照规定要求对加工的茧丝进行包装</w:t>
          </w:r>
          <w:r>
            <w:rPr>
              <w:color w:val="auto"/>
            </w:rPr>
            <w:tab/>
          </w:r>
          <w:r>
            <w:rPr>
              <w:color w:val="auto"/>
            </w:rPr>
            <w:t>668</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"_bookmark698" </w:instrText>
          </w:r>
          <w:r>
            <w:rPr>
              <w:color w:val="auto"/>
            </w:rPr>
            <w:fldChar w:fldCharType="separate"/>
          </w:r>
          <w:r>
            <w:rPr>
              <w:color w:val="auto"/>
            </w:rPr>
            <w:t>六百八十五、茧丝经营者不按照规定对加工的茧丝标注标识</w:t>
          </w:r>
          <w:r>
            <w:rPr>
              <w:color w:val="auto"/>
            </w:rPr>
            <w:tab/>
          </w:r>
          <w:r>
            <w:rPr>
              <w:color w:val="auto"/>
            </w:rPr>
            <w:t>670</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"_bookmark699" </w:instrText>
          </w:r>
          <w:r>
            <w:rPr>
              <w:color w:val="auto"/>
            </w:rPr>
            <w:fldChar w:fldCharType="separate"/>
          </w:r>
          <w:r>
            <w:rPr>
              <w:color w:val="auto"/>
            </w:rPr>
            <w:t>六百八十六、茧丝经营者标注的标识与茧丝的质量、数量不相符</w:t>
          </w:r>
          <w:r>
            <w:rPr>
              <w:color w:val="auto"/>
            </w:rPr>
            <w:tab/>
          </w:r>
          <w:r>
            <w:rPr>
              <w:color w:val="auto"/>
            </w:rPr>
            <w:t>671</w:t>
          </w:r>
          <w:r>
            <w:rPr>
              <w:color w:val="auto"/>
            </w:rPr>
            <w:fldChar w:fldCharType="end"/>
          </w:r>
        </w:p>
        <w:p>
          <w:pPr>
            <w:pStyle w:val="5"/>
            <w:tabs>
              <w:tab w:val="left" w:leader="dot" w:pos="8595"/>
            </w:tabs>
            <w:spacing w:before="172" w:after="240"/>
            <w:rPr>
              <w:color w:val="auto"/>
            </w:rPr>
          </w:pPr>
          <w:r>
            <w:rPr>
              <w:color w:val="auto"/>
            </w:rPr>
            <w:fldChar w:fldCharType="begin"/>
          </w:r>
          <w:r>
            <w:rPr>
              <w:color w:val="auto"/>
            </w:rPr>
            <w:instrText xml:space="preserve"> HYPERLINK \l "_bookmark700" </w:instrText>
          </w:r>
          <w:r>
            <w:rPr>
              <w:color w:val="auto"/>
            </w:rPr>
            <w:fldChar w:fldCharType="separate"/>
          </w:r>
          <w:r>
            <w:rPr>
              <w:color w:val="auto"/>
            </w:rPr>
            <w:t>六百八十七、茧丝经营者未按规定对加工后的桑蚕干茧进行合理放置</w:t>
          </w:r>
          <w:r>
            <w:rPr>
              <w:color w:val="auto"/>
            </w:rPr>
            <w:tab/>
          </w:r>
          <w:r>
            <w:rPr>
              <w:color w:val="auto"/>
            </w:rPr>
            <w:t>672</w:t>
          </w:r>
          <w:r>
            <w:rPr>
              <w:color w:val="auto"/>
            </w:rPr>
            <w:fldChar w:fldCharType="end"/>
          </w:r>
        </w:p>
        <w:p>
          <w:pPr>
            <w:pStyle w:val="5"/>
            <w:tabs>
              <w:tab w:val="left" w:leader="dot" w:pos="8595"/>
            </w:tabs>
            <w:spacing w:before="127" w:line="374" w:lineRule="auto"/>
            <w:ind w:right="268"/>
            <w:rPr>
              <w:color w:val="auto"/>
            </w:rPr>
          </w:pPr>
          <w:r>
            <w:rPr>
              <w:color w:val="auto"/>
            </w:rPr>
            <w:fldChar w:fldCharType="begin"/>
          </w:r>
          <w:r>
            <w:rPr>
              <w:color w:val="auto"/>
            </w:rPr>
            <w:instrText xml:space="preserve"> HYPERLINK \l "_bookmark701"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"_bookmark701" </w:instrText>
          </w:r>
          <w:r>
            <w:rPr>
              <w:color w:val="auto"/>
            </w:rPr>
            <w:fldChar w:fldCharType="separate"/>
          </w:r>
          <w:r>
            <w:rPr>
              <w:color w:val="auto"/>
            </w:rPr>
            <w:t>百八十八</w:t>
          </w:r>
          <w:r>
            <w:rPr>
              <w:color w:val="auto"/>
              <w:spacing w:val="-8"/>
            </w:rPr>
            <w:t>、</w:t>
          </w:r>
          <w:r>
            <w:rPr>
              <w:color w:val="auto"/>
            </w:rPr>
            <w:t>茧丝经营者未合理贮存</w:t>
          </w:r>
          <w:r>
            <w:rPr>
              <w:color w:val="auto"/>
              <w:spacing w:val="-8"/>
            </w:rPr>
            <w:t>，</w:t>
          </w:r>
          <w:r>
            <w:rPr>
              <w:color w:val="auto"/>
            </w:rPr>
            <w:t>致使茧丝受潮</w:t>
          </w:r>
          <w:r>
            <w:rPr>
              <w:color w:val="auto"/>
              <w:spacing w:val="-8"/>
            </w:rPr>
            <w:t>、</w:t>
          </w:r>
          <w:r>
            <w:rPr>
              <w:color w:val="auto"/>
            </w:rPr>
            <w:t>霉变</w:t>
          </w:r>
          <w:r>
            <w:rPr>
              <w:color w:val="auto"/>
              <w:spacing w:val="-8"/>
            </w:rPr>
            <w:t>、</w:t>
          </w:r>
          <w:r>
            <w:rPr>
              <w:color w:val="auto"/>
            </w:rPr>
            <w:t>被污染</w:t>
          </w:r>
          <w:r>
            <w:rPr>
              <w:color w:val="auto"/>
              <w:spacing w:val="-10"/>
            </w:rPr>
            <w:t>、</w:t>
          </w:r>
          <w:r>
            <w:rPr>
              <w:color w:val="auto"/>
            </w:rPr>
            <w:t>虫蛀鼠</w:t>
          </w:r>
          <w:r>
            <w:rPr>
              <w:color w:val="auto"/>
              <w:spacing w:val="-11"/>
            </w:rPr>
            <w:t>咬</w:t>
          </w:r>
          <w:r>
            <w:rPr>
              <w:color w:val="auto"/>
              <w:spacing w:val="-11"/>
            </w:rPr>
            <w:fldChar w:fldCharType="end"/>
          </w:r>
          <w:r>
            <w:rPr>
              <w:color w:val="auto"/>
            </w:rPr>
            <w:t>等质量损毁</w:t>
          </w:r>
          <w:r>
            <w:rPr>
              <w:color w:val="auto"/>
            </w:rPr>
            <w:tab/>
          </w:r>
          <w:r>
            <w:rPr>
              <w:color w:val="auto"/>
              <w:spacing w:val="-6"/>
            </w:rPr>
            <w:t>673</w:t>
          </w:r>
        </w:p>
        <w:p>
          <w:pPr>
            <w:pStyle w:val="5"/>
            <w:tabs>
              <w:tab w:val="left" w:leader="dot" w:pos="8611"/>
            </w:tabs>
            <w:spacing w:line="308" w:lineRule="exact"/>
            <w:rPr>
              <w:color w:val="auto"/>
            </w:rPr>
          </w:pPr>
          <w:r>
            <w:rPr>
              <w:color w:val="auto"/>
            </w:rPr>
            <w:fldChar w:fldCharType="begin"/>
          </w:r>
          <w:r>
            <w:rPr>
              <w:color w:val="auto"/>
            </w:rPr>
            <w:instrText xml:space="preserve"> HYPERLINK \l "_bookmark702" </w:instrText>
          </w:r>
          <w:r>
            <w:rPr>
              <w:color w:val="auto"/>
            </w:rPr>
            <w:fldChar w:fldCharType="separate"/>
          </w:r>
          <w:r>
            <w:rPr>
              <w:color w:val="auto"/>
              <w:spacing w:val="-12"/>
            </w:rPr>
            <w:t>六百八十九、茧丝经营者使用按国家规定应当淘汰、报废的生产设备生产生</w:t>
          </w:r>
          <w:r>
            <w:rPr>
              <w:color w:val="auto"/>
            </w:rPr>
            <w:t>丝</w:t>
          </w:r>
          <w:r>
            <w:rPr>
              <w:color w:val="auto"/>
            </w:rPr>
            <w:tab/>
          </w:r>
          <w:r>
            <w:rPr>
              <w:color w:val="auto"/>
              <w:spacing w:val="-4"/>
            </w:rPr>
            <w:t>674</w:t>
          </w:r>
          <w:r>
            <w:rPr>
              <w:color w:val="auto"/>
              <w:spacing w:val="-4"/>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"_bookmark703" </w:instrText>
          </w:r>
          <w:r>
            <w:rPr>
              <w:color w:val="auto"/>
            </w:rPr>
            <w:fldChar w:fldCharType="separate"/>
          </w:r>
          <w:r>
            <w:rPr>
              <w:color w:val="auto"/>
            </w:rPr>
            <w:t>六百九十、茧丝经营者销售的茧丝未每批附有有效的质量凭证</w:t>
          </w:r>
          <w:r>
            <w:rPr>
              <w:color w:val="auto"/>
            </w:rPr>
            <w:tab/>
          </w:r>
          <w:r>
            <w:rPr>
              <w:color w:val="auto"/>
            </w:rPr>
            <w:t>676</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"_bookmark704" </w:instrText>
          </w:r>
          <w:r>
            <w:rPr>
              <w:color w:val="auto"/>
            </w:rPr>
            <w:fldChar w:fldCharType="separate"/>
          </w:r>
          <w:r>
            <w:rPr>
              <w:color w:val="auto"/>
            </w:rPr>
            <w:t>六百九十一、茧丝经营者销售的茧丝的包装、标识不符合相关规定</w:t>
          </w:r>
          <w:r>
            <w:rPr>
              <w:color w:val="auto"/>
            </w:rPr>
            <w:tab/>
          </w:r>
          <w:r>
            <w:rPr>
              <w:color w:val="auto"/>
            </w:rPr>
            <w:t>677</w:t>
          </w:r>
          <w:r>
            <w:rPr>
              <w:color w:val="auto"/>
            </w:rPr>
            <w:fldChar w:fldCharType="end"/>
          </w:r>
        </w:p>
        <w:p>
          <w:pPr>
            <w:pStyle w:val="5"/>
            <w:tabs>
              <w:tab w:val="left" w:leader="dot" w:pos="8611"/>
            </w:tabs>
            <w:spacing w:before="173"/>
            <w:rPr>
              <w:color w:val="auto"/>
            </w:rPr>
          </w:pPr>
          <w:r>
            <w:rPr>
              <w:color w:val="auto"/>
            </w:rPr>
            <w:fldChar w:fldCharType="begin"/>
          </w:r>
          <w:r>
            <w:rPr>
              <w:color w:val="auto"/>
            </w:rPr>
            <w:instrText xml:space="preserve"> HYPERLINK \l "_bookmark705" </w:instrText>
          </w:r>
          <w:r>
            <w:rPr>
              <w:color w:val="auto"/>
            </w:rPr>
            <w:fldChar w:fldCharType="separate"/>
          </w:r>
          <w:r>
            <w:rPr>
              <w:color w:val="auto"/>
              <w:spacing w:val="-12"/>
            </w:rPr>
            <w:t>六百九十二、茧丝经营者销售的茧丝的质量、数量与质量凭证、标识不相</w:t>
          </w:r>
          <w:r>
            <w:rPr>
              <w:color w:val="auto"/>
            </w:rPr>
            <w:t>符</w:t>
          </w:r>
          <w:r>
            <w:rPr>
              <w:color w:val="auto"/>
            </w:rPr>
            <w:tab/>
          </w:r>
          <w:r>
            <w:rPr>
              <w:color w:val="auto"/>
              <w:spacing w:val="-4"/>
            </w:rPr>
            <w:t>678</w:t>
          </w:r>
          <w:r>
            <w:rPr>
              <w:color w:val="auto"/>
              <w:spacing w:val="-4"/>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"_bookmark706"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"_bookmark706" </w:instrText>
          </w:r>
          <w:r>
            <w:rPr>
              <w:color w:val="auto"/>
            </w:rPr>
            <w:fldChar w:fldCharType="separate"/>
          </w:r>
          <w:r>
            <w:rPr>
              <w:color w:val="auto"/>
            </w:rPr>
            <w:t>百九十三</w:t>
          </w:r>
          <w:r>
            <w:rPr>
              <w:color w:val="auto"/>
              <w:spacing w:val="-12"/>
            </w:rPr>
            <w:t>、</w:t>
          </w:r>
          <w:r>
            <w:rPr>
              <w:color w:val="auto"/>
            </w:rPr>
            <w:t>茧丝经营者销售经公证检验的茧丝</w:t>
          </w:r>
          <w:r>
            <w:rPr>
              <w:color w:val="auto"/>
              <w:spacing w:val="-12"/>
            </w:rPr>
            <w:t>，</w:t>
          </w:r>
          <w:r>
            <w:rPr>
              <w:color w:val="auto"/>
            </w:rPr>
            <w:t>未附有公证检验证书</w:t>
          </w:r>
          <w:r>
            <w:rPr>
              <w:color w:val="auto"/>
              <w:spacing w:val="-12"/>
            </w:rPr>
            <w:t>，</w:t>
          </w:r>
          <w:r>
            <w:rPr>
              <w:color w:val="auto"/>
            </w:rPr>
            <w:t>或者</w:t>
          </w:r>
          <w:r>
            <w:rPr>
              <w:color w:val="auto"/>
              <w:spacing w:val="-17"/>
            </w:rPr>
            <w:t>未</w:t>
          </w:r>
          <w:r>
            <w:rPr>
              <w:color w:val="auto"/>
              <w:spacing w:val="-17"/>
            </w:rPr>
            <w:fldChar w:fldCharType="end"/>
          </w:r>
          <w:r>
            <w:rPr>
              <w:color w:val="auto"/>
            </w:rPr>
            <w:t>附有公证检验标记</w:t>
          </w:r>
          <w:r>
            <w:rPr>
              <w:color w:val="auto"/>
            </w:rPr>
            <w:tab/>
          </w:r>
          <w:r>
            <w:rPr>
              <w:color w:val="auto"/>
              <w:spacing w:val="-6"/>
            </w:rPr>
            <w:t>679</w:t>
          </w:r>
        </w:p>
        <w:p>
          <w:pPr>
            <w:pStyle w:val="5"/>
            <w:tabs>
              <w:tab w:val="left" w:leader="dot" w:pos="8595"/>
            </w:tabs>
            <w:spacing w:before="1" w:line="374" w:lineRule="auto"/>
            <w:ind w:right="268"/>
            <w:jc w:val="both"/>
            <w:rPr>
              <w:color w:val="auto"/>
            </w:rPr>
          </w:pPr>
          <w:r>
            <w:rPr>
              <w:color w:val="auto"/>
            </w:rPr>
            <w:fldChar w:fldCharType="begin"/>
          </w:r>
          <w:r>
            <w:rPr>
              <w:color w:val="auto"/>
            </w:rPr>
            <w:instrText xml:space="preserve"> HYPERLINK \l "_bookmark707"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"_bookmark707" </w:instrText>
          </w:r>
          <w:r>
            <w:rPr>
              <w:color w:val="auto"/>
            </w:rPr>
            <w:fldChar w:fldCharType="separate"/>
          </w:r>
          <w:r>
            <w:rPr>
              <w:color w:val="auto"/>
            </w:rPr>
            <w:t>百九十四</w:t>
          </w:r>
          <w:r>
            <w:rPr>
              <w:color w:val="auto"/>
              <w:spacing w:val="-12"/>
            </w:rPr>
            <w:t>、</w:t>
          </w:r>
          <w:r>
            <w:rPr>
              <w:color w:val="auto"/>
            </w:rPr>
            <w:t>茧丝经营者承储国家储备茧丝</w:t>
          </w:r>
          <w:r>
            <w:rPr>
              <w:color w:val="auto"/>
              <w:spacing w:val="-12"/>
            </w:rPr>
            <w:t>，</w:t>
          </w:r>
          <w:r>
            <w:rPr>
              <w:color w:val="auto"/>
            </w:rPr>
            <w:t>未建立健全茧丝入库</w:t>
          </w:r>
          <w:r>
            <w:rPr>
              <w:color w:val="auto"/>
              <w:spacing w:val="-12"/>
            </w:rPr>
            <w:t>、</w:t>
          </w:r>
          <w:r>
            <w:rPr>
              <w:color w:val="auto"/>
            </w:rPr>
            <w:t>出库质量</w:t>
          </w:r>
          <w:r>
            <w:rPr>
              <w:color w:val="auto"/>
              <w:spacing w:val="-17"/>
            </w:rPr>
            <w:t>检</w:t>
          </w:r>
          <w:r>
            <w:rPr>
              <w:color w:val="auto"/>
              <w:spacing w:val="-17"/>
            </w:rPr>
            <w:fldChar w:fldCharType="end"/>
          </w:r>
          <w:r>
            <w:rPr>
              <w:color w:val="auto"/>
            </w:rPr>
            <w:t>查验收制度</w:t>
          </w:r>
          <w:r>
            <w:rPr>
              <w:color w:val="auto"/>
              <w:spacing w:val="-10"/>
            </w:rPr>
            <w:t>，</w:t>
          </w:r>
          <w:r>
            <w:rPr>
              <w:color w:val="auto"/>
            </w:rPr>
            <w:t>保证入库</w:t>
          </w:r>
          <w:r>
            <w:rPr>
              <w:color w:val="auto"/>
              <w:spacing w:val="-10"/>
            </w:rPr>
            <w:t>、</w:t>
          </w:r>
          <w:r>
            <w:rPr>
              <w:color w:val="auto"/>
            </w:rPr>
            <w:t>出库的国家储备茧丝的质量</w:t>
          </w:r>
          <w:r>
            <w:rPr>
              <w:color w:val="auto"/>
              <w:spacing w:val="-8"/>
            </w:rPr>
            <w:t>、</w:t>
          </w:r>
          <w:r>
            <w:rPr>
              <w:color w:val="auto"/>
            </w:rPr>
            <w:t>数量与标识</w:t>
          </w:r>
          <w:r>
            <w:rPr>
              <w:color w:val="auto"/>
              <w:spacing w:val="-10"/>
            </w:rPr>
            <w:t>、</w:t>
          </w:r>
          <w:r>
            <w:rPr>
              <w:color w:val="auto"/>
            </w:rPr>
            <w:t>质量凭证</w:t>
          </w:r>
          <w:r>
            <w:rPr>
              <w:color w:val="auto"/>
              <w:spacing w:val="-15"/>
            </w:rPr>
            <w:t>相</w:t>
          </w:r>
          <w:r>
            <w:rPr>
              <w:color w:val="auto"/>
            </w:rPr>
            <w:t>符的</w:t>
          </w:r>
          <w:r>
            <w:rPr>
              <w:color w:val="auto"/>
              <w:spacing w:val="-12"/>
            </w:rPr>
            <w:t>，</w:t>
          </w:r>
          <w:r>
            <w:rPr>
              <w:color w:val="auto"/>
            </w:rPr>
            <w:t>或者未按照国家规定维护</w:t>
          </w:r>
          <w:r>
            <w:rPr>
              <w:color w:val="auto"/>
              <w:spacing w:val="-12"/>
            </w:rPr>
            <w:t>、</w:t>
          </w:r>
          <w:r>
            <w:rPr>
              <w:color w:val="auto"/>
            </w:rPr>
            <w:t>保养承储设施</w:t>
          </w:r>
          <w:r>
            <w:rPr>
              <w:color w:val="auto"/>
              <w:spacing w:val="-12"/>
            </w:rPr>
            <w:t>，</w:t>
          </w:r>
          <w:r>
            <w:rPr>
              <w:color w:val="auto"/>
            </w:rPr>
            <w:t>保证国家储备茧丝质量免受</w:t>
          </w:r>
          <w:r>
            <w:rPr>
              <w:color w:val="auto"/>
              <w:spacing w:val="-17"/>
            </w:rPr>
            <w:t>人</w:t>
          </w:r>
          <w:r>
            <w:rPr>
              <w:color w:val="auto"/>
            </w:rPr>
            <w:t>为因素造成质量变异</w:t>
          </w:r>
          <w:r>
            <w:rPr>
              <w:color w:val="auto"/>
            </w:rPr>
            <w:tab/>
          </w:r>
          <w:r>
            <w:rPr>
              <w:color w:val="auto"/>
              <w:spacing w:val="-6"/>
            </w:rPr>
            <w:t>680</w:t>
          </w:r>
        </w:p>
        <w:p>
          <w:pPr>
            <w:pStyle w:val="5"/>
            <w:tabs>
              <w:tab w:val="left" w:leader="dot" w:pos="8595"/>
            </w:tabs>
            <w:spacing w:before="1" w:line="374" w:lineRule="auto"/>
            <w:ind w:right="151"/>
            <w:rPr>
              <w:color w:val="auto"/>
            </w:rPr>
          </w:pPr>
          <w:r>
            <w:rPr>
              <w:color w:val="auto"/>
            </w:rPr>
            <w:fldChar w:fldCharType="begin"/>
          </w:r>
          <w:r>
            <w:rPr>
              <w:color w:val="auto"/>
            </w:rPr>
            <w:instrText xml:space="preserve"> HYPERLINK \l "_bookmark708"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"_bookmark708" </w:instrText>
          </w:r>
          <w:r>
            <w:rPr>
              <w:color w:val="auto"/>
            </w:rPr>
            <w:fldChar w:fldCharType="separate"/>
          </w:r>
          <w:r>
            <w:rPr>
              <w:color w:val="auto"/>
            </w:rPr>
            <w:t>百九十五</w:t>
          </w:r>
          <w:r>
            <w:rPr>
              <w:color w:val="auto"/>
              <w:spacing w:val="-10"/>
            </w:rPr>
            <w:t>、</w:t>
          </w:r>
          <w:r>
            <w:rPr>
              <w:color w:val="auto"/>
            </w:rPr>
            <w:t>茧丝经营者收购蚕茧伪造</w:t>
          </w:r>
          <w:r>
            <w:rPr>
              <w:color w:val="auto"/>
              <w:spacing w:val="-10"/>
            </w:rPr>
            <w:t>、</w:t>
          </w:r>
          <w:r>
            <w:rPr>
              <w:color w:val="auto"/>
            </w:rPr>
            <w:t>变造仪评的数据或结论</w:t>
          </w:r>
          <w:r>
            <w:rPr>
              <w:color w:val="auto"/>
              <w:spacing w:val="-8"/>
            </w:rPr>
            <w:t>，</w:t>
          </w:r>
          <w:r>
            <w:rPr>
              <w:color w:val="auto"/>
            </w:rPr>
            <w:t>或者收购</w:t>
          </w:r>
          <w:r>
            <w:rPr>
              <w:color w:val="auto"/>
              <w:spacing w:val="-10"/>
            </w:rPr>
            <w:t>、</w:t>
          </w:r>
          <w:r>
            <w:rPr>
              <w:color w:val="auto"/>
            </w:rPr>
            <w:t>加</w:t>
          </w:r>
          <w:r>
            <w:rPr>
              <w:color w:val="auto"/>
            </w:rPr>
            <w:fldChar w:fldCharType="end"/>
          </w:r>
          <w:r>
            <w:rPr>
              <w:color w:val="auto"/>
            </w:rPr>
            <w:t>工</w:t>
          </w:r>
          <w:r>
            <w:rPr>
              <w:color w:val="auto"/>
              <w:spacing w:val="-32"/>
            </w:rPr>
            <w:t>、</w:t>
          </w:r>
          <w:r>
            <w:rPr>
              <w:color w:val="auto"/>
            </w:rPr>
            <w:t>销售</w:t>
          </w:r>
          <w:r>
            <w:rPr>
              <w:color w:val="auto"/>
              <w:spacing w:val="-32"/>
            </w:rPr>
            <w:t>、</w:t>
          </w:r>
          <w:r>
            <w:rPr>
              <w:color w:val="auto"/>
            </w:rPr>
            <w:t>承储茧丝伪造</w:t>
          </w:r>
          <w:r>
            <w:rPr>
              <w:color w:val="auto"/>
              <w:spacing w:val="-32"/>
            </w:rPr>
            <w:t>、</w:t>
          </w:r>
          <w:r>
            <w:rPr>
              <w:color w:val="auto"/>
            </w:rPr>
            <w:t>变造</w:t>
          </w:r>
          <w:r>
            <w:rPr>
              <w:color w:val="auto"/>
              <w:spacing w:val="-32"/>
            </w:rPr>
            <w:t>、</w:t>
          </w:r>
          <w:r>
            <w:rPr>
              <w:color w:val="auto"/>
            </w:rPr>
            <w:t>冒用质量保证条件审核意见书</w:t>
          </w:r>
          <w:r>
            <w:rPr>
              <w:color w:val="auto"/>
              <w:spacing w:val="-34"/>
            </w:rPr>
            <w:t>、</w:t>
          </w:r>
          <w:r>
            <w:rPr>
              <w:color w:val="auto"/>
            </w:rPr>
            <w:t>茧丝质量凭证</w:t>
          </w:r>
          <w:r>
            <w:rPr>
              <w:color w:val="auto"/>
              <w:spacing w:val="-14"/>
            </w:rPr>
            <w:t>、</w:t>
          </w:r>
          <w:r>
            <w:rPr>
              <w:color w:val="auto"/>
            </w:rPr>
            <w:t>标识、公证检验证书</w:t>
          </w:r>
          <w:r>
            <w:rPr>
              <w:color w:val="auto"/>
            </w:rPr>
            <w:tab/>
          </w:r>
          <w:r>
            <w:rPr>
              <w:color w:val="auto"/>
            </w:rPr>
            <w:t>682</w:t>
          </w:r>
        </w:p>
        <w:p>
          <w:pPr>
            <w:pStyle w:val="5"/>
            <w:tabs>
              <w:tab w:val="left" w:leader="dot" w:pos="8595"/>
            </w:tabs>
            <w:spacing w:before="1" w:line="374" w:lineRule="auto"/>
            <w:ind w:right="148"/>
            <w:rPr>
              <w:color w:val="auto"/>
            </w:rPr>
          </w:pPr>
          <w:r>
            <w:rPr>
              <w:color w:val="auto"/>
            </w:rPr>
            <w:fldChar w:fldCharType="begin"/>
          </w:r>
          <w:r>
            <w:rPr>
              <w:color w:val="auto"/>
            </w:rPr>
            <w:instrText xml:space="preserve"> HYPERLINK \l "_bookmark709"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"_bookmark709" </w:instrText>
          </w:r>
          <w:r>
            <w:rPr>
              <w:color w:val="auto"/>
            </w:rPr>
            <w:fldChar w:fldCharType="separate"/>
          </w:r>
          <w:r>
            <w:rPr>
              <w:color w:val="auto"/>
            </w:rPr>
            <w:t>百九十六</w:t>
          </w:r>
          <w:r>
            <w:rPr>
              <w:color w:val="auto"/>
              <w:spacing w:val="-39"/>
            </w:rPr>
            <w:t>、</w:t>
          </w:r>
          <w:r>
            <w:rPr>
              <w:color w:val="auto"/>
            </w:rPr>
            <w:t>茧丝经营者在收购</w:t>
          </w:r>
          <w:r>
            <w:rPr>
              <w:color w:val="auto"/>
              <w:spacing w:val="-41"/>
            </w:rPr>
            <w:t>、</w:t>
          </w:r>
          <w:r>
            <w:rPr>
              <w:color w:val="auto"/>
            </w:rPr>
            <w:t>加工</w:t>
          </w:r>
          <w:r>
            <w:rPr>
              <w:color w:val="auto"/>
              <w:spacing w:val="-39"/>
            </w:rPr>
            <w:t>、</w:t>
          </w:r>
          <w:r>
            <w:rPr>
              <w:color w:val="auto"/>
            </w:rPr>
            <w:t>销售</w:t>
          </w:r>
          <w:r>
            <w:rPr>
              <w:color w:val="auto"/>
              <w:spacing w:val="-39"/>
            </w:rPr>
            <w:t>、</w:t>
          </w:r>
          <w:r>
            <w:rPr>
              <w:color w:val="auto"/>
            </w:rPr>
            <w:t>承储等茧丝经营活动中掺杂掺假</w:t>
          </w:r>
          <w:r>
            <w:rPr>
              <w:color w:val="auto"/>
              <w:spacing w:val="-15"/>
            </w:rPr>
            <w:t>、</w:t>
          </w:r>
          <w:r>
            <w:rPr>
              <w:color w:val="auto"/>
              <w:spacing w:val="-15"/>
            </w:rPr>
            <w:fldChar w:fldCharType="end"/>
          </w:r>
          <w:r>
            <w:rPr>
              <w:color w:val="auto"/>
            </w:rPr>
            <w:t>以次充好、以假充真</w:t>
          </w:r>
          <w:r>
            <w:rPr>
              <w:color w:val="auto"/>
            </w:rPr>
            <w:tab/>
          </w:r>
          <w:r>
            <w:rPr>
              <w:color w:val="auto"/>
            </w:rPr>
            <w:t>683</w:t>
          </w:r>
        </w:p>
        <w:p>
          <w:pPr>
            <w:pStyle w:val="5"/>
            <w:tabs>
              <w:tab w:val="left" w:leader="dot" w:pos="8595"/>
            </w:tabs>
            <w:spacing w:line="308" w:lineRule="exact"/>
            <w:rPr>
              <w:color w:val="auto"/>
            </w:rPr>
          </w:pPr>
          <w:r>
            <w:rPr>
              <w:color w:val="auto"/>
            </w:rPr>
            <w:fldChar w:fldCharType="begin"/>
          </w:r>
          <w:r>
            <w:rPr>
              <w:color w:val="auto"/>
            </w:rPr>
            <w:instrText xml:space="preserve"> HYPERLINK \l "_bookmark710" </w:instrText>
          </w:r>
          <w:r>
            <w:rPr>
              <w:color w:val="auto"/>
            </w:rPr>
            <w:fldChar w:fldCharType="separate"/>
          </w:r>
          <w:r>
            <w:rPr>
              <w:color w:val="auto"/>
              <w:spacing w:val="-34"/>
            </w:rPr>
            <w:t>六百</w:t>
          </w:r>
          <w:r>
            <w:rPr>
              <w:color w:val="auto"/>
              <w:spacing w:val="-36"/>
            </w:rPr>
            <w:t>九</w:t>
          </w:r>
          <w:r>
            <w:rPr>
              <w:color w:val="auto"/>
              <w:spacing w:val="-34"/>
            </w:rPr>
            <w:t>十七、茧丝</w:t>
          </w:r>
          <w:r>
            <w:rPr>
              <w:color w:val="auto"/>
              <w:spacing w:val="-36"/>
            </w:rPr>
            <w:t>经</w:t>
          </w:r>
          <w:r>
            <w:rPr>
              <w:color w:val="auto"/>
              <w:spacing w:val="-34"/>
            </w:rPr>
            <w:t>营者隐匿、</w:t>
          </w:r>
          <w:r>
            <w:rPr>
              <w:color w:val="auto"/>
              <w:spacing w:val="-36"/>
            </w:rPr>
            <w:t>转</w:t>
          </w:r>
          <w:r>
            <w:rPr>
              <w:color w:val="auto"/>
              <w:spacing w:val="-34"/>
            </w:rPr>
            <w:t>移、毁损被</w:t>
          </w:r>
          <w:r>
            <w:rPr>
              <w:color w:val="auto"/>
              <w:spacing w:val="-36"/>
            </w:rPr>
            <w:t>纤</w:t>
          </w:r>
          <w:r>
            <w:rPr>
              <w:color w:val="auto"/>
              <w:spacing w:val="-34"/>
            </w:rPr>
            <w:t>维质量监督</w:t>
          </w:r>
          <w:r>
            <w:rPr>
              <w:color w:val="auto"/>
              <w:spacing w:val="-36"/>
            </w:rPr>
            <w:t>机</w:t>
          </w:r>
          <w:r>
            <w:rPr>
              <w:color w:val="auto"/>
              <w:spacing w:val="-34"/>
            </w:rPr>
            <w:t>构查封、扣</w:t>
          </w:r>
          <w:r>
            <w:rPr>
              <w:color w:val="auto"/>
              <w:spacing w:val="-36"/>
            </w:rPr>
            <w:t>押</w:t>
          </w:r>
          <w:r>
            <w:rPr>
              <w:color w:val="auto"/>
              <w:spacing w:val="-34"/>
            </w:rPr>
            <w:t>的物品</w:t>
          </w:r>
          <w:r>
            <w:rPr>
              <w:color w:val="auto"/>
              <w:spacing w:val="-34"/>
            </w:rPr>
            <w:tab/>
          </w:r>
          <w:r>
            <w:rPr>
              <w:color w:val="auto"/>
            </w:rPr>
            <w:t>684</w:t>
          </w:r>
          <w:r>
            <w:rPr>
              <w:color w:val="auto"/>
            </w:rPr>
            <w:fldChar w:fldCharType="end"/>
          </w:r>
        </w:p>
        <w:p>
          <w:pPr>
            <w:pStyle w:val="5"/>
            <w:tabs>
              <w:tab w:val="left" w:leader="dot" w:pos="8595"/>
            </w:tabs>
            <w:spacing w:before="172" w:line="374" w:lineRule="auto"/>
            <w:ind w:right="268"/>
            <w:jc w:val="both"/>
            <w:rPr>
              <w:color w:val="auto"/>
            </w:rPr>
          </w:pPr>
          <w:r>
            <w:rPr>
              <w:color w:val="auto"/>
            </w:rPr>
            <w:fldChar w:fldCharType="begin"/>
          </w:r>
          <w:r>
            <w:rPr>
              <w:color w:val="auto"/>
            </w:rPr>
            <w:instrText xml:space="preserve"> HYPERLINK \l "_bookmark711" </w:instrText>
          </w:r>
          <w:r>
            <w:rPr>
              <w:color w:val="auto"/>
            </w:rPr>
            <w:fldChar w:fldCharType="separate"/>
          </w:r>
          <w:r>
            <w:rPr>
              <w:color w:val="auto"/>
            </w:rPr>
            <w:t>六</w:t>
          </w:r>
          <w:r>
            <w:rPr>
              <w:color w:val="auto"/>
            </w:rPr>
            <w:fldChar w:fldCharType="end"/>
          </w:r>
          <w:r>
            <w:rPr>
              <w:color w:val="auto"/>
            </w:rPr>
            <w:fldChar w:fldCharType="begin"/>
          </w:r>
          <w:r>
            <w:rPr>
              <w:color w:val="auto"/>
            </w:rPr>
            <w:instrText xml:space="preserve"> HYPERLINK \l "_bookmark711" </w:instrText>
          </w:r>
          <w:r>
            <w:rPr>
              <w:color w:val="auto"/>
            </w:rPr>
            <w:fldChar w:fldCharType="separate"/>
          </w:r>
          <w:r>
            <w:rPr>
              <w:color w:val="auto"/>
            </w:rPr>
            <w:t>百九十八</w:t>
          </w:r>
          <w:r>
            <w:rPr>
              <w:color w:val="auto"/>
              <w:spacing w:val="-20"/>
            </w:rPr>
            <w:t>、</w:t>
          </w:r>
          <w:r>
            <w:rPr>
              <w:color w:val="auto"/>
            </w:rPr>
            <w:t>在公益活动中使用的纤维制品不符合保障人体健康和人身</w:t>
          </w:r>
          <w:r>
            <w:rPr>
              <w:color w:val="auto"/>
              <w:spacing w:val="-17"/>
            </w:rPr>
            <w:t>、</w:t>
          </w:r>
          <w:r>
            <w:rPr>
              <w:color w:val="auto"/>
            </w:rPr>
            <w:t>财产</w:t>
          </w:r>
          <w:r>
            <w:rPr>
              <w:color w:val="auto"/>
              <w:spacing w:val="-16"/>
            </w:rPr>
            <w:t>安</w:t>
          </w:r>
          <w:r>
            <w:rPr>
              <w:color w:val="auto"/>
              <w:spacing w:val="-16"/>
            </w:rPr>
            <w:fldChar w:fldCharType="end"/>
          </w:r>
          <w:r>
            <w:rPr>
              <w:color w:val="auto"/>
            </w:rPr>
            <w:t>全的国家标准</w:t>
          </w:r>
          <w:r>
            <w:rPr>
              <w:color w:val="auto"/>
              <w:spacing w:val="-8"/>
            </w:rPr>
            <w:t>、</w:t>
          </w:r>
          <w:r>
            <w:rPr>
              <w:color w:val="auto"/>
            </w:rPr>
            <w:t>行业标准</w:t>
          </w:r>
          <w:r>
            <w:rPr>
              <w:color w:val="auto"/>
              <w:spacing w:val="-5"/>
            </w:rPr>
            <w:t>，</w:t>
          </w:r>
          <w:r>
            <w:rPr>
              <w:color w:val="auto"/>
            </w:rPr>
            <w:t>掺杂</w:t>
          </w:r>
          <w:r>
            <w:rPr>
              <w:color w:val="auto"/>
              <w:spacing w:val="-8"/>
            </w:rPr>
            <w:t>、</w:t>
          </w:r>
          <w:r>
            <w:rPr>
              <w:color w:val="auto"/>
            </w:rPr>
            <w:t>掺假</w:t>
          </w:r>
          <w:r>
            <w:rPr>
              <w:color w:val="auto"/>
              <w:spacing w:val="-5"/>
            </w:rPr>
            <w:t>、</w:t>
          </w:r>
          <w:r>
            <w:rPr>
              <w:color w:val="auto"/>
            </w:rPr>
            <w:t>以假充真</w:t>
          </w:r>
          <w:r>
            <w:rPr>
              <w:color w:val="auto"/>
              <w:spacing w:val="-8"/>
            </w:rPr>
            <w:t>、</w:t>
          </w:r>
          <w:r>
            <w:rPr>
              <w:color w:val="auto"/>
            </w:rPr>
            <w:t>以次充好</w:t>
          </w:r>
          <w:r>
            <w:rPr>
              <w:color w:val="auto"/>
              <w:spacing w:val="-5"/>
            </w:rPr>
            <w:t>，</w:t>
          </w:r>
          <w:r>
            <w:rPr>
              <w:color w:val="auto"/>
            </w:rPr>
            <w:t>以不合格产品</w:t>
          </w:r>
          <w:r>
            <w:rPr>
              <w:color w:val="auto"/>
              <w:spacing w:val="-14"/>
            </w:rPr>
            <w:t>冒</w:t>
          </w:r>
          <w:r>
            <w:rPr>
              <w:color w:val="auto"/>
            </w:rPr>
            <w:t>充合格产品</w:t>
          </w:r>
          <w:r>
            <w:rPr>
              <w:color w:val="auto"/>
              <w:spacing w:val="-10"/>
            </w:rPr>
            <w:t>，</w:t>
          </w:r>
          <w:r>
            <w:rPr>
              <w:color w:val="auto"/>
            </w:rPr>
            <w:t>伪造</w:t>
          </w:r>
          <w:r>
            <w:rPr>
              <w:color w:val="auto"/>
              <w:spacing w:val="-10"/>
            </w:rPr>
            <w:t>、</w:t>
          </w:r>
          <w:r>
            <w:rPr>
              <w:color w:val="auto"/>
            </w:rPr>
            <w:t>冒用质量标志或者其他质量证明文件</w:t>
          </w:r>
          <w:r>
            <w:rPr>
              <w:color w:val="auto"/>
              <w:spacing w:val="-8"/>
            </w:rPr>
            <w:t>，</w:t>
          </w:r>
          <w:r>
            <w:rPr>
              <w:color w:val="auto"/>
            </w:rPr>
            <w:t>伪造产地</w:t>
          </w:r>
          <w:r>
            <w:rPr>
              <w:color w:val="auto"/>
              <w:spacing w:val="-10"/>
            </w:rPr>
            <w:t>、</w:t>
          </w:r>
          <w:r>
            <w:rPr>
              <w:color w:val="auto"/>
            </w:rPr>
            <w:t>伪造或</w:t>
          </w:r>
          <w:r>
            <w:rPr>
              <w:color w:val="auto"/>
              <w:spacing w:val="-15"/>
            </w:rPr>
            <w:t>者</w:t>
          </w:r>
          <w:r>
            <w:rPr>
              <w:color w:val="auto"/>
            </w:rPr>
            <w:t>冒用他人的厂名、厂址</w:t>
          </w:r>
          <w:r>
            <w:rPr>
              <w:color w:val="auto"/>
            </w:rPr>
            <w:tab/>
          </w:r>
          <w:r>
            <w:rPr>
              <w:color w:val="auto"/>
              <w:spacing w:val="-6"/>
            </w:rPr>
            <w:t>685</w:t>
          </w:r>
        </w:p>
        <w:p>
          <w:pPr>
            <w:pStyle w:val="5"/>
            <w:tabs>
              <w:tab w:val="left" w:leader="dot" w:pos="8595"/>
            </w:tabs>
            <w:spacing w:line="309" w:lineRule="exact"/>
            <w:rPr>
              <w:color w:val="auto"/>
            </w:rPr>
          </w:pPr>
          <w:r>
            <w:rPr>
              <w:color w:val="auto"/>
            </w:rPr>
            <w:fldChar w:fldCharType="begin"/>
          </w:r>
          <w:r>
            <w:rPr>
              <w:color w:val="auto"/>
            </w:rPr>
            <w:instrText xml:space="preserve"> HYPERLINK \l "_bookmark712" </w:instrText>
          </w:r>
          <w:r>
            <w:rPr>
              <w:color w:val="auto"/>
            </w:rPr>
            <w:fldChar w:fldCharType="separate"/>
          </w:r>
          <w:r>
            <w:rPr>
              <w:color w:val="auto"/>
              <w:spacing w:val="-22"/>
            </w:rPr>
            <w:t>六百</w:t>
          </w:r>
          <w:r>
            <w:rPr>
              <w:color w:val="auto"/>
              <w:spacing w:val="-24"/>
            </w:rPr>
            <w:t>九</w:t>
          </w:r>
          <w:r>
            <w:rPr>
              <w:color w:val="auto"/>
              <w:spacing w:val="-22"/>
            </w:rPr>
            <w:t>十九、纤维</w:t>
          </w:r>
          <w:r>
            <w:rPr>
              <w:color w:val="auto"/>
              <w:spacing w:val="-24"/>
            </w:rPr>
            <w:t>制</w:t>
          </w:r>
          <w:r>
            <w:rPr>
              <w:color w:val="auto"/>
              <w:spacing w:val="-22"/>
            </w:rPr>
            <w:t>品生产者未</w:t>
          </w:r>
          <w:r>
            <w:rPr>
              <w:color w:val="auto"/>
              <w:spacing w:val="-24"/>
            </w:rPr>
            <w:t>对</w:t>
          </w:r>
          <w:r>
            <w:rPr>
              <w:color w:val="auto"/>
              <w:spacing w:val="-22"/>
            </w:rPr>
            <w:t>用于生产的</w:t>
          </w:r>
          <w:r>
            <w:rPr>
              <w:color w:val="auto"/>
              <w:spacing w:val="-24"/>
            </w:rPr>
            <w:t>原</w:t>
          </w:r>
          <w:r>
            <w:rPr>
              <w:color w:val="auto"/>
              <w:spacing w:val="-22"/>
            </w:rPr>
            <w:t>辅材料进行</w:t>
          </w:r>
          <w:r>
            <w:rPr>
              <w:color w:val="auto"/>
              <w:spacing w:val="-24"/>
            </w:rPr>
            <w:t>进</w:t>
          </w:r>
          <w:r>
            <w:rPr>
              <w:color w:val="auto"/>
              <w:spacing w:val="-22"/>
            </w:rPr>
            <w:t>货检查验收</w:t>
          </w:r>
          <w:r>
            <w:rPr>
              <w:color w:val="auto"/>
              <w:spacing w:val="-24"/>
            </w:rPr>
            <w:t>和</w:t>
          </w:r>
          <w:r>
            <w:rPr>
              <w:color w:val="auto"/>
              <w:spacing w:val="-22"/>
            </w:rPr>
            <w:t>记录</w:t>
          </w:r>
          <w:r>
            <w:rPr>
              <w:color w:val="auto"/>
              <w:spacing w:val="-22"/>
            </w:rPr>
            <w:tab/>
          </w:r>
          <w:r>
            <w:rPr>
              <w:color w:val="auto"/>
            </w:rPr>
            <w:t>686</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"_bookmark713" </w:instrText>
          </w:r>
          <w:r>
            <w:rPr>
              <w:color w:val="auto"/>
            </w:rPr>
            <w:fldChar w:fldCharType="separate"/>
          </w:r>
          <w:r>
            <w:rPr>
              <w:color w:val="auto"/>
            </w:rPr>
            <w:t>七百、生活用絮用纤维制品生产者未对原辅材料进行进货检查验收和记录</w:t>
          </w:r>
          <w:r>
            <w:rPr>
              <w:color w:val="auto"/>
            </w:rPr>
            <w:tab/>
          </w:r>
          <w:r>
            <w:rPr>
              <w:color w:val="auto"/>
            </w:rPr>
            <w:t>687</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"_bookmark714" </w:instrText>
          </w:r>
          <w:r>
            <w:rPr>
              <w:color w:val="auto"/>
            </w:rPr>
            <w:fldChar w:fldCharType="separate"/>
          </w:r>
          <w:r>
            <w:rPr>
              <w:color w:val="auto"/>
            </w:rPr>
            <w:t>七百零一、学生服原辅材料验收记录内容不符合规定</w:t>
          </w:r>
          <w:r>
            <w:rPr>
              <w:color w:val="auto"/>
            </w:rPr>
            <w:tab/>
          </w:r>
          <w:r>
            <w:rPr>
              <w:color w:val="auto"/>
            </w:rPr>
            <w:t>688</w:t>
          </w:r>
          <w:r>
            <w:rPr>
              <w:color w:val="auto"/>
            </w:rPr>
            <w:fldChar w:fldCharType="end"/>
          </w:r>
        </w:p>
        <w:p>
          <w:pPr>
            <w:pStyle w:val="5"/>
            <w:tabs>
              <w:tab w:val="left" w:leader="dot" w:pos="8611"/>
            </w:tabs>
            <w:spacing w:before="173"/>
            <w:rPr>
              <w:color w:val="auto"/>
            </w:rPr>
          </w:pPr>
          <w:r>
            <w:rPr>
              <w:color w:val="auto"/>
            </w:rPr>
            <w:fldChar w:fldCharType="begin"/>
          </w:r>
          <w:r>
            <w:rPr>
              <w:color w:val="auto"/>
            </w:rPr>
            <w:instrText xml:space="preserve"> HYPERLINK \l "_bookmark715" </w:instrText>
          </w:r>
          <w:r>
            <w:rPr>
              <w:color w:val="auto"/>
            </w:rPr>
            <w:fldChar w:fldCharType="separate"/>
          </w:r>
          <w:r>
            <w:rPr>
              <w:color w:val="auto"/>
              <w:spacing w:val="-12"/>
            </w:rPr>
            <w:t>七百零二、学生服使用单位未履行检查验收和记录义务或未按规定委托送</w:t>
          </w:r>
          <w:r>
            <w:rPr>
              <w:color w:val="auto"/>
            </w:rPr>
            <w:t>检</w:t>
          </w:r>
          <w:r>
            <w:rPr>
              <w:color w:val="auto"/>
            </w:rPr>
            <w:tab/>
          </w:r>
          <w:r>
            <w:rPr>
              <w:color w:val="auto"/>
              <w:spacing w:val="-4"/>
            </w:rPr>
            <w:t>689</w:t>
          </w:r>
          <w:r>
            <w:rPr>
              <w:color w:val="auto"/>
              <w:spacing w:val="-4"/>
            </w:rPr>
            <w:fldChar w:fldCharType="end"/>
          </w:r>
        </w:p>
        <w:p>
          <w:pPr>
            <w:pStyle w:val="8"/>
            <w:tabs>
              <w:tab w:val="left" w:leader="dot" w:pos="8549"/>
            </w:tabs>
            <w:jc w:val="both"/>
            <w:rPr>
              <w:color w:val="auto"/>
            </w:rPr>
          </w:pPr>
          <w:r>
            <w:rPr>
              <w:color w:val="auto"/>
            </w:rPr>
            <w:fldChar w:fldCharType="begin"/>
          </w:r>
          <w:r>
            <w:rPr>
              <w:color w:val="auto"/>
            </w:rPr>
            <w:instrText xml:space="preserve"> HYPERLINK \l "_bookmark716" </w:instrText>
          </w:r>
          <w:r>
            <w:rPr>
              <w:color w:val="auto"/>
            </w:rPr>
            <w:fldChar w:fldCharType="separate"/>
          </w:r>
          <w:r>
            <w:rPr>
              <w:color w:val="auto"/>
              <w:spacing w:val="-13"/>
            </w:rPr>
            <w:t>第十五</w:t>
          </w:r>
          <w:r>
            <w:rPr>
              <w:color w:val="auto"/>
            </w:rPr>
            <w:t xml:space="preserve">章  </w:t>
          </w:r>
          <w:r>
            <w:rPr>
              <w:color w:val="auto"/>
              <w:spacing w:val="40"/>
            </w:rPr>
            <w:t xml:space="preserve"> </w:t>
          </w:r>
          <w:r>
            <w:rPr>
              <w:color w:val="auto"/>
              <w:spacing w:val="-13"/>
            </w:rPr>
            <w:t>价格监</w:t>
          </w:r>
          <w:r>
            <w:rPr>
              <w:color w:val="auto"/>
            </w:rPr>
            <w:t>管</w:t>
          </w:r>
          <w:r>
            <w:rPr>
              <w:color w:val="auto"/>
            </w:rPr>
            <w:tab/>
          </w:r>
          <w:r>
            <w:rPr>
              <w:color w:val="auto"/>
              <w:spacing w:val="-3"/>
            </w:rPr>
            <w:t>689</w:t>
          </w:r>
          <w:r>
            <w:rPr>
              <w:color w:val="auto"/>
              <w:spacing w:val="-3"/>
            </w:rPr>
            <w:fldChar w:fldCharType="end"/>
          </w:r>
        </w:p>
        <w:p>
          <w:pPr>
            <w:pStyle w:val="5"/>
            <w:tabs>
              <w:tab w:val="left" w:leader="dot" w:pos="8595"/>
            </w:tabs>
            <w:spacing w:before="97"/>
            <w:rPr>
              <w:color w:val="auto"/>
            </w:rPr>
          </w:pPr>
          <w:r>
            <w:rPr>
              <w:color w:val="auto"/>
            </w:rPr>
            <w:fldChar w:fldCharType="begin"/>
          </w:r>
          <w:r>
            <w:rPr>
              <w:color w:val="auto"/>
            </w:rPr>
            <w:instrText xml:space="preserve"> HYPERLINK \l "_bookmark717" </w:instrText>
          </w:r>
          <w:r>
            <w:rPr>
              <w:color w:val="auto"/>
            </w:rPr>
            <w:fldChar w:fldCharType="separate"/>
          </w:r>
          <w:r>
            <w:rPr>
              <w:color w:val="auto"/>
            </w:rPr>
            <w:t>七百零三、经营者不执行政府指导价、政府定价</w:t>
          </w:r>
          <w:r>
            <w:rPr>
              <w:color w:val="auto"/>
            </w:rPr>
            <w:tab/>
          </w:r>
          <w:r>
            <w:rPr>
              <w:color w:val="auto"/>
            </w:rPr>
            <w:t>689</w:t>
          </w:r>
          <w:r>
            <w:rPr>
              <w:color w:val="auto"/>
            </w:rPr>
            <w:fldChar w:fldCharType="end"/>
          </w:r>
        </w:p>
        <w:p>
          <w:pPr>
            <w:pStyle w:val="5"/>
            <w:tabs>
              <w:tab w:val="left" w:leader="dot" w:pos="8595"/>
            </w:tabs>
            <w:spacing w:before="173" w:after="59"/>
            <w:rPr>
              <w:color w:val="auto"/>
            </w:rPr>
          </w:pPr>
          <w:r>
            <w:rPr>
              <w:color w:val="auto"/>
            </w:rPr>
            <w:fldChar w:fldCharType="begin"/>
          </w:r>
          <w:r>
            <w:rPr>
              <w:color w:val="auto"/>
            </w:rPr>
            <w:instrText xml:space="preserve"> HYPERLINK \l "_bookmark718" </w:instrText>
          </w:r>
          <w:r>
            <w:rPr>
              <w:color w:val="auto"/>
            </w:rPr>
            <w:fldChar w:fldCharType="separate"/>
          </w:r>
          <w:r>
            <w:rPr>
              <w:color w:val="auto"/>
            </w:rPr>
            <w:t>七百零四、经营者不执行法定的价格干预措施、紧急措施</w:t>
          </w:r>
          <w:r>
            <w:rPr>
              <w:color w:val="auto"/>
            </w:rPr>
            <w:tab/>
          </w:r>
          <w:r>
            <w:rPr>
              <w:color w:val="auto"/>
            </w:rPr>
            <w:t>692</w:t>
          </w:r>
          <w:r>
            <w:rPr>
              <w:color w:val="auto"/>
            </w:rPr>
            <w:fldChar w:fldCharType="end"/>
          </w:r>
        </w:p>
        <w:p>
          <w:pPr>
            <w:pStyle w:val="5"/>
            <w:tabs>
              <w:tab w:val="left" w:leader="dot" w:pos="8595"/>
            </w:tabs>
            <w:spacing w:before="127"/>
            <w:rPr>
              <w:color w:val="auto"/>
            </w:rPr>
          </w:pPr>
          <w:r>
            <w:rPr>
              <w:color w:val="auto"/>
            </w:rPr>
            <w:fldChar w:fldCharType="begin"/>
          </w:r>
          <w:r>
            <w:rPr>
              <w:color w:val="auto"/>
            </w:rPr>
            <w:instrText xml:space="preserve"> HYPERLINK \l "_bookmark719" </w:instrText>
          </w:r>
          <w:r>
            <w:rPr>
              <w:color w:val="auto"/>
            </w:rPr>
            <w:fldChar w:fldCharType="separate"/>
          </w:r>
          <w:r>
            <w:rPr>
              <w:color w:val="auto"/>
            </w:rPr>
            <w:t>七百零五、经营者相互串通，操纵市场价格，造成商品价格较大幅度上涨</w:t>
          </w:r>
          <w:r>
            <w:rPr>
              <w:color w:val="auto"/>
            </w:rPr>
            <w:tab/>
          </w:r>
          <w:r>
            <w:rPr>
              <w:color w:val="auto"/>
            </w:rPr>
            <w:t>694</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"_bookmark720"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"_bookmark720" </w:instrText>
          </w:r>
          <w:r>
            <w:rPr>
              <w:color w:val="auto"/>
            </w:rPr>
            <w:fldChar w:fldCharType="separate"/>
          </w:r>
          <w:r>
            <w:rPr>
              <w:color w:val="auto"/>
            </w:rPr>
            <w:t>百零六</w:t>
          </w:r>
          <w:r>
            <w:rPr>
              <w:color w:val="auto"/>
              <w:spacing w:val="-12"/>
            </w:rPr>
            <w:t>、</w:t>
          </w:r>
          <w:r>
            <w:rPr>
              <w:color w:val="auto"/>
            </w:rPr>
            <w:t>经营者相互串通</w:t>
          </w:r>
          <w:r>
            <w:rPr>
              <w:color w:val="auto"/>
              <w:spacing w:val="-12"/>
            </w:rPr>
            <w:t>，</w:t>
          </w:r>
          <w:r>
            <w:rPr>
              <w:color w:val="auto"/>
            </w:rPr>
            <w:t>操纵市场价格</w:t>
          </w:r>
          <w:r>
            <w:rPr>
              <w:color w:val="auto"/>
              <w:spacing w:val="-12"/>
            </w:rPr>
            <w:t>，</w:t>
          </w:r>
          <w:r>
            <w:rPr>
              <w:color w:val="auto"/>
            </w:rPr>
            <w:t>损害其他经营者或者消费者的合</w:t>
          </w:r>
          <w:r>
            <w:rPr>
              <w:color w:val="auto"/>
              <w:spacing w:val="-17"/>
            </w:rPr>
            <w:t>法</w:t>
          </w:r>
          <w:r>
            <w:rPr>
              <w:color w:val="auto"/>
              <w:spacing w:val="-17"/>
            </w:rPr>
            <w:fldChar w:fldCharType="end"/>
          </w:r>
          <w:r>
            <w:rPr>
              <w:color w:val="auto"/>
            </w:rPr>
            <w:t>权益</w:t>
          </w:r>
          <w:r>
            <w:rPr>
              <w:color w:val="auto"/>
            </w:rPr>
            <w:tab/>
          </w:r>
          <w:r>
            <w:rPr>
              <w:color w:val="auto"/>
              <w:spacing w:val="-6"/>
            </w:rPr>
            <w:t>696</w:t>
          </w:r>
        </w:p>
        <w:p>
          <w:pPr>
            <w:pStyle w:val="5"/>
            <w:tabs>
              <w:tab w:val="left" w:leader="dot" w:pos="8595"/>
            </w:tabs>
            <w:spacing w:line="308" w:lineRule="exact"/>
            <w:rPr>
              <w:color w:val="auto"/>
            </w:rPr>
          </w:pPr>
          <w:r>
            <w:rPr>
              <w:color w:val="auto"/>
            </w:rPr>
            <w:fldChar w:fldCharType="begin"/>
          </w:r>
          <w:r>
            <w:rPr>
              <w:color w:val="auto"/>
            </w:rPr>
            <w:instrText xml:space="preserve"> HYPERLINK \l "_bookmark721" </w:instrText>
          </w:r>
          <w:r>
            <w:rPr>
              <w:color w:val="auto"/>
            </w:rPr>
            <w:fldChar w:fldCharType="separate"/>
          </w:r>
          <w:r>
            <w:rPr>
              <w:color w:val="auto"/>
            </w:rPr>
            <w:t>七百零七、行业协会或者其他单位组织经营者相互串通，操纵市场价格</w:t>
          </w:r>
          <w:r>
            <w:rPr>
              <w:color w:val="auto"/>
            </w:rPr>
            <w:tab/>
          </w:r>
          <w:r>
            <w:rPr>
              <w:color w:val="auto"/>
            </w:rPr>
            <w:t>698</w:t>
          </w:r>
          <w:r>
            <w:rPr>
              <w:color w:val="auto"/>
            </w:rPr>
            <w:fldChar w:fldCharType="end"/>
          </w:r>
        </w:p>
        <w:p>
          <w:pPr>
            <w:pStyle w:val="5"/>
            <w:tabs>
              <w:tab w:val="left" w:leader="dot" w:pos="8595"/>
            </w:tabs>
            <w:spacing w:before="172" w:line="374" w:lineRule="auto"/>
            <w:ind w:right="232"/>
            <w:jc w:val="both"/>
            <w:rPr>
              <w:color w:val="auto"/>
            </w:rPr>
          </w:pPr>
          <w:r>
            <w:rPr>
              <w:color w:val="auto"/>
            </w:rPr>
            <w:fldChar w:fldCharType="begin"/>
          </w:r>
          <w:r>
            <w:rPr>
              <w:color w:val="auto"/>
            </w:rPr>
            <w:instrText xml:space="preserve"> HYPERLINK \l "_bookmark722"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"_bookmark722" </w:instrText>
          </w:r>
          <w:r>
            <w:rPr>
              <w:color w:val="auto"/>
            </w:rPr>
            <w:fldChar w:fldCharType="separate"/>
          </w:r>
          <w:r>
            <w:rPr>
              <w:color w:val="auto"/>
            </w:rPr>
            <w:t>百零八、经营者除依法降价处理鲜活商品、季节性商品、积压商品等商品外</w:t>
          </w:r>
          <w:r>
            <w:rPr>
              <w:color w:val="auto"/>
              <w:spacing w:val="-17"/>
            </w:rPr>
            <w:t xml:space="preserve">， </w:t>
          </w:r>
          <w:r>
            <w:rPr>
              <w:color w:val="auto"/>
              <w:spacing w:val="-17"/>
            </w:rPr>
            <w:fldChar w:fldCharType="end"/>
          </w:r>
          <w:r>
            <w:rPr>
              <w:color w:val="auto"/>
            </w:rPr>
            <w:t>为了排挤竞争对手或者独占市场</w:t>
          </w:r>
          <w:r>
            <w:rPr>
              <w:color w:val="auto"/>
              <w:spacing w:val="-20"/>
            </w:rPr>
            <w:t>，</w:t>
          </w:r>
          <w:r>
            <w:rPr>
              <w:color w:val="auto"/>
            </w:rPr>
            <w:t>以低于成本的价格倾销</w:t>
          </w:r>
          <w:r>
            <w:rPr>
              <w:color w:val="auto"/>
              <w:spacing w:val="-17"/>
            </w:rPr>
            <w:t>，</w:t>
          </w:r>
          <w:r>
            <w:rPr>
              <w:color w:val="auto"/>
            </w:rPr>
            <w:t>扰乱正常的生产经营秩序，损害国家利益或者其他经营者的合法权益</w:t>
          </w:r>
          <w:r>
            <w:rPr>
              <w:color w:val="auto"/>
            </w:rPr>
            <w:tab/>
          </w:r>
          <w:r>
            <w:rPr>
              <w:color w:val="auto"/>
            </w:rPr>
            <w:t>700</w:t>
          </w:r>
        </w:p>
        <w:p>
          <w:pPr>
            <w:pStyle w:val="5"/>
            <w:tabs>
              <w:tab w:val="left" w:leader="dot" w:pos="8595"/>
            </w:tabs>
            <w:spacing w:line="308" w:lineRule="exact"/>
            <w:rPr>
              <w:color w:val="auto"/>
            </w:rPr>
          </w:pPr>
          <w:r>
            <w:rPr>
              <w:color w:val="auto"/>
            </w:rPr>
            <w:fldChar w:fldCharType="begin"/>
          </w:r>
          <w:r>
            <w:rPr>
              <w:color w:val="auto"/>
            </w:rPr>
            <w:instrText xml:space="preserve"> HYPERLINK \l "_bookmark723" </w:instrText>
          </w:r>
          <w:r>
            <w:rPr>
              <w:color w:val="auto"/>
            </w:rPr>
            <w:fldChar w:fldCharType="separate"/>
          </w:r>
          <w:r>
            <w:rPr>
              <w:color w:val="auto"/>
              <w:spacing w:val="-22"/>
            </w:rPr>
            <w:t>七百</w:t>
          </w:r>
          <w:r>
            <w:rPr>
              <w:color w:val="auto"/>
              <w:spacing w:val="-24"/>
            </w:rPr>
            <w:t>零</w:t>
          </w:r>
          <w:r>
            <w:rPr>
              <w:color w:val="auto"/>
              <w:spacing w:val="-22"/>
            </w:rPr>
            <w:t>九、捏造、</w:t>
          </w:r>
          <w:r>
            <w:rPr>
              <w:color w:val="auto"/>
              <w:spacing w:val="-24"/>
            </w:rPr>
            <w:t>散</w:t>
          </w:r>
          <w:r>
            <w:rPr>
              <w:color w:val="auto"/>
              <w:spacing w:val="-22"/>
            </w:rPr>
            <w:t>布涨价信息</w:t>
          </w:r>
          <w:r>
            <w:rPr>
              <w:color w:val="auto"/>
              <w:spacing w:val="-24"/>
            </w:rPr>
            <w:t>，</w:t>
          </w:r>
          <w:r>
            <w:rPr>
              <w:color w:val="auto"/>
              <w:spacing w:val="-22"/>
            </w:rPr>
            <w:t>囤积商品，</w:t>
          </w:r>
          <w:r>
            <w:rPr>
              <w:color w:val="auto"/>
              <w:spacing w:val="-24"/>
            </w:rPr>
            <w:t>哄</w:t>
          </w:r>
          <w:r>
            <w:rPr>
              <w:color w:val="auto"/>
              <w:spacing w:val="-22"/>
            </w:rPr>
            <w:t>抬价格，推</w:t>
          </w:r>
          <w:r>
            <w:rPr>
              <w:color w:val="auto"/>
              <w:spacing w:val="-24"/>
            </w:rPr>
            <w:t>动</w:t>
          </w:r>
          <w:r>
            <w:rPr>
              <w:color w:val="auto"/>
              <w:spacing w:val="-22"/>
            </w:rPr>
            <w:t>商品价格过</w:t>
          </w:r>
          <w:r>
            <w:rPr>
              <w:color w:val="auto"/>
              <w:spacing w:val="-24"/>
            </w:rPr>
            <w:t>高</w:t>
          </w:r>
          <w:r>
            <w:rPr>
              <w:color w:val="auto"/>
              <w:spacing w:val="-22"/>
            </w:rPr>
            <w:t>上涨</w:t>
          </w:r>
          <w:r>
            <w:rPr>
              <w:color w:val="auto"/>
              <w:spacing w:val="-22"/>
            </w:rPr>
            <w:tab/>
          </w:r>
          <w:r>
            <w:rPr>
              <w:color w:val="auto"/>
            </w:rPr>
            <w:t>702</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"_bookmark724"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"_bookmark724" </w:instrText>
          </w:r>
          <w:r>
            <w:rPr>
              <w:color w:val="auto"/>
            </w:rPr>
            <w:fldChar w:fldCharType="separate"/>
          </w:r>
          <w:r>
            <w:rPr>
              <w:color w:val="auto"/>
            </w:rPr>
            <w:t>百一十</w:t>
          </w:r>
          <w:r>
            <w:rPr>
              <w:color w:val="auto"/>
              <w:spacing w:val="-20"/>
            </w:rPr>
            <w:t>、</w:t>
          </w:r>
          <w:r>
            <w:rPr>
              <w:color w:val="auto"/>
            </w:rPr>
            <w:t>经营者利用虚假的或者使人误解的价格手段</w:t>
          </w:r>
          <w:r>
            <w:rPr>
              <w:color w:val="auto"/>
              <w:spacing w:val="-17"/>
            </w:rPr>
            <w:t>，</w:t>
          </w:r>
          <w:r>
            <w:rPr>
              <w:color w:val="auto"/>
            </w:rPr>
            <w:t>诱骗消费者或者其他</w:t>
          </w:r>
          <w:r>
            <w:rPr>
              <w:color w:val="auto"/>
              <w:spacing w:val="-16"/>
            </w:rPr>
            <w:t>经</w:t>
          </w:r>
          <w:r>
            <w:rPr>
              <w:color w:val="auto"/>
              <w:spacing w:val="-16"/>
            </w:rPr>
            <w:fldChar w:fldCharType="end"/>
          </w:r>
          <w:r>
            <w:rPr>
              <w:color w:val="auto"/>
            </w:rPr>
            <w:t>营者与其进行交易</w:t>
          </w:r>
          <w:r>
            <w:rPr>
              <w:color w:val="auto"/>
            </w:rPr>
            <w:tab/>
          </w:r>
          <w:r>
            <w:rPr>
              <w:color w:val="auto"/>
              <w:spacing w:val="-6"/>
            </w:rPr>
            <w:t>705</w:t>
          </w:r>
        </w:p>
        <w:p>
          <w:pPr>
            <w:pStyle w:val="5"/>
            <w:tabs>
              <w:tab w:val="left" w:leader="dot" w:pos="8595"/>
            </w:tabs>
            <w:spacing w:line="374" w:lineRule="auto"/>
            <w:ind w:right="268"/>
            <w:rPr>
              <w:color w:val="auto"/>
            </w:rPr>
          </w:pPr>
          <w:r>
            <w:rPr>
              <w:color w:val="auto"/>
            </w:rPr>
            <w:fldChar w:fldCharType="begin"/>
          </w:r>
          <w:r>
            <w:rPr>
              <w:color w:val="auto"/>
            </w:rPr>
            <w:instrText xml:space="preserve"> HYPERLINK \l "_bookmark725"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"_bookmark725" </w:instrText>
          </w:r>
          <w:r>
            <w:rPr>
              <w:color w:val="auto"/>
            </w:rPr>
            <w:fldChar w:fldCharType="separate"/>
          </w:r>
          <w:r>
            <w:rPr>
              <w:color w:val="auto"/>
            </w:rPr>
            <w:t>百一十一</w:t>
          </w:r>
          <w:r>
            <w:rPr>
              <w:color w:val="auto"/>
              <w:spacing w:val="-20"/>
            </w:rPr>
            <w:t>、</w:t>
          </w:r>
          <w:r>
            <w:rPr>
              <w:color w:val="auto"/>
            </w:rPr>
            <w:t>经营者提供相同商品或者服务</w:t>
          </w:r>
          <w:r>
            <w:rPr>
              <w:color w:val="auto"/>
              <w:spacing w:val="-17"/>
            </w:rPr>
            <w:t>，</w:t>
          </w:r>
          <w:r>
            <w:rPr>
              <w:color w:val="auto"/>
            </w:rPr>
            <w:t>对具有同等交易条件的其他经营</w:t>
          </w:r>
          <w:r>
            <w:rPr>
              <w:color w:val="auto"/>
              <w:spacing w:val="-16"/>
            </w:rPr>
            <w:t>者</w:t>
          </w:r>
          <w:r>
            <w:rPr>
              <w:color w:val="auto"/>
              <w:spacing w:val="-16"/>
            </w:rPr>
            <w:fldChar w:fldCharType="end"/>
          </w:r>
          <w:r>
            <w:rPr>
              <w:color w:val="auto"/>
            </w:rPr>
            <w:t>实行价格歧视</w:t>
          </w:r>
          <w:r>
            <w:rPr>
              <w:color w:val="auto"/>
            </w:rPr>
            <w:tab/>
          </w:r>
          <w:r>
            <w:rPr>
              <w:color w:val="auto"/>
              <w:spacing w:val="-6"/>
            </w:rPr>
            <w:t>707</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"_bookmark726"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"_bookmark726" </w:instrText>
          </w:r>
          <w:r>
            <w:rPr>
              <w:color w:val="auto"/>
            </w:rPr>
            <w:fldChar w:fldCharType="separate"/>
          </w:r>
          <w:r>
            <w:rPr>
              <w:color w:val="auto"/>
            </w:rPr>
            <w:t>百一十二</w:t>
          </w:r>
          <w:r>
            <w:rPr>
              <w:color w:val="auto"/>
              <w:spacing w:val="-20"/>
            </w:rPr>
            <w:t>、</w:t>
          </w:r>
          <w:r>
            <w:rPr>
              <w:color w:val="auto"/>
            </w:rPr>
            <w:t>经营者采取抬高等级或者压低等级等手段收购</w:t>
          </w:r>
          <w:r>
            <w:rPr>
              <w:color w:val="auto"/>
              <w:spacing w:val="-17"/>
            </w:rPr>
            <w:t>、</w:t>
          </w:r>
          <w:r>
            <w:rPr>
              <w:color w:val="auto"/>
            </w:rPr>
            <w:t>销售商品或者提</w:t>
          </w:r>
          <w:r>
            <w:rPr>
              <w:color w:val="auto"/>
              <w:spacing w:val="-16"/>
            </w:rPr>
            <w:t>供</w:t>
          </w:r>
          <w:r>
            <w:rPr>
              <w:color w:val="auto"/>
              <w:spacing w:val="-16"/>
            </w:rPr>
            <w:fldChar w:fldCharType="end"/>
          </w:r>
          <w:r>
            <w:rPr>
              <w:color w:val="auto"/>
            </w:rPr>
            <w:t>服务，变相提高或者压低价格</w:t>
          </w:r>
          <w:r>
            <w:rPr>
              <w:color w:val="auto"/>
            </w:rPr>
            <w:tab/>
          </w:r>
          <w:r>
            <w:rPr>
              <w:color w:val="auto"/>
              <w:spacing w:val="-6"/>
            </w:rPr>
            <w:t>709</w:t>
          </w:r>
        </w:p>
        <w:p>
          <w:pPr>
            <w:pStyle w:val="5"/>
            <w:tabs>
              <w:tab w:val="left" w:leader="dot" w:pos="8595"/>
            </w:tabs>
            <w:spacing w:line="308" w:lineRule="exact"/>
            <w:rPr>
              <w:color w:val="auto"/>
            </w:rPr>
          </w:pPr>
          <w:r>
            <w:rPr>
              <w:color w:val="auto"/>
            </w:rPr>
            <w:fldChar w:fldCharType="begin"/>
          </w:r>
          <w:r>
            <w:rPr>
              <w:color w:val="auto"/>
            </w:rPr>
            <w:instrText xml:space="preserve"> HYPERLINK \l "_bookmark727" </w:instrText>
          </w:r>
          <w:r>
            <w:rPr>
              <w:color w:val="auto"/>
            </w:rPr>
            <w:fldChar w:fldCharType="separate"/>
          </w:r>
          <w:r>
            <w:rPr>
              <w:color w:val="auto"/>
            </w:rPr>
            <w:t>七百一十三、经营者违反法律、法规的规定牟取暴利</w:t>
          </w:r>
          <w:r>
            <w:rPr>
              <w:color w:val="auto"/>
            </w:rPr>
            <w:tab/>
          </w:r>
          <w:r>
            <w:rPr>
              <w:color w:val="auto"/>
            </w:rPr>
            <w:t>711</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"_bookmark728" </w:instrText>
          </w:r>
          <w:r>
            <w:rPr>
              <w:color w:val="auto"/>
            </w:rPr>
            <w:fldChar w:fldCharType="separate"/>
          </w:r>
          <w:r>
            <w:rPr>
              <w:color w:val="auto"/>
            </w:rPr>
            <w:t>七百一十四、违反明码标价规定</w:t>
          </w:r>
          <w:r>
            <w:rPr>
              <w:color w:val="auto"/>
            </w:rPr>
            <w:tab/>
          </w:r>
          <w:r>
            <w:rPr>
              <w:color w:val="auto"/>
            </w:rPr>
            <w:t>713</w:t>
          </w:r>
          <w:r>
            <w:rPr>
              <w:color w:val="auto"/>
            </w:rPr>
            <w:fldChar w:fldCharType="end"/>
          </w:r>
        </w:p>
        <w:p>
          <w:pPr>
            <w:pStyle w:val="5"/>
            <w:tabs>
              <w:tab w:val="left" w:leader="dot" w:pos="8595"/>
            </w:tabs>
            <w:spacing w:before="173" w:line="374" w:lineRule="auto"/>
            <w:ind w:right="268"/>
            <w:rPr>
              <w:color w:val="auto"/>
            </w:rPr>
          </w:pPr>
          <w:r>
            <w:rPr>
              <w:color w:val="auto"/>
            </w:rPr>
            <w:fldChar w:fldCharType="begin"/>
          </w:r>
          <w:r>
            <w:rPr>
              <w:color w:val="auto"/>
            </w:rPr>
            <w:instrText xml:space="preserve"> HYPERLINK \l "_bookmark729"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"_bookmark729" </w:instrText>
          </w:r>
          <w:r>
            <w:rPr>
              <w:color w:val="auto"/>
            </w:rPr>
            <w:fldChar w:fldCharType="separate"/>
          </w:r>
          <w:r>
            <w:rPr>
              <w:color w:val="auto"/>
            </w:rPr>
            <w:t>百一十五</w:t>
          </w:r>
          <w:r>
            <w:rPr>
              <w:color w:val="auto"/>
              <w:spacing w:val="-10"/>
            </w:rPr>
            <w:t>、</w:t>
          </w:r>
          <w:r>
            <w:rPr>
              <w:color w:val="auto"/>
            </w:rPr>
            <w:t>经营者被责令暂行停业而不停止</w:t>
          </w:r>
          <w:r>
            <w:rPr>
              <w:color w:val="auto"/>
              <w:spacing w:val="-10"/>
            </w:rPr>
            <w:t>，</w:t>
          </w:r>
          <w:r>
            <w:rPr>
              <w:color w:val="auto"/>
            </w:rPr>
            <w:t>或者转移</w:t>
          </w:r>
          <w:r>
            <w:rPr>
              <w:color w:val="auto"/>
              <w:spacing w:val="-8"/>
            </w:rPr>
            <w:t>、</w:t>
          </w:r>
          <w:r>
            <w:rPr>
              <w:color w:val="auto"/>
            </w:rPr>
            <w:t>隐匿</w:t>
          </w:r>
          <w:r>
            <w:rPr>
              <w:color w:val="auto"/>
              <w:spacing w:val="-10"/>
            </w:rPr>
            <w:t>、</w:t>
          </w:r>
          <w:r>
            <w:rPr>
              <w:color w:val="auto"/>
            </w:rPr>
            <w:t>销毁依法登</w:t>
          </w:r>
          <w:r>
            <w:rPr>
              <w:color w:val="auto"/>
              <w:spacing w:val="-15"/>
            </w:rPr>
            <w:t>记</w:t>
          </w:r>
          <w:r>
            <w:rPr>
              <w:color w:val="auto"/>
              <w:spacing w:val="-15"/>
            </w:rPr>
            <w:fldChar w:fldCharType="end"/>
          </w:r>
          <w:r>
            <w:rPr>
              <w:color w:val="auto"/>
            </w:rPr>
            <w:t>保存的财物</w:t>
          </w:r>
          <w:r>
            <w:rPr>
              <w:color w:val="auto"/>
            </w:rPr>
            <w:tab/>
          </w:r>
          <w:r>
            <w:rPr>
              <w:color w:val="auto"/>
              <w:spacing w:val="-6"/>
            </w:rPr>
            <w:t>715</w:t>
          </w:r>
        </w:p>
        <w:p>
          <w:pPr>
            <w:pStyle w:val="5"/>
            <w:tabs>
              <w:tab w:val="left" w:leader="dot" w:pos="8611"/>
            </w:tabs>
            <w:spacing w:line="308" w:lineRule="exact"/>
            <w:rPr>
              <w:color w:val="auto"/>
            </w:rPr>
          </w:pPr>
          <w:r>
            <w:rPr>
              <w:color w:val="auto"/>
            </w:rPr>
            <w:fldChar w:fldCharType="begin"/>
          </w:r>
          <w:r>
            <w:rPr>
              <w:color w:val="auto"/>
            </w:rPr>
            <w:instrText xml:space="preserve"> HYPERLINK \l "_bookmark730" </w:instrText>
          </w:r>
          <w:r>
            <w:rPr>
              <w:color w:val="auto"/>
            </w:rPr>
            <w:fldChar w:fldCharType="separate"/>
          </w:r>
          <w:r>
            <w:rPr>
              <w:color w:val="auto"/>
              <w:spacing w:val="-12"/>
            </w:rPr>
            <w:t>七百一十六、经营者拒绝按照规定提供监督检查所需资料或者提供虚假资</w:t>
          </w:r>
          <w:r>
            <w:rPr>
              <w:color w:val="auto"/>
            </w:rPr>
            <w:t>料</w:t>
          </w:r>
          <w:r>
            <w:rPr>
              <w:color w:val="auto"/>
            </w:rPr>
            <w:tab/>
          </w:r>
          <w:r>
            <w:rPr>
              <w:color w:val="auto"/>
              <w:spacing w:val="-4"/>
            </w:rPr>
            <w:t>716</w:t>
          </w:r>
          <w:r>
            <w:rPr>
              <w:color w:val="auto"/>
              <w:spacing w:val="-4"/>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"_bookmark731" </w:instrText>
          </w:r>
          <w:r>
            <w:rPr>
              <w:color w:val="auto"/>
            </w:rPr>
            <w:fldChar w:fldCharType="separate"/>
          </w:r>
          <w:r>
            <w:rPr>
              <w:color w:val="auto"/>
            </w:rPr>
            <w:t>七百一十七、国家机关、事业单位违反规定乱收费</w:t>
          </w:r>
          <w:r>
            <w:rPr>
              <w:color w:val="auto"/>
            </w:rPr>
            <w:tab/>
          </w:r>
          <w:r>
            <w:rPr>
              <w:color w:val="auto"/>
            </w:rPr>
            <w:t>718</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"_bookmark732" </w:instrText>
          </w:r>
          <w:r>
            <w:rPr>
              <w:color w:val="auto"/>
            </w:rPr>
            <w:fldChar w:fldCharType="separate"/>
          </w:r>
          <w:r>
            <w:rPr>
              <w:color w:val="auto"/>
            </w:rPr>
            <w:t>七百一十八、国家机关不按规定要求公布收费项目和收费标准</w:t>
          </w:r>
          <w:r>
            <w:rPr>
              <w:color w:val="auto"/>
            </w:rPr>
            <w:tab/>
          </w:r>
          <w:r>
            <w:rPr>
              <w:color w:val="auto"/>
            </w:rPr>
            <w:t>720</w:t>
          </w:r>
          <w:r>
            <w:rPr>
              <w:color w:val="auto"/>
            </w:rPr>
            <w:fldChar w:fldCharType="end"/>
          </w:r>
        </w:p>
        <w:p>
          <w:pPr>
            <w:pStyle w:val="5"/>
            <w:tabs>
              <w:tab w:val="left" w:leader="dot" w:pos="8595"/>
            </w:tabs>
            <w:spacing w:before="172" w:line="374" w:lineRule="auto"/>
            <w:ind w:right="268"/>
            <w:rPr>
              <w:color w:val="auto"/>
            </w:rPr>
          </w:pPr>
          <w:r>
            <w:rPr>
              <w:color w:val="auto"/>
            </w:rPr>
            <w:fldChar w:fldCharType="begin"/>
          </w:r>
          <w:r>
            <w:rPr>
              <w:color w:val="auto"/>
            </w:rPr>
            <w:instrText xml:space="preserve"> HYPERLINK \l "_bookmark733"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"_bookmark733" </w:instrText>
          </w:r>
          <w:r>
            <w:rPr>
              <w:color w:val="auto"/>
            </w:rPr>
            <w:fldChar w:fldCharType="separate"/>
          </w:r>
          <w:r>
            <w:rPr>
              <w:color w:val="auto"/>
            </w:rPr>
            <w:t>百一十九</w:t>
          </w:r>
          <w:r>
            <w:rPr>
              <w:color w:val="auto"/>
              <w:spacing w:val="-36"/>
            </w:rPr>
            <w:t>、</w:t>
          </w:r>
          <w:r>
            <w:rPr>
              <w:color w:val="auto"/>
            </w:rPr>
            <w:t>经营者依托国家机关或者以国家机关的名义强制或者变相强制服</w:t>
          </w:r>
          <w:r>
            <w:rPr>
              <w:color w:val="auto"/>
              <w:spacing w:val="-17"/>
            </w:rPr>
            <w:t>务</w:t>
          </w:r>
          <w:r>
            <w:rPr>
              <w:color w:val="auto"/>
              <w:spacing w:val="-17"/>
            </w:rPr>
            <w:fldChar w:fldCharType="end"/>
          </w:r>
          <w:r>
            <w:rPr>
              <w:color w:val="auto"/>
            </w:rPr>
            <w:t>并收费</w:t>
          </w:r>
          <w:r>
            <w:rPr>
              <w:color w:val="auto"/>
            </w:rPr>
            <w:tab/>
          </w:r>
          <w:r>
            <w:rPr>
              <w:color w:val="auto"/>
              <w:spacing w:val="-6"/>
            </w:rPr>
            <w:t>722</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"_bookmark734"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"_bookmark734" </w:instrText>
          </w:r>
          <w:r>
            <w:rPr>
              <w:color w:val="auto"/>
            </w:rPr>
            <w:fldChar w:fldCharType="separate"/>
          </w:r>
          <w:r>
            <w:rPr>
              <w:color w:val="auto"/>
            </w:rPr>
            <w:t>百二十</w:t>
          </w:r>
          <w:r>
            <w:rPr>
              <w:color w:val="auto"/>
              <w:spacing w:val="-36"/>
            </w:rPr>
            <w:t>、</w:t>
          </w:r>
          <w:r>
            <w:rPr>
              <w:color w:val="auto"/>
            </w:rPr>
            <w:t>物业服务企业未将前期物业服务合同或者调整后的物业服务收费标</w:t>
          </w:r>
          <w:r>
            <w:rPr>
              <w:color w:val="auto"/>
              <w:spacing w:val="-17"/>
            </w:rPr>
            <w:t>准</w:t>
          </w:r>
          <w:r>
            <w:rPr>
              <w:color w:val="auto"/>
              <w:spacing w:val="-17"/>
            </w:rPr>
            <w:fldChar w:fldCharType="end"/>
          </w:r>
          <w:r>
            <w:rPr>
              <w:color w:val="auto"/>
            </w:rPr>
            <w:t>报送备案</w:t>
          </w:r>
          <w:r>
            <w:rPr>
              <w:color w:val="auto"/>
            </w:rPr>
            <w:tab/>
          </w:r>
          <w:r>
            <w:rPr>
              <w:color w:val="auto"/>
              <w:spacing w:val="-6"/>
            </w:rPr>
            <w:t>723</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"_bookmark735"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"_bookmark735" </w:instrText>
          </w:r>
          <w:r>
            <w:rPr>
              <w:color w:val="auto"/>
            </w:rPr>
            <w:fldChar w:fldCharType="separate"/>
          </w:r>
          <w:r>
            <w:rPr>
              <w:color w:val="auto"/>
            </w:rPr>
            <w:t>百二十一</w:t>
          </w:r>
          <w:r>
            <w:rPr>
              <w:color w:val="auto"/>
              <w:spacing w:val="-20"/>
            </w:rPr>
            <w:t>、</w:t>
          </w:r>
          <w:r>
            <w:rPr>
              <w:color w:val="auto"/>
            </w:rPr>
            <w:t>物业服务企业未按照规定公示物业共用部位</w:t>
          </w:r>
          <w:r>
            <w:rPr>
              <w:color w:val="auto"/>
              <w:spacing w:val="-17"/>
            </w:rPr>
            <w:t>、</w:t>
          </w:r>
          <w:r>
            <w:rPr>
              <w:color w:val="auto"/>
            </w:rPr>
            <w:t>共用设施设备收益</w:t>
          </w:r>
          <w:r>
            <w:rPr>
              <w:color w:val="auto"/>
              <w:spacing w:val="-16"/>
            </w:rPr>
            <w:t>资</w:t>
          </w:r>
          <w:r>
            <w:rPr>
              <w:color w:val="auto"/>
              <w:spacing w:val="-16"/>
            </w:rPr>
            <w:fldChar w:fldCharType="end"/>
          </w:r>
          <w:r>
            <w:rPr>
              <w:color w:val="auto"/>
            </w:rPr>
            <w:t>金和车位场地使用费</w:t>
          </w:r>
          <w:r>
            <w:rPr>
              <w:color w:val="auto"/>
            </w:rPr>
            <w:tab/>
          </w:r>
          <w:r>
            <w:rPr>
              <w:color w:val="auto"/>
              <w:spacing w:val="-6"/>
            </w:rPr>
            <w:t>725</w:t>
          </w:r>
        </w:p>
        <w:p>
          <w:pPr>
            <w:pStyle w:val="5"/>
            <w:rPr>
              <w:color w:val="auto"/>
            </w:rPr>
          </w:pPr>
          <w:r>
            <w:rPr>
              <w:color w:val="auto"/>
            </w:rPr>
            <w:fldChar w:fldCharType="begin"/>
          </w:r>
          <w:r>
            <w:rPr>
              <w:color w:val="auto"/>
            </w:rPr>
            <w:instrText xml:space="preserve"> HYPERLINK \l "_bookmark736"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"_bookmark736" </w:instrText>
          </w:r>
          <w:r>
            <w:rPr>
              <w:color w:val="auto"/>
            </w:rPr>
            <w:fldChar w:fldCharType="separate"/>
          </w:r>
          <w:r>
            <w:rPr>
              <w:color w:val="auto"/>
              <w:spacing w:val="-5"/>
            </w:rPr>
            <w:t>百二十二、物业服务企业未按照规定使用、管理物业共用部位、共用设施设备</w:t>
          </w:r>
          <w:r>
            <w:rPr>
              <w:color w:val="auto"/>
              <w:spacing w:val="-5"/>
            </w:rPr>
            <w:fldChar w:fldCharType="end"/>
          </w:r>
        </w:p>
        <w:p>
          <w:pPr>
            <w:pStyle w:val="5"/>
            <w:tabs>
              <w:tab w:val="left" w:leader="dot" w:pos="8595"/>
            </w:tabs>
            <w:spacing w:before="173" w:after="59"/>
            <w:rPr>
              <w:color w:val="auto"/>
            </w:rPr>
          </w:pPr>
          <w:r>
            <w:rPr>
              <w:color w:val="auto"/>
            </w:rPr>
            <w:t>收益资金和车位场地使用费</w:t>
          </w:r>
          <w:r>
            <w:rPr>
              <w:color w:val="auto"/>
            </w:rPr>
            <w:tab/>
          </w:r>
          <w:r>
            <w:rPr>
              <w:color w:val="auto"/>
            </w:rPr>
            <w:t>726</w:t>
          </w:r>
        </w:p>
        <w:p>
          <w:pPr>
            <w:pStyle w:val="5"/>
            <w:tabs>
              <w:tab w:val="left" w:leader="dot" w:pos="8595"/>
            </w:tabs>
            <w:spacing w:before="607" w:line="374" w:lineRule="auto"/>
            <w:ind w:right="268"/>
            <w:rPr>
              <w:color w:val="auto"/>
            </w:rPr>
          </w:pPr>
          <w:r>
            <w:rPr>
              <w:color w:val="auto"/>
            </w:rPr>
            <w:fldChar w:fldCharType="begin"/>
          </w:r>
          <w:r>
            <w:rPr>
              <w:color w:val="auto"/>
            </w:rPr>
            <w:instrText xml:space="preserve"> HYPERLINK \l "_bookmark737"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"_bookmark737" </w:instrText>
          </w:r>
          <w:r>
            <w:rPr>
              <w:color w:val="auto"/>
            </w:rPr>
            <w:fldChar w:fldCharType="separate"/>
          </w:r>
          <w:r>
            <w:rPr>
              <w:color w:val="auto"/>
            </w:rPr>
            <w:t>百二十三</w:t>
          </w:r>
          <w:r>
            <w:rPr>
              <w:color w:val="auto"/>
              <w:spacing w:val="-36"/>
            </w:rPr>
            <w:t>、</w:t>
          </w:r>
          <w:r>
            <w:rPr>
              <w:color w:val="auto"/>
            </w:rPr>
            <w:t>物业服务企业未按照规定程序调整普通住宅前期物业公共服务收</w:t>
          </w:r>
          <w:r>
            <w:rPr>
              <w:color w:val="auto"/>
              <w:spacing w:val="-17"/>
            </w:rPr>
            <w:t>费</w:t>
          </w:r>
          <w:r>
            <w:rPr>
              <w:color w:val="auto"/>
              <w:spacing w:val="-17"/>
            </w:rPr>
            <w:fldChar w:fldCharType="end"/>
          </w:r>
          <w:r>
            <w:rPr>
              <w:color w:val="auto"/>
            </w:rPr>
            <w:t>标准</w:t>
          </w:r>
          <w:r>
            <w:rPr>
              <w:color w:val="auto"/>
            </w:rPr>
            <w:tab/>
          </w:r>
          <w:r>
            <w:rPr>
              <w:color w:val="auto"/>
              <w:spacing w:val="-6"/>
            </w:rPr>
            <w:t>728</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"_bookmark738"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"_bookmark738" </w:instrText>
          </w:r>
          <w:r>
            <w:rPr>
              <w:color w:val="auto"/>
            </w:rPr>
            <w:fldChar w:fldCharType="separate"/>
          </w:r>
          <w:r>
            <w:rPr>
              <w:color w:val="auto"/>
            </w:rPr>
            <w:t>百二十四</w:t>
          </w:r>
          <w:r>
            <w:rPr>
              <w:color w:val="auto"/>
              <w:spacing w:val="-36"/>
            </w:rPr>
            <w:t>、</w:t>
          </w:r>
          <w:r>
            <w:rPr>
              <w:color w:val="auto"/>
            </w:rPr>
            <w:t>建设单位未按照规定将物业公共服务费减免差额部分补偿给物业</w:t>
          </w:r>
          <w:r>
            <w:rPr>
              <w:color w:val="auto"/>
              <w:spacing w:val="-17"/>
            </w:rPr>
            <w:t>服</w:t>
          </w:r>
          <w:r>
            <w:rPr>
              <w:color w:val="auto"/>
              <w:spacing w:val="-17"/>
            </w:rPr>
            <w:fldChar w:fldCharType="end"/>
          </w:r>
          <w:r>
            <w:rPr>
              <w:color w:val="auto"/>
            </w:rPr>
            <w:t>务企业</w:t>
          </w:r>
          <w:r>
            <w:rPr>
              <w:color w:val="auto"/>
            </w:rPr>
            <w:tab/>
          </w:r>
          <w:r>
            <w:rPr>
              <w:color w:val="auto"/>
              <w:spacing w:val="-6"/>
            </w:rPr>
            <w:t>729</w:t>
          </w:r>
        </w:p>
        <w:p>
          <w:pPr>
            <w:pStyle w:val="5"/>
            <w:tabs>
              <w:tab w:val="left" w:leader="dot" w:pos="8595"/>
            </w:tabs>
            <w:spacing w:line="308" w:lineRule="exact"/>
            <w:rPr>
              <w:color w:val="auto"/>
            </w:rPr>
          </w:pPr>
          <w:r>
            <w:rPr>
              <w:color w:val="auto"/>
            </w:rPr>
            <w:fldChar w:fldCharType="begin"/>
          </w:r>
          <w:r>
            <w:rPr>
              <w:color w:val="auto"/>
            </w:rPr>
            <w:instrText xml:space="preserve"> HYPERLINK \l "_bookmark739" </w:instrText>
          </w:r>
          <w:r>
            <w:rPr>
              <w:color w:val="auto"/>
            </w:rPr>
            <w:fldChar w:fldCharType="separate"/>
          </w:r>
          <w:r>
            <w:rPr>
              <w:color w:val="auto"/>
            </w:rPr>
            <w:t>七百二十五、物业服务企业未按照规定免费配备出入证件</w:t>
          </w:r>
          <w:r>
            <w:rPr>
              <w:color w:val="auto"/>
            </w:rPr>
            <w:tab/>
          </w:r>
          <w:r>
            <w:rPr>
              <w:color w:val="auto"/>
            </w:rPr>
            <w:t>731</w:t>
          </w:r>
          <w:r>
            <w:rPr>
              <w:color w:val="auto"/>
            </w:rPr>
            <w:fldChar w:fldCharType="end"/>
          </w:r>
        </w:p>
        <w:p>
          <w:pPr>
            <w:pStyle w:val="5"/>
            <w:tabs>
              <w:tab w:val="left" w:leader="dot" w:pos="8595"/>
            </w:tabs>
            <w:spacing w:before="172"/>
            <w:rPr>
              <w:color w:val="auto"/>
            </w:rPr>
          </w:pPr>
          <w:r>
            <w:rPr>
              <w:color w:val="auto"/>
            </w:rPr>
            <w:fldChar w:fldCharType="begin"/>
          </w:r>
          <w:r>
            <w:rPr>
              <w:color w:val="auto"/>
            </w:rPr>
            <w:instrText xml:space="preserve"> HYPERLINK \l "_bookmark740" </w:instrText>
          </w:r>
          <w:r>
            <w:rPr>
              <w:color w:val="auto"/>
            </w:rPr>
            <w:fldChar w:fldCharType="separate"/>
          </w:r>
          <w:r>
            <w:rPr>
              <w:color w:val="auto"/>
            </w:rPr>
            <w:t>七百二十六、公共文化设施管理单位相关违法行为</w:t>
          </w:r>
          <w:r>
            <w:rPr>
              <w:color w:val="auto"/>
            </w:rPr>
            <w:tab/>
          </w:r>
          <w:r>
            <w:rPr>
              <w:color w:val="auto"/>
            </w:rPr>
            <w:t>732</w:t>
          </w:r>
          <w:r>
            <w:rPr>
              <w:color w:val="auto"/>
            </w:rPr>
            <w:fldChar w:fldCharType="end"/>
          </w:r>
        </w:p>
        <w:p>
          <w:pPr>
            <w:pStyle w:val="5"/>
            <w:tabs>
              <w:tab w:val="left" w:leader="dot" w:pos="8595"/>
            </w:tabs>
            <w:spacing w:before="173"/>
            <w:rPr>
              <w:color w:val="auto"/>
            </w:rPr>
          </w:pPr>
          <w:r>
            <w:rPr>
              <w:color w:val="auto"/>
            </w:rPr>
            <w:fldChar w:fldCharType="begin"/>
          </w:r>
          <w:r>
            <w:rPr>
              <w:color w:val="auto"/>
            </w:rPr>
            <w:instrText xml:space="preserve"> HYPERLINK \l "_bookmark741" </w:instrText>
          </w:r>
          <w:r>
            <w:rPr>
              <w:color w:val="auto"/>
            </w:rPr>
            <w:fldChar w:fldCharType="separate"/>
          </w:r>
          <w:r>
            <w:rPr>
              <w:color w:val="auto"/>
              <w:spacing w:val="-22"/>
            </w:rPr>
            <w:t>七百</w:t>
          </w:r>
          <w:r>
            <w:rPr>
              <w:color w:val="auto"/>
              <w:spacing w:val="-24"/>
            </w:rPr>
            <w:t>二</w:t>
          </w:r>
          <w:r>
            <w:rPr>
              <w:color w:val="auto"/>
              <w:spacing w:val="-22"/>
            </w:rPr>
            <w:t>十七、公共</w:t>
          </w:r>
          <w:r>
            <w:rPr>
              <w:color w:val="auto"/>
              <w:spacing w:val="-24"/>
            </w:rPr>
            <w:t>图</w:t>
          </w:r>
          <w:r>
            <w:rPr>
              <w:color w:val="auto"/>
              <w:spacing w:val="-22"/>
            </w:rPr>
            <w:t>书馆及其工</w:t>
          </w:r>
          <w:r>
            <w:rPr>
              <w:color w:val="auto"/>
              <w:spacing w:val="-24"/>
            </w:rPr>
            <w:t>作</w:t>
          </w:r>
          <w:r>
            <w:rPr>
              <w:color w:val="auto"/>
              <w:spacing w:val="-22"/>
            </w:rPr>
            <w:t>人员对应当</w:t>
          </w:r>
          <w:r>
            <w:rPr>
              <w:color w:val="auto"/>
              <w:spacing w:val="-24"/>
            </w:rPr>
            <w:t>免</w:t>
          </w:r>
          <w:r>
            <w:rPr>
              <w:color w:val="auto"/>
              <w:spacing w:val="-22"/>
            </w:rPr>
            <w:t>费提供的服</w:t>
          </w:r>
          <w:r>
            <w:rPr>
              <w:color w:val="auto"/>
              <w:spacing w:val="-24"/>
            </w:rPr>
            <w:t>务</w:t>
          </w:r>
          <w:r>
            <w:rPr>
              <w:color w:val="auto"/>
              <w:spacing w:val="-22"/>
            </w:rPr>
            <w:t>收费或者变</w:t>
          </w:r>
          <w:r>
            <w:rPr>
              <w:color w:val="auto"/>
              <w:spacing w:val="-24"/>
            </w:rPr>
            <w:t>相</w:t>
          </w:r>
          <w:r>
            <w:rPr>
              <w:color w:val="auto"/>
              <w:spacing w:val="-22"/>
            </w:rPr>
            <w:t>收费</w:t>
          </w:r>
          <w:r>
            <w:rPr>
              <w:color w:val="auto"/>
              <w:spacing w:val="-22"/>
            </w:rPr>
            <w:tab/>
          </w:r>
          <w:r>
            <w:rPr>
              <w:color w:val="auto"/>
            </w:rPr>
            <w:t>734</w:t>
          </w:r>
          <w:r>
            <w:rPr>
              <w:color w:val="auto"/>
            </w:rPr>
            <w:fldChar w:fldCharType="end"/>
          </w:r>
        </w:p>
        <w:p>
          <w:pPr>
            <w:pStyle w:val="8"/>
            <w:tabs>
              <w:tab w:val="left" w:pos="1920"/>
              <w:tab w:val="left" w:leader="dot" w:pos="8549"/>
            </w:tabs>
            <w:rPr>
              <w:color w:val="auto"/>
            </w:rPr>
          </w:pPr>
          <w:r>
            <w:rPr>
              <w:color w:val="auto"/>
            </w:rPr>
            <w:fldChar w:fldCharType="begin"/>
          </w:r>
          <w:r>
            <w:rPr>
              <w:color w:val="auto"/>
            </w:rPr>
            <w:instrText xml:space="preserve"> HYPERLINK \l "_bookmark742" </w:instrText>
          </w:r>
          <w:r>
            <w:rPr>
              <w:color w:val="auto"/>
            </w:rPr>
            <w:fldChar w:fldCharType="separate"/>
          </w:r>
          <w:r>
            <w:rPr>
              <w:color w:val="auto"/>
              <w:spacing w:val="-13"/>
            </w:rPr>
            <w:t>第十六</w:t>
          </w:r>
          <w:r>
            <w:rPr>
              <w:color w:val="auto"/>
            </w:rPr>
            <w:t>章</w:t>
          </w:r>
          <w:r>
            <w:rPr>
              <w:color w:val="auto"/>
            </w:rPr>
            <w:tab/>
          </w:r>
          <w:r>
            <w:rPr>
              <w:color w:val="auto"/>
              <w:spacing w:val="-13"/>
            </w:rPr>
            <w:t>食品监</w:t>
          </w:r>
          <w:r>
            <w:rPr>
              <w:color w:val="auto"/>
            </w:rPr>
            <w:t>管</w:t>
          </w:r>
          <w:r>
            <w:rPr>
              <w:color w:val="auto"/>
            </w:rPr>
            <w:tab/>
          </w:r>
          <w:r>
            <w:rPr>
              <w:color w:val="auto"/>
              <w:spacing w:val="-3"/>
            </w:rPr>
            <w:t>735</w:t>
          </w:r>
          <w:r>
            <w:rPr>
              <w:color w:val="auto"/>
              <w:spacing w:val="-3"/>
            </w:rPr>
            <w:fldChar w:fldCharType="end"/>
          </w:r>
        </w:p>
        <w:p>
          <w:pPr>
            <w:pStyle w:val="5"/>
            <w:tabs>
              <w:tab w:val="left" w:leader="dot" w:pos="8595"/>
            </w:tabs>
            <w:spacing w:before="97" w:line="374" w:lineRule="auto"/>
            <w:ind w:right="268"/>
            <w:rPr>
              <w:color w:val="auto"/>
            </w:rPr>
          </w:pPr>
          <w:r>
            <w:rPr>
              <w:color w:val="auto"/>
            </w:rPr>
            <w:fldChar w:fldCharType="begin"/>
          </w:r>
          <w:r>
            <w:rPr>
              <w:color w:val="auto"/>
            </w:rPr>
            <w:instrText xml:space="preserve"> HYPERLINK \l "_bookmark743"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"_bookmark743" </w:instrText>
          </w:r>
          <w:r>
            <w:rPr>
              <w:color w:val="auto"/>
            </w:rPr>
            <w:fldChar w:fldCharType="separate"/>
          </w:r>
          <w:r>
            <w:rPr>
              <w:color w:val="auto"/>
            </w:rPr>
            <w:t>百二十八</w:t>
          </w:r>
          <w:r>
            <w:rPr>
              <w:color w:val="auto"/>
              <w:spacing w:val="-20"/>
            </w:rPr>
            <w:t>、</w:t>
          </w:r>
          <w:r>
            <w:rPr>
              <w:color w:val="auto"/>
            </w:rPr>
            <w:t>未取得食品生产经营许可从事食品生产经营活动</w:t>
          </w:r>
          <w:r>
            <w:rPr>
              <w:color w:val="auto"/>
              <w:spacing w:val="-17"/>
            </w:rPr>
            <w:t>，</w:t>
          </w:r>
          <w:r>
            <w:rPr>
              <w:color w:val="auto"/>
            </w:rPr>
            <w:t>或者未取得食</w:t>
          </w:r>
          <w:r>
            <w:rPr>
              <w:color w:val="auto"/>
              <w:spacing w:val="-16"/>
            </w:rPr>
            <w:t>品</w:t>
          </w:r>
          <w:r>
            <w:rPr>
              <w:color w:val="auto"/>
              <w:spacing w:val="-16"/>
            </w:rPr>
            <w:fldChar w:fldCharType="end"/>
          </w:r>
          <w:r>
            <w:rPr>
              <w:color w:val="auto"/>
            </w:rPr>
            <w:t>添加剂生产许可从事食品添加剂生产活动</w:t>
          </w:r>
          <w:r>
            <w:rPr>
              <w:color w:val="auto"/>
            </w:rPr>
            <w:tab/>
          </w:r>
          <w:r>
            <w:rPr>
              <w:color w:val="auto"/>
              <w:spacing w:val="-6"/>
            </w:rPr>
            <w:t>735</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"_bookmark744"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"_bookmark744" </w:instrText>
          </w:r>
          <w:r>
            <w:rPr>
              <w:color w:val="auto"/>
            </w:rPr>
            <w:fldChar w:fldCharType="separate"/>
          </w:r>
          <w:r>
            <w:rPr>
              <w:color w:val="auto"/>
            </w:rPr>
            <w:t>百二十九</w:t>
          </w:r>
          <w:r>
            <w:rPr>
              <w:color w:val="auto"/>
              <w:spacing w:val="-12"/>
            </w:rPr>
            <w:t>、</w:t>
          </w:r>
          <w:r>
            <w:rPr>
              <w:color w:val="auto"/>
            </w:rPr>
            <w:t>明知食品生产经营者</w:t>
          </w:r>
          <w:r>
            <w:rPr>
              <w:color w:val="auto"/>
              <w:spacing w:val="-12"/>
            </w:rPr>
            <w:t>、</w:t>
          </w:r>
          <w:r>
            <w:rPr>
              <w:color w:val="auto"/>
            </w:rPr>
            <w:t>食品添加剂生产者未取得许可</w:t>
          </w:r>
          <w:r>
            <w:rPr>
              <w:color w:val="auto"/>
              <w:spacing w:val="-12"/>
            </w:rPr>
            <w:t>，</w:t>
          </w:r>
          <w:r>
            <w:rPr>
              <w:color w:val="auto"/>
            </w:rPr>
            <w:t>仍为其提</w:t>
          </w:r>
          <w:r>
            <w:rPr>
              <w:color w:val="auto"/>
              <w:spacing w:val="-17"/>
            </w:rPr>
            <w:t>供</w:t>
          </w:r>
          <w:r>
            <w:rPr>
              <w:color w:val="auto"/>
              <w:spacing w:val="-17"/>
            </w:rPr>
            <w:fldChar w:fldCharType="end"/>
          </w:r>
          <w:r>
            <w:rPr>
              <w:color w:val="auto"/>
            </w:rPr>
            <w:t>生产经营场所或者其他条件</w:t>
          </w:r>
          <w:r>
            <w:rPr>
              <w:color w:val="auto"/>
            </w:rPr>
            <w:tab/>
          </w:r>
          <w:r>
            <w:rPr>
              <w:color w:val="auto"/>
              <w:spacing w:val="-6"/>
            </w:rPr>
            <w:t>737</w:t>
          </w:r>
        </w:p>
        <w:p>
          <w:pPr>
            <w:pStyle w:val="5"/>
            <w:tabs>
              <w:tab w:val="left" w:leader="dot" w:pos="8595"/>
            </w:tabs>
            <w:spacing w:line="374" w:lineRule="auto"/>
            <w:ind w:right="268"/>
            <w:jc w:val="both"/>
            <w:rPr>
              <w:color w:val="auto"/>
            </w:rPr>
          </w:pPr>
          <w:r>
            <w:rPr>
              <w:color w:val="auto"/>
            </w:rPr>
            <w:fldChar w:fldCharType="begin"/>
          </w:r>
          <w:r>
            <w:rPr>
              <w:color w:val="auto"/>
            </w:rPr>
            <w:instrText xml:space="preserve"> HYPERLINK \l "_bookmark745"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"_bookmark745" </w:instrText>
          </w:r>
          <w:r>
            <w:rPr>
              <w:color w:val="auto"/>
            </w:rPr>
            <w:fldChar w:fldCharType="separate"/>
          </w:r>
          <w:r>
            <w:rPr>
              <w:color w:val="auto"/>
            </w:rPr>
            <w:t>百三十</w:t>
          </w:r>
          <w:r>
            <w:rPr>
              <w:color w:val="auto"/>
              <w:spacing w:val="-20"/>
            </w:rPr>
            <w:t>、</w:t>
          </w:r>
          <w:r>
            <w:rPr>
              <w:color w:val="auto"/>
            </w:rPr>
            <w:t>用非食品原料生产食品</w:t>
          </w:r>
          <w:r>
            <w:rPr>
              <w:color w:val="auto"/>
              <w:spacing w:val="-17"/>
            </w:rPr>
            <w:t>、</w:t>
          </w:r>
          <w:r>
            <w:rPr>
              <w:color w:val="auto"/>
            </w:rPr>
            <w:t>在食品中添加食品添加剂以外的化学物质</w:t>
          </w:r>
          <w:r>
            <w:rPr>
              <w:color w:val="auto"/>
              <w:spacing w:val="-16"/>
            </w:rPr>
            <w:t>和</w:t>
          </w:r>
          <w:r>
            <w:rPr>
              <w:color w:val="auto"/>
              <w:spacing w:val="-16"/>
            </w:rPr>
            <w:fldChar w:fldCharType="end"/>
          </w:r>
          <w:r>
            <w:rPr>
              <w:color w:val="auto"/>
            </w:rPr>
            <w:t>其他可能危害人体健康的物质</w:t>
          </w:r>
          <w:r>
            <w:rPr>
              <w:color w:val="auto"/>
              <w:spacing w:val="-20"/>
            </w:rPr>
            <w:t>，</w:t>
          </w:r>
          <w:r>
            <w:rPr>
              <w:color w:val="auto"/>
            </w:rPr>
            <w:t>或者用回收食品作为原料生产食品</w:t>
          </w:r>
          <w:r>
            <w:rPr>
              <w:color w:val="auto"/>
              <w:spacing w:val="-17"/>
            </w:rPr>
            <w:t>，</w:t>
          </w:r>
          <w:r>
            <w:rPr>
              <w:color w:val="auto"/>
            </w:rPr>
            <w:t>或者经营</w:t>
          </w:r>
          <w:r>
            <w:rPr>
              <w:color w:val="auto"/>
              <w:spacing w:val="-16"/>
            </w:rPr>
            <w:t>上</w:t>
          </w:r>
          <w:r>
            <w:rPr>
              <w:color w:val="auto"/>
            </w:rPr>
            <w:t>述食品</w:t>
          </w:r>
          <w:r>
            <w:rPr>
              <w:color w:val="auto"/>
              <w:spacing w:val="-36"/>
            </w:rPr>
            <w:t>；</w:t>
          </w:r>
          <w:r>
            <w:rPr>
              <w:color w:val="auto"/>
            </w:rPr>
            <w:t>生产经营营养成分不符合食品安全标准的专供婴幼儿和其他特定人群</w:t>
          </w:r>
          <w:r>
            <w:rPr>
              <w:color w:val="auto"/>
              <w:spacing w:val="-17"/>
            </w:rPr>
            <w:t>的</w:t>
          </w:r>
          <w:r>
            <w:rPr>
              <w:color w:val="auto"/>
            </w:rPr>
            <w:t>主辅食品</w:t>
          </w:r>
          <w:r>
            <w:rPr>
              <w:color w:val="auto"/>
              <w:spacing w:val="-8"/>
            </w:rPr>
            <w:t>；</w:t>
          </w:r>
          <w:r>
            <w:rPr>
              <w:color w:val="auto"/>
            </w:rPr>
            <w:t>经营病死</w:t>
          </w:r>
          <w:r>
            <w:rPr>
              <w:color w:val="auto"/>
              <w:spacing w:val="-5"/>
            </w:rPr>
            <w:t>、</w:t>
          </w:r>
          <w:r>
            <w:rPr>
              <w:color w:val="auto"/>
            </w:rPr>
            <w:t>毒死或者死因不明的禽</w:t>
          </w:r>
          <w:r>
            <w:rPr>
              <w:color w:val="auto"/>
              <w:spacing w:val="-8"/>
            </w:rPr>
            <w:t>、</w:t>
          </w:r>
          <w:r>
            <w:rPr>
              <w:color w:val="auto"/>
            </w:rPr>
            <w:t>畜</w:t>
          </w:r>
          <w:r>
            <w:rPr>
              <w:color w:val="auto"/>
              <w:spacing w:val="-5"/>
            </w:rPr>
            <w:t>、</w:t>
          </w:r>
          <w:r>
            <w:rPr>
              <w:color w:val="auto"/>
            </w:rPr>
            <w:t>兽</w:t>
          </w:r>
          <w:r>
            <w:rPr>
              <w:color w:val="auto"/>
              <w:spacing w:val="-8"/>
            </w:rPr>
            <w:t>、</w:t>
          </w:r>
          <w:r>
            <w:rPr>
              <w:color w:val="auto"/>
            </w:rPr>
            <w:t>水产动物肉类</w:t>
          </w:r>
          <w:r>
            <w:rPr>
              <w:color w:val="auto"/>
              <w:spacing w:val="-5"/>
            </w:rPr>
            <w:t>，</w:t>
          </w:r>
          <w:r>
            <w:rPr>
              <w:color w:val="auto"/>
            </w:rPr>
            <w:t>或者</w:t>
          </w:r>
          <w:r>
            <w:rPr>
              <w:color w:val="auto"/>
              <w:spacing w:val="-14"/>
            </w:rPr>
            <w:t>生</w:t>
          </w:r>
          <w:r>
            <w:rPr>
              <w:color w:val="auto"/>
            </w:rPr>
            <w:t>产经营其制品</w:t>
          </w:r>
          <w:r>
            <w:rPr>
              <w:color w:val="auto"/>
              <w:spacing w:val="-20"/>
            </w:rPr>
            <w:t>；</w:t>
          </w:r>
          <w:r>
            <w:rPr>
              <w:color w:val="auto"/>
            </w:rPr>
            <w:t>经营未按规定进行检疫或者检疫不合格的肉类</w:t>
          </w:r>
          <w:r>
            <w:rPr>
              <w:color w:val="auto"/>
              <w:spacing w:val="-17"/>
            </w:rPr>
            <w:t>，</w:t>
          </w:r>
          <w:r>
            <w:rPr>
              <w:color w:val="auto"/>
            </w:rPr>
            <w:t>或者生产经营</w:t>
          </w:r>
          <w:r>
            <w:rPr>
              <w:color w:val="auto"/>
              <w:spacing w:val="-16"/>
            </w:rPr>
            <w:t>未</w:t>
          </w:r>
          <w:r>
            <w:rPr>
              <w:color w:val="auto"/>
            </w:rPr>
            <w:t>经检验或者检验不合格的肉类制品</w:t>
          </w:r>
          <w:r>
            <w:rPr>
              <w:color w:val="auto"/>
              <w:spacing w:val="-36"/>
            </w:rPr>
            <w:t>；</w:t>
          </w:r>
          <w:r>
            <w:rPr>
              <w:color w:val="auto"/>
            </w:rPr>
            <w:t>生产经营国家为防病等特殊需要明令禁止</w:t>
          </w:r>
          <w:r>
            <w:rPr>
              <w:color w:val="auto"/>
              <w:spacing w:val="-17"/>
            </w:rPr>
            <w:t>生</w:t>
          </w:r>
          <w:r>
            <w:rPr>
              <w:color w:val="auto"/>
            </w:rPr>
            <w:t>产经营的食品；生产经营添加药品的食品</w:t>
          </w:r>
          <w:r>
            <w:rPr>
              <w:color w:val="auto"/>
            </w:rPr>
            <w:tab/>
          </w:r>
          <w:r>
            <w:rPr>
              <w:color w:val="auto"/>
              <w:spacing w:val="-6"/>
            </w:rPr>
            <w:t>737</w:t>
          </w:r>
        </w:p>
        <w:p>
          <w:pPr>
            <w:pStyle w:val="5"/>
            <w:tabs>
              <w:tab w:val="left" w:leader="dot" w:pos="8595"/>
            </w:tabs>
            <w:spacing w:before="3" w:line="374" w:lineRule="auto"/>
            <w:ind w:right="232"/>
            <w:rPr>
              <w:color w:val="auto"/>
            </w:rPr>
          </w:pPr>
          <w:r>
            <w:rPr>
              <w:color w:val="auto"/>
            </w:rPr>
            <w:fldChar w:fldCharType="begin"/>
          </w:r>
          <w:r>
            <w:rPr>
              <w:color w:val="auto"/>
            </w:rPr>
            <w:instrText xml:space="preserve"> HYPERLINK \l "_bookmark746"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"_bookmark746" </w:instrText>
          </w:r>
          <w:r>
            <w:rPr>
              <w:color w:val="auto"/>
            </w:rPr>
            <w:fldChar w:fldCharType="separate"/>
          </w:r>
          <w:r>
            <w:rPr>
              <w:color w:val="auto"/>
            </w:rPr>
            <w:t>百三十一、明知从事《食品安全法》第一百二十三条第一款规定的违法行为</w:t>
          </w:r>
          <w:r>
            <w:rPr>
              <w:color w:val="auto"/>
              <w:spacing w:val="-17"/>
            </w:rPr>
            <w:t xml:space="preserve">， </w:t>
          </w:r>
          <w:r>
            <w:rPr>
              <w:color w:val="auto"/>
              <w:spacing w:val="-17"/>
            </w:rPr>
            <w:fldChar w:fldCharType="end"/>
          </w:r>
          <w:r>
            <w:rPr>
              <w:color w:val="auto"/>
            </w:rPr>
            <w:t>仍为其提供生产经营场所或者其他条件</w:t>
          </w:r>
          <w:r>
            <w:rPr>
              <w:color w:val="auto"/>
            </w:rPr>
            <w:tab/>
          </w:r>
          <w:r>
            <w:rPr>
              <w:color w:val="auto"/>
            </w:rPr>
            <w:t>740</w:t>
          </w:r>
        </w:p>
        <w:p>
          <w:pPr>
            <w:pStyle w:val="5"/>
            <w:spacing w:line="374" w:lineRule="auto"/>
            <w:ind w:right="232"/>
            <w:jc w:val="both"/>
            <w:rPr>
              <w:color w:val="auto"/>
            </w:rPr>
          </w:pPr>
          <w:r>
            <w:rPr>
              <w:color w:val="auto"/>
            </w:rPr>
            <w:fldChar w:fldCharType="begin"/>
          </w:r>
          <w:r>
            <w:rPr>
              <w:color w:val="auto"/>
            </w:rPr>
            <w:instrText xml:space="preserve"> HYPERLINK \l "_bookmark747"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"_bookmark747" </w:instrText>
          </w:r>
          <w:r>
            <w:rPr>
              <w:color w:val="auto"/>
            </w:rPr>
            <w:fldChar w:fldCharType="separate"/>
          </w:r>
          <w:r>
            <w:rPr>
              <w:color w:val="auto"/>
              <w:spacing w:val="-6"/>
            </w:rPr>
            <w:t>百三十二、生产经营致病性微生物，农药残留、兽药残留、生物毒素、重金属</w:t>
          </w:r>
          <w:r>
            <w:rPr>
              <w:color w:val="auto"/>
              <w:spacing w:val="-6"/>
            </w:rPr>
            <w:fldChar w:fldCharType="end"/>
          </w:r>
          <w:r>
            <w:rPr>
              <w:color w:val="auto"/>
              <w:spacing w:val="-7"/>
            </w:rPr>
            <w:t>等污染物质以及其他危害人体健康的物质含量超过食品安全标准限量的食品、食</w:t>
          </w:r>
          <w:r>
            <w:rPr>
              <w:color w:val="auto"/>
              <w:spacing w:val="-9"/>
            </w:rPr>
            <w:t>品添加剂；用超过保质期的食品原料、食品添加剂生产食品、食品添加剂，或者</w:t>
          </w:r>
          <w:r>
            <w:rPr>
              <w:color w:val="auto"/>
              <w:spacing w:val="-10"/>
            </w:rPr>
            <w:t xml:space="preserve">经营上述食品、食品添加剂；生产经营超范围、超限量使用食品添加剂的食品； </w:t>
          </w:r>
          <w:r>
            <w:rPr>
              <w:color w:val="auto"/>
              <w:spacing w:val="-5"/>
            </w:rPr>
            <w:t>生产经营腐败变质、油脂酸败、霉变生虫、污秽不洁、混有异物、掺假掺杂或者</w:t>
          </w:r>
          <w:r>
            <w:rPr>
              <w:color w:val="auto"/>
              <w:spacing w:val="-8"/>
            </w:rPr>
            <w:t>感官性状异常的食品、食品添加剂；生产经营标注虚假生产日期、保质期或者超</w:t>
          </w:r>
        </w:p>
        <w:p>
          <w:pPr>
            <w:pStyle w:val="5"/>
            <w:spacing w:before="2" w:after="59"/>
            <w:rPr>
              <w:color w:val="auto"/>
            </w:rPr>
          </w:pPr>
          <w:r>
            <w:rPr>
              <w:color w:val="auto"/>
              <w:spacing w:val="-4"/>
            </w:rPr>
            <w:t>过保质期的食品、食品添加剂；生产经营未按规定注册的保健食品、特殊医学用</w:t>
          </w:r>
        </w:p>
        <w:p>
          <w:pPr>
            <w:pStyle w:val="5"/>
            <w:tabs>
              <w:tab w:val="left" w:leader="dot" w:pos="8595"/>
            </w:tabs>
            <w:spacing w:before="127" w:line="374" w:lineRule="auto"/>
            <w:ind w:right="268"/>
            <w:jc w:val="both"/>
            <w:rPr>
              <w:color w:val="auto"/>
            </w:rPr>
          </w:pPr>
          <w:r>
            <w:rPr>
              <w:color w:val="auto"/>
            </w:rPr>
            <w:fldChar w:fldCharType="begin"/>
          </w:r>
          <w:r>
            <w:rPr>
              <w:color w:val="auto"/>
            </w:rPr>
            <w:instrText xml:space="preserve"> HYPERLINK \l "_bookmark747" </w:instrText>
          </w:r>
          <w:r>
            <w:rPr>
              <w:color w:val="auto"/>
            </w:rPr>
            <w:fldChar w:fldCharType="separate"/>
          </w:r>
          <w:r>
            <w:rPr>
              <w:color w:val="auto"/>
            </w:rPr>
            <w:t>途</w:t>
          </w:r>
          <w:r>
            <w:rPr>
              <w:color w:val="auto"/>
            </w:rPr>
            <w:fldChar w:fldCharType="end"/>
          </w:r>
          <w:r>
            <w:rPr>
              <w:color w:val="auto"/>
            </w:rPr>
            <w:fldChar w:fldCharType="begin"/>
          </w:r>
          <w:r>
            <w:rPr>
              <w:color w:val="auto"/>
            </w:rPr>
            <w:instrText xml:space="preserve"> HYPERLINK \l "_bookmark747" </w:instrText>
          </w:r>
          <w:r>
            <w:rPr>
              <w:color w:val="auto"/>
            </w:rPr>
            <w:fldChar w:fldCharType="separate"/>
          </w:r>
          <w:r>
            <w:rPr>
              <w:color w:val="auto"/>
            </w:rPr>
            <w:t>配方食品</w:t>
          </w:r>
          <w:r>
            <w:rPr>
              <w:color w:val="auto"/>
              <w:spacing w:val="-12"/>
            </w:rPr>
            <w:t>、</w:t>
          </w:r>
          <w:r>
            <w:rPr>
              <w:color w:val="auto"/>
            </w:rPr>
            <w:t>婴幼儿配方乳粉</w:t>
          </w:r>
          <w:r>
            <w:rPr>
              <w:color w:val="auto"/>
              <w:spacing w:val="-12"/>
            </w:rPr>
            <w:t>，</w:t>
          </w:r>
          <w:r>
            <w:rPr>
              <w:color w:val="auto"/>
            </w:rPr>
            <w:t>或者未按注册的产品配方</w:t>
          </w:r>
          <w:r>
            <w:rPr>
              <w:color w:val="auto"/>
              <w:spacing w:val="-12"/>
            </w:rPr>
            <w:t>、</w:t>
          </w:r>
          <w:r>
            <w:rPr>
              <w:color w:val="auto"/>
            </w:rPr>
            <w:t>生产工艺等技术要</w:t>
          </w:r>
          <w:r>
            <w:rPr>
              <w:color w:val="auto"/>
              <w:spacing w:val="-17"/>
            </w:rPr>
            <w:t>求</w:t>
          </w:r>
          <w:r>
            <w:rPr>
              <w:color w:val="auto"/>
              <w:spacing w:val="-17"/>
            </w:rPr>
            <w:fldChar w:fldCharType="end"/>
          </w:r>
          <w:r>
            <w:rPr>
              <w:color w:val="auto"/>
            </w:rPr>
            <w:t>组织生产</w:t>
          </w:r>
          <w:r>
            <w:rPr>
              <w:color w:val="auto"/>
              <w:spacing w:val="-20"/>
            </w:rPr>
            <w:t>；</w:t>
          </w:r>
          <w:r>
            <w:rPr>
              <w:color w:val="auto"/>
            </w:rPr>
            <w:t>以分装方式生产婴幼儿配方乳粉</w:t>
          </w:r>
          <w:r>
            <w:rPr>
              <w:color w:val="auto"/>
              <w:spacing w:val="-17"/>
            </w:rPr>
            <w:t>，</w:t>
          </w:r>
          <w:r>
            <w:rPr>
              <w:color w:val="auto"/>
            </w:rPr>
            <w:t>或者同一企业以同一配方生产不</w:t>
          </w:r>
          <w:r>
            <w:rPr>
              <w:color w:val="auto"/>
              <w:spacing w:val="-16"/>
            </w:rPr>
            <w:t>同</w:t>
          </w:r>
          <w:r>
            <w:rPr>
              <w:color w:val="auto"/>
            </w:rPr>
            <w:t>品牌的婴幼儿配方乳粉</w:t>
          </w:r>
          <w:r>
            <w:rPr>
              <w:color w:val="auto"/>
              <w:spacing w:val="-20"/>
            </w:rPr>
            <w:t>；</w:t>
          </w:r>
          <w:r>
            <w:rPr>
              <w:color w:val="auto"/>
            </w:rPr>
            <w:t>利用新的食品原料生产食品</w:t>
          </w:r>
          <w:r>
            <w:rPr>
              <w:color w:val="auto"/>
              <w:spacing w:val="-17"/>
            </w:rPr>
            <w:t>，</w:t>
          </w:r>
          <w:r>
            <w:rPr>
              <w:color w:val="auto"/>
            </w:rPr>
            <w:t>或者生产食品添加剂新</w:t>
          </w:r>
          <w:r>
            <w:rPr>
              <w:color w:val="auto"/>
              <w:spacing w:val="-16"/>
            </w:rPr>
            <w:t>品</w:t>
          </w:r>
          <w:r>
            <w:rPr>
              <w:color w:val="auto"/>
            </w:rPr>
            <w:t>种</w:t>
          </w:r>
          <w:r>
            <w:rPr>
              <w:color w:val="auto"/>
              <w:spacing w:val="-20"/>
            </w:rPr>
            <w:t>，</w:t>
          </w:r>
          <w:r>
            <w:rPr>
              <w:color w:val="auto"/>
            </w:rPr>
            <w:t>未通过安全性评估</w:t>
          </w:r>
          <w:r>
            <w:rPr>
              <w:color w:val="auto"/>
              <w:spacing w:val="-17"/>
            </w:rPr>
            <w:t>；</w:t>
          </w:r>
          <w:r>
            <w:rPr>
              <w:color w:val="auto"/>
            </w:rPr>
            <w:t>食品生产经营者在食品安全监督管理部门责令其召回</w:t>
          </w:r>
          <w:r>
            <w:rPr>
              <w:color w:val="auto"/>
              <w:spacing w:val="-16"/>
            </w:rPr>
            <w:t>或</w:t>
          </w:r>
          <w:r>
            <w:rPr>
              <w:color w:val="auto"/>
            </w:rPr>
            <w:t>者停止经营后</w:t>
          </w:r>
          <w:r>
            <w:rPr>
              <w:color w:val="auto"/>
              <w:spacing w:val="-12"/>
            </w:rPr>
            <w:t>，</w:t>
          </w:r>
          <w:r>
            <w:rPr>
              <w:color w:val="auto"/>
            </w:rPr>
            <w:t>仍拒不召回或者停止经营</w:t>
          </w:r>
          <w:r>
            <w:rPr>
              <w:color w:val="auto"/>
              <w:spacing w:val="-12"/>
            </w:rPr>
            <w:t>；</w:t>
          </w:r>
          <w:r>
            <w:rPr>
              <w:color w:val="auto"/>
            </w:rPr>
            <w:t>生产食品相关产品新品种</w:t>
          </w:r>
          <w:r>
            <w:rPr>
              <w:color w:val="auto"/>
              <w:spacing w:val="-12"/>
            </w:rPr>
            <w:t>，</w:t>
          </w:r>
          <w:r>
            <w:rPr>
              <w:color w:val="auto"/>
            </w:rPr>
            <w:t>未通过</w:t>
          </w:r>
          <w:r>
            <w:rPr>
              <w:color w:val="auto"/>
              <w:spacing w:val="-17"/>
            </w:rPr>
            <w:t>安</w:t>
          </w:r>
          <w:r>
            <w:rPr>
              <w:color w:val="auto"/>
            </w:rPr>
            <w:t>全性评估，或者生产不符合食品安全标准的食品相关产品</w:t>
          </w:r>
          <w:r>
            <w:rPr>
              <w:color w:val="auto"/>
            </w:rPr>
            <w:tab/>
          </w:r>
          <w:r>
            <w:rPr>
              <w:color w:val="auto"/>
              <w:spacing w:val="-6"/>
            </w:rPr>
            <w:t>740</w:t>
          </w:r>
        </w:p>
        <w:p>
          <w:pPr>
            <w:pStyle w:val="5"/>
            <w:tabs>
              <w:tab w:val="left" w:leader="dot" w:pos="8595"/>
            </w:tabs>
            <w:spacing w:before="2" w:line="374" w:lineRule="auto"/>
            <w:ind w:right="148"/>
            <w:rPr>
              <w:color w:val="auto"/>
            </w:rPr>
          </w:pPr>
          <w:r>
            <w:rPr>
              <w:color w:val="auto"/>
            </w:rPr>
            <w:fldChar w:fldCharType="begin"/>
          </w:r>
          <w:r>
            <w:rPr>
              <w:color w:val="auto"/>
            </w:rPr>
            <w:instrText xml:space="preserve"> HYPERLINK \l "_bookmark748"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"_bookmark748" </w:instrText>
          </w:r>
          <w:r>
            <w:rPr>
              <w:color w:val="auto"/>
            </w:rPr>
            <w:fldChar w:fldCharType="separate"/>
          </w:r>
          <w:r>
            <w:rPr>
              <w:color w:val="auto"/>
            </w:rPr>
            <w:t>百三十三</w:t>
          </w:r>
          <w:r>
            <w:rPr>
              <w:color w:val="auto"/>
              <w:spacing w:val="-39"/>
            </w:rPr>
            <w:t>、</w:t>
          </w:r>
          <w:r>
            <w:rPr>
              <w:color w:val="auto"/>
            </w:rPr>
            <w:t>生产经营被包装材料</w:t>
          </w:r>
          <w:r>
            <w:rPr>
              <w:color w:val="auto"/>
              <w:spacing w:val="-41"/>
            </w:rPr>
            <w:t>、</w:t>
          </w:r>
          <w:r>
            <w:rPr>
              <w:color w:val="auto"/>
            </w:rPr>
            <w:t>容器</w:t>
          </w:r>
          <w:r>
            <w:rPr>
              <w:color w:val="auto"/>
              <w:spacing w:val="-39"/>
            </w:rPr>
            <w:t>、</w:t>
          </w:r>
          <w:r>
            <w:rPr>
              <w:color w:val="auto"/>
            </w:rPr>
            <w:t>运输工具等污染的食品</w:t>
          </w:r>
          <w:r>
            <w:rPr>
              <w:color w:val="auto"/>
              <w:spacing w:val="-39"/>
            </w:rPr>
            <w:t>、</w:t>
          </w:r>
          <w:r>
            <w:rPr>
              <w:color w:val="auto"/>
            </w:rPr>
            <w:t>食品添加剂</w:t>
          </w:r>
          <w:r>
            <w:rPr>
              <w:color w:val="auto"/>
              <w:spacing w:val="-15"/>
            </w:rPr>
            <w:t xml:space="preserve">； </w:t>
          </w:r>
          <w:r>
            <w:rPr>
              <w:color w:val="auto"/>
              <w:spacing w:val="-15"/>
            </w:rPr>
            <w:fldChar w:fldCharType="end"/>
          </w:r>
          <w:r>
            <w:rPr>
              <w:color w:val="auto"/>
            </w:rPr>
            <w:t>生产经营无标签的预包装食品</w:t>
          </w:r>
          <w:r>
            <w:rPr>
              <w:color w:val="auto"/>
              <w:spacing w:val="-20"/>
            </w:rPr>
            <w:t>、</w:t>
          </w:r>
          <w:r>
            <w:rPr>
              <w:color w:val="auto"/>
            </w:rPr>
            <w:t>食品添加剂或者标签</w:t>
          </w:r>
          <w:r>
            <w:rPr>
              <w:color w:val="auto"/>
              <w:spacing w:val="-17"/>
            </w:rPr>
            <w:t>、</w:t>
          </w:r>
          <w:r>
            <w:rPr>
              <w:color w:val="auto"/>
            </w:rPr>
            <w:t>说明书不符合本法规定的食品</w:t>
          </w:r>
          <w:r>
            <w:rPr>
              <w:color w:val="auto"/>
              <w:spacing w:val="-12"/>
            </w:rPr>
            <w:t>、</w:t>
          </w:r>
          <w:r>
            <w:rPr>
              <w:color w:val="auto"/>
            </w:rPr>
            <w:t>食品添加剂</w:t>
          </w:r>
          <w:r>
            <w:rPr>
              <w:color w:val="auto"/>
              <w:spacing w:val="-12"/>
            </w:rPr>
            <w:t>；</w:t>
          </w:r>
          <w:r>
            <w:rPr>
              <w:color w:val="auto"/>
            </w:rPr>
            <w:t>生产经营转基因食品未按规定进行标示</w:t>
          </w:r>
          <w:r>
            <w:rPr>
              <w:color w:val="auto"/>
              <w:spacing w:val="-12"/>
            </w:rPr>
            <w:t>；</w:t>
          </w:r>
          <w:r>
            <w:rPr>
              <w:color w:val="auto"/>
            </w:rPr>
            <w:t>食品生产经营者采购或者使用不符合食品安全标准的食品原料、食品添加剂、食品相关产品</w:t>
          </w:r>
          <w:r>
            <w:rPr>
              <w:color w:val="auto"/>
            </w:rPr>
            <w:tab/>
          </w:r>
          <w:r>
            <w:rPr>
              <w:color w:val="auto"/>
            </w:rPr>
            <w:t>742</w:t>
          </w:r>
        </w:p>
        <w:p>
          <w:pPr>
            <w:pStyle w:val="5"/>
            <w:tabs>
              <w:tab w:val="left" w:leader="dot" w:pos="8595"/>
            </w:tabs>
            <w:spacing w:line="309" w:lineRule="exact"/>
            <w:rPr>
              <w:color w:val="auto"/>
            </w:rPr>
          </w:pPr>
          <w:r>
            <w:rPr>
              <w:color w:val="auto"/>
            </w:rPr>
            <w:fldChar w:fldCharType="begin"/>
          </w:r>
          <w:r>
            <w:rPr>
              <w:color w:val="auto"/>
            </w:rPr>
            <w:instrText xml:space="preserve"> HYPERLINK \l "_bookmark749" </w:instrText>
          </w:r>
          <w:r>
            <w:rPr>
              <w:color w:val="auto"/>
            </w:rPr>
            <w:fldChar w:fldCharType="separate"/>
          </w:r>
          <w:r>
            <w:rPr>
              <w:color w:val="auto"/>
              <w:spacing w:val="-22"/>
            </w:rPr>
            <w:t>七百</w:t>
          </w:r>
          <w:r>
            <w:rPr>
              <w:color w:val="auto"/>
              <w:spacing w:val="-24"/>
            </w:rPr>
            <w:t>三</w:t>
          </w:r>
          <w:r>
            <w:rPr>
              <w:color w:val="auto"/>
              <w:spacing w:val="-22"/>
            </w:rPr>
            <w:t>十四、生产</w:t>
          </w:r>
          <w:r>
            <w:rPr>
              <w:color w:val="auto"/>
              <w:spacing w:val="-24"/>
            </w:rPr>
            <w:t>经</w:t>
          </w:r>
          <w:r>
            <w:rPr>
              <w:color w:val="auto"/>
              <w:spacing w:val="-22"/>
            </w:rPr>
            <w:t>营不符合法</w:t>
          </w:r>
          <w:r>
            <w:rPr>
              <w:color w:val="auto"/>
              <w:spacing w:val="-24"/>
            </w:rPr>
            <w:t>律</w:t>
          </w:r>
          <w:r>
            <w:rPr>
              <w:color w:val="auto"/>
              <w:spacing w:val="-22"/>
            </w:rPr>
            <w:t>、法规或者</w:t>
          </w:r>
          <w:r>
            <w:rPr>
              <w:color w:val="auto"/>
              <w:spacing w:val="-24"/>
            </w:rPr>
            <w:t>食</w:t>
          </w:r>
          <w:r>
            <w:rPr>
              <w:color w:val="auto"/>
              <w:spacing w:val="-22"/>
            </w:rPr>
            <w:t>品安全标准</w:t>
          </w:r>
          <w:r>
            <w:rPr>
              <w:color w:val="auto"/>
              <w:spacing w:val="-24"/>
            </w:rPr>
            <w:t>的</w:t>
          </w:r>
          <w:r>
            <w:rPr>
              <w:color w:val="auto"/>
              <w:spacing w:val="-22"/>
            </w:rPr>
            <w:t>食品、食品</w:t>
          </w:r>
          <w:r>
            <w:rPr>
              <w:color w:val="auto"/>
              <w:spacing w:val="-24"/>
            </w:rPr>
            <w:t>添</w:t>
          </w:r>
          <w:r>
            <w:rPr>
              <w:color w:val="auto"/>
              <w:spacing w:val="-22"/>
            </w:rPr>
            <w:t>加剂</w:t>
          </w:r>
          <w:r>
            <w:rPr>
              <w:color w:val="auto"/>
              <w:spacing w:val="-22"/>
            </w:rPr>
            <w:tab/>
          </w:r>
          <w:r>
            <w:rPr>
              <w:color w:val="auto"/>
            </w:rPr>
            <w:t>744</w:t>
          </w:r>
          <w:r>
            <w:rPr>
              <w:color w:val="auto"/>
            </w:rPr>
            <w:fldChar w:fldCharType="end"/>
          </w:r>
        </w:p>
        <w:p>
          <w:pPr>
            <w:pStyle w:val="5"/>
            <w:tabs>
              <w:tab w:val="left" w:leader="dot" w:pos="8595"/>
            </w:tabs>
            <w:spacing w:after="59" w:line="480" w:lineRule="atLeast"/>
            <w:ind w:right="148"/>
            <w:rPr>
              <w:color w:val="auto"/>
            </w:rPr>
          </w:pPr>
          <w:r>
            <w:rPr>
              <w:color w:val="auto"/>
            </w:rPr>
            <w:fldChar w:fldCharType="begin"/>
          </w:r>
          <w:r>
            <w:rPr>
              <w:color w:val="auto"/>
            </w:rPr>
            <w:instrText xml:space="preserve"> HYPERLINK \l "_bookmark750"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"_bookmark750" </w:instrText>
          </w:r>
          <w:r>
            <w:rPr>
              <w:color w:val="auto"/>
            </w:rPr>
            <w:fldChar w:fldCharType="separate"/>
          </w:r>
          <w:r>
            <w:rPr>
              <w:color w:val="auto"/>
            </w:rPr>
            <w:t>百三十五</w:t>
          </w:r>
          <w:r>
            <w:rPr>
              <w:color w:val="auto"/>
              <w:spacing w:val="-80"/>
            </w:rPr>
            <w:t>、</w:t>
          </w:r>
          <w:r>
            <w:rPr>
              <w:color w:val="auto"/>
            </w:rPr>
            <w:t>食品</w:t>
          </w:r>
          <w:r>
            <w:rPr>
              <w:color w:val="auto"/>
              <w:spacing w:val="-77"/>
            </w:rPr>
            <w:t>、</w:t>
          </w:r>
          <w:r>
            <w:rPr>
              <w:color w:val="auto"/>
            </w:rPr>
            <w:t>食品添加剂生产者未按规定对采购的食品原料和生产的食品</w:t>
          </w:r>
          <w:r>
            <w:rPr>
              <w:color w:val="auto"/>
              <w:spacing w:val="-16"/>
            </w:rPr>
            <w:t>、</w:t>
          </w:r>
          <w:r>
            <w:rPr>
              <w:color w:val="auto"/>
              <w:spacing w:val="-16"/>
            </w:rPr>
            <w:fldChar w:fldCharType="end"/>
          </w:r>
          <w:r>
            <w:rPr>
              <w:color w:val="auto"/>
            </w:rPr>
            <w:t>食品添加剂进行检验</w:t>
          </w:r>
          <w:r>
            <w:rPr>
              <w:color w:val="auto"/>
              <w:spacing w:val="-20"/>
            </w:rPr>
            <w:t>；</w:t>
          </w:r>
          <w:r>
            <w:rPr>
              <w:color w:val="auto"/>
            </w:rPr>
            <w:t>食品生产经营企业未按规定建立食品安全管理制度</w:t>
          </w:r>
          <w:r>
            <w:rPr>
              <w:color w:val="auto"/>
              <w:spacing w:val="-17"/>
            </w:rPr>
            <w:t>，</w:t>
          </w:r>
          <w:r>
            <w:rPr>
              <w:color w:val="auto"/>
            </w:rPr>
            <w:t>或者未按规定配备或者培训</w:t>
          </w:r>
          <w:r>
            <w:rPr>
              <w:color w:val="auto"/>
              <w:spacing w:val="-12"/>
            </w:rPr>
            <w:t>、</w:t>
          </w:r>
          <w:r>
            <w:rPr>
              <w:color w:val="auto"/>
            </w:rPr>
            <w:t>考核食品安全管理人员</w:t>
          </w:r>
          <w:r>
            <w:rPr>
              <w:color w:val="auto"/>
              <w:spacing w:val="-12"/>
            </w:rPr>
            <w:t>；</w:t>
          </w:r>
          <w:r>
            <w:rPr>
              <w:color w:val="auto"/>
            </w:rPr>
            <w:t>食品</w:t>
          </w:r>
          <w:r>
            <w:rPr>
              <w:color w:val="auto"/>
              <w:spacing w:val="-12"/>
            </w:rPr>
            <w:t>、</w:t>
          </w:r>
          <w:r>
            <w:rPr>
              <w:color w:val="auto"/>
            </w:rPr>
            <w:t>食品添加剂生产经营者进货时未查验许可证和相关证明文件，或者未按规定建立并遵守进货查验记录、出厂检验记录和销售记录制度；食品生产经营企业未制定食品安全事故处置方 案</w:t>
          </w:r>
          <w:r>
            <w:rPr>
              <w:color w:val="auto"/>
              <w:spacing w:val="-10"/>
            </w:rPr>
            <w:t>；</w:t>
          </w:r>
          <w:r>
            <w:rPr>
              <w:color w:val="auto"/>
            </w:rPr>
            <w:t>餐具</w:t>
          </w:r>
          <w:r>
            <w:rPr>
              <w:color w:val="auto"/>
              <w:spacing w:val="-10"/>
            </w:rPr>
            <w:t>、</w:t>
          </w:r>
          <w:r>
            <w:rPr>
              <w:color w:val="auto"/>
            </w:rPr>
            <w:t>饮具和盛放直接入口食品的容器</w:t>
          </w:r>
          <w:r>
            <w:rPr>
              <w:color w:val="auto"/>
              <w:spacing w:val="-8"/>
            </w:rPr>
            <w:t>，</w:t>
          </w:r>
          <w:r>
            <w:rPr>
              <w:color w:val="auto"/>
            </w:rPr>
            <w:t>使用前未经洗净</w:t>
          </w:r>
          <w:r>
            <w:rPr>
              <w:color w:val="auto"/>
              <w:spacing w:val="-10"/>
            </w:rPr>
            <w:t>、</w:t>
          </w:r>
          <w:r>
            <w:rPr>
              <w:color w:val="auto"/>
            </w:rPr>
            <w:t>消毒或者清洗消毒不合格</w:t>
          </w:r>
          <w:r>
            <w:rPr>
              <w:color w:val="auto"/>
              <w:spacing w:val="-8"/>
            </w:rPr>
            <w:t>，</w:t>
          </w:r>
          <w:r>
            <w:rPr>
              <w:color w:val="auto"/>
            </w:rPr>
            <w:t>或者餐饮服务设施</w:t>
          </w:r>
          <w:r>
            <w:rPr>
              <w:color w:val="auto"/>
              <w:spacing w:val="-8"/>
            </w:rPr>
            <w:t>、</w:t>
          </w:r>
          <w:r>
            <w:rPr>
              <w:color w:val="auto"/>
            </w:rPr>
            <w:t>设备未按规定定期维护</w:t>
          </w:r>
          <w:r>
            <w:rPr>
              <w:color w:val="auto"/>
              <w:spacing w:val="-8"/>
            </w:rPr>
            <w:t>、</w:t>
          </w:r>
          <w:r>
            <w:rPr>
              <w:color w:val="auto"/>
            </w:rPr>
            <w:t>清洗</w:t>
          </w:r>
          <w:r>
            <w:rPr>
              <w:color w:val="auto"/>
              <w:spacing w:val="-8"/>
            </w:rPr>
            <w:t>、</w:t>
          </w:r>
          <w:r>
            <w:rPr>
              <w:color w:val="auto"/>
            </w:rPr>
            <w:t>校验</w:t>
          </w:r>
          <w:r>
            <w:rPr>
              <w:color w:val="auto"/>
              <w:spacing w:val="-10"/>
            </w:rPr>
            <w:t>；</w:t>
          </w:r>
          <w:r>
            <w:rPr>
              <w:color w:val="auto"/>
            </w:rPr>
            <w:t>食品生产经营者安排未取得健康证明或者患有国务院卫生行政部门规定的有碍食品安全 疾病的人员从事接触直接入口食品的工作；食品经营者未按规定要求销售食品； 保健食品生产企业未按规定向食品安全监督管理部门备案</w:t>
          </w:r>
          <w:r>
            <w:rPr>
              <w:color w:val="auto"/>
              <w:spacing w:val="-36"/>
            </w:rPr>
            <w:t>，</w:t>
          </w:r>
          <w:r>
            <w:rPr>
              <w:color w:val="auto"/>
            </w:rPr>
            <w:t>或者未按备案的产品配方、生产工艺等技术要求组织生产；婴幼儿配方食品生产企业未将食品原料、食品添加剂</w:t>
          </w:r>
          <w:r>
            <w:rPr>
              <w:color w:val="auto"/>
              <w:spacing w:val="-12"/>
            </w:rPr>
            <w:t>、</w:t>
          </w:r>
          <w:r>
            <w:rPr>
              <w:color w:val="auto"/>
            </w:rPr>
            <w:t>产品配方</w:t>
          </w:r>
          <w:r>
            <w:rPr>
              <w:color w:val="auto"/>
              <w:spacing w:val="-12"/>
            </w:rPr>
            <w:t>、</w:t>
          </w:r>
          <w:r>
            <w:rPr>
              <w:color w:val="auto"/>
            </w:rPr>
            <w:t>标签等向食品安全监督管理部门备案</w:t>
          </w:r>
          <w:r>
            <w:rPr>
              <w:color w:val="auto"/>
              <w:spacing w:val="-12"/>
            </w:rPr>
            <w:t>；</w:t>
          </w:r>
          <w:r>
            <w:rPr>
              <w:color w:val="auto"/>
            </w:rPr>
            <w:t>特殊食品生产企业未按规定建立生产质量管理体系并有效运行</w:t>
          </w:r>
          <w:r>
            <w:rPr>
              <w:color w:val="auto"/>
              <w:spacing w:val="-20"/>
            </w:rPr>
            <w:t>，</w:t>
          </w:r>
          <w:r>
            <w:rPr>
              <w:color w:val="auto"/>
            </w:rPr>
            <w:t>或者未定期提交自查报告</w:t>
          </w:r>
          <w:r>
            <w:rPr>
              <w:color w:val="auto"/>
              <w:spacing w:val="-17"/>
            </w:rPr>
            <w:t>；</w:t>
          </w:r>
          <w:r>
            <w:rPr>
              <w:color w:val="auto"/>
            </w:rPr>
            <w:t>食品生产经营者未定期对食品安全状况进行检查评价，或者生产经营条件发生变化， 未按规定处理</w:t>
          </w:r>
          <w:r>
            <w:rPr>
              <w:color w:val="auto"/>
              <w:spacing w:val="-10"/>
            </w:rPr>
            <w:t>；</w:t>
          </w:r>
          <w:r>
            <w:rPr>
              <w:color w:val="auto"/>
            </w:rPr>
            <w:t>学校</w:t>
          </w:r>
          <w:r>
            <w:rPr>
              <w:color w:val="auto"/>
              <w:spacing w:val="-10"/>
            </w:rPr>
            <w:t>、</w:t>
          </w:r>
          <w:r>
            <w:rPr>
              <w:color w:val="auto"/>
            </w:rPr>
            <w:t>托幼机构</w:t>
          </w:r>
          <w:r>
            <w:rPr>
              <w:color w:val="auto"/>
              <w:spacing w:val="-8"/>
            </w:rPr>
            <w:t>、</w:t>
          </w:r>
          <w:r>
            <w:rPr>
              <w:color w:val="auto"/>
            </w:rPr>
            <w:t>养老机构</w:t>
          </w:r>
          <w:r>
            <w:rPr>
              <w:color w:val="auto"/>
              <w:spacing w:val="-10"/>
            </w:rPr>
            <w:t>、</w:t>
          </w:r>
          <w:r>
            <w:rPr>
              <w:color w:val="auto"/>
            </w:rPr>
            <w:t>建筑工地等集中用餐单位未按规定履行食品安全管理责任</w:t>
          </w:r>
          <w:r>
            <w:rPr>
              <w:color w:val="auto"/>
              <w:spacing w:val="-12"/>
            </w:rPr>
            <w:t>；</w:t>
          </w:r>
          <w:r>
            <w:rPr>
              <w:color w:val="auto"/>
            </w:rPr>
            <w:t>食品生产企业</w:t>
          </w:r>
          <w:r>
            <w:rPr>
              <w:color w:val="auto"/>
              <w:spacing w:val="-12"/>
            </w:rPr>
            <w:t>、</w:t>
          </w:r>
          <w:r>
            <w:rPr>
              <w:color w:val="auto"/>
            </w:rPr>
            <w:t>餐饮服务提供者未按规定制定</w:t>
          </w:r>
          <w:r>
            <w:rPr>
              <w:color w:val="auto"/>
              <w:spacing w:val="-12"/>
            </w:rPr>
            <w:t>、</w:t>
          </w:r>
          <w:r>
            <w:rPr>
              <w:color w:val="auto"/>
            </w:rPr>
            <w:t>实施生产经营过程控制要求</w:t>
          </w:r>
          <w:r>
            <w:rPr>
              <w:color w:val="auto"/>
              <w:spacing w:val="-36"/>
            </w:rPr>
            <w:t>；</w:t>
          </w:r>
          <w:r>
            <w:rPr>
              <w:color w:val="auto"/>
            </w:rPr>
            <w:t>食品相关产品生产者未按规定对生产的食品相关产品进行检验</w:t>
          </w:r>
          <w:r>
            <w:rPr>
              <w:color w:val="auto"/>
            </w:rPr>
            <w:tab/>
          </w:r>
          <w:r>
            <w:rPr>
              <w:color w:val="auto"/>
            </w:rPr>
            <w:t>746</w:t>
          </w:r>
        </w:p>
        <w:p>
          <w:pPr>
            <w:pStyle w:val="5"/>
            <w:tabs>
              <w:tab w:val="left" w:leader="dot" w:pos="8595"/>
            </w:tabs>
            <w:spacing w:before="110" w:line="360" w:lineRule="auto"/>
            <w:ind w:right="268"/>
            <w:rPr>
              <w:color w:val="auto"/>
            </w:rPr>
          </w:pPr>
          <w:r>
            <w:rPr>
              <w:color w:val="auto"/>
            </w:rPr>
            <w:fldChar w:fldCharType="begin"/>
          </w:r>
          <w:r>
            <w:rPr>
              <w:color w:val="auto"/>
            </w:rPr>
            <w:instrText xml:space="preserve"> HYPERLINK \l "_bookmark751"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"_bookmark751" </w:instrText>
          </w:r>
          <w:r>
            <w:rPr>
              <w:color w:val="auto"/>
            </w:rPr>
            <w:fldChar w:fldCharType="separate"/>
          </w:r>
          <w:r>
            <w:rPr>
              <w:color w:val="auto"/>
            </w:rPr>
            <w:t>百三十六</w:t>
          </w:r>
          <w:r>
            <w:rPr>
              <w:color w:val="auto"/>
              <w:spacing w:val="-20"/>
            </w:rPr>
            <w:t>、</w:t>
          </w:r>
          <w:r>
            <w:rPr>
              <w:color w:val="auto"/>
            </w:rPr>
            <w:t>食用农产品销售者未按规定建立并执行进货查验记录制度</w:t>
          </w:r>
          <w:r>
            <w:rPr>
              <w:color w:val="auto"/>
              <w:spacing w:val="-17"/>
            </w:rPr>
            <w:t>、</w:t>
          </w:r>
          <w:r>
            <w:rPr>
              <w:color w:val="auto"/>
            </w:rPr>
            <w:t>未保</w:t>
          </w:r>
          <w:r>
            <w:rPr>
              <w:color w:val="auto"/>
              <w:spacing w:val="-16"/>
            </w:rPr>
            <w:t>存</w:t>
          </w:r>
          <w:r>
            <w:rPr>
              <w:color w:val="auto"/>
              <w:spacing w:val="-16"/>
            </w:rPr>
            <w:fldChar w:fldCharType="end"/>
          </w:r>
          <w:r>
            <w:rPr>
              <w:color w:val="auto"/>
            </w:rPr>
            <w:t>相关凭证</w:t>
          </w:r>
          <w:r>
            <w:rPr>
              <w:color w:val="auto"/>
            </w:rPr>
            <w:tab/>
          </w:r>
          <w:r>
            <w:rPr>
              <w:color w:val="auto"/>
              <w:spacing w:val="-6"/>
            </w:rPr>
            <w:t>748</w:t>
          </w:r>
        </w:p>
        <w:p>
          <w:pPr>
            <w:pStyle w:val="5"/>
            <w:tabs>
              <w:tab w:val="left" w:leader="dot" w:pos="8595"/>
            </w:tabs>
            <w:spacing w:line="360" w:lineRule="auto"/>
            <w:ind w:right="268"/>
            <w:rPr>
              <w:color w:val="auto"/>
            </w:rPr>
          </w:pPr>
          <w:r>
            <w:rPr>
              <w:color w:val="auto"/>
            </w:rPr>
            <w:fldChar w:fldCharType="begin"/>
          </w:r>
          <w:r>
            <w:rPr>
              <w:color w:val="auto"/>
            </w:rPr>
            <w:instrText xml:space="preserve"> HYPERLINK \l "_bookmark752"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"_bookmark752" </w:instrText>
          </w:r>
          <w:r>
            <w:rPr>
              <w:color w:val="auto"/>
            </w:rPr>
            <w:fldChar w:fldCharType="separate"/>
          </w:r>
          <w:r>
            <w:rPr>
              <w:color w:val="auto"/>
            </w:rPr>
            <w:t>百三十七</w:t>
          </w:r>
          <w:r>
            <w:rPr>
              <w:color w:val="auto"/>
              <w:spacing w:val="-12"/>
            </w:rPr>
            <w:t>、</w:t>
          </w:r>
          <w:r>
            <w:rPr>
              <w:color w:val="auto"/>
            </w:rPr>
            <w:t>食品生产经营单位在发生食品安全事故后</w:t>
          </w:r>
          <w:r>
            <w:rPr>
              <w:color w:val="auto"/>
              <w:spacing w:val="-12"/>
            </w:rPr>
            <w:t>，</w:t>
          </w:r>
          <w:r>
            <w:rPr>
              <w:color w:val="auto"/>
            </w:rPr>
            <w:t>未进行处置</w:t>
          </w:r>
          <w:r>
            <w:rPr>
              <w:color w:val="auto"/>
              <w:spacing w:val="-12"/>
            </w:rPr>
            <w:t>、</w:t>
          </w:r>
          <w:r>
            <w:rPr>
              <w:color w:val="auto"/>
            </w:rPr>
            <w:t>报告或</w:t>
          </w:r>
          <w:r>
            <w:rPr>
              <w:color w:val="auto"/>
              <w:spacing w:val="-17"/>
            </w:rPr>
            <w:t>者</w:t>
          </w:r>
          <w:r>
            <w:rPr>
              <w:color w:val="auto"/>
              <w:spacing w:val="-17"/>
            </w:rPr>
            <w:fldChar w:fldCharType="end"/>
          </w:r>
          <w:r>
            <w:rPr>
              <w:color w:val="auto"/>
            </w:rPr>
            <w:t>隐匿、伪造、毁灭有关证据</w:t>
          </w:r>
          <w:r>
            <w:rPr>
              <w:color w:val="auto"/>
            </w:rPr>
            <w:tab/>
          </w:r>
          <w:r>
            <w:rPr>
              <w:color w:val="auto"/>
              <w:spacing w:val="-6"/>
            </w:rPr>
            <w:t>750</w:t>
          </w:r>
        </w:p>
        <w:p>
          <w:pPr>
            <w:pStyle w:val="5"/>
            <w:tabs>
              <w:tab w:val="left" w:leader="dot" w:pos="8595"/>
            </w:tabs>
            <w:spacing w:line="357" w:lineRule="auto"/>
            <w:ind w:right="268"/>
            <w:rPr>
              <w:color w:val="auto"/>
            </w:rPr>
          </w:pPr>
          <w:r>
            <w:rPr>
              <w:color w:val="auto"/>
            </w:rPr>
            <w:fldChar w:fldCharType="begin"/>
          </w:r>
          <w:r>
            <w:rPr>
              <w:color w:val="auto"/>
            </w:rPr>
            <w:instrText xml:space="preserve"> HYPERLINK \l "_bookmark753"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"_bookmark753" </w:instrText>
          </w:r>
          <w:r>
            <w:rPr>
              <w:color w:val="auto"/>
            </w:rPr>
            <w:fldChar w:fldCharType="separate"/>
          </w:r>
          <w:r>
            <w:rPr>
              <w:color w:val="auto"/>
            </w:rPr>
            <w:t>百三十八</w:t>
          </w:r>
          <w:r>
            <w:rPr>
              <w:color w:val="auto"/>
              <w:spacing w:val="-12"/>
            </w:rPr>
            <w:t>、</w:t>
          </w:r>
          <w:r>
            <w:rPr>
              <w:color w:val="auto"/>
            </w:rPr>
            <w:t>集中交易市场的开办者</w:t>
          </w:r>
          <w:r>
            <w:rPr>
              <w:color w:val="auto"/>
              <w:spacing w:val="-12"/>
            </w:rPr>
            <w:t>、</w:t>
          </w:r>
          <w:r>
            <w:rPr>
              <w:color w:val="auto"/>
            </w:rPr>
            <w:t>柜台出租者</w:t>
          </w:r>
          <w:r>
            <w:rPr>
              <w:color w:val="auto"/>
              <w:spacing w:val="-12"/>
            </w:rPr>
            <w:t>、</w:t>
          </w:r>
          <w:r>
            <w:rPr>
              <w:color w:val="auto"/>
            </w:rPr>
            <w:t>展销会的举办者允许未依</w:t>
          </w:r>
          <w:r>
            <w:rPr>
              <w:color w:val="auto"/>
              <w:spacing w:val="-17"/>
            </w:rPr>
            <w:t>法</w:t>
          </w:r>
          <w:r>
            <w:rPr>
              <w:color w:val="auto"/>
              <w:spacing w:val="-17"/>
            </w:rPr>
            <w:fldChar w:fldCharType="end"/>
          </w:r>
          <w:r>
            <w:rPr>
              <w:color w:val="auto"/>
            </w:rPr>
            <w:t>取得许可的食品经营者进入市场销售食品，或者未履行检查、报告等义务</w:t>
          </w:r>
          <w:r>
            <w:rPr>
              <w:color w:val="auto"/>
            </w:rPr>
            <w:tab/>
          </w:r>
          <w:r>
            <w:rPr>
              <w:color w:val="auto"/>
              <w:spacing w:val="-6"/>
            </w:rPr>
            <w:t>751</w:t>
          </w:r>
        </w:p>
        <w:p>
          <w:pPr>
            <w:pStyle w:val="5"/>
            <w:tabs>
              <w:tab w:val="left" w:leader="dot" w:pos="8595"/>
            </w:tabs>
            <w:spacing w:line="360" w:lineRule="auto"/>
            <w:ind w:right="268"/>
            <w:jc w:val="both"/>
            <w:rPr>
              <w:color w:val="auto"/>
            </w:rPr>
          </w:pPr>
          <w:r>
            <w:rPr>
              <w:color w:val="auto"/>
            </w:rPr>
            <w:fldChar w:fldCharType="begin"/>
          </w:r>
          <w:r>
            <w:rPr>
              <w:color w:val="auto"/>
            </w:rPr>
            <w:instrText xml:space="preserve"> HYPERLINK \l "_bookmark754"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"_bookmark754" </w:instrText>
          </w:r>
          <w:r>
            <w:rPr>
              <w:color w:val="auto"/>
            </w:rPr>
            <w:fldChar w:fldCharType="separate"/>
          </w:r>
          <w:r>
            <w:rPr>
              <w:color w:val="auto"/>
            </w:rPr>
            <w:t>百三十九</w:t>
          </w:r>
          <w:r>
            <w:rPr>
              <w:color w:val="auto"/>
              <w:spacing w:val="-36"/>
            </w:rPr>
            <w:t>、</w:t>
          </w:r>
          <w:r>
            <w:rPr>
              <w:color w:val="auto"/>
            </w:rPr>
            <w:t>食用农产品批发市场未配备检验设备和检验人员或者未委托符合</w:t>
          </w:r>
          <w:r>
            <w:rPr>
              <w:color w:val="auto"/>
              <w:spacing w:val="-17"/>
            </w:rPr>
            <w:t>本</w:t>
          </w:r>
          <w:r>
            <w:rPr>
              <w:color w:val="auto"/>
              <w:spacing w:val="-17"/>
            </w:rPr>
            <w:fldChar w:fldCharType="end"/>
          </w:r>
          <w:r>
            <w:rPr>
              <w:color w:val="auto"/>
            </w:rPr>
            <w:t>法规定的食品检验机构</w:t>
          </w:r>
          <w:r>
            <w:rPr>
              <w:color w:val="auto"/>
              <w:spacing w:val="-20"/>
            </w:rPr>
            <w:t>，</w:t>
          </w:r>
          <w:r>
            <w:rPr>
              <w:color w:val="auto"/>
            </w:rPr>
            <w:t>对进入该批发市场销售的食用农产品进行抽样检验</w:t>
          </w:r>
          <w:r>
            <w:rPr>
              <w:color w:val="auto"/>
              <w:spacing w:val="-17"/>
            </w:rPr>
            <w:t>；</w:t>
          </w:r>
          <w:r>
            <w:rPr>
              <w:color w:val="auto"/>
              <w:spacing w:val="-16"/>
            </w:rPr>
            <w:t>食</w:t>
          </w:r>
          <w:r>
            <w:rPr>
              <w:color w:val="auto"/>
            </w:rPr>
            <w:t>用农产品批发市场发现不符合食品安全标准的</w:t>
          </w:r>
          <w:r>
            <w:rPr>
              <w:color w:val="auto"/>
              <w:spacing w:val="-20"/>
            </w:rPr>
            <w:t>，</w:t>
          </w:r>
          <w:r>
            <w:rPr>
              <w:color w:val="auto"/>
            </w:rPr>
            <w:t>未要求销售者立即停止销售</w:t>
          </w:r>
          <w:r>
            <w:rPr>
              <w:color w:val="auto"/>
              <w:spacing w:val="-17"/>
            </w:rPr>
            <w:t>，</w:t>
          </w:r>
          <w:r>
            <w:rPr>
              <w:color w:val="auto"/>
              <w:spacing w:val="-16"/>
            </w:rPr>
            <w:t>未</w:t>
          </w:r>
          <w:r>
            <w:rPr>
              <w:color w:val="auto"/>
            </w:rPr>
            <w:t>向食品安全监督管理部门报告</w:t>
          </w:r>
          <w:r>
            <w:rPr>
              <w:color w:val="auto"/>
            </w:rPr>
            <w:tab/>
          </w:r>
          <w:r>
            <w:rPr>
              <w:color w:val="auto"/>
              <w:spacing w:val="-6"/>
            </w:rPr>
            <w:t>752</w:t>
          </w:r>
        </w:p>
        <w:p>
          <w:pPr>
            <w:pStyle w:val="5"/>
            <w:tabs>
              <w:tab w:val="left" w:leader="dot" w:pos="8595"/>
            </w:tabs>
            <w:spacing w:line="357" w:lineRule="auto"/>
            <w:ind w:right="232"/>
            <w:rPr>
              <w:color w:val="auto"/>
            </w:rPr>
          </w:pPr>
          <w:r>
            <w:rPr>
              <w:color w:val="auto"/>
            </w:rPr>
            <w:fldChar w:fldCharType="begin"/>
          </w:r>
          <w:r>
            <w:rPr>
              <w:color w:val="auto"/>
            </w:rPr>
            <w:instrText xml:space="preserve"> HYPERLINK \l "_bookmark755"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"_bookmark755" </w:instrText>
          </w:r>
          <w:r>
            <w:rPr>
              <w:color w:val="auto"/>
            </w:rPr>
            <w:fldChar w:fldCharType="separate"/>
          </w:r>
          <w:r>
            <w:rPr>
              <w:color w:val="auto"/>
            </w:rPr>
            <w:t>百四十、网络食品交易第三方平台提供者未对入网食品经营者进行实名登记</w:t>
          </w:r>
          <w:r>
            <w:rPr>
              <w:color w:val="auto"/>
              <w:spacing w:val="-17"/>
            </w:rPr>
            <w:t>、</w:t>
          </w:r>
          <w:r>
            <w:rPr>
              <w:color w:val="auto"/>
              <w:spacing w:val="-17"/>
            </w:rPr>
            <w:fldChar w:fldCharType="end"/>
          </w:r>
          <w:r>
            <w:rPr>
              <w:color w:val="auto"/>
            </w:rPr>
            <w:t>审查许可证，或者未履行报告、停止提供网络交易平台服务等义务</w:t>
          </w:r>
          <w:r>
            <w:rPr>
              <w:color w:val="auto"/>
            </w:rPr>
            <w:tab/>
          </w:r>
          <w:r>
            <w:rPr>
              <w:color w:val="auto"/>
            </w:rPr>
            <w:t>754</w:t>
          </w:r>
        </w:p>
        <w:p>
          <w:pPr>
            <w:pStyle w:val="5"/>
            <w:tabs>
              <w:tab w:val="left" w:leader="dot" w:pos="8595"/>
            </w:tabs>
            <w:spacing w:line="310" w:lineRule="exact"/>
            <w:rPr>
              <w:color w:val="auto"/>
            </w:rPr>
          </w:pPr>
          <w:r>
            <w:rPr>
              <w:color w:val="auto"/>
            </w:rPr>
            <w:fldChar w:fldCharType="begin"/>
          </w:r>
          <w:r>
            <w:rPr>
              <w:color w:val="auto"/>
            </w:rPr>
            <w:instrText xml:space="preserve"> HYPERLINK \l "_bookmark756" </w:instrText>
          </w:r>
          <w:r>
            <w:rPr>
              <w:color w:val="auto"/>
            </w:rPr>
            <w:fldChar w:fldCharType="separate"/>
          </w:r>
          <w:r>
            <w:rPr>
              <w:color w:val="auto"/>
            </w:rPr>
            <w:t>七百四十一、未按要求进行食品贮存、运输和装卸</w:t>
          </w:r>
          <w:r>
            <w:rPr>
              <w:color w:val="auto"/>
            </w:rPr>
            <w:tab/>
          </w:r>
          <w:r>
            <w:rPr>
              <w:color w:val="auto"/>
            </w:rPr>
            <w:t>755</w:t>
          </w:r>
          <w:r>
            <w:rPr>
              <w:color w:val="auto"/>
            </w:rPr>
            <w:fldChar w:fldCharType="end"/>
          </w:r>
        </w:p>
        <w:p>
          <w:pPr>
            <w:pStyle w:val="5"/>
            <w:tabs>
              <w:tab w:val="left" w:leader="dot" w:pos="8595"/>
            </w:tabs>
            <w:spacing w:before="148" w:line="357" w:lineRule="auto"/>
            <w:ind w:right="268"/>
            <w:rPr>
              <w:color w:val="auto"/>
            </w:rPr>
          </w:pPr>
          <w:r>
            <w:rPr>
              <w:color w:val="auto"/>
            </w:rPr>
            <w:fldChar w:fldCharType="begin"/>
          </w:r>
          <w:r>
            <w:rPr>
              <w:color w:val="auto"/>
            </w:rPr>
            <w:instrText xml:space="preserve"> HYPERLINK \l "_bookmark757"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"_bookmark757" </w:instrText>
          </w:r>
          <w:r>
            <w:rPr>
              <w:color w:val="auto"/>
            </w:rPr>
            <w:fldChar w:fldCharType="separate"/>
          </w:r>
          <w:r>
            <w:rPr>
              <w:color w:val="auto"/>
            </w:rPr>
            <w:t>百四十二</w:t>
          </w:r>
          <w:r>
            <w:rPr>
              <w:color w:val="auto"/>
              <w:spacing w:val="-10"/>
            </w:rPr>
            <w:t>、</w:t>
          </w:r>
          <w:r>
            <w:rPr>
              <w:color w:val="auto"/>
            </w:rPr>
            <w:t>拒绝</w:t>
          </w:r>
          <w:r>
            <w:rPr>
              <w:color w:val="auto"/>
              <w:spacing w:val="-10"/>
            </w:rPr>
            <w:t>、</w:t>
          </w:r>
          <w:r>
            <w:rPr>
              <w:color w:val="auto"/>
            </w:rPr>
            <w:t>阻挠</w:t>
          </w:r>
          <w:r>
            <w:rPr>
              <w:color w:val="auto"/>
              <w:spacing w:val="-8"/>
            </w:rPr>
            <w:t>、</w:t>
          </w:r>
          <w:r>
            <w:rPr>
              <w:color w:val="auto"/>
            </w:rPr>
            <w:t>干涉有关部门</w:t>
          </w:r>
          <w:r>
            <w:rPr>
              <w:color w:val="auto"/>
              <w:spacing w:val="-10"/>
            </w:rPr>
            <w:t>、</w:t>
          </w:r>
          <w:r>
            <w:rPr>
              <w:color w:val="auto"/>
            </w:rPr>
            <w:t>机构及其工作人员依法开展食品安</w:t>
          </w:r>
          <w:r>
            <w:rPr>
              <w:color w:val="auto"/>
              <w:spacing w:val="-15"/>
            </w:rPr>
            <w:t>全</w:t>
          </w:r>
          <w:r>
            <w:rPr>
              <w:color w:val="auto"/>
              <w:spacing w:val="-15"/>
            </w:rPr>
            <w:fldChar w:fldCharType="end"/>
          </w:r>
          <w:r>
            <w:rPr>
              <w:color w:val="auto"/>
            </w:rPr>
            <w:t>监督检查、事故调查处理、风险监测和风险评估</w:t>
          </w:r>
          <w:r>
            <w:rPr>
              <w:color w:val="auto"/>
            </w:rPr>
            <w:tab/>
          </w:r>
          <w:r>
            <w:rPr>
              <w:color w:val="auto"/>
              <w:spacing w:val="-6"/>
            </w:rPr>
            <w:t>756</w:t>
          </w:r>
        </w:p>
        <w:p>
          <w:pPr>
            <w:pStyle w:val="5"/>
            <w:tabs>
              <w:tab w:val="left" w:leader="dot" w:pos="8595"/>
            </w:tabs>
            <w:spacing w:before="3" w:line="360" w:lineRule="auto"/>
            <w:ind w:right="268"/>
            <w:rPr>
              <w:color w:val="auto"/>
            </w:rPr>
          </w:pPr>
          <w:r>
            <w:rPr>
              <w:color w:val="auto"/>
            </w:rPr>
            <w:fldChar w:fldCharType="begin"/>
          </w:r>
          <w:r>
            <w:rPr>
              <w:color w:val="auto"/>
            </w:rPr>
            <w:instrText xml:space="preserve"> HYPERLINK \l "_bookmark758"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"_bookmark758" </w:instrText>
          </w:r>
          <w:r>
            <w:rPr>
              <w:color w:val="auto"/>
            </w:rPr>
            <w:fldChar w:fldCharType="separate"/>
          </w:r>
          <w:r>
            <w:rPr>
              <w:color w:val="auto"/>
            </w:rPr>
            <w:t>百四十三</w:t>
          </w:r>
          <w:r>
            <w:rPr>
              <w:color w:val="auto"/>
              <w:spacing w:val="-36"/>
            </w:rPr>
            <w:t>、</w:t>
          </w:r>
          <w:r>
            <w:rPr>
              <w:color w:val="auto"/>
            </w:rPr>
            <w:t>食品生产经营者在一年内累计三次因违反本法规定受到责令停产</w:t>
          </w:r>
          <w:r>
            <w:rPr>
              <w:color w:val="auto"/>
              <w:spacing w:val="-17"/>
            </w:rPr>
            <w:t>停</w:t>
          </w:r>
          <w:r>
            <w:rPr>
              <w:color w:val="auto"/>
              <w:spacing w:val="-17"/>
            </w:rPr>
            <w:fldChar w:fldCharType="end"/>
          </w:r>
          <w:r>
            <w:rPr>
              <w:color w:val="auto"/>
            </w:rPr>
            <w:t>业、吊销许可证以外处罚</w:t>
          </w:r>
          <w:r>
            <w:rPr>
              <w:color w:val="auto"/>
            </w:rPr>
            <w:tab/>
          </w:r>
          <w:r>
            <w:rPr>
              <w:color w:val="auto"/>
              <w:spacing w:val="-6"/>
            </w:rPr>
            <w:t>757</w:t>
          </w:r>
        </w:p>
        <w:p>
          <w:pPr>
            <w:pStyle w:val="5"/>
            <w:tabs>
              <w:tab w:val="left" w:leader="dot" w:pos="8595"/>
            </w:tabs>
            <w:spacing w:line="304" w:lineRule="exact"/>
            <w:rPr>
              <w:color w:val="auto"/>
            </w:rPr>
          </w:pPr>
          <w:r>
            <w:rPr>
              <w:color w:val="auto"/>
            </w:rPr>
            <w:fldChar w:fldCharType="begin"/>
          </w:r>
          <w:r>
            <w:rPr>
              <w:color w:val="auto"/>
            </w:rPr>
            <w:instrText xml:space="preserve"> HYPERLINK \l "_bookmark759" </w:instrText>
          </w:r>
          <w:r>
            <w:rPr>
              <w:color w:val="auto"/>
            </w:rPr>
            <w:fldChar w:fldCharType="separate"/>
          </w:r>
          <w:r>
            <w:rPr>
              <w:color w:val="auto"/>
            </w:rPr>
            <w:t>七百四十四、因食品虚假宣传且情节严重被责令暂停销售仍然销售该食品</w:t>
          </w:r>
          <w:r>
            <w:rPr>
              <w:color w:val="auto"/>
            </w:rPr>
            <w:tab/>
          </w:r>
          <w:r>
            <w:rPr>
              <w:color w:val="auto"/>
            </w:rPr>
            <w:t>758</w:t>
          </w:r>
          <w:r>
            <w:rPr>
              <w:color w:val="auto"/>
            </w:rPr>
            <w:fldChar w:fldCharType="end"/>
          </w:r>
        </w:p>
        <w:p>
          <w:pPr>
            <w:pStyle w:val="5"/>
            <w:tabs>
              <w:tab w:val="left" w:leader="dot" w:pos="8628"/>
            </w:tabs>
            <w:spacing w:before="153"/>
            <w:rPr>
              <w:color w:val="auto"/>
            </w:rPr>
          </w:pPr>
          <w:r>
            <w:rPr>
              <w:color w:val="auto"/>
            </w:rPr>
            <w:fldChar w:fldCharType="begin"/>
          </w:r>
          <w:r>
            <w:rPr>
              <w:color w:val="auto"/>
            </w:rPr>
            <w:instrText xml:space="preserve"> HYPERLINK \l "_bookmark760" </w:instrText>
          </w:r>
          <w:r>
            <w:rPr>
              <w:color w:val="auto"/>
            </w:rPr>
            <w:fldChar w:fldCharType="separate"/>
          </w:r>
          <w:r>
            <w:rPr>
              <w:color w:val="auto"/>
              <w:spacing w:val="-22"/>
            </w:rPr>
            <w:t>七百</w:t>
          </w:r>
          <w:r>
            <w:rPr>
              <w:color w:val="auto"/>
              <w:spacing w:val="-24"/>
            </w:rPr>
            <w:t>四</w:t>
          </w:r>
          <w:r>
            <w:rPr>
              <w:color w:val="auto"/>
              <w:spacing w:val="-22"/>
            </w:rPr>
            <w:t>十五、隐瞒</w:t>
          </w:r>
          <w:r>
            <w:rPr>
              <w:color w:val="auto"/>
              <w:spacing w:val="-24"/>
            </w:rPr>
            <w:t>真</w:t>
          </w:r>
          <w:r>
            <w:rPr>
              <w:color w:val="auto"/>
              <w:spacing w:val="-22"/>
            </w:rPr>
            <w:t>实情况或者</w:t>
          </w:r>
          <w:r>
            <w:rPr>
              <w:color w:val="auto"/>
              <w:spacing w:val="-24"/>
            </w:rPr>
            <w:t>提</w:t>
          </w:r>
          <w:r>
            <w:rPr>
              <w:color w:val="auto"/>
              <w:spacing w:val="-22"/>
            </w:rPr>
            <w:t>供虚假材料</w:t>
          </w:r>
          <w:r>
            <w:rPr>
              <w:color w:val="auto"/>
              <w:spacing w:val="-24"/>
            </w:rPr>
            <w:t>申</w:t>
          </w:r>
          <w:r>
            <w:rPr>
              <w:color w:val="auto"/>
              <w:spacing w:val="-22"/>
            </w:rPr>
            <w:t>请食品生产</w:t>
          </w:r>
          <w:r>
            <w:rPr>
              <w:color w:val="auto"/>
              <w:spacing w:val="-24"/>
            </w:rPr>
            <w:t>许</w:t>
          </w:r>
          <w:r>
            <w:rPr>
              <w:color w:val="auto"/>
              <w:spacing w:val="-22"/>
            </w:rPr>
            <w:t>可、食品经</w:t>
          </w:r>
          <w:r>
            <w:rPr>
              <w:color w:val="auto"/>
              <w:spacing w:val="-24"/>
            </w:rPr>
            <w:t>营</w:t>
          </w:r>
          <w:r>
            <w:rPr>
              <w:color w:val="auto"/>
              <w:spacing w:val="-22"/>
            </w:rPr>
            <w:t>许可</w:t>
          </w:r>
          <w:r>
            <w:rPr>
              <w:color w:val="auto"/>
              <w:spacing w:val="-22"/>
            </w:rPr>
            <w:tab/>
          </w:r>
          <w:r>
            <w:rPr>
              <w:color w:val="auto"/>
              <w:spacing w:val="-7"/>
            </w:rPr>
            <w:t>758</w:t>
          </w:r>
          <w:r>
            <w:rPr>
              <w:color w:val="auto"/>
              <w:spacing w:val="-7"/>
            </w:rPr>
            <w:fldChar w:fldCharType="end"/>
          </w:r>
        </w:p>
        <w:p>
          <w:pPr>
            <w:pStyle w:val="5"/>
            <w:tabs>
              <w:tab w:val="left" w:leader="dot" w:pos="8611"/>
            </w:tabs>
            <w:spacing w:before="153"/>
            <w:rPr>
              <w:color w:val="auto"/>
            </w:rPr>
          </w:pPr>
          <w:r>
            <w:rPr>
              <w:color w:val="auto"/>
            </w:rPr>
            <w:fldChar w:fldCharType="begin"/>
          </w:r>
          <w:r>
            <w:rPr>
              <w:color w:val="auto"/>
            </w:rPr>
            <w:instrText xml:space="preserve"> HYPERLINK \l "_bookmark761" </w:instrText>
          </w:r>
          <w:r>
            <w:rPr>
              <w:color w:val="auto"/>
            </w:rPr>
            <w:fldChar w:fldCharType="separate"/>
          </w:r>
          <w:r>
            <w:rPr>
              <w:color w:val="auto"/>
              <w:spacing w:val="-12"/>
            </w:rPr>
            <w:t>七百四十六、以欺骗、贿赂等不正当手段取得食品生产许可、食品经营许</w:t>
          </w:r>
          <w:r>
            <w:rPr>
              <w:color w:val="auto"/>
            </w:rPr>
            <w:t>可</w:t>
          </w:r>
          <w:r>
            <w:rPr>
              <w:color w:val="auto"/>
            </w:rPr>
            <w:tab/>
          </w:r>
          <w:r>
            <w:rPr>
              <w:color w:val="auto"/>
              <w:spacing w:val="-4"/>
            </w:rPr>
            <w:t>759</w:t>
          </w:r>
          <w:r>
            <w:rPr>
              <w:color w:val="auto"/>
              <w:spacing w:val="-4"/>
            </w:rPr>
            <w:fldChar w:fldCharType="end"/>
          </w:r>
        </w:p>
        <w:p>
          <w:pPr>
            <w:pStyle w:val="5"/>
            <w:tabs>
              <w:tab w:val="left" w:leader="dot" w:pos="8595"/>
            </w:tabs>
            <w:spacing w:before="151" w:line="360" w:lineRule="auto"/>
            <w:ind w:right="268"/>
            <w:rPr>
              <w:color w:val="auto"/>
            </w:rPr>
          </w:pPr>
          <w:r>
            <w:rPr>
              <w:color w:val="auto"/>
            </w:rPr>
            <w:fldChar w:fldCharType="begin"/>
          </w:r>
          <w:r>
            <w:rPr>
              <w:color w:val="auto"/>
            </w:rPr>
            <w:instrText xml:space="preserve"> HYPERLINK \l "_bookmark762"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"_bookmark762" </w:instrText>
          </w:r>
          <w:r>
            <w:rPr>
              <w:color w:val="auto"/>
            </w:rPr>
            <w:fldChar w:fldCharType="separate"/>
          </w:r>
          <w:r>
            <w:rPr>
              <w:color w:val="auto"/>
            </w:rPr>
            <w:t>百四十七</w:t>
          </w:r>
          <w:r>
            <w:rPr>
              <w:color w:val="auto"/>
              <w:spacing w:val="-8"/>
            </w:rPr>
            <w:t>、</w:t>
          </w:r>
          <w:r>
            <w:rPr>
              <w:color w:val="auto"/>
            </w:rPr>
            <w:t>伪造</w:t>
          </w:r>
          <w:r>
            <w:rPr>
              <w:color w:val="auto"/>
              <w:spacing w:val="-5"/>
            </w:rPr>
            <w:t>、</w:t>
          </w:r>
          <w:r>
            <w:rPr>
              <w:color w:val="auto"/>
            </w:rPr>
            <w:t>涂改</w:t>
          </w:r>
          <w:r>
            <w:rPr>
              <w:color w:val="auto"/>
              <w:spacing w:val="-5"/>
            </w:rPr>
            <w:t>、</w:t>
          </w:r>
          <w:r>
            <w:rPr>
              <w:color w:val="auto"/>
            </w:rPr>
            <w:t>倒卖</w:t>
          </w:r>
          <w:r>
            <w:rPr>
              <w:color w:val="auto"/>
              <w:spacing w:val="-5"/>
            </w:rPr>
            <w:t>、</w:t>
          </w:r>
          <w:r>
            <w:rPr>
              <w:color w:val="auto"/>
            </w:rPr>
            <w:t>出租</w:t>
          </w:r>
          <w:r>
            <w:rPr>
              <w:color w:val="auto"/>
              <w:spacing w:val="-5"/>
            </w:rPr>
            <w:t>、</w:t>
          </w:r>
          <w:r>
            <w:rPr>
              <w:color w:val="auto"/>
            </w:rPr>
            <w:t>出借</w:t>
          </w:r>
          <w:r>
            <w:rPr>
              <w:color w:val="auto"/>
              <w:spacing w:val="-5"/>
            </w:rPr>
            <w:t>、</w:t>
          </w:r>
          <w:r>
            <w:rPr>
              <w:color w:val="auto"/>
            </w:rPr>
            <w:t>转让食品生产许可证</w:t>
          </w:r>
          <w:r>
            <w:rPr>
              <w:color w:val="auto"/>
              <w:spacing w:val="-5"/>
            </w:rPr>
            <w:t>、</w:t>
          </w:r>
          <w:r>
            <w:rPr>
              <w:color w:val="auto"/>
            </w:rPr>
            <w:t>食品经</w:t>
          </w:r>
          <w:r>
            <w:rPr>
              <w:color w:val="auto"/>
              <w:spacing w:val="-15"/>
            </w:rPr>
            <w:t>营</w:t>
          </w:r>
          <w:r>
            <w:rPr>
              <w:color w:val="auto"/>
              <w:spacing w:val="-15"/>
            </w:rPr>
            <w:fldChar w:fldCharType="end"/>
          </w:r>
          <w:r>
            <w:rPr>
              <w:color w:val="auto"/>
            </w:rPr>
            <w:t>许可证</w:t>
          </w:r>
          <w:r>
            <w:rPr>
              <w:color w:val="auto"/>
            </w:rPr>
            <w:tab/>
          </w:r>
          <w:r>
            <w:rPr>
              <w:color w:val="auto"/>
              <w:spacing w:val="-6"/>
            </w:rPr>
            <w:t>760</w:t>
          </w:r>
        </w:p>
        <w:p>
          <w:pPr>
            <w:pStyle w:val="5"/>
            <w:tabs>
              <w:tab w:val="left" w:leader="dot" w:pos="8595"/>
            </w:tabs>
            <w:spacing w:line="357" w:lineRule="auto"/>
            <w:ind w:right="268"/>
            <w:rPr>
              <w:color w:val="auto"/>
            </w:rPr>
          </w:pPr>
          <w:r>
            <w:rPr>
              <w:color w:val="auto"/>
            </w:rPr>
            <w:fldChar w:fldCharType="begin"/>
          </w:r>
          <w:r>
            <w:rPr>
              <w:color w:val="auto"/>
            </w:rPr>
            <w:instrText xml:space="preserve"> HYPERLINK \l "_bookmark763"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"_bookmark763" </w:instrText>
          </w:r>
          <w:r>
            <w:rPr>
              <w:color w:val="auto"/>
            </w:rPr>
            <w:fldChar w:fldCharType="separate"/>
          </w:r>
          <w:r>
            <w:rPr>
              <w:color w:val="auto"/>
            </w:rPr>
            <w:t>百四十八、未按规定在生产经营场所的显著位置悬挂或者摆放食品生产许可</w:t>
          </w:r>
          <w:r>
            <w:rPr>
              <w:color w:val="auto"/>
            </w:rPr>
            <w:fldChar w:fldCharType="end"/>
          </w:r>
          <w:r>
            <w:rPr>
              <w:color w:val="auto"/>
            </w:rPr>
            <w:t>证、食品经营许可证</w:t>
          </w:r>
          <w:r>
            <w:rPr>
              <w:color w:val="auto"/>
            </w:rPr>
            <w:tab/>
          </w:r>
          <w:r>
            <w:rPr>
              <w:color w:val="auto"/>
              <w:spacing w:val="-6"/>
            </w:rPr>
            <w:t>761</w:t>
          </w:r>
        </w:p>
        <w:p>
          <w:pPr>
            <w:pStyle w:val="5"/>
            <w:tabs>
              <w:tab w:val="left" w:leader="dot" w:pos="8595"/>
            </w:tabs>
            <w:spacing w:before="2" w:line="360" w:lineRule="auto"/>
            <w:ind w:left="567" w:right="256" w:firstLine="24"/>
            <w:rPr>
              <w:color w:val="auto"/>
            </w:rPr>
          </w:pPr>
          <w:r>
            <w:rPr>
              <w:color w:val="auto"/>
            </w:rPr>
            <w:fldChar w:fldCharType="begin"/>
          </w:r>
          <w:r>
            <w:rPr>
              <w:color w:val="auto"/>
            </w:rPr>
            <w:instrText xml:space="preserve"> HYPERLINK \l "_bookmark764" </w:instrText>
          </w:r>
          <w:r>
            <w:rPr>
              <w:color w:val="auto"/>
            </w:rPr>
            <w:fldChar w:fldCharType="separate"/>
          </w:r>
          <w:r>
            <w:rPr>
              <w:color w:val="auto"/>
              <w:spacing w:val="-12"/>
            </w:rPr>
            <w:t>七</w:t>
          </w:r>
          <w:r>
            <w:rPr>
              <w:color w:val="auto"/>
              <w:spacing w:val="-12"/>
            </w:rPr>
            <w:fldChar w:fldCharType="end"/>
          </w:r>
          <w:r>
            <w:rPr>
              <w:color w:val="auto"/>
            </w:rPr>
            <w:fldChar w:fldCharType="begin"/>
          </w:r>
          <w:r>
            <w:rPr>
              <w:color w:val="auto"/>
            </w:rPr>
            <w:instrText xml:space="preserve"> HYPERLINK \l "_bookmark764" </w:instrText>
          </w:r>
          <w:r>
            <w:rPr>
              <w:color w:val="auto"/>
            </w:rPr>
            <w:fldChar w:fldCharType="separate"/>
          </w:r>
          <w:r>
            <w:rPr>
              <w:color w:val="auto"/>
              <w:spacing w:val="-12"/>
            </w:rPr>
            <w:t>百四十九</w:t>
          </w:r>
          <w:r>
            <w:rPr>
              <w:color w:val="auto"/>
              <w:spacing w:val="-36"/>
            </w:rPr>
            <w:t>、</w:t>
          </w:r>
          <w:r>
            <w:rPr>
              <w:color w:val="auto"/>
              <w:spacing w:val="-12"/>
            </w:rPr>
            <w:t>食品生产者工艺设备布局和工艺流程</w:t>
          </w:r>
          <w:r>
            <w:rPr>
              <w:color w:val="auto"/>
              <w:spacing w:val="-36"/>
            </w:rPr>
            <w:t>、</w:t>
          </w:r>
          <w:r>
            <w:rPr>
              <w:color w:val="auto"/>
              <w:spacing w:val="-12"/>
            </w:rPr>
            <w:t>主要生产设备设施</w:t>
          </w:r>
          <w:r>
            <w:rPr>
              <w:color w:val="auto"/>
              <w:spacing w:val="-36"/>
            </w:rPr>
            <w:t>、</w:t>
          </w:r>
          <w:r>
            <w:rPr>
              <w:color w:val="auto"/>
              <w:spacing w:val="-12"/>
            </w:rPr>
            <w:t>食品类别</w:t>
          </w:r>
          <w:r>
            <w:rPr>
              <w:color w:val="auto"/>
              <w:spacing w:val="-17"/>
            </w:rPr>
            <w:t>等</w:t>
          </w:r>
          <w:r>
            <w:rPr>
              <w:color w:val="auto"/>
              <w:spacing w:val="-17"/>
            </w:rPr>
            <w:fldChar w:fldCharType="end"/>
          </w:r>
          <w:r>
            <w:rPr>
              <w:color w:val="auto"/>
              <w:spacing w:val="-12"/>
            </w:rPr>
            <w:t>事项发生变化，需要变更食品生产许可证载明的许可事项，未按规定申请变</w:t>
          </w:r>
          <w:r>
            <w:rPr>
              <w:color w:val="auto"/>
            </w:rPr>
            <w:t>更</w:t>
          </w:r>
          <w:r>
            <w:rPr>
              <w:color w:val="auto"/>
            </w:rPr>
            <w:tab/>
          </w:r>
          <w:r>
            <w:rPr>
              <w:color w:val="auto"/>
            </w:rPr>
            <w:t>762</w:t>
          </w:r>
        </w:p>
        <w:p>
          <w:pPr>
            <w:pStyle w:val="5"/>
            <w:tabs>
              <w:tab w:val="left" w:leader="dot" w:pos="8595"/>
            </w:tabs>
            <w:spacing w:after="20" w:line="360" w:lineRule="auto"/>
            <w:ind w:right="268"/>
            <w:jc w:val="both"/>
            <w:rPr>
              <w:color w:val="auto"/>
            </w:rPr>
          </w:pPr>
          <w:r>
            <w:rPr>
              <w:color w:val="auto"/>
            </w:rPr>
            <w:fldChar w:fldCharType="begin"/>
          </w:r>
          <w:r>
            <w:rPr>
              <w:color w:val="auto"/>
            </w:rPr>
            <w:instrText xml:space="preserve"> HYPERLINK \l "_bookmark765"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"_bookmark765" </w:instrText>
          </w:r>
          <w:r>
            <w:rPr>
              <w:color w:val="auto"/>
            </w:rPr>
            <w:fldChar w:fldCharType="separate"/>
          </w:r>
          <w:r>
            <w:rPr>
              <w:color w:val="auto"/>
            </w:rPr>
            <w:t>百五十</w:t>
          </w:r>
          <w:r>
            <w:rPr>
              <w:color w:val="auto"/>
              <w:spacing w:val="-20"/>
            </w:rPr>
            <w:t>、</w:t>
          </w:r>
          <w:r>
            <w:rPr>
              <w:color w:val="auto"/>
            </w:rPr>
            <w:t>食品生产许可证副本载明的同一食品类别内的事项发生变化</w:t>
          </w:r>
          <w:r>
            <w:rPr>
              <w:color w:val="auto"/>
              <w:spacing w:val="-17"/>
            </w:rPr>
            <w:t>，</w:t>
          </w:r>
          <w:r>
            <w:rPr>
              <w:color w:val="auto"/>
            </w:rPr>
            <w:t>食品</w:t>
          </w:r>
          <w:r>
            <w:rPr>
              <w:color w:val="auto"/>
              <w:spacing w:val="-16"/>
            </w:rPr>
            <w:t>生</w:t>
          </w:r>
          <w:r>
            <w:rPr>
              <w:color w:val="auto"/>
              <w:spacing w:val="-16"/>
            </w:rPr>
            <w:fldChar w:fldCharType="end"/>
          </w:r>
          <w:r>
            <w:rPr>
              <w:color w:val="auto"/>
            </w:rPr>
            <w:t>产者未按规定报告</w:t>
          </w:r>
          <w:r>
            <w:rPr>
              <w:color w:val="auto"/>
              <w:spacing w:val="-53"/>
            </w:rPr>
            <w:t>；</w:t>
          </w:r>
          <w:r>
            <w:rPr>
              <w:color w:val="auto"/>
            </w:rPr>
            <w:t>食品生产经营者外设仓库地址发生变化</w:t>
          </w:r>
          <w:r>
            <w:rPr>
              <w:color w:val="auto"/>
              <w:spacing w:val="-51"/>
            </w:rPr>
            <w:t>，</w:t>
          </w:r>
          <w:r>
            <w:rPr>
              <w:color w:val="auto"/>
            </w:rPr>
            <w:t>未按规定报告；</w:t>
          </w:r>
          <w:r>
            <w:rPr>
              <w:color w:val="auto"/>
              <w:spacing w:val="-54"/>
            </w:rPr>
            <w:t xml:space="preserve"> </w:t>
          </w:r>
          <w:r>
            <w:rPr>
              <w:color w:val="auto"/>
              <w:spacing w:val="-15"/>
            </w:rPr>
            <w:t>食</w:t>
          </w:r>
          <w:r>
            <w:rPr>
              <w:color w:val="auto"/>
            </w:rPr>
            <w:t>品生产经营者终止食品生产经营</w:t>
          </w:r>
          <w:r>
            <w:rPr>
              <w:color w:val="auto"/>
              <w:spacing w:val="-20"/>
            </w:rPr>
            <w:t>，</w:t>
          </w:r>
          <w:r>
            <w:rPr>
              <w:color w:val="auto"/>
            </w:rPr>
            <w:t>食品生产经营许可被撤回</w:t>
          </w:r>
          <w:r>
            <w:rPr>
              <w:color w:val="auto"/>
              <w:spacing w:val="-17"/>
            </w:rPr>
            <w:t>、</w:t>
          </w:r>
          <w:r>
            <w:rPr>
              <w:color w:val="auto"/>
            </w:rPr>
            <w:t>撤销或者许可证</w:t>
          </w:r>
          <w:r>
            <w:rPr>
              <w:color w:val="auto"/>
              <w:spacing w:val="-16"/>
            </w:rPr>
            <w:t>被</w:t>
          </w:r>
          <w:r>
            <w:rPr>
              <w:color w:val="auto"/>
            </w:rPr>
            <w:t>吊销，未按规定申请办理注销手续</w:t>
          </w:r>
          <w:r>
            <w:rPr>
              <w:color w:val="auto"/>
            </w:rPr>
            <w:tab/>
          </w:r>
          <w:r>
            <w:rPr>
              <w:color w:val="auto"/>
              <w:spacing w:val="-6"/>
            </w:rPr>
            <w:t>763</w:t>
          </w:r>
        </w:p>
        <w:p>
          <w:pPr>
            <w:pStyle w:val="5"/>
            <w:tabs>
              <w:tab w:val="left" w:leader="dot" w:pos="8595"/>
            </w:tabs>
            <w:spacing w:before="127" w:line="374" w:lineRule="auto"/>
            <w:ind w:right="268"/>
            <w:rPr>
              <w:rFonts w:hint="eastAsia" w:eastAsia="宋体"/>
              <w:color w:val="auto"/>
              <w:lang w:eastAsia="zh-CN"/>
            </w:rPr>
          </w:pPr>
          <w:r>
            <w:rPr>
              <w:color w:val="auto"/>
            </w:rPr>
            <w:fldChar w:fldCharType="begin"/>
          </w:r>
          <w:r>
            <w:rPr>
              <w:color w:val="auto"/>
            </w:rPr>
            <w:instrText xml:space="preserve"> HYPERLINK \l "_bookmark766"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"_bookmark766" </w:instrText>
          </w:r>
          <w:r>
            <w:rPr>
              <w:color w:val="auto"/>
            </w:rPr>
            <w:fldChar w:fldCharType="separate"/>
          </w:r>
          <w:r>
            <w:rPr>
              <w:color w:val="auto"/>
            </w:rPr>
            <w:t>百五十一</w:t>
          </w:r>
          <w:r>
            <w:rPr>
              <w:color w:val="auto"/>
              <w:spacing w:val="-20"/>
            </w:rPr>
            <w:t>、</w:t>
          </w:r>
          <w:r>
            <w:rPr>
              <w:color w:val="auto"/>
            </w:rPr>
            <w:t>食品经营许可证载明的许可事项发生变化</w:t>
          </w:r>
          <w:r>
            <w:rPr>
              <w:color w:val="auto"/>
              <w:spacing w:val="-17"/>
            </w:rPr>
            <w:t>，</w:t>
          </w:r>
          <w:r>
            <w:rPr>
              <w:color w:val="auto"/>
            </w:rPr>
            <w:t>食品经营者未按规定</w:t>
          </w:r>
          <w:r>
            <w:rPr>
              <w:color w:val="auto"/>
              <w:spacing w:val="-16"/>
            </w:rPr>
            <w:t>申</w:t>
          </w:r>
          <w:r>
            <w:rPr>
              <w:color w:val="auto"/>
              <w:spacing w:val="-16"/>
            </w:rPr>
            <w:fldChar w:fldCharType="end"/>
          </w:r>
          <w:r>
            <w:rPr>
              <w:color w:val="auto"/>
            </w:rPr>
            <w:t>请变更经营许可</w:t>
          </w:r>
          <w:r>
            <w:rPr>
              <w:color w:val="auto"/>
            </w:rPr>
            <w:tab/>
          </w:r>
          <w:r>
            <w:rPr>
              <w:color w:val="auto"/>
              <w:spacing w:val="-6"/>
            </w:rPr>
            <w:t>76</w:t>
          </w:r>
          <w:r>
            <w:rPr>
              <w:rFonts w:hint="eastAsia"/>
              <w:color w:val="auto"/>
              <w:spacing w:val="-6"/>
              <w:lang w:val="en-US" w:eastAsia="zh-CN"/>
            </w:rPr>
            <w:t>5</w:t>
          </w:r>
        </w:p>
        <w:p>
          <w:pPr>
            <w:pStyle w:val="5"/>
            <w:tabs>
              <w:tab w:val="left" w:leader="dot" w:pos="8595"/>
            </w:tabs>
            <w:spacing w:before="1" w:line="374" w:lineRule="auto"/>
            <w:ind w:right="268"/>
            <w:jc w:val="both"/>
            <w:rPr>
              <w:rFonts w:hint="eastAsia" w:eastAsia="宋体"/>
              <w:color w:val="auto"/>
              <w:lang w:eastAsia="zh-CN"/>
            </w:rPr>
          </w:pPr>
          <w:r>
            <w:rPr>
              <w:color w:val="auto"/>
            </w:rPr>
            <w:fldChar w:fldCharType="begin"/>
          </w:r>
          <w:r>
            <w:rPr>
              <w:color w:val="auto"/>
            </w:rPr>
            <w:instrText xml:space="preserve"> HYPERLINK \l "_bookmark767"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"_bookmark767" </w:instrText>
          </w:r>
          <w:r>
            <w:rPr>
              <w:color w:val="auto"/>
            </w:rPr>
            <w:fldChar w:fldCharType="separate"/>
          </w:r>
          <w:r>
            <w:rPr>
              <w:color w:val="auto"/>
            </w:rPr>
            <w:t>百五十二</w:t>
          </w:r>
          <w:r>
            <w:rPr>
              <w:color w:val="auto"/>
              <w:spacing w:val="-10"/>
            </w:rPr>
            <w:t>、</w:t>
          </w:r>
          <w:r>
            <w:rPr>
              <w:color w:val="auto"/>
            </w:rPr>
            <w:t>食品生产经营者违</w:t>
          </w:r>
          <w:r>
            <w:rPr>
              <w:color w:val="auto"/>
              <w:spacing w:val="-10"/>
            </w:rPr>
            <w:t>反</w:t>
          </w:r>
          <w:r>
            <w:rPr>
              <w:color w:val="auto"/>
            </w:rPr>
            <w:t>《食品召回管理办法</w:t>
          </w:r>
          <w:r>
            <w:rPr>
              <w:color w:val="auto"/>
              <w:spacing w:val="-8"/>
            </w:rPr>
            <w:t>》</w:t>
          </w:r>
          <w:r>
            <w:rPr>
              <w:color w:val="auto"/>
            </w:rPr>
            <w:t>相关规定</w:t>
          </w:r>
          <w:r>
            <w:rPr>
              <w:color w:val="auto"/>
              <w:spacing w:val="-10"/>
            </w:rPr>
            <w:t>，</w:t>
          </w:r>
          <w:r>
            <w:rPr>
              <w:color w:val="auto"/>
            </w:rPr>
            <w:t>不立即停</w:t>
          </w:r>
          <w:r>
            <w:rPr>
              <w:color w:val="auto"/>
              <w:spacing w:val="-15"/>
            </w:rPr>
            <w:t>止</w:t>
          </w:r>
          <w:r>
            <w:rPr>
              <w:color w:val="auto"/>
              <w:spacing w:val="-15"/>
            </w:rPr>
            <w:fldChar w:fldCharType="end"/>
          </w:r>
          <w:r>
            <w:rPr>
              <w:color w:val="auto"/>
            </w:rPr>
            <w:t>生产经营</w:t>
          </w:r>
          <w:r>
            <w:rPr>
              <w:color w:val="auto"/>
              <w:spacing w:val="-12"/>
            </w:rPr>
            <w:t>、</w:t>
          </w:r>
          <w:r>
            <w:rPr>
              <w:color w:val="auto"/>
            </w:rPr>
            <w:t>不主动召回</w:t>
          </w:r>
          <w:r>
            <w:rPr>
              <w:color w:val="auto"/>
              <w:spacing w:val="-12"/>
            </w:rPr>
            <w:t>、</w:t>
          </w:r>
          <w:r>
            <w:rPr>
              <w:color w:val="auto"/>
            </w:rPr>
            <w:t>不按规定时限启动召回</w:t>
          </w:r>
          <w:r>
            <w:rPr>
              <w:color w:val="auto"/>
              <w:spacing w:val="-12"/>
            </w:rPr>
            <w:t>、</w:t>
          </w:r>
          <w:r>
            <w:rPr>
              <w:color w:val="auto"/>
            </w:rPr>
            <w:t>不按照召回计划召回或者不</w:t>
          </w:r>
          <w:r>
            <w:rPr>
              <w:color w:val="auto"/>
              <w:spacing w:val="-17"/>
            </w:rPr>
            <w:t>按</w:t>
          </w:r>
          <w:r>
            <w:rPr>
              <w:color w:val="auto"/>
            </w:rPr>
            <w:t>照规定处置不安全食品</w:t>
          </w:r>
          <w:r>
            <w:rPr>
              <w:color w:val="auto"/>
            </w:rPr>
            <w:tab/>
          </w:r>
          <w:r>
            <w:rPr>
              <w:color w:val="auto"/>
              <w:spacing w:val="-6"/>
            </w:rPr>
            <w:t>76</w:t>
          </w:r>
          <w:r>
            <w:rPr>
              <w:rFonts w:hint="eastAsia"/>
              <w:color w:val="auto"/>
              <w:spacing w:val="-6"/>
              <w:lang w:val="en-US" w:eastAsia="zh-CN"/>
            </w:rPr>
            <w:t>7</w:t>
          </w:r>
        </w:p>
        <w:p>
          <w:pPr>
            <w:pStyle w:val="5"/>
            <w:tabs>
              <w:tab w:val="left" w:leader="dot" w:pos="8595"/>
            </w:tabs>
            <w:spacing w:before="1" w:line="374" w:lineRule="auto"/>
            <w:ind w:right="268"/>
            <w:rPr>
              <w:rFonts w:hint="eastAsia" w:eastAsia="宋体"/>
              <w:color w:val="auto"/>
              <w:lang w:val="en-US" w:eastAsia="zh-CN"/>
            </w:rPr>
          </w:pPr>
          <w:r>
            <w:rPr>
              <w:color w:val="auto"/>
            </w:rPr>
            <w:fldChar w:fldCharType="begin"/>
          </w:r>
          <w:r>
            <w:rPr>
              <w:color w:val="auto"/>
            </w:rPr>
            <w:instrText xml:space="preserve"> HYPERLINK \l "_bookmark768"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"_bookmark768" </w:instrText>
          </w:r>
          <w:r>
            <w:rPr>
              <w:color w:val="auto"/>
            </w:rPr>
            <w:fldChar w:fldCharType="separate"/>
          </w:r>
          <w:r>
            <w:rPr>
              <w:color w:val="auto"/>
            </w:rPr>
            <w:t>百五十三</w:t>
          </w:r>
          <w:r>
            <w:rPr>
              <w:color w:val="auto"/>
              <w:spacing w:val="-10"/>
            </w:rPr>
            <w:t>、</w:t>
          </w:r>
          <w:r>
            <w:rPr>
              <w:color w:val="auto"/>
            </w:rPr>
            <w:t>食品经营者违</w:t>
          </w:r>
          <w:r>
            <w:rPr>
              <w:color w:val="auto"/>
              <w:spacing w:val="-10"/>
            </w:rPr>
            <w:t>反</w:t>
          </w:r>
          <w:r>
            <w:rPr>
              <w:color w:val="auto"/>
            </w:rPr>
            <w:t>《食品召回管理办法</w:t>
          </w:r>
          <w:r>
            <w:rPr>
              <w:color w:val="auto"/>
              <w:spacing w:val="-8"/>
            </w:rPr>
            <w:t>》</w:t>
          </w:r>
          <w:r>
            <w:rPr>
              <w:color w:val="auto"/>
            </w:rPr>
            <w:t>相关规定</w:t>
          </w:r>
          <w:r>
            <w:rPr>
              <w:color w:val="auto"/>
              <w:spacing w:val="-10"/>
            </w:rPr>
            <w:t>，</w:t>
          </w:r>
          <w:r>
            <w:rPr>
              <w:color w:val="auto"/>
            </w:rPr>
            <w:t>不配合食品生</w:t>
          </w:r>
          <w:r>
            <w:rPr>
              <w:color w:val="auto"/>
              <w:spacing w:val="-15"/>
            </w:rPr>
            <w:t>产</w:t>
          </w:r>
          <w:r>
            <w:rPr>
              <w:color w:val="auto"/>
              <w:spacing w:val="-15"/>
            </w:rPr>
            <w:fldChar w:fldCharType="end"/>
          </w:r>
          <w:r>
            <w:rPr>
              <w:color w:val="auto"/>
            </w:rPr>
            <w:t>者召回不安全食品</w:t>
          </w:r>
          <w:r>
            <w:rPr>
              <w:color w:val="auto"/>
            </w:rPr>
            <w:tab/>
          </w:r>
          <w:r>
            <w:rPr>
              <w:color w:val="auto"/>
              <w:spacing w:val="-6"/>
            </w:rPr>
            <w:t>77</w:t>
          </w:r>
          <w:r>
            <w:rPr>
              <w:rFonts w:hint="eastAsia"/>
              <w:color w:val="auto"/>
              <w:spacing w:val="-6"/>
              <w:lang w:val="en-US" w:eastAsia="zh-CN"/>
            </w:rPr>
            <w:t>1</w:t>
          </w:r>
        </w:p>
        <w:p>
          <w:pPr>
            <w:pStyle w:val="5"/>
            <w:tabs>
              <w:tab w:val="left" w:leader="dot" w:pos="8595"/>
            </w:tabs>
            <w:spacing w:line="374" w:lineRule="auto"/>
            <w:ind w:right="268"/>
            <w:rPr>
              <w:rFonts w:hint="default" w:eastAsia="宋体"/>
              <w:color w:val="auto"/>
              <w:lang w:val="en-US" w:eastAsia="zh-CN"/>
            </w:rPr>
          </w:pPr>
          <w:r>
            <w:rPr>
              <w:color w:val="auto"/>
            </w:rPr>
            <w:fldChar w:fldCharType="begin"/>
          </w:r>
          <w:r>
            <w:rPr>
              <w:color w:val="auto"/>
            </w:rPr>
            <w:instrText xml:space="preserve"> HYPERLINK \l "_bookmark769"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"_bookmark769" </w:instrText>
          </w:r>
          <w:r>
            <w:rPr>
              <w:color w:val="auto"/>
            </w:rPr>
            <w:fldChar w:fldCharType="separate"/>
          </w:r>
          <w:r>
            <w:rPr>
              <w:color w:val="auto"/>
            </w:rPr>
            <w:t>百五十四</w:t>
          </w:r>
          <w:r>
            <w:rPr>
              <w:color w:val="auto"/>
              <w:spacing w:val="-10"/>
            </w:rPr>
            <w:t>、</w:t>
          </w:r>
          <w:r>
            <w:rPr>
              <w:color w:val="auto"/>
            </w:rPr>
            <w:t>食品生产经营者违</w:t>
          </w:r>
          <w:r>
            <w:rPr>
              <w:color w:val="auto"/>
              <w:spacing w:val="-10"/>
            </w:rPr>
            <w:t>反</w:t>
          </w:r>
          <w:r>
            <w:rPr>
              <w:color w:val="auto"/>
            </w:rPr>
            <w:t>《食品召回管理办法</w:t>
          </w:r>
          <w:r>
            <w:rPr>
              <w:color w:val="auto"/>
              <w:spacing w:val="-8"/>
            </w:rPr>
            <w:t>》</w:t>
          </w:r>
          <w:r>
            <w:rPr>
              <w:color w:val="auto"/>
            </w:rPr>
            <w:t>相关规定</w:t>
          </w:r>
          <w:r>
            <w:rPr>
              <w:color w:val="auto"/>
              <w:spacing w:val="-10"/>
            </w:rPr>
            <w:t>，</w:t>
          </w:r>
          <w:r>
            <w:rPr>
              <w:color w:val="auto"/>
            </w:rPr>
            <w:t>未履行报</w:t>
          </w:r>
          <w:r>
            <w:rPr>
              <w:color w:val="auto"/>
              <w:spacing w:val="-15"/>
            </w:rPr>
            <w:t>告</w:t>
          </w:r>
          <w:r>
            <w:rPr>
              <w:color w:val="auto"/>
              <w:spacing w:val="-15"/>
            </w:rPr>
            <w:fldChar w:fldCharType="end"/>
          </w:r>
          <w:r>
            <w:rPr>
              <w:color w:val="auto"/>
            </w:rPr>
            <w:t>义务</w:t>
          </w:r>
          <w:r>
            <w:rPr>
              <w:color w:val="auto"/>
            </w:rPr>
            <w:tab/>
          </w:r>
          <w:r>
            <w:rPr>
              <w:color w:val="auto"/>
              <w:spacing w:val="-6"/>
            </w:rPr>
            <w:t>7</w:t>
          </w:r>
          <w:r>
            <w:rPr>
              <w:rFonts w:hint="eastAsia"/>
              <w:color w:val="auto"/>
              <w:spacing w:val="-6"/>
              <w:lang w:val="en-US" w:eastAsia="zh-CN"/>
            </w:rPr>
            <w:t>73</w:t>
          </w:r>
        </w:p>
        <w:p>
          <w:pPr>
            <w:pStyle w:val="5"/>
            <w:tabs>
              <w:tab w:val="left" w:leader="dot" w:pos="8595"/>
            </w:tabs>
            <w:spacing w:before="1" w:line="374" w:lineRule="auto"/>
            <w:ind w:right="268"/>
            <w:rPr>
              <w:rFonts w:hint="eastAsia" w:eastAsia="宋体"/>
              <w:color w:val="auto"/>
              <w:lang w:eastAsia="zh-CN"/>
            </w:rPr>
          </w:pPr>
          <w:r>
            <w:rPr>
              <w:color w:val="auto"/>
            </w:rPr>
            <w:fldChar w:fldCharType="begin"/>
          </w:r>
          <w:r>
            <w:rPr>
              <w:color w:val="auto"/>
            </w:rPr>
            <w:instrText xml:space="preserve"> HYPERLINK \l "_bookmark770"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"_bookmark770" </w:instrText>
          </w:r>
          <w:r>
            <w:rPr>
              <w:color w:val="auto"/>
            </w:rPr>
            <w:fldChar w:fldCharType="separate"/>
          </w:r>
          <w:r>
            <w:rPr>
              <w:color w:val="auto"/>
            </w:rPr>
            <w:t>百五十五</w:t>
          </w:r>
          <w:r>
            <w:rPr>
              <w:color w:val="auto"/>
              <w:spacing w:val="-10"/>
            </w:rPr>
            <w:t>、</w:t>
          </w:r>
          <w:r>
            <w:rPr>
              <w:color w:val="auto"/>
            </w:rPr>
            <w:t>食品生产经营者违</w:t>
          </w:r>
          <w:r>
            <w:rPr>
              <w:color w:val="auto"/>
              <w:spacing w:val="-10"/>
            </w:rPr>
            <w:t>反</w:t>
          </w:r>
          <w:r>
            <w:rPr>
              <w:color w:val="auto"/>
            </w:rPr>
            <w:t>《食品召回管理办法</w:t>
          </w:r>
          <w:r>
            <w:rPr>
              <w:color w:val="auto"/>
              <w:spacing w:val="-8"/>
            </w:rPr>
            <w:t>》</w:t>
          </w:r>
          <w:r>
            <w:rPr>
              <w:color w:val="auto"/>
            </w:rPr>
            <w:t>相关规定</w:t>
          </w:r>
          <w:r>
            <w:rPr>
              <w:color w:val="auto"/>
              <w:spacing w:val="-10"/>
            </w:rPr>
            <w:t>，</w:t>
          </w:r>
          <w:r>
            <w:rPr>
              <w:color w:val="auto"/>
            </w:rPr>
            <w:t>拒绝或者</w:t>
          </w:r>
          <w:r>
            <w:rPr>
              <w:color w:val="auto"/>
              <w:spacing w:val="-15"/>
            </w:rPr>
            <w:t>拖</w:t>
          </w:r>
          <w:r>
            <w:rPr>
              <w:color w:val="auto"/>
              <w:spacing w:val="-15"/>
            </w:rPr>
            <w:fldChar w:fldCharType="end"/>
          </w:r>
          <w:r>
            <w:rPr>
              <w:color w:val="auto"/>
            </w:rPr>
            <w:t>延履行食品药品监督管理部门责令依法处置不安全食品</w:t>
          </w:r>
          <w:r>
            <w:rPr>
              <w:color w:val="auto"/>
            </w:rPr>
            <w:tab/>
          </w:r>
          <w:r>
            <w:rPr>
              <w:color w:val="auto"/>
              <w:spacing w:val="-6"/>
            </w:rPr>
            <w:t>77</w:t>
          </w:r>
          <w:r>
            <w:rPr>
              <w:rFonts w:hint="eastAsia"/>
              <w:color w:val="auto"/>
              <w:spacing w:val="-6"/>
              <w:lang w:val="en-US" w:eastAsia="zh-CN"/>
            </w:rPr>
            <w:t>5</w:t>
          </w:r>
        </w:p>
        <w:p>
          <w:pPr>
            <w:pStyle w:val="5"/>
            <w:tabs>
              <w:tab w:val="left" w:leader="dot" w:pos="8595"/>
            </w:tabs>
            <w:spacing w:line="374" w:lineRule="auto"/>
            <w:ind w:right="268"/>
            <w:rPr>
              <w:rFonts w:hint="eastAsia" w:eastAsia="宋体"/>
              <w:color w:val="auto"/>
              <w:lang w:val="en-US" w:eastAsia="zh-CN"/>
            </w:rPr>
          </w:pPr>
          <w:r>
            <w:rPr>
              <w:color w:val="auto"/>
            </w:rPr>
            <w:fldChar w:fldCharType="begin"/>
          </w:r>
          <w:r>
            <w:rPr>
              <w:color w:val="auto"/>
            </w:rPr>
            <w:instrText xml:space="preserve"> HYPERLINK \l "_bookmark771"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"_bookmark771" </w:instrText>
          </w:r>
          <w:r>
            <w:rPr>
              <w:color w:val="auto"/>
            </w:rPr>
            <w:fldChar w:fldCharType="separate"/>
          </w:r>
          <w:r>
            <w:rPr>
              <w:color w:val="auto"/>
            </w:rPr>
            <w:t>百五十六</w:t>
          </w:r>
          <w:r>
            <w:rPr>
              <w:color w:val="auto"/>
              <w:spacing w:val="-10"/>
            </w:rPr>
            <w:t>、</w:t>
          </w:r>
          <w:r>
            <w:rPr>
              <w:color w:val="auto"/>
            </w:rPr>
            <w:t>食品生产经营者违</w:t>
          </w:r>
          <w:r>
            <w:rPr>
              <w:color w:val="auto"/>
              <w:spacing w:val="-10"/>
            </w:rPr>
            <w:t>反</w:t>
          </w:r>
          <w:r>
            <w:rPr>
              <w:color w:val="auto"/>
            </w:rPr>
            <w:t>《食品召回管理办法</w:t>
          </w:r>
          <w:r>
            <w:rPr>
              <w:color w:val="auto"/>
              <w:spacing w:val="-8"/>
            </w:rPr>
            <w:t>》</w:t>
          </w:r>
          <w:r>
            <w:rPr>
              <w:color w:val="auto"/>
            </w:rPr>
            <w:t>相关规定</w:t>
          </w:r>
          <w:r>
            <w:rPr>
              <w:color w:val="auto"/>
              <w:spacing w:val="-10"/>
            </w:rPr>
            <w:t>，</w:t>
          </w:r>
          <w:r>
            <w:rPr>
              <w:color w:val="auto"/>
            </w:rPr>
            <w:t>未按规定</w:t>
          </w:r>
          <w:r>
            <w:rPr>
              <w:color w:val="auto"/>
              <w:spacing w:val="-15"/>
            </w:rPr>
            <w:t>记</w:t>
          </w:r>
          <w:r>
            <w:rPr>
              <w:color w:val="auto"/>
              <w:spacing w:val="-15"/>
            </w:rPr>
            <w:fldChar w:fldCharType="end"/>
          </w:r>
          <w:r>
            <w:rPr>
              <w:color w:val="auto"/>
            </w:rPr>
            <w:t>录保存不安全食品停止生产经营、召回和处置情况</w:t>
          </w:r>
          <w:r>
            <w:rPr>
              <w:color w:val="auto"/>
            </w:rPr>
            <w:tab/>
          </w:r>
          <w:r>
            <w:rPr>
              <w:color w:val="auto"/>
              <w:spacing w:val="-6"/>
            </w:rPr>
            <w:t>77</w:t>
          </w:r>
          <w:r>
            <w:rPr>
              <w:rFonts w:hint="eastAsia"/>
              <w:color w:val="auto"/>
              <w:spacing w:val="-6"/>
              <w:lang w:val="en-US" w:eastAsia="zh-CN"/>
            </w:rPr>
            <w:t>7</w:t>
          </w:r>
        </w:p>
        <w:p>
          <w:pPr>
            <w:pStyle w:val="5"/>
            <w:tabs>
              <w:tab w:val="left" w:leader="dot" w:pos="8595"/>
            </w:tabs>
            <w:spacing w:line="308" w:lineRule="exact"/>
            <w:rPr>
              <w:color w:val="auto"/>
            </w:rPr>
          </w:pPr>
          <w:r>
            <w:rPr>
              <w:color w:val="auto"/>
            </w:rPr>
            <w:fldChar w:fldCharType="begin"/>
          </w:r>
          <w:r>
            <w:rPr>
              <w:color w:val="auto"/>
            </w:rPr>
            <w:instrText xml:space="preserve"> HYPERLINK \l "_bookmark772" </w:instrText>
          </w:r>
          <w:r>
            <w:rPr>
              <w:color w:val="auto"/>
            </w:rPr>
            <w:fldChar w:fldCharType="separate"/>
          </w:r>
          <w:r>
            <w:rPr>
              <w:color w:val="auto"/>
            </w:rPr>
            <w:t>七百五十七、食品生产经营者提供虚假证明材料</w:t>
          </w:r>
          <w:r>
            <w:rPr>
              <w:color w:val="auto"/>
            </w:rPr>
            <w:tab/>
          </w:r>
          <w:r>
            <w:rPr>
              <w:color w:val="auto"/>
            </w:rPr>
            <w:t>77</w:t>
          </w:r>
          <w:r>
            <w:rPr>
              <w:rFonts w:hint="eastAsia"/>
              <w:color w:val="auto"/>
              <w:lang w:val="en-US" w:eastAsia="zh-CN"/>
            </w:rPr>
            <w:t>9</w:t>
          </w:r>
          <w:r>
            <w:rPr>
              <w:color w:val="auto"/>
            </w:rPr>
            <w:fldChar w:fldCharType="end"/>
          </w:r>
        </w:p>
        <w:p>
          <w:pPr>
            <w:pStyle w:val="5"/>
            <w:tabs>
              <w:tab w:val="left" w:leader="dot" w:pos="8595"/>
            </w:tabs>
            <w:spacing w:before="173"/>
            <w:rPr>
              <w:rFonts w:hint="eastAsia" w:eastAsia="宋体"/>
              <w:color w:val="auto"/>
              <w:lang w:val="en-US" w:eastAsia="zh-CN"/>
            </w:rPr>
          </w:pPr>
          <w:r>
            <w:rPr>
              <w:color w:val="auto"/>
            </w:rPr>
            <w:fldChar w:fldCharType="begin"/>
          </w:r>
          <w:r>
            <w:rPr>
              <w:color w:val="auto"/>
            </w:rPr>
            <w:instrText xml:space="preserve"> HYPERLINK \l "_bookmark773" </w:instrText>
          </w:r>
          <w:r>
            <w:rPr>
              <w:color w:val="auto"/>
            </w:rPr>
            <w:fldChar w:fldCharType="separate"/>
          </w:r>
          <w:r>
            <w:rPr>
              <w:color w:val="auto"/>
            </w:rPr>
            <w:t>七百五十八、食品经营者未按规定公示相关不合格产品信息</w:t>
          </w:r>
          <w:r>
            <w:rPr>
              <w:color w:val="auto"/>
            </w:rPr>
            <w:tab/>
          </w:r>
          <w:r>
            <w:rPr>
              <w:color w:val="auto"/>
            </w:rPr>
            <w:t>7</w:t>
          </w:r>
          <w:r>
            <w:rPr>
              <w:rFonts w:hint="eastAsia"/>
              <w:color w:val="auto"/>
              <w:lang w:val="en-US" w:eastAsia="zh-CN"/>
            </w:rPr>
            <w:t>8</w:t>
          </w:r>
          <w:r>
            <w:rPr>
              <w:color w:val="auto"/>
            </w:rPr>
            <w:fldChar w:fldCharType="end"/>
          </w:r>
          <w:r>
            <w:rPr>
              <w:rFonts w:hint="eastAsia"/>
              <w:color w:val="auto"/>
              <w:lang w:val="en-US" w:eastAsia="zh-CN"/>
            </w:rPr>
            <w:t>1</w:t>
          </w:r>
        </w:p>
        <w:p>
          <w:pPr>
            <w:pStyle w:val="8"/>
            <w:tabs>
              <w:tab w:val="left" w:leader="dot" w:pos="8549"/>
            </w:tabs>
            <w:jc w:val="both"/>
            <w:rPr>
              <w:rFonts w:hint="eastAsia" w:eastAsia="宋体"/>
              <w:color w:val="auto"/>
              <w:lang w:val="en-US" w:eastAsia="zh-CN"/>
            </w:rPr>
          </w:pPr>
          <w:r>
            <w:rPr>
              <w:color w:val="auto"/>
            </w:rPr>
            <w:fldChar w:fldCharType="begin"/>
          </w:r>
          <w:r>
            <w:rPr>
              <w:color w:val="auto"/>
            </w:rPr>
            <w:instrText xml:space="preserve"> HYPERLINK \l "_bookmark774" </w:instrText>
          </w:r>
          <w:r>
            <w:rPr>
              <w:color w:val="auto"/>
            </w:rPr>
            <w:fldChar w:fldCharType="separate"/>
          </w:r>
          <w:r>
            <w:rPr>
              <w:color w:val="auto"/>
              <w:spacing w:val="-13"/>
            </w:rPr>
            <w:t>第十七</w:t>
          </w:r>
          <w:r>
            <w:rPr>
              <w:color w:val="auto"/>
            </w:rPr>
            <w:t xml:space="preserve">章  </w:t>
          </w:r>
          <w:r>
            <w:rPr>
              <w:color w:val="auto"/>
              <w:spacing w:val="40"/>
            </w:rPr>
            <w:t xml:space="preserve"> </w:t>
          </w:r>
          <w:r>
            <w:rPr>
              <w:color w:val="auto"/>
              <w:spacing w:val="-13"/>
            </w:rPr>
            <w:t>专利监</w:t>
          </w:r>
          <w:r>
            <w:rPr>
              <w:color w:val="auto"/>
            </w:rPr>
            <w:t>管</w:t>
          </w:r>
          <w:r>
            <w:rPr>
              <w:color w:val="auto"/>
            </w:rPr>
            <w:tab/>
          </w:r>
          <w:r>
            <w:rPr>
              <w:color w:val="auto"/>
              <w:spacing w:val="-3"/>
            </w:rPr>
            <w:t>7</w:t>
          </w:r>
          <w:r>
            <w:rPr>
              <w:rFonts w:hint="eastAsia" w:eastAsia="宋体"/>
              <w:color w:val="auto"/>
              <w:spacing w:val="-3"/>
              <w:lang w:val="en-US" w:eastAsia="zh-CN"/>
            </w:rPr>
            <w:t>8</w:t>
          </w:r>
          <w:r>
            <w:rPr>
              <w:color w:val="auto"/>
              <w:spacing w:val="-3"/>
            </w:rPr>
            <w:fldChar w:fldCharType="end"/>
          </w:r>
          <w:r>
            <w:rPr>
              <w:rFonts w:hint="eastAsia" w:eastAsia="宋体"/>
              <w:color w:val="auto"/>
              <w:spacing w:val="-3"/>
              <w:lang w:val="en-US" w:eastAsia="zh-CN"/>
            </w:rPr>
            <w:t>3</w:t>
          </w:r>
        </w:p>
        <w:p>
          <w:pPr>
            <w:pStyle w:val="5"/>
            <w:tabs>
              <w:tab w:val="left" w:leader="dot" w:pos="8595"/>
            </w:tabs>
            <w:spacing w:before="97" w:line="374" w:lineRule="auto"/>
            <w:ind w:right="268"/>
            <w:rPr>
              <w:rFonts w:hint="default" w:eastAsia="宋体"/>
              <w:color w:val="auto"/>
              <w:lang w:val="en-US" w:eastAsia="zh-CN"/>
            </w:rPr>
          </w:pPr>
          <w:r>
            <w:rPr>
              <w:color w:val="auto"/>
            </w:rPr>
            <w:fldChar w:fldCharType="begin"/>
          </w:r>
          <w:r>
            <w:rPr>
              <w:color w:val="auto"/>
            </w:rPr>
            <w:instrText xml:space="preserve"> HYPERLINK \l "_bookmark775"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"_bookmark775" </w:instrText>
          </w:r>
          <w:r>
            <w:rPr>
              <w:color w:val="auto"/>
            </w:rPr>
            <w:fldChar w:fldCharType="separate"/>
          </w:r>
          <w:r>
            <w:rPr>
              <w:color w:val="auto"/>
            </w:rPr>
            <w:t>百五十九</w:t>
          </w:r>
          <w:r>
            <w:rPr>
              <w:color w:val="auto"/>
              <w:spacing w:val="-20"/>
            </w:rPr>
            <w:t>、</w:t>
          </w:r>
          <w:r>
            <w:rPr>
              <w:color w:val="auto"/>
            </w:rPr>
            <w:t>展会期间被认定专利侵权行为成立的当事人</w:t>
          </w:r>
          <w:r>
            <w:rPr>
              <w:color w:val="auto"/>
              <w:spacing w:val="-17"/>
            </w:rPr>
            <w:t>，</w:t>
          </w:r>
          <w:r>
            <w:rPr>
              <w:color w:val="auto"/>
            </w:rPr>
            <w:t>拒不从展会上撤出</w:t>
          </w:r>
          <w:r>
            <w:rPr>
              <w:color w:val="auto"/>
              <w:spacing w:val="-16"/>
            </w:rPr>
            <w:t>认</w:t>
          </w:r>
          <w:r>
            <w:rPr>
              <w:color w:val="auto"/>
              <w:spacing w:val="-16"/>
            </w:rPr>
            <w:fldChar w:fldCharType="end"/>
          </w:r>
          <w:r>
            <w:rPr>
              <w:color w:val="auto"/>
            </w:rPr>
            <w:t>定侵权的展品，销毁或者封存相关宣传材料</w:t>
          </w:r>
          <w:r>
            <w:rPr>
              <w:color w:val="auto"/>
            </w:rPr>
            <w:tab/>
          </w:r>
          <w:r>
            <w:rPr>
              <w:color w:val="auto"/>
              <w:spacing w:val="-6"/>
            </w:rPr>
            <w:t>7</w:t>
          </w:r>
          <w:r>
            <w:rPr>
              <w:rFonts w:hint="eastAsia"/>
              <w:color w:val="auto"/>
              <w:spacing w:val="-6"/>
              <w:lang w:val="en-US" w:eastAsia="zh-CN"/>
            </w:rPr>
            <w:t>83</w:t>
          </w:r>
        </w:p>
        <w:p>
          <w:pPr>
            <w:pStyle w:val="5"/>
            <w:tabs>
              <w:tab w:val="left" w:leader="dot" w:pos="8595"/>
            </w:tabs>
            <w:spacing w:before="1" w:line="374" w:lineRule="auto"/>
            <w:ind w:right="268"/>
            <w:rPr>
              <w:color w:val="auto"/>
            </w:rPr>
          </w:pPr>
          <w:r>
            <w:rPr>
              <w:color w:val="auto"/>
            </w:rPr>
            <w:fldChar w:fldCharType="begin"/>
          </w:r>
          <w:r>
            <w:rPr>
              <w:color w:val="auto"/>
            </w:rPr>
            <w:instrText xml:space="preserve"> HYPERLINK \l "_bookmark776" </w:instrText>
          </w:r>
          <w:r>
            <w:rPr>
              <w:color w:val="auto"/>
            </w:rPr>
            <w:fldChar w:fldCharType="separate"/>
          </w:r>
          <w:r>
            <w:rPr>
              <w:color w:val="auto"/>
            </w:rPr>
            <w:t>七</w:t>
          </w:r>
          <w:r>
            <w:rPr>
              <w:color w:val="auto"/>
            </w:rPr>
            <w:fldChar w:fldCharType="end"/>
          </w:r>
          <w:r>
            <w:rPr>
              <w:color w:val="auto"/>
            </w:rPr>
            <w:fldChar w:fldCharType="begin"/>
          </w:r>
          <w:r>
            <w:rPr>
              <w:color w:val="auto"/>
            </w:rPr>
            <w:instrText xml:space="preserve"> HYPERLINK \l "_bookmark776" </w:instrText>
          </w:r>
          <w:r>
            <w:rPr>
              <w:color w:val="auto"/>
            </w:rPr>
            <w:fldChar w:fldCharType="separate"/>
          </w:r>
          <w:r>
            <w:rPr>
              <w:color w:val="auto"/>
            </w:rPr>
            <w:t>百六十</w:t>
          </w:r>
          <w:r>
            <w:rPr>
              <w:color w:val="auto"/>
              <w:spacing w:val="-8"/>
            </w:rPr>
            <w:t>、</w:t>
          </w:r>
          <w:r>
            <w:rPr>
              <w:color w:val="auto"/>
            </w:rPr>
            <w:t>有关当事人隐瞒</w:t>
          </w:r>
          <w:r>
            <w:rPr>
              <w:color w:val="auto"/>
              <w:spacing w:val="-8"/>
            </w:rPr>
            <w:t>、</w:t>
          </w:r>
          <w:r>
            <w:rPr>
              <w:color w:val="auto"/>
            </w:rPr>
            <w:t>伪造</w:t>
          </w:r>
          <w:r>
            <w:rPr>
              <w:color w:val="auto"/>
              <w:spacing w:val="-8"/>
            </w:rPr>
            <w:t>、</w:t>
          </w:r>
          <w:r>
            <w:rPr>
              <w:color w:val="auto"/>
            </w:rPr>
            <w:t>转移</w:t>
          </w:r>
          <w:r>
            <w:rPr>
              <w:color w:val="auto"/>
              <w:spacing w:val="-8"/>
            </w:rPr>
            <w:t>、</w:t>
          </w:r>
          <w:r>
            <w:rPr>
              <w:color w:val="auto"/>
            </w:rPr>
            <w:t>毁灭与案件有关的证据</w:t>
          </w:r>
          <w:r>
            <w:rPr>
              <w:color w:val="auto"/>
              <w:spacing w:val="-10"/>
            </w:rPr>
            <w:t>，</w:t>
          </w:r>
          <w:r>
            <w:rPr>
              <w:color w:val="auto"/>
            </w:rPr>
            <w:t>不配合专</w:t>
          </w:r>
          <w:r>
            <w:rPr>
              <w:color w:val="auto"/>
              <w:spacing w:val="-11"/>
            </w:rPr>
            <w:t>利</w:t>
          </w:r>
          <w:r>
            <w:rPr>
              <w:color w:val="auto"/>
              <w:spacing w:val="-11"/>
            </w:rPr>
            <w:fldChar w:fldCharType="end"/>
          </w:r>
          <w:r>
            <w:rPr>
              <w:color w:val="auto"/>
            </w:rPr>
            <w:t>行政部门调查取证</w:t>
          </w:r>
          <w:r>
            <w:rPr>
              <w:color w:val="auto"/>
            </w:rPr>
            <w:tab/>
          </w:r>
          <w:r>
            <w:rPr>
              <w:color w:val="auto"/>
              <w:spacing w:val="-6"/>
            </w:rPr>
            <w:t>7</w:t>
          </w:r>
          <w:r>
            <w:rPr>
              <w:rFonts w:hint="eastAsia"/>
              <w:color w:val="auto"/>
              <w:spacing w:val="-6"/>
              <w:lang w:val="en-US" w:eastAsia="zh-CN"/>
            </w:rPr>
            <w:t>8</w:t>
          </w:r>
          <w:r>
            <w:rPr>
              <w:color w:val="auto"/>
              <w:spacing w:val="-6"/>
            </w:rPr>
            <w:t>5</w:t>
          </w:r>
        </w:p>
        <w:p>
          <w:pPr>
            <w:pStyle w:val="5"/>
            <w:tabs>
              <w:tab w:val="left" w:leader="dot" w:pos="8595"/>
            </w:tabs>
            <w:spacing w:line="308" w:lineRule="exact"/>
            <w:rPr>
              <w:color w:val="auto"/>
            </w:rPr>
          </w:pPr>
          <w:r>
            <w:rPr>
              <w:color w:val="auto"/>
            </w:rPr>
            <w:fldChar w:fldCharType="begin"/>
          </w:r>
          <w:r>
            <w:rPr>
              <w:color w:val="auto"/>
            </w:rPr>
            <w:instrText xml:space="preserve"> HYPERLINK \l "_bookmark777" </w:instrText>
          </w:r>
          <w:r>
            <w:rPr>
              <w:color w:val="auto"/>
            </w:rPr>
            <w:fldChar w:fldCharType="separate"/>
          </w:r>
          <w:r>
            <w:rPr>
              <w:color w:val="auto"/>
            </w:rPr>
            <w:t>七百六十一、专利代理机构违规从业</w:t>
          </w:r>
          <w:r>
            <w:rPr>
              <w:color w:val="auto"/>
            </w:rPr>
            <w:tab/>
          </w:r>
          <w:r>
            <w:rPr>
              <w:color w:val="auto"/>
            </w:rPr>
            <w:t>7</w:t>
          </w:r>
          <w:r>
            <w:rPr>
              <w:rFonts w:hint="eastAsia"/>
              <w:color w:val="auto"/>
              <w:lang w:val="en-US" w:eastAsia="zh-CN"/>
            </w:rPr>
            <w:t>8</w:t>
          </w:r>
          <w:r>
            <w:rPr>
              <w:color w:val="auto"/>
            </w:rPr>
            <w:t>6</w:t>
          </w:r>
          <w:r>
            <w:rPr>
              <w:color w:val="auto"/>
            </w:rPr>
            <w:fldChar w:fldCharType="end"/>
          </w:r>
        </w:p>
        <w:p>
          <w:pPr>
            <w:pStyle w:val="5"/>
            <w:tabs>
              <w:tab w:val="left" w:leader="dot" w:pos="8595"/>
            </w:tabs>
            <w:spacing w:before="173"/>
            <w:rPr>
              <w:rFonts w:hint="eastAsia" w:eastAsia="宋体"/>
              <w:color w:val="auto"/>
              <w:lang w:val="en-US" w:eastAsia="zh-CN"/>
            </w:rPr>
          </w:pPr>
          <w:r>
            <w:rPr>
              <w:color w:val="auto"/>
            </w:rPr>
            <w:fldChar w:fldCharType="begin"/>
          </w:r>
          <w:r>
            <w:rPr>
              <w:color w:val="auto"/>
            </w:rPr>
            <w:instrText xml:space="preserve"> HYPERLINK \l "_bookmark778" </w:instrText>
          </w:r>
          <w:r>
            <w:rPr>
              <w:color w:val="auto"/>
            </w:rPr>
            <w:fldChar w:fldCharType="separate"/>
          </w:r>
          <w:r>
            <w:rPr>
              <w:color w:val="auto"/>
            </w:rPr>
            <w:t>七百六十二、专利代理师违规从业</w:t>
          </w:r>
          <w:r>
            <w:rPr>
              <w:color w:val="auto"/>
            </w:rPr>
            <w:tab/>
          </w:r>
          <w:r>
            <w:rPr>
              <w:color w:val="auto"/>
            </w:rPr>
            <w:t>7</w:t>
          </w:r>
          <w:r>
            <w:rPr>
              <w:rFonts w:hint="eastAsia"/>
              <w:color w:val="auto"/>
              <w:lang w:val="en-US" w:eastAsia="zh-CN"/>
            </w:rPr>
            <w:t>8</w:t>
          </w:r>
          <w:r>
            <w:rPr>
              <w:color w:val="auto"/>
            </w:rPr>
            <w:fldChar w:fldCharType="end"/>
          </w:r>
          <w:r>
            <w:rPr>
              <w:rFonts w:hint="eastAsia"/>
              <w:color w:val="auto"/>
              <w:lang w:val="en-US" w:eastAsia="zh-CN"/>
            </w:rPr>
            <w:t>9</w:t>
          </w:r>
        </w:p>
        <w:p>
          <w:pPr>
            <w:pStyle w:val="5"/>
            <w:tabs>
              <w:tab w:val="left" w:leader="dot" w:pos="8595"/>
            </w:tabs>
            <w:spacing w:before="172"/>
            <w:rPr>
              <w:rFonts w:hint="eastAsia" w:eastAsia="宋体"/>
              <w:color w:val="auto"/>
              <w:lang w:val="en-US" w:eastAsia="zh-CN"/>
            </w:rPr>
          </w:pPr>
          <w:r>
            <w:rPr>
              <w:color w:val="auto"/>
            </w:rPr>
            <w:fldChar w:fldCharType="begin"/>
          </w:r>
          <w:r>
            <w:rPr>
              <w:color w:val="auto"/>
            </w:rPr>
            <w:instrText xml:space="preserve"> HYPERLINK \l "_bookmark779" </w:instrText>
          </w:r>
          <w:r>
            <w:rPr>
              <w:color w:val="auto"/>
            </w:rPr>
            <w:fldChar w:fldCharType="separate"/>
          </w:r>
          <w:r>
            <w:rPr>
              <w:color w:val="auto"/>
            </w:rPr>
            <w:t>七百六十三、擅自开展专利代理业务</w:t>
          </w:r>
          <w:r>
            <w:rPr>
              <w:color w:val="auto"/>
            </w:rPr>
            <w:tab/>
          </w:r>
          <w:r>
            <w:rPr>
              <w:color w:val="auto"/>
            </w:rPr>
            <w:t>7</w:t>
          </w:r>
          <w:r>
            <w:rPr>
              <w:rFonts w:hint="eastAsia"/>
              <w:color w:val="auto"/>
              <w:lang w:val="en-US" w:eastAsia="zh-CN"/>
            </w:rPr>
            <w:t>9</w:t>
          </w:r>
          <w:r>
            <w:rPr>
              <w:color w:val="auto"/>
            </w:rPr>
            <w:fldChar w:fldCharType="end"/>
          </w:r>
          <w:r>
            <w:rPr>
              <w:rFonts w:hint="eastAsia"/>
              <w:color w:val="auto"/>
              <w:lang w:val="en-US" w:eastAsia="zh-CN"/>
            </w:rPr>
            <w:t>1</w:t>
          </w:r>
        </w:p>
        <w:p>
          <w:pPr>
            <w:pStyle w:val="5"/>
            <w:tabs>
              <w:tab w:val="left" w:leader="dot" w:pos="8595"/>
            </w:tabs>
            <w:spacing w:before="173"/>
            <w:rPr>
              <w:rFonts w:hint="eastAsia" w:eastAsia="宋体"/>
              <w:color w:val="auto"/>
              <w:lang w:val="en-US" w:eastAsia="zh-CN"/>
            </w:rPr>
          </w:pPr>
          <w:r>
            <w:rPr>
              <w:color w:val="auto"/>
            </w:rPr>
            <w:fldChar w:fldCharType="begin"/>
          </w:r>
          <w:r>
            <w:rPr>
              <w:color w:val="auto"/>
            </w:rPr>
            <w:instrText xml:space="preserve"> HYPERLINK \l "_bookmark780" </w:instrText>
          </w:r>
          <w:r>
            <w:rPr>
              <w:color w:val="auto"/>
            </w:rPr>
            <w:fldChar w:fldCharType="separate"/>
          </w:r>
          <w:r>
            <w:rPr>
              <w:color w:val="auto"/>
            </w:rPr>
            <w:t>七百六十四、假冒专利</w:t>
          </w:r>
          <w:r>
            <w:rPr>
              <w:color w:val="auto"/>
            </w:rPr>
            <w:tab/>
          </w:r>
          <w:r>
            <w:rPr>
              <w:color w:val="auto"/>
            </w:rPr>
            <w:t>7</w:t>
          </w:r>
          <w:r>
            <w:rPr>
              <w:rFonts w:hint="eastAsia"/>
              <w:color w:val="auto"/>
              <w:lang w:val="en-US" w:eastAsia="zh-CN"/>
            </w:rPr>
            <w:t>9</w:t>
          </w:r>
          <w:r>
            <w:rPr>
              <w:color w:val="auto"/>
            </w:rPr>
            <w:fldChar w:fldCharType="end"/>
          </w:r>
          <w:r>
            <w:rPr>
              <w:rFonts w:hint="eastAsia"/>
              <w:color w:val="auto"/>
              <w:lang w:val="en-US" w:eastAsia="zh-CN"/>
            </w:rPr>
            <w:t>3</w:t>
          </w:r>
        </w:p>
        <w:p>
          <w:pPr>
            <w:pStyle w:val="5"/>
            <w:tabs>
              <w:tab w:val="left" w:leader="dot" w:pos="8595"/>
            </w:tabs>
            <w:spacing w:before="172"/>
            <w:rPr>
              <w:color w:val="auto"/>
            </w:rPr>
          </w:pPr>
          <w:r>
            <w:rPr>
              <w:color w:val="auto"/>
            </w:rPr>
            <w:fldChar w:fldCharType="begin"/>
          </w:r>
          <w:r>
            <w:rPr>
              <w:color w:val="auto"/>
            </w:rPr>
            <w:instrText xml:space="preserve"> HYPERLINK \l "_bookmark781" </w:instrText>
          </w:r>
          <w:r>
            <w:rPr>
              <w:color w:val="auto"/>
            </w:rPr>
            <w:fldChar w:fldCharType="separate"/>
          </w:r>
          <w:r>
            <w:rPr>
              <w:color w:val="auto"/>
            </w:rPr>
            <w:t>七百六十五、为假冒专利行为提供便利条件</w:t>
          </w:r>
          <w:r>
            <w:rPr>
              <w:color w:val="auto"/>
            </w:rPr>
            <w:tab/>
          </w:r>
          <w:r>
            <w:rPr>
              <w:color w:val="auto"/>
            </w:rPr>
            <w:t>7</w:t>
          </w:r>
          <w:r>
            <w:rPr>
              <w:rFonts w:hint="eastAsia"/>
              <w:color w:val="auto"/>
              <w:lang w:val="en-US" w:eastAsia="zh-CN"/>
            </w:rPr>
            <w:t>9</w:t>
          </w:r>
          <w:r>
            <w:rPr>
              <w:color w:val="auto"/>
            </w:rPr>
            <w:fldChar w:fldCharType="end"/>
          </w:r>
          <w:r>
            <w:rPr>
              <w:rFonts w:hint="eastAsia"/>
              <w:color w:val="auto"/>
              <w:lang w:val="en-US" w:eastAsia="zh-CN"/>
            </w:rPr>
            <w:t>7</w:t>
          </w:r>
        </w:p>
      </w:sdtContent>
    </w:sdt>
    <w:p>
      <w:pPr>
        <w:pStyle w:val="4"/>
        <w:spacing w:before="192"/>
        <w:ind w:firstLine="482" w:firstLineChars="200"/>
        <w:jc w:val="both"/>
        <w:rPr>
          <w:rFonts w:hint="default" w:eastAsia="宋体"/>
          <w:b/>
          <w:bCs/>
          <w:color w:val="auto"/>
          <w:lang w:val="en-US" w:eastAsia="zh-CN"/>
        </w:rPr>
      </w:pPr>
      <w:r>
        <w:rPr>
          <w:rFonts w:hint="eastAsia"/>
          <w:b/>
          <w:bCs/>
          <w:color w:val="auto"/>
          <w:lang w:val="en-US" w:eastAsia="zh-CN"/>
        </w:rPr>
        <w:t>第十八章  补充内容</w:t>
      </w:r>
    </w:p>
    <w:p>
      <w:pPr>
        <w:pStyle w:val="4"/>
        <w:spacing w:before="192"/>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七百六十六、取得工业产品许可证的企业未在规定期限内向省工业产品生产许可证主管部门提交报告</w:t>
      </w:r>
      <w:r>
        <w:rPr>
          <w:rFonts w:hint="eastAsia" w:ascii="宋体" w:hAnsi="宋体" w:eastAsia="宋体" w:cs="宋体"/>
          <w:b w:val="0"/>
          <w:bCs w:val="0"/>
          <w:color w:val="auto"/>
          <w:sz w:val="24"/>
          <w:szCs w:val="24"/>
          <w:lang w:val="en-US" w:eastAsia="zh-CN"/>
        </w:rPr>
        <w:t>......................................................7</w:t>
      </w:r>
      <w:r>
        <w:rPr>
          <w:rFonts w:hint="eastAsia" w:cs="宋体"/>
          <w:b w:val="0"/>
          <w:bCs w:val="0"/>
          <w:color w:val="auto"/>
          <w:sz w:val="24"/>
          <w:szCs w:val="24"/>
          <w:lang w:val="en-US" w:eastAsia="zh-CN"/>
        </w:rPr>
        <w:t>99</w:t>
      </w:r>
    </w:p>
    <w:p>
      <w:pPr>
        <w:numPr>
          <w:ilvl w:val="0"/>
          <w:numId w:val="0"/>
        </w:numPr>
        <w:ind w:right="0" w:rightChars="0"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七百六十七、食盐零售单位销售散装食盐，或者餐饮服务提供者采购、贮存、使用散装食盐</w:t>
      </w:r>
      <w:r>
        <w:rPr>
          <w:rFonts w:hint="eastAsia" w:ascii="宋体" w:hAnsi="宋体" w:eastAsia="宋体" w:cs="宋体"/>
          <w:b w:val="0"/>
          <w:bCs w:val="0"/>
          <w:color w:val="auto"/>
          <w:sz w:val="24"/>
          <w:szCs w:val="24"/>
          <w:lang w:val="en-US" w:eastAsia="zh-CN"/>
        </w:rPr>
        <w:t>...............................................................</w:t>
      </w:r>
      <w:r>
        <w:rPr>
          <w:rFonts w:hint="eastAsia" w:cs="宋体"/>
          <w:b w:val="0"/>
          <w:bCs w:val="0"/>
          <w:color w:val="auto"/>
          <w:sz w:val="24"/>
          <w:szCs w:val="24"/>
          <w:lang w:val="en-US" w:eastAsia="zh-CN"/>
        </w:rPr>
        <w:t>800</w:t>
      </w:r>
    </w:p>
    <w:p>
      <w:pPr>
        <w:widowControl w:val="0"/>
        <w:numPr>
          <w:ilvl w:val="0"/>
          <w:numId w:val="0"/>
        </w:numPr>
        <w:autoSpaceDE w:val="0"/>
        <w:autoSpaceDN w:val="0"/>
        <w:spacing w:before="0" w:after="0" w:line="240" w:lineRule="auto"/>
        <w:ind w:right="0" w:rightChars="0" w:firstLine="480" w:firstLineChars="200"/>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七百六十八、未加碘食盐的标签未在显著位置标注“未加碘”字样.........</w:t>
      </w:r>
      <w:r>
        <w:rPr>
          <w:rFonts w:hint="eastAsia" w:cs="宋体"/>
          <w:b w:val="0"/>
          <w:bCs w:val="0"/>
          <w:color w:val="auto"/>
          <w:sz w:val="24"/>
          <w:szCs w:val="24"/>
          <w:lang w:val="en-US" w:eastAsia="zh-CN"/>
        </w:rPr>
        <w:t>801</w:t>
      </w:r>
    </w:p>
    <w:p>
      <w:pPr>
        <w:keepNext w:val="0"/>
        <w:keepLines w:val="0"/>
        <w:widowControl/>
        <w:suppressLineNumbers w:val="0"/>
        <w:ind w:firstLine="480" w:firstLineChars="200"/>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六十九、申办者开展药物临床试验前未按规定在药物临床试验登记与信息公示平台进行登记；未按规定提交研发期间安全性更新报告；药物临床试验结束后未登记临床试验结果等信息......................................................................</w:t>
      </w:r>
      <w:r>
        <w:rPr>
          <w:rFonts w:hint="eastAsia" w:cs="宋体"/>
          <w:b w:val="0"/>
          <w:bCs w:val="0"/>
          <w:color w:val="auto"/>
          <w:sz w:val="24"/>
          <w:szCs w:val="24"/>
          <w:lang w:val="en-US" w:eastAsia="zh-CN"/>
        </w:rPr>
        <w:t>802</w:t>
      </w:r>
    </w:p>
    <w:p>
      <w:pPr>
        <w:pStyle w:val="4"/>
        <w:numPr>
          <w:ilvl w:val="0"/>
          <w:numId w:val="0"/>
        </w:numPr>
        <w:spacing w:before="192"/>
        <w:ind w:right="0" w:rightChars="0" w:firstLine="480" w:firstLineChars="200"/>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未依照《医疗器械监督管理条例》规定备案；未依法办理第一类医疗器械变更备案或者第二类、第三类医疗器械注册登记事项变更；未取得第二类医疗器械经营备案凭证从事网络第二类医疗器械销售....................................</w:t>
      </w:r>
      <w:r>
        <w:rPr>
          <w:rFonts w:hint="eastAsia" w:cs="宋体"/>
          <w:b w:val="0"/>
          <w:bCs w:val="0"/>
          <w:color w:val="auto"/>
          <w:sz w:val="24"/>
          <w:szCs w:val="24"/>
          <w:lang w:val="en-US" w:eastAsia="zh-CN"/>
        </w:rPr>
        <w:t>803</w:t>
      </w:r>
    </w:p>
    <w:p>
      <w:pPr>
        <w:pStyle w:val="4"/>
        <w:numPr>
          <w:ilvl w:val="0"/>
          <w:numId w:val="0"/>
        </w:numPr>
        <w:spacing w:before="192"/>
        <w:ind w:right="0" w:rightChars="0" w:firstLine="480" w:firstLineChars="200"/>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七百七十一、医疗器械网络交易服务第三方平台提供者未按本办法规定备案..</w:t>
      </w:r>
      <w:r>
        <w:rPr>
          <w:rFonts w:hint="eastAsia" w:cs="宋体"/>
          <w:b w:val="0"/>
          <w:bCs w:val="0"/>
          <w:color w:val="auto"/>
          <w:sz w:val="24"/>
          <w:szCs w:val="24"/>
          <w:lang w:val="en-US" w:eastAsia="zh-CN"/>
        </w:rPr>
        <w:t>806</w:t>
      </w:r>
    </w:p>
    <w:p>
      <w:pPr>
        <w:pStyle w:val="4"/>
        <w:spacing w:before="192"/>
        <w:ind w:left="0" w:leftChars="0"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七百七十二、</w:t>
      </w:r>
      <w:r>
        <w:rPr>
          <w:rFonts w:hint="eastAsia" w:ascii="宋体" w:hAnsi="宋体" w:eastAsia="宋体" w:cs="宋体"/>
          <w:b w:val="0"/>
          <w:bCs w:val="0"/>
          <w:color w:val="auto"/>
          <w:sz w:val="24"/>
          <w:szCs w:val="24"/>
          <w:lang w:val="en-US" w:eastAsia="zh-CN"/>
        </w:rPr>
        <w:t>化妆品标识未标注化妆品名称或者标注名称不符合规定要求....</w:t>
      </w:r>
      <w:r>
        <w:rPr>
          <w:rFonts w:hint="eastAsia" w:cs="宋体"/>
          <w:b w:val="0"/>
          <w:bCs w:val="0"/>
          <w:color w:val="auto"/>
          <w:sz w:val="24"/>
          <w:szCs w:val="24"/>
          <w:lang w:val="en-US" w:eastAsia="zh-CN"/>
        </w:rPr>
        <w:t>806</w:t>
      </w:r>
    </w:p>
    <w:p>
      <w:pPr>
        <w:pStyle w:val="4"/>
        <w:numPr>
          <w:ilvl w:val="0"/>
          <w:numId w:val="0"/>
        </w:numPr>
        <w:spacing w:before="192"/>
        <w:ind w:right="0" w:rightChars="0"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七百七十三、化妆品标识未依法标注化妆品实际生产加工地或者生产者名称、地址</w:t>
      </w:r>
    </w:p>
    <w:p>
      <w:pPr>
        <w:spacing w:after="0"/>
        <w:ind w:firstLine="480" w:firstLineChars="200"/>
        <w:rPr>
          <w:rFonts w:hint="eastAsia" w:ascii="宋体" w:hAnsi="宋体" w:eastAsia="宋体" w:cs="宋体"/>
          <w:b w:val="0"/>
          <w:bCs w:val="0"/>
          <w:color w:val="auto"/>
          <w:sz w:val="24"/>
          <w:szCs w:val="24"/>
        </w:rPr>
      </w:pPr>
    </w:p>
    <w:p>
      <w:pPr>
        <w:spacing w:after="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w:t>
      </w:r>
      <w:r>
        <w:rPr>
          <w:rFonts w:hint="eastAsia" w:cs="宋体"/>
          <w:b w:val="0"/>
          <w:bCs w:val="0"/>
          <w:color w:val="auto"/>
          <w:sz w:val="24"/>
          <w:szCs w:val="24"/>
          <w:lang w:val="en-US" w:eastAsia="zh-CN"/>
        </w:rPr>
        <w:t>807</w:t>
      </w:r>
    </w:p>
    <w:p>
      <w:pPr>
        <w:spacing w:after="0"/>
        <w:rPr>
          <w:rFonts w:hint="eastAsia" w:ascii="宋体" w:hAnsi="宋体" w:eastAsia="宋体" w:cs="宋体"/>
          <w:b w:val="0"/>
          <w:bCs w:val="0"/>
          <w:color w:val="auto"/>
          <w:sz w:val="24"/>
          <w:szCs w:val="24"/>
          <w:lang w:val="en-US" w:eastAsia="zh-CN"/>
        </w:rPr>
      </w:pPr>
    </w:p>
    <w:p>
      <w:pPr>
        <w:spacing w:after="0"/>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七百七十四、化妆品标识未按规定标注净含量............................</w:t>
      </w:r>
      <w:r>
        <w:rPr>
          <w:rFonts w:hint="eastAsia" w:cs="宋体"/>
          <w:b w:val="0"/>
          <w:bCs w:val="0"/>
          <w:color w:val="auto"/>
          <w:sz w:val="24"/>
          <w:szCs w:val="24"/>
          <w:lang w:val="en-US" w:eastAsia="zh-CN"/>
        </w:rPr>
        <w:t>808</w:t>
      </w:r>
    </w:p>
    <w:p>
      <w:pPr>
        <w:spacing w:after="0"/>
        <w:ind w:firstLine="480" w:firstLineChars="200"/>
        <w:rPr>
          <w:rFonts w:hint="eastAsia" w:ascii="宋体" w:hAnsi="宋体" w:eastAsia="宋体" w:cs="宋体"/>
          <w:b w:val="0"/>
          <w:bCs w:val="0"/>
          <w:color w:val="auto"/>
          <w:sz w:val="24"/>
          <w:szCs w:val="24"/>
          <w:lang w:val="en-US" w:eastAsia="zh-CN"/>
        </w:rPr>
      </w:pPr>
    </w:p>
    <w:p>
      <w:pPr>
        <w:pStyle w:val="4"/>
        <w:numPr>
          <w:ilvl w:val="0"/>
          <w:numId w:val="0"/>
        </w:numPr>
        <w:spacing w:before="192"/>
        <w:ind w:right="0" w:rightChars="0"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七百七十五、化妆品标识未标注全成分表，标注方法和要求不符合相应标准规定</w:t>
      </w:r>
    </w:p>
    <w:p>
      <w:pPr>
        <w:spacing w:after="0"/>
        <w:ind w:firstLine="480" w:firstLineChars="200"/>
        <w:rPr>
          <w:rFonts w:hint="eastAsia" w:ascii="宋体" w:hAnsi="宋体" w:eastAsia="宋体" w:cs="宋体"/>
          <w:b w:val="0"/>
          <w:bCs w:val="0"/>
          <w:color w:val="auto"/>
          <w:sz w:val="24"/>
          <w:szCs w:val="24"/>
          <w:lang w:val="en-US" w:eastAsia="zh-CN"/>
        </w:rPr>
      </w:pPr>
    </w:p>
    <w:p>
      <w:pPr>
        <w:spacing w:after="0"/>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eastAsia" w:cs="宋体"/>
          <w:b w:val="0"/>
          <w:bCs w:val="0"/>
          <w:color w:val="auto"/>
          <w:sz w:val="24"/>
          <w:szCs w:val="24"/>
          <w:lang w:val="en-US" w:eastAsia="zh-CN"/>
        </w:rPr>
        <w:t>808</w:t>
      </w:r>
    </w:p>
    <w:p>
      <w:pPr>
        <w:spacing w:after="0"/>
        <w:ind w:firstLine="480" w:firstLineChars="200"/>
        <w:rPr>
          <w:rFonts w:hint="eastAsia" w:ascii="宋体" w:hAnsi="宋体" w:eastAsia="宋体" w:cs="宋体"/>
          <w:b w:val="0"/>
          <w:bCs w:val="0"/>
          <w:color w:val="auto"/>
          <w:sz w:val="24"/>
          <w:szCs w:val="24"/>
          <w:lang w:val="en-US" w:eastAsia="zh-CN"/>
        </w:rPr>
      </w:pPr>
    </w:p>
    <w:p>
      <w:pPr>
        <w:spacing w:after="0"/>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七百七十六、化妆品标识未标注产品标准号或者未标注质量检验合格证明....</w:t>
      </w:r>
      <w:r>
        <w:rPr>
          <w:rFonts w:hint="eastAsia" w:cs="宋体"/>
          <w:b w:val="0"/>
          <w:bCs w:val="0"/>
          <w:color w:val="auto"/>
          <w:sz w:val="24"/>
          <w:szCs w:val="24"/>
          <w:lang w:val="en-US" w:eastAsia="zh-CN"/>
        </w:rPr>
        <w:t>809</w:t>
      </w:r>
    </w:p>
    <w:p>
      <w:pPr>
        <w:spacing w:after="0"/>
        <w:ind w:firstLine="480" w:firstLineChars="200"/>
        <w:rPr>
          <w:rFonts w:hint="eastAsia" w:ascii="宋体" w:hAnsi="宋体" w:eastAsia="宋体" w:cs="宋体"/>
          <w:b w:val="0"/>
          <w:bCs w:val="0"/>
          <w:color w:val="auto"/>
          <w:sz w:val="24"/>
          <w:szCs w:val="24"/>
          <w:lang w:val="en-US" w:eastAsia="zh-CN"/>
        </w:rPr>
      </w:pPr>
    </w:p>
    <w:p>
      <w:pPr>
        <w:spacing w:after="0"/>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七百七十七、化妆品标识违法标注夸大功能、明示或暗示具有医疗作用等内容，给消费者造成误解或混淆的产品名称，以及法律法规国家标准禁止标注内容........</w:t>
      </w:r>
      <w:r>
        <w:rPr>
          <w:rFonts w:hint="eastAsia" w:cs="宋体"/>
          <w:b w:val="0"/>
          <w:bCs w:val="0"/>
          <w:color w:val="auto"/>
          <w:sz w:val="24"/>
          <w:szCs w:val="24"/>
          <w:lang w:val="en-US" w:eastAsia="zh-CN"/>
        </w:rPr>
        <w:t>810</w:t>
      </w:r>
    </w:p>
    <w:p>
      <w:pPr>
        <w:spacing w:after="0"/>
        <w:ind w:firstLine="480" w:firstLineChars="200"/>
        <w:rPr>
          <w:rFonts w:hint="eastAsia" w:ascii="宋体" w:hAnsi="宋体" w:eastAsia="宋体" w:cs="宋体"/>
          <w:b w:val="0"/>
          <w:bCs w:val="0"/>
          <w:color w:val="auto"/>
          <w:sz w:val="24"/>
          <w:szCs w:val="24"/>
          <w:lang w:val="en-US" w:eastAsia="zh-CN"/>
        </w:rPr>
      </w:pPr>
    </w:p>
    <w:p>
      <w:pPr>
        <w:spacing w:after="0"/>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七百七十八、化妆品标识与化妆品包装物分离；化妆品标识直接标注在最小销售单元上，说明书未随附于产品最小销售单元内..................................</w:t>
      </w:r>
      <w:r>
        <w:rPr>
          <w:rFonts w:hint="eastAsia" w:cs="宋体"/>
          <w:b w:val="0"/>
          <w:bCs w:val="0"/>
          <w:color w:val="auto"/>
          <w:sz w:val="24"/>
          <w:szCs w:val="24"/>
          <w:lang w:val="en-US" w:eastAsia="zh-CN"/>
        </w:rPr>
        <w:t>811</w:t>
      </w:r>
    </w:p>
    <w:p>
      <w:pPr>
        <w:pStyle w:val="4"/>
        <w:numPr>
          <w:ilvl w:val="0"/>
          <w:numId w:val="0"/>
        </w:numPr>
        <w:spacing w:before="192"/>
        <w:ind w:right="0" w:rightChars="0" w:firstLine="480" w:firstLineChars="200"/>
        <w:jc w:val="left"/>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七百七十九、化妆品标识内容未使用规范中文；化妆品标识中强制标注内容及字体高度不符合法律规定......................................................</w:t>
      </w:r>
      <w:r>
        <w:rPr>
          <w:rFonts w:hint="eastAsia" w:cs="宋体"/>
          <w:b w:val="0"/>
          <w:bCs w:val="0"/>
          <w:color w:val="auto"/>
          <w:sz w:val="24"/>
          <w:szCs w:val="24"/>
          <w:lang w:val="en-US" w:eastAsia="zh-CN"/>
        </w:rPr>
        <w:t>811</w:t>
      </w:r>
    </w:p>
    <w:p>
      <w:pPr>
        <w:spacing w:line="580" w:lineRule="exact"/>
        <w:ind w:firstLine="480" w:firstLineChars="200"/>
        <w:jc w:val="left"/>
        <w:rPr>
          <w:rFonts w:hint="default" w:ascii="黑体" w:hAnsi="黑体" w:eastAsia="黑体" w:cs="黑体"/>
          <w:color w:val="auto"/>
          <w:sz w:val="24"/>
          <w:szCs w:val="24"/>
          <w:lang w:val="en-US" w:eastAsia="zh-CN"/>
        </w:rPr>
      </w:pPr>
      <w:r>
        <w:rPr>
          <w:rFonts w:hint="eastAsia" w:ascii="黑体" w:hAnsi="黑体" w:eastAsia="黑体" w:cs="黑体"/>
          <w:color w:val="auto"/>
          <w:sz w:val="24"/>
          <w:szCs w:val="24"/>
          <w:lang w:eastAsia="zh-CN"/>
        </w:rPr>
        <w:t>十九章</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药品行政处罚裁量基准</w:t>
      </w:r>
      <w:r>
        <w:rPr>
          <w:rFonts w:hint="eastAsia" w:ascii="黑体" w:hAnsi="黑体" w:eastAsia="黑体" w:cs="黑体"/>
          <w:color w:val="auto"/>
          <w:sz w:val="24"/>
          <w:szCs w:val="24"/>
          <w:lang w:val="en-US" w:eastAsia="zh-CN"/>
        </w:rPr>
        <w:t>........................................813</w:t>
      </w:r>
    </w:p>
    <w:p>
      <w:pPr>
        <w:spacing w:line="580" w:lineRule="exact"/>
        <w:ind w:firstLine="560" w:firstLineChars="200"/>
        <w:rPr>
          <w:rFonts w:hint="default" w:ascii="仿宋_GB2312" w:hAnsi="Arial" w:cs="Arial"/>
          <w:color w:val="auto"/>
          <w:sz w:val="24"/>
          <w:lang w:val="en-US" w:eastAsia="zh-CN"/>
        </w:rPr>
      </w:pPr>
      <w:r>
        <w:rPr>
          <w:rFonts w:hint="eastAsia" w:ascii="宋体" w:hAnsi="宋体" w:eastAsia="宋体" w:cs="宋体"/>
          <w:color w:val="auto"/>
          <w:sz w:val="28"/>
          <w:szCs w:val="28"/>
          <w:lang w:val="en-US" w:eastAsia="zh-CN"/>
        </w:rPr>
        <w:t>1.</w:t>
      </w:r>
      <w:r>
        <w:rPr>
          <w:rFonts w:hint="eastAsia" w:ascii="仿宋_GB2312" w:hAnsi="Arial" w:cs="Arial"/>
          <w:color w:val="auto"/>
          <w:sz w:val="24"/>
        </w:rPr>
        <w:t>未取得药品生产许可证、药品经营许可证或者医疗机构制剂许可证生产、销售药品。</w:t>
      </w:r>
      <w:r>
        <w:rPr>
          <w:rFonts w:hint="eastAsia" w:ascii="仿宋_GB2312" w:hAnsi="Arial" w:cs="Arial"/>
          <w:color w:val="auto"/>
          <w:sz w:val="24"/>
          <w:lang w:val="en-US" w:eastAsia="zh-CN"/>
        </w:rPr>
        <w:t>....................................................................813</w:t>
      </w:r>
    </w:p>
    <w:p>
      <w:pPr>
        <w:spacing w:line="580" w:lineRule="exact"/>
        <w:ind w:firstLine="480" w:firstLineChars="200"/>
        <w:rPr>
          <w:rFonts w:hint="default" w:ascii="仿宋_GB2312"/>
          <w:color w:val="auto"/>
          <w:sz w:val="24"/>
          <w:lang w:val="en-US" w:eastAsia="zh-CN"/>
        </w:rPr>
      </w:pPr>
      <w:r>
        <w:rPr>
          <w:rFonts w:hint="eastAsia" w:ascii="仿宋_GB2312" w:hAnsi="Arial" w:cs="Arial"/>
          <w:color w:val="auto"/>
          <w:sz w:val="24"/>
          <w:lang w:val="en-US" w:eastAsia="zh-CN"/>
        </w:rPr>
        <w:t>2.</w:t>
      </w:r>
      <w:r>
        <w:rPr>
          <w:rFonts w:hint="eastAsia" w:ascii="仿宋_GB2312"/>
          <w:color w:val="auto"/>
          <w:sz w:val="24"/>
        </w:rPr>
        <w:t>生产、销售、使用假药。</w:t>
      </w:r>
      <w:r>
        <w:rPr>
          <w:rFonts w:hint="eastAsia" w:ascii="仿宋_GB2312"/>
          <w:color w:val="auto"/>
          <w:sz w:val="24"/>
          <w:lang w:val="en-US" w:eastAsia="zh-CN"/>
        </w:rPr>
        <w:t>............................................815</w:t>
      </w:r>
    </w:p>
    <w:p>
      <w:pPr>
        <w:spacing w:line="58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3.</w:t>
      </w:r>
      <w:r>
        <w:rPr>
          <w:rFonts w:hint="eastAsia" w:ascii="仿宋_GB2312"/>
          <w:color w:val="auto"/>
          <w:sz w:val="24"/>
        </w:rPr>
        <w:t>生产、销售、使用劣药</w:t>
      </w:r>
      <w:r>
        <w:rPr>
          <w:rFonts w:hint="eastAsia" w:ascii="仿宋_GB2312"/>
          <w:color w:val="auto"/>
          <w:sz w:val="24"/>
          <w:lang w:val="en-US" w:eastAsia="zh-CN"/>
        </w:rPr>
        <w:t>..............................................817</w:t>
      </w:r>
    </w:p>
    <w:p>
      <w:pPr>
        <w:spacing w:line="58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4.</w:t>
      </w:r>
      <w:r>
        <w:rPr>
          <w:rFonts w:hint="eastAsia" w:ascii="仿宋_GB2312"/>
          <w:color w:val="auto"/>
          <w:sz w:val="24"/>
        </w:rPr>
        <w:t>生产、销售的中药饮片不符合药品标准，尚不影响安全性、有效性</w:t>
      </w:r>
      <w:r>
        <w:rPr>
          <w:rFonts w:hint="eastAsia" w:ascii="仿宋_GB2312"/>
          <w:color w:val="auto"/>
          <w:sz w:val="24"/>
          <w:lang w:val="en-US" w:eastAsia="zh-CN"/>
        </w:rPr>
        <w:t>........819</w:t>
      </w:r>
    </w:p>
    <w:p>
      <w:pPr>
        <w:spacing w:line="58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5.</w:t>
      </w:r>
      <w:r>
        <w:rPr>
          <w:rFonts w:hint="eastAsia" w:ascii="仿宋_GB2312"/>
          <w:color w:val="auto"/>
          <w:sz w:val="24"/>
        </w:rPr>
        <w:t>为假药、劣药等药品提供储存、运输等便利条件</w:t>
      </w:r>
      <w:r>
        <w:rPr>
          <w:rFonts w:hint="eastAsia" w:ascii="仿宋_GB2312"/>
          <w:color w:val="auto"/>
          <w:sz w:val="24"/>
          <w:lang w:val="en-US" w:eastAsia="zh-CN"/>
        </w:rPr>
        <w:t>........................820</w:t>
      </w:r>
    </w:p>
    <w:p>
      <w:pPr>
        <w:spacing w:line="58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6.</w:t>
      </w:r>
      <w:r>
        <w:rPr>
          <w:rFonts w:hint="eastAsia" w:ascii="仿宋_GB2312"/>
          <w:color w:val="auto"/>
          <w:sz w:val="24"/>
        </w:rPr>
        <w:t>伪造、变造、出租、出借、非法买卖许可证或者药品批准证明文件</w:t>
      </w:r>
      <w:r>
        <w:rPr>
          <w:rFonts w:hint="eastAsia" w:ascii="仿宋_GB2312"/>
          <w:color w:val="auto"/>
          <w:sz w:val="24"/>
          <w:lang w:val="en-US" w:eastAsia="zh-CN"/>
        </w:rPr>
        <w:t>........821</w:t>
      </w:r>
    </w:p>
    <w:p>
      <w:pPr>
        <w:spacing w:line="580" w:lineRule="exact"/>
        <w:ind w:firstLine="480" w:firstLineChars="200"/>
        <w:rPr>
          <w:rFonts w:hint="default" w:ascii="仿宋_GB2312" w:eastAsia="宋体"/>
          <w:color w:val="auto"/>
          <w:sz w:val="24"/>
          <w:lang w:val="en-US" w:eastAsia="zh-CN"/>
        </w:rPr>
      </w:pPr>
      <w:r>
        <w:rPr>
          <w:rFonts w:hint="eastAsia" w:ascii="仿宋_GB2312"/>
          <w:color w:val="auto"/>
          <w:sz w:val="24"/>
          <w:lang w:val="en-US" w:eastAsia="zh-CN"/>
        </w:rPr>
        <w:t>7.</w:t>
      </w:r>
      <w:r>
        <w:rPr>
          <w:rFonts w:hint="eastAsia" w:ascii="仿宋_GB2312"/>
          <w:color w:val="auto"/>
          <w:sz w:val="24"/>
        </w:rPr>
        <w:t>提供虚假的证明、数据、资料、样品或者采取其他手段骗取相关药品许可</w:t>
      </w:r>
      <w:r>
        <w:rPr>
          <w:rFonts w:hint="eastAsia" w:ascii="仿宋_GB2312"/>
          <w:color w:val="auto"/>
          <w:sz w:val="24"/>
          <w:lang w:val="en-US" w:eastAsia="zh-CN"/>
        </w:rPr>
        <w:t>..823</w:t>
      </w:r>
    </w:p>
    <w:p>
      <w:pPr>
        <w:numPr>
          <w:ilvl w:val="0"/>
          <w:numId w:val="0"/>
        </w:numPr>
        <w:spacing w:line="360" w:lineRule="exact"/>
        <w:ind w:firstLine="280" w:firstLineChars="100"/>
        <w:rPr>
          <w:rFonts w:hint="eastAsia" w:ascii="仿宋_GB2312"/>
          <w:color w:val="auto"/>
          <w:sz w:val="24"/>
          <w:lang w:val="en-US" w:eastAsia="zh-CN"/>
        </w:rPr>
      </w:pPr>
      <w:r>
        <w:rPr>
          <w:rFonts w:hint="eastAsia" w:ascii="宋体" w:hAnsi="宋体" w:eastAsia="宋体" w:cs="宋体"/>
          <w:color w:val="auto"/>
          <w:sz w:val="28"/>
          <w:szCs w:val="28"/>
          <w:lang w:val="en-US" w:eastAsia="zh-CN"/>
        </w:rPr>
        <w:t xml:space="preserve"> 8.</w:t>
      </w:r>
      <w:r>
        <w:rPr>
          <w:rFonts w:hint="eastAsia" w:ascii="仿宋_GB2312"/>
          <w:color w:val="auto"/>
          <w:sz w:val="24"/>
        </w:rPr>
        <w:t>未取得药品批准证明文件生产、进口药品；使用采取欺骗手段取得药品批准证明文件生产、进口药品；使用未经审批的原料药生产药品；应当检验而未经检验即销售药品；生产、销售国务院药品监督管理部门禁止使用的药品；编造生产、检验记录；未经批准在药品生产过程中进行重大变更</w:t>
      </w:r>
      <w:r>
        <w:rPr>
          <w:rFonts w:hint="eastAsia" w:ascii="仿宋_GB2312"/>
          <w:color w:val="auto"/>
          <w:sz w:val="24"/>
          <w:lang w:val="en-US" w:eastAsia="zh-CN"/>
        </w:rPr>
        <w:t>.............................................824</w:t>
      </w:r>
    </w:p>
    <w:p>
      <w:pPr>
        <w:numPr>
          <w:ilvl w:val="0"/>
          <w:numId w:val="0"/>
        </w:num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9.</w:t>
      </w:r>
      <w:r>
        <w:rPr>
          <w:rFonts w:hint="eastAsia" w:ascii="仿宋_GB2312"/>
          <w:color w:val="auto"/>
          <w:sz w:val="24"/>
        </w:rPr>
        <w:t>未经批准开展药物临床试验；使用未经审评的直接接触药品的包装材料或者容器生产药品，或者销售该类药品；使用未经核准的标签、说明书</w:t>
      </w:r>
      <w:r>
        <w:rPr>
          <w:rFonts w:hint="eastAsia" w:ascii="仿宋_GB2312"/>
          <w:color w:val="auto"/>
          <w:sz w:val="24"/>
          <w:lang w:val="en-US" w:eastAsia="zh-CN"/>
        </w:rPr>
        <w:t>...................826</w:t>
      </w:r>
    </w:p>
    <w:p>
      <w:pPr>
        <w:numPr>
          <w:ilvl w:val="0"/>
          <w:numId w:val="0"/>
        </w:num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10.</w:t>
      </w:r>
      <w:r>
        <w:rPr>
          <w:rFonts w:hint="eastAsia" w:ascii="仿宋_GB2312"/>
          <w:color w:val="auto"/>
          <w:sz w:val="24"/>
        </w:rPr>
        <w:t>未遵守药品生产质量管理规范、药品经营质量管理规范、药物非临床研究质量管理规范、药物临床试验质量管理规范等</w:t>
      </w:r>
      <w:r>
        <w:rPr>
          <w:rFonts w:hint="eastAsia" w:ascii="仿宋_GB2312"/>
          <w:color w:val="auto"/>
          <w:sz w:val="24"/>
          <w:lang w:val="en-US" w:eastAsia="zh-CN"/>
        </w:rPr>
        <w:t>.......................................828</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11.</w:t>
      </w:r>
      <w:r>
        <w:rPr>
          <w:rFonts w:hint="eastAsia" w:ascii="仿宋_GB2312"/>
          <w:color w:val="auto"/>
          <w:sz w:val="24"/>
        </w:rPr>
        <w:t>开展生物等效性试验未备案；药物临床试验期间，发现存在安全性问题或者其他风险，临床试验申办者未及时调整临床试验方案、暂停或者终止临床试验，或者未向国务院药品监督管理部门报告；未按照规定建立并实施药品追溯制度；未按照规定提交年度报告；未按照规定对药品生产过程中的变更进行备案或者报告；未制定药品上市后风险管理计划；未按照规定开展药品上市后研究或者上市后评价</w:t>
      </w:r>
      <w:r>
        <w:rPr>
          <w:rFonts w:hint="eastAsia" w:ascii="仿宋_GB2312"/>
          <w:color w:val="auto"/>
          <w:sz w:val="24"/>
          <w:lang w:val="en-US" w:eastAsia="zh-CN"/>
        </w:rPr>
        <w:t>.......................................................................830</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12.</w:t>
      </w:r>
      <w:r>
        <w:rPr>
          <w:rFonts w:hint="eastAsia" w:ascii="仿宋_GB2312"/>
          <w:color w:val="auto"/>
          <w:sz w:val="24"/>
        </w:rPr>
        <w:t>药品包装未按照规定印有、贴有标签或者附有说明书，标签、说明书未按照规定注明相关信息或者印有规定标志。</w:t>
      </w:r>
      <w:r>
        <w:rPr>
          <w:rFonts w:hint="eastAsia" w:ascii="仿宋_GB2312"/>
          <w:color w:val="auto"/>
          <w:sz w:val="24"/>
          <w:lang w:val="en-US" w:eastAsia="zh-CN"/>
        </w:rPr>
        <w:t>...........................................832</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13.</w:t>
      </w:r>
      <w:r>
        <w:rPr>
          <w:rFonts w:hint="eastAsia" w:ascii="仿宋_GB2312"/>
          <w:color w:val="auto"/>
          <w:sz w:val="24"/>
        </w:rPr>
        <w:t>从不具有生产、经营资格的企业或药品上市许可持有人处购进药品</w:t>
      </w:r>
      <w:r>
        <w:rPr>
          <w:rFonts w:hint="eastAsia" w:ascii="仿宋_GB2312"/>
          <w:color w:val="auto"/>
          <w:sz w:val="24"/>
          <w:lang w:val="en-US" w:eastAsia="zh-CN"/>
        </w:rPr>
        <w:t>........833</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14.</w:t>
      </w:r>
      <w:r>
        <w:rPr>
          <w:rFonts w:hint="eastAsia" w:ascii="仿宋_GB2312"/>
          <w:color w:val="auto"/>
          <w:sz w:val="24"/>
        </w:rPr>
        <w:t>药品经营企业购销药品未按照规定进行记录，零售药品未正确说明用法、用量等事项，或者未按照规定调配处方</w:t>
      </w:r>
      <w:r>
        <w:rPr>
          <w:rFonts w:hint="eastAsia" w:ascii="仿宋_GB2312"/>
          <w:color w:val="auto"/>
          <w:sz w:val="24"/>
          <w:lang w:val="en-US" w:eastAsia="zh-CN"/>
        </w:rPr>
        <w:t>.............................................834</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15.</w:t>
      </w:r>
      <w:r>
        <w:rPr>
          <w:rFonts w:hint="eastAsia" w:ascii="仿宋_GB2312"/>
          <w:color w:val="auto"/>
          <w:sz w:val="24"/>
        </w:rPr>
        <w:t>药品网络交易第三方平台提供者未履行资质审核、报告、停止提供网络交易平台服务等义务</w:t>
      </w:r>
      <w:r>
        <w:rPr>
          <w:rFonts w:hint="eastAsia" w:ascii="仿宋_GB2312"/>
          <w:color w:val="auto"/>
          <w:sz w:val="24"/>
          <w:lang w:val="en-US" w:eastAsia="zh-CN"/>
        </w:rPr>
        <w:t>...............................................................835</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16.</w:t>
      </w:r>
      <w:r>
        <w:rPr>
          <w:rFonts w:hint="eastAsia" w:ascii="仿宋_GB2312"/>
          <w:color w:val="auto"/>
          <w:sz w:val="24"/>
        </w:rPr>
        <w:t>进口已获得药品注册证书的药品，未按照规定向允许药品进口的口岸所在地药品监督管理部门备案</w:t>
      </w:r>
      <w:r>
        <w:rPr>
          <w:rFonts w:hint="eastAsia" w:ascii="仿宋_GB2312"/>
          <w:color w:val="auto"/>
          <w:sz w:val="24"/>
          <w:lang w:val="en-US" w:eastAsia="zh-CN"/>
        </w:rPr>
        <w:t>.........................................................836</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17.</w:t>
      </w:r>
      <w:r>
        <w:rPr>
          <w:rFonts w:hint="eastAsia" w:ascii="仿宋_GB2312"/>
          <w:color w:val="auto"/>
          <w:sz w:val="24"/>
        </w:rPr>
        <w:t>医疗机构将其配制的制剂在市场上销售</w:t>
      </w:r>
      <w:r>
        <w:rPr>
          <w:rFonts w:hint="eastAsia" w:ascii="仿宋_GB2312"/>
          <w:color w:val="auto"/>
          <w:sz w:val="24"/>
          <w:lang w:val="en-US" w:eastAsia="zh-CN"/>
        </w:rPr>
        <w:t>................................837</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18.</w:t>
      </w:r>
      <w:r>
        <w:rPr>
          <w:rFonts w:hint="eastAsia" w:ascii="仿宋_GB2312"/>
          <w:color w:val="auto"/>
          <w:sz w:val="24"/>
        </w:rPr>
        <w:t>药品上市许可持有人未按照规定开展药品不良反应监测或者报告疑似药品不良反应</w:t>
      </w:r>
      <w:r>
        <w:rPr>
          <w:rFonts w:hint="eastAsia" w:ascii="仿宋_GB2312"/>
          <w:color w:val="auto"/>
          <w:sz w:val="24"/>
          <w:lang w:val="en-US" w:eastAsia="zh-CN"/>
        </w:rPr>
        <w:t>.....................................................................838</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19.</w:t>
      </w:r>
      <w:r>
        <w:rPr>
          <w:rFonts w:hint="eastAsia" w:ascii="仿宋_GB2312"/>
          <w:color w:val="auto"/>
          <w:sz w:val="24"/>
        </w:rPr>
        <w:t>药品经营企业未按照规定报告疑似药品不良反应</w:t>
      </w:r>
      <w:r>
        <w:rPr>
          <w:rFonts w:hint="eastAsia" w:ascii="仿宋_GB2312"/>
          <w:color w:val="auto"/>
          <w:sz w:val="24"/>
          <w:lang w:val="en-US" w:eastAsia="zh-CN"/>
        </w:rPr>
        <w:t>........................839</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20.</w:t>
      </w:r>
      <w:r>
        <w:rPr>
          <w:rFonts w:hint="eastAsia" w:ascii="仿宋_GB2312"/>
          <w:color w:val="auto"/>
          <w:sz w:val="24"/>
        </w:rPr>
        <w:t>医疗机构未按照规定报告疑似药品不良反应</w:t>
      </w:r>
      <w:r>
        <w:rPr>
          <w:rFonts w:hint="eastAsia" w:ascii="仿宋_GB2312"/>
          <w:color w:val="auto"/>
          <w:sz w:val="24"/>
          <w:lang w:val="en-US" w:eastAsia="zh-CN"/>
        </w:rPr>
        <w:t>............................840</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21.</w:t>
      </w:r>
      <w:r>
        <w:rPr>
          <w:rFonts w:hint="eastAsia" w:ascii="仿宋_GB2312"/>
          <w:color w:val="auto"/>
          <w:sz w:val="24"/>
        </w:rPr>
        <w:t>药品上市许可持有人在责令其召回药品后拒不召回</w:t>
      </w:r>
      <w:r>
        <w:rPr>
          <w:rFonts w:hint="eastAsia" w:ascii="仿宋_GB2312"/>
          <w:color w:val="auto"/>
          <w:sz w:val="24"/>
          <w:lang w:val="en-US" w:eastAsia="zh-CN"/>
        </w:rPr>
        <w:t>......................841</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22.</w:t>
      </w:r>
      <w:r>
        <w:rPr>
          <w:rFonts w:hint="eastAsia" w:ascii="仿宋_GB2312"/>
          <w:color w:val="auto"/>
          <w:sz w:val="24"/>
        </w:rPr>
        <w:t>药品生产企业、药品经营企业、医疗机构拒不配合召回违法药品</w:t>
      </w:r>
      <w:r>
        <w:rPr>
          <w:rFonts w:hint="eastAsia" w:ascii="仿宋_GB2312"/>
          <w:color w:val="auto"/>
          <w:sz w:val="24"/>
          <w:lang w:val="en-US" w:eastAsia="zh-CN"/>
        </w:rPr>
        <w:t>..........842</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23.</w:t>
      </w:r>
      <w:r>
        <w:rPr>
          <w:rFonts w:hint="eastAsia" w:ascii="仿宋_GB2312"/>
          <w:color w:val="auto"/>
          <w:sz w:val="24"/>
        </w:rPr>
        <w:t>药品检验机构出具虚假检验报告</w:t>
      </w:r>
      <w:r>
        <w:rPr>
          <w:rFonts w:hint="eastAsia" w:ascii="仿宋_GB2312"/>
          <w:color w:val="auto"/>
          <w:sz w:val="24"/>
          <w:lang w:val="en-US" w:eastAsia="zh-CN"/>
        </w:rPr>
        <w:t>......................................843</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24.</w:t>
      </w:r>
      <w:r>
        <w:rPr>
          <w:rFonts w:hint="eastAsia" w:ascii="仿宋_GB2312"/>
          <w:color w:val="auto"/>
          <w:sz w:val="24"/>
        </w:rPr>
        <w:t>药品上市许可持有人、药品生产企业、药品经营企业违反本法规定聘用人员</w:t>
      </w:r>
      <w:r>
        <w:rPr>
          <w:rFonts w:hint="eastAsia" w:ascii="仿宋_GB2312"/>
          <w:color w:val="auto"/>
          <w:sz w:val="24"/>
          <w:lang w:val="en-US" w:eastAsia="zh-CN"/>
        </w:rPr>
        <w:t>.......................................................................844</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25.</w:t>
      </w:r>
      <w:r>
        <w:rPr>
          <w:rFonts w:hint="eastAsia" w:ascii="仿宋_GB2312"/>
          <w:color w:val="auto"/>
          <w:sz w:val="24"/>
        </w:rPr>
        <w:t>药品上市许可持有人、药品生产企业、药品经营企业或者代理人与医疗机构有关人员存在不正当利益关系</w:t>
      </w:r>
      <w:r>
        <w:rPr>
          <w:rFonts w:hint="eastAsia" w:ascii="仿宋_GB2312"/>
          <w:color w:val="auto"/>
          <w:sz w:val="24"/>
          <w:lang w:val="en-US" w:eastAsia="zh-CN"/>
        </w:rPr>
        <w:t>...................................................845</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26.</w:t>
      </w:r>
      <w:r>
        <w:rPr>
          <w:rFonts w:hint="eastAsia" w:ascii="仿宋_GB2312"/>
          <w:color w:val="auto"/>
          <w:sz w:val="24"/>
        </w:rPr>
        <w:t>生产、销售的疫苗属于假药</w:t>
      </w:r>
      <w:r>
        <w:rPr>
          <w:rFonts w:hint="eastAsia" w:ascii="仿宋_GB2312"/>
          <w:color w:val="auto"/>
          <w:sz w:val="24"/>
          <w:lang w:val="en-US" w:eastAsia="zh-CN"/>
        </w:rPr>
        <w:t>..........................................846</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27.</w:t>
      </w:r>
      <w:r>
        <w:rPr>
          <w:rFonts w:hint="eastAsia" w:ascii="仿宋_GB2312"/>
          <w:color w:val="auto"/>
          <w:sz w:val="24"/>
        </w:rPr>
        <w:t>生产、销售的疫苗属于劣药</w:t>
      </w:r>
      <w:r>
        <w:rPr>
          <w:rFonts w:hint="eastAsia" w:ascii="仿宋_GB2312"/>
          <w:color w:val="auto"/>
          <w:sz w:val="24"/>
          <w:lang w:val="en-US" w:eastAsia="zh-CN"/>
        </w:rPr>
        <w:t>..........................................848</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28.</w:t>
      </w:r>
      <w:r>
        <w:rPr>
          <w:rFonts w:hint="eastAsia" w:ascii="仿宋_GB2312"/>
          <w:color w:val="auto"/>
          <w:sz w:val="24"/>
        </w:rPr>
        <w:t>申请疫苗临床试验、注册、批签发提供虚假数据、资料、样品或者有其他欺骗行为；编造生产、检验记录或者更改产品批号；疾病预防控制机构以外的单位或者个人向接种单位供应疫苗；委托生产疫苗未经批准；生产工艺、生产场地、关键设备等发生变更按照规定应当经批准而未经批准；更新疫苗说明书、标签按照规定应当经核准而未经核准</w:t>
      </w:r>
      <w:r>
        <w:rPr>
          <w:rFonts w:hint="eastAsia" w:ascii="仿宋_GB2312"/>
          <w:color w:val="auto"/>
          <w:sz w:val="24"/>
          <w:lang w:val="en-US" w:eastAsia="zh-CN"/>
        </w:rPr>
        <w:t>.....................................................................850</w:t>
      </w:r>
    </w:p>
    <w:p>
      <w:pPr>
        <w:spacing w:line="32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29.</w:t>
      </w:r>
      <w:r>
        <w:rPr>
          <w:rFonts w:hint="eastAsia" w:ascii="仿宋_GB2312"/>
          <w:color w:val="auto"/>
          <w:sz w:val="24"/>
        </w:rPr>
        <w:t>疫苗上市许可持有人或者其他单位违反药品相关质量管理规范</w:t>
      </w:r>
      <w:r>
        <w:rPr>
          <w:rFonts w:hint="eastAsia" w:ascii="仿宋_GB2312"/>
          <w:color w:val="auto"/>
          <w:sz w:val="24"/>
          <w:lang w:val="en-US" w:eastAsia="zh-CN"/>
        </w:rPr>
        <w:t>............852</w:t>
      </w:r>
    </w:p>
    <w:p>
      <w:pPr>
        <w:spacing w:line="28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30.</w:t>
      </w:r>
      <w:r>
        <w:rPr>
          <w:rFonts w:hint="eastAsia" w:ascii="仿宋_GB2312"/>
          <w:color w:val="auto"/>
          <w:sz w:val="24"/>
        </w:rPr>
        <w:t>未按照规定建立疫苗电子追溯系统；法定代表人、主要负责人和生产管理负责人、质量管理负责人、质量受权人等关键岗位人员不符合规定条件或者未按照规定对其进行培训、考核；未按照规定报告或者备案；未按照规定开展上市后研究，或者未按照规定设立机构、配备人员主动收集、跟踪分析疑似预防接种异常反应；未按照规定投保疫苗责任强制保险；未按照规定建立信息公开制度。</w:t>
      </w:r>
      <w:r>
        <w:rPr>
          <w:rFonts w:hint="eastAsia" w:ascii="仿宋_GB2312"/>
          <w:color w:val="auto"/>
          <w:sz w:val="24"/>
          <w:lang w:val="en-US" w:eastAsia="zh-CN"/>
        </w:rPr>
        <w:t>.....................................................................854</w:t>
      </w:r>
    </w:p>
    <w:p>
      <w:pPr>
        <w:spacing w:line="28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31.</w:t>
      </w:r>
      <w:r>
        <w:rPr>
          <w:rFonts w:hint="eastAsia" w:ascii="仿宋_GB2312"/>
          <w:color w:val="auto"/>
          <w:sz w:val="24"/>
        </w:rPr>
        <w:t>疾病预防控制机构、接种单位、疫苗上市许可持有人、疫苗配送单位违反疫苗储存、运输管理规范有关冷链储存、运输要求</w:t>
      </w:r>
      <w:r>
        <w:rPr>
          <w:rFonts w:hint="eastAsia" w:ascii="仿宋_GB2312"/>
          <w:color w:val="auto"/>
          <w:sz w:val="24"/>
          <w:lang w:val="en-US" w:eastAsia="zh-CN"/>
        </w:rPr>
        <w:t>...................................855</w:t>
      </w:r>
    </w:p>
    <w:p>
      <w:pPr>
        <w:spacing w:line="280" w:lineRule="exact"/>
        <w:ind w:firstLine="480" w:firstLineChars="200"/>
        <w:rPr>
          <w:rFonts w:hint="default" w:ascii="仿宋_GB2312"/>
          <w:color w:val="auto"/>
          <w:sz w:val="24"/>
          <w:lang w:val="en-US" w:eastAsia="zh-CN"/>
        </w:rPr>
      </w:pPr>
      <w:r>
        <w:rPr>
          <w:rFonts w:hint="eastAsia" w:ascii="仿宋_GB2312"/>
          <w:color w:val="auto"/>
          <w:sz w:val="24"/>
          <w:lang w:val="en-US" w:eastAsia="zh-CN"/>
        </w:rPr>
        <w:t>32.</w:t>
      </w:r>
      <w:r>
        <w:rPr>
          <w:rFonts w:hint="eastAsia" w:ascii="仿宋_GB2312"/>
          <w:color w:val="auto"/>
          <w:sz w:val="24"/>
        </w:rPr>
        <w:t>疾病预防控制机构、接种单位、疫苗上市许可持有人、疫苗配送单位有本法第八十五条规定以外的违反疫苗储存、运输管理规范行为</w:t>
      </w:r>
      <w:r>
        <w:rPr>
          <w:rFonts w:hint="eastAsia" w:ascii="仿宋_GB2312"/>
          <w:color w:val="auto"/>
          <w:sz w:val="24"/>
          <w:lang w:val="en-US" w:eastAsia="zh-CN"/>
        </w:rPr>
        <w:t>...........................857</w:t>
      </w:r>
    </w:p>
    <w:p>
      <w:pPr>
        <w:spacing w:line="320" w:lineRule="exact"/>
        <w:ind w:firstLine="480" w:firstLineChars="200"/>
        <w:rPr>
          <w:rFonts w:hint="default" w:ascii="仿宋_GB2312" w:eastAsia="仿宋_GB2312"/>
          <w:color w:val="auto"/>
          <w:sz w:val="24"/>
          <w:lang w:val="en-US" w:eastAsia="zh-CN"/>
        </w:rPr>
      </w:pPr>
      <w:r>
        <w:rPr>
          <w:rFonts w:hint="eastAsia" w:ascii="仿宋_GB2312"/>
          <w:color w:val="auto"/>
          <w:sz w:val="24"/>
          <w:lang w:val="en-US" w:eastAsia="zh-CN"/>
        </w:rPr>
        <w:t>33.</w:t>
      </w:r>
      <w:r>
        <w:rPr>
          <w:rFonts w:ascii="仿宋_GB2312"/>
          <w:color w:val="auto"/>
          <w:sz w:val="24"/>
        </w:rPr>
        <w:t>违反</w:t>
      </w:r>
      <w:r>
        <w:rPr>
          <w:rFonts w:hint="eastAsia" w:ascii="仿宋_GB2312"/>
          <w:color w:val="auto"/>
          <w:sz w:val="24"/>
        </w:rPr>
        <w:t>《中医药法》</w:t>
      </w:r>
      <w:r>
        <w:rPr>
          <w:rFonts w:ascii="仿宋_GB2312"/>
          <w:color w:val="auto"/>
          <w:sz w:val="24"/>
        </w:rPr>
        <w:t>规定，炮制中药饮片、委托配制中药制剂应当备案而未备案，或者备案时提供虚假材料</w:t>
      </w:r>
      <w:r>
        <w:rPr>
          <w:rFonts w:hint="eastAsia" w:ascii="仿宋_GB2312"/>
          <w:color w:val="auto"/>
          <w:sz w:val="24"/>
        </w:rPr>
        <w:t>；医疗机构应用传统工艺配制中药制剂未依照《中医药法》规定备案，或者未按照备案材料载明的要求配制中药制剂</w:t>
      </w:r>
      <w:r>
        <w:rPr>
          <w:rFonts w:hint="eastAsia" w:ascii="仿宋_GB2312"/>
          <w:color w:val="auto"/>
          <w:sz w:val="24"/>
          <w:lang w:val="en-US" w:eastAsia="zh-CN"/>
        </w:rPr>
        <w:t>.......................................................................858</w:t>
      </w:r>
    </w:p>
    <w:p>
      <w:pPr>
        <w:spacing w:line="280" w:lineRule="exact"/>
        <w:ind w:firstLine="480" w:firstLineChars="200"/>
        <w:rPr>
          <w:rFonts w:hint="default" w:ascii="仿宋_GB2312"/>
          <w:color w:val="auto"/>
          <w:sz w:val="24"/>
          <w:lang w:val="en-US" w:eastAsia="zh-CN"/>
        </w:rPr>
      </w:pPr>
    </w:p>
    <w:p>
      <w:pPr>
        <w:spacing w:line="580" w:lineRule="exact"/>
        <w:rPr>
          <w:rFonts w:hint="eastAsia" w:ascii="宋体" w:hAnsi="宋体" w:eastAsia="宋体" w:cs="宋体"/>
          <w:color w:val="auto"/>
          <w:sz w:val="28"/>
          <w:szCs w:val="28"/>
        </w:rPr>
      </w:pPr>
    </w:p>
    <w:p>
      <w:pPr>
        <w:spacing w:line="580" w:lineRule="exact"/>
        <w:rPr>
          <w:rFonts w:hint="eastAsia" w:ascii="宋体" w:hAnsi="宋体" w:eastAsia="宋体" w:cs="宋体"/>
          <w:color w:val="auto"/>
          <w:sz w:val="28"/>
          <w:szCs w:val="28"/>
        </w:rPr>
      </w:pPr>
    </w:p>
    <w:p>
      <w:pPr>
        <w:spacing w:line="580" w:lineRule="exact"/>
        <w:rPr>
          <w:rFonts w:hint="eastAsia" w:ascii="宋体" w:hAnsi="宋体" w:eastAsia="宋体" w:cs="宋体"/>
          <w:color w:val="auto"/>
          <w:sz w:val="28"/>
          <w:szCs w:val="28"/>
        </w:rPr>
      </w:pPr>
    </w:p>
    <w:p>
      <w:pPr>
        <w:spacing w:line="580" w:lineRule="exact"/>
        <w:rPr>
          <w:rFonts w:hint="eastAsia" w:ascii="宋体" w:hAnsi="宋体" w:eastAsia="宋体" w:cs="宋体"/>
          <w:color w:val="auto"/>
          <w:sz w:val="28"/>
          <w:szCs w:val="28"/>
        </w:rPr>
      </w:pPr>
    </w:p>
    <w:p>
      <w:pPr>
        <w:pStyle w:val="4"/>
        <w:numPr>
          <w:ilvl w:val="0"/>
          <w:numId w:val="0"/>
        </w:numPr>
        <w:spacing w:before="192"/>
        <w:ind w:right="0" w:rightChars="0" w:firstLine="480" w:firstLineChars="200"/>
        <w:jc w:val="left"/>
        <w:rPr>
          <w:rFonts w:hint="eastAsia" w:ascii="宋体" w:hAnsi="宋体" w:eastAsia="宋体" w:cs="宋体"/>
          <w:b w:val="0"/>
          <w:bCs w:val="0"/>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eastAsia"/>
          <w:b/>
          <w:bCs/>
          <w:color w:val="auto"/>
          <w:sz w:val="24"/>
          <w:szCs w:val="24"/>
          <w:lang w:val="en-US" w:eastAsia="zh-CN"/>
        </w:rPr>
      </w:pPr>
    </w:p>
    <w:p>
      <w:pPr>
        <w:pStyle w:val="4"/>
        <w:numPr>
          <w:ilvl w:val="0"/>
          <w:numId w:val="0"/>
        </w:numPr>
        <w:spacing w:before="192"/>
        <w:ind w:right="0" w:rightChars="0" w:firstLine="482" w:firstLineChars="200"/>
        <w:jc w:val="left"/>
        <w:rPr>
          <w:rFonts w:hint="default"/>
          <w:b/>
          <w:bCs/>
          <w:color w:val="auto"/>
          <w:sz w:val="24"/>
          <w:szCs w:val="24"/>
          <w:lang w:val="en-US" w:eastAsia="zh-CN"/>
        </w:rPr>
      </w:pPr>
    </w:p>
    <w:p>
      <w:pPr>
        <w:pStyle w:val="4"/>
        <w:tabs>
          <w:tab w:val="left" w:pos="959"/>
        </w:tabs>
        <w:spacing w:before="39"/>
        <w:ind w:left="0" w:right="161"/>
        <w:jc w:val="center"/>
        <w:rPr>
          <w:rFonts w:hint="eastAsia" w:ascii="黑体" w:eastAsia="黑体"/>
          <w:color w:val="auto"/>
        </w:rPr>
      </w:pPr>
      <w:bookmarkStart w:id="0" w:name="第一章  企业登记管理"/>
      <w:bookmarkEnd w:id="0"/>
      <w:bookmarkStart w:id="1" w:name="_bookmark0"/>
      <w:bookmarkEnd w:id="1"/>
    </w:p>
    <w:p>
      <w:pPr>
        <w:pStyle w:val="4"/>
        <w:tabs>
          <w:tab w:val="left" w:pos="959"/>
        </w:tabs>
        <w:spacing w:before="39"/>
        <w:ind w:left="0" w:right="161"/>
        <w:jc w:val="center"/>
        <w:rPr>
          <w:rFonts w:hint="eastAsia" w:ascii="黑体" w:eastAsia="黑体"/>
          <w:color w:val="auto"/>
        </w:rPr>
      </w:pPr>
    </w:p>
    <w:p>
      <w:pPr>
        <w:pStyle w:val="4"/>
        <w:tabs>
          <w:tab w:val="left" w:pos="959"/>
        </w:tabs>
        <w:spacing w:before="39"/>
        <w:ind w:left="0" w:right="161"/>
        <w:jc w:val="center"/>
        <w:rPr>
          <w:rFonts w:hint="eastAsia" w:ascii="黑体" w:eastAsia="黑体"/>
          <w:color w:val="auto"/>
        </w:rPr>
      </w:pPr>
    </w:p>
    <w:p>
      <w:pPr>
        <w:pStyle w:val="4"/>
        <w:tabs>
          <w:tab w:val="left" w:pos="959"/>
        </w:tabs>
        <w:spacing w:before="39"/>
        <w:ind w:left="0" w:right="161"/>
        <w:jc w:val="center"/>
        <w:rPr>
          <w:rFonts w:hint="eastAsia" w:ascii="黑体" w:eastAsia="黑体"/>
          <w:color w:val="auto"/>
        </w:rPr>
      </w:pPr>
    </w:p>
    <w:p>
      <w:pPr>
        <w:pStyle w:val="4"/>
        <w:tabs>
          <w:tab w:val="left" w:pos="959"/>
        </w:tabs>
        <w:spacing w:before="39"/>
        <w:ind w:left="0" w:right="161"/>
        <w:jc w:val="center"/>
        <w:rPr>
          <w:rFonts w:hint="eastAsia" w:ascii="黑体" w:eastAsia="黑体"/>
          <w:color w:val="auto"/>
        </w:rPr>
      </w:pPr>
    </w:p>
    <w:p>
      <w:pPr>
        <w:pStyle w:val="4"/>
        <w:tabs>
          <w:tab w:val="left" w:pos="959"/>
        </w:tabs>
        <w:spacing w:before="39"/>
        <w:ind w:left="0" w:right="161"/>
        <w:jc w:val="center"/>
        <w:rPr>
          <w:rFonts w:hint="eastAsia" w:ascii="黑体" w:eastAsia="黑体"/>
          <w:color w:val="auto"/>
        </w:rPr>
      </w:pPr>
    </w:p>
    <w:p>
      <w:pPr>
        <w:pStyle w:val="4"/>
        <w:tabs>
          <w:tab w:val="left" w:pos="959"/>
        </w:tabs>
        <w:spacing w:before="39"/>
        <w:ind w:left="0" w:right="161"/>
        <w:jc w:val="center"/>
        <w:rPr>
          <w:rFonts w:hint="eastAsia" w:ascii="黑体" w:eastAsia="黑体"/>
          <w:color w:val="auto"/>
        </w:rPr>
      </w:pPr>
    </w:p>
    <w:p>
      <w:pPr>
        <w:pStyle w:val="4"/>
        <w:tabs>
          <w:tab w:val="left" w:pos="959"/>
        </w:tabs>
        <w:spacing w:before="39"/>
        <w:ind w:left="0" w:right="161"/>
        <w:jc w:val="center"/>
        <w:rPr>
          <w:rFonts w:hint="eastAsia" w:ascii="黑体" w:eastAsia="黑体"/>
          <w:color w:val="auto"/>
        </w:rPr>
      </w:pPr>
    </w:p>
    <w:p>
      <w:pPr>
        <w:pStyle w:val="4"/>
        <w:tabs>
          <w:tab w:val="left" w:pos="959"/>
        </w:tabs>
        <w:spacing w:before="39"/>
        <w:ind w:left="0" w:right="161"/>
        <w:jc w:val="center"/>
        <w:rPr>
          <w:rFonts w:ascii="黑体"/>
          <w:color w:val="auto"/>
          <w:sz w:val="30"/>
        </w:rPr>
      </w:pPr>
      <w:r>
        <w:rPr>
          <w:rFonts w:hint="eastAsia" w:ascii="黑体" w:eastAsia="黑体"/>
          <w:color w:val="auto"/>
        </w:rPr>
        <w:t>第一章</w:t>
      </w:r>
      <w:r>
        <w:rPr>
          <w:rFonts w:hint="eastAsia" w:ascii="黑体" w:eastAsia="黑体"/>
          <w:color w:val="auto"/>
        </w:rPr>
        <w:tab/>
      </w:r>
      <w:r>
        <w:rPr>
          <w:rFonts w:hint="eastAsia" w:ascii="黑体" w:eastAsia="黑体"/>
          <w:color w:val="auto"/>
        </w:rPr>
        <w:t>企业登记管理</w:t>
      </w:r>
    </w:p>
    <w:p>
      <w:pPr>
        <w:pStyle w:val="2"/>
        <w:rPr>
          <w:color w:val="auto"/>
        </w:rPr>
      </w:pPr>
      <w:bookmarkStart w:id="2" w:name="一、虚报注册资本取得公司登记"/>
      <w:bookmarkEnd w:id="2"/>
      <w:bookmarkStart w:id="3" w:name="_bookmark1"/>
      <w:bookmarkEnd w:id="3"/>
      <w:r>
        <w:rPr>
          <w:color w:val="auto"/>
        </w:rPr>
        <w:t>一、虚报注册资本取得公司登记</w:t>
      </w:r>
    </w:p>
    <w:p>
      <w:pPr>
        <w:spacing w:before="192"/>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rPr>
        <w:t>《中华人民共和国公司法》第一百九十八条 违反本法规定，虚报注册资本、提</w:t>
      </w:r>
      <w:r>
        <w:rPr>
          <w:color w:val="auto"/>
          <w:spacing w:val="-3"/>
        </w:rPr>
        <w:t>交虚假材料或者采取其他欺诈手段隐瞒重要事实取得公司登记的，由公司登记机关责</w:t>
      </w:r>
      <w:r>
        <w:rPr>
          <w:color w:val="auto"/>
          <w:spacing w:val="-6"/>
        </w:rPr>
        <w:t>令改正，对虚报注册资本的公司，处以虚报注册资本金额百分之五以上百分之十五以下的罚款；对提交虚假材料或者采取其他欺诈手段隐瞒重要事实的公司，处以五万元</w:t>
      </w:r>
      <w:r>
        <w:rPr>
          <w:color w:val="auto"/>
        </w:rPr>
        <w:t>以上五十万元以下的罚款；情节严重的，撤销公司登记或者吊销营业执照。</w:t>
      </w:r>
    </w:p>
    <w:p>
      <w:pPr>
        <w:numPr>
          <w:ilvl w:val="0"/>
          <w:numId w:val="1"/>
        </w:numPr>
        <w:spacing w:before="0" w:line="391" w:lineRule="auto"/>
        <w:ind w:left="591" w:right="6948" w:firstLine="0"/>
        <w:jc w:val="left"/>
        <w:rPr>
          <w:b/>
          <w:color w:val="auto"/>
          <w:sz w:val="24"/>
        </w:rPr>
      </w:pPr>
      <w:r>
        <w:rPr>
          <w:b/>
          <w:color w:val="auto"/>
          <w:sz w:val="24"/>
        </w:rPr>
        <w:t>裁量标准</w:t>
      </w:r>
    </w:p>
    <w:p>
      <w:pPr>
        <w:numPr>
          <w:ilvl w:val="0"/>
          <w:numId w:val="0"/>
        </w:numPr>
        <w:spacing w:before="0" w:line="391" w:lineRule="auto"/>
        <w:ind w:left="591" w:leftChars="0" w:right="6948" w:rightChars="0"/>
        <w:jc w:val="left"/>
        <w:rPr>
          <w:color w:val="auto"/>
          <w:sz w:val="24"/>
        </w:rPr>
      </w:pPr>
      <w:r>
        <w:rPr>
          <w:color w:val="auto"/>
          <w:sz w:val="24"/>
        </w:rPr>
        <w:t>1、罚款</w:t>
      </w:r>
    </w:p>
    <w:p>
      <w:pPr>
        <w:pStyle w:val="4"/>
        <w:spacing w:line="306" w:lineRule="exact"/>
        <w:ind w:left="591"/>
        <w:rPr>
          <w:color w:val="auto"/>
        </w:rPr>
      </w:pPr>
      <w:r>
        <w:rPr>
          <w:color w:val="auto"/>
        </w:rPr>
        <w:t>【较轻】</w:t>
      </w:r>
    </w:p>
    <w:p>
      <w:pPr>
        <w:pStyle w:val="4"/>
        <w:spacing w:before="184" w:line="391" w:lineRule="auto"/>
        <w:ind w:right="213" w:firstLine="480"/>
        <w:rPr>
          <w:color w:val="auto"/>
        </w:rPr>
      </w:pPr>
      <w:r>
        <w:rPr>
          <w:color w:val="auto"/>
        </w:rPr>
        <w:t>虚报数额占出资金额百分之三十以下的，处以虚报注册资本金额百分之五以上百分之七以下的罚款。</w:t>
      </w:r>
    </w:p>
    <w:p>
      <w:pPr>
        <w:pStyle w:val="4"/>
        <w:spacing w:line="306" w:lineRule="exact"/>
        <w:ind w:left="591"/>
        <w:rPr>
          <w:color w:val="auto"/>
        </w:rPr>
      </w:pPr>
      <w:r>
        <w:rPr>
          <w:color w:val="auto"/>
        </w:rPr>
        <w:t>【一般】</w:t>
      </w:r>
    </w:p>
    <w:p>
      <w:pPr>
        <w:pStyle w:val="4"/>
        <w:spacing w:before="191" w:line="391" w:lineRule="auto"/>
        <w:ind w:right="213" w:firstLine="480"/>
        <w:rPr>
          <w:color w:val="auto"/>
        </w:rPr>
      </w:pPr>
      <w:r>
        <w:rPr>
          <w:color w:val="auto"/>
        </w:rPr>
        <w:t>虚报数额占出资金额百分之三十以上百分之六十以下的，处以虚报注册资本金额百分之七以上百分之十以下的罚款。</w:t>
      </w:r>
    </w:p>
    <w:p>
      <w:pPr>
        <w:pStyle w:val="4"/>
        <w:spacing w:line="306" w:lineRule="exact"/>
        <w:ind w:left="591"/>
        <w:rPr>
          <w:color w:val="auto"/>
        </w:rPr>
      </w:pPr>
      <w:r>
        <w:rPr>
          <w:color w:val="auto"/>
        </w:rPr>
        <w:t>【严重】</w:t>
      </w:r>
    </w:p>
    <w:p>
      <w:pPr>
        <w:pStyle w:val="4"/>
        <w:spacing w:before="192" w:line="391" w:lineRule="auto"/>
        <w:ind w:right="268" w:firstLine="480"/>
        <w:rPr>
          <w:color w:val="auto"/>
        </w:rPr>
      </w:pPr>
      <w:r>
        <w:rPr>
          <w:color w:val="auto"/>
          <w:spacing w:val="-3"/>
        </w:rPr>
        <w:t>虚报数额占出资金额百分之六十以上的，处以虚报注册资本金额百分之十以上百</w:t>
      </w:r>
      <w:r>
        <w:rPr>
          <w:color w:val="auto"/>
        </w:rPr>
        <w:t>分之十五以下的罚款。</w:t>
      </w:r>
    </w:p>
    <w:p>
      <w:pPr>
        <w:pStyle w:val="4"/>
        <w:spacing w:line="306" w:lineRule="exact"/>
        <w:ind w:left="591"/>
        <w:rPr>
          <w:color w:val="auto"/>
        </w:rPr>
      </w:pPr>
      <w:r>
        <w:rPr>
          <w:color w:val="auto"/>
        </w:rPr>
        <w:t>2、吊销营业执照</w:t>
      </w:r>
    </w:p>
    <w:p>
      <w:pPr>
        <w:pStyle w:val="13"/>
        <w:numPr>
          <w:ilvl w:val="0"/>
          <w:numId w:val="2"/>
        </w:numPr>
        <w:tabs>
          <w:tab w:val="left" w:pos="1073"/>
        </w:tabs>
        <w:spacing w:before="192" w:after="0" w:line="240" w:lineRule="auto"/>
        <w:ind w:left="1072" w:right="0" w:hanging="602"/>
        <w:jc w:val="left"/>
        <w:rPr>
          <w:color w:val="auto"/>
          <w:sz w:val="24"/>
        </w:rPr>
      </w:pPr>
      <w:r>
        <w:rPr>
          <w:color w:val="auto"/>
          <w:sz w:val="24"/>
        </w:rPr>
        <w:t>达到刑事案件立案追诉标准的；</w:t>
      </w:r>
    </w:p>
    <w:p>
      <w:pPr>
        <w:pStyle w:val="13"/>
        <w:numPr>
          <w:ilvl w:val="0"/>
          <w:numId w:val="2"/>
        </w:numPr>
        <w:tabs>
          <w:tab w:val="left" w:pos="1073"/>
        </w:tabs>
        <w:spacing w:before="194" w:after="0" w:line="388" w:lineRule="auto"/>
        <w:ind w:left="111" w:right="268" w:firstLine="360"/>
        <w:jc w:val="left"/>
        <w:rPr>
          <w:color w:val="auto"/>
          <w:sz w:val="24"/>
        </w:rPr>
      </w:pPr>
      <w:r>
        <w:rPr>
          <w:color w:val="auto"/>
          <w:spacing w:val="-3"/>
          <w:sz w:val="24"/>
        </w:rPr>
        <w:t>未达到刑事案件立案追诉标准，但违法行为严重侵害他人利益的，或者造成</w:t>
      </w:r>
      <w:r>
        <w:rPr>
          <w:color w:val="auto"/>
          <w:sz w:val="24"/>
        </w:rPr>
        <w:t>严重社会后果的；</w:t>
      </w:r>
    </w:p>
    <w:p>
      <w:pPr>
        <w:pStyle w:val="13"/>
        <w:numPr>
          <w:ilvl w:val="0"/>
          <w:numId w:val="2"/>
        </w:numPr>
        <w:tabs>
          <w:tab w:val="left" w:pos="1073"/>
        </w:tabs>
        <w:spacing w:before="2" w:after="0" w:line="240" w:lineRule="auto"/>
        <w:ind w:left="1072" w:right="0" w:hanging="602"/>
        <w:jc w:val="left"/>
        <w:rPr>
          <w:color w:val="auto"/>
          <w:sz w:val="24"/>
        </w:rPr>
      </w:pPr>
      <w:r>
        <w:rPr>
          <w:color w:val="auto"/>
          <w:sz w:val="24"/>
        </w:rPr>
        <w:t>其他严重情形。</w:t>
      </w:r>
    </w:p>
    <w:p>
      <w:pPr>
        <w:pStyle w:val="2"/>
        <w:spacing w:before="194"/>
        <w:rPr>
          <w:color w:val="auto"/>
        </w:rPr>
      </w:pPr>
      <w:bookmarkStart w:id="4" w:name="二、提交虚假材料或者采取其他欺诈手段隐瞒重要事实取得公司登记"/>
      <w:bookmarkEnd w:id="4"/>
      <w:bookmarkStart w:id="5" w:name="_bookmark2"/>
      <w:bookmarkEnd w:id="5"/>
      <w:r>
        <w:rPr>
          <w:color w:val="auto"/>
        </w:rPr>
        <w:t>二、提交虚假材料或者采取其他欺诈手段隐瞒重要事实取得公司登记</w:t>
      </w:r>
    </w:p>
    <w:p>
      <w:pPr>
        <w:spacing w:before="192"/>
        <w:ind w:left="591" w:right="0" w:firstLine="0"/>
        <w:jc w:val="left"/>
        <w:rPr>
          <w:b/>
          <w:color w:val="auto"/>
          <w:sz w:val="24"/>
        </w:rPr>
      </w:pPr>
      <w:r>
        <w:rPr>
          <w:b/>
          <w:color w:val="auto"/>
          <w:sz w:val="24"/>
        </w:rPr>
        <w:t>（一）处罚依据</w:t>
      </w:r>
    </w:p>
    <w:p>
      <w:pPr>
        <w:pStyle w:val="4"/>
        <w:spacing w:before="191"/>
        <w:ind w:left="591"/>
        <w:rPr>
          <w:color w:val="auto"/>
        </w:rPr>
      </w:pPr>
      <w:r>
        <w:rPr>
          <w:color w:val="auto"/>
        </w:rPr>
        <w:t>《中华人民共和国公司法》第一百九十八条 违反本法规定，虚报注册资本、提</w:t>
      </w:r>
    </w:p>
    <w:p>
      <w:pPr>
        <w:spacing w:after="0"/>
        <w:rPr>
          <w:color w:val="auto"/>
        </w:rPr>
        <w:sectPr>
          <w:footerReference r:id="rId3" w:type="default"/>
          <w:footerReference r:id="rId4" w:type="even"/>
          <w:pgSz w:w="11910" w:h="16840"/>
          <w:pgMar w:top="1520" w:right="1260" w:bottom="1220" w:left="1420" w:header="0" w:footer="1034" w:gutter="0"/>
          <w:pgNumType w:start="1"/>
        </w:sectPr>
      </w:pPr>
    </w:p>
    <w:p>
      <w:pPr>
        <w:pStyle w:val="4"/>
        <w:spacing w:before="39" w:line="391" w:lineRule="auto"/>
        <w:ind w:right="268"/>
        <w:jc w:val="both"/>
        <w:rPr>
          <w:color w:val="auto"/>
        </w:rPr>
      </w:pPr>
      <w:r>
        <w:rPr>
          <w:color w:val="auto"/>
          <w:spacing w:val="-3"/>
        </w:rPr>
        <w:t>交虚假材料或者采取其他欺诈手段隐瞒重要事实取得公司登记的，由公司登记机关责</w:t>
      </w:r>
      <w:r>
        <w:rPr>
          <w:color w:val="auto"/>
          <w:spacing w:val="-6"/>
        </w:rPr>
        <w:t>令改正，对虚报注册资本的公司，处以虚报注册资本金额百分之五以上百分之十五以下的罚款；对提交虚假材料或者采取其他欺诈手段隐瞒重要事实的公司，处以五万元</w:t>
      </w:r>
      <w:r>
        <w:rPr>
          <w:color w:val="auto"/>
        </w:rPr>
        <w:t>以上五十万元以下的罚款；情节严重的，撤销公司登记或者吊销营业执照。</w:t>
      </w:r>
    </w:p>
    <w:p>
      <w:pPr>
        <w:spacing w:before="0" w:line="388" w:lineRule="auto"/>
        <w:ind w:left="591" w:right="6948" w:firstLine="0"/>
        <w:jc w:val="left"/>
        <w:rPr>
          <w:color w:val="auto"/>
          <w:sz w:val="24"/>
        </w:rPr>
      </w:pPr>
      <w:r>
        <w:rPr>
          <w:b/>
          <w:color w:val="auto"/>
          <w:sz w:val="24"/>
        </w:rPr>
        <w:t>（二）裁量标准</w:t>
      </w:r>
      <w:r>
        <w:rPr>
          <w:color w:val="auto"/>
          <w:sz w:val="24"/>
        </w:rPr>
        <w:t>1、罚款</w:t>
      </w:r>
    </w:p>
    <w:p>
      <w:pPr>
        <w:pStyle w:val="4"/>
        <w:ind w:left="591"/>
        <w:rPr>
          <w:color w:val="auto"/>
        </w:rPr>
      </w:pPr>
      <w:r>
        <w:rPr>
          <w:color w:val="auto"/>
        </w:rPr>
        <w:t>【较轻】</w:t>
      </w:r>
    </w:p>
    <w:p>
      <w:pPr>
        <w:pStyle w:val="4"/>
        <w:spacing w:before="193" w:line="388" w:lineRule="auto"/>
        <w:ind w:right="232" w:firstLine="480"/>
        <w:rPr>
          <w:color w:val="auto"/>
        </w:rPr>
      </w:pPr>
      <w:r>
        <w:rPr>
          <w:color w:val="auto"/>
        </w:rPr>
        <w:t>提交材料形式要件虚假，或者隐瞒一般事实取得公司登记，未造成不利影响的， 处以五万元以上十万元以下的罚款。</w:t>
      </w:r>
    </w:p>
    <w:p>
      <w:pPr>
        <w:pStyle w:val="4"/>
        <w:spacing w:before="2"/>
        <w:ind w:left="591"/>
        <w:rPr>
          <w:color w:val="auto"/>
        </w:rPr>
      </w:pPr>
      <w:r>
        <w:rPr>
          <w:color w:val="auto"/>
        </w:rPr>
        <w:t>【一般】</w:t>
      </w:r>
    </w:p>
    <w:p>
      <w:pPr>
        <w:pStyle w:val="4"/>
        <w:spacing w:before="195" w:line="388" w:lineRule="auto"/>
        <w:ind w:right="213" w:firstLine="480"/>
        <w:rPr>
          <w:color w:val="auto"/>
        </w:rPr>
      </w:pPr>
      <w:r>
        <w:rPr>
          <w:color w:val="auto"/>
        </w:rPr>
        <w:t>提交虚假材料，隐瞒重要事实骗取公司登记，未侵害他人利益或者未造成严重社会后果的，处以十万元以上三十万元以下的罚款。</w:t>
      </w:r>
    </w:p>
    <w:p>
      <w:pPr>
        <w:pStyle w:val="4"/>
        <w:spacing w:before="2"/>
        <w:ind w:left="591"/>
        <w:rPr>
          <w:color w:val="auto"/>
        </w:rPr>
      </w:pPr>
      <w:r>
        <w:rPr>
          <w:color w:val="auto"/>
        </w:rPr>
        <w:t>【严重】</w:t>
      </w:r>
    </w:p>
    <w:p>
      <w:pPr>
        <w:pStyle w:val="4"/>
        <w:spacing w:before="194" w:line="388" w:lineRule="auto"/>
        <w:ind w:right="213" w:firstLine="480"/>
        <w:rPr>
          <w:color w:val="auto"/>
        </w:rPr>
      </w:pPr>
      <w:r>
        <w:rPr>
          <w:color w:val="auto"/>
        </w:rPr>
        <w:t>提交虚假材料，隐瞒重要事实骗取公司登记，侵害他人利益或者造成严重社会后果的，处以三十万元以上五十万元以下的罚款。</w:t>
      </w:r>
    </w:p>
    <w:p>
      <w:pPr>
        <w:pStyle w:val="4"/>
        <w:spacing w:before="2"/>
        <w:ind w:left="591"/>
        <w:rPr>
          <w:color w:val="auto"/>
        </w:rPr>
      </w:pPr>
      <w:r>
        <w:rPr>
          <w:color w:val="auto"/>
        </w:rPr>
        <w:t>2、吊销营业执照</w:t>
      </w:r>
    </w:p>
    <w:p>
      <w:pPr>
        <w:pStyle w:val="13"/>
        <w:numPr>
          <w:ilvl w:val="1"/>
          <w:numId w:val="2"/>
        </w:numPr>
        <w:tabs>
          <w:tab w:val="left" w:pos="1193"/>
        </w:tabs>
        <w:spacing w:before="194" w:after="0" w:line="240" w:lineRule="auto"/>
        <w:ind w:left="1192" w:right="0" w:hanging="602"/>
        <w:jc w:val="left"/>
        <w:rPr>
          <w:color w:val="auto"/>
          <w:sz w:val="24"/>
        </w:rPr>
      </w:pPr>
      <w:r>
        <w:rPr>
          <w:color w:val="auto"/>
          <w:sz w:val="24"/>
        </w:rPr>
        <w:t>因提交虚假材料被追究刑事责任的；</w:t>
      </w:r>
    </w:p>
    <w:p>
      <w:pPr>
        <w:pStyle w:val="13"/>
        <w:numPr>
          <w:ilvl w:val="1"/>
          <w:numId w:val="2"/>
        </w:numPr>
        <w:tabs>
          <w:tab w:val="left" w:pos="1193"/>
        </w:tabs>
        <w:spacing w:before="192" w:after="0" w:line="240" w:lineRule="auto"/>
        <w:ind w:left="1192" w:right="0" w:hanging="602"/>
        <w:jc w:val="left"/>
        <w:rPr>
          <w:color w:val="auto"/>
          <w:sz w:val="24"/>
        </w:rPr>
      </w:pPr>
      <w:r>
        <w:rPr>
          <w:color w:val="auto"/>
          <w:sz w:val="24"/>
        </w:rPr>
        <w:t>利用营业执照从事违法犯罪活动的；</w:t>
      </w:r>
    </w:p>
    <w:p>
      <w:pPr>
        <w:pStyle w:val="13"/>
        <w:numPr>
          <w:ilvl w:val="1"/>
          <w:numId w:val="2"/>
        </w:numPr>
        <w:tabs>
          <w:tab w:val="left" w:pos="1193"/>
        </w:tabs>
        <w:spacing w:before="191" w:after="0" w:line="240" w:lineRule="auto"/>
        <w:ind w:left="1192" w:right="0" w:hanging="602"/>
        <w:jc w:val="left"/>
        <w:rPr>
          <w:color w:val="auto"/>
          <w:sz w:val="24"/>
        </w:rPr>
      </w:pPr>
      <w:r>
        <w:rPr>
          <w:color w:val="auto"/>
          <w:sz w:val="24"/>
        </w:rPr>
        <w:t>无法改正的；</w:t>
      </w:r>
    </w:p>
    <w:p>
      <w:pPr>
        <w:pStyle w:val="13"/>
        <w:numPr>
          <w:ilvl w:val="1"/>
          <w:numId w:val="2"/>
        </w:numPr>
        <w:tabs>
          <w:tab w:val="left" w:pos="1193"/>
        </w:tabs>
        <w:spacing w:before="194" w:after="0" w:line="240" w:lineRule="auto"/>
        <w:ind w:left="1192" w:right="0" w:hanging="602"/>
        <w:jc w:val="left"/>
        <w:rPr>
          <w:color w:val="auto"/>
          <w:sz w:val="24"/>
        </w:rPr>
      </w:pPr>
      <w:r>
        <w:rPr>
          <w:color w:val="auto"/>
          <w:sz w:val="24"/>
        </w:rPr>
        <w:t>其他严重情形。</w:t>
      </w:r>
    </w:p>
    <w:p>
      <w:pPr>
        <w:pStyle w:val="2"/>
        <w:spacing w:before="192"/>
        <w:rPr>
          <w:color w:val="auto"/>
        </w:rPr>
      </w:pPr>
      <w:bookmarkStart w:id="6" w:name="三、公司的发起人、股东虚假出资"/>
      <w:bookmarkEnd w:id="6"/>
      <w:bookmarkStart w:id="7" w:name="_bookmark3"/>
      <w:bookmarkEnd w:id="7"/>
      <w:r>
        <w:rPr>
          <w:color w:val="auto"/>
        </w:rPr>
        <w:t>三、公司的发起人、股东虚假出资</w:t>
      </w:r>
    </w:p>
    <w:p>
      <w:pPr>
        <w:spacing w:before="192"/>
        <w:ind w:left="591" w:right="0" w:firstLine="0"/>
        <w:jc w:val="left"/>
        <w:rPr>
          <w:b/>
          <w:color w:val="auto"/>
          <w:sz w:val="24"/>
        </w:rPr>
      </w:pPr>
      <w:r>
        <w:rPr>
          <w:b/>
          <w:color w:val="auto"/>
          <w:sz w:val="24"/>
        </w:rPr>
        <w:t>（一）处罚依据</w:t>
      </w:r>
    </w:p>
    <w:p>
      <w:pPr>
        <w:pStyle w:val="4"/>
        <w:spacing w:before="194" w:line="388" w:lineRule="auto"/>
        <w:ind w:right="232" w:firstLine="480"/>
        <w:jc w:val="both"/>
        <w:rPr>
          <w:color w:val="auto"/>
        </w:rPr>
      </w:pPr>
      <w:r>
        <w:rPr>
          <w:color w:val="auto"/>
        </w:rPr>
        <w:t>《中华人民共和国公司法》第一百九十九条 公司的发起人、股东虚假出资，未交付或者未按期交付作为出资的货币或者非货币财产的，由公司登记机关责令改正， 处以虚假出资金额百分之五以上百分之十五以下的罚款。</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ind w:left="591"/>
        <w:rPr>
          <w:color w:val="auto"/>
        </w:rPr>
      </w:pPr>
      <w:r>
        <w:rPr>
          <w:color w:val="auto"/>
        </w:rPr>
        <w:t>虚假出资金额占应出资金额百分之三十以下的，处以虚假出资金额百分之五以上</w:t>
      </w:r>
    </w:p>
    <w:p>
      <w:pPr>
        <w:spacing w:after="0"/>
        <w:rPr>
          <w:color w:val="auto"/>
        </w:rPr>
        <w:sectPr>
          <w:pgSz w:w="11910" w:h="16840"/>
          <w:pgMar w:top="1520" w:right="1260" w:bottom="1220" w:left="1420" w:header="0" w:footer="1034" w:gutter="0"/>
        </w:sectPr>
      </w:pPr>
    </w:p>
    <w:p>
      <w:pPr>
        <w:pStyle w:val="4"/>
        <w:spacing w:before="39" w:line="391" w:lineRule="auto"/>
        <w:ind w:left="591" w:right="6712" w:hanging="480"/>
        <w:rPr>
          <w:color w:val="auto"/>
        </w:rPr>
      </w:pPr>
      <w:r>
        <w:rPr>
          <w:color w:val="auto"/>
        </w:rPr>
        <w:t>百分之七以下的罚款。2.【一般】</w:t>
      </w:r>
    </w:p>
    <w:p>
      <w:pPr>
        <w:pStyle w:val="4"/>
        <w:spacing w:line="388" w:lineRule="auto"/>
        <w:ind w:right="213" w:firstLine="480"/>
        <w:rPr>
          <w:color w:val="auto"/>
        </w:rPr>
      </w:pPr>
      <w:r>
        <w:rPr>
          <w:color w:val="auto"/>
        </w:rPr>
        <w:t>虚假出资金额占应出资金额百分之三十以上百分之六十以下的，处以虚假出资金额百分之七以上百分之十以下的罚款。</w:t>
      </w:r>
    </w:p>
    <w:p>
      <w:pPr>
        <w:pStyle w:val="4"/>
        <w:spacing w:before="3"/>
        <w:ind w:left="591"/>
        <w:rPr>
          <w:color w:val="auto"/>
        </w:rPr>
      </w:pPr>
      <w:r>
        <w:rPr>
          <w:color w:val="auto"/>
        </w:rPr>
        <w:t>3.【严重】</w:t>
      </w:r>
    </w:p>
    <w:p>
      <w:pPr>
        <w:pStyle w:val="4"/>
        <w:spacing w:before="192" w:line="388" w:lineRule="auto"/>
        <w:ind w:right="213" w:firstLine="480"/>
        <w:rPr>
          <w:color w:val="auto"/>
        </w:rPr>
      </w:pPr>
      <w:r>
        <w:rPr>
          <w:color w:val="auto"/>
        </w:rPr>
        <w:t>虚假出资金额占应出资金额百分之六十以上的，处以虚假出资金额百分之十以上百分之十五以下的罚款。</w:t>
      </w:r>
    </w:p>
    <w:p>
      <w:pPr>
        <w:pStyle w:val="2"/>
        <w:spacing w:before="5"/>
        <w:rPr>
          <w:color w:val="auto"/>
        </w:rPr>
      </w:pPr>
      <w:bookmarkStart w:id="8" w:name="四、公司发起人、股东抽逃出资"/>
      <w:bookmarkEnd w:id="8"/>
      <w:bookmarkStart w:id="9" w:name="_bookmark4"/>
      <w:bookmarkEnd w:id="9"/>
      <w:r>
        <w:rPr>
          <w:color w:val="auto"/>
        </w:rPr>
        <w:t>四、公司发起人、股东抽逃出资</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《中华人民共和国公司法》第二百条 公司的发起人、股东在公司成立后，抽逃</w:t>
      </w:r>
      <w:r>
        <w:rPr>
          <w:color w:val="auto"/>
          <w:spacing w:val="-6"/>
        </w:rPr>
        <w:t>其出资的，由公司登记机关责令改正，处以所抽逃出资金额百分之五以上百分之十五</w:t>
      </w:r>
      <w:r>
        <w:rPr>
          <w:color w:val="auto"/>
        </w:rPr>
        <w:t>以下的罚款。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抽逃数额占应出资金额百分之三十以下的，处以所抽逃出资金额百分之五以上百分之七以下的罚款。</w:t>
      </w:r>
    </w:p>
    <w:p>
      <w:pPr>
        <w:pStyle w:val="13"/>
        <w:numPr>
          <w:ilvl w:val="0"/>
          <w:numId w:val="3"/>
        </w:numPr>
        <w:tabs>
          <w:tab w:val="left" w:pos="833"/>
        </w:tabs>
        <w:spacing w:before="0" w:after="0" w:line="240" w:lineRule="auto"/>
        <w:ind w:left="832" w:right="0" w:hanging="242"/>
        <w:jc w:val="left"/>
        <w:rPr>
          <w:color w:val="auto"/>
          <w:sz w:val="24"/>
        </w:rPr>
      </w:pPr>
      <w:r>
        <w:rPr>
          <w:color w:val="auto"/>
          <w:sz w:val="24"/>
        </w:rPr>
        <w:t>【一般】</w:t>
      </w:r>
    </w:p>
    <w:p>
      <w:pPr>
        <w:pStyle w:val="4"/>
        <w:spacing w:before="191" w:line="388" w:lineRule="auto"/>
        <w:ind w:right="213" w:firstLine="480"/>
        <w:rPr>
          <w:color w:val="auto"/>
        </w:rPr>
      </w:pPr>
      <w:r>
        <w:rPr>
          <w:color w:val="auto"/>
        </w:rPr>
        <w:t>抽逃数额占应出资金额百分之三十以上百分之六十以下的，处以所抽逃出资金额百分之七以上百分之十以下的罚款。</w:t>
      </w:r>
    </w:p>
    <w:p>
      <w:pPr>
        <w:pStyle w:val="13"/>
        <w:numPr>
          <w:ilvl w:val="0"/>
          <w:numId w:val="3"/>
        </w:numPr>
        <w:tabs>
          <w:tab w:val="left" w:pos="833"/>
        </w:tabs>
        <w:spacing w:before="4" w:after="0" w:line="240" w:lineRule="auto"/>
        <w:ind w:left="832" w:right="0" w:hanging="242"/>
        <w:jc w:val="left"/>
        <w:rPr>
          <w:color w:val="auto"/>
          <w:sz w:val="24"/>
        </w:rPr>
      </w:pPr>
      <w:r>
        <w:rPr>
          <w:color w:val="auto"/>
          <w:sz w:val="24"/>
        </w:rPr>
        <w:t>【严重】</w:t>
      </w:r>
    </w:p>
    <w:p>
      <w:pPr>
        <w:pStyle w:val="4"/>
        <w:spacing w:before="192" w:line="388" w:lineRule="auto"/>
        <w:ind w:right="268" w:firstLine="480"/>
        <w:rPr>
          <w:color w:val="auto"/>
        </w:rPr>
      </w:pPr>
      <w:r>
        <w:rPr>
          <w:color w:val="auto"/>
          <w:spacing w:val="-3"/>
        </w:rPr>
        <w:t>抽逃数额占应出资金额百分之六十以上的，处以所抽逃出资金额百分之十以上百</w:t>
      </w:r>
      <w:r>
        <w:rPr>
          <w:color w:val="auto"/>
        </w:rPr>
        <w:t>分之十五以下的罚款。</w:t>
      </w:r>
    </w:p>
    <w:p>
      <w:pPr>
        <w:pStyle w:val="2"/>
        <w:spacing w:before="5" w:line="388" w:lineRule="auto"/>
        <w:ind w:left="111" w:right="242" w:firstLine="480"/>
        <w:rPr>
          <w:color w:val="auto"/>
        </w:rPr>
      </w:pPr>
      <w:bookmarkStart w:id="10" w:name="五、公司在合并、分立、减少注册资本或者进行清算时不按规定通知或者公告债权人"/>
      <w:bookmarkEnd w:id="10"/>
      <w:bookmarkStart w:id="11" w:name="_bookmark5"/>
      <w:bookmarkEnd w:id="11"/>
      <w:r>
        <w:rPr>
          <w:color w:val="auto"/>
          <w:spacing w:val="-9"/>
        </w:rPr>
        <w:t>五、公司在合并、分立、减少注册资本或者进行清算时不按规定通知或者公告债权人</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《中华人民共和国公司法》第二百零四条第一款 公司在合并、分立、减少注册</w:t>
      </w:r>
      <w:r>
        <w:rPr>
          <w:color w:val="auto"/>
          <w:spacing w:val="-4"/>
        </w:rPr>
        <w:t>资本或者进行清算时，不依照本法规定通知或者公告债权人的，由公司登记机关责令</w:t>
      </w:r>
      <w:r>
        <w:rPr>
          <w:color w:val="auto"/>
        </w:rPr>
        <w:t>改正，对公司处以一万元以上十万元以下的罚款。</w:t>
      </w:r>
    </w:p>
    <w:p>
      <w:pPr>
        <w:spacing w:after="0" w:line="388" w:lineRule="auto"/>
        <w:jc w:val="both"/>
        <w:rPr>
          <w:color w:val="auto"/>
        </w:rPr>
        <w:sectPr>
          <w:pgSz w:w="11910" w:h="16840"/>
          <w:pgMar w:top="1520" w:right="1260" w:bottom="1220" w:left="1420" w:header="0" w:footer="1034" w:gutter="0"/>
        </w:sectPr>
      </w:pPr>
    </w:p>
    <w:p>
      <w:pPr>
        <w:spacing w:before="39"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right="268" w:firstLine="480"/>
        <w:rPr>
          <w:color w:val="auto"/>
        </w:rPr>
      </w:pPr>
      <w:r>
        <w:rPr>
          <w:color w:val="auto"/>
          <w:spacing w:val="-4"/>
        </w:rPr>
        <w:t>不按照规定通知或者公告债权人，情节轻微，积极改正的，处以一万元以上三万</w:t>
      </w:r>
      <w:r>
        <w:rPr>
          <w:color w:val="auto"/>
        </w:rPr>
        <w:t>元以下的罚款。</w:t>
      </w:r>
    </w:p>
    <w:p>
      <w:pPr>
        <w:pStyle w:val="13"/>
        <w:numPr>
          <w:ilvl w:val="0"/>
          <w:numId w:val="4"/>
        </w:numPr>
        <w:tabs>
          <w:tab w:val="left" w:pos="833"/>
        </w:tabs>
        <w:spacing w:before="3" w:after="0" w:line="240" w:lineRule="auto"/>
        <w:ind w:left="832" w:right="0" w:hanging="242"/>
        <w:jc w:val="left"/>
        <w:rPr>
          <w:color w:val="auto"/>
          <w:sz w:val="24"/>
        </w:rPr>
      </w:pPr>
      <w:r>
        <w:rPr>
          <w:color w:val="auto"/>
          <w:sz w:val="24"/>
        </w:rPr>
        <w:t>【一般】</w:t>
      </w:r>
    </w:p>
    <w:p>
      <w:pPr>
        <w:pStyle w:val="4"/>
        <w:spacing w:before="192" w:line="388" w:lineRule="auto"/>
        <w:ind w:right="213" w:firstLine="480"/>
        <w:rPr>
          <w:color w:val="auto"/>
        </w:rPr>
      </w:pPr>
      <w:r>
        <w:rPr>
          <w:color w:val="auto"/>
        </w:rPr>
        <w:t>不按照规定通知或者公告债权人，给债权人造成损失的，处以三万元以上七万元以下的罚款。</w:t>
      </w:r>
    </w:p>
    <w:p>
      <w:pPr>
        <w:pStyle w:val="13"/>
        <w:numPr>
          <w:ilvl w:val="0"/>
          <w:numId w:val="4"/>
        </w:numPr>
        <w:tabs>
          <w:tab w:val="left" w:pos="833"/>
        </w:tabs>
        <w:spacing w:before="5" w:after="0" w:line="240" w:lineRule="auto"/>
        <w:ind w:left="832" w:right="0" w:hanging="242"/>
        <w:jc w:val="left"/>
        <w:rPr>
          <w:color w:val="auto"/>
          <w:sz w:val="24"/>
        </w:rPr>
      </w:pPr>
      <w:r>
        <w:rPr>
          <w:color w:val="auto"/>
          <w:sz w:val="24"/>
        </w:rPr>
        <w:t>【严重】</w:t>
      </w:r>
    </w:p>
    <w:p>
      <w:pPr>
        <w:pStyle w:val="4"/>
        <w:spacing w:before="191" w:line="388" w:lineRule="auto"/>
        <w:ind w:right="213" w:firstLine="480"/>
        <w:rPr>
          <w:color w:val="auto"/>
        </w:rPr>
      </w:pPr>
      <w:r>
        <w:rPr>
          <w:color w:val="auto"/>
        </w:rPr>
        <w:t>未通知或者公告债权人，给债权人造成严重损失的，处以七万元以上十万元以下的罚款。</w:t>
      </w:r>
    </w:p>
    <w:p>
      <w:pPr>
        <w:pStyle w:val="2"/>
        <w:spacing w:before="5" w:line="388" w:lineRule="auto"/>
        <w:ind w:left="111" w:right="240" w:firstLine="480"/>
        <w:rPr>
          <w:color w:val="auto"/>
        </w:rPr>
      </w:pPr>
      <w:bookmarkStart w:id="12" w:name="_bookmark6"/>
      <w:bookmarkEnd w:id="12"/>
      <w:bookmarkStart w:id="13" w:name="六、清算时隐匿财产对资产负债表或者财产清单作虚假记载或者在未清偿债务前分配公司财"/>
      <w:bookmarkEnd w:id="13"/>
      <w:r>
        <w:rPr>
          <w:color w:val="auto"/>
          <w:spacing w:val="-9"/>
        </w:rPr>
        <w:t>六、清算时隐匿财产对资产负债表或者财产清单作虚假记载或者在未清偿债务前分配公司财产</w:t>
      </w:r>
    </w:p>
    <w:p>
      <w:pPr>
        <w:spacing w:before="2"/>
        <w:ind w:left="591" w:right="0" w:firstLine="0"/>
        <w:jc w:val="left"/>
        <w:rPr>
          <w:b/>
          <w:color w:val="auto"/>
          <w:sz w:val="24"/>
        </w:rPr>
      </w:pPr>
      <w:r>
        <w:rPr>
          <w:b/>
          <w:color w:val="auto"/>
          <w:sz w:val="24"/>
        </w:rPr>
        <w:t>（一）处罚依据</w:t>
      </w:r>
    </w:p>
    <w:p>
      <w:pPr>
        <w:pStyle w:val="4"/>
        <w:spacing w:before="194" w:line="391" w:lineRule="auto"/>
        <w:ind w:right="148" w:firstLine="480"/>
        <w:rPr>
          <w:color w:val="auto"/>
        </w:rPr>
      </w:pPr>
      <w:r>
        <w:rPr>
          <w:color w:val="auto"/>
          <w:spacing w:val="-4"/>
        </w:rPr>
        <w:t xml:space="preserve">《中华人民共和国公司法》第二百零四条第二款 公司在进行清算时，隐匿财产， </w:t>
      </w:r>
      <w:r>
        <w:rPr>
          <w:color w:val="auto"/>
          <w:spacing w:val="-2"/>
        </w:rPr>
        <w:t>对资产负债表或者财产清单作虚假记载或者在未清偿债务前分配公司财产的，由公司</w:t>
      </w:r>
      <w:r>
        <w:rPr>
          <w:color w:val="auto"/>
          <w:spacing w:val="-6"/>
        </w:rPr>
        <w:t>登记机关责令改正，对公司处以隐匿财产或者未清偿债务前分配公司财产金额百分之</w:t>
      </w:r>
      <w:r>
        <w:rPr>
          <w:color w:val="auto"/>
          <w:spacing w:val="-9"/>
        </w:rPr>
        <w:t>五以上百分之十以下的罚款；对直接负责的主管人员和其他直接责任人员处以一万元以上十万元以下的罚款。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3"/>
        </w:rPr>
        <w:t>隐匿财产或者未清偿债务前分配公司财产金额五十万元以下的，处以隐匿财产或者未清偿债务前分配公司财产金额百分之五以上百分之六以下的罚款；对直接负责的</w:t>
      </w:r>
      <w:r>
        <w:rPr>
          <w:color w:val="auto"/>
        </w:rPr>
        <w:t>主管人员和其他直接责任人员处以一万元以上三万元以下的罚款。</w:t>
      </w:r>
    </w:p>
    <w:p>
      <w:pPr>
        <w:pStyle w:val="13"/>
        <w:numPr>
          <w:ilvl w:val="0"/>
          <w:numId w:val="5"/>
        </w:numPr>
        <w:tabs>
          <w:tab w:val="left" w:pos="833"/>
        </w:tabs>
        <w:spacing w:before="0" w:after="0" w:line="304" w:lineRule="exact"/>
        <w:ind w:left="832" w:right="0" w:hanging="242"/>
        <w:jc w:val="left"/>
        <w:rPr>
          <w:color w:val="auto"/>
          <w:sz w:val="24"/>
        </w:rPr>
      </w:pPr>
      <w:r>
        <w:rPr>
          <w:color w:val="auto"/>
          <w:sz w:val="24"/>
        </w:rPr>
        <w:t>【一般】</w:t>
      </w:r>
    </w:p>
    <w:p>
      <w:pPr>
        <w:pStyle w:val="4"/>
        <w:spacing w:before="182" w:line="391" w:lineRule="auto"/>
        <w:ind w:right="232" w:firstLine="480"/>
        <w:jc w:val="both"/>
        <w:rPr>
          <w:color w:val="auto"/>
        </w:rPr>
      </w:pPr>
      <w:r>
        <w:rPr>
          <w:color w:val="auto"/>
        </w:rPr>
        <w:t>隐匿财产或者未清偿债务前分配公司财产金额五十万元以上一百万元以下的，处以隐匿财产或者未清偿债务前分配公司财产金额百分之六以上百分之八以下的罚款； 对直接负责的主管人员和其他直接责任人员处以三万元以上七万元以下的罚款。</w:t>
      </w:r>
    </w:p>
    <w:p>
      <w:pPr>
        <w:pStyle w:val="13"/>
        <w:numPr>
          <w:ilvl w:val="0"/>
          <w:numId w:val="5"/>
        </w:numPr>
        <w:tabs>
          <w:tab w:val="left" w:pos="833"/>
        </w:tabs>
        <w:spacing w:before="0" w:after="0" w:line="304" w:lineRule="exact"/>
        <w:ind w:left="832" w:right="0" w:hanging="242"/>
        <w:jc w:val="left"/>
        <w:rPr>
          <w:color w:val="auto"/>
          <w:sz w:val="24"/>
        </w:rPr>
      </w:pPr>
      <w:r>
        <w:rPr>
          <w:color w:val="auto"/>
          <w:sz w:val="24"/>
        </w:rPr>
        <w:t>【严重】</w:t>
      </w:r>
    </w:p>
    <w:p>
      <w:pPr>
        <w:spacing w:after="0" w:line="304" w:lineRule="exact"/>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spacing w:val="-3"/>
        </w:rPr>
        <w:t>隐匿财产或者未清偿债务前分配公司财产金额一百万元以上的，处以隐匿财产或者未清偿债务前分配公司财产金额百分之八以上百分之十以下的罚款；对直接负责的</w:t>
      </w:r>
      <w:r>
        <w:rPr>
          <w:color w:val="auto"/>
        </w:rPr>
        <w:t>主管人员和其他直接责任人员处以七万元以上十万元以下的罚款。</w:t>
      </w:r>
    </w:p>
    <w:p>
      <w:pPr>
        <w:pStyle w:val="2"/>
        <w:spacing w:line="304" w:lineRule="exact"/>
        <w:rPr>
          <w:color w:val="auto"/>
        </w:rPr>
      </w:pPr>
      <w:bookmarkStart w:id="14" w:name="_bookmark7"/>
      <w:bookmarkEnd w:id="14"/>
      <w:bookmarkStart w:id="15" w:name="七、清算组成员利用职权徇私舞弊谋取非法收入或者侵占公司财产"/>
      <w:bookmarkEnd w:id="15"/>
      <w:r>
        <w:rPr>
          <w:color w:val="auto"/>
        </w:rPr>
        <w:t>七、清算组成员利用职权徇私舞弊谋取非法收入或者侵占公司财产</w:t>
      </w:r>
    </w:p>
    <w:p>
      <w:pPr>
        <w:spacing w:before="195"/>
        <w:ind w:left="591" w:right="0" w:firstLine="0"/>
        <w:jc w:val="left"/>
        <w:rPr>
          <w:b/>
          <w:color w:val="auto"/>
          <w:sz w:val="24"/>
        </w:rPr>
      </w:pPr>
      <w:r>
        <w:rPr>
          <w:b/>
          <w:color w:val="auto"/>
          <w:sz w:val="24"/>
        </w:rPr>
        <w:t>（一）处罚依据</w:t>
      </w:r>
    </w:p>
    <w:p>
      <w:pPr>
        <w:pStyle w:val="4"/>
        <w:spacing w:before="191" w:line="391" w:lineRule="auto"/>
        <w:ind w:right="116" w:firstLine="480"/>
        <w:rPr>
          <w:color w:val="auto"/>
        </w:rPr>
      </w:pPr>
      <w:r>
        <w:rPr>
          <w:color w:val="auto"/>
        </w:rPr>
        <w:t>《中华人民共和国公司法》第二百零六条第二款 清算组成员利用职权徇私舞弊、谋取非法收入或者侵占公司财产的，由公司登记机关责令退还公司财产，没收违法所得，并可以处以违法所得一倍以上五倍以下的罚款。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before="1" w:line="388" w:lineRule="auto"/>
        <w:ind w:right="213" w:firstLine="480"/>
        <w:rPr>
          <w:color w:val="auto"/>
        </w:rPr>
      </w:pPr>
      <w:r>
        <w:rPr>
          <w:color w:val="auto"/>
        </w:rPr>
        <w:t>清算组成员利用职权徇私舞弊、谋取非法收入或者侵占公司财产，获取违法所得十万元以下的，没收违法所得，并可以处违法所得一倍以上二倍以下的罚款。</w:t>
      </w:r>
    </w:p>
    <w:p>
      <w:pPr>
        <w:pStyle w:val="13"/>
        <w:numPr>
          <w:ilvl w:val="0"/>
          <w:numId w:val="6"/>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148" w:firstLine="480"/>
        <w:rPr>
          <w:color w:val="auto"/>
        </w:rPr>
      </w:pPr>
      <w:r>
        <w:rPr>
          <w:color w:val="auto"/>
          <w:spacing w:val="-3"/>
        </w:rPr>
        <w:t>清算组成员利用职权徇私舞弊、谋取非法收入或者侵占公司财产，获取违法所得</w:t>
      </w:r>
      <w:r>
        <w:rPr>
          <w:color w:val="auto"/>
          <w:spacing w:val="-14"/>
        </w:rPr>
        <w:t>十万元以上五十万元以下的，没收违法所得，并处违法所得二倍以上三倍以下的罚款。</w:t>
      </w:r>
    </w:p>
    <w:p>
      <w:pPr>
        <w:pStyle w:val="13"/>
        <w:numPr>
          <w:ilvl w:val="0"/>
          <w:numId w:val="6"/>
        </w:numPr>
        <w:tabs>
          <w:tab w:val="left" w:pos="833"/>
        </w:tabs>
        <w:spacing w:before="2" w:after="0" w:line="240" w:lineRule="auto"/>
        <w:ind w:left="832" w:right="0" w:hanging="242"/>
        <w:jc w:val="left"/>
        <w:rPr>
          <w:color w:val="auto"/>
          <w:sz w:val="24"/>
        </w:rPr>
      </w:pPr>
      <w:r>
        <w:rPr>
          <w:color w:val="auto"/>
          <w:sz w:val="24"/>
        </w:rPr>
        <w:t>【严重】</w:t>
      </w:r>
    </w:p>
    <w:p>
      <w:pPr>
        <w:pStyle w:val="4"/>
        <w:spacing w:before="195" w:line="388" w:lineRule="auto"/>
        <w:ind w:right="213" w:firstLine="480"/>
        <w:rPr>
          <w:color w:val="auto"/>
        </w:rPr>
      </w:pPr>
      <w:r>
        <w:rPr>
          <w:color w:val="auto"/>
        </w:rPr>
        <w:t>清算组成员利用职权徇私舞弊、谋取非法收入或者侵占公司财产，获取违法所得五十万元以上的，没收违法所得，并处违法所得三倍以上五倍以下的罚款。</w:t>
      </w:r>
    </w:p>
    <w:p>
      <w:pPr>
        <w:pStyle w:val="2"/>
        <w:spacing w:before="2"/>
        <w:rPr>
          <w:color w:val="auto"/>
        </w:rPr>
      </w:pPr>
      <w:bookmarkStart w:id="16" w:name="八、承担资产评估、验资或者验证的机构提供虚假材料"/>
      <w:bookmarkEnd w:id="16"/>
      <w:bookmarkStart w:id="17" w:name="_bookmark8"/>
      <w:bookmarkEnd w:id="17"/>
      <w:r>
        <w:rPr>
          <w:color w:val="auto"/>
        </w:rPr>
        <w:t>八、承担资产评估、验资或者验证的机构提供虚假材料</w:t>
      </w:r>
    </w:p>
    <w:p>
      <w:pPr>
        <w:spacing w:before="194"/>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《中华人民共和国公司法》第二百零七条第一款 承担资产评估、验资或者验证</w:t>
      </w:r>
      <w:r>
        <w:rPr>
          <w:color w:val="auto"/>
          <w:spacing w:val="-4"/>
        </w:rPr>
        <w:t>的机构提供虚假材料的，由公司登记机关没收违法所得，处以违法所得一倍以上五倍</w:t>
      </w:r>
      <w:r>
        <w:rPr>
          <w:color w:val="auto"/>
          <w:spacing w:val="-6"/>
        </w:rPr>
        <w:t>以下的罚款，并可以由有关主管部门依法责令该机构停业、吊销直接责任人员的资格</w:t>
      </w:r>
      <w:r>
        <w:rPr>
          <w:color w:val="auto"/>
        </w:rPr>
        <w:t>证书，吊销营业执照。</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32" w:firstLine="480"/>
        <w:rPr>
          <w:color w:val="auto"/>
        </w:rPr>
      </w:pPr>
      <w:r>
        <w:rPr>
          <w:color w:val="auto"/>
        </w:rPr>
        <w:t>承担资产评估、验资或者验证的机构提供虚假证明材料，未给他人造成损失的， 没收违法所得，处以违法所得一倍以上二倍以下的罚款。</w:t>
      </w:r>
    </w:p>
    <w:p>
      <w:pPr>
        <w:spacing w:after="0" w:line="388" w:lineRule="auto"/>
        <w:rPr>
          <w:color w:val="auto"/>
        </w:rPr>
        <w:sectPr>
          <w:pgSz w:w="11910" w:h="16840"/>
          <w:pgMar w:top="1520" w:right="1260" w:bottom="1220" w:left="1420" w:header="0" w:footer="1034" w:gutter="0"/>
        </w:sectPr>
      </w:pPr>
    </w:p>
    <w:p>
      <w:pPr>
        <w:pStyle w:val="13"/>
        <w:numPr>
          <w:ilvl w:val="0"/>
          <w:numId w:val="7"/>
        </w:numPr>
        <w:tabs>
          <w:tab w:val="left" w:pos="833"/>
        </w:tabs>
        <w:spacing w:before="39"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承担资产评估、验资或者验证的机构提供虚假证明材料，给他人造成损失的，没收违法所得，处以违法所得二倍以上三倍以下的罚款。</w:t>
      </w:r>
    </w:p>
    <w:p>
      <w:pPr>
        <w:pStyle w:val="13"/>
        <w:numPr>
          <w:ilvl w:val="0"/>
          <w:numId w:val="7"/>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5"/>
        </w:rPr>
        <w:t>承担资产评估、验资或者验证的机构提供虚假证明材料，给他人造成损失，且造成不良社会后果的，没收违法所得，处以违法所得三倍以上五倍以下的罚款；情节严</w:t>
      </w:r>
      <w:r>
        <w:rPr>
          <w:color w:val="auto"/>
        </w:rPr>
        <w:t>重的，吊销营业执照。</w:t>
      </w:r>
    </w:p>
    <w:p>
      <w:pPr>
        <w:pStyle w:val="2"/>
        <w:spacing w:before="5"/>
        <w:rPr>
          <w:color w:val="auto"/>
        </w:rPr>
      </w:pPr>
      <w:bookmarkStart w:id="18" w:name="九、承担资产评估、验资或者验证的机构因过失提供有重大遗漏的报告"/>
      <w:bookmarkEnd w:id="18"/>
      <w:bookmarkStart w:id="19" w:name="_bookmark9"/>
      <w:bookmarkEnd w:id="19"/>
      <w:r>
        <w:rPr>
          <w:color w:val="auto"/>
        </w:rPr>
        <w:t>九、承担资产评估、验资或者验证的机构因过失提供有重大遗漏的报告</w:t>
      </w:r>
    </w:p>
    <w:p>
      <w:pPr>
        <w:spacing w:before="192"/>
        <w:ind w:left="591" w:right="0" w:firstLine="0"/>
        <w:jc w:val="left"/>
        <w:rPr>
          <w:b/>
          <w:color w:val="auto"/>
          <w:sz w:val="24"/>
        </w:rPr>
      </w:pPr>
      <w:r>
        <w:rPr>
          <w:b/>
          <w:color w:val="auto"/>
          <w:sz w:val="24"/>
        </w:rPr>
        <w:t>（一）处罚依据</w:t>
      </w:r>
    </w:p>
    <w:p>
      <w:pPr>
        <w:pStyle w:val="4"/>
        <w:spacing w:before="192" w:line="391" w:lineRule="auto"/>
        <w:ind w:right="232" w:firstLine="480"/>
        <w:jc w:val="both"/>
        <w:rPr>
          <w:color w:val="auto"/>
        </w:rPr>
      </w:pPr>
      <w:r>
        <w:rPr>
          <w:color w:val="auto"/>
        </w:rPr>
        <w:t>《中华人民共和国公司法》第二百零七条第二款 承担资产评估、验资或者验证的机构因过失提供有重大遗漏的报告的，由公司登记机关责令改正，情节较重的，处以所得收入一倍以上五倍以下的罚款，并可以由有关主管部门依法责令该机构停业、吊销直接责任人员的资格证书，吊销营业执照。</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13" w:firstLine="480"/>
        <w:rPr>
          <w:color w:val="auto"/>
        </w:rPr>
      </w:pPr>
      <w:r>
        <w:rPr>
          <w:color w:val="auto"/>
        </w:rPr>
        <w:t>承担资产评估、验资或者验证的机构因过失提供有重大遗漏的报告，给他人造成损失三万元以下的，处以所得收入一倍以上二倍以下的罚款。</w:t>
      </w:r>
    </w:p>
    <w:p>
      <w:pPr>
        <w:pStyle w:val="13"/>
        <w:numPr>
          <w:ilvl w:val="0"/>
          <w:numId w:val="8"/>
        </w:numPr>
        <w:tabs>
          <w:tab w:val="left" w:pos="833"/>
        </w:tabs>
        <w:spacing w:before="0" w:after="0" w:line="306" w:lineRule="exact"/>
        <w:ind w:left="832" w:right="0" w:hanging="242"/>
        <w:jc w:val="left"/>
        <w:rPr>
          <w:color w:val="auto"/>
          <w:sz w:val="24"/>
        </w:rPr>
      </w:pPr>
      <w:r>
        <w:rPr>
          <w:color w:val="auto"/>
          <w:sz w:val="24"/>
        </w:rPr>
        <w:t>【一般】</w:t>
      </w:r>
    </w:p>
    <w:p>
      <w:pPr>
        <w:pStyle w:val="4"/>
        <w:spacing w:before="190" w:line="391" w:lineRule="auto"/>
        <w:ind w:right="213" w:firstLine="480"/>
        <w:rPr>
          <w:color w:val="auto"/>
        </w:rPr>
      </w:pPr>
      <w:r>
        <w:rPr>
          <w:color w:val="auto"/>
        </w:rPr>
        <w:t>承担资产评估、验资或者验证的机构因过失提供有重大遗漏的报告，给他人造成损失三万元以上十万元以下的，处以所得收入二倍以上三倍以下的罚款。</w:t>
      </w:r>
    </w:p>
    <w:p>
      <w:pPr>
        <w:pStyle w:val="13"/>
        <w:numPr>
          <w:ilvl w:val="0"/>
          <w:numId w:val="8"/>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68" w:firstLine="480"/>
        <w:jc w:val="both"/>
        <w:rPr>
          <w:color w:val="auto"/>
        </w:rPr>
      </w:pPr>
      <w:r>
        <w:rPr>
          <w:color w:val="auto"/>
          <w:spacing w:val="-5"/>
        </w:rPr>
        <w:t>承担资产评估、验资或者验证的机构因过失提供有重大遗漏的报告，给他人造成损失十万元以上的，处以所得收入三倍以上五倍以下的罚款；情节严重的，吊销营业</w:t>
      </w:r>
      <w:r>
        <w:rPr>
          <w:color w:val="auto"/>
        </w:rPr>
        <w:t>执照。</w:t>
      </w:r>
    </w:p>
    <w:p>
      <w:pPr>
        <w:pStyle w:val="2"/>
        <w:spacing w:line="304" w:lineRule="exact"/>
        <w:rPr>
          <w:color w:val="auto"/>
        </w:rPr>
      </w:pPr>
      <w:bookmarkStart w:id="20" w:name="_bookmark10"/>
      <w:bookmarkEnd w:id="20"/>
      <w:bookmarkStart w:id="21" w:name="十、冒用公司或者分公司名义"/>
      <w:bookmarkEnd w:id="21"/>
      <w:r>
        <w:rPr>
          <w:color w:val="auto"/>
        </w:rPr>
        <w:t>十、冒用公司或者分公司名义</w:t>
      </w:r>
    </w:p>
    <w:p>
      <w:pPr>
        <w:spacing w:before="194"/>
        <w:ind w:left="591" w:right="0" w:firstLine="0"/>
        <w:jc w:val="left"/>
        <w:rPr>
          <w:b/>
          <w:color w:val="auto"/>
          <w:sz w:val="24"/>
        </w:rPr>
      </w:pPr>
      <w:r>
        <w:rPr>
          <w:b/>
          <w:color w:val="auto"/>
          <w:sz w:val="24"/>
        </w:rPr>
        <w:t>（一）处罚依据</w:t>
      </w:r>
    </w:p>
    <w:p>
      <w:pPr>
        <w:pStyle w:val="4"/>
        <w:spacing w:before="192" w:line="388" w:lineRule="auto"/>
        <w:ind w:right="213" w:firstLine="480"/>
        <w:rPr>
          <w:color w:val="auto"/>
        </w:rPr>
      </w:pPr>
      <w:r>
        <w:rPr>
          <w:color w:val="auto"/>
        </w:rPr>
        <w:t>《中华人民共和国公司法》第二百一十条 未依法登记为有限责任公司或者股份有限公司，而冒用有限责任公司或者股份有限公司名义的，或者未依法登记为有限责</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任公司或者股份有限公司的分公司，而冒用有限责任公司或者股份有限公司的分公司名义的，由公司登记机关责令改正或者予以取缔，可以并处十万元以下的罚款。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before="3" w:line="388" w:lineRule="auto"/>
        <w:ind w:right="213" w:firstLine="480"/>
        <w:rPr>
          <w:color w:val="auto"/>
        </w:rPr>
      </w:pPr>
      <w:r>
        <w:rPr>
          <w:color w:val="auto"/>
        </w:rPr>
        <w:t>非公司市场主体擅自改变组织形式，以公司或者分公司名义从事经营活动的，可以处二万元以下的罚款。</w:t>
      </w:r>
    </w:p>
    <w:p>
      <w:pPr>
        <w:pStyle w:val="13"/>
        <w:numPr>
          <w:ilvl w:val="0"/>
          <w:numId w:val="9"/>
        </w:numPr>
        <w:tabs>
          <w:tab w:val="left" w:pos="833"/>
        </w:tabs>
        <w:spacing w:before="2"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未经登记注册以公司或者分公司名义从事经营活动的，处以二万元以上六万元以下的罚款。</w:t>
      </w:r>
    </w:p>
    <w:p>
      <w:pPr>
        <w:pStyle w:val="13"/>
        <w:numPr>
          <w:ilvl w:val="0"/>
          <w:numId w:val="9"/>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市场主体冒用其他公司或者分公司名义从事经营活动的，处以六万元以上十万元以下的罚款。</w:t>
      </w:r>
    </w:p>
    <w:p>
      <w:pPr>
        <w:pStyle w:val="2"/>
        <w:spacing w:before="2"/>
        <w:rPr>
          <w:color w:val="auto"/>
        </w:rPr>
      </w:pPr>
      <w:bookmarkStart w:id="22" w:name="_bookmark11"/>
      <w:bookmarkEnd w:id="22"/>
      <w:bookmarkStart w:id="23" w:name="十一、公司未按规定办理变更登记"/>
      <w:bookmarkEnd w:id="23"/>
      <w:r>
        <w:rPr>
          <w:color w:val="auto"/>
        </w:rPr>
        <w:t>十一、公司未按规定办理变更登记</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 xml:space="preserve">《中华人民共和国公司法》第二百一十一条第二款 </w:t>
      </w:r>
      <w:r>
        <w:rPr>
          <w:color w:val="auto"/>
        </w:rPr>
        <w:t xml:space="preserve">公司登记事项发生变更时， </w:t>
      </w:r>
      <w:r>
        <w:rPr>
          <w:color w:val="auto"/>
          <w:spacing w:val="-9"/>
        </w:rPr>
        <w:t>未依照本法规定办理有关变更登记的</w:t>
      </w:r>
      <w:r>
        <w:rPr>
          <w:color w:val="auto"/>
          <w:spacing w:val="-9"/>
        </w:rPr>
        <w:t xml:space="preserve">，由公司登记机关责令限期登记；逾期不登记的， </w:t>
      </w:r>
      <w:r>
        <w:rPr>
          <w:color w:val="auto"/>
        </w:rPr>
        <w:t>处以一万元以上十万元以下的罚款。</w:t>
      </w:r>
    </w:p>
    <w:p>
      <w:pPr>
        <w:numPr>
          <w:ilvl w:val="0"/>
          <w:numId w:val="10"/>
        </w:numPr>
        <w:spacing w:before="0" w:line="388" w:lineRule="auto"/>
        <w:ind w:left="591" w:right="6948" w:firstLine="0"/>
        <w:jc w:val="left"/>
        <w:rPr>
          <w:b/>
          <w:color w:val="auto"/>
          <w:spacing w:val="-5"/>
          <w:sz w:val="24"/>
        </w:rPr>
      </w:pPr>
      <w:r>
        <w:rPr>
          <w:b/>
          <w:color w:val="auto"/>
          <w:spacing w:val="-5"/>
          <w:sz w:val="24"/>
        </w:rPr>
        <w:t>裁量标准</w:t>
      </w:r>
    </w:p>
    <w:p>
      <w:pPr>
        <w:numPr>
          <w:ilvl w:val="0"/>
          <w:numId w:val="0"/>
        </w:numPr>
        <w:spacing w:before="0" w:line="388" w:lineRule="auto"/>
        <w:ind w:left="591" w:leftChars="0" w:right="6948" w:rightChars="0"/>
        <w:jc w:val="left"/>
        <w:rPr>
          <w:color w:val="auto"/>
          <w:sz w:val="24"/>
        </w:rPr>
      </w:pPr>
      <w:r>
        <w:rPr>
          <w:rFonts w:hint="eastAsia"/>
          <w:b/>
          <w:color w:val="auto"/>
          <w:spacing w:val="-5"/>
          <w:sz w:val="24"/>
          <w:lang w:val="en-US" w:eastAsia="zh-CN"/>
        </w:rPr>
        <w:t>1.</w:t>
      </w:r>
      <w:r>
        <w:rPr>
          <w:color w:val="auto"/>
          <w:sz w:val="24"/>
        </w:rPr>
        <w:t>【</w:t>
      </w:r>
      <w:r>
        <w:rPr>
          <w:rFonts w:hint="eastAsia"/>
          <w:color w:val="auto"/>
          <w:sz w:val="24"/>
          <w:lang w:eastAsia="zh-CN"/>
        </w:rPr>
        <w:t>不予处罚</w:t>
      </w:r>
      <w:r>
        <w:rPr>
          <w:color w:val="auto"/>
          <w:sz w:val="24"/>
        </w:rPr>
        <w:t>】</w:t>
      </w:r>
    </w:p>
    <w:p>
      <w:pPr>
        <w:keepNext w:val="0"/>
        <w:keepLines w:val="0"/>
        <w:widowControl/>
        <w:suppressLineNumbers w:val="0"/>
        <w:ind w:firstLine="960" w:firstLineChars="400"/>
        <w:jc w:val="left"/>
        <w:rPr>
          <w:rFonts w:hint="default"/>
          <w:color w:val="auto"/>
          <w:sz w:val="24"/>
          <w:lang w:val="en-US" w:eastAsia="zh-CN"/>
        </w:rPr>
      </w:pPr>
      <w:r>
        <w:rPr>
          <w:rFonts w:hint="eastAsia" w:ascii="宋体" w:hAnsi="宋体" w:eastAsia="宋体" w:cs="宋体"/>
          <w:color w:val="auto"/>
          <w:kern w:val="0"/>
          <w:sz w:val="24"/>
          <w:szCs w:val="24"/>
          <w:lang w:val="en-US" w:eastAsia="zh-CN" w:bidi="ar"/>
        </w:rPr>
        <w:t>自行改正或者在行政机关责令改正的期限内改正</w:t>
      </w:r>
      <w:r>
        <w:rPr>
          <w:rFonts w:hint="eastAsia" w:cs="宋体"/>
          <w:color w:val="auto"/>
          <w:kern w:val="0"/>
          <w:sz w:val="24"/>
          <w:szCs w:val="24"/>
          <w:lang w:val="en-US" w:eastAsia="zh-CN" w:bidi="ar"/>
        </w:rPr>
        <w:t>。</w:t>
      </w:r>
    </w:p>
    <w:p>
      <w:pPr>
        <w:spacing w:before="0" w:line="388"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4"/>
        <w:spacing w:line="388" w:lineRule="auto"/>
        <w:ind w:left="591" w:right="1672"/>
        <w:rPr>
          <w:color w:val="auto"/>
        </w:rPr>
      </w:pPr>
      <w:r>
        <w:rPr>
          <w:color w:val="auto"/>
          <w:spacing w:val="-1"/>
        </w:rPr>
        <w:t>变更登记事项不需要审批的，处以一万元以上三万元以下的罚款。</w:t>
      </w:r>
      <w:r>
        <w:rPr>
          <w:rFonts w:hint="eastAsia"/>
          <w:color w:val="auto"/>
          <w:spacing w:val="-1"/>
          <w:lang w:val="en-US" w:eastAsia="zh-CN"/>
        </w:rPr>
        <w:t>3</w:t>
      </w:r>
      <w:r>
        <w:rPr>
          <w:color w:val="auto"/>
        </w:rPr>
        <w:t>.【一般】</w:t>
      </w:r>
    </w:p>
    <w:p>
      <w:pPr>
        <w:pStyle w:val="4"/>
        <w:spacing w:before="3" w:line="391" w:lineRule="auto"/>
        <w:ind w:left="591" w:right="1432"/>
        <w:rPr>
          <w:color w:val="auto"/>
        </w:rPr>
      </w:pPr>
      <w:r>
        <w:rPr>
          <w:color w:val="auto"/>
          <w:spacing w:val="-1"/>
        </w:rPr>
        <w:t>变更登记事项需要后置审批的，处以三万元以上七万元以下的罚款。</w:t>
      </w:r>
      <w:r>
        <w:rPr>
          <w:rFonts w:hint="eastAsia"/>
          <w:color w:val="auto"/>
          <w:spacing w:val="-1"/>
          <w:lang w:val="en-US" w:eastAsia="zh-CN"/>
        </w:rPr>
        <w:t>4.</w:t>
      </w:r>
      <w:r>
        <w:rPr>
          <w:color w:val="auto"/>
        </w:rPr>
        <w:t>【严重】</w:t>
      </w:r>
    </w:p>
    <w:p>
      <w:pPr>
        <w:spacing w:before="0" w:line="388" w:lineRule="auto"/>
        <w:ind w:left="591" w:right="1432" w:firstLine="0"/>
        <w:jc w:val="left"/>
        <w:rPr>
          <w:b/>
          <w:color w:val="auto"/>
          <w:sz w:val="24"/>
        </w:rPr>
      </w:pPr>
      <w:r>
        <w:rPr>
          <w:color w:val="auto"/>
          <w:sz w:val="24"/>
        </w:rPr>
        <w:t>变更登记事项需要前置审批的，处以七万元以上十万元以下的罚款。</w:t>
      </w:r>
      <w:bookmarkStart w:id="24" w:name="十二、公司未按规定备案"/>
      <w:bookmarkEnd w:id="24"/>
      <w:bookmarkStart w:id="25" w:name="_bookmark12"/>
      <w:bookmarkEnd w:id="25"/>
    </w:p>
    <w:p>
      <w:pPr>
        <w:numPr>
          <w:ilvl w:val="0"/>
          <w:numId w:val="11"/>
        </w:numPr>
        <w:spacing w:before="0" w:line="388" w:lineRule="auto"/>
        <w:ind w:left="591" w:right="1432" w:firstLine="0"/>
        <w:jc w:val="left"/>
        <w:rPr>
          <w:b/>
          <w:color w:val="auto"/>
          <w:sz w:val="24"/>
        </w:rPr>
      </w:pPr>
      <w:r>
        <w:rPr>
          <w:b/>
          <w:color w:val="auto"/>
          <w:sz w:val="24"/>
        </w:rPr>
        <w:t>公司未按规定备案</w:t>
      </w:r>
    </w:p>
    <w:p>
      <w:pPr>
        <w:numPr>
          <w:ilvl w:val="0"/>
          <w:numId w:val="0"/>
        </w:numPr>
        <w:spacing w:before="0" w:line="388" w:lineRule="auto"/>
        <w:ind w:left="591" w:leftChars="0" w:right="1432" w:rightChars="0"/>
        <w:jc w:val="left"/>
        <w:rPr>
          <w:rFonts w:hint="eastAsia"/>
          <w:b/>
          <w:color w:val="auto"/>
          <w:sz w:val="24"/>
        </w:rPr>
      </w:pPr>
      <w:r>
        <w:rPr>
          <w:rFonts w:hint="eastAsia"/>
          <w:b/>
          <w:color w:val="auto"/>
          <w:sz w:val="24"/>
        </w:rPr>
        <w:t>（一）处罚依据</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20" w:lineRule="exact"/>
        <w:ind w:left="0" w:leftChars="0" w:right="0" w:rightChars="0" w:firstLine="480" w:firstLineChars="200"/>
        <w:jc w:val="both"/>
        <w:textAlignment w:val="auto"/>
        <w:rPr>
          <w:b w:val="0"/>
          <w:bCs/>
          <w:color w:val="auto"/>
        </w:rPr>
      </w:pPr>
      <w:r>
        <w:rPr>
          <w:rFonts w:hint="eastAsia"/>
          <w:b w:val="0"/>
          <w:bCs/>
          <w:color w:val="auto"/>
          <w:sz w:val="24"/>
        </w:rPr>
        <w:t xml:space="preserve">《中华人民共和国公司登记管理条例》第六十八条第二款 </w:t>
      </w:r>
      <w:r>
        <w:rPr>
          <w:rFonts w:hint="eastAsia"/>
          <w:b w:val="0"/>
          <w:bCs/>
          <w:color w:val="auto"/>
          <w:sz w:val="24"/>
        </w:rPr>
        <w:t>公司未依照本条例规定办理有关备案的</w:t>
      </w:r>
      <w:r>
        <w:rPr>
          <w:rFonts w:hint="eastAsia"/>
          <w:b w:val="0"/>
          <w:bCs/>
          <w:color w:val="auto"/>
          <w:sz w:val="24"/>
        </w:rPr>
        <w:t>，由公司登记机关责令限期办理；逾期未办理的，处以三万元以下</w:t>
      </w:r>
      <w:r>
        <w:rPr>
          <w:b w:val="0"/>
          <w:bCs/>
          <w:color w:val="auto"/>
        </w:rPr>
        <w:t>的罚款。</w:t>
      </w:r>
    </w:p>
    <w:p>
      <w:pPr>
        <w:numPr>
          <w:ilvl w:val="0"/>
          <w:numId w:val="10"/>
        </w:numPr>
        <w:spacing w:before="195" w:line="388" w:lineRule="auto"/>
        <w:ind w:left="591" w:leftChars="0" w:right="6948" w:firstLine="0" w:firstLineChars="0"/>
        <w:jc w:val="left"/>
        <w:rPr>
          <w:color w:val="auto"/>
          <w:sz w:val="24"/>
        </w:rPr>
      </w:pPr>
      <w:r>
        <w:rPr>
          <w:b/>
          <w:color w:val="auto"/>
          <w:spacing w:val="-5"/>
          <w:sz w:val="24"/>
        </w:rPr>
        <w:t>裁量标准</w:t>
      </w:r>
      <w:r>
        <w:rPr>
          <w:color w:val="auto"/>
          <w:sz w:val="24"/>
        </w:rPr>
        <w:t>1.【</w:t>
      </w:r>
      <w:r>
        <w:rPr>
          <w:rFonts w:hint="eastAsia"/>
          <w:color w:val="auto"/>
          <w:sz w:val="24"/>
          <w:lang w:eastAsia="zh-CN"/>
        </w:rPr>
        <w:t>不予处罚</w:t>
      </w:r>
      <w:r>
        <w:rPr>
          <w:color w:val="auto"/>
          <w:sz w:val="24"/>
        </w:rPr>
        <w:t>】</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80" w:firstLineChars="200"/>
        <w:jc w:val="left"/>
        <w:rPr>
          <w:color w:val="auto"/>
          <w:sz w:val="24"/>
        </w:rPr>
      </w:pPr>
      <w:r>
        <w:rPr>
          <w:rFonts w:hint="eastAsia"/>
          <w:color w:val="auto"/>
          <w:sz w:val="24"/>
          <w:lang w:val="en-US" w:eastAsia="zh-CN"/>
        </w:rPr>
        <w:t>2.</w:t>
      </w:r>
      <w:r>
        <w:rPr>
          <w:color w:val="auto"/>
          <w:sz w:val="24"/>
        </w:rPr>
        <w:t>【较轻】</w:t>
      </w:r>
    </w:p>
    <w:p>
      <w:pPr>
        <w:pStyle w:val="4"/>
        <w:spacing w:before="2" w:line="391" w:lineRule="auto"/>
        <w:ind w:left="591" w:right="3592"/>
        <w:rPr>
          <w:color w:val="auto"/>
        </w:rPr>
      </w:pPr>
      <w:r>
        <w:rPr>
          <w:color w:val="auto"/>
          <w:spacing w:val="-1"/>
        </w:rPr>
        <w:t>涉及一项备案事项的，处以五千元以下的罚款。</w:t>
      </w:r>
      <w:r>
        <w:rPr>
          <w:rFonts w:hint="eastAsia"/>
          <w:color w:val="auto"/>
          <w:spacing w:val="-1"/>
          <w:lang w:val="en-US" w:eastAsia="zh-CN"/>
        </w:rPr>
        <w:t>3</w:t>
      </w:r>
      <w:r>
        <w:rPr>
          <w:color w:val="auto"/>
        </w:rPr>
        <w:t>.【一般】</w:t>
      </w:r>
    </w:p>
    <w:p>
      <w:pPr>
        <w:pStyle w:val="4"/>
        <w:spacing w:line="388" w:lineRule="auto"/>
        <w:ind w:left="591" w:right="2392"/>
        <w:rPr>
          <w:color w:val="auto"/>
        </w:rPr>
      </w:pPr>
      <w:r>
        <w:rPr>
          <w:color w:val="auto"/>
          <w:spacing w:val="-1"/>
        </w:rPr>
        <w:t>涉及二项备案事项的，处以五千元以上一万元以下的罚款。</w:t>
      </w:r>
      <w:r>
        <w:rPr>
          <w:rFonts w:hint="eastAsia"/>
          <w:color w:val="auto"/>
          <w:spacing w:val="-1"/>
          <w:lang w:val="en-US" w:eastAsia="zh-CN"/>
        </w:rPr>
        <w:t>4</w:t>
      </w:r>
      <w:r>
        <w:rPr>
          <w:color w:val="auto"/>
        </w:rPr>
        <w:t>.【严重】</w:t>
      </w:r>
    </w:p>
    <w:p>
      <w:pPr>
        <w:spacing w:before="3" w:line="388" w:lineRule="auto"/>
        <w:ind w:left="591" w:right="1912" w:firstLine="0"/>
        <w:jc w:val="left"/>
        <w:rPr>
          <w:b/>
          <w:color w:val="auto"/>
          <w:sz w:val="24"/>
        </w:rPr>
      </w:pPr>
      <w:r>
        <w:rPr>
          <w:color w:val="auto"/>
          <w:sz w:val="24"/>
        </w:rPr>
        <w:t>涉及三项以上备案事项的，处以一万元以上三万元以下的罚款。</w:t>
      </w:r>
      <w:bookmarkStart w:id="26" w:name="十三、伪造、涂改、出租、出借、转让公司营业执照"/>
      <w:bookmarkEnd w:id="26"/>
      <w:bookmarkStart w:id="27" w:name="_bookmark13"/>
      <w:bookmarkEnd w:id="27"/>
      <w:r>
        <w:rPr>
          <w:b/>
          <w:color w:val="auto"/>
          <w:sz w:val="24"/>
        </w:rPr>
        <w:t>十三、伪造、涂改、出租、出借、转让公司营业执照</w:t>
      </w:r>
    </w:p>
    <w:p>
      <w:pPr>
        <w:pStyle w:val="2"/>
        <w:spacing w:before="2"/>
        <w:rPr>
          <w:color w:val="auto"/>
        </w:rPr>
      </w:pPr>
      <w:r>
        <w:rPr>
          <w:color w:val="auto"/>
        </w:rPr>
        <w:t>（一）处罚依据</w:t>
      </w:r>
    </w:p>
    <w:p>
      <w:pPr>
        <w:pStyle w:val="4"/>
        <w:spacing w:before="194" w:line="388" w:lineRule="auto"/>
        <w:ind w:right="232" w:firstLine="480"/>
        <w:jc w:val="both"/>
        <w:rPr>
          <w:color w:val="auto"/>
        </w:rPr>
      </w:pPr>
      <w:r>
        <w:rPr>
          <w:color w:val="auto"/>
        </w:rPr>
        <w:t>《中华人民共和国公司登记管理条例》第七十一条 伪造、涂改、出租、出借、转让营业执照的，由公司登记机关处以一万元以上十万元以下的罚款；情节严重的， 吊销营业执照。</w:t>
      </w:r>
    </w:p>
    <w:p>
      <w:pPr>
        <w:spacing w:before="5"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ind w:left="591"/>
        <w:rPr>
          <w:color w:val="auto"/>
        </w:rPr>
      </w:pPr>
      <w:r>
        <w:rPr>
          <w:color w:val="auto"/>
        </w:rPr>
        <w:t>未损害他人利益或者未造成危害后果的，处以一万元以上三万元以下的罚款。</w:t>
      </w:r>
    </w:p>
    <w:p>
      <w:pPr>
        <w:pStyle w:val="4"/>
        <w:spacing w:before="192"/>
        <w:ind w:left="591"/>
        <w:rPr>
          <w:color w:val="auto"/>
        </w:rPr>
      </w:pPr>
      <w:r>
        <w:rPr>
          <w:color w:val="auto"/>
        </w:rPr>
        <w:t>【一般】</w:t>
      </w:r>
    </w:p>
    <w:p>
      <w:pPr>
        <w:pStyle w:val="4"/>
        <w:spacing w:before="192"/>
        <w:ind w:left="591"/>
        <w:rPr>
          <w:color w:val="auto"/>
        </w:rPr>
      </w:pPr>
      <w:r>
        <w:rPr>
          <w:color w:val="auto"/>
        </w:rPr>
        <w:t>损害他人利益，造成一定危害后果的，处以三万元以上七万元以下的罚款。</w:t>
      </w:r>
    </w:p>
    <w:p>
      <w:pPr>
        <w:pStyle w:val="4"/>
        <w:spacing w:before="194"/>
        <w:ind w:left="591"/>
        <w:rPr>
          <w:color w:val="auto"/>
        </w:rPr>
      </w:pPr>
      <w:r>
        <w:rPr>
          <w:color w:val="auto"/>
        </w:rPr>
        <w:t>【严重】</w:t>
      </w:r>
    </w:p>
    <w:p>
      <w:pPr>
        <w:pStyle w:val="4"/>
        <w:spacing w:before="192" w:line="388" w:lineRule="auto"/>
        <w:ind w:left="591" w:right="712"/>
        <w:rPr>
          <w:color w:val="auto"/>
        </w:rPr>
      </w:pPr>
      <w:r>
        <w:rPr>
          <w:color w:val="auto"/>
        </w:rPr>
        <w:t>损害他人利益，造成较大危害后果的，处以七万元以上十万元以下的罚款。2、吊销营业执照</w:t>
      </w:r>
    </w:p>
    <w:p>
      <w:pPr>
        <w:pStyle w:val="13"/>
        <w:numPr>
          <w:ilvl w:val="0"/>
          <w:numId w:val="12"/>
        </w:numPr>
        <w:tabs>
          <w:tab w:val="left" w:pos="1193"/>
        </w:tabs>
        <w:spacing w:before="4" w:after="0" w:line="240" w:lineRule="auto"/>
        <w:ind w:left="1192" w:right="0" w:hanging="602"/>
        <w:jc w:val="left"/>
        <w:rPr>
          <w:color w:val="auto"/>
          <w:sz w:val="24"/>
        </w:rPr>
      </w:pPr>
      <w:r>
        <w:rPr>
          <w:color w:val="auto"/>
          <w:sz w:val="24"/>
        </w:rPr>
        <w:t>被追究刑事责任的；</w:t>
      </w:r>
    </w:p>
    <w:p>
      <w:pPr>
        <w:pStyle w:val="13"/>
        <w:numPr>
          <w:ilvl w:val="0"/>
          <w:numId w:val="12"/>
        </w:numPr>
        <w:tabs>
          <w:tab w:val="left" w:pos="1193"/>
        </w:tabs>
        <w:spacing w:before="192" w:after="0" w:line="240" w:lineRule="auto"/>
        <w:ind w:left="1192" w:right="0" w:hanging="602"/>
        <w:jc w:val="left"/>
        <w:rPr>
          <w:color w:val="auto"/>
          <w:sz w:val="24"/>
        </w:rPr>
      </w:pPr>
      <w:r>
        <w:rPr>
          <w:color w:val="auto"/>
          <w:sz w:val="24"/>
        </w:rPr>
        <w:t>利用营业执照从事违法犯罪活动的；</w:t>
      </w:r>
    </w:p>
    <w:p>
      <w:pPr>
        <w:pStyle w:val="13"/>
        <w:numPr>
          <w:ilvl w:val="0"/>
          <w:numId w:val="12"/>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4"/>
        <w:rPr>
          <w:color w:val="auto"/>
        </w:rPr>
      </w:pPr>
      <w:bookmarkStart w:id="28" w:name="十四、公司未按规定放置营业执照"/>
      <w:bookmarkEnd w:id="28"/>
      <w:bookmarkStart w:id="29" w:name="_bookmark14"/>
      <w:bookmarkEnd w:id="29"/>
      <w:r>
        <w:rPr>
          <w:color w:val="auto"/>
        </w:rPr>
        <w:t>十四、公司未按规定放置营业执照</w:t>
      </w:r>
    </w:p>
    <w:p>
      <w:pPr>
        <w:spacing w:before="191"/>
        <w:ind w:left="591" w:right="0" w:firstLine="0"/>
        <w:jc w:val="left"/>
        <w:rPr>
          <w:b/>
          <w:color w:val="auto"/>
          <w:sz w:val="24"/>
        </w:rPr>
      </w:pPr>
      <w:r>
        <w:rPr>
          <w:b/>
          <w:color w:val="auto"/>
          <w:sz w:val="24"/>
        </w:rPr>
        <w:t>（一）处罚依据</w:t>
      </w:r>
    </w:p>
    <w:p>
      <w:pPr>
        <w:pStyle w:val="4"/>
        <w:spacing w:before="192"/>
        <w:ind w:left="591"/>
        <w:rPr>
          <w:color w:val="auto"/>
        </w:rPr>
      </w:pPr>
      <w:r>
        <w:rPr>
          <w:color w:val="auto"/>
        </w:rPr>
        <w:t xml:space="preserve">《中华人民共和国公司登记管理条例》第七十二条 </w:t>
      </w:r>
      <w:r>
        <w:rPr>
          <w:color w:val="auto"/>
        </w:rPr>
        <w:t>未将营业执照置于住所或者</w:t>
      </w:r>
      <w:r>
        <w:rPr>
          <w:color w:val="auto"/>
          <w:spacing w:val="-5"/>
        </w:rPr>
        <w:t>营业场所醒目位置的，</w:t>
      </w:r>
      <w:r>
        <w:rPr>
          <w:color w:val="auto"/>
          <w:spacing w:val="-5"/>
        </w:rPr>
        <w:t>由公司登记机关责令改正；拒不改正的，处以一千元以上五千</w:t>
      </w:r>
      <w:r>
        <w:rPr>
          <w:color w:val="auto"/>
        </w:rPr>
        <w:t>元以下的罚款。</w:t>
      </w:r>
    </w:p>
    <w:p>
      <w:pPr>
        <w:numPr>
          <w:ilvl w:val="0"/>
          <w:numId w:val="13"/>
        </w:numPr>
        <w:spacing w:before="0" w:line="388" w:lineRule="auto"/>
        <w:ind w:left="591" w:right="6948" w:firstLine="0"/>
        <w:jc w:val="left"/>
        <w:rPr>
          <w:b/>
          <w:color w:val="auto"/>
          <w:spacing w:val="-5"/>
          <w:sz w:val="24"/>
        </w:rPr>
      </w:pPr>
      <w:r>
        <w:rPr>
          <w:b/>
          <w:color w:val="auto"/>
          <w:spacing w:val="-5"/>
          <w:sz w:val="24"/>
        </w:rPr>
        <w:t>裁量标准</w:t>
      </w:r>
    </w:p>
    <w:p>
      <w:pPr>
        <w:keepNext w:val="0"/>
        <w:keepLines w:val="0"/>
        <w:widowControl/>
        <w:suppressLineNumbers w:val="0"/>
        <w:ind w:firstLine="480" w:firstLineChars="200"/>
        <w:jc w:val="left"/>
        <w:rPr>
          <w:rFonts w:hint="eastAsia"/>
          <w:color w:val="auto"/>
          <w:sz w:val="24"/>
          <w:lang w:eastAsia="zh-CN"/>
        </w:rPr>
      </w:pPr>
      <w:r>
        <w:rPr>
          <w:color w:val="auto"/>
          <w:sz w:val="24"/>
        </w:rPr>
        <w:t>1.</w:t>
      </w:r>
      <w:r>
        <w:rPr>
          <w:rFonts w:hint="eastAsia"/>
          <w:color w:val="auto"/>
          <w:sz w:val="24"/>
          <w:lang w:eastAsia="zh-CN"/>
        </w:rPr>
        <w:t>【不予处罚】</w:t>
      </w:r>
    </w:p>
    <w:p>
      <w:pPr>
        <w:keepNext w:val="0"/>
        <w:keepLines w:val="0"/>
        <w:widowControl/>
        <w:suppressLineNumbers w:val="0"/>
        <w:ind w:firstLine="960" w:firstLineChars="400"/>
        <w:jc w:val="left"/>
        <w:rPr>
          <w:rFonts w:hint="eastAsia" w:eastAsia="宋体"/>
          <w:color w:val="auto"/>
          <w:sz w:val="24"/>
          <w:lang w:eastAsia="zh-CN"/>
        </w:rPr>
      </w:pPr>
      <w:r>
        <w:rPr>
          <w:rFonts w:hint="eastAsia" w:ascii="宋体" w:hAnsi="宋体" w:eastAsia="宋体" w:cs="宋体"/>
          <w:color w:val="auto"/>
          <w:kern w:val="0"/>
          <w:sz w:val="24"/>
          <w:szCs w:val="24"/>
          <w:lang w:val="en-US" w:eastAsia="zh-CN" w:bidi="ar"/>
        </w:rPr>
        <w:t>自行改正或者在行政机关 责令改正的期限内改正</w:t>
      </w:r>
    </w:p>
    <w:p>
      <w:pPr>
        <w:numPr>
          <w:ilvl w:val="0"/>
          <w:numId w:val="0"/>
        </w:numPr>
        <w:spacing w:before="0" w:line="388" w:lineRule="auto"/>
        <w:ind w:right="6948" w:rightChars="0" w:firstLine="480" w:firstLineChars="200"/>
        <w:jc w:val="left"/>
        <w:rPr>
          <w:color w:val="auto"/>
          <w:sz w:val="24"/>
        </w:rPr>
      </w:pPr>
      <w:r>
        <w:rPr>
          <w:rFonts w:hint="eastAsia"/>
          <w:color w:val="auto"/>
          <w:sz w:val="24"/>
          <w:lang w:val="en-US" w:eastAsia="zh-CN"/>
        </w:rPr>
        <w:t>2.</w:t>
      </w:r>
      <w:r>
        <w:rPr>
          <w:color w:val="auto"/>
          <w:sz w:val="24"/>
        </w:rPr>
        <w:t>【较轻】</w:t>
      </w:r>
    </w:p>
    <w:p>
      <w:pPr>
        <w:pStyle w:val="4"/>
        <w:spacing w:before="3" w:line="388" w:lineRule="auto"/>
        <w:ind w:right="2872" w:firstLine="476" w:firstLineChars="200"/>
        <w:rPr>
          <w:color w:val="auto"/>
          <w:spacing w:val="-1"/>
        </w:rPr>
      </w:pPr>
      <w:r>
        <w:rPr>
          <w:color w:val="auto"/>
          <w:spacing w:val="-1"/>
        </w:rPr>
        <w:t>第一次不改正的，处以一千元以上二千元以下的罚款。</w:t>
      </w:r>
    </w:p>
    <w:p>
      <w:pPr>
        <w:pStyle w:val="4"/>
        <w:spacing w:before="3" w:line="388" w:lineRule="auto"/>
        <w:ind w:right="2872" w:firstLine="480" w:firstLineChars="200"/>
        <w:rPr>
          <w:color w:val="auto"/>
        </w:rPr>
      </w:pPr>
      <w:r>
        <w:rPr>
          <w:rFonts w:hint="eastAsia"/>
          <w:color w:val="auto"/>
          <w:lang w:val="en-US" w:eastAsia="zh-CN"/>
        </w:rPr>
        <w:t>3</w:t>
      </w:r>
      <w:r>
        <w:rPr>
          <w:color w:val="auto"/>
        </w:rPr>
        <w:t>.【一般】</w:t>
      </w:r>
    </w:p>
    <w:p>
      <w:pPr>
        <w:pStyle w:val="4"/>
        <w:spacing w:before="2" w:line="391" w:lineRule="auto"/>
        <w:ind w:left="591" w:right="2872"/>
        <w:rPr>
          <w:color w:val="auto"/>
        </w:rPr>
      </w:pPr>
      <w:r>
        <w:rPr>
          <w:color w:val="auto"/>
          <w:spacing w:val="-1"/>
        </w:rPr>
        <w:t>第二次不改正的，处以二千元以上三千元以下的罚款。</w:t>
      </w:r>
      <w:r>
        <w:rPr>
          <w:rFonts w:hint="eastAsia"/>
          <w:color w:val="auto"/>
          <w:lang w:val="en-US" w:eastAsia="zh-CN"/>
        </w:rPr>
        <w:t>4</w:t>
      </w:r>
      <w:r>
        <w:rPr>
          <w:color w:val="auto"/>
        </w:rPr>
        <w:t>.【严重】</w:t>
      </w:r>
    </w:p>
    <w:p>
      <w:pPr>
        <w:spacing w:before="0" w:line="388" w:lineRule="auto"/>
        <w:ind w:left="591" w:right="2392" w:firstLine="0"/>
        <w:jc w:val="left"/>
        <w:rPr>
          <w:b/>
          <w:color w:val="auto"/>
          <w:sz w:val="24"/>
        </w:rPr>
      </w:pPr>
      <w:r>
        <w:rPr>
          <w:color w:val="auto"/>
          <w:sz w:val="24"/>
        </w:rPr>
        <w:t>三次以上拒不改正的，处以三千元以上五千元以下的罚款。</w:t>
      </w:r>
      <w:bookmarkStart w:id="30" w:name="十五、企业或者经营单位擅自从事经营活动"/>
      <w:bookmarkEnd w:id="30"/>
      <w:bookmarkStart w:id="31" w:name="_bookmark15"/>
      <w:bookmarkEnd w:id="31"/>
      <w:r>
        <w:rPr>
          <w:b/>
          <w:color w:val="auto"/>
          <w:sz w:val="24"/>
        </w:rPr>
        <w:t>十五、企业或者经营单位擅自从事经营活动</w:t>
      </w:r>
    </w:p>
    <w:p>
      <w:pPr>
        <w:pStyle w:val="2"/>
        <w:spacing w:before="3"/>
        <w:rPr>
          <w:color w:val="auto"/>
        </w:rPr>
      </w:pPr>
      <w:r>
        <w:rPr>
          <w:color w:val="auto"/>
        </w:rPr>
        <w:t>（一）处罚依据</w:t>
      </w:r>
    </w:p>
    <w:p>
      <w:pPr>
        <w:pStyle w:val="4"/>
        <w:spacing w:before="192" w:line="388" w:lineRule="auto"/>
        <w:ind w:right="268" w:firstLine="480"/>
        <w:rPr>
          <w:color w:val="auto"/>
        </w:rPr>
      </w:pPr>
      <w:r>
        <w:rPr>
          <w:color w:val="auto"/>
        </w:rPr>
        <w:t>《企业法人登记管理条例施行细则》第六十条第一款第（一）</w:t>
      </w:r>
      <w:r>
        <w:rPr>
          <w:color w:val="auto"/>
          <w:spacing w:val="5"/>
        </w:rPr>
        <w:t>项 未经核准登记</w:t>
      </w:r>
      <w:r>
        <w:rPr>
          <w:color w:val="auto"/>
          <w:spacing w:val="-4"/>
        </w:rPr>
        <w:t xml:space="preserve">擅自开业从事经营活动的，责令终止经营活动，没收非法所得，处以非法所得额 </w:t>
      </w:r>
      <w:r>
        <w:rPr>
          <w:color w:val="auto"/>
        </w:rPr>
        <w:t>3</w:t>
      </w:r>
      <w:r>
        <w:rPr>
          <w:color w:val="auto"/>
          <w:spacing w:val="-39"/>
        </w:rPr>
        <w:t xml:space="preserve"> 倍</w:t>
      </w:r>
    </w:p>
    <w:p>
      <w:pPr>
        <w:pStyle w:val="4"/>
        <w:spacing w:before="4"/>
        <w:rPr>
          <w:color w:val="auto"/>
        </w:rPr>
      </w:pPr>
      <w:r>
        <w:rPr>
          <w:color w:val="auto"/>
        </w:rPr>
        <w:t>以下的罚款，但最高不超过 3 万元，没有非法所得的，处以 1 万元以下的罚款。</w:t>
      </w:r>
    </w:p>
    <w:p>
      <w:pPr>
        <w:spacing w:before="192"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5" w:line="388" w:lineRule="auto"/>
        <w:ind w:left="591" w:right="4072"/>
        <w:rPr>
          <w:color w:val="auto"/>
        </w:rPr>
      </w:pPr>
      <w:r>
        <w:rPr>
          <w:color w:val="auto"/>
          <w:spacing w:val="-1"/>
        </w:rPr>
        <w:t>没有非法所得的，处以一万元以下的罚款。</w:t>
      </w:r>
      <w:r>
        <w:rPr>
          <w:color w:val="auto"/>
        </w:rPr>
        <w:t>2.【一般】</w:t>
      </w:r>
    </w:p>
    <w:p>
      <w:pPr>
        <w:pStyle w:val="4"/>
        <w:spacing w:before="2" w:line="391" w:lineRule="auto"/>
        <w:ind w:left="591" w:right="472"/>
        <w:rPr>
          <w:color w:val="auto"/>
        </w:rPr>
      </w:pPr>
      <w:r>
        <w:rPr>
          <w:color w:val="auto"/>
          <w:spacing w:val="-1"/>
        </w:rPr>
        <w:t>非法所得额一万元以下的，没收非法所得，处以非法所得额一倍以下的罚款。</w:t>
      </w:r>
      <w:r>
        <w:rPr>
          <w:color w:val="auto"/>
        </w:rPr>
        <w:t>3.【严重】</w:t>
      </w:r>
    </w:p>
    <w:p>
      <w:pPr>
        <w:pStyle w:val="4"/>
        <w:spacing w:line="388" w:lineRule="auto"/>
        <w:ind w:right="213" w:firstLine="480"/>
        <w:rPr>
          <w:color w:val="auto"/>
        </w:rPr>
      </w:pPr>
      <w:r>
        <w:rPr>
          <w:color w:val="auto"/>
        </w:rPr>
        <w:t>非法所得额一万元以上的，没收非法所得，处以非法所得额一倍以上三倍以下的罚款，但最高不超过三万元。</w:t>
      </w:r>
    </w:p>
    <w:p>
      <w:pPr>
        <w:pStyle w:val="2"/>
        <w:spacing w:before="3"/>
        <w:rPr>
          <w:color w:val="auto"/>
        </w:rPr>
      </w:pPr>
      <w:bookmarkStart w:id="32" w:name="_bookmark16"/>
      <w:bookmarkEnd w:id="32"/>
      <w:bookmarkStart w:id="33" w:name="十六、企业或者经营单位申请登记时隐瞒真实情况弄虚作假"/>
      <w:bookmarkEnd w:id="33"/>
      <w:r>
        <w:rPr>
          <w:color w:val="auto"/>
        </w:rPr>
        <w:t>十六、企业或者经营单位申请登记时隐瞒真实情况弄虚作假</w:t>
      </w:r>
    </w:p>
    <w:p>
      <w:pPr>
        <w:spacing w:before="191"/>
        <w:ind w:left="591" w:right="0" w:firstLine="0"/>
        <w:jc w:val="left"/>
        <w:rPr>
          <w:b/>
          <w:color w:val="auto"/>
          <w:sz w:val="24"/>
        </w:rPr>
      </w:pPr>
      <w:r>
        <w:rPr>
          <w:b/>
          <w:color w:val="auto"/>
          <w:sz w:val="24"/>
        </w:rPr>
        <w:t>（一）处罚依据</w:t>
      </w:r>
    </w:p>
    <w:p>
      <w:pPr>
        <w:pStyle w:val="4"/>
        <w:spacing w:before="192" w:line="391" w:lineRule="auto"/>
        <w:ind w:right="148" w:firstLine="480"/>
        <w:jc w:val="both"/>
        <w:rPr>
          <w:color w:val="auto"/>
        </w:rPr>
      </w:pPr>
      <w:r>
        <w:rPr>
          <w:color w:val="auto"/>
        </w:rPr>
        <w:t>《企业法人登记管理条例施行细则》第六十条第一款第（二）</w:t>
      </w:r>
      <w:r>
        <w:rPr>
          <w:color w:val="auto"/>
          <w:spacing w:val="2"/>
        </w:rPr>
        <w:t>项 申请登记时隐</w:t>
      </w:r>
      <w:r>
        <w:rPr>
          <w:color w:val="auto"/>
          <w:spacing w:val="-4"/>
        </w:rPr>
        <w:t>瞒真实情况、弄虚作假的，除责令提供真实情况外，视其具体情节，予以警告，没收</w:t>
      </w:r>
      <w:r>
        <w:rPr>
          <w:color w:val="auto"/>
          <w:spacing w:val="-13"/>
        </w:rPr>
        <w:t xml:space="preserve">非法所得，处以非法所得额 </w:t>
      </w:r>
      <w:r>
        <w:rPr>
          <w:color w:val="auto"/>
        </w:rPr>
        <w:t>3</w:t>
      </w:r>
      <w:r>
        <w:rPr>
          <w:color w:val="auto"/>
          <w:spacing w:val="-15"/>
        </w:rPr>
        <w:t xml:space="preserve"> 倍以下的罚款，但最高不超过 </w:t>
      </w:r>
      <w:r>
        <w:rPr>
          <w:color w:val="auto"/>
        </w:rPr>
        <w:t>3</w:t>
      </w:r>
      <w:r>
        <w:rPr>
          <w:color w:val="auto"/>
          <w:spacing w:val="-14"/>
        </w:rPr>
        <w:t xml:space="preserve"> 万元，没有非法所得的，</w:t>
      </w:r>
    </w:p>
    <w:p>
      <w:pPr>
        <w:pStyle w:val="4"/>
        <w:spacing w:line="304" w:lineRule="exact"/>
        <w:jc w:val="both"/>
        <w:rPr>
          <w:color w:val="auto"/>
        </w:rPr>
      </w:pPr>
      <w:r>
        <w:rPr>
          <w:color w:val="auto"/>
          <w:spacing w:val="-20"/>
        </w:rPr>
        <w:t xml:space="preserve">处以 </w:t>
      </w:r>
      <w:r>
        <w:rPr>
          <w:color w:val="auto"/>
        </w:rPr>
        <w:t>1</w:t>
      </w:r>
      <w:r>
        <w:rPr>
          <w:color w:val="auto"/>
          <w:spacing w:val="-15"/>
        </w:rPr>
        <w:t xml:space="preserve"> 万元以下的罚款。经审查不具备企业法人条件或者经营条件的，吊销营业执照。</w:t>
      </w:r>
    </w:p>
    <w:p>
      <w:pPr>
        <w:spacing w:before="39"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没有非法所得的，予以警告，处以一万元以下的罚款。不具备企业法人条件或者经营条件的，吊销营业执照。</w:t>
      </w:r>
    </w:p>
    <w:p>
      <w:pPr>
        <w:pStyle w:val="13"/>
        <w:numPr>
          <w:ilvl w:val="0"/>
          <w:numId w:val="14"/>
        </w:numPr>
        <w:tabs>
          <w:tab w:val="left" w:pos="833"/>
        </w:tabs>
        <w:spacing w:before="3" w:after="0" w:line="240" w:lineRule="auto"/>
        <w:ind w:left="832" w:right="0" w:hanging="242"/>
        <w:jc w:val="left"/>
        <w:rPr>
          <w:color w:val="auto"/>
          <w:sz w:val="24"/>
        </w:rPr>
      </w:pPr>
      <w:r>
        <w:rPr>
          <w:color w:val="auto"/>
          <w:sz w:val="24"/>
        </w:rPr>
        <w:t>【一般】</w:t>
      </w:r>
    </w:p>
    <w:p>
      <w:pPr>
        <w:pStyle w:val="4"/>
        <w:spacing w:before="192" w:line="388" w:lineRule="auto"/>
        <w:ind w:right="213" w:firstLine="480"/>
        <w:rPr>
          <w:color w:val="auto"/>
        </w:rPr>
      </w:pPr>
      <w:r>
        <w:rPr>
          <w:color w:val="auto"/>
        </w:rPr>
        <w:t>非法所得额一万元以下的，予以警告，没收非法所得，处以非法所得额二倍以下的罚款。不具备企业法人条件或者经营条件的，吊销营业执照。</w:t>
      </w:r>
    </w:p>
    <w:p>
      <w:pPr>
        <w:pStyle w:val="13"/>
        <w:numPr>
          <w:ilvl w:val="0"/>
          <w:numId w:val="14"/>
        </w:numPr>
        <w:tabs>
          <w:tab w:val="left" w:pos="833"/>
        </w:tabs>
        <w:spacing w:before="5" w:after="0" w:line="240" w:lineRule="auto"/>
        <w:ind w:left="832" w:right="0" w:hanging="242"/>
        <w:jc w:val="left"/>
        <w:rPr>
          <w:color w:val="auto"/>
          <w:sz w:val="24"/>
        </w:rPr>
      </w:pPr>
      <w:r>
        <w:rPr>
          <w:color w:val="auto"/>
          <w:sz w:val="24"/>
        </w:rPr>
        <w:t>【严重】</w:t>
      </w:r>
    </w:p>
    <w:p>
      <w:pPr>
        <w:pStyle w:val="4"/>
        <w:spacing w:before="191" w:line="391" w:lineRule="auto"/>
        <w:ind w:right="268" w:firstLine="480"/>
        <w:jc w:val="both"/>
        <w:rPr>
          <w:color w:val="auto"/>
        </w:rPr>
      </w:pPr>
      <w:r>
        <w:rPr>
          <w:color w:val="auto"/>
          <w:spacing w:val="-4"/>
        </w:rPr>
        <w:t>非法所得额一万元以上的，予以警告，没收非法所得，处以非法所得额二倍以上</w:t>
      </w:r>
      <w:r>
        <w:rPr>
          <w:color w:val="auto"/>
          <w:spacing w:val="-5"/>
        </w:rPr>
        <w:t>三倍以下的罚款，但最高不超过三万元。不具备企业法人条件或者经营条件的，吊销</w:t>
      </w:r>
      <w:r>
        <w:rPr>
          <w:color w:val="auto"/>
        </w:rPr>
        <w:t>营业执照。</w:t>
      </w:r>
    </w:p>
    <w:p>
      <w:pPr>
        <w:pStyle w:val="2"/>
        <w:spacing w:line="304" w:lineRule="exact"/>
        <w:rPr>
          <w:color w:val="auto"/>
        </w:rPr>
      </w:pPr>
      <w:bookmarkStart w:id="34" w:name="_bookmark17"/>
      <w:bookmarkEnd w:id="34"/>
      <w:bookmarkStart w:id="35" w:name="十七、企业或者经营单位伪造证件骗取营业执照"/>
      <w:bookmarkEnd w:id="35"/>
      <w:r>
        <w:rPr>
          <w:color w:val="auto"/>
        </w:rPr>
        <w:t>十七、企业或者经营单位伪造证件骗取营业执照</w:t>
      </w:r>
    </w:p>
    <w:p>
      <w:pPr>
        <w:spacing w:before="192"/>
        <w:ind w:left="591" w:right="0" w:firstLine="0"/>
        <w:jc w:val="left"/>
        <w:rPr>
          <w:b/>
          <w:color w:val="auto"/>
          <w:sz w:val="24"/>
        </w:rPr>
      </w:pPr>
      <w:r>
        <w:rPr>
          <w:b/>
          <w:color w:val="auto"/>
          <w:sz w:val="24"/>
        </w:rPr>
        <w:t>（一）处罚依据</w:t>
      </w:r>
    </w:p>
    <w:p>
      <w:pPr>
        <w:pStyle w:val="4"/>
        <w:spacing w:before="194" w:line="388" w:lineRule="auto"/>
        <w:ind w:right="148" w:firstLine="480"/>
        <w:rPr>
          <w:color w:val="auto"/>
        </w:rPr>
      </w:pPr>
      <w:r>
        <w:rPr>
          <w:color w:val="auto"/>
        </w:rPr>
        <w:t>《企业法人登记管理条例施行细则》第六十条第一款第（二）</w:t>
      </w:r>
      <w:r>
        <w:rPr>
          <w:color w:val="auto"/>
          <w:spacing w:val="2"/>
        </w:rPr>
        <w:t>项 伪造证件骗取</w:t>
      </w:r>
      <w:r>
        <w:rPr>
          <w:color w:val="auto"/>
          <w:spacing w:val="-14"/>
        </w:rPr>
        <w:t xml:space="preserve">营业执照的，没收非法所得，处以非法所得额 </w:t>
      </w:r>
      <w:r>
        <w:rPr>
          <w:color w:val="auto"/>
        </w:rPr>
        <w:t>3</w:t>
      </w:r>
      <w:r>
        <w:rPr>
          <w:color w:val="auto"/>
          <w:spacing w:val="-15"/>
        </w:rPr>
        <w:t xml:space="preserve"> 倍以下的罚款，但最高不超过 </w:t>
      </w:r>
      <w:r>
        <w:rPr>
          <w:color w:val="auto"/>
        </w:rPr>
        <w:t>3</w:t>
      </w:r>
      <w:r>
        <w:rPr>
          <w:color w:val="auto"/>
          <w:spacing w:val="-19"/>
        </w:rPr>
        <w:t xml:space="preserve"> 万元，</w:t>
      </w:r>
    </w:p>
    <w:p>
      <w:pPr>
        <w:pStyle w:val="4"/>
        <w:spacing w:before="2"/>
        <w:rPr>
          <w:color w:val="auto"/>
        </w:rPr>
      </w:pPr>
      <w:r>
        <w:rPr>
          <w:color w:val="auto"/>
        </w:rPr>
        <w:t>没有非法所得的，处以 1 万元以下的罚款，并吊销营业执照。</w:t>
      </w:r>
    </w:p>
    <w:p>
      <w:pPr>
        <w:spacing w:before="194"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left="591" w:right="2152"/>
        <w:rPr>
          <w:color w:val="auto"/>
        </w:rPr>
      </w:pPr>
      <w:r>
        <w:rPr>
          <w:color w:val="auto"/>
          <w:spacing w:val="-1"/>
        </w:rPr>
        <w:t>没有非法所得的，处以一万元以下的罚款，并吊销营业执照。</w:t>
      </w:r>
      <w:r>
        <w:rPr>
          <w:color w:val="auto"/>
        </w:rPr>
        <w:t>2.【一般】</w:t>
      </w:r>
    </w:p>
    <w:p>
      <w:pPr>
        <w:pStyle w:val="4"/>
        <w:spacing w:line="388" w:lineRule="auto"/>
        <w:ind w:right="213" w:firstLine="480"/>
        <w:rPr>
          <w:color w:val="auto"/>
        </w:rPr>
      </w:pPr>
      <w:r>
        <w:rPr>
          <w:color w:val="auto"/>
        </w:rPr>
        <w:t>非法所得额一万元以下的，没收非法所得，处以非法所得额一倍以上二倍以下的罚款，并吊销营业执照。</w:t>
      </w:r>
    </w:p>
    <w:p>
      <w:pPr>
        <w:pStyle w:val="4"/>
        <w:spacing w:before="3"/>
        <w:ind w:left="591"/>
        <w:rPr>
          <w:color w:val="auto"/>
        </w:rPr>
      </w:pPr>
      <w:r>
        <w:rPr>
          <w:color w:val="auto"/>
        </w:rPr>
        <w:t>3.【严重】</w:t>
      </w:r>
    </w:p>
    <w:p>
      <w:pPr>
        <w:pStyle w:val="4"/>
        <w:spacing w:before="192" w:line="388" w:lineRule="auto"/>
        <w:ind w:right="213" w:firstLine="480"/>
        <w:rPr>
          <w:color w:val="auto"/>
        </w:rPr>
      </w:pPr>
      <w:r>
        <w:rPr>
          <w:color w:val="auto"/>
        </w:rPr>
        <w:t>非法所得额一万元以上的，没收非法所得，处以非法所得额二倍以上三倍以下的罚款，但最高不超过三万元，并吊销营业执照。</w:t>
      </w:r>
    </w:p>
    <w:p>
      <w:pPr>
        <w:pStyle w:val="2"/>
        <w:spacing w:before="4"/>
        <w:rPr>
          <w:color w:val="auto"/>
        </w:rPr>
      </w:pPr>
      <w:bookmarkStart w:id="36" w:name="十八、企业或者经营单位不按规定办理变更登记"/>
      <w:bookmarkEnd w:id="36"/>
      <w:bookmarkStart w:id="37" w:name="_bookmark18"/>
      <w:bookmarkEnd w:id="37"/>
      <w:r>
        <w:rPr>
          <w:color w:val="auto"/>
        </w:rPr>
        <w:t>十八、企业或者经营单位不按规定办理变更登记</w:t>
      </w:r>
    </w:p>
    <w:p>
      <w:pPr>
        <w:spacing w:before="192"/>
        <w:ind w:left="591" w:right="0" w:firstLine="0"/>
        <w:jc w:val="left"/>
        <w:rPr>
          <w:b/>
          <w:color w:val="auto"/>
          <w:sz w:val="24"/>
        </w:rPr>
      </w:pPr>
      <w:r>
        <w:rPr>
          <w:b/>
          <w:color w:val="auto"/>
          <w:sz w:val="24"/>
        </w:rPr>
        <w:t>（一）处罚依据</w:t>
      </w:r>
    </w:p>
    <w:p>
      <w:pPr>
        <w:pStyle w:val="4"/>
        <w:spacing w:before="192"/>
        <w:ind w:left="591"/>
        <w:rPr>
          <w:color w:val="auto"/>
        </w:rPr>
      </w:pPr>
      <w:r>
        <w:rPr>
          <w:color w:val="auto"/>
        </w:rPr>
        <w:t>《企业法人登记管理条例施行细则》第六十条第一款第（三）项 擅自改变主要</w:t>
      </w:r>
    </w:p>
    <w:p>
      <w:pPr>
        <w:pStyle w:val="4"/>
        <w:spacing w:before="39"/>
        <w:jc w:val="both"/>
        <w:rPr>
          <w:color w:val="auto"/>
        </w:rPr>
      </w:pPr>
      <w:r>
        <w:rPr>
          <w:color w:val="auto"/>
        </w:rPr>
        <w:t>登记事项，不按规定办理变更登记的，予以警告，没收非法所得，处以非法所得额 3</w:t>
      </w:r>
    </w:p>
    <w:p>
      <w:pPr>
        <w:pStyle w:val="4"/>
        <w:spacing w:before="195" w:line="391" w:lineRule="auto"/>
        <w:ind w:right="232"/>
        <w:jc w:val="both"/>
        <w:rPr>
          <w:color w:val="auto"/>
        </w:rPr>
      </w:pPr>
      <w:r>
        <w:rPr>
          <w:color w:val="auto"/>
          <w:spacing w:val="-7"/>
        </w:rPr>
        <w:t xml:space="preserve">倍以下的罚款，但最高不超过 </w:t>
      </w:r>
      <w:r>
        <w:rPr>
          <w:color w:val="auto"/>
        </w:rPr>
        <w:t>3</w:t>
      </w:r>
      <w:r>
        <w:rPr>
          <w:color w:val="auto"/>
          <w:spacing w:val="-13"/>
        </w:rPr>
        <w:t xml:space="preserve"> 万元，没有非法所得的，处以 </w:t>
      </w:r>
      <w:r>
        <w:rPr>
          <w:color w:val="auto"/>
        </w:rPr>
        <w:t>1</w:t>
      </w:r>
      <w:r>
        <w:rPr>
          <w:color w:val="auto"/>
          <w:spacing w:val="-9"/>
        </w:rPr>
        <w:t xml:space="preserve"> 万元以下的罚款，并</w:t>
      </w:r>
      <w:r>
        <w:rPr>
          <w:color w:val="auto"/>
          <w:spacing w:val="-10"/>
        </w:rPr>
        <w:t xml:space="preserve">限期办理变更登记；逾期不办理的，责令停业整顿或者扣缴营业执照；情节严重的， </w:t>
      </w:r>
      <w:r>
        <w:rPr>
          <w:color w:val="auto"/>
          <w:spacing w:val="-4"/>
        </w:rPr>
        <w:t>吊销营业执照。超出经营期限从事经营活动的，视为无照经营，按照本条第一项规定处理。</w:t>
      </w:r>
    </w:p>
    <w:p>
      <w:pPr>
        <w:spacing w:before="0" w:line="388" w:lineRule="auto"/>
        <w:ind w:left="591" w:right="6948" w:firstLine="0"/>
        <w:jc w:val="left"/>
        <w:rPr>
          <w:color w:val="auto"/>
          <w:sz w:val="24"/>
        </w:rPr>
      </w:pPr>
      <w:r>
        <w:rPr>
          <w:b/>
          <w:color w:val="auto"/>
          <w:sz w:val="24"/>
        </w:rPr>
        <w:t>（二）裁量标准</w:t>
      </w:r>
      <w:r>
        <w:rPr>
          <w:color w:val="auto"/>
          <w:sz w:val="24"/>
        </w:rPr>
        <w:t>1、警告、罚款</w:t>
      </w:r>
    </w:p>
    <w:p>
      <w:pPr>
        <w:pStyle w:val="4"/>
        <w:ind w:left="591"/>
        <w:rPr>
          <w:color w:val="auto"/>
        </w:rPr>
      </w:pPr>
      <w:r>
        <w:rPr>
          <w:color w:val="auto"/>
        </w:rPr>
        <w:t>【较轻】</w:t>
      </w:r>
    </w:p>
    <w:p>
      <w:pPr>
        <w:pStyle w:val="4"/>
        <w:spacing w:before="190"/>
        <w:ind w:left="591"/>
        <w:rPr>
          <w:color w:val="auto"/>
        </w:rPr>
      </w:pPr>
      <w:r>
        <w:rPr>
          <w:color w:val="auto"/>
        </w:rPr>
        <w:t>没有非法所得的，予以警告，处以一万元以下的罚款。</w:t>
      </w:r>
    </w:p>
    <w:p>
      <w:pPr>
        <w:pStyle w:val="4"/>
        <w:spacing w:before="192"/>
        <w:ind w:left="591"/>
        <w:rPr>
          <w:color w:val="auto"/>
        </w:rPr>
      </w:pPr>
      <w:r>
        <w:rPr>
          <w:color w:val="auto"/>
        </w:rPr>
        <w:t>【一般】</w:t>
      </w:r>
    </w:p>
    <w:p>
      <w:pPr>
        <w:pStyle w:val="4"/>
        <w:spacing w:before="194" w:line="388" w:lineRule="auto"/>
        <w:ind w:right="213" w:firstLine="480"/>
        <w:rPr>
          <w:color w:val="auto"/>
        </w:rPr>
      </w:pPr>
      <w:r>
        <w:rPr>
          <w:color w:val="auto"/>
        </w:rPr>
        <w:t>非法所得额一万元以下的，予以警告，没收非法所得，处以非法所得额一倍以上二倍以下的罚款。</w:t>
      </w:r>
    </w:p>
    <w:p>
      <w:pPr>
        <w:pStyle w:val="4"/>
        <w:spacing w:before="2"/>
        <w:ind w:left="591"/>
        <w:rPr>
          <w:color w:val="auto"/>
        </w:rPr>
      </w:pPr>
      <w:r>
        <w:rPr>
          <w:color w:val="auto"/>
        </w:rPr>
        <w:t>【严重】</w:t>
      </w:r>
    </w:p>
    <w:p>
      <w:pPr>
        <w:pStyle w:val="4"/>
        <w:spacing w:before="194" w:line="388" w:lineRule="auto"/>
        <w:ind w:right="213" w:firstLine="480"/>
        <w:rPr>
          <w:color w:val="auto"/>
        </w:rPr>
      </w:pPr>
      <w:r>
        <w:rPr>
          <w:color w:val="auto"/>
        </w:rPr>
        <w:t>非法所得额一万元以上的，予以警告，没收非法所得，处以非法所得额二倍以上三倍以下的罚款，但最高不超过三万元。</w:t>
      </w:r>
    </w:p>
    <w:p>
      <w:pPr>
        <w:pStyle w:val="4"/>
        <w:spacing w:before="2"/>
        <w:ind w:left="591"/>
        <w:rPr>
          <w:color w:val="auto"/>
        </w:rPr>
      </w:pPr>
      <w:r>
        <w:rPr>
          <w:color w:val="auto"/>
        </w:rPr>
        <w:t>2、吊销营业执照</w:t>
      </w:r>
    </w:p>
    <w:p>
      <w:pPr>
        <w:pStyle w:val="13"/>
        <w:numPr>
          <w:ilvl w:val="0"/>
          <w:numId w:val="15"/>
        </w:numPr>
        <w:tabs>
          <w:tab w:val="left" w:pos="1193"/>
        </w:tabs>
        <w:spacing w:before="194" w:after="0" w:line="240" w:lineRule="auto"/>
        <w:ind w:left="1192" w:right="0" w:hanging="602"/>
        <w:jc w:val="left"/>
        <w:rPr>
          <w:color w:val="auto"/>
          <w:sz w:val="24"/>
        </w:rPr>
      </w:pPr>
      <w:r>
        <w:rPr>
          <w:color w:val="auto"/>
          <w:sz w:val="24"/>
        </w:rPr>
        <w:t>三个以上登记事项应变更但未变更，情节严重的；</w:t>
      </w:r>
    </w:p>
    <w:p>
      <w:pPr>
        <w:pStyle w:val="13"/>
        <w:numPr>
          <w:ilvl w:val="0"/>
          <w:numId w:val="15"/>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2"/>
        <w:rPr>
          <w:color w:val="auto"/>
        </w:rPr>
      </w:pPr>
      <w:bookmarkStart w:id="38" w:name="_bookmark19"/>
      <w:bookmarkEnd w:id="38"/>
      <w:bookmarkStart w:id="39" w:name="十九、企业或者经营单位超出核准登记的经营范围或者经营方式从事经营活动"/>
      <w:bookmarkEnd w:id="39"/>
      <w:r>
        <w:rPr>
          <w:color w:val="auto"/>
        </w:rPr>
        <w:t>十九、企业或者经营单位超出核准登记的经营范围或者经营方式从事经营活动</w:t>
      </w:r>
    </w:p>
    <w:p>
      <w:pPr>
        <w:spacing w:before="194"/>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rPr>
        <w:t>《企业法人登记管理条例施行细则》第六十条第一款第（四）</w:t>
      </w:r>
      <w:r>
        <w:rPr>
          <w:color w:val="auto"/>
          <w:spacing w:val="2"/>
        </w:rPr>
        <w:t>项 超出核准登记</w:t>
      </w:r>
      <w:r>
        <w:rPr>
          <w:color w:val="auto"/>
          <w:spacing w:val="-6"/>
        </w:rPr>
        <w:t xml:space="preserve">的经营范围或者经营方式从事经营活动的，视其情节轻重，予以警告，没收非法所得， </w:t>
      </w:r>
      <w:r>
        <w:rPr>
          <w:color w:val="auto"/>
          <w:spacing w:val="-8"/>
        </w:rPr>
        <w:t xml:space="preserve">处以非法所得额 </w:t>
      </w:r>
      <w:r>
        <w:rPr>
          <w:color w:val="auto"/>
        </w:rPr>
        <w:t>3</w:t>
      </w:r>
      <w:r>
        <w:rPr>
          <w:color w:val="auto"/>
          <w:spacing w:val="-13"/>
        </w:rPr>
        <w:t xml:space="preserve"> 倍以下的罚款，但最高不超过 </w:t>
      </w:r>
      <w:r>
        <w:rPr>
          <w:color w:val="auto"/>
        </w:rPr>
        <w:t>3</w:t>
      </w:r>
      <w:r>
        <w:rPr>
          <w:color w:val="auto"/>
          <w:spacing w:val="-14"/>
        </w:rPr>
        <w:t xml:space="preserve"> 万元，没有非法所得的，处以 </w:t>
      </w:r>
      <w:r>
        <w:rPr>
          <w:color w:val="auto"/>
        </w:rPr>
        <w:t>1</w:t>
      </w:r>
      <w:r>
        <w:rPr>
          <w:color w:val="auto"/>
          <w:spacing w:val="-30"/>
        </w:rPr>
        <w:t xml:space="preserve"> 万</w:t>
      </w:r>
      <w:r>
        <w:rPr>
          <w:color w:val="auto"/>
          <w:spacing w:val="-15"/>
        </w:rPr>
        <w:t>元以下的罚款。同时违反国家其他有关规定，从事非法经营的，责令停业整顿，没收</w:t>
      </w:r>
      <w:r>
        <w:rPr>
          <w:color w:val="auto"/>
          <w:spacing w:val="-16"/>
        </w:rPr>
        <w:t xml:space="preserve">非法所得，处以非法所得额 </w:t>
      </w:r>
      <w:r>
        <w:rPr>
          <w:color w:val="auto"/>
        </w:rPr>
        <w:t>3</w:t>
      </w:r>
      <w:r>
        <w:rPr>
          <w:color w:val="auto"/>
          <w:spacing w:val="-15"/>
        </w:rPr>
        <w:t xml:space="preserve"> 倍以下的罚款，但最高不超过 </w:t>
      </w:r>
      <w:r>
        <w:rPr>
          <w:color w:val="auto"/>
        </w:rPr>
        <w:t>3</w:t>
      </w:r>
      <w:r>
        <w:rPr>
          <w:color w:val="auto"/>
          <w:spacing w:val="-14"/>
        </w:rPr>
        <w:t xml:space="preserve"> 万元，没有非法所得的，</w:t>
      </w:r>
    </w:p>
    <w:p>
      <w:pPr>
        <w:pStyle w:val="4"/>
        <w:spacing w:line="302" w:lineRule="exact"/>
        <w:rPr>
          <w:color w:val="auto"/>
        </w:rPr>
      </w:pPr>
      <w:r>
        <w:rPr>
          <w:color w:val="auto"/>
        </w:rPr>
        <w:t>处以 1 万元以下的罚款；情节严重的，吊销营业执照。</w:t>
      </w:r>
    </w:p>
    <w:p>
      <w:pPr>
        <w:spacing w:before="192" w:line="388" w:lineRule="auto"/>
        <w:ind w:left="591" w:right="6948" w:firstLine="0"/>
        <w:jc w:val="left"/>
        <w:rPr>
          <w:color w:val="auto"/>
          <w:sz w:val="24"/>
        </w:rPr>
      </w:pPr>
      <w:r>
        <w:rPr>
          <w:b/>
          <w:color w:val="auto"/>
          <w:sz w:val="24"/>
        </w:rPr>
        <w:t>（二）裁量标准</w:t>
      </w:r>
      <w:r>
        <w:rPr>
          <w:color w:val="auto"/>
          <w:sz w:val="24"/>
        </w:rPr>
        <w:t>1、警告、罚款</w:t>
      </w:r>
    </w:p>
    <w:p>
      <w:pPr>
        <w:pStyle w:val="4"/>
        <w:spacing w:before="39"/>
        <w:ind w:left="591"/>
        <w:rPr>
          <w:color w:val="auto"/>
        </w:rPr>
      </w:pPr>
      <w:r>
        <w:rPr>
          <w:color w:val="auto"/>
        </w:rPr>
        <w:t>【较轻】</w:t>
      </w:r>
    </w:p>
    <w:p>
      <w:pPr>
        <w:pStyle w:val="4"/>
        <w:spacing w:before="195"/>
        <w:ind w:left="591"/>
        <w:rPr>
          <w:color w:val="auto"/>
        </w:rPr>
      </w:pPr>
      <w:r>
        <w:rPr>
          <w:color w:val="auto"/>
        </w:rPr>
        <w:t>没有非法所得的，予以警告，处以一万元以下的罚款。</w:t>
      </w:r>
    </w:p>
    <w:p>
      <w:pPr>
        <w:pStyle w:val="4"/>
        <w:spacing w:before="191"/>
        <w:ind w:left="591"/>
        <w:rPr>
          <w:color w:val="auto"/>
        </w:rPr>
      </w:pPr>
      <w:r>
        <w:rPr>
          <w:color w:val="auto"/>
        </w:rPr>
        <w:t>【一般】</w:t>
      </w:r>
    </w:p>
    <w:p>
      <w:pPr>
        <w:pStyle w:val="4"/>
        <w:spacing w:before="192" w:line="391" w:lineRule="auto"/>
        <w:ind w:right="213" w:firstLine="480"/>
        <w:rPr>
          <w:color w:val="auto"/>
        </w:rPr>
      </w:pPr>
      <w:r>
        <w:rPr>
          <w:color w:val="auto"/>
        </w:rPr>
        <w:t>非法所得额一万元以下的，予以警告，没收非法所得，处以非法所得额一倍以上二倍以下的罚款。</w:t>
      </w:r>
    </w:p>
    <w:p>
      <w:pPr>
        <w:pStyle w:val="4"/>
        <w:spacing w:line="306" w:lineRule="exact"/>
        <w:ind w:left="591"/>
        <w:rPr>
          <w:color w:val="auto"/>
        </w:rPr>
      </w:pPr>
      <w:r>
        <w:rPr>
          <w:color w:val="auto"/>
        </w:rPr>
        <w:t>【严重】</w:t>
      </w:r>
    </w:p>
    <w:p>
      <w:pPr>
        <w:pStyle w:val="4"/>
        <w:spacing w:before="192" w:line="391" w:lineRule="auto"/>
        <w:ind w:right="213" w:firstLine="480"/>
        <w:rPr>
          <w:color w:val="auto"/>
        </w:rPr>
      </w:pPr>
      <w:r>
        <w:rPr>
          <w:color w:val="auto"/>
        </w:rPr>
        <w:t>非法所得额一万元以上的，予以警告，没收非法所得，处以非法所得额二倍以上三倍以下的罚款，但最高不超过三万元。</w:t>
      </w:r>
    </w:p>
    <w:p>
      <w:pPr>
        <w:pStyle w:val="4"/>
        <w:spacing w:line="306" w:lineRule="exact"/>
        <w:ind w:left="591"/>
        <w:rPr>
          <w:color w:val="auto"/>
        </w:rPr>
      </w:pPr>
      <w:r>
        <w:rPr>
          <w:color w:val="auto"/>
        </w:rPr>
        <w:t>2、吊销营业执照</w:t>
      </w:r>
    </w:p>
    <w:p>
      <w:pPr>
        <w:pStyle w:val="13"/>
        <w:numPr>
          <w:ilvl w:val="0"/>
          <w:numId w:val="16"/>
        </w:numPr>
        <w:tabs>
          <w:tab w:val="left" w:pos="1193"/>
        </w:tabs>
        <w:spacing w:before="191" w:after="0" w:line="240" w:lineRule="auto"/>
        <w:ind w:left="1192" w:right="0" w:hanging="602"/>
        <w:jc w:val="left"/>
        <w:rPr>
          <w:color w:val="auto"/>
          <w:sz w:val="24"/>
        </w:rPr>
      </w:pPr>
      <w:r>
        <w:rPr>
          <w:color w:val="auto"/>
          <w:sz w:val="24"/>
        </w:rPr>
        <w:t>超范围经营项目涉及前置审批事项，情节严重的；</w:t>
      </w:r>
    </w:p>
    <w:p>
      <w:pPr>
        <w:pStyle w:val="13"/>
        <w:numPr>
          <w:ilvl w:val="0"/>
          <w:numId w:val="16"/>
        </w:numPr>
        <w:tabs>
          <w:tab w:val="left" w:pos="1193"/>
        </w:tabs>
        <w:spacing w:before="194" w:after="0" w:line="240" w:lineRule="auto"/>
        <w:ind w:left="1192" w:right="0" w:hanging="602"/>
        <w:jc w:val="left"/>
        <w:rPr>
          <w:color w:val="auto"/>
          <w:sz w:val="24"/>
        </w:rPr>
      </w:pPr>
      <w:r>
        <w:rPr>
          <w:color w:val="auto"/>
          <w:sz w:val="24"/>
        </w:rPr>
        <w:t>其他严重违法情形。</w:t>
      </w:r>
    </w:p>
    <w:p>
      <w:pPr>
        <w:pStyle w:val="2"/>
        <w:spacing w:before="192"/>
        <w:rPr>
          <w:color w:val="auto"/>
        </w:rPr>
      </w:pPr>
      <w:bookmarkStart w:id="40" w:name="_bookmark20"/>
      <w:bookmarkEnd w:id="40"/>
      <w:bookmarkStart w:id="41" w:name="二十、企业或者经营单位伪造、涂改、出租、出借、转让、出卖营业执照"/>
      <w:bookmarkEnd w:id="41"/>
      <w:r>
        <w:rPr>
          <w:color w:val="auto"/>
        </w:rPr>
        <w:t>二十、企业或者经营单位伪造、涂改、出租、出借、转让、出卖营业执照</w:t>
      </w:r>
    </w:p>
    <w:p>
      <w:pPr>
        <w:spacing w:before="192"/>
        <w:ind w:left="591" w:right="0" w:firstLine="0"/>
        <w:jc w:val="left"/>
        <w:rPr>
          <w:b/>
          <w:color w:val="auto"/>
          <w:sz w:val="24"/>
        </w:rPr>
      </w:pPr>
      <w:r>
        <w:rPr>
          <w:b/>
          <w:color w:val="auto"/>
          <w:sz w:val="24"/>
        </w:rPr>
        <w:t>（一）处罚依据</w:t>
      </w:r>
    </w:p>
    <w:p>
      <w:pPr>
        <w:pStyle w:val="4"/>
        <w:spacing w:before="194" w:line="388" w:lineRule="auto"/>
        <w:ind w:right="266" w:firstLine="480"/>
        <w:rPr>
          <w:color w:val="auto"/>
        </w:rPr>
      </w:pPr>
      <w:r>
        <w:rPr>
          <w:color w:val="auto"/>
        </w:rPr>
        <w:t>《企业法人登记管理条例施行细则》第六十条第一款第（六）</w:t>
      </w:r>
      <w:r>
        <w:rPr>
          <w:color w:val="auto"/>
          <w:spacing w:val="5"/>
        </w:rPr>
        <w:t>项 伪造、涂改、</w:t>
      </w:r>
      <w:r>
        <w:rPr>
          <w:color w:val="auto"/>
          <w:spacing w:val="-7"/>
        </w:rPr>
        <w:t xml:space="preserve">出租、出借、转让、出卖营业执照的，没收非法所得，处以非法所得额 </w:t>
      </w:r>
      <w:r>
        <w:rPr>
          <w:color w:val="auto"/>
        </w:rPr>
        <w:t>3</w:t>
      </w:r>
      <w:r>
        <w:rPr>
          <w:color w:val="auto"/>
          <w:spacing w:val="-13"/>
        </w:rPr>
        <w:t xml:space="preserve"> 倍以下的罚</w:t>
      </w:r>
    </w:p>
    <w:p>
      <w:pPr>
        <w:pStyle w:val="4"/>
        <w:spacing w:before="2" w:line="391" w:lineRule="auto"/>
        <w:ind w:right="232"/>
        <w:rPr>
          <w:color w:val="auto"/>
        </w:rPr>
      </w:pPr>
      <w:r>
        <w:rPr>
          <w:color w:val="auto"/>
          <w:spacing w:val="-7"/>
        </w:rPr>
        <w:t xml:space="preserve">款，但最高不超过 </w:t>
      </w:r>
      <w:r>
        <w:rPr>
          <w:color w:val="auto"/>
        </w:rPr>
        <w:t>3</w:t>
      </w:r>
      <w:r>
        <w:rPr>
          <w:color w:val="auto"/>
          <w:spacing w:val="-12"/>
        </w:rPr>
        <w:t xml:space="preserve"> 万元，没有非法所得的，处以 </w:t>
      </w:r>
      <w:r>
        <w:rPr>
          <w:color w:val="auto"/>
        </w:rPr>
        <w:t>1</w:t>
      </w:r>
      <w:r>
        <w:rPr>
          <w:color w:val="auto"/>
          <w:spacing w:val="-9"/>
        </w:rPr>
        <w:t xml:space="preserve"> 万元以下的罚款；情节严重的， </w:t>
      </w:r>
      <w:r>
        <w:rPr>
          <w:color w:val="auto"/>
        </w:rPr>
        <w:t>吊销营业执照。</w:t>
      </w:r>
    </w:p>
    <w:p>
      <w:pPr>
        <w:spacing w:before="0" w:line="388" w:lineRule="auto"/>
        <w:ind w:left="591" w:right="6948" w:firstLine="0"/>
        <w:jc w:val="left"/>
        <w:rPr>
          <w:color w:val="auto"/>
          <w:sz w:val="24"/>
        </w:rPr>
      </w:pPr>
      <w:r>
        <w:rPr>
          <w:b/>
          <w:color w:val="auto"/>
          <w:sz w:val="24"/>
        </w:rPr>
        <w:t>（二）裁量标准</w:t>
      </w:r>
      <w:r>
        <w:rPr>
          <w:color w:val="auto"/>
          <w:sz w:val="24"/>
        </w:rPr>
        <w:t>1、罚款</w:t>
      </w:r>
    </w:p>
    <w:p>
      <w:pPr>
        <w:pStyle w:val="4"/>
        <w:spacing w:before="3"/>
        <w:ind w:left="591"/>
        <w:rPr>
          <w:color w:val="auto"/>
        </w:rPr>
      </w:pPr>
      <w:r>
        <w:rPr>
          <w:color w:val="auto"/>
        </w:rPr>
        <w:t>【较轻】</w:t>
      </w:r>
    </w:p>
    <w:p>
      <w:pPr>
        <w:pStyle w:val="4"/>
        <w:spacing w:before="192"/>
        <w:ind w:left="591"/>
        <w:rPr>
          <w:color w:val="auto"/>
        </w:rPr>
      </w:pPr>
      <w:r>
        <w:rPr>
          <w:color w:val="auto"/>
          <w:spacing w:val="-8"/>
        </w:rPr>
        <w:t>未损害他人利益或者未造成危害后果，没有非法所得的，处以一万元以下的罚款。</w:t>
      </w:r>
    </w:p>
    <w:p>
      <w:pPr>
        <w:pStyle w:val="4"/>
        <w:spacing w:before="191"/>
        <w:ind w:left="591"/>
        <w:rPr>
          <w:color w:val="auto"/>
        </w:rPr>
      </w:pPr>
      <w:r>
        <w:rPr>
          <w:color w:val="auto"/>
        </w:rPr>
        <w:t>【一般】</w:t>
      </w:r>
    </w:p>
    <w:p>
      <w:pPr>
        <w:pStyle w:val="4"/>
        <w:spacing w:before="194" w:line="388" w:lineRule="auto"/>
        <w:ind w:right="232" w:firstLine="480"/>
        <w:rPr>
          <w:color w:val="auto"/>
        </w:rPr>
      </w:pPr>
      <w:r>
        <w:rPr>
          <w:color w:val="auto"/>
        </w:rPr>
        <w:t>损害他人利益，造成一定危害后果，非法所得额一万元以下的，没收非法所得， 处以非法所得额一倍以上二倍以下的罚款。</w:t>
      </w:r>
    </w:p>
    <w:p>
      <w:pPr>
        <w:pStyle w:val="4"/>
        <w:spacing w:before="3"/>
        <w:ind w:left="591"/>
        <w:rPr>
          <w:color w:val="auto"/>
        </w:rPr>
      </w:pPr>
      <w:r>
        <w:rPr>
          <w:color w:val="auto"/>
        </w:rPr>
        <w:t>【严重】</w:t>
      </w:r>
    </w:p>
    <w:p>
      <w:pPr>
        <w:pStyle w:val="4"/>
        <w:spacing w:before="194" w:line="388" w:lineRule="auto"/>
        <w:ind w:right="232" w:firstLine="480"/>
        <w:rPr>
          <w:color w:val="auto"/>
        </w:rPr>
      </w:pPr>
      <w:r>
        <w:rPr>
          <w:color w:val="auto"/>
        </w:rPr>
        <w:t>损害他人利益，造成较大危害后果，非法所得额一万元以上的，没收非法所得， 处以非法所得额二倍以上三倍以下的罚款，但最高不超过三万元。</w:t>
      </w:r>
    </w:p>
    <w:p>
      <w:pPr>
        <w:pStyle w:val="4"/>
        <w:spacing w:before="2"/>
        <w:ind w:left="591"/>
        <w:rPr>
          <w:color w:val="auto"/>
        </w:rPr>
      </w:pPr>
      <w:r>
        <w:rPr>
          <w:color w:val="auto"/>
        </w:rPr>
        <w:t>2、吊销营业执照</w:t>
      </w:r>
    </w:p>
    <w:p>
      <w:pPr>
        <w:pStyle w:val="13"/>
        <w:numPr>
          <w:ilvl w:val="0"/>
          <w:numId w:val="17"/>
        </w:numPr>
        <w:tabs>
          <w:tab w:val="left" w:pos="1193"/>
        </w:tabs>
        <w:spacing w:before="39" w:after="0" w:line="240" w:lineRule="auto"/>
        <w:ind w:left="1192" w:right="0" w:hanging="602"/>
        <w:jc w:val="left"/>
        <w:rPr>
          <w:color w:val="auto"/>
          <w:sz w:val="24"/>
        </w:rPr>
      </w:pPr>
      <w:r>
        <w:rPr>
          <w:color w:val="auto"/>
          <w:sz w:val="24"/>
        </w:rPr>
        <w:t>被追究刑事责任的；</w:t>
      </w:r>
    </w:p>
    <w:p>
      <w:pPr>
        <w:pStyle w:val="13"/>
        <w:numPr>
          <w:ilvl w:val="0"/>
          <w:numId w:val="17"/>
        </w:numPr>
        <w:tabs>
          <w:tab w:val="left" w:pos="1193"/>
        </w:tabs>
        <w:spacing w:before="195" w:after="0" w:line="240" w:lineRule="auto"/>
        <w:ind w:left="1192" w:right="0" w:hanging="602"/>
        <w:jc w:val="left"/>
        <w:rPr>
          <w:color w:val="auto"/>
          <w:sz w:val="24"/>
        </w:rPr>
      </w:pPr>
      <w:r>
        <w:rPr>
          <w:color w:val="auto"/>
          <w:sz w:val="24"/>
        </w:rPr>
        <w:t>利用营业执照从事违法犯罪活动的；</w:t>
      </w:r>
    </w:p>
    <w:p>
      <w:pPr>
        <w:pStyle w:val="13"/>
        <w:numPr>
          <w:ilvl w:val="0"/>
          <w:numId w:val="17"/>
        </w:numPr>
        <w:tabs>
          <w:tab w:val="left" w:pos="1193"/>
        </w:tabs>
        <w:spacing w:before="191" w:after="0" w:line="240" w:lineRule="auto"/>
        <w:ind w:left="1192" w:right="0" w:hanging="602"/>
        <w:jc w:val="left"/>
        <w:rPr>
          <w:color w:val="auto"/>
          <w:sz w:val="24"/>
        </w:rPr>
      </w:pPr>
      <w:r>
        <w:rPr>
          <w:color w:val="auto"/>
          <w:sz w:val="24"/>
        </w:rPr>
        <w:t>其他严重违法情形。</w:t>
      </w:r>
    </w:p>
    <w:p>
      <w:pPr>
        <w:pStyle w:val="2"/>
        <w:spacing w:before="192"/>
        <w:rPr>
          <w:color w:val="auto"/>
        </w:rPr>
      </w:pPr>
      <w:bookmarkStart w:id="42" w:name="_bookmark21"/>
      <w:bookmarkEnd w:id="42"/>
      <w:bookmarkStart w:id="43" w:name="二十一、企业或者经营单位不按规定悬挂营业执照"/>
      <w:bookmarkEnd w:id="43"/>
      <w:r>
        <w:rPr>
          <w:color w:val="auto"/>
        </w:rPr>
        <w:t>二十一、企业或者经营单位不按规定悬挂营业执照</w:t>
      </w:r>
    </w:p>
    <w:p>
      <w:pPr>
        <w:spacing w:before="194"/>
        <w:ind w:left="591" w:right="0" w:firstLine="0"/>
        <w:jc w:val="left"/>
        <w:rPr>
          <w:b/>
          <w:color w:val="auto"/>
          <w:sz w:val="24"/>
        </w:rPr>
      </w:pPr>
      <w:r>
        <w:rPr>
          <w:b/>
          <w:color w:val="auto"/>
          <w:sz w:val="24"/>
        </w:rPr>
        <w:t>（一）处罚依据</w:t>
      </w:r>
    </w:p>
    <w:p>
      <w:pPr>
        <w:pStyle w:val="4"/>
        <w:spacing w:before="192" w:line="388" w:lineRule="auto"/>
        <w:ind w:right="271" w:firstLine="480"/>
        <w:rPr>
          <w:color w:val="auto"/>
        </w:rPr>
      </w:pPr>
      <w:r>
        <w:rPr>
          <w:color w:val="auto"/>
        </w:rPr>
        <w:t>《企业法人登记管理条例施行细则》第六十条第一款第（七）项 不按规定悬挂营业执照的，予以警告，责令改正；拒不改正的，处以 2000 元以下的罚款。</w:t>
      </w:r>
    </w:p>
    <w:p>
      <w:pPr>
        <w:spacing w:before="4" w:line="388" w:lineRule="auto"/>
        <w:ind w:left="591" w:right="6948" w:firstLine="0"/>
        <w:jc w:val="left"/>
        <w:rPr>
          <w:b/>
          <w:color w:val="auto"/>
          <w:spacing w:val="-5"/>
          <w:sz w:val="24"/>
        </w:rPr>
      </w:pPr>
      <w:r>
        <w:rPr>
          <w:b/>
          <w:color w:val="auto"/>
          <w:sz w:val="24"/>
        </w:rPr>
        <w:t>（二）</w:t>
      </w:r>
      <w:r>
        <w:rPr>
          <w:b/>
          <w:color w:val="auto"/>
          <w:spacing w:val="-5"/>
          <w:sz w:val="24"/>
        </w:rPr>
        <w:t>裁量标准</w:t>
      </w:r>
    </w:p>
    <w:p>
      <w:pPr>
        <w:keepNext w:val="0"/>
        <w:keepLines w:val="0"/>
        <w:widowControl/>
        <w:suppressLineNumbers w:val="0"/>
        <w:ind w:firstLine="720" w:firstLineChars="300"/>
        <w:jc w:val="left"/>
        <w:rPr>
          <w:rFonts w:hint="eastAsia"/>
          <w:color w:val="auto"/>
          <w:sz w:val="24"/>
          <w:lang w:val="en-US" w:eastAsia="zh-CN"/>
        </w:rPr>
      </w:pPr>
      <w:r>
        <w:rPr>
          <w:rFonts w:hint="eastAsia"/>
          <w:color w:val="auto"/>
          <w:sz w:val="24"/>
          <w:lang w:val="en-US" w:eastAsia="zh-CN"/>
        </w:rPr>
        <w:t>1.【不予处罚】</w:t>
      </w:r>
    </w:p>
    <w:p>
      <w:pPr>
        <w:keepNext w:val="0"/>
        <w:keepLines w:val="0"/>
        <w:widowControl/>
        <w:suppressLineNumbers w:val="0"/>
        <w:ind w:firstLine="480" w:firstLineChars="200"/>
        <w:jc w:val="left"/>
        <w:rPr>
          <w:color w:val="auto"/>
        </w:rPr>
      </w:pPr>
      <w:r>
        <w:rPr>
          <w:rFonts w:hint="eastAsia"/>
          <w:color w:val="auto"/>
          <w:sz w:val="24"/>
          <w:lang w:val="en-US" w:eastAsia="zh-CN"/>
        </w:rPr>
        <w:t>（1）</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480" w:firstLineChars="200"/>
        <w:jc w:val="left"/>
        <w:rPr>
          <w:rFonts w:hint="default" w:eastAsia="宋体"/>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未造成危害后果</w:t>
      </w:r>
    </w:p>
    <w:p>
      <w:pPr>
        <w:spacing w:before="4" w:line="388"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4"/>
        <w:spacing w:before="2" w:line="391" w:lineRule="auto"/>
        <w:ind w:left="591" w:right="4072"/>
        <w:rPr>
          <w:color w:val="auto"/>
        </w:rPr>
      </w:pPr>
      <w:r>
        <w:rPr>
          <w:color w:val="auto"/>
          <w:spacing w:val="-1"/>
        </w:rPr>
        <w:t>第一次不改正的，处以五百元以下的罚款。</w:t>
      </w:r>
      <w:r>
        <w:rPr>
          <w:rFonts w:hint="eastAsia"/>
          <w:color w:val="auto"/>
          <w:lang w:val="en-US" w:eastAsia="zh-CN"/>
        </w:rPr>
        <w:t>3</w:t>
      </w:r>
      <w:r>
        <w:rPr>
          <w:color w:val="auto"/>
        </w:rPr>
        <w:t>.【一般】</w:t>
      </w:r>
    </w:p>
    <w:p>
      <w:pPr>
        <w:pStyle w:val="4"/>
        <w:spacing w:line="388" w:lineRule="auto"/>
        <w:ind w:left="591" w:right="2872"/>
        <w:rPr>
          <w:color w:val="auto"/>
        </w:rPr>
      </w:pPr>
      <w:r>
        <w:rPr>
          <w:color w:val="auto"/>
          <w:spacing w:val="-1"/>
        </w:rPr>
        <w:t>第二次不改正的，处以五百元以上一千元以下的罚款。</w:t>
      </w:r>
      <w:r>
        <w:rPr>
          <w:rFonts w:hint="eastAsia"/>
          <w:color w:val="auto"/>
          <w:lang w:val="en-US" w:eastAsia="zh-CN"/>
        </w:rPr>
        <w:t>4</w:t>
      </w:r>
      <w:r>
        <w:rPr>
          <w:color w:val="auto"/>
        </w:rPr>
        <w:t>.【严重】</w:t>
      </w:r>
    </w:p>
    <w:p>
      <w:pPr>
        <w:pStyle w:val="4"/>
        <w:spacing w:before="3"/>
        <w:ind w:left="591"/>
        <w:rPr>
          <w:color w:val="auto"/>
        </w:rPr>
      </w:pPr>
      <w:r>
        <w:rPr>
          <w:color w:val="auto"/>
        </w:rPr>
        <w:t>三次以上拒不改正的，处以一千元以上二千元以下的罚款。</w:t>
      </w:r>
    </w:p>
    <w:p>
      <w:pPr>
        <w:pStyle w:val="2"/>
        <w:spacing w:before="192"/>
        <w:rPr>
          <w:color w:val="auto"/>
        </w:rPr>
      </w:pPr>
      <w:bookmarkStart w:id="44" w:name="二十二、企业或者经营单位抽逃、转移资金、隐匿财产逃避债务"/>
      <w:bookmarkEnd w:id="44"/>
      <w:bookmarkStart w:id="45" w:name="_bookmark22"/>
      <w:bookmarkEnd w:id="45"/>
      <w:r>
        <w:rPr>
          <w:color w:val="auto"/>
        </w:rPr>
        <w:t>二十二、企业或者经营单位抽逃、转移资金、隐匿财产逃避债务</w:t>
      </w:r>
    </w:p>
    <w:p>
      <w:pPr>
        <w:spacing w:before="192"/>
        <w:ind w:left="591" w:right="0" w:firstLine="0"/>
        <w:jc w:val="left"/>
        <w:rPr>
          <w:b/>
          <w:color w:val="auto"/>
          <w:sz w:val="24"/>
        </w:rPr>
      </w:pPr>
      <w:r>
        <w:rPr>
          <w:b/>
          <w:color w:val="auto"/>
          <w:sz w:val="24"/>
        </w:rPr>
        <w:t>（一）处罚依据</w:t>
      </w:r>
    </w:p>
    <w:p>
      <w:pPr>
        <w:pStyle w:val="4"/>
        <w:spacing w:before="194" w:line="388" w:lineRule="auto"/>
        <w:ind w:right="266" w:firstLine="480"/>
        <w:jc w:val="both"/>
        <w:rPr>
          <w:color w:val="auto"/>
        </w:rPr>
      </w:pPr>
      <w:r>
        <w:rPr>
          <w:color w:val="auto"/>
        </w:rPr>
        <w:t>《企业法人登记管理条例施行细则》第六十条第一款第（八）</w:t>
      </w:r>
      <w:r>
        <w:rPr>
          <w:color w:val="auto"/>
          <w:spacing w:val="5"/>
        </w:rPr>
        <w:t>项 抽逃、转移资</w:t>
      </w:r>
      <w:r>
        <w:rPr>
          <w:color w:val="auto"/>
          <w:spacing w:val="-7"/>
        </w:rPr>
        <w:t>金，隐匿财产逃避债务的，责令补足抽逃、转移的资金，追回隐匿的财产，没收非法</w:t>
      </w:r>
      <w:r>
        <w:rPr>
          <w:color w:val="auto"/>
          <w:spacing w:val="-9"/>
        </w:rPr>
        <w:t xml:space="preserve">所得，处以非法所得额 </w:t>
      </w:r>
      <w:r>
        <w:rPr>
          <w:color w:val="auto"/>
        </w:rPr>
        <w:t>3</w:t>
      </w:r>
      <w:r>
        <w:rPr>
          <w:color w:val="auto"/>
          <w:spacing w:val="-13"/>
        </w:rPr>
        <w:t xml:space="preserve"> 倍以下的罚款，但最高不超过 </w:t>
      </w:r>
      <w:r>
        <w:rPr>
          <w:color w:val="auto"/>
        </w:rPr>
        <w:t>3</w:t>
      </w:r>
      <w:r>
        <w:rPr>
          <w:color w:val="auto"/>
          <w:spacing w:val="-11"/>
        </w:rPr>
        <w:t xml:space="preserve"> 万元，没有非法所得的，处</w:t>
      </w:r>
    </w:p>
    <w:p>
      <w:pPr>
        <w:pStyle w:val="4"/>
        <w:spacing w:before="5"/>
        <w:jc w:val="both"/>
        <w:rPr>
          <w:color w:val="auto"/>
        </w:rPr>
      </w:pPr>
      <w:r>
        <w:rPr>
          <w:color w:val="auto"/>
        </w:rPr>
        <w:t>以 1 万元以下的罚款；情节严重的，责令停业整顿或者吊销营业执照。</w:t>
      </w:r>
    </w:p>
    <w:p>
      <w:pPr>
        <w:spacing w:before="192" w:line="388" w:lineRule="auto"/>
        <w:ind w:left="591" w:right="6948" w:firstLine="0"/>
        <w:jc w:val="left"/>
        <w:rPr>
          <w:color w:val="auto"/>
          <w:sz w:val="24"/>
        </w:rPr>
      </w:pPr>
      <w:r>
        <w:rPr>
          <w:b/>
          <w:color w:val="auto"/>
          <w:sz w:val="24"/>
        </w:rPr>
        <w:t>（二）裁量标准</w:t>
      </w:r>
      <w:r>
        <w:rPr>
          <w:color w:val="auto"/>
          <w:sz w:val="24"/>
        </w:rPr>
        <w:t>1.【较轻】</w:t>
      </w:r>
    </w:p>
    <w:p>
      <w:pPr>
        <w:pStyle w:val="4"/>
        <w:spacing w:before="4" w:line="388" w:lineRule="auto"/>
        <w:ind w:right="268" w:firstLine="480"/>
        <w:jc w:val="both"/>
        <w:rPr>
          <w:color w:val="auto"/>
        </w:rPr>
      </w:pPr>
      <w:r>
        <w:rPr>
          <w:color w:val="auto"/>
          <w:spacing w:val="-6"/>
        </w:rPr>
        <w:t>抽逃、转移资金数额占出资数额百分之三十以下的，没收非法所得，处以非法所</w:t>
      </w:r>
      <w:r>
        <w:rPr>
          <w:color w:val="auto"/>
          <w:spacing w:val="-5"/>
        </w:rPr>
        <w:t>得额一倍以下的罚款，但最高不超过一万元；没有非法所得的，处以三千元以下的罚</w:t>
      </w:r>
      <w:r>
        <w:rPr>
          <w:color w:val="auto"/>
        </w:rPr>
        <w:t>款。</w:t>
      </w:r>
    </w:p>
    <w:p>
      <w:pPr>
        <w:pStyle w:val="4"/>
        <w:spacing w:before="6"/>
        <w:ind w:left="591"/>
        <w:rPr>
          <w:color w:val="auto"/>
        </w:rPr>
      </w:pPr>
      <w:r>
        <w:rPr>
          <w:color w:val="auto"/>
        </w:rPr>
        <w:t>2.【一般】</w:t>
      </w:r>
    </w:p>
    <w:p>
      <w:pPr>
        <w:pStyle w:val="4"/>
        <w:spacing w:before="192" w:line="388" w:lineRule="auto"/>
        <w:ind w:right="268" w:firstLine="480"/>
        <w:rPr>
          <w:color w:val="auto"/>
        </w:rPr>
      </w:pPr>
      <w:r>
        <w:rPr>
          <w:color w:val="auto"/>
          <w:spacing w:val="-7"/>
        </w:rPr>
        <w:t>抽逃、转移资金数额占出资数额的百分之三十以上百分之七十以下的，没收非法</w:t>
      </w:r>
      <w:r>
        <w:rPr>
          <w:color w:val="auto"/>
          <w:spacing w:val="-6"/>
        </w:rPr>
        <w:t>所得，处以非法所得额一倍以上二倍以下的罚款，但最高不超过二万元；没有非法所</w:t>
      </w:r>
    </w:p>
    <w:p>
      <w:pPr>
        <w:pStyle w:val="4"/>
        <w:spacing w:before="39" w:line="391" w:lineRule="auto"/>
        <w:ind w:left="591" w:right="4552" w:hanging="480"/>
        <w:rPr>
          <w:color w:val="auto"/>
        </w:rPr>
      </w:pPr>
      <w:r>
        <w:rPr>
          <w:color w:val="auto"/>
        </w:rPr>
        <w:t>得的，处以三千元以上七千元以下的罚款。3.【严重】</w:t>
      </w:r>
    </w:p>
    <w:p>
      <w:pPr>
        <w:pStyle w:val="4"/>
        <w:spacing w:line="391" w:lineRule="auto"/>
        <w:ind w:right="268" w:firstLine="480"/>
        <w:jc w:val="both"/>
        <w:rPr>
          <w:color w:val="auto"/>
        </w:rPr>
      </w:pPr>
      <w:r>
        <w:rPr>
          <w:color w:val="auto"/>
          <w:spacing w:val="-6"/>
        </w:rPr>
        <w:t>抽逃、转移资金数额占出资数额的百分之七十以上的，没收非法所得，处以非法</w:t>
      </w:r>
      <w:r>
        <w:rPr>
          <w:color w:val="auto"/>
          <w:spacing w:val="-4"/>
        </w:rPr>
        <w:t>所得额二倍以上三倍以下的罚款，但最高不超过三万元；没有非法所得的，处以七千</w:t>
      </w:r>
      <w:r>
        <w:rPr>
          <w:color w:val="auto"/>
        </w:rPr>
        <w:t>元以上一万元以下的罚款。</w:t>
      </w:r>
    </w:p>
    <w:p>
      <w:pPr>
        <w:pStyle w:val="2"/>
        <w:spacing w:line="304" w:lineRule="exact"/>
        <w:rPr>
          <w:color w:val="auto"/>
        </w:rPr>
      </w:pPr>
      <w:bookmarkStart w:id="46" w:name="_bookmark23"/>
      <w:bookmarkEnd w:id="46"/>
      <w:bookmarkStart w:id="47" w:name="二十三、企业或者经营单位不按规定申请办理注销登记"/>
      <w:bookmarkEnd w:id="47"/>
      <w:r>
        <w:rPr>
          <w:color w:val="auto"/>
        </w:rPr>
        <w:t>二十三、企业或者经营单位不按规定申请办理注销登记</w:t>
      </w:r>
    </w:p>
    <w:p>
      <w:pPr>
        <w:spacing w:before="191"/>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《企业法人登记管理条例施行细则》第六十条第一款第（九）</w:t>
      </w:r>
      <w:r>
        <w:rPr>
          <w:color w:val="auto"/>
          <w:spacing w:val="5"/>
        </w:rPr>
        <w:t xml:space="preserve">项 </w:t>
      </w:r>
      <w:r>
        <w:rPr>
          <w:color w:val="auto"/>
          <w:spacing w:val="5"/>
        </w:rPr>
        <w:t>不按规定申请</w:t>
      </w:r>
      <w:r>
        <w:rPr>
          <w:color w:val="auto"/>
          <w:spacing w:val="-2"/>
        </w:rPr>
        <w:t>办理注销登记的</w:t>
      </w:r>
      <w:r>
        <w:rPr>
          <w:color w:val="auto"/>
          <w:spacing w:val="-2"/>
        </w:rPr>
        <w:t xml:space="preserve">，责令限期办理注销登记。拒不办理的，处以 </w:t>
      </w:r>
      <w:r>
        <w:rPr>
          <w:color w:val="auto"/>
        </w:rPr>
        <w:t>3000</w:t>
      </w:r>
      <w:r>
        <w:rPr>
          <w:color w:val="auto"/>
          <w:spacing w:val="-6"/>
        </w:rPr>
        <w:t xml:space="preserve"> 元以下的罚款， 吊销营业执照，并可追究企业主管部门的责任。</w:t>
      </w:r>
    </w:p>
    <w:p>
      <w:pPr>
        <w:numPr>
          <w:ilvl w:val="0"/>
          <w:numId w:val="13"/>
        </w:numPr>
        <w:spacing w:before="5" w:line="388" w:lineRule="auto"/>
        <w:ind w:left="591" w:leftChars="0" w:right="6948" w:firstLine="0" w:firstLineChars="0"/>
        <w:jc w:val="left"/>
        <w:rPr>
          <w:b/>
          <w:color w:val="auto"/>
          <w:spacing w:val="-5"/>
          <w:sz w:val="24"/>
        </w:rPr>
      </w:pPr>
      <w:r>
        <w:rPr>
          <w:b/>
          <w:color w:val="auto"/>
          <w:spacing w:val="-5"/>
          <w:sz w:val="24"/>
        </w:rPr>
        <w:t>裁量标准</w:t>
      </w:r>
    </w:p>
    <w:p>
      <w:pPr>
        <w:numPr>
          <w:ilvl w:val="0"/>
          <w:numId w:val="0"/>
        </w:numPr>
        <w:spacing w:before="5" w:line="388" w:lineRule="auto"/>
        <w:ind w:left="591" w:leftChars="0" w:right="6948" w:rightChars="0"/>
        <w:jc w:val="left"/>
        <w:rPr>
          <w:rFonts w:hint="default" w:eastAsia="宋体"/>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sz w:val="24"/>
        </w:rPr>
      </w:pPr>
      <w:r>
        <w:rPr>
          <w:rFonts w:hint="eastAsia" w:ascii="宋体" w:hAnsi="宋体" w:eastAsia="宋体" w:cs="宋体"/>
          <w:color w:val="auto"/>
          <w:kern w:val="0"/>
          <w:sz w:val="24"/>
          <w:szCs w:val="24"/>
          <w:lang w:val="en-US" w:eastAsia="zh-CN" w:bidi="ar"/>
        </w:rPr>
        <w:t>自行改正或者在行政机关 责令改正的期限内改正</w:t>
      </w:r>
    </w:p>
    <w:p>
      <w:pPr>
        <w:numPr>
          <w:ilvl w:val="0"/>
          <w:numId w:val="0"/>
        </w:numPr>
        <w:spacing w:before="5"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before="2" w:line="391" w:lineRule="auto"/>
        <w:ind w:left="591" w:right="3832"/>
        <w:rPr>
          <w:color w:val="auto"/>
        </w:rPr>
      </w:pPr>
      <w:r>
        <w:rPr>
          <w:color w:val="auto"/>
          <w:spacing w:val="-1"/>
        </w:rPr>
        <w:t>逾期一个月以下的，处以一千元以下的罚款。</w:t>
      </w:r>
      <w:r>
        <w:rPr>
          <w:rFonts w:hint="eastAsia"/>
          <w:color w:val="auto"/>
          <w:lang w:val="en-US" w:eastAsia="zh-CN"/>
        </w:rPr>
        <w:t>3</w:t>
      </w:r>
      <w:r>
        <w:rPr>
          <w:color w:val="auto"/>
        </w:rPr>
        <w:t>.【一般】</w:t>
      </w:r>
    </w:p>
    <w:p>
      <w:pPr>
        <w:pStyle w:val="4"/>
        <w:spacing w:line="388" w:lineRule="auto"/>
        <w:ind w:left="591" w:right="1432"/>
        <w:rPr>
          <w:color w:val="auto"/>
        </w:rPr>
      </w:pPr>
      <w:r>
        <w:rPr>
          <w:color w:val="auto"/>
          <w:spacing w:val="-1"/>
        </w:rPr>
        <w:t>逾期一个月以上三个月以下的，处以一千元以上二千元以下的罚款。</w:t>
      </w:r>
      <w:r>
        <w:rPr>
          <w:rFonts w:hint="eastAsia"/>
          <w:color w:val="auto"/>
          <w:lang w:val="en-US" w:eastAsia="zh-CN"/>
        </w:rPr>
        <w:t>4</w:t>
      </w:r>
      <w:r>
        <w:rPr>
          <w:color w:val="auto"/>
        </w:rPr>
        <w:t>.【严重】</w:t>
      </w:r>
    </w:p>
    <w:p>
      <w:pPr>
        <w:spacing w:before="3" w:line="388" w:lineRule="auto"/>
        <w:ind w:left="591" w:right="441" w:firstLine="0"/>
        <w:jc w:val="left"/>
        <w:rPr>
          <w:b/>
          <w:color w:val="auto"/>
          <w:sz w:val="24"/>
        </w:rPr>
      </w:pPr>
      <w:r>
        <w:rPr>
          <w:color w:val="auto"/>
          <w:sz w:val="24"/>
        </w:rPr>
        <w:t>逾期三个月以上的，处以二千元以上三千元以下的罚款，并吊销营业执照。</w:t>
      </w:r>
      <w:bookmarkStart w:id="48" w:name="二十四、企业或者经营单位拒绝监督检查或者在接受监督检查过程中弄虚作假"/>
      <w:bookmarkEnd w:id="48"/>
      <w:bookmarkStart w:id="49" w:name="_bookmark24"/>
      <w:bookmarkEnd w:id="49"/>
      <w:r>
        <w:rPr>
          <w:color w:val="auto"/>
          <w:sz w:val="24"/>
        </w:rPr>
        <w:t xml:space="preserve"> </w:t>
      </w:r>
      <w:r>
        <w:rPr>
          <w:b/>
          <w:color w:val="auto"/>
          <w:spacing w:val="-1"/>
          <w:sz w:val="24"/>
        </w:rPr>
        <w:t>二十四、企业或者经营单位拒绝监督检查或者在接受监督检查过程中弄虚作假</w:t>
      </w:r>
    </w:p>
    <w:p>
      <w:pPr>
        <w:pStyle w:val="2"/>
        <w:spacing w:before="2"/>
        <w:rPr>
          <w:color w:val="auto"/>
        </w:rPr>
      </w:pPr>
      <w:r>
        <w:rPr>
          <w:color w:val="auto"/>
        </w:rPr>
        <w:t>（一）处罚依据</w:t>
      </w:r>
    </w:p>
    <w:p>
      <w:pPr>
        <w:pStyle w:val="4"/>
        <w:spacing w:before="194" w:line="388" w:lineRule="auto"/>
        <w:ind w:right="232" w:firstLine="480"/>
        <w:jc w:val="both"/>
        <w:rPr>
          <w:color w:val="auto"/>
        </w:rPr>
      </w:pPr>
      <w:r>
        <w:rPr>
          <w:color w:val="auto"/>
        </w:rPr>
        <w:t>《企业法人登记管理条例施行细则》第六十条第一款第（十）项 拒绝监督检查或者在接受监督检查过程中弄虚作假的，除责令其接受监督检查和提供真实情况外， 予以警告，处以 1 万元以下的罚款。</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24" w:firstLine="480"/>
        <w:rPr>
          <w:color w:val="auto"/>
        </w:rPr>
      </w:pPr>
      <w:r>
        <w:rPr>
          <w:color w:val="auto"/>
        </w:rPr>
        <w:t>情节较轻，经责令改正予以改正或者配合的，予以警告，或者处以三千元以下的罚款。</w:t>
      </w:r>
    </w:p>
    <w:p>
      <w:pPr>
        <w:pStyle w:val="13"/>
        <w:numPr>
          <w:ilvl w:val="0"/>
          <w:numId w:val="18"/>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ind w:left="591"/>
        <w:rPr>
          <w:color w:val="auto"/>
        </w:rPr>
      </w:pPr>
      <w:r>
        <w:rPr>
          <w:color w:val="auto"/>
        </w:rPr>
        <w:t>经责令改正仍不改正或者拒绝配合的，予以警告，处以三千元以上七千元以下的</w:t>
      </w:r>
    </w:p>
    <w:p>
      <w:pPr>
        <w:pStyle w:val="4"/>
        <w:spacing w:before="39"/>
        <w:rPr>
          <w:color w:val="auto"/>
        </w:rPr>
      </w:pPr>
      <w:r>
        <w:rPr>
          <w:color w:val="auto"/>
        </w:rPr>
        <w:t>罚款。</w:t>
      </w:r>
    </w:p>
    <w:p>
      <w:pPr>
        <w:pStyle w:val="13"/>
        <w:numPr>
          <w:ilvl w:val="0"/>
          <w:numId w:val="18"/>
        </w:numPr>
        <w:tabs>
          <w:tab w:val="left" w:pos="833"/>
        </w:tabs>
        <w:spacing w:before="195" w:after="0" w:line="240" w:lineRule="auto"/>
        <w:ind w:left="832" w:right="0" w:hanging="242"/>
        <w:jc w:val="left"/>
        <w:rPr>
          <w:color w:val="auto"/>
          <w:sz w:val="24"/>
        </w:rPr>
      </w:pPr>
      <w:r>
        <w:rPr>
          <w:color w:val="auto"/>
          <w:sz w:val="24"/>
        </w:rPr>
        <w:t>【严重】</w:t>
      </w:r>
    </w:p>
    <w:p>
      <w:pPr>
        <w:spacing w:before="191" w:line="388" w:lineRule="auto"/>
        <w:ind w:left="591" w:right="148" w:firstLine="0"/>
        <w:jc w:val="left"/>
        <w:rPr>
          <w:b/>
          <w:color w:val="auto"/>
          <w:sz w:val="24"/>
        </w:rPr>
      </w:pPr>
      <w:r>
        <w:rPr>
          <w:color w:val="auto"/>
          <w:spacing w:val="-11"/>
          <w:sz w:val="24"/>
        </w:rPr>
        <w:t>接受监督检查过程中弄虚作假的，予以警告，处以七千元以上一万元以下的罚款。</w:t>
      </w:r>
      <w:bookmarkStart w:id="50" w:name="二十五、单位、个人为企业法人登记提供虚假文件、证件"/>
      <w:bookmarkEnd w:id="50"/>
      <w:bookmarkStart w:id="51" w:name="_bookmark25"/>
      <w:bookmarkEnd w:id="51"/>
      <w:r>
        <w:rPr>
          <w:b/>
          <w:color w:val="auto"/>
          <w:sz w:val="24"/>
        </w:rPr>
        <w:t>二十五、单位、个人为企业法人登记提供虚假文件、证件</w:t>
      </w:r>
    </w:p>
    <w:p>
      <w:pPr>
        <w:pStyle w:val="2"/>
        <w:spacing w:before="5"/>
        <w:rPr>
          <w:color w:val="auto"/>
        </w:rPr>
      </w:pPr>
      <w:r>
        <w:rPr>
          <w:color w:val="auto"/>
        </w:rPr>
        <w:t>（一）处罚依据</w:t>
      </w:r>
    </w:p>
    <w:p>
      <w:pPr>
        <w:pStyle w:val="4"/>
        <w:spacing w:before="192" w:line="391" w:lineRule="auto"/>
        <w:ind w:right="268" w:firstLine="480"/>
        <w:jc w:val="both"/>
        <w:rPr>
          <w:color w:val="auto"/>
        </w:rPr>
      </w:pPr>
      <w:r>
        <w:rPr>
          <w:color w:val="auto"/>
        </w:rPr>
        <w:t>《企业法人登记管理条例施行细则》第六十一条 对提供虚假文件、证件的单位</w:t>
      </w:r>
      <w:r>
        <w:rPr>
          <w:color w:val="auto"/>
          <w:spacing w:val="-7"/>
        </w:rPr>
        <w:t xml:space="preserve">和个人，除责令其赔偿因出具虚假文件、证件给他人造成的损失外，处以 </w:t>
      </w:r>
      <w:r>
        <w:rPr>
          <w:color w:val="auto"/>
        </w:rPr>
        <w:t>1</w:t>
      </w:r>
      <w:r>
        <w:rPr>
          <w:color w:val="auto"/>
          <w:spacing w:val="-16"/>
        </w:rPr>
        <w:t xml:space="preserve"> 万元以下</w:t>
      </w:r>
      <w:r>
        <w:rPr>
          <w:color w:val="auto"/>
        </w:rPr>
        <w:t>的罚款。</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3592"/>
        <w:rPr>
          <w:color w:val="auto"/>
        </w:rPr>
      </w:pPr>
      <w:r>
        <w:rPr>
          <w:color w:val="auto"/>
          <w:spacing w:val="-1"/>
        </w:rPr>
        <w:t>未给他人造成损失的，处以三千元以下的罚款。</w:t>
      </w:r>
      <w:r>
        <w:rPr>
          <w:color w:val="auto"/>
        </w:rPr>
        <w:t>2.【一般】</w:t>
      </w:r>
    </w:p>
    <w:p>
      <w:pPr>
        <w:pStyle w:val="4"/>
        <w:spacing w:before="2" w:line="391" w:lineRule="auto"/>
        <w:ind w:right="224" w:firstLine="480"/>
        <w:rPr>
          <w:color w:val="auto"/>
        </w:rPr>
      </w:pPr>
      <w:r>
        <w:rPr>
          <w:color w:val="auto"/>
        </w:rPr>
        <w:t>给他人造成损失的，或者危害社会经济秩序的，个人提供虚假文件、证件的，处以三千元以上七千元以下的罚款。</w:t>
      </w:r>
    </w:p>
    <w:p>
      <w:pPr>
        <w:pStyle w:val="4"/>
        <w:spacing w:line="306" w:lineRule="exact"/>
        <w:ind w:left="591"/>
        <w:rPr>
          <w:color w:val="auto"/>
        </w:rPr>
      </w:pPr>
      <w:r>
        <w:rPr>
          <w:color w:val="auto"/>
        </w:rPr>
        <w:t>3.【严重】</w:t>
      </w:r>
    </w:p>
    <w:p>
      <w:pPr>
        <w:pStyle w:val="4"/>
        <w:spacing w:before="192" w:line="391" w:lineRule="auto"/>
        <w:ind w:right="224" w:firstLine="480"/>
        <w:rPr>
          <w:color w:val="auto"/>
        </w:rPr>
      </w:pPr>
      <w:r>
        <w:rPr>
          <w:color w:val="auto"/>
        </w:rPr>
        <w:t>给他人造成损失的，或者危害社会经济秩序的，单位提供虚假文件、证件的，处以七千元以上一万元以下的罚款。</w:t>
      </w:r>
    </w:p>
    <w:p>
      <w:pPr>
        <w:pStyle w:val="2"/>
        <w:spacing w:line="306" w:lineRule="exact"/>
        <w:rPr>
          <w:color w:val="auto"/>
        </w:rPr>
      </w:pPr>
      <w:bookmarkStart w:id="52" w:name="二十六、使用未经核准登记注册的企业名称从事生产经营活动"/>
      <w:bookmarkEnd w:id="52"/>
      <w:bookmarkStart w:id="53" w:name="_bookmark26"/>
      <w:bookmarkEnd w:id="53"/>
      <w:r>
        <w:rPr>
          <w:color w:val="auto"/>
        </w:rPr>
        <w:t>二十六、使用未经核准登记注册的企业名称从事生产经营活动</w:t>
      </w:r>
    </w:p>
    <w:p>
      <w:pPr>
        <w:spacing w:before="192"/>
        <w:ind w:left="591" w:right="0" w:firstLine="0"/>
        <w:jc w:val="left"/>
        <w:rPr>
          <w:b/>
          <w:color w:val="auto"/>
          <w:sz w:val="24"/>
        </w:rPr>
      </w:pPr>
      <w:r>
        <w:rPr>
          <w:b/>
          <w:color w:val="auto"/>
          <w:sz w:val="24"/>
        </w:rPr>
        <w:t>（一）处罚依据</w:t>
      </w:r>
    </w:p>
    <w:p>
      <w:pPr>
        <w:pStyle w:val="4"/>
        <w:spacing w:before="194" w:line="388" w:lineRule="auto"/>
        <w:ind w:right="148" w:firstLine="480"/>
        <w:rPr>
          <w:color w:val="auto"/>
        </w:rPr>
      </w:pPr>
      <w:r>
        <w:rPr>
          <w:color w:val="auto"/>
        </w:rPr>
        <w:t>《企业名称登记管理规定》第二十六条第（一）项 使用未经核准登记注册的企</w:t>
      </w:r>
      <w:r>
        <w:rPr>
          <w:color w:val="auto"/>
          <w:spacing w:val="-12"/>
        </w:rPr>
        <w:t>业名称从事生产经营活动的，责令停止经营活动，没收非法所得或者处以二千元以上、</w:t>
      </w:r>
      <w:r>
        <w:rPr>
          <w:color w:val="auto"/>
        </w:rPr>
        <w:t>二万元以下罚款，情节严重的，可以并处。</w:t>
      </w:r>
    </w:p>
    <w:p>
      <w:pPr>
        <w:spacing w:before="5"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91" w:lineRule="auto"/>
        <w:ind w:left="591" w:right="3832"/>
        <w:rPr>
          <w:color w:val="auto"/>
        </w:rPr>
      </w:pPr>
      <w:r>
        <w:rPr>
          <w:color w:val="auto"/>
          <w:spacing w:val="-1"/>
        </w:rPr>
        <w:t>违法行为持续一个月以下的，没收非法所得。</w:t>
      </w:r>
      <w:r>
        <w:rPr>
          <w:color w:val="auto"/>
        </w:rPr>
        <w:t>2.【一般】</w:t>
      </w:r>
    </w:p>
    <w:p>
      <w:pPr>
        <w:pStyle w:val="4"/>
        <w:spacing w:line="388" w:lineRule="auto"/>
        <w:ind w:right="213" w:firstLine="480"/>
        <w:rPr>
          <w:color w:val="auto"/>
        </w:rPr>
      </w:pPr>
      <w:r>
        <w:rPr>
          <w:color w:val="auto"/>
        </w:rPr>
        <w:t>违法行为持续一个月以上三个月以下的，没收非法所得，处以二千元以上一万元以下的罚款。</w:t>
      </w:r>
    </w:p>
    <w:p>
      <w:pPr>
        <w:pStyle w:val="4"/>
        <w:spacing w:before="39"/>
        <w:ind w:left="591"/>
        <w:rPr>
          <w:color w:val="auto"/>
        </w:rPr>
      </w:pPr>
      <w:r>
        <w:rPr>
          <w:color w:val="auto"/>
        </w:rPr>
        <w:t>3.【严重】</w:t>
      </w:r>
    </w:p>
    <w:p>
      <w:pPr>
        <w:spacing w:before="195" w:line="388" w:lineRule="auto"/>
        <w:ind w:left="591" w:right="148" w:firstLine="0"/>
        <w:jc w:val="left"/>
        <w:rPr>
          <w:b/>
          <w:color w:val="auto"/>
          <w:sz w:val="24"/>
        </w:rPr>
      </w:pPr>
      <w:r>
        <w:rPr>
          <w:color w:val="auto"/>
          <w:spacing w:val="-12"/>
          <w:sz w:val="24"/>
        </w:rPr>
        <w:t>违法行为持续三个月以上的，没收非法所得，处于一万元以上二万元以下的罚款。</w:t>
      </w:r>
      <w:bookmarkStart w:id="54" w:name="_bookmark27"/>
      <w:bookmarkEnd w:id="54"/>
      <w:bookmarkStart w:id="55" w:name="二十七、擅自改变企业名称"/>
      <w:bookmarkEnd w:id="55"/>
      <w:r>
        <w:rPr>
          <w:b/>
          <w:color w:val="auto"/>
          <w:sz w:val="24"/>
        </w:rPr>
        <w:t>二十七、擅自改变企业名称</w:t>
      </w:r>
    </w:p>
    <w:p>
      <w:pPr>
        <w:pStyle w:val="2"/>
        <w:spacing w:before="2"/>
        <w:rPr>
          <w:color w:val="auto"/>
        </w:rPr>
      </w:pPr>
      <w:r>
        <w:rPr>
          <w:color w:val="auto"/>
        </w:rPr>
        <w:t>（一）处罚依据</w:t>
      </w:r>
    </w:p>
    <w:p>
      <w:pPr>
        <w:pStyle w:val="4"/>
        <w:spacing w:before="194" w:line="388" w:lineRule="auto"/>
        <w:ind w:right="271" w:firstLine="480"/>
        <w:rPr>
          <w:color w:val="auto"/>
        </w:rPr>
      </w:pPr>
      <w:r>
        <w:rPr>
          <w:color w:val="auto"/>
        </w:rPr>
        <w:t>《企业名称登记管理规定》第二十六条第（二）项 擅自改变企业名称的，予以警告或者处以一千元以上、一万元以下罚款，并限期办理变更登记。</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擅自改变企业名称持续三个月以下的，予以警告，或者处以一千元以上三千元以下的罚款。</w:t>
      </w:r>
    </w:p>
    <w:p>
      <w:pPr>
        <w:pStyle w:val="13"/>
        <w:numPr>
          <w:ilvl w:val="0"/>
          <w:numId w:val="19"/>
        </w:numPr>
        <w:tabs>
          <w:tab w:val="left" w:pos="833"/>
        </w:tabs>
        <w:spacing w:before="3" w:after="0" w:line="240" w:lineRule="auto"/>
        <w:ind w:left="832" w:right="0" w:hanging="242"/>
        <w:jc w:val="left"/>
        <w:rPr>
          <w:color w:val="auto"/>
          <w:sz w:val="24"/>
        </w:rPr>
      </w:pPr>
      <w:r>
        <w:rPr>
          <w:color w:val="auto"/>
          <w:sz w:val="24"/>
        </w:rPr>
        <w:t>【一般】</w:t>
      </w:r>
    </w:p>
    <w:p>
      <w:pPr>
        <w:pStyle w:val="4"/>
        <w:spacing w:before="191" w:line="388" w:lineRule="auto"/>
        <w:ind w:right="213" w:firstLine="480"/>
        <w:rPr>
          <w:color w:val="auto"/>
        </w:rPr>
      </w:pPr>
      <w:r>
        <w:rPr>
          <w:color w:val="auto"/>
        </w:rPr>
        <w:t>擅自改变企业名称持续三个月以上六个月以下的，处以三千元以上七千元以下的罚款。</w:t>
      </w:r>
    </w:p>
    <w:p>
      <w:pPr>
        <w:pStyle w:val="13"/>
        <w:numPr>
          <w:ilvl w:val="0"/>
          <w:numId w:val="19"/>
        </w:numPr>
        <w:tabs>
          <w:tab w:val="left" w:pos="833"/>
        </w:tabs>
        <w:spacing w:before="5" w:after="0" w:line="240" w:lineRule="auto"/>
        <w:ind w:left="832" w:right="0" w:hanging="242"/>
        <w:jc w:val="left"/>
        <w:rPr>
          <w:color w:val="auto"/>
          <w:sz w:val="24"/>
        </w:rPr>
      </w:pPr>
      <w:r>
        <w:rPr>
          <w:color w:val="auto"/>
          <w:sz w:val="24"/>
        </w:rPr>
        <w:t>【严重】</w:t>
      </w:r>
    </w:p>
    <w:p>
      <w:pPr>
        <w:spacing w:before="192" w:line="388" w:lineRule="auto"/>
        <w:ind w:left="591" w:right="712" w:firstLine="0"/>
        <w:jc w:val="left"/>
        <w:rPr>
          <w:b/>
          <w:color w:val="auto"/>
          <w:sz w:val="24"/>
        </w:rPr>
      </w:pPr>
      <w:r>
        <w:rPr>
          <w:color w:val="auto"/>
          <w:sz w:val="24"/>
        </w:rPr>
        <w:t>擅自改变企业名称持续六个月以上的，处以七千元以上一万元以下的罚款。</w:t>
      </w:r>
      <w:bookmarkStart w:id="56" w:name="二十八、擅自转让或者出租企业名称"/>
      <w:bookmarkEnd w:id="56"/>
      <w:bookmarkStart w:id="57" w:name="_bookmark28"/>
      <w:bookmarkEnd w:id="57"/>
      <w:r>
        <w:rPr>
          <w:b/>
          <w:color w:val="auto"/>
          <w:sz w:val="24"/>
        </w:rPr>
        <w:t>二十八、擅自转让或者出租企业名称</w:t>
      </w:r>
    </w:p>
    <w:p>
      <w:pPr>
        <w:pStyle w:val="2"/>
        <w:spacing w:before="4"/>
        <w:rPr>
          <w:color w:val="auto"/>
        </w:rPr>
      </w:pPr>
      <w:r>
        <w:rPr>
          <w:color w:val="auto"/>
        </w:rPr>
        <w:t>（一）处罚依据</w:t>
      </w:r>
    </w:p>
    <w:p>
      <w:pPr>
        <w:pStyle w:val="4"/>
        <w:spacing w:before="192" w:line="388" w:lineRule="auto"/>
        <w:ind w:right="271" w:firstLine="480"/>
        <w:rPr>
          <w:color w:val="auto"/>
        </w:rPr>
      </w:pPr>
      <w:r>
        <w:rPr>
          <w:color w:val="auto"/>
        </w:rPr>
        <w:t>《企业名称登记管理规定》第二十六条第（三）项 擅自转让或者出租自己的企业名称的，没收非法所得并处以一千元以上、一万元以下罚款。</w:t>
      </w:r>
    </w:p>
    <w:p>
      <w:pPr>
        <w:spacing w:before="4"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left="591" w:right="148"/>
        <w:rPr>
          <w:color w:val="auto"/>
        </w:rPr>
      </w:pPr>
      <w:r>
        <w:rPr>
          <w:color w:val="auto"/>
          <w:spacing w:val="-12"/>
        </w:rPr>
        <w:t>非法经营持续一个月以下的，没收非法所得，并处一千元以上三千元以下的罚款。</w:t>
      </w:r>
      <w:r>
        <w:rPr>
          <w:color w:val="auto"/>
        </w:rPr>
        <w:t>2.【一般】</w:t>
      </w:r>
    </w:p>
    <w:p>
      <w:pPr>
        <w:pStyle w:val="4"/>
        <w:spacing w:line="388" w:lineRule="auto"/>
        <w:ind w:right="213" w:firstLine="480"/>
        <w:rPr>
          <w:color w:val="auto"/>
        </w:rPr>
      </w:pPr>
      <w:r>
        <w:rPr>
          <w:color w:val="auto"/>
        </w:rPr>
        <w:t>非法经营持续一个月以上三个月以下的，没收非法所得，并处三千元以上七千元以下的罚款。</w:t>
      </w:r>
    </w:p>
    <w:p>
      <w:pPr>
        <w:pStyle w:val="4"/>
        <w:spacing w:before="3"/>
        <w:ind w:left="591"/>
        <w:rPr>
          <w:color w:val="auto"/>
        </w:rPr>
      </w:pPr>
      <w:r>
        <w:rPr>
          <w:color w:val="auto"/>
        </w:rPr>
        <w:t>3.【严重】</w:t>
      </w:r>
    </w:p>
    <w:p>
      <w:pPr>
        <w:spacing w:before="192" w:line="388" w:lineRule="auto"/>
        <w:ind w:left="591" w:right="148" w:firstLine="0"/>
        <w:jc w:val="left"/>
        <w:rPr>
          <w:b/>
          <w:color w:val="auto"/>
          <w:sz w:val="24"/>
        </w:rPr>
      </w:pPr>
      <w:r>
        <w:rPr>
          <w:color w:val="auto"/>
          <w:spacing w:val="-12"/>
          <w:sz w:val="24"/>
        </w:rPr>
        <w:t>非法经营持续三个月以上的，没收非法所得，并处七千元以上一万元以下的罚款。</w:t>
      </w:r>
      <w:bookmarkStart w:id="58" w:name="_bookmark29"/>
      <w:bookmarkEnd w:id="58"/>
      <w:bookmarkStart w:id="59" w:name="二十九、使用保留期内的企业名称从事生产经营活动或者保留期届满不按期将《企业名称登"/>
      <w:bookmarkEnd w:id="59"/>
      <w:r>
        <w:rPr>
          <w:b/>
          <w:color w:val="auto"/>
          <w:spacing w:val="5"/>
          <w:sz w:val="24"/>
        </w:rPr>
        <w:t>二十九、使用保留期内的企业名称从事生产经营活动或者保留期届满不按期将</w:t>
      </w:r>
    </w:p>
    <w:p>
      <w:pPr>
        <w:pStyle w:val="2"/>
        <w:spacing w:before="39"/>
        <w:ind w:left="111"/>
        <w:rPr>
          <w:color w:val="auto"/>
        </w:rPr>
      </w:pPr>
      <w:bookmarkStart w:id="60" w:name="_TOC_250001"/>
      <w:bookmarkEnd w:id="60"/>
      <w:r>
        <w:rPr>
          <w:color w:val="auto"/>
        </w:rPr>
        <w:t>《企业名称登记证书》交回登记主管机关</w:t>
      </w:r>
    </w:p>
    <w:p>
      <w:pPr>
        <w:spacing w:before="195"/>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rPr>
        <w:t>《企业名称登记管理规定》第二十六条第（四）项 使用保留期内的企业名称从</w:t>
      </w:r>
      <w:r>
        <w:rPr>
          <w:color w:val="auto"/>
          <w:spacing w:val="-9"/>
        </w:rPr>
        <w:t xml:space="preserve">事生产经营活动或者保留期届满不按期将《企业名称登记证书》交回登记主管机关的， </w:t>
      </w:r>
      <w:r>
        <w:rPr>
          <w:color w:val="auto"/>
        </w:rPr>
        <w:t>予以警告或者处以五百元以上、五千元以下罚款。</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1" w:line="388" w:lineRule="auto"/>
        <w:ind w:left="591" w:right="3112"/>
        <w:rPr>
          <w:color w:val="auto"/>
        </w:rPr>
      </w:pPr>
      <w:r>
        <w:rPr>
          <w:color w:val="auto"/>
          <w:spacing w:val="-1"/>
        </w:rPr>
        <w:t>未侵害他人利益或者未造成危害后果的，予以警告。</w:t>
      </w:r>
      <w:r>
        <w:rPr>
          <w:color w:val="auto"/>
        </w:rPr>
        <w:t>2.【一般】</w:t>
      </w:r>
    </w:p>
    <w:p>
      <w:pPr>
        <w:pStyle w:val="4"/>
        <w:spacing w:before="2" w:line="391" w:lineRule="auto"/>
        <w:ind w:left="591" w:right="712"/>
        <w:rPr>
          <w:color w:val="auto"/>
        </w:rPr>
      </w:pPr>
      <w:r>
        <w:rPr>
          <w:color w:val="auto"/>
          <w:spacing w:val="-1"/>
        </w:rPr>
        <w:t>侵害他人利益，造成一定危害后果的，处以五百元以上三千元以下的罚款。</w:t>
      </w:r>
      <w:r>
        <w:rPr>
          <w:color w:val="auto"/>
        </w:rPr>
        <w:t>3.【严重】</w:t>
      </w:r>
    </w:p>
    <w:p>
      <w:pPr>
        <w:pStyle w:val="4"/>
        <w:spacing w:line="306" w:lineRule="exact"/>
        <w:ind w:left="591"/>
        <w:rPr>
          <w:color w:val="auto"/>
        </w:rPr>
      </w:pPr>
      <w:r>
        <w:rPr>
          <w:color w:val="auto"/>
        </w:rPr>
        <w:t>侵害他人利益，造成较大危害后果的，处以三千元以上五千元以下的罚款。</w:t>
      </w:r>
    </w:p>
    <w:p>
      <w:pPr>
        <w:pStyle w:val="2"/>
        <w:spacing w:before="192" w:line="391" w:lineRule="auto"/>
        <w:ind w:left="111" w:right="117" w:firstLine="480"/>
        <w:rPr>
          <w:color w:val="auto"/>
        </w:rPr>
      </w:pPr>
      <w:bookmarkStart w:id="61" w:name="三十、企业的印章、银行账户、牌匾、信笺所使用的名称与登记注册的名称不同，或者从事"/>
      <w:bookmarkEnd w:id="61"/>
      <w:bookmarkStart w:id="62" w:name="_bookmark30"/>
      <w:bookmarkEnd w:id="62"/>
      <w:r>
        <w:rPr>
          <w:color w:val="auto"/>
          <w:spacing w:val="-15"/>
        </w:rPr>
        <w:t>三十、企业的印章、银行账户、牌匾、信笺所使用的名称与登记注册的名称不同， 或者从事商业、公共饮食、服务等行业的企业名称牌匾简化后未备案</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71" w:firstLine="480"/>
        <w:jc w:val="both"/>
        <w:rPr>
          <w:color w:val="auto"/>
        </w:rPr>
      </w:pPr>
      <w:r>
        <w:rPr>
          <w:color w:val="auto"/>
        </w:rPr>
        <w:t>1</w:t>
      </w:r>
      <w:r>
        <w:rPr>
          <w:color w:val="auto"/>
          <w:spacing w:val="-12"/>
        </w:rPr>
        <w:t>、《企业名称登记管理规定》第二十六条第</w:t>
      </w:r>
      <w:r>
        <w:rPr>
          <w:color w:val="auto"/>
        </w:rPr>
        <w:t>（五）项 违反本规定第二十条规定的，予以警告并处以五百元以上、五千元以下罚款。</w:t>
      </w:r>
    </w:p>
    <w:p>
      <w:pPr>
        <w:pStyle w:val="4"/>
        <w:spacing w:line="391" w:lineRule="auto"/>
        <w:ind w:right="268" w:firstLine="480"/>
        <w:jc w:val="both"/>
        <w:rPr>
          <w:color w:val="auto"/>
        </w:rPr>
      </w:pPr>
      <w:r>
        <w:rPr>
          <w:color w:val="auto"/>
        </w:rPr>
        <w:t>2</w:t>
      </w:r>
      <w:r>
        <w:rPr>
          <w:color w:val="auto"/>
          <w:spacing w:val="-9"/>
        </w:rPr>
        <w:t>、《企业名称登记管理规定》第二十条 企业的印章、银行账户、牌匾、信笺所</w:t>
      </w:r>
      <w:r>
        <w:rPr>
          <w:color w:val="auto"/>
          <w:spacing w:val="-13"/>
        </w:rPr>
        <w:t>使用的名称应当与登记注册的企业名称相同。从事商业、公共饮食、服务等行业的企</w:t>
      </w:r>
      <w:r>
        <w:rPr>
          <w:color w:val="auto"/>
        </w:rPr>
        <w:t>业名称牌匾可适当简化，但应当报登记主管机关备案。</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32"/>
        <w:rPr>
          <w:color w:val="auto"/>
        </w:rPr>
      </w:pPr>
      <w:r>
        <w:rPr>
          <w:color w:val="auto"/>
          <w:spacing w:val="-1"/>
        </w:rPr>
        <w:t>第一次发现的，予以警告，并处五百元以上一千五百元以下的罚款。</w:t>
      </w:r>
      <w:r>
        <w:rPr>
          <w:color w:val="auto"/>
        </w:rPr>
        <w:t>2.【一般】</w:t>
      </w:r>
    </w:p>
    <w:p>
      <w:pPr>
        <w:pStyle w:val="4"/>
        <w:spacing w:before="1" w:line="391" w:lineRule="auto"/>
        <w:ind w:left="591" w:right="1432"/>
        <w:rPr>
          <w:color w:val="auto"/>
        </w:rPr>
      </w:pPr>
      <w:r>
        <w:rPr>
          <w:color w:val="auto"/>
          <w:spacing w:val="-1"/>
        </w:rPr>
        <w:t>第二次发现的，予以警告，并处一千五百元以上三千元以下的罚款。</w:t>
      </w:r>
      <w:r>
        <w:rPr>
          <w:color w:val="auto"/>
        </w:rPr>
        <w:t>3.【严重】</w:t>
      </w:r>
    </w:p>
    <w:p>
      <w:pPr>
        <w:spacing w:before="0" w:line="388" w:lineRule="auto"/>
        <w:ind w:left="591" w:right="1672" w:firstLine="0"/>
        <w:jc w:val="left"/>
        <w:rPr>
          <w:b/>
          <w:color w:val="auto"/>
          <w:sz w:val="24"/>
        </w:rPr>
      </w:pPr>
      <w:r>
        <w:rPr>
          <w:color w:val="auto"/>
          <w:sz w:val="24"/>
        </w:rPr>
        <w:t>发现三次以上的，予以警告，并处三千元以上五千元以下的罚款。</w:t>
      </w:r>
      <w:bookmarkStart w:id="63" w:name="_bookmark31"/>
      <w:bookmarkEnd w:id="63"/>
      <w:bookmarkStart w:id="64" w:name="三十一、侵犯他人企业名称专用权"/>
      <w:bookmarkEnd w:id="64"/>
      <w:r>
        <w:rPr>
          <w:b/>
          <w:color w:val="auto"/>
          <w:sz w:val="24"/>
        </w:rPr>
        <w:t>三十一、侵犯他人企业名称专用权</w:t>
      </w:r>
    </w:p>
    <w:p>
      <w:pPr>
        <w:pStyle w:val="2"/>
        <w:spacing w:before="39"/>
        <w:rPr>
          <w:color w:val="auto"/>
        </w:rPr>
      </w:pPr>
      <w:r>
        <w:rPr>
          <w:color w:val="auto"/>
        </w:rPr>
        <w:t>（一）处罚依据</w:t>
      </w:r>
    </w:p>
    <w:p>
      <w:pPr>
        <w:pStyle w:val="4"/>
        <w:spacing w:before="195" w:line="391" w:lineRule="auto"/>
        <w:ind w:right="268" w:firstLine="480"/>
        <w:jc w:val="both"/>
        <w:rPr>
          <w:color w:val="auto"/>
        </w:rPr>
      </w:pPr>
      <w:r>
        <w:rPr>
          <w:color w:val="auto"/>
        </w:rPr>
        <w:t>《企业名称登记管理规定》第二十七条第一款 擅自使用他人已经登记注册的企</w:t>
      </w:r>
      <w:r>
        <w:rPr>
          <w:color w:val="auto"/>
          <w:spacing w:val="-3"/>
        </w:rPr>
        <w:t>业名称或者有其他侵犯他人企业名称专用权行为的，被侵权人可以向侵权人所在地登</w:t>
      </w:r>
      <w:r>
        <w:rPr>
          <w:color w:val="auto"/>
          <w:spacing w:val="-4"/>
        </w:rPr>
        <w:t>记主管机关要求处理。登记主管机关有权责令侵权人停止侵权行为，赔偿被侵权人因</w:t>
      </w:r>
      <w:r>
        <w:rPr>
          <w:color w:val="auto"/>
        </w:rPr>
        <w:t>该侵权行为所遭受的损失，没收非法所得并处以五千元以上、五万元以下罚款。</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952"/>
        <w:rPr>
          <w:color w:val="auto"/>
        </w:rPr>
      </w:pPr>
      <w:r>
        <w:rPr>
          <w:color w:val="auto"/>
          <w:spacing w:val="-1"/>
        </w:rPr>
        <w:t>侵权一个月以下的，没收非法所得，并处五千元以上一万元以下的罚款。</w:t>
      </w:r>
      <w:r>
        <w:rPr>
          <w:color w:val="auto"/>
        </w:rPr>
        <w:t>2.【一般】</w:t>
      </w:r>
    </w:p>
    <w:p>
      <w:pPr>
        <w:pStyle w:val="4"/>
        <w:spacing w:line="391" w:lineRule="auto"/>
        <w:ind w:right="213" w:firstLine="480"/>
        <w:rPr>
          <w:color w:val="auto"/>
        </w:rPr>
      </w:pPr>
      <w:r>
        <w:rPr>
          <w:color w:val="auto"/>
        </w:rPr>
        <w:t>侵权一个月以上二个月以下的，没收非法所得，并处一万元以上三万元以下的罚款。</w:t>
      </w:r>
    </w:p>
    <w:p>
      <w:pPr>
        <w:pStyle w:val="4"/>
        <w:spacing w:line="306" w:lineRule="exact"/>
        <w:ind w:left="591"/>
        <w:rPr>
          <w:color w:val="auto"/>
        </w:rPr>
      </w:pPr>
      <w:r>
        <w:rPr>
          <w:color w:val="auto"/>
        </w:rPr>
        <w:t>3.【严重】</w:t>
      </w:r>
    </w:p>
    <w:p>
      <w:pPr>
        <w:spacing w:before="192" w:line="391" w:lineRule="auto"/>
        <w:ind w:left="591" w:right="952" w:firstLine="0"/>
        <w:jc w:val="left"/>
        <w:rPr>
          <w:b/>
          <w:color w:val="auto"/>
          <w:sz w:val="24"/>
        </w:rPr>
      </w:pPr>
      <w:r>
        <w:rPr>
          <w:color w:val="auto"/>
          <w:sz w:val="24"/>
        </w:rPr>
        <w:t>侵权二个月以上的，没收非法所得，并处三万元以上五万元以下的罚款。</w:t>
      </w:r>
      <w:bookmarkStart w:id="65" w:name="三十二、隐瞒真实情况采用欺骗手段取得企业法定代表人资格"/>
      <w:bookmarkEnd w:id="65"/>
      <w:bookmarkStart w:id="66" w:name="_bookmark32"/>
      <w:bookmarkEnd w:id="66"/>
      <w:r>
        <w:rPr>
          <w:b/>
          <w:color w:val="auto"/>
          <w:sz w:val="24"/>
        </w:rPr>
        <w:t>三十二、隐瞒真实情况采用欺骗手段取得企业法定代表人资格</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rPr>
        <w:t xml:space="preserve">《企业法人法定代表人登记管理规定》第十一条 违反本规定，隐瞒真实情况， </w:t>
      </w:r>
      <w:r>
        <w:rPr>
          <w:color w:val="auto"/>
          <w:spacing w:val="-4"/>
        </w:rPr>
        <w:t>采用欺骗手段取得法定代表人资格的，由企业登记机关责令改正，处一万元以上十万</w:t>
      </w:r>
      <w:r>
        <w:rPr>
          <w:color w:val="auto"/>
        </w:rPr>
        <w:t>元以下的罚款；情节严重的，撤销企业登记，吊销企业法人营业执照。</w:t>
      </w:r>
    </w:p>
    <w:p>
      <w:pPr>
        <w:spacing w:before="0"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88"/>
        <w:ind w:left="591"/>
        <w:rPr>
          <w:color w:val="auto"/>
        </w:rPr>
      </w:pPr>
      <w:r>
        <w:rPr>
          <w:color w:val="auto"/>
        </w:rPr>
        <w:t>未损害他人利益或者未造成危害后果的，处以一万元以上三万元以下的罚款。</w:t>
      </w:r>
    </w:p>
    <w:p>
      <w:pPr>
        <w:pStyle w:val="4"/>
        <w:spacing w:before="194"/>
        <w:ind w:left="591"/>
        <w:rPr>
          <w:color w:val="auto"/>
        </w:rPr>
      </w:pPr>
      <w:r>
        <w:rPr>
          <w:color w:val="auto"/>
        </w:rPr>
        <w:t>【一般】</w:t>
      </w:r>
    </w:p>
    <w:p>
      <w:pPr>
        <w:pStyle w:val="4"/>
        <w:spacing w:before="192"/>
        <w:ind w:left="591"/>
        <w:rPr>
          <w:color w:val="auto"/>
        </w:rPr>
      </w:pPr>
      <w:r>
        <w:rPr>
          <w:color w:val="auto"/>
        </w:rPr>
        <w:t>损害他人利益，造成一定危害后果的，处以三万元以上七万元以下的罚款。</w:t>
      </w:r>
    </w:p>
    <w:p>
      <w:pPr>
        <w:pStyle w:val="4"/>
        <w:spacing w:before="191"/>
        <w:ind w:left="591"/>
        <w:rPr>
          <w:color w:val="auto"/>
        </w:rPr>
      </w:pPr>
      <w:r>
        <w:rPr>
          <w:color w:val="auto"/>
        </w:rPr>
        <w:t>【严重】</w:t>
      </w:r>
    </w:p>
    <w:p>
      <w:pPr>
        <w:pStyle w:val="4"/>
        <w:spacing w:before="195" w:line="388" w:lineRule="auto"/>
        <w:ind w:left="591" w:right="712"/>
        <w:rPr>
          <w:color w:val="auto"/>
        </w:rPr>
      </w:pPr>
      <w:r>
        <w:rPr>
          <w:color w:val="auto"/>
        </w:rPr>
        <w:t>损害他人利益，造成较大危害后果的，处以七万元以上十万元以下的罚款。2、吊销营业执照</w:t>
      </w:r>
    </w:p>
    <w:p>
      <w:pPr>
        <w:pStyle w:val="13"/>
        <w:numPr>
          <w:ilvl w:val="0"/>
          <w:numId w:val="20"/>
        </w:numPr>
        <w:tabs>
          <w:tab w:val="left" w:pos="1199"/>
        </w:tabs>
        <w:spacing w:before="2" w:after="0" w:line="240" w:lineRule="auto"/>
        <w:ind w:left="1198" w:right="0" w:hanging="608"/>
        <w:jc w:val="left"/>
        <w:rPr>
          <w:color w:val="auto"/>
          <w:sz w:val="24"/>
        </w:rPr>
      </w:pPr>
      <w:r>
        <w:rPr>
          <w:color w:val="auto"/>
          <w:sz w:val="24"/>
        </w:rPr>
        <w:t>不具备法定代表人任职资格，且企业从事违法经营活动，造成较大危害后</w:t>
      </w:r>
    </w:p>
    <w:p>
      <w:pPr>
        <w:pStyle w:val="4"/>
        <w:spacing w:before="39"/>
        <w:rPr>
          <w:color w:val="auto"/>
        </w:rPr>
      </w:pPr>
      <w:r>
        <w:rPr>
          <w:color w:val="auto"/>
        </w:rPr>
        <w:t>果的；</w:t>
      </w:r>
    </w:p>
    <w:p>
      <w:pPr>
        <w:pStyle w:val="13"/>
        <w:numPr>
          <w:ilvl w:val="0"/>
          <w:numId w:val="20"/>
        </w:numPr>
        <w:tabs>
          <w:tab w:val="left" w:pos="1193"/>
        </w:tabs>
        <w:spacing w:before="195" w:after="0" w:line="240" w:lineRule="auto"/>
        <w:ind w:left="1192" w:right="0" w:hanging="602"/>
        <w:jc w:val="left"/>
        <w:rPr>
          <w:color w:val="auto"/>
          <w:sz w:val="24"/>
        </w:rPr>
      </w:pPr>
      <w:r>
        <w:rPr>
          <w:color w:val="auto"/>
          <w:sz w:val="24"/>
        </w:rPr>
        <w:t>不具备法定代表人任职资格，且拒不改正的；</w:t>
      </w:r>
    </w:p>
    <w:p>
      <w:pPr>
        <w:pStyle w:val="13"/>
        <w:numPr>
          <w:ilvl w:val="0"/>
          <w:numId w:val="20"/>
        </w:numPr>
        <w:tabs>
          <w:tab w:val="left" w:pos="1193"/>
        </w:tabs>
        <w:spacing w:before="191" w:after="0" w:line="240" w:lineRule="auto"/>
        <w:ind w:left="1192" w:right="0" w:hanging="602"/>
        <w:jc w:val="left"/>
        <w:rPr>
          <w:color w:val="auto"/>
          <w:sz w:val="24"/>
        </w:rPr>
      </w:pPr>
      <w:r>
        <w:rPr>
          <w:color w:val="auto"/>
          <w:sz w:val="24"/>
        </w:rPr>
        <w:t>其他严重违法情形。</w:t>
      </w:r>
    </w:p>
    <w:p>
      <w:pPr>
        <w:pStyle w:val="2"/>
        <w:spacing w:before="192"/>
        <w:rPr>
          <w:color w:val="auto"/>
        </w:rPr>
      </w:pPr>
      <w:bookmarkStart w:id="67" w:name="_bookmark33"/>
      <w:bookmarkEnd w:id="67"/>
      <w:bookmarkStart w:id="68" w:name="三十三、未依法办理企业法定代表人变更登记"/>
      <w:bookmarkEnd w:id="68"/>
      <w:r>
        <w:rPr>
          <w:color w:val="auto"/>
        </w:rPr>
        <w:t>三十三、未依法办理企业法定代表人变更登记</w:t>
      </w:r>
    </w:p>
    <w:p>
      <w:pPr>
        <w:spacing w:before="194"/>
        <w:ind w:left="591" w:right="0" w:firstLine="0"/>
        <w:jc w:val="left"/>
        <w:rPr>
          <w:b/>
          <w:color w:val="auto"/>
          <w:sz w:val="24"/>
        </w:rPr>
      </w:pPr>
      <w:r>
        <w:rPr>
          <w:b/>
          <w:color w:val="auto"/>
          <w:sz w:val="24"/>
        </w:rPr>
        <w:t>（一）处罚依据</w:t>
      </w:r>
    </w:p>
    <w:p>
      <w:pPr>
        <w:pStyle w:val="4"/>
        <w:spacing w:before="192" w:line="391" w:lineRule="auto"/>
        <w:ind w:right="232" w:firstLine="480"/>
        <w:jc w:val="both"/>
        <w:rPr>
          <w:color w:val="auto"/>
        </w:rPr>
      </w:pPr>
      <w:r>
        <w:rPr>
          <w:color w:val="auto"/>
        </w:rPr>
        <w:t>《企业法人法定代表人登记管理规定》第十二条 违反本规定，应当申请办理法定代表人变更登记而未办理的，由企业登记机关责令限期办理；逾期未办理的，处一万元以上十万元以下的罚款；情节严重的，撤销企业登记，吊销企业法人营业执照。</w:t>
      </w:r>
    </w:p>
    <w:p>
      <w:pPr>
        <w:numPr>
          <w:ilvl w:val="0"/>
          <w:numId w:val="21"/>
        </w:numPr>
        <w:spacing w:before="0" w:line="388" w:lineRule="auto"/>
        <w:ind w:left="591" w:right="6948" w:firstLine="0"/>
        <w:jc w:val="left"/>
        <w:rPr>
          <w:b/>
          <w:color w:val="auto"/>
          <w:sz w:val="24"/>
        </w:rPr>
      </w:pPr>
      <w:r>
        <w:rPr>
          <w:b/>
          <w:color w:val="auto"/>
          <w:sz w:val="24"/>
        </w:rPr>
        <w:t>裁量标准</w:t>
      </w:r>
    </w:p>
    <w:p>
      <w:pPr>
        <w:keepNext w:val="0"/>
        <w:keepLines w:val="0"/>
        <w:widowControl/>
        <w:numPr>
          <w:ilvl w:val="0"/>
          <w:numId w:val="22"/>
        </w:numPr>
        <w:suppressLineNumbers w:val="0"/>
        <w:ind w:firstLine="720" w:firstLineChars="300"/>
        <w:jc w:val="left"/>
        <w:rPr>
          <w:rFonts w:hint="eastAsia"/>
          <w:color w:val="auto"/>
          <w:sz w:val="24"/>
          <w:lang w:val="en-US" w:eastAsia="zh-CN"/>
        </w:rPr>
      </w:pPr>
      <w:r>
        <w:rPr>
          <w:rFonts w:hint="eastAsia"/>
          <w:color w:val="auto"/>
          <w:sz w:val="24"/>
          <w:lang w:val="en-US" w:eastAsia="zh-CN"/>
        </w:rPr>
        <w:t>【不予处罚】</w:t>
      </w:r>
    </w:p>
    <w:p>
      <w:pPr>
        <w:keepNext w:val="0"/>
        <w:keepLines w:val="0"/>
        <w:widowControl/>
        <w:suppressLineNumbers w:val="0"/>
        <w:ind w:firstLine="960" w:firstLineChars="4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960" w:firstLineChars="400"/>
        <w:jc w:val="left"/>
        <w:rPr>
          <w:rFonts w:hint="default" w:eastAsia="宋体"/>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numPr>
          <w:ilvl w:val="0"/>
          <w:numId w:val="0"/>
        </w:numPr>
        <w:spacing w:before="0" w:line="388" w:lineRule="auto"/>
        <w:ind w:right="6948" w:rightChars="0" w:firstLine="720" w:firstLineChars="300"/>
        <w:jc w:val="left"/>
        <w:rPr>
          <w:color w:val="auto"/>
          <w:sz w:val="24"/>
        </w:rPr>
      </w:pPr>
      <w:r>
        <w:rPr>
          <w:rFonts w:hint="eastAsia"/>
          <w:color w:val="auto"/>
          <w:sz w:val="24"/>
          <w:lang w:val="en-US" w:eastAsia="zh-CN"/>
        </w:rPr>
        <w:t>2.</w:t>
      </w:r>
      <w:r>
        <w:rPr>
          <w:color w:val="auto"/>
          <w:sz w:val="24"/>
        </w:rPr>
        <w:t>罚款</w:t>
      </w:r>
    </w:p>
    <w:p>
      <w:pPr>
        <w:pStyle w:val="4"/>
        <w:spacing w:before="1"/>
        <w:ind w:left="591"/>
        <w:rPr>
          <w:color w:val="auto"/>
        </w:rPr>
      </w:pPr>
      <w:r>
        <w:rPr>
          <w:color w:val="auto"/>
        </w:rPr>
        <w:t>【较轻】</w:t>
      </w:r>
    </w:p>
    <w:p>
      <w:pPr>
        <w:pStyle w:val="4"/>
        <w:spacing w:before="191"/>
        <w:ind w:left="591"/>
        <w:rPr>
          <w:color w:val="auto"/>
        </w:rPr>
      </w:pPr>
      <w:r>
        <w:rPr>
          <w:color w:val="auto"/>
        </w:rPr>
        <w:t>逾期一个月以下的，处以一万元以上三万元以下的罚款。</w:t>
      </w:r>
    </w:p>
    <w:p>
      <w:pPr>
        <w:pStyle w:val="4"/>
        <w:spacing w:before="192"/>
        <w:ind w:left="591"/>
        <w:rPr>
          <w:color w:val="auto"/>
        </w:rPr>
      </w:pPr>
      <w:r>
        <w:rPr>
          <w:color w:val="auto"/>
        </w:rPr>
        <w:t>【一般】</w:t>
      </w:r>
    </w:p>
    <w:p>
      <w:pPr>
        <w:pStyle w:val="4"/>
        <w:spacing w:before="194"/>
        <w:ind w:left="591"/>
        <w:rPr>
          <w:color w:val="auto"/>
        </w:rPr>
      </w:pPr>
      <w:r>
        <w:rPr>
          <w:color w:val="auto"/>
        </w:rPr>
        <w:t>逾期一个月以上二个月以下的，处以三万元以上七万元以下的罚款。</w:t>
      </w:r>
    </w:p>
    <w:p>
      <w:pPr>
        <w:pStyle w:val="4"/>
        <w:spacing w:before="192"/>
        <w:ind w:left="591"/>
        <w:rPr>
          <w:color w:val="auto"/>
        </w:rPr>
      </w:pPr>
      <w:r>
        <w:rPr>
          <w:color w:val="auto"/>
        </w:rPr>
        <w:t>【严重】</w:t>
      </w:r>
    </w:p>
    <w:p>
      <w:pPr>
        <w:pStyle w:val="4"/>
        <w:spacing w:before="192" w:line="391" w:lineRule="auto"/>
        <w:ind w:left="591" w:right="1672"/>
        <w:rPr>
          <w:color w:val="auto"/>
        </w:rPr>
      </w:pPr>
      <w:r>
        <w:rPr>
          <w:color w:val="auto"/>
        </w:rPr>
        <w:t>逾期二个月以上三个月以下的，处以七万元以上十万元以下的罚款</w:t>
      </w:r>
      <w:r>
        <w:rPr>
          <w:rFonts w:hint="eastAsia"/>
          <w:color w:val="auto"/>
          <w:lang w:val="en-US" w:eastAsia="zh-CN"/>
        </w:rPr>
        <w:t>3</w:t>
      </w:r>
      <w:r>
        <w:rPr>
          <w:color w:val="auto"/>
        </w:rPr>
        <w:t>、吊销营业执照</w:t>
      </w:r>
    </w:p>
    <w:p>
      <w:pPr>
        <w:pStyle w:val="4"/>
        <w:spacing w:line="306" w:lineRule="exact"/>
        <w:ind w:left="591"/>
        <w:rPr>
          <w:color w:val="auto"/>
        </w:rPr>
      </w:pPr>
      <w:r>
        <w:rPr>
          <w:color w:val="auto"/>
        </w:rPr>
        <w:t>逾期三个月以上的，吊销企业法人营业执照。</w:t>
      </w:r>
    </w:p>
    <w:p>
      <w:pPr>
        <w:pStyle w:val="2"/>
        <w:spacing w:before="191"/>
        <w:rPr>
          <w:color w:val="auto"/>
        </w:rPr>
      </w:pPr>
      <w:bookmarkStart w:id="69" w:name="三十四、单位接收违反任职规定的辞职或者退休公务员"/>
      <w:bookmarkEnd w:id="69"/>
      <w:bookmarkStart w:id="70" w:name="_bookmark34"/>
      <w:bookmarkEnd w:id="70"/>
      <w:r>
        <w:rPr>
          <w:color w:val="auto"/>
        </w:rPr>
        <w:t>三十四、单位接收违反任职规定的辞职或者退休公务员</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《中华人民共和国公务员法》第一百零七二条 公务员辞去公职或者退休的，原</w:t>
      </w:r>
      <w:r>
        <w:rPr>
          <w:color w:val="auto"/>
          <w:spacing w:val="-13"/>
        </w:rPr>
        <w:t xml:space="preserve">系领导成员、县处级以上领导职务的公务员在离职三年内，其他公务员在离职两年内， </w:t>
      </w:r>
      <w:r>
        <w:rPr>
          <w:color w:val="auto"/>
          <w:spacing w:val="-2"/>
        </w:rPr>
        <w:t>不得到与原工作业务直接相关的企业或者其他营利性组织任职，不得从事与原工作业务直接相关的营利性活动。</w:t>
      </w:r>
    </w:p>
    <w:p>
      <w:pPr>
        <w:pStyle w:val="4"/>
        <w:spacing w:line="391" w:lineRule="auto"/>
        <w:ind w:right="268" w:firstLine="480"/>
        <w:jc w:val="both"/>
        <w:rPr>
          <w:color w:val="auto"/>
        </w:rPr>
      </w:pPr>
      <w:r>
        <w:rPr>
          <w:color w:val="auto"/>
          <w:spacing w:val="-3"/>
        </w:rPr>
        <w:t>公务员辞去公职或者退休后有违反前款规定行为的，由其原所在机关的同级公务</w:t>
      </w:r>
      <w:r>
        <w:rPr>
          <w:color w:val="auto"/>
          <w:spacing w:val="-4"/>
        </w:rPr>
        <w:t>员主管部门责令限期改正；逾期不改正的，由县级以上市场监管部门没收该人员从业</w:t>
      </w:r>
      <w:r>
        <w:rPr>
          <w:color w:val="auto"/>
          <w:spacing w:val="-5"/>
        </w:rPr>
        <w:t>期间的违法所得，责令接收单位将该人员予以清退，并根据情节轻重，对接收单位处</w:t>
      </w:r>
      <w:r>
        <w:rPr>
          <w:color w:val="auto"/>
        </w:rPr>
        <w:t>以被处罚人员违法所得一倍以上五倍以下的罚款。</w:t>
      </w:r>
    </w:p>
    <w:p>
      <w:pPr>
        <w:spacing w:before="39"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472"/>
        <w:rPr>
          <w:color w:val="auto"/>
        </w:rPr>
      </w:pPr>
      <w:r>
        <w:rPr>
          <w:color w:val="auto"/>
          <w:spacing w:val="-1"/>
        </w:rPr>
        <w:t>辞职或者退休公务员违法所得一万元以下的，处以一倍以上二倍以下的罚款。</w:t>
      </w:r>
      <w:r>
        <w:rPr>
          <w:color w:val="auto"/>
        </w:rPr>
        <w:t>2.【一般】</w:t>
      </w:r>
    </w:p>
    <w:p>
      <w:pPr>
        <w:pStyle w:val="4"/>
        <w:spacing w:before="3" w:line="388" w:lineRule="auto"/>
        <w:ind w:right="213" w:firstLine="480"/>
        <w:rPr>
          <w:color w:val="auto"/>
        </w:rPr>
      </w:pPr>
      <w:r>
        <w:rPr>
          <w:color w:val="auto"/>
        </w:rPr>
        <w:t>辞职或者退休公务员违法所得一万元以上三万元以下的，处以二倍以上三倍以下的罚款。</w:t>
      </w:r>
    </w:p>
    <w:p>
      <w:pPr>
        <w:pStyle w:val="4"/>
        <w:spacing w:before="2"/>
        <w:ind w:left="591"/>
        <w:rPr>
          <w:color w:val="auto"/>
        </w:rPr>
      </w:pPr>
      <w:r>
        <w:rPr>
          <w:color w:val="auto"/>
        </w:rPr>
        <w:t>3.【严重】</w:t>
      </w:r>
    </w:p>
    <w:p>
      <w:pPr>
        <w:spacing w:before="195" w:line="388" w:lineRule="auto"/>
        <w:ind w:left="591" w:right="472" w:firstLine="0"/>
        <w:jc w:val="left"/>
        <w:rPr>
          <w:b/>
          <w:color w:val="auto"/>
          <w:sz w:val="24"/>
        </w:rPr>
      </w:pPr>
      <w:r>
        <w:rPr>
          <w:color w:val="auto"/>
          <w:sz w:val="24"/>
        </w:rPr>
        <w:t>辞职或者退休公务员违法所得三万元以上的，处以三倍以上五倍以下的罚款。</w:t>
      </w:r>
      <w:bookmarkStart w:id="71" w:name="三十五、外国公司擅自设立分支机构"/>
      <w:bookmarkEnd w:id="71"/>
      <w:bookmarkStart w:id="72" w:name="_bookmark35"/>
      <w:bookmarkEnd w:id="72"/>
      <w:r>
        <w:rPr>
          <w:b/>
          <w:color w:val="auto"/>
          <w:sz w:val="24"/>
        </w:rPr>
        <w:t>三十五、外国公司擅自设立分支机构</w:t>
      </w:r>
    </w:p>
    <w:p>
      <w:pPr>
        <w:pStyle w:val="2"/>
        <w:spacing w:before="2"/>
        <w:rPr>
          <w:color w:val="auto"/>
        </w:rPr>
      </w:pPr>
      <w:r>
        <w:rPr>
          <w:color w:val="auto"/>
          <w:w w:val="95"/>
        </w:rPr>
        <w:t>（一）处罚依据</w:t>
      </w:r>
    </w:p>
    <w:p>
      <w:pPr>
        <w:pStyle w:val="4"/>
        <w:spacing w:before="194" w:line="388" w:lineRule="auto"/>
        <w:ind w:right="268" w:firstLine="480"/>
        <w:jc w:val="both"/>
        <w:rPr>
          <w:color w:val="auto"/>
        </w:rPr>
      </w:pPr>
      <w:r>
        <w:rPr>
          <w:color w:val="auto"/>
        </w:rPr>
        <w:t>《中华人民共和国公司法》第二百一十二条 外国公司违反本法规定，擅自在中</w:t>
      </w:r>
      <w:r>
        <w:rPr>
          <w:color w:val="auto"/>
          <w:spacing w:val="-4"/>
        </w:rPr>
        <w:t>国境内设立分支机构的，由公司登记机关责令改正或者关闭，可以并处五万元以上二</w:t>
      </w:r>
      <w:r>
        <w:rPr>
          <w:color w:val="auto"/>
        </w:rPr>
        <w:t>十万元以下的罚款。</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148" w:firstLine="480"/>
        <w:rPr>
          <w:color w:val="auto"/>
        </w:rPr>
      </w:pPr>
      <w:r>
        <w:rPr>
          <w:color w:val="auto"/>
          <w:spacing w:val="-11"/>
        </w:rPr>
        <w:t xml:space="preserve">从事国家允许外资经营的行业，未开展经营活动，并且设立期间在三个月以下的， </w:t>
      </w:r>
      <w:r>
        <w:rPr>
          <w:color w:val="auto"/>
        </w:rPr>
        <w:t>处以五万元以上十万元以下的罚款。</w:t>
      </w:r>
    </w:p>
    <w:p>
      <w:pPr>
        <w:pStyle w:val="13"/>
        <w:numPr>
          <w:ilvl w:val="0"/>
          <w:numId w:val="23"/>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13" w:firstLine="480"/>
        <w:rPr>
          <w:color w:val="auto"/>
        </w:rPr>
      </w:pPr>
      <w:r>
        <w:rPr>
          <w:color w:val="auto"/>
        </w:rPr>
        <w:t>从事国家允许外资经营的行业，未开展经营活动，并且设立期间在三个月以上六个月以下的，处以十万元以上十五万元以下的罚款。</w:t>
      </w:r>
    </w:p>
    <w:p>
      <w:pPr>
        <w:pStyle w:val="13"/>
        <w:numPr>
          <w:ilvl w:val="0"/>
          <w:numId w:val="23"/>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从事国家禁止类的行业，或从事国家允许外资经营的行业并且设立期间在六个月以上的，处以十五万元以上二十万元以下的罚款。</w:t>
      </w:r>
    </w:p>
    <w:p>
      <w:pPr>
        <w:pStyle w:val="2"/>
        <w:spacing w:line="306" w:lineRule="exact"/>
        <w:rPr>
          <w:color w:val="auto"/>
        </w:rPr>
      </w:pPr>
      <w:bookmarkStart w:id="73" w:name="_bookmark36"/>
      <w:bookmarkEnd w:id="73"/>
      <w:bookmarkStart w:id="74" w:name="三十六、外国企业及其他经济组织擅自设立代表机构或者从事代表机构业务活动"/>
      <w:bookmarkEnd w:id="74"/>
      <w:r>
        <w:rPr>
          <w:color w:val="auto"/>
        </w:rPr>
        <w:t>三十六、外国企业及其他经济组织擅自设立代表机构或者从事代表机构业务活动</w:t>
      </w:r>
    </w:p>
    <w:p>
      <w:pPr>
        <w:spacing w:before="191"/>
        <w:ind w:left="591" w:right="0" w:firstLine="0"/>
        <w:jc w:val="left"/>
        <w:rPr>
          <w:b/>
          <w:color w:val="auto"/>
          <w:sz w:val="24"/>
        </w:rPr>
      </w:pPr>
      <w:r>
        <w:rPr>
          <w:b/>
          <w:color w:val="auto"/>
          <w:sz w:val="24"/>
        </w:rPr>
        <w:t>（一）处罚依据</w:t>
      </w:r>
    </w:p>
    <w:p>
      <w:pPr>
        <w:pStyle w:val="4"/>
        <w:spacing w:before="195" w:line="388" w:lineRule="auto"/>
        <w:ind w:right="268" w:firstLine="480"/>
        <w:rPr>
          <w:color w:val="auto"/>
        </w:rPr>
      </w:pPr>
      <w:r>
        <w:rPr>
          <w:color w:val="auto"/>
        </w:rPr>
        <w:t>《外国企业常驻代表机构登记管理条例》第三十五条第一款 未经登记，擅自设</w:t>
      </w:r>
      <w:r>
        <w:rPr>
          <w:color w:val="auto"/>
          <w:spacing w:val="-5"/>
        </w:rPr>
        <w:t xml:space="preserve">立代表机构或者从事代表机构业务活动的，由登记机关责令停止活动，处以 </w:t>
      </w:r>
      <w:r>
        <w:rPr>
          <w:color w:val="auto"/>
        </w:rPr>
        <w:t>5</w:t>
      </w:r>
      <w:r>
        <w:rPr>
          <w:color w:val="auto"/>
          <w:spacing w:val="-19"/>
        </w:rPr>
        <w:t xml:space="preserve"> 万元以</w:t>
      </w:r>
    </w:p>
    <w:p>
      <w:pPr>
        <w:pStyle w:val="4"/>
        <w:spacing w:before="2"/>
        <w:rPr>
          <w:color w:val="auto"/>
        </w:rPr>
      </w:pPr>
      <w:r>
        <w:rPr>
          <w:color w:val="auto"/>
        </w:rPr>
        <w:t>上 20 万元以下的罚款。</w:t>
      </w:r>
    </w:p>
    <w:p>
      <w:pPr>
        <w:spacing w:before="39"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擅自设立代表机构或者从事代表机构业务活动三个月以下的，处以五万元以上十万元以下的罚款。</w:t>
      </w:r>
    </w:p>
    <w:p>
      <w:pPr>
        <w:pStyle w:val="13"/>
        <w:numPr>
          <w:ilvl w:val="0"/>
          <w:numId w:val="24"/>
        </w:numPr>
        <w:tabs>
          <w:tab w:val="left" w:pos="833"/>
        </w:tabs>
        <w:spacing w:before="3" w:after="0" w:line="240" w:lineRule="auto"/>
        <w:ind w:left="832" w:right="0" w:hanging="242"/>
        <w:jc w:val="left"/>
        <w:rPr>
          <w:color w:val="auto"/>
          <w:sz w:val="24"/>
        </w:rPr>
      </w:pPr>
      <w:r>
        <w:rPr>
          <w:color w:val="auto"/>
          <w:sz w:val="24"/>
        </w:rPr>
        <w:t>【一般】</w:t>
      </w:r>
    </w:p>
    <w:p>
      <w:pPr>
        <w:pStyle w:val="4"/>
        <w:spacing w:before="192" w:line="388" w:lineRule="auto"/>
        <w:ind w:right="213" w:firstLine="480"/>
        <w:rPr>
          <w:color w:val="auto"/>
        </w:rPr>
      </w:pPr>
      <w:r>
        <w:rPr>
          <w:color w:val="auto"/>
        </w:rPr>
        <w:t>擅自设立代表机构或者从事代表机构业务活动三个月以上六个月以下的，处以十万元以上十五万元以下的罚款。</w:t>
      </w:r>
    </w:p>
    <w:p>
      <w:pPr>
        <w:pStyle w:val="13"/>
        <w:numPr>
          <w:ilvl w:val="0"/>
          <w:numId w:val="24"/>
        </w:numPr>
        <w:tabs>
          <w:tab w:val="left" w:pos="833"/>
        </w:tabs>
        <w:spacing w:before="5" w:after="0" w:line="240" w:lineRule="auto"/>
        <w:ind w:left="832" w:right="0" w:hanging="242"/>
        <w:jc w:val="left"/>
        <w:rPr>
          <w:color w:val="auto"/>
          <w:sz w:val="24"/>
        </w:rPr>
      </w:pPr>
      <w:r>
        <w:rPr>
          <w:color w:val="auto"/>
          <w:sz w:val="24"/>
        </w:rPr>
        <w:t>【严重】</w:t>
      </w:r>
    </w:p>
    <w:p>
      <w:pPr>
        <w:pStyle w:val="4"/>
        <w:spacing w:before="191" w:line="388" w:lineRule="auto"/>
        <w:ind w:right="268" w:firstLine="480"/>
        <w:rPr>
          <w:color w:val="auto"/>
        </w:rPr>
      </w:pPr>
      <w:r>
        <w:rPr>
          <w:color w:val="auto"/>
          <w:spacing w:val="-3"/>
        </w:rPr>
        <w:t>擅自设立代表机构或者从事代表机构业务活动六个月以上的，处以十五万元以上</w:t>
      </w:r>
      <w:r>
        <w:rPr>
          <w:color w:val="auto"/>
        </w:rPr>
        <w:t>二十万元以下的罚款。</w:t>
      </w:r>
    </w:p>
    <w:p>
      <w:pPr>
        <w:pStyle w:val="2"/>
        <w:spacing w:before="5"/>
        <w:rPr>
          <w:color w:val="auto"/>
        </w:rPr>
      </w:pPr>
      <w:bookmarkStart w:id="75" w:name="三十七、外国企业常驻代表机构从事营利性活动"/>
      <w:bookmarkEnd w:id="75"/>
      <w:bookmarkStart w:id="76" w:name="_bookmark37"/>
      <w:bookmarkEnd w:id="76"/>
      <w:r>
        <w:rPr>
          <w:color w:val="auto"/>
        </w:rPr>
        <w:t>三十七、外国企业常驻代表机构从事营利性活动</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《外国企业常驻代表机构登记管理条例》第三十五条第二款 代表机构违反本条</w:t>
      </w:r>
      <w:r>
        <w:rPr>
          <w:color w:val="auto"/>
          <w:spacing w:val="-4"/>
        </w:rPr>
        <w:t>例规定从事营利性活动的，由登记机关责令改正，没收违法所得，没收专门用于从事</w:t>
      </w:r>
      <w:r>
        <w:rPr>
          <w:color w:val="auto"/>
        </w:rPr>
        <w:t>营利性活动的工具、设备、原材料、产品（商品）</w:t>
      </w:r>
      <w:r>
        <w:rPr>
          <w:color w:val="auto"/>
          <w:spacing w:val="-7"/>
        </w:rPr>
        <w:t xml:space="preserve">等财物，处以 </w:t>
      </w:r>
      <w:r>
        <w:rPr>
          <w:color w:val="auto"/>
        </w:rPr>
        <w:t>5</w:t>
      </w:r>
      <w:r>
        <w:rPr>
          <w:color w:val="auto"/>
          <w:spacing w:val="-16"/>
        </w:rPr>
        <w:t xml:space="preserve"> 万元以上 </w:t>
      </w:r>
      <w:r>
        <w:rPr>
          <w:color w:val="auto"/>
        </w:rPr>
        <w:t>50</w:t>
      </w:r>
      <w:r>
        <w:rPr>
          <w:color w:val="auto"/>
          <w:spacing w:val="-15"/>
        </w:rPr>
        <w:t xml:space="preserve"> 万元以下罚款；情节严重的，吊销登记证。</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4"/>
        </w:rPr>
        <w:t>擅自从事营利性活动三个月以下的，没收违法所得，没收专门用于从事营利性活</w:t>
      </w:r>
      <w:r>
        <w:rPr>
          <w:color w:val="auto"/>
          <w:spacing w:val="-5"/>
        </w:rPr>
        <w:t>动的工具、设备、原材料、产品</w:t>
      </w:r>
      <w:r>
        <w:rPr>
          <w:color w:val="auto"/>
        </w:rPr>
        <w:t>（商品</w:t>
      </w:r>
      <w:r>
        <w:rPr>
          <w:color w:val="auto"/>
          <w:spacing w:val="-8"/>
        </w:rPr>
        <w:t>）</w:t>
      </w:r>
      <w:r>
        <w:rPr>
          <w:color w:val="auto"/>
          <w:spacing w:val="-3"/>
        </w:rPr>
        <w:t>等财物，处以五万元以上二十万元以下的罚</w:t>
      </w:r>
      <w:r>
        <w:rPr>
          <w:color w:val="auto"/>
        </w:rPr>
        <w:t>款。</w:t>
      </w:r>
    </w:p>
    <w:p>
      <w:pPr>
        <w:pStyle w:val="13"/>
        <w:numPr>
          <w:ilvl w:val="0"/>
          <w:numId w:val="25"/>
        </w:numPr>
        <w:tabs>
          <w:tab w:val="left" w:pos="833"/>
        </w:tabs>
        <w:spacing w:before="0" w:after="0" w:line="304" w:lineRule="exact"/>
        <w:ind w:left="832" w:right="0" w:hanging="242"/>
        <w:jc w:val="left"/>
        <w:rPr>
          <w:color w:val="auto"/>
          <w:sz w:val="24"/>
        </w:rPr>
      </w:pPr>
      <w:r>
        <w:rPr>
          <w:color w:val="auto"/>
          <w:sz w:val="24"/>
        </w:rPr>
        <w:t>【一般】</w:t>
      </w:r>
    </w:p>
    <w:p>
      <w:pPr>
        <w:pStyle w:val="4"/>
        <w:spacing w:before="193" w:line="388" w:lineRule="auto"/>
        <w:ind w:right="268" w:firstLine="480"/>
        <w:jc w:val="both"/>
        <w:rPr>
          <w:color w:val="auto"/>
        </w:rPr>
      </w:pPr>
      <w:r>
        <w:rPr>
          <w:color w:val="auto"/>
          <w:spacing w:val="-3"/>
        </w:rPr>
        <w:t>擅自从事营利性活动三个月以上六个月以下的，没收违法所得，没收专门用于从</w:t>
      </w:r>
      <w:r>
        <w:rPr>
          <w:color w:val="auto"/>
          <w:spacing w:val="-4"/>
        </w:rPr>
        <w:t>事营利性活动的工具、设备、原材料、产品</w:t>
      </w:r>
      <w:r>
        <w:rPr>
          <w:color w:val="auto"/>
        </w:rPr>
        <w:t>（商品</w:t>
      </w:r>
      <w:r>
        <w:rPr>
          <w:color w:val="auto"/>
          <w:spacing w:val="-8"/>
        </w:rPr>
        <w:t>）</w:t>
      </w:r>
      <w:r>
        <w:rPr>
          <w:color w:val="auto"/>
          <w:spacing w:val="-3"/>
        </w:rPr>
        <w:t>等财物，处以二十万元以上五十</w:t>
      </w:r>
      <w:r>
        <w:rPr>
          <w:color w:val="auto"/>
        </w:rPr>
        <w:t>万元以下的罚款。</w:t>
      </w:r>
    </w:p>
    <w:p>
      <w:pPr>
        <w:pStyle w:val="13"/>
        <w:numPr>
          <w:ilvl w:val="0"/>
          <w:numId w:val="25"/>
        </w:numPr>
        <w:tabs>
          <w:tab w:val="left" w:pos="833"/>
        </w:tabs>
        <w:spacing w:before="6" w:after="0" w:line="240" w:lineRule="auto"/>
        <w:ind w:left="832" w:right="0" w:hanging="242"/>
        <w:jc w:val="left"/>
        <w:rPr>
          <w:color w:val="auto"/>
          <w:sz w:val="24"/>
        </w:rPr>
      </w:pPr>
      <w:r>
        <w:rPr>
          <w:color w:val="auto"/>
          <w:sz w:val="24"/>
        </w:rPr>
        <w:t>【严重】</w:t>
      </w:r>
    </w:p>
    <w:p>
      <w:pPr>
        <w:pStyle w:val="4"/>
        <w:spacing w:before="191" w:line="388" w:lineRule="auto"/>
        <w:ind w:right="213" w:firstLine="480"/>
        <w:rPr>
          <w:color w:val="auto"/>
        </w:rPr>
      </w:pPr>
      <w:r>
        <w:rPr>
          <w:color w:val="auto"/>
        </w:rPr>
        <w:t>擅自从事营利性活动六个月以上或者严重扰乱市场经济秩序，危害严重的，吊销登记证。</w:t>
      </w:r>
    </w:p>
    <w:p>
      <w:pPr>
        <w:pStyle w:val="2"/>
        <w:spacing w:before="39" w:line="391" w:lineRule="auto"/>
        <w:ind w:left="111" w:right="240" w:firstLine="480"/>
        <w:rPr>
          <w:color w:val="auto"/>
        </w:rPr>
      </w:pPr>
      <w:bookmarkStart w:id="77" w:name="_bookmark38"/>
      <w:bookmarkEnd w:id="77"/>
      <w:bookmarkStart w:id="78" w:name="三十八、外国企业提交虚假材料或者采取其他欺诈手段隐瞒真实情况取得代表机构登记或者"/>
      <w:bookmarkEnd w:id="78"/>
      <w:r>
        <w:rPr>
          <w:color w:val="auto"/>
          <w:spacing w:val="-9"/>
        </w:rPr>
        <w:t>三十八、外国企业提交虚假材料或者采取其他欺诈手段隐瞒真实情况取得代表机构登记或者备案</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《外国企业常驻代表机构登记管理条例》第三十六条第一款 提交虚假材料或者</w:t>
      </w:r>
      <w:r>
        <w:rPr>
          <w:color w:val="auto"/>
          <w:spacing w:val="-4"/>
        </w:rPr>
        <w:t>采取其他欺诈手段隐瞒真实情况，取得代表机构登记或者备案的，由登记机关责令改</w:t>
      </w:r>
      <w:r>
        <w:rPr>
          <w:color w:val="auto"/>
          <w:spacing w:val="-5"/>
        </w:rPr>
        <w:t xml:space="preserve">正，对代表机构处以 </w:t>
      </w:r>
      <w:r>
        <w:rPr>
          <w:color w:val="auto"/>
        </w:rPr>
        <w:t>2</w:t>
      </w:r>
      <w:r>
        <w:rPr>
          <w:color w:val="auto"/>
          <w:spacing w:val="-16"/>
        </w:rPr>
        <w:t xml:space="preserve"> 万元以上 </w:t>
      </w:r>
      <w:r>
        <w:rPr>
          <w:color w:val="auto"/>
        </w:rPr>
        <w:t>20</w:t>
      </w:r>
      <w:r>
        <w:rPr>
          <w:color w:val="auto"/>
          <w:spacing w:val="-7"/>
        </w:rPr>
        <w:t xml:space="preserve"> 万元以下的罚款，对直接负责的主管人员和其他</w:t>
      </w:r>
    </w:p>
    <w:p>
      <w:pPr>
        <w:pStyle w:val="4"/>
        <w:spacing w:line="391" w:lineRule="auto"/>
        <w:ind w:right="268"/>
        <w:jc w:val="both"/>
        <w:rPr>
          <w:color w:val="auto"/>
        </w:rPr>
      </w:pPr>
      <w:r>
        <w:rPr>
          <w:color w:val="auto"/>
          <w:spacing w:val="-5"/>
        </w:rPr>
        <w:t xml:space="preserve">直接责任人员处以 </w:t>
      </w:r>
      <w:r>
        <w:rPr>
          <w:color w:val="auto"/>
        </w:rPr>
        <w:t>1000</w:t>
      </w:r>
      <w:r>
        <w:rPr>
          <w:color w:val="auto"/>
          <w:spacing w:val="-19"/>
        </w:rPr>
        <w:t xml:space="preserve"> 元以上 </w:t>
      </w:r>
      <w:r>
        <w:rPr>
          <w:color w:val="auto"/>
        </w:rPr>
        <w:t>1</w:t>
      </w:r>
      <w:r>
        <w:rPr>
          <w:color w:val="auto"/>
          <w:spacing w:val="-7"/>
        </w:rPr>
        <w:t xml:space="preserve"> 万元以下的罚款；情节严重的，由登记机关撤销登记或者吊销登记证，缴销代表证。</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68" w:firstLine="480"/>
        <w:jc w:val="both"/>
        <w:rPr>
          <w:color w:val="auto"/>
        </w:rPr>
      </w:pPr>
      <w:r>
        <w:rPr>
          <w:color w:val="auto"/>
          <w:spacing w:val="-4"/>
        </w:rPr>
        <w:t>提交材料形式要件虚假的，或者隐瞒一般事实的，处以二万元以上十万元以下的</w:t>
      </w:r>
      <w:r>
        <w:rPr>
          <w:color w:val="auto"/>
          <w:spacing w:val="3"/>
        </w:rPr>
        <w:t>罚款；对直接负责的主管人员和其他直接责任人员处以一千元以上五千元以下的罚款。</w:t>
      </w:r>
    </w:p>
    <w:p>
      <w:pPr>
        <w:pStyle w:val="13"/>
        <w:numPr>
          <w:ilvl w:val="0"/>
          <w:numId w:val="26"/>
        </w:numPr>
        <w:tabs>
          <w:tab w:val="left" w:pos="833"/>
        </w:tabs>
        <w:spacing w:before="5" w:after="0" w:line="240" w:lineRule="auto"/>
        <w:ind w:left="832" w:right="0" w:hanging="242"/>
        <w:jc w:val="left"/>
        <w:rPr>
          <w:color w:val="auto"/>
          <w:sz w:val="24"/>
        </w:rPr>
      </w:pPr>
      <w:r>
        <w:rPr>
          <w:color w:val="auto"/>
          <w:sz w:val="24"/>
        </w:rPr>
        <w:t>【一般】</w:t>
      </w:r>
    </w:p>
    <w:p>
      <w:pPr>
        <w:pStyle w:val="4"/>
        <w:spacing w:before="192" w:line="391" w:lineRule="auto"/>
        <w:ind w:right="268" w:firstLine="480"/>
        <w:jc w:val="both"/>
        <w:rPr>
          <w:color w:val="auto"/>
        </w:rPr>
      </w:pPr>
      <w:r>
        <w:rPr>
          <w:color w:val="auto"/>
          <w:spacing w:val="-5"/>
        </w:rPr>
        <w:t>隐瞒重要事实，取得代表机构登记或者备案的，处以十万元以上二十万元以下的</w:t>
      </w:r>
      <w:r>
        <w:rPr>
          <w:color w:val="auto"/>
          <w:spacing w:val="3"/>
        </w:rPr>
        <w:t>罚款；对直接负责的主管人员和其他直接责任人员处以五千元以上一万元以下的罚款。</w:t>
      </w:r>
    </w:p>
    <w:p>
      <w:pPr>
        <w:pStyle w:val="13"/>
        <w:numPr>
          <w:ilvl w:val="0"/>
          <w:numId w:val="26"/>
        </w:numPr>
        <w:tabs>
          <w:tab w:val="left" w:pos="833"/>
        </w:tabs>
        <w:spacing w:before="0" w:after="0" w:line="304" w:lineRule="exact"/>
        <w:ind w:left="832" w:right="0" w:hanging="242"/>
        <w:jc w:val="left"/>
        <w:rPr>
          <w:color w:val="auto"/>
          <w:sz w:val="24"/>
        </w:rPr>
      </w:pPr>
      <w:r>
        <w:rPr>
          <w:color w:val="auto"/>
          <w:sz w:val="24"/>
        </w:rPr>
        <w:t>【严重】</w:t>
      </w:r>
    </w:p>
    <w:p>
      <w:pPr>
        <w:spacing w:before="191" w:line="391" w:lineRule="auto"/>
        <w:ind w:left="591" w:right="232" w:firstLine="0"/>
        <w:jc w:val="left"/>
        <w:rPr>
          <w:b/>
          <w:color w:val="auto"/>
          <w:sz w:val="24"/>
        </w:rPr>
      </w:pPr>
      <w:r>
        <w:rPr>
          <w:color w:val="auto"/>
          <w:sz w:val="24"/>
        </w:rPr>
        <w:t>隐瞒重要事实，造成较为严重后果的，撤销登记或者吊销登记证，缴销代表证。</w:t>
      </w:r>
      <w:bookmarkStart w:id="79" w:name="_bookmark39"/>
      <w:bookmarkEnd w:id="79"/>
      <w:bookmarkStart w:id="80" w:name="三十九、外国企业常驻代表机构年度报告隐瞒真实情况、弄虚作假"/>
      <w:bookmarkEnd w:id="80"/>
      <w:r>
        <w:rPr>
          <w:b/>
          <w:color w:val="auto"/>
          <w:sz w:val="24"/>
        </w:rPr>
        <w:t>三十九、外国企业常驻代表机构年度报告隐瞒真实情况、弄虚作假</w:t>
      </w:r>
    </w:p>
    <w:p>
      <w:pPr>
        <w:pStyle w:val="2"/>
        <w:spacing w:line="306" w:lineRule="exact"/>
        <w:rPr>
          <w:color w:val="auto"/>
        </w:rPr>
      </w:pPr>
      <w:r>
        <w:rPr>
          <w:color w:val="auto"/>
        </w:rPr>
        <w:t>（一）处罚依据</w:t>
      </w:r>
    </w:p>
    <w:p>
      <w:pPr>
        <w:pStyle w:val="4"/>
        <w:spacing w:before="192" w:line="391" w:lineRule="auto"/>
        <w:ind w:right="268" w:firstLine="480"/>
        <w:rPr>
          <w:color w:val="auto"/>
        </w:rPr>
      </w:pPr>
      <w:r>
        <w:rPr>
          <w:color w:val="auto"/>
        </w:rPr>
        <w:t>《外国企业常驻代表机构登记管理条例》第三十六条第二款 代表机构提交的年</w:t>
      </w:r>
      <w:r>
        <w:rPr>
          <w:color w:val="auto"/>
          <w:spacing w:val="-6"/>
        </w:rPr>
        <w:t xml:space="preserve">度报告隐瞒真实情况、弄虚作假的，由登记机关责令改正，对代表机构处以 </w:t>
      </w:r>
      <w:r>
        <w:rPr>
          <w:color w:val="auto"/>
        </w:rPr>
        <w:t>2</w:t>
      </w:r>
      <w:r>
        <w:rPr>
          <w:color w:val="auto"/>
          <w:spacing w:val="-20"/>
        </w:rPr>
        <w:t xml:space="preserve"> 万元以</w:t>
      </w:r>
    </w:p>
    <w:p>
      <w:pPr>
        <w:pStyle w:val="4"/>
        <w:spacing w:line="306" w:lineRule="exact"/>
        <w:rPr>
          <w:color w:val="auto"/>
        </w:rPr>
      </w:pPr>
      <w:r>
        <w:rPr>
          <w:color w:val="auto"/>
        </w:rPr>
        <w:t>上 20 万元以下的罚款；情节严重的，吊销登记证。</w:t>
      </w:r>
    </w:p>
    <w:p>
      <w:pPr>
        <w:spacing w:before="192"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提交材料形式要件虚假的，或者隐瞒一般事实的，处以二万元以上十万元以下的罚款。</w:t>
      </w:r>
    </w:p>
    <w:p>
      <w:pPr>
        <w:pStyle w:val="4"/>
        <w:spacing w:before="39"/>
        <w:ind w:left="591"/>
        <w:rPr>
          <w:color w:val="auto"/>
        </w:rPr>
      </w:pPr>
      <w:r>
        <w:rPr>
          <w:color w:val="auto"/>
        </w:rPr>
        <w:t>2.【一般】</w:t>
      </w:r>
    </w:p>
    <w:p>
      <w:pPr>
        <w:pStyle w:val="4"/>
        <w:spacing w:before="195" w:line="388" w:lineRule="auto"/>
        <w:ind w:left="591" w:right="472"/>
        <w:rPr>
          <w:color w:val="auto"/>
        </w:rPr>
      </w:pPr>
      <w:r>
        <w:rPr>
          <w:color w:val="auto"/>
          <w:spacing w:val="-1"/>
        </w:rPr>
        <w:t>隐瞒重要事实，造成一定危害后果的，处以十万元以上二十万元以下的罚款。</w:t>
      </w:r>
      <w:r>
        <w:rPr>
          <w:color w:val="auto"/>
        </w:rPr>
        <w:t>3.【严重】</w:t>
      </w:r>
    </w:p>
    <w:p>
      <w:pPr>
        <w:pStyle w:val="4"/>
        <w:spacing w:before="2"/>
        <w:ind w:left="591"/>
        <w:rPr>
          <w:color w:val="auto"/>
        </w:rPr>
      </w:pPr>
      <w:r>
        <w:rPr>
          <w:color w:val="auto"/>
        </w:rPr>
        <w:t>隐瞒重要事实，造成较为严重后果的，吊销登记证。</w:t>
      </w:r>
    </w:p>
    <w:p>
      <w:pPr>
        <w:pStyle w:val="2"/>
        <w:spacing w:before="194"/>
        <w:rPr>
          <w:color w:val="auto"/>
        </w:rPr>
      </w:pPr>
      <w:bookmarkStart w:id="81" w:name="_bookmark40"/>
      <w:bookmarkEnd w:id="81"/>
      <w:bookmarkStart w:id="82" w:name="四十、外国企业常驻代表机构伪造、涂改、出租、出借、转让登记证、代表证"/>
      <w:bookmarkEnd w:id="82"/>
      <w:r>
        <w:rPr>
          <w:color w:val="auto"/>
        </w:rPr>
        <w:t>四十、外国企业常驻代表机构伪造、涂改、出租、出借、转让登记证、代表证</w:t>
      </w:r>
    </w:p>
    <w:p>
      <w:pPr>
        <w:spacing w:before="192"/>
        <w:ind w:left="591" w:right="0" w:firstLine="0"/>
        <w:jc w:val="left"/>
        <w:rPr>
          <w:b/>
          <w:color w:val="auto"/>
          <w:sz w:val="24"/>
        </w:rPr>
      </w:pPr>
      <w:r>
        <w:rPr>
          <w:b/>
          <w:color w:val="auto"/>
          <w:sz w:val="24"/>
        </w:rPr>
        <w:t>（一）处罚依据</w:t>
      </w:r>
    </w:p>
    <w:p>
      <w:pPr>
        <w:pStyle w:val="4"/>
        <w:spacing w:before="191" w:line="391" w:lineRule="auto"/>
        <w:ind w:right="93" w:firstLine="480"/>
        <w:rPr>
          <w:color w:val="auto"/>
        </w:rPr>
      </w:pPr>
      <w:r>
        <w:rPr>
          <w:color w:val="auto"/>
        </w:rPr>
        <w:t>《外国企业常驻代表机构登记管理条例》第三十六条第三款 伪造、涂改、出租、出借、转让登记证、代表证的，由登记机关对代表机构处以 1 万元以上 10 万元以下</w:t>
      </w:r>
    </w:p>
    <w:p>
      <w:pPr>
        <w:pStyle w:val="4"/>
        <w:spacing w:line="388" w:lineRule="auto"/>
        <w:ind w:right="268"/>
        <w:rPr>
          <w:color w:val="auto"/>
        </w:rPr>
      </w:pPr>
      <w:r>
        <w:rPr>
          <w:color w:val="auto"/>
          <w:spacing w:val="-2"/>
        </w:rPr>
        <w:t xml:space="preserve">的罚款；对直接负责的主管人员和其他直接责任人员处以 </w:t>
      </w:r>
      <w:r>
        <w:rPr>
          <w:color w:val="auto"/>
        </w:rPr>
        <w:t>1000</w:t>
      </w:r>
      <w:r>
        <w:rPr>
          <w:color w:val="auto"/>
          <w:spacing w:val="-19"/>
        </w:rPr>
        <w:t xml:space="preserve"> 元以上 </w:t>
      </w:r>
      <w:r>
        <w:rPr>
          <w:color w:val="auto"/>
        </w:rPr>
        <w:t>1</w:t>
      </w:r>
      <w:r>
        <w:rPr>
          <w:color w:val="auto"/>
          <w:spacing w:val="-8"/>
        </w:rPr>
        <w:t xml:space="preserve"> 万元以下的罚款；情节严重的，吊销登记证，缴销代表证。</w:t>
      </w:r>
    </w:p>
    <w:p>
      <w:pPr>
        <w:spacing w:before="3"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65" w:firstLine="480"/>
        <w:jc w:val="both"/>
        <w:rPr>
          <w:color w:val="auto"/>
        </w:rPr>
      </w:pPr>
      <w:r>
        <w:rPr>
          <w:color w:val="auto"/>
          <w:spacing w:val="-6"/>
        </w:rPr>
        <w:t>伪造、涂改、出租、出借、转让登记证、代表证，能够及时改正，未造成危害后</w:t>
      </w:r>
      <w:r>
        <w:rPr>
          <w:color w:val="auto"/>
          <w:spacing w:val="-7"/>
        </w:rPr>
        <w:t>果的，处以一万元以上五万元以下的罚款；对直接负责的主管人员和其他直接责任人</w:t>
      </w:r>
      <w:r>
        <w:rPr>
          <w:color w:val="auto"/>
        </w:rPr>
        <w:t>员处以一千元以上五千元以下的罚款。</w:t>
      </w:r>
    </w:p>
    <w:p>
      <w:pPr>
        <w:pStyle w:val="13"/>
        <w:numPr>
          <w:ilvl w:val="0"/>
          <w:numId w:val="27"/>
        </w:numPr>
        <w:tabs>
          <w:tab w:val="left" w:pos="833"/>
        </w:tabs>
        <w:spacing w:before="0" w:after="0" w:line="304" w:lineRule="exact"/>
        <w:ind w:left="832" w:right="0" w:hanging="242"/>
        <w:jc w:val="left"/>
        <w:rPr>
          <w:color w:val="auto"/>
          <w:sz w:val="24"/>
        </w:rPr>
      </w:pPr>
      <w:r>
        <w:rPr>
          <w:color w:val="auto"/>
          <w:sz w:val="24"/>
        </w:rPr>
        <w:t>【一般】</w:t>
      </w:r>
    </w:p>
    <w:p>
      <w:pPr>
        <w:pStyle w:val="4"/>
        <w:spacing w:before="194" w:line="388" w:lineRule="auto"/>
        <w:ind w:right="265" w:firstLine="480"/>
        <w:jc w:val="both"/>
        <w:rPr>
          <w:color w:val="auto"/>
        </w:rPr>
      </w:pPr>
      <w:r>
        <w:rPr>
          <w:color w:val="auto"/>
          <w:spacing w:val="-6"/>
        </w:rPr>
        <w:t>伪造、涂改、出租、出借、转让登记证、代表证，虽未造成危害后果，但未改正</w:t>
      </w:r>
      <w:r>
        <w:rPr>
          <w:color w:val="auto"/>
          <w:spacing w:val="-7"/>
        </w:rPr>
        <w:t>的，处以五万元以上十万元以下的罚款；对直接负责的主管人员和其他直接责任人员</w:t>
      </w:r>
      <w:r>
        <w:rPr>
          <w:color w:val="auto"/>
        </w:rPr>
        <w:t>处以五千元以上一万元以下的罚款。</w:t>
      </w:r>
    </w:p>
    <w:p>
      <w:pPr>
        <w:pStyle w:val="13"/>
        <w:numPr>
          <w:ilvl w:val="0"/>
          <w:numId w:val="27"/>
        </w:numPr>
        <w:tabs>
          <w:tab w:val="left" w:pos="833"/>
        </w:tabs>
        <w:spacing w:before="6" w:after="0" w:line="240" w:lineRule="auto"/>
        <w:ind w:left="832" w:right="0" w:hanging="242"/>
        <w:jc w:val="left"/>
        <w:rPr>
          <w:color w:val="auto"/>
          <w:sz w:val="24"/>
        </w:rPr>
      </w:pPr>
      <w:r>
        <w:rPr>
          <w:color w:val="auto"/>
          <w:sz w:val="24"/>
        </w:rPr>
        <w:t>【严重】</w:t>
      </w:r>
    </w:p>
    <w:p>
      <w:pPr>
        <w:pStyle w:val="4"/>
        <w:spacing w:before="191" w:line="388" w:lineRule="auto"/>
        <w:ind w:right="224" w:firstLine="480"/>
        <w:rPr>
          <w:color w:val="auto"/>
        </w:rPr>
      </w:pPr>
      <w:r>
        <w:rPr>
          <w:color w:val="auto"/>
        </w:rPr>
        <w:t>伪造、涂改、出租、出借、转让登记证、代表证，造成严重危害后果的，吊销登记证，缴销代表证。</w:t>
      </w:r>
    </w:p>
    <w:p>
      <w:pPr>
        <w:pStyle w:val="2"/>
        <w:spacing w:before="5"/>
        <w:rPr>
          <w:color w:val="auto"/>
        </w:rPr>
      </w:pPr>
      <w:bookmarkStart w:id="83" w:name="四十一、外国企业常驻代表机构从事业务活动以外的活动"/>
      <w:bookmarkEnd w:id="83"/>
      <w:bookmarkStart w:id="84" w:name="_bookmark41"/>
      <w:bookmarkEnd w:id="84"/>
      <w:r>
        <w:rPr>
          <w:color w:val="auto"/>
        </w:rPr>
        <w:t>四十一、外国企业常驻代表机构从事业务活动以外的活动</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1</w:t>
      </w:r>
      <w:r>
        <w:rPr>
          <w:color w:val="auto"/>
          <w:spacing w:val="-10"/>
        </w:rPr>
        <w:t>、《外国企业常驻代表机构登记管理条例》第三十七条 代表机构违反本条例第</w:t>
      </w:r>
      <w:r>
        <w:rPr>
          <w:color w:val="auto"/>
          <w:spacing w:val="-13"/>
        </w:rPr>
        <w:t>十四条规定从事业务活动以外活动的，由登记机关责令限期改正；逾期未改正的，处</w:t>
      </w:r>
      <w:r>
        <w:rPr>
          <w:color w:val="auto"/>
          <w:spacing w:val="-30"/>
        </w:rPr>
        <w:t xml:space="preserve">以 </w:t>
      </w:r>
      <w:r>
        <w:rPr>
          <w:color w:val="auto"/>
        </w:rPr>
        <w:t>1</w:t>
      </w:r>
      <w:r>
        <w:rPr>
          <w:color w:val="auto"/>
          <w:spacing w:val="-20"/>
        </w:rPr>
        <w:t xml:space="preserve"> 万元以上 </w:t>
      </w:r>
      <w:r>
        <w:rPr>
          <w:color w:val="auto"/>
        </w:rPr>
        <w:t>10</w:t>
      </w:r>
      <w:r>
        <w:rPr>
          <w:color w:val="auto"/>
          <w:spacing w:val="-8"/>
        </w:rPr>
        <w:t xml:space="preserve"> 万元以下的罚款；情节严重的，吊销登记证。</w:t>
      </w:r>
    </w:p>
    <w:p>
      <w:pPr>
        <w:pStyle w:val="4"/>
        <w:spacing w:line="304" w:lineRule="exact"/>
        <w:ind w:left="591"/>
        <w:jc w:val="both"/>
        <w:rPr>
          <w:color w:val="auto"/>
        </w:rPr>
      </w:pPr>
      <w:r>
        <w:rPr>
          <w:color w:val="auto"/>
        </w:rPr>
        <w:t>2、《外国企业常驻代表机构登记管理条例》第十四条 代表机构可以从事与外国</w:t>
      </w:r>
    </w:p>
    <w:p>
      <w:pPr>
        <w:pStyle w:val="4"/>
        <w:spacing w:before="39"/>
        <w:rPr>
          <w:color w:val="auto"/>
        </w:rPr>
      </w:pPr>
      <w:r>
        <w:rPr>
          <w:color w:val="auto"/>
        </w:rPr>
        <w:t>企业业务有关的下列活动：</w:t>
      </w:r>
    </w:p>
    <w:p>
      <w:pPr>
        <w:pStyle w:val="4"/>
        <w:spacing w:before="195"/>
        <w:ind w:left="591"/>
        <w:rPr>
          <w:color w:val="auto"/>
        </w:rPr>
      </w:pPr>
      <w:r>
        <w:rPr>
          <w:color w:val="auto"/>
        </w:rPr>
        <w:t>（一）与外国企业产品或者服务有关的市场调查、展示、宣传活动；</w:t>
      </w:r>
    </w:p>
    <w:p>
      <w:pPr>
        <w:pStyle w:val="4"/>
        <w:spacing w:before="191" w:line="388" w:lineRule="auto"/>
        <w:ind w:left="591" w:right="232"/>
        <w:rPr>
          <w:color w:val="auto"/>
        </w:rPr>
      </w:pPr>
      <w:r>
        <w:rPr>
          <w:color w:val="auto"/>
        </w:rPr>
        <w:t>（二）与外国企业产品销售、服务提供、境内采购、境内投资有关的联络活动。法律、行政法规或者国务院规定代表机构从事前款规定的业务活动须经批准的，</w:t>
      </w:r>
    </w:p>
    <w:p>
      <w:pPr>
        <w:pStyle w:val="4"/>
        <w:spacing w:before="5"/>
        <w:rPr>
          <w:color w:val="auto"/>
        </w:rPr>
      </w:pPr>
      <w:r>
        <w:rPr>
          <w:color w:val="auto"/>
        </w:rPr>
        <w:t>应当取得批准。</w:t>
      </w:r>
    </w:p>
    <w:p>
      <w:pPr>
        <w:spacing w:before="192"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4" w:line="388" w:lineRule="auto"/>
        <w:ind w:left="591" w:right="2632"/>
        <w:rPr>
          <w:color w:val="auto"/>
        </w:rPr>
      </w:pPr>
      <w:r>
        <w:rPr>
          <w:color w:val="auto"/>
          <w:spacing w:val="-1"/>
        </w:rPr>
        <w:t>逾期三个月以下的，处以一万元以上五万元以下的罚款。</w:t>
      </w:r>
      <w:r>
        <w:rPr>
          <w:color w:val="auto"/>
        </w:rPr>
        <w:t>2.【一般】</w:t>
      </w:r>
    </w:p>
    <w:p>
      <w:pPr>
        <w:pStyle w:val="4"/>
        <w:spacing w:before="2" w:line="391" w:lineRule="auto"/>
        <w:ind w:left="591" w:right="1432"/>
        <w:rPr>
          <w:color w:val="auto"/>
        </w:rPr>
      </w:pPr>
      <w:r>
        <w:rPr>
          <w:color w:val="auto"/>
          <w:spacing w:val="-1"/>
        </w:rPr>
        <w:t>逾期三个月以上六个月以下的，处以五万元以上十万元以下的罚款。</w:t>
      </w:r>
      <w:r>
        <w:rPr>
          <w:color w:val="auto"/>
        </w:rPr>
        <w:t>3.【严重】</w:t>
      </w:r>
    </w:p>
    <w:p>
      <w:pPr>
        <w:pStyle w:val="4"/>
        <w:spacing w:line="306" w:lineRule="exact"/>
        <w:ind w:left="591"/>
        <w:rPr>
          <w:color w:val="auto"/>
        </w:rPr>
      </w:pPr>
      <w:r>
        <w:rPr>
          <w:color w:val="auto"/>
        </w:rPr>
        <w:t>逾期六个月以上的，吊销登记证。</w:t>
      </w:r>
    </w:p>
    <w:p>
      <w:pPr>
        <w:pStyle w:val="2"/>
        <w:spacing w:before="192" w:line="391" w:lineRule="auto"/>
        <w:ind w:left="111" w:right="235" w:firstLine="480"/>
        <w:jc w:val="both"/>
        <w:rPr>
          <w:color w:val="auto"/>
        </w:rPr>
      </w:pPr>
      <w:bookmarkStart w:id="85" w:name="四十二、外国企业常驻代表机构未依照规定提交年度报告、未按照登记机关登记的名称从事"/>
      <w:bookmarkEnd w:id="85"/>
      <w:bookmarkStart w:id="86" w:name="_bookmark42"/>
      <w:bookmarkEnd w:id="86"/>
      <w:r>
        <w:rPr>
          <w:color w:val="auto"/>
          <w:spacing w:val="-7"/>
        </w:rPr>
        <w:t>四十二、外国企业常驻代表机构未依照规定提交年度报告、未按照登记机关登记</w:t>
      </w:r>
      <w:r>
        <w:rPr>
          <w:color w:val="auto"/>
          <w:spacing w:val="-11"/>
        </w:rPr>
        <w:t>的名称从事业务活动、未按照中国政府有关部门要求调整驻在场所、未依照规定公告其设立及变更情况、未依照规定办理有关变更登记注销登记或者备案</w:t>
      </w:r>
    </w:p>
    <w:p>
      <w:pPr>
        <w:spacing w:before="0" w:line="304" w:lineRule="exact"/>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《外国企业常驻代表机构登记管理条例》第三十八条 有下列情形之一的，由登</w:t>
      </w:r>
      <w:r>
        <w:rPr>
          <w:color w:val="auto"/>
          <w:spacing w:val="-7"/>
        </w:rPr>
        <w:t xml:space="preserve">记机关责令限期改正，处以 </w:t>
      </w:r>
      <w:r>
        <w:rPr>
          <w:color w:val="auto"/>
        </w:rPr>
        <w:t>1</w:t>
      </w:r>
      <w:r>
        <w:rPr>
          <w:color w:val="auto"/>
          <w:spacing w:val="-20"/>
        </w:rPr>
        <w:t xml:space="preserve"> 万元以上 </w:t>
      </w:r>
      <w:r>
        <w:rPr>
          <w:color w:val="auto"/>
        </w:rPr>
        <w:t>3</w:t>
      </w:r>
      <w:r>
        <w:rPr>
          <w:color w:val="auto"/>
          <w:spacing w:val="-11"/>
        </w:rPr>
        <w:t xml:space="preserve"> 万元以下的罚款；逾期未改正的，吊销登记</w:t>
      </w:r>
      <w:r>
        <w:rPr>
          <w:color w:val="auto"/>
        </w:rPr>
        <w:t>证：</w:t>
      </w:r>
    </w:p>
    <w:p>
      <w:pPr>
        <w:pStyle w:val="4"/>
        <w:spacing w:before="5"/>
        <w:ind w:left="591"/>
        <w:rPr>
          <w:color w:val="auto"/>
        </w:rPr>
      </w:pPr>
      <w:r>
        <w:rPr>
          <w:color w:val="auto"/>
        </w:rPr>
        <w:t>（一）未依照本条例规定提交年度报告的；</w:t>
      </w:r>
    </w:p>
    <w:p>
      <w:pPr>
        <w:pStyle w:val="4"/>
        <w:spacing w:before="192"/>
        <w:ind w:left="591"/>
        <w:rPr>
          <w:color w:val="auto"/>
        </w:rPr>
      </w:pPr>
      <w:r>
        <w:rPr>
          <w:color w:val="auto"/>
        </w:rPr>
        <w:t>（二）未按照登记机关登记的名称从事业务活动的；</w:t>
      </w:r>
    </w:p>
    <w:p>
      <w:pPr>
        <w:pStyle w:val="4"/>
        <w:spacing w:before="192"/>
        <w:ind w:left="591"/>
        <w:rPr>
          <w:color w:val="auto"/>
        </w:rPr>
      </w:pPr>
      <w:r>
        <w:rPr>
          <w:color w:val="auto"/>
        </w:rPr>
        <w:t>（三）未按照中国政府有关部门要求调整驻在场所的；</w:t>
      </w:r>
    </w:p>
    <w:p>
      <w:pPr>
        <w:pStyle w:val="4"/>
        <w:spacing w:before="194"/>
        <w:ind w:left="591"/>
        <w:rPr>
          <w:color w:val="auto"/>
        </w:rPr>
      </w:pPr>
      <w:r>
        <w:rPr>
          <w:color w:val="auto"/>
        </w:rPr>
        <w:t>（四）未依照本条例规定公告其设立、变更情况的；</w:t>
      </w:r>
    </w:p>
    <w:p>
      <w:pPr>
        <w:pStyle w:val="4"/>
        <w:spacing w:before="192"/>
        <w:ind w:left="591"/>
        <w:rPr>
          <w:color w:val="auto"/>
        </w:rPr>
      </w:pPr>
      <w:r>
        <w:rPr>
          <w:color w:val="auto"/>
        </w:rPr>
        <w:t>（五）未依照本条例规定办理有关变更登记、注销登记或者备案的。</w:t>
      </w:r>
    </w:p>
    <w:p>
      <w:pPr>
        <w:spacing w:before="191"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632"/>
        <w:rPr>
          <w:color w:val="auto"/>
        </w:rPr>
      </w:pPr>
      <w:r>
        <w:rPr>
          <w:color w:val="auto"/>
          <w:spacing w:val="-1"/>
        </w:rPr>
        <w:t>未造成危害后果的，处以一万元以上二万元以下的罚款。</w:t>
      </w:r>
      <w:r>
        <w:rPr>
          <w:color w:val="auto"/>
        </w:rPr>
        <w:t>2.【一般】</w:t>
      </w:r>
    </w:p>
    <w:p>
      <w:pPr>
        <w:pStyle w:val="4"/>
        <w:spacing w:before="39" w:line="391" w:lineRule="auto"/>
        <w:ind w:left="591" w:right="2872"/>
        <w:rPr>
          <w:color w:val="auto"/>
        </w:rPr>
      </w:pPr>
      <w:r>
        <w:rPr>
          <w:color w:val="auto"/>
        </w:rPr>
        <w:t>造成危害后果的，处以二万元以上三万元以下的罚款。3.【严重】</w:t>
      </w:r>
    </w:p>
    <w:p>
      <w:pPr>
        <w:pStyle w:val="4"/>
        <w:spacing w:line="306" w:lineRule="exact"/>
        <w:ind w:left="591"/>
        <w:rPr>
          <w:color w:val="auto"/>
        </w:rPr>
      </w:pPr>
      <w:r>
        <w:rPr>
          <w:color w:val="auto"/>
        </w:rPr>
        <w:t>逾期未改正的，吊销登记证。</w:t>
      </w:r>
    </w:p>
    <w:p>
      <w:pPr>
        <w:pStyle w:val="2"/>
        <w:spacing w:before="192"/>
        <w:rPr>
          <w:color w:val="auto"/>
        </w:rPr>
      </w:pPr>
      <w:bookmarkStart w:id="87" w:name="四十三、采取提交虚假文件等欺骗手段取得合伙企业登记"/>
      <w:bookmarkEnd w:id="87"/>
      <w:bookmarkStart w:id="88" w:name="_bookmark43"/>
      <w:bookmarkEnd w:id="88"/>
      <w:r>
        <w:rPr>
          <w:color w:val="auto"/>
        </w:rPr>
        <w:t>四十三、采取提交虚假文件等欺骗手段取得合伙企业登记</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《中华人民共和国合伙企业法》第九十三条 违反本法规定，提交虚假文件或者</w:t>
      </w:r>
      <w:r>
        <w:rPr>
          <w:color w:val="auto"/>
          <w:spacing w:val="-5"/>
        </w:rPr>
        <w:t>采取其他欺骗手段，取得合伙企业登记的，由企业登记机关责令改正，处以五千元以上五万元以下的罚款；情节严重的，撤销企业登记，并处以五万元以上二十万元以下</w:t>
      </w:r>
      <w:r>
        <w:rPr>
          <w:color w:val="auto"/>
        </w:rPr>
        <w:t>的罚款。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提交一种虚假文件或者采取一种其他欺骗手段的，处以五千元以上一万五千元以下的罚款。</w:t>
      </w:r>
    </w:p>
    <w:p>
      <w:pPr>
        <w:pStyle w:val="13"/>
        <w:numPr>
          <w:ilvl w:val="0"/>
          <w:numId w:val="28"/>
        </w:numPr>
        <w:tabs>
          <w:tab w:val="left" w:pos="833"/>
        </w:tabs>
        <w:spacing w:before="0" w:after="0" w:line="240" w:lineRule="auto"/>
        <w:ind w:left="832" w:right="0" w:hanging="242"/>
        <w:jc w:val="left"/>
        <w:rPr>
          <w:color w:val="auto"/>
          <w:sz w:val="24"/>
        </w:rPr>
      </w:pPr>
      <w:r>
        <w:rPr>
          <w:color w:val="auto"/>
          <w:sz w:val="24"/>
        </w:rPr>
        <w:t>【一般】</w:t>
      </w:r>
    </w:p>
    <w:p>
      <w:pPr>
        <w:pStyle w:val="4"/>
        <w:spacing w:before="189" w:line="388" w:lineRule="auto"/>
        <w:ind w:right="213" w:firstLine="480"/>
        <w:rPr>
          <w:color w:val="auto"/>
        </w:rPr>
      </w:pPr>
      <w:r>
        <w:rPr>
          <w:color w:val="auto"/>
        </w:rPr>
        <w:t>提交两种以上虚假文件或者采取两种以上其他欺骗手段的，处以一万五千元以上五万元以下的罚款。</w:t>
      </w:r>
    </w:p>
    <w:p>
      <w:pPr>
        <w:pStyle w:val="13"/>
        <w:numPr>
          <w:ilvl w:val="0"/>
          <w:numId w:val="28"/>
        </w:numPr>
        <w:tabs>
          <w:tab w:val="left" w:pos="833"/>
        </w:tabs>
        <w:spacing w:before="4" w:after="0" w:line="240" w:lineRule="auto"/>
        <w:ind w:left="832" w:right="0" w:hanging="242"/>
        <w:jc w:val="left"/>
        <w:rPr>
          <w:color w:val="auto"/>
          <w:sz w:val="24"/>
        </w:rPr>
      </w:pPr>
      <w:r>
        <w:rPr>
          <w:color w:val="auto"/>
          <w:sz w:val="24"/>
        </w:rPr>
        <w:t>【严重】</w:t>
      </w:r>
    </w:p>
    <w:p>
      <w:pPr>
        <w:pStyle w:val="4"/>
        <w:spacing w:before="192" w:line="388" w:lineRule="auto"/>
        <w:ind w:right="213" w:firstLine="480"/>
        <w:rPr>
          <w:color w:val="auto"/>
        </w:rPr>
      </w:pPr>
      <w:r>
        <w:rPr>
          <w:color w:val="auto"/>
        </w:rPr>
        <w:t>提交虚假文件或者采取其他欺骗手段，造成较大损失或者其它不良后果的，并处五万元以上二十万元以下的罚款。</w:t>
      </w:r>
    </w:p>
    <w:p>
      <w:pPr>
        <w:pStyle w:val="2"/>
        <w:spacing w:before="5" w:line="388" w:lineRule="auto"/>
        <w:ind w:left="111" w:right="117" w:firstLine="480"/>
        <w:rPr>
          <w:color w:val="auto"/>
        </w:rPr>
      </w:pPr>
      <w:bookmarkStart w:id="89" w:name="四十四、合伙企业未在其名称中标明“普通合伙”、“特殊普通合伙”、“有限合伙”字样"/>
      <w:bookmarkEnd w:id="89"/>
      <w:bookmarkStart w:id="90" w:name="_bookmark44"/>
      <w:bookmarkEnd w:id="90"/>
      <w:r>
        <w:rPr>
          <w:color w:val="auto"/>
          <w:spacing w:val="-15"/>
        </w:rPr>
        <w:t>四十四、合伙企业未在其名称中标明“普通合伙”</w:t>
      </w:r>
      <w:r>
        <w:rPr>
          <w:color w:val="auto"/>
          <w:spacing w:val="-31"/>
        </w:rPr>
        <w:t>、“特殊普通合伙”、“有限合伙” 字样</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《中华人民共和国合伙企业法》第九十四条 违反本法规定，合伙企业未在其名</w:t>
      </w:r>
      <w:r>
        <w:rPr>
          <w:color w:val="auto"/>
          <w:spacing w:val="-17"/>
        </w:rPr>
        <w:t>称中标明“普通合伙”、“特殊普通合伙”或者“有限合伙”字样的，由企业登记机关</w:t>
      </w:r>
      <w:r>
        <w:rPr>
          <w:color w:val="auto"/>
        </w:rPr>
        <w:t>责令限期改正，处以二千元以上一万元以下的罚款。</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ind w:left="591"/>
        <w:rPr>
          <w:color w:val="auto"/>
          <w:sz w:val="24"/>
        </w:rPr>
      </w:pPr>
      <w:r>
        <w:rPr>
          <w:color w:val="auto"/>
        </w:rPr>
        <w:t>违法行为持续一个月以下的，处以二千元以上三千元以下的罚款。</w:t>
      </w:r>
      <w:r>
        <w:rPr>
          <w:color w:val="auto"/>
          <w:sz w:val="24"/>
        </w:rPr>
        <w:t>【一般】</w:t>
      </w:r>
    </w:p>
    <w:p>
      <w:pPr>
        <w:pStyle w:val="4"/>
        <w:spacing w:before="195" w:line="388" w:lineRule="auto"/>
        <w:ind w:left="591" w:right="472"/>
        <w:rPr>
          <w:color w:val="auto"/>
        </w:rPr>
      </w:pPr>
      <w:r>
        <w:rPr>
          <w:color w:val="auto"/>
        </w:rPr>
        <w:t>违法行为持续一个月以上三个月以下的，处以三千元以上七千元以下的罚款。3.【严重】</w:t>
      </w:r>
    </w:p>
    <w:p>
      <w:pPr>
        <w:pStyle w:val="4"/>
        <w:spacing w:before="2"/>
        <w:ind w:left="591"/>
        <w:rPr>
          <w:color w:val="auto"/>
        </w:rPr>
      </w:pPr>
      <w:r>
        <w:rPr>
          <w:color w:val="auto"/>
        </w:rPr>
        <w:t>违法行为持续三个月以上的，处以七千元以上一万元以下的罚款。</w:t>
      </w:r>
    </w:p>
    <w:p>
      <w:pPr>
        <w:pStyle w:val="2"/>
        <w:spacing w:before="194"/>
        <w:rPr>
          <w:color w:val="auto"/>
        </w:rPr>
      </w:pPr>
      <w:bookmarkStart w:id="91" w:name="四十五、未领取营业执照而以合伙企业或者合伙企业分支机构名义从事合伙业务"/>
      <w:bookmarkEnd w:id="91"/>
      <w:bookmarkStart w:id="92" w:name="_bookmark45"/>
      <w:bookmarkEnd w:id="92"/>
      <w:r>
        <w:rPr>
          <w:color w:val="auto"/>
        </w:rPr>
        <w:t>四十五、未领取营业执照而以合伙企业或者合伙企业分支机构名义从事合伙业务</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《中华人民共和国合伙企业法》第九十五条第一款 违反本法规定，未领取营业</w:t>
      </w:r>
      <w:r>
        <w:rPr>
          <w:color w:val="auto"/>
          <w:spacing w:val="-7"/>
        </w:rPr>
        <w:t>执照，而以合伙企业或者合伙企业分支机构名义从事合伙业务的，由企业登记机关责</w:t>
      </w:r>
      <w:r>
        <w:rPr>
          <w:color w:val="auto"/>
        </w:rPr>
        <w:t>令停止，处以五千元以上五万元以下的罚款。</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192"/>
        <w:rPr>
          <w:color w:val="auto"/>
        </w:rPr>
      </w:pPr>
      <w:r>
        <w:rPr>
          <w:color w:val="auto"/>
          <w:spacing w:val="-1"/>
        </w:rPr>
        <w:t>违法行为持续一个月以下的，处以五千元以上一万五千元以下的罚款。</w:t>
      </w:r>
      <w:r>
        <w:rPr>
          <w:color w:val="auto"/>
        </w:rPr>
        <w:t>2.【一般】</w:t>
      </w:r>
    </w:p>
    <w:p>
      <w:pPr>
        <w:pStyle w:val="4"/>
        <w:spacing w:line="388" w:lineRule="auto"/>
        <w:ind w:right="213" w:firstLine="480"/>
        <w:rPr>
          <w:color w:val="auto"/>
        </w:rPr>
      </w:pPr>
      <w:r>
        <w:rPr>
          <w:color w:val="auto"/>
        </w:rPr>
        <w:t>违法行为持续一个月以上三个月以下的，处以一万五千元以上三万五千元以下的罚款。</w:t>
      </w:r>
    </w:p>
    <w:p>
      <w:pPr>
        <w:pStyle w:val="13"/>
        <w:numPr>
          <w:ilvl w:val="0"/>
          <w:numId w:val="29"/>
        </w:numPr>
        <w:tabs>
          <w:tab w:val="left" w:pos="833"/>
        </w:tabs>
        <w:spacing w:before="1" w:after="0" w:line="240" w:lineRule="auto"/>
        <w:ind w:left="832" w:right="0" w:hanging="242"/>
        <w:jc w:val="left"/>
        <w:rPr>
          <w:color w:val="auto"/>
          <w:sz w:val="24"/>
        </w:rPr>
      </w:pPr>
      <w:r>
        <w:rPr>
          <w:color w:val="auto"/>
          <w:sz w:val="24"/>
        </w:rPr>
        <w:t>【严重】</w:t>
      </w:r>
    </w:p>
    <w:p>
      <w:pPr>
        <w:spacing w:before="195" w:line="388" w:lineRule="auto"/>
        <w:ind w:left="591" w:right="1192" w:firstLine="0"/>
        <w:jc w:val="left"/>
        <w:rPr>
          <w:b/>
          <w:color w:val="auto"/>
          <w:sz w:val="24"/>
        </w:rPr>
      </w:pPr>
      <w:r>
        <w:rPr>
          <w:color w:val="auto"/>
          <w:sz w:val="24"/>
        </w:rPr>
        <w:t>违法行为持续三个月以上的，处以三万五千元以上五万元以下的罚款。</w:t>
      </w:r>
      <w:bookmarkStart w:id="93" w:name="_bookmark46"/>
      <w:bookmarkEnd w:id="93"/>
      <w:bookmarkStart w:id="94" w:name="四十六、合伙企业未按规定办理变更登记"/>
      <w:bookmarkEnd w:id="94"/>
      <w:r>
        <w:rPr>
          <w:b/>
          <w:color w:val="auto"/>
          <w:sz w:val="24"/>
        </w:rPr>
        <w:t>四十六、合伙企业未按规定办理变更登记</w:t>
      </w:r>
    </w:p>
    <w:p>
      <w:pPr>
        <w:pStyle w:val="2"/>
        <w:spacing w:before="2"/>
        <w:rPr>
          <w:color w:val="auto"/>
        </w:rPr>
      </w:pPr>
      <w:r>
        <w:rPr>
          <w:color w:val="auto"/>
        </w:rPr>
        <w:t>（一）处罚依据</w:t>
      </w:r>
    </w:p>
    <w:p>
      <w:pPr>
        <w:pStyle w:val="4"/>
        <w:spacing w:before="194" w:line="388" w:lineRule="auto"/>
        <w:ind w:right="148" w:firstLine="480"/>
        <w:rPr>
          <w:color w:val="auto"/>
        </w:rPr>
      </w:pPr>
      <w:r>
        <w:rPr>
          <w:color w:val="auto"/>
        </w:rPr>
        <w:t xml:space="preserve">《中华人民共和国合伙企业法》第九十五条第二款 </w:t>
      </w:r>
      <w:r>
        <w:rPr>
          <w:color w:val="auto"/>
        </w:rPr>
        <w:t>合伙企业登记事项发生变更</w:t>
      </w:r>
      <w:r>
        <w:rPr>
          <w:color w:val="auto"/>
          <w:spacing w:val="-14"/>
        </w:rPr>
        <w:t>时，未依照本法规定办理变更登记的</w:t>
      </w:r>
      <w:r>
        <w:rPr>
          <w:color w:val="auto"/>
          <w:spacing w:val="-14"/>
        </w:rPr>
        <w:t xml:space="preserve">，由企业登记机关责令限期登记；逾期不登记的， </w:t>
      </w:r>
      <w:r>
        <w:rPr>
          <w:color w:val="auto"/>
        </w:rPr>
        <w:t>处以二千元以上二万元以下的罚款。</w:t>
      </w:r>
    </w:p>
    <w:p>
      <w:pPr>
        <w:numPr>
          <w:ilvl w:val="0"/>
          <w:numId w:val="13"/>
        </w:numPr>
        <w:spacing w:before="5" w:line="388" w:lineRule="auto"/>
        <w:ind w:left="591" w:leftChars="0" w:right="6948" w:firstLine="0" w:firstLineChars="0"/>
        <w:jc w:val="left"/>
        <w:rPr>
          <w:b/>
          <w:color w:val="auto"/>
          <w:spacing w:val="-5"/>
          <w:sz w:val="24"/>
        </w:rPr>
      </w:pPr>
      <w:r>
        <w:rPr>
          <w:b/>
          <w:color w:val="auto"/>
          <w:spacing w:val="-5"/>
          <w:sz w:val="24"/>
        </w:rPr>
        <w:t>裁量标准</w:t>
      </w:r>
    </w:p>
    <w:p>
      <w:pPr>
        <w:keepNext w:val="0"/>
        <w:keepLines w:val="0"/>
        <w:widowControl/>
        <w:suppressLineNumbers w:val="0"/>
        <w:ind w:firstLine="720" w:firstLineChars="300"/>
        <w:jc w:val="left"/>
        <w:rPr>
          <w:rFonts w:hint="default" w:eastAsia="宋体"/>
          <w:color w:val="auto"/>
          <w:sz w:val="24"/>
          <w:lang w:val="en-US" w:eastAsia="zh-CN"/>
        </w:rPr>
      </w:pPr>
      <w:r>
        <w:rPr>
          <w:rFonts w:hint="eastAsia"/>
          <w:color w:val="auto"/>
          <w:sz w:val="24"/>
          <w:lang w:val="en-US" w:eastAsia="zh-CN"/>
        </w:rPr>
        <w:t>1.【不予处罚】</w:t>
      </w:r>
      <w:r>
        <w:rPr>
          <w:rFonts w:hint="eastAsia" w:ascii="宋体" w:hAnsi="宋体" w:eastAsia="宋体" w:cs="宋体"/>
          <w:color w:val="auto"/>
          <w:kern w:val="0"/>
          <w:sz w:val="24"/>
          <w:szCs w:val="24"/>
          <w:lang w:val="en-US" w:eastAsia="zh-CN" w:bidi="ar"/>
        </w:rPr>
        <w:t>自行改正或者在行政机关 责令改正的期限内改正</w:t>
      </w:r>
    </w:p>
    <w:p>
      <w:pPr>
        <w:numPr>
          <w:ilvl w:val="0"/>
          <w:numId w:val="0"/>
        </w:numPr>
        <w:spacing w:before="5"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before="2" w:line="391" w:lineRule="auto"/>
        <w:ind w:left="591" w:right="1672"/>
        <w:rPr>
          <w:color w:val="auto"/>
        </w:rPr>
      </w:pPr>
      <w:r>
        <w:rPr>
          <w:color w:val="auto"/>
          <w:spacing w:val="-1"/>
        </w:rPr>
        <w:t>变更登记事项不需要审批的，处以二千元以上六千元以下的罚款。</w:t>
      </w:r>
      <w:r>
        <w:rPr>
          <w:rFonts w:hint="eastAsia"/>
          <w:color w:val="auto"/>
          <w:lang w:val="en-US" w:eastAsia="zh-CN"/>
        </w:rPr>
        <w:t>3</w:t>
      </w:r>
      <w:r>
        <w:rPr>
          <w:color w:val="auto"/>
        </w:rPr>
        <w:t>.【一般】</w:t>
      </w:r>
    </w:p>
    <w:p>
      <w:pPr>
        <w:pStyle w:val="4"/>
        <w:spacing w:line="388" w:lineRule="auto"/>
        <w:ind w:left="591" w:right="952"/>
        <w:rPr>
          <w:color w:val="auto"/>
        </w:rPr>
      </w:pPr>
      <w:r>
        <w:rPr>
          <w:color w:val="auto"/>
          <w:spacing w:val="-1"/>
        </w:rPr>
        <w:t>变更登记事项需要后置审批的，处以六千元以上一万四千元以下的罚款。</w:t>
      </w:r>
      <w:r>
        <w:rPr>
          <w:rFonts w:hint="eastAsia"/>
          <w:color w:val="auto"/>
          <w:lang w:val="en-US" w:eastAsia="zh-CN"/>
        </w:rPr>
        <w:t>4</w:t>
      </w:r>
      <w:r>
        <w:rPr>
          <w:color w:val="auto"/>
        </w:rPr>
        <w:t>.【严重】</w:t>
      </w:r>
    </w:p>
    <w:p>
      <w:pPr>
        <w:spacing w:before="39" w:line="391" w:lineRule="auto"/>
        <w:ind w:left="591" w:right="952" w:firstLine="0"/>
        <w:jc w:val="left"/>
        <w:rPr>
          <w:b/>
          <w:color w:val="auto"/>
          <w:sz w:val="24"/>
        </w:rPr>
      </w:pPr>
      <w:r>
        <w:rPr>
          <w:color w:val="auto"/>
          <w:sz w:val="24"/>
        </w:rPr>
        <w:t>变更登记事项需要前置审批的，处以一万四千元以上二万元以下的罚款。</w:t>
      </w:r>
      <w:bookmarkStart w:id="95" w:name="四十七、合伙企业未依照规定办理清算人成员名单备案"/>
      <w:bookmarkEnd w:id="95"/>
      <w:bookmarkStart w:id="96" w:name="_bookmark47"/>
      <w:bookmarkEnd w:id="96"/>
      <w:r>
        <w:rPr>
          <w:b/>
          <w:color w:val="auto"/>
          <w:sz w:val="24"/>
        </w:rPr>
        <w:t>四十七、合伙企业未依照规定办理清算人成员名单备案</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rPr>
        <w:t xml:space="preserve">《合伙企业登记管理办法》第四十一条 </w:t>
      </w:r>
      <w:r>
        <w:rPr>
          <w:color w:val="auto"/>
        </w:rPr>
        <w:t>合伙企业未依照本办法规定办理清算人</w:t>
      </w:r>
      <w:r>
        <w:rPr>
          <w:color w:val="auto"/>
          <w:spacing w:val="-5"/>
        </w:rPr>
        <w:t>成员名单备案的，</w:t>
      </w:r>
      <w:r>
        <w:rPr>
          <w:color w:val="auto"/>
          <w:spacing w:val="-5"/>
        </w:rPr>
        <w:t>由企业登记机关责令限期办理；逾期未办理的，处二千元以下的罚</w:t>
      </w:r>
      <w:r>
        <w:rPr>
          <w:color w:val="auto"/>
        </w:rPr>
        <w:t>款。</w:t>
      </w:r>
    </w:p>
    <w:p>
      <w:pPr>
        <w:spacing w:before="0" w:line="391" w:lineRule="auto"/>
        <w:ind w:left="591" w:right="6948" w:firstLine="0"/>
        <w:jc w:val="left"/>
        <w:rPr>
          <w:b/>
          <w:color w:val="auto"/>
          <w:spacing w:val="-5"/>
          <w:sz w:val="24"/>
        </w:rPr>
      </w:pPr>
      <w:r>
        <w:rPr>
          <w:b/>
          <w:color w:val="auto"/>
          <w:sz w:val="24"/>
        </w:rPr>
        <w:t>（二）</w:t>
      </w:r>
      <w:r>
        <w:rPr>
          <w:b/>
          <w:color w:val="auto"/>
          <w:spacing w:val="-5"/>
          <w:sz w:val="24"/>
        </w:rPr>
        <w:t>裁量标准</w:t>
      </w:r>
    </w:p>
    <w:p>
      <w:pPr>
        <w:keepNext w:val="0"/>
        <w:keepLines w:val="0"/>
        <w:widowControl/>
        <w:suppressLineNumbers w:val="0"/>
        <w:ind w:firstLine="720" w:firstLineChars="300"/>
        <w:jc w:val="left"/>
        <w:rPr>
          <w:rFonts w:hint="eastAsia"/>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rFonts w:hint="default" w:eastAsia="宋体"/>
          <w:color w:val="auto"/>
          <w:sz w:val="24"/>
          <w:lang w:val="en-US" w:eastAsia="zh-CN"/>
        </w:rPr>
      </w:pPr>
      <w:r>
        <w:rPr>
          <w:rFonts w:hint="eastAsia" w:ascii="宋体" w:hAnsi="宋体" w:eastAsia="宋体" w:cs="宋体"/>
          <w:color w:val="auto"/>
          <w:kern w:val="0"/>
          <w:sz w:val="24"/>
          <w:szCs w:val="24"/>
          <w:lang w:val="en-US" w:eastAsia="zh-CN" w:bidi="ar"/>
        </w:rPr>
        <w:t>自行改正或者在行政机关 责令改正的期限内改正</w:t>
      </w:r>
    </w:p>
    <w:p>
      <w:pPr>
        <w:spacing w:before="0" w:line="391"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4"/>
        <w:spacing w:line="388" w:lineRule="auto"/>
        <w:ind w:left="591" w:right="3832"/>
        <w:rPr>
          <w:color w:val="auto"/>
        </w:rPr>
      </w:pPr>
      <w:r>
        <w:rPr>
          <w:color w:val="auto"/>
          <w:spacing w:val="-1"/>
        </w:rPr>
        <w:t>逾期一个月以下的，处以六百元以下的罚款。</w:t>
      </w:r>
      <w:r>
        <w:rPr>
          <w:rFonts w:hint="eastAsia"/>
          <w:color w:val="auto"/>
          <w:lang w:val="en-US" w:eastAsia="zh-CN"/>
        </w:rPr>
        <w:t>3</w:t>
      </w:r>
      <w:r>
        <w:rPr>
          <w:color w:val="auto"/>
        </w:rPr>
        <w:t>.【一般】</w:t>
      </w:r>
    </w:p>
    <w:p>
      <w:pPr>
        <w:pStyle w:val="4"/>
        <w:spacing w:line="388" w:lineRule="auto"/>
        <w:ind w:left="591" w:right="952"/>
        <w:rPr>
          <w:color w:val="auto"/>
        </w:rPr>
      </w:pPr>
      <w:r>
        <w:rPr>
          <w:color w:val="auto"/>
          <w:spacing w:val="-1"/>
        </w:rPr>
        <w:t>逾期一个月以上三个月以下的，处以六百元以上一千四百元以下的罚款。</w:t>
      </w:r>
      <w:r>
        <w:rPr>
          <w:rFonts w:hint="eastAsia"/>
          <w:color w:val="auto"/>
          <w:lang w:val="en-US" w:eastAsia="zh-CN"/>
        </w:rPr>
        <w:t>4</w:t>
      </w:r>
      <w:r>
        <w:rPr>
          <w:color w:val="auto"/>
        </w:rPr>
        <w:t>.【严重】</w:t>
      </w:r>
    </w:p>
    <w:p>
      <w:pPr>
        <w:spacing w:before="1" w:line="391" w:lineRule="auto"/>
        <w:ind w:left="591" w:right="2152" w:firstLine="0"/>
        <w:jc w:val="left"/>
        <w:rPr>
          <w:b/>
          <w:color w:val="auto"/>
          <w:sz w:val="24"/>
        </w:rPr>
      </w:pPr>
      <w:r>
        <w:rPr>
          <w:color w:val="auto"/>
          <w:sz w:val="24"/>
        </w:rPr>
        <w:t>逾期三个月以上的，处以一千四百元以上二千元以下的罚款。</w:t>
      </w:r>
      <w:bookmarkStart w:id="97" w:name="四十八、合伙企业未按规定放置营业执照"/>
      <w:bookmarkEnd w:id="97"/>
      <w:bookmarkStart w:id="98" w:name="_bookmark48"/>
      <w:bookmarkEnd w:id="98"/>
      <w:r>
        <w:rPr>
          <w:b/>
          <w:color w:val="auto"/>
          <w:sz w:val="24"/>
        </w:rPr>
        <w:t>四十八、合伙企业未按规定放置营业执照</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rPr>
        <w:t xml:space="preserve">《合伙企业登记管理办法》第四十三条 </w:t>
      </w:r>
      <w:r>
        <w:rPr>
          <w:color w:val="auto"/>
        </w:rPr>
        <w:t>合伙企业未将其营业执照正本置放在经</w:t>
      </w:r>
      <w:r>
        <w:rPr>
          <w:color w:val="auto"/>
          <w:spacing w:val="-5"/>
        </w:rPr>
        <w:t>营场所醒目位置的</w:t>
      </w:r>
      <w:r>
        <w:rPr>
          <w:color w:val="auto"/>
          <w:spacing w:val="-5"/>
        </w:rPr>
        <w:t>，由企业登记机关责令改正；拒不改正的，处一千元以上五千元以</w:t>
      </w:r>
      <w:r>
        <w:rPr>
          <w:color w:val="auto"/>
        </w:rPr>
        <w:t>下的罚款。</w:t>
      </w:r>
    </w:p>
    <w:p>
      <w:pPr>
        <w:numPr>
          <w:ilvl w:val="0"/>
          <w:numId w:val="30"/>
        </w:numPr>
        <w:spacing w:before="0" w:line="391" w:lineRule="auto"/>
        <w:ind w:left="591" w:right="6948" w:firstLine="0"/>
        <w:jc w:val="left"/>
        <w:rPr>
          <w:b/>
          <w:color w:val="auto"/>
          <w:spacing w:val="-5"/>
          <w:sz w:val="24"/>
        </w:rPr>
      </w:pPr>
      <w:r>
        <w:rPr>
          <w:b/>
          <w:color w:val="auto"/>
          <w:spacing w:val="-5"/>
          <w:sz w:val="24"/>
        </w:rPr>
        <w:t>裁量标准</w:t>
      </w:r>
    </w:p>
    <w:p>
      <w:pPr>
        <w:keepNext w:val="0"/>
        <w:keepLines w:val="0"/>
        <w:widowControl/>
        <w:suppressLineNumbers w:val="0"/>
        <w:ind w:firstLine="720" w:firstLineChars="300"/>
        <w:jc w:val="left"/>
        <w:rPr>
          <w:rFonts w:hint="default" w:eastAsia="宋体"/>
          <w:color w:val="auto"/>
          <w:sz w:val="24"/>
          <w:lang w:val="en-US" w:eastAsia="zh-CN"/>
        </w:rPr>
      </w:pPr>
      <w:r>
        <w:rPr>
          <w:rFonts w:hint="eastAsia"/>
          <w:color w:val="auto"/>
          <w:sz w:val="24"/>
          <w:lang w:val="en-US" w:eastAsia="zh-CN"/>
        </w:rPr>
        <w:t>1.【不予处罚】</w:t>
      </w:r>
      <w:r>
        <w:rPr>
          <w:rFonts w:hint="eastAsia" w:ascii="宋体" w:hAnsi="宋体" w:eastAsia="宋体" w:cs="宋体"/>
          <w:color w:val="auto"/>
          <w:kern w:val="0"/>
          <w:sz w:val="24"/>
          <w:szCs w:val="24"/>
          <w:lang w:val="en-US" w:eastAsia="zh-CN" w:bidi="ar"/>
        </w:rPr>
        <w:t>自行改正或者在行政机关 责令改正的期限内改正</w:t>
      </w:r>
    </w:p>
    <w:p>
      <w:pPr>
        <w:numPr>
          <w:ilvl w:val="0"/>
          <w:numId w:val="0"/>
        </w:numPr>
        <w:spacing w:before="0" w:line="391"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line="388" w:lineRule="auto"/>
        <w:ind w:left="591" w:right="2152"/>
        <w:rPr>
          <w:color w:val="auto"/>
        </w:rPr>
      </w:pPr>
      <w:r>
        <w:rPr>
          <w:color w:val="auto"/>
          <w:spacing w:val="-1"/>
        </w:rPr>
        <w:t>第一次拒不改正的，处以一千元以上一千五百元以下的罚款。</w:t>
      </w:r>
      <w:r>
        <w:rPr>
          <w:rFonts w:hint="eastAsia"/>
          <w:color w:val="auto"/>
          <w:lang w:val="en-US" w:eastAsia="zh-CN"/>
        </w:rPr>
        <w:t>3</w:t>
      </w:r>
      <w:r>
        <w:rPr>
          <w:color w:val="auto"/>
        </w:rPr>
        <w:t>.【一般】</w:t>
      </w:r>
    </w:p>
    <w:p>
      <w:pPr>
        <w:pStyle w:val="4"/>
        <w:spacing w:line="388" w:lineRule="auto"/>
        <w:ind w:left="591" w:right="1672"/>
        <w:rPr>
          <w:color w:val="auto"/>
        </w:rPr>
      </w:pPr>
      <w:r>
        <w:rPr>
          <w:color w:val="auto"/>
          <w:spacing w:val="-1"/>
        </w:rPr>
        <w:t>第二次拒不改正的，处以一千五百元以上三千五百元以下的罚款。</w:t>
      </w:r>
      <w:r>
        <w:rPr>
          <w:rFonts w:hint="eastAsia"/>
          <w:color w:val="auto"/>
          <w:lang w:val="en-US" w:eastAsia="zh-CN"/>
        </w:rPr>
        <w:t>4</w:t>
      </w:r>
      <w:r>
        <w:rPr>
          <w:color w:val="auto"/>
        </w:rPr>
        <w:t>.【严重】</w:t>
      </w:r>
    </w:p>
    <w:p>
      <w:pPr>
        <w:pStyle w:val="4"/>
        <w:spacing w:before="1"/>
        <w:ind w:left="591"/>
        <w:rPr>
          <w:color w:val="auto"/>
        </w:rPr>
      </w:pPr>
      <w:r>
        <w:rPr>
          <w:color w:val="auto"/>
        </w:rPr>
        <w:t>三次以上拒不改正的，处以三千五百元以上五千元以下的罚款。</w:t>
      </w:r>
    </w:p>
    <w:p>
      <w:pPr>
        <w:pStyle w:val="2"/>
        <w:spacing w:before="195"/>
        <w:rPr>
          <w:color w:val="auto"/>
        </w:rPr>
      </w:pPr>
      <w:bookmarkStart w:id="99" w:name="_bookmark49"/>
      <w:bookmarkEnd w:id="99"/>
      <w:bookmarkStart w:id="100" w:name="四十九、合伙企业涂改、出售、出租、出借或者以其他方式转让营业执照"/>
      <w:bookmarkEnd w:id="100"/>
      <w:r>
        <w:rPr>
          <w:color w:val="auto"/>
        </w:rPr>
        <w:t>四十九、合伙企业涂改、出售、出租、出借或者以其他方式转让营业执照</w:t>
      </w:r>
    </w:p>
    <w:p>
      <w:pPr>
        <w:spacing w:before="191"/>
        <w:ind w:left="591" w:right="0" w:firstLine="0"/>
        <w:jc w:val="left"/>
        <w:rPr>
          <w:b/>
          <w:color w:val="auto"/>
          <w:sz w:val="24"/>
        </w:rPr>
      </w:pPr>
      <w:r>
        <w:rPr>
          <w:b/>
          <w:color w:val="auto"/>
          <w:sz w:val="24"/>
        </w:rPr>
        <w:t>（一）处罚依据</w:t>
      </w:r>
    </w:p>
    <w:p>
      <w:pPr>
        <w:pStyle w:val="4"/>
        <w:spacing w:before="192"/>
        <w:ind w:left="591"/>
        <w:rPr>
          <w:color w:val="auto"/>
        </w:rPr>
      </w:pPr>
      <w:r>
        <w:rPr>
          <w:color w:val="auto"/>
        </w:rPr>
        <w:t>《合伙企业登记管理办法》第四十四条 合伙企业涂改、出售、出租、出借或者以其他方式转让营业执照的，由企业登记机关责令改正，处二千元以上一万元以下的罚款；情节严重的，吊销营业执照。</w:t>
      </w:r>
    </w:p>
    <w:p>
      <w:pPr>
        <w:spacing w:before="0" w:line="388" w:lineRule="auto"/>
        <w:ind w:left="591" w:right="6948" w:firstLine="0"/>
        <w:jc w:val="left"/>
        <w:rPr>
          <w:color w:val="auto"/>
          <w:sz w:val="24"/>
        </w:rPr>
      </w:pPr>
      <w:r>
        <w:rPr>
          <w:b/>
          <w:color w:val="auto"/>
          <w:sz w:val="24"/>
        </w:rPr>
        <w:t>（二）裁量标准</w:t>
      </w:r>
      <w:r>
        <w:rPr>
          <w:color w:val="auto"/>
          <w:sz w:val="24"/>
        </w:rPr>
        <w:t>1、罚款</w:t>
      </w:r>
    </w:p>
    <w:p>
      <w:pPr>
        <w:pStyle w:val="4"/>
        <w:spacing w:before="3"/>
        <w:ind w:left="591"/>
        <w:rPr>
          <w:color w:val="auto"/>
        </w:rPr>
      </w:pPr>
      <w:r>
        <w:rPr>
          <w:color w:val="auto"/>
        </w:rPr>
        <w:t>【较轻】</w:t>
      </w:r>
    </w:p>
    <w:p>
      <w:pPr>
        <w:pStyle w:val="4"/>
        <w:spacing w:before="192"/>
        <w:ind w:left="591"/>
        <w:rPr>
          <w:color w:val="auto"/>
        </w:rPr>
      </w:pPr>
      <w:r>
        <w:rPr>
          <w:color w:val="auto"/>
        </w:rPr>
        <w:t>未损害他人利益或者未造成危害后果的，处以二千元以上三千元以下的罚款。</w:t>
      </w:r>
    </w:p>
    <w:p>
      <w:pPr>
        <w:pStyle w:val="4"/>
        <w:spacing w:before="192"/>
        <w:ind w:left="591"/>
        <w:rPr>
          <w:color w:val="auto"/>
        </w:rPr>
      </w:pPr>
      <w:r>
        <w:rPr>
          <w:color w:val="auto"/>
        </w:rPr>
        <w:t>【一般】</w:t>
      </w:r>
    </w:p>
    <w:p>
      <w:pPr>
        <w:pStyle w:val="4"/>
        <w:spacing w:before="194"/>
        <w:ind w:left="591"/>
        <w:rPr>
          <w:color w:val="auto"/>
        </w:rPr>
      </w:pPr>
      <w:r>
        <w:rPr>
          <w:color w:val="auto"/>
        </w:rPr>
        <w:t>损害他人利益，造成一定危害后果的，处以三千元以上七千元以下的罚款。</w:t>
      </w:r>
    </w:p>
    <w:p>
      <w:pPr>
        <w:pStyle w:val="4"/>
        <w:spacing w:before="192"/>
        <w:ind w:left="591"/>
        <w:rPr>
          <w:color w:val="auto"/>
        </w:rPr>
      </w:pPr>
      <w:r>
        <w:rPr>
          <w:color w:val="auto"/>
        </w:rPr>
        <w:t>【严重】</w:t>
      </w:r>
    </w:p>
    <w:p>
      <w:pPr>
        <w:pStyle w:val="4"/>
        <w:spacing w:before="191" w:line="391" w:lineRule="auto"/>
        <w:ind w:left="591" w:right="712"/>
        <w:rPr>
          <w:color w:val="auto"/>
        </w:rPr>
      </w:pPr>
      <w:r>
        <w:rPr>
          <w:color w:val="auto"/>
        </w:rPr>
        <w:t>损害他人利益，造成较大危害后果的，处以七千元以上一万元以下的罚款。2、吊销营业执照</w:t>
      </w:r>
    </w:p>
    <w:p>
      <w:pPr>
        <w:pStyle w:val="13"/>
        <w:numPr>
          <w:ilvl w:val="0"/>
          <w:numId w:val="31"/>
        </w:numPr>
        <w:tabs>
          <w:tab w:val="left" w:pos="1193"/>
        </w:tabs>
        <w:spacing w:before="0" w:after="0" w:line="306" w:lineRule="exact"/>
        <w:ind w:left="1192" w:right="0" w:hanging="602"/>
        <w:jc w:val="left"/>
        <w:rPr>
          <w:color w:val="auto"/>
          <w:sz w:val="24"/>
        </w:rPr>
      </w:pPr>
      <w:r>
        <w:rPr>
          <w:color w:val="auto"/>
          <w:sz w:val="24"/>
        </w:rPr>
        <w:t>被追究刑事责任的；</w:t>
      </w:r>
    </w:p>
    <w:p>
      <w:pPr>
        <w:pStyle w:val="13"/>
        <w:numPr>
          <w:ilvl w:val="0"/>
          <w:numId w:val="31"/>
        </w:numPr>
        <w:tabs>
          <w:tab w:val="left" w:pos="1193"/>
        </w:tabs>
        <w:spacing w:before="192" w:after="0" w:line="240" w:lineRule="auto"/>
        <w:ind w:left="1192" w:right="0" w:hanging="602"/>
        <w:jc w:val="left"/>
        <w:rPr>
          <w:color w:val="auto"/>
          <w:sz w:val="24"/>
        </w:rPr>
      </w:pPr>
      <w:r>
        <w:rPr>
          <w:color w:val="auto"/>
          <w:sz w:val="24"/>
        </w:rPr>
        <w:t>利用营业执照从事违法犯罪活动的；</w:t>
      </w:r>
    </w:p>
    <w:p>
      <w:pPr>
        <w:pStyle w:val="13"/>
        <w:numPr>
          <w:ilvl w:val="0"/>
          <w:numId w:val="31"/>
        </w:numPr>
        <w:tabs>
          <w:tab w:val="left" w:pos="1193"/>
        </w:tabs>
        <w:spacing w:before="194" w:after="0" w:line="240" w:lineRule="auto"/>
        <w:ind w:left="1192" w:right="0" w:hanging="602"/>
        <w:jc w:val="left"/>
        <w:rPr>
          <w:color w:val="auto"/>
          <w:sz w:val="24"/>
        </w:rPr>
      </w:pPr>
      <w:r>
        <w:rPr>
          <w:color w:val="auto"/>
          <w:sz w:val="24"/>
        </w:rPr>
        <w:t>其他严重违法情形。</w:t>
      </w:r>
    </w:p>
    <w:p>
      <w:pPr>
        <w:pStyle w:val="2"/>
        <w:spacing w:before="192"/>
        <w:rPr>
          <w:color w:val="auto"/>
        </w:rPr>
      </w:pPr>
      <w:bookmarkStart w:id="101" w:name="五十、采取提交虚假文件等欺骗手段取得个人独资企业登记"/>
      <w:bookmarkEnd w:id="101"/>
      <w:bookmarkStart w:id="102" w:name="_bookmark50"/>
      <w:bookmarkEnd w:id="102"/>
      <w:r>
        <w:rPr>
          <w:color w:val="auto"/>
        </w:rPr>
        <w:t>五十、采取提交虚假文件等欺骗手段取得个人独资企业登记</w:t>
      </w:r>
    </w:p>
    <w:p>
      <w:pPr>
        <w:spacing w:before="191"/>
        <w:ind w:left="591" w:right="0" w:firstLine="0"/>
        <w:jc w:val="left"/>
        <w:rPr>
          <w:b/>
          <w:color w:val="auto"/>
          <w:sz w:val="24"/>
        </w:rPr>
      </w:pPr>
      <w:r>
        <w:rPr>
          <w:b/>
          <w:color w:val="auto"/>
          <w:sz w:val="24"/>
        </w:rPr>
        <w:t>（一）处罚依据</w:t>
      </w:r>
    </w:p>
    <w:p>
      <w:pPr>
        <w:pStyle w:val="4"/>
        <w:spacing w:before="195" w:line="388" w:lineRule="auto"/>
        <w:ind w:right="268" w:firstLine="480"/>
        <w:jc w:val="both"/>
        <w:rPr>
          <w:color w:val="auto"/>
        </w:rPr>
      </w:pPr>
      <w:r>
        <w:rPr>
          <w:color w:val="auto"/>
        </w:rPr>
        <w:t>《中华人民共和国个人独资企业法》第三十三条 违反本法规定，提交虚假文件</w:t>
      </w:r>
      <w:r>
        <w:rPr>
          <w:color w:val="auto"/>
          <w:spacing w:val="-5"/>
        </w:rPr>
        <w:t>或采取其他欺骗手段，取得企业登记的，责令改正，处以五千元以下的罚款；情节严</w:t>
      </w:r>
      <w:r>
        <w:rPr>
          <w:color w:val="auto"/>
        </w:rPr>
        <w:t>重的，并处吊销营业执照。</w:t>
      </w:r>
    </w:p>
    <w:p>
      <w:pPr>
        <w:spacing w:before="5"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left="591" w:right="232"/>
        <w:rPr>
          <w:color w:val="auto"/>
        </w:rPr>
      </w:pPr>
      <w:r>
        <w:rPr>
          <w:color w:val="auto"/>
          <w:spacing w:val="-1"/>
        </w:rPr>
        <w:t>提交一种虚假文件或者采取一种其他欺骗手段的，处以一千五百元以下的罚款。</w:t>
      </w:r>
      <w:r>
        <w:rPr>
          <w:color w:val="auto"/>
        </w:rPr>
        <w:t>2.【一般】</w:t>
      </w:r>
    </w:p>
    <w:p>
      <w:pPr>
        <w:pStyle w:val="4"/>
        <w:spacing w:line="388" w:lineRule="auto"/>
        <w:ind w:right="213" w:firstLine="480"/>
        <w:rPr>
          <w:color w:val="auto"/>
        </w:rPr>
      </w:pPr>
      <w:r>
        <w:rPr>
          <w:color w:val="auto"/>
        </w:rPr>
        <w:t>提交两种及以上虚假文件或者采取两种及以上其他欺骗手段的，处以一千五百元以上三千五百元以下的罚款。</w:t>
      </w:r>
    </w:p>
    <w:p>
      <w:pPr>
        <w:pStyle w:val="4"/>
        <w:spacing w:before="3"/>
        <w:ind w:left="591"/>
        <w:rPr>
          <w:color w:val="auto"/>
        </w:rPr>
      </w:pPr>
      <w:r>
        <w:rPr>
          <w:color w:val="auto"/>
        </w:rPr>
        <w:t>3.【严重】</w:t>
      </w:r>
    </w:p>
    <w:p>
      <w:pPr>
        <w:pStyle w:val="4"/>
        <w:spacing w:before="192" w:line="388" w:lineRule="auto"/>
        <w:ind w:right="232" w:firstLine="480"/>
        <w:rPr>
          <w:color w:val="auto"/>
        </w:rPr>
      </w:pPr>
      <w:r>
        <w:rPr>
          <w:color w:val="auto"/>
        </w:rPr>
        <w:t>提交虚假文件或者采取其他欺骗手段，取得企业登记，造成不良影响或后果的， 处以三千五百元以上五千元以下的罚款，并处吊销营业执照。</w:t>
      </w:r>
      <w:bookmarkStart w:id="103" w:name="五十一、个人独资企业使用的名称与其登记名称不相符合"/>
      <w:bookmarkEnd w:id="103"/>
      <w:bookmarkStart w:id="104" w:name="_bookmark51"/>
      <w:bookmarkEnd w:id="104"/>
      <w:r>
        <w:rPr>
          <w:color w:val="auto"/>
        </w:rPr>
        <w:t>五十一、个人独资企业使用的名称与其登记名称不相符合</w:t>
      </w:r>
    </w:p>
    <w:p>
      <w:pPr>
        <w:spacing w:before="19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《中华人民共和国个人独资企业法》第三十四条 违反本法规定，个人独资企业</w:t>
      </w:r>
      <w:r>
        <w:rPr>
          <w:color w:val="auto"/>
          <w:spacing w:val="-3"/>
        </w:rPr>
        <w:t>使用的名称与其在登记机关登记的名称不相符合的，责令限期改正，处以二千元以下</w:t>
      </w:r>
      <w:r>
        <w:rPr>
          <w:color w:val="auto"/>
        </w:rPr>
        <w:t>的罚款。</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1" w:line="388" w:lineRule="auto"/>
        <w:ind w:left="591" w:right="2872"/>
        <w:rPr>
          <w:color w:val="auto"/>
        </w:rPr>
      </w:pPr>
      <w:r>
        <w:rPr>
          <w:color w:val="auto"/>
          <w:spacing w:val="-1"/>
        </w:rPr>
        <w:t>违法行为持续一个月以下的，处以六百元以下的罚款。</w:t>
      </w:r>
      <w:r>
        <w:rPr>
          <w:color w:val="auto"/>
        </w:rPr>
        <w:t>2.【一般】</w:t>
      </w:r>
    </w:p>
    <w:p>
      <w:pPr>
        <w:pStyle w:val="4"/>
        <w:spacing w:before="2" w:line="391" w:lineRule="auto"/>
        <w:ind w:right="269" w:firstLine="480"/>
        <w:rPr>
          <w:color w:val="auto"/>
        </w:rPr>
      </w:pPr>
      <w:r>
        <w:rPr>
          <w:color w:val="auto"/>
        </w:rPr>
        <w:t>违法行为持续一个月以上三个月以下的，处以六百元以上一千四百元以下的罚款。</w:t>
      </w:r>
    </w:p>
    <w:p>
      <w:pPr>
        <w:pStyle w:val="4"/>
        <w:spacing w:line="306" w:lineRule="exact"/>
        <w:ind w:left="591"/>
        <w:rPr>
          <w:color w:val="auto"/>
        </w:rPr>
      </w:pPr>
      <w:r>
        <w:rPr>
          <w:color w:val="auto"/>
        </w:rPr>
        <w:t>3.【严重】</w:t>
      </w:r>
    </w:p>
    <w:p>
      <w:pPr>
        <w:spacing w:before="192" w:line="391" w:lineRule="auto"/>
        <w:ind w:left="591" w:right="1192" w:firstLine="0"/>
        <w:jc w:val="left"/>
        <w:rPr>
          <w:b/>
          <w:color w:val="auto"/>
          <w:sz w:val="24"/>
        </w:rPr>
      </w:pPr>
      <w:r>
        <w:rPr>
          <w:color w:val="auto"/>
          <w:sz w:val="24"/>
        </w:rPr>
        <w:t>违法行为持续三个月以上的，处以一千四百元以上二千元以下的罚款。</w:t>
      </w:r>
      <w:bookmarkStart w:id="105" w:name="五十二、个人独资企业涂改、出借、转让营业执照"/>
      <w:bookmarkEnd w:id="105"/>
      <w:bookmarkStart w:id="106" w:name="_bookmark52"/>
      <w:bookmarkEnd w:id="106"/>
      <w:r>
        <w:rPr>
          <w:b/>
          <w:color w:val="auto"/>
          <w:sz w:val="24"/>
        </w:rPr>
        <w:t>五十二、个人独资企业涂改、出借、转让营业执照</w:t>
      </w:r>
    </w:p>
    <w:p>
      <w:pPr>
        <w:pStyle w:val="2"/>
        <w:spacing w:line="306" w:lineRule="exact"/>
        <w:rPr>
          <w:color w:val="auto"/>
        </w:rPr>
      </w:pPr>
      <w:r>
        <w:rPr>
          <w:color w:val="auto"/>
        </w:rPr>
        <w:t>（一）处罚依据</w:t>
      </w:r>
    </w:p>
    <w:p>
      <w:pPr>
        <w:pStyle w:val="4"/>
        <w:spacing w:before="192" w:line="391" w:lineRule="auto"/>
        <w:ind w:right="266" w:firstLine="480"/>
        <w:jc w:val="both"/>
        <w:rPr>
          <w:color w:val="auto"/>
        </w:rPr>
      </w:pPr>
      <w:r>
        <w:rPr>
          <w:color w:val="auto"/>
        </w:rPr>
        <w:t>《中华人民共和国个人独资企业法》第三十五条第一款 涂改、出租、转让营业</w:t>
      </w:r>
      <w:r>
        <w:rPr>
          <w:color w:val="auto"/>
          <w:spacing w:val="-7"/>
        </w:rPr>
        <w:t>执照的，责令改正，没收违法所得，处以三千元以下的罚款；情节严重的，吊销营业</w:t>
      </w:r>
      <w:r>
        <w:rPr>
          <w:color w:val="auto"/>
        </w:rPr>
        <w:t>执照。</w:t>
      </w:r>
    </w:p>
    <w:p>
      <w:pPr>
        <w:spacing w:before="0"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88"/>
        <w:ind w:left="591"/>
        <w:rPr>
          <w:color w:val="auto"/>
        </w:rPr>
      </w:pPr>
      <w:r>
        <w:rPr>
          <w:color w:val="auto"/>
        </w:rPr>
        <w:t>未损害他人利益或者未造成危害后果的，处以一千元以下的罚款。</w:t>
      </w:r>
    </w:p>
    <w:p>
      <w:pPr>
        <w:pStyle w:val="4"/>
        <w:spacing w:before="194"/>
        <w:ind w:left="591"/>
        <w:rPr>
          <w:color w:val="auto"/>
        </w:rPr>
      </w:pPr>
      <w:r>
        <w:rPr>
          <w:color w:val="auto"/>
        </w:rPr>
        <w:t>【一般】</w:t>
      </w:r>
    </w:p>
    <w:p>
      <w:pPr>
        <w:pStyle w:val="4"/>
        <w:spacing w:before="191"/>
        <w:ind w:left="591"/>
        <w:rPr>
          <w:color w:val="auto"/>
        </w:rPr>
      </w:pPr>
      <w:r>
        <w:rPr>
          <w:color w:val="auto"/>
        </w:rPr>
        <w:t>损害他人利益，造成一定危害后果的，处以一千元以上二千元以下的罚款。</w:t>
      </w:r>
    </w:p>
    <w:p>
      <w:pPr>
        <w:pStyle w:val="4"/>
        <w:spacing w:before="192"/>
        <w:ind w:left="591"/>
        <w:rPr>
          <w:color w:val="auto"/>
        </w:rPr>
      </w:pPr>
      <w:r>
        <w:rPr>
          <w:color w:val="auto"/>
        </w:rPr>
        <w:t>【严重】</w:t>
      </w:r>
    </w:p>
    <w:p>
      <w:pPr>
        <w:pStyle w:val="4"/>
        <w:spacing w:before="194" w:line="388" w:lineRule="auto"/>
        <w:ind w:left="591" w:right="712"/>
        <w:rPr>
          <w:color w:val="auto"/>
        </w:rPr>
      </w:pPr>
      <w:r>
        <w:rPr>
          <w:color w:val="auto"/>
        </w:rPr>
        <w:t>损害他人利益，造成较大危害后果的，处以二千元以上三千元以下的罚款。2、吊销营业执照</w:t>
      </w:r>
    </w:p>
    <w:p>
      <w:pPr>
        <w:pStyle w:val="13"/>
        <w:numPr>
          <w:ilvl w:val="0"/>
          <w:numId w:val="32"/>
        </w:numPr>
        <w:tabs>
          <w:tab w:val="left" w:pos="1193"/>
        </w:tabs>
        <w:spacing w:before="2" w:after="0" w:line="240" w:lineRule="auto"/>
        <w:ind w:left="1192" w:right="0" w:hanging="602"/>
        <w:jc w:val="left"/>
        <w:rPr>
          <w:color w:val="auto"/>
          <w:sz w:val="24"/>
        </w:rPr>
      </w:pPr>
      <w:r>
        <w:rPr>
          <w:color w:val="auto"/>
          <w:sz w:val="24"/>
        </w:rPr>
        <w:t>被追究刑事责任的；利用营业执照从事违法犯罪活动的；</w:t>
      </w:r>
    </w:p>
    <w:p>
      <w:pPr>
        <w:pStyle w:val="13"/>
        <w:numPr>
          <w:ilvl w:val="0"/>
          <w:numId w:val="32"/>
        </w:numPr>
        <w:tabs>
          <w:tab w:val="left" w:pos="1193"/>
        </w:tabs>
        <w:spacing w:before="195" w:after="0" w:line="240" w:lineRule="auto"/>
        <w:ind w:left="1192" w:right="0" w:hanging="602"/>
        <w:jc w:val="left"/>
        <w:rPr>
          <w:color w:val="auto"/>
          <w:sz w:val="24"/>
        </w:rPr>
      </w:pPr>
      <w:r>
        <w:rPr>
          <w:color w:val="auto"/>
          <w:sz w:val="24"/>
        </w:rPr>
        <w:t>其他严重违法情形。</w:t>
      </w:r>
    </w:p>
    <w:p>
      <w:pPr>
        <w:pStyle w:val="2"/>
        <w:spacing w:before="191"/>
        <w:rPr>
          <w:color w:val="auto"/>
        </w:rPr>
      </w:pPr>
      <w:bookmarkStart w:id="107" w:name="五十三、承租、受让个人独资企业营业执照从事经营活动"/>
      <w:bookmarkEnd w:id="107"/>
      <w:bookmarkStart w:id="108" w:name="_bookmark53"/>
      <w:bookmarkEnd w:id="108"/>
      <w:r>
        <w:rPr>
          <w:color w:val="auto"/>
        </w:rPr>
        <w:t>五十三、承租、受让个人独资企业营业执照从事经营活动</w:t>
      </w:r>
    </w:p>
    <w:p>
      <w:pPr>
        <w:spacing w:before="192"/>
        <w:ind w:left="591" w:right="0" w:firstLine="0"/>
        <w:jc w:val="left"/>
        <w:rPr>
          <w:b/>
          <w:color w:val="auto"/>
          <w:sz w:val="24"/>
        </w:rPr>
      </w:pPr>
      <w:r>
        <w:rPr>
          <w:b/>
          <w:color w:val="auto"/>
          <w:sz w:val="24"/>
        </w:rPr>
        <w:t>（一）处罚依据</w:t>
      </w:r>
    </w:p>
    <w:p>
      <w:pPr>
        <w:pStyle w:val="4"/>
        <w:spacing w:before="194" w:line="388" w:lineRule="auto"/>
        <w:ind w:right="148" w:firstLine="480"/>
        <w:rPr>
          <w:color w:val="auto"/>
        </w:rPr>
      </w:pPr>
      <w:r>
        <w:rPr>
          <w:color w:val="auto"/>
        </w:rPr>
        <w:t>《个人独资企业登记管理办法》第三十八条第二款 承租、受让营业执照从事经</w:t>
      </w:r>
      <w:r>
        <w:rPr>
          <w:color w:val="auto"/>
          <w:spacing w:val="-7"/>
        </w:rPr>
        <w:t xml:space="preserve">营活动的，由登记机关收缴营业执照，责令停止经营活动，处以 </w:t>
      </w:r>
      <w:r>
        <w:rPr>
          <w:color w:val="auto"/>
        </w:rPr>
        <w:t>5000</w:t>
      </w:r>
      <w:r>
        <w:rPr>
          <w:color w:val="auto"/>
          <w:spacing w:val="-10"/>
        </w:rPr>
        <w:t xml:space="preserve"> 元以下的罚款。</w:t>
      </w:r>
    </w:p>
    <w:p>
      <w:pPr>
        <w:spacing w:before="2"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3112"/>
        <w:rPr>
          <w:color w:val="auto"/>
        </w:rPr>
      </w:pPr>
      <w:r>
        <w:rPr>
          <w:color w:val="auto"/>
          <w:spacing w:val="-1"/>
        </w:rPr>
        <w:t>经营额五万元以下的，处以一千五百元以下的罚款。</w:t>
      </w:r>
      <w:r>
        <w:rPr>
          <w:color w:val="auto"/>
        </w:rPr>
        <w:t>2.【一般】</w:t>
      </w:r>
    </w:p>
    <w:p>
      <w:pPr>
        <w:pStyle w:val="4"/>
        <w:spacing w:before="3" w:line="388" w:lineRule="auto"/>
        <w:ind w:right="269" w:firstLine="480"/>
        <w:rPr>
          <w:color w:val="auto"/>
        </w:rPr>
      </w:pPr>
      <w:r>
        <w:rPr>
          <w:color w:val="auto"/>
        </w:rPr>
        <w:t>经营额五万元以上二十万元以下的，处以一千五百元以上三千五百元以下的罚款。</w:t>
      </w:r>
    </w:p>
    <w:p>
      <w:pPr>
        <w:pStyle w:val="4"/>
        <w:spacing w:before="2"/>
        <w:ind w:left="591"/>
        <w:rPr>
          <w:color w:val="auto"/>
        </w:rPr>
      </w:pPr>
      <w:r>
        <w:rPr>
          <w:color w:val="auto"/>
        </w:rPr>
        <w:t>3.【严重】</w:t>
      </w:r>
    </w:p>
    <w:p>
      <w:pPr>
        <w:pStyle w:val="4"/>
        <w:spacing w:before="194" w:line="388" w:lineRule="auto"/>
        <w:ind w:right="213" w:firstLine="480"/>
        <w:rPr>
          <w:color w:val="auto"/>
        </w:rPr>
      </w:pPr>
      <w:r>
        <w:rPr>
          <w:color w:val="auto"/>
        </w:rPr>
        <w:t>经营额二十万元以上的，或者造成严重危害后果的，处以三千五百元以上五千元以下的罚款。</w:t>
      </w:r>
    </w:p>
    <w:p>
      <w:pPr>
        <w:pStyle w:val="2"/>
        <w:spacing w:before="2"/>
        <w:rPr>
          <w:color w:val="auto"/>
        </w:rPr>
      </w:pPr>
      <w:bookmarkStart w:id="109" w:name="_bookmark54"/>
      <w:bookmarkEnd w:id="109"/>
      <w:bookmarkStart w:id="110" w:name="五十四、伪造个人独资企业营业执照"/>
      <w:bookmarkEnd w:id="110"/>
      <w:r>
        <w:rPr>
          <w:color w:val="auto"/>
        </w:rPr>
        <w:t>五十四、伪造个人独资企业营业执照</w:t>
      </w:r>
    </w:p>
    <w:p>
      <w:pPr>
        <w:spacing w:before="194"/>
        <w:ind w:left="591" w:right="0" w:firstLine="0"/>
        <w:jc w:val="left"/>
        <w:rPr>
          <w:b/>
          <w:color w:val="auto"/>
          <w:sz w:val="24"/>
        </w:rPr>
      </w:pPr>
      <w:r>
        <w:rPr>
          <w:b/>
          <w:color w:val="auto"/>
          <w:sz w:val="24"/>
        </w:rPr>
        <w:t>（一）处罚依据</w:t>
      </w:r>
    </w:p>
    <w:p>
      <w:pPr>
        <w:pStyle w:val="4"/>
        <w:spacing w:before="192" w:line="388" w:lineRule="auto"/>
        <w:ind w:right="271" w:firstLine="480"/>
        <w:rPr>
          <w:color w:val="auto"/>
        </w:rPr>
      </w:pPr>
      <w:r>
        <w:rPr>
          <w:color w:val="auto"/>
        </w:rPr>
        <w:t>《中华人民共和国个人独资企业法》第三十五条第二款 伪造营业执照的，责令停业，没收违法所得，处以五千元以下的罚款。构成犯罪的，依法追究刑事责任。</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68" w:firstLine="480"/>
        <w:rPr>
          <w:color w:val="auto"/>
        </w:rPr>
      </w:pPr>
      <w:r>
        <w:rPr>
          <w:color w:val="auto"/>
          <w:spacing w:val="-5"/>
        </w:rPr>
        <w:t>已办理登记注册，因为遗失或其他原因伪造营业执照的，没收违法所得，处以一</w:t>
      </w:r>
      <w:r>
        <w:rPr>
          <w:color w:val="auto"/>
        </w:rPr>
        <w:t>千五百元以下的罚款。</w:t>
      </w:r>
    </w:p>
    <w:p>
      <w:pPr>
        <w:pStyle w:val="13"/>
        <w:numPr>
          <w:ilvl w:val="0"/>
          <w:numId w:val="33"/>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213" w:firstLine="480"/>
        <w:rPr>
          <w:color w:val="auto"/>
        </w:rPr>
      </w:pPr>
      <w:r>
        <w:rPr>
          <w:color w:val="auto"/>
        </w:rPr>
        <w:t>未办理登记注册，伪造营业执照的，没收违法所得，处以一千五百元以上三千五百元以下的罚款。</w:t>
      </w:r>
    </w:p>
    <w:p>
      <w:pPr>
        <w:pStyle w:val="13"/>
        <w:numPr>
          <w:ilvl w:val="0"/>
          <w:numId w:val="33"/>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ind w:left="591"/>
        <w:rPr>
          <w:color w:val="auto"/>
        </w:rPr>
      </w:pPr>
      <w:r>
        <w:rPr>
          <w:color w:val="auto"/>
        </w:rPr>
        <w:t>为从事违法经营活动伪造营业执照，但尚未达到刑事案件立案追诉标准的，没收</w:t>
      </w:r>
    </w:p>
    <w:p>
      <w:pPr>
        <w:spacing w:before="39" w:line="391" w:lineRule="auto"/>
        <w:ind w:left="591" w:right="3573" w:hanging="480"/>
        <w:jc w:val="left"/>
        <w:rPr>
          <w:b/>
          <w:color w:val="auto"/>
          <w:sz w:val="24"/>
        </w:rPr>
      </w:pPr>
      <w:r>
        <w:rPr>
          <w:color w:val="auto"/>
          <w:sz w:val="24"/>
        </w:rPr>
        <w:t>违法所得，处以三千五百元以上五千元以下的罚款。</w:t>
      </w:r>
      <w:bookmarkStart w:id="111" w:name="_bookmark55"/>
      <w:bookmarkEnd w:id="111"/>
      <w:bookmarkStart w:id="112" w:name="五十五、擅自以个人独资企业名义从事经营活动"/>
      <w:bookmarkEnd w:id="112"/>
      <w:r>
        <w:rPr>
          <w:b/>
          <w:color w:val="auto"/>
          <w:sz w:val="24"/>
        </w:rPr>
        <w:t>五十五、擅自以个人独资企业名义从事经营活动</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rPr>
        <w:t>《中华人民共和国个人独资企业法》第三十七条第一款 违反本法规定，未领取</w:t>
      </w:r>
      <w:r>
        <w:rPr>
          <w:color w:val="auto"/>
          <w:spacing w:val="-6"/>
        </w:rPr>
        <w:t>营业执照，以个人独资企业名义从事经营活动的，责令停止经营活动，处以三千元以</w:t>
      </w:r>
      <w:r>
        <w:rPr>
          <w:color w:val="auto"/>
        </w:rPr>
        <w:t>下的罚款。</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right="268" w:firstLine="480"/>
        <w:rPr>
          <w:color w:val="auto"/>
        </w:rPr>
      </w:pPr>
      <w:r>
        <w:rPr>
          <w:color w:val="auto"/>
          <w:spacing w:val="-5"/>
        </w:rPr>
        <w:t>已申请注册登记，未经核准前，以个人独资企业名义从事经营活动的，处以一千</w:t>
      </w:r>
      <w:r>
        <w:rPr>
          <w:color w:val="auto"/>
        </w:rPr>
        <w:t>元以下的罚款。</w:t>
      </w:r>
    </w:p>
    <w:p>
      <w:pPr>
        <w:pStyle w:val="13"/>
        <w:numPr>
          <w:ilvl w:val="0"/>
          <w:numId w:val="34"/>
        </w:numPr>
        <w:tabs>
          <w:tab w:val="left" w:pos="833"/>
        </w:tabs>
        <w:spacing w:before="0" w:after="0" w:line="240" w:lineRule="auto"/>
        <w:ind w:left="832" w:right="0" w:hanging="242"/>
        <w:jc w:val="left"/>
        <w:rPr>
          <w:color w:val="auto"/>
          <w:sz w:val="24"/>
        </w:rPr>
      </w:pPr>
      <w:r>
        <w:rPr>
          <w:color w:val="auto"/>
          <w:sz w:val="24"/>
        </w:rPr>
        <w:t>【一般】</w:t>
      </w:r>
    </w:p>
    <w:p>
      <w:pPr>
        <w:pStyle w:val="4"/>
        <w:spacing w:before="191" w:line="388" w:lineRule="auto"/>
        <w:ind w:right="213" w:firstLine="480"/>
        <w:rPr>
          <w:color w:val="auto"/>
        </w:rPr>
      </w:pPr>
      <w:r>
        <w:rPr>
          <w:color w:val="auto"/>
        </w:rPr>
        <w:t>未申请注册登记，以个人独资企业名义从事经营活动不涉及前置许可项目的，处以一千元以上二千元以下的罚款。</w:t>
      </w:r>
    </w:p>
    <w:p>
      <w:pPr>
        <w:pStyle w:val="13"/>
        <w:numPr>
          <w:ilvl w:val="0"/>
          <w:numId w:val="34"/>
        </w:numPr>
        <w:tabs>
          <w:tab w:val="left" w:pos="833"/>
        </w:tabs>
        <w:spacing w:before="5" w:after="0" w:line="240" w:lineRule="auto"/>
        <w:ind w:left="832" w:right="0" w:hanging="242"/>
        <w:jc w:val="left"/>
        <w:rPr>
          <w:color w:val="auto"/>
          <w:sz w:val="24"/>
        </w:rPr>
      </w:pPr>
      <w:r>
        <w:rPr>
          <w:color w:val="auto"/>
          <w:sz w:val="24"/>
        </w:rPr>
        <w:t>【严重】</w:t>
      </w:r>
    </w:p>
    <w:p>
      <w:pPr>
        <w:pStyle w:val="4"/>
        <w:spacing w:before="191" w:line="388" w:lineRule="auto"/>
        <w:ind w:right="213" w:firstLine="480"/>
        <w:rPr>
          <w:color w:val="auto"/>
        </w:rPr>
      </w:pPr>
      <w:r>
        <w:rPr>
          <w:color w:val="auto"/>
        </w:rPr>
        <w:t>未申请注册登记，以个人独资企业名义从事经营活动涉及前置许可项目的，处以二千元以上三千元以下的罚款。</w:t>
      </w:r>
    </w:p>
    <w:p>
      <w:pPr>
        <w:pStyle w:val="2"/>
        <w:spacing w:before="5"/>
        <w:rPr>
          <w:color w:val="auto"/>
        </w:rPr>
      </w:pPr>
      <w:bookmarkStart w:id="113" w:name="_bookmark56"/>
      <w:bookmarkEnd w:id="113"/>
      <w:bookmarkStart w:id="114" w:name="五十六、个人独资企业未按规定办理变更登记"/>
      <w:bookmarkEnd w:id="114"/>
      <w:r>
        <w:rPr>
          <w:color w:val="auto"/>
        </w:rPr>
        <w:t>五十六、个人独资企业未按规定办理变更登记</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 xml:space="preserve">《中华人民共和国个人独资企业法》第三十七条第二款 </w:t>
      </w:r>
      <w:r>
        <w:rPr>
          <w:color w:val="auto"/>
        </w:rPr>
        <w:t>个人独资企业登记事项</w:t>
      </w:r>
      <w:r>
        <w:rPr>
          <w:color w:val="auto"/>
          <w:spacing w:val="-5"/>
        </w:rPr>
        <w:t>发生变更时，未按本法规定办理有关变更登记的，</w:t>
      </w:r>
      <w:r>
        <w:rPr>
          <w:color w:val="auto"/>
          <w:spacing w:val="-5"/>
        </w:rPr>
        <w:t>责令限期办理变更登记；逾期不办</w:t>
      </w:r>
      <w:r>
        <w:rPr>
          <w:color w:val="auto"/>
        </w:rPr>
        <w:t>理的，处以二千元以下的罚款。</w:t>
      </w:r>
    </w:p>
    <w:p>
      <w:pPr>
        <w:numPr>
          <w:ilvl w:val="0"/>
          <w:numId w:val="30"/>
        </w:numPr>
        <w:spacing w:before="0" w:line="391" w:lineRule="auto"/>
        <w:ind w:left="591" w:leftChars="0" w:right="6948" w:firstLine="0" w:firstLineChars="0"/>
        <w:jc w:val="left"/>
        <w:rPr>
          <w:b/>
          <w:color w:val="auto"/>
          <w:spacing w:val="-5"/>
          <w:sz w:val="24"/>
        </w:rPr>
      </w:pPr>
      <w:r>
        <w:rPr>
          <w:b/>
          <w:color w:val="auto"/>
          <w:spacing w:val="-5"/>
          <w:sz w:val="24"/>
        </w:rPr>
        <w:t>裁量标准</w:t>
      </w:r>
    </w:p>
    <w:p>
      <w:pPr>
        <w:numPr>
          <w:ilvl w:val="0"/>
          <w:numId w:val="0"/>
        </w:numPr>
        <w:spacing w:before="0" w:line="391" w:lineRule="auto"/>
        <w:ind w:left="591" w:leftChars="0" w:right="6948" w:rightChars="0"/>
        <w:jc w:val="left"/>
        <w:rPr>
          <w:rFonts w:hint="eastAsia"/>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rFonts w:hint="default"/>
          <w:color w:val="auto"/>
          <w:sz w:val="24"/>
          <w:lang w:val="en-US" w:eastAsia="zh-CN"/>
        </w:rPr>
      </w:pPr>
      <w:r>
        <w:rPr>
          <w:rFonts w:hint="eastAsia" w:ascii="宋体" w:hAnsi="宋体" w:eastAsia="宋体" w:cs="宋体"/>
          <w:color w:val="auto"/>
          <w:kern w:val="0"/>
          <w:sz w:val="24"/>
          <w:szCs w:val="24"/>
          <w:lang w:val="en-US" w:eastAsia="zh-CN" w:bidi="ar"/>
        </w:rPr>
        <w:t>自行改正或者在行政机关 责令改正的期限内改正</w:t>
      </w:r>
    </w:p>
    <w:p>
      <w:pPr>
        <w:numPr>
          <w:ilvl w:val="0"/>
          <w:numId w:val="0"/>
        </w:numPr>
        <w:spacing w:before="0" w:line="391"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line="388" w:lineRule="auto"/>
        <w:ind w:left="591" w:right="2872"/>
        <w:rPr>
          <w:color w:val="auto"/>
        </w:rPr>
      </w:pPr>
      <w:r>
        <w:rPr>
          <w:color w:val="auto"/>
          <w:spacing w:val="-1"/>
        </w:rPr>
        <w:t>变更登记事项不需要审批的，处以六百元以下的罚款。</w:t>
      </w:r>
      <w:r>
        <w:rPr>
          <w:rFonts w:hint="eastAsia"/>
          <w:color w:val="auto"/>
          <w:lang w:val="en-US" w:eastAsia="zh-CN"/>
        </w:rPr>
        <w:t>3</w:t>
      </w:r>
      <w:r>
        <w:rPr>
          <w:color w:val="auto"/>
        </w:rPr>
        <w:t>.【一般】</w:t>
      </w:r>
    </w:p>
    <w:p>
      <w:pPr>
        <w:pStyle w:val="4"/>
        <w:spacing w:line="388" w:lineRule="auto"/>
        <w:ind w:left="591" w:right="952"/>
        <w:rPr>
          <w:color w:val="auto"/>
        </w:rPr>
      </w:pPr>
      <w:r>
        <w:rPr>
          <w:color w:val="auto"/>
          <w:spacing w:val="-1"/>
        </w:rPr>
        <w:t>变更登记事项需要后置审批的，处以六百元以上一千四百元以下的罚款。</w:t>
      </w:r>
      <w:r>
        <w:rPr>
          <w:rFonts w:hint="eastAsia"/>
          <w:color w:val="auto"/>
          <w:lang w:val="en-US" w:eastAsia="zh-CN"/>
        </w:rPr>
        <w:t>4</w:t>
      </w:r>
      <w:r>
        <w:rPr>
          <w:color w:val="auto"/>
        </w:rPr>
        <w:t>.【严重】</w:t>
      </w:r>
    </w:p>
    <w:p>
      <w:pPr>
        <w:pStyle w:val="4"/>
        <w:spacing w:before="1"/>
        <w:ind w:left="591"/>
        <w:rPr>
          <w:color w:val="auto"/>
        </w:rPr>
      </w:pPr>
      <w:r>
        <w:rPr>
          <w:color w:val="auto"/>
        </w:rPr>
        <w:t>变更登记事项需要前置审批的，处以一千四百元以上二千元以下的罚款。</w:t>
      </w:r>
    </w:p>
    <w:p>
      <w:pPr>
        <w:pStyle w:val="2"/>
        <w:spacing w:before="39"/>
        <w:rPr>
          <w:color w:val="auto"/>
        </w:rPr>
      </w:pPr>
      <w:bookmarkStart w:id="115" w:name="_bookmark57"/>
      <w:bookmarkEnd w:id="115"/>
      <w:bookmarkStart w:id="116" w:name="五十七、个人独资企业未按规定放置营业执照"/>
      <w:bookmarkEnd w:id="116"/>
      <w:r>
        <w:rPr>
          <w:color w:val="auto"/>
        </w:rPr>
        <w:t>五十七、个人独资企业未按规定放置营业执照</w:t>
      </w:r>
    </w:p>
    <w:p>
      <w:pPr>
        <w:spacing w:before="19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 xml:space="preserve">《个人独资企业登记管理办法》第三十七条 </w:t>
      </w:r>
      <w:r>
        <w:rPr>
          <w:color w:val="auto"/>
        </w:rPr>
        <w:t>个人独资企业未将营业执照正本置</w:t>
      </w:r>
      <w:r>
        <w:rPr>
          <w:color w:val="auto"/>
          <w:spacing w:val="-5"/>
        </w:rPr>
        <w:t>放在企业住所醒目位置的</w:t>
      </w:r>
      <w:r>
        <w:rPr>
          <w:color w:val="auto"/>
          <w:spacing w:val="-5"/>
        </w:rPr>
        <w:t xml:space="preserve">，由登记机关责令限期改正；逾期不改正的，处以 </w:t>
      </w:r>
      <w:r>
        <w:rPr>
          <w:color w:val="auto"/>
        </w:rPr>
        <w:t>500</w:t>
      </w:r>
      <w:r>
        <w:rPr>
          <w:color w:val="auto"/>
          <w:spacing w:val="-26"/>
        </w:rPr>
        <w:t xml:space="preserve"> 元以</w:t>
      </w:r>
      <w:r>
        <w:rPr>
          <w:color w:val="auto"/>
        </w:rPr>
        <w:t>下的罚款。</w:t>
      </w:r>
    </w:p>
    <w:p>
      <w:pPr>
        <w:spacing w:before="0" w:line="388" w:lineRule="auto"/>
        <w:ind w:left="591" w:right="6948" w:firstLine="0"/>
        <w:jc w:val="left"/>
        <w:rPr>
          <w:b/>
          <w:color w:val="auto"/>
          <w:spacing w:val="-5"/>
          <w:sz w:val="24"/>
        </w:rPr>
      </w:pPr>
      <w:r>
        <w:rPr>
          <w:b/>
          <w:color w:val="auto"/>
          <w:sz w:val="24"/>
        </w:rPr>
        <w:t>（二）</w:t>
      </w:r>
      <w:r>
        <w:rPr>
          <w:b/>
          <w:color w:val="auto"/>
          <w:spacing w:val="-5"/>
          <w:sz w:val="24"/>
        </w:rPr>
        <w:t>裁量标准</w:t>
      </w:r>
    </w:p>
    <w:p>
      <w:pPr>
        <w:spacing w:before="0" w:line="388" w:lineRule="auto"/>
        <w:ind w:left="591" w:right="6948" w:firstLine="0"/>
        <w:jc w:val="left"/>
        <w:rPr>
          <w:rFonts w:hint="default" w:eastAsia="宋体"/>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sz w:val="24"/>
        </w:rPr>
      </w:pPr>
      <w:r>
        <w:rPr>
          <w:rFonts w:hint="eastAsia" w:ascii="宋体" w:hAnsi="宋体" w:eastAsia="宋体" w:cs="宋体"/>
          <w:color w:val="auto"/>
          <w:kern w:val="0"/>
          <w:sz w:val="24"/>
          <w:szCs w:val="24"/>
          <w:lang w:val="en-US" w:eastAsia="zh-CN" w:bidi="ar"/>
        </w:rPr>
        <w:t>自行改正或者在行政机关 责令改正的期限内改正</w:t>
      </w:r>
    </w:p>
    <w:p>
      <w:pPr>
        <w:spacing w:before="0" w:line="388" w:lineRule="auto"/>
        <w:ind w:left="591" w:right="6948" w:firstLine="0"/>
        <w:jc w:val="left"/>
        <w:rPr>
          <w:color w:val="auto"/>
          <w:sz w:val="24"/>
        </w:rPr>
      </w:pPr>
      <w:r>
        <w:rPr>
          <w:color w:val="auto"/>
          <w:sz w:val="24"/>
        </w:rPr>
        <w:t>1.【较轻】</w:t>
      </w:r>
    </w:p>
    <w:p>
      <w:pPr>
        <w:pStyle w:val="4"/>
        <w:spacing w:before="1" w:line="388" w:lineRule="auto"/>
        <w:ind w:left="591" w:right="3592"/>
        <w:rPr>
          <w:color w:val="auto"/>
        </w:rPr>
      </w:pPr>
      <w:r>
        <w:rPr>
          <w:color w:val="auto"/>
          <w:spacing w:val="-1"/>
        </w:rPr>
        <w:t>第一次未改正的，处以一百五十元以下的罚款。</w:t>
      </w:r>
      <w:r>
        <w:rPr>
          <w:color w:val="auto"/>
        </w:rPr>
        <w:t>2.【一般】</w:t>
      </w:r>
    </w:p>
    <w:p>
      <w:pPr>
        <w:pStyle w:val="4"/>
        <w:spacing w:before="2" w:line="391" w:lineRule="auto"/>
        <w:ind w:left="591" w:right="1912"/>
        <w:rPr>
          <w:color w:val="auto"/>
        </w:rPr>
      </w:pPr>
      <w:r>
        <w:rPr>
          <w:color w:val="auto"/>
          <w:spacing w:val="-1"/>
        </w:rPr>
        <w:t>第二次未改正的，处以一百五十元以上三百五十元以下的罚款。</w:t>
      </w:r>
      <w:r>
        <w:rPr>
          <w:color w:val="auto"/>
        </w:rPr>
        <w:t>3.【严重】</w:t>
      </w:r>
    </w:p>
    <w:p>
      <w:pPr>
        <w:spacing w:before="0" w:line="388" w:lineRule="auto"/>
        <w:ind w:left="591" w:right="1912" w:firstLine="0"/>
        <w:jc w:val="left"/>
        <w:rPr>
          <w:b/>
          <w:color w:val="auto"/>
          <w:sz w:val="24"/>
        </w:rPr>
      </w:pPr>
      <w:r>
        <w:rPr>
          <w:color w:val="auto"/>
          <w:sz w:val="24"/>
        </w:rPr>
        <w:t>三次以上拒不改正的，处以三百五十元以上五百元以下的罚款。</w:t>
      </w:r>
      <w:bookmarkStart w:id="117" w:name="_bookmark58"/>
      <w:bookmarkEnd w:id="117"/>
      <w:bookmarkStart w:id="118" w:name="五十八、个体工商户提交虚假材料骗取登记"/>
      <w:bookmarkEnd w:id="118"/>
      <w:r>
        <w:rPr>
          <w:b/>
          <w:color w:val="auto"/>
          <w:sz w:val="24"/>
        </w:rPr>
        <w:t>五十八、个体工商户提交虚假材料骗取登记</w:t>
      </w:r>
    </w:p>
    <w:p>
      <w:pPr>
        <w:pStyle w:val="2"/>
        <w:spacing w:before="3"/>
        <w:rPr>
          <w:color w:val="auto"/>
        </w:rPr>
      </w:pPr>
      <w:r>
        <w:rPr>
          <w:color w:val="auto"/>
        </w:rPr>
        <w:t>（一）处罚依据</w:t>
      </w:r>
    </w:p>
    <w:p>
      <w:pPr>
        <w:pStyle w:val="4"/>
        <w:spacing w:before="192" w:line="391" w:lineRule="auto"/>
        <w:ind w:right="268" w:firstLine="480"/>
        <w:jc w:val="both"/>
        <w:rPr>
          <w:color w:val="auto"/>
        </w:rPr>
      </w:pPr>
      <w:r>
        <w:rPr>
          <w:color w:val="auto"/>
        </w:rPr>
        <w:t>《个体工商户条例》第二十二条 个体工商户提交虚假材料骗取注册登记，或者</w:t>
      </w:r>
      <w:r>
        <w:rPr>
          <w:color w:val="auto"/>
          <w:spacing w:val="-1"/>
        </w:rPr>
        <w:t xml:space="preserve">伪造、涂改、出租、出借、转让营业执照的，由登记机关责令改正，处 </w:t>
      </w:r>
      <w:r>
        <w:rPr>
          <w:color w:val="auto"/>
        </w:rPr>
        <w:t>4000</w:t>
      </w:r>
      <w:r>
        <w:rPr>
          <w:color w:val="auto"/>
          <w:spacing w:val="-9"/>
        </w:rPr>
        <w:t xml:space="preserve"> 元以下的罚款；情节严重的，撤销注册登记或者吊销营业执照。</w:t>
      </w:r>
    </w:p>
    <w:p>
      <w:pPr>
        <w:spacing w:before="0" w:line="388" w:lineRule="auto"/>
        <w:ind w:left="591" w:right="6948" w:firstLine="0"/>
        <w:jc w:val="left"/>
        <w:rPr>
          <w:color w:val="auto"/>
          <w:sz w:val="24"/>
        </w:rPr>
      </w:pPr>
      <w:r>
        <w:rPr>
          <w:b/>
          <w:color w:val="auto"/>
          <w:sz w:val="24"/>
        </w:rPr>
        <w:t>（二）裁量标准</w:t>
      </w:r>
      <w:r>
        <w:rPr>
          <w:color w:val="auto"/>
          <w:sz w:val="24"/>
        </w:rPr>
        <w:t>1、罚款</w:t>
      </w:r>
    </w:p>
    <w:p>
      <w:pPr>
        <w:pStyle w:val="4"/>
        <w:spacing w:before="1"/>
        <w:ind w:left="591"/>
        <w:rPr>
          <w:color w:val="auto"/>
        </w:rPr>
      </w:pPr>
      <w:r>
        <w:rPr>
          <w:color w:val="auto"/>
        </w:rPr>
        <w:t>【较轻】</w:t>
      </w:r>
    </w:p>
    <w:p>
      <w:pPr>
        <w:pStyle w:val="4"/>
        <w:spacing w:before="191"/>
        <w:ind w:left="591"/>
        <w:rPr>
          <w:color w:val="auto"/>
        </w:rPr>
      </w:pPr>
      <w:r>
        <w:rPr>
          <w:color w:val="auto"/>
        </w:rPr>
        <w:t>提交一份虚假材料，隐瞒一般事实骗取注册登记的，处以一千元以下的罚款。</w:t>
      </w:r>
    </w:p>
    <w:p>
      <w:pPr>
        <w:pStyle w:val="4"/>
        <w:spacing w:before="192"/>
        <w:ind w:left="591"/>
        <w:rPr>
          <w:color w:val="auto"/>
        </w:rPr>
      </w:pPr>
      <w:r>
        <w:rPr>
          <w:color w:val="auto"/>
        </w:rPr>
        <w:t>【一般】</w:t>
      </w:r>
    </w:p>
    <w:p>
      <w:pPr>
        <w:pStyle w:val="4"/>
        <w:spacing w:before="194" w:line="388" w:lineRule="auto"/>
        <w:ind w:right="213" w:firstLine="480"/>
        <w:rPr>
          <w:color w:val="auto"/>
        </w:rPr>
      </w:pPr>
      <w:r>
        <w:rPr>
          <w:color w:val="auto"/>
        </w:rPr>
        <w:t>提交多份虚假材料，隐瞒重要事实骗取注册登记，造成较为严重后果的，处以一千元以上三千元以下的罚款。</w:t>
      </w:r>
    </w:p>
    <w:p>
      <w:pPr>
        <w:pStyle w:val="4"/>
        <w:spacing w:before="2"/>
        <w:ind w:left="591"/>
        <w:rPr>
          <w:color w:val="auto"/>
        </w:rPr>
      </w:pPr>
      <w:r>
        <w:rPr>
          <w:color w:val="auto"/>
        </w:rPr>
        <w:t>【严重】</w:t>
      </w:r>
    </w:p>
    <w:p>
      <w:pPr>
        <w:pStyle w:val="4"/>
        <w:spacing w:before="194" w:line="388" w:lineRule="auto"/>
        <w:ind w:right="213" w:firstLine="480"/>
        <w:rPr>
          <w:color w:val="auto"/>
        </w:rPr>
      </w:pPr>
      <w:r>
        <w:rPr>
          <w:color w:val="auto"/>
        </w:rPr>
        <w:t>提交多份虚假材料，隐瞒重要事实骗取注册登记，造成他人重大损失的，处以三千元以上四千元以下的罚款。</w:t>
      </w:r>
    </w:p>
    <w:p>
      <w:pPr>
        <w:pStyle w:val="4"/>
        <w:spacing w:before="2"/>
        <w:ind w:left="591"/>
        <w:rPr>
          <w:color w:val="auto"/>
        </w:rPr>
      </w:pPr>
      <w:r>
        <w:rPr>
          <w:color w:val="auto"/>
        </w:rPr>
        <w:t>2、吊销营业执照</w:t>
      </w:r>
    </w:p>
    <w:p>
      <w:pPr>
        <w:pStyle w:val="13"/>
        <w:numPr>
          <w:ilvl w:val="0"/>
          <w:numId w:val="35"/>
        </w:numPr>
        <w:tabs>
          <w:tab w:val="left" w:pos="1193"/>
        </w:tabs>
        <w:spacing w:before="39" w:after="0" w:line="240" w:lineRule="auto"/>
        <w:ind w:left="1192" w:right="0" w:hanging="602"/>
        <w:jc w:val="left"/>
        <w:rPr>
          <w:color w:val="auto"/>
          <w:sz w:val="24"/>
        </w:rPr>
      </w:pPr>
      <w:r>
        <w:rPr>
          <w:color w:val="auto"/>
          <w:sz w:val="24"/>
        </w:rPr>
        <w:t>被追究刑事责任的；</w:t>
      </w:r>
    </w:p>
    <w:p>
      <w:pPr>
        <w:pStyle w:val="13"/>
        <w:numPr>
          <w:ilvl w:val="0"/>
          <w:numId w:val="35"/>
        </w:numPr>
        <w:tabs>
          <w:tab w:val="left" w:pos="1193"/>
        </w:tabs>
        <w:spacing w:before="195" w:after="0" w:line="240" w:lineRule="auto"/>
        <w:ind w:left="1192" w:right="0" w:hanging="602"/>
        <w:jc w:val="left"/>
        <w:rPr>
          <w:color w:val="auto"/>
          <w:sz w:val="24"/>
        </w:rPr>
      </w:pPr>
      <w:r>
        <w:rPr>
          <w:color w:val="auto"/>
          <w:sz w:val="24"/>
        </w:rPr>
        <w:t>利用营业执照从事违法犯罪活动的；</w:t>
      </w:r>
    </w:p>
    <w:p>
      <w:pPr>
        <w:pStyle w:val="13"/>
        <w:numPr>
          <w:ilvl w:val="0"/>
          <w:numId w:val="35"/>
        </w:numPr>
        <w:tabs>
          <w:tab w:val="left" w:pos="1193"/>
        </w:tabs>
        <w:spacing w:before="191" w:after="0" w:line="240" w:lineRule="auto"/>
        <w:ind w:left="1192" w:right="0" w:hanging="602"/>
        <w:jc w:val="left"/>
        <w:rPr>
          <w:color w:val="auto"/>
          <w:sz w:val="24"/>
        </w:rPr>
      </w:pPr>
      <w:r>
        <w:rPr>
          <w:color w:val="auto"/>
          <w:sz w:val="24"/>
        </w:rPr>
        <w:t>无法改正的；</w:t>
      </w:r>
    </w:p>
    <w:p>
      <w:pPr>
        <w:pStyle w:val="13"/>
        <w:numPr>
          <w:ilvl w:val="0"/>
          <w:numId w:val="35"/>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4"/>
        <w:rPr>
          <w:color w:val="auto"/>
        </w:rPr>
      </w:pPr>
      <w:bookmarkStart w:id="119" w:name="_bookmark59"/>
      <w:bookmarkEnd w:id="119"/>
      <w:bookmarkStart w:id="120" w:name="五十九、个体工商户伪造、涂改、出租、出借、转让营业执照"/>
      <w:bookmarkEnd w:id="120"/>
      <w:r>
        <w:rPr>
          <w:color w:val="auto"/>
        </w:rPr>
        <w:t>五十九、个体工商户伪造、涂改、出租、出借、转让营业执照</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《个体工商户条例》第二十二条 个体工商户提交虚假材料骗取注册登记，或者</w:t>
      </w:r>
      <w:r>
        <w:rPr>
          <w:color w:val="auto"/>
          <w:spacing w:val="-1"/>
        </w:rPr>
        <w:t xml:space="preserve">伪造、涂改、出租、出借、转让营业执照的，由登记机关责令改正，处 </w:t>
      </w:r>
      <w:r>
        <w:rPr>
          <w:color w:val="auto"/>
        </w:rPr>
        <w:t>4000</w:t>
      </w:r>
      <w:r>
        <w:rPr>
          <w:color w:val="auto"/>
          <w:spacing w:val="-9"/>
        </w:rPr>
        <w:t xml:space="preserve"> 元以下的罚款；情节严重的，撤销注册登记或者吊销营业执照。</w:t>
      </w:r>
    </w:p>
    <w:p>
      <w:pPr>
        <w:spacing w:before="0"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89"/>
        <w:ind w:left="591"/>
        <w:rPr>
          <w:color w:val="auto"/>
        </w:rPr>
      </w:pPr>
      <w:r>
        <w:rPr>
          <w:color w:val="auto"/>
        </w:rPr>
        <w:t>未损害他人利益或者未造成危害后果的，处以一千元以下的罚款。</w:t>
      </w:r>
    </w:p>
    <w:p>
      <w:pPr>
        <w:pStyle w:val="4"/>
        <w:spacing w:before="194"/>
        <w:ind w:left="591"/>
        <w:rPr>
          <w:color w:val="auto"/>
        </w:rPr>
      </w:pPr>
      <w:r>
        <w:rPr>
          <w:color w:val="auto"/>
        </w:rPr>
        <w:t>【一般】</w:t>
      </w:r>
    </w:p>
    <w:p>
      <w:pPr>
        <w:pStyle w:val="4"/>
        <w:spacing w:before="191"/>
        <w:ind w:left="591"/>
        <w:rPr>
          <w:color w:val="auto"/>
        </w:rPr>
      </w:pPr>
      <w:r>
        <w:rPr>
          <w:color w:val="auto"/>
        </w:rPr>
        <w:t>损害他人利益，造成一定危害后果的，处以一千元以上三千元以下的罚款。</w:t>
      </w:r>
    </w:p>
    <w:p>
      <w:pPr>
        <w:pStyle w:val="4"/>
        <w:spacing w:before="192"/>
        <w:ind w:left="591"/>
        <w:rPr>
          <w:color w:val="auto"/>
        </w:rPr>
      </w:pPr>
      <w:r>
        <w:rPr>
          <w:color w:val="auto"/>
        </w:rPr>
        <w:t>【严重】</w:t>
      </w:r>
    </w:p>
    <w:p>
      <w:pPr>
        <w:pStyle w:val="4"/>
        <w:spacing w:before="194" w:line="388" w:lineRule="auto"/>
        <w:ind w:left="591" w:right="712"/>
        <w:rPr>
          <w:color w:val="auto"/>
        </w:rPr>
      </w:pPr>
      <w:r>
        <w:rPr>
          <w:color w:val="auto"/>
        </w:rPr>
        <w:t>损害他人利益，造成较大危害后果的，处以三千元以上四千元以下的罚款。2、吊销营业执照</w:t>
      </w:r>
    </w:p>
    <w:p>
      <w:pPr>
        <w:pStyle w:val="13"/>
        <w:numPr>
          <w:ilvl w:val="0"/>
          <w:numId w:val="36"/>
        </w:numPr>
        <w:tabs>
          <w:tab w:val="left" w:pos="1193"/>
        </w:tabs>
        <w:spacing w:before="2" w:after="0" w:line="240" w:lineRule="auto"/>
        <w:ind w:left="1192" w:right="0" w:hanging="602"/>
        <w:jc w:val="left"/>
        <w:rPr>
          <w:color w:val="auto"/>
          <w:sz w:val="24"/>
        </w:rPr>
      </w:pPr>
      <w:r>
        <w:rPr>
          <w:color w:val="auto"/>
          <w:sz w:val="24"/>
        </w:rPr>
        <w:t>被追究刑事责任的；</w:t>
      </w:r>
    </w:p>
    <w:p>
      <w:pPr>
        <w:pStyle w:val="13"/>
        <w:numPr>
          <w:ilvl w:val="0"/>
          <w:numId w:val="36"/>
        </w:numPr>
        <w:tabs>
          <w:tab w:val="left" w:pos="1193"/>
        </w:tabs>
        <w:spacing w:before="194" w:after="0" w:line="240" w:lineRule="auto"/>
        <w:ind w:left="1192" w:right="0" w:hanging="602"/>
        <w:jc w:val="left"/>
        <w:rPr>
          <w:color w:val="auto"/>
          <w:sz w:val="24"/>
        </w:rPr>
      </w:pPr>
      <w:r>
        <w:rPr>
          <w:color w:val="auto"/>
          <w:sz w:val="24"/>
        </w:rPr>
        <w:t>利用营业执照从事违法活动的；</w:t>
      </w:r>
    </w:p>
    <w:p>
      <w:pPr>
        <w:pStyle w:val="13"/>
        <w:numPr>
          <w:ilvl w:val="0"/>
          <w:numId w:val="36"/>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2"/>
        <w:rPr>
          <w:color w:val="auto"/>
        </w:rPr>
      </w:pPr>
      <w:bookmarkStart w:id="121" w:name="六十、个体工商户未按规定办理变更登记"/>
      <w:bookmarkEnd w:id="121"/>
      <w:bookmarkStart w:id="122" w:name="_bookmark60"/>
      <w:bookmarkEnd w:id="122"/>
      <w:r>
        <w:rPr>
          <w:color w:val="auto"/>
        </w:rPr>
        <w:t>六十、个体工商户未按规定办理变更登记</w:t>
      </w:r>
    </w:p>
    <w:p>
      <w:pPr>
        <w:spacing w:before="194"/>
        <w:ind w:left="591" w:right="0" w:firstLine="0"/>
        <w:jc w:val="left"/>
        <w:rPr>
          <w:b/>
          <w:color w:val="auto"/>
          <w:sz w:val="24"/>
        </w:rPr>
      </w:pPr>
      <w:r>
        <w:rPr>
          <w:b/>
          <w:color w:val="auto"/>
          <w:sz w:val="24"/>
        </w:rPr>
        <w:t>（一）处罚依据</w:t>
      </w:r>
    </w:p>
    <w:p>
      <w:pPr>
        <w:pStyle w:val="4"/>
        <w:spacing w:before="192" w:line="388" w:lineRule="auto"/>
        <w:ind w:right="148" w:firstLine="480"/>
        <w:rPr>
          <w:color w:val="auto"/>
        </w:rPr>
      </w:pPr>
      <w:r>
        <w:rPr>
          <w:color w:val="auto"/>
        </w:rPr>
        <w:t>《个体工商户条例》第二十三条第一款 个体工商户登记事项变更，未办理变更</w:t>
      </w:r>
      <w:r>
        <w:rPr>
          <w:color w:val="auto"/>
          <w:spacing w:val="-8"/>
        </w:rPr>
        <w:t xml:space="preserve">登记的，由登记机关责令改正，处 </w:t>
      </w:r>
      <w:r>
        <w:rPr>
          <w:color w:val="auto"/>
        </w:rPr>
        <w:t>1500</w:t>
      </w:r>
      <w:r>
        <w:rPr>
          <w:color w:val="auto"/>
          <w:spacing w:val="-10"/>
        </w:rPr>
        <w:t xml:space="preserve"> 元以下的罚款；情节严重的，吊销营业执照。</w:t>
      </w:r>
    </w:p>
    <w:p>
      <w:pPr>
        <w:numPr>
          <w:ilvl w:val="0"/>
          <w:numId w:val="37"/>
        </w:numPr>
        <w:spacing w:before="4" w:line="388" w:lineRule="auto"/>
        <w:ind w:left="591" w:right="6948" w:firstLine="0"/>
        <w:jc w:val="left"/>
        <w:rPr>
          <w:b/>
          <w:color w:val="auto"/>
          <w:sz w:val="24"/>
        </w:rPr>
      </w:pPr>
      <w:r>
        <w:rPr>
          <w:b/>
          <w:color w:val="auto"/>
          <w:sz w:val="24"/>
        </w:rPr>
        <w:t>裁量标准</w:t>
      </w:r>
    </w:p>
    <w:p>
      <w:pPr>
        <w:keepNext w:val="0"/>
        <w:keepLines w:val="0"/>
        <w:widowControl/>
        <w:suppressLineNumbers w:val="0"/>
        <w:ind w:firstLine="720" w:firstLineChars="300"/>
        <w:jc w:val="left"/>
        <w:rPr>
          <w:rFonts w:hint="eastAsia"/>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rFonts w:hint="default" w:eastAsia="宋体"/>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numPr>
          <w:ilvl w:val="0"/>
          <w:numId w:val="0"/>
        </w:numPr>
        <w:spacing w:before="4" w:line="388" w:lineRule="auto"/>
        <w:ind w:left="591" w:leftChars="0" w:right="6948" w:rightChars="0" w:firstLine="240" w:firstLineChars="100"/>
        <w:jc w:val="left"/>
        <w:rPr>
          <w:color w:val="auto"/>
          <w:sz w:val="24"/>
        </w:rPr>
      </w:pPr>
      <w:r>
        <w:rPr>
          <w:rFonts w:hint="eastAsia"/>
          <w:color w:val="auto"/>
          <w:sz w:val="24"/>
          <w:lang w:val="en-US" w:eastAsia="zh-CN"/>
        </w:rPr>
        <w:t>2.</w:t>
      </w:r>
      <w:r>
        <w:rPr>
          <w:color w:val="auto"/>
          <w:sz w:val="24"/>
        </w:rPr>
        <w:t>罚款</w:t>
      </w:r>
    </w:p>
    <w:p>
      <w:pPr>
        <w:pStyle w:val="4"/>
        <w:spacing w:before="2"/>
        <w:ind w:left="591" w:firstLine="480" w:firstLineChars="200"/>
        <w:rPr>
          <w:color w:val="auto"/>
        </w:rPr>
      </w:pPr>
      <w:r>
        <w:rPr>
          <w:color w:val="auto"/>
        </w:rPr>
        <w:t>【较轻】</w:t>
      </w:r>
    </w:p>
    <w:p>
      <w:pPr>
        <w:pStyle w:val="4"/>
        <w:spacing w:before="39"/>
        <w:ind w:left="591"/>
        <w:rPr>
          <w:color w:val="auto"/>
        </w:rPr>
      </w:pPr>
      <w:r>
        <w:rPr>
          <w:color w:val="auto"/>
        </w:rPr>
        <w:t>变更登记事项不需要审批的，处以五百元以下的罚款。</w:t>
      </w:r>
    </w:p>
    <w:p>
      <w:pPr>
        <w:pStyle w:val="4"/>
        <w:spacing w:before="195"/>
        <w:ind w:left="591"/>
        <w:rPr>
          <w:color w:val="auto"/>
        </w:rPr>
      </w:pPr>
      <w:r>
        <w:rPr>
          <w:rFonts w:hint="eastAsia"/>
          <w:color w:val="auto"/>
          <w:lang w:val="en-US" w:eastAsia="zh-CN"/>
        </w:rPr>
        <w:t xml:space="preserve">    </w:t>
      </w:r>
      <w:r>
        <w:rPr>
          <w:color w:val="auto"/>
        </w:rPr>
        <w:t>【一般】</w:t>
      </w:r>
    </w:p>
    <w:p>
      <w:pPr>
        <w:pStyle w:val="4"/>
        <w:spacing w:before="191"/>
        <w:ind w:left="591"/>
        <w:rPr>
          <w:color w:val="auto"/>
        </w:rPr>
      </w:pPr>
      <w:r>
        <w:rPr>
          <w:color w:val="auto"/>
        </w:rPr>
        <w:t>变更登记事项需要后置审批的，处以五百元上一千元以下的罚款。</w:t>
      </w:r>
    </w:p>
    <w:p>
      <w:pPr>
        <w:pStyle w:val="4"/>
        <w:spacing w:before="192"/>
        <w:ind w:left="591"/>
        <w:rPr>
          <w:color w:val="auto"/>
        </w:rPr>
      </w:pPr>
      <w:r>
        <w:rPr>
          <w:rFonts w:hint="eastAsia"/>
          <w:color w:val="auto"/>
          <w:lang w:val="en-US" w:eastAsia="zh-CN"/>
        </w:rPr>
        <w:t xml:space="preserve">    </w:t>
      </w:r>
      <w:r>
        <w:rPr>
          <w:color w:val="auto"/>
        </w:rPr>
        <w:t>【严重】</w:t>
      </w:r>
    </w:p>
    <w:p>
      <w:pPr>
        <w:pStyle w:val="4"/>
        <w:spacing w:before="194" w:line="388" w:lineRule="auto"/>
        <w:ind w:left="591" w:right="952"/>
        <w:rPr>
          <w:color w:val="auto"/>
        </w:rPr>
      </w:pPr>
      <w:r>
        <w:rPr>
          <w:color w:val="auto"/>
        </w:rPr>
        <w:t>变更登记事项需要前置审批的，处以一千元以上一千五百元以下的罚款。</w:t>
      </w:r>
      <w:r>
        <w:rPr>
          <w:rFonts w:hint="eastAsia"/>
          <w:color w:val="auto"/>
          <w:lang w:val="en-US" w:eastAsia="zh-CN"/>
        </w:rPr>
        <w:t>3</w:t>
      </w:r>
      <w:r>
        <w:rPr>
          <w:color w:val="auto"/>
        </w:rPr>
        <w:t>、吊销营业执照</w:t>
      </w:r>
    </w:p>
    <w:p>
      <w:pPr>
        <w:pStyle w:val="4"/>
        <w:spacing w:before="2" w:line="391" w:lineRule="auto"/>
        <w:ind w:right="232" w:firstLine="480"/>
        <w:rPr>
          <w:color w:val="auto"/>
        </w:rPr>
      </w:pPr>
      <w:r>
        <w:rPr>
          <w:color w:val="auto"/>
        </w:rPr>
        <w:t>因未办理变更登记，造成国家或者他人重大经济损失或者严重扰乱管理秩序的， 吊销营业执照。</w:t>
      </w:r>
    </w:p>
    <w:p>
      <w:pPr>
        <w:pStyle w:val="2"/>
        <w:spacing w:line="306" w:lineRule="exact"/>
        <w:rPr>
          <w:color w:val="auto"/>
        </w:rPr>
      </w:pPr>
      <w:bookmarkStart w:id="123" w:name="六十一、个体工商户未按规定放置营业执照"/>
      <w:bookmarkEnd w:id="123"/>
      <w:bookmarkStart w:id="124" w:name="_bookmark61"/>
      <w:bookmarkEnd w:id="124"/>
      <w:r>
        <w:rPr>
          <w:color w:val="auto"/>
        </w:rPr>
        <w:t>六十一、个体工商户未按规定放置营业执照</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rPr>
          <w:color w:val="auto"/>
        </w:rPr>
      </w:pPr>
      <w:r>
        <w:rPr>
          <w:color w:val="auto"/>
        </w:rPr>
        <w:t>1</w:t>
      </w:r>
      <w:r>
        <w:rPr>
          <w:color w:val="auto"/>
          <w:spacing w:val="-9"/>
        </w:rPr>
        <w:t>、《个体工商户登记管理办法》第三十七条 个体工商户违反本办法第二十五条</w:t>
      </w:r>
      <w:r>
        <w:rPr>
          <w:color w:val="auto"/>
          <w:spacing w:val="-12"/>
        </w:rPr>
        <w:t xml:space="preserve">规定的，由登记机关责令限期改正；逾期未改正的，处 </w:t>
      </w:r>
      <w:r>
        <w:rPr>
          <w:color w:val="auto"/>
        </w:rPr>
        <w:t>500</w:t>
      </w:r>
      <w:r>
        <w:rPr>
          <w:color w:val="auto"/>
          <w:spacing w:val="-8"/>
        </w:rPr>
        <w:t xml:space="preserve"> 元以下的罚款。</w:t>
      </w:r>
    </w:p>
    <w:p>
      <w:pPr>
        <w:pStyle w:val="4"/>
        <w:spacing w:before="2" w:line="391" w:lineRule="auto"/>
        <w:ind w:right="268" w:firstLine="480"/>
        <w:rPr>
          <w:color w:val="auto"/>
        </w:rPr>
      </w:pPr>
      <w:r>
        <w:rPr>
          <w:color w:val="auto"/>
        </w:rPr>
        <w:t>2</w:t>
      </w:r>
      <w:r>
        <w:rPr>
          <w:color w:val="auto"/>
          <w:spacing w:val="-9"/>
        </w:rPr>
        <w:t xml:space="preserve">、《个体工商户登记管理办法》第二十五条 </w:t>
      </w:r>
      <w:r>
        <w:rPr>
          <w:color w:val="auto"/>
          <w:spacing w:val="-9"/>
        </w:rPr>
        <w:t>营业执照正本应当置于个体工商户经营场所的醒目位置。</w:t>
      </w:r>
    </w:p>
    <w:p>
      <w:pPr>
        <w:spacing w:before="0" w:line="388" w:lineRule="auto"/>
        <w:ind w:left="591" w:right="6948" w:firstLine="0"/>
        <w:jc w:val="left"/>
        <w:rPr>
          <w:b/>
          <w:color w:val="auto"/>
          <w:spacing w:val="-5"/>
          <w:sz w:val="24"/>
        </w:rPr>
      </w:pPr>
      <w:r>
        <w:rPr>
          <w:b/>
          <w:color w:val="auto"/>
          <w:sz w:val="24"/>
        </w:rPr>
        <w:t>（二）</w:t>
      </w:r>
      <w:r>
        <w:rPr>
          <w:b/>
          <w:color w:val="auto"/>
          <w:spacing w:val="-5"/>
          <w:sz w:val="24"/>
        </w:rPr>
        <w:t>裁量标准</w:t>
      </w:r>
    </w:p>
    <w:p>
      <w:pPr>
        <w:spacing w:before="0" w:line="388" w:lineRule="auto"/>
        <w:ind w:left="591" w:right="6948" w:firstLine="0"/>
        <w:jc w:val="left"/>
        <w:rPr>
          <w:rFonts w:hint="default" w:eastAsia="宋体"/>
          <w:b/>
          <w:color w:val="auto"/>
          <w:spacing w:val="-5"/>
          <w:sz w:val="24"/>
          <w:lang w:val="en-US" w:eastAsia="zh-CN"/>
        </w:rPr>
      </w:pPr>
      <w:r>
        <w:rPr>
          <w:rFonts w:hint="eastAsia"/>
          <w:b w:val="0"/>
          <w:bCs/>
          <w:color w:val="auto"/>
          <w:spacing w:val="-5"/>
          <w:sz w:val="24"/>
          <w:lang w:val="en-US" w:eastAsia="zh-CN"/>
        </w:rPr>
        <w:t>1.【不予处罚】</w:t>
      </w:r>
    </w:p>
    <w:p>
      <w:pPr>
        <w:keepNext w:val="0"/>
        <w:keepLines w:val="0"/>
        <w:widowControl/>
        <w:suppressLineNumbers w:val="0"/>
        <w:ind w:firstLine="720" w:firstLineChars="300"/>
        <w:jc w:val="left"/>
        <w:rPr>
          <w:color w:val="auto"/>
          <w:sz w:val="24"/>
        </w:rPr>
      </w:pPr>
      <w:r>
        <w:rPr>
          <w:rFonts w:hint="eastAsia" w:ascii="宋体" w:hAnsi="宋体" w:eastAsia="宋体" w:cs="宋体"/>
          <w:color w:val="auto"/>
          <w:kern w:val="0"/>
          <w:sz w:val="24"/>
          <w:szCs w:val="24"/>
          <w:lang w:val="en-US" w:eastAsia="zh-CN" w:bidi="ar"/>
        </w:rPr>
        <w:t>自行改正或者在行政机关 责令改正的期限内改正</w:t>
      </w:r>
    </w:p>
    <w:p>
      <w:pPr>
        <w:spacing w:before="0" w:line="388"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4"/>
        <w:spacing w:before="3" w:line="388" w:lineRule="auto"/>
        <w:ind w:left="591" w:right="3592"/>
        <w:rPr>
          <w:color w:val="auto"/>
        </w:rPr>
      </w:pPr>
      <w:r>
        <w:rPr>
          <w:color w:val="auto"/>
          <w:spacing w:val="-1"/>
        </w:rPr>
        <w:t>第一次未改正的，处以一百五十元以下的罚款。</w:t>
      </w:r>
      <w:r>
        <w:rPr>
          <w:rFonts w:hint="eastAsia"/>
          <w:color w:val="auto"/>
          <w:lang w:val="en-US" w:eastAsia="zh-CN"/>
        </w:rPr>
        <w:t>3</w:t>
      </w:r>
      <w:r>
        <w:rPr>
          <w:color w:val="auto"/>
        </w:rPr>
        <w:t>.【一般】</w:t>
      </w:r>
    </w:p>
    <w:p>
      <w:pPr>
        <w:pStyle w:val="4"/>
        <w:spacing w:before="2" w:line="391" w:lineRule="auto"/>
        <w:ind w:left="591" w:right="1912"/>
        <w:rPr>
          <w:color w:val="auto"/>
        </w:rPr>
      </w:pPr>
      <w:r>
        <w:rPr>
          <w:color w:val="auto"/>
          <w:spacing w:val="-1"/>
        </w:rPr>
        <w:t>第二次未改正的，处以一百五十元以上三百五十元以下的罚款。</w:t>
      </w:r>
      <w:r>
        <w:rPr>
          <w:rFonts w:hint="eastAsia"/>
          <w:color w:val="auto"/>
          <w:lang w:val="en-US" w:eastAsia="zh-CN"/>
        </w:rPr>
        <w:t>4</w:t>
      </w:r>
      <w:r>
        <w:rPr>
          <w:color w:val="auto"/>
        </w:rPr>
        <w:t>.【严重】</w:t>
      </w:r>
    </w:p>
    <w:p>
      <w:pPr>
        <w:spacing w:before="0" w:line="388" w:lineRule="auto"/>
        <w:ind w:left="591" w:right="1912" w:firstLine="0"/>
        <w:jc w:val="left"/>
        <w:rPr>
          <w:b/>
          <w:color w:val="auto"/>
          <w:sz w:val="24"/>
        </w:rPr>
      </w:pPr>
      <w:r>
        <w:rPr>
          <w:color w:val="auto"/>
          <w:sz w:val="24"/>
        </w:rPr>
        <w:t>三次以上拒不改正的，处以三百五十元以上五百元以下的罚款。</w:t>
      </w:r>
      <w:bookmarkStart w:id="125" w:name="六十二、无照经营"/>
      <w:bookmarkEnd w:id="125"/>
      <w:bookmarkStart w:id="126" w:name="_bookmark62"/>
      <w:bookmarkEnd w:id="126"/>
      <w:r>
        <w:rPr>
          <w:b/>
          <w:color w:val="auto"/>
          <w:sz w:val="24"/>
        </w:rPr>
        <w:t>六十二、无照经营</w:t>
      </w:r>
    </w:p>
    <w:p>
      <w:pPr>
        <w:pStyle w:val="2"/>
        <w:spacing w:before="3"/>
        <w:rPr>
          <w:color w:val="auto"/>
        </w:rPr>
      </w:pPr>
      <w:r>
        <w:rPr>
          <w:color w:val="auto"/>
        </w:rPr>
        <w:t>（一）处罚依据</w:t>
      </w:r>
    </w:p>
    <w:p>
      <w:pPr>
        <w:pStyle w:val="4"/>
        <w:spacing w:before="192" w:line="391" w:lineRule="auto"/>
        <w:ind w:right="268" w:firstLine="480"/>
        <w:jc w:val="both"/>
        <w:rPr>
          <w:color w:val="auto"/>
        </w:rPr>
      </w:pPr>
      <w:r>
        <w:rPr>
          <w:color w:val="auto"/>
          <w:spacing w:val="-4"/>
        </w:rPr>
        <w:t>《无证无照经营查处办法》第十三条 从事无照经营的，由工商行政管理部门依</w:t>
      </w:r>
      <w:r>
        <w:rPr>
          <w:color w:val="auto"/>
          <w:spacing w:val="-5"/>
        </w:rPr>
        <w:t>照相关法律、行政法规的规定予以处罚。法律、行政法规对无照经营的处罚没有明确</w:t>
      </w:r>
      <w:r>
        <w:rPr>
          <w:color w:val="auto"/>
          <w:spacing w:val="-7"/>
        </w:rPr>
        <w:t xml:space="preserve">规定的，由工商行政管理部门责令停止违法行为，没收违法所得，并处 </w:t>
      </w:r>
      <w:r>
        <w:rPr>
          <w:color w:val="auto"/>
        </w:rPr>
        <w:t>1</w:t>
      </w:r>
      <w:r>
        <w:rPr>
          <w:color w:val="auto"/>
          <w:spacing w:val="-13"/>
        </w:rPr>
        <w:t xml:space="preserve"> 万元以下的</w:t>
      </w:r>
      <w:r>
        <w:rPr>
          <w:color w:val="auto"/>
        </w:rPr>
        <w:t>罚款。</w:t>
      </w:r>
    </w:p>
    <w:p>
      <w:pPr>
        <w:pStyle w:val="2"/>
        <w:spacing w:line="302" w:lineRule="exact"/>
        <w:rPr>
          <w:color w:val="auto"/>
        </w:rPr>
      </w:pPr>
      <w:r>
        <w:rPr>
          <w:color w:val="auto"/>
        </w:rPr>
        <w:t>（二）裁量标准</w:t>
      </w:r>
    </w:p>
    <w:p>
      <w:pPr>
        <w:pStyle w:val="13"/>
        <w:numPr>
          <w:ilvl w:val="0"/>
          <w:numId w:val="38"/>
        </w:numPr>
        <w:tabs>
          <w:tab w:val="left" w:pos="833"/>
        </w:tabs>
        <w:spacing w:before="39" w:after="0" w:line="240" w:lineRule="auto"/>
        <w:ind w:left="832" w:right="0" w:hanging="242"/>
        <w:jc w:val="left"/>
        <w:rPr>
          <w:color w:val="auto"/>
          <w:sz w:val="24"/>
        </w:rPr>
      </w:pPr>
      <w:r>
        <w:rPr>
          <w:color w:val="auto"/>
          <w:spacing w:val="-8"/>
          <w:sz w:val="24"/>
        </w:rPr>
        <w:t xml:space="preserve">【较轻】无照经营时间在 </w:t>
      </w:r>
      <w:r>
        <w:rPr>
          <w:color w:val="auto"/>
          <w:sz w:val="24"/>
        </w:rPr>
        <w:t>90</w:t>
      </w:r>
      <w:r>
        <w:rPr>
          <w:color w:val="auto"/>
          <w:spacing w:val="-13"/>
          <w:sz w:val="24"/>
        </w:rPr>
        <w:t xml:space="preserve"> 日以下或违法所得在 </w:t>
      </w:r>
      <w:r>
        <w:rPr>
          <w:color w:val="auto"/>
          <w:sz w:val="24"/>
        </w:rPr>
        <w:t>3000</w:t>
      </w:r>
      <w:r>
        <w:rPr>
          <w:color w:val="auto"/>
          <w:spacing w:val="-9"/>
          <w:sz w:val="24"/>
        </w:rPr>
        <w:t xml:space="preserve"> 元以下的，责令停止违</w:t>
      </w:r>
    </w:p>
    <w:p>
      <w:pPr>
        <w:pStyle w:val="4"/>
        <w:spacing w:before="195"/>
        <w:rPr>
          <w:color w:val="auto"/>
        </w:rPr>
      </w:pPr>
      <w:r>
        <w:rPr>
          <w:color w:val="auto"/>
        </w:rPr>
        <w:t>法行为，没收违法所得，并处 3000 元以下的罚款。</w:t>
      </w:r>
    </w:p>
    <w:p>
      <w:pPr>
        <w:pStyle w:val="13"/>
        <w:numPr>
          <w:ilvl w:val="0"/>
          <w:numId w:val="38"/>
        </w:numPr>
        <w:tabs>
          <w:tab w:val="left" w:pos="833"/>
        </w:tabs>
        <w:spacing w:before="191" w:after="0" w:line="240" w:lineRule="auto"/>
        <w:ind w:left="832" w:right="0" w:hanging="242"/>
        <w:jc w:val="left"/>
        <w:rPr>
          <w:color w:val="auto"/>
          <w:sz w:val="24"/>
        </w:rPr>
      </w:pPr>
      <w:r>
        <w:rPr>
          <w:color w:val="auto"/>
          <w:spacing w:val="-12"/>
          <w:sz w:val="24"/>
        </w:rPr>
        <w:t xml:space="preserve">【一般】无照经营时间在 </w:t>
      </w:r>
      <w:r>
        <w:rPr>
          <w:color w:val="auto"/>
          <w:sz w:val="24"/>
        </w:rPr>
        <w:t>90</w:t>
      </w:r>
      <w:r>
        <w:rPr>
          <w:color w:val="auto"/>
          <w:spacing w:val="-24"/>
          <w:sz w:val="24"/>
        </w:rPr>
        <w:t xml:space="preserve"> 日以上 </w:t>
      </w:r>
      <w:r>
        <w:rPr>
          <w:color w:val="auto"/>
          <w:sz w:val="24"/>
        </w:rPr>
        <w:t>180</w:t>
      </w:r>
      <w:r>
        <w:rPr>
          <w:color w:val="auto"/>
          <w:spacing w:val="-13"/>
          <w:sz w:val="24"/>
        </w:rPr>
        <w:t xml:space="preserve"> 日以下或违法所得在 </w:t>
      </w:r>
      <w:r>
        <w:rPr>
          <w:color w:val="auto"/>
          <w:sz w:val="24"/>
        </w:rPr>
        <w:t>3000</w:t>
      </w:r>
      <w:r>
        <w:rPr>
          <w:color w:val="auto"/>
          <w:spacing w:val="-24"/>
          <w:sz w:val="24"/>
        </w:rPr>
        <w:t xml:space="preserve"> 元以上 </w:t>
      </w:r>
      <w:r>
        <w:rPr>
          <w:color w:val="auto"/>
          <w:sz w:val="24"/>
        </w:rPr>
        <w:t>7000</w:t>
      </w:r>
    </w:p>
    <w:p>
      <w:pPr>
        <w:pStyle w:val="4"/>
        <w:spacing w:before="192"/>
        <w:rPr>
          <w:color w:val="auto"/>
        </w:rPr>
      </w:pPr>
      <w:r>
        <w:rPr>
          <w:color w:val="auto"/>
          <w:spacing w:val="-16"/>
        </w:rPr>
        <w:t xml:space="preserve">元以下的，责令停止违法行为，没收违法所得，并处 </w:t>
      </w:r>
      <w:r>
        <w:rPr>
          <w:color w:val="auto"/>
        </w:rPr>
        <w:t>3000</w:t>
      </w:r>
      <w:r>
        <w:rPr>
          <w:color w:val="auto"/>
          <w:spacing w:val="-24"/>
        </w:rPr>
        <w:t xml:space="preserve"> 元以上 </w:t>
      </w:r>
      <w:r>
        <w:rPr>
          <w:color w:val="auto"/>
        </w:rPr>
        <w:t>7000</w:t>
      </w:r>
      <w:r>
        <w:rPr>
          <w:color w:val="auto"/>
          <w:spacing w:val="-8"/>
        </w:rPr>
        <w:t xml:space="preserve"> 元以下的罚款。</w:t>
      </w:r>
    </w:p>
    <w:p>
      <w:pPr>
        <w:pStyle w:val="13"/>
        <w:numPr>
          <w:ilvl w:val="0"/>
          <w:numId w:val="38"/>
        </w:numPr>
        <w:tabs>
          <w:tab w:val="left" w:pos="834"/>
        </w:tabs>
        <w:spacing w:before="194" w:after="0" w:line="240" w:lineRule="auto"/>
        <w:ind w:left="833" w:right="0" w:hanging="243"/>
        <w:jc w:val="left"/>
        <w:rPr>
          <w:color w:val="auto"/>
          <w:sz w:val="24"/>
        </w:rPr>
      </w:pPr>
      <w:r>
        <w:rPr>
          <w:color w:val="auto"/>
          <w:spacing w:val="-5"/>
          <w:sz w:val="24"/>
        </w:rPr>
        <w:t xml:space="preserve">【严重】无照经营时间在 </w:t>
      </w:r>
      <w:r>
        <w:rPr>
          <w:color w:val="auto"/>
          <w:sz w:val="24"/>
        </w:rPr>
        <w:t>180</w:t>
      </w:r>
      <w:r>
        <w:rPr>
          <w:color w:val="auto"/>
          <w:spacing w:val="-13"/>
          <w:sz w:val="24"/>
        </w:rPr>
        <w:t xml:space="preserve"> 日以上或违法所得在 </w:t>
      </w:r>
      <w:r>
        <w:rPr>
          <w:color w:val="auto"/>
          <w:sz w:val="24"/>
        </w:rPr>
        <w:t>7000</w:t>
      </w:r>
      <w:r>
        <w:rPr>
          <w:color w:val="auto"/>
          <w:spacing w:val="-7"/>
          <w:sz w:val="24"/>
        </w:rPr>
        <w:t xml:space="preserve"> 元以上的，责令停止</w:t>
      </w:r>
    </w:p>
    <w:p>
      <w:pPr>
        <w:spacing w:before="192" w:line="388" w:lineRule="auto"/>
        <w:ind w:left="591" w:right="2512" w:hanging="480"/>
        <w:jc w:val="left"/>
        <w:rPr>
          <w:b/>
          <w:color w:val="auto"/>
          <w:sz w:val="24"/>
        </w:rPr>
      </w:pPr>
      <w:r>
        <w:rPr>
          <w:color w:val="auto"/>
          <w:spacing w:val="-4"/>
          <w:sz w:val="24"/>
        </w:rPr>
        <w:t xml:space="preserve">违法行为，没收违法所得，并处 </w:t>
      </w:r>
      <w:r>
        <w:rPr>
          <w:color w:val="auto"/>
          <w:sz w:val="24"/>
        </w:rPr>
        <w:t>7000</w:t>
      </w:r>
      <w:r>
        <w:rPr>
          <w:color w:val="auto"/>
          <w:spacing w:val="-24"/>
          <w:sz w:val="24"/>
        </w:rPr>
        <w:t xml:space="preserve"> 元以上 </w:t>
      </w:r>
      <w:r>
        <w:rPr>
          <w:color w:val="auto"/>
          <w:sz w:val="24"/>
        </w:rPr>
        <w:t>1</w:t>
      </w:r>
      <w:r>
        <w:rPr>
          <w:color w:val="auto"/>
          <w:spacing w:val="-10"/>
          <w:sz w:val="24"/>
        </w:rPr>
        <w:t xml:space="preserve"> 万元以下罚款。</w:t>
      </w:r>
      <w:bookmarkStart w:id="127" w:name="六十三、为无照经营行为提供条件"/>
      <w:bookmarkEnd w:id="127"/>
      <w:bookmarkStart w:id="128" w:name="_bookmark63"/>
      <w:bookmarkEnd w:id="128"/>
      <w:r>
        <w:rPr>
          <w:b/>
          <w:color w:val="auto"/>
          <w:sz w:val="24"/>
        </w:rPr>
        <w:t>六十三、为无照经营行为提供条件</w:t>
      </w:r>
    </w:p>
    <w:p>
      <w:pPr>
        <w:pStyle w:val="2"/>
        <w:spacing w:before="4"/>
        <w:rPr>
          <w:color w:val="auto"/>
        </w:rPr>
      </w:pPr>
      <w:r>
        <w:rPr>
          <w:color w:val="auto"/>
        </w:rPr>
        <w:t>（一）处罚依据</w:t>
      </w:r>
    </w:p>
    <w:p>
      <w:pPr>
        <w:pStyle w:val="4"/>
        <w:spacing w:before="192" w:line="391" w:lineRule="auto"/>
        <w:ind w:right="232" w:firstLine="480"/>
        <w:jc w:val="both"/>
        <w:rPr>
          <w:color w:val="auto"/>
        </w:rPr>
      </w:pPr>
      <w:r>
        <w:rPr>
          <w:color w:val="auto"/>
          <w:spacing w:val="-4"/>
        </w:rPr>
        <w:t>《无证无照经营查处办法》第十四条 明知属于无照经营而为经营者提供经营场</w:t>
      </w:r>
      <w:r>
        <w:rPr>
          <w:color w:val="auto"/>
          <w:spacing w:val="-5"/>
        </w:rPr>
        <w:t xml:space="preserve">所，或者提供运输、保管、仓储等条件的，由工商行政管理部门责令停止违法行为， </w:t>
      </w:r>
      <w:r>
        <w:rPr>
          <w:color w:val="auto"/>
          <w:spacing w:val="-6"/>
        </w:rPr>
        <w:t xml:space="preserve">没收违法所得，可以处 </w:t>
      </w:r>
      <w:r>
        <w:rPr>
          <w:color w:val="auto"/>
        </w:rPr>
        <w:t>5000</w:t>
      </w:r>
      <w:r>
        <w:rPr>
          <w:color w:val="auto"/>
          <w:spacing w:val="-8"/>
        </w:rPr>
        <w:t xml:space="preserve"> 元以下的罚款。</w:t>
      </w:r>
    </w:p>
    <w:p>
      <w:pPr>
        <w:pStyle w:val="2"/>
        <w:spacing w:line="304" w:lineRule="exact"/>
        <w:rPr>
          <w:color w:val="auto"/>
        </w:rPr>
      </w:pPr>
      <w:r>
        <w:rPr>
          <w:color w:val="auto"/>
        </w:rPr>
        <w:t>（二）裁量标准</w:t>
      </w:r>
    </w:p>
    <w:p>
      <w:pPr>
        <w:pStyle w:val="13"/>
        <w:numPr>
          <w:ilvl w:val="0"/>
          <w:numId w:val="39"/>
        </w:numPr>
        <w:tabs>
          <w:tab w:val="left" w:pos="834"/>
        </w:tabs>
        <w:spacing w:before="192" w:after="0" w:line="240" w:lineRule="auto"/>
        <w:ind w:left="833" w:right="0" w:hanging="243"/>
        <w:jc w:val="left"/>
        <w:rPr>
          <w:color w:val="auto"/>
          <w:sz w:val="24"/>
        </w:rPr>
      </w:pPr>
      <w:r>
        <w:rPr>
          <w:color w:val="auto"/>
          <w:spacing w:val="-2"/>
          <w:sz w:val="24"/>
        </w:rPr>
        <w:t xml:space="preserve">【较轻】为无照经营提供场所、保管、仓储等条件时间在 </w:t>
      </w:r>
      <w:r>
        <w:rPr>
          <w:color w:val="auto"/>
          <w:sz w:val="24"/>
        </w:rPr>
        <w:t>30</w:t>
      </w:r>
      <w:r>
        <w:rPr>
          <w:color w:val="auto"/>
          <w:spacing w:val="-8"/>
          <w:sz w:val="24"/>
        </w:rPr>
        <w:t xml:space="preserve"> 日以下或提供运</w:t>
      </w:r>
    </w:p>
    <w:p>
      <w:pPr>
        <w:pStyle w:val="4"/>
        <w:spacing w:before="194"/>
        <w:rPr>
          <w:color w:val="auto"/>
        </w:rPr>
      </w:pPr>
      <w:r>
        <w:rPr>
          <w:color w:val="auto"/>
        </w:rPr>
        <w:t>输 1 次，责令停止违法行为，没收违法所得，可以处 1500 元以下的罚款。</w:t>
      </w:r>
    </w:p>
    <w:p>
      <w:pPr>
        <w:pStyle w:val="13"/>
        <w:numPr>
          <w:ilvl w:val="0"/>
          <w:numId w:val="39"/>
        </w:numPr>
        <w:tabs>
          <w:tab w:val="left" w:pos="833"/>
        </w:tabs>
        <w:spacing w:before="192" w:after="0" w:line="240" w:lineRule="auto"/>
        <w:ind w:left="832" w:right="0" w:hanging="242"/>
        <w:jc w:val="left"/>
        <w:rPr>
          <w:color w:val="auto"/>
          <w:sz w:val="24"/>
        </w:rPr>
      </w:pPr>
      <w:r>
        <w:rPr>
          <w:color w:val="auto"/>
          <w:spacing w:val="-8"/>
          <w:sz w:val="24"/>
        </w:rPr>
        <w:t xml:space="preserve">【一般】为无照经营提供场所、保管、仓储等条件时间在 </w:t>
      </w:r>
      <w:r>
        <w:rPr>
          <w:color w:val="auto"/>
          <w:sz w:val="24"/>
        </w:rPr>
        <w:t>30</w:t>
      </w:r>
      <w:r>
        <w:rPr>
          <w:color w:val="auto"/>
          <w:spacing w:val="-24"/>
          <w:sz w:val="24"/>
        </w:rPr>
        <w:t xml:space="preserve"> 日以上 </w:t>
      </w:r>
      <w:r>
        <w:rPr>
          <w:color w:val="auto"/>
          <w:sz w:val="24"/>
        </w:rPr>
        <w:t>90</w:t>
      </w:r>
      <w:r>
        <w:rPr>
          <w:color w:val="auto"/>
          <w:spacing w:val="-15"/>
          <w:sz w:val="24"/>
        </w:rPr>
        <w:t xml:space="preserve"> 日以下</w:t>
      </w:r>
    </w:p>
    <w:p>
      <w:pPr>
        <w:pStyle w:val="4"/>
        <w:spacing w:before="191" w:line="391" w:lineRule="auto"/>
        <w:ind w:right="268"/>
        <w:rPr>
          <w:color w:val="auto"/>
        </w:rPr>
      </w:pPr>
      <w:r>
        <w:rPr>
          <w:color w:val="auto"/>
          <w:spacing w:val="-10"/>
        </w:rPr>
        <w:t xml:space="preserve">或提供运输 </w:t>
      </w:r>
      <w:r>
        <w:rPr>
          <w:color w:val="auto"/>
        </w:rPr>
        <w:t>2</w:t>
      </w:r>
      <w:r>
        <w:rPr>
          <w:color w:val="auto"/>
          <w:spacing w:val="-14"/>
        </w:rPr>
        <w:t xml:space="preserve"> 次，责令停止违法行为，没收违法所得，可以处 </w:t>
      </w:r>
      <w:r>
        <w:rPr>
          <w:color w:val="auto"/>
        </w:rPr>
        <w:t>1500</w:t>
      </w:r>
      <w:r>
        <w:rPr>
          <w:color w:val="auto"/>
          <w:spacing w:val="-24"/>
        </w:rPr>
        <w:t xml:space="preserve"> 元以上 </w:t>
      </w:r>
      <w:r>
        <w:rPr>
          <w:color w:val="auto"/>
        </w:rPr>
        <w:t>3500</w:t>
      </w:r>
      <w:r>
        <w:rPr>
          <w:color w:val="auto"/>
          <w:spacing w:val="-26"/>
        </w:rPr>
        <w:t xml:space="preserve"> 元以</w:t>
      </w:r>
      <w:r>
        <w:rPr>
          <w:color w:val="auto"/>
        </w:rPr>
        <w:t>下的罚款。</w:t>
      </w:r>
    </w:p>
    <w:p>
      <w:pPr>
        <w:pStyle w:val="13"/>
        <w:numPr>
          <w:ilvl w:val="0"/>
          <w:numId w:val="39"/>
        </w:numPr>
        <w:tabs>
          <w:tab w:val="left" w:pos="834"/>
        </w:tabs>
        <w:spacing w:before="0" w:after="0" w:line="306" w:lineRule="exact"/>
        <w:ind w:left="833" w:right="0" w:hanging="243"/>
        <w:jc w:val="left"/>
        <w:rPr>
          <w:color w:val="auto"/>
          <w:sz w:val="24"/>
        </w:rPr>
      </w:pPr>
      <w:r>
        <w:rPr>
          <w:color w:val="auto"/>
          <w:spacing w:val="-2"/>
          <w:sz w:val="24"/>
        </w:rPr>
        <w:t xml:space="preserve">【严重】为无照经营提供场所、保管、仓储等条件时间在 </w:t>
      </w:r>
      <w:r>
        <w:rPr>
          <w:color w:val="auto"/>
          <w:sz w:val="24"/>
        </w:rPr>
        <w:t>90</w:t>
      </w:r>
      <w:r>
        <w:rPr>
          <w:color w:val="auto"/>
          <w:spacing w:val="-8"/>
          <w:sz w:val="24"/>
        </w:rPr>
        <w:t xml:space="preserve"> 日以上或提供运</w:t>
      </w:r>
    </w:p>
    <w:p>
      <w:pPr>
        <w:pStyle w:val="4"/>
        <w:spacing w:before="192" w:line="391" w:lineRule="auto"/>
        <w:ind w:right="268"/>
        <w:rPr>
          <w:color w:val="auto"/>
        </w:rPr>
      </w:pPr>
      <w:r>
        <w:rPr>
          <w:color w:val="auto"/>
          <w:spacing w:val="-30"/>
        </w:rPr>
        <w:t xml:space="preserve">输 </w:t>
      </w:r>
      <w:r>
        <w:rPr>
          <w:color w:val="auto"/>
        </w:rPr>
        <w:t>2</w:t>
      </w:r>
      <w:r>
        <w:rPr>
          <w:color w:val="auto"/>
          <w:spacing w:val="-13"/>
        </w:rPr>
        <w:t xml:space="preserve"> 次以上的，责令停止违法行为，没收违法所得，可以处 </w:t>
      </w:r>
      <w:r>
        <w:rPr>
          <w:color w:val="auto"/>
        </w:rPr>
        <w:t>3500</w:t>
      </w:r>
      <w:r>
        <w:rPr>
          <w:color w:val="auto"/>
          <w:spacing w:val="-24"/>
        </w:rPr>
        <w:t xml:space="preserve"> 元以上 </w:t>
      </w:r>
      <w:r>
        <w:rPr>
          <w:color w:val="auto"/>
        </w:rPr>
        <w:t>5000</w:t>
      </w:r>
      <w:r>
        <w:rPr>
          <w:color w:val="auto"/>
          <w:spacing w:val="-20"/>
        </w:rPr>
        <w:t xml:space="preserve"> 元以下</w:t>
      </w:r>
      <w:r>
        <w:rPr>
          <w:color w:val="auto"/>
        </w:rPr>
        <w:t>的罚款。</w:t>
      </w:r>
    </w:p>
    <w:p>
      <w:pPr>
        <w:pStyle w:val="2"/>
        <w:spacing w:line="306" w:lineRule="exact"/>
        <w:rPr>
          <w:color w:val="auto"/>
        </w:rPr>
      </w:pPr>
      <w:bookmarkStart w:id="129" w:name="六十四、擅自设立从事出版物印刷经营活动的企业或者擅自从事印刷经营活动"/>
      <w:bookmarkEnd w:id="129"/>
      <w:bookmarkStart w:id="130" w:name="_bookmark64"/>
      <w:bookmarkEnd w:id="130"/>
      <w:r>
        <w:rPr>
          <w:color w:val="auto"/>
        </w:rPr>
        <w:t>六十四、擅自设立从事出版物印刷经营活动的企业或者擅自从事印刷经营活动</w:t>
      </w:r>
    </w:p>
    <w:p>
      <w:pPr>
        <w:spacing w:before="192"/>
        <w:ind w:left="591" w:right="0" w:firstLine="0"/>
        <w:jc w:val="left"/>
        <w:rPr>
          <w:b/>
          <w:color w:val="auto"/>
          <w:sz w:val="24"/>
        </w:rPr>
      </w:pPr>
      <w:r>
        <w:rPr>
          <w:b/>
          <w:color w:val="auto"/>
          <w:sz w:val="24"/>
        </w:rPr>
        <w:t>（一）处罚依据</w:t>
      </w:r>
    </w:p>
    <w:p>
      <w:pPr>
        <w:pStyle w:val="4"/>
        <w:spacing w:before="194" w:line="391" w:lineRule="auto"/>
        <w:ind w:right="232" w:firstLine="480"/>
        <w:jc w:val="both"/>
        <w:rPr>
          <w:color w:val="auto"/>
        </w:rPr>
      </w:pPr>
      <w:r>
        <w:rPr>
          <w:color w:val="auto"/>
        </w:rPr>
        <w:t>《印刷业管理条例》第三十六条 违反本条例规定，擅自设立从事出版物印刷经</w:t>
      </w:r>
      <w:r>
        <w:rPr>
          <w:color w:val="auto"/>
          <w:spacing w:val="-2"/>
        </w:rPr>
        <w:t>营活动的企业或者擅自从事印刷经营活动的，由出版行政部门、工商行政管理部门依</w:t>
      </w:r>
      <w:r>
        <w:rPr>
          <w:color w:val="auto"/>
          <w:spacing w:val="-3"/>
        </w:rPr>
        <w:t xml:space="preserve">据法定职权予以取缔，没收印刷品和违法所得以及进行违法活动的专用工具、设备， </w:t>
      </w:r>
      <w:r>
        <w:rPr>
          <w:color w:val="auto"/>
          <w:spacing w:val="-9"/>
        </w:rPr>
        <w:t xml:space="preserve">违法经营额 </w:t>
      </w:r>
      <w:r>
        <w:rPr>
          <w:color w:val="auto"/>
        </w:rPr>
        <w:t>1</w:t>
      </w:r>
      <w:r>
        <w:rPr>
          <w:color w:val="auto"/>
          <w:spacing w:val="-10"/>
        </w:rPr>
        <w:t xml:space="preserve"> 万元以上的，并处违法经营额 </w:t>
      </w:r>
      <w:r>
        <w:rPr>
          <w:color w:val="auto"/>
        </w:rPr>
        <w:t>5</w:t>
      </w:r>
      <w:r>
        <w:rPr>
          <w:color w:val="auto"/>
          <w:spacing w:val="-21"/>
        </w:rPr>
        <w:t xml:space="preserve"> 倍以上 </w:t>
      </w:r>
      <w:r>
        <w:rPr>
          <w:color w:val="auto"/>
        </w:rPr>
        <w:t>10</w:t>
      </w:r>
      <w:r>
        <w:rPr>
          <w:color w:val="auto"/>
          <w:spacing w:val="-7"/>
        </w:rPr>
        <w:t xml:space="preserve"> 倍以下的罚款；违法经营额</w:t>
      </w:r>
    </w:p>
    <w:p>
      <w:pPr>
        <w:pStyle w:val="4"/>
        <w:spacing w:line="388" w:lineRule="auto"/>
        <w:ind w:left="591" w:right="148" w:hanging="480"/>
        <w:jc w:val="both"/>
        <w:rPr>
          <w:color w:val="auto"/>
        </w:rPr>
      </w:pPr>
      <w:r>
        <w:rPr>
          <w:color w:val="auto"/>
          <w:spacing w:val="-20"/>
        </w:rPr>
        <w:t xml:space="preserve">不足 </w:t>
      </w:r>
      <w:r>
        <w:rPr>
          <w:color w:val="auto"/>
        </w:rPr>
        <w:t>1</w:t>
      </w:r>
      <w:r>
        <w:rPr>
          <w:color w:val="auto"/>
          <w:spacing w:val="-24"/>
        </w:rPr>
        <w:t xml:space="preserve"> 万元的，并处 </w:t>
      </w:r>
      <w:r>
        <w:rPr>
          <w:color w:val="auto"/>
        </w:rPr>
        <w:t>1</w:t>
      </w:r>
      <w:r>
        <w:rPr>
          <w:color w:val="auto"/>
          <w:spacing w:val="-20"/>
        </w:rPr>
        <w:t xml:space="preserve"> 万元以上 </w:t>
      </w:r>
      <w:r>
        <w:rPr>
          <w:color w:val="auto"/>
        </w:rPr>
        <w:t>5</w:t>
      </w:r>
      <w:r>
        <w:rPr>
          <w:color w:val="auto"/>
          <w:spacing w:val="-15"/>
        </w:rPr>
        <w:t xml:space="preserve"> 万元以下的罚款；构成犯罪的，依法追究刑事责任。</w:t>
      </w:r>
      <w:r>
        <w:rPr>
          <w:color w:val="auto"/>
          <w:spacing w:val="-2"/>
        </w:rPr>
        <w:t>单位内部设立的印刷厂(所)未依照本条例第二章的规定办理手续，从事印刷经营</w:t>
      </w:r>
    </w:p>
    <w:p>
      <w:pPr>
        <w:pStyle w:val="4"/>
        <w:spacing w:before="39"/>
        <w:rPr>
          <w:color w:val="auto"/>
        </w:rPr>
      </w:pPr>
      <w:r>
        <w:rPr>
          <w:color w:val="auto"/>
        </w:rPr>
        <w:t>活动的，依照前款的规定处罚。</w:t>
      </w:r>
    </w:p>
    <w:p>
      <w:pPr>
        <w:pStyle w:val="2"/>
        <w:spacing w:before="195"/>
        <w:rPr>
          <w:color w:val="auto"/>
        </w:rPr>
      </w:pPr>
      <w:r>
        <w:rPr>
          <w:color w:val="auto"/>
        </w:rPr>
        <w:t>（二）裁量标准</w:t>
      </w:r>
    </w:p>
    <w:p>
      <w:pPr>
        <w:pStyle w:val="4"/>
        <w:spacing w:before="191"/>
        <w:ind w:left="591"/>
        <w:rPr>
          <w:color w:val="auto"/>
        </w:rPr>
      </w:pPr>
      <w:r>
        <w:rPr>
          <w:color w:val="auto"/>
        </w:rPr>
        <w:t>1、违法经营额不足一万元</w:t>
      </w:r>
    </w:p>
    <w:p>
      <w:pPr>
        <w:pStyle w:val="4"/>
        <w:spacing w:before="192"/>
        <w:ind w:left="591"/>
        <w:rPr>
          <w:color w:val="auto"/>
        </w:rPr>
      </w:pPr>
      <w:r>
        <w:rPr>
          <w:color w:val="auto"/>
        </w:rPr>
        <w:t>【较轻】</w:t>
      </w:r>
    </w:p>
    <w:p>
      <w:pPr>
        <w:pStyle w:val="4"/>
        <w:spacing w:before="194" w:line="388" w:lineRule="auto"/>
        <w:ind w:left="216" w:right="221" w:firstLine="360"/>
        <w:rPr>
          <w:color w:val="auto"/>
        </w:rPr>
      </w:pPr>
      <w:r>
        <w:rPr>
          <w:color w:val="auto"/>
        </w:rPr>
        <w:t>违法经营额三千元以下的，予以取缔，没收印刷品和违法所得以及进行违法活动的专用工具、设备，并处一万元以上二万元以下的罚款。</w:t>
      </w:r>
    </w:p>
    <w:p>
      <w:pPr>
        <w:pStyle w:val="4"/>
        <w:spacing w:before="2"/>
        <w:ind w:left="591"/>
        <w:rPr>
          <w:color w:val="auto"/>
        </w:rPr>
      </w:pPr>
      <w:r>
        <w:rPr>
          <w:color w:val="auto"/>
        </w:rPr>
        <w:t>【一般】</w:t>
      </w:r>
    </w:p>
    <w:p>
      <w:pPr>
        <w:pStyle w:val="4"/>
        <w:spacing w:before="194" w:line="388" w:lineRule="auto"/>
        <w:ind w:left="216" w:right="221" w:firstLine="360"/>
        <w:rPr>
          <w:color w:val="auto"/>
        </w:rPr>
      </w:pPr>
      <w:r>
        <w:rPr>
          <w:color w:val="auto"/>
        </w:rPr>
        <w:t>违法经营额三千元以上七千元以下的，予以取缔，没收印刷品和违法所得以及进行违法活动的专用工具、设备，并处二万元以上三万五千元以下的罚款。</w:t>
      </w:r>
    </w:p>
    <w:p>
      <w:pPr>
        <w:pStyle w:val="4"/>
        <w:spacing w:before="2"/>
        <w:ind w:left="591"/>
        <w:rPr>
          <w:color w:val="auto"/>
        </w:rPr>
      </w:pPr>
      <w:r>
        <w:rPr>
          <w:color w:val="auto"/>
        </w:rPr>
        <w:t>【严重】</w:t>
      </w:r>
    </w:p>
    <w:p>
      <w:pPr>
        <w:pStyle w:val="4"/>
        <w:spacing w:before="195" w:line="388" w:lineRule="auto"/>
        <w:ind w:right="213" w:firstLine="480"/>
        <w:rPr>
          <w:color w:val="auto"/>
        </w:rPr>
      </w:pPr>
      <w:r>
        <w:rPr>
          <w:color w:val="auto"/>
        </w:rPr>
        <w:t>违法经营额七千元以上一万元以下的，予以取缔，没收印刷品和违法所得以及进行违法活动的专用工具、设备，并处三万五千元以上五万元以下的罚款。</w:t>
      </w:r>
    </w:p>
    <w:p>
      <w:pPr>
        <w:pStyle w:val="4"/>
        <w:spacing w:before="2"/>
        <w:ind w:left="591"/>
        <w:rPr>
          <w:color w:val="auto"/>
        </w:rPr>
      </w:pPr>
      <w:r>
        <w:rPr>
          <w:color w:val="auto"/>
        </w:rPr>
        <w:t>2、违法经营额一万元以上</w:t>
      </w:r>
    </w:p>
    <w:p>
      <w:pPr>
        <w:pStyle w:val="4"/>
        <w:spacing w:before="194"/>
        <w:ind w:left="591"/>
        <w:rPr>
          <w:color w:val="auto"/>
        </w:rPr>
      </w:pPr>
      <w:r>
        <w:rPr>
          <w:color w:val="auto"/>
        </w:rPr>
        <w:t>【较轻】</w:t>
      </w:r>
    </w:p>
    <w:p>
      <w:pPr>
        <w:pStyle w:val="4"/>
        <w:spacing w:before="191" w:line="388" w:lineRule="auto"/>
        <w:ind w:right="213" w:firstLine="480"/>
        <w:rPr>
          <w:color w:val="auto"/>
        </w:rPr>
      </w:pPr>
      <w:r>
        <w:rPr>
          <w:color w:val="auto"/>
        </w:rPr>
        <w:t>违法经营额一万元以上三万元以下的，予以取缔，没收印刷品和违法所得以及进行违法活动的专用工具、设备，并处违法经营额五倍以上七倍以下的罚款。</w:t>
      </w:r>
    </w:p>
    <w:p>
      <w:pPr>
        <w:pStyle w:val="4"/>
        <w:spacing w:before="5"/>
        <w:ind w:left="591"/>
        <w:rPr>
          <w:color w:val="auto"/>
        </w:rPr>
      </w:pPr>
      <w:r>
        <w:rPr>
          <w:color w:val="auto"/>
        </w:rPr>
        <w:t>【一般】</w:t>
      </w:r>
    </w:p>
    <w:p>
      <w:pPr>
        <w:pStyle w:val="4"/>
        <w:spacing w:before="192" w:line="388" w:lineRule="auto"/>
        <w:ind w:right="213" w:firstLine="480"/>
        <w:rPr>
          <w:color w:val="auto"/>
        </w:rPr>
      </w:pPr>
      <w:r>
        <w:rPr>
          <w:color w:val="auto"/>
        </w:rPr>
        <w:t>违法经营额三万元以上十万元以下的，予以取缔，没收印刷品和违法所得以及进行违法活动的专用工具、设备，并处违法经营额七倍以上九倍以下的罚款。</w:t>
      </w:r>
    </w:p>
    <w:p>
      <w:pPr>
        <w:pStyle w:val="4"/>
        <w:spacing w:before="4"/>
        <w:ind w:left="591"/>
        <w:rPr>
          <w:color w:val="auto"/>
        </w:rPr>
      </w:pPr>
      <w:r>
        <w:rPr>
          <w:color w:val="auto"/>
        </w:rPr>
        <w:t>【严重】</w:t>
      </w:r>
    </w:p>
    <w:p>
      <w:pPr>
        <w:pStyle w:val="4"/>
        <w:spacing w:before="192" w:line="388" w:lineRule="auto"/>
        <w:ind w:right="213" w:firstLine="480"/>
        <w:rPr>
          <w:color w:val="auto"/>
        </w:rPr>
      </w:pPr>
      <w:r>
        <w:rPr>
          <w:color w:val="auto"/>
        </w:rPr>
        <w:t>违法经营额十万元以上的，予以取缔，没收印刷品和违法所得以及进行违法活动的专用工具、设备，并处违法经营额九倍以上十倍以下的罚款。</w:t>
      </w:r>
    </w:p>
    <w:p>
      <w:pPr>
        <w:pStyle w:val="2"/>
        <w:spacing w:before="4" w:line="388" w:lineRule="auto"/>
        <w:ind w:left="111" w:right="170" w:firstLine="480"/>
        <w:rPr>
          <w:color w:val="auto"/>
        </w:rPr>
      </w:pPr>
      <w:bookmarkStart w:id="131" w:name="六十五、擅自设立音像制品出版、进口单位或者擅自从事音像制品出版、制作、复制业务或"/>
      <w:bookmarkEnd w:id="131"/>
      <w:bookmarkStart w:id="132" w:name="_bookmark65"/>
      <w:bookmarkEnd w:id="132"/>
      <w:r>
        <w:rPr>
          <w:color w:val="auto"/>
        </w:rPr>
        <w:t>六十五、擅自设立音像制品出版、进口单位或者擅自从事音像制品出版、制作、复制业务或者进口、批发、零售经营活动</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《音像制品管理条例》第三十九条 未经批准，擅自设立音像制品出版、进口单</w:t>
      </w:r>
      <w:r>
        <w:rPr>
          <w:color w:val="auto"/>
          <w:spacing w:val="-7"/>
        </w:rPr>
        <w:t>位，擅自从事音像制品出版、制作、复制业务或者进口、批发、零售经营活动的，由</w:t>
      </w:r>
      <w:r>
        <w:rPr>
          <w:color w:val="auto"/>
          <w:spacing w:val="-5"/>
        </w:rPr>
        <w:t>出版行政主管部门、工商行政管理部门依照法定职权予以取缔；依照刑法关于非法经</w:t>
      </w:r>
    </w:p>
    <w:p>
      <w:pPr>
        <w:pStyle w:val="4"/>
        <w:spacing w:before="39" w:line="391" w:lineRule="auto"/>
        <w:ind w:right="268"/>
        <w:rPr>
          <w:color w:val="auto"/>
        </w:rPr>
      </w:pPr>
      <w:r>
        <w:rPr>
          <w:color w:val="auto"/>
          <w:spacing w:val="-5"/>
        </w:rPr>
        <w:t xml:space="preserve">营罪的规定，依法追究刑事责任；尚不够刑事处罚的，没收违法经营的音像制品和违法所得以及进行违法活动的专用工具、设备；违法经营额 </w:t>
      </w:r>
      <w:r>
        <w:rPr>
          <w:color w:val="auto"/>
        </w:rPr>
        <w:t>1</w:t>
      </w:r>
      <w:r>
        <w:rPr>
          <w:color w:val="auto"/>
          <w:spacing w:val="-10"/>
        </w:rPr>
        <w:t xml:space="preserve"> 万元以上的，并处违法经</w:t>
      </w:r>
    </w:p>
    <w:p>
      <w:pPr>
        <w:pStyle w:val="4"/>
        <w:spacing w:line="388" w:lineRule="auto"/>
        <w:ind w:right="271"/>
        <w:rPr>
          <w:color w:val="auto"/>
        </w:rPr>
      </w:pPr>
      <w:r>
        <w:rPr>
          <w:color w:val="auto"/>
          <w:spacing w:val="-18"/>
        </w:rPr>
        <w:t xml:space="preserve">营额 </w:t>
      </w:r>
      <w:r>
        <w:rPr>
          <w:color w:val="auto"/>
        </w:rPr>
        <w:t>5</w:t>
      </w:r>
      <w:r>
        <w:rPr>
          <w:color w:val="auto"/>
          <w:spacing w:val="-22"/>
        </w:rPr>
        <w:t xml:space="preserve"> 倍以上 </w:t>
      </w:r>
      <w:r>
        <w:rPr>
          <w:color w:val="auto"/>
        </w:rPr>
        <w:t>10</w:t>
      </w:r>
      <w:r>
        <w:rPr>
          <w:color w:val="auto"/>
          <w:spacing w:val="-11"/>
        </w:rPr>
        <w:t xml:space="preserve"> 倍以下的罚款；违法经营额不足 </w:t>
      </w:r>
      <w:r>
        <w:rPr>
          <w:color w:val="auto"/>
        </w:rPr>
        <w:t>1</w:t>
      </w:r>
      <w:r>
        <w:rPr>
          <w:color w:val="auto"/>
          <w:spacing w:val="-13"/>
        </w:rPr>
        <w:t xml:space="preserve"> 万元的，可以处 </w:t>
      </w:r>
      <w:r>
        <w:rPr>
          <w:color w:val="auto"/>
        </w:rPr>
        <w:t>5</w:t>
      </w:r>
      <w:r>
        <w:rPr>
          <w:color w:val="auto"/>
          <w:spacing w:val="-9"/>
        </w:rPr>
        <w:t xml:space="preserve"> 万元以下的罚款。</w:t>
      </w:r>
    </w:p>
    <w:p>
      <w:pPr>
        <w:pStyle w:val="2"/>
        <w:spacing w:before="3"/>
        <w:rPr>
          <w:color w:val="auto"/>
        </w:rPr>
      </w:pPr>
      <w:r>
        <w:rPr>
          <w:color w:val="auto"/>
        </w:rPr>
        <w:t>（二）裁量标准</w:t>
      </w:r>
    </w:p>
    <w:p>
      <w:pPr>
        <w:pStyle w:val="4"/>
        <w:spacing w:before="192"/>
        <w:ind w:left="591"/>
        <w:rPr>
          <w:color w:val="auto"/>
        </w:rPr>
      </w:pPr>
      <w:r>
        <w:rPr>
          <w:color w:val="auto"/>
        </w:rPr>
        <w:t>1、违法经营额不足一万元</w:t>
      </w:r>
    </w:p>
    <w:p>
      <w:pPr>
        <w:pStyle w:val="4"/>
        <w:spacing w:before="192"/>
        <w:ind w:left="591"/>
        <w:rPr>
          <w:color w:val="auto"/>
        </w:rPr>
      </w:pPr>
      <w:r>
        <w:rPr>
          <w:color w:val="auto"/>
        </w:rPr>
        <w:t>【较轻】</w:t>
      </w:r>
    </w:p>
    <w:p>
      <w:pPr>
        <w:pStyle w:val="4"/>
        <w:spacing w:before="194" w:line="388" w:lineRule="auto"/>
        <w:ind w:left="216" w:right="221" w:firstLine="360"/>
        <w:rPr>
          <w:color w:val="auto"/>
        </w:rPr>
      </w:pPr>
      <w:r>
        <w:rPr>
          <w:color w:val="auto"/>
        </w:rPr>
        <w:t>违法经营额三千元以下的，予以取缔，没收违法经营的音像制品和违法所得以及进行违法活动的专用工具、设备，并处一万元以上二万元以下的罚款。</w:t>
      </w:r>
    </w:p>
    <w:p>
      <w:pPr>
        <w:pStyle w:val="4"/>
        <w:spacing w:before="2"/>
        <w:ind w:left="591"/>
        <w:rPr>
          <w:color w:val="auto"/>
        </w:rPr>
      </w:pPr>
      <w:r>
        <w:rPr>
          <w:color w:val="auto"/>
        </w:rPr>
        <w:t>【一般】</w:t>
      </w:r>
    </w:p>
    <w:p>
      <w:pPr>
        <w:pStyle w:val="4"/>
        <w:spacing w:before="194" w:line="388" w:lineRule="auto"/>
        <w:ind w:left="216" w:right="268" w:firstLine="360"/>
        <w:jc w:val="both"/>
        <w:rPr>
          <w:color w:val="auto"/>
        </w:rPr>
      </w:pPr>
      <w:r>
        <w:rPr>
          <w:color w:val="auto"/>
          <w:spacing w:val="-3"/>
        </w:rPr>
        <w:t>违法经营额三千元以上七千元以下的，予以取缔，没收违法经营的音像制品和违</w:t>
      </w:r>
      <w:r>
        <w:rPr>
          <w:color w:val="auto"/>
        </w:rPr>
        <w:t>法所得以及进行违法活动的专用工具、设备，并处二万元以上三万五千元以下的罚款。</w:t>
      </w:r>
    </w:p>
    <w:p>
      <w:pPr>
        <w:pStyle w:val="4"/>
        <w:spacing w:before="6"/>
        <w:ind w:left="591"/>
        <w:rPr>
          <w:color w:val="auto"/>
        </w:rPr>
      </w:pPr>
      <w:r>
        <w:rPr>
          <w:color w:val="auto"/>
        </w:rPr>
        <w:t>【严重】</w:t>
      </w:r>
    </w:p>
    <w:p>
      <w:pPr>
        <w:pStyle w:val="4"/>
        <w:spacing w:before="191" w:line="388" w:lineRule="auto"/>
        <w:ind w:right="148" w:firstLine="480"/>
        <w:rPr>
          <w:color w:val="auto"/>
        </w:rPr>
      </w:pPr>
      <w:r>
        <w:rPr>
          <w:color w:val="auto"/>
          <w:spacing w:val="-3"/>
        </w:rPr>
        <w:t>违法经营额七千元以上一万元以下的，予以取缔，没收违法经营的音像制品和违</w:t>
      </w:r>
      <w:r>
        <w:rPr>
          <w:color w:val="auto"/>
          <w:spacing w:val="-13"/>
        </w:rPr>
        <w:t>法所得以及进行违法活动的专用工具、设备，并处三万五千元以上五万元以下的罚款。</w:t>
      </w:r>
    </w:p>
    <w:p>
      <w:pPr>
        <w:pStyle w:val="4"/>
        <w:spacing w:before="5"/>
        <w:ind w:left="591"/>
        <w:rPr>
          <w:color w:val="auto"/>
        </w:rPr>
      </w:pPr>
      <w:r>
        <w:rPr>
          <w:color w:val="auto"/>
        </w:rPr>
        <w:t>2、违法经营额一万元以上</w:t>
      </w:r>
    </w:p>
    <w:p>
      <w:pPr>
        <w:pStyle w:val="4"/>
        <w:spacing w:before="191"/>
        <w:ind w:left="591"/>
        <w:rPr>
          <w:color w:val="auto"/>
        </w:rPr>
      </w:pPr>
      <w:r>
        <w:rPr>
          <w:color w:val="auto"/>
        </w:rPr>
        <w:t>【较轻】</w:t>
      </w:r>
    </w:p>
    <w:p>
      <w:pPr>
        <w:pStyle w:val="4"/>
        <w:spacing w:before="192" w:line="391" w:lineRule="auto"/>
        <w:ind w:right="268" w:firstLine="480"/>
        <w:jc w:val="both"/>
        <w:rPr>
          <w:color w:val="auto"/>
        </w:rPr>
      </w:pPr>
      <w:r>
        <w:rPr>
          <w:color w:val="auto"/>
          <w:spacing w:val="-4"/>
        </w:rPr>
        <w:t>违法经营额一万元以上三万元以下的，予以取缔，没收违法经营的音像制品和违法所得以及进行违法活动的专用工具、设备，并处违法经营额五倍以上七倍以下的罚</w:t>
      </w:r>
      <w:r>
        <w:rPr>
          <w:color w:val="auto"/>
        </w:rPr>
        <w:t>款。</w:t>
      </w:r>
    </w:p>
    <w:p>
      <w:pPr>
        <w:pStyle w:val="4"/>
        <w:spacing w:line="304" w:lineRule="exact"/>
        <w:ind w:left="591"/>
        <w:rPr>
          <w:color w:val="auto"/>
        </w:rPr>
      </w:pPr>
      <w:r>
        <w:rPr>
          <w:color w:val="auto"/>
        </w:rPr>
        <w:t>【一般】</w:t>
      </w:r>
    </w:p>
    <w:p>
      <w:pPr>
        <w:pStyle w:val="4"/>
        <w:spacing w:before="194" w:line="388" w:lineRule="auto"/>
        <w:ind w:right="268" w:firstLine="480"/>
        <w:jc w:val="both"/>
        <w:rPr>
          <w:color w:val="auto"/>
        </w:rPr>
      </w:pPr>
      <w:r>
        <w:rPr>
          <w:color w:val="auto"/>
          <w:spacing w:val="-4"/>
        </w:rPr>
        <w:t>违法经营额三万元以上十万元以下的，予以取缔，没收违法经营的音像制品和违法所得以及进行违法活动的专用工具、设备，并处违法经营额七倍以上九倍以下的罚</w:t>
      </w:r>
      <w:r>
        <w:rPr>
          <w:color w:val="auto"/>
        </w:rPr>
        <w:t>款。</w:t>
      </w:r>
    </w:p>
    <w:p>
      <w:pPr>
        <w:pStyle w:val="4"/>
        <w:spacing w:before="6"/>
        <w:ind w:left="591"/>
        <w:rPr>
          <w:color w:val="auto"/>
        </w:rPr>
      </w:pPr>
      <w:r>
        <w:rPr>
          <w:color w:val="auto"/>
        </w:rPr>
        <w:t>【严重】</w:t>
      </w:r>
    </w:p>
    <w:p>
      <w:pPr>
        <w:pStyle w:val="4"/>
        <w:spacing w:before="192" w:line="388" w:lineRule="auto"/>
        <w:ind w:right="213" w:firstLine="480"/>
        <w:rPr>
          <w:color w:val="auto"/>
        </w:rPr>
      </w:pPr>
      <w:r>
        <w:rPr>
          <w:color w:val="auto"/>
        </w:rPr>
        <w:t>违法经营额十万元以上的，予以取缔，没收违法经营的音像制品和违法所得以及进行违法活动的专用工具、设备，并处违法经营额九倍以上十倍以下的罚款。</w:t>
      </w:r>
      <w:bookmarkStart w:id="133" w:name="六十六、擅自设立出版物的出版、印刷或者复制、进口单位，或者擅自从事出版物的出版、"/>
      <w:bookmarkEnd w:id="133"/>
      <w:bookmarkStart w:id="134" w:name="_bookmark66"/>
      <w:bookmarkEnd w:id="134"/>
      <w:r>
        <w:rPr>
          <w:color w:val="auto"/>
          <w:spacing w:val="-7"/>
        </w:rPr>
        <w:t>六十六、擅自设立出版物的出版、印刷或者复制、进口单位，或者擅自从事出版物的出版、印刷或者复制、进口、发行业务</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《出版管理条例》第六十一条 未经批准，擅自设立出版物的出版、印刷或者复</w:t>
      </w:r>
      <w:r>
        <w:rPr>
          <w:color w:val="auto"/>
          <w:spacing w:val="-6"/>
        </w:rPr>
        <w:t>制、进口单位，或者擅自从事出版物的出版、印刷或者复制、进口、发行业务，假冒出版单位名称或者伪造、假冒报纸、期刊名称出版出版物的，由出版行政主管部门、</w:t>
      </w:r>
      <w:r>
        <w:rPr>
          <w:color w:val="auto"/>
          <w:spacing w:val="-8"/>
        </w:rPr>
        <w:t>工商行政管理部门依照法定职权予以取缔；依照刑法关于非法经营罪的规定，依法追</w:t>
      </w:r>
      <w:r>
        <w:rPr>
          <w:color w:val="auto"/>
          <w:spacing w:val="-16"/>
        </w:rPr>
        <w:t>究刑事责任；尚不够刑事处罚的，没收出版物、违法所得和从事违法活动的专用工具、</w:t>
      </w:r>
      <w:r>
        <w:rPr>
          <w:color w:val="auto"/>
          <w:spacing w:val="-6"/>
        </w:rPr>
        <w:t xml:space="preserve">设备，违法经营额 </w:t>
      </w:r>
      <w:r>
        <w:rPr>
          <w:color w:val="auto"/>
        </w:rPr>
        <w:t>1</w:t>
      </w:r>
      <w:r>
        <w:rPr>
          <w:color w:val="auto"/>
          <w:spacing w:val="-11"/>
        </w:rPr>
        <w:t xml:space="preserve"> 万元以上的，并处违法经营额 </w:t>
      </w:r>
      <w:r>
        <w:rPr>
          <w:color w:val="auto"/>
        </w:rPr>
        <w:t>5</w:t>
      </w:r>
      <w:r>
        <w:rPr>
          <w:color w:val="auto"/>
          <w:spacing w:val="-22"/>
        </w:rPr>
        <w:t xml:space="preserve"> 倍以上 </w:t>
      </w:r>
      <w:r>
        <w:rPr>
          <w:color w:val="auto"/>
        </w:rPr>
        <w:t>10</w:t>
      </w:r>
      <w:r>
        <w:rPr>
          <w:color w:val="auto"/>
          <w:spacing w:val="-8"/>
        </w:rPr>
        <w:t xml:space="preserve"> 倍以下的罚款，违法</w:t>
      </w:r>
    </w:p>
    <w:p>
      <w:pPr>
        <w:pStyle w:val="4"/>
        <w:spacing w:line="391" w:lineRule="auto"/>
        <w:ind w:right="268"/>
        <w:rPr>
          <w:color w:val="auto"/>
        </w:rPr>
      </w:pPr>
      <w:r>
        <w:rPr>
          <w:color w:val="auto"/>
          <w:spacing w:val="-10"/>
        </w:rPr>
        <w:t xml:space="preserve">经营额不足 </w:t>
      </w:r>
      <w:r>
        <w:rPr>
          <w:color w:val="auto"/>
        </w:rPr>
        <w:t>1</w:t>
      </w:r>
      <w:r>
        <w:rPr>
          <w:color w:val="auto"/>
          <w:spacing w:val="-17"/>
        </w:rPr>
        <w:t xml:space="preserve"> 万元的，可以处 </w:t>
      </w:r>
      <w:r>
        <w:rPr>
          <w:color w:val="auto"/>
        </w:rPr>
        <w:t>5</w:t>
      </w:r>
      <w:r>
        <w:rPr>
          <w:color w:val="auto"/>
          <w:spacing w:val="-11"/>
        </w:rPr>
        <w:t xml:space="preserve"> 万元以下的罚款；侵犯他人合法权益的，依法承担民</w:t>
      </w:r>
      <w:r>
        <w:rPr>
          <w:color w:val="auto"/>
        </w:rPr>
        <w:t>事责任。</w:t>
      </w:r>
    </w:p>
    <w:p>
      <w:pPr>
        <w:pStyle w:val="2"/>
        <w:spacing w:line="306" w:lineRule="exact"/>
        <w:rPr>
          <w:color w:val="auto"/>
        </w:rPr>
      </w:pPr>
      <w:r>
        <w:rPr>
          <w:color w:val="auto"/>
        </w:rPr>
        <w:t>（二）裁量标准</w:t>
      </w:r>
    </w:p>
    <w:p>
      <w:pPr>
        <w:pStyle w:val="4"/>
        <w:spacing w:before="185"/>
        <w:ind w:left="591"/>
        <w:rPr>
          <w:color w:val="auto"/>
        </w:rPr>
      </w:pPr>
      <w:r>
        <w:rPr>
          <w:color w:val="auto"/>
        </w:rPr>
        <w:t>1、违法经营额不足一万元</w:t>
      </w:r>
    </w:p>
    <w:p>
      <w:pPr>
        <w:pStyle w:val="4"/>
        <w:spacing w:before="194"/>
        <w:ind w:left="591"/>
        <w:rPr>
          <w:color w:val="auto"/>
        </w:rPr>
      </w:pPr>
      <w:r>
        <w:rPr>
          <w:color w:val="auto"/>
        </w:rPr>
        <w:t>【较轻】</w:t>
      </w:r>
    </w:p>
    <w:p>
      <w:pPr>
        <w:pStyle w:val="4"/>
        <w:spacing w:before="191" w:line="388" w:lineRule="auto"/>
        <w:ind w:left="216" w:right="221" w:firstLine="360"/>
        <w:rPr>
          <w:color w:val="auto"/>
        </w:rPr>
      </w:pPr>
      <w:r>
        <w:rPr>
          <w:color w:val="auto"/>
        </w:rPr>
        <w:t>违法经营额三千元以下的，予以取缔，没收出版物、违法所得和从事违法活动的专用工具、设备，并处一万元以上二万元以下的罚款。</w:t>
      </w:r>
    </w:p>
    <w:p>
      <w:pPr>
        <w:pStyle w:val="4"/>
        <w:spacing w:before="5"/>
        <w:ind w:left="591"/>
        <w:rPr>
          <w:color w:val="auto"/>
        </w:rPr>
      </w:pPr>
      <w:r>
        <w:rPr>
          <w:color w:val="auto"/>
        </w:rPr>
        <w:t>【一般】</w:t>
      </w:r>
    </w:p>
    <w:p>
      <w:pPr>
        <w:pStyle w:val="4"/>
        <w:spacing w:before="192" w:line="388" w:lineRule="auto"/>
        <w:ind w:left="216" w:right="221" w:firstLine="360"/>
        <w:rPr>
          <w:color w:val="auto"/>
        </w:rPr>
      </w:pPr>
      <w:r>
        <w:rPr>
          <w:color w:val="auto"/>
        </w:rPr>
        <w:t>违法经营额三千元以上七千元以下的，予以取缔，没收出版物、违法所得和从事违法活动的专用工具、设备，并处二万元以上三万五千元以下的罚款。</w:t>
      </w:r>
    </w:p>
    <w:p>
      <w:pPr>
        <w:pStyle w:val="4"/>
        <w:spacing w:before="4"/>
        <w:ind w:left="591"/>
        <w:rPr>
          <w:color w:val="auto"/>
        </w:rPr>
      </w:pPr>
      <w:r>
        <w:rPr>
          <w:color w:val="auto"/>
        </w:rPr>
        <w:t>【严重】</w:t>
      </w:r>
    </w:p>
    <w:p>
      <w:pPr>
        <w:pStyle w:val="4"/>
        <w:spacing w:before="192" w:line="388" w:lineRule="auto"/>
        <w:ind w:right="213" w:firstLine="480"/>
        <w:rPr>
          <w:color w:val="auto"/>
        </w:rPr>
      </w:pPr>
      <w:r>
        <w:rPr>
          <w:color w:val="auto"/>
        </w:rPr>
        <w:t>违法经营额七千元以上一万元以下的，予以取缔，没收出版物、违法所得和从事违法活动的专用工具、设备，并处三万五千元以上五万元以下的罚款。</w:t>
      </w:r>
    </w:p>
    <w:p>
      <w:pPr>
        <w:pStyle w:val="4"/>
        <w:spacing w:before="4"/>
        <w:ind w:left="591"/>
        <w:rPr>
          <w:color w:val="auto"/>
        </w:rPr>
      </w:pPr>
      <w:r>
        <w:rPr>
          <w:color w:val="auto"/>
        </w:rPr>
        <w:t>2、违法经营额一万元以上</w:t>
      </w:r>
    </w:p>
    <w:p>
      <w:pPr>
        <w:pStyle w:val="4"/>
        <w:spacing w:before="192"/>
        <w:ind w:left="591"/>
        <w:rPr>
          <w:color w:val="auto"/>
        </w:rPr>
      </w:pPr>
      <w:r>
        <w:rPr>
          <w:color w:val="auto"/>
        </w:rPr>
        <w:t>【较轻】</w:t>
      </w:r>
    </w:p>
    <w:p>
      <w:pPr>
        <w:pStyle w:val="4"/>
        <w:spacing w:before="192" w:line="391" w:lineRule="auto"/>
        <w:ind w:right="213" w:firstLine="480"/>
        <w:rPr>
          <w:color w:val="auto"/>
        </w:rPr>
      </w:pPr>
      <w:r>
        <w:rPr>
          <w:color w:val="auto"/>
        </w:rPr>
        <w:t>违法经营额一万元以上三万元以下的，予以取缔，没收出版物、违法所得和从事违法活动的专用工具、设备，并处违法经营额五倍以上七倍以下的罚款。</w:t>
      </w:r>
    </w:p>
    <w:p>
      <w:pPr>
        <w:pStyle w:val="4"/>
        <w:spacing w:line="306" w:lineRule="exact"/>
        <w:ind w:left="591"/>
        <w:rPr>
          <w:color w:val="auto"/>
        </w:rPr>
      </w:pPr>
      <w:r>
        <w:rPr>
          <w:color w:val="auto"/>
        </w:rPr>
        <w:t>【一般】</w:t>
      </w:r>
    </w:p>
    <w:p>
      <w:pPr>
        <w:pStyle w:val="4"/>
        <w:spacing w:before="191"/>
        <w:ind w:left="591"/>
        <w:rPr>
          <w:color w:val="auto"/>
        </w:rPr>
      </w:pPr>
      <w:r>
        <w:rPr>
          <w:color w:val="auto"/>
        </w:rPr>
        <w:t>违法经营额三万元以上十万元以下的，予以取缔，没收出版物、违法所得和从事</w:t>
      </w:r>
    </w:p>
    <w:p>
      <w:pPr>
        <w:pStyle w:val="4"/>
        <w:spacing w:before="39"/>
        <w:rPr>
          <w:color w:val="auto"/>
        </w:rPr>
      </w:pPr>
      <w:r>
        <w:rPr>
          <w:color w:val="auto"/>
        </w:rPr>
        <w:t>违法活动的专用工具、设备，并处违法经营额七倍以上九倍以下的罚款。</w:t>
      </w:r>
    </w:p>
    <w:p>
      <w:pPr>
        <w:pStyle w:val="4"/>
        <w:spacing w:before="195"/>
        <w:ind w:left="591"/>
        <w:rPr>
          <w:color w:val="auto"/>
        </w:rPr>
      </w:pPr>
      <w:r>
        <w:rPr>
          <w:color w:val="auto"/>
        </w:rPr>
        <w:t>【严重】</w:t>
      </w:r>
    </w:p>
    <w:p>
      <w:pPr>
        <w:pStyle w:val="4"/>
        <w:spacing w:before="191" w:line="388" w:lineRule="auto"/>
        <w:ind w:right="213" w:firstLine="480"/>
        <w:rPr>
          <w:color w:val="auto"/>
        </w:rPr>
      </w:pPr>
      <w:r>
        <w:rPr>
          <w:color w:val="auto"/>
        </w:rPr>
        <w:t>违法经营额十万元以上的，予以取缔，没收出版物、违法所得和从事违法活动的专用工具、设备，并处违法经营额九倍以上十倍以下的罚款。</w:t>
      </w:r>
    </w:p>
    <w:p>
      <w:pPr>
        <w:pStyle w:val="2"/>
        <w:spacing w:before="5" w:line="388" w:lineRule="auto"/>
        <w:ind w:left="111" w:right="241" w:firstLine="480"/>
        <w:rPr>
          <w:color w:val="auto"/>
        </w:rPr>
      </w:pPr>
      <w:bookmarkStart w:id="135" w:name="六十七、擅自设立电影片的制片、发行、放映单位，或者擅自从事电影制片、进口、发行、"/>
      <w:bookmarkEnd w:id="135"/>
      <w:bookmarkStart w:id="136" w:name="_bookmark67"/>
      <w:bookmarkEnd w:id="136"/>
      <w:r>
        <w:rPr>
          <w:color w:val="auto"/>
          <w:spacing w:val="-8"/>
        </w:rPr>
        <w:t>六十七、擅自设立电影片的制片、发行、放映单位，或者擅自从事电影制片、进</w:t>
      </w:r>
      <w:r>
        <w:rPr>
          <w:color w:val="auto"/>
        </w:rPr>
        <w:t>口、发行、放映活动</w:t>
      </w:r>
    </w:p>
    <w:p>
      <w:pPr>
        <w:spacing w:before="2"/>
        <w:ind w:left="591" w:right="0" w:firstLine="0"/>
        <w:jc w:val="left"/>
        <w:rPr>
          <w:b/>
          <w:color w:val="auto"/>
          <w:sz w:val="24"/>
        </w:rPr>
      </w:pPr>
      <w:r>
        <w:rPr>
          <w:b/>
          <w:color w:val="auto"/>
          <w:w w:val="95"/>
          <w:sz w:val="24"/>
        </w:rPr>
        <w:t>（一）处罚依据</w:t>
      </w:r>
    </w:p>
    <w:p>
      <w:pPr>
        <w:pStyle w:val="4"/>
        <w:spacing w:before="194" w:line="391" w:lineRule="auto"/>
        <w:ind w:right="148" w:firstLine="480"/>
        <w:rPr>
          <w:color w:val="auto"/>
        </w:rPr>
      </w:pPr>
      <w:r>
        <w:rPr>
          <w:color w:val="auto"/>
          <w:spacing w:val="-5"/>
        </w:rPr>
        <w:t>《电影管理条例》第五十五条 违反本条例规定，擅自设立电影片的制片、发行、</w:t>
      </w:r>
      <w:r>
        <w:rPr>
          <w:color w:val="auto"/>
          <w:spacing w:val="-6"/>
        </w:rPr>
        <w:t>放映单位，或者擅自从事电影制片、进口、发行、放映活动的，由工商行政管理部门</w:t>
      </w:r>
      <w:r>
        <w:rPr>
          <w:color w:val="auto"/>
          <w:spacing w:val="-15"/>
        </w:rPr>
        <w:t xml:space="preserve">予以取缔；依照刑法关于非法经营罪的规定，依法追究刑事责任；尚不够刑事处罚的， </w:t>
      </w:r>
      <w:r>
        <w:rPr>
          <w:color w:val="auto"/>
          <w:spacing w:val="-2"/>
        </w:rPr>
        <w:t>没收违法经营的电影片和违法所得以及进行违法经营活动的专用工具、设备；违法所</w:t>
      </w:r>
      <w:r>
        <w:rPr>
          <w:color w:val="auto"/>
          <w:spacing w:val="-27"/>
        </w:rPr>
        <w:t xml:space="preserve">得 </w:t>
      </w:r>
      <w:r>
        <w:rPr>
          <w:color w:val="auto"/>
        </w:rPr>
        <w:t>5</w:t>
      </w:r>
      <w:r>
        <w:rPr>
          <w:color w:val="auto"/>
          <w:spacing w:val="-12"/>
        </w:rPr>
        <w:t xml:space="preserve"> 万元以上的，并处违法所得 </w:t>
      </w:r>
      <w:r>
        <w:rPr>
          <w:color w:val="auto"/>
        </w:rPr>
        <w:t>5</w:t>
      </w:r>
      <w:r>
        <w:rPr>
          <w:color w:val="auto"/>
          <w:spacing w:val="-21"/>
        </w:rPr>
        <w:t xml:space="preserve"> 倍以上 </w:t>
      </w:r>
      <w:r>
        <w:rPr>
          <w:color w:val="auto"/>
        </w:rPr>
        <w:t>10</w:t>
      </w:r>
      <w:r>
        <w:rPr>
          <w:color w:val="auto"/>
          <w:spacing w:val="-8"/>
        </w:rPr>
        <w:t xml:space="preserve"> 倍以下的罚款；没有违法所得或者违法</w:t>
      </w:r>
    </w:p>
    <w:p>
      <w:pPr>
        <w:pStyle w:val="4"/>
        <w:spacing w:line="300" w:lineRule="exact"/>
        <w:rPr>
          <w:color w:val="auto"/>
        </w:rPr>
      </w:pPr>
      <w:r>
        <w:rPr>
          <w:color w:val="auto"/>
        </w:rPr>
        <w:t>所得不足 5 万元的，并处 20 万元以上 50 万元以下的罚款。</w:t>
      </w:r>
    </w:p>
    <w:p>
      <w:pPr>
        <w:pStyle w:val="2"/>
        <w:spacing w:before="194"/>
        <w:rPr>
          <w:color w:val="auto"/>
        </w:rPr>
      </w:pPr>
      <w:r>
        <w:rPr>
          <w:color w:val="auto"/>
        </w:rPr>
        <w:t>（二）裁量标准</w:t>
      </w:r>
    </w:p>
    <w:p>
      <w:pPr>
        <w:pStyle w:val="4"/>
        <w:spacing w:before="192"/>
        <w:ind w:left="591"/>
        <w:rPr>
          <w:color w:val="auto"/>
        </w:rPr>
      </w:pPr>
      <w:r>
        <w:rPr>
          <w:color w:val="auto"/>
        </w:rPr>
        <w:t>1、没有违法所得或者违法所得不足五万元</w:t>
      </w:r>
    </w:p>
    <w:p>
      <w:pPr>
        <w:pStyle w:val="4"/>
        <w:spacing w:before="192"/>
        <w:ind w:left="591"/>
        <w:rPr>
          <w:color w:val="auto"/>
        </w:rPr>
      </w:pPr>
      <w:r>
        <w:rPr>
          <w:color w:val="auto"/>
        </w:rPr>
        <w:t>【较轻】</w:t>
      </w:r>
    </w:p>
    <w:p>
      <w:pPr>
        <w:pStyle w:val="4"/>
        <w:spacing w:before="194" w:line="388" w:lineRule="auto"/>
        <w:ind w:right="268" w:firstLine="480"/>
        <w:jc w:val="both"/>
        <w:rPr>
          <w:color w:val="auto"/>
        </w:rPr>
      </w:pPr>
      <w:r>
        <w:rPr>
          <w:color w:val="auto"/>
          <w:spacing w:val="-4"/>
        </w:rPr>
        <w:t>没有违法所得或者违法所得一万元以下的，予以取缔，没收违法经营的电影片和</w:t>
      </w:r>
      <w:r>
        <w:rPr>
          <w:color w:val="auto"/>
          <w:spacing w:val="-3"/>
        </w:rPr>
        <w:t>违法所得以及进行违法经营活动的专用工具、设备，并处二十万元以上三十万元以下</w:t>
      </w:r>
      <w:r>
        <w:rPr>
          <w:color w:val="auto"/>
        </w:rPr>
        <w:t>的罚款。</w:t>
      </w:r>
    </w:p>
    <w:p>
      <w:pPr>
        <w:pStyle w:val="4"/>
        <w:spacing w:before="5"/>
        <w:ind w:left="591"/>
        <w:rPr>
          <w:color w:val="auto"/>
        </w:rPr>
      </w:pPr>
      <w:r>
        <w:rPr>
          <w:color w:val="auto"/>
        </w:rPr>
        <w:t>【一般】</w:t>
      </w:r>
    </w:p>
    <w:p>
      <w:pPr>
        <w:pStyle w:val="4"/>
        <w:spacing w:before="192" w:line="388" w:lineRule="auto"/>
        <w:ind w:right="148" w:firstLine="480"/>
        <w:rPr>
          <w:color w:val="auto"/>
        </w:rPr>
      </w:pPr>
      <w:r>
        <w:rPr>
          <w:color w:val="auto"/>
          <w:spacing w:val="-3"/>
        </w:rPr>
        <w:t>违法所得一万元以上三万元以下的，予以取缔，没收违法经营的电影片和违法所</w:t>
      </w:r>
      <w:r>
        <w:rPr>
          <w:color w:val="auto"/>
          <w:spacing w:val="-13"/>
        </w:rPr>
        <w:t>得以及进行违法经营活动的专用工具、设备，并处三十万元以上四十万元以下的罚款。</w:t>
      </w:r>
    </w:p>
    <w:p>
      <w:pPr>
        <w:pStyle w:val="4"/>
        <w:spacing w:before="4"/>
        <w:ind w:left="591"/>
        <w:rPr>
          <w:color w:val="auto"/>
        </w:rPr>
      </w:pPr>
      <w:r>
        <w:rPr>
          <w:color w:val="auto"/>
        </w:rPr>
        <w:t>【严重】</w:t>
      </w:r>
    </w:p>
    <w:p>
      <w:pPr>
        <w:pStyle w:val="4"/>
        <w:spacing w:before="192" w:line="391" w:lineRule="auto"/>
        <w:ind w:right="268" w:firstLine="480"/>
        <w:jc w:val="both"/>
        <w:rPr>
          <w:color w:val="auto"/>
        </w:rPr>
      </w:pPr>
      <w:r>
        <w:rPr>
          <w:color w:val="auto"/>
          <w:spacing w:val="-4"/>
        </w:rPr>
        <w:t>违法经营额三万元以上五万元以下的，予以取缔，没收违法经营的电影片和违法所得以及进行违法经营活动的专用工具、设备，并处四十万元以上五十万元以下的罚</w:t>
      </w:r>
      <w:r>
        <w:rPr>
          <w:color w:val="auto"/>
        </w:rPr>
        <w:t>款。</w:t>
      </w:r>
    </w:p>
    <w:p>
      <w:pPr>
        <w:pStyle w:val="4"/>
        <w:spacing w:line="304" w:lineRule="exact"/>
        <w:ind w:left="591"/>
        <w:rPr>
          <w:color w:val="auto"/>
        </w:rPr>
      </w:pPr>
      <w:r>
        <w:rPr>
          <w:color w:val="auto"/>
        </w:rPr>
        <w:t>2、违法所得五万元以上的</w:t>
      </w:r>
    </w:p>
    <w:p>
      <w:pPr>
        <w:pStyle w:val="4"/>
        <w:spacing w:before="192"/>
        <w:ind w:left="591"/>
        <w:rPr>
          <w:color w:val="auto"/>
        </w:rPr>
      </w:pPr>
      <w:r>
        <w:rPr>
          <w:color w:val="auto"/>
        </w:rPr>
        <w:t>【较轻】</w:t>
      </w:r>
      <w:r>
        <w:rPr>
          <w:color w:val="auto"/>
          <w:spacing w:val="-4"/>
        </w:rPr>
        <w:t>违法经营额五万元以上十万元以下的，予以取缔，没收违法经营的电影片和违法所得以及进行违法经营活动的专用工具、设备，并处违法所得五倍以上七倍以下的罚</w:t>
      </w:r>
      <w:r>
        <w:rPr>
          <w:color w:val="auto"/>
        </w:rPr>
        <w:t>款。</w:t>
      </w:r>
    </w:p>
    <w:p>
      <w:pPr>
        <w:pStyle w:val="4"/>
        <w:spacing w:line="304" w:lineRule="exact"/>
        <w:ind w:left="591"/>
        <w:rPr>
          <w:color w:val="auto"/>
        </w:rPr>
      </w:pPr>
      <w:r>
        <w:rPr>
          <w:color w:val="auto"/>
        </w:rPr>
        <w:t>【一般】</w:t>
      </w:r>
    </w:p>
    <w:p>
      <w:pPr>
        <w:pStyle w:val="4"/>
        <w:spacing w:before="195" w:line="388" w:lineRule="auto"/>
        <w:ind w:right="268" w:firstLine="480"/>
        <w:jc w:val="both"/>
        <w:rPr>
          <w:color w:val="auto"/>
        </w:rPr>
      </w:pPr>
      <w:r>
        <w:rPr>
          <w:color w:val="auto"/>
          <w:spacing w:val="-4"/>
        </w:rPr>
        <w:t>违法经营额十万元以上三十万元以下的，予以取缔，没收违法经营的电影片和违法所得以及进行违法经营活动的专用工具、设备，并处违法经营额七倍以上九倍以下</w:t>
      </w:r>
      <w:r>
        <w:rPr>
          <w:color w:val="auto"/>
        </w:rPr>
        <w:t>的罚款。</w:t>
      </w:r>
    </w:p>
    <w:p>
      <w:pPr>
        <w:pStyle w:val="4"/>
        <w:spacing w:before="5"/>
        <w:ind w:left="591"/>
        <w:rPr>
          <w:color w:val="auto"/>
        </w:rPr>
      </w:pPr>
      <w:r>
        <w:rPr>
          <w:color w:val="auto"/>
        </w:rPr>
        <w:t>【严重】</w:t>
      </w:r>
    </w:p>
    <w:p>
      <w:pPr>
        <w:pStyle w:val="4"/>
        <w:spacing w:before="192" w:line="388" w:lineRule="auto"/>
        <w:ind w:right="213" w:firstLine="480"/>
        <w:rPr>
          <w:color w:val="auto"/>
        </w:rPr>
      </w:pPr>
      <w:r>
        <w:rPr>
          <w:color w:val="auto"/>
        </w:rPr>
        <w:t>违法经营额三十万元以上的，予以取缔，没收违法经营的电影片和违法所得以及进行违法经营活动的专用工具、设备，并处违法经营额九倍以上十倍以下的罚款。</w:t>
      </w:r>
    </w:p>
    <w:p>
      <w:pPr>
        <w:pStyle w:val="2"/>
        <w:spacing w:before="4"/>
        <w:rPr>
          <w:color w:val="auto"/>
        </w:rPr>
      </w:pPr>
      <w:bookmarkStart w:id="137" w:name="六十八、擅自从事房地产开发经营"/>
      <w:bookmarkEnd w:id="137"/>
      <w:bookmarkStart w:id="138" w:name="_bookmark68"/>
      <w:bookmarkEnd w:id="138"/>
      <w:r>
        <w:rPr>
          <w:color w:val="auto"/>
        </w:rPr>
        <w:t>六十八、擅自从事房地产开发经营</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《城市房地产开发经营管理条例》第三十三条 违反本条例规定，未取得营业执</w:t>
      </w:r>
      <w:r>
        <w:rPr>
          <w:color w:val="auto"/>
          <w:spacing w:val="-7"/>
        </w:rPr>
        <w:t>照，擅自从事房地产开发经营的，由县级以上人民政府工商行政管理部门责令停止房</w:t>
      </w:r>
      <w:r>
        <w:rPr>
          <w:color w:val="auto"/>
          <w:spacing w:val="-3"/>
        </w:rPr>
        <w:t xml:space="preserve">地产开发经营活动，没收违法所得，可以并处违法所得 </w:t>
      </w:r>
      <w:r>
        <w:rPr>
          <w:color w:val="auto"/>
        </w:rPr>
        <w:t>5</w:t>
      </w:r>
      <w:r>
        <w:rPr>
          <w:color w:val="auto"/>
          <w:spacing w:val="-8"/>
        </w:rPr>
        <w:t xml:space="preserve"> 倍以下的罚款。</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8"/>
        <w:rPr>
          <w:color w:val="auto"/>
        </w:rPr>
      </w:pPr>
      <w:r>
        <w:rPr>
          <w:color w:val="auto"/>
          <w:spacing w:val="-13"/>
        </w:rPr>
        <w:t>违法所得十万元以下的，没收违法所得，可以并处违法所得一点五倍以下的罚款。</w:t>
      </w:r>
      <w:r>
        <w:rPr>
          <w:color w:val="auto"/>
        </w:rPr>
        <w:t>2.【一般】</w:t>
      </w:r>
    </w:p>
    <w:p>
      <w:pPr>
        <w:pStyle w:val="4"/>
        <w:spacing w:line="388" w:lineRule="auto"/>
        <w:ind w:right="213" w:firstLine="480"/>
        <w:rPr>
          <w:color w:val="auto"/>
        </w:rPr>
      </w:pPr>
      <w:r>
        <w:rPr>
          <w:color w:val="auto"/>
        </w:rPr>
        <w:t>违法所得十万元以上一百万元以下的，没收违法所得，并处违法所得一点五倍以上三点五倍以下的罚款。</w:t>
      </w:r>
    </w:p>
    <w:p>
      <w:pPr>
        <w:pStyle w:val="4"/>
        <w:spacing w:before="1"/>
        <w:ind w:left="591"/>
        <w:rPr>
          <w:color w:val="auto"/>
        </w:rPr>
      </w:pPr>
      <w:r>
        <w:rPr>
          <w:color w:val="auto"/>
        </w:rPr>
        <w:t>3.【严重】</w:t>
      </w:r>
    </w:p>
    <w:p>
      <w:pPr>
        <w:pStyle w:val="4"/>
        <w:spacing w:before="194" w:line="388" w:lineRule="auto"/>
        <w:ind w:right="213" w:firstLine="480"/>
        <w:rPr>
          <w:color w:val="auto"/>
        </w:rPr>
      </w:pPr>
      <w:r>
        <w:rPr>
          <w:color w:val="auto"/>
        </w:rPr>
        <w:t>违法所得一百万元以上的，没收违法所得，并处违法所得三点五倍以上五倍以下的罚款。</w:t>
      </w:r>
    </w:p>
    <w:p>
      <w:pPr>
        <w:pStyle w:val="2"/>
        <w:spacing w:before="2"/>
        <w:rPr>
          <w:color w:val="auto"/>
        </w:rPr>
      </w:pPr>
      <w:bookmarkStart w:id="139" w:name="_bookmark69"/>
      <w:bookmarkEnd w:id="139"/>
      <w:bookmarkStart w:id="140" w:name="六十九、违规买卖重点保护古生物化石"/>
      <w:bookmarkEnd w:id="140"/>
      <w:r>
        <w:rPr>
          <w:color w:val="auto"/>
        </w:rPr>
        <w:t>六十九、违规买卖重点保护古生物化石</w:t>
      </w:r>
    </w:p>
    <w:p>
      <w:pPr>
        <w:spacing w:before="194"/>
        <w:ind w:left="591" w:right="0" w:firstLine="0"/>
        <w:jc w:val="left"/>
        <w:rPr>
          <w:b/>
          <w:color w:val="auto"/>
          <w:sz w:val="24"/>
        </w:rPr>
      </w:pPr>
      <w:r>
        <w:rPr>
          <w:b/>
          <w:color w:val="auto"/>
          <w:sz w:val="24"/>
        </w:rPr>
        <w:t>（一）处罚依据</w:t>
      </w:r>
    </w:p>
    <w:p>
      <w:pPr>
        <w:pStyle w:val="4"/>
        <w:spacing w:before="192" w:line="388" w:lineRule="auto"/>
        <w:ind w:right="268" w:firstLine="480"/>
        <w:rPr>
          <w:color w:val="auto"/>
        </w:rPr>
      </w:pPr>
      <w:r>
        <w:rPr>
          <w:color w:val="auto"/>
        </w:rPr>
        <w:t>《古生物化石保护条例》第四十条 单位或者个人违反规定买卖重点保护古生物</w:t>
      </w:r>
      <w:r>
        <w:rPr>
          <w:color w:val="auto"/>
          <w:spacing w:val="-2"/>
        </w:rPr>
        <w:t xml:space="preserve">化石的，由工商行政管理部门责令限期改正，没收违法所得，并处 </w:t>
      </w:r>
      <w:r>
        <w:rPr>
          <w:color w:val="auto"/>
        </w:rPr>
        <w:t>5</w:t>
      </w:r>
      <w:r>
        <w:rPr>
          <w:color w:val="auto"/>
          <w:spacing w:val="-16"/>
        </w:rPr>
        <w:t xml:space="preserve"> 万元以上 </w:t>
      </w:r>
      <w:r>
        <w:rPr>
          <w:color w:val="auto"/>
        </w:rPr>
        <w:t>20</w:t>
      </w:r>
      <w:r>
        <w:rPr>
          <w:color w:val="auto"/>
          <w:spacing w:val="-22"/>
        </w:rPr>
        <w:t xml:space="preserve"> 万</w:t>
      </w:r>
      <w:r>
        <w:rPr>
          <w:color w:val="auto"/>
        </w:rPr>
        <w:t>元以下的罚款；构成违反治安管理行为的，由公安机关依法给予治安管理处罚；构成犯罪的，依法追究刑事责任。</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88" w:lineRule="auto"/>
        <w:ind w:left="591" w:right="472"/>
        <w:rPr>
          <w:color w:val="auto"/>
        </w:rPr>
      </w:pPr>
      <w:r>
        <w:rPr>
          <w:color w:val="auto"/>
          <w:spacing w:val="-1"/>
        </w:rPr>
        <w:t>违法所得五万元以下的，没收违法所得，并处五万元以上十万元以下的罚款。</w:t>
      </w:r>
      <w:r>
        <w:rPr>
          <w:color w:val="auto"/>
        </w:rPr>
        <w:t>2.【一般】</w:t>
      </w:r>
    </w:p>
    <w:p>
      <w:pPr>
        <w:pStyle w:val="4"/>
        <w:spacing w:before="2" w:line="391" w:lineRule="auto"/>
        <w:ind w:right="213" w:firstLine="480"/>
        <w:rPr>
          <w:color w:val="auto"/>
        </w:rPr>
      </w:pPr>
      <w:r>
        <w:rPr>
          <w:color w:val="auto"/>
        </w:rPr>
        <w:t>违法所得五万元以上十五万元以下的，没收违法所得，并处十万元以上十五万元以下的罚款。</w:t>
      </w:r>
    </w:p>
    <w:p>
      <w:pPr>
        <w:pStyle w:val="4"/>
        <w:spacing w:line="306" w:lineRule="exact"/>
        <w:ind w:left="591"/>
        <w:rPr>
          <w:color w:val="auto"/>
        </w:rPr>
      </w:pPr>
      <w:r>
        <w:rPr>
          <w:color w:val="auto"/>
        </w:rPr>
        <w:t>3.【严重】</w:t>
      </w:r>
    </w:p>
    <w:p>
      <w:pPr>
        <w:pStyle w:val="4"/>
        <w:spacing w:before="192" w:line="391" w:lineRule="auto"/>
        <w:ind w:right="213" w:firstLine="480"/>
        <w:rPr>
          <w:color w:val="auto"/>
        </w:rPr>
      </w:pPr>
      <w:r>
        <w:rPr>
          <w:color w:val="auto"/>
        </w:rPr>
        <w:t>违法所得十五万元以上的，没收违法所得，并处十五万元以上二十万元以下的罚款。</w:t>
      </w:r>
    </w:p>
    <w:p>
      <w:pPr>
        <w:pStyle w:val="2"/>
        <w:spacing w:line="306" w:lineRule="exact"/>
        <w:rPr>
          <w:color w:val="auto"/>
        </w:rPr>
      </w:pPr>
      <w:bookmarkStart w:id="141" w:name="_bookmark70"/>
      <w:bookmarkEnd w:id="141"/>
      <w:bookmarkStart w:id="142" w:name="七十、农民专业合作社违反规定不办理变更登记等违法行为"/>
      <w:bookmarkEnd w:id="142"/>
      <w:r>
        <w:rPr>
          <w:color w:val="auto"/>
        </w:rPr>
        <w:t>七十、农民专业合作社违反规定不办理变更登记等违法行为</w:t>
      </w:r>
    </w:p>
    <w:p>
      <w:pPr>
        <w:spacing w:before="192"/>
        <w:ind w:left="591" w:right="0" w:firstLine="0"/>
        <w:jc w:val="left"/>
        <w:rPr>
          <w:b/>
          <w:color w:val="auto"/>
          <w:sz w:val="24"/>
        </w:rPr>
      </w:pPr>
      <w:r>
        <w:rPr>
          <w:b/>
          <w:color w:val="auto"/>
          <w:sz w:val="24"/>
        </w:rPr>
        <w:t>（一）处罚依据</w:t>
      </w:r>
    </w:p>
    <w:p>
      <w:pPr>
        <w:pStyle w:val="4"/>
        <w:spacing w:before="194" w:line="388" w:lineRule="auto"/>
        <w:ind w:right="271" w:firstLine="480"/>
        <w:rPr>
          <w:color w:val="auto"/>
        </w:rPr>
      </w:pPr>
      <w:r>
        <w:rPr>
          <w:color w:val="auto"/>
        </w:rPr>
        <w:t>《农民专业合作社登记管理条例》第二十七条 农民专业合作社有下列行为之一的，由登记机关责令改正；情节严重的，吊销营业执照：</w:t>
      </w:r>
    </w:p>
    <w:p>
      <w:pPr>
        <w:pStyle w:val="4"/>
        <w:spacing w:before="2"/>
        <w:ind w:left="591"/>
        <w:rPr>
          <w:color w:val="auto"/>
        </w:rPr>
      </w:pPr>
      <w:r>
        <w:rPr>
          <w:color w:val="auto"/>
        </w:rPr>
        <w:t>（一）登记事项发生变更，未申请变更登记的；</w:t>
      </w:r>
    </w:p>
    <w:p>
      <w:pPr>
        <w:pStyle w:val="4"/>
        <w:spacing w:before="194"/>
        <w:ind w:left="591"/>
        <w:rPr>
          <w:color w:val="auto"/>
        </w:rPr>
      </w:pPr>
      <w:r>
        <w:rPr>
          <w:color w:val="auto"/>
        </w:rPr>
        <w:t>（二）因成员发生变更，使农民成员低于法定比例满６个月的；</w:t>
      </w:r>
    </w:p>
    <w:p>
      <w:pPr>
        <w:pStyle w:val="4"/>
        <w:spacing w:before="192"/>
        <w:ind w:left="591"/>
        <w:rPr>
          <w:color w:val="auto"/>
        </w:rPr>
      </w:pPr>
      <w:r>
        <w:rPr>
          <w:color w:val="auto"/>
        </w:rPr>
        <w:t>（三）从事业务范围以外的经营活动的；</w:t>
      </w:r>
    </w:p>
    <w:p>
      <w:pPr>
        <w:pStyle w:val="4"/>
        <w:spacing w:before="192"/>
        <w:ind w:left="591"/>
        <w:rPr>
          <w:color w:val="auto"/>
        </w:rPr>
      </w:pPr>
      <w:r>
        <w:rPr>
          <w:color w:val="auto"/>
        </w:rPr>
        <w:t>（四）变造、出租、出借、转让营业执照的。</w:t>
      </w:r>
    </w:p>
    <w:p>
      <w:pPr>
        <w:pStyle w:val="2"/>
        <w:spacing w:before="194"/>
        <w:rPr>
          <w:color w:val="auto"/>
        </w:rPr>
      </w:pPr>
      <w:r>
        <w:rPr>
          <w:color w:val="auto"/>
        </w:rPr>
        <w:t>（二）裁量标准</w:t>
      </w:r>
    </w:p>
    <w:p>
      <w:pPr>
        <w:pStyle w:val="4"/>
        <w:spacing w:before="191"/>
        <w:ind w:left="591"/>
        <w:rPr>
          <w:color w:val="auto"/>
        </w:rPr>
      </w:pPr>
      <w:r>
        <w:rPr>
          <w:color w:val="auto"/>
        </w:rPr>
        <w:t>【吊销营业执照】</w:t>
      </w:r>
    </w:p>
    <w:p>
      <w:pPr>
        <w:pStyle w:val="13"/>
        <w:numPr>
          <w:ilvl w:val="0"/>
          <w:numId w:val="40"/>
        </w:numPr>
        <w:tabs>
          <w:tab w:val="left" w:pos="1193"/>
        </w:tabs>
        <w:spacing w:before="192" w:after="0" w:line="240" w:lineRule="auto"/>
        <w:ind w:left="1192" w:right="0" w:hanging="602"/>
        <w:jc w:val="left"/>
        <w:rPr>
          <w:color w:val="auto"/>
          <w:sz w:val="24"/>
        </w:rPr>
      </w:pPr>
      <w:r>
        <w:rPr>
          <w:color w:val="auto"/>
          <w:sz w:val="24"/>
        </w:rPr>
        <w:t>登记事项发生变更，拒不办理变更登记的，或者造成严重危害后果的；</w:t>
      </w:r>
    </w:p>
    <w:p>
      <w:pPr>
        <w:pStyle w:val="13"/>
        <w:numPr>
          <w:ilvl w:val="0"/>
          <w:numId w:val="40"/>
        </w:numPr>
        <w:tabs>
          <w:tab w:val="left" w:pos="1193"/>
        </w:tabs>
        <w:spacing w:before="194" w:after="0" w:line="240" w:lineRule="auto"/>
        <w:ind w:left="1192" w:right="0" w:hanging="602"/>
        <w:jc w:val="left"/>
        <w:rPr>
          <w:color w:val="auto"/>
          <w:sz w:val="24"/>
        </w:rPr>
      </w:pPr>
      <w:r>
        <w:rPr>
          <w:color w:val="auto"/>
          <w:sz w:val="24"/>
        </w:rPr>
        <w:t>因成员发生变更，使农民成员低于法定比例满六个月且无法改正的；</w:t>
      </w:r>
    </w:p>
    <w:p>
      <w:pPr>
        <w:pStyle w:val="13"/>
        <w:numPr>
          <w:ilvl w:val="0"/>
          <w:numId w:val="40"/>
        </w:numPr>
        <w:tabs>
          <w:tab w:val="left" w:pos="1193"/>
        </w:tabs>
        <w:spacing w:before="192" w:after="0" w:line="240" w:lineRule="auto"/>
        <w:ind w:left="1192" w:right="0" w:hanging="602"/>
        <w:jc w:val="left"/>
        <w:rPr>
          <w:color w:val="auto"/>
          <w:sz w:val="24"/>
        </w:rPr>
      </w:pPr>
      <w:r>
        <w:rPr>
          <w:color w:val="auto"/>
          <w:sz w:val="24"/>
        </w:rPr>
        <w:t>从事业务范围以外的经营活动有违法犯罪行为的；</w:t>
      </w:r>
    </w:p>
    <w:p>
      <w:pPr>
        <w:pStyle w:val="13"/>
        <w:numPr>
          <w:ilvl w:val="0"/>
          <w:numId w:val="40"/>
        </w:numPr>
        <w:tabs>
          <w:tab w:val="left" w:pos="1199"/>
        </w:tabs>
        <w:spacing w:before="192" w:after="0" w:line="391" w:lineRule="auto"/>
        <w:ind w:left="111" w:right="269" w:firstLine="480"/>
        <w:jc w:val="left"/>
        <w:rPr>
          <w:color w:val="auto"/>
          <w:sz w:val="24"/>
        </w:rPr>
      </w:pPr>
      <w:r>
        <w:rPr>
          <w:color w:val="auto"/>
          <w:sz w:val="24"/>
        </w:rPr>
        <w:t>变造、出租、出借、转让营业执照，给合作社成员或者他人造成较大经济损失，或者其他不良后果的。</w:t>
      </w:r>
    </w:p>
    <w:p>
      <w:pPr>
        <w:pStyle w:val="4"/>
        <w:ind w:left="0"/>
        <w:rPr>
          <w:color w:val="auto"/>
        </w:rPr>
      </w:pPr>
    </w:p>
    <w:p>
      <w:pPr>
        <w:pStyle w:val="4"/>
        <w:tabs>
          <w:tab w:val="left" w:pos="1277"/>
        </w:tabs>
        <w:spacing w:before="190"/>
        <w:ind w:left="318"/>
        <w:jc w:val="center"/>
        <w:rPr>
          <w:rFonts w:hint="eastAsia" w:ascii="黑体" w:eastAsia="黑体"/>
          <w:color w:val="auto"/>
        </w:rPr>
      </w:pPr>
      <w:bookmarkStart w:id="143" w:name="第二章  市场规范管理"/>
      <w:bookmarkEnd w:id="143"/>
      <w:bookmarkStart w:id="144" w:name="_bookmark71"/>
      <w:bookmarkEnd w:id="144"/>
      <w:r>
        <w:rPr>
          <w:rFonts w:hint="eastAsia" w:ascii="黑体" w:eastAsia="黑体"/>
          <w:color w:val="auto"/>
        </w:rPr>
        <w:t>第二章</w:t>
      </w:r>
      <w:r>
        <w:rPr>
          <w:rFonts w:hint="eastAsia" w:ascii="黑体" w:eastAsia="黑体"/>
          <w:color w:val="auto"/>
        </w:rPr>
        <w:tab/>
      </w:r>
      <w:r>
        <w:rPr>
          <w:rFonts w:hint="eastAsia" w:ascii="黑体" w:eastAsia="黑体"/>
          <w:color w:val="auto"/>
        </w:rPr>
        <w:t>市场规范管理</w:t>
      </w:r>
    </w:p>
    <w:p>
      <w:pPr>
        <w:pStyle w:val="4"/>
        <w:ind w:left="0"/>
        <w:rPr>
          <w:rFonts w:ascii="黑体"/>
          <w:color w:val="auto"/>
          <w:sz w:val="20"/>
        </w:rPr>
      </w:pPr>
    </w:p>
    <w:p>
      <w:pPr>
        <w:pStyle w:val="4"/>
        <w:spacing w:before="7"/>
        <w:ind w:left="0"/>
        <w:rPr>
          <w:rFonts w:ascii="黑体"/>
          <w:color w:val="auto"/>
          <w:sz w:val="17"/>
        </w:rPr>
      </w:pPr>
    </w:p>
    <w:p>
      <w:pPr>
        <w:pStyle w:val="2"/>
        <w:rPr>
          <w:color w:val="auto"/>
        </w:rPr>
      </w:pPr>
      <w:bookmarkStart w:id="145" w:name="七十一、出售、收购国家重点保护野生植物"/>
      <w:bookmarkEnd w:id="145"/>
      <w:bookmarkStart w:id="146" w:name="_bookmark72"/>
      <w:bookmarkEnd w:id="146"/>
      <w:r>
        <w:rPr>
          <w:color w:val="auto"/>
        </w:rPr>
        <w:t>七十一、出售、收购国家重点保护野生植物</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《中华人民共和国野生植物保护条例》第二十四条 违反本条例规定，出售、收</w:t>
      </w:r>
      <w:r>
        <w:rPr>
          <w:color w:val="auto"/>
          <w:spacing w:val="-4"/>
        </w:rPr>
        <w:t>购国家重点保护野生植物的，由工商行政管理部门或者野生植物行政主管部门按照职</w:t>
      </w:r>
      <w:r>
        <w:rPr>
          <w:color w:val="auto"/>
          <w:spacing w:val="-3"/>
        </w:rPr>
        <w:t xml:space="preserve">责分工没收野生植物和违法所得，可以并处违法所得 </w:t>
      </w:r>
      <w:r>
        <w:rPr>
          <w:color w:val="auto"/>
        </w:rPr>
        <w:t>10</w:t>
      </w:r>
      <w:r>
        <w:rPr>
          <w:color w:val="auto"/>
          <w:spacing w:val="-8"/>
        </w:rPr>
        <w:t xml:space="preserve"> 倍以下的罚款。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属国家三级保护或者地方重点保护野生植物的，没收野生植物和违法所得，可以并处违法所得三倍以下的罚款。</w:t>
      </w:r>
    </w:p>
    <w:p>
      <w:pPr>
        <w:pStyle w:val="13"/>
        <w:numPr>
          <w:ilvl w:val="0"/>
          <w:numId w:val="41"/>
        </w:numPr>
        <w:tabs>
          <w:tab w:val="left" w:pos="833"/>
        </w:tabs>
        <w:spacing w:before="0" w:after="0" w:line="240" w:lineRule="auto"/>
        <w:ind w:left="832" w:right="0" w:hanging="242"/>
        <w:jc w:val="left"/>
        <w:rPr>
          <w:color w:val="auto"/>
          <w:sz w:val="24"/>
        </w:rPr>
      </w:pPr>
      <w:r>
        <w:rPr>
          <w:color w:val="auto"/>
          <w:sz w:val="24"/>
        </w:rPr>
        <w:t>【一般】</w:t>
      </w:r>
    </w:p>
    <w:p>
      <w:pPr>
        <w:pStyle w:val="4"/>
        <w:spacing w:before="191" w:line="388" w:lineRule="auto"/>
        <w:ind w:right="213" w:firstLine="480"/>
        <w:rPr>
          <w:color w:val="auto"/>
        </w:rPr>
      </w:pPr>
      <w:r>
        <w:rPr>
          <w:color w:val="auto"/>
        </w:rPr>
        <w:t>属国家二级保护野生植物的，没收野生植物和违法所得，并处违法所得三倍以上七倍以下的罚款。</w:t>
      </w:r>
    </w:p>
    <w:p>
      <w:pPr>
        <w:pStyle w:val="13"/>
        <w:numPr>
          <w:ilvl w:val="0"/>
          <w:numId w:val="41"/>
        </w:numPr>
        <w:tabs>
          <w:tab w:val="left" w:pos="833"/>
        </w:tabs>
        <w:spacing w:before="5" w:after="0" w:line="240" w:lineRule="auto"/>
        <w:ind w:left="832" w:right="0" w:hanging="242"/>
        <w:jc w:val="left"/>
        <w:rPr>
          <w:color w:val="auto"/>
          <w:sz w:val="24"/>
        </w:rPr>
      </w:pPr>
      <w:r>
        <w:rPr>
          <w:color w:val="auto"/>
          <w:sz w:val="24"/>
        </w:rPr>
        <w:t>【严重】</w:t>
      </w:r>
    </w:p>
    <w:p>
      <w:pPr>
        <w:pStyle w:val="4"/>
        <w:spacing w:before="192" w:line="388" w:lineRule="auto"/>
        <w:ind w:right="213" w:firstLine="480"/>
        <w:rPr>
          <w:color w:val="auto"/>
        </w:rPr>
      </w:pPr>
      <w:r>
        <w:rPr>
          <w:color w:val="auto"/>
        </w:rPr>
        <w:t>属国家一级保护野生植物的，没收野生植物和违法所得，并处违法所得七倍以上十倍以下的罚款。</w:t>
      </w:r>
    </w:p>
    <w:p>
      <w:pPr>
        <w:pStyle w:val="2"/>
        <w:spacing w:before="4"/>
        <w:rPr>
          <w:color w:val="auto"/>
        </w:rPr>
      </w:pPr>
      <w:bookmarkStart w:id="147" w:name="七十二、伪造、倒卖、转让采集证、允许进出口证明书或者有关批准文件、标签"/>
      <w:bookmarkEnd w:id="147"/>
      <w:bookmarkStart w:id="148" w:name="_bookmark73"/>
      <w:bookmarkEnd w:id="148"/>
      <w:r>
        <w:rPr>
          <w:color w:val="auto"/>
        </w:rPr>
        <w:t>七十二、伪造、倒卖、转让采集证、允许进出口证明书或者有关批准文件、标签</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《中华人民共和国野生植物保护条例》第二十六条 伪造、倒卖、转让采集证、</w:t>
      </w:r>
      <w:r>
        <w:rPr>
          <w:color w:val="auto"/>
          <w:spacing w:val="-4"/>
        </w:rPr>
        <w:t>允许进出口证明书或者有关批准文件、标签的，由野生植物行政主管部门或者工商行</w:t>
      </w:r>
      <w:r>
        <w:rPr>
          <w:color w:val="auto"/>
          <w:spacing w:val="-3"/>
        </w:rPr>
        <w:t xml:space="preserve">政管理部门按照职责分工收缴，没收违法所得，可以并处 </w:t>
      </w:r>
      <w:r>
        <w:rPr>
          <w:color w:val="auto"/>
        </w:rPr>
        <w:t>5</w:t>
      </w:r>
      <w:r>
        <w:rPr>
          <w:color w:val="auto"/>
          <w:spacing w:val="-8"/>
        </w:rPr>
        <w:t xml:space="preserve"> 万元以下的罚款。</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712"/>
        <w:rPr>
          <w:color w:val="auto"/>
        </w:rPr>
      </w:pPr>
      <w:r>
        <w:rPr>
          <w:color w:val="auto"/>
          <w:spacing w:val="-1"/>
        </w:rPr>
        <w:t>违法所得一万元以下的，没收违法所得，可以并处一万五千元以下的罚款。</w:t>
      </w:r>
      <w:r>
        <w:rPr>
          <w:color w:val="auto"/>
        </w:rPr>
        <w:t>2.【一般】</w:t>
      </w:r>
    </w:p>
    <w:p>
      <w:pPr>
        <w:pStyle w:val="4"/>
        <w:spacing w:line="388" w:lineRule="auto"/>
        <w:ind w:right="213" w:firstLine="480"/>
        <w:rPr>
          <w:color w:val="auto"/>
        </w:rPr>
      </w:pPr>
      <w:r>
        <w:rPr>
          <w:color w:val="auto"/>
        </w:rPr>
        <w:t>违法所得一万元以上三万元以下的，没收违法所得，并处一万五千元以上三万五千元以下的罚款。</w:t>
      </w:r>
    </w:p>
    <w:p>
      <w:pPr>
        <w:pStyle w:val="4"/>
        <w:spacing w:before="2"/>
        <w:ind w:left="591"/>
        <w:rPr>
          <w:color w:val="auto"/>
        </w:rPr>
      </w:pPr>
      <w:r>
        <w:rPr>
          <w:color w:val="auto"/>
        </w:rPr>
        <w:t>3.【严重】</w:t>
      </w:r>
    </w:p>
    <w:p>
      <w:pPr>
        <w:spacing w:before="39" w:line="391" w:lineRule="auto"/>
        <w:ind w:left="591" w:right="148" w:firstLine="0"/>
        <w:jc w:val="left"/>
        <w:rPr>
          <w:b/>
          <w:color w:val="auto"/>
          <w:sz w:val="24"/>
        </w:rPr>
      </w:pPr>
      <w:r>
        <w:rPr>
          <w:color w:val="auto"/>
          <w:spacing w:val="-13"/>
          <w:sz w:val="24"/>
        </w:rPr>
        <w:t>违法所得三万元以上的，没收违法所得，并处三万五千元以上五万元以下的罚款。</w:t>
      </w:r>
      <w:bookmarkStart w:id="149" w:name="七十三、非法经营、出口野生药材"/>
      <w:bookmarkEnd w:id="149"/>
      <w:bookmarkStart w:id="150" w:name="_bookmark74"/>
      <w:bookmarkEnd w:id="150"/>
      <w:r>
        <w:rPr>
          <w:b/>
          <w:color w:val="auto"/>
          <w:sz w:val="24"/>
        </w:rPr>
        <w:t>七十三、非法经营、出口野生药材</w:t>
      </w:r>
    </w:p>
    <w:p>
      <w:pPr>
        <w:pStyle w:val="2"/>
        <w:spacing w:line="306" w:lineRule="exact"/>
        <w:rPr>
          <w:color w:val="auto"/>
        </w:rPr>
      </w:pPr>
      <w:r>
        <w:rPr>
          <w:color w:val="auto"/>
        </w:rPr>
        <w:t>（一）处罚依据</w:t>
      </w:r>
    </w:p>
    <w:p>
      <w:pPr>
        <w:pStyle w:val="4"/>
        <w:spacing w:before="192" w:line="391" w:lineRule="auto"/>
        <w:ind w:right="232" w:firstLine="480"/>
        <w:jc w:val="both"/>
        <w:rPr>
          <w:color w:val="auto"/>
        </w:rPr>
      </w:pPr>
      <w:r>
        <w:rPr>
          <w:color w:val="auto"/>
        </w:rPr>
        <w:t>1</w:t>
      </w:r>
      <w:r>
        <w:rPr>
          <w:color w:val="auto"/>
          <w:spacing w:val="-10"/>
        </w:rPr>
        <w:t>、《野生药材资源保护管理条例》第二十条 违反本条例第十三条、第十四条、</w:t>
      </w:r>
      <w:r>
        <w:rPr>
          <w:color w:val="auto"/>
          <w:spacing w:val="-11"/>
        </w:rPr>
        <w:t xml:space="preserve">第十五条规定的，由工商行政管理部门或有关部门没收其野生药材和全部违法所得， </w:t>
      </w:r>
      <w:r>
        <w:rPr>
          <w:color w:val="auto"/>
        </w:rPr>
        <w:t>并处以罚款。</w:t>
      </w:r>
    </w:p>
    <w:p>
      <w:pPr>
        <w:pStyle w:val="13"/>
        <w:numPr>
          <w:ilvl w:val="1"/>
          <w:numId w:val="42"/>
        </w:numPr>
        <w:tabs>
          <w:tab w:val="left" w:pos="954"/>
        </w:tabs>
        <w:spacing w:before="0" w:after="0" w:line="391" w:lineRule="auto"/>
        <w:ind w:left="111" w:right="271" w:firstLine="480"/>
        <w:jc w:val="both"/>
        <w:rPr>
          <w:color w:val="auto"/>
          <w:sz w:val="24"/>
        </w:rPr>
      </w:pPr>
      <w:r>
        <w:rPr>
          <w:color w:val="auto"/>
          <w:spacing w:val="-9"/>
          <w:sz w:val="24"/>
        </w:rPr>
        <w:t>、《野生药材资源保护管理条例》第十三条 一级保护野生药材物种属于自然淘汰的，其药用部门由各药材公司负责经营，但不得出口。</w:t>
      </w:r>
    </w:p>
    <w:p>
      <w:pPr>
        <w:pStyle w:val="13"/>
        <w:numPr>
          <w:ilvl w:val="1"/>
          <w:numId w:val="42"/>
        </w:numPr>
        <w:tabs>
          <w:tab w:val="left" w:pos="954"/>
        </w:tabs>
        <w:spacing w:before="0" w:after="0" w:line="391" w:lineRule="auto"/>
        <w:ind w:left="111" w:right="268" w:firstLine="480"/>
        <w:jc w:val="both"/>
        <w:rPr>
          <w:color w:val="auto"/>
          <w:sz w:val="24"/>
        </w:rPr>
      </w:pPr>
      <w:r>
        <w:rPr>
          <w:color w:val="auto"/>
          <w:spacing w:val="-9"/>
          <w:sz w:val="24"/>
        </w:rPr>
        <w:t>、《野生药材资源保护管理条例》第十四条 二、三级保护野生药材物种属于</w:t>
      </w:r>
      <w:r>
        <w:rPr>
          <w:color w:val="auto"/>
          <w:spacing w:val="-12"/>
          <w:sz w:val="24"/>
        </w:rPr>
        <w:t>国家计划管理的品种，由中国药材公司统一经营管理；其余品种由产地县药材公司或</w:t>
      </w:r>
      <w:r>
        <w:rPr>
          <w:color w:val="auto"/>
          <w:sz w:val="24"/>
        </w:rPr>
        <w:t>其委托单位按照计划收购。</w:t>
      </w:r>
    </w:p>
    <w:p>
      <w:pPr>
        <w:pStyle w:val="13"/>
        <w:numPr>
          <w:ilvl w:val="1"/>
          <w:numId w:val="42"/>
        </w:numPr>
        <w:tabs>
          <w:tab w:val="left" w:pos="954"/>
        </w:tabs>
        <w:spacing w:before="0" w:after="0" w:line="388" w:lineRule="auto"/>
        <w:ind w:left="111" w:right="271" w:firstLine="480"/>
        <w:jc w:val="both"/>
        <w:rPr>
          <w:color w:val="auto"/>
          <w:sz w:val="24"/>
        </w:rPr>
      </w:pPr>
      <w:r>
        <w:rPr>
          <w:color w:val="auto"/>
          <w:spacing w:val="-9"/>
          <w:sz w:val="24"/>
        </w:rPr>
        <w:t>、《野生药材资源保护管理条例》第十五条 二、三级保护野生药材物种的药用部分，除国家另有规定外，实行限量出口。</w:t>
      </w:r>
    </w:p>
    <w:p>
      <w:pPr>
        <w:pStyle w:val="4"/>
        <w:spacing w:line="388" w:lineRule="auto"/>
        <w:ind w:right="213" w:firstLine="480"/>
        <w:rPr>
          <w:color w:val="auto"/>
        </w:rPr>
      </w:pPr>
      <w:r>
        <w:rPr>
          <w:color w:val="auto"/>
        </w:rPr>
        <w:t>实行限量出口和出口许可证制度的品种，由国家医药管理部门会同国务院有关部门确定。</w:t>
      </w:r>
    </w:p>
    <w:p>
      <w:pPr>
        <w:pStyle w:val="13"/>
        <w:numPr>
          <w:ilvl w:val="1"/>
          <w:numId w:val="42"/>
        </w:numPr>
        <w:tabs>
          <w:tab w:val="left" w:pos="954"/>
        </w:tabs>
        <w:spacing w:before="0" w:after="0" w:line="391" w:lineRule="auto"/>
        <w:ind w:left="111" w:right="268" w:firstLine="480"/>
        <w:jc w:val="both"/>
        <w:rPr>
          <w:color w:val="auto"/>
          <w:sz w:val="24"/>
        </w:rPr>
      </w:pPr>
      <w:r>
        <w:rPr>
          <w:color w:val="auto"/>
          <w:spacing w:val="-18"/>
          <w:sz w:val="24"/>
        </w:rPr>
        <w:t>、《山东省实施</w:t>
      </w:r>
      <w:r>
        <w:rPr>
          <w:color w:val="auto"/>
          <w:sz w:val="24"/>
        </w:rPr>
        <w:t>﹤野生药材资源保护管理条例﹥</w:t>
      </w:r>
      <w:r>
        <w:rPr>
          <w:color w:val="auto"/>
          <w:spacing w:val="1"/>
          <w:sz w:val="24"/>
        </w:rPr>
        <w:t>细则》第九条 国家一、二、</w:t>
      </w:r>
      <w:r>
        <w:rPr>
          <w:color w:val="auto"/>
          <w:spacing w:val="-3"/>
          <w:sz w:val="24"/>
        </w:rPr>
        <w:t>三级和省重点保护野生药材物种，由省药材部门统一经营管理；其他野生药材物种由</w:t>
      </w:r>
      <w:r>
        <w:rPr>
          <w:color w:val="auto"/>
          <w:sz w:val="24"/>
        </w:rPr>
        <w:t>产地县级药材部门或其委托单位按照计划收购。</w:t>
      </w:r>
    </w:p>
    <w:p>
      <w:pPr>
        <w:pStyle w:val="13"/>
        <w:numPr>
          <w:ilvl w:val="1"/>
          <w:numId w:val="42"/>
        </w:numPr>
        <w:tabs>
          <w:tab w:val="left" w:pos="954"/>
        </w:tabs>
        <w:spacing w:before="0" w:after="0" w:line="391" w:lineRule="auto"/>
        <w:ind w:left="111" w:right="268" w:firstLine="480"/>
        <w:jc w:val="both"/>
        <w:rPr>
          <w:color w:val="auto"/>
          <w:sz w:val="24"/>
        </w:rPr>
      </w:pPr>
      <w:r>
        <w:rPr>
          <w:color w:val="auto"/>
          <w:spacing w:val="-18"/>
          <w:sz w:val="24"/>
        </w:rPr>
        <w:t>、《山东省实施</w:t>
      </w:r>
      <w:r>
        <w:rPr>
          <w:color w:val="auto"/>
          <w:sz w:val="24"/>
        </w:rPr>
        <w:t>﹤野生药材资源保护管理条例﹥</w:t>
      </w:r>
      <w:r>
        <w:rPr>
          <w:color w:val="auto"/>
          <w:spacing w:val="1"/>
          <w:sz w:val="24"/>
        </w:rPr>
        <w:t>细则》第十条 国家二、三级</w:t>
      </w:r>
      <w:r>
        <w:rPr>
          <w:color w:val="auto"/>
          <w:spacing w:val="-3"/>
          <w:sz w:val="24"/>
        </w:rPr>
        <w:t>和省重点保护野生药材物种的药用部分，实行限量出口。出口计划由省医药主管部门</w:t>
      </w:r>
      <w:r>
        <w:rPr>
          <w:color w:val="auto"/>
          <w:sz w:val="24"/>
        </w:rPr>
        <w:t>与外贸部门共同商定，报省政府批准后执行。</w:t>
      </w:r>
    </w:p>
    <w:p>
      <w:pPr>
        <w:pStyle w:val="13"/>
        <w:numPr>
          <w:ilvl w:val="1"/>
          <w:numId w:val="42"/>
        </w:numPr>
        <w:tabs>
          <w:tab w:val="left" w:pos="938"/>
        </w:tabs>
        <w:spacing w:before="0" w:after="0" w:line="391" w:lineRule="auto"/>
        <w:ind w:left="216" w:right="268" w:firstLine="360"/>
        <w:jc w:val="both"/>
        <w:rPr>
          <w:color w:val="auto"/>
          <w:sz w:val="24"/>
        </w:rPr>
      </w:pPr>
      <w:r>
        <w:rPr>
          <w:color w:val="auto"/>
          <w:spacing w:val="-18"/>
          <w:sz w:val="24"/>
        </w:rPr>
        <w:t>、《山东省实施</w:t>
      </w:r>
      <w:r>
        <w:rPr>
          <w:color w:val="auto"/>
          <w:sz w:val="24"/>
        </w:rPr>
        <w:t>﹤野生药材资源保护管理条例﹥</w:t>
      </w:r>
      <w:r>
        <w:rPr>
          <w:color w:val="auto"/>
          <w:spacing w:val="1"/>
          <w:sz w:val="24"/>
        </w:rPr>
        <w:t>细则》第十三条 违反本细则</w:t>
      </w:r>
      <w:r>
        <w:rPr>
          <w:color w:val="auto"/>
          <w:sz w:val="24"/>
        </w:rPr>
        <w:t>第九条、第十条的非法经营者，由县级医药主管部门会同同级工商行政管理部门没收其药材商品和违法所得，并处违法所得二至三倍的罚款，但最高罚款数额不得超过三万元。</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ind w:left="591"/>
        <w:rPr>
          <w:color w:val="auto"/>
        </w:rPr>
      </w:pPr>
      <w:r>
        <w:rPr>
          <w:color w:val="auto"/>
          <w:spacing w:val="-11"/>
        </w:rPr>
        <w:t>违法所得五千元以下的，没收其药材商品和违法所得，并处违法所得二倍的罚款。</w:t>
      </w:r>
    </w:p>
    <w:p>
      <w:pPr>
        <w:pStyle w:val="13"/>
        <w:numPr>
          <w:ilvl w:val="0"/>
          <w:numId w:val="43"/>
        </w:numPr>
        <w:tabs>
          <w:tab w:val="left" w:pos="833"/>
        </w:tabs>
        <w:spacing w:before="39"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违法所得五千元以上一万元以下的，没收其药材商品和违法所得，并处违法所得二倍以上二点五倍以下的罚款。</w:t>
      </w:r>
    </w:p>
    <w:p>
      <w:pPr>
        <w:pStyle w:val="13"/>
        <w:numPr>
          <w:ilvl w:val="0"/>
          <w:numId w:val="43"/>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违法所得一万元以上的，没收其药材商品和违法所得，并处违法所得二点五倍以上三倍以下的罚款，但最高不得超过三万元。</w:t>
      </w:r>
    </w:p>
    <w:p>
      <w:pPr>
        <w:pStyle w:val="2"/>
        <w:spacing w:before="2"/>
        <w:rPr>
          <w:color w:val="auto"/>
        </w:rPr>
      </w:pPr>
      <w:bookmarkStart w:id="151" w:name="七十四、未经许可经营旅行社业务"/>
      <w:bookmarkEnd w:id="151"/>
      <w:bookmarkStart w:id="152" w:name="_bookmark75"/>
      <w:bookmarkEnd w:id="152"/>
      <w:r>
        <w:rPr>
          <w:color w:val="auto"/>
        </w:rPr>
        <w:t>七十四、未经许可经营旅行社业务</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《中华人民共和国旅游法》第九十五条 违反本法规定，未经许可经营旅行社业</w:t>
      </w:r>
      <w:r>
        <w:rPr>
          <w:color w:val="auto"/>
          <w:spacing w:val="-5"/>
        </w:rPr>
        <w:t>务的，由旅游主管部门或者市场监督管理部门责令改正，没收违法所得，并处一万元</w:t>
      </w:r>
      <w:r>
        <w:rPr>
          <w:color w:val="auto"/>
          <w:spacing w:val="-16"/>
        </w:rPr>
        <w:t xml:space="preserve">以上十万元以下罚款；违法所得十万元以上的，并处违法所得一倍以上五倍以下罚款； </w:t>
      </w:r>
      <w:r>
        <w:rPr>
          <w:color w:val="auto"/>
        </w:rPr>
        <w:t>对有关责任人员，处二千元以上二万元以下罚款。</w:t>
      </w:r>
    </w:p>
    <w:p>
      <w:pPr>
        <w:pStyle w:val="2"/>
        <w:spacing w:line="302" w:lineRule="exact"/>
        <w:rPr>
          <w:color w:val="auto"/>
        </w:rPr>
      </w:pPr>
      <w:r>
        <w:rPr>
          <w:color w:val="auto"/>
        </w:rPr>
        <w:t>（二）裁量标准</w:t>
      </w:r>
    </w:p>
    <w:p>
      <w:pPr>
        <w:pStyle w:val="4"/>
        <w:spacing w:before="194"/>
        <w:ind w:left="591"/>
        <w:rPr>
          <w:color w:val="auto"/>
        </w:rPr>
      </w:pPr>
      <w:r>
        <w:rPr>
          <w:color w:val="auto"/>
        </w:rPr>
        <w:t>1、违法所得十万元以下</w:t>
      </w:r>
    </w:p>
    <w:p>
      <w:pPr>
        <w:pStyle w:val="4"/>
        <w:spacing w:before="192"/>
        <w:ind w:left="591"/>
        <w:rPr>
          <w:color w:val="auto"/>
        </w:rPr>
      </w:pPr>
      <w:r>
        <w:rPr>
          <w:color w:val="auto"/>
        </w:rPr>
        <w:t>【较轻】</w:t>
      </w:r>
    </w:p>
    <w:p>
      <w:pPr>
        <w:pStyle w:val="4"/>
        <w:spacing w:before="191" w:line="391" w:lineRule="auto"/>
        <w:ind w:right="213" w:firstLine="480"/>
        <w:rPr>
          <w:color w:val="auto"/>
        </w:rPr>
      </w:pPr>
      <w:r>
        <w:rPr>
          <w:color w:val="auto"/>
        </w:rPr>
        <w:t>违法所得三万元以下的，没收违法所得，并处一万元以上三万元以下的罚款；对有关责任人员处二千元以上五千元以下的罚款。</w:t>
      </w:r>
    </w:p>
    <w:p>
      <w:pPr>
        <w:pStyle w:val="4"/>
        <w:spacing w:line="306" w:lineRule="exact"/>
        <w:ind w:left="591"/>
        <w:rPr>
          <w:color w:val="auto"/>
        </w:rPr>
      </w:pPr>
      <w:r>
        <w:rPr>
          <w:color w:val="auto"/>
        </w:rPr>
        <w:t>【一般】</w:t>
      </w:r>
    </w:p>
    <w:p>
      <w:pPr>
        <w:pStyle w:val="4"/>
        <w:spacing w:before="192" w:line="391" w:lineRule="auto"/>
        <w:ind w:right="213" w:firstLine="480"/>
        <w:rPr>
          <w:color w:val="auto"/>
        </w:rPr>
      </w:pPr>
      <w:r>
        <w:rPr>
          <w:color w:val="auto"/>
        </w:rPr>
        <w:t>违法所得三万元以上七万元以下的，没收违法所得，并处三万元以上七万元以下的罚款；对有关责任人员处五千元以上七千元以下的罚款。</w:t>
      </w:r>
    </w:p>
    <w:p>
      <w:pPr>
        <w:pStyle w:val="4"/>
        <w:spacing w:line="306" w:lineRule="exact"/>
        <w:ind w:left="591"/>
        <w:rPr>
          <w:color w:val="auto"/>
        </w:rPr>
      </w:pPr>
      <w:r>
        <w:rPr>
          <w:color w:val="auto"/>
        </w:rPr>
        <w:t>【严重】</w:t>
      </w:r>
    </w:p>
    <w:p>
      <w:pPr>
        <w:pStyle w:val="4"/>
        <w:spacing w:before="192" w:line="391" w:lineRule="auto"/>
        <w:ind w:right="213" w:firstLine="480"/>
        <w:rPr>
          <w:color w:val="auto"/>
        </w:rPr>
      </w:pPr>
      <w:r>
        <w:rPr>
          <w:color w:val="auto"/>
        </w:rPr>
        <w:t>违法所得七万元以上十万元以下的，没收违法所得，并处七万元以上十万元以下的罚款；对有关责任人员处七千元以上一万元以下的罚款。</w:t>
      </w:r>
    </w:p>
    <w:p>
      <w:pPr>
        <w:pStyle w:val="4"/>
        <w:spacing w:line="306" w:lineRule="exact"/>
        <w:ind w:left="591"/>
        <w:rPr>
          <w:color w:val="auto"/>
        </w:rPr>
      </w:pPr>
      <w:r>
        <w:rPr>
          <w:color w:val="auto"/>
        </w:rPr>
        <w:t>2、违法所得十万元以上</w:t>
      </w:r>
    </w:p>
    <w:p>
      <w:pPr>
        <w:pStyle w:val="4"/>
        <w:spacing w:before="191"/>
        <w:ind w:left="591"/>
        <w:rPr>
          <w:color w:val="auto"/>
        </w:rPr>
      </w:pPr>
      <w:r>
        <w:rPr>
          <w:color w:val="auto"/>
        </w:rPr>
        <w:t>【较轻】</w:t>
      </w:r>
    </w:p>
    <w:p>
      <w:pPr>
        <w:pStyle w:val="4"/>
        <w:spacing w:before="194" w:line="388" w:lineRule="auto"/>
        <w:ind w:right="213" w:firstLine="480"/>
        <w:rPr>
          <w:color w:val="auto"/>
        </w:rPr>
      </w:pPr>
      <w:r>
        <w:rPr>
          <w:color w:val="auto"/>
        </w:rPr>
        <w:t>违法所得十万元以上十五万元以下的，没收违法所得，并处一倍以上三倍以下的罚款；对有关责任人员处一万元以上一万三千元以下的罚款。</w:t>
      </w:r>
    </w:p>
    <w:p>
      <w:pPr>
        <w:pStyle w:val="4"/>
        <w:spacing w:before="3"/>
        <w:ind w:left="591"/>
        <w:rPr>
          <w:color w:val="auto"/>
        </w:rPr>
      </w:pPr>
      <w:r>
        <w:rPr>
          <w:color w:val="auto"/>
        </w:rPr>
        <w:t>【一般】</w:t>
      </w:r>
    </w:p>
    <w:p>
      <w:pPr>
        <w:pStyle w:val="4"/>
        <w:spacing w:before="39" w:line="391" w:lineRule="auto"/>
        <w:ind w:right="213" w:firstLine="480"/>
        <w:rPr>
          <w:color w:val="auto"/>
        </w:rPr>
      </w:pPr>
      <w:r>
        <w:rPr>
          <w:color w:val="auto"/>
        </w:rPr>
        <w:t>违法所得十五万元以上二十万元以下的，没收违法所得，并处三倍以上四倍以下的罚款；对有关责任人员处一万三千元以上一万五千元以下的罚款。</w:t>
      </w:r>
    </w:p>
    <w:p>
      <w:pPr>
        <w:pStyle w:val="4"/>
        <w:spacing w:line="306" w:lineRule="exact"/>
        <w:ind w:left="591"/>
        <w:rPr>
          <w:color w:val="auto"/>
        </w:rPr>
      </w:pPr>
      <w:r>
        <w:rPr>
          <w:color w:val="auto"/>
        </w:rPr>
        <w:t>【严重】</w:t>
      </w:r>
    </w:p>
    <w:p>
      <w:pPr>
        <w:pStyle w:val="4"/>
        <w:spacing w:before="192" w:line="391" w:lineRule="auto"/>
        <w:ind w:right="213" w:firstLine="480"/>
        <w:rPr>
          <w:color w:val="auto"/>
        </w:rPr>
      </w:pPr>
      <w:r>
        <w:rPr>
          <w:color w:val="auto"/>
        </w:rPr>
        <w:t>违法所得二十万元以上的，没收违法所得，并处四倍以上五倍以下的罚款；对有关责任人员处一万五千元以上二万元以下的罚款。</w:t>
      </w:r>
    </w:p>
    <w:p>
      <w:pPr>
        <w:pStyle w:val="2"/>
        <w:spacing w:line="391" w:lineRule="auto"/>
        <w:ind w:left="111" w:right="237" w:firstLine="480"/>
        <w:jc w:val="both"/>
        <w:rPr>
          <w:color w:val="auto"/>
        </w:rPr>
      </w:pPr>
      <w:bookmarkStart w:id="153" w:name="七十五、未经许可经营国内旅游业务、入境旅游业务、出境旅游业务的，分社的经营范围超"/>
      <w:bookmarkEnd w:id="153"/>
      <w:bookmarkStart w:id="154" w:name="_bookmark76"/>
      <w:bookmarkEnd w:id="154"/>
      <w:r>
        <w:rPr>
          <w:color w:val="auto"/>
          <w:spacing w:val="-7"/>
        </w:rPr>
        <w:t>七十五、未经许可经营国内旅游业务、入境旅游业务、出境旅游业务的，分社的</w:t>
      </w:r>
      <w:r>
        <w:rPr>
          <w:color w:val="auto"/>
          <w:spacing w:val="-10"/>
        </w:rPr>
        <w:t>经营范围超出设立分社的旅行社的经营范围的，旅行社服务网点从事招徕、咨询以外的活动</w:t>
      </w:r>
    </w:p>
    <w:p>
      <w:pPr>
        <w:spacing w:before="0" w:line="304" w:lineRule="exact"/>
        <w:ind w:left="591" w:right="0" w:firstLine="0"/>
        <w:jc w:val="left"/>
        <w:rPr>
          <w:b/>
          <w:color w:val="auto"/>
          <w:sz w:val="24"/>
        </w:rPr>
      </w:pPr>
      <w:r>
        <w:rPr>
          <w:b/>
          <w:color w:val="auto"/>
          <w:sz w:val="24"/>
        </w:rPr>
        <w:t>（一）处罚依据</w:t>
      </w:r>
    </w:p>
    <w:p>
      <w:pPr>
        <w:pStyle w:val="4"/>
        <w:spacing w:before="190" w:line="391" w:lineRule="auto"/>
        <w:ind w:right="268" w:firstLine="600"/>
        <w:rPr>
          <w:color w:val="auto"/>
        </w:rPr>
      </w:pPr>
      <w:r>
        <w:rPr>
          <w:color w:val="auto"/>
          <w:spacing w:val="-5"/>
        </w:rPr>
        <w:t>《旅行社条例》第四十六条 违反本条例的规定，有下列情形之一的，由旅游行</w:t>
      </w:r>
      <w:r>
        <w:rPr>
          <w:color w:val="auto"/>
          <w:spacing w:val="-1"/>
        </w:rPr>
        <w:t xml:space="preserve">政管理部门或者工商行政管理部门责令改正，没收违法所得，违法所得 </w:t>
      </w:r>
      <w:r>
        <w:rPr>
          <w:color w:val="auto"/>
        </w:rPr>
        <w:t>10</w:t>
      </w:r>
      <w:r>
        <w:rPr>
          <w:color w:val="auto"/>
          <w:spacing w:val="-6"/>
        </w:rPr>
        <w:t xml:space="preserve"> 万元以上</w:t>
      </w:r>
    </w:p>
    <w:p>
      <w:pPr>
        <w:pStyle w:val="4"/>
        <w:spacing w:line="306" w:lineRule="exact"/>
        <w:rPr>
          <w:color w:val="auto"/>
        </w:rPr>
      </w:pPr>
      <w:r>
        <w:rPr>
          <w:color w:val="auto"/>
          <w:spacing w:val="-6"/>
        </w:rPr>
        <w:t xml:space="preserve">的，并处违法所得 </w:t>
      </w:r>
      <w:r>
        <w:rPr>
          <w:color w:val="auto"/>
        </w:rPr>
        <w:t>1</w:t>
      </w:r>
      <w:r>
        <w:rPr>
          <w:color w:val="auto"/>
          <w:spacing w:val="-20"/>
        </w:rPr>
        <w:t xml:space="preserve"> 倍以上 </w:t>
      </w:r>
      <w:r>
        <w:rPr>
          <w:color w:val="auto"/>
        </w:rPr>
        <w:t>5</w:t>
      </w:r>
      <w:r>
        <w:rPr>
          <w:color w:val="auto"/>
          <w:spacing w:val="-11"/>
        </w:rPr>
        <w:t xml:space="preserve"> 倍以下的罚款；违法所得不足 </w:t>
      </w:r>
      <w:r>
        <w:rPr>
          <w:color w:val="auto"/>
        </w:rPr>
        <w:t>10</w:t>
      </w:r>
      <w:r>
        <w:rPr>
          <w:color w:val="auto"/>
          <w:spacing w:val="-7"/>
        </w:rPr>
        <w:t xml:space="preserve"> 万元或者没有违法所</w:t>
      </w:r>
    </w:p>
    <w:p>
      <w:pPr>
        <w:pStyle w:val="4"/>
        <w:spacing w:before="192"/>
        <w:rPr>
          <w:color w:val="auto"/>
        </w:rPr>
      </w:pPr>
      <w:r>
        <w:rPr>
          <w:color w:val="auto"/>
        </w:rPr>
        <w:t>得的，并处 10 万元以上 50 万元以下的罚款：</w:t>
      </w:r>
    </w:p>
    <w:p>
      <w:pPr>
        <w:pStyle w:val="4"/>
        <w:spacing w:before="194" w:line="388" w:lineRule="auto"/>
        <w:ind w:right="232" w:firstLine="480"/>
        <w:rPr>
          <w:color w:val="auto"/>
        </w:rPr>
      </w:pPr>
      <w:r>
        <w:rPr>
          <w:color w:val="auto"/>
        </w:rPr>
        <w:t>（一）未取得相应的旅行社业务经营许可，经营国内旅游业务、入境旅游业务、出境旅游业务的；</w:t>
      </w:r>
    </w:p>
    <w:p>
      <w:pPr>
        <w:pStyle w:val="4"/>
        <w:spacing w:before="2"/>
        <w:ind w:left="591"/>
        <w:rPr>
          <w:color w:val="auto"/>
        </w:rPr>
      </w:pPr>
      <w:r>
        <w:rPr>
          <w:color w:val="auto"/>
        </w:rPr>
        <w:t>（二）分社超出设立分社的旅行社的经营范围经营旅游业务的；</w:t>
      </w:r>
    </w:p>
    <w:p>
      <w:pPr>
        <w:pStyle w:val="4"/>
        <w:spacing w:before="194"/>
        <w:ind w:left="591"/>
        <w:rPr>
          <w:color w:val="auto"/>
        </w:rPr>
      </w:pPr>
      <w:r>
        <w:rPr>
          <w:color w:val="auto"/>
        </w:rPr>
        <w:t>（三）旅行社服务网点从事招徕、咨询以外的旅行社业务经营活动的。</w:t>
      </w:r>
    </w:p>
    <w:p>
      <w:pPr>
        <w:pStyle w:val="2"/>
        <w:spacing w:before="192"/>
        <w:rPr>
          <w:color w:val="auto"/>
        </w:rPr>
      </w:pPr>
      <w:r>
        <w:rPr>
          <w:color w:val="auto"/>
        </w:rPr>
        <w:t>（二）裁量标准</w:t>
      </w:r>
    </w:p>
    <w:p>
      <w:pPr>
        <w:pStyle w:val="4"/>
        <w:spacing w:before="192"/>
        <w:ind w:left="591"/>
        <w:rPr>
          <w:color w:val="auto"/>
        </w:rPr>
      </w:pPr>
      <w:r>
        <w:rPr>
          <w:color w:val="auto"/>
        </w:rPr>
        <w:t>1、违法所得十万元以上</w:t>
      </w:r>
    </w:p>
    <w:p>
      <w:pPr>
        <w:pStyle w:val="4"/>
        <w:spacing w:before="194"/>
        <w:ind w:left="591"/>
        <w:rPr>
          <w:color w:val="auto"/>
        </w:rPr>
      </w:pPr>
      <w:r>
        <w:rPr>
          <w:color w:val="auto"/>
        </w:rPr>
        <w:t>【较轻】</w:t>
      </w:r>
    </w:p>
    <w:p>
      <w:pPr>
        <w:pStyle w:val="4"/>
        <w:spacing w:before="191" w:line="388" w:lineRule="auto"/>
        <w:ind w:right="213" w:firstLine="480"/>
        <w:rPr>
          <w:color w:val="auto"/>
        </w:rPr>
      </w:pPr>
      <w:r>
        <w:rPr>
          <w:color w:val="auto"/>
        </w:rPr>
        <w:t>违法所得十万元以上二十万元以下的，没收违法所得，并处违法所得一倍以上二倍以下的罚款。</w:t>
      </w:r>
    </w:p>
    <w:p>
      <w:pPr>
        <w:pStyle w:val="4"/>
        <w:spacing w:before="5"/>
        <w:ind w:left="591"/>
        <w:rPr>
          <w:color w:val="auto"/>
        </w:rPr>
      </w:pPr>
      <w:r>
        <w:rPr>
          <w:color w:val="auto"/>
        </w:rPr>
        <w:t>【一般】</w:t>
      </w:r>
    </w:p>
    <w:p>
      <w:pPr>
        <w:pStyle w:val="4"/>
        <w:spacing w:before="192" w:line="388" w:lineRule="auto"/>
        <w:ind w:right="213" w:firstLine="480"/>
        <w:rPr>
          <w:color w:val="auto"/>
        </w:rPr>
      </w:pPr>
      <w:r>
        <w:rPr>
          <w:color w:val="auto"/>
        </w:rPr>
        <w:t>违法所得二十万元以上五十万元以下的，没收违法所得，并处违法所得二倍以上三倍以下的罚款。</w:t>
      </w:r>
    </w:p>
    <w:p>
      <w:pPr>
        <w:pStyle w:val="4"/>
        <w:spacing w:before="4"/>
        <w:ind w:left="591"/>
        <w:rPr>
          <w:color w:val="auto"/>
        </w:rPr>
      </w:pPr>
      <w:r>
        <w:rPr>
          <w:color w:val="auto"/>
        </w:rPr>
        <w:t>【严重】</w:t>
      </w:r>
    </w:p>
    <w:p>
      <w:pPr>
        <w:pStyle w:val="4"/>
        <w:spacing w:before="192" w:line="388" w:lineRule="auto"/>
        <w:ind w:right="213" w:firstLine="480"/>
        <w:rPr>
          <w:color w:val="auto"/>
        </w:rPr>
      </w:pPr>
      <w:r>
        <w:rPr>
          <w:color w:val="auto"/>
        </w:rPr>
        <w:t>违法所得五十万元以上的，没收违法所得，并处违法所得三倍以上五倍以下的罚款。</w:t>
      </w:r>
    </w:p>
    <w:p>
      <w:pPr>
        <w:pStyle w:val="4"/>
        <w:spacing w:before="39"/>
        <w:ind w:left="591"/>
        <w:rPr>
          <w:color w:val="auto"/>
        </w:rPr>
      </w:pPr>
      <w:r>
        <w:rPr>
          <w:color w:val="auto"/>
        </w:rPr>
        <w:t>2、违法所得十万元以下或者没有违法所得</w:t>
      </w:r>
    </w:p>
    <w:p>
      <w:pPr>
        <w:pStyle w:val="4"/>
        <w:spacing w:before="195"/>
        <w:ind w:left="591"/>
        <w:rPr>
          <w:color w:val="auto"/>
        </w:rPr>
      </w:pPr>
      <w:r>
        <w:rPr>
          <w:color w:val="auto"/>
        </w:rPr>
        <w:t>【较轻】</w:t>
      </w:r>
    </w:p>
    <w:p>
      <w:pPr>
        <w:pStyle w:val="4"/>
        <w:spacing w:before="191" w:line="388" w:lineRule="auto"/>
        <w:ind w:right="213" w:firstLine="480"/>
        <w:rPr>
          <w:color w:val="auto"/>
        </w:rPr>
      </w:pPr>
      <w:r>
        <w:rPr>
          <w:color w:val="auto"/>
        </w:rPr>
        <w:t>违法所得三万元以下的，或者没有违法所得的，没收违法所得，并处十万元以上二十万元以下的罚款。</w:t>
      </w:r>
    </w:p>
    <w:p>
      <w:pPr>
        <w:pStyle w:val="4"/>
        <w:spacing w:before="5"/>
        <w:ind w:left="591"/>
        <w:rPr>
          <w:color w:val="auto"/>
        </w:rPr>
      </w:pPr>
      <w:r>
        <w:rPr>
          <w:color w:val="auto"/>
        </w:rPr>
        <w:t>【一般】</w:t>
      </w:r>
    </w:p>
    <w:p>
      <w:pPr>
        <w:pStyle w:val="4"/>
        <w:spacing w:before="192" w:line="388" w:lineRule="auto"/>
        <w:ind w:right="268" w:firstLine="480"/>
        <w:rPr>
          <w:color w:val="auto"/>
        </w:rPr>
      </w:pPr>
      <w:r>
        <w:rPr>
          <w:color w:val="auto"/>
          <w:spacing w:val="-4"/>
        </w:rPr>
        <w:t>违法所得三万元以上七万元以下的，没收违法所得，并处二十万元以上三十万元</w:t>
      </w:r>
      <w:r>
        <w:rPr>
          <w:color w:val="auto"/>
        </w:rPr>
        <w:t>以下的罚款。</w:t>
      </w:r>
    </w:p>
    <w:p>
      <w:pPr>
        <w:pStyle w:val="4"/>
        <w:spacing w:before="4"/>
        <w:ind w:left="591"/>
        <w:rPr>
          <w:color w:val="auto"/>
        </w:rPr>
      </w:pPr>
      <w:r>
        <w:rPr>
          <w:color w:val="auto"/>
        </w:rPr>
        <w:t>【严重】</w:t>
      </w:r>
    </w:p>
    <w:p>
      <w:pPr>
        <w:pStyle w:val="4"/>
        <w:spacing w:before="192" w:line="388" w:lineRule="auto"/>
        <w:ind w:right="268" w:firstLine="480"/>
        <w:rPr>
          <w:color w:val="auto"/>
        </w:rPr>
      </w:pPr>
      <w:r>
        <w:rPr>
          <w:color w:val="auto"/>
          <w:spacing w:val="-4"/>
        </w:rPr>
        <w:t>违法所得七万元以上十万元以下的，没收违法所得，并处三十万元以上五十万元</w:t>
      </w:r>
      <w:r>
        <w:rPr>
          <w:color w:val="auto"/>
        </w:rPr>
        <w:t>以下的罚款。</w:t>
      </w:r>
    </w:p>
    <w:p>
      <w:pPr>
        <w:pStyle w:val="2"/>
        <w:spacing w:before="4" w:line="388" w:lineRule="auto"/>
        <w:ind w:left="111" w:right="117" w:firstLine="480"/>
        <w:rPr>
          <w:color w:val="auto"/>
        </w:rPr>
      </w:pPr>
      <w:bookmarkStart w:id="155" w:name="_bookmark77"/>
      <w:bookmarkEnd w:id="155"/>
      <w:bookmarkStart w:id="156" w:name="七十六、拒不履行旅游合同约定的义务，非因不可抗力改变旅游合同安排的行程，欺骗、胁"/>
      <w:bookmarkEnd w:id="156"/>
      <w:r>
        <w:rPr>
          <w:color w:val="auto"/>
          <w:spacing w:val="-16"/>
        </w:rPr>
        <w:t>七十六、拒不履行旅游合同约定的义务，非因不可抗力改变旅游合同安排的行程， 欺骗、胁迫旅游者购物或者参加需要另行付费的游览项目</w:t>
      </w:r>
    </w:p>
    <w:p>
      <w:pPr>
        <w:spacing w:before="2"/>
        <w:ind w:left="591" w:right="0" w:firstLine="0"/>
        <w:jc w:val="left"/>
        <w:rPr>
          <w:b/>
          <w:color w:val="auto"/>
          <w:sz w:val="24"/>
        </w:rPr>
      </w:pPr>
      <w:r>
        <w:rPr>
          <w:b/>
          <w:color w:val="auto"/>
          <w:sz w:val="24"/>
        </w:rPr>
        <w:t>（一）处罚依据</w:t>
      </w:r>
    </w:p>
    <w:p>
      <w:pPr>
        <w:pStyle w:val="4"/>
        <w:spacing w:before="194" w:line="388" w:lineRule="auto"/>
        <w:ind w:right="148" w:firstLine="480"/>
        <w:rPr>
          <w:color w:val="auto"/>
        </w:rPr>
      </w:pPr>
      <w:r>
        <w:rPr>
          <w:color w:val="auto"/>
          <w:spacing w:val="-3"/>
        </w:rPr>
        <w:t>《旅行社条例》第五十九条第</w:t>
      </w:r>
      <w:r>
        <w:rPr>
          <w:color w:val="auto"/>
        </w:rPr>
        <w:t>（一</w:t>
      </w:r>
      <w:r>
        <w:rPr>
          <w:color w:val="auto"/>
          <w:spacing w:val="-8"/>
        </w:rPr>
        <w:t>）</w:t>
      </w:r>
      <w:r>
        <w:rPr>
          <w:color w:val="auto"/>
          <w:spacing w:val="-2"/>
        </w:rPr>
        <w:t xml:space="preserve">项 违反本条例的规定，有下列情形之一的， 对旅行社，由旅游行政管理部门或者工商行政管理部门责令改正，处 </w:t>
      </w:r>
      <w:r>
        <w:rPr>
          <w:color w:val="auto"/>
        </w:rPr>
        <w:t>10</w:t>
      </w:r>
      <w:r>
        <w:rPr>
          <w:color w:val="auto"/>
          <w:spacing w:val="-20"/>
        </w:rPr>
        <w:t xml:space="preserve"> 万元以上 </w:t>
      </w:r>
      <w:r>
        <w:rPr>
          <w:color w:val="auto"/>
        </w:rPr>
        <w:t>50</w:t>
      </w:r>
    </w:p>
    <w:p>
      <w:pPr>
        <w:pStyle w:val="4"/>
        <w:spacing w:before="2"/>
        <w:rPr>
          <w:color w:val="auto"/>
        </w:rPr>
      </w:pPr>
      <w:r>
        <w:rPr>
          <w:color w:val="auto"/>
          <w:spacing w:val="-7"/>
        </w:rPr>
        <w:t xml:space="preserve">万元以下的罚款；对导游人员、领队人员，由旅游行政管理部门责令改正，处 </w:t>
      </w:r>
      <w:r>
        <w:rPr>
          <w:color w:val="auto"/>
        </w:rPr>
        <w:t>1</w:t>
      </w:r>
      <w:r>
        <w:rPr>
          <w:color w:val="auto"/>
          <w:spacing w:val="-20"/>
        </w:rPr>
        <w:t xml:space="preserve"> 万元</w:t>
      </w:r>
    </w:p>
    <w:p>
      <w:pPr>
        <w:pStyle w:val="4"/>
        <w:spacing w:before="195" w:line="388" w:lineRule="auto"/>
        <w:ind w:right="268"/>
        <w:rPr>
          <w:color w:val="auto"/>
        </w:rPr>
      </w:pPr>
      <w:r>
        <w:rPr>
          <w:color w:val="auto"/>
          <w:spacing w:val="-20"/>
        </w:rPr>
        <w:t xml:space="preserve">以上 </w:t>
      </w:r>
      <w:r>
        <w:rPr>
          <w:color w:val="auto"/>
        </w:rPr>
        <w:t>5</w:t>
      </w:r>
      <w:r>
        <w:rPr>
          <w:color w:val="auto"/>
          <w:spacing w:val="-12"/>
        </w:rPr>
        <w:t xml:space="preserve"> 万元以下的罚款；情节严重的，吊销旅行社业务经营许可证、导游证或者领队</w:t>
      </w:r>
      <w:r>
        <w:rPr>
          <w:color w:val="auto"/>
        </w:rPr>
        <w:t>证:</w:t>
      </w:r>
    </w:p>
    <w:p>
      <w:pPr>
        <w:pStyle w:val="4"/>
        <w:spacing w:before="2"/>
        <w:ind w:left="591"/>
        <w:rPr>
          <w:color w:val="auto"/>
        </w:rPr>
      </w:pPr>
      <w:r>
        <w:rPr>
          <w:color w:val="auto"/>
        </w:rPr>
        <w:t>（一）拒不履行旅游合同约定的义务的；</w:t>
      </w:r>
    </w:p>
    <w:p>
      <w:pPr>
        <w:pStyle w:val="4"/>
        <w:spacing w:before="194"/>
        <w:ind w:left="591"/>
        <w:rPr>
          <w:color w:val="auto"/>
        </w:rPr>
      </w:pPr>
      <w:r>
        <w:rPr>
          <w:color w:val="auto"/>
        </w:rPr>
        <w:t>（二）非因不可抗力改变旅游合同安排的行程的；</w:t>
      </w:r>
    </w:p>
    <w:p>
      <w:pPr>
        <w:pStyle w:val="4"/>
        <w:spacing w:before="191"/>
        <w:ind w:left="591"/>
        <w:rPr>
          <w:color w:val="auto"/>
        </w:rPr>
      </w:pPr>
      <w:r>
        <w:rPr>
          <w:color w:val="auto"/>
        </w:rPr>
        <w:t>（三）欺骗、胁迫旅游者购物或者参加需要另行付费的游览项目的。</w:t>
      </w:r>
    </w:p>
    <w:p>
      <w:pPr>
        <w:spacing w:before="192"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712"/>
        <w:rPr>
          <w:color w:val="auto"/>
        </w:rPr>
      </w:pPr>
      <w:r>
        <w:rPr>
          <w:color w:val="auto"/>
          <w:spacing w:val="-1"/>
        </w:rPr>
        <w:t>违法行为涉及二十名以下旅游者的，处以十万元以上二十万元以下的罚款。</w:t>
      </w:r>
      <w:r>
        <w:rPr>
          <w:color w:val="auto"/>
        </w:rPr>
        <w:t>2.【一般】</w:t>
      </w:r>
    </w:p>
    <w:p>
      <w:pPr>
        <w:pStyle w:val="4"/>
        <w:spacing w:before="3" w:line="388" w:lineRule="auto"/>
        <w:ind w:right="213" w:firstLine="480"/>
        <w:rPr>
          <w:color w:val="auto"/>
        </w:rPr>
      </w:pPr>
      <w:r>
        <w:rPr>
          <w:color w:val="auto"/>
        </w:rPr>
        <w:t>违法行为涉及二十名以上四十名以下旅游者的，处以二十万元以上三十万元以下的罚款。</w:t>
      </w:r>
    </w:p>
    <w:p>
      <w:pPr>
        <w:pStyle w:val="4"/>
        <w:spacing w:before="2"/>
        <w:ind w:left="591"/>
        <w:rPr>
          <w:color w:val="auto"/>
        </w:rPr>
      </w:pPr>
      <w:r>
        <w:rPr>
          <w:color w:val="auto"/>
        </w:rPr>
        <w:t>3.【严重】</w:t>
      </w:r>
    </w:p>
    <w:p>
      <w:pPr>
        <w:spacing w:before="39" w:line="391" w:lineRule="auto"/>
        <w:ind w:left="591" w:right="199" w:firstLine="0"/>
        <w:jc w:val="left"/>
        <w:rPr>
          <w:b/>
          <w:color w:val="auto"/>
          <w:sz w:val="24"/>
        </w:rPr>
      </w:pPr>
      <w:r>
        <w:rPr>
          <w:color w:val="auto"/>
          <w:sz w:val="24"/>
        </w:rPr>
        <w:t>违法行为涉及四十名以上旅游者的，处以三十万元以上五十万元以下的罚款。</w:t>
      </w:r>
      <w:bookmarkStart w:id="157" w:name="_bookmark78"/>
      <w:bookmarkEnd w:id="157"/>
      <w:bookmarkStart w:id="158" w:name="七十七、旅行社违反旅游合同约定造成旅游者合法权益受到损害不采取必要的补救措施"/>
      <w:bookmarkEnd w:id="158"/>
      <w:r>
        <w:rPr>
          <w:b/>
          <w:color w:val="auto"/>
          <w:sz w:val="24"/>
        </w:rPr>
        <w:t>七十七、旅行社违反旅游合同约定造成旅游者合法权益受到损害不采取必要的补</w:t>
      </w:r>
    </w:p>
    <w:p>
      <w:pPr>
        <w:pStyle w:val="2"/>
        <w:spacing w:line="306" w:lineRule="exact"/>
        <w:ind w:left="111"/>
        <w:rPr>
          <w:color w:val="auto"/>
        </w:rPr>
      </w:pPr>
      <w:r>
        <w:rPr>
          <w:color w:val="auto"/>
        </w:rPr>
        <w:t>救措施</w:t>
      </w:r>
    </w:p>
    <w:p>
      <w:pPr>
        <w:spacing w:before="192"/>
        <w:ind w:left="591" w:right="0" w:firstLine="0"/>
        <w:jc w:val="left"/>
        <w:rPr>
          <w:b/>
          <w:color w:val="auto"/>
          <w:sz w:val="24"/>
        </w:rPr>
      </w:pPr>
      <w:r>
        <w:rPr>
          <w:b/>
          <w:color w:val="auto"/>
          <w:w w:val="95"/>
          <w:sz w:val="24"/>
        </w:rPr>
        <w:t>（一）处罚依据</w:t>
      </w:r>
    </w:p>
    <w:p>
      <w:pPr>
        <w:pStyle w:val="4"/>
        <w:spacing w:before="194" w:line="391" w:lineRule="auto"/>
        <w:ind w:right="268" w:firstLine="480"/>
        <w:jc w:val="both"/>
        <w:rPr>
          <w:color w:val="auto"/>
        </w:rPr>
      </w:pPr>
      <w:r>
        <w:rPr>
          <w:color w:val="auto"/>
        </w:rPr>
        <w:t>《旅行社条例》第六十一条 旅行社违反旅游合同约定，造成旅游者合法权益受</w:t>
      </w:r>
      <w:r>
        <w:rPr>
          <w:color w:val="auto"/>
          <w:spacing w:val="-6"/>
        </w:rPr>
        <w:t>到损害，不采取必要的补救措施的，由旅游行政管理部门或者工商行政管理部门责令</w:t>
      </w:r>
      <w:r>
        <w:rPr>
          <w:color w:val="auto"/>
          <w:spacing w:val="-15"/>
        </w:rPr>
        <w:t xml:space="preserve">改正，处 </w:t>
      </w:r>
      <w:r>
        <w:rPr>
          <w:color w:val="auto"/>
        </w:rPr>
        <w:t>1</w:t>
      </w:r>
      <w:r>
        <w:rPr>
          <w:color w:val="auto"/>
          <w:spacing w:val="-20"/>
        </w:rPr>
        <w:t xml:space="preserve"> 万元以上 </w:t>
      </w:r>
      <w:r>
        <w:rPr>
          <w:color w:val="auto"/>
        </w:rPr>
        <w:t>5</w:t>
      </w:r>
      <w:r>
        <w:rPr>
          <w:color w:val="auto"/>
          <w:spacing w:val="-11"/>
        </w:rPr>
        <w:t xml:space="preserve"> 万元以下的罚款；情节严重的，由旅游行政管理部门吊销旅行</w:t>
      </w:r>
      <w:r>
        <w:rPr>
          <w:color w:val="auto"/>
        </w:rPr>
        <w:t>社业务经营许可证。</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912"/>
        <w:rPr>
          <w:color w:val="auto"/>
        </w:rPr>
      </w:pPr>
      <w:r>
        <w:rPr>
          <w:color w:val="auto"/>
          <w:spacing w:val="-1"/>
        </w:rPr>
        <w:t>涉及二十名以下旅游者的，处以一万元以上二万元以下的罚款。</w:t>
      </w:r>
      <w:r>
        <w:rPr>
          <w:color w:val="auto"/>
        </w:rPr>
        <w:t>2.【一般】</w:t>
      </w:r>
    </w:p>
    <w:p>
      <w:pPr>
        <w:pStyle w:val="4"/>
        <w:spacing w:before="1" w:line="391" w:lineRule="auto"/>
        <w:ind w:left="591" w:right="712"/>
        <w:rPr>
          <w:color w:val="auto"/>
        </w:rPr>
      </w:pPr>
      <w:r>
        <w:rPr>
          <w:color w:val="auto"/>
          <w:spacing w:val="-1"/>
        </w:rPr>
        <w:t>涉及二十名以上四十名以下旅游者的，处以二万元以上三万元以下的罚款。</w:t>
      </w:r>
      <w:r>
        <w:rPr>
          <w:color w:val="auto"/>
        </w:rPr>
        <w:t>3.【严重】</w:t>
      </w:r>
    </w:p>
    <w:p>
      <w:pPr>
        <w:spacing w:before="0" w:line="388" w:lineRule="auto"/>
        <w:ind w:left="591" w:right="1912" w:firstLine="0"/>
        <w:jc w:val="left"/>
        <w:rPr>
          <w:b/>
          <w:color w:val="auto"/>
          <w:sz w:val="24"/>
        </w:rPr>
      </w:pPr>
      <w:r>
        <w:rPr>
          <w:color w:val="auto"/>
          <w:sz w:val="24"/>
        </w:rPr>
        <w:t>涉及四十名以上旅游者的，处以三万元以上五万元以下的罚款。</w:t>
      </w:r>
      <w:bookmarkStart w:id="159" w:name="_bookmark79"/>
      <w:bookmarkEnd w:id="159"/>
      <w:bookmarkStart w:id="160" w:name="七十八、旅行社进行虚假宣传误导旅游者"/>
      <w:bookmarkEnd w:id="160"/>
      <w:r>
        <w:rPr>
          <w:b/>
          <w:color w:val="auto"/>
          <w:sz w:val="24"/>
        </w:rPr>
        <w:t>七十八、旅行社进行虚假宣传误导旅游者</w:t>
      </w:r>
    </w:p>
    <w:p>
      <w:pPr>
        <w:pStyle w:val="2"/>
        <w:spacing w:before="3"/>
        <w:rPr>
          <w:color w:val="auto"/>
        </w:rPr>
      </w:pPr>
      <w:r>
        <w:rPr>
          <w:color w:val="auto"/>
        </w:rPr>
        <w:t>（一）处罚依据</w:t>
      </w:r>
    </w:p>
    <w:p>
      <w:pPr>
        <w:pStyle w:val="13"/>
        <w:numPr>
          <w:ilvl w:val="0"/>
          <w:numId w:val="44"/>
        </w:numPr>
        <w:tabs>
          <w:tab w:val="left" w:pos="834"/>
        </w:tabs>
        <w:spacing w:before="192" w:after="0" w:line="391" w:lineRule="auto"/>
        <w:ind w:left="111" w:right="232" w:firstLine="480"/>
        <w:jc w:val="both"/>
        <w:rPr>
          <w:color w:val="auto"/>
          <w:sz w:val="24"/>
        </w:rPr>
      </w:pPr>
      <w:r>
        <w:rPr>
          <w:color w:val="auto"/>
          <w:sz w:val="24"/>
        </w:rPr>
        <w:t>《旅游法》第九十七条 旅行社违反本法规定，有下列行为之一的，由旅游主</w:t>
      </w:r>
      <w:r>
        <w:rPr>
          <w:color w:val="auto"/>
          <w:spacing w:val="-3"/>
          <w:sz w:val="24"/>
        </w:rPr>
        <w:t>管部门或者有关部门责令改正，没收违法所得，并处五千元以上五万元以下罚款；违</w:t>
      </w:r>
      <w:r>
        <w:rPr>
          <w:color w:val="auto"/>
          <w:spacing w:val="-6"/>
          <w:sz w:val="24"/>
        </w:rPr>
        <w:t>法所得五万元以上的，并处违法所得一倍以上五倍以下罚款；情节严重的，责令停业</w:t>
      </w:r>
      <w:r>
        <w:rPr>
          <w:color w:val="auto"/>
          <w:spacing w:val="-7"/>
          <w:sz w:val="24"/>
        </w:rPr>
        <w:t xml:space="preserve">整顿或者吊销旅行社业务经营许可证；对直接负责的主管人员和其他直接责任人员， </w:t>
      </w:r>
      <w:r>
        <w:rPr>
          <w:color w:val="auto"/>
          <w:sz w:val="24"/>
        </w:rPr>
        <w:t>处二千元以上二万元以下罚款:</w:t>
      </w:r>
    </w:p>
    <w:p>
      <w:pPr>
        <w:pStyle w:val="4"/>
        <w:spacing w:line="302" w:lineRule="exact"/>
        <w:ind w:left="591"/>
        <w:rPr>
          <w:color w:val="auto"/>
        </w:rPr>
      </w:pPr>
      <w:r>
        <w:rPr>
          <w:color w:val="auto"/>
        </w:rPr>
        <w:t>（一）进行虚假宣传，误导旅游者的。</w:t>
      </w:r>
    </w:p>
    <w:p>
      <w:pPr>
        <w:pStyle w:val="13"/>
        <w:numPr>
          <w:ilvl w:val="0"/>
          <w:numId w:val="44"/>
        </w:numPr>
        <w:tabs>
          <w:tab w:val="left" w:pos="834"/>
        </w:tabs>
        <w:spacing w:before="191" w:after="0" w:line="388" w:lineRule="auto"/>
        <w:ind w:left="111" w:right="268" w:firstLine="480"/>
        <w:jc w:val="left"/>
        <w:rPr>
          <w:color w:val="auto"/>
          <w:sz w:val="24"/>
        </w:rPr>
      </w:pPr>
      <w:r>
        <w:rPr>
          <w:color w:val="auto"/>
          <w:sz w:val="24"/>
        </w:rPr>
        <w:t>《旅行社条例》第五十三条 违反本条例的规定，旅行社向旅游者提供的旅游服务信息含有虚假内容或者作虚假宣传的，由工商行政管理部门依法给予处罚。</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ind w:left="591"/>
        <w:rPr>
          <w:color w:val="auto"/>
        </w:rPr>
      </w:pPr>
      <w:r>
        <w:rPr>
          <w:color w:val="auto"/>
        </w:rPr>
        <w:t>违法所得三万元以下的，没收违法所得，并处五千元以上二万元以下的罚款。</w:t>
      </w:r>
    </w:p>
    <w:p>
      <w:pPr>
        <w:pStyle w:val="13"/>
        <w:numPr>
          <w:ilvl w:val="0"/>
          <w:numId w:val="45"/>
        </w:numPr>
        <w:tabs>
          <w:tab w:val="left" w:pos="833"/>
        </w:tabs>
        <w:spacing w:before="39"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违法所得三万元以上五万元以下的，没收违法所得，并处二万元以上五万元以下的罚款。</w:t>
      </w:r>
    </w:p>
    <w:p>
      <w:pPr>
        <w:pStyle w:val="13"/>
        <w:numPr>
          <w:ilvl w:val="0"/>
          <w:numId w:val="45"/>
        </w:numPr>
        <w:tabs>
          <w:tab w:val="left" w:pos="833"/>
        </w:tabs>
        <w:spacing w:before="2" w:after="0" w:line="240" w:lineRule="auto"/>
        <w:ind w:left="832" w:right="0" w:hanging="242"/>
        <w:jc w:val="left"/>
        <w:rPr>
          <w:color w:val="auto"/>
          <w:sz w:val="24"/>
        </w:rPr>
      </w:pPr>
      <w:r>
        <w:rPr>
          <w:color w:val="auto"/>
          <w:sz w:val="24"/>
        </w:rPr>
        <w:t>【严重】</w:t>
      </w:r>
    </w:p>
    <w:p>
      <w:pPr>
        <w:spacing w:before="194" w:line="388" w:lineRule="auto"/>
        <w:ind w:left="591" w:right="148" w:firstLine="0"/>
        <w:jc w:val="left"/>
        <w:rPr>
          <w:b/>
          <w:color w:val="auto"/>
          <w:sz w:val="24"/>
        </w:rPr>
      </w:pPr>
      <w:r>
        <w:rPr>
          <w:color w:val="auto"/>
          <w:spacing w:val="-13"/>
          <w:sz w:val="24"/>
        </w:rPr>
        <w:t>违法所得五万元以上的，没收违法所得，并处违法所得一倍以上五倍以下的罚款。</w:t>
      </w:r>
      <w:bookmarkStart w:id="161" w:name="七十九、危险化学品经营企业向未经许可违法从事危险化学品生产、经营活动的企业采购危"/>
      <w:bookmarkEnd w:id="161"/>
      <w:bookmarkStart w:id="162" w:name="_bookmark80"/>
      <w:bookmarkEnd w:id="162"/>
      <w:r>
        <w:rPr>
          <w:b/>
          <w:color w:val="auto"/>
          <w:spacing w:val="-7"/>
          <w:sz w:val="24"/>
        </w:rPr>
        <w:t>七十九、危险化学品经营企业向未经许可违法从事危险化学品生产、经营活动的</w:t>
      </w:r>
    </w:p>
    <w:p>
      <w:pPr>
        <w:pStyle w:val="2"/>
        <w:spacing w:before="2"/>
        <w:ind w:left="111"/>
        <w:rPr>
          <w:color w:val="auto"/>
        </w:rPr>
      </w:pPr>
      <w:r>
        <w:rPr>
          <w:color w:val="auto"/>
          <w:w w:val="95"/>
        </w:rPr>
        <w:t>企业采购危险化学品</w:t>
      </w:r>
    </w:p>
    <w:p>
      <w:pPr>
        <w:spacing w:before="194"/>
        <w:ind w:left="591" w:right="0" w:firstLine="0"/>
        <w:jc w:val="left"/>
        <w:rPr>
          <w:b/>
          <w:color w:val="auto"/>
          <w:sz w:val="24"/>
        </w:rPr>
      </w:pPr>
      <w:r>
        <w:rPr>
          <w:b/>
          <w:color w:val="auto"/>
          <w:w w:val="95"/>
          <w:sz w:val="24"/>
        </w:rPr>
        <w:t>（一）处罚依据</w:t>
      </w:r>
    </w:p>
    <w:p>
      <w:pPr>
        <w:pStyle w:val="4"/>
        <w:spacing w:before="192" w:line="391" w:lineRule="auto"/>
        <w:ind w:right="268" w:firstLine="480"/>
        <w:jc w:val="both"/>
        <w:rPr>
          <w:color w:val="auto"/>
        </w:rPr>
      </w:pPr>
      <w:r>
        <w:rPr>
          <w:color w:val="auto"/>
        </w:rPr>
        <w:t>《危险化学品安全管理条例》第八十三条 危险化学品经营企业向未经许可违法</w:t>
      </w:r>
      <w:r>
        <w:rPr>
          <w:color w:val="auto"/>
          <w:spacing w:val="-4"/>
        </w:rPr>
        <w:t>从事危险化学品生产、经营活动的企业采购危险化学品的，由工商行政管理部门责令</w:t>
      </w:r>
      <w:r>
        <w:rPr>
          <w:color w:val="auto"/>
          <w:spacing w:val="-15"/>
        </w:rPr>
        <w:t xml:space="preserve">改正，处 </w:t>
      </w:r>
      <w:r>
        <w:rPr>
          <w:color w:val="auto"/>
        </w:rPr>
        <w:t>10</w:t>
      </w:r>
      <w:r>
        <w:rPr>
          <w:color w:val="auto"/>
          <w:spacing w:val="-20"/>
        </w:rPr>
        <w:t xml:space="preserve"> 万元以上 </w:t>
      </w:r>
      <w:r>
        <w:rPr>
          <w:color w:val="auto"/>
        </w:rPr>
        <w:t>20</w:t>
      </w:r>
      <w:r>
        <w:rPr>
          <w:color w:val="auto"/>
          <w:spacing w:val="-11"/>
        </w:rPr>
        <w:t xml:space="preserve"> 万元以下的罚款；拒不改正的，责令停业整顿直至由原发证</w:t>
      </w:r>
      <w:r>
        <w:rPr>
          <w:color w:val="auto"/>
          <w:spacing w:val="-4"/>
        </w:rPr>
        <w:t>机关吊销其危险化学品经营许可证，并由工商行政管理部门责令其办理经营范围变更</w:t>
      </w:r>
      <w:r>
        <w:rPr>
          <w:color w:val="auto"/>
        </w:rPr>
        <w:t>登记或者吊销其营业执照。</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91" w:lineRule="auto"/>
        <w:ind w:left="591" w:right="1912"/>
        <w:rPr>
          <w:color w:val="auto"/>
        </w:rPr>
      </w:pPr>
      <w:r>
        <w:rPr>
          <w:color w:val="auto"/>
          <w:spacing w:val="-1"/>
        </w:rPr>
        <w:t>货值金额十万元以下的，处以十万元以上十五万元以下的罚款。</w:t>
      </w:r>
      <w:r>
        <w:rPr>
          <w:color w:val="auto"/>
        </w:rPr>
        <w:t>2.【一般】</w:t>
      </w:r>
    </w:p>
    <w:p>
      <w:pPr>
        <w:pStyle w:val="4"/>
        <w:spacing w:line="388" w:lineRule="auto"/>
        <w:ind w:left="591" w:right="1672"/>
        <w:rPr>
          <w:color w:val="auto"/>
        </w:rPr>
      </w:pPr>
      <w:r>
        <w:rPr>
          <w:color w:val="auto"/>
          <w:spacing w:val="-1"/>
        </w:rPr>
        <w:t>货值金额十万元以上的，处以十五万元以上二十万元以下的罚款。</w:t>
      </w:r>
      <w:r>
        <w:rPr>
          <w:color w:val="auto"/>
        </w:rPr>
        <w:t>3.【严重】</w:t>
      </w:r>
    </w:p>
    <w:p>
      <w:pPr>
        <w:pStyle w:val="4"/>
        <w:ind w:left="591"/>
        <w:rPr>
          <w:color w:val="auto"/>
        </w:rPr>
      </w:pPr>
      <w:r>
        <w:rPr>
          <w:color w:val="auto"/>
        </w:rPr>
        <w:t>处罚后又从事上述违法行为的，处以二十万元的罚款，吊销其营业执照。</w:t>
      </w:r>
    </w:p>
    <w:p>
      <w:pPr>
        <w:pStyle w:val="2"/>
        <w:spacing w:before="191" w:line="391" w:lineRule="auto"/>
        <w:ind w:left="111" w:right="235" w:firstLine="480"/>
        <w:jc w:val="both"/>
        <w:rPr>
          <w:color w:val="auto"/>
        </w:rPr>
      </w:pPr>
      <w:bookmarkStart w:id="163" w:name="八十、商品零售场所以低于经营成本销售塑料购物袋，不标明价格或不按规定的内容方式标"/>
      <w:bookmarkEnd w:id="163"/>
      <w:bookmarkStart w:id="164" w:name="_bookmark81"/>
      <w:bookmarkEnd w:id="164"/>
      <w:r>
        <w:rPr>
          <w:color w:val="auto"/>
          <w:spacing w:val="-8"/>
        </w:rPr>
        <w:t>八十、商品零售场所以低于经营成本销售塑料购物袋，不标明价格或不按规定的</w:t>
      </w:r>
      <w:r>
        <w:rPr>
          <w:color w:val="auto"/>
          <w:spacing w:val="-12"/>
        </w:rPr>
        <w:t>内容方式标明价格销售塑料购物袋，采取打折或其他方式不按标示的价格向消费者销售塑料购物袋，向消费者无偿或变相无偿提供塑料购物袋，未在销售凭证上单独列示消费者购买塑料购物袋的数量、单价和款项</w:t>
      </w:r>
    </w:p>
    <w:p>
      <w:pPr>
        <w:spacing w:before="0" w:line="302" w:lineRule="exact"/>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10"/>
        </w:rPr>
        <w:t>、《商品零售场所塑料购物袋有偿使用管理办法》第十五条 商品零售场所的经</w:t>
      </w:r>
      <w:r>
        <w:rPr>
          <w:color w:val="auto"/>
          <w:spacing w:val="-9"/>
        </w:rPr>
        <w:t>营者、开办单位或出租单位违反本办法第六条有关竞争行为和第七条规定的，由工商</w:t>
      </w:r>
      <w:r>
        <w:rPr>
          <w:color w:val="auto"/>
          <w:spacing w:val="-4"/>
        </w:rPr>
        <w:t xml:space="preserve">行政管理部门责令改正，并可视情节处以 </w:t>
      </w:r>
      <w:r>
        <w:rPr>
          <w:color w:val="auto"/>
        </w:rPr>
        <w:t>10000</w:t>
      </w:r>
      <w:r>
        <w:rPr>
          <w:color w:val="auto"/>
          <w:spacing w:val="-9"/>
        </w:rPr>
        <w:t xml:space="preserve"> 元以下罚款。</w:t>
      </w:r>
    </w:p>
    <w:p>
      <w:pPr>
        <w:pStyle w:val="13"/>
        <w:numPr>
          <w:ilvl w:val="1"/>
          <w:numId w:val="46"/>
        </w:numPr>
        <w:tabs>
          <w:tab w:val="left" w:pos="954"/>
        </w:tabs>
        <w:spacing w:before="39" w:after="0" w:line="391" w:lineRule="auto"/>
        <w:ind w:left="111" w:right="271" w:firstLine="480"/>
        <w:jc w:val="left"/>
        <w:rPr>
          <w:color w:val="auto"/>
          <w:sz w:val="24"/>
        </w:rPr>
      </w:pPr>
      <w:r>
        <w:rPr>
          <w:color w:val="auto"/>
          <w:spacing w:val="-10"/>
          <w:sz w:val="24"/>
        </w:rPr>
        <w:t>、《商品零售场所塑料购物袋有偿使用管理办法》第六条 商品零售场所可自主制定塑料购物袋价格，但不得有下列行为：</w:t>
      </w:r>
    </w:p>
    <w:p>
      <w:pPr>
        <w:pStyle w:val="4"/>
        <w:spacing w:line="306" w:lineRule="exact"/>
        <w:ind w:left="591"/>
        <w:rPr>
          <w:color w:val="auto"/>
        </w:rPr>
      </w:pPr>
      <w:r>
        <w:rPr>
          <w:color w:val="auto"/>
        </w:rPr>
        <w:t>（一）低于经营成本销售塑料购物袋；</w:t>
      </w:r>
    </w:p>
    <w:p>
      <w:pPr>
        <w:pStyle w:val="4"/>
        <w:spacing w:before="192"/>
        <w:ind w:left="591"/>
        <w:rPr>
          <w:color w:val="auto"/>
        </w:rPr>
      </w:pPr>
      <w:r>
        <w:rPr>
          <w:color w:val="auto"/>
        </w:rPr>
        <w:t>（二）不标明价格或不按规定的内容方式标明价格销售塑料购物袋；</w:t>
      </w:r>
    </w:p>
    <w:p>
      <w:pPr>
        <w:pStyle w:val="4"/>
        <w:spacing w:before="194"/>
        <w:ind w:left="591"/>
        <w:rPr>
          <w:color w:val="auto"/>
        </w:rPr>
      </w:pPr>
      <w:r>
        <w:rPr>
          <w:color w:val="auto"/>
        </w:rPr>
        <w:t>（三）采取打折或其他方式不按标示的价格向消费者销售塑料购物袋；</w:t>
      </w:r>
    </w:p>
    <w:p>
      <w:pPr>
        <w:pStyle w:val="4"/>
        <w:spacing w:before="192"/>
        <w:ind w:left="591"/>
        <w:rPr>
          <w:color w:val="auto"/>
        </w:rPr>
      </w:pPr>
      <w:r>
        <w:rPr>
          <w:color w:val="auto"/>
        </w:rPr>
        <w:t>（四）向消费者无偿或变相无偿提供塑料购物袋。</w:t>
      </w:r>
    </w:p>
    <w:p>
      <w:pPr>
        <w:pStyle w:val="13"/>
        <w:numPr>
          <w:ilvl w:val="1"/>
          <w:numId w:val="46"/>
        </w:numPr>
        <w:tabs>
          <w:tab w:val="left" w:pos="954"/>
        </w:tabs>
        <w:spacing w:before="192" w:after="0" w:line="391" w:lineRule="auto"/>
        <w:ind w:left="111" w:right="271" w:firstLine="480"/>
        <w:jc w:val="left"/>
        <w:rPr>
          <w:color w:val="auto"/>
          <w:sz w:val="24"/>
        </w:rPr>
      </w:pPr>
      <w:r>
        <w:rPr>
          <w:color w:val="auto"/>
          <w:spacing w:val="-10"/>
          <w:sz w:val="24"/>
        </w:rPr>
        <w:t>、《商品零售场所塑料购物袋有偿使用管理办法》第七条 商品零售场所应当在销售凭证上单独列示消费者购买塑料购物袋的数量、单价和款项。</w:t>
      </w:r>
    </w:p>
    <w:p>
      <w:pPr>
        <w:pStyle w:val="4"/>
        <w:spacing w:line="306" w:lineRule="exact"/>
        <w:ind w:left="591"/>
        <w:rPr>
          <w:color w:val="auto"/>
        </w:rPr>
      </w:pPr>
      <w:r>
        <w:rPr>
          <w:color w:val="auto"/>
        </w:rPr>
        <w:t>以出租摊位形式经营的集贸市场对消费者开具销售凭证确有困难的除外。</w:t>
      </w:r>
    </w:p>
    <w:p>
      <w:pPr>
        <w:spacing w:before="191" w:line="391" w:lineRule="auto"/>
        <w:ind w:left="591" w:right="6948" w:firstLine="0"/>
        <w:jc w:val="left"/>
        <w:rPr>
          <w:b/>
          <w:color w:val="auto"/>
          <w:spacing w:val="-5"/>
          <w:sz w:val="24"/>
        </w:rPr>
      </w:pPr>
      <w:r>
        <w:rPr>
          <w:b/>
          <w:color w:val="auto"/>
          <w:sz w:val="24"/>
        </w:rPr>
        <w:t>（二）</w:t>
      </w:r>
      <w:r>
        <w:rPr>
          <w:b/>
          <w:color w:val="auto"/>
          <w:spacing w:val="-5"/>
          <w:sz w:val="24"/>
        </w:rPr>
        <w:t>裁量标准</w:t>
      </w:r>
    </w:p>
    <w:p>
      <w:pPr>
        <w:spacing w:before="191" w:line="391" w:lineRule="auto"/>
        <w:ind w:left="591" w:right="6948" w:firstLine="0"/>
        <w:jc w:val="left"/>
        <w:rPr>
          <w:rFonts w:hint="default"/>
          <w:b/>
          <w:color w:val="auto"/>
          <w:spacing w:val="-5"/>
          <w:sz w:val="24"/>
          <w:lang w:val="en-US" w:eastAsia="zh-CN"/>
        </w:rPr>
      </w:pPr>
      <w:r>
        <w:rPr>
          <w:rFonts w:hint="eastAsia"/>
          <w:b/>
          <w:color w:val="auto"/>
          <w:spacing w:val="-5"/>
          <w:sz w:val="24"/>
          <w:lang w:val="en-US" w:eastAsia="zh-CN"/>
        </w:rPr>
        <w:t>1.【不予处罚】</w:t>
      </w:r>
    </w:p>
    <w:p>
      <w:pPr>
        <w:keepNext w:val="0"/>
        <w:keepLines w:val="0"/>
        <w:widowControl/>
        <w:suppressLineNumbers w:val="0"/>
        <w:ind w:firstLine="960" w:firstLineChars="400"/>
        <w:jc w:val="left"/>
        <w:rPr>
          <w:rFonts w:hint="eastAsia"/>
          <w:b/>
          <w:color w:val="auto"/>
          <w:spacing w:val="-5"/>
          <w:sz w:val="24"/>
          <w:lang w:val="en-US" w:eastAsia="zh-CN"/>
        </w:rPr>
      </w:pPr>
      <w:r>
        <w:rPr>
          <w:rFonts w:hint="eastAsia" w:ascii="宋体" w:hAnsi="宋体" w:eastAsia="宋体" w:cs="宋体"/>
          <w:color w:val="auto"/>
          <w:kern w:val="0"/>
          <w:sz w:val="24"/>
          <w:szCs w:val="24"/>
          <w:lang w:val="en-US" w:eastAsia="zh-CN" w:bidi="ar"/>
        </w:rPr>
        <w:t>自行改正或者在行政机关责令改正的期限内改正</w:t>
      </w:r>
    </w:p>
    <w:p>
      <w:pPr>
        <w:spacing w:before="191" w:line="391" w:lineRule="auto"/>
        <w:ind w:left="591" w:right="6948" w:firstLine="0"/>
        <w:jc w:val="left"/>
        <w:rPr>
          <w:color w:val="auto"/>
          <w:sz w:val="24"/>
        </w:rPr>
      </w:pPr>
      <w:r>
        <w:rPr>
          <w:rFonts w:hint="eastAsia"/>
          <w:b/>
          <w:color w:val="auto"/>
          <w:spacing w:val="-5"/>
          <w:sz w:val="24"/>
          <w:lang w:val="en-US" w:eastAsia="zh-CN"/>
        </w:rPr>
        <w:t>2</w:t>
      </w:r>
      <w:r>
        <w:rPr>
          <w:color w:val="auto"/>
          <w:sz w:val="24"/>
        </w:rPr>
        <w:t>.【较轻】</w:t>
      </w:r>
    </w:p>
    <w:p>
      <w:pPr>
        <w:pStyle w:val="4"/>
        <w:spacing w:line="388" w:lineRule="auto"/>
        <w:ind w:left="591" w:right="4072"/>
        <w:rPr>
          <w:color w:val="auto"/>
        </w:rPr>
      </w:pPr>
      <w:r>
        <w:rPr>
          <w:color w:val="auto"/>
          <w:spacing w:val="-1"/>
        </w:rPr>
        <w:t>第一次发现的，可以处三千元以下的罚款。</w:t>
      </w:r>
      <w:r>
        <w:rPr>
          <w:rFonts w:hint="eastAsia"/>
          <w:color w:val="auto"/>
          <w:lang w:val="en-US" w:eastAsia="zh-CN"/>
        </w:rPr>
        <w:t>3</w:t>
      </w:r>
      <w:r>
        <w:rPr>
          <w:color w:val="auto"/>
        </w:rPr>
        <w:t>.【一般】</w:t>
      </w:r>
    </w:p>
    <w:p>
      <w:pPr>
        <w:pStyle w:val="4"/>
        <w:spacing w:before="3" w:line="388" w:lineRule="auto"/>
        <w:ind w:left="591" w:right="3112"/>
        <w:rPr>
          <w:color w:val="auto"/>
        </w:rPr>
      </w:pPr>
      <w:r>
        <w:rPr>
          <w:color w:val="auto"/>
          <w:spacing w:val="-1"/>
        </w:rPr>
        <w:t>第二次发现的，处以三千元以上七千元以下的罚款。</w:t>
      </w:r>
      <w:r>
        <w:rPr>
          <w:rFonts w:hint="eastAsia"/>
          <w:color w:val="auto"/>
          <w:lang w:val="en-US" w:eastAsia="zh-CN"/>
        </w:rPr>
        <w:t>4</w:t>
      </w:r>
      <w:r>
        <w:rPr>
          <w:color w:val="auto"/>
        </w:rPr>
        <w:t>.【严重】</w:t>
      </w:r>
    </w:p>
    <w:p>
      <w:pPr>
        <w:pStyle w:val="4"/>
        <w:spacing w:before="2"/>
        <w:ind w:left="591"/>
        <w:rPr>
          <w:color w:val="auto"/>
        </w:rPr>
      </w:pPr>
      <w:r>
        <w:rPr>
          <w:color w:val="auto"/>
        </w:rPr>
        <w:t>发现三次以上的，处以七千元以上一万元以下的罚款。</w:t>
      </w:r>
    </w:p>
    <w:p>
      <w:pPr>
        <w:pStyle w:val="2"/>
        <w:spacing w:before="194" w:line="388" w:lineRule="auto"/>
        <w:ind w:left="111" w:right="240" w:firstLine="480"/>
        <w:rPr>
          <w:color w:val="auto"/>
        </w:rPr>
      </w:pPr>
      <w:bookmarkStart w:id="165" w:name="八十一、商品零售场所未向依法设立的塑料购物袋生产厂家、批发商或进口商采购塑料购物"/>
      <w:bookmarkEnd w:id="165"/>
      <w:bookmarkStart w:id="166" w:name="_bookmark82"/>
      <w:bookmarkEnd w:id="166"/>
      <w:r>
        <w:rPr>
          <w:color w:val="auto"/>
          <w:spacing w:val="-8"/>
        </w:rPr>
        <w:t>八十一、商品零售场所未向依法设立的塑料购物袋生产厂家、批发商或进口商采购塑料购物袋，未索取相关证照，未建立塑料购物袋购销台账</w:t>
      </w:r>
    </w:p>
    <w:p>
      <w:pPr>
        <w:spacing w:before="3"/>
        <w:ind w:left="591" w:right="0" w:firstLine="0"/>
        <w:jc w:val="left"/>
        <w:rPr>
          <w:b/>
          <w:color w:val="auto"/>
          <w:sz w:val="24"/>
        </w:rPr>
      </w:pPr>
      <w:r>
        <w:rPr>
          <w:b/>
          <w:color w:val="auto"/>
          <w:sz w:val="24"/>
        </w:rPr>
        <w:t>（一）处罚依据</w:t>
      </w:r>
    </w:p>
    <w:p>
      <w:pPr>
        <w:pStyle w:val="4"/>
        <w:spacing w:before="194" w:line="388" w:lineRule="auto"/>
        <w:ind w:right="232" w:firstLine="480"/>
        <w:jc w:val="both"/>
        <w:rPr>
          <w:color w:val="auto"/>
        </w:rPr>
      </w:pPr>
      <w:r>
        <w:rPr>
          <w:color w:val="auto"/>
        </w:rPr>
        <w:t>1</w:t>
      </w:r>
      <w:r>
        <w:rPr>
          <w:color w:val="auto"/>
          <w:spacing w:val="-10"/>
        </w:rPr>
        <w:t>、《商品零售场所塑料购物袋有偿使用管理办法》第十六条 商品零售场所经营</w:t>
      </w:r>
      <w:r>
        <w:rPr>
          <w:color w:val="auto"/>
          <w:spacing w:val="-11"/>
        </w:rPr>
        <w:t xml:space="preserve">者、开办单位或出租单位违反本办法第八条规定的，由工商行政管理部门责令改正， </w:t>
      </w:r>
      <w:r>
        <w:rPr>
          <w:color w:val="auto"/>
          <w:spacing w:val="-8"/>
        </w:rPr>
        <w:t xml:space="preserve">并可视情节处以 </w:t>
      </w:r>
      <w:r>
        <w:rPr>
          <w:color w:val="auto"/>
        </w:rPr>
        <w:t>20000</w:t>
      </w:r>
      <w:r>
        <w:rPr>
          <w:color w:val="auto"/>
          <w:spacing w:val="-9"/>
        </w:rPr>
        <w:t xml:space="preserve"> 元以下罚款。</w:t>
      </w:r>
    </w:p>
    <w:p>
      <w:pPr>
        <w:pStyle w:val="4"/>
        <w:spacing w:before="5" w:line="388" w:lineRule="auto"/>
        <w:ind w:right="232" w:firstLine="480"/>
        <w:jc w:val="both"/>
        <w:rPr>
          <w:color w:val="auto"/>
        </w:rPr>
      </w:pPr>
      <w:r>
        <w:rPr>
          <w:color w:val="auto"/>
        </w:rPr>
        <w:t>2</w:t>
      </w:r>
      <w:r>
        <w:rPr>
          <w:color w:val="auto"/>
          <w:spacing w:val="-10"/>
        </w:rPr>
        <w:t>、《商品零售场所塑料购物袋有偿使用管理办法》第八条 商品零售场所应向依</w:t>
      </w:r>
      <w:r>
        <w:rPr>
          <w:color w:val="auto"/>
          <w:spacing w:val="-11"/>
        </w:rPr>
        <w:t xml:space="preserve">法设立的塑料购物袋生产厂家、批发商或进口商采购塑料购物袋，并索取相关证照， </w:t>
      </w:r>
      <w:r>
        <w:rPr>
          <w:color w:val="auto"/>
        </w:rPr>
        <w:t>建立塑料购物袋购销台账，以备查验。</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ind w:left="591"/>
        <w:rPr>
          <w:color w:val="auto"/>
        </w:rPr>
      </w:pPr>
      <w:r>
        <w:rPr>
          <w:color w:val="auto"/>
        </w:rPr>
        <w:t>第一次发现的，可处以六千元以下的罚款。</w:t>
      </w:r>
    </w:p>
    <w:p>
      <w:pPr>
        <w:pStyle w:val="4"/>
        <w:spacing w:before="39"/>
        <w:ind w:left="591"/>
        <w:rPr>
          <w:color w:val="auto"/>
        </w:rPr>
      </w:pPr>
      <w:r>
        <w:rPr>
          <w:color w:val="auto"/>
        </w:rPr>
        <w:t>2.【一般】</w:t>
      </w:r>
    </w:p>
    <w:p>
      <w:pPr>
        <w:pStyle w:val="4"/>
        <w:spacing w:before="195" w:line="388" w:lineRule="auto"/>
        <w:ind w:left="591" w:right="2632"/>
        <w:rPr>
          <w:color w:val="auto"/>
        </w:rPr>
      </w:pPr>
      <w:r>
        <w:rPr>
          <w:color w:val="auto"/>
          <w:spacing w:val="-1"/>
        </w:rPr>
        <w:t>第二次发现的，处以六千元以上一万四千元以下的罚款。</w:t>
      </w:r>
      <w:r>
        <w:rPr>
          <w:color w:val="auto"/>
        </w:rPr>
        <w:t>3.【严重】</w:t>
      </w:r>
    </w:p>
    <w:p>
      <w:pPr>
        <w:pStyle w:val="4"/>
        <w:spacing w:before="2"/>
        <w:ind w:left="591"/>
        <w:rPr>
          <w:color w:val="auto"/>
        </w:rPr>
      </w:pPr>
      <w:r>
        <w:rPr>
          <w:color w:val="auto"/>
        </w:rPr>
        <w:t>发现三次以上的，处以一万四千元以上两万元以下的罚款。</w:t>
      </w:r>
    </w:p>
    <w:p>
      <w:pPr>
        <w:pStyle w:val="2"/>
        <w:spacing w:before="194" w:line="388" w:lineRule="auto"/>
        <w:ind w:left="111" w:right="240" w:firstLine="480"/>
        <w:rPr>
          <w:color w:val="auto"/>
        </w:rPr>
      </w:pPr>
      <w:bookmarkStart w:id="167" w:name="_bookmark83"/>
      <w:bookmarkEnd w:id="167"/>
      <w:bookmarkStart w:id="168" w:name="八十二、擅自设立文物商店、经营文物拍卖的拍卖企业，或者擅自从事文物的商业经营活动"/>
      <w:bookmarkEnd w:id="168"/>
      <w:r>
        <w:rPr>
          <w:color w:val="auto"/>
          <w:spacing w:val="-8"/>
        </w:rPr>
        <w:t>八十二、擅自设立文物商店、经营文物拍卖的拍卖企业，或者擅自从事文物的商业经营活动</w:t>
      </w:r>
    </w:p>
    <w:p>
      <w:pPr>
        <w:spacing w:before="2"/>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rPr>
        <w:t>《文物保护法》第七十二条 未经许可，擅自设立文物商店、经营文物拍卖的拍</w:t>
      </w:r>
      <w:r>
        <w:rPr>
          <w:color w:val="auto"/>
          <w:spacing w:val="-6"/>
        </w:rPr>
        <w:t>卖企业，或者擅自从事文物的商业经营活动，尚不构成犯罪的，由工商行政管理部门依法予以制止，没收违法所得、非法经营的文物，违法经营额五万元以上的，并处违</w:t>
      </w:r>
      <w:r>
        <w:rPr>
          <w:color w:val="auto"/>
          <w:spacing w:val="-4"/>
        </w:rPr>
        <w:t>法经营额二倍以上五倍以下的罚款；违法经营额不足五万元的，并处二万元以上十万</w:t>
      </w:r>
      <w:r>
        <w:rPr>
          <w:color w:val="auto"/>
        </w:rPr>
        <w:t>元以下的罚款。</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right="213" w:firstLine="480"/>
        <w:rPr>
          <w:color w:val="auto"/>
        </w:rPr>
      </w:pPr>
      <w:r>
        <w:rPr>
          <w:color w:val="auto"/>
        </w:rPr>
        <w:t>违法经营额二万元以下的，没收违法所得、非法经营的文物，并处二万元以上五万元以下的罚款。</w:t>
      </w:r>
    </w:p>
    <w:p>
      <w:pPr>
        <w:pStyle w:val="13"/>
        <w:numPr>
          <w:ilvl w:val="0"/>
          <w:numId w:val="47"/>
        </w:numPr>
        <w:tabs>
          <w:tab w:val="left" w:pos="833"/>
        </w:tabs>
        <w:spacing w:before="0" w:after="0" w:line="240" w:lineRule="auto"/>
        <w:ind w:left="832" w:right="0" w:hanging="242"/>
        <w:jc w:val="left"/>
        <w:rPr>
          <w:color w:val="auto"/>
          <w:sz w:val="24"/>
        </w:rPr>
      </w:pPr>
      <w:r>
        <w:rPr>
          <w:color w:val="auto"/>
          <w:sz w:val="24"/>
        </w:rPr>
        <w:t>【一般】</w:t>
      </w:r>
    </w:p>
    <w:p>
      <w:pPr>
        <w:pStyle w:val="4"/>
        <w:spacing w:before="187" w:line="388" w:lineRule="auto"/>
        <w:ind w:right="213" w:firstLine="480"/>
        <w:rPr>
          <w:color w:val="auto"/>
        </w:rPr>
      </w:pPr>
      <w:r>
        <w:rPr>
          <w:color w:val="auto"/>
        </w:rPr>
        <w:t>违法经营额二万元以上五万元以下的，没收违法所得、非法经营的文物，并处五万元以上十万元以下的罚款。</w:t>
      </w:r>
    </w:p>
    <w:p>
      <w:pPr>
        <w:pStyle w:val="13"/>
        <w:numPr>
          <w:ilvl w:val="0"/>
          <w:numId w:val="47"/>
        </w:numPr>
        <w:tabs>
          <w:tab w:val="left" w:pos="833"/>
        </w:tabs>
        <w:spacing w:before="4" w:after="0" w:line="240" w:lineRule="auto"/>
        <w:ind w:left="832" w:right="0" w:hanging="242"/>
        <w:jc w:val="left"/>
        <w:rPr>
          <w:color w:val="auto"/>
          <w:sz w:val="24"/>
        </w:rPr>
      </w:pPr>
      <w:r>
        <w:rPr>
          <w:color w:val="auto"/>
          <w:sz w:val="24"/>
        </w:rPr>
        <w:t>【较重】</w:t>
      </w:r>
    </w:p>
    <w:p>
      <w:pPr>
        <w:pStyle w:val="4"/>
        <w:spacing w:before="192" w:line="388" w:lineRule="auto"/>
        <w:ind w:right="213" w:firstLine="480"/>
        <w:rPr>
          <w:color w:val="auto"/>
        </w:rPr>
      </w:pPr>
      <w:r>
        <w:rPr>
          <w:color w:val="auto"/>
        </w:rPr>
        <w:t>违法经营额五万元以上十万元以下的，没收违法所得、非法经营的文物，并处违法经营额二倍以上三倍以下的罚款。</w:t>
      </w:r>
    </w:p>
    <w:p>
      <w:pPr>
        <w:pStyle w:val="13"/>
        <w:numPr>
          <w:ilvl w:val="0"/>
          <w:numId w:val="47"/>
        </w:numPr>
        <w:tabs>
          <w:tab w:val="left" w:pos="833"/>
        </w:tabs>
        <w:spacing w:before="5" w:after="0" w:line="240" w:lineRule="auto"/>
        <w:ind w:left="832" w:right="0" w:hanging="242"/>
        <w:jc w:val="left"/>
        <w:rPr>
          <w:color w:val="auto"/>
          <w:sz w:val="24"/>
        </w:rPr>
      </w:pPr>
      <w:r>
        <w:rPr>
          <w:color w:val="auto"/>
          <w:sz w:val="24"/>
        </w:rPr>
        <w:t>【严重】</w:t>
      </w:r>
    </w:p>
    <w:p>
      <w:pPr>
        <w:pStyle w:val="4"/>
        <w:spacing w:before="191" w:line="388" w:lineRule="auto"/>
        <w:ind w:right="213" w:firstLine="480"/>
        <w:rPr>
          <w:color w:val="auto"/>
        </w:rPr>
      </w:pPr>
      <w:r>
        <w:rPr>
          <w:color w:val="auto"/>
        </w:rPr>
        <w:t>违法经营额十万元以上的，没收违法所得、非法经营的文物，并处违法经营额三倍以上五倍以下的罚款。</w:t>
      </w:r>
    </w:p>
    <w:p>
      <w:pPr>
        <w:pStyle w:val="2"/>
        <w:spacing w:before="5" w:line="388" w:lineRule="auto"/>
        <w:ind w:left="111" w:right="237" w:firstLine="480"/>
        <w:jc w:val="both"/>
        <w:rPr>
          <w:color w:val="auto"/>
        </w:rPr>
      </w:pPr>
      <w:bookmarkStart w:id="169" w:name="_bookmark84"/>
      <w:bookmarkEnd w:id="169"/>
      <w:bookmarkStart w:id="170" w:name="八十三、文物商店从事文物拍卖经营活动，经营文物拍卖的拍卖企业从事文物购销经营活动"/>
      <w:bookmarkEnd w:id="170"/>
      <w:r>
        <w:rPr>
          <w:color w:val="auto"/>
          <w:spacing w:val="-8"/>
        </w:rPr>
        <w:t>八十三、文物商店从事文物拍卖经营活动，经营文物拍卖的拍卖企业从事文物购</w:t>
      </w:r>
      <w:r>
        <w:rPr>
          <w:color w:val="auto"/>
          <w:spacing w:val="-10"/>
        </w:rPr>
        <w:t>销经营活动，文物商店销售的文物、拍卖企业拍卖的文物未经审核，文物收藏单位从事文物的商业经营活动</w:t>
      </w:r>
    </w:p>
    <w:p>
      <w:pPr>
        <w:spacing w:before="39"/>
        <w:ind w:left="591" w:right="0" w:firstLine="0"/>
        <w:jc w:val="left"/>
        <w:rPr>
          <w:b/>
          <w:color w:val="auto"/>
          <w:sz w:val="24"/>
        </w:rPr>
      </w:pPr>
      <w:r>
        <w:rPr>
          <w:b/>
          <w:color w:val="auto"/>
          <w:sz w:val="24"/>
        </w:rPr>
        <w:t>（一）处罚依据</w:t>
      </w:r>
    </w:p>
    <w:p>
      <w:pPr>
        <w:pStyle w:val="4"/>
        <w:spacing w:before="195" w:line="391" w:lineRule="auto"/>
        <w:ind w:right="268" w:firstLine="480"/>
        <w:jc w:val="both"/>
        <w:rPr>
          <w:color w:val="auto"/>
        </w:rPr>
      </w:pPr>
      <w:r>
        <w:rPr>
          <w:color w:val="auto"/>
        </w:rPr>
        <w:t>《文物保护法》第七十三条 有下列情形之一的，由工商行政管理部门没收违法</w:t>
      </w:r>
      <w:r>
        <w:rPr>
          <w:color w:val="auto"/>
          <w:spacing w:val="-6"/>
        </w:rPr>
        <w:t>所得、非法经营的文物，违法经营额五万元以上的，并处违法经营额一倍以上三倍以下的罚款；违法经营额不足五万元的，并处五千元以上五万元以下的罚款；情节严重</w:t>
      </w:r>
      <w:r>
        <w:rPr>
          <w:color w:val="auto"/>
        </w:rPr>
        <w:t>的，由原发证机关吊销许可证书：</w:t>
      </w:r>
    </w:p>
    <w:p>
      <w:pPr>
        <w:pStyle w:val="4"/>
        <w:spacing w:line="302" w:lineRule="exact"/>
        <w:ind w:left="591"/>
        <w:rPr>
          <w:color w:val="auto"/>
        </w:rPr>
      </w:pPr>
      <w:r>
        <w:rPr>
          <w:color w:val="auto"/>
        </w:rPr>
        <w:t>（一）文物商店从事文物拍卖经营活动的；</w:t>
      </w:r>
    </w:p>
    <w:p>
      <w:pPr>
        <w:pStyle w:val="4"/>
        <w:spacing w:before="191"/>
        <w:ind w:left="591"/>
        <w:rPr>
          <w:color w:val="auto"/>
        </w:rPr>
      </w:pPr>
      <w:r>
        <w:rPr>
          <w:color w:val="auto"/>
        </w:rPr>
        <w:t>（二）经营文物拍卖的拍卖企业从事文物购销经营活动的；</w:t>
      </w:r>
    </w:p>
    <w:p>
      <w:pPr>
        <w:pStyle w:val="4"/>
        <w:spacing w:before="194"/>
        <w:ind w:left="591"/>
        <w:rPr>
          <w:color w:val="auto"/>
        </w:rPr>
      </w:pPr>
      <w:r>
        <w:rPr>
          <w:color w:val="auto"/>
        </w:rPr>
        <w:t>（三）文物商店销售的文物、拍卖企业拍卖的文物，未经审核的；</w:t>
      </w:r>
    </w:p>
    <w:p>
      <w:pPr>
        <w:pStyle w:val="4"/>
        <w:spacing w:before="192"/>
        <w:ind w:left="591"/>
        <w:rPr>
          <w:color w:val="auto"/>
        </w:rPr>
      </w:pPr>
      <w:r>
        <w:rPr>
          <w:color w:val="auto"/>
        </w:rPr>
        <w:t>（四）文物收藏单位从事文物的商业经营活动的。</w:t>
      </w:r>
    </w:p>
    <w:p>
      <w:pPr>
        <w:spacing w:before="192"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违法经营额二万元以下的，没收违法所得、非法经营的文物，并处五千元以上二万元以下的罚款。</w:t>
      </w:r>
    </w:p>
    <w:p>
      <w:pPr>
        <w:pStyle w:val="13"/>
        <w:numPr>
          <w:ilvl w:val="0"/>
          <w:numId w:val="48"/>
        </w:numPr>
        <w:tabs>
          <w:tab w:val="left" w:pos="833"/>
        </w:tabs>
        <w:spacing w:before="3" w:after="0" w:line="240" w:lineRule="auto"/>
        <w:ind w:left="832" w:right="0" w:hanging="242"/>
        <w:jc w:val="left"/>
        <w:rPr>
          <w:color w:val="auto"/>
          <w:sz w:val="24"/>
        </w:rPr>
      </w:pPr>
      <w:r>
        <w:rPr>
          <w:color w:val="auto"/>
          <w:sz w:val="24"/>
        </w:rPr>
        <w:t>【一般】</w:t>
      </w:r>
    </w:p>
    <w:p>
      <w:pPr>
        <w:pStyle w:val="4"/>
        <w:spacing w:before="191" w:line="388" w:lineRule="auto"/>
        <w:ind w:right="213" w:firstLine="480"/>
        <w:rPr>
          <w:color w:val="auto"/>
        </w:rPr>
      </w:pPr>
      <w:r>
        <w:rPr>
          <w:color w:val="auto"/>
        </w:rPr>
        <w:t>违法经营额二万元以上五万元以下的，没收违法所得、非法经营的文物，并处二万元以上五万元以下的罚款。</w:t>
      </w:r>
    </w:p>
    <w:p>
      <w:pPr>
        <w:pStyle w:val="13"/>
        <w:numPr>
          <w:ilvl w:val="0"/>
          <w:numId w:val="48"/>
        </w:numPr>
        <w:tabs>
          <w:tab w:val="left" w:pos="833"/>
        </w:tabs>
        <w:spacing w:before="5" w:after="0" w:line="240" w:lineRule="auto"/>
        <w:ind w:left="832" w:right="0" w:hanging="242"/>
        <w:jc w:val="left"/>
        <w:rPr>
          <w:color w:val="auto"/>
          <w:sz w:val="24"/>
        </w:rPr>
      </w:pPr>
      <w:r>
        <w:rPr>
          <w:color w:val="auto"/>
          <w:sz w:val="24"/>
        </w:rPr>
        <w:t>【较重】</w:t>
      </w:r>
    </w:p>
    <w:p>
      <w:pPr>
        <w:pStyle w:val="4"/>
        <w:spacing w:before="192" w:line="388" w:lineRule="auto"/>
        <w:ind w:right="213" w:firstLine="480"/>
        <w:rPr>
          <w:color w:val="auto"/>
        </w:rPr>
      </w:pPr>
      <w:r>
        <w:rPr>
          <w:color w:val="auto"/>
        </w:rPr>
        <w:t>违法经营额五万元以上十万元以下的，没收违法所得、非法经营的文物，并处违法经营额一倍以上二倍以下的罚款。</w:t>
      </w:r>
    </w:p>
    <w:p>
      <w:pPr>
        <w:pStyle w:val="13"/>
        <w:numPr>
          <w:ilvl w:val="0"/>
          <w:numId w:val="48"/>
        </w:numPr>
        <w:tabs>
          <w:tab w:val="left" w:pos="833"/>
        </w:tabs>
        <w:spacing w:before="4" w:after="0" w:line="240" w:lineRule="auto"/>
        <w:ind w:left="832" w:right="0" w:hanging="242"/>
        <w:jc w:val="left"/>
        <w:rPr>
          <w:color w:val="auto"/>
          <w:sz w:val="24"/>
        </w:rPr>
      </w:pPr>
      <w:r>
        <w:rPr>
          <w:color w:val="auto"/>
          <w:sz w:val="24"/>
        </w:rPr>
        <w:t>【严重】</w:t>
      </w:r>
    </w:p>
    <w:p>
      <w:pPr>
        <w:pStyle w:val="4"/>
        <w:spacing w:before="192" w:line="388" w:lineRule="auto"/>
        <w:ind w:right="213" w:firstLine="480"/>
        <w:rPr>
          <w:color w:val="auto"/>
        </w:rPr>
      </w:pPr>
      <w:r>
        <w:rPr>
          <w:color w:val="auto"/>
        </w:rPr>
        <w:t>违法经营额十万元以上的，没收违法所得、非法经营的文物，并处违法经营额二倍以上三倍以下的罚款。</w:t>
      </w:r>
    </w:p>
    <w:p>
      <w:pPr>
        <w:pStyle w:val="2"/>
        <w:spacing w:before="4"/>
        <w:rPr>
          <w:color w:val="auto"/>
        </w:rPr>
      </w:pPr>
      <w:bookmarkStart w:id="171" w:name="八十四、合法制糖企业外的企业、个人收购糖料"/>
      <w:bookmarkEnd w:id="171"/>
      <w:bookmarkStart w:id="172" w:name="_bookmark85"/>
      <w:bookmarkEnd w:id="172"/>
      <w:r>
        <w:rPr>
          <w:color w:val="auto"/>
        </w:rPr>
        <w:t>八十四、合法制糖企业外的企业、个人收购糖料</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rPr>
          <w:color w:val="auto"/>
        </w:rPr>
      </w:pPr>
      <w:r>
        <w:rPr>
          <w:color w:val="auto"/>
        </w:rPr>
        <w:t>1</w:t>
      </w:r>
      <w:r>
        <w:rPr>
          <w:color w:val="auto"/>
          <w:spacing w:val="-8"/>
        </w:rPr>
        <w:t>、《糖料管理暂行办法》第三十九条 违反本办法第三十一条的，由工商行政管理部门责令其停止收购，并视情节处以三万元以下的罚款。</w:t>
      </w:r>
    </w:p>
    <w:p>
      <w:pPr>
        <w:pStyle w:val="4"/>
        <w:spacing w:line="388" w:lineRule="auto"/>
        <w:ind w:right="268" w:firstLine="480"/>
        <w:rPr>
          <w:color w:val="auto"/>
        </w:rPr>
      </w:pPr>
      <w:r>
        <w:rPr>
          <w:color w:val="auto"/>
        </w:rPr>
        <w:t>2</w:t>
      </w:r>
      <w:r>
        <w:rPr>
          <w:color w:val="auto"/>
          <w:spacing w:val="-8"/>
        </w:rPr>
        <w:t>、《糖料管理暂行办法》第三十一条 除合法制糖企业外，其他任何企业和个人均不得收购糖料。</w:t>
      </w:r>
    </w:p>
    <w:p>
      <w:pPr>
        <w:spacing w:before="39"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672"/>
        <w:rPr>
          <w:color w:val="auto"/>
        </w:rPr>
      </w:pPr>
      <w:r>
        <w:rPr>
          <w:color w:val="auto"/>
          <w:spacing w:val="-1"/>
        </w:rPr>
        <w:t>首次收购糖料且货值金额五千元以下的，处以一万元以下的罚款。</w:t>
      </w:r>
      <w:r>
        <w:rPr>
          <w:color w:val="auto"/>
        </w:rPr>
        <w:t>2.【一般】</w:t>
      </w:r>
    </w:p>
    <w:p>
      <w:pPr>
        <w:pStyle w:val="4"/>
        <w:spacing w:before="3" w:line="388" w:lineRule="auto"/>
        <w:ind w:right="213" w:firstLine="480"/>
        <w:rPr>
          <w:color w:val="auto"/>
        </w:rPr>
      </w:pPr>
      <w:r>
        <w:rPr>
          <w:color w:val="auto"/>
        </w:rPr>
        <w:t>首次收购糖料且货值金额五千元以上一万元以下的，处以一万元以上二万元以下的罚款。</w:t>
      </w:r>
    </w:p>
    <w:p>
      <w:pPr>
        <w:pStyle w:val="4"/>
        <w:spacing w:before="2"/>
        <w:ind w:left="591"/>
        <w:rPr>
          <w:color w:val="auto"/>
        </w:rPr>
      </w:pPr>
      <w:r>
        <w:rPr>
          <w:color w:val="auto"/>
        </w:rPr>
        <w:t>3.【严重】</w:t>
      </w:r>
    </w:p>
    <w:p>
      <w:pPr>
        <w:pStyle w:val="4"/>
        <w:spacing w:before="195" w:line="388" w:lineRule="auto"/>
        <w:ind w:right="213" w:firstLine="480"/>
        <w:rPr>
          <w:color w:val="auto"/>
        </w:rPr>
      </w:pPr>
      <w:r>
        <w:rPr>
          <w:color w:val="auto"/>
        </w:rPr>
        <w:t>再次违法收购糖料的，或者收购糖料货值金额一万元以上的，处以二万元以上三万元以下的罚款。</w:t>
      </w:r>
    </w:p>
    <w:p>
      <w:pPr>
        <w:pStyle w:val="2"/>
        <w:spacing w:before="2"/>
        <w:rPr>
          <w:color w:val="auto"/>
        </w:rPr>
      </w:pPr>
      <w:bookmarkStart w:id="173" w:name="八十五、农业机械销售者未按规定建立保存销售记录"/>
      <w:bookmarkEnd w:id="173"/>
      <w:bookmarkStart w:id="174" w:name="_bookmark86"/>
      <w:bookmarkEnd w:id="174"/>
      <w:r>
        <w:rPr>
          <w:color w:val="auto"/>
        </w:rPr>
        <w:t>八十五、农业机械销售者未按规定建立保存销售记录</w:t>
      </w:r>
    </w:p>
    <w:p>
      <w:pPr>
        <w:spacing w:before="194"/>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《农业机械安全监督管理条例》第四十七条 农业机械销售者未依照本条例的规</w:t>
      </w:r>
      <w:r>
        <w:rPr>
          <w:color w:val="auto"/>
          <w:spacing w:val="-7"/>
        </w:rPr>
        <w:t>定建立、保存销售记录的，由县级以上工商行政管理部门责令改正，给予警告；拒不</w:t>
      </w:r>
      <w:r>
        <w:rPr>
          <w:color w:val="auto"/>
          <w:spacing w:val="-8"/>
        </w:rPr>
        <w:t xml:space="preserve">改正的，处 </w:t>
      </w:r>
      <w:r>
        <w:rPr>
          <w:color w:val="auto"/>
        </w:rPr>
        <w:t>1000</w:t>
      </w:r>
      <w:r>
        <w:rPr>
          <w:color w:val="auto"/>
          <w:spacing w:val="-19"/>
        </w:rPr>
        <w:t xml:space="preserve"> 元以上 </w:t>
      </w:r>
      <w:r>
        <w:rPr>
          <w:color w:val="auto"/>
        </w:rPr>
        <w:t>1</w:t>
      </w:r>
      <w:r>
        <w:rPr>
          <w:color w:val="auto"/>
          <w:spacing w:val="-7"/>
        </w:rPr>
        <w:t xml:space="preserve"> 万元以下罚款，并责令停业整顿；情节严重的，吊销营业执照。</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5752"/>
        <w:rPr>
          <w:color w:val="auto"/>
        </w:rPr>
      </w:pPr>
      <w:r>
        <w:rPr>
          <w:color w:val="auto"/>
          <w:spacing w:val="-2"/>
        </w:rPr>
        <w:t>第一次发现的，给予警告。</w:t>
      </w:r>
      <w:r>
        <w:rPr>
          <w:color w:val="auto"/>
        </w:rPr>
        <w:t>2.【一般】</w:t>
      </w:r>
    </w:p>
    <w:p>
      <w:pPr>
        <w:pStyle w:val="4"/>
        <w:spacing w:line="388" w:lineRule="auto"/>
        <w:ind w:left="591" w:right="3112"/>
        <w:rPr>
          <w:color w:val="auto"/>
        </w:rPr>
      </w:pPr>
      <w:r>
        <w:rPr>
          <w:color w:val="auto"/>
          <w:spacing w:val="-1"/>
        </w:rPr>
        <w:t>第二次发现的，处以一千元以上三千元以下的罚款。</w:t>
      </w:r>
      <w:r>
        <w:rPr>
          <w:color w:val="auto"/>
        </w:rPr>
        <w:t>3.【较重】</w:t>
      </w:r>
    </w:p>
    <w:p>
      <w:pPr>
        <w:pStyle w:val="4"/>
        <w:spacing w:line="391" w:lineRule="auto"/>
        <w:ind w:left="591" w:right="3112"/>
        <w:rPr>
          <w:color w:val="auto"/>
        </w:rPr>
      </w:pPr>
      <w:r>
        <w:rPr>
          <w:color w:val="auto"/>
          <w:spacing w:val="-1"/>
        </w:rPr>
        <w:t>第三次发现的，处以三千元以上七千元以下的罚款。</w:t>
      </w:r>
      <w:r>
        <w:rPr>
          <w:color w:val="auto"/>
        </w:rPr>
        <w:t>4.【严重】</w:t>
      </w:r>
    </w:p>
    <w:p>
      <w:pPr>
        <w:pStyle w:val="4"/>
        <w:spacing w:line="388" w:lineRule="auto"/>
        <w:ind w:right="213" w:firstLine="480"/>
        <w:rPr>
          <w:color w:val="auto"/>
        </w:rPr>
      </w:pPr>
      <w:r>
        <w:rPr>
          <w:color w:val="auto"/>
        </w:rPr>
        <w:t>发现三次以上的，处以七千元以上一万元以下的罚款；情节严重的，吊销营业执照。</w:t>
      </w:r>
    </w:p>
    <w:p>
      <w:pPr>
        <w:pStyle w:val="2"/>
        <w:spacing w:before="3"/>
        <w:rPr>
          <w:color w:val="auto"/>
        </w:rPr>
      </w:pPr>
      <w:bookmarkStart w:id="175" w:name="八十六、擅自销售商用密码产品"/>
      <w:bookmarkEnd w:id="175"/>
      <w:bookmarkStart w:id="176" w:name="_bookmark87"/>
      <w:bookmarkEnd w:id="176"/>
      <w:r>
        <w:rPr>
          <w:color w:val="auto"/>
        </w:rPr>
        <w:t>八十六、擅自销售商用密码产品</w:t>
      </w:r>
    </w:p>
    <w:p>
      <w:pPr>
        <w:spacing w:before="191"/>
        <w:ind w:left="591" w:right="0" w:firstLine="0"/>
        <w:jc w:val="left"/>
        <w:rPr>
          <w:b/>
          <w:color w:val="auto"/>
          <w:sz w:val="24"/>
        </w:rPr>
      </w:pPr>
      <w:r>
        <w:rPr>
          <w:b/>
          <w:color w:val="auto"/>
          <w:sz w:val="24"/>
        </w:rPr>
        <w:t>（一）处罚依据</w:t>
      </w:r>
    </w:p>
    <w:p>
      <w:pPr>
        <w:pStyle w:val="4"/>
        <w:spacing w:before="39" w:line="391" w:lineRule="auto"/>
        <w:ind w:right="232" w:firstLine="480"/>
        <w:rPr>
          <w:color w:val="auto"/>
        </w:rPr>
      </w:pPr>
      <w:r>
        <w:rPr>
          <w:color w:val="auto"/>
        </w:rPr>
        <w:t>《商用密码管理条例》第二十条第一款 有下列行为之一的，由国家密码管理机构根据不同情况分别会同工商行政管理、海关等部门没收密码产品，有违法所得的， 没收违法所得；情节严重的，可以并处违法所得 1 至 3 倍的罚款：</w:t>
      </w:r>
    </w:p>
    <w:p>
      <w:pPr>
        <w:pStyle w:val="4"/>
        <w:spacing w:line="391" w:lineRule="auto"/>
        <w:ind w:right="213" w:firstLine="480"/>
        <w:rPr>
          <w:color w:val="auto"/>
        </w:rPr>
      </w:pPr>
      <w:r>
        <w:rPr>
          <w:color w:val="auto"/>
        </w:rPr>
        <w:t>（一）未经指定，擅自生产商用密码产品的，或者商用密码产品指定生产单位超过批准范围生产商用密码产品的；</w:t>
      </w:r>
    </w:p>
    <w:p>
      <w:pPr>
        <w:pStyle w:val="4"/>
        <w:spacing w:line="306" w:lineRule="exact"/>
        <w:rPr>
          <w:color w:val="auto"/>
        </w:rPr>
      </w:pPr>
      <w:r>
        <w:rPr>
          <w:color w:val="auto"/>
        </w:rPr>
        <w:t>（二）未经许可，擅自销售商用密码产品的；</w:t>
      </w:r>
    </w:p>
    <w:p>
      <w:pPr>
        <w:pStyle w:val="4"/>
        <w:spacing w:before="189" w:line="391" w:lineRule="auto"/>
        <w:ind w:right="213" w:firstLine="480"/>
        <w:rPr>
          <w:color w:val="auto"/>
        </w:rPr>
      </w:pPr>
      <w:r>
        <w:rPr>
          <w:color w:val="auto"/>
        </w:rPr>
        <w:t>（三）未经批准，擅自进口密码产品以及含有密码技术的设备、出口商用密码产品或者销售境外的密码产品的。</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88" w:lineRule="auto"/>
        <w:ind w:left="591" w:right="952"/>
        <w:rPr>
          <w:color w:val="auto"/>
        </w:rPr>
      </w:pPr>
      <w:r>
        <w:rPr>
          <w:color w:val="auto"/>
          <w:spacing w:val="-1"/>
        </w:rPr>
        <w:t>违法所得一万元以下的，没收密码产品，有违法所得的，没收违法所得。</w:t>
      </w:r>
      <w:r>
        <w:rPr>
          <w:color w:val="auto"/>
        </w:rPr>
        <w:t>2.【一般】</w:t>
      </w:r>
    </w:p>
    <w:p>
      <w:pPr>
        <w:pStyle w:val="4"/>
        <w:spacing w:before="2" w:line="391" w:lineRule="auto"/>
        <w:ind w:right="213" w:firstLine="480"/>
        <w:rPr>
          <w:color w:val="auto"/>
        </w:rPr>
      </w:pPr>
      <w:r>
        <w:rPr>
          <w:color w:val="auto"/>
        </w:rPr>
        <w:t>违法所得一万元以上十万元以下的，没收密码产品，没收违法所得，可以并处违法所得一倍以上二倍以下的罚款。</w:t>
      </w:r>
    </w:p>
    <w:p>
      <w:pPr>
        <w:pStyle w:val="4"/>
        <w:spacing w:line="306" w:lineRule="exact"/>
        <w:ind w:left="591"/>
        <w:rPr>
          <w:color w:val="auto"/>
        </w:rPr>
      </w:pPr>
      <w:r>
        <w:rPr>
          <w:color w:val="auto"/>
        </w:rPr>
        <w:t>3.【严重】</w:t>
      </w:r>
    </w:p>
    <w:p>
      <w:pPr>
        <w:pStyle w:val="4"/>
        <w:spacing w:before="192" w:line="391" w:lineRule="auto"/>
        <w:ind w:right="213" w:firstLine="480"/>
        <w:rPr>
          <w:color w:val="auto"/>
        </w:rPr>
      </w:pPr>
      <w:r>
        <w:rPr>
          <w:color w:val="auto"/>
        </w:rPr>
        <w:t>违法所得十万元以上的，没收密码产品，没收违法所得，并处违法所得二倍以上三倍以下的罚款。</w:t>
      </w:r>
    </w:p>
    <w:p>
      <w:pPr>
        <w:pStyle w:val="2"/>
        <w:spacing w:line="388" w:lineRule="auto"/>
        <w:ind w:left="111" w:right="240" w:firstLine="480"/>
        <w:rPr>
          <w:color w:val="auto"/>
        </w:rPr>
      </w:pPr>
      <w:bookmarkStart w:id="177" w:name="_bookmark88"/>
      <w:bookmarkEnd w:id="177"/>
      <w:bookmarkStart w:id="178" w:name="八十七、产品集中交易市场的开办企业、产品经营柜台出租企业、产品展销会的举办企业未"/>
      <w:bookmarkEnd w:id="178"/>
      <w:r>
        <w:rPr>
          <w:color w:val="auto"/>
          <w:spacing w:val="-7"/>
        </w:rPr>
        <w:t>八十七、产品集中交易市场的开办企业、产品经营柜台出租企业、产品展销会的举办企业未依法履行管理义务</w:t>
      </w:r>
    </w:p>
    <w:p>
      <w:pPr>
        <w:spacing w:before="3"/>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《国务院关于加强食品等产品安全监督管理特别规定》第六条 产品集中交易市</w:t>
      </w:r>
      <w:r>
        <w:rPr>
          <w:color w:val="auto"/>
          <w:spacing w:val="-4"/>
        </w:rPr>
        <w:t>场的开办企业、产品经营柜台出租企业、产品展销会的举办企业，应当审查入场销售</w:t>
      </w:r>
      <w:r>
        <w:rPr>
          <w:color w:val="auto"/>
          <w:spacing w:val="-15"/>
        </w:rPr>
        <w:t>者的经营资格，明确入场销售者的产品安全管理责任，定期对入场销售者的经营环境、</w:t>
      </w:r>
      <w:r>
        <w:rPr>
          <w:color w:val="auto"/>
          <w:spacing w:val="-6"/>
        </w:rPr>
        <w:t>条件、内部安全管理制度和经营产品是否符合法定要求进行检查，发现销售不符合法</w:t>
      </w:r>
      <w:r>
        <w:rPr>
          <w:color w:val="auto"/>
          <w:spacing w:val="3"/>
        </w:rPr>
        <w:t>定要求产品或者其他违法行为的，应当及时制止并立即报告所在地工商行政管理部门。</w:t>
      </w:r>
    </w:p>
    <w:p>
      <w:pPr>
        <w:pStyle w:val="4"/>
        <w:spacing w:line="388" w:lineRule="auto"/>
        <w:ind w:right="213" w:firstLine="484"/>
        <w:rPr>
          <w:color w:val="auto"/>
        </w:rPr>
      </w:pPr>
      <w:r>
        <w:rPr>
          <w:color w:val="auto"/>
        </w:rPr>
        <w:t>违反前款规定的，由工商行政管理部门处以 1000 元以上５万元以下的罚款；情节严重的，责令停业整顿；造成严重后果的，吊销营业执照。</w:t>
      </w:r>
    </w:p>
    <w:p>
      <w:pPr>
        <w:spacing w:before="39"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3112"/>
        <w:rPr>
          <w:color w:val="auto"/>
        </w:rPr>
      </w:pPr>
      <w:r>
        <w:rPr>
          <w:color w:val="auto"/>
          <w:spacing w:val="-1"/>
        </w:rPr>
        <w:t>第一次发现的，处以一千元以上三万元以下的罚款。</w:t>
      </w:r>
      <w:r>
        <w:rPr>
          <w:color w:val="auto"/>
        </w:rPr>
        <w:t>2.【一般】</w:t>
      </w:r>
    </w:p>
    <w:p>
      <w:pPr>
        <w:pStyle w:val="4"/>
        <w:spacing w:before="3" w:line="388" w:lineRule="auto"/>
        <w:ind w:left="591" w:right="3112"/>
        <w:rPr>
          <w:color w:val="auto"/>
        </w:rPr>
      </w:pPr>
      <w:r>
        <w:rPr>
          <w:color w:val="auto"/>
          <w:spacing w:val="-1"/>
        </w:rPr>
        <w:t>第二次发现的，处以三万元以上五万元以下的罚款。</w:t>
      </w:r>
      <w:r>
        <w:rPr>
          <w:color w:val="auto"/>
        </w:rPr>
        <w:t>3.【较重】</w:t>
      </w:r>
    </w:p>
    <w:p>
      <w:pPr>
        <w:pStyle w:val="4"/>
        <w:spacing w:before="2" w:line="391" w:lineRule="auto"/>
        <w:ind w:left="591" w:right="5032"/>
        <w:rPr>
          <w:color w:val="auto"/>
        </w:rPr>
      </w:pPr>
      <w:r>
        <w:rPr>
          <w:color w:val="auto"/>
          <w:spacing w:val="-2"/>
        </w:rPr>
        <w:t>发现三次以上的，责令停业整顿。</w:t>
      </w:r>
      <w:r>
        <w:rPr>
          <w:color w:val="auto"/>
        </w:rPr>
        <w:t>4.【严重】</w:t>
      </w:r>
    </w:p>
    <w:p>
      <w:pPr>
        <w:pStyle w:val="4"/>
        <w:spacing w:line="306" w:lineRule="exact"/>
        <w:ind w:left="591"/>
        <w:rPr>
          <w:color w:val="auto"/>
        </w:rPr>
      </w:pPr>
      <w:r>
        <w:rPr>
          <w:color w:val="auto"/>
        </w:rPr>
        <w:t>造成严重后果的，吊销营业执照。</w:t>
      </w:r>
    </w:p>
    <w:p>
      <w:pPr>
        <w:pStyle w:val="2"/>
        <w:spacing w:before="192"/>
        <w:rPr>
          <w:color w:val="auto"/>
        </w:rPr>
      </w:pPr>
      <w:bookmarkStart w:id="179" w:name="_bookmark89"/>
      <w:bookmarkEnd w:id="179"/>
      <w:bookmarkStart w:id="180" w:name="八十八、销售不符合国家技术规范的强制性要求的畜禽"/>
      <w:bookmarkEnd w:id="180"/>
      <w:r>
        <w:rPr>
          <w:color w:val="auto"/>
        </w:rPr>
        <w:t>八十八、销售不符合国家技术规范的强制性要求的畜禽</w:t>
      </w:r>
    </w:p>
    <w:p>
      <w:pPr>
        <w:spacing w:before="194"/>
        <w:ind w:left="591" w:right="0" w:firstLine="0"/>
        <w:jc w:val="left"/>
        <w:rPr>
          <w:b/>
          <w:color w:val="auto"/>
          <w:sz w:val="24"/>
        </w:rPr>
      </w:pPr>
      <w:r>
        <w:rPr>
          <w:b/>
          <w:color w:val="auto"/>
          <w:sz w:val="24"/>
        </w:rPr>
        <w:t>（一）处罚依据</w:t>
      </w:r>
    </w:p>
    <w:p>
      <w:pPr>
        <w:pStyle w:val="4"/>
        <w:spacing w:before="192" w:line="391" w:lineRule="auto"/>
        <w:ind w:right="232"/>
        <w:rPr>
          <w:color w:val="auto"/>
        </w:rPr>
      </w:pPr>
      <w:r>
        <w:rPr>
          <w:color w:val="auto"/>
        </w:rPr>
        <w:t>《畜牧法》第六十九条 销售不符合国家技术规范的强制性要求的畜禽的，由县级以上地方人民政府畜牧兽医行政主管部门或者工商行政管理部门责令停止违法行为，没收违法销售的畜禽和违法所得，并处违法所得一倍以上三倍以下罚款；情节严重的， 由工商行政管理部门并处吊销营业执照。</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违法所得一万元以下的，没收违法销售的畜禽和违法所得，并处违法所得一倍以上一点五倍以下的罚款。</w:t>
      </w:r>
    </w:p>
    <w:p>
      <w:pPr>
        <w:pStyle w:val="13"/>
        <w:numPr>
          <w:ilvl w:val="0"/>
          <w:numId w:val="49"/>
        </w:numPr>
        <w:tabs>
          <w:tab w:val="left" w:pos="833"/>
        </w:tabs>
        <w:spacing w:before="0" w:after="0" w:line="240" w:lineRule="auto"/>
        <w:ind w:left="832" w:right="0" w:hanging="242"/>
        <w:jc w:val="left"/>
        <w:rPr>
          <w:color w:val="auto"/>
          <w:sz w:val="24"/>
        </w:rPr>
      </w:pPr>
      <w:r>
        <w:rPr>
          <w:color w:val="auto"/>
          <w:sz w:val="24"/>
        </w:rPr>
        <w:t>【一般】</w:t>
      </w:r>
    </w:p>
    <w:p>
      <w:pPr>
        <w:pStyle w:val="4"/>
        <w:spacing w:before="189" w:line="388" w:lineRule="auto"/>
        <w:ind w:right="213" w:firstLine="480"/>
        <w:rPr>
          <w:color w:val="auto"/>
        </w:rPr>
      </w:pPr>
      <w:r>
        <w:rPr>
          <w:color w:val="auto"/>
        </w:rPr>
        <w:t>违法所得一万元以上十万元以下的，没收违法销售的畜禽和违法所得，并处违法所得一点五倍以上二点五倍以下的罚款。</w:t>
      </w:r>
    </w:p>
    <w:p>
      <w:pPr>
        <w:pStyle w:val="13"/>
        <w:numPr>
          <w:ilvl w:val="0"/>
          <w:numId w:val="49"/>
        </w:numPr>
        <w:tabs>
          <w:tab w:val="left" w:pos="833"/>
        </w:tabs>
        <w:spacing w:before="4" w:after="0" w:line="240" w:lineRule="auto"/>
        <w:ind w:left="832" w:right="0" w:hanging="242"/>
        <w:jc w:val="left"/>
        <w:rPr>
          <w:color w:val="auto"/>
          <w:sz w:val="24"/>
        </w:rPr>
      </w:pPr>
      <w:r>
        <w:rPr>
          <w:color w:val="auto"/>
          <w:sz w:val="24"/>
        </w:rPr>
        <w:t>【严重】</w:t>
      </w:r>
    </w:p>
    <w:p>
      <w:pPr>
        <w:pStyle w:val="4"/>
        <w:spacing w:before="192" w:line="388" w:lineRule="auto"/>
        <w:ind w:right="352" w:firstLine="360"/>
        <w:rPr>
          <w:color w:val="auto"/>
        </w:rPr>
      </w:pPr>
      <w:r>
        <w:rPr>
          <w:color w:val="auto"/>
        </w:rPr>
        <w:t>违法所得十万元以上的，没收违法销售的畜禽和违法所得，并处违法所得二点五倍以上三倍以下的罚款；情节严重的，并处吊销营业执照。</w:t>
      </w:r>
    </w:p>
    <w:p>
      <w:pPr>
        <w:pStyle w:val="2"/>
        <w:spacing w:before="4" w:line="388" w:lineRule="auto"/>
        <w:ind w:left="111" w:right="117" w:firstLine="480"/>
        <w:rPr>
          <w:color w:val="auto"/>
        </w:rPr>
      </w:pPr>
      <w:bookmarkStart w:id="181" w:name="_bookmark90"/>
      <w:bookmarkEnd w:id="181"/>
      <w:bookmarkStart w:id="182" w:name="八十九、销售种畜禽未附具种畜禽合格证明、检疫合格证明、家畜系谱的，销售、收购国务"/>
      <w:bookmarkEnd w:id="182"/>
      <w:r>
        <w:rPr>
          <w:color w:val="auto"/>
          <w:spacing w:val="-13"/>
        </w:rPr>
        <w:t>八十九、销售种畜禽未附具种畜禽合格证明、检疫合格证明、家畜系谱的，销售、</w:t>
      </w:r>
      <w:r>
        <w:rPr>
          <w:color w:val="auto"/>
          <w:spacing w:val="-15"/>
        </w:rPr>
        <w:t>收购国务院畜牧兽医行政主管部门规定应当加施标识而没有标识的畜禽的，或者重复使用畜禽标识</w:t>
      </w:r>
    </w:p>
    <w:p>
      <w:pPr>
        <w:spacing w:before="39"/>
        <w:ind w:left="591" w:right="0" w:firstLine="0"/>
        <w:jc w:val="left"/>
        <w:rPr>
          <w:b/>
          <w:color w:val="auto"/>
          <w:sz w:val="24"/>
        </w:rPr>
      </w:pPr>
      <w:r>
        <w:rPr>
          <w:b/>
          <w:color w:val="auto"/>
          <w:sz w:val="24"/>
        </w:rPr>
        <w:t>（一）处罚依据</w:t>
      </w:r>
    </w:p>
    <w:p>
      <w:pPr>
        <w:pStyle w:val="4"/>
        <w:spacing w:before="195" w:line="391" w:lineRule="auto"/>
        <w:ind w:right="232" w:firstLine="480"/>
        <w:rPr>
          <w:color w:val="auto"/>
        </w:rPr>
      </w:pPr>
      <w:r>
        <w:rPr>
          <w:color w:val="auto"/>
        </w:rPr>
        <w:t>《畜牧法》第六十八条第一款 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政管理部门责令改正，可以处二千元以下罚款。</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5752"/>
        <w:rPr>
          <w:color w:val="auto"/>
        </w:rPr>
      </w:pPr>
      <w:r>
        <w:rPr>
          <w:color w:val="auto"/>
          <w:spacing w:val="-2"/>
        </w:rPr>
        <w:t>第一次发现的，责令改正。</w:t>
      </w:r>
      <w:r>
        <w:rPr>
          <w:color w:val="auto"/>
        </w:rPr>
        <w:t>2.【一般】</w:t>
      </w:r>
    </w:p>
    <w:p>
      <w:pPr>
        <w:pStyle w:val="4"/>
        <w:spacing w:line="388" w:lineRule="auto"/>
        <w:ind w:left="591" w:right="4312"/>
        <w:rPr>
          <w:color w:val="auto"/>
        </w:rPr>
      </w:pPr>
      <w:r>
        <w:rPr>
          <w:color w:val="auto"/>
          <w:spacing w:val="-1"/>
        </w:rPr>
        <w:t>第二次发现的，处以一千元以下的罚款。</w:t>
      </w:r>
      <w:r>
        <w:rPr>
          <w:color w:val="auto"/>
        </w:rPr>
        <w:t>3.【严重】</w:t>
      </w:r>
    </w:p>
    <w:p>
      <w:pPr>
        <w:pStyle w:val="4"/>
        <w:ind w:left="591"/>
        <w:rPr>
          <w:color w:val="auto"/>
        </w:rPr>
      </w:pPr>
      <w:r>
        <w:rPr>
          <w:color w:val="auto"/>
        </w:rPr>
        <w:t>发现三次以上的，处以一千元以上二千元以下的罚款。</w:t>
      </w:r>
    </w:p>
    <w:p>
      <w:pPr>
        <w:pStyle w:val="2"/>
        <w:spacing w:before="191" w:line="388" w:lineRule="auto"/>
        <w:ind w:left="111" w:right="117" w:firstLine="480"/>
        <w:rPr>
          <w:color w:val="auto"/>
        </w:rPr>
      </w:pPr>
      <w:bookmarkStart w:id="183" w:name="_bookmark91"/>
      <w:bookmarkEnd w:id="183"/>
      <w:bookmarkStart w:id="184" w:name="九十、销售种畜禽，以其他畜禽品种、配套系冒充所销售的种畜禽品种、配套系，以低代别"/>
      <w:bookmarkEnd w:id="184"/>
      <w:r>
        <w:rPr>
          <w:color w:val="auto"/>
          <w:spacing w:val="-14"/>
        </w:rPr>
        <w:t xml:space="preserve">九十、销售种畜禽，以其他畜禽品种、配套系冒充所销售的种畜禽品种、配套系， </w:t>
      </w:r>
      <w:r>
        <w:rPr>
          <w:color w:val="auto"/>
          <w:spacing w:val="-17"/>
        </w:rPr>
        <w:t>以低代别种畜禽冒充高代别种畜禽，以不符合种用标准的畜禽冒充种畜禽，销售未经批准进口的种畜禽</w:t>
      </w:r>
    </w:p>
    <w:p>
      <w:pPr>
        <w:spacing w:before="5"/>
        <w:ind w:left="711" w:right="0" w:firstLine="0"/>
        <w:jc w:val="left"/>
        <w:rPr>
          <w:b/>
          <w:color w:val="auto"/>
          <w:sz w:val="24"/>
        </w:rPr>
      </w:pPr>
      <w:r>
        <w:rPr>
          <w:b/>
          <w:color w:val="auto"/>
          <w:sz w:val="24"/>
        </w:rPr>
        <w:t>（一）处罚依据</w:t>
      </w:r>
    </w:p>
    <w:p>
      <w:pPr>
        <w:pStyle w:val="4"/>
        <w:spacing w:before="192" w:line="391" w:lineRule="auto"/>
        <w:ind w:right="268" w:firstLine="648"/>
        <w:jc w:val="both"/>
        <w:rPr>
          <w:color w:val="auto"/>
        </w:rPr>
      </w:pPr>
      <w:r>
        <w:rPr>
          <w:color w:val="auto"/>
        </w:rPr>
        <w:t>1</w:t>
      </w:r>
      <w:r>
        <w:rPr>
          <w:color w:val="auto"/>
          <w:spacing w:val="-16"/>
        </w:rPr>
        <w:t>、《畜牧法》第六十五条 销售种畜禽有本法第三十条第一项至第四项违法行为</w:t>
      </w:r>
      <w:r>
        <w:rPr>
          <w:color w:val="auto"/>
          <w:spacing w:val="-7"/>
        </w:rPr>
        <w:t>之一的，由县级以上人民政府畜牧兽医行政主管部门或者工商行政管理部门责令停止</w:t>
      </w:r>
      <w:r>
        <w:rPr>
          <w:color w:val="auto"/>
          <w:spacing w:val="-6"/>
        </w:rPr>
        <w:t>销售，没收违法销售的畜禽和违法所得；违法所得在五万元以上的，并处违法所得一</w:t>
      </w:r>
      <w:r>
        <w:rPr>
          <w:color w:val="auto"/>
          <w:spacing w:val="-4"/>
        </w:rPr>
        <w:t>倍以上五倍以下罚款；没有违法所得或者违法所得不足五万元的，并处五千元以上五</w:t>
      </w:r>
      <w:r>
        <w:rPr>
          <w:color w:val="auto"/>
        </w:rPr>
        <w:t>万元以下罚款；情节严重的，并处吊销种畜禽生产经营许可证或者营业执照。</w:t>
      </w:r>
    </w:p>
    <w:p>
      <w:pPr>
        <w:pStyle w:val="4"/>
        <w:spacing w:line="302" w:lineRule="exact"/>
        <w:ind w:left="591"/>
        <w:jc w:val="both"/>
        <w:rPr>
          <w:color w:val="auto"/>
        </w:rPr>
      </w:pPr>
      <w:r>
        <w:rPr>
          <w:color w:val="auto"/>
        </w:rPr>
        <w:t>2、《畜牧法》第三十条 销售种畜禽，不得有下列行为：</w:t>
      </w:r>
    </w:p>
    <w:p>
      <w:pPr>
        <w:pStyle w:val="4"/>
        <w:spacing w:before="192"/>
        <w:ind w:left="591"/>
        <w:rPr>
          <w:color w:val="auto"/>
        </w:rPr>
      </w:pPr>
      <w:r>
        <w:rPr>
          <w:color w:val="auto"/>
        </w:rPr>
        <w:t>（一）以其他畜禽品种、配套系冒充所销售的种畜禽品种、配套系；</w:t>
      </w:r>
    </w:p>
    <w:p>
      <w:pPr>
        <w:pStyle w:val="4"/>
        <w:spacing w:before="192"/>
        <w:ind w:left="591"/>
        <w:rPr>
          <w:color w:val="auto"/>
        </w:rPr>
      </w:pPr>
      <w:r>
        <w:rPr>
          <w:color w:val="auto"/>
        </w:rPr>
        <w:t>（二）以低代别种畜禽冒充高代别种畜禽；</w:t>
      </w:r>
    </w:p>
    <w:p>
      <w:pPr>
        <w:pStyle w:val="4"/>
        <w:spacing w:before="194"/>
        <w:ind w:left="591"/>
        <w:rPr>
          <w:color w:val="auto"/>
        </w:rPr>
      </w:pPr>
      <w:r>
        <w:rPr>
          <w:color w:val="auto"/>
        </w:rPr>
        <w:t>（三）以不符合种用标准的畜禽冒充种畜禽；</w:t>
      </w:r>
    </w:p>
    <w:p>
      <w:pPr>
        <w:pStyle w:val="4"/>
        <w:spacing w:before="191"/>
        <w:ind w:left="591"/>
        <w:rPr>
          <w:color w:val="auto"/>
        </w:rPr>
      </w:pPr>
      <w:r>
        <w:rPr>
          <w:color w:val="auto"/>
        </w:rPr>
        <w:t>（四）销售未经批准进口的种畜禽。</w:t>
      </w:r>
    </w:p>
    <w:p>
      <w:pPr>
        <w:pStyle w:val="2"/>
        <w:spacing w:before="192"/>
        <w:rPr>
          <w:color w:val="auto"/>
        </w:rPr>
      </w:pPr>
      <w:r>
        <w:rPr>
          <w:color w:val="auto"/>
        </w:rPr>
        <w:t>（二）裁量标准</w:t>
      </w:r>
    </w:p>
    <w:p>
      <w:pPr>
        <w:pStyle w:val="13"/>
        <w:numPr>
          <w:ilvl w:val="0"/>
          <w:numId w:val="50"/>
        </w:numPr>
        <w:tabs>
          <w:tab w:val="left" w:pos="833"/>
        </w:tabs>
        <w:spacing w:before="39" w:after="0" w:line="240" w:lineRule="auto"/>
        <w:ind w:left="832" w:right="0" w:hanging="242"/>
        <w:jc w:val="left"/>
        <w:rPr>
          <w:color w:val="auto"/>
          <w:sz w:val="24"/>
        </w:rPr>
      </w:pPr>
      <w:r>
        <w:rPr>
          <w:color w:val="auto"/>
          <w:sz w:val="24"/>
        </w:rPr>
        <w:t>【较轻】</w:t>
      </w:r>
    </w:p>
    <w:p>
      <w:pPr>
        <w:pStyle w:val="4"/>
        <w:spacing w:before="195" w:line="388" w:lineRule="auto"/>
        <w:ind w:right="213" w:firstLine="480"/>
        <w:rPr>
          <w:color w:val="auto"/>
        </w:rPr>
      </w:pPr>
      <w:r>
        <w:rPr>
          <w:color w:val="auto"/>
        </w:rPr>
        <w:t>没有违法所得或者违法所得五万元以下的，没收违法销售的畜禽和违法所得，并处五千元以上五万元以下的罚款。</w:t>
      </w:r>
    </w:p>
    <w:p>
      <w:pPr>
        <w:pStyle w:val="13"/>
        <w:numPr>
          <w:ilvl w:val="0"/>
          <w:numId w:val="50"/>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213" w:firstLine="480"/>
        <w:rPr>
          <w:color w:val="auto"/>
        </w:rPr>
      </w:pPr>
      <w:r>
        <w:rPr>
          <w:color w:val="auto"/>
        </w:rPr>
        <w:t>违法所得五万元以上十万元以下的，没收违法销售的畜禽和违法所得，并处违法所得一倍以上三倍以下的罚款。</w:t>
      </w:r>
    </w:p>
    <w:p>
      <w:pPr>
        <w:pStyle w:val="13"/>
        <w:numPr>
          <w:ilvl w:val="0"/>
          <w:numId w:val="50"/>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违法所得十万元以上的，没收违法销售的畜禽和违法所得，并处违法所得三倍以上五倍以下的罚款；情节严重的，并处吊销营业执照。</w:t>
      </w:r>
    </w:p>
    <w:p>
      <w:pPr>
        <w:pStyle w:val="2"/>
        <w:spacing w:before="2" w:line="391" w:lineRule="auto"/>
        <w:ind w:left="111" w:right="235" w:firstLine="480"/>
        <w:jc w:val="both"/>
        <w:rPr>
          <w:color w:val="auto"/>
        </w:rPr>
      </w:pPr>
      <w:bookmarkStart w:id="185" w:name="九十一、未经批准、未取得或者未按照规定使用专用标识，或者未持有、未附有人工繁育许"/>
      <w:bookmarkEnd w:id="185"/>
      <w:bookmarkStart w:id="186" w:name="_bookmark92"/>
      <w:bookmarkEnd w:id="186"/>
      <w:r>
        <w:rPr>
          <w:color w:val="auto"/>
          <w:spacing w:val="-8"/>
        </w:rPr>
        <w:t>九十一、未经批准、未取得或者未按照规定使用专用标识，或者未持有、未附有</w:t>
      </w:r>
      <w:r>
        <w:rPr>
          <w:color w:val="auto"/>
          <w:spacing w:val="-12"/>
        </w:rPr>
        <w:t>人工繁育许可证、批准文件的副本或者专用标识出售、购买、利用、运输、携带、寄</w:t>
      </w:r>
      <w:r>
        <w:rPr>
          <w:color w:val="auto"/>
          <w:spacing w:val="3"/>
          <w:w w:val="95"/>
        </w:rPr>
        <w:t xml:space="preserve">递国家重点保护野生动物及其制品或者纳入人工繁育国家重点保护野生动物名录的  </w:t>
      </w:r>
      <w:r>
        <w:rPr>
          <w:color w:val="auto"/>
          <w:spacing w:val="3"/>
        </w:rPr>
        <w:t>野生动物及其制品</w:t>
      </w:r>
    </w:p>
    <w:p>
      <w:pPr>
        <w:spacing w:before="0" w:line="304" w:lineRule="exact"/>
        <w:ind w:left="591" w:right="0" w:firstLine="0"/>
        <w:jc w:val="left"/>
        <w:rPr>
          <w:b/>
          <w:color w:val="auto"/>
          <w:sz w:val="24"/>
        </w:rPr>
      </w:pPr>
      <w:r>
        <w:rPr>
          <w:b/>
          <w:color w:val="auto"/>
          <w:sz w:val="24"/>
        </w:rPr>
        <w:t>（一）处罚依据</w:t>
      </w:r>
    </w:p>
    <w:p>
      <w:pPr>
        <w:pStyle w:val="4"/>
        <w:spacing w:before="192" w:line="391" w:lineRule="auto"/>
        <w:ind w:right="268" w:firstLine="480"/>
        <w:rPr>
          <w:color w:val="auto"/>
        </w:rPr>
      </w:pPr>
      <w:r>
        <w:rPr>
          <w:color w:val="auto"/>
        </w:rPr>
        <w:t>1</w:t>
      </w:r>
      <w:r>
        <w:rPr>
          <w:color w:val="auto"/>
          <w:spacing w:val="-7"/>
        </w:rPr>
        <w:t>、《中华人民共和国野生动物保护法》第四十八条第一款 违反本法第二十七条</w:t>
      </w:r>
      <w:r>
        <w:rPr>
          <w:color w:val="auto"/>
          <w:spacing w:val="-6"/>
        </w:rPr>
        <w:t>第一款和第二款、第二十八条第一款、第三十三条第一款规定，未经批准、未取得或</w:t>
      </w:r>
      <w:r>
        <w:rPr>
          <w:color w:val="auto"/>
          <w:spacing w:val="-4"/>
        </w:rPr>
        <w:t>者未按照规定使用专用标识，或者未持有、未附有人工繁育许可证、批准文件的副本</w:t>
      </w:r>
      <w:r>
        <w:rPr>
          <w:color w:val="auto"/>
          <w:spacing w:val="-6"/>
        </w:rPr>
        <w:t>或者专用标识出售、购买、利用、运输、携带、寄递国家重点保护野生动物及其制品</w:t>
      </w:r>
      <w:r>
        <w:rPr>
          <w:color w:val="auto"/>
          <w:spacing w:val="-3"/>
        </w:rPr>
        <w:t>或者本法第二十八条第二款规定的野生动物及其制品的，由县级以上人民政府野生动</w:t>
      </w:r>
      <w:r>
        <w:rPr>
          <w:color w:val="auto"/>
        </w:rPr>
        <w:t>物保护主管部门或者市场监督管理部门按照职责分工没收野生动物及其制品和违法</w:t>
      </w:r>
      <w:r>
        <w:rPr>
          <w:color w:val="auto"/>
          <w:spacing w:val="-6"/>
        </w:rPr>
        <w:t>所得，并处野生动物及其制品价值二倍以上十倍以下的罚款；情节严重的，吊销人工</w:t>
      </w:r>
      <w:r>
        <w:rPr>
          <w:color w:val="auto"/>
        </w:rPr>
        <w:t>繁育许可证、撤销批准文件、收回专用标识；构成犯罪的，依法追究刑事责任。</w:t>
      </w:r>
    </w:p>
    <w:p>
      <w:pPr>
        <w:pStyle w:val="13"/>
        <w:numPr>
          <w:ilvl w:val="1"/>
          <w:numId w:val="51"/>
        </w:numPr>
        <w:tabs>
          <w:tab w:val="left" w:pos="953"/>
        </w:tabs>
        <w:spacing w:before="0" w:after="0" w:line="388" w:lineRule="auto"/>
        <w:ind w:left="111" w:right="232" w:firstLine="480"/>
        <w:jc w:val="left"/>
        <w:rPr>
          <w:color w:val="auto"/>
          <w:sz w:val="24"/>
        </w:rPr>
      </w:pPr>
      <w:r>
        <w:rPr>
          <w:color w:val="auto"/>
          <w:spacing w:val="-1"/>
          <w:sz w:val="24"/>
        </w:rPr>
        <w:t>、《中华人民共和国野生动物保护法》第二十七条第一款 禁止出售、购买、</w:t>
      </w:r>
      <w:r>
        <w:rPr>
          <w:color w:val="auto"/>
          <w:sz w:val="24"/>
        </w:rPr>
        <w:t>利用国家重点保护野生动物及其制品。</w:t>
      </w:r>
    </w:p>
    <w:p>
      <w:pPr>
        <w:pStyle w:val="4"/>
        <w:spacing w:line="391" w:lineRule="auto"/>
        <w:ind w:right="268" w:firstLine="480"/>
        <w:rPr>
          <w:color w:val="auto"/>
        </w:rPr>
      </w:pPr>
      <w:r>
        <w:rPr>
          <w:color w:val="auto"/>
        </w:rPr>
        <w:t xml:space="preserve">第二款 因科学研究、人工繁育、公众展示展演、文物保护或者其他特殊情况， </w:t>
      </w:r>
      <w:r>
        <w:rPr>
          <w:color w:val="auto"/>
          <w:spacing w:val="-7"/>
        </w:rPr>
        <w:t>需要出售、购买、利用国家重点保护野生动物及其制品的，应当经省、自治区、直辖</w:t>
      </w:r>
      <w:r>
        <w:rPr>
          <w:color w:val="auto"/>
          <w:spacing w:val="-4"/>
        </w:rPr>
        <w:t>市人民政府野生动物保护主管部门批准，并按照规定取得和使用专用标识，保证可追</w:t>
      </w:r>
      <w:r>
        <w:rPr>
          <w:color w:val="auto"/>
        </w:rPr>
        <w:t>溯，但国务院对批准机关另有规定的除外。</w:t>
      </w:r>
    </w:p>
    <w:p>
      <w:pPr>
        <w:pStyle w:val="13"/>
        <w:numPr>
          <w:ilvl w:val="1"/>
          <w:numId w:val="51"/>
        </w:numPr>
        <w:tabs>
          <w:tab w:val="left" w:pos="953"/>
        </w:tabs>
        <w:spacing w:before="39" w:after="0" w:line="391" w:lineRule="auto"/>
        <w:ind w:left="111" w:right="268" w:firstLine="480"/>
        <w:jc w:val="both"/>
        <w:rPr>
          <w:color w:val="auto"/>
          <w:sz w:val="24"/>
        </w:rPr>
      </w:pPr>
      <w:r>
        <w:rPr>
          <w:color w:val="auto"/>
          <w:spacing w:val="-7"/>
          <w:sz w:val="24"/>
        </w:rPr>
        <w:t>、《中华人民共和国野生动物保护法》第二十八条第一款 对人工繁育技术成</w:t>
      </w:r>
      <w:r>
        <w:rPr>
          <w:color w:val="auto"/>
          <w:spacing w:val="-4"/>
          <w:sz w:val="24"/>
        </w:rPr>
        <w:t>熟稳定的国家重点保护野生动物，经科学论证，纳入国务院野生动物保护主管部门制定的人工繁育国家重点保护野生动物名录。对列入名录的野生动物及其制品，可以凭</w:t>
      </w:r>
      <w:r>
        <w:rPr>
          <w:color w:val="auto"/>
          <w:spacing w:val="-5"/>
          <w:sz w:val="24"/>
        </w:rPr>
        <w:t>人工繁育许可证，按照省、自治区、直辖市人民政府野生动物保护主管部门核验的年</w:t>
      </w:r>
      <w:r>
        <w:rPr>
          <w:color w:val="auto"/>
          <w:sz w:val="24"/>
        </w:rPr>
        <w:t>度生产数量直接取得专用标识，凭专用标识出售和利用，保证可追溯。</w:t>
      </w:r>
    </w:p>
    <w:p>
      <w:pPr>
        <w:pStyle w:val="13"/>
        <w:numPr>
          <w:ilvl w:val="1"/>
          <w:numId w:val="51"/>
        </w:numPr>
        <w:tabs>
          <w:tab w:val="left" w:pos="953"/>
        </w:tabs>
        <w:spacing w:before="0" w:after="0" w:line="391" w:lineRule="auto"/>
        <w:ind w:left="111" w:right="268" w:firstLine="480"/>
        <w:jc w:val="both"/>
        <w:rPr>
          <w:color w:val="auto"/>
          <w:sz w:val="24"/>
        </w:rPr>
      </w:pPr>
      <w:r>
        <w:rPr>
          <w:color w:val="auto"/>
          <w:spacing w:val="-8"/>
          <w:sz w:val="24"/>
        </w:rPr>
        <w:t>、《中华人民共和国野生动物保护法》第三十三条第一款 运输、携带、寄递</w:t>
      </w:r>
      <w:r>
        <w:rPr>
          <w:color w:val="auto"/>
          <w:spacing w:val="-4"/>
          <w:sz w:val="24"/>
        </w:rPr>
        <w:t>国家重点保护野生动物及其制品、本法第二十八条第二款规定的野生动物及其制品出</w:t>
      </w:r>
      <w:r>
        <w:rPr>
          <w:color w:val="auto"/>
          <w:spacing w:val="-6"/>
          <w:sz w:val="24"/>
        </w:rPr>
        <w:t>县境的，应当持有或者附有本法第二十一条、第二十五条、第二十七条或者第二十八</w:t>
      </w:r>
      <w:r>
        <w:rPr>
          <w:color w:val="auto"/>
          <w:sz w:val="24"/>
        </w:rPr>
        <w:t>条规定的许可证、批准文件的副本或者专用标识，以及检疫证明。</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野生动物及其制品价值一万元以下的，没收野生动物及其制品和违法所得，并处野生动物及其制品价值二倍以上三倍以下的罚款。</w:t>
      </w:r>
    </w:p>
    <w:p>
      <w:pPr>
        <w:pStyle w:val="13"/>
        <w:numPr>
          <w:ilvl w:val="0"/>
          <w:numId w:val="52"/>
        </w:numPr>
        <w:tabs>
          <w:tab w:val="left" w:pos="833"/>
        </w:tabs>
        <w:spacing w:before="0" w:after="0" w:line="240" w:lineRule="auto"/>
        <w:ind w:left="832" w:right="0" w:hanging="242"/>
        <w:jc w:val="left"/>
        <w:rPr>
          <w:color w:val="auto"/>
          <w:sz w:val="24"/>
        </w:rPr>
      </w:pPr>
      <w:r>
        <w:rPr>
          <w:color w:val="auto"/>
          <w:sz w:val="24"/>
        </w:rPr>
        <w:t>【一般】</w:t>
      </w:r>
    </w:p>
    <w:p>
      <w:pPr>
        <w:pStyle w:val="4"/>
        <w:spacing w:before="184" w:line="388" w:lineRule="auto"/>
        <w:ind w:right="213" w:firstLine="480"/>
        <w:rPr>
          <w:color w:val="auto"/>
        </w:rPr>
      </w:pPr>
      <w:r>
        <w:rPr>
          <w:color w:val="auto"/>
        </w:rPr>
        <w:t>野生动物及其制品价值一万元以上五万元以下的，没收野生动物及其制品和违法所得，并处野生动物及其制品价值三倍以上七倍以下的罚款。</w:t>
      </w:r>
    </w:p>
    <w:p>
      <w:pPr>
        <w:pStyle w:val="13"/>
        <w:numPr>
          <w:ilvl w:val="0"/>
          <w:numId w:val="52"/>
        </w:numPr>
        <w:tabs>
          <w:tab w:val="left" w:pos="833"/>
        </w:tabs>
        <w:spacing w:before="5" w:after="0" w:line="240" w:lineRule="auto"/>
        <w:ind w:left="832" w:right="0" w:hanging="242"/>
        <w:jc w:val="left"/>
        <w:rPr>
          <w:color w:val="auto"/>
          <w:sz w:val="24"/>
        </w:rPr>
      </w:pPr>
      <w:r>
        <w:rPr>
          <w:color w:val="auto"/>
          <w:sz w:val="24"/>
        </w:rPr>
        <w:t>【严重】</w:t>
      </w:r>
    </w:p>
    <w:p>
      <w:pPr>
        <w:pStyle w:val="4"/>
        <w:spacing w:before="191" w:line="388" w:lineRule="auto"/>
        <w:ind w:right="213" w:firstLine="480"/>
        <w:rPr>
          <w:color w:val="auto"/>
        </w:rPr>
      </w:pPr>
      <w:r>
        <w:rPr>
          <w:color w:val="auto"/>
        </w:rPr>
        <w:t>野生动物及其制品价值五万元以上的，没收野生动物及其制品和违法所得，并处野生动物及其制品价值七倍以上十倍以下的罚款。</w:t>
      </w:r>
    </w:p>
    <w:p>
      <w:pPr>
        <w:pStyle w:val="2"/>
        <w:spacing w:before="5"/>
        <w:rPr>
          <w:color w:val="auto"/>
        </w:rPr>
      </w:pPr>
      <w:bookmarkStart w:id="187" w:name="_bookmark93"/>
      <w:bookmarkEnd w:id="187"/>
      <w:bookmarkStart w:id="188" w:name="九十二、未持有合法来源证明出售、利用、运输非国家重点保护野生动物"/>
      <w:bookmarkEnd w:id="188"/>
      <w:r>
        <w:rPr>
          <w:color w:val="auto"/>
        </w:rPr>
        <w:t>九十二、未持有合法来源证明出售、利用、运输非国家重点保护野生动物</w:t>
      </w:r>
    </w:p>
    <w:p>
      <w:pPr>
        <w:spacing w:before="191"/>
        <w:ind w:left="591" w:right="0" w:firstLine="0"/>
        <w:jc w:val="left"/>
        <w:rPr>
          <w:b/>
          <w:color w:val="auto"/>
          <w:sz w:val="24"/>
        </w:rPr>
      </w:pPr>
      <w:r>
        <w:rPr>
          <w:b/>
          <w:color w:val="auto"/>
          <w:sz w:val="24"/>
        </w:rPr>
        <w:t>（一）处罚依据</w:t>
      </w:r>
    </w:p>
    <w:p>
      <w:pPr>
        <w:pStyle w:val="4"/>
        <w:spacing w:before="192" w:line="391" w:lineRule="auto"/>
        <w:ind w:left="320" w:right="268" w:firstLine="360"/>
        <w:rPr>
          <w:color w:val="auto"/>
        </w:rPr>
      </w:pPr>
      <w:r>
        <w:rPr>
          <w:color w:val="auto"/>
        </w:rPr>
        <w:t>1、《中华人民共和国野生动物保护法》第四十八条第二款 违反本法第二十七条第四款、第三十三条第二款规定，未持有合法来源证明出售、利用、运输非国家重点保护野生动物的，由县级以上地方人民政府野生动物保护主管部门或者市场监督管理部门按照职责分工没收野生动物，并处野生动物价值一倍以上五倍以下的罚款。</w:t>
      </w:r>
    </w:p>
    <w:p>
      <w:pPr>
        <w:pStyle w:val="13"/>
        <w:numPr>
          <w:ilvl w:val="1"/>
          <w:numId w:val="53"/>
        </w:numPr>
        <w:tabs>
          <w:tab w:val="left" w:pos="1041"/>
        </w:tabs>
        <w:spacing w:before="0" w:after="0" w:line="388" w:lineRule="auto"/>
        <w:ind w:left="320" w:right="385" w:firstLine="360"/>
        <w:jc w:val="left"/>
        <w:rPr>
          <w:color w:val="auto"/>
          <w:sz w:val="24"/>
        </w:rPr>
      </w:pPr>
      <w:r>
        <w:rPr>
          <w:color w:val="auto"/>
          <w:spacing w:val="-1"/>
          <w:sz w:val="24"/>
        </w:rPr>
        <w:t>、《中华人民共和国野生动物保护法》第二十七条第四款 出售、利用非国</w:t>
      </w:r>
      <w:r>
        <w:rPr>
          <w:color w:val="auto"/>
          <w:sz w:val="24"/>
        </w:rPr>
        <w:t>家重点保护野生动物的，应当提供狩猎、进出口等合法来源证明。、《中华人民共和国野生动物保护法》第三十三条第二款 运输非国家重点</w:t>
      </w:r>
      <w:r>
        <w:rPr>
          <w:color w:val="auto"/>
          <w:spacing w:val="-1"/>
          <w:sz w:val="24"/>
        </w:rPr>
        <w:t>保护野生动物出县境的，应当持有狩猎、进出口等合法来源证明，以及检疫证明。</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before="3" w:line="388" w:lineRule="auto"/>
        <w:ind w:right="213" w:firstLine="480"/>
        <w:rPr>
          <w:color w:val="auto"/>
        </w:rPr>
      </w:pPr>
      <w:r>
        <w:rPr>
          <w:color w:val="auto"/>
        </w:rPr>
        <w:t>野生动物价值一万元以下的，没收野生动物，并处野生动物价值一倍以上二倍以下的罚款。</w:t>
      </w:r>
    </w:p>
    <w:p>
      <w:pPr>
        <w:pStyle w:val="13"/>
        <w:numPr>
          <w:ilvl w:val="0"/>
          <w:numId w:val="54"/>
        </w:numPr>
        <w:tabs>
          <w:tab w:val="left" w:pos="833"/>
        </w:tabs>
        <w:spacing w:before="2"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野生动物价值一万元以上五万元以下的，没收野生动物，并处野生动物价值二倍以上三点五倍以下的罚款。</w:t>
      </w:r>
    </w:p>
    <w:p>
      <w:pPr>
        <w:pStyle w:val="13"/>
        <w:numPr>
          <w:ilvl w:val="0"/>
          <w:numId w:val="54"/>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野生动物价值五万元以上的，没收野生动物，并处野生动物价值三点五倍以上五倍以下的罚款。</w:t>
      </w:r>
    </w:p>
    <w:p>
      <w:pPr>
        <w:pStyle w:val="2"/>
        <w:spacing w:before="2" w:line="391" w:lineRule="auto"/>
        <w:ind w:left="111" w:right="235" w:firstLine="480"/>
        <w:jc w:val="both"/>
        <w:rPr>
          <w:color w:val="auto"/>
        </w:rPr>
      </w:pPr>
      <w:bookmarkStart w:id="189" w:name="_bookmark94"/>
      <w:bookmarkEnd w:id="189"/>
      <w:bookmarkStart w:id="190" w:name="九十三、生产、经营使用国家重点保护野生动物及其制品或者没有合法来源证明的非国家重"/>
      <w:bookmarkEnd w:id="190"/>
      <w:r>
        <w:rPr>
          <w:color w:val="auto"/>
          <w:spacing w:val="-8"/>
        </w:rPr>
        <w:t>九十三、生产、经营使用国家重点保护野生动物及其制品或者没有合法来源证明</w:t>
      </w:r>
      <w:r>
        <w:rPr>
          <w:color w:val="auto"/>
          <w:spacing w:val="-11"/>
        </w:rPr>
        <w:t>的非国家重点保护野生动物及其制品制作食品，或者为食用非法购买国家重点保护的野生动物及其制品</w:t>
      </w:r>
    </w:p>
    <w:p>
      <w:pPr>
        <w:spacing w:before="0" w:line="304" w:lineRule="exact"/>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8"/>
        </w:rPr>
        <w:t>、《中华人民共和国野生动物保护法》第四十九条 违反本法第三十条规定，生</w:t>
      </w:r>
      <w:r>
        <w:rPr>
          <w:color w:val="auto"/>
          <w:spacing w:val="-7"/>
        </w:rPr>
        <w:t>产、经营使用国家重点保护野生动物及其制品或者没有合法来源证明的非国家重点保</w:t>
      </w:r>
      <w:r>
        <w:rPr>
          <w:color w:val="auto"/>
          <w:spacing w:val="-4"/>
        </w:rPr>
        <w:t>护野生动物及其制品制作食品，或者为食用非法购买国家重点保护的野生动物及其制</w:t>
      </w:r>
      <w:r>
        <w:rPr>
          <w:color w:val="auto"/>
          <w:spacing w:val="-7"/>
        </w:rPr>
        <w:t>品的，由县级以上人民政府野生动物保护主管部门或者市场监督管理部门按照职责分</w:t>
      </w:r>
      <w:r>
        <w:rPr>
          <w:color w:val="auto"/>
          <w:spacing w:val="-4"/>
        </w:rPr>
        <w:t>工责令停止违法行为，没收野生动物及其制品和违法所得，并处野生动物及其制品价</w:t>
      </w:r>
      <w:r>
        <w:rPr>
          <w:color w:val="auto"/>
        </w:rPr>
        <w:t>值二倍以上十倍以下的罚款；构成犯罪的，依法追究刑事责任。</w:t>
      </w:r>
    </w:p>
    <w:p>
      <w:pPr>
        <w:pStyle w:val="4"/>
        <w:spacing w:before="11" w:line="388" w:lineRule="auto"/>
        <w:ind w:right="268" w:firstLine="480"/>
        <w:jc w:val="both"/>
        <w:rPr>
          <w:color w:val="auto"/>
        </w:rPr>
      </w:pPr>
      <w:r>
        <w:rPr>
          <w:color w:val="auto"/>
        </w:rPr>
        <w:t>2</w:t>
      </w:r>
      <w:r>
        <w:rPr>
          <w:color w:val="auto"/>
          <w:spacing w:val="-8"/>
        </w:rPr>
        <w:t>、《中华人民共和国野生动物保护法》第三十条 禁止生产、经营使用国家重点</w:t>
      </w:r>
      <w:r>
        <w:rPr>
          <w:color w:val="auto"/>
          <w:spacing w:val="-4"/>
        </w:rPr>
        <w:t>保护野生动物及其制品制作的食品，或者使用没有合法来源证明的非国家重点保护野</w:t>
      </w:r>
      <w:r>
        <w:rPr>
          <w:color w:val="auto"/>
        </w:rPr>
        <w:t>生动物及其制品制作的食品。</w:t>
      </w:r>
    </w:p>
    <w:p>
      <w:pPr>
        <w:pStyle w:val="4"/>
        <w:spacing w:before="6"/>
        <w:ind w:left="591"/>
        <w:rPr>
          <w:color w:val="auto"/>
        </w:rPr>
      </w:pPr>
      <w:r>
        <w:rPr>
          <w:color w:val="auto"/>
        </w:rPr>
        <w:t>禁止为食用非法购买国家重点保护的野生动物及其制品。</w:t>
      </w:r>
    </w:p>
    <w:p>
      <w:pPr>
        <w:spacing w:before="191" w:line="388" w:lineRule="auto"/>
        <w:ind w:left="591" w:right="6948" w:firstLine="0"/>
        <w:jc w:val="left"/>
        <w:rPr>
          <w:color w:val="auto"/>
          <w:sz w:val="24"/>
        </w:rPr>
      </w:pPr>
      <w:r>
        <w:rPr>
          <w:b/>
          <w:color w:val="auto"/>
          <w:sz w:val="24"/>
        </w:rPr>
        <w:t>（二）裁量标准</w:t>
      </w:r>
      <w:r>
        <w:rPr>
          <w:color w:val="auto"/>
          <w:sz w:val="24"/>
        </w:rPr>
        <w:t>1.【较轻】</w:t>
      </w:r>
    </w:p>
    <w:p>
      <w:pPr>
        <w:pStyle w:val="4"/>
        <w:spacing w:before="39" w:line="391" w:lineRule="auto"/>
        <w:ind w:right="213" w:firstLine="480"/>
        <w:rPr>
          <w:color w:val="auto"/>
        </w:rPr>
      </w:pPr>
      <w:r>
        <w:rPr>
          <w:color w:val="auto"/>
        </w:rPr>
        <w:t>野生动物及其制品价值一万元以下的，没收野生动物及其制品和违法所得，并处野生动物及其制品价值二倍以上三倍以下的罚款。</w:t>
      </w:r>
    </w:p>
    <w:p>
      <w:pPr>
        <w:pStyle w:val="13"/>
        <w:numPr>
          <w:ilvl w:val="0"/>
          <w:numId w:val="55"/>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13" w:firstLine="480"/>
        <w:rPr>
          <w:color w:val="auto"/>
        </w:rPr>
      </w:pPr>
      <w:r>
        <w:rPr>
          <w:color w:val="auto"/>
        </w:rPr>
        <w:t>野生动物及其制品价值一万元以上五万元以下的，没收野生动物及其制品和违法所得，并处野生动物及其制品价值三倍以上七倍以下的罚款。</w:t>
      </w:r>
    </w:p>
    <w:p>
      <w:pPr>
        <w:pStyle w:val="13"/>
        <w:numPr>
          <w:ilvl w:val="0"/>
          <w:numId w:val="55"/>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野生动物及其制品价值五万元以上的，没收野生动物及其制品和违法所得，</w:t>
      </w:r>
      <w:r>
        <w:rPr>
          <w:color w:val="auto"/>
        </w:rPr>
        <w:t>并处野生动物及其制品价值七倍以上十倍以下的罚款。</w:t>
      </w:r>
    </w:p>
    <w:p>
      <w:pPr>
        <w:pStyle w:val="2"/>
        <w:spacing w:line="388" w:lineRule="auto"/>
        <w:ind w:left="111" w:right="240" w:firstLine="480"/>
        <w:rPr>
          <w:color w:val="auto"/>
        </w:rPr>
      </w:pPr>
      <w:bookmarkStart w:id="191" w:name="九十四、为违法出售、购买、利用野生动物及其制品或者禁止使用的猎捕工具提供交易服务"/>
      <w:bookmarkEnd w:id="191"/>
      <w:bookmarkStart w:id="192" w:name="_bookmark95"/>
      <w:bookmarkEnd w:id="192"/>
      <w:r>
        <w:rPr>
          <w:color w:val="auto"/>
          <w:spacing w:val="-8"/>
        </w:rPr>
        <w:t>九十四、为违法出售、购买、利用野生动物及其制品或者禁止使用的猎捕工具提供交易服务</w:t>
      </w:r>
    </w:p>
    <w:p>
      <w:pPr>
        <w:spacing w:before="3"/>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rPr>
        <w:t xml:space="preserve">1、《中华人民共和国野生动物保护法》第五十一条 违反本法第三十二条规定， </w:t>
      </w:r>
      <w:r>
        <w:rPr>
          <w:color w:val="auto"/>
          <w:spacing w:val="-15"/>
        </w:rPr>
        <w:t xml:space="preserve">为违法出售、购买、利用野生动物及其制品或者禁止使用的猎捕工具提供交易服务的， </w:t>
      </w:r>
      <w:r>
        <w:rPr>
          <w:color w:val="auto"/>
          <w:spacing w:val="-8"/>
        </w:rPr>
        <w:t xml:space="preserve">由县级以上人民政府市场监督管理部门责令停止违法行为，限期改正，没收违法所得， </w:t>
      </w:r>
      <w:r>
        <w:rPr>
          <w:color w:val="auto"/>
          <w:spacing w:val="-3"/>
        </w:rPr>
        <w:t>并处违法所得二倍以上五倍以下的罚款；没有违法所得的，处一万元以上五万元以下的罚款；构成犯罪的，依法追究刑事责任。</w:t>
      </w:r>
    </w:p>
    <w:p>
      <w:pPr>
        <w:pStyle w:val="4"/>
        <w:spacing w:line="388" w:lineRule="auto"/>
        <w:ind w:right="268" w:firstLine="480"/>
        <w:jc w:val="both"/>
        <w:rPr>
          <w:color w:val="auto"/>
        </w:rPr>
      </w:pPr>
      <w:r>
        <w:rPr>
          <w:color w:val="auto"/>
        </w:rPr>
        <w:t>2</w:t>
      </w:r>
      <w:r>
        <w:rPr>
          <w:color w:val="auto"/>
          <w:spacing w:val="-8"/>
        </w:rPr>
        <w:t>、《中华人民共和国野生动物保护法》第三十二条 禁止网络交易平台、商品交</w:t>
      </w:r>
      <w:r>
        <w:rPr>
          <w:color w:val="auto"/>
          <w:spacing w:val="-5"/>
        </w:rPr>
        <w:t>易市场等交易场所，为违法出售、购买、利用野生动物及其制品或者禁止使用的猎捕</w:t>
      </w:r>
      <w:r>
        <w:rPr>
          <w:color w:val="auto"/>
        </w:rPr>
        <w:t>工具提供交易服务。</w:t>
      </w:r>
    </w:p>
    <w:p>
      <w:pPr>
        <w:spacing w:before="1"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148" w:firstLine="480"/>
        <w:rPr>
          <w:color w:val="auto"/>
        </w:rPr>
      </w:pPr>
      <w:r>
        <w:rPr>
          <w:color w:val="auto"/>
          <w:spacing w:val="-13"/>
        </w:rPr>
        <w:t xml:space="preserve">违法所得一万元以下的，没收违法所得，并处违法所得二倍以上三倍以下的罚款； </w:t>
      </w:r>
      <w:r>
        <w:rPr>
          <w:color w:val="auto"/>
        </w:rPr>
        <w:t>没有违法所得，第一次发现的，处以一万元以上二万元以下的罚款。</w:t>
      </w:r>
    </w:p>
    <w:p>
      <w:pPr>
        <w:pStyle w:val="13"/>
        <w:numPr>
          <w:ilvl w:val="0"/>
          <w:numId w:val="56"/>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213" w:firstLine="480"/>
        <w:rPr>
          <w:color w:val="auto"/>
        </w:rPr>
      </w:pPr>
      <w:r>
        <w:rPr>
          <w:color w:val="auto"/>
        </w:rPr>
        <w:t>违法所得一万元以上二万元以下的，没收违法所得，并处违法所得三倍以上四倍以下的罚款；没有违法所得，第二次发现的，处以二万元以上四万元以下的罚款。</w:t>
      </w:r>
    </w:p>
    <w:p>
      <w:pPr>
        <w:pStyle w:val="13"/>
        <w:numPr>
          <w:ilvl w:val="0"/>
          <w:numId w:val="56"/>
        </w:numPr>
        <w:tabs>
          <w:tab w:val="left" w:pos="833"/>
        </w:tabs>
        <w:spacing w:before="0" w:after="0" w:line="306" w:lineRule="exact"/>
        <w:ind w:left="832" w:right="0" w:hanging="242"/>
        <w:jc w:val="left"/>
        <w:rPr>
          <w:color w:val="auto"/>
          <w:sz w:val="24"/>
        </w:rPr>
      </w:pPr>
      <w:r>
        <w:rPr>
          <w:color w:val="auto"/>
          <w:sz w:val="24"/>
        </w:rPr>
        <w:t>【严重】</w:t>
      </w:r>
    </w:p>
    <w:p>
      <w:pPr>
        <w:pStyle w:val="4"/>
        <w:spacing w:before="39" w:line="391" w:lineRule="auto"/>
        <w:ind w:right="148" w:firstLine="480"/>
        <w:rPr>
          <w:color w:val="auto"/>
        </w:rPr>
      </w:pPr>
      <w:r>
        <w:rPr>
          <w:color w:val="auto"/>
          <w:spacing w:val="-13"/>
        </w:rPr>
        <w:t xml:space="preserve">违法所得二万元以上的，没收违法所得，并处违法所得四倍以上五倍以下的罚款； </w:t>
      </w:r>
      <w:r>
        <w:rPr>
          <w:color w:val="auto"/>
        </w:rPr>
        <w:t>没有违法所得，发现三次以上的，处以四万元以上五万元以下的罚款。</w:t>
      </w:r>
    </w:p>
    <w:p>
      <w:pPr>
        <w:pStyle w:val="2"/>
        <w:spacing w:line="306" w:lineRule="exact"/>
        <w:rPr>
          <w:color w:val="auto"/>
        </w:rPr>
      </w:pPr>
      <w:bookmarkStart w:id="193" w:name="九十五、倒卖陈化粮或者不按照规定使用陈化粮"/>
      <w:bookmarkEnd w:id="193"/>
      <w:bookmarkStart w:id="194" w:name="_bookmark96"/>
      <w:bookmarkEnd w:id="194"/>
      <w:r>
        <w:rPr>
          <w:color w:val="auto"/>
        </w:rPr>
        <w:t>九十五、倒卖陈化粮或者不按照规定使用陈化粮</w:t>
      </w:r>
    </w:p>
    <w:p>
      <w:pPr>
        <w:spacing w:before="192"/>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rPr>
        <w:t>《粮食流通管理条例》第四十四条第二款 倒卖陈化粮或者不按照规定使用陈化</w:t>
      </w:r>
      <w:r>
        <w:rPr>
          <w:color w:val="auto"/>
          <w:spacing w:val="-2"/>
        </w:rPr>
        <w:t xml:space="preserve">粮的，由工商行政管理部门没收非法倒卖的粮食，并处非法倒卖粮食价值 </w:t>
      </w:r>
      <w:r>
        <w:rPr>
          <w:color w:val="auto"/>
        </w:rPr>
        <w:t>20%</w:t>
      </w:r>
      <w:r>
        <w:rPr>
          <w:color w:val="auto"/>
          <w:spacing w:val="-5"/>
        </w:rPr>
        <w:t>以下的</w:t>
      </w:r>
      <w:r>
        <w:rPr>
          <w:color w:val="auto"/>
          <w:spacing w:val="-9"/>
        </w:rPr>
        <w:t xml:space="preserve">罚款；情节严重的，由工商行政管理部门并处非法倒卖粮食价值 </w:t>
      </w:r>
      <w:r>
        <w:rPr>
          <w:color w:val="auto"/>
        </w:rPr>
        <w:t>1</w:t>
      </w:r>
      <w:r>
        <w:rPr>
          <w:color w:val="auto"/>
          <w:spacing w:val="-24"/>
        </w:rPr>
        <w:t xml:space="preserve"> 倍以上 </w:t>
      </w:r>
      <w:r>
        <w:rPr>
          <w:color w:val="auto"/>
        </w:rPr>
        <w:t>5</w:t>
      </w:r>
      <w:r>
        <w:rPr>
          <w:color w:val="auto"/>
          <w:spacing w:val="-16"/>
        </w:rPr>
        <w:t xml:space="preserve"> 倍以下的</w:t>
      </w:r>
      <w:r>
        <w:rPr>
          <w:color w:val="auto"/>
        </w:rPr>
        <w:t>罚款，吊销营业执照；构成犯罪的，依法追究刑事责任。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倒卖粮食价值十万元以下，且未造成危害后果的，没收非法倒卖的粮食，并处粮食价值百分之六以下的罚款。</w:t>
      </w:r>
    </w:p>
    <w:p>
      <w:pPr>
        <w:pStyle w:val="13"/>
        <w:numPr>
          <w:ilvl w:val="0"/>
          <w:numId w:val="57"/>
        </w:numPr>
        <w:tabs>
          <w:tab w:val="left" w:pos="833"/>
        </w:tabs>
        <w:spacing w:before="1" w:after="0" w:line="240" w:lineRule="auto"/>
        <w:ind w:left="832" w:right="0" w:hanging="242"/>
        <w:jc w:val="left"/>
        <w:rPr>
          <w:color w:val="auto"/>
          <w:sz w:val="24"/>
        </w:rPr>
      </w:pPr>
      <w:r>
        <w:rPr>
          <w:color w:val="auto"/>
          <w:sz w:val="24"/>
        </w:rPr>
        <w:t>【一般】</w:t>
      </w:r>
    </w:p>
    <w:p>
      <w:pPr>
        <w:pStyle w:val="4"/>
        <w:spacing w:before="194" w:line="388" w:lineRule="auto"/>
        <w:ind w:right="213" w:firstLine="480"/>
        <w:rPr>
          <w:color w:val="auto"/>
        </w:rPr>
      </w:pPr>
      <w:r>
        <w:rPr>
          <w:color w:val="auto"/>
        </w:rPr>
        <w:t>倒卖粮食价值十万元以上五十万元以下，且未造成危害后果的，没收非法倒卖的粮食，并处粮食价值百分之六以上百分之十五以下的罚款。</w:t>
      </w:r>
    </w:p>
    <w:p>
      <w:pPr>
        <w:pStyle w:val="13"/>
        <w:numPr>
          <w:ilvl w:val="0"/>
          <w:numId w:val="57"/>
        </w:numPr>
        <w:tabs>
          <w:tab w:val="left" w:pos="833"/>
        </w:tabs>
        <w:spacing w:before="2" w:after="0" w:line="240" w:lineRule="auto"/>
        <w:ind w:left="832" w:right="0" w:hanging="242"/>
        <w:jc w:val="left"/>
        <w:rPr>
          <w:color w:val="auto"/>
          <w:sz w:val="24"/>
        </w:rPr>
      </w:pPr>
      <w:r>
        <w:rPr>
          <w:color w:val="auto"/>
          <w:sz w:val="24"/>
        </w:rPr>
        <w:t>【较重】</w:t>
      </w:r>
    </w:p>
    <w:p>
      <w:pPr>
        <w:pStyle w:val="4"/>
        <w:spacing w:before="194" w:line="388" w:lineRule="auto"/>
        <w:ind w:right="213" w:firstLine="480"/>
        <w:rPr>
          <w:color w:val="auto"/>
        </w:rPr>
      </w:pPr>
      <w:r>
        <w:rPr>
          <w:color w:val="auto"/>
        </w:rPr>
        <w:t>倒卖粮食价值五十万元以上或者拒不改正，但未造成危害后果的，没收非法倒卖的粮食，并处粮食价值百分之十五以上百分之二十以下的罚款。</w:t>
      </w:r>
    </w:p>
    <w:p>
      <w:pPr>
        <w:pStyle w:val="13"/>
        <w:numPr>
          <w:ilvl w:val="0"/>
          <w:numId w:val="57"/>
        </w:numPr>
        <w:tabs>
          <w:tab w:val="left" w:pos="833"/>
        </w:tabs>
        <w:spacing w:before="3" w:after="0" w:line="240" w:lineRule="auto"/>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4"/>
        </w:rPr>
        <w:t>倒卖粮食价值五十万元以上，且造成严重后果，但能积极消除影响未造成社会危</w:t>
      </w:r>
      <w:r>
        <w:rPr>
          <w:color w:val="auto"/>
          <w:spacing w:val="-6"/>
        </w:rPr>
        <w:t>害的，没收非法倒卖的粮食，并处粮食价值一倍以上三倍以下的罚款，并吊销营业执</w:t>
      </w:r>
      <w:r>
        <w:rPr>
          <w:color w:val="auto"/>
        </w:rPr>
        <w:t>照。</w:t>
      </w:r>
    </w:p>
    <w:p>
      <w:pPr>
        <w:pStyle w:val="13"/>
        <w:numPr>
          <w:ilvl w:val="0"/>
          <w:numId w:val="57"/>
        </w:numPr>
        <w:tabs>
          <w:tab w:val="left" w:pos="833"/>
        </w:tabs>
        <w:spacing w:before="5" w:after="0" w:line="240" w:lineRule="auto"/>
        <w:ind w:left="832" w:right="0" w:hanging="242"/>
        <w:jc w:val="left"/>
        <w:rPr>
          <w:color w:val="auto"/>
          <w:sz w:val="24"/>
        </w:rPr>
      </w:pPr>
      <w:r>
        <w:rPr>
          <w:color w:val="auto"/>
          <w:sz w:val="24"/>
        </w:rPr>
        <w:t>【特别严重】</w:t>
      </w:r>
    </w:p>
    <w:p>
      <w:pPr>
        <w:pStyle w:val="4"/>
        <w:spacing w:before="192" w:line="388" w:lineRule="auto"/>
        <w:ind w:right="148" w:firstLine="480"/>
        <w:rPr>
          <w:color w:val="auto"/>
        </w:rPr>
      </w:pPr>
      <w:r>
        <w:rPr>
          <w:color w:val="auto"/>
          <w:spacing w:val="-3"/>
        </w:rPr>
        <w:t>倒卖粮食价值五十万元以上，且造成社会危害，但未达到刑事案件立案追诉标准</w:t>
      </w:r>
      <w:r>
        <w:rPr>
          <w:color w:val="auto"/>
          <w:spacing w:val="-15"/>
        </w:rPr>
        <w:t>的，没收非法倒卖的粮食，并处粮食价值三倍以上五倍以下的罚款，并吊销营业执照。</w:t>
      </w:r>
    </w:p>
    <w:p>
      <w:pPr>
        <w:pStyle w:val="2"/>
        <w:spacing w:before="4" w:line="388" w:lineRule="auto"/>
        <w:ind w:left="111" w:right="240" w:firstLine="480"/>
        <w:rPr>
          <w:color w:val="auto"/>
        </w:rPr>
      </w:pPr>
      <w:bookmarkStart w:id="195" w:name="_bookmark97"/>
      <w:bookmarkEnd w:id="195"/>
      <w:bookmarkStart w:id="196" w:name="九十六、未经中国人民银行批准，研制、仿制、引进、销售、购买和使用印制人民币所特有"/>
      <w:bookmarkEnd w:id="196"/>
      <w:r>
        <w:rPr>
          <w:color w:val="auto"/>
          <w:spacing w:val="-8"/>
        </w:rPr>
        <w:t>九十六、未经中国人民银行批准，研制、仿制、引进、销售、购买和使用印制人民币所特有的防伪材料、防伪技术、防伪工艺和专用设备</w:t>
      </w:r>
    </w:p>
    <w:p>
      <w:pPr>
        <w:spacing w:before="3"/>
        <w:ind w:left="591" w:right="0" w:firstLine="0"/>
        <w:jc w:val="left"/>
        <w:rPr>
          <w:b/>
          <w:color w:val="auto"/>
          <w:sz w:val="24"/>
        </w:rPr>
      </w:pPr>
      <w:r>
        <w:rPr>
          <w:b/>
          <w:color w:val="auto"/>
          <w:sz w:val="24"/>
        </w:rPr>
        <w:t>（一）处罚依据</w:t>
      </w:r>
    </w:p>
    <w:p>
      <w:pPr>
        <w:pStyle w:val="4"/>
        <w:spacing w:before="39" w:line="391" w:lineRule="auto"/>
        <w:ind w:right="292" w:firstLine="480"/>
        <w:rPr>
          <w:color w:val="auto"/>
        </w:rPr>
      </w:pPr>
      <w:r>
        <w:rPr>
          <w:color w:val="auto"/>
        </w:rPr>
        <w:t>1</w:t>
      </w:r>
      <w:r>
        <w:rPr>
          <w:color w:val="auto"/>
          <w:spacing w:val="-12"/>
        </w:rPr>
        <w:t>、《人民币管理条例》第四十条 违反本条例第十三条规定的，由工商行政管理</w:t>
      </w:r>
      <w:r>
        <w:rPr>
          <w:color w:val="auto"/>
          <w:spacing w:val="-14"/>
        </w:rPr>
        <w:t xml:space="preserve">机关和其他有关行政执法机关给予警告，没收违法所得和非法财物，并处违法所得 </w:t>
      </w:r>
      <w:r>
        <w:rPr>
          <w:color w:val="auto"/>
          <w:spacing w:val="-17"/>
        </w:rPr>
        <w:t>1</w:t>
      </w:r>
    </w:p>
    <w:p>
      <w:pPr>
        <w:pStyle w:val="4"/>
        <w:spacing w:line="306" w:lineRule="exact"/>
        <w:rPr>
          <w:color w:val="auto"/>
        </w:rPr>
      </w:pPr>
      <w:r>
        <w:rPr>
          <w:color w:val="auto"/>
        </w:rPr>
        <w:t>倍以上 3 倍以下的罚款；没有违法所得的,处 2 万元以上 20 万元以下的罚款。</w:t>
      </w:r>
    </w:p>
    <w:p>
      <w:pPr>
        <w:pStyle w:val="4"/>
        <w:spacing w:before="192" w:line="391" w:lineRule="auto"/>
        <w:ind w:right="268" w:firstLine="480"/>
        <w:rPr>
          <w:color w:val="auto"/>
        </w:rPr>
      </w:pPr>
      <w:r>
        <w:rPr>
          <w:color w:val="auto"/>
        </w:rPr>
        <w:t>2</w:t>
      </w:r>
      <w:r>
        <w:rPr>
          <w:color w:val="auto"/>
          <w:spacing w:val="-12"/>
        </w:rPr>
        <w:t xml:space="preserve">、《人民币管理条例》第十三条 除中国人民银行指定的印制人民币的企业外， </w:t>
      </w:r>
      <w:r>
        <w:rPr>
          <w:color w:val="auto"/>
          <w:spacing w:val="-13"/>
        </w:rPr>
        <w:t>任何单位和个人不得研制、仿制、引进、销售、购买和使用印制人民币所特有的防伪</w:t>
      </w:r>
      <w:r>
        <w:rPr>
          <w:color w:val="auto"/>
        </w:rPr>
        <w:t>材料、防伪技术、防伪工艺和专用设备。有关管理办法由中国人民银行另行制定。</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5"/>
        </w:rPr>
        <w:t>违法所得五万元以下的，给予警告，没收违法所得和非法财物，并处违法所得一</w:t>
      </w:r>
      <w:r>
        <w:rPr>
          <w:color w:val="auto"/>
          <w:spacing w:val="-6"/>
        </w:rPr>
        <w:t>倍的罚款；没有违法所得，涉案金额五万元以下的，处以二万元以上六万元以下的罚</w:t>
      </w:r>
      <w:r>
        <w:rPr>
          <w:color w:val="auto"/>
        </w:rPr>
        <w:t>款。</w:t>
      </w:r>
    </w:p>
    <w:p>
      <w:pPr>
        <w:pStyle w:val="13"/>
        <w:numPr>
          <w:ilvl w:val="0"/>
          <w:numId w:val="58"/>
        </w:numPr>
        <w:tabs>
          <w:tab w:val="left" w:pos="833"/>
        </w:tabs>
        <w:spacing w:before="0" w:after="0" w:line="304" w:lineRule="exact"/>
        <w:ind w:left="832" w:right="0" w:hanging="242"/>
        <w:jc w:val="left"/>
        <w:rPr>
          <w:color w:val="auto"/>
          <w:sz w:val="24"/>
        </w:rPr>
      </w:pPr>
      <w:r>
        <w:rPr>
          <w:color w:val="auto"/>
          <w:sz w:val="24"/>
        </w:rPr>
        <w:t>【一般】</w:t>
      </w:r>
    </w:p>
    <w:p>
      <w:pPr>
        <w:pStyle w:val="4"/>
        <w:spacing w:before="187" w:line="391" w:lineRule="auto"/>
        <w:ind w:right="268" w:firstLine="480"/>
        <w:jc w:val="both"/>
        <w:rPr>
          <w:color w:val="auto"/>
        </w:rPr>
      </w:pPr>
      <w:r>
        <w:rPr>
          <w:color w:val="auto"/>
          <w:spacing w:val="-4"/>
        </w:rPr>
        <w:t>违法所得五万元以上十万元以下的，给予警告，没收违法所得和非法财物，并处违法所得一倍以上二倍以下的罚款；没有违法所得，涉案金额五万元以上十万元以下</w:t>
      </w:r>
      <w:r>
        <w:rPr>
          <w:color w:val="auto"/>
        </w:rPr>
        <w:t>的，处以六万元以上十四万元以下的罚款。</w:t>
      </w:r>
    </w:p>
    <w:p>
      <w:pPr>
        <w:pStyle w:val="13"/>
        <w:numPr>
          <w:ilvl w:val="0"/>
          <w:numId w:val="58"/>
        </w:numPr>
        <w:tabs>
          <w:tab w:val="left" w:pos="833"/>
        </w:tabs>
        <w:spacing w:before="0" w:after="0" w:line="304" w:lineRule="exact"/>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5"/>
        </w:rPr>
        <w:t>违法所得十万元以上的，给予警告，没收违法所得和非法财物，并处违法所得二倍以上三倍以下的罚款；没有违法所得，涉案金额十万元以上的，处以十四万元以上</w:t>
      </w:r>
      <w:r>
        <w:rPr>
          <w:color w:val="auto"/>
        </w:rPr>
        <w:t>二十万元以下的罚款。</w:t>
      </w:r>
    </w:p>
    <w:p>
      <w:pPr>
        <w:pStyle w:val="2"/>
        <w:spacing w:before="5"/>
        <w:rPr>
          <w:color w:val="auto"/>
        </w:rPr>
      </w:pPr>
      <w:bookmarkStart w:id="197" w:name="_bookmark98"/>
      <w:bookmarkEnd w:id="197"/>
      <w:bookmarkStart w:id="198" w:name="九十七、非法买卖流通人民币、经营纪念币或者损害人民币行为"/>
      <w:bookmarkEnd w:id="198"/>
      <w:r>
        <w:rPr>
          <w:color w:val="auto"/>
        </w:rPr>
        <w:t>九十七、非法买卖流通人民币、经营纪念币或者损害人民币行为</w:t>
      </w:r>
    </w:p>
    <w:p>
      <w:pPr>
        <w:spacing w:before="192"/>
        <w:ind w:left="591" w:right="0" w:firstLine="0"/>
        <w:jc w:val="left"/>
        <w:rPr>
          <w:b/>
          <w:color w:val="auto"/>
          <w:sz w:val="24"/>
        </w:rPr>
      </w:pPr>
      <w:r>
        <w:rPr>
          <w:b/>
          <w:color w:val="auto"/>
          <w:sz w:val="24"/>
        </w:rPr>
        <w:t>（一）处罚依据</w:t>
      </w:r>
    </w:p>
    <w:p>
      <w:pPr>
        <w:pStyle w:val="4"/>
        <w:spacing w:before="192" w:line="391" w:lineRule="auto"/>
        <w:ind w:right="232" w:firstLine="480"/>
        <w:jc w:val="both"/>
        <w:rPr>
          <w:color w:val="auto"/>
        </w:rPr>
      </w:pPr>
      <w:r>
        <w:rPr>
          <w:color w:val="auto"/>
        </w:rPr>
        <w:t>1</w:t>
      </w:r>
      <w:r>
        <w:rPr>
          <w:color w:val="auto"/>
          <w:spacing w:val="-7"/>
        </w:rPr>
        <w:t>、《人民币管理条例》第四十三条 违反本条例第二十五条、第二十六条第一款</w:t>
      </w:r>
      <w:r>
        <w:rPr>
          <w:color w:val="auto"/>
          <w:spacing w:val="-10"/>
        </w:rPr>
        <w:t>第二项和第四项规定的，由工商行政管理机关和其他有关行政执法机关给予警告，没</w:t>
      </w:r>
      <w:r>
        <w:rPr>
          <w:color w:val="auto"/>
          <w:spacing w:val="-13"/>
        </w:rPr>
        <w:t xml:space="preserve">收违法所得和非法财物，并处违法所得 </w:t>
      </w:r>
      <w:r>
        <w:rPr>
          <w:color w:val="auto"/>
        </w:rPr>
        <w:t>1</w:t>
      </w:r>
      <w:r>
        <w:rPr>
          <w:color w:val="auto"/>
          <w:spacing w:val="-24"/>
        </w:rPr>
        <w:t xml:space="preserve"> 倍以上 </w:t>
      </w:r>
      <w:r>
        <w:rPr>
          <w:color w:val="auto"/>
        </w:rPr>
        <w:t>3</w:t>
      </w:r>
      <w:r>
        <w:rPr>
          <w:color w:val="auto"/>
          <w:spacing w:val="-9"/>
        </w:rPr>
        <w:t xml:space="preserve"> 倍以下的罚款；没有违法所得的，</w:t>
      </w:r>
    </w:p>
    <w:p>
      <w:pPr>
        <w:pStyle w:val="4"/>
        <w:spacing w:line="391" w:lineRule="auto"/>
        <w:ind w:right="268"/>
        <w:jc w:val="both"/>
        <w:rPr>
          <w:color w:val="auto"/>
        </w:rPr>
      </w:pPr>
      <w:r>
        <w:rPr>
          <w:color w:val="auto"/>
          <w:spacing w:val="-30"/>
        </w:rPr>
        <w:t xml:space="preserve">处 </w:t>
      </w:r>
      <w:r>
        <w:rPr>
          <w:color w:val="auto"/>
        </w:rPr>
        <w:t>1000</w:t>
      </w:r>
      <w:r>
        <w:rPr>
          <w:color w:val="auto"/>
          <w:spacing w:val="-24"/>
        </w:rPr>
        <w:t xml:space="preserve"> 元以上 </w:t>
      </w:r>
      <w:r>
        <w:rPr>
          <w:color w:val="auto"/>
        </w:rPr>
        <w:t>5</w:t>
      </w:r>
      <w:r>
        <w:rPr>
          <w:color w:val="auto"/>
          <w:spacing w:val="-11"/>
        </w:rPr>
        <w:t xml:space="preserve"> 万元以下的罚款。 工商行政管理机关和其他有关行政执法机关应当</w:t>
      </w:r>
      <w:r>
        <w:rPr>
          <w:color w:val="auto"/>
        </w:rPr>
        <w:t>销毁非法使用的人民币图样。</w:t>
      </w:r>
    </w:p>
    <w:p>
      <w:pPr>
        <w:pStyle w:val="13"/>
        <w:numPr>
          <w:ilvl w:val="1"/>
          <w:numId w:val="59"/>
        </w:numPr>
        <w:tabs>
          <w:tab w:val="left" w:pos="953"/>
        </w:tabs>
        <w:spacing w:before="0" w:after="0" w:line="388" w:lineRule="auto"/>
        <w:ind w:left="111" w:right="148" w:firstLine="480"/>
        <w:jc w:val="both"/>
        <w:rPr>
          <w:color w:val="auto"/>
          <w:sz w:val="24"/>
        </w:rPr>
      </w:pPr>
      <w:r>
        <w:rPr>
          <w:color w:val="auto"/>
          <w:spacing w:val="-14"/>
          <w:sz w:val="24"/>
        </w:rPr>
        <w:t xml:space="preserve">、《人民币管理条例》第二十五条 禁止非法买卖流通人民币。纪念币的买卖， </w:t>
      </w:r>
      <w:r>
        <w:rPr>
          <w:color w:val="auto"/>
          <w:sz w:val="24"/>
        </w:rPr>
        <w:t>应当遵守中国人民银行的有关规定。</w:t>
      </w:r>
    </w:p>
    <w:p>
      <w:pPr>
        <w:pStyle w:val="13"/>
        <w:numPr>
          <w:ilvl w:val="1"/>
          <w:numId w:val="59"/>
        </w:numPr>
        <w:tabs>
          <w:tab w:val="left" w:pos="953"/>
        </w:tabs>
        <w:spacing w:before="39" w:after="0" w:line="240" w:lineRule="auto"/>
        <w:ind w:left="952" w:right="0" w:hanging="362"/>
        <w:jc w:val="left"/>
        <w:rPr>
          <w:color w:val="auto"/>
          <w:sz w:val="24"/>
        </w:rPr>
      </w:pPr>
      <w:r>
        <w:rPr>
          <w:color w:val="auto"/>
          <w:sz w:val="24"/>
        </w:rPr>
        <w:t>、《人民币管理条例》第二十六条第一款 禁止下列损害人民币的行为：</w:t>
      </w:r>
    </w:p>
    <w:p>
      <w:pPr>
        <w:pStyle w:val="4"/>
        <w:spacing w:before="195"/>
        <w:ind w:left="591"/>
        <w:rPr>
          <w:color w:val="auto"/>
        </w:rPr>
      </w:pPr>
      <w:r>
        <w:rPr>
          <w:color w:val="auto"/>
        </w:rPr>
        <w:t>（二）制作、仿制、买卖人民币图样；</w:t>
      </w:r>
    </w:p>
    <w:p>
      <w:pPr>
        <w:pStyle w:val="4"/>
        <w:spacing w:before="191"/>
        <w:ind w:left="591"/>
        <w:rPr>
          <w:color w:val="auto"/>
        </w:rPr>
      </w:pPr>
      <w:r>
        <w:rPr>
          <w:color w:val="auto"/>
        </w:rPr>
        <w:t>（四）中国人民银行规定的其他损害人民币的行为。</w:t>
      </w:r>
    </w:p>
    <w:p>
      <w:pPr>
        <w:spacing w:before="192"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5"/>
        </w:rPr>
        <w:t>违法所得二万元以下的，给予警告，没收违法所得和非法财物，并处违法所得一</w:t>
      </w:r>
      <w:r>
        <w:rPr>
          <w:color w:val="auto"/>
          <w:spacing w:val="-6"/>
        </w:rPr>
        <w:t>倍的罚款；没有违法所得，涉案金额二万元以下的，处以一千元以上一万五千元以下</w:t>
      </w:r>
      <w:r>
        <w:rPr>
          <w:color w:val="auto"/>
        </w:rPr>
        <w:t>的罚款。</w:t>
      </w:r>
    </w:p>
    <w:p>
      <w:pPr>
        <w:pStyle w:val="13"/>
        <w:numPr>
          <w:ilvl w:val="0"/>
          <w:numId w:val="60"/>
        </w:numPr>
        <w:tabs>
          <w:tab w:val="left" w:pos="833"/>
        </w:tabs>
        <w:spacing w:before="0" w:after="0" w:line="304" w:lineRule="exact"/>
        <w:ind w:left="832" w:right="0" w:hanging="242"/>
        <w:jc w:val="left"/>
        <w:rPr>
          <w:color w:val="auto"/>
          <w:sz w:val="24"/>
        </w:rPr>
      </w:pPr>
      <w:r>
        <w:rPr>
          <w:color w:val="auto"/>
          <w:sz w:val="24"/>
        </w:rPr>
        <w:t>【一般】</w:t>
      </w:r>
    </w:p>
    <w:p>
      <w:pPr>
        <w:pStyle w:val="4"/>
        <w:spacing w:before="190" w:line="391" w:lineRule="auto"/>
        <w:ind w:right="268" w:firstLine="480"/>
        <w:jc w:val="both"/>
        <w:rPr>
          <w:color w:val="auto"/>
        </w:rPr>
      </w:pPr>
      <w:r>
        <w:rPr>
          <w:color w:val="auto"/>
          <w:spacing w:val="-4"/>
        </w:rPr>
        <w:t>违法所得二万元以上五万元以下的，给予警告，没收违法所得和非法财物，并处违法所得一倍以上二倍以下的罚款；没有违法所得，涉案金额二万元以上五万元以下</w:t>
      </w:r>
      <w:r>
        <w:rPr>
          <w:color w:val="auto"/>
        </w:rPr>
        <w:t>的，处以一万五千元以上三万五千元以下的罚款。</w:t>
      </w:r>
    </w:p>
    <w:p>
      <w:pPr>
        <w:pStyle w:val="13"/>
        <w:numPr>
          <w:ilvl w:val="0"/>
          <w:numId w:val="60"/>
        </w:numPr>
        <w:tabs>
          <w:tab w:val="left" w:pos="833"/>
        </w:tabs>
        <w:spacing w:before="0" w:after="0" w:line="304" w:lineRule="exact"/>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5"/>
        </w:rPr>
        <w:t>违法所得五万元以上的，给予警告，没收违法所得和非法财物，并处违法所得二倍以上三倍以下的罚款；没有违法所得，涉案金额五万元以上的，处以三万五千元以</w:t>
      </w:r>
      <w:r>
        <w:rPr>
          <w:color w:val="auto"/>
        </w:rPr>
        <w:t>上五万元以下的罚款。</w:t>
      </w:r>
    </w:p>
    <w:p>
      <w:pPr>
        <w:pStyle w:val="2"/>
        <w:spacing w:before="6" w:line="388" w:lineRule="auto"/>
        <w:ind w:left="111" w:right="237" w:firstLine="480"/>
        <w:rPr>
          <w:color w:val="auto"/>
        </w:rPr>
      </w:pPr>
      <w:bookmarkStart w:id="199" w:name="九十八、销售没有再利用产品标识的再利用电器电子产品、没有再制造或者翻新产品标识的"/>
      <w:bookmarkEnd w:id="199"/>
      <w:bookmarkStart w:id="200" w:name="_bookmark99"/>
      <w:bookmarkEnd w:id="200"/>
      <w:r>
        <w:rPr>
          <w:color w:val="auto"/>
          <w:spacing w:val="-7"/>
        </w:rPr>
        <w:t>九十八、销售没有再利用产品标识的再利用电器电子产品、没有再制造或者翻新产品标识的再制造或者翻新产品</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《循环经济促进法》第五十六条 违反本法规定，有下列行为之一的，由地方人</w:t>
      </w:r>
      <w:r>
        <w:rPr>
          <w:color w:val="auto"/>
          <w:spacing w:val="-4"/>
        </w:rPr>
        <w:t>民政府市场监督管理部门责令限期改正，可以处五千元以上五万元以下的罚款；逾期</w:t>
      </w:r>
      <w:r>
        <w:rPr>
          <w:color w:val="auto"/>
        </w:rPr>
        <w:t>不改正的，依法吊销营业执照；造成损失的，依法承担赔偿责任：</w:t>
      </w:r>
    </w:p>
    <w:p>
      <w:pPr>
        <w:pStyle w:val="4"/>
        <w:spacing w:before="5"/>
        <w:ind w:left="591"/>
        <w:rPr>
          <w:color w:val="auto"/>
        </w:rPr>
      </w:pPr>
      <w:r>
        <w:rPr>
          <w:color w:val="auto"/>
        </w:rPr>
        <w:t>（一）销售没有再利用产品标识的再利用电器电子产品的；</w:t>
      </w:r>
    </w:p>
    <w:p>
      <w:pPr>
        <w:pStyle w:val="4"/>
        <w:spacing w:before="192"/>
        <w:ind w:left="591"/>
        <w:rPr>
          <w:color w:val="auto"/>
        </w:rPr>
      </w:pPr>
      <w:r>
        <w:rPr>
          <w:color w:val="auto"/>
        </w:rPr>
        <w:t>（二）销售没有再制造或者翻新产品标识的再制造或者翻新产品的。</w:t>
      </w:r>
    </w:p>
    <w:p>
      <w:pPr>
        <w:spacing w:before="192"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32"/>
        <w:rPr>
          <w:color w:val="auto"/>
        </w:rPr>
      </w:pPr>
      <w:r>
        <w:rPr>
          <w:color w:val="auto"/>
          <w:spacing w:val="-1"/>
        </w:rPr>
        <w:t>货值金额一万元以下的，可以处五千元以上一万五千元以下的罚款。</w:t>
      </w:r>
      <w:r>
        <w:rPr>
          <w:color w:val="auto"/>
        </w:rPr>
        <w:t>2.【一般】</w:t>
      </w:r>
    </w:p>
    <w:p>
      <w:pPr>
        <w:pStyle w:val="4"/>
        <w:spacing w:before="39" w:line="391" w:lineRule="auto"/>
        <w:ind w:right="269" w:firstLine="480"/>
        <w:rPr>
          <w:color w:val="auto"/>
        </w:rPr>
      </w:pPr>
      <w:r>
        <w:rPr>
          <w:color w:val="auto"/>
        </w:rPr>
        <w:t>货值金额一万元以上五万元以下的，处以一万五千元以上三万五千元以下的罚款。</w:t>
      </w:r>
    </w:p>
    <w:p>
      <w:pPr>
        <w:pStyle w:val="4"/>
        <w:spacing w:line="306" w:lineRule="exact"/>
        <w:ind w:left="591"/>
        <w:rPr>
          <w:color w:val="auto"/>
        </w:rPr>
      </w:pPr>
      <w:r>
        <w:rPr>
          <w:color w:val="auto"/>
        </w:rPr>
        <w:t>3.【较重】</w:t>
      </w:r>
    </w:p>
    <w:p>
      <w:pPr>
        <w:pStyle w:val="4"/>
        <w:spacing w:before="192" w:line="391" w:lineRule="auto"/>
        <w:ind w:left="591" w:right="1672"/>
        <w:rPr>
          <w:color w:val="auto"/>
        </w:rPr>
      </w:pPr>
      <w:r>
        <w:rPr>
          <w:color w:val="auto"/>
          <w:spacing w:val="-1"/>
        </w:rPr>
        <w:t>货值金额五万元以上的，处以三万五千元以上五万元以下的罚款。</w:t>
      </w:r>
      <w:r>
        <w:rPr>
          <w:color w:val="auto"/>
        </w:rPr>
        <w:t>4.【严重】</w:t>
      </w:r>
    </w:p>
    <w:p>
      <w:pPr>
        <w:pStyle w:val="4"/>
        <w:spacing w:line="306" w:lineRule="exact"/>
        <w:ind w:left="591"/>
        <w:rPr>
          <w:color w:val="auto"/>
        </w:rPr>
      </w:pPr>
      <w:r>
        <w:rPr>
          <w:color w:val="auto"/>
        </w:rPr>
        <w:t>逾期不改正的，依法吊销营业执照。</w:t>
      </w:r>
    </w:p>
    <w:p>
      <w:pPr>
        <w:pStyle w:val="4"/>
        <w:ind w:left="0"/>
        <w:rPr>
          <w:color w:val="auto"/>
        </w:rPr>
      </w:pPr>
    </w:p>
    <w:p>
      <w:pPr>
        <w:pStyle w:val="4"/>
        <w:spacing w:before="1"/>
        <w:ind w:left="0"/>
        <w:rPr>
          <w:color w:val="auto"/>
          <w:sz w:val="30"/>
        </w:rPr>
      </w:pPr>
    </w:p>
    <w:p>
      <w:pPr>
        <w:pStyle w:val="4"/>
        <w:tabs>
          <w:tab w:val="left" w:pos="959"/>
        </w:tabs>
        <w:spacing w:before="1"/>
        <w:ind w:left="0" w:right="161"/>
        <w:jc w:val="center"/>
        <w:rPr>
          <w:rFonts w:hint="eastAsia" w:ascii="黑体" w:eastAsia="黑体"/>
          <w:color w:val="auto"/>
        </w:rPr>
      </w:pPr>
      <w:bookmarkStart w:id="201" w:name="_bookmark100"/>
      <w:bookmarkEnd w:id="201"/>
      <w:bookmarkStart w:id="202" w:name="第三章  网络商品交易监督管理"/>
      <w:bookmarkEnd w:id="202"/>
      <w:r>
        <w:rPr>
          <w:rFonts w:hint="eastAsia" w:ascii="黑体" w:eastAsia="黑体"/>
          <w:color w:val="auto"/>
        </w:rPr>
        <w:t>第三章</w:t>
      </w:r>
      <w:r>
        <w:rPr>
          <w:rFonts w:hint="eastAsia" w:ascii="黑体" w:eastAsia="黑体"/>
          <w:color w:val="auto"/>
        </w:rPr>
        <w:tab/>
      </w:r>
      <w:r>
        <w:rPr>
          <w:rFonts w:hint="eastAsia" w:ascii="黑体" w:eastAsia="黑体"/>
          <w:color w:val="auto"/>
        </w:rPr>
        <w:t>网络商品交易监督管理</w:t>
      </w:r>
    </w:p>
    <w:p>
      <w:pPr>
        <w:pStyle w:val="4"/>
        <w:ind w:left="0"/>
        <w:rPr>
          <w:rFonts w:ascii="黑体"/>
          <w:color w:val="auto"/>
        </w:rPr>
      </w:pPr>
    </w:p>
    <w:p>
      <w:pPr>
        <w:pStyle w:val="4"/>
        <w:spacing w:before="11"/>
        <w:ind w:left="0"/>
        <w:rPr>
          <w:rFonts w:ascii="黑体"/>
          <w:color w:val="auto"/>
          <w:sz w:val="29"/>
        </w:rPr>
      </w:pPr>
    </w:p>
    <w:p>
      <w:pPr>
        <w:pStyle w:val="2"/>
        <w:rPr>
          <w:color w:val="auto"/>
        </w:rPr>
      </w:pPr>
      <w:bookmarkStart w:id="203" w:name="_bookmark101"/>
      <w:bookmarkEnd w:id="203"/>
      <w:bookmarkStart w:id="204" w:name="九十九、电子商务经营者未按规定公示有关信息或者链接标识"/>
      <w:bookmarkEnd w:id="204"/>
      <w:r>
        <w:rPr>
          <w:color w:val="auto"/>
        </w:rPr>
        <w:t>九十九、电子商务经营者未按规定公示有关信息或者链接标识</w:t>
      </w:r>
    </w:p>
    <w:p>
      <w:pPr>
        <w:spacing w:before="195"/>
        <w:ind w:left="591" w:right="0" w:firstLine="0"/>
        <w:jc w:val="left"/>
        <w:rPr>
          <w:b/>
          <w:color w:val="auto"/>
          <w:sz w:val="24"/>
        </w:rPr>
      </w:pPr>
      <w:r>
        <w:rPr>
          <w:b/>
          <w:color w:val="auto"/>
          <w:sz w:val="24"/>
        </w:rPr>
        <w:t>（一）处罚依据</w:t>
      </w:r>
    </w:p>
    <w:p>
      <w:pPr>
        <w:pStyle w:val="13"/>
        <w:numPr>
          <w:ilvl w:val="0"/>
          <w:numId w:val="61"/>
        </w:numPr>
        <w:tabs>
          <w:tab w:val="left" w:pos="834"/>
        </w:tabs>
        <w:spacing w:before="191" w:after="0" w:line="391" w:lineRule="auto"/>
        <w:ind w:left="111" w:right="268" w:firstLine="480"/>
        <w:jc w:val="both"/>
        <w:rPr>
          <w:color w:val="auto"/>
          <w:sz w:val="24"/>
        </w:rPr>
      </w:pPr>
      <w:r>
        <w:rPr>
          <w:color w:val="auto"/>
          <w:spacing w:val="2"/>
          <w:sz w:val="24"/>
        </w:rPr>
        <w:t>《电子商务法》第七十六条第一款第（一</w:t>
      </w:r>
      <w:r>
        <w:rPr>
          <w:color w:val="auto"/>
          <w:spacing w:val="-120"/>
          <w:sz w:val="24"/>
        </w:rPr>
        <w:t>）</w:t>
      </w:r>
      <w:r>
        <w:rPr>
          <w:color w:val="auto"/>
          <w:spacing w:val="2"/>
          <w:sz w:val="24"/>
        </w:rPr>
        <w:t>（二）</w:t>
      </w:r>
      <w:r>
        <w:rPr>
          <w:color w:val="auto"/>
          <w:spacing w:val="1"/>
          <w:sz w:val="24"/>
        </w:rPr>
        <w:t>项  电子商务经营者违反本</w:t>
      </w:r>
      <w:r>
        <w:rPr>
          <w:color w:val="auto"/>
          <w:spacing w:val="-6"/>
          <w:sz w:val="24"/>
        </w:rPr>
        <w:t>法规定，有下列行为之一的，由市场监督管理部门责令限期改正，可以处一万元以下</w:t>
      </w:r>
      <w:r>
        <w:rPr>
          <w:color w:val="auto"/>
          <w:sz w:val="24"/>
        </w:rPr>
        <w:t>的罚款，对其中的电子商务平台经营者，依照本法第八十一条第一款的规定处罚：</w:t>
      </w:r>
    </w:p>
    <w:p>
      <w:pPr>
        <w:pStyle w:val="4"/>
        <w:spacing w:line="388" w:lineRule="auto"/>
        <w:ind w:right="213" w:firstLine="480"/>
        <w:rPr>
          <w:color w:val="auto"/>
        </w:rPr>
      </w:pPr>
      <w:r>
        <w:rPr>
          <w:color w:val="auto"/>
        </w:rPr>
        <w:t>（一）未在首页显著位置公示营业执照信息、行政许可信息、属于不需要办理市场主体登记情形等信息，或者上述信息的链接标识的；</w:t>
      </w:r>
    </w:p>
    <w:p>
      <w:pPr>
        <w:pStyle w:val="4"/>
        <w:spacing w:before="1"/>
        <w:ind w:left="591"/>
        <w:rPr>
          <w:color w:val="auto"/>
        </w:rPr>
      </w:pPr>
      <w:r>
        <w:rPr>
          <w:color w:val="auto"/>
        </w:rPr>
        <w:t>（二）未在首页显著位置持续公示终止电子商务的有关信息的；</w:t>
      </w:r>
    </w:p>
    <w:p>
      <w:pPr>
        <w:pStyle w:val="13"/>
        <w:numPr>
          <w:ilvl w:val="0"/>
          <w:numId w:val="61"/>
        </w:numPr>
        <w:tabs>
          <w:tab w:val="left" w:pos="833"/>
        </w:tabs>
        <w:spacing w:before="192" w:after="0" w:line="391" w:lineRule="auto"/>
        <w:ind w:left="111" w:right="268" w:firstLine="480"/>
        <w:jc w:val="both"/>
        <w:rPr>
          <w:color w:val="auto"/>
          <w:sz w:val="24"/>
        </w:rPr>
      </w:pPr>
      <w:r>
        <w:rPr>
          <w:color w:val="auto"/>
          <w:spacing w:val="-4"/>
          <w:sz w:val="24"/>
        </w:rPr>
        <w:t>《电子商务法》第八十一条第一款 电子商务平台经营者违反本法规定，有下</w:t>
      </w:r>
      <w:r>
        <w:rPr>
          <w:color w:val="auto"/>
          <w:spacing w:val="-5"/>
          <w:sz w:val="24"/>
        </w:rPr>
        <w:t>列行为之一的，由市场监督管理部门责令限期改正，可以处二万元以上十万元以下的</w:t>
      </w:r>
      <w:r>
        <w:rPr>
          <w:color w:val="auto"/>
          <w:sz w:val="24"/>
        </w:rPr>
        <w:t>罚款；情节严重的，处十万元以上五十万元以下的罚款。</w:t>
      </w:r>
    </w:p>
    <w:p>
      <w:pPr>
        <w:numPr>
          <w:ilvl w:val="0"/>
          <w:numId w:val="37"/>
        </w:numPr>
        <w:spacing w:before="0" w:line="388" w:lineRule="auto"/>
        <w:ind w:left="591" w:leftChars="0" w:right="6948" w:firstLine="0" w:firstLineChars="0"/>
        <w:jc w:val="left"/>
        <w:rPr>
          <w:b/>
          <w:color w:val="auto"/>
          <w:sz w:val="24"/>
        </w:rPr>
      </w:pPr>
      <w:r>
        <w:rPr>
          <w:b/>
          <w:color w:val="auto"/>
          <w:sz w:val="24"/>
        </w:rPr>
        <w:t>裁量标准</w:t>
      </w:r>
    </w:p>
    <w:p>
      <w:pPr>
        <w:numPr>
          <w:ilvl w:val="0"/>
          <w:numId w:val="0"/>
        </w:numPr>
        <w:spacing w:before="0" w:line="388" w:lineRule="auto"/>
        <w:ind w:left="591" w:leftChars="0" w:right="6948" w:rightChars="0"/>
        <w:jc w:val="left"/>
        <w:rPr>
          <w:rFonts w:hint="eastAsia"/>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rFonts w:hint="default"/>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违法情节轻微，未造成危害后果 </w:t>
      </w:r>
    </w:p>
    <w:p>
      <w:pPr>
        <w:numPr>
          <w:ilvl w:val="0"/>
          <w:numId w:val="0"/>
        </w:numPr>
        <w:spacing w:before="0"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before="1" w:line="391" w:lineRule="auto"/>
        <w:ind w:right="268" w:firstLine="480"/>
        <w:jc w:val="both"/>
        <w:rPr>
          <w:color w:val="auto"/>
        </w:rPr>
      </w:pPr>
      <w:r>
        <w:rPr>
          <w:color w:val="auto"/>
          <w:spacing w:val="-4"/>
        </w:rPr>
        <w:t>电子商务经营者公示了营业执照信息、行政许可信息、属于不需要办理市场主体</w:t>
      </w:r>
      <w:r>
        <w:rPr>
          <w:color w:val="auto"/>
          <w:spacing w:val="-3"/>
        </w:rPr>
        <w:t>登记情形等信息或者上述信息的链接标识但公示位置不显著的，或者公示了终止电子商务的有关信息但公示位置不显著或公示时间达不到规定要求的，责令限期改正，可</w:t>
      </w:r>
      <w:r>
        <w:rPr>
          <w:color w:val="auto"/>
          <w:spacing w:val="-4"/>
        </w:rPr>
        <w:t>以处三千元以下罚款。对其中的电子商务平台经营者，可以处二万元以上五万元以下</w:t>
      </w:r>
      <w:r>
        <w:rPr>
          <w:color w:val="auto"/>
        </w:rPr>
        <w:t>罚款。</w:t>
      </w:r>
    </w:p>
    <w:p>
      <w:pPr>
        <w:pStyle w:val="13"/>
        <w:numPr>
          <w:ilvl w:val="0"/>
          <w:numId w:val="0"/>
        </w:numPr>
        <w:tabs>
          <w:tab w:val="left" w:pos="833"/>
        </w:tabs>
        <w:spacing w:before="0" w:after="0" w:line="300" w:lineRule="exact"/>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13"/>
        <w:numPr>
          <w:ilvl w:val="0"/>
          <w:numId w:val="0"/>
        </w:numPr>
        <w:tabs>
          <w:tab w:val="left" w:pos="833"/>
        </w:tabs>
        <w:spacing w:before="0" w:after="0" w:line="300" w:lineRule="exact"/>
        <w:ind w:right="0" w:rightChars="0" w:firstLine="424" w:firstLineChars="200"/>
        <w:jc w:val="left"/>
        <w:rPr>
          <w:color w:val="auto"/>
        </w:rPr>
      </w:pPr>
      <w:r>
        <w:rPr>
          <w:color w:val="auto"/>
          <w:spacing w:val="-4"/>
        </w:rPr>
        <w:t>电子商务经营者未公示营业执照信息、行政许可信息、属于不需要办理市场主体</w:t>
      </w:r>
      <w:r>
        <w:rPr>
          <w:color w:val="auto"/>
          <w:spacing w:val="3"/>
        </w:rPr>
        <w:t>登记情形等信息或者上述信息的链接标识的，或者未公示终止电子商务的有关信息</w:t>
      </w:r>
      <w:r>
        <w:rPr>
          <w:color w:val="auto"/>
          <w:spacing w:val="-6"/>
        </w:rPr>
        <w:t>的，责令限期改正，可以处三千元以上七千元以下罚款。对其中的电子商务平台经营</w:t>
      </w:r>
      <w:r>
        <w:rPr>
          <w:color w:val="auto"/>
        </w:rPr>
        <w:t>者，可以处五万元以上十万元以下罚款。</w:t>
      </w:r>
    </w:p>
    <w:p>
      <w:pPr>
        <w:pStyle w:val="13"/>
        <w:numPr>
          <w:ilvl w:val="0"/>
          <w:numId w:val="0"/>
        </w:numPr>
        <w:tabs>
          <w:tab w:val="left" w:pos="833"/>
        </w:tabs>
        <w:spacing w:before="0" w:after="0" w:line="304" w:lineRule="exact"/>
        <w:ind w:left="590" w:leftChars="0" w:right="0" w:rightChars="0"/>
        <w:jc w:val="left"/>
        <w:rPr>
          <w:color w:val="auto"/>
          <w:sz w:val="24"/>
        </w:rPr>
      </w:pPr>
      <w:r>
        <w:rPr>
          <w:rFonts w:hint="eastAsia"/>
          <w:color w:val="auto"/>
          <w:sz w:val="24"/>
          <w:lang w:val="en-US" w:eastAsia="zh-CN"/>
        </w:rPr>
        <w:t>4.</w:t>
      </w:r>
      <w:r>
        <w:rPr>
          <w:color w:val="auto"/>
          <w:sz w:val="24"/>
        </w:rPr>
        <w:t>【严重】</w:t>
      </w:r>
    </w:p>
    <w:p>
      <w:pPr>
        <w:pStyle w:val="4"/>
        <w:spacing w:before="192" w:line="391" w:lineRule="auto"/>
        <w:ind w:right="148" w:firstLine="480"/>
        <w:rPr>
          <w:color w:val="auto"/>
        </w:rPr>
      </w:pPr>
      <w:r>
        <w:rPr>
          <w:color w:val="auto"/>
          <w:spacing w:val="-2"/>
        </w:rPr>
        <w:t>电子商务经营者未依照规定公示营业执照信息、行政许可信息、属于不需要办理</w:t>
      </w:r>
      <w:r>
        <w:rPr>
          <w:color w:val="auto"/>
          <w:spacing w:val="-4"/>
        </w:rPr>
        <w:t>市场主体登记情形等信息或者上述信息的链接标识，或者未依照规定公示终止电子商</w:t>
      </w:r>
      <w:r>
        <w:rPr>
          <w:color w:val="auto"/>
          <w:spacing w:val="-15"/>
        </w:rPr>
        <w:t>务的有关信息，责令限期改正后期满仍未改正的，可以处七千元以上一万元以下罚款。</w:t>
      </w:r>
      <w:r>
        <w:rPr>
          <w:color w:val="auto"/>
        </w:rPr>
        <w:t>对其中的电子商务平台经营者，处十万元以上五十万元以下的罚款。</w:t>
      </w:r>
    </w:p>
    <w:p>
      <w:pPr>
        <w:pStyle w:val="2"/>
        <w:spacing w:line="391" w:lineRule="auto"/>
        <w:ind w:left="111" w:right="170" w:firstLine="480"/>
        <w:rPr>
          <w:color w:val="auto"/>
        </w:rPr>
      </w:pPr>
      <w:bookmarkStart w:id="205" w:name="一百、电子商务经营者未明示用户信息查询、更正、删除以及用户注销的方式、程序，或者"/>
      <w:bookmarkEnd w:id="205"/>
      <w:bookmarkStart w:id="206" w:name="_bookmark102"/>
      <w:bookmarkEnd w:id="206"/>
      <w:r>
        <w:rPr>
          <w:color w:val="auto"/>
        </w:rPr>
        <w:t>一百、电子商务经营者未明示用户信息查询、更正、删除以及用户注销的方式、程序，或者对用户信息查询、更正、删除以及用户注销设置不合理条件</w:t>
      </w:r>
    </w:p>
    <w:p>
      <w:pPr>
        <w:spacing w:before="0" w:line="306" w:lineRule="exact"/>
        <w:ind w:left="591" w:right="0" w:firstLine="0"/>
        <w:jc w:val="left"/>
        <w:rPr>
          <w:b/>
          <w:color w:val="auto"/>
          <w:sz w:val="24"/>
        </w:rPr>
      </w:pPr>
      <w:r>
        <w:rPr>
          <w:b/>
          <w:color w:val="auto"/>
          <w:sz w:val="24"/>
        </w:rPr>
        <w:t>（一）处罚依据</w:t>
      </w:r>
    </w:p>
    <w:p>
      <w:pPr>
        <w:pStyle w:val="13"/>
        <w:numPr>
          <w:ilvl w:val="0"/>
          <w:numId w:val="62"/>
        </w:numPr>
        <w:tabs>
          <w:tab w:val="left" w:pos="833"/>
          <w:tab w:val="left" w:pos="5715"/>
        </w:tabs>
        <w:spacing w:before="186" w:after="0" w:line="391" w:lineRule="auto"/>
        <w:ind w:left="111" w:right="148" w:firstLine="480"/>
        <w:jc w:val="left"/>
        <w:rPr>
          <w:color w:val="auto"/>
          <w:sz w:val="24"/>
        </w:rPr>
      </w:pPr>
      <w:r>
        <w:rPr>
          <w:color w:val="auto"/>
          <w:sz w:val="24"/>
        </w:rPr>
        <w:t>《电子商务法</w:t>
      </w:r>
      <w:r>
        <w:rPr>
          <w:color w:val="auto"/>
          <w:spacing w:val="-41"/>
          <w:sz w:val="24"/>
        </w:rPr>
        <w:t>》</w:t>
      </w:r>
      <w:r>
        <w:rPr>
          <w:color w:val="auto"/>
          <w:sz w:val="24"/>
        </w:rPr>
        <w:t>第七十六条第一款</w:t>
      </w:r>
      <w:r>
        <w:rPr>
          <w:color w:val="auto"/>
          <w:spacing w:val="-36"/>
          <w:sz w:val="24"/>
        </w:rPr>
        <w:t>第</w:t>
      </w:r>
      <w:r>
        <w:rPr>
          <w:color w:val="auto"/>
          <w:spacing w:val="-3"/>
          <w:sz w:val="24"/>
        </w:rPr>
        <w:t>（</w:t>
      </w:r>
      <w:r>
        <w:rPr>
          <w:color w:val="auto"/>
          <w:sz w:val="24"/>
        </w:rPr>
        <w:t>三</w:t>
      </w:r>
      <w:r>
        <w:rPr>
          <w:color w:val="auto"/>
          <w:spacing w:val="-39"/>
          <w:sz w:val="24"/>
        </w:rPr>
        <w:t>）</w:t>
      </w:r>
      <w:r>
        <w:rPr>
          <w:color w:val="auto"/>
          <w:sz w:val="24"/>
        </w:rPr>
        <w:t>项</w:t>
      </w:r>
      <w:r>
        <w:rPr>
          <w:color w:val="auto"/>
          <w:sz w:val="24"/>
        </w:rPr>
        <w:tab/>
      </w:r>
      <w:r>
        <w:rPr>
          <w:color w:val="auto"/>
          <w:sz w:val="24"/>
        </w:rPr>
        <w:t>电子商务经营者违反本法规定</w:t>
      </w:r>
      <w:r>
        <w:rPr>
          <w:color w:val="auto"/>
          <w:spacing w:val="-17"/>
          <w:sz w:val="24"/>
        </w:rPr>
        <w:t xml:space="preserve">， </w:t>
      </w:r>
      <w:r>
        <w:rPr>
          <w:color w:val="auto"/>
          <w:sz w:val="24"/>
        </w:rPr>
        <w:t>有下列行为之一的，由市场监督管理部门责令限期改正，可以处一万元以下的罚款， 对其中的电子商务平台经营者，依照本法第八十一条第一款的规定处罚：</w:t>
      </w:r>
    </w:p>
    <w:p>
      <w:pPr>
        <w:pStyle w:val="4"/>
        <w:spacing w:line="391" w:lineRule="auto"/>
        <w:ind w:right="212" w:firstLine="480"/>
        <w:rPr>
          <w:color w:val="auto"/>
        </w:rPr>
      </w:pPr>
      <w:r>
        <w:rPr>
          <w:color w:val="auto"/>
        </w:rPr>
        <w:t>（三）未明示用户信息查询、更正、删除以及用户注销的方式、程序，或者对用户信息查询、更正、删除以及用户注销设置不合理条件的。</w:t>
      </w:r>
    </w:p>
    <w:p>
      <w:pPr>
        <w:pStyle w:val="13"/>
        <w:numPr>
          <w:ilvl w:val="0"/>
          <w:numId w:val="62"/>
        </w:numPr>
        <w:tabs>
          <w:tab w:val="left" w:pos="833"/>
        </w:tabs>
        <w:spacing w:before="0" w:after="0" w:line="391" w:lineRule="auto"/>
        <w:ind w:left="111" w:right="268" w:firstLine="480"/>
        <w:jc w:val="both"/>
        <w:rPr>
          <w:color w:val="auto"/>
          <w:sz w:val="24"/>
        </w:rPr>
      </w:pPr>
      <w:r>
        <w:rPr>
          <w:color w:val="auto"/>
          <w:spacing w:val="-4"/>
          <w:sz w:val="24"/>
        </w:rPr>
        <w:t>《电子商务法》第八十一条第一款 电子商务平台经营者违反本法规定，有下</w:t>
      </w:r>
      <w:r>
        <w:rPr>
          <w:color w:val="auto"/>
          <w:spacing w:val="-5"/>
          <w:sz w:val="24"/>
        </w:rPr>
        <w:t>列行为之一的，由市场监督管理部门责令限期改正，可以处二万元以上十万元以下的</w:t>
      </w:r>
      <w:r>
        <w:rPr>
          <w:color w:val="auto"/>
          <w:sz w:val="24"/>
        </w:rPr>
        <w:t>罚款；情节严重的，处十万元以上五十万元以下的罚款。</w:t>
      </w:r>
    </w:p>
    <w:p>
      <w:pPr>
        <w:numPr>
          <w:ilvl w:val="0"/>
          <w:numId w:val="21"/>
        </w:numPr>
        <w:spacing w:before="0" w:line="388" w:lineRule="auto"/>
        <w:ind w:left="591" w:leftChars="0" w:right="6948" w:firstLine="0" w:firstLineChars="0"/>
        <w:jc w:val="left"/>
        <w:rPr>
          <w:b/>
          <w:color w:val="auto"/>
          <w:sz w:val="24"/>
        </w:rPr>
      </w:pPr>
      <w:r>
        <w:rPr>
          <w:b/>
          <w:color w:val="auto"/>
          <w:sz w:val="24"/>
        </w:rPr>
        <w:t>裁量标准</w:t>
      </w:r>
    </w:p>
    <w:p>
      <w:pPr>
        <w:numPr>
          <w:ilvl w:val="0"/>
          <w:numId w:val="0"/>
        </w:numPr>
        <w:spacing w:before="0" w:line="388" w:lineRule="auto"/>
        <w:ind w:left="591" w:leftChars="0" w:right="6948" w:rightChars="0"/>
        <w:jc w:val="left"/>
        <w:rPr>
          <w:rFonts w:hint="eastAsia" w:cs="宋体"/>
          <w:color w:val="auto"/>
          <w:kern w:val="0"/>
          <w:sz w:val="24"/>
          <w:szCs w:val="24"/>
          <w:lang w:val="en-US" w:eastAsia="zh-CN" w:bidi="ar"/>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.违法情节轻微，未造成危害后果</w:t>
      </w:r>
    </w:p>
    <w:p>
      <w:pPr>
        <w:numPr>
          <w:ilvl w:val="0"/>
          <w:numId w:val="0"/>
        </w:numPr>
        <w:spacing w:before="0"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line="388" w:lineRule="auto"/>
        <w:ind w:right="232" w:firstLine="480"/>
        <w:jc w:val="both"/>
        <w:rPr>
          <w:color w:val="auto"/>
        </w:rPr>
      </w:pPr>
      <w:r>
        <w:rPr>
          <w:color w:val="auto"/>
        </w:rPr>
        <w:t>电子商务经营者对用户信息的查询、更正、删除以及用户注销的方式、程序等， 有一项未作出明示的，责令限期改正，可以处三千元以下罚款。对其中的电子商务平台经营者，可以处二万元以上五万元以下罚款。</w:t>
      </w:r>
    </w:p>
    <w:p>
      <w:pPr>
        <w:pStyle w:val="13"/>
        <w:numPr>
          <w:ilvl w:val="0"/>
          <w:numId w:val="0"/>
        </w:numPr>
        <w:tabs>
          <w:tab w:val="left" w:pos="833"/>
        </w:tabs>
        <w:spacing w:before="1" w:after="0" w:line="240" w:lineRule="auto"/>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4"/>
        <w:spacing w:before="192" w:line="388" w:lineRule="auto"/>
        <w:ind w:right="232" w:firstLine="480"/>
        <w:rPr>
          <w:color w:val="auto"/>
        </w:rPr>
      </w:pPr>
      <w:r>
        <w:rPr>
          <w:color w:val="auto"/>
        </w:rPr>
        <w:t>电子商务经营者对用户信息的查询、更正、删除以及用户注销的方式、程序等， 有两项及以上未作出明示的，或者对用户信息查询、更正、删除以及用户注销设置不</w:t>
      </w:r>
    </w:p>
    <w:p>
      <w:pPr>
        <w:pStyle w:val="4"/>
        <w:spacing w:before="39" w:line="391" w:lineRule="auto"/>
        <w:ind w:right="213"/>
        <w:rPr>
          <w:color w:val="auto"/>
        </w:rPr>
      </w:pPr>
      <w:r>
        <w:rPr>
          <w:color w:val="auto"/>
        </w:rPr>
        <w:t>合理条件的，责令限期改正，可以处三千元以上七千元以下罚款。对其中的电子商务平台经营者，可以处五万元以上十万元以下罚款。</w:t>
      </w:r>
    </w:p>
    <w:p>
      <w:pPr>
        <w:pStyle w:val="13"/>
        <w:numPr>
          <w:ilvl w:val="0"/>
          <w:numId w:val="0"/>
        </w:numPr>
        <w:tabs>
          <w:tab w:val="left" w:pos="833"/>
        </w:tabs>
        <w:spacing w:before="0" w:after="0" w:line="306" w:lineRule="exact"/>
        <w:ind w:left="590" w:leftChars="0" w:right="0" w:rightChars="0"/>
        <w:jc w:val="left"/>
        <w:rPr>
          <w:color w:val="auto"/>
          <w:sz w:val="24"/>
        </w:rPr>
      </w:pPr>
      <w:r>
        <w:rPr>
          <w:rFonts w:hint="eastAsia"/>
          <w:color w:val="auto"/>
          <w:sz w:val="24"/>
          <w:lang w:val="en-US" w:eastAsia="zh-CN"/>
        </w:rPr>
        <w:t>4.</w:t>
      </w:r>
      <w:r>
        <w:rPr>
          <w:color w:val="auto"/>
          <w:sz w:val="24"/>
        </w:rPr>
        <w:t>【严重】</w:t>
      </w:r>
    </w:p>
    <w:p>
      <w:pPr>
        <w:pStyle w:val="4"/>
        <w:spacing w:before="192" w:line="391" w:lineRule="auto"/>
        <w:ind w:right="148" w:firstLine="480"/>
        <w:rPr>
          <w:color w:val="auto"/>
        </w:rPr>
      </w:pPr>
      <w:r>
        <w:rPr>
          <w:color w:val="auto"/>
          <w:spacing w:val="-9"/>
        </w:rPr>
        <w:t>电子商务经营者未依照规定明示用户信息查询、更正、删除以及用户注销的方式、</w:t>
      </w:r>
      <w:r>
        <w:rPr>
          <w:color w:val="auto"/>
          <w:spacing w:val="-6"/>
        </w:rPr>
        <w:t>程序，或者对用户信息查询、更正、删除以及用户注销设置不合理条件，责令限期改</w:t>
      </w:r>
      <w:r>
        <w:rPr>
          <w:color w:val="auto"/>
          <w:spacing w:val="-9"/>
        </w:rPr>
        <w:t>正后期满仍未改正的，可以处七千元以上一万元以下罚款。对其中的电子商务平台经营者，处十万元以上五十万元以下的罚款。</w:t>
      </w:r>
    </w:p>
    <w:p>
      <w:pPr>
        <w:pStyle w:val="2"/>
        <w:spacing w:line="304" w:lineRule="exact"/>
        <w:rPr>
          <w:color w:val="auto"/>
        </w:rPr>
      </w:pPr>
      <w:bookmarkStart w:id="207" w:name="_bookmark103"/>
      <w:bookmarkEnd w:id="207"/>
      <w:bookmarkStart w:id="208" w:name="一百零一、电子商务平台经营者对平台内经营者的违法行为未采取必要措施"/>
      <w:bookmarkEnd w:id="208"/>
      <w:r>
        <w:rPr>
          <w:color w:val="auto"/>
        </w:rPr>
        <w:t>一百零一、电子商务平台经营者对平台内经营者的违法行为未采取必要措施</w:t>
      </w:r>
    </w:p>
    <w:p>
      <w:pPr>
        <w:spacing w:before="192"/>
        <w:ind w:left="591" w:right="0" w:firstLine="0"/>
        <w:jc w:val="left"/>
        <w:rPr>
          <w:b/>
          <w:color w:val="auto"/>
          <w:sz w:val="24"/>
        </w:rPr>
      </w:pPr>
      <w:r>
        <w:rPr>
          <w:b/>
          <w:color w:val="auto"/>
          <w:sz w:val="24"/>
        </w:rPr>
        <w:t>（一）处罚依据</w:t>
      </w:r>
    </w:p>
    <w:p>
      <w:pPr>
        <w:pStyle w:val="13"/>
        <w:numPr>
          <w:ilvl w:val="0"/>
          <w:numId w:val="63"/>
        </w:numPr>
        <w:tabs>
          <w:tab w:val="left" w:pos="834"/>
        </w:tabs>
        <w:spacing w:before="192" w:after="0" w:line="391" w:lineRule="auto"/>
        <w:ind w:left="111" w:right="268" w:firstLine="480"/>
        <w:jc w:val="both"/>
        <w:rPr>
          <w:color w:val="auto"/>
          <w:sz w:val="24"/>
        </w:rPr>
      </w:pPr>
      <w:r>
        <w:rPr>
          <w:color w:val="auto"/>
          <w:sz w:val="24"/>
        </w:rPr>
        <w:t>《电子商务法》第七十六条第二款 电子商务平台经营者对违反前款规定的平</w:t>
      </w:r>
      <w:r>
        <w:rPr>
          <w:color w:val="auto"/>
          <w:spacing w:val="-4"/>
          <w:sz w:val="24"/>
        </w:rPr>
        <w:t>台内经营者未采取必要措施的，由市场监督管理部门责令限期改正，可以处二万元以</w:t>
      </w:r>
      <w:r>
        <w:rPr>
          <w:color w:val="auto"/>
          <w:sz w:val="24"/>
        </w:rPr>
        <w:t>上十万元以下的罚款。</w:t>
      </w:r>
    </w:p>
    <w:p>
      <w:pPr>
        <w:pStyle w:val="13"/>
        <w:numPr>
          <w:ilvl w:val="0"/>
          <w:numId w:val="63"/>
        </w:numPr>
        <w:tabs>
          <w:tab w:val="left" w:pos="833"/>
        </w:tabs>
        <w:spacing w:before="0" w:after="0" w:line="391" w:lineRule="auto"/>
        <w:ind w:left="111" w:right="268" w:firstLine="480"/>
        <w:jc w:val="both"/>
        <w:rPr>
          <w:color w:val="auto"/>
          <w:sz w:val="24"/>
        </w:rPr>
      </w:pPr>
      <w:r>
        <w:rPr>
          <w:color w:val="auto"/>
          <w:spacing w:val="-4"/>
          <w:sz w:val="24"/>
        </w:rPr>
        <w:t>《电子商务法》第七十六条第一款 电子商务经营者违反本法规定，有下列行</w:t>
      </w:r>
      <w:r>
        <w:rPr>
          <w:color w:val="auto"/>
          <w:spacing w:val="-6"/>
          <w:sz w:val="24"/>
        </w:rPr>
        <w:t>为之一的，由市场监督管理部门责令限期改正，可以处一万元以下的罚款，对其中的</w:t>
      </w:r>
      <w:r>
        <w:rPr>
          <w:color w:val="auto"/>
          <w:sz w:val="24"/>
        </w:rPr>
        <w:t>电子商务平台经营者，依照本法第八十一条第一款的规定处罚：</w:t>
      </w:r>
    </w:p>
    <w:p>
      <w:pPr>
        <w:pStyle w:val="4"/>
        <w:spacing w:line="391" w:lineRule="auto"/>
        <w:ind w:right="213" w:firstLine="480"/>
        <w:rPr>
          <w:color w:val="auto"/>
        </w:rPr>
      </w:pPr>
      <w:r>
        <w:rPr>
          <w:color w:val="auto"/>
        </w:rPr>
        <w:t>（一）未在首页显著位置公示营业执照信息、行政许可信息、属于不需要办理市场主体登记情形等信息，或者上述信息的链接标识的；</w:t>
      </w:r>
    </w:p>
    <w:p>
      <w:pPr>
        <w:pStyle w:val="4"/>
        <w:spacing w:line="306" w:lineRule="exact"/>
        <w:ind w:left="591"/>
        <w:rPr>
          <w:color w:val="auto"/>
        </w:rPr>
      </w:pPr>
      <w:r>
        <w:rPr>
          <w:color w:val="auto"/>
        </w:rPr>
        <w:t>（二）未在首页显著位置持续公示终止电子商务的有关信息的；</w:t>
      </w:r>
    </w:p>
    <w:p>
      <w:pPr>
        <w:pStyle w:val="4"/>
        <w:spacing w:before="184" w:line="391" w:lineRule="auto"/>
        <w:ind w:right="212" w:firstLine="480"/>
        <w:rPr>
          <w:color w:val="auto"/>
        </w:rPr>
      </w:pPr>
      <w:r>
        <w:rPr>
          <w:color w:val="auto"/>
        </w:rPr>
        <w:t>（三）未明示用户信息查询、更正、删除以及用户注销的方式、程序，或者对用户信息查询、更正、删除以及用户注销设置不合理条件的。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4"/>
        <w:spacing w:before="3" w:line="388" w:lineRule="auto"/>
        <w:ind w:right="213" w:firstLine="480"/>
        <w:rPr>
          <w:color w:val="auto"/>
        </w:rPr>
      </w:pPr>
      <w:r>
        <w:rPr>
          <w:color w:val="auto"/>
        </w:rPr>
        <w:t>电子商务平台经营者发现平台内经营者的违法行为未采取必要措施的，责令限期改正，可以处二万元以上五万元以下罚款。</w:t>
      </w:r>
    </w:p>
    <w:p>
      <w:pPr>
        <w:pStyle w:val="4"/>
        <w:spacing w:before="2"/>
        <w:ind w:left="591"/>
        <w:rPr>
          <w:color w:val="auto"/>
        </w:rPr>
      </w:pPr>
      <w:r>
        <w:rPr>
          <w:color w:val="auto"/>
        </w:rPr>
        <w:t>2.【严重】</w:t>
      </w:r>
    </w:p>
    <w:p>
      <w:pPr>
        <w:pStyle w:val="4"/>
        <w:spacing w:before="194" w:line="388" w:lineRule="auto"/>
        <w:ind w:right="213" w:firstLine="480"/>
        <w:rPr>
          <w:color w:val="auto"/>
        </w:rPr>
      </w:pPr>
      <w:r>
        <w:rPr>
          <w:color w:val="auto"/>
        </w:rPr>
        <w:t>电子商务平台经营者发现平台内经营者的违法行为未采取必要措施，责令限期改正后期满仍未改正的，可以处以五万元以上十万元以下的罚款。</w:t>
      </w:r>
    </w:p>
    <w:p>
      <w:pPr>
        <w:pStyle w:val="2"/>
        <w:spacing w:before="2"/>
        <w:rPr>
          <w:color w:val="auto"/>
        </w:rPr>
      </w:pPr>
      <w:bookmarkStart w:id="209" w:name="_bookmark104"/>
      <w:bookmarkEnd w:id="209"/>
      <w:bookmarkStart w:id="210" w:name="一百零二、电子商务经营者未按规定提供搜索结果，或者未按规定搭售商品、服务"/>
      <w:bookmarkEnd w:id="210"/>
      <w:r>
        <w:rPr>
          <w:color w:val="auto"/>
        </w:rPr>
        <w:t>一百零二、电子商务经营者未按规定提供搜索结果，或者未按规定搭售商品、服</w:t>
      </w:r>
    </w:p>
    <w:p>
      <w:pPr>
        <w:spacing w:before="39"/>
        <w:ind w:left="111" w:right="0" w:firstLine="0"/>
        <w:jc w:val="left"/>
        <w:rPr>
          <w:b/>
          <w:color w:val="auto"/>
          <w:sz w:val="24"/>
        </w:rPr>
      </w:pPr>
      <w:r>
        <w:rPr>
          <w:b/>
          <w:color w:val="auto"/>
          <w:w w:val="99"/>
          <w:sz w:val="24"/>
        </w:rPr>
        <w:t>务</w:t>
      </w:r>
    </w:p>
    <w:p>
      <w:pPr>
        <w:pStyle w:val="4"/>
        <w:ind w:left="0"/>
        <w:rPr>
          <w:b/>
          <w:color w:val="auto"/>
          <w:sz w:val="10"/>
        </w:rPr>
      </w:pPr>
    </w:p>
    <w:p>
      <w:pPr>
        <w:spacing w:before="66"/>
        <w:ind w:left="591" w:right="0" w:firstLine="0"/>
        <w:jc w:val="left"/>
        <w:rPr>
          <w:b/>
          <w:color w:val="auto"/>
          <w:sz w:val="24"/>
        </w:rPr>
      </w:pPr>
      <w:r>
        <w:rPr>
          <w:b/>
          <w:color w:val="auto"/>
          <w:sz w:val="24"/>
        </w:rPr>
        <w:t>（一）处罚依据</w:t>
      </w:r>
    </w:p>
    <w:p>
      <w:pPr>
        <w:pStyle w:val="13"/>
        <w:numPr>
          <w:ilvl w:val="0"/>
          <w:numId w:val="64"/>
        </w:numPr>
        <w:tabs>
          <w:tab w:val="left" w:pos="834"/>
        </w:tabs>
        <w:spacing w:before="192" w:after="0" w:line="391" w:lineRule="auto"/>
        <w:ind w:left="111" w:right="148" w:firstLine="480"/>
        <w:jc w:val="left"/>
        <w:rPr>
          <w:color w:val="auto"/>
          <w:sz w:val="24"/>
        </w:rPr>
      </w:pPr>
      <w:r>
        <w:rPr>
          <w:color w:val="auto"/>
          <w:sz w:val="24"/>
        </w:rPr>
        <w:t>《电子商务法》第七十七条 电子商务经营者违反本法第十八条第一款规定提</w:t>
      </w:r>
      <w:r>
        <w:rPr>
          <w:color w:val="auto"/>
          <w:spacing w:val="-4"/>
          <w:sz w:val="24"/>
        </w:rPr>
        <w:t>供搜索结果，或者违反本法第十九条规定搭售商品、服务的，由市场监督管理部门责</w:t>
      </w:r>
      <w:r>
        <w:rPr>
          <w:color w:val="auto"/>
          <w:spacing w:val="-16"/>
          <w:sz w:val="24"/>
        </w:rPr>
        <w:t xml:space="preserve">令限期改正，没收违法所得，可以并处五万元以上二十万元以下的罚款；情节严重的， </w:t>
      </w:r>
      <w:r>
        <w:rPr>
          <w:color w:val="auto"/>
          <w:sz w:val="24"/>
        </w:rPr>
        <w:t>并处二十万元以上五十万元以下的罚款。</w:t>
      </w:r>
    </w:p>
    <w:p>
      <w:pPr>
        <w:pStyle w:val="13"/>
        <w:numPr>
          <w:ilvl w:val="0"/>
          <w:numId w:val="64"/>
        </w:numPr>
        <w:tabs>
          <w:tab w:val="left" w:pos="834"/>
        </w:tabs>
        <w:spacing w:before="0" w:after="0" w:line="391" w:lineRule="auto"/>
        <w:ind w:left="111" w:right="268" w:firstLine="480"/>
        <w:jc w:val="both"/>
        <w:rPr>
          <w:color w:val="auto"/>
          <w:sz w:val="24"/>
        </w:rPr>
      </w:pPr>
      <w:r>
        <w:rPr>
          <w:color w:val="auto"/>
          <w:sz w:val="24"/>
        </w:rPr>
        <w:t>《电子商务法》第十八条第一款 电子商务经营者根据消费者的兴趣爱好、消</w:t>
      </w:r>
      <w:r>
        <w:rPr>
          <w:color w:val="auto"/>
          <w:spacing w:val="-3"/>
          <w:sz w:val="24"/>
        </w:rPr>
        <w:t>费习惯等特征向其提供商品或者服务的搜索结果的，应当同时向该消费者提供不针对</w:t>
      </w:r>
      <w:r>
        <w:rPr>
          <w:color w:val="auto"/>
          <w:sz w:val="24"/>
        </w:rPr>
        <w:t>其个人特征的选项，尊重和平等保护消费者合法权益。</w:t>
      </w:r>
    </w:p>
    <w:p>
      <w:pPr>
        <w:pStyle w:val="13"/>
        <w:numPr>
          <w:ilvl w:val="0"/>
          <w:numId w:val="64"/>
        </w:numPr>
        <w:tabs>
          <w:tab w:val="left" w:pos="834"/>
        </w:tabs>
        <w:spacing w:before="0" w:after="0" w:line="391" w:lineRule="auto"/>
        <w:ind w:left="111" w:right="268" w:firstLine="480"/>
        <w:jc w:val="both"/>
        <w:rPr>
          <w:color w:val="auto"/>
          <w:sz w:val="24"/>
        </w:rPr>
      </w:pPr>
      <w:r>
        <w:rPr>
          <w:color w:val="auto"/>
          <w:sz w:val="24"/>
        </w:rPr>
        <w:t>《电子商务法》第十九条 电子商务经营者搭售商品或者服务，应当以显著方式提请消费者注意，不得将搭售商品或者服务作为默认同意的选项。</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68" w:firstLine="480"/>
        <w:jc w:val="both"/>
        <w:rPr>
          <w:color w:val="auto"/>
        </w:rPr>
      </w:pPr>
      <w:r>
        <w:rPr>
          <w:color w:val="auto"/>
          <w:spacing w:val="-4"/>
        </w:rPr>
        <w:t>有向消费者提供不针对其个人特征的选项、但是标注不明显的，或者搭售商品或者服务没有以显著方式提请消费者注意的，责令限期改正，没收违法所得，可以处五</w:t>
      </w:r>
      <w:r>
        <w:rPr>
          <w:color w:val="auto"/>
        </w:rPr>
        <w:t>万元以上十万元以下罚款。</w:t>
      </w:r>
    </w:p>
    <w:p>
      <w:pPr>
        <w:pStyle w:val="13"/>
        <w:numPr>
          <w:ilvl w:val="0"/>
          <w:numId w:val="65"/>
        </w:numPr>
        <w:tabs>
          <w:tab w:val="left" w:pos="833"/>
        </w:tabs>
        <w:spacing w:before="0" w:after="0" w:line="240" w:lineRule="auto"/>
        <w:ind w:left="832" w:right="0" w:hanging="242"/>
        <w:jc w:val="left"/>
        <w:rPr>
          <w:color w:val="auto"/>
          <w:sz w:val="24"/>
        </w:rPr>
      </w:pPr>
      <w:r>
        <w:rPr>
          <w:color w:val="auto"/>
          <w:sz w:val="24"/>
        </w:rPr>
        <w:t>【一般】</w:t>
      </w:r>
    </w:p>
    <w:p>
      <w:pPr>
        <w:pStyle w:val="4"/>
        <w:spacing w:before="191" w:line="391" w:lineRule="auto"/>
        <w:ind w:right="268" w:firstLine="480"/>
        <w:jc w:val="both"/>
        <w:rPr>
          <w:color w:val="auto"/>
        </w:rPr>
      </w:pPr>
      <w:r>
        <w:rPr>
          <w:color w:val="auto"/>
          <w:spacing w:val="-3"/>
        </w:rPr>
        <w:t>没有向消费者提供不针对其个人特征的选项的，或者将搭售商品或者服务作为默</w:t>
      </w:r>
      <w:r>
        <w:rPr>
          <w:color w:val="auto"/>
          <w:spacing w:val="-5"/>
        </w:rPr>
        <w:t>认同意的选项的，责令限期改正，没收违法所得，可以处十万元以上二十万元以下罚</w:t>
      </w:r>
      <w:r>
        <w:rPr>
          <w:color w:val="auto"/>
        </w:rPr>
        <w:t>款。</w:t>
      </w:r>
    </w:p>
    <w:p>
      <w:pPr>
        <w:pStyle w:val="13"/>
        <w:numPr>
          <w:ilvl w:val="0"/>
          <w:numId w:val="65"/>
        </w:numPr>
        <w:tabs>
          <w:tab w:val="left" w:pos="833"/>
        </w:tabs>
        <w:spacing w:before="0" w:after="0" w:line="304" w:lineRule="exact"/>
        <w:ind w:left="832" w:right="0" w:hanging="242"/>
        <w:jc w:val="left"/>
        <w:rPr>
          <w:color w:val="auto"/>
          <w:sz w:val="24"/>
        </w:rPr>
      </w:pPr>
      <w:r>
        <w:rPr>
          <w:color w:val="auto"/>
          <w:sz w:val="24"/>
        </w:rPr>
        <w:t>【严重】</w:t>
      </w:r>
    </w:p>
    <w:p>
      <w:pPr>
        <w:pStyle w:val="4"/>
        <w:spacing w:before="192" w:line="391" w:lineRule="auto"/>
        <w:ind w:right="271" w:firstLine="480"/>
        <w:rPr>
          <w:color w:val="auto"/>
        </w:rPr>
      </w:pPr>
      <w:r>
        <w:rPr>
          <w:color w:val="auto"/>
        </w:rPr>
        <w:t>对于利用大数据杀熟等手段或者默认搭售商品或者服务,造成严重后果或不良影响的，责令限期改正，没收违法所得，并处二十万元以上五十万元以下的罚款。</w:t>
      </w:r>
    </w:p>
    <w:p>
      <w:pPr>
        <w:pStyle w:val="2"/>
        <w:spacing w:line="388" w:lineRule="auto"/>
        <w:ind w:left="111" w:right="240" w:firstLine="480"/>
        <w:rPr>
          <w:color w:val="auto"/>
        </w:rPr>
      </w:pPr>
      <w:bookmarkStart w:id="211" w:name="一百零三、电子商务经营者未向消费者明示押金退还的方式、程序，或者对押金退还设置不"/>
      <w:bookmarkEnd w:id="211"/>
      <w:bookmarkStart w:id="212" w:name="_bookmark105"/>
      <w:bookmarkEnd w:id="212"/>
      <w:r>
        <w:rPr>
          <w:color w:val="auto"/>
          <w:spacing w:val="-7"/>
        </w:rPr>
        <w:t>一百零三、电子商务经营者未向消费者明示押金退还的方式、程序，或者对押金退还设置不合理条件，或者不及时退还押金</w:t>
      </w:r>
    </w:p>
    <w:p>
      <w:pPr>
        <w:spacing w:before="2"/>
        <w:ind w:left="591" w:right="0" w:firstLine="0"/>
        <w:jc w:val="left"/>
        <w:rPr>
          <w:b/>
          <w:color w:val="auto"/>
          <w:sz w:val="24"/>
        </w:rPr>
      </w:pPr>
      <w:r>
        <w:rPr>
          <w:b/>
          <w:color w:val="auto"/>
          <w:sz w:val="24"/>
        </w:rPr>
        <w:t>（一）处罚依据</w:t>
      </w:r>
    </w:p>
    <w:p>
      <w:pPr>
        <w:pStyle w:val="13"/>
        <w:numPr>
          <w:ilvl w:val="0"/>
          <w:numId w:val="66"/>
        </w:numPr>
        <w:tabs>
          <w:tab w:val="left" w:pos="834"/>
        </w:tabs>
        <w:spacing w:before="192" w:after="0" w:line="388" w:lineRule="auto"/>
        <w:ind w:left="111" w:right="268" w:firstLine="480"/>
        <w:jc w:val="left"/>
        <w:rPr>
          <w:color w:val="auto"/>
          <w:sz w:val="24"/>
        </w:rPr>
      </w:pPr>
      <w:r>
        <w:rPr>
          <w:color w:val="auto"/>
          <w:sz w:val="24"/>
        </w:rPr>
        <w:t>《电子商务法》第七十八条 电子商务经营者违反本法第二十一条规定，未向</w:t>
      </w:r>
      <w:r>
        <w:rPr>
          <w:color w:val="auto"/>
          <w:spacing w:val="-4"/>
          <w:sz w:val="24"/>
        </w:rPr>
        <w:t>消费者明示押金退还的方式、程序，对押金退还设置不合理条件，或者不及时退还押</w:t>
      </w:r>
    </w:p>
    <w:p>
      <w:pPr>
        <w:pStyle w:val="4"/>
        <w:spacing w:before="39" w:line="391" w:lineRule="auto"/>
        <w:ind w:right="230"/>
        <w:rPr>
          <w:color w:val="auto"/>
        </w:rPr>
      </w:pPr>
      <w:r>
        <w:rPr>
          <w:color w:val="auto"/>
        </w:rPr>
        <w:t>金的，由有关主管部门责令限期改正，可以处五万元以上二十万元以下的罚款；情节严重的，处二十万元以上五十万元以下的罚款。</w:t>
      </w:r>
    </w:p>
    <w:p>
      <w:pPr>
        <w:pStyle w:val="13"/>
        <w:numPr>
          <w:ilvl w:val="0"/>
          <w:numId w:val="66"/>
        </w:numPr>
        <w:tabs>
          <w:tab w:val="left" w:pos="834"/>
        </w:tabs>
        <w:spacing w:before="0" w:after="0" w:line="391" w:lineRule="auto"/>
        <w:ind w:left="111" w:right="268" w:firstLine="480"/>
        <w:jc w:val="both"/>
        <w:rPr>
          <w:color w:val="auto"/>
          <w:sz w:val="24"/>
        </w:rPr>
      </w:pPr>
      <w:r>
        <w:rPr>
          <w:color w:val="auto"/>
          <w:sz w:val="24"/>
        </w:rPr>
        <w:t xml:space="preserve">《电子商务法》第二十一条 电子商务经营者按照约定向消费者收取押金的， </w:t>
      </w:r>
      <w:r>
        <w:rPr>
          <w:color w:val="auto"/>
          <w:spacing w:val="-4"/>
          <w:sz w:val="24"/>
        </w:rPr>
        <w:t>应当明示押金退还的方式、程序，不得对押金退还设置不合理条件。消费者申请退还</w:t>
      </w:r>
      <w:r>
        <w:rPr>
          <w:color w:val="auto"/>
          <w:sz w:val="24"/>
        </w:rPr>
        <w:t>押金，符合押金退还条件的，电子商务经营者应当及时退还。</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32" w:firstLine="480"/>
        <w:rPr>
          <w:color w:val="auto"/>
        </w:rPr>
      </w:pPr>
      <w:r>
        <w:rPr>
          <w:color w:val="auto"/>
        </w:rPr>
        <w:t>电子商务经营者未向消费者明示押金退还的方式、程序，对押金退还设置不合理条件，或者不及时退还押金的，责令限期改正，可以处五万元以上十万元以下罚款。</w:t>
      </w:r>
    </w:p>
    <w:p>
      <w:pPr>
        <w:pStyle w:val="4"/>
        <w:spacing w:before="2"/>
        <w:ind w:left="591"/>
        <w:rPr>
          <w:color w:val="auto"/>
        </w:rPr>
      </w:pPr>
      <w:r>
        <w:rPr>
          <w:color w:val="auto"/>
        </w:rPr>
        <w:t>2.【一般】</w:t>
      </w:r>
    </w:p>
    <w:p>
      <w:pPr>
        <w:pStyle w:val="4"/>
        <w:spacing w:before="194" w:line="388" w:lineRule="auto"/>
        <w:ind w:left="591" w:right="232"/>
        <w:rPr>
          <w:color w:val="auto"/>
        </w:rPr>
      </w:pPr>
      <w:r>
        <w:rPr>
          <w:color w:val="auto"/>
          <w:spacing w:val="-1"/>
        </w:rPr>
        <w:t>第一次责令限期改正后期满仍未改正的，可以处十万元以上二十万元以下罚款。</w:t>
      </w:r>
      <w:r>
        <w:rPr>
          <w:color w:val="auto"/>
        </w:rPr>
        <w:t>3.【严重】</w:t>
      </w:r>
    </w:p>
    <w:p>
      <w:pPr>
        <w:pStyle w:val="4"/>
        <w:spacing w:before="2" w:line="391" w:lineRule="auto"/>
        <w:ind w:right="213" w:firstLine="480"/>
        <w:rPr>
          <w:color w:val="auto"/>
        </w:rPr>
      </w:pPr>
      <w:r>
        <w:rPr>
          <w:color w:val="auto"/>
        </w:rPr>
        <w:t>二次及以上责令限期改正后期满仍未改正的，处二十万元以上五十万元以下的罚款。</w:t>
      </w:r>
    </w:p>
    <w:p>
      <w:pPr>
        <w:pStyle w:val="2"/>
        <w:spacing w:line="306" w:lineRule="exact"/>
        <w:rPr>
          <w:color w:val="auto"/>
        </w:rPr>
      </w:pPr>
      <w:bookmarkStart w:id="213" w:name="_bookmark106"/>
      <w:bookmarkEnd w:id="213"/>
      <w:bookmarkStart w:id="214" w:name="一百零四、电子商务平台经营者未履行法定的核验、登记义务"/>
      <w:bookmarkEnd w:id="214"/>
      <w:r>
        <w:rPr>
          <w:color w:val="auto"/>
        </w:rPr>
        <w:t>一百零四、电子商务平台经营者未履行法定的核验、登记义务</w:t>
      </w:r>
    </w:p>
    <w:p>
      <w:pPr>
        <w:spacing w:before="192"/>
        <w:ind w:left="591" w:right="0" w:firstLine="0"/>
        <w:jc w:val="left"/>
        <w:rPr>
          <w:b/>
          <w:color w:val="auto"/>
          <w:sz w:val="24"/>
        </w:rPr>
      </w:pPr>
      <w:r>
        <w:rPr>
          <w:b/>
          <w:color w:val="auto"/>
          <w:sz w:val="24"/>
        </w:rPr>
        <w:t>（一）处罚依据</w:t>
      </w:r>
    </w:p>
    <w:p>
      <w:pPr>
        <w:pStyle w:val="13"/>
        <w:numPr>
          <w:ilvl w:val="0"/>
          <w:numId w:val="67"/>
        </w:numPr>
        <w:tabs>
          <w:tab w:val="left" w:pos="833"/>
        </w:tabs>
        <w:spacing w:before="194" w:after="0" w:line="388" w:lineRule="auto"/>
        <w:ind w:left="111" w:right="268" w:firstLine="480"/>
        <w:jc w:val="both"/>
        <w:rPr>
          <w:color w:val="auto"/>
          <w:sz w:val="24"/>
        </w:rPr>
      </w:pPr>
      <w:r>
        <w:rPr>
          <w:color w:val="auto"/>
          <w:spacing w:val="-3"/>
          <w:sz w:val="24"/>
        </w:rPr>
        <w:t>《电子商务法》第八十条第一款第</w:t>
      </w:r>
      <w:r>
        <w:rPr>
          <w:color w:val="auto"/>
          <w:sz w:val="24"/>
        </w:rPr>
        <w:t>（一</w:t>
      </w:r>
      <w:r>
        <w:rPr>
          <w:color w:val="auto"/>
          <w:spacing w:val="-10"/>
          <w:sz w:val="24"/>
        </w:rPr>
        <w:t>）</w:t>
      </w:r>
      <w:r>
        <w:rPr>
          <w:color w:val="auto"/>
          <w:spacing w:val="3"/>
          <w:sz w:val="24"/>
        </w:rPr>
        <w:t>项 电子商务平台经营者有下列行为</w:t>
      </w:r>
      <w:r>
        <w:rPr>
          <w:color w:val="auto"/>
          <w:spacing w:val="-6"/>
          <w:sz w:val="24"/>
        </w:rPr>
        <w:t>之一的，由有关主管部门责令限期改正；逾期不改正的，处二万元以上十万元以下的</w:t>
      </w:r>
      <w:r>
        <w:rPr>
          <w:color w:val="auto"/>
          <w:sz w:val="24"/>
        </w:rPr>
        <w:t>罚款；情节严重的，责令停业整顿，并处十万元以上五十万元以下的罚款：</w:t>
      </w:r>
    </w:p>
    <w:p>
      <w:pPr>
        <w:pStyle w:val="4"/>
        <w:spacing w:before="5"/>
        <w:ind w:left="591"/>
        <w:rPr>
          <w:color w:val="auto"/>
        </w:rPr>
      </w:pPr>
      <w:r>
        <w:rPr>
          <w:color w:val="auto"/>
        </w:rPr>
        <w:t>（一）不履行本法第二十七条规定的核验、登记义务的；</w:t>
      </w:r>
    </w:p>
    <w:p>
      <w:pPr>
        <w:pStyle w:val="13"/>
        <w:numPr>
          <w:ilvl w:val="0"/>
          <w:numId w:val="67"/>
        </w:numPr>
        <w:tabs>
          <w:tab w:val="left" w:pos="834"/>
        </w:tabs>
        <w:spacing w:before="192" w:after="0" w:line="391" w:lineRule="auto"/>
        <w:ind w:left="111" w:right="268" w:firstLine="480"/>
        <w:jc w:val="both"/>
        <w:rPr>
          <w:color w:val="auto"/>
          <w:sz w:val="24"/>
        </w:rPr>
      </w:pPr>
      <w:r>
        <w:rPr>
          <w:color w:val="auto"/>
          <w:sz w:val="24"/>
        </w:rPr>
        <w:t>《电子商务法》第二十七条 电子商务平台经营者应当要求申请进入平台销售</w:t>
      </w:r>
      <w:r>
        <w:rPr>
          <w:color w:val="auto"/>
          <w:spacing w:val="-5"/>
          <w:sz w:val="24"/>
        </w:rPr>
        <w:t>商品或者提供服务的经营者提交其身份、地址、联系方式、行政许可等真实信息，进</w:t>
      </w:r>
      <w:r>
        <w:rPr>
          <w:color w:val="auto"/>
          <w:sz w:val="24"/>
        </w:rPr>
        <w:t>行核验、登记，建立登记档案，并定期核验更新。</w:t>
      </w:r>
    </w:p>
    <w:p>
      <w:pPr>
        <w:numPr>
          <w:ilvl w:val="0"/>
          <w:numId w:val="68"/>
        </w:numPr>
        <w:spacing w:before="0" w:line="388" w:lineRule="auto"/>
        <w:ind w:left="591" w:right="6948" w:firstLine="0"/>
        <w:jc w:val="left"/>
        <w:rPr>
          <w:b/>
          <w:color w:val="auto"/>
          <w:sz w:val="24"/>
        </w:rPr>
      </w:pPr>
      <w:r>
        <w:rPr>
          <w:b/>
          <w:color w:val="auto"/>
          <w:sz w:val="24"/>
        </w:rPr>
        <w:t>裁量标准</w:t>
      </w:r>
    </w:p>
    <w:p>
      <w:pPr>
        <w:numPr>
          <w:ilvl w:val="0"/>
          <w:numId w:val="0"/>
        </w:numPr>
        <w:spacing w:before="0" w:line="388" w:lineRule="auto"/>
        <w:ind w:left="591" w:leftChars="0" w:right="6948" w:rightChars="0"/>
        <w:jc w:val="left"/>
        <w:rPr>
          <w:rFonts w:hint="eastAsia"/>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违法情节轻微，未造成危害后果</w:t>
      </w:r>
    </w:p>
    <w:p>
      <w:pPr>
        <w:numPr>
          <w:ilvl w:val="0"/>
          <w:numId w:val="0"/>
        </w:numPr>
        <w:spacing w:before="0"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before="1" w:line="388" w:lineRule="auto"/>
        <w:ind w:right="224" w:firstLine="480"/>
        <w:rPr>
          <w:color w:val="auto"/>
        </w:rPr>
      </w:pPr>
      <w:r>
        <w:rPr>
          <w:color w:val="auto"/>
        </w:rPr>
        <w:t>不履行核验、登记平台内经营者信息，建立登记档案，定期核验更新义务，责令限期改正，期满后仍有一项义务未履行的，处二万元以上五万元以下罚款。</w:t>
      </w:r>
    </w:p>
    <w:p>
      <w:pPr>
        <w:pStyle w:val="13"/>
        <w:numPr>
          <w:ilvl w:val="0"/>
          <w:numId w:val="0"/>
        </w:numPr>
        <w:tabs>
          <w:tab w:val="left" w:pos="833"/>
        </w:tabs>
        <w:spacing w:before="2" w:after="0" w:line="240" w:lineRule="auto"/>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4"/>
        <w:spacing w:before="39" w:line="391" w:lineRule="auto"/>
        <w:ind w:right="224" w:firstLine="480"/>
        <w:rPr>
          <w:color w:val="auto"/>
        </w:rPr>
      </w:pPr>
      <w:r>
        <w:rPr>
          <w:color w:val="auto"/>
        </w:rPr>
        <w:t>不履行核验、登记平台内经营者信息，建立登记档案，定期核验更新义务，责令限期改正，期满后仍有两项义务未履行的，处五万元以上十万元以下罚款。</w:t>
      </w:r>
    </w:p>
    <w:p>
      <w:pPr>
        <w:pStyle w:val="13"/>
        <w:numPr>
          <w:ilvl w:val="0"/>
          <w:numId w:val="0"/>
        </w:numPr>
        <w:tabs>
          <w:tab w:val="left" w:pos="833"/>
        </w:tabs>
        <w:spacing w:before="0" w:after="0" w:line="306" w:lineRule="exact"/>
        <w:ind w:left="590" w:leftChars="0" w:right="0" w:rightChars="0"/>
        <w:jc w:val="left"/>
        <w:rPr>
          <w:color w:val="auto"/>
          <w:sz w:val="24"/>
        </w:rPr>
      </w:pPr>
      <w:r>
        <w:rPr>
          <w:rFonts w:hint="eastAsia"/>
          <w:color w:val="auto"/>
          <w:sz w:val="24"/>
          <w:lang w:val="en-US" w:eastAsia="zh-CN"/>
        </w:rPr>
        <w:t>4.</w:t>
      </w:r>
      <w:r>
        <w:rPr>
          <w:color w:val="auto"/>
          <w:sz w:val="24"/>
        </w:rPr>
        <w:t>【严重】</w:t>
      </w:r>
    </w:p>
    <w:p>
      <w:pPr>
        <w:pStyle w:val="4"/>
        <w:spacing w:before="192" w:line="391" w:lineRule="auto"/>
        <w:ind w:right="268" w:firstLine="480"/>
        <w:jc w:val="both"/>
        <w:rPr>
          <w:color w:val="auto"/>
        </w:rPr>
      </w:pPr>
      <w:r>
        <w:rPr>
          <w:color w:val="auto"/>
          <w:spacing w:val="-6"/>
        </w:rPr>
        <w:t>不履行核验、登记平台内经营者信息，建立登记档案，定期核验更新义务，责令限期改正，期满后义务均未履行的，或者第二次及以上责令限期改正、期满仍未改正</w:t>
      </w:r>
      <w:r>
        <w:rPr>
          <w:color w:val="auto"/>
        </w:rPr>
        <w:t>的，责令停业整顿，并处十万元以上五十万元以下的罚款。</w:t>
      </w:r>
    </w:p>
    <w:p>
      <w:pPr>
        <w:pStyle w:val="2"/>
        <w:spacing w:line="304" w:lineRule="exact"/>
        <w:rPr>
          <w:color w:val="auto"/>
        </w:rPr>
      </w:pPr>
      <w:bookmarkStart w:id="215" w:name="_bookmark107"/>
      <w:bookmarkEnd w:id="215"/>
      <w:bookmarkStart w:id="216" w:name="一百零五、电子商务平台经营者未依法报送有关信息"/>
      <w:bookmarkEnd w:id="216"/>
      <w:r>
        <w:rPr>
          <w:color w:val="auto"/>
        </w:rPr>
        <w:t>一百零五、电子商务平台经营者未依法报送有关信息</w:t>
      </w:r>
    </w:p>
    <w:p>
      <w:pPr>
        <w:spacing w:before="194"/>
        <w:ind w:left="591" w:right="0" w:firstLine="0"/>
        <w:jc w:val="left"/>
        <w:rPr>
          <w:b/>
          <w:color w:val="auto"/>
          <w:sz w:val="24"/>
        </w:rPr>
      </w:pPr>
      <w:r>
        <w:rPr>
          <w:b/>
          <w:color w:val="auto"/>
          <w:sz w:val="24"/>
        </w:rPr>
        <w:t>（一）处罚依据</w:t>
      </w:r>
    </w:p>
    <w:p>
      <w:pPr>
        <w:pStyle w:val="13"/>
        <w:numPr>
          <w:ilvl w:val="0"/>
          <w:numId w:val="69"/>
        </w:numPr>
        <w:tabs>
          <w:tab w:val="left" w:pos="833"/>
        </w:tabs>
        <w:spacing w:before="192" w:after="0" w:line="391" w:lineRule="auto"/>
        <w:ind w:left="111" w:right="268" w:firstLine="480"/>
        <w:jc w:val="both"/>
        <w:rPr>
          <w:color w:val="auto"/>
          <w:sz w:val="24"/>
        </w:rPr>
      </w:pPr>
      <w:r>
        <w:rPr>
          <w:color w:val="auto"/>
          <w:spacing w:val="-3"/>
          <w:sz w:val="24"/>
        </w:rPr>
        <w:t>《电子商务法》第八十条第一款第</w:t>
      </w:r>
      <w:r>
        <w:rPr>
          <w:color w:val="auto"/>
          <w:sz w:val="24"/>
        </w:rPr>
        <w:t>（二</w:t>
      </w:r>
      <w:r>
        <w:rPr>
          <w:color w:val="auto"/>
          <w:spacing w:val="-10"/>
          <w:sz w:val="24"/>
        </w:rPr>
        <w:t>）</w:t>
      </w:r>
      <w:r>
        <w:rPr>
          <w:color w:val="auto"/>
          <w:spacing w:val="3"/>
          <w:sz w:val="24"/>
        </w:rPr>
        <w:t>项 电子商务平台经营者有下列行为</w:t>
      </w:r>
      <w:r>
        <w:rPr>
          <w:color w:val="auto"/>
          <w:spacing w:val="-6"/>
          <w:sz w:val="24"/>
        </w:rPr>
        <w:t>之一的，由有关主管部门责令限期改正；逾期不改正的，处二万元以上十万元以下的</w:t>
      </w:r>
      <w:r>
        <w:rPr>
          <w:color w:val="auto"/>
          <w:sz w:val="24"/>
        </w:rPr>
        <w:t>罚款；情节严重的，责令停业整顿，并处十万元以上五十万元以下的罚款：</w:t>
      </w:r>
    </w:p>
    <w:p>
      <w:pPr>
        <w:pStyle w:val="4"/>
        <w:spacing w:line="388" w:lineRule="auto"/>
        <w:ind w:right="213" w:firstLine="480"/>
        <w:rPr>
          <w:color w:val="auto"/>
        </w:rPr>
      </w:pPr>
      <w:r>
        <w:rPr>
          <w:color w:val="auto"/>
        </w:rPr>
        <w:t>（二）不按照本法第二十八条规定向市场监督管理部门、税务部门报送有关信息的；</w:t>
      </w:r>
    </w:p>
    <w:p>
      <w:pPr>
        <w:pStyle w:val="13"/>
        <w:numPr>
          <w:ilvl w:val="0"/>
          <w:numId w:val="69"/>
        </w:numPr>
        <w:tabs>
          <w:tab w:val="left" w:pos="834"/>
        </w:tabs>
        <w:spacing w:before="1" w:after="0" w:line="391" w:lineRule="auto"/>
        <w:ind w:left="111" w:right="268" w:firstLine="480"/>
        <w:jc w:val="both"/>
        <w:rPr>
          <w:color w:val="auto"/>
          <w:sz w:val="24"/>
        </w:rPr>
      </w:pPr>
      <w:r>
        <w:rPr>
          <w:color w:val="auto"/>
          <w:sz w:val="24"/>
        </w:rPr>
        <w:t>《电子商务法》第二十八条第一款 电子商务平台经营者应当按照规定向市场</w:t>
      </w:r>
      <w:r>
        <w:rPr>
          <w:color w:val="auto"/>
          <w:spacing w:val="-3"/>
          <w:sz w:val="24"/>
        </w:rPr>
        <w:t>监督管理部门报送平台内经营者的身份信息，提示未办理市场主体登记的经营者依法</w:t>
      </w:r>
      <w:r>
        <w:rPr>
          <w:color w:val="auto"/>
          <w:spacing w:val="-6"/>
          <w:sz w:val="24"/>
        </w:rPr>
        <w:t>办理登记，并配合市场监督管理部门，针对电子商务的特点，为应当办理市场主体登</w:t>
      </w:r>
      <w:r>
        <w:rPr>
          <w:color w:val="auto"/>
          <w:sz w:val="24"/>
        </w:rPr>
        <w:t>记的经营者办理登记提供便利。</w:t>
      </w:r>
    </w:p>
    <w:p>
      <w:pPr>
        <w:numPr>
          <w:ilvl w:val="0"/>
          <w:numId w:val="68"/>
        </w:numPr>
        <w:spacing w:before="0" w:line="388" w:lineRule="auto"/>
        <w:ind w:left="591" w:leftChars="0" w:right="6948" w:firstLine="0" w:firstLineChars="0"/>
        <w:jc w:val="left"/>
        <w:rPr>
          <w:b/>
          <w:color w:val="auto"/>
          <w:sz w:val="24"/>
        </w:rPr>
      </w:pPr>
      <w:r>
        <w:rPr>
          <w:b/>
          <w:color w:val="auto"/>
          <w:sz w:val="24"/>
        </w:rPr>
        <w:t>裁量标准</w:t>
      </w:r>
    </w:p>
    <w:p>
      <w:pPr>
        <w:numPr>
          <w:ilvl w:val="0"/>
          <w:numId w:val="0"/>
        </w:numPr>
        <w:spacing w:before="0" w:line="388" w:lineRule="auto"/>
        <w:ind w:left="591" w:leftChars="0" w:right="6948" w:rightChars="0"/>
        <w:jc w:val="left"/>
        <w:rPr>
          <w:rFonts w:hint="default" w:eastAsia="宋体"/>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未造成危害后果</w:t>
      </w:r>
    </w:p>
    <w:p>
      <w:pPr>
        <w:numPr>
          <w:ilvl w:val="0"/>
          <w:numId w:val="0"/>
        </w:numPr>
        <w:spacing w:before="0"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line="388" w:lineRule="auto"/>
        <w:ind w:right="213" w:firstLine="480"/>
        <w:rPr>
          <w:color w:val="auto"/>
        </w:rPr>
      </w:pPr>
      <w:r>
        <w:rPr>
          <w:color w:val="auto"/>
        </w:rPr>
        <w:t>未向市场监管部门报送平台内经营者的身份信息，责令限期改正，期满后仍有部分平台内经营者的身份信息未报送的，处二万元以上五万元以下罚款。</w:t>
      </w:r>
    </w:p>
    <w:p>
      <w:pPr>
        <w:pStyle w:val="13"/>
        <w:numPr>
          <w:ilvl w:val="0"/>
          <w:numId w:val="0"/>
        </w:numPr>
        <w:tabs>
          <w:tab w:val="left" w:pos="833"/>
        </w:tabs>
        <w:spacing w:before="1" w:after="0" w:line="240" w:lineRule="auto"/>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4"/>
        <w:spacing w:before="194" w:line="388" w:lineRule="auto"/>
        <w:ind w:right="213" w:firstLine="480"/>
        <w:rPr>
          <w:color w:val="auto"/>
        </w:rPr>
      </w:pPr>
      <w:r>
        <w:rPr>
          <w:color w:val="auto"/>
        </w:rPr>
        <w:t>未向市场监管部门报送平台内经营者的身份信息，责令限期改正，期满后仍未报送的，处五万元以上十万元以下罚款。</w:t>
      </w:r>
    </w:p>
    <w:p>
      <w:pPr>
        <w:pStyle w:val="13"/>
        <w:numPr>
          <w:ilvl w:val="0"/>
          <w:numId w:val="0"/>
        </w:numPr>
        <w:tabs>
          <w:tab w:val="left" w:pos="833"/>
        </w:tabs>
        <w:spacing w:before="2" w:after="0" w:line="240" w:lineRule="auto"/>
        <w:ind w:left="590" w:leftChars="0" w:right="0" w:rightChars="0"/>
        <w:jc w:val="left"/>
        <w:rPr>
          <w:color w:val="auto"/>
          <w:sz w:val="24"/>
        </w:rPr>
      </w:pPr>
      <w:r>
        <w:rPr>
          <w:rFonts w:hint="eastAsia"/>
          <w:color w:val="auto"/>
          <w:sz w:val="24"/>
          <w:lang w:val="en-US" w:eastAsia="zh-CN"/>
        </w:rPr>
        <w:t>4.</w:t>
      </w:r>
      <w:r>
        <w:rPr>
          <w:color w:val="auto"/>
          <w:sz w:val="24"/>
        </w:rPr>
        <w:t>【严重】</w:t>
      </w:r>
    </w:p>
    <w:p>
      <w:pPr>
        <w:pStyle w:val="4"/>
        <w:spacing w:before="194" w:line="388" w:lineRule="auto"/>
        <w:ind w:right="268" w:firstLine="480"/>
        <w:rPr>
          <w:color w:val="auto"/>
        </w:rPr>
      </w:pPr>
      <w:r>
        <w:rPr>
          <w:color w:val="auto"/>
          <w:spacing w:val="-4"/>
        </w:rPr>
        <w:t>二次及以上责令限期改正，期满后仍未改正的，责令停业整顿，并处十万元以上</w:t>
      </w:r>
      <w:r>
        <w:rPr>
          <w:color w:val="auto"/>
        </w:rPr>
        <w:t>五十万元以下的罚款。</w:t>
      </w:r>
    </w:p>
    <w:p>
      <w:pPr>
        <w:pStyle w:val="2"/>
        <w:spacing w:before="2"/>
        <w:rPr>
          <w:color w:val="auto"/>
        </w:rPr>
      </w:pPr>
      <w:bookmarkStart w:id="217" w:name="_bookmark108"/>
      <w:bookmarkEnd w:id="217"/>
      <w:bookmarkStart w:id="218" w:name="一百零六、电子商务平台经营者没有对发现的违法情形采取必要的处置措施，或者没有向有"/>
      <w:bookmarkEnd w:id="218"/>
      <w:r>
        <w:rPr>
          <w:color w:val="auto"/>
        </w:rPr>
        <w:t>一百零六、电子商务平台经营者没有对发现的违法情形采取必要的处置措施，或</w:t>
      </w:r>
    </w:p>
    <w:p>
      <w:pPr>
        <w:spacing w:before="39"/>
        <w:ind w:left="111" w:right="0" w:firstLine="0"/>
        <w:jc w:val="left"/>
        <w:rPr>
          <w:b/>
          <w:color w:val="auto"/>
          <w:sz w:val="24"/>
        </w:rPr>
      </w:pPr>
      <w:r>
        <w:rPr>
          <w:b/>
          <w:color w:val="auto"/>
          <w:sz w:val="24"/>
        </w:rPr>
        <w:t>者没有向有关主管部门报告</w:t>
      </w:r>
    </w:p>
    <w:p>
      <w:pPr>
        <w:spacing w:before="195"/>
        <w:ind w:left="591" w:right="0" w:firstLine="0"/>
        <w:jc w:val="left"/>
        <w:rPr>
          <w:b/>
          <w:color w:val="auto"/>
          <w:sz w:val="24"/>
        </w:rPr>
      </w:pPr>
      <w:r>
        <w:rPr>
          <w:b/>
          <w:color w:val="auto"/>
          <w:sz w:val="24"/>
        </w:rPr>
        <w:t>（一）处罚依据</w:t>
      </w:r>
    </w:p>
    <w:p>
      <w:pPr>
        <w:pStyle w:val="13"/>
        <w:numPr>
          <w:ilvl w:val="0"/>
          <w:numId w:val="70"/>
        </w:numPr>
        <w:tabs>
          <w:tab w:val="left" w:pos="833"/>
        </w:tabs>
        <w:spacing w:before="191" w:after="0" w:line="391" w:lineRule="auto"/>
        <w:ind w:left="111" w:right="268" w:firstLine="480"/>
        <w:jc w:val="both"/>
        <w:rPr>
          <w:color w:val="auto"/>
          <w:sz w:val="24"/>
        </w:rPr>
      </w:pPr>
      <w:r>
        <w:rPr>
          <w:color w:val="auto"/>
          <w:spacing w:val="-3"/>
          <w:sz w:val="24"/>
        </w:rPr>
        <w:t>《电子商务法》第八十条第一款第</w:t>
      </w:r>
      <w:r>
        <w:rPr>
          <w:color w:val="auto"/>
          <w:sz w:val="24"/>
        </w:rPr>
        <w:t>（三</w:t>
      </w:r>
      <w:r>
        <w:rPr>
          <w:color w:val="auto"/>
          <w:spacing w:val="-10"/>
          <w:sz w:val="24"/>
        </w:rPr>
        <w:t>）</w:t>
      </w:r>
      <w:r>
        <w:rPr>
          <w:color w:val="auto"/>
          <w:spacing w:val="3"/>
          <w:sz w:val="24"/>
        </w:rPr>
        <w:t>项 电子商务平台经营者有下列行为</w:t>
      </w:r>
      <w:r>
        <w:rPr>
          <w:color w:val="auto"/>
          <w:spacing w:val="-6"/>
          <w:sz w:val="24"/>
        </w:rPr>
        <w:t>之一的，由有关主管部门责令限期改正；逾期不改正的，处二万元以上十万元以下的</w:t>
      </w:r>
      <w:r>
        <w:rPr>
          <w:color w:val="auto"/>
          <w:sz w:val="24"/>
        </w:rPr>
        <w:t>罚款；情节严重的，责令停业整顿，并处十万元以上五十万元以下的罚款：</w:t>
      </w:r>
    </w:p>
    <w:p>
      <w:pPr>
        <w:pStyle w:val="4"/>
        <w:spacing w:line="388" w:lineRule="auto"/>
        <w:ind w:right="268" w:firstLine="480"/>
        <w:rPr>
          <w:color w:val="auto"/>
        </w:rPr>
      </w:pPr>
      <w:r>
        <w:rPr>
          <w:color w:val="auto"/>
        </w:rPr>
        <w:t>（三</w:t>
      </w:r>
      <w:r>
        <w:rPr>
          <w:color w:val="auto"/>
          <w:spacing w:val="-20"/>
        </w:rPr>
        <w:t>）</w:t>
      </w:r>
      <w:r>
        <w:rPr>
          <w:color w:val="auto"/>
          <w:spacing w:val="-2"/>
        </w:rPr>
        <w:t>不按照本法第二十九条规定对违法情形采取必要的处置措施，或者未向有</w:t>
      </w:r>
      <w:r>
        <w:rPr>
          <w:color w:val="auto"/>
        </w:rPr>
        <w:t>关主管部门报告的；</w:t>
      </w:r>
    </w:p>
    <w:p>
      <w:pPr>
        <w:pStyle w:val="13"/>
        <w:numPr>
          <w:ilvl w:val="0"/>
          <w:numId w:val="70"/>
        </w:numPr>
        <w:tabs>
          <w:tab w:val="left" w:pos="834"/>
        </w:tabs>
        <w:spacing w:before="1" w:after="0" w:line="388" w:lineRule="auto"/>
        <w:ind w:left="111" w:right="268" w:firstLine="480"/>
        <w:jc w:val="both"/>
        <w:rPr>
          <w:color w:val="auto"/>
          <w:sz w:val="24"/>
        </w:rPr>
      </w:pPr>
      <w:r>
        <w:rPr>
          <w:color w:val="auto"/>
          <w:sz w:val="24"/>
        </w:rPr>
        <w:t>《电子商务法》第二十九条 电子商务平台经营者发现平台内的商品或者服务</w:t>
      </w:r>
      <w:r>
        <w:rPr>
          <w:color w:val="auto"/>
          <w:spacing w:val="-4"/>
          <w:sz w:val="24"/>
        </w:rPr>
        <w:t>信息存在违反电子商务法第十二条、第十三条规定情形的，应当依法采取必要的处置</w:t>
      </w:r>
      <w:r>
        <w:rPr>
          <w:color w:val="auto"/>
          <w:sz w:val="24"/>
        </w:rPr>
        <w:t>措施，并向有关主管部门报告。</w:t>
      </w:r>
    </w:p>
    <w:p>
      <w:pPr>
        <w:pStyle w:val="13"/>
        <w:numPr>
          <w:ilvl w:val="0"/>
          <w:numId w:val="70"/>
        </w:numPr>
        <w:tabs>
          <w:tab w:val="left" w:pos="834"/>
        </w:tabs>
        <w:spacing w:before="6" w:after="0" w:line="388" w:lineRule="auto"/>
        <w:ind w:left="111" w:right="268" w:firstLine="480"/>
        <w:jc w:val="both"/>
        <w:rPr>
          <w:color w:val="auto"/>
          <w:sz w:val="24"/>
        </w:rPr>
      </w:pPr>
      <w:r>
        <w:rPr>
          <w:color w:val="auto"/>
          <w:sz w:val="24"/>
        </w:rPr>
        <w:t>《电子商务法》第十二条 电子商务经营者从事经营活动，依法需要取得相关行政许可的，应当依法取得行政许可。</w:t>
      </w:r>
    </w:p>
    <w:p>
      <w:pPr>
        <w:pStyle w:val="13"/>
        <w:numPr>
          <w:ilvl w:val="0"/>
          <w:numId w:val="70"/>
        </w:numPr>
        <w:tabs>
          <w:tab w:val="left" w:pos="834"/>
        </w:tabs>
        <w:spacing w:before="2" w:after="0" w:line="391" w:lineRule="auto"/>
        <w:ind w:left="111" w:right="268" w:firstLine="480"/>
        <w:jc w:val="both"/>
        <w:rPr>
          <w:color w:val="auto"/>
          <w:sz w:val="24"/>
        </w:rPr>
      </w:pPr>
      <w:r>
        <w:rPr>
          <w:color w:val="auto"/>
          <w:sz w:val="24"/>
        </w:rPr>
        <w:t>《电子商务法》第十三条 电子商务经营者销售的商品或者提供的服务应当符</w:t>
      </w:r>
      <w:r>
        <w:rPr>
          <w:color w:val="auto"/>
          <w:spacing w:val="-5"/>
          <w:sz w:val="24"/>
        </w:rPr>
        <w:t>合保障人身、财产安全的要求和环境保护要求，不得销售或者提供法律、行政法规禁</w:t>
      </w:r>
      <w:r>
        <w:rPr>
          <w:color w:val="auto"/>
          <w:sz w:val="24"/>
        </w:rPr>
        <w:t>止交易的商品或者服务。</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91" w:lineRule="auto"/>
        <w:ind w:right="268" w:firstLine="480"/>
        <w:jc w:val="both"/>
        <w:rPr>
          <w:color w:val="auto"/>
        </w:rPr>
      </w:pPr>
      <w:r>
        <w:rPr>
          <w:color w:val="auto"/>
          <w:spacing w:val="3"/>
        </w:rPr>
        <w:t>对应当取得行政许可而没有取得的平台内经营者，没有依法采取必要的处置措</w:t>
      </w:r>
      <w:r>
        <w:rPr>
          <w:color w:val="auto"/>
          <w:spacing w:val="-7"/>
        </w:rPr>
        <w:t>施，或没有向有关主管部门报告，责令限期改正后，期满未改正的，处二万元以上五</w:t>
      </w:r>
      <w:r>
        <w:rPr>
          <w:color w:val="auto"/>
        </w:rPr>
        <w:t>万元以下罚款。</w:t>
      </w:r>
    </w:p>
    <w:p>
      <w:pPr>
        <w:pStyle w:val="13"/>
        <w:numPr>
          <w:ilvl w:val="0"/>
          <w:numId w:val="71"/>
        </w:numPr>
        <w:tabs>
          <w:tab w:val="left" w:pos="833"/>
        </w:tabs>
        <w:spacing w:before="0" w:after="0" w:line="304" w:lineRule="exact"/>
        <w:ind w:left="832" w:right="0" w:hanging="242"/>
        <w:jc w:val="left"/>
        <w:rPr>
          <w:color w:val="auto"/>
          <w:sz w:val="24"/>
        </w:rPr>
      </w:pPr>
      <w:r>
        <w:rPr>
          <w:color w:val="auto"/>
          <w:sz w:val="24"/>
        </w:rPr>
        <w:t>【一般】</w:t>
      </w:r>
    </w:p>
    <w:p>
      <w:pPr>
        <w:pStyle w:val="4"/>
        <w:spacing w:before="186" w:line="391" w:lineRule="auto"/>
        <w:ind w:right="268" w:firstLine="480"/>
        <w:jc w:val="both"/>
        <w:rPr>
          <w:color w:val="auto"/>
        </w:rPr>
      </w:pPr>
      <w:r>
        <w:rPr>
          <w:color w:val="auto"/>
          <w:spacing w:val="-4"/>
        </w:rPr>
        <w:t>对销售或者提供不符合保障人身、财产安全的要求和环境保护要求的商品或者服</w:t>
      </w:r>
      <w:r>
        <w:rPr>
          <w:color w:val="auto"/>
          <w:spacing w:val="-5"/>
        </w:rPr>
        <w:t>务的平台内经营者，没有依法采取必要的处置措施，或没有向有关主管部门报告，责</w:t>
      </w:r>
      <w:r>
        <w:rPr>
          <w:color w:val="auto"/>
        </w:rPr>
        <w:t>令限期改正后，期满未改正的，处五万元以上十万元以下罚款。</w:t>
      </w:r>
    </w:p>
    <w:p>
      <w:pPr>
        <w:pStyle w:val="13"/>
        <w:numPr>
          <w:ilvl w:val="0"/>
          <w:numId w:val="71"/>
        </w:numPr>
        <w:tabs>
          <w:tab w:val="left" w:pos="833"/>
        </w:tabs>
        <w:spacing w:before="0" w:after="0" w:line="304" w:lineRule="exact"/>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4"/>
        </w:rPr>
        <w:t>对销售或者提供法律、行政法规禁止交易的商品或者服务的平台内经营者，没有依法采取必要的处置措施，或没有向有关主管部门报告的，或者二次及以上责令限期</w:t>
      </w:r>
      <w:r>
        <w:rPr>
          <w:color w:val="auto"/>
        </w:rPr>
        <w:t>改正后、期满仍未改正的，责令停业整顿，并处十万元以上五十万元以下的罚款。</w:t>
      </w:r>
      <w:bookmarkStart w:id="219" w:name="一百零七、电子商务平台经营者不依法履行商品和服务信息、交易信息保存义务"/>
      <w:bookmarkEnd w:id="219"/>
      <w:bookmarkStart w:id="220" w:name="_bookmark109"/>
      <w:bookmarkEnd w:id="220"/>
      <w:r>
        <w:rPr>
          <w:color w:val="auto"/>
        </w:rPr>
        <w:t>一百零七、电子商务平台经营者不依法履行商品和服务信息、交易信息保存义务</w:t>
      </w:r>
    </w:p>
    <w:p>
      <w:pPr>
        <w:spacing w:before="195"/>
        <w:ind w:left="591" w:right="0" w:firstLine="0"/>
        <w:jc w:val="left"/>
        <w:rPr>
          <w:b/>
          <w:color w:val="auto"/>
          <w:sz w:val="24"/>
        </w:rPr>
      </w:pPr>
      <w:r>
        <w:rPr>
          <w:b/>
          <w:color w:val="auto"/>
          <w:sz w:val="24"/>
        </w:rPr>
        <w:t>（一）处罚依据</w:t>
      </w:r>
    </w:p>
    <w:p>
      <w:pPr>
        <w:pStyle w:val="13"/>
        <w:numPr>
          <w:ilvl w:val="0"/>
          <w:numId w:val="72"/>
        </w:numPr>
        <w:tabs>
          <w:tab w:val="left" w:pos="833"/>
        </w:tabs>
        <w:spacing w:before="191" w:after="0" w:line="391" w:lineRule="auto"/>
        <w:ind w:left="111" w:right="268" w:firstLine="480"/>
        <w:jc w:val="both"/>
        <w:rPr>
          <w:color w:val="auto"/>
          <w:sz w:val="24"/>
        </w:rPr>
      </w:pPr>
      <w:r>
        <w:rPr>
          <w:color w:val="auto"/>
          <w:spacing w:val="-3"/>
          <w:sz w:val="24"/>
        </w:rPr>
        <w:t>《电子商务法》第八十条第一款第</w:t>
      </w:r>
      <w:r>
        <w:rPr>
          <w:color w:val="auto"/>
          <w:sz w:val="24"/>
        </w:rPr>
        <w:t>（四</w:t>
      </w:r>
      <w:r>
        <w:rPr>
          <w:color w:val="auto"/>
          <w:spacing w:val="-10"/>
          <w:sz w:val="24"/>
        </w:rPr>
        <w:t>）</w:t>
      </w:r>
      <w:r>
        <w:rPr>
          <w:color w:val="auto"/>
          <w:spacing w:val="3"/>
          <w:sz w:val="24"/>
        </w:rPr>
        <w:t>项 电子商务平台经营者有下列行为</w:t>
      </w:r>
      <w:r>
        <w:rPr>
          <w:color w:val="auto"/>
          <w:spacing w:val="-6"/>
          <w:sz w:val="24"/>
        </w:rPr>
        <w:t>之一的，由有关主管部门责令限期改正；逾期不改正的，处二万元以上十万元以下的</w:t>
      </w:r>
      <w:r>
        <w:rPr>
          <w:color w:val="auto"/>
          <w:sz w:val="24"/>
        </w:rPr>
        <w:t>罚款；情节严重的，责令停业整顿，并处十万元以上五十万元以下的罚款：</w:t>
      </w:r>
    </w:p>
    <w:p>
      <w:pPr>
        <w:pStyle w:val="4"/>
        <w:spacing w:line="388" w:lineRule="auto"/>
        <w:ind w:left="591" w:right="268"/>
        <w:jc w:val="both"/>
        <w:rPr>
          <w:color w:val="auto"/>
        </w:rPr>
      </w:pPr>
      <w:r>
        <w:rPr>
          <w:color w:val="auto"/>
        </w:rPr>
        <w:t>（四）不履行本法第三十一条规定的商品和服务信息、交易信息保存义务的。2.《电子商务法》第三十一条 电子商务平台经营者应当记录、保存平台上发布</w:t>
      </w:r>
    </w:p>
    <w:p>
      <w:pPr>
        <w:pStyle w:val="4"/>
        <w:spacing w:before="1" w:line="388" w:lineRule="auto"/>
        <w:ind w:right="148"/>
        <w:rPr>
          <w:color w:val="auto"/>
        </w:rPr>
      </w:pPr>
      <w:r>
        <w:rPr>
          <w:color w:val="auto"/>
          <w:spacing w:val="-5"/>
        </w:rPr>
        <w:t>的商品和服务信息、交易信息，并确保信息的完整性、保密性、可用性。商品和服务</w:t>
      </w:r>
      <w:r>
        <w:rPr>
          <w:color w:val="auto"/>
          <w:spacing w:val="-13"/>
        </w:rPr>
        <w:t xml:space="preserve">信息、交易信息保存时间自交易完成之日起不少于三年；法律、行政法规另有规定的， </w:t>
      </w:r>
      <w:r>
        <w:rPr>
          <w:color w:val="auto"/>
        </w:rPr>
        <w:t>依照其规定。</w:t>
      </w:r>
    </w:p>
    <w:p>
      <w:pPr>
        <w:spacing w:before="6"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right="268" w:firstLine="480"/>
        <w:jc w:val="both"/>
        <w:rPr>
          <w:color w:val="auto"/>
        </w:rPr>
      </w:pPr>
      <w:r>
        <w:rPr>
          <w:color w:val="auto"/>
          <w:spacing w:val="-5"/>
        </w:rPr>
        <w:t>不履行商品和服务信息、交易信息保存义务，责令限期改正，期满后仍有少量信息的保存达不到完整性、保密性、可用性和规定的保存时间要求的，处二万元以上五</w:t>
      </w:r>
      <w:r>
        <w:rPr>
          <w:color w:val="auto"/>
        </w:rPr>
        <w:t>万元以下罚款。</w:t>
      </w:r>
    </w:p>
    <w:p>
      <w:pPr>
        <w:pStyle w:val="13"/>
        <w:numPr>
          <w:ilvl w:val="0"/>
          <w:numId w:val="72"/>
        </w:numPr>
        <w:tabs>
          <w:tab w:val="left" w:pos="833"/>
        </w:tabs>
        <w:spacing w:before="0" w:after="0" w:line="304" w:lineRule="exact"/>
        <w:ind w:left="832" w:right="0" w:hanging="242"/>
        <w:jc w:val="left"/>
        <w:rPr>
          <w:color w:val="auto"/>
          <w:sz w:val="24"/>
        </w:rPr>
      </w:pPr>
      <w:r>
        <w:rPr>
          <w:color w:val="auto"/>
          <w:sz w:val="24"/>
        </w:rPr>
        <w:t>【一般】</w:t>
      </w:r>
    </w:p>
    <w:p>
      <w:pPr>
        <w:pStyle w:val="4"/>
        <w:spacing w:before="194" w:line="388" w:lineRule="auto"/>
        <w:ind w:right="268" w:firstLine="480"/>
        <w:jc w:val="both"/>
        <w:rPr>
          <w:color w:val="auto"/>
        </w:rPr>
      </w:pPr>
      <w:r>
        <w:rPr>
          <w:color w:val="auto"/>
          <w:spacing w:val="-5"/>
        </w:rPr>
        <w:t>不履行商品和服务信息、交易信息保存义务，责令限期改正，期满后仍有大量信息的保存达不到完整性、保密性、可用性和规定的保存时间要求的，处五万元以上十</w:t>
      </w:r>
      <w:r>
        <w:rPr>
          <w:color w:val="auto"/>
        </w:rPr>
        <w:t>万元以下罚款。</w:t>
      </w:r>
    </w:p>
    <w:p>
      <w:pPr>
        <w:pStyle w:val="13"/>
        <w:numPr>
          <w:ilvl w:val="0"/>
          <w:numId w:val="72"/>
        </w:numPr>
        <w:tabs>
          <w:tab w:val="left" w:pos="833"/>
        </w:tabs>
        <w:spacing w:before="5" w:after="0" w:line="240" w:lineRule="auto"/>
        <w:ind w:left="832" w:right="0" w:hanging="242"/>
        <w:jc w:val="left"/>
        <w:rPr>
          <w:color w:val="auto"/>
          <w:sz w:val="24"/>
        </w:rPr>
      </w:pPr>
      <w:r>
        <w:rPr>
          <w:color w:val="auto"/>
          <w:sz w:val="24"/>
        </w:rPr>
        <w:t>【严重】</w:t>
      </w:r>
    </w:p>
    <w:p>
      <w:pPr>
        <w:pStyle w:val="4"/>
        <w:spacing w:before="192" w:line="391" w:lineRule="auto"/>
        <w:ind w:right="268" w:firstLine="480"/>
        <w:jc w:val="both"/>
        <w:rPr>
          <w:color w:val="auto"/>
        </w:rPr>
      </w:pPr>
      <w:r>
        <w:rPr>
          <w:color w:val="auto"/>
          <w:spacing w:val="-5"/>
        </w:rPr>
        <w:t>不履行商品和服务信息、交易信息保存义务的，责令限期改正，责令期满后所有</w:t>
      </w:r>
      <w:r>
        <w:rPr>
          <w:color w:val="auto"/>
          <w:spacing w:val="-4"/>
        </w:rPr>
        <w:t>信息的保存均达不到完整性、保密性、可用性和规定的保存时间要求的，或者二次及</w:t>
      </w:r>
      <w:r>
        <w:rPr>
          <w:color w:val="auto"/>
          <w:spacing w:val="-5"/>
        </w:rPr>
        <w:t>以上责令限期改正后、期满仍达不到规定要求的，责令停业整顿，并处十万元以上五</w:t>
      </w:r>
      <w:r>
        <w:rPr>
          <w:color w:val="auto"/>
        </w:rPr>
        <w:t>十万元以下的罚款。</w:t>
      </w:r>
    </w:p>
    <w:p>
      <w:pPr>
        <w:pStyle w:val="2"/>
        <w:spacing w:line="302" w:lineRule="exact"/>
        <w:rPr>
          <w:color w:val="auto"/>
        </w:rPr>
      </w:pPr>
      <w:bookmarkStart w:id="221" w:name="_bookmark110"/>
      <w:bookmarkEnd w:id="221"/>
      <w:bookmarkStart w:id="222" w:name="一百零八、电子商务平台经营者未按规定公示有关信息或者链接标识"/>
      <w:bookmarkEnd w:id="222"/>
      <w:r>
        <w:rPr>
          <w:color w:val="auto"/>
        </w:rPr>
        <w:t>一百零八、电子商务平台经营者未按规定公示有关信息或者链接标识</w:t>
      </w:r>
    </w:p>
    <w:p>
      <w:pPr>
        <w:spacing w:before="194"/>
        <w:ind w:left="591" w:right="0" w:firstLine="0"/>
        <w:jc w:val="left"/>
        <w:rPr>
          <w:b/>
          <w:color w:val="auto"/>
          <w:sz w:val="24"/>
        </w:rPr>
      </w:pPr>
      <w:r>
        <w:rPr>
          <w:b/>
          <w:color w:val="auto"/>
          <w:sz w:val="24"/>
        </w:rPr>
        <w:t>（一）处罚依据</w:t>
      </w:r>
    </w:p>
    <w:p>
      <w:pPr>
        <w:pStyle w:val="4"/>
        <w:tabs>
          <w:tab w:val="left" w:pos="5595"/>
        </w:tabs>
        <w:spacing w:before="192" w:line="388" w:lineRule="auto"/>
        <w:ind w:right="268" w:firstLine="480"/>
        <w:rPr>
          <w:color w:val="auto"/>
        </w:rPr>
      </w:pPr>
      <w:r>
        <w:rPr>
          <w:color w:val="auto"/>
        </w:rPr>
        <w:t>《电子商务法</w:t>
      </w:r>
      <w:r>
        <w:rPr>
          <w:color w:val="auto"/>
          <w:spacing w:val="-12"/>
        </w:rPr>
        <w:t>》</w:t>
      </w:r>
      <w:r>
        <w:rPr>
          <w:color w:val="auto"/>
        </w:rPr>
        <w:t>第八十一条第一款</w:t>
      </w:r>
      <w:r>
        <w:rPr>
          <w:color w:val="auto"/>
          <w:spacing w:val="-12"/>
        </w:rPr>
        <w:t>第</w:t>
      </w:r>
      <w:r>
        <w:rPr>
          <w:color w:val="auto"/>
        </w:rPr>
        <w:t>（一</w:t>
      </w:r>
      <w:r>
        <w:rPr>
          <w:color w:val="auto"/>
          <w:spacing w:val="-12"/>
        </w:rPr>
        <w:t>）</w:t>
      </w:r>
      <w:r>
        <w:rPr>
          <w:color w:val="auto"/>
        </w:rPr>
        <w:t>项</w:t>
      </w:r>
      <w:r>
        <w:rPr>
          <w:color w:val="auto"/>
        </w:rPr>
        <w:tab/>
      </w:r>
      <w:r>
        <w:rPr>
          <w:color w:val="auto"/>
        </w:rPr>
        <w:t>电子商务平台经营者违反本法</w:t>
      </w:r>
      <w:r>
        <w:rPr>
          <w:color w:val="auto"/>
          <w:spacing w:val="-17"/>
        </w:rPr>
        <w:t>规</w:t>
      </w:r>
      <w:r>
        <w:rPr>
          <w:color w:val="auto"/>
        </w:rPr>
        <w:t>定</w:t>
      </w:r>
      <w:r>
        <w:rPr>
          <w:color w:val="auto"/>
          <w:spacing w:val="-12"/>
        </w:rPr>
        <w:t>，</w:t>
      </w:r>
      <w:r>
        <w:rPr>
          <w:color w:val="auto"/>
        </w:rPr>
        <w:t>有下列行为之一的</w:t>
      </w:r>
      <w:r>
        <w:rPr>
          <w:color w:val="auto"/>
          <w:spacing w:val="-12"/>
        </w:rPr>
        <w:t>，</w:t>
      </w:r>
      <w:r>
        <w:rPr>
          <w:color w:val="auto"/>
        </w:rPr>
        <w:t>由市场监督管理部门责令限期改正</w:t>
      </w:r>
      <w:r>
        <w:rPr>
          <w:color w:val="auto"/>
          <w:spacing w:val="-12"/>
        </w:rPr>
        <w:t>，</w:t>
      </w:r>
      <w:r>
        <w:rPr>
          <w:color w:val="auto"/>
        </w:rPr>
        <w:t>可以处二万元以上十</w:t>
      </w:r>
      <w:r>
        <w:rPr>
          <w:color w:val="auto"/>
          <w:spacing w:val="-17"/>
        </w:rPr>
        <w:t>万</w:t>
      </w:r>
    </w:p>
    <w:p>
      <w:pPr>
        <w:pStyle w:val="4"/>
        <w:spacing w:before="39"/>
        <w:rPr>
          <w:color w:val="auto"/>
        </w:rPr>
      </w:pPr>
      <w:r>
        <w:rPr>
          <w:color w:val="auto"/>
        </w:rPr>
        <w:t>元以下的罚款；情节严重的，处十万元以上五十万元以下的罚款：</w:t>
      </w:r>
    </w:p>
    <w:p>
      <w:pPr>
        <w:pStyle w:val="4"/>
        <w:spacing w:before="195" w:line="388" w:lineRule="auto"/>
        <w:ind w:right="213" w:firstLine="480"/>
        <w:rPr>
          <w:color w:val="auto"/>
        </w:rPr>
      </w:pPr>
      <w:r>
        <w:rPr>
          <w:color w:val="auto"/>
        </w:rPr>
        <w:t>（一）未在首页显著位置持续公示平台服务协议、交易规则信息或者上述信息的链接标识的；</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3"/>
        </w:rPr>
        <w:t>电子商务平台经营者公示了平台服务协议和交易规则信息或者上述信息的链接</w:t>
      </w:r>
      <w:r>
        <w:rPr>
          <w:color w:val="auto"/>
          <w:spacing w:val="-5"/>
        </w:rPr>
        <w:t>标识，但未在首页显著位置公示或者公示时间达不到规定要求的，责令限期改正，可</w:t>
      </w:r>
      <w:r>
        <w:rPr>
          <w:color w:val="auto"/>
        </w:rPr>
        <w:t>以处二万元以上五万元以下罚款。</w:t>
      </w:r>
    </w:p>
    <w:p>
      <w:pPr>
        <w:pStyle w:val="13"/>
        <w:numPr>
          <w:ilvl w:val="0"/>
          <w:numId w:val="73"/>
        </w:numPr>
        <w:tabs>
          <w:tab w:val="left" w:pos="833"/>
        </w:tabs>
        <w:spacing w:before="0" w:after="0" w:line="304" w:lineRule="exact"/>
        <w:ind w:left="832" w:right="0" w:hanging="242"/>
        <w:jc w:val="left"/>
        <w:rPr>
          <w:color w:val="auto"/>
          <w:sz w:val="24"/>
        </w:rPr>
      </w:pPr>
      <w:r>
        <w:rPr>
          <w:color w:val="auto"/>
          <w:sz w:val="24"/>
        </w:rPr>
        <w:t>【一般】</w:t>
      </w:r>
    </w:p>
    <w:p>
      <w:pPr>
        <w:pStyle w:val="4"/>
        <w:spacing w:before="190" w:line="391" w:lineRule="auto"/>
        <w:ind w:right="213" w:firstLine="480"/>
        <w:rPr>
          <w:color w:val="auto"/>
        </w:rPr>
      </w:pPr>
      <w:r>
        <w:rPr>
          <w:color w:val="auto"/>
        </w:rPr>
        <w:t>电子商务平台经营者未公示平台服务协议、交易规则信息或者上述信息的链接标识的，责令限期改正，可以处五万元以上十万元以下罚款。</w:t>
      </w:r>
    </w:p>
    <w:p>
      <w:pPr>
        <w:pStyle w:val="13"/>
        <w:numPr>
          <w:ilvl w:val="0"/>
          <w:numId w:val="73"/>
        </w:numPr>
        <w:tabs>
          <w:tab w:val="left" w:pos="833"/>
        </w:tabs>
        <w:spacing w:before="0" w:after="0" w:line="306" w:lineRule="exact"/>
        <w:ind w:left="832" w:right="0" w:hanging="242"/>
        <w:jc w:val="left"/>
        <w:rPr>
          <w:color w:val="auto"/>
          <w:sz w:val="24"/>
        </w:rPr>
      </w:pPr>
      <w:r>
        <w:rPr>
          <w:color w:val="auto"/>
          <w:sz w:val="24"/>
        </w:rPr>
        <w:t>【严重】</w:t>
      </w:r>
    </w:p>
    <w:p>
      <w:pPr>
        <w:spacing w:before="191" w:line="391" w:lineRule="auto"/>
        <w:ind w:left="111" w:right="232" w:firstLine="480"/>
        <w:jc w:val="right"/>
        <w:rPr>
          <w:b/>
          <w:color w:val="auto"/>
          <w:sz w:val="24"/>
        </w:rPr>
      </w:pPr>
      <w:r>
        <w:rPr>
          <w:color w:val="auto"/>
          <w:sz w:val="24"/>
        </w:rPr>
        <w:t>电子商务平台经营者未依照规定公示平台服务协议、交易规则信息或者上述信息的链接标识，责令限期改正后，期满仍未改正的，处十万元以上五十万元以下罚款。</w:t>
      </w:r>
      <w:bookmarkStart w:id="223" w:name="一百零九、电子商务平台经营者修改交易规则未按规定公开或公示，或者阻止平台内经营者"/>
      <w:bookmarkEnd w:id="223"/>
      <w:bookmarkStart w:id="224" w:name="_bookmark111"/>
      <w:bookmarkEnd w:id="224"/>
      <w:r>
        <w:rPr>
          <w:b/>
          <w:color w:val="auto"/>
          <w:sz w:val="24"/>
        </w:rPr>
        <w:t>一百零九、电子商务平台经营者修改交易规则未按规定公开或公示，或者阻止平</w:t>
      </w:r>
    </w:p>
    <w:p>
      <w:pPr>
        <w:pStyle w:val="2"/>
        <w:spacing w:line="304" w:lineRule="exact"/>
        <w:ind w:left="111"/>
        <w:rPr>
          <w:color w:val="auto"/>
        </w:rPr>
      </w:pPr>
      <w:r>
        <w:rPr>
          <w:color w:val="auto"/>
        </w:rPr>
        <w:t>台内经营者退出</w:t>
      </w:r>
    </w:p>
    <w:p>
      <w:pPr>
        <w:spacing w:before="195"/>
        <w:ind w:left="591" w:right="0" w:firstLine="0"/>
        <w:jc w:val="left"/>
        <w:rPr>
          <w:b/>
          <w:color w:val="auto"/>
          <w:sz w:val="24"/>
        </w:rPr>
      </w:pPr>
      <w:r>
        <w:rPr>
          <w:b/>
          <w:color w:val="auto"/>
          <w:sz w:val="24"/>
        </w:rPr>
        <w:t>（一）处罚依据</w:t>
      </w:r>
    </w:p>
    <w:p>
      <w:pPr>
        <w:pStyle w:val="13"/>
        <w:numPr>
          <w:ilvl w:val="0"/>
          <w:numId w:val="74"/>
        </w:numPr>
        <w:tabs>
          <w:tab w:val="left" w:pos="833"/>
        </w:tabs>
        <w:spacing w:before="191" w:after="0" w:line="391" w:lineRule="auto"/>
        <w:ind w:left="111" w:right="268" w:firstLine="480"/>
        <w:jc w:val="both"/>
        <w:rPr>
          <w:color w:val="auto"/>
          <w:sz w:val="24"/>
        </w:rPr>
      </w:pPr>
      <w:r>
        <w:rPr>
          <w:color w:val="auto"/>
          <w:spacing w:val="-3"/>
          <w:sz w:val="24"/>
        </w:rPr>
        <w:t>《电子商务法》第八十一条第一款第</w:t>
      </w:r>
      <w:r>
        <w:rPr>
          <w:color w:val="auto"/>
          <w:sz w:val="24"/>
        </w:rPr>
        <w:t>（二</w:t>
      </w:r>
      <w:r>
        <w:rPr>
          <w:color w:val="auto"/>
          <w:spacing w:val="-10"/>
          <w:sz w:val="24"/>
        </w:rPr>
        <w:t>）</w:t>
      </w:r>
      <w:r>
        <w:rPr>
          <w:color w:val="auto"/>
          <w:spacing w:val="4"/>
          <w:sz w:val="24"/>
        </w:rPr>
        <w:t>项 电子商务平台经营者违反本法</w:t>
      </w:r>
      <w:r>
        <w:rPr>
          <w:color w:val="auto"/>
          <w:spacing w:val="-6"/>
          <w:sz w:val="24"/>
        </w:rPr>
        <w:t>规定，有下列行为之一的，由市场监督管理部门责令限期改正，可以处二万元以上十</w:t>
      </w:r>
      <w:r>
        <w:rPr>
          <w:color w:val="auto"/>
          <w:sz w:val="24"/>
        </w:rPr>
        <w:t>万元以下的罚款；情节严重的，处十万元以上五十万元以下的罚款：</w:t>
      </w:r>
    </w:p>
    <w:p>
      <w:pPr>
        <w:pStyle w:val="4"/>
        <w:spacing w:line="388" w:lineRule="auto"/>
        <w:ind w:right="213" w:firstLine="480"/>
        <w:rPr>
          <w:color w:val="auto"/>
        </w:rPr>
      </w:pPr>
      <w:r>
        <w:rPr>
          <w:color w:val="auto"/>
        </w:rPr>
        <w:t>（二）修改交易规则未在首页显著位置公开征求意见，未按照规定的时间提前公示修改内容，或者阻止平台内经营者退出的；</w:t>
      </w:r>
    </w:p>
    <w:p>
      <w:pPr>
        <w:pStyle w:val="13"/>
        <w:numPr>
          <w:ilvl w:val="0"/>
          <w:numId w:val="74"/>
        </w:numPr>
        <w:tabs>
          <w:tab w:val="left" w:pos="834"/>
        </w:tabs>
        <w:spacing w:before="1" w:after="0" w:line="388" w:lineRule="auto"/>
        <w:ind w:left="111" w:right="268" w:firstLine="480"/>
        <w:jc w:val="both"/>
        <w:rPr>
          <w:color w:val="auto"/>
          <w:sz w:val="24"/>
        </w:rPr>
      </w:pPr>
      <w:r>
        <w:rPr>
          <w:color w:val="auto"/>
          <w:sz w:val="24"/>
        </w:rPr>
        <w:t>《电子商务法》第三十四条 电子商务平台经营者修改平台服务协议和交易规</w:t>
      </w:r>
      <w:r>
        <w:rPr>
          <w:color w:val="auto"/>
          <w:spacing w:val="-7"/>
          <w:sz w:val="24"/>
        </w:rPr>
        <w:t>则，应当在其首页显著位置公开征求意见，采取合理措施确保有关各方能够及时充分</w:t>
      </w:r>
      <w:r>
        <w:rPr>
          <w:color w:val="auto"/>
          <w:sz w:val="24"/>
        </w:rPr>
        <w:t>表达意见。修改内容应当至少在实施前七日予以公示。</w:t>
      </w:r>
    </w:p>
    <w:p>
      <w:pPr>
        <w:pStyle w:val="4"/>
        <w:spacing w:before="6" w:line="388" w:lineRule="auto"/>
        <w:ind w:right="148" w:firstLine="480"/>
        <w:rPr>
          <w:color w:val="auto"/>
        </w:rPr>
      </w:pPr>
      <w:r>
        <w:rPr>
          <w:color w:val="auto"/>
          <w:spacing w:val="-11"/>
        </w:rPr>
        <w:t xml:space="preserve">平台内经营者不接受修改内容，要求退出平台的，电子商务平台经营者不得阻止， </w:t>
      </w:r>
      <w:r>
        <w:rPr>
          <w:color w:val="auto"/>
        </w:rPr>
        <w:t>并按照修改前的服务协议和交易规则承担相关责任。</w:t>
      </w:r>
    </w:p>
    <w:p>
      <w:pPr>
        <w:pStyle w:val="2"/>
        <w:spacing w:before="2"/>
        <w:rPr>
          <w:color w:val="auto"/>
        </w:rPr>
      </w:pPr>
      <w:r>
        <w:rPr>
          <w:color w:val="auto"/>
        </w:rPr>
        <w:t>（二）裁量标准</w:t>
      </w:r>
    </w:p>
    <w:p>
      <w:pPr>
        <w:pStyle w:val="13"/>
        <w:numPr>
          <w:ilvl w:val="0"/>
          <w:numId w:val="75"/>
        </w:numPr>
        <w:tabs>
          <w:tab w:val="left" w:pos="833"/>
        </w:tabs>
        <w:spacing w:before="39" w:after="0" w:line="240" w:lineRule="auto"/>
        <w:ind w:left="832" w:right="0" w:hanging="242"/>
        <w:jc w:val="left"/>
        <w:rPr>
          <w:color w:val="auto"/>
          <w:sz w:val="24"/>
        </w:rPr>
      </w:pPr>
      <w:r>
        <w:rPr>
          <w:color w:val="auto"/>
          <w:sz w:val="24"/>
        </w:rPr>
        <w:t>【较轻】</w:t>
      </w:r>
    </w:p>
    <w:p>
      <w:pPr>
        <w:pStyle w:val="4"/>
        <w:spacing w:before="195" w:line="388" w:lineRule="auto"/>
        <w:ind w:right="268" w:firstLine="480"/>
        <w:jc w:val="both"/>
        <w:rPr>
          <w:color w:val="auto"/>
        </w:rPr>
      </w:pPr>
      <w:r>
        <w:rPr>
          <w:color w:val="auto"/>
          <w:spacing w:val="-3"/>
        </w:rPr>
        <w:t>电子商务平台经营者修改交易规则公开征求了意见但公开未在首页显著位置，或</w:t>
      </w:r>
      <w:r>
        <w:rPr>
          <w:color w:val="auto"/>
          <w:spacing w:val="-4"/>
        </w:rPr>
        <w:t>修改内容实施前公示时间少于七日的，责令限期改正，可以处二万元以下五万元以下</w:t>
      </w:r>
      <w:r>
        <w:rPr>
          <w:color w:val="auto"/>
        </w:rPr>
        <w:t>罚款。</w:t>
      </w:r>
    </w:p>
    <w:p>
      <w:pPr>
        <w:pStyle w:val="13"/>
        <w:numPr>
          <w:ilvl w:val="0"/>
          <w:numId w:val="75"/>
        </w:numPr>
        <w:tabs>
          <w:tab w:val="left" w:pos="833"/>
        </w:tabs>
        <w:spacing w:before="5" w:after="0" w:line="240" w:lineRule="auto"/>
        <w:ind w:left="832" w:right="0" w:hanging="242"/>
        <w:jc w:val="left"/>
        <w:rPr>
          <w:color w:val="auto"/>
          <w:sz w:val="24"/>
        </w:rPr>
      </w:pPr>
      <w:r>
        <w:rPr>
          <w:color w:val="auto"/>
          <w:sz w:val="24"/>
        </w:rPr>
        <w:t>【一般】</w:t>
      </w:r>
    </w:p>
    <w:p>
      <w:pPr>
        <w:pStyle w:val="4"/>
        <w:spacing w:before="192" w:line="391" w:lineRule="auto"/>
        <w:ind w:right="268" w:firstLine="480"/>
        <w:jc w:val="both"/>
        <w:rPr>
          <w:color w:val="auto"/>
        </w:rPr>
      </w:pPr>
      <w:r>
        <w:rPr>
          <w:color w:val="auto"/>
          <w:spacing w:val="-3"/>
        </w:rPr>
        <w:t>电子商务平台经营者修改交易规则未公开征求意见，或未提前公示修改内容，或者阻止不接受修改内容的平台内经营者退出的，责令限期改正，可以处五万元以上十</w:t>
      </w:r>
      <w:r>
        <w:rPr>
          <w:color w:val="auto"/>
        </w:rPr>
        <w:t>万元以下罚款。</w:t>
      </w:r>
    </w:p>
    <w:p>
      <w:pPr>
        <w:pStyle w:val="13"/>
        <w:numPr>
          <w:ilvl w:val="0"/>
          <w:numId w:val="75"/>
        </w:numPr>
        <w:tabs>
          <w:tab w:val="left" w:pos="833"/>
        </w:tabs>
        <w:spacing w:before="0" w:after="0" w:line="304" w:lineRule="exact"/>
        <w:ind w:left="832" w:right="0" w:hanging="242"/>
        <w:jc w:val="left"/>
        <w:rPr>
          <w:color w:val="auto"/>
          <w:sz w:val="24"/>
        </w:rPr>
      </w:pPr>
      <w:r>
        <w:rPr>
          <w:color w:val="auto"/>
          <w:sz w:val="24"/>
        </w:rPr>
        <w:t>【严重】</w:t>
      </w:r>
    </w:p>
    <w:p>
      <w:pPr>
        <w:pStyle w:val="4"/>
        <w:spacing w:before="192" w:line="391" w:lineRule="auto"/>
        <w:ind w:right="268" w:firstLine="480"/>
        <w:jc w:val="both"/>
        <w:rPr>
          <w:color w:val="auto"/>
        </w:rPr>
      </w:pPr>
      <w:r>
        <w:rPr>
          <w:color w:val="auto"/>
          <w:spacing w:val="-3"/>
        </w:rPr>
        <w:t>电子商务平台经营者修改交易规则未依照规定公开征求意见，或未依照规定提前</w:t>
      </w:r>
      <w:r>
        <w:rPr>
          <w:color w:val="auto"/>
          <w:spacing w:val="-5"/>
        </w:rPr>
        <w:t>公示修改内容，或者阻止不接受修改内容的平台内经营者退出，责令限期改正后，期</w:t>
      </w:r>
      <w:r>
        <w:rPr>
          <w:color w:val="auto"/>
        </w:rPr>
        <w:t>满仍未改正的，处十万元以上五十万元以下罚款。</w:t>
      </w:r>
    </w:p>
    <w:p>
      <w:pPr>
        <w:pStyle w:val="2"/>
        <w:spacing w:line="391" w:lineRule="auto"/>
        <w:ind w:left="111" w:right="237" w:firstLine="480"/>
        <w:rPr>
          <w:color w:val="auto"/>
        </w:rPr>
      </w:pPr>
      <w:bookmarkStart w:id="225" w:name="_bookmark112"/>
      <w:bookmarkEnd w:id="225"/>
      <w:bookmarkStart w:id="226" w:name="一百一十、电子商务平台经营者未以显著方式区分标记自营业务和平台内经营者开展的业务"/>
      <w:bookmarkEnd w:id="226"/>
      <w:r>
        <w:rPr>
          <w:color w:val="auto"/>
          <w:spacing w:val="-9"/>
        </w:rPr>
        <w:t>一百一十、电子商务平台经营者未以显著方式区分标记自营业务和平台内经营者开展的业务</w:t>
      </w:r>
    </w:p>
    <w:p>
      <w:pPr>
        <w:spacing w:before="0" w:line="306" w:lineRule="exact"/>
        <w:ind w:left="591" w:right="0" w:firstLine="0"/>
        <w:jc w:val="left"/>
        <w:rPr>
          <w:b/>
          <w:color w:val="auto"/>
          <w:sz w:val="24"/>
        </w:rPr>
      </w:pPr>
      <w:r>
        <w:rPr>
          <w:b/>
          <w:color w:val="auto"/>
          <w:sz w:val="24"/>
        </w:rPr>
        <w:t>（一）处罚依据</w:t>
      </w:r>
    </w:p>
    <w:p>
      <w:pPr>
        <w:pStyle w:val="13"/>
        <w:numPr>
          <w:ilvl w:val="0"/>
          <w:numId w:val="76"/>
        </w:numPr>
        <w:tabs>
          <w:tab w:val="left" w:pos="833"/>
        </w:tabs>
        <w:spacing w:before="188" w:after="0" w:line="391" w:lineRule="auto"/>
        <w:ind w:left="111" w:right="268" w:firstLine="480"/>
        <w:jc w:val="both"/>
        <w:rPr>
          <w:color w:val="auto"/>
          <w:sz w:val="24"/>
        </w:rPr>
      </w:pPr>
      <w:r>
        <w:rPr>
          <w:color w:val="auto"/>
          <w:spacing w:val="-3"/>
          <w:sz w:val="24"/>
        </w:rPr>
        <w:t>《电子商务法》第八十一条第一款第</w:t>
      </w:r>
      <w:r>
        <w:rPr>
          <w:color w:val="auto"/>
          <w:sz w:val="24"/>
        </w:rPr>
        <w:t>（三</w:t>
      </w:r>
      <w:r>
        <w:rPr>
          <w:color w:val="auto"/>
          <w:spacing w:val="-10"/>
          <w:sz w:val="24"/>
        </w:rPr>
        <w:t>）</w:t>
      </w:r>
      <w:r>
        <w:rPr>
          <w:color w:val="auto"/>
          <w:spacing w:val="4"/>
          <w:sz w:val="24"/>
        </w:rPr>
        <w:t>项 电子商务平台经营者违反本法</w:t>
      </w:r>
      <w:r>
        <w:rPr>
          <w:color w:val="auto"/>
          <w:spacing w:val="-6"/>
          <w:sz w:val="24"/>
        </w:rPr>
        <w:t>规定，有下列行为之一的，由市场监督管理部门责令限期改正，可以处二万元以上十</w:t>
      </w:r>
      <w:r>
        <w:rPr>
          <w:color w:val="auto"/>
          <w:sz w:val="24"/>
        </w:rPr>
        <w:t>万元以下的罚款；情节严重的，处十万元以上五十万元以下的罚款：</w:t>
      </w:r>
    </w:p>
    <w:p>
      <w:pPr>
        <w:pStyle w:val="4"/>
        <w:spacing w:line="304" w:lineRule="exact"/>
        <w:ind w:left="591"/>
        <w:rPr>
          <w:color w:val="auto"/>
        </w:rPr>
      </w:pPr>
      <w:r>
        <w:rPr>
          <w:color w:val="auto"/>
        </w:rPr>
        <w:t>（三）未以显著方式区分标记自营业务和平台内经营者开展的业务的；</w:t>
      </w:r>
    </w:p>
    <w:p>
      <w:pPr>
        <w:pStyle w:val="13"/>
        <w:numPr>
          <w:ilvl w:val="0"/>
          <w:numId w:val="76"/>
        </w:numPr>
        <w:tabs>
          <w:tab w:val="left" w:pos="833"/>
        </w:tabs>
        <w:spacing w:before="194" w:after="0" w:line="388" w:lineRule="auto"/>
        <w:ind w:left="111" w:right="148" w:firstLine="480"/>
        <w:jc w:val="left"/>
        <w:rPr>
          <w:color w:val="auto"/>
          <w:sz w:val="24"/>
        </w:rPr>
      </w:pPr>
      <w:r>
        <w:rPr>
          <w:color w:val="auto"/>
          <w:spacing w:val="-4"/>
          <w:sz w:val="24"/>
        </w:rPr>
        <w:t xml:space="preserve">《电子商务法》第三十七条 电子商务平台经营者在其平台上开展自营业务的， </w:t>
      </w:r>
      <w:r>
        <w:rPr>
          <w:color w:val="auto"/>
          <w:sz w:val="24"/>
        </w:rPr>
        <w:t>应当以显著方式区分标记自营业务和平台内经营者开展的业务，不得误导消费者。</w:t>
      </w:r>
    </w:p>
    <w:p>
      <w:pPr>
        <w:pStyle w:val="4"/>
        <w:spacing w:before="2" w:line="391" w:lineRule="auto"/>
        <w:ind w:right="269" w:firstLine="480"/>
        <w:rPr>
          <w:color w:val="auto"/>
        </w:rPr>
      </w:pPr>
      <w:r>
        <w:rPr>
          <w:color w:val="auto"/>
          <w:spacing w:val="3"/>
        </w:rPr>
        <w:t>电子商务平台经营者对其标记为自营的业务依法承担商品销售者或者服务提供者的民事责任。</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88" w:lineRule="auto"/>
        <w:ind w:right="213" w:firstLine="480"/>
        <w:rPr>
          <w:color w:val="auto"/>
        </w:rPr>
      </w:pPr>
      <w:r>
        <w:rPr>
          <w:color w:val="auto"/>
        </w:rPr>
        <w:t>区分标记了自营业务和平台内经营者开展的业务，但方式不显著的，责令限期改正，可以处二万元以下五万元以下罚款。</w:t>
      </w:r>
    </w:p>
    <w:p>
      <w:pPr>
        <w:pStyle w:val="13"/>
        <w:numPr>
          <w:ilvl w:val="0"/>
          <w:numId w:val="77"/>
        </w:numPr>
        <w:tabs>
          <w:tab w:val="left" w:pos="833"/>
        </w:tabs>
        <w:spacing w:before="2" w:after="0" w:line="240" w:lineRule="auto"/>
        <w:ind w:left="832" w:right="0" w:hanging="242"/>
        <w:jc w:val="left"/>
        <w:rPr>
          <w:color w:val="auto"/>
          <w:sz w:val="24"/>
        </w:rPr>
      </w:pPr>
      <w:r>
        <w:rPr>
          <w:color w:val="auto"/>
          <w:sz w:val="24"/>
        </w:rPr>
        <w:t>【一般】</w:t>
      </w:r>
    </w:p>
    <w:p>
      <w:pPr>
        <w:pStyle w:val="4"/>
        <w:spacing w:before="39" w:line="391" w:lineRule="auto"/>
        <w:ind w:right="213" w:firstLine="480"/>
        <w:rPr>
          <w:color w:val="auto"/>
        </w:rPr>
      </w:pPr>
      <w:r>
        <w:rPr>
          <w:color w:val="auto"/>
        </w:rPr>
        <w:t>未区分标记自营业务和平台内经营者开展的业务的，责令限期改正，可以处五万元以上十万元以下罚款。</w:t>
      </w:r>
    </w:p>
    <w:p>
      <w:pPr>
        <w:pStyle w:val="13"/>
        <w:numPr>
          <w:ilvl w:val="0"/>
          <w:numId w:val="77"/>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未依照规定区分标记自营业务和平台内经营者开展的业务，责令限期改正后，期满仍未改正的，处十万元以上五十万元以下罚款。</w:t>
      </w:r>
    </w:p>
    <w:p>
      <w:pPr>
        <w:pStyle w:val="2"/>
        <w:spacing w:line="388" w:lineRule="auto"/>
        <w:ind w:left="111" w:right="237" w:firstLine="480"/>
        <w:rPr>
          <w:color w:val="auto"/>
        </w:rPr>
      </w:pPr>
      <w:bookmarkStart w:id="227" w:name="一百一十一、电子商务平台经营者未为消费者提供对平台内销售的商品或者提供的服务进行"/>
      <w:bookmarkEnd w:id="227"/>
      <w:bookmarkStart w:id="228" w:name="_bookmark113"/>
      <w:bookmarkEnd w:id="228"/>
      <w:r>
        <w:rPr>
          <w:color w:val="auto"/>
          <w:spacing w:val="-9"/>
        </w:rPr>
        <w:t>一百一十一、电子商务平台经营者未为消费者提供对平台内销售的商品或者提供的服务进行评价的途径，或者擅自删除消费者的评价</w:t>
      </w:r>
    </w:p>
    <w:p>
      <w:pPr>
        <w:spacing w:before="3"/>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3"/>
        </w:rPr>
        <w:t>《电子商务法》第八十一条第一款第</w:t>
      </w:r>
      <w:r>
        <w:rPr>
          <w:color w:val="auto"/>
        </w:rPr>
        <w:t>（四</w:t>
      </w:r>
      <w:r>
        <w:rPr>
          <w:color w:val="auto"/>
          <w:spacing w:val="-12"/>
        </w:rPr>
        <w:t>）</w:t>
      </w:r>
      <w:r>
        <w:rPr>
          <w:color w:val="auto"/>
          <w:spacing w:val="-2"/>
        </w:rPr>
        <w:t>项 电子商务平台经营者违反本法规</w:t>
      </w:r>
      <w:r>
        <w:rPr>
          <w:color w:val="auto"/>
          <w:spacing w:val="-6"/>
        </w:rPr>
        <w:t>定，有下列行为之一的，由市场监督管理部门责令限期改正，可以处二万元以上十万</w:t>
      </w:r>
      <w:r>
        <w:rPr>
          <w:color w:val="auto"/>
        </w:rPr>
        <w:t>元以下的罚款；情节严重的，处十万元以上五十万元以下的罚款：</w:t>
      </w:r>
    </w:p>
    <w:p>
      <w:pPr>
        <w:pStyle w:val="4"/>
        <w:spacing w:line="388" w:lineRule="auto"/>
        <w:ind w:right="213" w:firstLine="480"/>
        <w:rPr>
          <w:color w:val="auto"/>
        </w:rPr>
      </w:pPr>
      <w:r>
        <w:rPr>
          <w:color w:val="auto"/>
        </w:rPr>
        <w:t>（四）未为消费者提供对平台内销售的商品或者提供的服务进行评价的途径，或者擅自删除消费者的评价的。</w:t>
      </w:r>
    </w:p>
    <w:p>
      <w:pPr>
        <w:spacing w:before="1"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13" w:firstLine="480"/>
        <w:rPr>
          <w:color w:val="auto"/>
        </w:rPr>
      </w:pPr>
      <w:r>
        <w:rPr>
          <w:color w:val="auto"/>
        </w:rPr>
        <w:t>未为消费者提供对平台内销售的商品或者提供的服务进行评价的途径的，责令限期改正，可以处二万元以上五万元以下罚款。</w:t>
      </w:r>
    </w:p>
    <w:p>
      <w:pPr>
        <w:pStyle w:val="13"/>
        <w:numPr>
          <w:ilvl w:val="0"/>
          <w:numId w:val="78"/>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268" w:firstLine="480"/>
        <w:jc w:val="both"/>
        <w:rPr>
          <w:color w:val="auto"/>
        </w:rPr>
      </w:pPr>
      <w:r>
        <w:rPr>
          <w:color w:val="auto"/>
          <w:spacing w:val="-3"/>
        </w:rPr>
        <w:t>未为消费者提供对平台内销售的商品或者提供的服务进行评价的途径，责令限期</w:t>
      </w:r>
      <w:r>
        <w:rPr>
          <w:color w:val="auto"/>
          <w:spacing w:val="-7"/>
        </w:rPr>
        <w:t>改正后、期满仍未改正的，或者擅自删除消费者对平台内销售的商品或者提供的服务</w:t>
      </w:r>
      <w:r>
        <w:rPr>
          <w:color w:val="auto"/>
        </w:rPr>
        <w:t>的评价的，责令限期改正，可以处五万元以上十万元以下罚款。</w:t>
      </w:r>
    </w:p>
    <w:p>
      <w:pPr>
        <w:pStyle w:val="13"/>
        <w:numPr>
          <w:ilvl w:val="0"/>
          <w:numId w:val="78"/>
        </w:numPr>
        <w:tabs>
          <w:tab w:val="left" w:pos="833"/>
        </w:tabs>
        <w:spacing w:before="0" w:after="0" w:line="304" w:lineRule="exact"/>
        <w:ind w:left="832" w:right="0" w:hanging="242"/>
        <w:jc w:val="left"/>
        <w:rPr>
          <w:color w:val="auto"/>
          <w:sz w:val="24"/>
        </w:rPr>
      </w:pPr>
      <w:r>
        <w:rPr>
          <w:color w:val="auto"/>
          <w:sz w:val="24"/>
        </w:rPr>
        <w:t>【严重】</w:t>
      </w:r>
    </w:p>
    <w:p>
      <w:pPr>
        <w:pStyle w:val="4"/>
        <w:spacing w:before="194" w:line="391" w:lineRule="auto"/>
        <w:ind w:right="268" w:firstLine="480"/>
        <w:jc w:val="both"/>
        <w:rPr>
          <w:color w:val="auto"/>
        </w:rPr>
      </w:pPr>
      <w:r>
        <w:rPr>
          <w:color w:val="auto"/>
          <w:spacing w:val="-3"/>
        </w:rPr>
        <w:t>未为消费者提供对平台内销售的商品或者提供的服务进行评价的途径，二次及以</w:t>
      </w:r>
      <w:r>
        <w:rPr>
          <w:color w:val="auto"/>
          <w:spacing w:val="-5"/>
        </w:rPr>
        <w:t>上责令限期改正后、期满仍未改正的，或者擅自删除消费者对平台内销售的商品或者提供的服务的评价，责令限期改正后、期满仍未改正的，处十万元以上五十万元以下</w:t>
      </w:r>
      <w:r>
        <w:rPr>
          <w:color w:val="auto"/>
        </w:rPr>
        <w:t>罚款。</w:t>
      </w:r>
    </w:p>
    <w:p>
      <w:pPr>
        <w:pStyle w:val="2"/>
        <w:spacing w:line="388" w:lineRule="auto"/>
        <w:ind w:left="111" w:right="237" w:firstLine="480"/>
        <w:rPr>
          <w:color w:val="auto"/>
        </w:rPr>
      </w:pPr>
      <w:bookmarkStart w:id="229" w:name="一百一十二、电子商务平台经营者对平台内交易进行不合理限制或者附加不合理条件，或者"/>
      <w:bookmarkEnd w:id="229"/>
      <w:bookmarkStart w:id="230" w:name="_bookmark114"/>
      <w:bookmarkEnd w:id="230"/>
      <w:r>
        <w:rPr>
          <w:color w:val="auto"/>
          <w:spacing w:val="-9"/>
        </w:rPr>
        <w:t>一百一十二、电子商务平台经营者对平台内交易进行不合理限制或者附加不合理条件，或者收取不合理费用</w:t>
      </w:r>
    </w:p>
    <w:p>
      <w:pPr>
        <w:spacing w:before="39"/>
        <w:ind w:left="591" w:right="0" w:firstLine="0"/>
        <w:jc w:val="left"/>
        <w:rPr>
          <w:b/>
          <w:color w:val="auto"/>
          <w:sz w:val="24"/>
        </w:rPr>
      </w:pPr>
      <w:r>
        <w:rPr>
          <w:b/>
          <w:color w:val="auto"/>
          <w:sz w:val="24"/>
        </w:rPr>
        <w:t>（一）处罚依据</w:t>
      </w:r>
    </w:p>
    <w:p>
      <w:pPr>
        <w:pStyle w:val="13"/>
        <w:numPr>
          <w:ilvl w:val="0"/>
          <w:numId w:val="79"/>
        </w:numPr>
        <w:tabs>
          <w:tab w:val="left" w:pos="834"/>
        </w:tabs>
        <w:spacing w:before="195" w:after="0" w:line="391" w:lineRule="auto"/>
        <w:ind w:left="111" w:right="268" w:firstLine="480"/>
        <w:jc w:val="both"/>
        <w:rPr>
          <w:color w:val="auto"/>
          <w:sz w:val="24"/>
        </w:rPr>
      </w:pPr>
      <w:r>
        <w:rPr>
          <w:color w:val="auto"/>
          <w:sz w:val="24"/>
        </w:rPr>
        <w:t xml:space="preserve">《电子商务法》第八十二条 电子商务平台经营者违反本法第三十五条规定， </w:t>
      </w:r>
      <w:r>
        <w:rPr>
          <w:color w:val="auto"/>
          <w:spacing w:val="-4"/>
          <w:sz w:val="24"/>
        </w:rPr>
        <w:t>对平台内经营者在平台内的交易、交易价格或者与其他经营者的交易等进行不合理限制或者附加不合理条件，或者向平台内经营者收取不合理费用的，由市场监督管理部</w:t>
      </w:r>
      <w:r>
        <w:rPr>
          <w:color w:val="auto"/>
          <w:spacing w:val="-5"/>
          <w:sz w:val="24"/>
        </w:rPr>
        <w:t>门责令限期改正，可以处五万元以上五十万元以下的罚款；情节严重的，处五十万元</w:t>
      </w:r>
      <w:r>
        <w:rPr>
          <w:color w:val="auto"/>
          <w:sz w:val="24"/>
        </w:rPr>
        <w:t>以上二百万元以下的罚款。</w:t>
      </w:r>
    </w:p>
    <w:p>
      <w:pPr>
        <w:pStyle w:val="13"/>
        <w:numPr>
          <w:ilvl w:val="0"/>
          <w:numId w:val="79"/>
        </w:numPr>
        <w:tabs>
          <w:tab w:val="left" w:pos="834"/>
        </w:tabs>
        <w:spacing w:before="0" w:after="0" w:line="391" w:lineRule="auto"/>
        <w:ind w:left="111" w:right="232" w:firstLine="480"/>
        <w:jc w:val="both"/>
        <w:rPr>
          <w:color w:val="auto"/>
          <w:sz w:val="24"/>
        </w:rPr>
      </w:pPr>
      <w:r>
        <w:rPr>
          <w:color w:val="auto"/>
          <w:sz w:val="24"/>
        </w:rPr>
        <w:t>《电子商务法》第三十五条 电子商务平台经营者不得利用服务协议、交易规</w:t>
      </w:r>
      <w:r>
        <w:rPr>
          <w:color w:val="auto"/>
          <w:spacing w:val="-4"/>
          <w:sz w:val="24"/>
        </w:rPr>
        <w:t>则以及技术等手段，对平台内经营者在平台内的交易、交易价格以及与其他经营者的</w:t>
      </w:r>
      <w:r>
        <w:rPr>
          <w:color w:val="auto"/>
          <w:spacing w:val="-5"/>
          <w:sz w:val="24"/>
        </w:rPr>
        <w:t>交易等进行不合理限制或者附加不合理条件，或者向平台内经营者收取不合理费用。</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4"/>
        </w:rPr>
        <w:t>对平台内经营者在平台内的交易、交易价格或者与其他经营者的交易等进行不合理限制或者附加不合理条件的，责令限期改正，可以处五万元以上二十五万元以下罚</w:t>
      </w:r>
      <w:r>
        <w:rPr>
          <w:color w:val="auto"/>
        </w:rPr>
        <w:t>款。</w:t>
      </w:r>
    </w:p>
    <w:p>
      <w:pPr>
        <w:pStyle w:val="13"/>
        <w:numPr>
          <w:ilvl w:val="0"/>
          <w:numId w:val="80"/>
        </w:numPr>
        <w:tabs>
          <w:tab w:val="left" w:pos="833"/>
        </w:tabs>
        <w:spacing w:before="0" w:after="0" w:line="304" w:lineRule="exact"/>
        <w:ind w:left="832" w:right="0" w:hanging="242"/>
        <w:jc w:val="left"/>
        <w:rPr>
          <w:color w:val="auto"/>
          <w:sz w:val="24"/>
        </w:rPr>
      </w:pPr>
      <w:r>
        <w:rPr>
          <w:color w:val="auto"/>
          <w:sz w:val="24"/>
        </w:rPr>
        <w:t>【一般】</w:t>
      </w:r>
    </w:p>
    <w:p>
      <w:pPr>
        <w:pStyle w:val="4"/>
        <w:spacing w:before="178" w:line="391" w:lineRule="auto"/>
        <w:ind w:right="268" w:firstLine="480"/>
        <w:jc w:val="both"/>
        <w:rPr>
          <w:color w:val="auto"/>
        </w:rPr>
      </w:pPr>
      <w:r>
        <w:rPr>
          <w:color w:val="auto"/>
          <w:spacing w:val="-4"/>
        </w:rPr>
        <w:t>对平台内经营者在平台内的交易、交易价格或者与其他经营者的交易等进行不合理限制或者附加不合理条件，责令限期改正后、期满仍未改正的，或者向平台内经营</w:t>
      </w:r>
      <w:r>
        <w:rPr>
          <w:color w:val="auto"/>
        </w:rPr>
        <w:t>者收取不合理费用的，责令限期改正，可以处二十五万元以上五十万元以下罚款。</w:t>
      </w:r>
    </w:p>
    <w:p>
      <w:pPr>
        <w:pStyle w:val="13"/>
        <w:numPr>
          <w:ilvl w:val="0"/>
          <w:numId w:val="80"/>
        </w:numPr>
        <w:tabs>
          <w:tab w:val="left" w:pos="833"/>
        </w:tabs>
        <w:spacing w:before="0" w:after="0" w:line="304" w:lineRule="exact"/>
        <w:ind w:left="832" w:right="0" w:hanging="242"/>
        <w:jc w:val="left"/>
        <w:rPr>
          <w:color w:val="auto"/>
          <w:sz w:val="24"/>
        </w:rPr>
      </w:pPr>
      <w:r>
        <w:rPr>
          <w:color w:val="auto"/>
          <w:sz w:val="24"/>
        </w:rPr>
        <w:t>【严重】</w:t>
      </w:r>
    </w:p>
    <w:p>
      <w:pPr>
        <w:pStyle w:val="4"/>
        <w:spacing w:before="194" w:line="391" w:lineRule="auto"/>
        <w:ind w:right="268" w:firstLine="480"/>
        <w:jc w:val="both"/>
        <w:rPr>
          <w:color w:val="auto"/>
        </w:rPr>
      </w:pPr>
      <w:r>
        <w:rPr>
          <w:color w:val="auto"/>
          <w:spacing w:val="-4"/>
        </w:rPr>
        <w:t>对平台内经营者在平台内的交易、交易价格或者与其他经营者的交易等进行不合理限制或者附加不合理条件，二次及以上责令限期改正后、期满仍未改正的，或者向平台内经营者收取不合理费用，责令限期改正后、期满仍未改正的，处五十万元以上</w:t>
      </w:r>
      <w:r>
        <w:rPr>
          <w:color w:val="auto"/>
        </w:rPr>
        <w:t>二百万元以下罚款。</w:t>
      </w:r>
    </w:p>
    <w:p>
      <w:pPr>
        <w:pStyle w:val="2"/>
        <w:spacing w:line="388" w:lineRule="auto"/>
        <w:ind w:left="111" w:right="170" w:firstLine="480"/>
        <w:rPr>
          <w:color w:val="auto"/>
        </w:rPr>
      </w:pPr>
      <w:bookmarkStart w:id="231" w:name="一百一十三、电子商务平台经营者对侵害消费者合法权益行为未采取必要措施，或者对平台"/>
      <w:bookmarkEnd w:id="231"/>
      <w:bookmarkStart w:id="232" w:name="_bookmark115"/>
      <w:bookmarkEnd w:id="232"/>
      <w:r>
        <w:rPr>
          <w:color w:val="auto"/>
        </w:rPr>
        <w:t>一百一十三、电子商务平台经营者对侵害消费者合法权益行为未采取必要措施， 或者对平台内经营者未尽到资质资格审核义务，或者对消费者未尽到安全保障义务</w:t>
      </w:r>
    </w:p>
    <w:p>
      <w:pPr>
        <w:spacing w:before="0"/>
        <w:ind w:left="591" w:right="0" w:firstLine="0"/>
        <w:jc w:val="left"/>
        <w:rPr>
          <w:b/>
          <w:color w:val="auto"/>
          <w:sz w:val="24"/>
        </w:rPr>
      </w:pPr>
      <w:r>
        <w:rPr>
          <w:b/>
          <w:color w:val="auto"/>
          <w:sz w:val="24"/>
        </w:rPr>
        <w:t>（一）处罚依据</w:t>
      </w:r>
    </w:p>
    <w:p>
      <w:pPr>
        <w:pStyle w:val="13"/>
        <w:numPr>
          <w:ilvl w:val="0"/>
          <w:numId w:val="81"/>
        </w:numPr>
        <w:tabs>
          <w:tab w:val="left" w:pos="834"/>
        </w:tabs>
        <w:spacing w:before="191" w:after="0" w:line="388" w:lineRule="auto"/>
        <w:ind w:left="111" w:right="268" w:firstLine="480"/>
        <w:jc w:val="left"/>
        <w:rPr>
          <w:color w:val="auto"/>
        </w:rPr>
      </w:pPr>
      <w:r>
        <w:rPr>
          <w:color w:val="auto"/>
          <w:sz w:val="24"/>
        </w:rPr>
        <w:t xml:space="preserve">《电子商务法》第八十三条 电子商务平台经营者违反本法第三十八条规定， </w:t>
      </w:r>
      <w:r>
        <w:rPr>
          <w:color w:val="auto"/>
          <w:spacing w:val="-3"/>
          <w:sz w:val="24"/>
        </w:rPr>
        <w:t>对平台内经营者侵害消费者合法权益行为未采取必要措施，或者对平台内经营者未尽</w:t>
      </w:r>
      <w:r>
        <w:rPr>
          <w:color w:val="auto"/>
        </w:rPr>
        <w:t>到资质资格审核义务，或者对消费者未尽到安全保障义务的，由市场监督管理部门责令限期改正，可以处五万元以上五十万元以下的罚款；情节严重的，责令停业整顿， 并处五十万元以上二百万元以下的罚款。</w:t>
      </w:r>
    </w:p>
    <w:p>
      <w:pPr>
        <w:pStyle w:val="13"/>
        <w:numPr>
          <w:ilvl w:val="0"/>
          <w:numId w:val="81"/>
        </w:numPr>
        <w:tabs>
          <w:tab w:val="left" w:pos="834"/>
        </w:tabs>
        <w:spacing w:before="0" w:after="0" w:line="391" w:lineRule="auto"/>
        <w:ind w:left="111" w:right="268" w:firstLine="480"/>
        <w:jc w:val="both"/>
        <w:rPr>
          <w:color w:val="auto"/>
          <w:sz w:val="24"/>
        </w:rPr>
      </w:pPr>
      <w:r>
        <w:rPr>
          <w:color w:val="auto"/>
          <w:sz w:val="24"/>
        </w:rPr>
        <w:t>《电子商务法》第三十八条 电子商务平台经营者知道或者应当知道平台内经</w:t>
      </w:r>
      <w:r>
        <w:rPr>
          <w:color w:val="auto"/>
          <w:spacing w:val="-3"/>
          <w:sz w:val="24"/>
        </w:rPr>
        <w:t>营者销售的商品或者提供的服务不符合保障人身、财产安全的要求，或者有其他侵害</w:t>
      </w:r>
      <w:r>
        <w:rPr>
          <w:color w:val="auto"/>
          <w:sz w:val="24"/>
        </w:rPr>
        <w:t>消费者合法权益行为，未采取必要措施的，依法与该平台内经营者承担连带责任。</w:t>
      </w:r>
    </w:p>
    <w:p>
      <w:pPr>
        <w:pStyle w:val="4"/>
        <w:spacing w:line="391" w:lineRule="auto"/>
        <w:ind w:right="232" w:firstLine="480"/>
        <w:jc w:val="both"/>
        <w:rPr>
          <w:color w:val="auto"/>
        </w:rPr>
      </w:pPr>
      <w:r>
        <w:rPr>
          <w:color w:val="auto"/>
        </w:rPr>
        <w:t>对关系消费者生命健康的商品或者服务，电子商务平台经营者对平台内经营者的资质资格未尽到审核义务，或者对消费者未尽到安全保障义务，造成消费者损害的， 依法承担相应的责任。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3"/>
        </w:rPr>
        <w:t>知道或者应当知道平台内经营者销售的商品或者提供的服务不符合保障人身、财产安全的要求或者有其他侵害消费者合法权益行为，未采取必要措施的，责令限期改</w:t>
      </w:r>
      <w:r>
        <w:rPr>
          <w:color w:val="auto"/>
        </w:rPr>
        <w:t>正，可以处五万元以上二十五万元以下罚款。</w:t>
      </w:r>
    </w:p>
    <w:p>
      <w:pPr>
        <w:pStyle w:val="13"/>
        <w:numPr>
          <w:ilvl w:val="0"/>
          <w:numId w:val="82"/>
        </w:numPr>
        <w:tabs>
          <w:tab w:val="left" w:pos="833"/>
        </w:tabs>
        <w:spacing w:before="0" w:after="0" w:line="304" w:lineRule="exact"/>
        <w:ind w:left="832" w:right="0" w:hanging="242"/>
        <w:jc w:val="left"/>
        <w:rPr>
          <w:color w:val="auto"/>
          <w:sz w:val="24"/>
        </w:rPr>
      </w:pPr>
      <w:r>
        <w:rPr>
          <w:color w:val="auto"/>
          <w:sz w:val="24"/>
        </w:rPr>
        <w:t>【一般】</w:t>
      </w:r>
    </w:p>
    <w:p>
      <w:pPr>
        <w:pStyle w:val="4"/>
        <w:spacing w:before="180" w:line="391" w:lineRule="auto"/>
        <w:ind w:right="268" w:firstLine="480"/>
        <w:jc w:val="both"/>
        <w:rPr>
          <w:color w:val="auto"/>
        </w:rPr>
      </w:pPr>
      <w:r>
        <w:rPr>
          <w:color w:val="auto"/>
          <w:spacing w:val="-3"/>
        </w:rPr>
        <w:t>对关系消费者生命健康的商品或者服务，对平台内经营者的资质资格未尽到审核</w:t>
      </w:r>
      <w:r>
        <w:rPr>
          <w:color w:val="auto"/>
          <w:spacing w:val="-6"/>
        </w:rPr>
        <w:t>义务，或者对消费者未尽到安全保障义务的，责令限期改正，可以处二十五万元以上</w:t>
      </w:r>
      <w:r>
        <w:rPr>
          <w:color w:val="auto"/>
        </w:rPr>
        <w:t>五十万元以下罚款。</w:t>
      </w:r>
    </w:p>
    <w:p>
      <w:pPr>
        <w:pStyle w:val="13"/>
        <w:numPr>
          <w:ilvl w:val="0"/>
          <w:numId w:val="82"/>
        </w:numPr>
        <w:tabs>
          <w:tab w:val="left" w:pos="833"/>
        </w:tabs>
        <w:spacing w:before="0" w:after="0" w:line="304" w:lineRule="exact"/>
        <w:ind w:left="832" w:right="0" w:hanging="242"/>
        <w:jc w:val="left"/>
        <w:rPr>
          <w:color w:val="auto"/>
          <w:sz w:val="24"/>
        </w:rPr>
      </w:pPr>
      <w:r>
        <w:rPr>
          <w:color w:val="auto"/>
          <w:sz w:val="24"/>
        </w:rPr>
        <w:t>【严重】</w:t>
      </w:r>
    </w:p>
    <w:p>
      <w:pPr>
        <w:pStyle w:val="4"/>
        <w:spacing w:before="194" w:line="391" w:lineRule="auto"/>
        <w:ind w:right="148" w:firstLine="480"/>
        <w:rPr>
          <w:color w:val="auto"/>
        </w:rPr>
      </w:pPr>
      <w:r>
        <w:rPr>
          <w:color w:val="auto"/>
          <w:spacing w:val="-2"/>
        </w:rPr>
        <w:t>知道或者应当知道平台内经营者销售的商品或者提供的服务不符合保障人身、财</w:t>
      </w:r>
      <w:r>
        <w:rPr>
          <w:color w:val="auto"/>
          <w:spacing w:val="-4"/>
        </w:rPr>
        <w:t>产安全的要求或者有其他侵害消费者合法权益行为，未采取必要措施，或者对关系消</w:t>
      </w:r>
      <w:r>
        <w:rPr>
          <w:color w:val="auto"/>
          <w:spacing w:val="-7"/>
        </w:rPr>
        <w:t>费者生命健康的商品或者服务，对平台内经营者的资质资格未尽到审核义务或者对消</w:t>
      </w:r>
      <w:r>
        <w:rPr>
          <w:color w:val="auto"/>
          <w:spacing w:val="-16"/>
        </w:rPr>
        <w:t>费者未尽到安全保障义务，造成消费者重大财产损失或人身伤亡的，或者责令改正后、</w:t>
      </w:r>
      <w:r>
        <w:rPr>
          <w:color w:val="auto"/>
        </w:rPr>
        <w:t>期满仍未改正的，责令停业整顿，并处五十万元以上二百万元以下罚款。</w:t>
      </w:r>
    </w:p>
    <w:p>
      <w:pPr>
        <w:pStyle w:val="2"/>
        <w:spacing w:line="300" w:lineRule="exact"/>
        <w:rPr>
          <w:color w:val="auto"/>
        </w:rPr>
      </w:pPr>
      <w:bookmarkStart w:id="233" w:name="一百一十四、电子商务平台经营者对实施侵犯知识产权行为未采取必要措施"/>
      <w:bookmarkEnd w:id="233"/>
      <w:bookmarkStart w:id="234" w:name="_bookmark116"/>
      <w:bookmarkEnd w:id="234"/>
      <w:r>
        <w:rPr>
          <w:color w:val="auto"/>
        </w:rPr>
        <w:t>一百一十四、电子商务平台经营者对实施侵犯知识产权行为未采取必要措施</w:t>
      </w:r>
    </w:p>
    <w:p>
      <w:pPr>
        <w:spacing w:before="194"/>
        <w:ind w:left="591" w:right="0" w:firstLine="0"/>
        <w:jc w:val="left"/>
        <w:rPr>
          <w:b/>
          <w:color w:val="auto"/>
          <w:sz w:val="24"/>
        </w:rPr>
      </w:pPr>
      <w:r>
        <w:rPr>
          <w:b/>
          <w:color w:val="auto"/>
          <w:sz w:val="24"/>
        </w:rPr>
        <w:t>（一）处罚依据</w:t>
      </w:r>
    </w:p>
    <w:p>
      <w:pPr>
        <w:pStyle w:val="13"/>
        <w:numPr>
          <w:ilvl w:val="0"/>
          <w:numId w:val="83"/>
        </w:numPr>
        <w:tabs>
          <w:tab w:val="left" w:pos="834"/>
        </w:tabs>
        <w:spacing w:before="191" w:after="0" w:line="388" w:lineRule="auto"/>
        <w:ind w:left="111" w:right="268" w:firstLine="480"/>
        <w:jc w:val="left"/>
        <w:rPr>
          <w:color w:val="auto"/>
          <w:sz w:val="24"/>
        </w:rPr>
      </w:pPr>
      <w:r>
        <w:rPr>
          <w:color w:val="auto"/>
          <w:sz w:val="24"/>
        </w:rPr>
        <w:t>《电子商务法》第八十四条 电子商务平台经营者违反本法第四十二条、第四</w:t>
      </w:r>
      <w:r>
        <w:rPr>
          <w:color w:val="auto"/>
          <w:spacing w:val="-6"/>
          <w:sz w:val="24"/>
        </w:rPr>
        <w:t>十五条规定，对平台内经营者实施侵犯知识产权行为未依法采取必要措施的，由有关</w:t>
      </w:r>
    </w:p>
    <w:p>
      <w:pPr>
        <w:pStyle w:val="4"/>
        <w:spacing w:before="39" w:line="391" w:lineRule="auto"/>
        <w:ind w:right="148"/>
        <w:rPr>
          <w:color w:val="auto"/>
        </w:rPr>
      </w:pPr>
      <w:r>
        <w:rPr>
          <w:color w:val="auto"/>
          <w:spacing w:val="-11"/>
        </w:rPr>
        <w:t xml:space="preserve">知识产权行政部门责令限期改正；逾期不改正的，处五万元以上五十万元以下的罚款； </w:t>
      </w:r>
      <w:r>
        <w:rPr>
          <w:color w:val="auto"/>
        </w:rPr>
        <w:t>情节严重的，处五十万元以上二百万元以下的罚款。</w:t>
      </w:r>
    </w:p>
    <w:p>
      <w:pPr>
        <w:pStyle w:val="13"/>
        <w:numPr>
          <w:ilvl w:val="0"/>
          <w:numId w:val="83"/>
        </w:numPr>
        <w:tabs>
          <w:tab w:val="left" w:pos="834"/>
        </w:tabs>
        <w:spacing w:before="0" w:after="0" w:line="391" w:lineRule="auto"/>
        <w:ind w:left="111" w:right="148" w:firstLine="480"/>
        <w:jc w:val="left"/>
        <w:rPr>
          <w:color w:val="auto"/>
          <w:sz w:val="24"/>
        </w:rPr>
      </w:pPr>
      <w:r>
        <w:rPr>
          <w:color w:val="auto"/>
          <w:sz w:val="24"/>
        </w:rPr>
        <w:t>《电子商务法》第四十二条 知识产权权利人认为其知识产权受到侵害的，有</w:t>
      </w:r>
      <w:r>
        <w:rPr>
          <w:color w:val="auto"/>
          <w:spacing w:val="-10"/>
          <w:sz w:val="24"/>
        </w:rPr>
        <w:t>权通知电子商务平台经营者采取删除、屏蔽、断开链接、终止交易和服务等必要措施。</w:t>
      </w:r>
      <w:r>
        <w:rPr>
          <w:color w:val="auto"/>
          <w:sz w:val="24"/>
        </w:rPr>
        <w:t>通知应当包括构成侵权的初步证据。</w:t>
      </w:r>
    </w:p>
    <w:p>
      <w:pPr>
        <w:pStyle w:val="13"/>
        <w:numPr>
          <w:ilvl w:val="0"/>
          <w:numId w:val="83"/>
        </w:numPr>
        <w:tabs>
          <w:tab w:val="left" w:pos="834"/>
        </w:tabs>
        <w:spacing w:before="0" w:after="0" w:line="391" w:lineRule="auto"/>
        <w:ind w:left="111" w:right="148" w:firstLine="480"/>
        <w:jc w:val="left"/>
        <w:rPr>
          <w:color w:val="auto"/>
          <w:sz w:val="24"/>
        </w:rPr>
      </w:pPr>
      <w:r>
        <w:rPr>
          <w:color w:val="auto"/>
          <w:sz w:val="24"/>
        </w:rPr>
        <w:t>《电子商务法》第四十五条 电子商务平台经营者知道或者应当知道平台内经</w:t>
      </w:r>
      <w:r>
        <w:rPr>
          <w:color w:val="auto"/>
          <w:spacing w:val="-12"/>
          <w:sz w:val="24"/>
        </w:rPr>
        <w:t xml:space="preserve">营者侵犯知识产权的，应当采取删除、屏蔽、断开链接、终止交易和服务等必要措施； </w:t>
      </w:r>
      <w:r>
        <w:rPr>
          <w:color w:val="auto"/>
          <w:sz w:val="24"/>
        </w:rPr>
        <w:t>未采取必要措施的，与侵权人承担连带责任。</w:t>
      </w:r>
    </w:p>
    <w:p>
      <w:pPr>
        <w:pStyle w:val="2"/>
        <w:spacing w:line="304" w:lineRule="exact"/>
        <w:rPr>
          <w:color w:val="auto"/>
        </w:rPr>
      </w:pPr>
      <w:r>
        <w:rPr>
          <w:color w:val="auto"/>
        </w:rPr>
        <w:t>（二）裁量标准</w:t>
      </w:r>
    </w:p>
    <w:p>
      <w:pPr>
        <w:pStyle w:val="13"/>
        <w:numPr>
          <w:ilvl w:val="0"/>
          <w:numId w:val="84"/>
        </w:numPr>
        <w:tabs>
          <w:tab w:val="left" w:pos="833"/>
        </w:tabs>
        <w:spacing w:before="187" w:after="0" w:line="391" w:lineRule="auto"/>
        <w:ind w:left="111" w:right="148" w:firstLine="480"/>
        <w:jc w:val="left"/>
        <w:rPr>
          <w:color w:val="auto"/>
          <w:sz w:val="24"/>
        </w:rPr>
      </w:pPr>
      <w:r>
        <w:rPr>
          <w:rFonts w:hint="eastAsia"/>
          <w:color w:val="auto"/>
          <w:sz w:val="24"/>
          <w:lang w:eastAsia="zh-CN"/>
        </w:rPr>
        <w:t>【不予处罚】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违法情节轻微 </w:t>
      </w:r>
    </w:p>
    <w:p>
      <w:pPr>
        <w:pStyle w:val="13"/>
        <w:numPr>
          <w:ilvl w:val="0"/>
          <w:numId w:val="84"/>
        </w:numPr>
        <w:tabs>
          <w:tab w:val="left" w:pos="833"/>
        </w:tabs>
        <w:spacing w:before="187" w:after="0" w:line="391" w:lineRule="auto"/>
        <w:ind w:left="111" w:right="148" w:firstLine="480"/>
        <w:jc w:val="left"/>
        <w:rPr>
          <w:color w:val="auto"/>
          <w:sz w:val="24"/>
        </w:rPr>
      </w:pPr>
      <w:r>
        <w:rPr>
          <w:color w:val="auto"/>
          <w:spacing w:val="-10"/>
          <w:sz w:val="24"/>
        </w:rPr>
        <w:t>【较轻】知道或者应当知道平台内经营者侵犯知识产权，未依法采取必要措施</w:t>
      </w:r>
      <w:r>
        <w:rPr>
          <w:color w:val="auto"/>
          <w:spacing w:val="-4"/>
          <w:sz w:val="24"/>
        </w:rPr>
        <w:t>，责令限期改正后，期满未改正的，可以处五万元以上二十五万元以下罚款。</w:t>
      </w:r>
    </w:p>
    <w:p>
      <w:pPr>
        <w:pStyle w:val="13"/>
        <w:numPr>
          <w:ilvl w:val="0"/>
          <w:numId w:val="84"/>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68" w:firstLine="480"/>
        <w:jc w:val="both"/>
        <w:rPr>
          <w:color w:val="auto"/>
        </w:rPr>
      </w:pPr>
      <w:r>
        <w:rPr>
          <w:color w:val="auto"/>
          <w:spacing w:val="-3"/>
        </w:rPr>
        <w:t>知识产权权利人认为其知识产权受到侵害，通知电子商务平台经营者采取必要措</w:t>
      </w:r>
      <w:r>
        <w:rPr>
          <w:color w:val="auto"/>
          <w:spacing w:val="-7"/>
        </w:rPr>
        <w:t>施，电子商务平台经营者未依法采取必要措施，责令限期改正后，期满未改正的，可</w:t>
      </w:r>
      <w:r>
        <w:rPr>
          <w:color w:val="auto"/>
        </w:rPr>
        <w:t>以处二十五万元以上五十万元以下的罚款。</w:t>
      </w:r>
    </w:p>
    <w:p>
      <w:pPr>
        <w:pStyle w:val="13"/>
        <w:numPr>
          <w:ilvl w:val="0"/>
          <w:numId w:val="84"/>
        </w:numPr>
        <w:tabs>
          <w:tab w:val="left" w:pos="833"/>
        </w:tabs>
        <w:spacing w:before="0" w:after="0" w:line="304" w:lineRule="exact"/>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3"/>
        </w:rPr>
        <w:t>对平台内经营者实施侵犯知识产权行为未依法采取必要措施，造成知识产权权利</w:t>
      </w:r>
      <w:r>
        <w:rPr>
          <w:color w:val="auto"/>
          <w:spacing w:val="-5"/>
        </w:rPr>
        <w:t>人重大经济损失的，或者二次及以上责令限期改正后、期满仍未改正的，处五十万元</w:t>
      </w:r>
      <w:r>
        <w:rPr>
          <w:color w:val="auto"/>
        </w:rPr>
        <w:t>以上二百万元以下的罚款。</w:t>
      </w:r>
    </w:p>
    <w:p>
      <w:pPr>
        <w:pStyle w:val="2"/>
        <w:spacing w:before="5" w:line="388" w:lineRule="auto"/>
        <w:ind w:left="111" w:right="170" w:firstLine="480"/>
        <w:rPr>
          <w:color w:val="auto"/>
        </w:rPr>
      </w:pPr>
      <w:bookmarkStart w:id="235" w:name="_bookmark117"/>
      <w:bookmarkEnd w:id="235"/>
      <w:bookmarkStart w:id="236" w:name="一百一十五、从事网络商品交易的自然人未通过第三方交易平台开展经营活动，或者未提交"/>
      <w:bookmarkEnd w:id="236"/>
      <w:r>
        <w:rPr>
          <w:color w:val="auto"/>
        </w:rPr>
        <w:t>一百一十五、从事网络商品交易的自然人未通过第三方交易平台开展经营活动， 或者未提交真实身份信息，或者具备登记注册条件而未依法办理工商登记</w:t>
      </w:r>
    </w:p>
    <w:p>
      <w:pPr>
        <w:spacing w:before="2"/>
        <w:ind w:left="591" w:right="0" w:firstLine="0"/>
        <w:jc w:val="left"/>
        <w:rPr>
          <w:b/>
          <w:color w:val="auto"/>
          <w:sz w:val="24"/>
        </w:rPr>
      </w:pPr>
      <w:r>
        <w:rPr>
          <w:b/>
          <w:color w:val="auto"/>
          <w:sz w:val="24"/>
        </w:rPr>
        <w:t>（一）处罚依据</w:t>
      </w:r>
    </w:p>
    <w:p>
      <w:pPr>
        <w:pStyle w:val="4"/>
        <w:spacing w:before="194"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4"/>
        <w:spacing w:line="388" w:lineRule="auto"/>
        <w:ind w:right="268" w:firstLine="480"/>
        <w:jc w:val="both"/>
        <w:rPr>
          <w:color w:val="auto"/>
        </w:rPr>
      </w:pPr>
      <w:r>
        <w:rPr>
          <w:color w:val="auto"/>
        </w:rPr>
        <w:t>2</w:t>
      </w:r>
      <w:r>
        <w:rPr>
          <w:color w:val="auto"/>
          <w:spacing w:val="-9"/>
        </w:rPr>
        <w:t>、《网络交易管理办法》第七条第二款 从事网络商品交易的自然人，应当通过第三方交易平台开展经营活动,并向第三方交易平台提交其姓名、地址、有效身份证</w:t>
      </w:r>
    </w:p>
    <w:p>
      <w:pPr>
        <w:spacing w:after="0" w:line="388" w:lineRule="auto"/>
        <w:jc w:val="both"/>
        <w:rPr>
          <w:color w:val="auto"/>
        </w:rPr>
        <w:sectPr>
          <w:footerReference r:id="rId5" w:type="default"/>
          <w:footerReference r:id="rId6" w:type="even"/>
          <w:pgSz w:w="11910" w:h="16840"/>
          <w:pgMar w:top="1520" w:right="1260" w:bottom="1220" w:left="1420" w:header="0" w:footer="1034" w:gutter="0"/>
        </w:sectPr>
      </w:pPr>
    </w:p>
    <w:p>
      <w:pPr>
        <w:pStyle w:val="4"/>
        <w:spacing w:before="39"/>
        <w:rPr>
          <w:color w:val="auto"/>
        </w:rPr>
      </w:pPr>
      <w:r>
        <w:rPr>
          <w:color w:val="auto"/>
        </w:rPr>
        <w:t>明、有效联系方式等真实身份信息。具备登记注册条件的，依法办理工商登记。</w:t>
      </w:r>
    </w:p>
    <w:p>
      <w:pPr>
        <w:spacing w:before="19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13" w:firstLine="480"/>
        <w:rPr>
          <w:color w:val="auto"/>
        </w:rPr>
      </w:pPr>
      <w:r>
        <w:rPr>
          <w:color w:val="auto"/>
        </w:rPr>
        <w:t>向第三方交易平台提交的真实身份信息缺少一至二项的，处以一万元以上一万五千元以下的罚款。</w:t>
      </w:r>
    </w:p>
    <w:p>
      <w:pPr>
        <w:pStyle w:val="13"/>
        <w:numPr>
          <w:ilvl w:val="0"/>
          <w:numId w:val="85"/>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268" w:firstLine="480"/>
        <w:rPr>
          <w:color w:val="auto"/>
        </w:rPr>
      </w:pPr>
      <w:r>
        <w:rPr>
          <w:color w:val="auto"/>
          <w:spacing w:val="-3"/>
        </w:rPr>
        <w:t>向第三方交易平台提交的真实身份信息缺少三项以上的，处以一万五千元以上二</w:t>
      </w:r>
      <w:r>
        <w:rPr>
          <w:color w:val="auto"/>
        </w:rPr>
        <w:t>万五千元以下的罚款。</w:t>
      </w:r>
    </w:p>
    <w:p>
      <w:pPr>
        <w:pStyle w:val="13"/>
        <w:numPr>
          <w:ilvl w:val="0"/>
          <w:numId w:val="85"/>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69" w:firstLine="480"/>
        <w:rPr>
          <w:color w:val="auto"/>
        </w:rPr>
      </w:pPr>
      <w:r>
        <w:rPr>
          <w:color w:val="auto"/>
        </w:rPr>
        <w:t>未通过第三方交易平台开展经营活动的，处以二万五千元以上三万元以下的罚款。</w:t>
      </w:r>
    </w:p>
    <w:p>
      <w:pPr>
        <w:pStyle w:val="2"/>
        <w:spacing w:line="388" w:lineRule="auto"/>
        <w:ind w:left="111" w:right="193" w:firstLine="480"/>
        <w:rPr>
          <w:color w:val="auto"/>
        </w:rPr>
      </w:pPr>
      <w:bookmarkStart w:id="237" w:name="一百一十六、第三方交易平台经营者未对经营主体身份进行审查、登记、建档并定期核实更"/>
      <w:bookmarkEnd w:id="237"/>
      <w:bookmarkStart w:id="238" w:name="_bookmark118"/>
      <w:bookmarkEnd w:id="238"/>
      <w:r>
        <w:rPr>
          <w:color w:val="auto"/>
        </w:rPr>
        <w:t>一百一十六、第三方交易平台经营者未对经营主体身份进行审查、登记、建档并定期核实更新，或者未按要求公开营业执照信息</w:t>
      </w:r>
    </w:p>
    <w:p>
      <w:pPr>
        <w:spacing w:before="3"/>
        <w:ind w:left="591" w:right="0" w:firstLine="0"/>
        <w:jc w:val="left"/>
        <w:rPr>
          <w:b/>
          <w:color w:val="auto"/>
          <w:sz w:val="24"/>
        </w:rPr>
      </w:pPr>
      <w:r>
        <w:rPr>
          <w:b/>
          <w:color w:val="auto"/>
          <w:sz w:val="24"/>
        </w:rPr>
        <w:t>（一）处罚依据</w:t>
      </w:r>
    </w:p>
    <w:p>
      <w:pPr>
        <w:pStyle w:val="4"/>
        <w:spacing w:before="192"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4"/>
        <w:spacing w:line="391" w:lineRule="auto"/>
        <w:ind w:right="268" w:firstLine="480"/>
        <w:jc w:val="both"/>
        <w:rPr>
          <w:color w:val="auto"/>
        </w:rPr>
      </w:pPr>
      <w:r>
        <w:rPr>
          <w:color w:val="auto"/>
        </w:rPr>
        <w:t>2</w:t>
      </w:r>
      <w:r>
        <w:rPr>
          <w:color w:val="auto"/>
          <w:spacing w:val="-8"/>
        </w:rPr>
        <w:t>、《网络交易管理办法》第二十三条 第三方交易平台经营者应当对申请进入平</w:t>
      </w:r>
      <w:r>
        <w:rPr>
          <w:color w:val="auto"/>
          <w:spacing w:val="-11"/>
        </w:rPr>
        <w:t>台销售商品或者提供服务的法人、其他经济组织或者个体工商户的经营主体身份进行</w:t>
      </w:r>
      <w:r>
        <w:rPr>
          <w:color w:val="auto"/>
          <w:spacing w:val="-6"/>
        </w:rPr>
        <w:t>审查和登记，建立登记档案并定期核实更新，在其从事经营活动的主页面醒目位置公</w:t>
      </w:r>
      <w:r>
        <w:rPr>
          <w:color w:val="auto"/>
        </w:rPr>
        <w:t>开营业执照登载的信息或者其营业执照的电子链接标识。</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91" w:lineRule="auto"/>
        <w:ind w:left="591" w:right="232"/>
        <w:rPr>
          <w:color w:val="auto"/>
        </w:rPr>
      </w:pPr>
      <w:r>
        <w:rPr>
          <w:color w:val="auto"/>
          <w:spacing w:val="-1"/>
        </w:rPr>
        <w:t>存在本办法中一种违法行为不改正的，处以一万元以上一万五千元以下的罚款。</w:t>
      </w:r>
      <w:r>
        <w:rPr>
          <w:color w:val="auto"/>
        </w:rPr>
        <w:t>2.【一般】</w:t>
      </w:r>
    </w:p>
    <w:p>
      <w:pPr>
        <w:pStyle w:val="4"/>
        <w:spacing w:line="388" w:lineRule="auto"/>
        <w:ind w:right="213" w:firstLine="480"/>
        <w:rPr>
          <w:color w:val="auto"/>
        </w:rPr>
      </w:pPr>
      <w:r>
        <w:rPr>
          <w:color w:val="auto"/>
        </w:rPr>
        <w:t>存在本办法中二种违法行为不改正的，处以一万五千元以上二万五千元以下的罚款。</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3.【严重】</w:t>
      </w:r>
    </w:p>
    <w:p>
      <w:pPr>
        <w:spacing w:before="195" w:line="388" w:lineRule="auto"/>
        <w:ind w:left="591" w:right="232" w:firstLine="0"/>
        <w:jc w:val="left"/>
        <w:rPr>
          <w:b/>
          <w:color w:val="auto"/>
          <w:sz w:val="24"/>
        </w:rPr>
      </w:pPr>
      <w:r>
        <w:rPr>
          <w:color w:val="auto"/>
          <w:sz w:val="24"/>
        </w:rPr>
        <w:t>存在本办法中三种违法行为不改正的，处以二万五千元以上三万元以下的罚款。</w:t>
      </w:r>
      <w:bookmarkStart w:id="239" w:name="_bookmark119"/>
      <w:bookmarkEnd w:id="239"/>
      <w:bookmarkStart w:id="240" w:name="一百一十七、第三方交易平台经营者未建立有关管理制度并按规定显示"/>
      <w:bookmarkEnd w:id="240"/>
      <w:r>
        <w:rPr>
          <w:b/>
          <w:color w:val="auto"/>
          <w:sz w:val="24"/>
        </w:rPr>
        <w:t>一百一十七、第三方交易平台经营者未建立有关管理制度并按规定显示</w:t>
      </w:r>
    </w:p>
    <w:p>
      <w:pPr>
        <w:pStyle w:val="2"/>
        <w:spacing w:before="2"/>
        <w:rPr>
          <w:color w:val="auto"/>
        </w:rPr>
      </w:pPr>
      <w:r>
        <w:rPr>
          <w:color w:val="auto"/>
        </w:rPr>
        <w:t>（一）处罚依据</w:t>
      </w:r>
    </w:p>
    <w:p>
      <w:pPr>
        <w:pStyle w:val="4"/>
        <w:spacing w:before="194"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4"/>
        <w:spacing w:line="391" w:lineRule="auto"/>
        <w:ind w:right="268" w:firstLine="480"/>
        <w:jc w:val="both"/>
        <w:rPr>
          <w:color w:val="auto"/>
        </w:rPr>
      </w:pPr>
      <w:r>
        <w:rPr>
          <w:color w:val="auto"/>
        </w:rPr>
        <w:t>2</w:t>
      </w:r>
      <w:r>
        <w:rPr>
          <w:color w:val="auto"/>
          <w:spacing w:val="-8"/>
        </w:rPr>
        <w:t>、《网络交易管理办法》第二十五条 第三方交易平台经营者应当建立平台内交</w:t>
      </w:r>
      <w:r>
        <w:rPr>
          <w:color w:val="auto"/>
          <w:spacing w:val="-10"/>
        </w:rPr>
        <w:t>易规则、交易安全保障、消费者权益保护、不良信息处理等管理制度。各项管理制度</w:t>
      </w:r>
      <w:r>
        <w:rPr>
          <w:color w:val="auto"/>
        </w:rPr>
        <w:t>应当在其网站显示，并从技术上保证用户能够便利、完整地阅览和保存。</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虽在网站显示各项管理制度，但未在技术上保证用户能够便利、完整地阅览和保存的，处以一万元以上一万五千元以下的罚款。</w:t>
      </w:r>
    </w:p>
    <w:p>
      <w:pPr>
        <w:pStyle w:val="13"/>
        <w:numPr>
          <w:ilvl w:val="0"/>
          <w:numId w:val="86"/>
        </w:numPr>
        <w:tabs>
          <w:tab w:val="left" w:pos="833"/>
        </w:tabs>
        <w:spacing w:before="0" w:after="0" w:line="240" w:lineRule="auto"/>
        <w:ind w:left="832" w:right="0" w:hanging="242"/>
        <w:jc w:val="left"/>
        <w:rPr>
          <w:color w:val="auto"/>
          <w:sz w:val="24"/>
        </w:rPr>
      </w:pPr>
      <w:r>
        <w:rPr>
          <w:color w:val="auto"/>
          <w:sz w:val="24"/>
        </w:rPr>
        <w:t>【一般】</w:t>
      </w:r>
    </w:p>
    <w:p>
      <w:pPr>
        <w:pStyle w:val="4"/>
        <w:spacing w:before="191" w:line="388" w:lineRule="auto"/>
        <w:ind w:left="591" w:right="472"/>
        <w:rPr>
          <w:color w:val="auto"/>
        </w:rPr>
      </w:pPr>
      <w:r>
        <w:rPr>
          <w:color w:val="auto"/>
        </w:rPr>
        <w:t>未在网站显示各项管理制度的，处以一万五千元以上二万五千元以下的罚款。3.【严重】</w:t>
      </w:r>
    </w:p>
    <w:p>
      <w:pPr>
        <w:pStyle w:val="4"/>
        <w:spacing w:before="2" w:line="391" w:lineRule="auto"/>
        <w:ind w:right="213" w:firstLine="480"/>
        <w:rPr>
          <w:color w:val="auto"/>
        </w:rPr>
      </w:pPr>
      <w:r>
        <w:rPr>
          <w:color w:val="auto"/>
        </w:rPr>
        <w:t>未建立平台内交易规则、交易安全保障、消费者权益保护、不良信息处理等管理制度的，处以二万五千元以上三万元以下的罚款。</w:t>
      </w:r>
    </w:p>
    <w:p>
      <w:pPr>
        <w:pStyle w:val="2"/>
        <w:spacing w:line="306" w:lineRule="exact"/>
        <w:rPr>
          <w:color w:val="auto"/>
        </w:rPr>
      </w:pPr>
      <w:bookmarkStart w:id="241" w:name="_bookmark120"/>
      <w:bookmarkEnd w:id="241"/>
      <w:bookmarkStart w:id="242" w:name="一百一十八、第三方交易平台经营者未按照工商部门要求采取措施制止违法行为"/>
      <w:bookmarkEnd w:id="242"/>
      <w:r>
        <w:rPr>
          <w:color w:val="auto"/>
        </w:rPr>
        <w:t>一百一十八、第三方交易平台经营者未按照工商部门要求采取措施制止违法行为</w:t>
      </w:r>
    </w:p>
    <w:p>
      <w:pPr>
        <w:spacing w:before="192"/>
        <w:ind w:left="591" w:right="0" w:firstLine="0"/>
        <w:jc w:val="left"/>
        <w:rPr>
          <w:b/>
          <w:color w:val="auto"/>
          <w:sz w:val="24"/>
        </w:rPr>
      </w:pPr>
      <w:r>
        <w:rPr>
          <w:b/>
          <w:color w:val="auto"/>
          <w:sz w:val="24"/>
        </w:rPr>
        <w:t>（一）处罚依据</w:t>
      </w:r>
    </w:p>
    <w:p>
      <w:pPr>
        <w:pStyle w:val="4"/>
        <w:spacing w:before="194"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4"/>
        <w:spacing w:line="388" w:lineRule="auto"/>
        <w:ind w:right="268" w:firstLine="480"/>
        <w:jc w:val="both"/>
        <w:rPr>
          <w:color w:val="auto"/>
        </w:rPr>
      </w:pPr>
      <w:r>
        <w:rPr>
          <w:color w:val="auto"/>
        </w:rPr>
        <w:t>2</w:t>
      </w:r>
      <w:r>
        <w:rPr>
          <w:color w:val="auto"/>
          <w:spacing w:val="-9"/>
        </w:rPr>
        <w:t>、《网络交易管理办法》第二十六条第二款 工商行政管理部门发现平台内有违</w:t>
      </w:r>
      <w:r>
        <w:rPr>
          <w:color w:val="auto"/>
          <w:spacing w:val="-13"/>
        </w:rPr>
        <w:t>反工商行政管理法律、法规、规章的行为，依法要求第三方交易平台经营者采取措施</w:t>
      </w:r>
    </w:p>
    <w:p>
      <w:pPr>
        <w:spacing w:after="0" w:line="388"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制止的，第三方交易平台经营者应当予以配合。</w:t>
      </w:r>
    </w:p>
    <w:p>
      <w:pPr>
        <w:spacing w:before="195"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left="591" w:right="712"/>
        <w:rPr>
          <w:color w:val="auto"/>
        </w:rPr>
      </w:pPr>
      <w:r>
        <w:rPr>
          <w:color w:val="auto"/>
          <w:spacing w:val="-1"/>
        </w:rPr>
        <w:t>第一次不按要求采取制止措施的，处以一万元以上一万五千元以下的罚款。</w:t>
      </w:r>
      <w:r>
        <w:rPr>
          <w:color w:val="auto"/>
        </w:rPr>
        <w:t>2.【一般】</w:t>
      </w:r>
    </w:p>
    <w:p>
      <w:pPr>
        <w:pStyle w:val="4"/>
        <w:spacing w:line="388" w:lineRule="auto"/>
        <w:ind w:left="591" w:right="232"/>
        <w:rPr>
          <w:color w:val="auto"/>
        </w:rPr>
      </w:pPr>
      <w:r>
        <w:rPr>
          <w:color w:val="auto"/>
          <w:spacing w:val="-1"/>
        </w:rPr>
        <w:t>第二次不按要求采取制止措施的，处以一万五千元以上二万五千元以下的罚款。</w:t>
      </w:r>
      <w:r>
        <w:rPr>
          <w:color w:val="auto"/>
        </w:rPr>
        <w:t>3.【严重】</w:t>
      </w:r>
    </w:p>
    <w:p>
      <w:pPr>
        <w:spacing w:before="3" w:line="388" w:lineRule="auto"/>
        <w:ind w:left="591" w:right="237" w:firstLine="0"/>
        <w:jc w:val="left"/>
        <w:rPr>
          <w:b/>
          <w:color w:val="auto"/>
          <w:sz w:val="24"/>
        </w:rPr>
      </w:pPr>
      <w:r>
        <w:rPr>
          <w:color w:val="auto"/>
          <w:sz w:val="24"/>
        </w:rPr>
        <w:t>三次以上不按要求采取制止措施的，处以二万五千元以上三万元以下的罚款。</w:t>
      </w:r>
      <w:bookmarkStart w:id="243" w:name="_bookmark121"/>
      <w:bookmarkEnd w:id="243"/>
      <w:bookmarkStart w:id="244" w:name="一百一十九、第三方交易平台经营者未以显著方式对自营业务和平台内其他经营者业务进行"/>
      <w:bookmarkEnd w:id="244"/>
      <w:r>
        <w:rPr>
          <w:color w:val="auto"/>
          <w:sz w:val="24"/>
        </w:rPr>
        <w:t xml:space="preserve"> </w:t>
      </w:r>
      <w:r>
        <w:rPr>
          <w:b/>
          <w:color w:val="auto"/>
          <w:spacing w:val="-9"/>
          <w:sz w:val="24"/>
        </w:rPr>
        <w:t>一百一十九、第三方交易平台经营者未以显著方式对自营业务和平台内其他经营</w:t>
      </w:r>
    </w:p>
    <w:p>
      <w:pPr>
        <w:pStyle w:val="2"/>
        <w:spacing w:before="2"/>
        <w:ind w:left="111"/>
        <w:rPr>
          <w:color w:val="auto"/>
        </w:rPr>
      </w:pPr>
      <w:r>
        <w:rPr>
          <w:color w:val="auto"/>
        </w:rPr>
        <w:t>者业务进行区分和标记</w:t>
      </w:r>
    </w:p>
    <w:p>
      <w:pPr>
        <w:spacing w:before="194"/>
        <w:ind w:left="591" w:right="0" w:firstLine="0"/>
        <w:jc w:val="left"/>
        <w:rPr>
          <w:b/>
          <w:color w:val="auto"/>
          <w:sz w:val="24"/>
        </w:rPr>
      </w:pPr>
      <w:r>
        <w:rPr>
          <w:b/>
          <w:color w:val="auto"/>
          <w:sz w:val="24"/>
        </w:rPr>
        <w:t>（一）处罚依据</w:t>
      </w:r>
    </w:p>
    <w:p>
      <w:pPr>
        <w:pStyle w:val="4"/>
        <w:spacing w:before="191"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4"/>
        <w:spacing w:line="391" w:lineRule="auto"/>
        <w:ind w:right="268" w:firstLine="480"/>
        <w:jc w:val="both"/>
        <w:rPr>
          <w:color w:val="auto"/>
        </w:rPr>
      </w:pPr>
      <w:r>
        <w:rPr>
          <w:color w:val="auto"/>
        </w:rPr>
        <w:t>2</w:t>
      </w:r>
      <w:r>
        <w:rPr>
          <w:color w:val="auto"/>
          <w:spacing w:val="-8"/>
        </w:rPr>
        <w:t>、《网络交易管理办法》第二十九条 第三方交易平台经营者在平台上开展商品</w:t>
      </w:r>
      <w:r>
        <w:rPr>
          <w:color w:val="auto"/>
          <w:spacing w:val="-11"/>
        </w:rPr>
        <w:t>或者服务自营业务的，应当以显著方式对自营部分和平台内其他经营者经营部分进行</w:t>
      </w:r>
      <w:r>
        <w:rPr>
          <w:color w:val="auto"/>
        </w:rPr>
        <w:t>区分和标记，避免消费者产生误解。</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152"/>
        <w:rPr>
          <w:color w:val="auto"/>
        </w:rPr>
      </w:pPr>
      <w:r>
        <w:rPr>
          <w:color w:val="auto"/>
          <w:spacing w:val="-1"/>
        </w:rPr>
        <w:t>第一次拒不改正的，处以一万元以上一万五千元以下的罚款。</w:t>
      </w:r>
      <w:r>
        <w:rPr>
          <w:color w:val="auto"/>
        </w:rPr>
        <w:t>2.【一般】</w:t>
      </w:r>
    </w:p>
    <w:p>
      <w:pPr>
        <w:pStyle w:val="4"/>
        <w:spacing w:line="388" w:lineRule="auto"/>
        <w:ind w:left="591" w:right="1672"/>
        <w:rPr>
          <w:color w:val="auto"/>
        </w:rPr>
      </w:pPr>
      <w:r>
        <w:rPr>
          <w:color w:val="auto"/>
          <w:spacing w:val="-1"/>
        </w:rPr>
        <w:t>第二次拒不改正的，处以一万五千元以上二万五千元以下的罚款。</w:t>
      </w:r>
      <w:r>
        <w:rPr>
          <w:color w:val="auto"/>
        </w:rPr>
        <w:t>3.【严重】</w:t>
      </w:r>
    </w:p>
    <w:p>
      <w:pPr>
        <w:pStyle w:val="4"/>
        <w:ind w:left="591"/>
        <w:rPr>
          <w:color w:val="auto"/>
        </w:rPr>
      </w:pPr>
      <w:r>
        <w:rPr>
          <w:color w:val="auto"/>
        </w:rPr>
        <w:t>三次以上拒不改正的，处以二万五千元以上三万元以下的罚款。</w:t>
      </w:r>
    </w:p>
    <w:p>
      <w:pPr>
        <w:pStyle w:val="2"/>
        <w:spacing w:before="190" w:line="388" w:lineRule="auto"/>
        <w:ind w:left="111" w:right="235" w:firstLine="480"/>
        <w:jc w:val="both"/>
        <w:rPr>
          <w:color w:val="auto"/>
        </w:rPr>
      </w:pPr>
      <w:bookmarkStart w:id="245" w:name="一百二十、第三方交易平台经营者未按规定审查、记录、保存在其平台上发布的商品和服务"/>
      <w:bookmarkEnd w:id="245"/>
      <w:bookmarkStart w:id="246" w:name="_bookmark122"/>
      <w:bookmarkEnd w:id="246"/>
      <w:r>
        <w:rPr>
          <w:color w:val="auto"/>
          <w:spacing w:val="-7"/>
        </w:rPr>
        <w:t>一百二十、第三方交易平台经营者未按规定审查、记录、保存在其平台上发布的</w:t>
      </w:r>
      <w:r>
        <w:rPr>
          <w:color w:val="auto"/>
          <w:spacing w:val="-11"/>
        </w:rPr>
        <w:t>商品和服务信息内容及其发布时间的，或者未采取有效手段确保网络交易数据和资料的完整性、安全性和原始数据的真实性</w:t>
      </w:r>
    </w:p>
    <w:p>
      <w:pPr>
        <w:spacing w:after="0" w:line="388" w:lineRule="auto"/>
        <w:jc w:val="both"/>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4"/>
        <w:spacing w:line="391" w:lineRule="auto"/>
        <w:ind w:right="268" w:firstLine="480"/>
        <w:jc w:val="both"/>
        <w:rPr>
          <w:color w:val="auto"/>
        </w:rPr>
      </w:pPr>
      <w:r>
        <w:rPr>
          <w:color w:val="auto"/>
        </w:rPr>
        <w:t>2</w:t>
      </w:r>
      <w:r>
        <w:rPr>
          <w:color w:val="auto"/>
          <w:spacing w:val="-8"/>
        </w:rPr>
        <w:t>、《网络交易管理办法》第三十条 第三方交易平台经营者应当审查、记录、保</w:t>
      </w:r>
      <w:r>
        <w:rPr>
          <w:color w:val="auto"/>
          <w:spacing w:val="-11"/>
        </w:rPr>
        <w:t>存在其平台上发布的商品和服务信息内容及其发布时间。平台内经营者的营业执照或</w:t>
      </w:r>
      <w:r>
        <w:rPr>
          <w:color w:val="auto"/>
          <w:spacing w:val="-2"/>
        </w:rPr>
        <w:t>者个人真实身份信息记录保存时间从经营者在平台的登记注销之日起不少于两年，交</w:t>
      </w:r>
      <w:r>
        <w:rPr>
          <w:color w:val="auto"/>
        </w:rPr>
        <w:t>易记录等其他信息记录备份保存时间从交易完成之日起不少于两年。</w:t>
      </w:r>
    </w:p>
    <w:p>
      <w:pPr>
        <w:pStyle w:val="4"/>
        <w:spacing w:line="391" w:lineRule="auto"/>
        <w:ind w:right="213" w:firstLine="480"/>
        <w:rPr>
          <w:color w:val="auto"/>
        </w:rPr>
      </w:pPr>
      <w:r>
        <w:rPr>
          <w:color w:val="auto"/>
        </w:rPr>
        <w:t>第三方交易平台经营者应当采取电子签名、数据备份、故障恢复等技术手段确保网络交易数据和资料的完整性和安全性，并应当保证原始数据的真实性。</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32"/>
        <w:rPr>
          <w:color w:val="auto"/>
        </w:rPr>
      </w:pPr>
      <w:r>
        <w:rPr>
          <w:color w:val="auto"/>
          <w:spacing w:val="-1"/>
        </w:rPr>
        <w:t>存在一种拒不改正情形的，处以一万元以上一万五千元以下的罚款。</w:t>
      </w:r>
      <w:r>
        <w:rPr>
          <w:color w:val="auto"/>
        </w:rPr>
        <w:t>2.【一般】</w:t>
      </w:r>
    </w:p>
    <w:p>
      <w:pPr>
        <w:pStyle w:val="4"/>
        <w:spacing w:line="391" w:lineRule="auto"/>
        <w:ind w:left="591" w:right="952"/>
        <w:rPr>
          <w:color w:val="auto"/>
        </w:rPr>
      </w:pPr>
      <w:r>
        <w:rPr>
          <w:color w:val="auto"/>
          <w:spacing w:val="-1"/>
        </w:rPr>
        <w:t>存在二种拒不改正情形的，处以一万五千元以上二万五千元以下的罚款。</w:t>
      </w:r>
      <w:r>
        <w:rPr>
          <w:color w:val="auto"/>
        </w:rPr>
        <w:t>3.【严重】</w:t>
      </w:r>
    </w:p>
    <w:p>
      <w:pPr>
        <w:pStyle w:val="4"/>
        <w:spacing w:line="306" w:lineRule="exact"/>
        <w:ind w:left="591"/>
        <w:rPr>
          <w:color w:val="auto"/>
        </w:rPr>
      </w:pPr>
      <w:r>
        <w:rPr>
          <w:color w:val="auto"/>
        </w:rPr>
        <w:t>存在三种以上拒不改正情形的，处以二万五千元以上三万元以下的罚款。</w:t>
      </w:r>
    </w:p>
    <w:p>
      <w:pPr>
        <w:pStyle w:val="2"/>
        <w:spacing w:before="185" w:line="391" w:lineRule="auto"/>
        <w:ind w:left="111" w:right="237" w:firstLine="480"/>
        <w:rPr>
          <w:color w:val="auto"/>
        </w:rPr>
      </w:pPr>
      <w:bookmarkStart w:id="247" w:name="_bookmark123"/>
      <w:bookmarkEnd w:id="247"/>
      <w:bookmarkStart w:id="248" w:name="一百二十一、第三方交易平台经营者和为网络商品交易提供服务的有关服务经营者未积极协"/>
      <w:bookmarkEnd w:id="248"/>
      <w:r>
        <w:rPr>
          <w:color w:val="auto"/>
          <w:spacing w:val="-9"/>
        </w:rPr>
        <w:t>一百二十一、第三方交易平台经营者和为网络商品交易提供服务的有关服务经营者未积极协助工商部门查处网上违法经营行为</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13"/>
        <w:numPr>
          <w:ilvl w:val="1"/>
          <w:numId w:val="86"/>
        </w:numPr>
        <w:tabs>
          <w:tab w:val="left" w:pos="954"/>
        </w:tabs>
        <w:spacing w:before="0" w:after="0" w:line="388" w:lineRule="auto"/>
        <w:ind w:left="111" w:right="268" w:firstLine="480"/>
        <w:jc w:val="both"/>
        <w:rPr>
          <w:color w:val="auto"/>
          <w:sz w:val="24"/>
        </w:rPr>
      </w:pPr>
      <w:r>
        <w:rPr>
          <w:color w:val="auto"/>
          <w:spacing w:val="-9"/>
          <w:sz w:val="24"/>
        </w:rPr>
        <w:t>、《网络交易管理办法》第三十四条 第三方交易平台经营者应当积极协助工</w:t>
      </w:r>
      <w:r>
        <w:rPr>
          <w:color w:val="auto"/>
          <w:spacing w:val="-12"/>
          <w:sz w:val="24"/>
        </w:rPr>
        <w:t>商行政管理部门查处网上违法经营行为，提供在其平台内涉嫌违法经营的经营者的登</w:t>
      </w:r>
      <w:r>
        <w:rPr>
          <w:color w:val="auto"/>
          <w:sz w:val="24"/>
        </w:rPr>
        <w:t>记信息、交易数据等资料，不得隐瞒真实情况。</w:t>
      </w:r>
    </w:p>
    <w:p>
      <w:pPr>
        <w:spacing w:after="0" w:line="388" w:lineRule="auto"/>
        <w:jc w:val="both"/>
        <w:rPr>
          <w:color w:val="auto"/>
          <w:sz w:val="24"/>
        </w:rPr>
        <w:sectPr>
          <w:footerReference r:id="rId7" w:type="default"/>
          <w:footerReference r:id="rId8" w:type="even"/>
          <w:pgSz w:w="11910" w:h="16840"/>
          <w:pgMar w:top="1520" w:right="1260" w:bottom="1220" w:left="1420" w:header="0" w:footer="1034" w:gutter="0"/>
          <w:pgNumType w:start="80"/>
        </w:sectPr>
      </w:pPr>
    </w:p>
    <w:p>
      <w:pPr>
        <w:pStyle w:val="13"/>
        <w:numPr>
          <w:ilvl w:val="1"/>
          <w:numId w:val="86"/>
        </w:numPr>
        <w:tabs>
          <w:tab w:val="left" w:pos="954"/>
        </w:tabs>
        <w:spacing w:before="39" w:after="0" w:line="391" w:lineRule="auto"/>
        <w:ind w:left="111" w:right="148" w:firstLine="480"/>
        <w:jc w:val="left"/>
        <w:rPr>
          <w:color w:val="auto"/>
          <w:sz w:val="24"/>
        </w:rPr>
      </w:pPr>
      <w:r>
        <w:rPr>
          <w:color w:val="auto"/>
          <w:spacing w:val="-10"/>
          <w:sz w:val="24"/>
        </w:rPr>
        <w:t>、《网络交易管理办法》第三十八条 为网络商品交易提供网络接入、支付结</w:t>
      </w:r>
      <w:r>
        <w:rPr>
          <w:color w:val="auto"/>
          <w:spacing w:val="-7"/>
          <w:sz w:val="24"/>
        </w:rPr>
        <w:t>算、物流、快递等服务的有关服务经营者，应当积极协助工商行政管理部门查处网络</w:t>
      </w:r>
      <w:r>
        <w:rPr>
          <w:color w:val="auto"/>
          <w:spacing w:val="-15"/>
          <w:sz w:val="24"/>
        </w:rPr>
        <w:t>商品交易相关违法行为，提供涉嫌违法经营的网络商品经营者的登记信息、联系方式、</w:t>
      </w:r>
      <w:r>
        <w:rPr>
          <w:color w:val="auto"/>
          <w:sz w:val="24"/>
        </w:rPr>
        <w:t>地址等相关数据资料，不得隐瞒真实情况。</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9" w:firstLine="480"/>
        <w:rPr>
          <w:color w:val="auto"/>
        </w:rPr>
      </w:pPr>
      <w:r>
        <w:rPr>
          <w:color w:val="auto"/>
        </w:rPr>
        <w:t>提供的相关资料中有一至二项不属实的，处以一万元以上一万五千元以下的罚款。</w:t>
      </w:r>
    </w:p>
    <w:p>
      <w:pPr>
        <w:pStyle w:val="13"/>
        <w:numPr>
          <w:ilvl w:val="0"/>
          <w:numId w:val="87"/>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213" w:firstLine="480"/>
        <w:rPr>
          <w:color w:val="auto"/>
        </w:rPr>
      </w:pPr>
      <w:r>
        <w:rPr>
          <w:color w:val="auto"/>
        </w:rPr>
        <w:t>提供的相关资料中有三项以上不属实的，处以一万五千元以上二万五千元以下的罚款。</w:t>
      </w:r>
    </w:p>
    <w:p>
      <w:pPr>
        <w:pStyle w:val="13"/>
        <w:numPr>
          <w:ilvl w:val="0"/>
          <w:numId w:val="87"/>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ind w:left="591"/>
        <w:rPr>
          <w:color w:val="auto"/>
        </w:rPr>
      </w:pPr>
      <w:r>
        <w:rPr>
          <w:color w:val="auto"/>
        </w:rPr>
        <w:t>拒不提供相关资料的，处以二万五千元以上三万元以下的罚款。</w:t>
      </w:r>
    </w:p>
    <w:p>
      <w:pPr>
        <w:pStyle w:val="2"/>
        <w:spacing w:before="194" w:line="388" w:lineRule="auto"/>
        <w:ind w:left="111" w:right="237" w:firstLine="480"/>
        <w:jc w:val="both"/>
        <w:rPr>
          <w:color w:val="auto"/>
        </w:rPr>
      </w:pPr>
      <w:bookmarkStart w:id="249" w:name="一百二十二、为网络商品交易提供服务的有关服务经营者未要求申请者提供经营资格证明和"/>
      <w:bookmarkEnd w:id="249"/>
      <w:bookmarkStart w:id="250" w:name="_bookmark124"/>
      <w:bookmarkEnd w:id="250"/>
      <w:r>
        <w:rPr>
          <w:color w:val="auto"/>
          <w:spacing w:val="-9"/>
        </w:rPr>
        <w:t>一百二十二、为网络商品交易提供服务的有关服务经营者未要求申请者提供经营</w:t>
      </w:r>
      <w:r>
        <w:rPr>
          <w:color w:val="auto"/>
          <w:spacing w:val="-12"/>
        </w:rPr>
        <w:t>资格证明和个人真实身份信息的，未签订服务合同，未依法记录其上网信息的，或者未按要求备份保存有关信息</w:t>
      </w:r>
    </w:p>
    <w:p>
      <w:pPr>
        <w:spacing w:before="5"/>
        <w:ind w:left="591" w:right="0" w:firstLine="0"/>
        <w:jc w:val="left"/>
        <w:rPr>
          <w:b/>
          <w:color w:val="auto"/>
          <w:sz w:val="24"/>
        </w:rPr>
      </w:pPr>
      <w:r>
        <w:rPr>
          <w:b/>
          <w:color w:val="auto"/>
          <w:sz w:val="24"/>
        </w:rPr>
        <w:t>（一）处罚依据</w:t>
      </w:r>
    </w:p>
    <w:p>
      <w:pPr>
        <w:pStyle w:val="4"/>
        <w:spacing w:before="192"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4"/>
        <w:spacing w:line="391" w:lineRule="auto"/>
        <w:ind w:right="268" w:firstLine="480"/>
        <w:jc w:val="both"/>
        <w:rPr>
          <w:color w:val="auto"/>
        </w:rPr>
      </w:pPr>
      <w:r>
        <w:rPr>
          <w:color w:val="auto"/>
        </w:rPr>
        <w:t>2</w:t>
      </w:r>
      <w:r>
        <w:rPr>
          <w:color w:val="auto"/>
          <w:spacing w:val="-8"/>
        </w:rPr>
        <w:t>、《网络交易管理办法》第三十五条 为网络商品交易提供网络接入、服务器托管、虚拟空间租用、网站网页设计制作等服务的有关服务经营者，应当要求申请者提</w:t>
      </w:r>
      <w:r>
        <w:rPr>
          <w:color w:val="auto"/>
          <w:spacing w:val="-4"/>
        </w:rPr>
        <w:t>供经营资格证明和个人真实身份信息，签订服务合同，依法记录其上网信息。申请者</w:t>
      </w:r>
      <w:r>
        <w:rPr>
          <w:color w:val="auto"/>
          <w:spacing w:val="3"/>
        </w:rPr>
        <w:t>营业执照或者个人真实身份信息等信息记录备份保存时间自服务合同终止或者履行完毕之日起不少于两年。</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4"/>
        <w:spacing w:before="39" w:line="391" w:lineRule="auto"/>
        <w:ind w:left="591" w:right="1432"/>
        <w:rPr>
          <w:color w:val="auto"/>
        </w:rPr>
      </w:pPr>
      <w:r>
        <w:rPr>
          <w:color w:val="auto"/>
          <w:spacing w:val="-1"/>
        </w:rPr>
        <w:t>存在一种拒不改正情形的，处以一万元以上一万五千元以下的罚款。</w:t>
      </w:r>
      <w:r>
        <w:rPr>
          <w:color w:val="auto"/>
        </w:rPr>
        <w:t>2.【一般】</w:t>
      </w:r>
    </w:p>
    <w:p>
      <w:pPr>
        <w:pStyle w:val="4"/>
        <w:spacing w:line="388" w:lineRule="auto"/>
        <w:ind w:left="591" w:right="952"/>
        <w:rPr>
          <w:color w:val="auto"/>
        </w:rPr>
      </w:pPr>
      <w:r>
        <w:rPr>
          <w:color w:val="auto"/>
          <w:spacing w:val="-1"/>
        </w:rPr>
        <w:t>存在二种拒不改正情形的，处以一万五千元以上二万五千元以下的罚款。</w:t>
      </w:r>
      <w:r>
        <w:rPr>
          <w:color w:val="auto"/>
        </w:rPr>
        <w:t>3.【严重】</w:t>
      </w:r>
    </w:p>
    <w:p>
      <w:pPr>
        <w:pStyle w:val="4"/>
        <w:spacing w:before="3"/>
        <w:ind w:left="591"/>
        <w:rPr>
          <w:color w:val="auto"/>
        </w:rPr>
      </w:pPr>
      <w:r>
        <w:rPr>
          <w:color w:val="auto"/>
        </w:rPr>
        <w:t>存在三种以上拒不改正情形的，处以二万五千元以上三万元以下的罚款。</w:t>
      </w:r>
    </w:p>
    <w:p>
      <w:pPr>
        <w:pStyle w:val="2"/>
        <w:spacing w:before="192" w:line="388" w:lineRule="auto"/>
        <w:ind w:left="111" w:right="238" w:firstLine="480"/>
        <w:rPr>
          <w:color w:val="auto"/>
        </w:rPr>
      </w:pPr>
      <w:bookmarkStart w:id="251" w:name="一百二十三、为网络商品交易提供信用评价服务的有关服务经营者未按规定采集、调整、使"/>
      <w:bookmarkEnd w:id="251"/>
      <w:bookmarkStart w:id="252" w:name="_bookmark125"/>
      <w:bookmarkEnd w:id="252"/>
      <w:r>
        <w:rPr>
          <w:color w:val="auto"/>
          <w:spacing w:val="5"/>
          <w:w w:val="95"/>
        </w:rPr>
        <w:t xml:space="preserve">一百二十三、为网络商品交易提供信用评价服务的有关服务经营者未按规定采  </w:t>
      </w:r>
      <w:r>
        <w:rPr>
          <w:color w:val="auto"/>
        </w:rPr>
        <w:t>集、调整、使用信用信息</w:t>
      </w:r>
    </w:p>
    <w:p>
      <w:pPr>
        <w:spacing w:before="5"/>
        <w:ind w:left="591" w:right="0" w:firstLine="0"/>
        <w:jc w:val="left"/>
        <w:rPr>
          <w:b/>
          <w:color w:val="auto"/>
          <w:sz w:val="24"/>
        </w:rPr>
      </w:pPr>
      <w:r>
        <w:rPr>
          <w:b/>
          <w:color w:val="auto"/>
          <w:sz w:val="24"/>
        </w:rPr>
        <w:t>（一）处罚依据</w:t>
      </w:r>
    </w:p>
    <w:p>
      <w:pPr>
        <w:pStyle w:val="4"/>
        <w:spacing w:before="191" w:line="391" w:lineRule="auto"/>
        <w:ind w:right="232" w:firstLine="480"/>
        <w:jc w:val="both"/>
        <w:rPr>
          <w:color w:val="auto"/>
        </w:rPr>
      </w:pPr>
      <w:r>
        <w:rPr>
          <w:color w:val="auto"/>
        </w:rPr>
        <w:t>1</w:t>
      </w:r>
      <w:r>
        <w:rPr>
          <w:color w:val="auto"/>
          <w:spacing w:val="-9"/>
        </w:rPr>
        <w:t>、《网络交易管理办法》第五十条 违反本办法第七条第二款、第二十三条、第</w:t>
      </w:r>
      <w:r>
        <w:rPr>
          <w:color w:val="auto"/>
          <w:spacing w:val="-10"/>
        </w:rPr>
        <w:t>二十五条、第二十六条第二款、第二十九条、第三十条、第三十四条、第三十五条、</w:t>
      </w:r>
      <w:r>
        <w:rPr>
          <w:color w:val="auto"/>
          <w:spacing w:val="-6"/>
        </w:rPr>
        <w:t>第三十六条、第三十八条规定的，予以警告，责令改正，拒不改正的，处以一万元以上三万元以下的罚款。</w:t>
      </w:r>
    </w:p>
    <w:p>
      <w:pPr>
        <w:pStyle w:val="4"/>
        <w:spacing w:line="391" w:lineRule="auto"/>
        <w:ind w:right="266" w:firstLine="480"/>
        <w:jc w:val="both"/>
        <w:rPr>
          <w:color w:val="auto"/>
        </w:rPr>
      </w:pPr>
      <w:r>
        <w:rPr>
          <w:color w:val="auto"/>
        </w:rPr>
        <w:t>2</w:t>
      </w:r>
      <w:r>
        <w:rPr>
          <w:color w:val="auto"/>
          <w:spacing w:val="-8"/>
        </w:rPr>
        <w:t>、《网络交易管理办法》第三十六条 为网络商品交易提供信用评价服务的有关</w:t>
      </w:r>
      <w:r>
        <w:rPr>
          <w:color w:val="auto"/>
          <w:spacing w:val="-9"/>
        </w:rPr>
        <w:t>服务经营者，应当通过合法途径采集信用信息，坚持中立、公正、客观原则，不得任</w:t>
      </w:r>
      <w:r>
        <w:rPr>
          <w:color w:val="auto"/>
        </w:rPr>
        <w:t>意调整用户的信用级别或者相关信息，不得将收集的信用信息用于任何非法用途。</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32"/>
        <w:rPr>
          <w:color w:val="auto"/>
        </w:rPr>
      </w:pPr>
      <w:r>
        <w:rPr>
          <w:color w:val="auto"/>
          <w:spacing w:val="-1"/>
        </w:rPr>
        <w:t>存在一种拒不改正情形的，处以一万元以上一万五千元以下的罚款。</w:t>
      </w:r>
      <w:r>
        <w:rPr>
          <w:color w:val="auto"/>
        </w:rPr>
        <w:t>2.【一般】</w:t>
      </w:r>
    </w:p>
    <w:p>
      <w:pPr>
        <w:pStyle w:val="4"/>
        <w:spacing w:line="388" w:lineRule="auto"/>
        <w:ind w:left="591" w:right="952"/>
        <w:rPr>
          <w:color w:val="auto"/>
        </w:rPr>
      </w:pPr>
      <w:r>
        <w:rPr>
          <w:color w:val="auto"/>
          <w:spacing w:val="-1"/>
        </w:rPr>
        <w:t>存在二种拒不改正情形的，处以一万五千元以上二万五千元以下的罚款。</w:t>
      </w:r>
      <w:r>
        <w:rPr>
          <w:color w:val="auto"/>
        </w:rPr>
        <w:t>3.【严重】</w:t>
      </w:r>
    </w:p>
    <w:p>
      <w:pPr>
        <w:spacing w:before="0" w:line="391" w:lineRule="auto"/>
        <w:ind w:left="591" w:right="952" w:firstLine="0"/>
        <w:jc w:val="left"/>
        <w:rPr>
          <w:b/>
          <w:color w:val="auto"/>
          <w:sz w:val="24"/>
        </w:rPr>
      </w:pPr>
      <w:r>
        <w:rPr>
          <w:color w:val="auto"/>
          <w:sz w:val="24"/>
        </w:rPr>
        <w:t>存在三种以上拒不改正情形的，处以二万五千元以上三万元以下的罚款。</w:t>
      </w:r>
      <w:bookmarkStart w:id="253" w:name="一百二十四、未按规定公开营业执照登载的信息或者电子链接标识"/>
      <w:bookmarkEnd w:id="253"/>
      <w:bookmarkStart w:id="254" w:name="_bookmark126"/>
      <w:bookmarkEnd w:id="254"/>
      <w:r>
        <w:rPr>
          <w:b/>
          <w:color w:val="auto"/>
          <w:sz w:val="24"/>
        </w:rPr>
        <w:t>一百二十四、未按规定公开营业执照登载的信息或者电子链接标识</w:t>
      </w:r>
    </w:p>
    <w:p>
      <w:pPr>
        <w:pStyle w:val="2"/>
        <w:spacing w:line="306" w:lineRule="exact"/>
        <w:rPr>
          <w:color w:val="auto"/>
        </w:rPr>
      </w:pPr>
      <w:r>
        <w:rPr>
          <w:color w:val="auto"/>
        </w:rPr>
        <w:t>（一）处罚依据</w:t>
      </w:r>
    </w:p>
    <w:p>
      <w:pPr>
        <w:pStyle w:val="4"/>
        <w:spacing w:before="188" w:line="391" w:lineRule="auto"/>
        <w:ind w:right="268" w:firstLine="480"/>
        <w:rPr>
          <w:color w:val="auto"/>
        </w:rPr>
      </w:pPr>
      <w:r>
        <w:rPr>
          <w:color w:val="auto"/>
        </w:rPr>
        <w:t>1</w:t>
      </w:r>
      <w:r>
        <w:rPr>
          <w:color w:val="auto"/>
          <w:spacing w:val="-8"/>
        </w:rPr>
        <w:t>、《网络交易管理办法》第五十一条 违反本办法第八条、第二十一条规定的， 予以警告，责令改正，拒不改正的，处以一万元以下的罚款。</w:t>
      </w:r>
    </w:p>
    <w:p>
      <w:pPr>
        <w:pStyle w:val="4"/>
        <w:spacing w:line="388" w:lineRule="auto"/>
        <w:ind w:right="268" w:firstLine="480"/>
        <w:rPr>
          <w:color w:val="auto"/>
        </w:rPr>
      </w:pPr>
      <w:r>
        <w:rPr>
          <w:color w:val="auto"/>
        </w:rPr>
        <w:t>2</w:t>
      </w:r>
      <w:r>
        <w:rPr>
          <w:color w:val="auto"/>
          <w:spacing w:val="-8"/>
        </w:rPr>
        <w:t>、《网络交易管理办法》第八条 已经工商行政管理部门登记注册并领取营业执</w:t>
      </w:r>
      <w:r>
        <w:rPr>
          <w:color w:val="auto"/>
          <w:spacing w:val="-10"/>
        </w:rPr>
        <w:t>照的法人、其他经济组织或者个体工商户，从事网络商品交易及有关服务的，应当在</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69"/>
        <w:rPr>
          <w:color w:val="auto"/>
        </w:rPr>
      </w:pPr>
      <w:r>
        <w:rPr>
          <w:color w:val="auto"/>
        </w:rPr>
        <w:t>其网站首页或者从事经营活动的主页面醒目位置公开营业执照登载的信息或者其营业执照的电子链接标识。</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88" w:lineRule="auto"/>
        <w:ind w:left="591" w:right="3592"/>
        <w:rPr>
          <w:color w:val="auto"/>
        </w:rPr>
      </w:pPr>
      <w:r>
        <w:rPr>
          <w:color w:val="auto"/>
          <w:spacing w:val="-1"/>
        </w:rPr>
        <w:t>未在醒目位置公开的，处以三千元以下的罚款。</w:t>
      </w:r>
      <w:r>
        <w:rPr>
          <w:color w:val="auto"/>
        </w:rPr>
        <w:t>2.【一般】</w:t>
      </w:r>
    </w:p>
    <w:p>
      <w:pPr>
        <w:pStyle w:val="4"/>
        <w:spacing w:before="2" w:line="391" w:lineRule="auto"/>
        <w:ind w:left="591" w:right="952"/>
        <w:rPr>
          <w:color w:val="auto"/>
        </w:rPr>
      </w:pPr>
      <w:r>
        <w:rPr>
          <w:color w:val="auto"/>
          <w:spacing w:val="-1"/>
        </w:rPr>
        <w:t>公开营业执照登载的信息不完整的，处以三千元以上七千元以下的罚款。</w:t>
      </w:r>
      <w:r>
        <w:rPr>
          <w:color w:val="auto"/>
        </w:rPr>
        <w:t>3.【严重】</w:t>
      </w:r>
    </w:p>
    <w:p>
      <w:pPr>
        <w:pStyle w:val="4"/>
        <w:spacing w:line="388" w:lineRule="auto"/>
        <w:ind w:right="213" w:firstLine="480"/>
        <w:rPr>
          <w:color w:val="auto"/>
        </w:rPr>
      </w:pPr>
      <w:r>
        <w:rPr>
          <w:color w:val="auto"/>
        </w:rPr>
        <w:t>未公开营业执照登载的信息或者其营业执照的电子链接标识的，处以七千元以上一万元以下的罚款。</w:t>
      </w:r>
    </w:p>
    <w:p>
      <w:pPr>
        <w:pStyle w:val="2"/>
        <w:spacing w:before="3"/>
        <w:rPr>
          <w:color w:val="auto"/>
        </w:rPr>
      </w:pPr>
      <w:bookmarkStart w:id="255" w:name="_bookmark127"/>
      <w:bookmarkEnd w:id="255"/>
      <w:bookmarkStart w:id="256" w:name="一百二十五、网络商品经营者、有关服务经营者未按规定报送经营统计资料"/>
      <w:bookmarkEnd w:id="256"/>
      <w:r>
        <w:rPr>
          <w:color w:val="auto"/>
        </w:rPr>
        <w:t>一百二十五、网络商品经营者、有关服务经营者未按规定报送经营统计资料</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rPr>
          <w:color w:val="auto"/>
        </w:rPr>
      </w:pPr>
      <w:r>
        <w:rPr>
          <w:color w:val="auto"/>
        </w:rPr>
        <w:t>1</w:t>
      </w:r>
      <w:r>
        <w:rPr>
          <w:color w:val="auto"/>
          <w:spacing w:val="-8"/>
        </w:rPr>
        <w:t>、《网络交易管理办法》第五十一条 违反本办法第八条、第二十一条规定的， 予以警告，责令改正，拒不改正的，处以一万元以下的罚款。</w:t>
      </w:r>
    </w:p>
    <w:p>
      <w:pPr>
        <w:pStyle w:val="4"/>
        <w:spacing w:line="388" w:lineRule="auto"/>
        <w:ind w:right="268" w:firstLine="480"/>
        <w:rPr>
          <w:color w:val="auto"/>
        </w:rPr>
      </w:pPr>
      <w:r>
        <w:rPr>
          <w:color w:val="auto"/>
        </w:rPr>
        <w:t>2</w:t>
      </w:r>
      <w:r>
        <w:rPr>
          <w:color w:val="auto"/>
          <w:spacing w:val="-8"/>
        </w:rPr>
        <w:t>、《网络交易管理办法》第二十一条 网络商品经营者、有关服务经营者应当按照国家工商行政管理总局的规定向所在地工商行政管理部门报送经营统计资料。</w:t>
      </w:r>
    </w:p>
    <w:p>
      <w:pPr>
        <w:spacing w:before="3"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left="591" w:right="3832"/>
        <w:rPr>
          <w:color w:val="auto"/>
        </w:rPr>
      </w:pPr>
      <w:r>
        <w:rPr>
          <w:color w:val="auto"/>
          <w:spacing w:val="-1"/>
        </w:rPr>
        <w:t>第一次拒不改正的，处以三千元以下的罚款。</w:t>
      </w:r>
      <w:r>
        <w:rPr>
          <w:color w:val="auto"/>
        </w:rPr>
        <w:t>2.【一般】</w:t>
      </w:r>
    </w:p>
    <w:p>
      <w:pPr>
        <w:pStyle w:val="4"/>
        <w:spacing w:line="388" w:lineRule="auto"/>
        <w:ind w:left="591" w:right="2632"/>
        <w:rPr>
          <w:color w:val="auto"/>
        </w:rPr>
      </w:pPr>
      <w:r>
        <w:rPr>
          <w:color w:val="auto"/>
          <w:spacing w:val="-1"/>
        </w:rPr>
        <w:t>第二次拒不改正的，处以三千元以上七千元以下的罚款。</w:t>
      </w:r>
      <w:r>
        <w:rPr>
          <w:color w:val="auto"/>
        </w:rPr>
        <w:t>3.【严重】</w:t>
      </w:r>
    </w:p>
    <w:p>
      <w:pPr>
        <w:pStyle w:val="4"/>
        <w:spacing w:before="2"/>
        <w:ind w:left="591"/>
        <w:rPr>
          <w:color w:val="auto"/>
        </w:rPr>
      </w:pPr>
      <w:r>
        <w:rPr>
          <w:color w:val="auto"/>
        </w:rPr>
        <w:t>三次以上拒不改正的，处以七千元以上一万元以下的罚款。</w:t>
      </w:r>
    </w:p>
    <w:p>
      <w:pPr>
        <w:pStyle w:val="2"/>
        <w:spacing w:before="192" w:line="388" w:lineRule="auto"/>
        <w:ind w:left="111" w:right="237" w:firstLine="480"/>
        <w:rPr>
          <w:color w:val="auto"/>
        </w:rPr>
      </w:pPr>
      <w:bookmarkStart w:id="257" w:name="_bookmark128"/>
      <w:bookmarkEnd w:id="257"/>
      <w:bookmarkStart w:id="258" w:name="一百二十六、网络商品经营者、有关服务经营者以交易达成后违背事实的恶意评价损害竞争"/>
      <w:bookmarkEnd w:id="258"/>
      <w:r>
        <w:rPr>
          <w:color w:val="auto"/>
          <w:spacing w:val="-8"/>
        </w:rPr>
        <w:t>一百二十六、网络商品经营者、有关服务经营者以交易达成后违背事实的恶意评价损害竞争对手的商业信誉</w:t>
      </w:r>
    </w:p>
    <w:p>
      <w:pPr>
        <w:spacing w:before="5"/>
        <w:ind w:left="591" w:right="0" w:firstLine="0"/>
        <w:jc w:val="left"/>
        <w:rPr>
          <w:b/>
          <w:color w:val="auto"/>
          <w:sz w:val="24"/>
        </w:rPr>
      </w:pPr>
      <w:r>
        <w:rPr>
          <w:b/>
          <w:color w:val="auto"/>
          <w:sz w:val="24"/>
        </w:rPr>
        <w:t>（一）处罚依据</w:t>
      </w:r>
    </w:p>
    <w:p>
      <w:pPr>
        <w:pStyle w:val="4"/>
        <w:spacing w:before="191" w:line="388" w:lineRule="auto"/>
        <w:ind w:right="232" w:firstLine="480"/>
        <w:rPr>
          <w:color w:val="auto"/>
        </w:rPr>
      </w:pPr>
      <w:r>
        <w:rPr>
          <w:color w:val="auto"/>
        </w:rPr>
        <w:t>1</w:t>
      </w:r>
      <w:r>
        <w:rPr>
          <w:color w:val="auto"/>
          <w:spacing w:val="-9"/>
        </w:rPr>
        <w:t>、《网络交易管理办法》第五十三条 违反本办法第十九条第</w:t>
      </w:r>
      <w:r>
        <w:rPr>
          <w:color w:val="auto"/>
        </w:rPr>
        <w:t>（一）项规定的， 按照《反不正当竞争法》第二十一条的规定处罚；违反本办法第十九条第（二）</w:t>
      </w:r>
      <w:r>
        <w:rPr>
          <w:color w:val="auto"/>
          <w:spacing w:val="-9"/>
        </w:rPr>
        <w:t>项、</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64"/>
        <w:jc w:val="both"/>
        <w:rPr>
          <w:color w:val="auto"/>
        </w:rPr>
      </w:pPr>
      <w:r>
        <w:rPr>
          <w:color w:val="auto"/>
          <w:spacing w:val="-8"/>
        </w:rPr>
        <w:t>第</w:t>
      </w:r>
      <w:r>
        <w:rPr>
          <w:color w:val="auto"/>
        </w:rPr>
        <w:t>（四</w:t>
      </w:r>
      <w:r>
        <w:rPr>
          <w:color w:val="auto"/>
          <w:spacing w:val="-5"/>
        </w:rPr>
        <w:t>）</w:t>
      </w:r>
      <w:r>
        <w:rPr>
          <w:color w:val="auto"/>
          <w:spacing w:val="-6"/>
        </w:rPr>
        <w:t>项规定的，按照《反不正当竞争法》第二十四条的规定处罚；违反本办法第</w:t>
      </w:r>
      <w:r>
        <w:rPr>
          <w:color w:val="auto"/>
          <w:spacing w:val="-2"/>
        </w:rPr>
        <w:t>十九条第</w:t>
      </w:r>
      <w:r>
        <w:rPr>
          <w:color w:val="auto"/>
        </w:rPr>
        <w:t>（三</w:t>
      </w:r>
      <w:r>
        <w:rPr>
          <w:color w:val="auto"/>
          <w:spacing w:val="-5"/>
        </w:rPr>
        <w:t>）</w:t>
      </w:r>
      <w:r>
        <w:rPr>
          <w:color w:val="auto"/>
          <w:spacing w:val="-6"/>
        </w:rPr>
        <w:t>项规定的，按照《反不正当竞争法》第二十六条的规定处罚；违反本</w:t>
      </w:r>
      <w:r>
        <w:rPr>
          <w:color w:val="auto"/>
          <w:spacing w:val="-2"/>
        </w:rPr>
        <w:t>办法第十九条第</w:t>
      </w:r>
      <w:r>
        <w:rPr>
          <w:color w:val="auto"/>
        </w:rPr>
        <w:t>（五</w:t>
      </w:r>
      <w:r>
        <w:rPr>
          <w:color w:val="auto"/>
          <w:spacing w:val="-8"/>
        </w:rPr>
        <w:t>）</w:t>
      </w:r>
      <w:r>
        <w:rPr>
          <w:color w:val="auto"/>
          <w:spacing w:val="-4"/>
        </w:rPr>
        <w:t>项规定的，予以警告，责令改正，并处一万元以上三万元以下</w:t>
      </w:r>
      <w:r>
        <w:rPr>
          <w:color w:val="auto"/>
        </w:rPr>
        <w:t>的罚款。</w:t>
      </w:r>
    </w:p>
    <w:p>
      <w:pPr>
        <w:pStyle w:val="4"/>
        <w:spacing w:line="391" w:lineRule="auto"/>
        <w:ind w:right="268" w:firstLine="480"/>
        <w:jc w:val="both"/>
        <w:rPr>
          <w:color w:val="auto"/>
        </w:rPr>
      </w:pPr>
      <w:r>
        <w:rPr>
          <w:color w:val="auto"/>
        </w:rPr>
        <w:t>2</w:t>
      </w:r>
      <w:r>
        <w:rPr>
          <w:color w:val="auto"/>
          <w:spacing w:val="-8"/>
        </w:rPr>
        <w:t>、《网络交易管理办法》第十九条 网络商品经营者、有关服务经营者销售商品</w:t>
      </w:r>
      <w:r>
        <w:rPr>
          <w:color w:val="auto"/>
          <w:spacing w:val="-10"/>
        </w:rPr>
        <w:t>或者服务，应当遵守《反不正当竞争法》等法律的规定，不得以不正当竞争方式损害</w:t>
      </w:r>
      <w:r>
        <w:rPr>
          <w:color w:val="auto"/>
          <w:spacing w:val="-5"/>
        </w:rPr>
        <w:t>其他经营者的合法权益、扰乱社会经济秩序。同时，不得利用网络技术手段或者载体</w:t>
      </w:r>
      <w:r>
        <w:rPr>
          <w:color w:val="auto"/>
        </w:rPr>
        <w:t>等方式，从事下列不正当竞争行为：</w:t>
      </w:r>
    </w:p>
    <w:p>
      <w:pPr>
        <w:pStyle w:val="4"/>
        <w:spacing w:line="302" w:lineRule="exact"/>
        <w:ind w:left="591"/>
        <w:rPr>
          <w:color w:val="auto"/>
        </w:rPr>
      </w:pPr>
      <w:r>
        <w:rPr>
          <w:color w:val="auto"/>
        </w:rPr>
        <w:t>（五）以交易达成后违背事实的恶意评价损害竞争对手的商业信誉。</w:t>
      </w:r>
    </w:p>
    <w:p>
      <w:pPr>
        <w:spacing w:before="189"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32"/>
        <w:rPr>
          <w:color w:val="auto"/>
        </w:rPr>
      </w:pPr>
      <w:r>
        <w:rPr>
          <w:color w:val="auto"/>
          <w:spacing w:val="-1"/>
        </w:rPr>
        <w:t>发布恶意评价五条以下的，处以一万元以上一万五千元以下的罚款。</w:t>
      </w:r>
      <w:r>
        <w:rPr>
          <w:color w:val="auto"/>
        </w:rPr>
        <w:t>2.【一般】</w:t>
      </w:r>
    </w:p>
    <w:p>
      <w:pPr>
        <w:pStyle w:val="4"/>
        <w:spacing w:before="3" w:line="388" w:lineRule="auto"/>
        <w:ind w:right="269" w:firstLine="480"/>
        <w:rPr>
          <w:color w:val="auto"/>
        </w:rPr>
      </w:pPr>
      <w:r>
        <w:rPr>
          <w:color w:val="auto"/>
        </w:rPr>
        <w:t>发布恶意评价五条以上十条以下的，处以一万五千元以上二万五千元以下的罚款。</w:t>
      </w:r>
    </w:p>
    <w:p>
      <w:pPr>
        <w:pStyle w:val="4"/>
        <w:spacing w:before="2"/>
        <w:ind w:left="591"/>
        <w:rPr>
          <w:color w:val="auto"/>
        </w:rPr>
      </w:pPr>
      <w:r>
        <w:rPr>
          <w:color w:val="auto"/>
        </w:rPr>
        <w:t>3.【严重】</w:t>
      </w:r>
    </w:p>
    <w:p>
      <w:pPr>
        <w:pStyle w:val="4"/>
        <w:spacing w:before="194" w:line="388" w:lineRule="auto"/>
        <w:ind w:right="213" w:firstLine="480"/>
        <w:rPr>
          <w:color w:val="auto"/>
        </w:rPr>
      </w:pPr>
      <w:r>
        <w:rPr>
          <w:color w:val="auto"/>
        </w:rPr>
        <w:t>发布恶意评价十条以上的，或者给竞争对手造成较大损失的，处以二万五千元以上三万元以下的罚款。</w:t>
      </w:r>
    </w:p>
    <w:p>
      <w:pPr>
        <w:pStyle w:val="2"/>
        <w:spacing w:before="2" w:line="391" w:lineRule="auto"/>
        <w:ind w:left="111" w:right="237" w:firstLine="480"/>
        <w:rPr>
          <w:color w:val="auto"/>
        </w:rPr>
      </w:pPr>
      <w:bookmarkStart w:id="259" w:name="_bookmark129"/>
      <w:bookmarkEnd w:id="259"/>
      <w:bookmarkStart w:id="260" w:name="一百二十七、对竞争对手的网站或者网页进行非法技术攻击造成竞争对手无法正常经营"/>
      <w:bookmarkEnd w:id="260"/>
      <w:r>
        <w:rPr>
          <w:color w:val="auto"/>
          <w:spacing w:val="-9"/>
        </w:rPr>
        <w:t>一百二十七、对竞争对手的网站或者网页进行非法技术攻击造成竞争对手无法正常经营</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rPr>
          <w:color w:val="auto"/>
        </w:rPr>
      </w:pPr>
      <w:r>
        <w:rPr>
          <w:color w:val="auto"/>
        </w:rPr>
        <w:t>1</w:t>
      </w:r>
      <w:r>
        <w:rPr>
          <w:color w:val="auto"/>
          <w:spacing w:val="-8"/>
        </w:rPr>
        <w:t>、《网络交易管理办法》第五十四条 违反本办法第二十条规定的，予以警告， 责令改正，并处一万元以上三万元以下的罚款。</w:t>
      </w:r>
    </w:p>
    <w:p>
      <w:pPr>
        <w:pStyle w:val="4"/>
        <w:spacing w:line="388" w:lineRule="auto"/>
        <w:ind w:right="268" w:firstLine="480"/>
        <w:rPr>
          <w:color w:val="auto"/>
        </w:rPr>
      </w:pPr>
      <w:r>
        <w:rPr>
          <w:color w:val="auto"/>
        </w:rPr>
        <w:t>2</w:t>
      </w:r>
      <w:r>
        <w:rPr>
          <w:color w:val="auto"/>
          <w:spacing w:val="-8"/>
        </w:rPr>
        <w:t>、《网络交易管理办法》第二十条 网络商品经营者、有关服务经营者不得对竞争对手的网站或者网页进行非法技术攻击，造成竞争对手无法正常经营。</w:t>
      </w:r>
    </w:p>
    <w:p>
      <w:pPr>
        <w:spacing w:before="3"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ind w:left="591"/>
        <w:rPr>
          <w:color w:val="auto"/>
        </w:rPr>
      </w:pPr>
      <w:r>
        <w:rPr>
          <w:color w:val="auto"/>
        </w:rPr>
        <w:t>造成竞争对手无法正常经营三日以下的，予以警告，并处一万元以上一万五千元</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以下的罚款。</w:t>
      </w:r>
    </w:p>
    <w:p>
      <w:pPr>
        <w:pStyle w:val="13"/>
        <w:numPr>
          <w:ilvl w:val="0"/>
          <w:numId w:val="88"/>
        </w:numPr>
        <w:tabs>
          <w:tab w:val="left" w:pos="833"/>
        </w:tabs>
        <w:spacing w:before="195" w:after="0" w:line="240" w:lineRule="auto"/>
        <w:ind w:left="832" w:right="0" w:hanging="242"/>
        <w:jc w:val="left"/>
        <w:rPr>
          <w:color w:val="auto"/>
          <w:sz w:val="24"/>
        </w:rPr>
      </w:pPr>
      <w:r>
        <w:rPr>
          <w:color w:val="auto"/>
          <w:sz w:val="24"/>
        </w:rPr>
        <w:t>【一般】</w:t>
      </w:r>
    </w:p>
    <w:p>
      <w:pPr>
        <w:pStyle w:val="4"/>
        <w:spacing w:before="191" w:line="388" w:lineRule="auto"/>
        <w:ind w:right="213" w:firstLine="480"/>
        <w:rPr>
          <w:color w:val="auto"/>
        </w:rPr>
      </w:pPr>
      <w:r>
        <w:rPr>
          <w:color w:val="auto"/>
        </w:rPr>
        <w:t>造成竞争对手无法正常经营三日以上五日以下的，予以警告，并处一万五千元以上二万五千元以下的罚款。</w:t>
      </w:r>
    </w:p>
    <w:p>
      <w:pPr>
        <w:pStyle w:val="13"/>
        <w:numPr>
          <w:ilvl w:val="0"/>
          <w:numId w:val="88"/>
        </w:numPr>
        <w:tabs>
          <w:tab w:val="left" w:pos="833"/>
        </w:tabs>
        <w:spacing w:before="5" w:after="0" w:line="240" w:lineRule="auto"/>
        <w:ind w:left="832" w:right="0" w:hanging="242"/>
        <w:jc w:val="left"/>
        <w:rPr>
          <w:color w:val="auto"/>
          <w:sz w:val="24"/>
        </w:rPr>
      </w:pPr>
      <w:r>
        <w:rPr>
          <w:color w:val="auto"/>
          <w:sz w:val="24"/>
        </w:rPr>
        <w:t>【严重】</w:t>
      </w:r>
    </w:p>
    <w:p>
      <w:pPr>
        <w:pStyle w:val="4"/>
        <w:spacing w:before="192" w:line="388" w:lineRule="auto"/>
        <w:ind w:right="213" w:firstLine="480"/>
        <w:rPr>
          <w:color w:val="auto"/>
        </w:rPr>
      </w:pPr>
      <w:r>
        <w:rPr>
          <w:color w:val="auto"/>
        </w:rPr>
        <w:t>造成竞争对手无法正常经营五日以上的，或者给竞争对手造成较大损失的，予以警告，并处二万五千元以上三万元以下的罚款。</w:t>
      </w:r>
    </w:p>
    <w:p>
      <w:pPr>
        <w:pStyle w:val="4"/>
        <w:ind w:left="0"/>
        <w:rPr>
          <w:color w:val="auto"/>
        </w:rPr>
      </w:pPr>
    </w:p>
    <w:p>
      <w:pPr>
        <w:pStyle w:val="4"/>
        <w:ind w:left="0"/>
        <w:rPr>
          <w:color w:val="auto"/>
        </w:rPr>
      </w:pPr>
    </w:p>
    <w:p>
      <w:pPr>
        <w:pStyle w:val="4"/>
        <w:spacing w:before="3"/>
        <w:ind w:left="0"/>
        <w:rPr>
          <w:color w:val="auto"/>
          <w:sz w:val="30"/>
        </w:rPr>
      </w:pPr>
    </w:p>
    <w:p>
      <w:pPr>
        <w:pStyle w:val="4"/>
        <w:tabs>
          <w:tab w:val="left" w:pos="959"/>
        </w:tabs>
        <w:ind w:left="0" w:right="161"/>
        <w:jc w:val="center"/>
        <w:rPr>
          <w:rFonts w:hint="eastAsia" w:ascii="黑体" w:eastAsia="黑体"/>
          <w:color w:val="auto"/>
        </w:rPr>
      </w:pPr>
      <w:bookmarkStart w:id="261" w:name="_bookmark130"/>
      <w:bookmarkEnd w:id="261"/>
      <w:bookmarkStart w:id="262" w:name="第四章  合同监督管理"/>
      <w:bookmarkEnd w:id="262"/>
      <w:r>
        <w:rPr>
          <w:rFonts w:hint="eastAsia" w:ascii="黑体" w:eastAsia="黑体"/>
          <w:color w:val="auto"/>
        </w:rPr>
        <w:t>第四章</w:t>
      </w:r>
      <w:r>
        <w:rPr>
          <w:rFonts w:hint="eastAsia" w:ascii="黑体" w:eastAsia="黑体"/>
          <w:color w:val="auto"/>
        </w:rPr>
        <w:tab/>
      </w:r>
      <w:r>
        <w:rPr>
          <w:rFonts w:hint="eastAsia" w:ascii="黑体" w:eastAsia="黑体"/>
          <w:color w:val="auto"/>
        </w:rPr>
        <w:t>合同监督管理</w:t>
      </w:r>
    </w:p>
    <w:p>
      <w:pPr>
        <w:pStyle w:val="4"/>
        <w:ind w:left="0"/>
        <w:rPr>
          <w:rFonts w:ascii="黑体"/>
          <w:color w:val="auto"/>
        </w:rPr>
      </w:pPr>
    </w:p>
    <w:p>
      <w:pPr>
        <w:pStyle w:val="4"/>
        <w:spacing w:before="1"/>
        <w:ind w:left="0"/>
        <w:rPr>
          <w:rFonts w:ascii="黑体"/>
          <w:color w:val="auto"/>
          <w:sz w:val="30"/>
        </w:rPr>
      </w:pPr>
    </w:p>
    <w:p>
      <w:pPr>
        <w:pStyle w:val="2"/>
        <w:rPr>
          <w:color w:val="auto"/>
        </w:rPr>
      </w:pPr>
      <w:bookmarkStart w:id="263" w:name="_bookmark131"/>
      <w:bookmarkEnd w:id="263"/>
      <w:bookmarkStart w:id="264" w:name="一百二十八、未经许可从事拍卖业务"/>
      <w:bookmarkEnd w:id="264"/>
      <w:r>
        <w:rPr>
          <w:color w:val="auto"/>
        </w:rPr>
        <w:t>一百二十八、未经许可从事拍卖业务</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9"/>
        </w:rPr>
        <w:t>、《中华人民共和国拍卖法》第六十条 违反本法第十一条的规定，未经许可从</w:t>
      </w:r>
      <w:r>
        <w:rPr>
          <w:color w:val="auto"/>
          <w:spacing w:val="-11"/>
        </w:rPr>
        <w:t>事拍卖业务的，由工商行政管理部门予以取缔，没收违法所得，并可以处违法所得一</w:t>
      </w:r>
      <w:r>
        <w:rPr>
          <w:color w:val="auto"/>
        </w:rPr>
        <w:t>倍以上五倍以下的罚款。</w:t>
      </w:r>
    </w:p>
    <w:p>
      <w:pPr>
        <w:pStyle w:val="4"/>
        <w:spacing w:before="6" w:line="388" w:lineRule="auto"/>
        <w:ind w:right="148" w:firstLine="480"/>
        <w:rPr>
          <w:color w:val="auto"/>
        </w:rPr>
      </w:pPr>
      <w:r>
        <w:rPr>
          <w:color w:val="auto"/>
        </w:rPr>
        <w:t>2</w:t>
      </w:r>
      <w:r>
        <w:rPr>
          <w:color w:val="auto"/>
          <w:spacing w:val="-10"/>
        </w:rPr>
        <w:t>、《中华人民共和国拍卖法》第十一条 拍卖企业可以在设区的市设立。设立拍</w:t>
      </w:r>
      <w:r>
        <w:rPr>
          <w:color w:val="auto"/>
          <w:spacing w:val="-17"/>
        </w:rPr>
        <w:t xml:space="preserve">卖企业必须经所在地的省、自治区、直辖市人民政府负责管理拍卖业的部门审核许可， </w:t>
      </w:r>
      <w:r>
        <w:rPr>
          <w:color w:val="auto"/>
        </w:rPr>
        <w:t>并向工商行政管理部门申请登记，领取营业执照。</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13" w:firstLine="480"/>
        <w:rPr>
          <w:color w:val="auto"/>
        </w:rPr>
      </w:pPr>
      <w:r>
        <w:rPr>
          <w:color w:val="auto"/>
        </w:rPr>
        <w:t>违法所得一万元以下的，没收违法所得，并可以处违法所得一倍以上二倍以下的罚款。</w:t>
      </w:r>
    </w:p>
    <w:p>
      <w:pPr>
        <w:pStyle w:val="13"/>
        <w:numPr>
          <w:ilvl w:val="0"/>
          <w:numId w:val="89"/>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13" w:firstLine="480"/>
        <w:rPr>
          <w:color w:val="auto"/>
        </w:rPr>
      </w:pPr>
      <w:r>
        <w:rPr>
          <w:color w:val="auto"/>
        </w:rPr>
        <w:t>违法所得一万元以上十万元以下的，没收违法所得，并处违法所得二倍以上三倍以下的罚款。</w:t>
      </w:r>
    </w:p>
    <w:p>
      <w:pPr>
        <w:pStyle w:val="13"/>
        <w:numPr>
          <w:ilvl w:val="0"/>
          <w:numId w:val="89"/>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ind w:left="591"/>
        <w:rPr>
          <w:color w:val="auto"/>
        </w:rPr>
      </w:pPr>
      <w:r>
        <w:rPr>
          <w:color w:val="auto"/>
        </w:rPr>
        <w:t>违法所得十万元以上的，或者曾因违反本法受过处罚后又违反本法的，没收违法</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所得，并处违法所得三倍以上五倍以下的罚款。</w:t>
      </w:r>
    </w:p>
    <w:p>
      <w:pPr>
        <w:pStyle w:val="2"/>
        <w:spacing w:before="195"/>
        <w:rPr>
          <w:color w:val="auto"/>
        </w:rPr>
      </w:pPr>
      <w:bookmarkStart w:id="265" w:name="_bookmark132"/>
      <w:bookmarkEnd w:id="265"/>
      <w:bookmarkStart w:id="266" w:name="一百二十九、拍卖人及其工作人员违反规定参与竞买或者委托他人代为竞买"/>
      <w:bookmarkEnd w:id="266"/>
      <w:r>
        <w:rPr>
          <w:color w:val="auto"/>
        </w:rPr>
        <w:t>一百二十九、拍卖人及其工作人员违反规定参与竞买或者委托他人代为竞买</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、《中华人民共和国拍卖法》第六十二条 拍卖人及其工作人员违反本法第二十</w:t>
      </w:r>
      <w:r>
        <w:rPr>
          <w:color w:val="auto"/>
          <w:spacing w:val="-10"/>
        </w:rPr>
        <w:t>二条的规定，参与竞买或者委托他人代为竞买的，由工商行政管理部门对拍卖人给予</w:t>
      </w:r>
      <w:r>
        <w:rPr>
          <w:color w:val="auto"/>
        </w:rPr>
        <w:t>警告，可以处拍卖佣金一倍以上五倍以下的罚款；情节严重的，吊销营业执照。</w:t>
      </w:r>
    </w:p>
    <w:p>
      <w:pPr>
        <w:pStyle w:val="4"/>
        <w:spacing w:line="391" w:lineRule="auto"/>
        <w:ind w:right="271" w:firstLine="480"/>
        <w:jc w:val="both"/>
        <w:rPr>
          <w:color w:val="auto"/>
        </w:rPr>
      </w:pPr>
      <w:r>
        <w:rPr>
          <w:color w:val="auto"/>
        </w:rPr>
        <w:t>2</w:t>
      </w:r>
      <w:r>
        <w:rPr>
          <w:color w:val="auto"/>
          <w:spacing w:val="-9"/>
        </w:rPr>
        <w:t>、《中华人民共和国拍卖法》第二十二条 拍卖人及其工作人员不得以竞买人的身份参与自己组织的拍卖活动，并不得委托他人代为竞买。</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712"/>
        <w:rPr>
          <w:color w:val="auto"/>
        </w:rPr>
      </w:pPr>
      <w:r>
        <w:rPr>
          <w:color w:val="auto"/>
          <w:spacing w:val="-1"/>
        </w:rPr>
        <w:t>佣金五万元以下的，给予警告，可以处拍卖佣金一倍以上二倍以下的罚款。</w:t>
      </w:r>
      <w:r>
        <w:rPr>
          <w:color w:val="auto"/>
        </w:rPr>
        <w:t>2.【一般】</w:t>
      </w:r>
    </w:p>
    <w:p>
      <w:pPr>
        <w:pStyle w:val="4"/>
        <w:spacing w:before="1" w:line="391" w:lineRule="auto"/>
        <w:ind w:left="591" w:right="952"/>
        <w:rPr>
          <w:color w:val="auto"/>
        </w:rPr>
      </w:pPr>
      <w:r>
        <w:rPr>
          <w:color w:val="auto"/>
          <w:spacing w:val="-1"/>
        </w:rPr>
        <w:t>佣金五万元以上的，给予警告，处以拍卖佣金二倍以上五倍以下的罚款。</w:t>
      </w:r>
      <w:r>
        <w:rPr>
          <w:color w:val="auto"/>
        </w:rPr>
        <w:t>3.【严重】</w:t>
      </w:r>
    </w:p>
    <w:p>
      <w:pPr>
        <w:pStyle w:val="4"/>
        <w:spacing w:line="388" w:lineRule="auto"/>
        <w:ind w:right="213" w:firstLine="480"/>
        <w:rPr>
          <w:color w:val="auto"/>
        </w:rPr>
      </w:pPr>
      <w:r>
        <w:rPr>
          <w:color w:val="auto"/>
        </w:rPr>
        <w:t>曾因违反本法受过两次以上处罚后又违反本法的，或者其违法行为在社会上造成不良影响的，吊销营业执照。</w:t>
      </w:r>
    </w:p>
    <w:p>
      <w:pPr>
        <w:pStyle w:val="2"/>
        <w:spacing w:before="3"/>
        <w:rPr>
          <w:color w:val="auto"/>
        </w:rPr>
      </w:pPr>
      <w:bookmarkStart w:id="267" w:name="_bookmark133"/>
      <w:bookmarkEnd w:id="267"/>
      <w:bookmarkStart w:id="268" w:name="一百三十、委托人违反规定参与竞买或者委托他人代为竞买"/>
      <w:bookmarkEnd w:id="268"/>
      <w:r>
        <w:rPr>
          <w:color w:val="auto"/>
        </w:rPr>
        <w:t>一百三十、委托人违反规定参与竞买或者委托他人代为竞买</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、《中华人民共和国拍卖法》六十四条 违反本法第三十条的规定，委托人参与</w:t>
      </w:r>
      <w:r>
        <w:rPr>
          <w:color w:val="auto"/>
          <w:spacing w:val="-12"/>
        </w:rPr>
        <w:t>竞买或者委托他人代为竞买的，工商行政管理部门可以对委托人处拍卖成交价百分之</w:t>
      </w:r>
      <w:r>
        <w:rPr>
          <w:color w:val="auto"/>
        </w:rPr>
        <w:t>三十以下的罚款。</w:t>
      </w:r>
    </w:p>
    <w:p>
      <w:pPr>
        <w:pStyle w:val="4"/>
        <w:spacing w:line="391" w:lineRule="auto"/>
        <w:ind w:right="268" w:firstLine="480"/>
        <w:jc w:val="both"/>
        <w:rPr>
          <w:color w:val="auto"/>
        </w:rPr>
      </w:pPr>
      <w:r>
        <w:rPr>
          <w:color w:val="auto"/>
        </w:rPr>
        <w:t>2</w:t>
      </w:r>
      <w:r>
        <w:rPr>
          <w:color w:val="auto"/>
          <w:spacing w:val="-9"/>
        </w:rPr>
        <w:t>、《中华人民共和国拍卖法》第三十条 委托人不得参与竞买，也不得委托他人代为竞买。</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32"/>
        <w:rPr>
          <w:color w:val="auto"/>
        </w:rPr>
      </w:pPr>
      <w:r>
        <w:rPr>
          <w:color w:val="auto"/>
          <w:spacing w:val="-1"/>
        </w:rPr>
        <w:t>拍卖成交价十万元以下的，可以处拍卖成交价百分之十以下的罚款。</w:t>
      </w:r>
      <w:r>
        <w:rPr>
          <w:color w:val="auto"/>
        </w:rPr>
        <w:t>2.【一般】</w:t>
      </w:r>
    </w:p>
    <w:p>
      <w:pPr>
        <w:pStyle w:val="4"/>
        <w:spacing w:before="1"/>
        <w:ind w:left="591"/>
        <w:rPr>
          <w:color w:val="auto"/>
        </w:rPr>
      </w:pPr>
      <w:r>
        <w:rPr>
          <w:color w:val="auto"/>
        </w:rPr>
        <w:t>拍卖成交价十万元以上一百万元以下的，处以拍卖成交价百分之十以上百分之二</w:t>
      </w:r>
    </w:p>
    <w:p>
      <w:pPr>
        <w:spacing w:after="0"/>
        <w:rPr>
          <w:color w:val="auto"/>
        </w:rPr>
        <w:sectPr>
          <w:pgSz w:w="11910" w:h="16840"/>
          <w:pgMar w:top="1520" w:right="1260" w:bottom="1220" w:left="1420" w:header="0" w:footer="1034" w:gutter="0"/>
        </w:sectPr>
      </w:pPr>
    </w:p>
    <w:p>
      <w:pPr>
        <w:pStyle w:val="4"/>
        <w:spacing w:before="39" w:line="391" w:lineRule="auto"/>
        <w:ind w:left="591" w:right="7432" w:hanging="480"/>
        <w:rPr>
          <w:color w:val="auto"/>
        </w:rPr>
      </w:pPr>
      <w:r>
        <w:rPr>
          <w:color w:val="auto"/>
        </w:rPr>
        <w:t>十以下的罚款。3.【严重】</w:t>
      </w:r>
    </w:p>
    <w:p>
      <w:pPr>
        <w:pStyle w:val="4"/>
        <w:spacing w:line="388" w:lineRule="auto"/>
        <w:ind w:right="213" w:firstLine="480"/>
        <w:rPr>
          <w:color w:val="auto"/>
        </w:rPr>
      </w:pPr>
      <w:r>
        <w:rPr>
          <w:color w:val="auto"/>
        </w:rPr>
        <w:t>拍卖成交价一百万元以上的，处以拍卖成交价百分之二十以上百分之三十以下的罚款。</w:t>
      </w:r>
    </w:p>
    <w:p>
      <w:pPr>
        <w:pStyle w:val="2"/>
        <w:spacing w:before="3"/>
        <w:rPr>
          <w:color w:val="auto"/>
        </w:rPr>
      </w:pPr>
      <w:bookmarkStart w:id="269" w:name="一百三十一、竞买人之间、竞买人与拍卖人之间恶意串通损害他人利益"/>
      <w:bookmarkEnd w:id="269"/>
      <w:bookmarkStart w:id="270" w:name="_bookmark134"/>
      <w:bookmarkEnd w:id="270"/>
      <w:r>
        <w:rPr>
          <w:color w:val="auto"/>
        </w:rPr>
        <w:t>一百三十一、竞买人之间、竞买人与拍卖人之间恶意串通损害他人利益</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、《中华人民共和国拍卖法》第六十五条 违反本法第三十七条的规定，竞买人</w:t>
      </w:r>
      <w:r>
        <w:rPr>
          <w:color w:val="auto"/>
          <w:spacing w:val="-10"/>
        </w:rPr>
        <w:t>之间、竞买人与拍卖人之间恶意串通，给他人造成损害的，拍卖无效，应当依法承担</w:t>
      </w:r>
      <w:r>
        <w:rPr>
          <w:color w:val="auto"/>
          <w:spacing w:val="-7"/>
        </w:rPr>
        <w:t>赔偿责任。由工商行政管理部门对参与恶意串通的竞买人处最高应价百分之十以上百</w:t>
      </w:r>
      <w:r>
        <w:rPr>
          <w:color w:val="auto"/>
          <w:spacing w:val="-5"/>
        </w:rPr>
        <w:t>分之三十以下的罚款；对参与恶意串通的拍卖人处最高应价百分之十以上百分之五十</w:t>
      </w:r>
      <w:r>
        <w:rPr>
          <w:color w:val="auto"/>
        </w:rPr>
        <w:t>以下的罚款。</w:t>
      </w:r>
    </w:p>
    <w:p>
      <w:pPr>
        <w:pStyle w:val="4"/>
        <w:spacing w:line="388" w:lineRule="auto"/>
        <w:ind w:right="271" w:firstLine="480"/>
        <w:jc w:val="both"/>
        <w:rPr>
          <w:color w:val="auto"/>
        </w:rPr>
      </w:pPr>
      <w:r>
        <w:rPr>
          <w:color w:val="auto"/>
        </w:rPr>
        <w:t>2</w:t>
      </w:r>
      <w:r>
        <w:rPr>
          <w:color w:val="auto"/>
          <w:spacing w:val="-9"/>
        </w:rPr>
        <w:t>、《中华人民共和国拍卖法》第三十七条 竞买人之间、竞买人与拍卖人之间不得恶意串通，损害他人利益。</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before="1" w:line="391" w:lineRule="auto"/>
        <w:ind w:right="213" w:firstLine="480"/>
        <w:rPr>
          <w:color w:val="auto"/>
        </w:rPr>
      </w:pPr>
      <w:r>
        <w:rPr>
          <w:color w:val="auto"/>
        </w:rPr>
        <w:t>最高应价十万元以下的，对竞买人处以最高应价百分之十以上百分之十五以下的罚款，对拍卖人处以最高应价百分之十以上百分之二十以下的罚款。</w:t>
      </w:r>
    </w:p>
    <w:p>
      <w:pPr>
        <w:pStyle w:val="13"/>
        <w:numPr>
          <w:ilvl w:val="0"/>
          <w:numId w:val="90"/>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32" w:firstLine="480"/>
        <w:rPr>
          <w:color w:val="auto"/>
        </w:rPr>
      </w:pPr>
      <w:r>
        <w:rPr>
          <w:color w:val="auto"/>
        </w:rPr>
        <w:t>最高应价十万元以上一百万元下的，对竞买人处以最高应价百分之十五以上百分之二十以下的罚款，对拍卖人处以最高应价百分之二十以上百分之三十以下的罚款。</w:t>
      </w:r>
    </w:p>
    <w:p>
      <w:pPr>
        <w:pStyle w:val="13"/>
        <w:numPr>
          <w:ilvl w:val="0"/>
          <w:numId w:val="90"/>
        </w:numPr>
        <w:tabs>
          <w:tab w:val="left" w:pos="833"/>
        </w:tabs>
        <w:spacing w:before="0" w:after="0" w:line="306" w:lineRule="exact"/>
        <w:ind w:left="832" w:right="0" w:hanging="242"/>
        <w:jc w:val="left"/>
        <w:rPr>
          <w:color w:val="auto"/>
          <w:sz w:val="24"/>
        </w:rPr>
      </w:pPr>
      <w:r>
        <w:rPr>
          <w:color w:val="auto"/>
          <w:sz w:val="24"/>
        </w:rPr>
        <w:t>【严重】</w:t>
      </w:r>
    </w:p>
    <w:p>
      <w:pPr>
        <w:pStyle w:val="4"/>
        <w:spacing w:before="191" w:line="391" w:lineRule="auto"/>
        <w:ind w:right="213" w:firstLine="480"/>
        <w:rPr>
          <w:color w:val="auto"/>
        </w:rPr>
      </w:pPr>
      <w:r>
        <w:rPr>
          <w:color w:val="auto"/>
        </w:rPr>
        <w:t>最高应价一百万元以上的，对竞买人处以最高应价百分之二十以上百分之三十以下的罚款，对拍卖人处以最高应价百分之三十以上百分之五十以下的罚款。</w:t>
      </w:r>
    </w:p>
    <w:p>
      <w:pPr>
        <w:pStyle w:val="2"/>
        <w:spacing w:line="306" w:lineRule="exact"/>
        <w:rPr>
          <w:color w:val="auto"/>
        </w:rPr>
      </w:pPr>
      <w:bookmarkStart w:id="271" w:name="一百三十二、拍卖人雇佣非拍卖师主持拍卖活动"/>
      <w:bookmarkEnd w:id="271"/>
      <w:bookmarkStart w:id="272" w:name="_bookmark135"/>
      <w:bookmarkEnd w:id="272"/>
      <w:r>
        <w:rPr>
          <w:color w:val="auto"/>
        </w:rPr>
        <w:t>一百三十二、拍卖人雇佣非拍卖师主持拍卖活动</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rPr>
          <w:color w:val="auto"/>
        </w:rPr>
      </w:pPr>
      <w:r>
        <w:rPr>
          <w:color w:val="auto"/>
        </w:rPr>
        <w:t>1</w:t>
      </w:r>
      <w:r>
        <w:rPr>
          <w:color w:val="auto"/>
          <w:spacing w:val="-8"/>
        </w:rPr>
        <w:t>、《拍卖监督管理办法》第十三条 拍卖人违反本办法第五条第七项规定的，由</w:t>
      </w:r>
      <w:r>
        <w:rPr>
          <w:color w:val="auto"/>
          <w:spacing w:val="-4"/>
        </w:rPr>
        <w:t xml:space="preserve">工商行政管理部门予以警告，并可处 </w:t>
      </w:r>
      <w:r>
        <w:rPr>
          <w:color w:val="auto"/>
        </w:rPr>
        <w:t>10000</w:t>
      </w:r>
      <w:r>
        <w:rPr>
          <w:color w:val="auto"/>
          <w:spacing w:val="-8"/>
        </w:rPr>
        <w:t xml:space="preserve"> 元以下的罚款。</w:t>
      </w:r>
    </w:p>
    <w:p>
      <w:pPr>
        <w:pStyle w:val="4"/>
        <w:spacing w:before="2"/>
        <w:ind w:left="581"/>
        <w:rPr>
          <w:color w:val="auto"/>
        </w:rPr>
      </w:pPr>
      <w:r>
        <w:rPr>
          <w:color w:val="auto"/>
        </w:rPr>
        <w:t>2、《拍卖监督管理办法》第五条 拍卖人不得有下列行为：</w:t>
      </w:r>
    </w:p>
    <w:p>
      <w:pPr>
        <w:spacing w:after="0"/>
        <w:rPr>
          <w:color w:val="auto"/>
        </w:rPr>
        <w:sectPr>
          <w:pgSz w:w="11910" w:h="16840"/>
          <w:pgMar w:top="1520" w:right="1260" w:bottom="1220" w:left="1420" w:header="0" w:footer="1034" w:gutter="0"/>
        </w:sectPr>
      </w:pPr>
    </w:p>
    <w:p>
      <w:pPr>
        <w:pStyle w:val="4"/>
        <w:spacing w:before="39"/>
        <w:ind w:left="581"/>
        <w:rPr>
          <w:color w:val="auto"/>
        </w:rPr>
      </w:pPr>
      <w:r>
        <w:rPr>
          <w:color w:val="auto"/>
        </w:rPr>
        <w:t>（七）雇佣非拍卖师主持拍卖活动。</w:t>
      </w:r>
    </w:p>
    <w:p>
      <w:pPr>
        <w:spacing w:before="19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32" w:firstLine="480"/>
        <w:rPr>
          <w:color w:val="auto"/>
        </w:rPr>
      </w:pPr>
      <w:r>
        <w:rPr>
          <w:color w:val="auto"/>
        </w:rPr>
        <w:t>拍卖人雇佣非拍卖师主持拍卖活动，能够在拍卖活动开始前及时发现并纠正的， 予以警告，并处三千元以下的罚款。</w:t>
      </w:r>
    </w:p>
    <w:p>
      <w:pPr>
        <w:pStyle w:val="13"/>
        <w:numPr>
          <w:ilvl w:val="0"/>
          <w:numId w:val="91"/>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213" w:firstLine="480"/>
        <w:rPr>
          <w:color w:val="auto"/>
        </w:rPr>
      </w:pPr>
      <w:r>
        <w:rPr>
          <w:color w:val="auto"/>
        </w:rPr>
        <w:t>拍卖人雇佣非拍卖师主持拍卖活动，主观无故意或者重大过失且能够证明其履行了必要审查程序的，予以警告，并处三千元以上七千元以下的罚款。</w:t>
      </w:r>
    </w:p>
    <w:p>
      <w:pPr>
        <w:pStyle w:val="13"/>
        <w:numPr>
          <w:ilvl w:val="0"/>
          <w:numId w:val="91"/>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拍卖人雇佣非拍卖师主持拍卖活动，造成恶劣影响或者经济损失或者反复多次实施的，予以警告，并处七千元以上一万元以下的罚款。</w:t>
      </w:r>
    </w:p>
    <w:p>
      <w:pPr>
        <w:pStyle w:val="2"/>
        <w:spacing w:line="306" w:lineRule="exact"/>
        <w:rPr>
          <w:color w:val="auto"/>
        </w:rPr>
      </w:pPr>
      <w:bookmarkStart w:id="273" w:name="一百三十三、伪造合同"/>
      <w:bookmarkEnd w:id="273"/>
      <w:bookmarkStart w:id="274" w:name="_bookmark136"/>
      <w:bookmarkEnd w:id="274"/>
      <w:r>
        <w:rPr>
          <w:color w:val="auto"/>
        </w:rPr>
        <w:t>一百三十三、伪造合同</w:t>
      </w:r>
    </w:p>
    <w:p>
      <w:pPr>
        <w:spacing w:before="192"/>
        <w:ind w:left="591" w:right="0" w:firstLine="0"/>
        <w:jc w:val="left"/>
        <w:rPr>
          <w:b/>
          <w:color w:val="auto"/>
          <w:sz w:val="24"/>
        </w:rPr>
      </w:pPr>
      <w:r>
        <w:rPr>
          <w:b/>
          <w:color w:val="auto"/>
          <w:sz w:val="24"/>
        </w:rPr>
        <w:t>（一）处罚依据</w:t>
      </w:r>
    </w:p>
    <w:p>
      <w:pPr>
        <w:pStyle w:val="4"/>
        <w:spacing w:before="194"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、《合同违法行为监督处理办法》第六条 当事人不得利用合同实施下列欺诈行为：</w:t>
      </w:r>
    </w:p>
    <w:p>
      <w:pPr>
        <w:pStyle w:val="4"/>
        <w:ind w:left="591"/>
        <w:rPr>
          <w:color w:val="auto"/>
        </w:rPr>
      </w:pPr>
      <w:r>
        <w:rPr>
          <w:color w:val="auto"/>
        </w:rPr>
        <w:t>（一）伪造合同。</w:t>
      </w:r>
    </w:p>
    <w:p>
      <w:pPr>
        <w:spacing w:before="190" w:line="388" w:lineRule="auto"/>
        <w:ind w:left="591" w:right="6948" w:firstLine="0"/>
        <w:jc w:val="left"/>
        <w:rPr>
          <w:color w:val="auto"/>
          <w:sz w:val="24"/>
        </w:rPr>
      </w:pPr>
      <w:r>
        <w:rPr>
          <w:b/>
          <w:color w:val="auto"/>
          <w:sz w:val="24"/>
        </w:rPr>
        <w:t>（二）裁量标准</w:t>
      </w:r>
      <w:r>
        <w:rPr>
          <w:color w:val="auto"/>
          <w:sz w:val="24"/>
        </w:rPr>
        <w:t>1.【较轻】</w:t>
      </w:r>
    </w:p>
    <w:p>
      <w:pPr>
        <w:pStyle w:val="4"/>
        <w:spacing w:before="5" w:line="388"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before="5" w:line="388" w:lineRule="auto"/>
        <w:ind w:left="591" w:right="2872"/>
        <w:rPr>
          <w:color w:val="auto"/>
        </w:rPr>
      </w:pPr>
      <w:r>
        <w:rPr>
          <w:color w:val="auto"/>
        </w:rPr>
        <w:t>没有违法所得的，给予警告，处以三千元以下的罚款。2.【一般】</w:t>
      </w:r>
    </w:p>
    <w:p>
      <w:pPr>
        <w:pStyle w:val="4"/>
        <w:spacing w:before="3"/>
        <w:ind w:left="591"/>
        <w:rPr>
          <w:color w:val="auto"/>
        </w:rPr>
      </w:pPr>
      <w:r>
        <w:rPr>
          <w:color w:val="auto"/>
        </w:rPr>
        <w:t>总合同标的额五万元以上二十万元以下的；单份合同标的额一万元以上五万元以</w:t>
      </w:r>
    </w:p>
    <w:p>
      <w:pPr>
        <w:spacing w:after="0"/>
        <w:rPr>
          <w:color w:val="auto"/>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91"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rPr>
        <w:t>总合同标的额二十万元以上的；单份合同标的额五万元以上的；违法行为持续一年以上的；合同违法给他人造成损失金额十万元以上的，有违法所得的，给予警告， 处以违法所得额二倍以上三倍以下的罚款，但最高不超过三万元。</w:t>
      </w:r>
    </w:p>
    <w:p>
      <w:pPr>
        <w:spacing w:before="0" w:line="388" w:lineRule="auto"/>
        <w:ind w:left="591" w:right="1646" w:firstLine="0"/>
        <w:jc w:val="left"/>
        <w:rPr>
          <w:b/>
          <w:color w:val="auto"/>
          <w:sz w:val="24"/>
        </w:rPr>
      </w:pPr>
      <w:r>
        <w:rPr>
          <w:color w:val="auto"/>
          <w:sz w:val="24"/>
        </w:rPr>
        <w:t>没有违法所得的，给予警告，处以七千元以上一万元以下的罚款。</w:t>
      </w:r>
      <w:bookmarkStart w:id="275" w:name="一百三十四、虚构合同主体资格或者盗用、冒用他人名义订立合同"/>
      <w:bookmarkEnd w:id="275"/>
      <w:bookmarkStart w:id="276" w:name="_bookmark137"/>
      <w:bookmarkEnd w:id="276"/>
      <w:r>
        <w:rPr>
          <w:b/>
          <w:color w:val="auto"/>
          <w:sz w:val="24"/>
        </w:rPr>
        <w:t>一百三十四、虚构合同主体资格或者盗用、冒用他人名义订立合同</w:t>
      </w:r>
    </w:p>
    <w:p>
      <w:pPr>
        <w:pStyle w:val="2"/>
        <w:rPr>
          <w:color w:val="auto"/>
        </w:rPr>
      </w:pPr>
      <w:r>
        <w:rPr>
          <w:color w:val="auto"/>
        </w:rPr>
        <w:t>（一）处罚依据</w:t>
      </w:r>
    </w:p>
    <w:p>
      <w:pPr>
        <w:pStyle w:val="4"/>
        <w:spacing w:before="188"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71" w:firstLine="480"/>
        <w:rPr>
          <w:color w:val="auto"/>
        </w:rPr>
      </w:pPr>
      <w:r>
        <w:rPr>
          <w:color w:val="auto"/>
        </w:rPr>
        <w:t>2</w:t>
      </w:r>
      <w:r>
        <w:rPr>
          <w:color w:val="auto"/>
          <w:spacing w:val="-9"/>
        </w:rPr>
        <w:t>、《合同违法行为监督处理办法》第六条 当事人不得利用合同实施下列欺诈行为：</w:t>
      </w:r>
    </w:p>
    <w:p>
      <w:pPr>
        <w:pStyle w:val="4"/>
        <w:spacing w:line="306" w:lineRule="exact"/>
        <w:ind w:left="591"/>
        <w:rPr>
          <w:color w:val="auto"/>
        </w:rPr>
      </w:pPr>
      <w:r>
        <w:rPr>
          <w:color w:val="auto"/>
        </w:rPr>
        <w:t>（二）虚构合同主体资格或者盗用、冒用他人名义订立合同。</w:t>
      </w:r>
    </w:p>
    <w:p>
      <w:pPr>
        <w:spacing w:before="186"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line="388" w:lineRule="auto"/>
        <w:ind w:left="591" w:right="2872"/>
        <w:rPr>
          <w:color w:val="auto"/>
        </w:rPr>
      </w:pPr>
      <w:r>
        <w:rPr>
          <w:color w:val="auto"/>
        </w:rPr>
        <w:t>没有违法所得的，给予警告，处以三千元以下的罚款。2.【一般】</w:t>
      </w:r>
    </w:p>
    <w:p>
      <w:pPr>
        <w:pStyle w:val="4"/>
        <w:spacing w:line="388"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p>
    <w:p>
      <w:pPr>
        <w:spacing w:after="0" w:line="388"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款，但最高不超过三万元。</w:t>
      </w:r>
    </w:p>
    <w:p>
      <w:pPr>
        <w:pStyle w:val="4"/>
        <w:spacing w:before="195" w:line="388" w:lineRule="auto"/>
        <w:ind w:left="591" w:right="1672"/>
        <w:rPr>
          <w:color w:val="auto"/>
        </w:rPr>
      </w:pPr>
      <w:r>
        <w:rPr>
          <w:color w:val="auto"/>
        </w:rPr>
        <w:t>没有违法所得的，给予警告，处以三千元以上七千元以下的罚款。3.【严重】</w:t>
      </w:r>
    </w:p>
    <w:p>
      <w:pPr>
        <w:pStyle w:val="4"/>
        <w:spacing w:before="2" w:line="391" w:lineRule="auto"/>
        <w:ind w:right="232" w:firstLine="480"/>
        <w:jc w:val="both"/>
        <w:rPr>
          <w:color w:val="auto"/>
        </w:rPr>
      </w:pPr>
      <w:r>
        <w:rPr>
          <w:color w:val="auto"/>
        </w:rPr>
        <w:t>总合同标的额二十万元以上的；单份合同标的额五万元以上的；违法行为持续一年以上的；合同违法给他人造成损失金额十万元以上的，有违法所得的，给予警告， 处以违法所得额二倍以上三倍以下的罚款，但最高不超过三万元。</w:t>
      </w:r>
    </w:p>
    <w:p>
      <w:pPr>
        <w:spacing w:before="0" w:line="391" w:lineRule="auto"/>
        <w:ind w:left="591" w:right="1646" w:firstLine="0"/>
        <w:jc w:val="left"/>
        <w:rPr>
          <w:b/>
          <w:color w:val="auto"/>
          <w:sz w:val="24"/>
        </w:rPr>
      </w:pPr>
      <w:r>
        <w:rPr>
          <w:color w:val="auto"/>
          <w:sz w:val="24"/>
        </w:rPr>
        <w:t>没有违法所得的，给予警告，处以七千元以上一万元以下的罚款。</w:t>
      </w:r>
      <w:bookmarkStart w:id="277" w:name="_bookmark138"/>
      <w:bookmarkEnd w:id="277"/>
      <w:bookmarkStart w:id="278" w:name="一百三十五、虚构合同标的、货源、销售渠道诱人订立、履行合同"/>
      <w:bookmarkEnd w:id="278"/>
      <w:r>
        <w:rPr>
          <w:b/>
          <w:color w:val="auto"/>
          <w:sz w:val="24"/>
        </w:rPr>
        <w:t>一百三十五、虚构合同标的、货源、销售渠道诱人订立、履行合同</w:t>
      </w:r>
    </w:p>
    <w:p>
      <w:pPr>
        <w:pStyle w:val="2"/>
        <w:spacing w:line="306" w:lineRule="exact"/>
        <w:rPr>
          <w:color w:val="auto"/>
        </w:rPr>
      </w:pPr>
      <w:r>
        <w:rPr>
          <w:color w:val="auto"/>
        </w:rPr>
        <w:t>（一）处罚依据</w:t>
      </w:r>
    </w:p>
    <w:p>
      <w:pPr>
        <w:pStyle w:val="4"/>
        <w:spacing w:before="188"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、《合同违法行为监督处理办法》第六条 当事人不得利用合同实施下列欺诈行为：</w:t>
      </w:r>
    </w:p>
    <w:p>
      <w:pPr>
        <w:pStyle w:val="4"/>
        <w:spacing w:line="391" w:lineRule="auto"/>
        <w:ind w:left="591" w:right="1432"/>
        <w:rPr>
          <w:b/>
          <w:color w:val="auto"/>
        </w:rPr>
      </w:pPr>
      <w:r>
        <w:rPr>
          <w:color w:val="auto"/>
        </w:rPr>
        <w:t>（三）虚构合同标的或者虚构货源、销售渠道诱人订立、履行合同。</w:t>
      </w:r>
      <w:r>
        <w:rPr>
          <w:b/>
          <w:color w:val="auto"/>
        </w:rPr>
        <w:t>(二)裁量标准</w:t>
      </w:r>
    </w:p>
    <w:p>
      <w:pPr>
        <w:pStyle w:val="4"/>
        <w:spacing w:line="306" w:lineRule="exact"/>
        <w:ind w:left="591"/>
        <w:rPr>
          <w:color w:val="auto"/>
        </w:rPr>
      </w:pPr>
      <w:r>
        <w:rPr>
          <w:color w:val="auto"/>
        </w:rPr>
        <w:t>1.【较轻】</w:t>
      </w:r>
    </w:p>
    <w:p>
      <w:pPr>
        <w:pStyle w:val="4"/>
        <w:spacing w:before="190" w:line="391"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line="391" w:lineRule="auto"/>
        <w:ind w:left="591" w:right="2872"/>
        <w:rPr>
          <w:color w:val="auto"/>
        </w:rPr>
      </w:pPr>
      <w:r>
        <w:rPr>
          <w:color w:val="auto"/>
        </w:rPr>
        <w:t>没有违法所得的，给予警告，处以三千元以下的罚款。2.【一般】</w:t>
      </w:r>
    </w:p>
    <w:p>
      <w:pPr>
        <w:pStyle w:val="4"/>
        <w:spacing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02" w:lineRule="exact"/>
        <w:ind w:left="591"/>
        <w:rPr>
          <w:color w:val="auto"/>
        </w:rPr>
      </w:pPr>
      <w:r>
        <w:rPr>
          <w:color w:val="auto"/>
        </w:rPr>
        <w:t>没有违法所得的，给予警告，处以三千元以上七千元以下的罚款。</w:t>
      </w:r>
    </w:p>
    <w:p>
      <w:pPr>
        <w:spacing w:after="0" w:line="302" w:lineRule="exact"/>
        <w:rPr>
          <w:color w:val="auto"/>
        </w:rPr>
        <w:sectPr>
          <w:footerReference r:id="rId9" w:type="default"/>
          <w:footerReference r:id="rId10" w:type="even"/>
          <w:pgSz w:w="11910" w:h="16840"/>
          <w:pgMar w:top="1520" w:right="1260" w:bottom="1220" w:left="1420" w:header="0" w:footer="1034" w:gutter="0"/>
          <w:pgNumType w:start="90"/>
        </w:sectPr>
      </w:pPr>
    </w:p>
    <w:p>
      <w:pPr>
        <w:pStyle w:val="4"/>
        <w:spacing w:before="39"/>
        <w:ind w:left="591"/>
        <w:rPr>
          <w:color w:val="auto"/>
        </w:rPr>
      </w:pPr>
      <w:r>
        <w:rPr>
          <w:color w:val="auto"/>
        </w:rPr>
        <w:t>3.【严重】</w:t>
      </w:r>
    </w:p>
    <w:p>
      <w:pPr>
        <w:pStyle w:val="4"/>
        <w:spacing w:before="195" w:line="388" w:lineRule="auto"/>
        <w:ind w:right="232" w:firstLine="480"/>
        <w:jc w:val="both"/>
        <w:rPr>
          <w:color w:val="auto"/>
        </w:rPr>
      </w:pPr>
      <w:r>
        <w:rPr>
          <w:color w:val="auto"/>
        </w:rPr>
        <w:t>总合同标的额二十万元以上的；单份合同标的额五万元以上的；违法行为持续一年以上的；合同违法给他人造成损失金额十万元以上的，有违法所得的，给予警告， 处以违法所得额二倍以上三倍以下的罚款，但最高不超过三万元。</w:t>
      </w:r>
    </w:p>
    <w:p>
      <w:pPr>
        <w:spacing w:before="5" w:line="388" w:lineRule="auto"/>
        <w:ind w:left="591" w:right="1672" w:firstLine="0"/>
        <w:jc w:val="left"/>
        <w:rPr>
          <w:b/>
          <w:color w:val="auto"/>
          <w:sz w:val="24"/>
        </w:rPr>
      </w:pPr>
      <w:r>
        <w:rPr>
          <w:color w:val="auto"/>
          <w:sz w:val="24"/>
        </w:rPr>
        <w:t>没有违法所得的，给予警告，处以七千元以上一万元以下的罚款。</w:t>
      </w:r>
      <w:bookmarkStart w:id="279" w:name="_bookmark139"/>
      <w:bookmarkEnd w:id="279"/>
      <w:bookmarkStart w:id="280" w:name="一百三十六、发布或者利用虚假信息诱人订立合同"/>
      <w:bookmarkEnd w:id="280"/>
      <w:r>
        <w:rPr>
          <w:b/>
          <w:color w:val="auto"/>
          <w:sz w:val="24"/>
        </w:rPr>
        <w:t>一百三十六、发布或者利用虚假信息诱人订立合同</w:t>
      </w:r>
    </w:p>
    <w:p>
      <w:pPr>
        <w:pStyle w:val="2"/>
        <w:spacing w:before="2"/>
        <w:rPr>
          <w:color w:val="auto"/>
        </w:rPr>
      </w:pPr>
      <w:r>
        <w:rPr>
          <w:color w:val="auto"/>
        </w:rPr>
        <w:t>（一）处罚依据</w:t>
      </w:r>
    </w:p>
    <w:p>
      <w:pPr>
        <w:pStyle w:val="4"/>
        <w:spacing w:before="194" w:line="391" w:lineRule="auto"/>
        <w:ind w:right="146" w:firstLine="47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、《合同违法行为监督处理办法》第六条 当事人不得利用合同实施下列欺诈行为：</w:t>
      </w:r>
    </w:p>
    <w:p>
      <w:pPr>
        <w:pStyle w:val="4"/>
        <w:ind w:left="591"/>
        <w:rPr>
          <w:color w:val="auto"/>
        </w:rPr>
      </w:pPr>
      <w:r>
        <w:rPr>
          <w:color w:val="auto"/>
        </w:rPr>
        <w:t>（四）发布或者利用虚假信息，诱人订立合同。</w:t>
      </w:r>
    </w:p>
    <w:p>
      <w:pPr>
        <w:spacing w:before="191" w:line="388" w:lineRule="auto"/>
        <w:ind w:left="591" w:right="6948" w:firstLine="0"/>
        <w:jc w:val="left"/>
        <w:rPr>
          <w:color w:val="auto"/>
          <w:sz w:val="24"/>
        </w:rPr>
      </w:pPr>
      <w:r>
        <w:rPr>
          <w:b/>
          <w:color w:val="auto"/>
          <w:sz w:val="24"/>
        </w:rPr>
        <w:t>（二）裁量标准</w:t>
      </w:r>
      <w:r>
        <w:rPr>
          <w:color w:val="auto"/>
          <w:sz w:val="24"/>
        </w:rPr>
        <w:t>1.【较轻】</w:t>
      </w:r>
    </w:p>
    <w:p>
      <w:pPr>
        <w:pStyle w:val="4"/>
        <w:spacing w:before="4" w:line="388"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before="6" w:line="388" w:lineRule="auto"/>
        <w:ind w:left="591" w:right="2872"/>
        <w:rPr>
          <w:color w:val="auto"/>
        </w:rPr>
      </w:pPr>
      <w:r>
        <w:rPr>
          <w:color w:val="auto"/>
        </w:rPr>
        <w:t>没有违法所得的，给予警告，处以三千元以下的罚款。2.【一般】</w:t>
      </w:r>
    </w:p>
    <w:p>
      <w:pPr>
        <w:pStyle w:val="4"/>
        <w:spacing w:before="2"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ind w:left="591"/>
        <w:rPr>
          <w:color w:val="auto"/>
        </w:rPr>
      </w:pPr>
      <w:r>
        <w:rPr>
          <w:color w:val="auto"/>
        </w:rPr>
        <w:t>总合同标的额二十万元以上的；单份合同标的额五万元以上的；违法行为持续一</w:t>
      </w:r>
    </w:p>
    <w:p>
      <w:pPr>
        <w:spacing w:after="0"/>
        <w:rPr>
          <w:color w:val="auto"/>
        </w:rPr>
        <w:sectPr>
          <w:pgSz w:w="11910" w:h="16840"/>
          <w:pgMar w:top="1520" w:right="1260" w:bottom="1220" w:left="1420" w:header="0" w:footer="1034" w:gutter="0"/>
        </w:sectPr>
      </w:pPr>
    </w:p>
    <w:p>
      <w:pPr>
        <w:pStyle w:val="4"/>
        <w:spacing w:before="39" w:line="391" w:lineRule="auto"/>
        <w:ind w:right="232"/>
        <w:rPr>
          <w:color w:val="auto"/>
        </w:rPr>
      </w:pPr>
      <w:r>
        <w:rPr>
          <w:color w:val="auto"/>
        </w:rPr>
        <w:t>年以上的；合同违法给他人造成损失金额十万元以上的，有违法所得的，给予警告， 处以违法所得额二倍以上三倍以下的罚款，但最高不超过三万元。</w:t>
      </w:r>
    </w:p>
    <w:p>
      <w:pPr>
        <w:spacing w:before="0" w:line="388" w:lineRule="auto"/>
        <w:ind w:left="591" w:right="1672" w:firstLine="0"/>
        <w:jc w:val="left"/>
        <w:rPr>
          <w:b/>
          <w:color w:val="auto"/>
          <w:sz w:val="24"/>
        </w:rPr>
      </w:pPr>
      <w:r>
        <w:rPr>
          <w:color w:val="auto"/>
          <w:sz w:val="24"/>
        </w:rPr>
        <w:t>没有违法所得的，给予警告，处以七千元以上一万元以下的罚款。</w:t>
      </w:r>
      <w:bookmarkStart w:id="281" w:name="一百三十七、隐瞒重要事实诱骗对方订立或者履行合同"/>
      <w:bookmarkEnd w:id="281"/>
      <w:bookmarkStart w:id="282" w:name="_bookmark140"/>
      <w:bookmarkEnd w:id="282"/>
      <w:r>
        <w:rPr>
          <w:b/>
          <w:color w:val="auto"/>
          <w:sz w:val="24"/>
        </w:rPr>
        <w:t>一百三十七、隐瞒重要事实诱骗对方订立或者履行合同</w:t>
      </w:r>
    </w:p>
    <w:p>
      <w:pPr>
        <w:pStyle w:val="2"/>
        <w:spacing w:before="3"/>
        <w:rPr>
          <w:color w:val="auto"/>
        </w:rPr>
      </w:pPr>
      <w:r>
        <w:rPr>
          <w:color w:val="auto"/>
        </w:rPr>
        <w:t>（一）处罚依据</w:t>
      </w:r>
    </w:p>
    <w:p>
      <w:pPr>
        <w:pStyle w:val="4"/>
        <w:spacing w:before="192"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71" w:firstLine="480"/>
        <w:rPr>
          <w:color w:val="auto"/>
        </w:rPr>
      </w:pPr>
      <w:r>
        <w:rPr>
          <w:color w:val="auto"/>
        </w:rPr>
        <w:t>2</w:t>
      </w:r>
      <w:r>
        <w:rPr>
          <w:color w:val="auto"/>
          <w:spacing w:val="-9"/>
        </w:rPr>
        <w:t>、《合同违法行为监督处理办法》第六条 当事人不得利用合同实施下列欺诈行为：</w:t>
      </w:r>
    </w:p>
    <w:p>
      <w:pPr>
        <w:pStyle w:val="4"/>
        <w:spacing w:line="388" w:lineRule="auto"/>
        <w:ind w:right="213" w:firstLine="480"/>
        <w:rPr>
          <w:color w:val="auto"/>
        </w:rPr>
      </w:pPr>
      <w:r>
        <w:rPr>
          <w:color w:val="auto"/>
        </w:rPr>
        <w:t>（五）隐瞒重要事实，诱骗对方当事人做出错误的意思表示订立合同，或者诱骗对方当事人履行合同。</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line="391" w:lineRule="auto"/>
        <w:ind w:left="591" w:right="2872"/>
        <w:rPr>
          <w:color w:val="auto"/>
        </w:rPr>
      </w:pPr>
      <w:r>
        <w:rPr>
          <w:color w:val="auto"/>
        </w:rPr>
        <w:t>没有违法所得的，给予警告，处以三千元以下的罚款。2.【一般】</w:t>
      </w:r>
    </w:p>
    <w:p>
      <w:pPr>
        <w:pStyle w:val="4"/>
        <w:spacing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91" w:lineRule="auto"/>
        <w:ind w:left="591" w:right="1672"/>
        <w:rPr>
          <w:color w:val="auto"/>
        </w:rPr>
      </w:pPr>
      <w:r>
        <w:rPr>
          <w:color w:val="auto"/>
        </w:rPr>
        <w:t>没有违法所得的，给予警告，处以三千元以上七千元以下的罚款。3.【严重】</w:t>
      </w:r>
    </w:p>
    <w:p>
      <w:pPr>
        <w:pStyle w:val="4"/>
        <w:spacing w:line="388" w:lineRule="auto"/>
        <w:ind w:right="232" w:firstLine="480"/>
        <w:rPr>
          <w:color w:val="auto"/>
        </w:rPr>
      </w:pPr>
      <w:r>
        <w:rPr>
          <w:color w:val="auto"/>
        </w:rPr>
        <w:t>总合同标的额二十万元以上的；单份合同标的额五万元以上的；违法行为持续一年以上的；合同违法给他人造成损失金额十万元以上的，有违法所得的，给予警告，</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处以违法所得额二倍以上三倍以下的罚款，但最高不超过三万元。</w:t>
      </w:r>
    </w:p>
    <w:p>
      <w:pPr>
        <w:pStyle w:val="4"/>
        <w:spacing w:before="195"/>
        <w:ind w:left="591"/>
        <w:rPr>
          <w:color w:val="auto"/>
        </w:rPr>
      </w:pPr>
      <w:r>
        <w:rPr>
          <w:color w:val="auto"/>
        </w:rPr>
        <w:t>没有违法所得的，给予警告，处以七千元以上一万元以下的罚款。</w:t>
      </w:r>
    </w:p>
    <w:p>
      <w:pPr>
        <w:pStyle w:val="2"/>
        <w:spacing w:before="191" w:line="388" w:lineRule="auto"/>
        <w:ind w:left="111" w:right="240" w:firstLine="480"/>
        <w:rPr>
          <w:color w:val="auto"/>
        </w:rPr>
      </w:pPr>
      <w:bookmarkStart w:id="283" w:name="一百三十八、没有履行能力、以先履行小额合同或者部分履行合同的方法诱骗对方当事人订"/>
      <w:bookmarkEnd w:id="283"/>
      <w:bookmarkStart w:id="284" w:name="_bookmark141"/>
      <w:bookmarkEnd w:id="284"/>
      <w:r>
        <w:rPr>
          <w:color w:val="auto"/>
          <w:spacing w:val="-9"/>
        </w:rPr>
        <w:t>一百三十八、没有履行能力、以先履行小额合同或者部分履行合同的方法诱骗对方当事人订立、履行合同</w:t>
      </w:r>
    </w:p>
    <w:p>
      <w:pPr>
        <w:spacing w:before="5"/>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71" w:firstLine="480"/>
        <w:rPr>
          <w:color w:val="auto"/>
        </w:rPr>
      </w:pPr>
      <w:r>
        <w:rPr>
          <w:color w:val="auto"/>
        </w:rPr>
        <w:t>2</w:t>
      </w:r>
      <w:r>
        <w:rPr>
          <w:color w:val="auto"/>
          <w:spacing w:val="-9"/>
        </w:rPr>
        <w:t>、《合同违法行为监督处理办法》第六条 当事人不得利用合同实施下列欺诈行为：</w:t>
      </w:r>
    </w:p>
    <w:p>
      <w:pPr>
        <w:pStyle w:val="4"/>
        <w:spacing w:line="388" w:lineRule="auto"/>
        <w:ind w:right="213" w:firstLine="480"/>
        <w:rPr>
          <w:color w:val="auto"/>
        </w:rPr>
      </w:pPr>
      <w:r>
        <w:rPr>
          <w:color w:val="auto"/>
        </w:rPr>
        <w:t>（六）没有实际履行能力，以先履行小额合同或者部分履行合同的方法，诱骗对方当事人订立、履行合同。</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line="391" w:lineRule="auto"/>
        <w:ind w:left="591" w:right="2872"/>
        <w:rPr>
          <w:color w:val="auto"/>
        </w:rPr>
      </w:pPr>
      <w:r>
        <w:rPr>
          <w:color w:val="auto"/>
        </w:rPr>
        <w:t>没有违法所得的，给予警告，处以三千元以下的罚款。2.【一般】</w:t>
      </w:r>
    </w:p>
    <w:p>
      <w:pPr>
        <w:pStyle w:val="4"/>
        <w:spacing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91" w:lineRule="auto"/>
        <w:ind w:left="591" w:right="1672"/>
        <w:rPr>
          <w:color w:val="auto"/>
        </w:rPr>
      </w:pPr>
      <w:r>
        <w:rPr>
          <w:color w:val="auto"/>
        </w:rPr>
        <w:t>没有违法所得的，给予警告，处以三千元以上七千元以下的罚款。3.【严重】</w:t>
      </w:r>
    </w:p>
    <w:p>
      <w:pPr>
        <w:pStyle w:val="4"/>
        <w:spacing w:line="388" w:lineRule="auto"/>
        <w:ind w:right="232" w:firstLine="480"/>
        <w:rPr>
          <w:color w:val="auto"/>
        </w:rPr>
      </w:pPr>
      <w:r>
        <w:rPr>
          <w:color w:val="auto"/>
        </w:rPr>
        <w:t>总合同标的额二十万元以上的；单份合同标的额五万元以上的；违法行为持续一年以上的；合同违法给他人造成损失金额十万元以上的，有违法所得的，给予警告，</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处以违法所得额二倍以上三倍以下的罚款，但最高不超过三万元。</w:t>
      </w:r>
    </w:p>
    <w:p>
      <w:pPr>
        <w:spacing w:before="195" w:line="388" w:lineRule="auto"/>
        <w:ind w:left="591" w:right="1406" w:firstLine="0"/>
        <w:jc w:val="left"/>
        <w:rPr>
          <w:b/>
          <w:color w:val="auto"/>
          <w:sz w:val="24"/>
        </w:rPr>
      </w:pPr>
      <w:r>
        <w:rPr>
          <w:color w:val="auto"/>
          <w:sz w:val="24"/>
        </w:rPr>
        <w:t>没有违法所得的，给予警告，处以七千元以上一万元以下的罚款。</w:t>
      </w:r>
      <w:bookmarkStart w:id="285" w:name="一百三十九、恶意设置事实上不能履行的条款造成对方无法履行合同"/>
      <w:bookmarkEnd w:id="285"/>
      <w:bookmarkStart w:id="286" w:name="_bookmark142"/>
      <w:bookmarkEnd w:id="286"/>
      <w:r>
        <w:rPr>
          <w:color w:val="auto"/>
          <w:sz w:val="24"/>
        </w:rPr>
        <w:t xml:space="preserve"> </w:t>
      </w:r>
      <w:r>
        <w:rPr>
          <w:b/>
          <w:color w:val="auto"/>
          <w:spacing w:val="-1"/>
          <w:sz w:val="24"/>
        </w:rPr>
        <w:t>一百三十九、恶意设置事实上不能履行的条款造成对方无法履行合同</w:t>
      </w:r>
    </w:p>
    <w:p>
      <w:pPr>
        <w:pStyle w:val="2"/>
        <w:spacing w:before="2"/>
        <w:rPr>
          <w:color w:val="auto"/>
        </w:rPr>
      </w:pPr>
      <w:r>
        <w:rPr>
          <w:color w:val="auto"/>
        </w:rPr>
        <w:t>（一）处罚依据</w:t>
      </w:r>
    </w:p>
    <w:p>
      <w:pPr>
        <w:pStyle w:val="4"/>
        <w:spacing w:before="194"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02" w:lineRule="exact"/>
        <w:ind w:left="680"/>
        <w:rPr>
          <w:color w:val="auto"/>
        </w:rPr>
      </w:pPr>
      <w:r>
        <w:rPr>
          <w:color w:val="auto"/>
        </w:rPr>
        <w:t>2、《合同违法行为监督处理办法》第六条 当事人不得利用合同实施下列欺诈行</w:t>
      </w:r>
    </w:p>
    <w:p>
      <w:pPr>
        <w:pStyle w:val="4"/>
        <w:spacing w:before="191"/>
        <w:rPr>
          <w:color w:val="auto"/>
        </w:rPr>
      </w:pPr>
      <w:r>
        <w:rPr>
          <w:color w:val="auto"/>
        </w:rPr>
        <w:t>为：</w:t>
      </w:r>
    </w:p>
    <w:p>
      <w:pPr>
        <w:pStyle w:val="4"/>
        <w:spacing w:before="195"/>
        <w:ind w:left="680"/>
        <w:rPr>
          <w:color w:val="auto"/>
        </w:rPr>
      </w:pPr>
      <w:r>
        <w:rPr>
          <w:color w:val="auto"/>
        </w:rPr>
        <w:t>（七）恶意设置事实上不能履行的条款，造成对方当事人无法履行合同。</w:t>
      </w:r>
    </w:p>
    <w:p>
      <w:pPr>
        <w:spacing w:before="191" w:line="388" w:lineRule="auto"/>
        <w:ind w:left="591" w:right="6948" w:firstLine="0"/>
        <w:jc w:val="left"/>
        <w:rPr>
          <w:color w:val="auto"/>
          <w:sz w:val="24"/>
        </w:rPr>
      </w:pPr>
      <w:r>
        <w:rPr>
          <w:b/>
          <w:color w:val="auto"/>
          <w:sz w:val="24"/>
        </w:rPr>
        <w:t>（二）裁量标准</w:t>
      </w:r>
      <w:r>
        <w:rPr>
          <w:color w:val="auto"/>
          <w:sz w:val="24"/>
        </w:rPr>
        <w:t>1.【较轻】</w:t>
      </w:r>
    </w:p>
    <w:p>
      <w:pPr>
        <w:pStyle w:val="4"/>
        <w:spacing w:before="5" w:line="388"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before="5" w:line="388" w:lineRule="auto"/>
        <w:ind w:left="591" w:right="2872"/>
        <w:rPr>
          <w:color w:val="auto"/>
        </w:rPr>
      </w:pPr>
      <w:r>
        <w:rPr>
          <w:color w:val="auto"/>
        </w:rPr>
        <w:t>没有违法所得的，给予警告，处以三千元以下的罚款。2.【一般】</w:t>
      </w:r>
    </w:p>
    <w:p>
      <w:pPr>
        <w:pStyle w:val="4"/>
        <w:spacing w:before="2"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rPr>
        <w:t>总合同标的额二十万元以上的；单份合同标的额五万元以上的；违法行为持续一年以上的；合同违法给他人造成损失金额十万元以上的，有违法所得的，给予警告， 处以违法所得额二倍以上三倍以下的罚款，但最高不超过三万元。</w:t>
      </w:r>
    </w:p>
    <w:p>
      <w:pPr>
        <w:pStyle w:val="4"/>
        <w:spacing w:line="304" w:lineRule="exact"/>
        <w:ind w:left="591"/>
        <w:rPr>
          <w:color w:val="auto"/>
        </w:rPr>
      </w:pPr>
      <w:r>
        <w:rPr>
          <w:color w:val="auto"/>
        </w:rPr>
        <w:t>没有违法所得的，给予警告，处以七千元以上一万元以下的罚款。</w:t>
      </w:r>
    </w:p>
    <w:p>
      <w:pPr>
        <w:spacing w:after="0" w:line="304" w:lineRule="exact"/>
        <w:rPr>
          <w:color w:val="auto"/>
        </w:rPr>
        <w:sectPr>
          <w:pgSz w:w="11910" w:h="16840"/>
          <w:pgMar w:top="1520" w:right="1260" w:bottom="1220" w:left="1420" w:header="0" w:footer="1034" w:gutter="0"/>
        </w:sectPr>
      </w:pPr>
    </w:p>
    <w:p>
      <w:pPr>
        <w:pStyle w:val="2"/>
        <w:spacing w:before="39"/>
        <w:rPr>
          <w:color w:val="auto"/>
        </w:rPr>
      </w:pPr>
      <w:bookmarkStart w:id="287" w:name="一百四十、编造虚假理由中止（终止）合同骗取财物"/>
      <w:bookmarkEnd w:id="287"/>
      <w:bookmarkStart w:id="288" w:name="_bookmark143"/>
      <w:bookmarkEnd w:id="288"/>
      <w:r>
        <w:rPr>
          <w:color w:val="auto"/>
        </w:rPr>
        <w:t>一百四十、编造虚假理由中止（终止）合同骗取财物</w:t>
      </w:r>
    </w:p>
    <w:p>
      <w:pPr>
        <w:spacing w:before="195"/>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71" w:firstLine="480"/>
        <w:rPr>
          <w:color w:val="auto"/>
        </w:rPr>
      </w:pPr>
      <w:r>
        <w:rPr>
          <w:color w:val="auto"/>
        </w:rPr>
        <w:t>2</w:t>
      </w:r>
      <w:r>
        <w:rPr>
          <w:color w:val="auto"/>
          <w:spacing w:val="-9"/>
        </w:rPr>
        <w:t>、《合同违法行为监督处理办法》第六条 当事人不得利用合同实施下列欺诈行为：</w:t>
      </w:r>
    </w:p>
    <w:p>
      <w:pPr>
        <w:pStyle w:val="4"/>
        <w:spacing w:line="306" w:lineRule="exact"/>
        <w:ind w:left="591"/>
        <w:rPr>
          <w:color w:val="auto"/>
        </w:rPr>
      </w:pPr>
      <w:r>
        <w:rPr>
          <w:color w:val="auto"/>
        </w:rPr>
        <w:t>（八）编造虚假理由中止（终止）合同，骗取财物。</w:t>
      </w:r>
    </w:p>
    <w:p>
      <w:pPr>
        <w:spacing w:before="186"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line="388" w:lineRule="auto"/>
        <w:ind w:left="591" w:right="2872"/>
        <w:rPr>
          <w:color w:val="auto"/>
        </w:rPr>
      </w:pPr>
      <w:r>
        <w:rPr>
          <w:color w:val="auto"/>
        </w:rPr>
        <w:t>没有违法所得的，给予警告，处以三千元以下的罚款。2.【一般】</w:t>
      </w:r>
    </w:p>
    <w:p>
      <w:pPr>
        <w:pStyle w:val="4"/>
        <w:spacing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88" w:lineRule="auto"/>
        <w:ind w:right="232" w:firstLine="480"/>
        <w:jc w:val="both"/>
        <w:rPr>
          <w:color w:val="auto"/>
        </w:rPr>
      </w:pPr>
      <w:r>
        <w:rPr>
          <w:color w:val="auto"/>
        </w:rPr>
        <w:t>总合同标的额二十万元以上的；单份合同标的额五万元以上的；违法行为持续一年以上的；合同违法给他人造成损失金额十万元以上的，有违法所得的，给予警告， 处以违法所得额二倍以上三倍以下的罚款，但最高不超过三万元。</w:t>
      </w:r>
    </w:p>
    <w:p>
      <w:pPr>
        <w:spacing w:before="4" w:line="388" w:lineRule="auto"/>
        <w:ind w:left="591" w:right="1672" w:firstLine="0"/>
        <w:jc w:val="left"/>
        <w:rPr>
          <w:b/>
          <w:color w:val="auto"/>
          <w:sz w:val="24"/>
        </w:rPr>
      </w:pPr>
      <w:r>
        <w:rPr>
          <w:color w:val="auto"/>
          <w:sz w:val="24"/>
        </w:rPr>
        <w:t>没有违法所得的，给予警告，处以七千元以上一万元以下的罚款。</w:t>
      </w:r>
      <w:bookmarkStart w:id="289" w:name="_bookmark144"/>
      <w:bookmarkEnd w:id="289"/>
      <w:bookmarkStart w:id="290" w:name="一百四十一、利用合同提供虚假担保"/>
      <w:bookmarkEnd w:id="290"/>
      <w:r>
        <w:rPr>
          <w:b/>
          <w:color w:val="auto"/>
          <w:sz w:val="24"/>
        </w:rPr>
        <w:t>一百四十一、利用合同提供虚假担保</w:t>
      </w:r>
    </w:p>
    <w:p>
      <w:pPr>
        <w:pStyle w:val="2"/>
        <w:spacing w:before="2"/>
        <w:rPr>
          <w:color w:val="auto"/>
        </w:rPr>
      </w:pPr>
      <w:r>
        <w:rPr>
          <w:color w:val="auto"/>
        </w:rPr>
        <w:t>（一）处罚依据</w:t>
      </w:r>
    </w:p>
    <w:p>
      <w:pPr>
        <w:spacing w:after="0"/>
        <w:rPr>
          <w:color w:val="auto"/>
        </w:rPr>
        <w:sectPr>
          <w:pgSz w:w="11910" w:h="16840"/>
          <w:pgMar w:top="1520" w:right="1260" w:bottom="1220" w:left="1420" w:header="0" w:footer="1034" w:gutter="0"/>
        </w:sectPr>
      </w:pPr>
    </w:p>
    <w:p>
      <w:pPr>
        <w:pStyle w:val="4"/>
        <w:spacing w:before="39"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04" w:lineRule="exact"/>
        <w:ind w:left="627"/>
        <w:rPr>
          <w:color w:val="auto"/>
        </w:rPr>
      </w:pPr>
      <w:r>
        <w:rPr>
          <w:color w:val="auto"/>
        </w:rPr>
        <w:t>2、《合同违法行为监督处理办法》第六条 当事人不得利用合同实施下列欺诈行</w:t>
      </w:r>
    </w:p>
    <w:p>
      <w:pPr>
        <w:pStyle w:val="4"/>
        <w:spacing w:before="192"/>
        <w:rPr>
          <w:color w:val="auto"/>
        </w:rPr>
      </w:pPr>
      <w:r>
        <w:rPr>
          <w:color w:val="auto"/>
        </w:rPr>
        <w:t>为：</w:t>
      </w:r>
    </w:p>
    <w:p>
      <w:pPr>
        <w:pStyle w:val="4"/>
        <w:spacing w:before="192"/>
        <w:ind w:left="627"/>
        <w:rPr>
          <w:color w:val="auto"/>
        </w:rPr>
      </w:pPr>
      <w:r>
        <w:rPr>
          <w:color w:val="auto"/>
        </w:rPr>
        <w:t>（九）提供虚假担保。</w:t>
      </w:r>
    </w:p>
    <w:p>
      <w:pPr>
        <w:spacing w:before="194"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line="391" w:lineRule="auto"/>
        <w:ind w:left="591" w:right="2872"/>
        <w:rPr>
          <w:color w:val="auto"/>
        </w:rPr>
      </w:pPr>
      <w:r>
        <w:rPr>
          <w:color w:val="auto"/>
        </w:rPr>
        <w:t>没有违法所得的，给予警告，处以三千元以下的罚款。2.【一般】</w:t>
      </w:r>
    </w:p>
    <w:p>
      <w:pPr>
        <w:pStyle w:val="4"/>
        <w:spacing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91"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rPr>
        <w:t>总合同标的额二十万元以上的；单份合同标的额五万元以上的；违法行为持续一年以上的；合同违法给他人造成损失金额十万元以上的，有违法所得的，给予警告， 处以违法所得额二倍以上三倍以下的罚款，但最高不超过三万元。</w:t>
      </w:r>
    </w:p>
    <w:p>
      <w:pPr>
        <w:pStyle w:val="4"/>
        <w:spacing w:line="304" w:lineRule="exact"/>
        <w:ind w:left="591"/>
        <w:rPr>
          <w:color w:val="auto"/>
        </w:rPr>
      </w:pPr>
      <w:r>
        <w:rPr>
          <w:color w:val="auto"/>
        </w:rPr>
        <w:t>没有违法所得的，给予警告，处以七千元以上一万元以下的罚款。</w:t>
      </w:r>
    </w:p>
    <w:p>
      <w:pPr>
        <w:pStyle w:val="2"/>
        <w:spacing w:before="179"/>
        <w:rPr>
          <w:color w:val="auto"/>
        </w:rPr>
      </w:pPr>
      <w:bookmarkStart w:id="291" w:name="一百四十二、以贿赂、胁迫等手段订立、履行合同损害国家利益、社会公共利益"/>
      <w:bookmarkEnd w:id="291"/>
      <w:bookmarkStart w:id="292" w:name="_bookmark145"/>
      <w:bookmarkEnd w:id="292"/>
      <w:r>
        <w:rPr>
          <w:color w:val="auto"/>
        </w:rPr>
        <w:t>一百四十二、以贿赂、胁迫等手段订立、履行合同损害国家利益、社会公共利益</w:t>
      </w:r>
    </w:p>
    <w:p>
      <w:pPr>
        <w:spacing w:before="194"/>
        <w:ind w:left="591" w:right="0" w:firstLine="0"/>
        <w:jc w:val="left"/>
        <w:rPr>
          <w:b/>
          <w:color w:val="auto"/>
          <w:sz w:val="24"/>
        </w:rPr>
      </w:pPr>
      <w:r>
        <w:rPr>
          <w:b/>
          <w:color w:val="auto"/>
          <w:sz w:val="24"/>
        </w:rPr>
        <w:t>（一）处罚依据</w:t>
      </w:r>
    </w:p>
    <w:p>
      <w:pPr>
        <w:pStyle w:val="4"/>
        <w:spacing w:before="192" w:line="388"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、《合同违法行为监督处理办法》第七条 当事人不得利用合同实施下列危害国家利益、 社会公共利益的行为：</w:t>
      </w:r>
    </w:p>
    <w:p>
      <w:pPr>
        <w:pStyle w:val="4"/>
        <w:spacing w:before="3"/>
        <w:ind w:left="591"/>
        <w:rPr>
          <w:color w:val="auto"/>
        </w:rPr>
      </w:pPr>
      <w:r>
        <w:rPr>
          <w:color w:val="auto"/>
        </w:rPr>
        <w:t>（一）以贿赂、胁迫等手段订立、履行合同，损害国家利益、社会公共利益。</w:t>
      </w:r>
    </w:p>
    <w:p>
      <w:pPr>
        <w:spacing w:before="192" w:line="388" w:lineRule="auto"/>
        <w:ind w:left="591" w:right="6948" w:firstLine="0"/>
        <w:jc w:val="left"/>
        <w:rPr>
          <w:color w:val="auto"/>
          <w:sz w:val="24"/>
        </w:rPr>
      </w:pPr>
      <w:r>
        <w:rPr>
          <w:b/>
          <w:color w:val="auto"/>
          <w:sz w:val="24"/>
        </w:rPr>
        <w:t>（二）裁量标准</w:t>
      </w:r>
      <w:r>
        <w:rPr>
          <w:color w:val="auto"/>
          <w:sz w:val="24"/>
        </w:rPr>
        <w:t>1.【较轻】</w:t>
      </w:r>
    </w:p>
    <w:p>
      <w:pPr>
        <w:pStyle w:val="4"/>
        <w:spacing w:before="5" w:line="388"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before="5" w:line="388" w:lineRule="auto"/>
        <w:ind w:left="591" w:right="2872"/>
        <w:rPr>
          <w:color w:val="auto"/>
        </w:rPr>
      </w:pPr>
      <w:r>
        <w:rPr>
          <w:color w:val="auto"/>
        </w:rPr>
        <w:t>没有违法所得的，给予警告，处以三千元以下的罚款。2.【一般】</w:t>
      </w:r>
    </w:p>
    <w:p>
      <w:pPr>
        <w:pStyle w:val="4"/>
        <w:spacing w:before="2"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rPr>
        <w:t>总合同标的额二十万元以上的；单份合同标的额五万元以上的；违法行为持续一年以上的；合同违法给他人造成损失金额十万元以上的，有违法所得的，给予警告， 处以违法所得额二倍以上三倍以下的罚款，但最高不超过三万元。</w:t>
      </w:r>
    </w:p>
    <w:p>
      <w:pPr>
        <w:pStyle w:val="4"/>
        <w:spacing w:line="304" w:lineRule="exact"/>
        <w:ind w:left="591"/>
        <w:rPr>
          <w:color w:val="auto"/>
        </w:rPr>
      </w:pPr>
      <w:r>
        <w:rPr>
          <w:color w:val="auto"/>
        </w:rPr>
        <w:t>没有违法所得的，给予警告，处以七千元以上一万元以下的罚款。</w:t>
      </w:r>
    </w:p>
    <w:p>
      <w:pPr>
        <w:pStyle w:val="2"/>
        <w:spacing w:before="193"/>
        <w:rPr>
          <w:color w:val="auto"/>
        </w:rPr>
      </w:pPr>
      <w:bookmarkStart w:id="293" w:name="一百四十三、以恶意串通手段订立、履行合同损害国家利益、社会公共利益"/>
      <w:bookmarkEnd w:id="293"/>
      <w:bookmarkStart w:id="294" w:name="_bookmark146"/>
      <w:bookmarkEnd w:id="294"/>
      <w:r>
        <w:rPr>
          <w:color w:val="auto"/>
        </w:rPr>
        <w:t>一百四十三、以恶意串通手段订立、履行合同损害国家利益、社会公共利益</w:t>
      </w:r>
    </w:p>
    <w:p>
      <w:pPr>
        <w:spacing w:before="192"/>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spacing w:after="0" w:line="391" w:lineRule="auto"/>
        <w:rPr>
          <w:color w:val="auto"/>
        </w:rPr>
        <w:sectPr>
          <w:pgSz w:w="11910" w:h="16840"/>
          <w:pgMar w:top="1520" w:right="1260" w:bottom="1220" w:left="1420" w:header="0" w:footer="1034" w:gutter="0"/>
        </w:sectPr>
      </w:pPr>
    </w:p>
    <w:p>
      <w:pPr>
        <w:pStyle w:val="4"/>
        <w:spacing w:before="39" w:line="391" w:lineRule="auto"/>
        <w:ind w:right="271" w:firstLine="480"/>
        <w:rPr>
          <w:color w:val="auto"/>
        </w:rPr>
      </w:pPr>
      <w:r>
        <w:rPr>
          <w:color w:val="auto"/>
        </w:rPr>
        <w:t>2</w:t>
      </w:r>
      <w:r>
        <w:rPr>
          <w:color w:val="auto"/>
          <w:spacing w:val="-9"/>
        </w:rPr>
        <w:t>、《合同违法行为监督处理办法》第七条 当事人不得利用合同实施下列危害国家利益、 社会公共利益的行为：</w:t>
      </w:r>
    </w:p>
    <w:p>
      <w:pPr>
        <w:pStyle w:val="4"/>
        <w:spacing w:line="306" w:lineRule="exact"/>
        <w:ind w:left="591"/>
        <w:rPr>
          <w:color w:val="auto"/>
        </w:rPr>
      </w:pPr>
      <w:r>
        <w:rPr>
          <w:color w:val="auto"/>
        </w:rPr>
        <w:t>（二）以恶意串通手段订立、履行合同，损害国家利益、社会公共利益。</w:t>
      </w:r>
    </w:p>
    <w:p>
      <w:pPr>
        <w:spacing w:before="192"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line="388" w:lineRule="auto"/>
        <w:ind w:left="591" w:right="2872"/>
        <w:rPr>
          <w:color w:val="auto"/>
        </w:rPr>
      </w:pPr>
      <w:r>
        <w:rPr>
          <w:color w:val="auto"/>
        </w:rPr>
        <w:t>没有违法所得的，给予警告，处以三千元以下的罚款。2.【一般】</w:t>
      </w:r>
    </w:p>
    <w:p>
      <w:pPr>
        <w:pStyle w:val="4"/>
        <w:spacing w:line="391" w:lineRule="auto"/>
        <w:ind w:right="268" w:firstLine="480"/>
        <w:jc w:val="both"/>
        <w:rPr>
          <w:color w:val="auto"/>
        </w:rPr>
      </w:pPr>
      <w:r>
        <w:rPr>
          <w:color w:val="auto"/>
          <w:spacing w:val="-3"/>
        </w:rPr>
        <w:t>总合同标的额五万元以上二十万元以下的；单份合同标的额一万元以上五万元以</w:t>
      </w:r>
      <w:r>
        <w:rPr>
          <w:color w:val="auto"/>
          <w:spacing w:val="-7"/>
        </w:rPr>
        <w:t>下的；违法行为持续一个月以上一年以下的；合同违法给他人造成损失金额五万元以</w:t>
      </w:r>
      <w:r>
        <w:rPr>
          <w:color w:val="auto"/>
          <w:spacing w:val="-5"/>
        </w:rPr>
        <w:t>上十万元以下的，有违法所得的，给予警告，处以违法所得额一倍以上二倍以下的罚</w:t>
      </w:r>
      <w:r>
        <w:rPr>
          <w:color w:val="auto"/>
        </w:rPr>
        <w:t>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88" w:lineRule="auto"/>
        <w:ind w:right="232" w:firstLine="480"/>
        <w:jc w:val="both"/>
        <w:rPr>
          <w:color w:val="auto"/>
        </w:rPr>
      </w:pPr>
      <w:r>
        <w:rPr>
          <w:color w:val="auto"/>
          <w:spacing w:val="-3"/>
        </w:rPr>
        <w:t>总合同标的额二十万元以上的；单份合同标的额五万元以上的；违法行为持续一</w:t>
      </w:r>
      <w:r>
        <w:rPr>
          <w:color w:val="auto"/>
          <w:spacing w:val="-4"/>
        </w:rPr>
        <w:t xml:space="preserve">年以上的；合同违法给他人造成损失金额十万元以上的，有违法所得的，给予警告， </w:t>
      </w:r>
      <w:r>
        <w:rPr>
          <w:color w:val="auto"/>
        </w:rPr>
        <w:t>处以违法所得额二倍以上三倍以下的罚款，但最高不超过三万元。</w:t>
      </w:r>
    </w:p>
    <w:p>
      <w:pPr>
        <w:spacing w:before="4" w:line="388" w:lineRule="auto"/>
        <w:ind w:left="591" w:right="1672" w:firstLine="0"/>
        <w:jc w:val="left"/>
        <w:rPr>
          <w:b/>
          <w:color w:val="auto"/>
          <w:sz w:val="24"/>
        </w:rPr>
      </w:pPr>
      <w:r>
        <w:rPr>
          <w:color w:val="auto"/>
          <w:spacing w:val="-1"/>
          <w:sz w:val="24"/>
        </w:rPr>
        <w:t>没有违法所得的，给予警告，处以七千元以上一万元以下的罚款。</w:t>
      </w:r>
      <w:bookmarkStart w:id="295" w:name="一百四十四、利用合同非法买卖国家禁止或者限制买卖的财物"/>
      <w:bookmarkEnd w:id="295"/>
      <w:bookmarkStart w:id="296" w:name="_bookmark147"/>
      <w:bookmarkEnd w:id="296"/>
      <w:r>
        <w:rPr>
          <w:b/>
          <w:color w:val="auto"/>
          <w:sz w:val="24"/>
        </w:rPr>
        <w:t>一百四十四、利用合同非法买卖国家禁止或者限制买卖的财物</w:t>
      </w:r>
    </w:p>
    <w:p>
      <w:pPr>
        <w:pStyle w:val="2"/>
        <w:spacing w:before="2"/>
        <w:rPr>
          <w:color w:val="auto"/>
        </w:rPr>
      </w:pPr>
      <w:r>
        <w:rPr>
          <w:color w:val="auto"/>
        </w:rPr>
        <w:t>（一）处罚依据</w:t>
      </w:r>
    </w:p>
    <w:p>
      <w:pPr>
        <w:pStyle w:val="4"/>
        <w:spacing w:before="194"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、《合同违法行为监督处理办法》第七条 当事人不得利用合同实施下列危害国家利益、社会公共利益的行为：</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（三）非法买卖国家禁止或者限制买卖的财物。</w:t>
      </w:r>
    </w:p>
    <w:p>
      <w:pPr>
        <w:spacing w:before="19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148" w:firstLine="480"/>
        <w:rPr>
          <w:color w:val="auto"/>
        </w:rPr>
      </w:pPr>
      <w:r>
        <w:rPr>
          <w:color w:val="auto"/>
          <w:spacing w:val="-2"/>
        </w:rPr>
        <w:t>利用合同非法买卖国家禁止或者限制买卖的财物的价值一千元以下的；违法行为</w:t>
      </w:r>
      <w:r>
        <w:rPr>
          <w:color w:val="auto"/>
          <w:spacing w:val="-15"/>
        </w:rPr>
        <w:t xml:space="preserve">持续一个月以下的；合同违法给国家利益、社会公共利益造成损失金额一万元以下的， </w:t>
      </w:r>
      <w:r>
        <w:rPr>
          <w:color w:val="auto"/>
        </w:rPr>
        <w:t>给予警告，有违法所得的，处以违法所得额一倍以下的罚款，但最高不超过三万元。</w:t>
      </w:r>
    </w:p>
    <w:p>
      <w:pPr>
        <w:pStyle w:val="4"/>
        <w:spacing w:line="391" w:lineRule="auto"/>
        <w:ind w:left="591" w:right="2872"/>
        <w:rPr>
          <w:color w:val="auto"/>
        </w:rPr>
      </w:pPr>
      <w:r>
        <w:rPr>
          <w:color w:val="auto"/>
        </w:rPr>
        <w:t>没有违法所得的，给予警告，处以三千元以下的罚款。2.【一般】</w:t>
      </w:r>
    </w:p>
    <w:p>
      <w:pPr>
        <w:pStyle w:val="4"/>
        <w:spacing w:line="391" w:lineRule="auto"/>
        <w:ind w:right="268" w:firstLine="480"/>
        <w:jc w:val="both"/>
        <w:rPr>
          <w:color w:val="auto"/>
        </w:rPr>
      </w:pPr>
      <w:r>
        <w:rPr>
          <w:color w:val="auto"/>
          <w:spacing w:val="3"/>
        </w:rPr>
        <w:t>利用合同非法买卖国家禁止或者限制买卖的财物的价值一千元以上一万元以下</w:t>
      </w:r>
      <w:r>
        <w:rPr>
          <w:color w:val="auto"/>
          <w:spacing w:val="-6"/>
        </w:rPr>
        <w:t>的；违法行为持续一个月以上六个月以下的；合同违法给国家利益、社会公共利益造</w:t>
      </w:r>
      <w:r>
        <w:rPr>
          <w:color w:val="auto"/>
          <w:spacing w:val="-4"/>
        </w:rPr>
        <w:t>成损失金额一万元以上五万元以下的，给予警告，有违法所得的，处以违法所得额一</w:t>
      </w:r>
      <w:r>
        <w:rPr>
          <w:color w:val="auto"/>
        </w:rPr>
        <w:t>倍以上二倍以下的罚款，但最高不超过三万元。</w:t>
      </w:r>
    </w:p>
    <w:p>
      <w:pPr>
        <w:pStyle w:val="4"/>
        <w:spacing w:line="391" w:lineRule="auto"/>
        <w:ind w:left="591" w:right="1672"/>
        <w:rPr>
          <w:color w:val="auto"/>
        </w:rPr>
      </w:pPr>
      <w:r>
        <w:rPr>
          <w:color w:val="auto"/>
        </w:rPr>
        <w:t>没有违法所得的，给予警告，处以三千元以上七千元以下的罚款。3.【严重】</w:t>
      </w:r>
    </w:p>
    <w:p>
      <w:pPr>
        <w:pStyle w:val="4"/>
        <w:spacing w:line="391" w:lineRule="auto"/>
        <w:ind w:right="148" w:firstLine="480"/>
        <w:rPr>
          <w:color w:val="auto"/>
        </w:rPr>
      </w:pPr>
      <w:r>
        <w:rPr>
          <w:color w:val="auto"/>
          <w:spacing w:val="-2"/>
        </w:rPr>
        <w:t>利用合同非法买卖国家禁止或者限制买卖的财物的价值一万元以上的；违法行为</w:t>
      </w:r>
      <w:r>
        <w:rPr>
          <w:color w:val="auto"/>
          <w:spacing w:val="-15"/>
        </w:rPr>
        <w:t xml:space="preserve">持续六个月以上的；合同违法给国家利益、社会公共利益造成损失金额五万元以上的， </w:t>
      </w:r>
      <w:r>
        <w:rPr>
          <w:color w:val="auto"/>
          <w:spacing w:val="-5"/>
        </w:rPr>
        <w:t>给予警告，有违法所得的，处以违法所得额二倍以上三倍以下的罚款，但最高不超过三万元。</w:t>
      </w:r>
    </w:p>
    <w:p>
      <w:pPr>
        <w:spacing w:before="0" w:line="391" w:lineRule="auto"/>
        <w:ind w:left="591" w:right="1672" w:firstLine="0"/>
        <w:jc w:val="left"/>
        <w:rPr>
          <w:b/>
          <w:color w:val="auto"/>
          <w:sz w:val="24"/>
        </w:rPr>
      </w:pPr>
      <w:r>
        <w:rPr>
          <w:color w:val="auto"/>
          <w:sz w:val="24"/>
        </w:rPr>
        <w:t>没有违法所得的，给予警告，处以七千元以上一万元以下的罚款。</w:t>
      </w:r>
      <w:bookmarkStart w:id="297" w:name="一百四十五、无正当理由不履行国家指令性合同义务"/>
      <w:bookmarkEnd w:id="297"/>
      <w:bookmarkStart w:id="298" w:name="_bookmark148"/>
      <w:bookmarkEnd w:id="298"/>
      <w:r>
        <w:rPr>
          <w:b/>
          <w:color w:val="auto"/>
          <w:sz w:val="24"/>
        </w:rPr>
        <w:t>一百四十五、无正当理由不履行国家指令性合同义务</w:t>
      </w:r>
    </w:p>
    <w:p>
      <w:pPr>
        <w:pStyle w:val="2"/>
        <w:spacing w:line="306" w:lineRule="exact"/>
        <w:rPr>
          <w:color w:val="auto"/>
        </w:rPr>
      </w:pPr>
      <w:r>
        <w:rPr>
          <w:color w:val="auto"/>
        </w:rPr>
        <w:t>（一）处罚依据</w:t>
      </w:r>
    </w:p>
    <w:p>
      <w:pPr>
        <w:pStyle w:val="4"/>
        <w:spacing w:before="173"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、《合同违法行为监督处理办法》第七条 当事人不得利用合同实施下列危害国家利益、社会公共利益的行为：</w:t>
      </w:r>
    </w:p>
    <w:p>
      <w:pPr>
        <w:pStyle w:val="4"/>
        <w:ind w:left="591"/>
        <w:rPr>
          <w:color w:val="auto"/>
        </w:rPr>
      </w:pPr>
      <w:r>
        <w:rPr>
          <w:color w:val="auto"/>
        </w:rPr>
        <w:t>（四）没有正当理由，不履行国家指令性合同义务。</w:t>
      </w:r>
    </w:p>
    <w:p>
      <w:pPr>
        <w:spacing w:after="0"/>
        <w:rPr>
          <w:color w:val="auto"/>
        </w:rPr>
        <w:sectPr>
          <w:pgSz w:w="11910" w:h="16840"/>
          <w:pgMar w:top="1520" w:right="1260" w:bottom="1220" w:left="1420" w:header="0" w:footer="1034" w:gutter="0"/>
        </w:sectPr>
      </w:pPr>
    </w:p>
    <w:p>
      <w:pPr>
        <w:spacing w:before="39"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32" w:firstLine="480"/>
        <w:jc w:val="both"/>
        <w:rPr>
          <w:color w:val="auto"/>
        </w:rPr>
      </w:pPr>
      <w:r>
        <w:rPr>
          <w:color w:val="auto"/>
        </w:rPr>
        <w:t>总合同标的额五万元以下的；单份合同标的额一万元以下的；违法行为持续一个月以下的；合同违法给他人造成损失金额五万元以下的，有违法所得的，给予警告， 处以违法所得额一倍以下的罚款，但最高不超过三万元。</w:t>
      </w:r>
    </w:p>
    <w:p>
      <w:pPr>
        <w:pStyle w:val="4"/>
        <w:spacing w:line="388" w:lineRule="auto"/>
        <w:ind w:left="591" w:right="2872"/>
        <w:rPr>
          <w:color w:val="auto"/>
        </w:rPr>
      </w:pPr>
      <w:r>
        <w:rPr>
          <w:color w:val="auto"/>
        </w:rPr>
        <w:t>没有违法所得的，给予警告，处以三千元以下的罚款。2.【一般】</w:t>
      </w:r>
    </w:p>
    <w:p>
      <w:pPr>
        <w:pStyle w:val="4"/>
        <w:spacing w:line="391" w:lineRule="auto"/>
        <w:ind w:right="268" w:firstLine="480"/>
        <w:jc w:val="both"/>
        <w:rPr>
          <w:color w:val="auto"/>
        </w:rPr>
      </w:pPr>
      <w:r>
        <w:rPr>
          <w:color w:val="auto"/>
          <w:spacing w:val="-3"/>
        </w:rPr>
        <w:t>总合同标的额五万元以上二十万元以下的；或者单份合同标的额一万元以上五万</w:t>
      </w:r>
      <w:r>
        <w:rPr>
          <w:color w:val="auto"/>
          <w:spacing w:val="-6"/>
        </w:rPr>
        <w:t>元以下的；违法行为持续一个月以上一年以下的；合同违法给他人造成损失金额五万</w:t>
      </w:r>
      <w:r>
        <w:rPr>
          <w:color w:val="auto"/>
          <w:spacing w:val="-5"/>
        </w:rPr>
        <w:t>元以上十万元以下的，有违法所得的，给予警告，处以违法所得额一倍以上二倍以下</w:t>
      </w:r>
      <w:r>
        <w:rPr>
          <w:color w:val="auto"/>
        </w:rPr>
        <w:t>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88" w:lineRule="auto"/>
        <w:ind w:right="232" w:firstLine="480"/>
        <w:jc w:val="both"/>
        <w:rPr>
          <w:color w:val="auto"/>
        </w:rPr>
      </w:pPr>
      <w:r>
        <w:rPr>
          <w:color w:val="auto"/>
        </w:rPr>
        <w:t>总合同标的额二十万元以上的；单份合同标的额五万元以上的；违法行为持续一年以上的；合同违法给他人造成损失金额十万元以上的，有违法所得的，给予警告， 处以违法所得额二倍以上三倍以下的罚款，但最高不超过三万元。</w:t>
      </w:r>
    </w:p>
    <w:p>
      <w:pPr>
        <w:pStyle w:val="4"/>
        <w:spacing w:before="4"/>
        <w:ind w:left="591"/>
        <w:rPr>
          <w:color w:val="auto"/>
        </w:rPr>
      </w:pPr>
      <w:r>
        <w:rPr>
          <w:color w:val="auto"/>
        </w:rPr>
        <w:t>没有违法所得的，给予警告，处以七千元以上一万元以下的罚款。</w:t>
      </w:r>
    </w:p>
    <w:p>
      <w:pPr>
        <w:pStyle w:val="2"/>
        <w:spacing w:before="192"/>
        <w:rPr>
          <w:color w:val="auto"/>
        </w:rPr>
      </w:pPr>
      <w:bookmarkStart w:id="299" w:name="_bookmark149"/>
      <w:bookmarkEnd w:id="299"/>
      <w:bookmarkStart w:id="300" w:name="一百四十六、在知道或者应当知道的情况下为他人合同违法行为提供便利条件"/>
      <w:bookmarkEnd w:id="300"/>
      <w:r>
        <w:rPr>
          <w:color w:val="auto"/>
        </w:rPr>
        <w:t>一百四十六、在知道或者应当知道的情况下为他人合同违法行为提供便利条件</w:t>
      </w:r>
    </w:p>
    <w:p>
      <w:pPr>
        <w:spacing w:before="191"/>
        <w:ind w:left="591" w:right="0" w:firstLine="0"/>
        <w:jc w:val="left"/>
        <w:rPr>
          <w:b/>
          <w:color w:val="auto"/>
          <w:sz w:val="24"/>
        </w:rPr>
      </w:pPr>
      <w:r>
        <w:rPr>
          <w:b/>
          <w:color w:val="auto"/>
          <w:sz w:val="24"/>
        </w:rPr>
        <w:t>（一）处罚依据</w:t>
      </w:r>
    </w:p>
    <w:p>
      <w:pPr>
        <w:pStyle w:val="4"/>
        <w:spacing w:before="195"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148" w:firstLine="480"/>
        <w:rPr>
          <w:color w:val="auto"/>
        </w:rPr>
      </w:pPr>
      <w:r>
        <w:rPr>
          <w:color w:val="auto"/>
        </w:rPr>
        <w:t>2</w:t>
      </w:r>
      <w:r>
        <w:rPr>
          <w:color w:val="auto"/>
          <w:spacing w:val="-10"/>
        </w:rPr>
        <w:t>、《合同违法行为监督处理办法》第八条 任何单位和个人不得在知道或者应当</w:t>
      </w:r>
      <w:r>
        <w:rPr>
          <w:color w:val="auto"/>
          <w:spacing w:val="-15"/>
        </w:rPr>
        <w:t>知道的情况下，为他人实施本办法第六条、第七条规定的违法行为，提供证明、执照、</w:t>
      </w:r>
      <w:r>
        <w:rPr>
          <w:color w:val="auto"/>
        </w:rPr>
        <w:t>印章、账户及其他便利条件。</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footerReference r:id="rId11" w:type="default"/>
          <w:footerReference r:id="rId12" w:type="even"/>
          <w:pgSz w:w="11910" w:h="16840"/>
          <w:pgMar w:top="1520" w:right="1260" w:bottom="1220" w:left="1420" w:header="0" w:footer="1034" w:gutter="0"/>
          <w:pgNumType w:start="100"/>
        </w:sectPr>
      </w:pPr>
    </w:p>
    <w:p>
      <w:pPr>
        <w:pStyle w:val="4"/>
        <w:spacing w:before="39" w:line="391" w:lineRule="auto"/>
        <w:ind w:right="148" w:firstLine="480"/>
        <w:rPr>
          <w:color w:val="auto"/>
        </w:rPr>
      </w:pPr>
      <w:r>
        <w:rPr>
          <w:color w:val="auto"/>
          <w:spacing w:val="-11"/>
        </w:rPr>
        <w:t xml:space="preserve">违法行为持续一个月以下的；为他人实施本办法第六条、第七条规定的违法行为， </w:t>
      </w:r>
      <w:r>
        <w:rPr>
          <w:color w:val="auto"/>
          <w:spacing w:val="-6"/>
        </w:rPr>
        <w:t>提供证明、执照、印章、账户及其他便利条件其中一项的；初次违反本法，给他人或</w:t>
      </w:r>
      <w:r>
        <w:rPr>
          <w:color w:val="auto"/>
          <w:spacing w:val="-9"/>
        </w:rPr>
        <w:t>者社会公共利益造成较轻危害后果的，有违法所得的，给予警告，处以违法所得额一倍以下的罚款，但最高不超过三万元。</w:t>
      </w:r>
    </w:p>
    <w:p>
      <w:pPr>
        <w:pStyle w:val="4"/>
        <w:spacing w:line="388" w:lineRule="auto"/>
        <w:ind w:left="591" w:right="2872"/>
        <w:rPr>
          <w:color w:val="auto"/>
        </w:rPr>
      </w:pPr>
      <w:r>
        <w:rPr>
          <w:color w:val="auto"/>
        </w:rPr>
        <w:t>没有违法所得的，给予警告，处以三千元以下的罚款。2.【一般】</w:t>
      </w:r>
    </w:p>
    <w:p>
      <w:pPr>
        <w:pStyle w:val="4"/>
        <w:spacing w:line="391" w:lineRule="auto"/>
        <w:ind w:right="266" w:firstLine="480"/>
        <w:jc w:val="both"/>
        <w:rPr>
          <w:color w:val="auto"/>
        </w:rPr>
      </w:pPr>
      <w:r>
        <w:rPr>
          <w:color w:val="auto"/>
          <w:spacing w:val="-4"/>
        </w:rPr>
        <w:t>违法行为持续一个月以上六个月以下的；为他人实施本办法第六条、第七条规定</w:t>
      </w:r>
      <w:r>
        <w:rPr>
          <w:color w:val="auto"/>
          <w:spacing w:val="-7"/>
        </w:rPr>
        <w:t>的违法行为，提供证明、执照、印章、账户及其他便利条件二至三项的，有违法所得</w:t>
      </w:r>
      <w:r>
        <w:rPr>
          <w:color w:val="auto"/>
        </w:rPr>
        <w:t>的，给予警告，处以违法所得额一倍以上二倍以下的罚款，但最高不超过三万元。</w:t>
      </w:r>
    </w:p>
    <w:p>
      <w:pPr>
        <w:pStyle w:val="4"/>
        <w:spacing w:line="391" w:lineRule="auto"/>
        <w:ind w:left="591" w:right="1672"/>
        <w:rPr>
          <w:color w:val="auto"/>
        </w:rPr>
      </w:pPr>
      <w:r>
        <w:rPr>
          <w:color w:val="auto"/>
        </w:rPr>
        <w:t>没有违法所得的，给予警告，处以三千元以上七千元以下的罚款。3.【严重】</w:t>
      </w:r>
    </w:p>
    <w:p>
      <w:pPr>
        <w:pStyle w:val="4"/>
        <w:spacing w:line="391" w:lineRule="auto"/>
        <w:ind w:right="145" w:firstLine="480"/>
        <w:jc w:val="both"/>
        <w:rPr>
          <w:color w:val="auto"/>
        </w:rPr>
      </w:pPr>
      <w:r>
        <w:rPr>
          <w:color w:val="auto"/>
          <w:spacing w:val="-11"/>
        </w:rPr>
        <w:t xml:space="preserve">违法行为持续六个月以上的；为他人实施本办法第六条、第七条规定的违法行为， </w:t>
      </w:r>
      <w:r>
        <w:rPr>
          <w:color w:val="auto"/>
          <w:spacing w:val="-14"/>
        </w:rPr>
        <w:t xml:space="preserve">提供证明、执照、印章、账户及其他便利条件三项以上的，有违法所得的，给予警告， </w:t>
      </w:r>
      <w:r>
        <w:rPr>
          <w:color w:val="auto"/>
        </w:rPr>
        <w:t>处以违法所得额二倍以上三倍以下的罚款，但最高不超过三万元。</w:t>
      </w:r>
    </w:p>
    <w:p>
      <w:pPr>
        <w:pStyle w:val="4"/>
        <w:spacing w:line="304" w:lineRule="exact"/>
        <w:ind w:left="591"/>
        <w:rPr>
          <w:color w:val="auto"/>
        </w:rPr>
      </w:pPr>
      <w:r>
        <w:rPr>
          <w:color w:val="auto"/>
        </w:rPr>
        <w:t>没有违法所得的，给予警告，处以七千元以上一万元以下的罚款。</w:t>
      </w:r>
    </w:p>
    <w:p>
      <w:pPr>
        <w:pStyle w:val="2"/>
        <w:spacing w:before="186"/>
        <w:rPr>
          <w:color w:val="auto"/>
        </w:rPr>
      </w:pPr>
      <w:bookmarkStart w:id="301" w:name="一百四十七、经营者在格式条款中免除自己造成消费者人身伤害的责任"/>
      <w:bookmarkEnd w:id="301"/>
      <w:bookmarkStart w:id="302" w:name="_bookmark150"/>
      <w:bookmarkEnd w:id="302"/>
      <w:r>
        <w:rPr>
          <w:color w:val="auto"/>
        </w:rPr>
        <w:t>一百四十七、经营者在格式条款中免除自己造成消费者人身伤害的责任</w:t>
      </w:r>
    </w:p>
    <w:p>
      <w:pPr>
        <w:spacing w:before="194"/>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71" w:firstLine="480"/>
        <w:rPr>
          <w:color w:val="auto"/>
        </w:rPr>
      </w:pPr>
      <w:r>
        <w:rPr>
          <w:color w:val="auto"/>
        </w:rPr>
        <w:t>2</w:t>
      </w:r>
      <w:r>
        <w:rPr>
          <w:color w:val="auto"/>
          <w:spacing w:val="-9"/>
        </w:rPr>
        <w:t>、《合同违法行为监督处理办法》第九条 经营者与消费者采用格式条款订立合同的，经营者不得在格式条款中免除自己的下列责任：</w:t>
      </w:r>
    </w:p>
    <w:p>
      <w:pPr>
        <w:pStyle w:val="4"/>
        <w:spacing w:line="306" w:lineRule="exact"/>
        <w:ind w:left="591"/>
        <w:rPr>
          <w:color w:val="auto"/>
        </w:rPr>
      </w:pPr>
      <w:r>
        <w:rPr>
          <w:color w:val="auto"/>
        </w:rPr>
        <w:t>（一）造成消费者人身伤害的责任。</w:t>
      </w:r>
    </w:p>
    <w:p>
      <w:pPr>
        <w:spacing w:before="186"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违法行为持续三个月以下的；经营者与消费者采用格式条款订立合同的数量五十份以下的；违法行为造成消费者财产损失一万元以下的；合同中涉嫌违法的条款数量</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68"/>
        <w:rPr>
          <w:color w:val="auto"/>
        </w:rPr>
      </w:pPr>
      <w:r>
        <w:rPr>
          <w:color w:val="auto"/>
          <w:spacing w:val="-6"/>
        </w:rPr>
        <w:t>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before="3"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spacing w:val="-4"/>
        </w:rPr>
        <w:t>违法行为持续一年以上的；经营者与消费者采用格式条款订立合同的数量一百份</w:t>
      </w:r>
      <w:r>
        <w:rPr>
          <w:color w:val="auto"/>
          <w:spacing w:val="-7"/>
        </w:rPr>
        <w:t>以上的；违法行为造成消费者财产损失五万元以上的；合同中涉嫌违法的条款数量达</w:t>
      </w:r>
      <w:r>
        <w:rPr>
          <w:color w:val="auto"/>
          <w:spacing w:val="-8"/>
        </w:rPr>
        <w:t xml:space="preserve">五条以上的，有违法所得的，给予警告，处以违法所得额二倍以上三倍以下的罚款， </w:t>
      </w:r>
      <w:r>
        <w:rPr>
          <w:color w:val="auto"/>
        </w:rPr>
        <w:t>但最高不超过三万元。</w:t>
      </w:r>
    </w:p>
    <w:p>
      <w:pPr>
        <w:pStyle w:val="4"/>
        <w:spacing w:line="302" w:lineRule="exact"/>
        <w:ind w:left="591"/>
        <w:rPr>
          <w:color w:val="auto"/>
        </w:rPr>
      </w:pPr>
      <w:r>
        <w:rPr>
          <w:color w:val="auto"/>
        </w:rPr>
        <w:t>没有违法所得的，给予警告，处以七千元以上一万元以下的罚款。</w:t>
      </w:r>
    </w:p>
    <w:p>
      <w:pPr>
        <w:pStyle w:val="2"/>
        <w:spacing w:before="191" w:line="391" w:lineRule="auto"/>
        <w:ind w:left="111" w:right="237" w:firstLine="480"/>
        <w:rPr>
          <w:color w:val="auto"/>
        </w:rPr>
      </w:pPr>
      <w:bookmarkStart w:id="303" w:name="_bookmark151"/>
      <w:bookmarkEnd w:id="303"/>
      <w:bookmarkStart w:id="304" w:name="一百四十八、经营者在格式条款中免除自己因故意或者重大过失造成消费者财产损失的责任"/>
      <w:bookmarkEnd w:id="304"/>
      <w:r>
        <w:rPr>
          <w:color w:val="auto"/>
          <w:spacing w:val="-9"/>
        </w:rPr>
        <w:t>一百四十八、经营者在格式条款中免除自己因故意或者重大过失造成消费者财产损失的责任</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、《合同违法行为监督处理办法》第九条 经营者与消费者采用格式条款订立合同的，经营者不得在格式条款中免除自己的下列责任：</w:t>
      </w:r>
    </w:p>
    <w:p>
      <w:pPr>
        <w:pStyle w:val="4"/>
        <w:ind w:left="591"/>
        <w:rPr>
          <w:color w:val="auto"/>
        </w:rPr>
      </w:pPr>
      <w:r>
        <w:rPr>
          <w:color w:val="auto"/>
        </w:rPr>
        <w:t>（二）因故意或者重大过失造成消费者财产损失的责任。</w:t>
      </w:r>
    </w:p>
    <w:p>
      <w:pPr>
        <w:spacing w:before="192" w:line="388" w:lineRule="auto"/>
        <w:ind w:left="591" w:right="6948" w:firstLine="0"/>
        <w:jc w:val="left"/>
        <w:rPr>
          <w:color w:val="auto"/>
          <w:sz w:val="24"/>
        </w:rPr>
      </w:pPr>
      <w:r>
        <w:rPr>
          <w:b/>
          <w:color w:val="auto"/>
          <w:sz w:val="24"/>
        </w:rPr>
        <w:t>（二）裁量标准</w:t>
      </w:r>
      <w:r>
        <w:rPr>
          <w:color w:val="auto"/>
          <w:sz w:val="24"/>
        </w:rPr>
        <w:t>1.【较轻】</w:t>
      </w:r>
    </w:p>
    <w:p>
      <w:pPr>
        <w:pStyle w:val="4"/>
        <w:spacing w:before="3"/>
        <w:ind w:left="591"/>
        <w:rPr>
          <w:color w:val="auto"/>
        </w:rPr>
      </w:pPr>
      <w:r>
        <w:rPr>
          <w:color w:val="auto"/>
        </w:rPr>
        <w:t>违法行为持续三个月以下的；经营者与消费者采用格式条款订立合同的数量五十</w:t>
      </w:r>
    </w:p>
    <w:p>
      <w:pPr>
        <w:spacing w:after="0"/>
        <w:rPr>
          <w:color w:val="auto"/>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91"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91"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spacing w:val="-4"/>
        </w:rPr>
        <w:t>违法行为持续一年以上的；经营者与消费者采用格式条款订立合同的数量一百份</w:t>
      </w:r>
      <w:r>
        <w:rPr>
          <w:color w:val="auto"/>
          <w:spacing w:val="-7"/>
        </w:rPr>
        <w:t>以上的；违法行为造成消费者财产损失五万元以上的；合同中涉嫌违法的条款数量达</w:t>
      </w:r>
      <w:r>
        <w:rPr>
          <w:color w:val="auto"/>
          <w:spacing w:val="-8"/>
        </w:rPr>
        <w:t xml:space="preserve">五条以上的，有违法所得的，给予警告，处以违法所得额二倍以上三倍以下的罚款， </w:t>
      </w:r>
      <w:r>
        <w:rPr>
          <w:color w:val="auto"/>
        </w:rPr>
        <w:t>但最高不超过三万元。</w:t>
      </w:r>
    </w:p>
    <w:p>
      <w:pPr>
        <w:pStyle w:val="4"/>
        <w:spacing w:line="302" w:lineRule="exact"/>
        <w:ind w:left="591"/>
        <w:rPr>
          <w:color w:val="auto"/>
        </w:rPr>
      </w:pPr>
      <w:r>
        <w:rPr>
          <w:color w:val="auto"/>
        </w:rPr>
        <w:t>没有违法所得的，给予警告，处以七千元以上一万元以下的罚款。</w:t>
      </w:r>
    </w:p>
    <w:p>
      <w:pPr>
        <w:pStyle w:val="2"/>
        <w:spacing w:before="182" w:line="388" w:lineRule="auto"/>
        <w:ind w:left="111" w:right="237" w:firstLine="480"/>
        <w:rPr>
          <w:color w:val="auto"/>
        </w:rPr>
      </w:pPr>
      <w:bookmarkStart w:id="305" w:name="_bookmark152"/>
      <w:bookmarkEnd w:id="305"/>
      <w:bookmarkStart w:id="306" w:name="一百四十九、经营者在格式条款中免除自己对提供的商品或者服务依法应当承担的保证责任"/>
      <w:bookmarkEnd w:id="306"/>
      <w:r>
        <w:rPr>
          <w:color w:val="auto"/>
          <w:spacing w:val="-9"/>
        </w:rPr>
        <w:t>一百四十九、经营者在格式条款中免除自己对提供的商品或者服务依法应当承担的保证责任</w:t>
      </w:r>
    </w:p>
    <w:p>
      <w:pPr>
        <w:spacing w:before="2"/>
        <w:ind w:left="591" w:right="0" w:firstLine="0"/>
        <w:jc w:val="left"/>
        <w:rPr>
          <w:b/>
          <w:color w:val="auto"/>
          <w:sz w:val="24"/>
        </w:rPr>
      </w:pPr>
      <w:r>
        <w:rPr>
          <w:b/>
          <w:color w:val="auto"/>
          <w:sz w:val="24"/>
        </w:rPr>
        <w:t>（一）处罚依据</w:t>
      </w:r>
    </w:p>
    <w:p>
      <w:pPr>
        <w:pStyle w:val="4"/>
        <w:spacing w:before="194"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、《合同违法行为监督处理办法》第九条 经营者与消费者采用格式条款订立合同的，经营者不得在格式条款中免除自己的下列责任：</w:t>
      </w:r>
    </w:p>
    <w:p>
      <w:pPr>
        <w:pStyle w:val="4"/>
        <w:ind w:left="591"/>
        <w:rPr>
          <w:color w:val="auto"/>
        </w:rPr>
      </w:pPr>
      <w:r>
        <w:rPr>
          <w:color w:val="auto"/>
        </w:rPr>
        <w:t>（三）对提供的商品或服务依法应当承担的保证责任。</w:t>
      </w:r>
    </w:p>
    <w:p>
      <w:pPr>
        <w:spacing w:before="191"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68" w:firstLine="480"/>
        <w:jc w:val="both"/>
        <w:rPr>
          <w:color w:val="auto"/>
        </w:rPr>
      </w:pPr>
      <w:r>
        <w:rPr>
          <w:color w:val="auto"/>
          <w:spacing w:val="-4"/>
        </w:rPr>
        <w:t>违法行为持续三个月以上一年以下的；经营者与消费者采用格式条款订立合同的数量五十份以上一百份以下的；违法行为造成消费者财产损失一万元以上五万元以下</w:t>
      </w:r>
      <w:r>
        <w:rPr>
          <w:color w:val="auto"/>
          <w:spacing w:val="-6"/>
        </w:rPr>
        <w:t>的；或者合同中涉嫌违法的条款数量达三条以上五条以下的，有违法所得的，给予警</w:t>
      </w:r>
      <w:r>
        <w:rPr>
          <w:color w:val="auto"/>
        </w:rPr>
        <w:t>告，处以违法所得额一倍以上二倍以下的罚款，但最高不超过三万元。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spacing w:val="-4"/>
        </w:rPr>
        <w:t>违法行为持续一年以上的；经营者与消费者采用格式条款订立合同的数量一百份</w:t>
      </w:r>
      <w:r>
        <w:rPr>
          <w:color w:val="auto"/>
          <w:spacing w:val="-7"/>
        </w:rPr>
        <w:t>以上的；违法行为造成消费者财产损失五万元以上的；合同中涉嫌违法的条款数量达</w:t>
      </w:r>
      <w:r>
        <w:rPr>
          <w:color w:val="auto"/>
          <w:spacing w:val="-8"/>
        </w:rPr>
        <w:t xml:space="preserve">五条以上的，有违法所得的，给予警告，处以违法所得额二倍以上三倍以下的罚款， </w:t>
      </w:r>
      <w:r>
        <w:rPr>
          <w:color w:val="auto"/>
        </w:rPr>
        <w:t>但最高不超过三万元。</w:t>
      </w:r>
    </w:p>
    <w:p>
      <w:pPr>
        <w:pStyle w:val="4"/>
        <w:spacing w:line="304" w:lineRule="exact"/>
        <w:ind w:left="591"/>
        <w:rPr>
          <w:color w:val="auto"/>
        </w:rPr>
      </w:pPr>
      <w:r>
        <w:rPr>
          <w:color w:val="auto"/>
        </w:rPr>
        <w:t>没有违法所得的，给予警告，处以七千元以上一万元以下的罚款。</w:t>
      </w:r>
    </w:p>
    <w:p>
      <w:pPr>
        <w:pStyle w:val="2"/>
        <w:spacing w:before="190"/>
        <w:rPr>
          <w:color w:val="auto"/>
        </w:rPr>
      </w:pPr>
      <w:bookmarkStart w:id="307" w:name="一百五十、经营者在格式条款中免除自己因违约依法应当承担的违约责任"/>
      <w:bookmarkEnd w:id="307"/>
      <w:bookmarkStart w:id="308" w:name="_bookmark153"/>
      <w:bookmarkEnd w:id="308"/>
      <w:r>
        <w:rPr>
          <w:color w:val="auto"/>
        </w:rPr>
        <w:t>一百五十、经营者在格式条款中免除自己因违约依法应当承担的违约责任</w:t>
      </w:r>
    </w:p>
    <w:p>
      <w:pPr>
        <w:spacing w:before="192"/>
        <w:ind w:left="591" w:right="0" w:firstLine="0"/>
        <w:jc w:val="left"/>
        <w:rPr>
          <w:b/>
          <w:color w:val="auto"/>
          <w:sz w:val="24"/>
        </w:rPr>
      </w:pPr>
      <w:r>
        <w:rPr>
          <w:b/>
          <w:color w:val="auto"/>
          <w:sz w:val="24"/>
        </w:rPr>
        <w:t>（一）处罚依据</w:t>
      </w:r>
    </w:p>
    <w:p>
      <w:pPr>
        <w:pStyle w:val="4"/>
        <w:spacing w:before="194"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88" w:lineRule="auto"/>
        <w:ind w:right="271" w:firstLine="480"/>
        <w:rPr>
          <w:color w:val="auto"/>
        </w:rPr>
      </w:pPr>
      <w:r>
        <w:rPr>
          <w:color w:val="auto"/>
        </w:rPr>
        <w:t>2</w:t>
      </w:r>
      <w:r>
        <w:rPr>
          <w:color w:val="auto"/>
          <w:spacing w:val="-9"/>
        </w:rPr>
        <w:t>、《合同违法行为监督处理办法》第九条 经营者与消费者采用格式条款订立合同的，经营者不得在格式条款中免除自己的下列责任：</w:t>
      </w:r>
    </w:p>
    <w:p>
      <w:pPr>
        <w:pStyle w:val="4"/>
        <w:ind w:left="591"/>
        <w:rPr>
          <w:color w:val="auto"/>
        </w:rPr>
      </w:pPr>
      <w:r>
        <w:rPr>
          <w:color w:val="auto"/>
        </w:rPr>
        <w:t>（四）因违约依法应当承担的违约责任。</w:t>
      </w:r>
    </w:p>
    <w:p>
      <w:pPr>
        <w:spacing w:before="19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spacing w:val="-4"/>
        </w:rPr>
        <w:t>违法行为持续一年以上的；经营者与消费者采用格式条款订立合同的数量一百份</w:t>
      </w:r>
      <w:r>
        <w:rPr>
          <w:color w:val="auto"/>
          <w:spacing w:val="-7"/>
        </w:rPr>
        <w:t>以上的；违法行为造成消费者财产损失五万元以上的；合同中涉嫌违法的条款数量达</w:t>
      </w:r>
      <w:r>
        <w:rPr>
          <w:color w:val="auto"/>
          <w:spacing w:val="-8"/>
        </w:rPr>
        <w:t xml:space="preserve">五条以上的，有违法所得的，给予警告，处以违法所得额二倍以上三倍以下的罚款， </w:t>
      </w:r>
      <w:r>
        <w:rPr>
          <w:color w:val="auto"/>
        </w:rPr>
        <w:t>但最高不超过三万元。</w:t>
      </w:r>
    </w:p>
    <w:p>
      <w:pPr>
        <w:pStyle w:val="4"/>
        <w:spacing w:line="304" w:lineRule="exact"/>
        <w:ind w:left="591"/>
        <w:rPr>
          <w:color w:val="auto"/>
        </w:rPr>
      </w:pPr>
      <w:r>
        <w:rPr>
          <w:color w:val="auto"/>
        </w:rPr>
        <w:t>没有违法所得的，给予警告，处以七千元以上一万元以下的罚款。</w:t>
      </w:r>
    </w:p>
    <w:p>
      <w:pPr>
        <w:pStyle w:val="2"/>
        <w:spacing w:before="190" w:line="388" w:lineRule="auto"/>
        <w:ind w:left="111" w:right="237" w:firstLine="480"/>
        <w:rPr>
          <w:color w:val="auto"/>
        </w:rPr>
      </w:pPr>
      <w:bookmarkStart w:id="309" w:name="_bookmark154"/>
      <w:bookmarkEnd w:id="309"/>
      <w:bookmarkStart w:id="310" w:name="一百五十一、经营者在格式条款中就违约金或者损害赔偿金超过法定数额或者合理数额方面"/>
      <w:bookmarkEnd w:id="310"/>
      <w:r>
        <w:rPr>
          <w:color w:val="auto"/>
          <w:spacing w:val="-9"/>
        </w:rPr>
        <w:t>一百五十一、经营者在格式条款中就违约金或者损害赔偿金超过法定数额或者合理数额方面加重消费者责任</w:t>
      </w:r>
    </w:p>
    <w:p>
      <w:pPr>
        <w:spacing w:before="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71" w:firstLine="480"/>
        <w:rPr>
          <w:color w:val="auto"/>
        </w:rPr>
      </w:pPr>
      <w:r>
        <w:rPr>
          <w:color w:val="auto"/>
        </w:rPr>
        <w:t>2</w:t>
      </w:r>
      <w:r>
        <w:rPr>
          <w:color w:val="auto"/>
          <w:spacing w:val="-9"/>
        </w:rPr>
        <w:t>、《合同违法行为监督处理办法》第十条 经营者与消费者采用格式条款订立合同的，经营者不得在格式条款中加重消费者下列责任：</w:t>
      </w:r>
    </w:p>
    <w:p>
      <w:pPr>
        <w:pStyle w:val="4"/>
        <w:spacing w:line="306" w:lineRule="exact"/>
        <w:ind w:left="591"/>
        <w:rPr>
          <w:color w:val="auto"/>
        </w:rPr>
      </w:pPr>
      <w:r>
        <w:rPr>
          <w:color w:val="auto"/>
        </w:rPr>
        <w:t>（一）违约金或者损害赔偿金超过法定数额或者合理数额。</w:t>
      </w:r>
    </w:p>
    <w:p>
      <w:pPr>
        <w:spacing w:after="0" w:line="306" w:lineRule="exact"/>
        <w:rPr>
          <w:color w:val="auto"/>
        </w:rPr>
        <w:sectPr>
          <w:footerReference r:id="rId13" w:type="default"/>
          <w:footerReference r:id="rId14" w:type="even"/>
          <w:pgSz w:w="11910" w:h="16840"/>
          <w:pgMar w:top="1520" w:right="1260" w:bottom="1720" w:left="1420" w:header="0" w:footer="1526" w:gutter="0"/>
          <w:pgNumType w:start="105"/>
        </w:sectPr>
      </w:pPr>
    </w:p>
    <w:p>
      <w:pPr>
        <w:pStyle w:val="4"/>
        <w:spacing w:before="39"/>
        <w:ind w:left="591"/>
        <w:rPr>
          <w:color w:val="auto"/>
        </w:rPr>
      </w:pPr>
      <w:r>
        <w:rPr>
          <w:color w:val="auto"/>
        </w:rPr>
        <w:t>1.【较轻】</w:t>
      </w:r>
    </w:p>
    <w:p>
      <w:pPr>
        <w:pStyle w:val="4"/>
        <w:spacing w:before="195"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spacing w:val="-4"/>
        </w:rPr>
        <w:t>违法行为持续一年以上的；经营者与消费者采用格式条款订立合同的数量一百份</w:t>
      </w:r>
      <w:r>
        <w:rPr>
          <w:color w:val="auto"/>
          <w:spacing w:val="-7"/>
        </w:rPr>
        <w:t>以上的；违法行为造成消费者财产损失五万元以上的；合同中涉嫌违法的条款数量达</w:t>
      </w:r>
      <w:r>
        <w:rPr>
          <w:color w:val="auto"/>
          <w:spacing w:val="-8"/>
        </w:rPr>
        <w:t xml:space="preserve">五条以上的，有违法所得的，给予警告，处以违法所得额二倍以上三倍以下的罚款， </w:t>
      </w:r>
      <w:r>
        <w:rPr>
          <w:color w:val="auto"/>
        </w:rPr>
        <w:t>但最高不超过三万元。</w:t>
      </w:r>
    </w:p>
    <w:p>
      <w:pPr>
        <w:pStyle w:val="4"/>
        <w:spacing w:line="302" w:lineRule="exact"/>
        <w:ind w:left="591"/>
        <w:rPr>
          <w:color w:val="auto"/>
        </w:rPr>
      </w:pPr>
      <w:r>
        <w:rPr>
          <w:color w:val="auto"/>
        </w:rPr>
        <w:t>没有违法所得的，给予警告，处以七千元以上一万元以下的罚款。</w:t>
      </w:r>
    </w:p>
    <w:p>
      <w:pPr>
        <w:pStyle w:val="2"/>
        <w:spacing w:before="189"/>
        <w:rPr>
          <w:color w:val="auto"/>
        </w:rPr>
      </w:pPr>
      <w:bookmarkStart w:id="311" w:name="_bookmark155"/>
      <w:bookmarkEnd w:id="311"/>
      <w:bookmarkStart w:id="312" w:name="一百五十二、经营者在格式条款中就经营风险责任方面加重消费者责任"/>
      <w:bookmarkEnd w:id="312"/>
      <w:r>
        <w:rPr>
          <w:color w:val="auto"/>
        </w:rPr>
        <w:t>一百五十二、经营者在格式条款中就经营风险责任方面加重消费者责任</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71" w:firstLine="480"/>
        <w:rPr>
          <w:color w:val="auto"/>
        </w:rPr>
      </w:pPr>
      <w:r>
        <w:rPr>
          <w:color w:val="auto"/>
        </w:rPr>
        <w:t>2</w:t>
      </w:r>
      <w:r>
        <w:rPr>
          <w:color w:val="auto"/>
          <w:spacing w:val="-9"/>
        </w:rPr>
        <w:t>、《合同违法行为监督处理办法》第十条 经营者与消费者采用格式条款订立合同的，经营者不得在格式条款中加重消费者下列责任：</w:t>
      </w:r>
    </w:p>
    <w:p>
      <w:pPr>
        <w:pStyle w:val="4"/>
        <w:spacing w:line="306" w:lineRule="exact"/>
        <w:ind w:left="591"/>
        <w:rPr>
          <w:color w:val="auto"/>
        </w:rPr>
      </w:pPr>
      <w:r>
        <w:rPr>
          <w:color w:val="auto"/>
        </w:rPr>
        <w:t>（二）承担应当由格式条款提供方承担的经营风险责任。</w:t>
      </w:r>
    </w:p>
    <w:p>
      <w:pPr>
        <w:spacing w:after="0" w:line="306" w:lineRule="exact"/>
        <w:rPr>
          <w:color w:val="auto"/>
        </w:rPr>
        <w:sectPr>
          <w:pgSz w:w="11910" w:h="16840"/>
          <w:pgMar w:top="1520" w:right="1260" w:bottom="1720" w:left="1420" w:header="0" w:footer="1526" w:gutter="0"/>
        </w:sectPr>
      </w:pPr>
    </w:p>
    <w:p>
      <w:pPr>
        <w:pStyle w:val="4"/>
        <w:spacing w:before="39"/>
        <w:ind w:left="591"/>
        <w:rPr>
          <w:rFonts w:hint="default" w:eastAsia="宋体"/>
          <w:color w:val="auto"/>
          <w:lang w:val="en-US" w:eastAsia="zh-CN"/>
        </w:rPr>
      </w:pPr>
      <w:r>
        <w:rPr>
          <w:rFonts w:hint="eastAsia"/>
          <w:color w:val="auto"/>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未对消费者造成实质危害；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没有违法所得</w:t>
      </w:r>
    </w:p>
    <w:p>
      <w:pPr>
        <w:pStyle w:val="4"/>
        <w:spacing w:before="39"/>
        <w:ind w:left="591"/>
        <w:rPr>
          <w:color w:val="auto"/>
        </w:rPr>
      </w:pPr>
      <w:r>
        <w:rPr>
          <w:rFonts w:hint="eastAsia"/>
          <w:color w:val="auto"/>
          <w:lang w:val="en-US" w:eastAsia="zh-CN"/>
        </w:rPr>
        <w:t>2</w:t>
      </w:r>
      <w:r>
        <w:rPr>
          <w:color w:val="auto"/>
        </w:rPr>
        <w:t>.【较轻】</w:t>
      </w:r>
    </w:p>
    <w:p>
      <w:pPr>
        <w:pStyle w:val="4"/>
        <w:spacing w:before="195"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rFonts w:hint="eastAsia"/>
          <w:color w:val="auto"/>
          <w:lang w:val="en-US" w:eastAsia="zh-CN"/>
        </w:rPr>
        <w:t>3</w:t>
      </w:r>
      <w:r>
        <w:rPr>
          <w:color w:val="auto"/>
        </w:rPr>
        <w:t>.【一般】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w:t>
      </w:r>
      <w:r>
        <w:rPr>
          <w:rFonts w:hint="eastAsia"/>
          <w:color w:val="auto"/>
          <w:lang w:val="en-US" w:eastAsia="zh-CN"/>
        </w:rPr>
        <w:t>4</w:t>
      </w:r>
      <w:r>
        <w:rPr>
          <w:color w:val="auto"/>
        </w:rPr>
        <w:t>.【严重】</w:t>
      </w:r>
    </w:p>
    <w:p>
      <w:pPr>
        <w:pStyle w:val="4"/>
        <w:spacing w:line="391" w:lineRule="auto"/>
        <w:ind w:right="232" w:firstLine="480"/>
        <w:jc w:val="both"/>
        <w:rPr>
          <w:color w:val="auto"/>
        </w:rPr>
      </w:pPr>
      <w:r>
        <w:rPr>
          <w:color w:val="auto"/>
          <w:spacing w:val="-4"/>
        </w:rPr>
        <w:t>违法行为持续一年以上的；经营者与消费者采用格式条款订立合同的数量一百份</w:t>
      </w:r>
      <w:r>
        <w:rPr>
          <w:color w:val="auto"/>
          <w:spacing w:val="-7"/>
        </w:rPr>
        <w:t>以上的；违法行为造成消费者财产损失五万元以上的；合同中涉嫌违法的条款数量达</w:t>
      </w:r>
      <w:r>
        <w:rPr>
          <w:color w:val="auto"/>
          <w:spacing w:val="-8"/>
        </w:rPr>
        <w:t xml:space="preserve">五条以上的，有违法所得的，给予警告，处以违法所得额二倍以上三倍以下的罚款， </w:t>
      </w:r>
      <w:r>
        <w:rPr>
          <w:color w:val="auto"/>
        </w:rPr>
        <w:t>但最高不超过三万元。</w:t>
      </w:r>
    </w:p>
    <w:p>
      <w:pPr>
        <w:pStyle w:val="4"/>
        <w:spacing w:line="302" w:lineRule="exact"/>
        <w:ind w:left="591"/>
        <w:rPr>
          <w:color w:val="auto"/>
        </w:rPr>
      </w:pPr>
      <w:r>
        <w:rPr>
          <w:color w:val="auto"/>
        </w:rPr>
        <w:t>没有违法所得的，给予警告，处以七千元以上一万元以下的罚款。</w:t>
      </w:r>
    </w:p>
    <w:p>
      <w:pPr>
        <w:pStyle w:val="2"/>
        <w:spacing w:before="189"/>
        <w:rPr>
          <w:color w:val="auto"/>
        </w:rPr>
      </w:pPr>
      <w:bookmarkStart w:id="313" w:name="_bookmark156"/>
      <w:bookmarkEnd w:id="313"/>
      <w:bookmarkStart w:id="314" w:name="一百五十三、经营者在格式条款中排除消费者依法变更或者解除合同的权利"/>
      <w:bookmarkEnd w:id="314"/>
      <w:r>
        <w:rPr>
          <w:color w:val="auto"/>
        </w:rPr>
        <w:t>一百五十三、经营者在格式条款中排除消费者依法变更或者解除合同的权利</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68" w:firstLine="480"/>
        <w:rPr>
          <w:color w:val="auto"/>
        </w:rPr>
      </w:pPr>
      <w:r>
        <w:rPr>
          <w:color w:val="auto"/>
        </w:rPr>
        <w:t>2</w:t>
      </w:r>
      <w:r>
        <w:rPr>
          <w:color w:val="auto"/>
          <w:spacing w:val="-9"/>
        </w:rPr>
        <w:t>、《合同违法行为监督处理办法》第十一条 经营者与消费者采用格式条款订立合同的，经营者不得在格式条款中排除消费者下列权利：</w:t>
      </w:r>
    </w:p>
    <w:p>
      <w:pPr>
        <w:pStyle w:val="4"/>
        <w:spacing w:line="306" w:lineRule="exact"/>
        <w:ind w:left="591"/>
        <w:rPr>
          <w:color w:val="auto"/>
        </w:rPr>
      </w:pPr>
      <w:r>
        <w:rPr>
          <w:color w:val="auto"/>
        </w:rPr>
        <w:t>（一）依法变更或者解除合同的权利。</w:t>
      </w:r>
    </w:p>
    <w:p>
      <w:pPr>
        <w:spacing w:after="0" w:line="306" w:lineRule="exact"/>
        <w:rPr>
          <w:color w:val="auto"/>
        </w:rPr>
        <w:sectPr>
          <w:pgSz w:w="11910" w:h="16840"/>
          <w:pgMar w:top="1520" w:right="1260" w:bottom="1720" w:left="1420" w:header="0" w:footer="1526" w:gutter="0"/>
        </w:sectPr>
      </w:pPr>
    </w:p>
    <w:p>
      <w:pPr>
        <w:pStyle w:val="4"/>
        <w:spacing w:before="39"/>
        <w:ind w:left="591"/>
        <w:rPr>
          <w:color w:val="auto"/>
        </w:rPr>
      </w:pPr>
      <w:r>
        <w:rPr>
          <w:color w:val="auto"/>
        </w:rPr>
        <w:t>1.【较轻】</w:t>
      </w:r>
    </w:p>
    <w:p>
      <w:pPr>
        <w:pStyle w:val="4"/>
        <w:spacing w:before="195"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32" w:firstLine="480"/>
        <w:jc w:val="both"/>
        <w:rPr>
          <w:color w:val="auto"/>
        </w:rPr>
      </w:pPr>
      <w:r>
        <w:rPr>
          <w:color w:val="auto"/>
          <w:spacing w:val="-4"/>
        </w:rPr>
        <w:t>违法行为持续一年以上的；经营者与消费者采用格式条款订立合同的数量一百份</w:t>
      </w:r>
      <w:r>
        <w:rPr>
          <w:color w:val="auto"/>
          <w:spacing w:val="-7"/>
        </w:rPr>
        <w:t>以上的；违法行为造成消费者财产损失五万元以上的；合同中涉嫌违法的条款数量达</w:t>
      </w:r>
      <w:r>
        <w:rPr>
          <w:color w:val="auto"/>
          <w:spacing w:val="-8"/>
        </w:rPr>
        <w:t xml:space="preserve">五条以上的，有违法所得的，给予警告，处以违法所得额二倍以上三倍以下的罚款， </w:t>
      </w:r>
      <w:r>
        <w:rPr>
          <w:color w:val="auto"/>
        </w:rPr>
        <w:t>但最高不超过三万元。</w:t>
      </w:r>
    </w:p>
    <w:p>
      <w:pPr>
        <w:spacing w:before="0" w:line="388" w:lineRule="auto"/>
        <w:ind w:left="591" w:right="1406" w:firstLine="0"/>
        <w:jc w:val="left"/>
        <w:rPr>
          <w:b/>
          <w:color w:val="auto"/>
          <w:sz w:val="24"/>
        </w:rPr>
      </w:pPr>
      <w:r>
        <w:rPr>
          <w:color w:val="auto"/>
          <w:sz w:val="24"/>
        </w:rPr>
        <w:t>没有违法所得的，给予警告，处以七千元以上一万元以下的罚款。</w:t>
      </w:r>
      <w:bookmarkStart w:id="315" w:name="一百五十四、经营者在格式条款中排除消费者请求支付违约金的权利"/>
      <w:bookmarkEnd w:id="315"/>
      <w:bookmarkStart w:id="316" w:name="_bookmark157"/>
      <w:bookmarkEnd w:id="316"/>
      <w:r>
        <w:rPr>
          <w:color w:val="auto"/>
          <w:sz w:val="24"/>
        </w:rPr>
        <w:t xml:space="preserve"> </w:t>
      </w:r>
      <w:r>
        <w:rPr>
          <w:b/>
          <w:color w:val="auto"/>
          <w:spacing w:val="-1"/>
          <w:sz w:val="24"/>
        </w:rPr>
        <w:t>一百五十四、经营者在格式条款中排除消费者请求支付违约金的权利</w:t>
      </w:r>
    </w:p>
    <w:p>
      <w:pPr>
        <w:pStyle w:val="2"/>
        <w:rPr>
          <w:color w:val="auto"/>
        </w:rPr>
      </w:pPr>
      <w:r>
        <w:rPr>
          <w:color w:val="auto"/>
        </w:rPr>
        <w:t>（一）处罚依据</w:t>
      </w:r>
    </w:p>
    <w:p>
      <w:pPr>
        <w:pStyle w:val="4"/>
        <w:spacing w:before="188"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68" w:firstLine="480"/>
        <w:rPr>
          <w:color w:val="auto"/>
        </w:rPr>
      </w:pPr>
      <w:r>
        <w:rPr>
          <w:color w:val="auto"/>
        </w:rPr>
        <w:t>2</w:t>
      </w:r>
      <w:r>
        <w:rPr>
          <w:color w:val="auto"/>
          <w:spacing w:val="-9"/>
        </w:rPr>
        <w:t>、《合同违法行为监督处理办法》第十一条 经营者与消费者采用格式条款订立合同的，经营者不得在格式条款中排除消费者下列权利：</w:t>
      </w:r>
    </w:p>
    <w:p>
      <w:pPr>
        <w:pStyle w:val="4"/>
        <w:spacing w:line="306" w:lineRule="exact"/>
        <w:ind w:left="591"/>
        <w:rPr>
          <w:color w:val="auto"/>
        </w:rPr>
      </w:pPr>
      <w:r>
        <w:rPr>
          <w:color w:val="auto"/>
        </w:rPr>
        <w:t>（二）请求支付违约金的权利。</w:t>
      </w:r>
    </w:p>
    <w:p>
      <w:pPr>
        <w:spacing w:after="0" w:line="306" w:lineRule="exact"/>
        <w:rPr>
          <w:color w:val="auto"/>
        </w:rPr>
        <w:sectPr>
          <w:pgSz w:w="11910" w:h="16840"/>
          <w:pgMar w:top="1520" w:right="1260" w:bottom="1720" w:left="1420" w:header="0" w:footer="1526" w:gutter="0"/>
        </w:sectPr>
      </w:pPr>
    </w:p>
    <w:p>
      <w:pPr>
        <w:pStyle w:val="4"/>
        <w:spacing w:before="39"/>
        <w:ind w:left="591"/>
        <w:rPr>
          <w:color w:val="auto"/>
        </w:rPr>
      </w:pPr>
      <w:r>
        <w:rPr>
          <w:color w:val="auto"/>
        </w:rPr>
        <w:t>1.【较轻】</w:t>
      </w:r>
    </w:p>
    <w:p>
      <w:pPr>
        <w:pStyle w:val="4"/>
        <w:spacing w:before="195"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68" w:firstLine="480"/>
        <w:jc w:val="both"/>
        <w:rPr>
          <w:color w:val="auto"/>
        </w:rPr>
      </w:pPr>
      <w:r>
        <w:rPr>
          <w:color w:val="auto"/>
          <w:spacing w:val="-4"/>
        </w:rPr>
        <w:t>违法行为持续时间一年以上的；经营者与消费者采用格式条款订立合同的数量一</w:t>
      </w:r>
      <w:r>
        <w:rPr>
          <w:color w:val="auto"/>
          <w:spacing w:val="-6"/>
        </w:rPr>
        <w:t>百份以上的；违法行为造成消费者财产损失五万元以上的；合同中涉嫌违法的条款数</w:t>
      </w:r>
      <w:r>
        <w:rPr>
          <w:color w:val="auto"/>
          <w:spacing w:val="-5"/>
        </w:rPr>
        <w:t>量达五条以上的，有违法所得的，给予警告，处以违法所得额二倍以上三倍以下的罚</w:t>
      </w:r>
      <w:r>
        <w:rPr>
          <w:color w:val="auto"/>
        </w:rPr>
        <w:t>款，但最高不超过三万元。</w:t>
      </w:r>
    </w:p>
    <w:p>
      <w:pPr>
        <w:spacing w:before="0" w:line="388" w:lineRule="auto"/>
        <w:ind w:left="591" w:right="1646" w:firstLine="0"/>
        <w:jc w:val="left"/>
        <w:rPr>
          <w:b/>
          <w:color w:val="auto"/>
          <w:sz w:val="24"/>
        </w:rPr>
      </w:pPr>
      <w:r>
        <w:rPr>
          <w:color w:val="auto"/>
          <w:sz w:val="24"/>
        </w:rPr>
        <w:t>没有违法所得的，给予警告，处以七千元以上一万元以下的罚款。</w:t>
      </w:r>
      <w:bookmarkStart w:id="317" w:name="_bookmark158"/>
      <w:bookmarkEnd w:id="317"/>
      <w:bookmarkStart w:id="318" w:name="一百五十五、经营者在格式条款中排除消费者请求损害赔偿的权利"/>
      <w:bookmarkEnd w:id="318"/>
      <w:r>
        <w:rPr>
          <w:b/>
          <w:color w:val="auto"/>
          <w:sz w:val="24"/>
        </w:rPr>
        <w:t>一百五十五、经营者在格式条款中排除消费者请求损害赔偿的权利</w:t>
      </w:r>
    </w:p>
    <w:p>
      <w:pPr>
        <w:pStyle w:val="2"/>
        <w:rPr>
          <w:color w:val="auto"/>
        </w:rPr>
      </w:pPr>
      <w:r>
        <w:rPr>
          <w:color w:val="auto"/>
        </w:rPr>
        <w:t>（一）处罚依据</w:t>
      </w:r>
    </w:p>
    <w:p>
      <w:pPr>
        <w:pStyle w:val="4"/>
        <w:spacing w:before="188"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68" w:firstLine="480"/>
        <w:rPr>
          <w:color w:val="auto"/>
        </w:rPr>
      </w:pPr>
      <w:r>
        <w:rPr>
          <w:color w:val="auto"/>
        </w:rPr>
        <w:t>2</w:t>
      </w:r>
      <w:r>
        <w:rPr>
          <w:color w:val="auto"/>
          <w:spacing w:val="-9"/>
        </w:rPr>
        <w:t>、《合同违法行为监督处理办法》第十一条 经营者与消费者采用格式条款订立合同的，经营者不得在格式条款中排除消费者下列权利：</w:t>
      </w:r>
    </w:p>
    <w:p>
      <w:pPr>
        <w:pStyle w:val="4"/>
        <w:spacing w:line="306" w:lineRule="exact"/>
        <w:ind w:left="591"/>
        <w:rPr>
          <w:color w:val="auto"/>
        </w:rPr>
      </w:pPr>
      <w:r>
        <w:rPr>
          <w:color w:val="auto"/>
        </w:rPr>
        <w:t>（三）请求损害赔偿的权利。</w:t>
      </w:r>
    </w:p>
    <w:p>
      <w:pPr>
        <w:spacing w:after="0" w:line="306" w:lineRule="exact"/>
        <w:rPr>
          <w:color w:val="auto"/>
        </w:rPr>
        <w:sectPr>
          <w:pgSz w:w="11910" w:h="16840"/>
          <w:pgMar w:top="1520" w:right="1260" w:bottom="1720" w:left="1420" w:header="0" w:footer="1526" w:gutter="0"/>
        </w:sectPr>
      </w:pPr>
    </w:p>
    <w:p>
      <w:pPr>
        <w:pStyle w:val="4"/>
        <w:spacing w:before="39"/>
        <w:ind w:left="591"/>
        <w:rPr>
          <w:color w:val="auto"/>
        </w:rPr>
      </w:pPr>
      <w:r>
        <w:rPr>
          <w:color w:val="auto"/>
        </w:rPr>
        <w:t>1.【较轻】</w:t>
      </w:r>
    </w:p>
    <w:p>
      <w:pPr>
        <w:pStyle w:val="4"/>
        <w:spacing w:before="195"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68" w:firstLine="480"/>
        <w:jc w:val="both"/>
        <w:rPr>
          <w:color w:val="auto"/>
        </w:rPr>
      </w:pPr>
      <w:r>
        <w:rPr>
          <w:color w:val="auto"/>
          <w:spacing w:val="-4"/>
        </w:rPr>
        <w:t>违法行为持续时间一年以上的；经营者与消费者采用格式条款订立合同的数量一</w:t>
      </w:r>
      <w:r>
        <w:rPr>
          <w:color w:val="auto"/>
          <w:spacing w:val="-6"/>
        </w:rPr>
        <w:t>百份以上的；违法行为造成消费者财产损失五万元以上的；合同中涉嫌违法的条款数</w:t>
      </w:r>
      <w:r>
        <w:rPr>
          <w:color w:val="auto"/>
          <w:spacing w:val="-5"/>
        </w:rPr>
        <w:t>量达五条以上的，有违法所得的，给予警告，处以违法所得额二倍以上三倍以下的罚</w:t>
      </w:r>
      <w:r>
        <w:rPr>
          <w:color w:val="auto"/>
        </w:rPr>
        <w:t>款，但最高不超过三万元。</w:t>
      </w:r>
    </w:p>
    <w:p>
      <w:pPr>
        <w:spacing w:before="0" w:line="388" w:lineRule="auto"/>
        <w:ind w:left="591" w:right="1646" w:firstLine="0"/>
        <w:jc w:val="left"/>
        <w:rPr>
          <w:b/>
          <w:color w:val="auto"/>
          <w:sz w:val="24"/>
        </w:rPr>
      </w:pPr>
      <w:r>
        <w:rPr>
          <w:color w:val="auto"/>
          <w:sz w:val="24"/>
        </w:rPr>
        <w:t>没有违法所得的，给予警告，处以七千元以上一万元以下的罚款。</w:t>
      </w:r>
      <w:bookmarkStart w:id="319" w:name="一百五十六、经营者在格式条款中排除消费者解释格式条款的权利"/>
      <w:bookmarkEnd w:id="319"/>
      <w:bookmarkStart w:id="320" w:name="_bookmark159"/>
      <w:bookmarkEnd w:id="320"/>
      <w:r>
        <w:rPr>
          <w:b/>
          <w:color w:val="auto"/>
          <w:sz w:val="24"/>
        </w:rPr>
        <w:t>一百五十六、经营者在格式条款中排除消费者解释格式条款的权利</w:t>
      </w:r>
    </w:p>
    <w:p>
      <w:pPr>
        <w:pStyle w:val="2"/>
        <w:rPr>
          <w:color w:val="auto"/>
        </w:rPr>
      </w:pPr>
      <w:r>
        <w:rPr>
          <w:color w:val="auto"/>
        </w:rPr>
        <w:t>（一）处罚依据</w:t>
      </w:r>
    </w:p>
    <w:p>
      <w:pPr>
        <w:pStyle w:val="4"/>
        <w:spacing w:before="188"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68" w:firstLine="480"/>
        <w:rPr>
          <w:color w:val="auto"/>
        </w:rPr>
      </w:pPr>
      <w:r>
        <w:rPr>
          <w:color w:val="auto"/>
        </w:rPr>
        <w:t>2</w:t>
      </w:r>
      <w:r>
        <w:rPr>
          <w:color w:val="auto"/>
          <w:spacing w:val="-9"/>
        </w:rPr>
        <w:t>、《合同违法行为监督处理办法》第十一条 经营者与消费者采用格式条款订立合同的，经营者不得在格式条款中排除消费者下列权利：</w:t>
      </w:r>
    </w:p>
    <w:p>
      <w:pPr>
        <w:pStyle w:val="4"/>
        <w:spacing w:line="306" w:lineRule="exact"/>
        <w:ind w:left="591"/>
        <w:rPr>
          <w:color w:val="auto"/>
        </w:rPr>
      </w:pPr>
      <w:r>
        <w:rPr>
          <w:color w:val="auto"/>
        </w:rPr>
        <w:t>（四）解释格式条款的权利。</w:t>
      </w:r>
    </w:p>
    <w:p>
      <w:pPr>
        <w:spacing w:after="0" w:line="306" w:lineRule="exact"/>
        <w:rPr>
          <w:color w:val="auto"/>
        </w:rPr>
        <w:sectPr>
          <w:footerReference r:id="rId15" w:type="default"/>
          <w:footerReference r:id="rId16" w:type="even"/>
          <w:pgSz w:w="11910" w:h="16840"/>
          <w:pgMar w:top="1520" w:right="1260" w:bottom="1720" w:left="1420" w:header="0" w:footer="1526" w:gutter="0"/>
          <w:pgNumType w:start="110"/>
        </w:sectPr>
      </w:pPr>
    </w:p>
    <w:p>
      <w:pPr>
        <w:pStyle w:val="4"/>
        <w:spacing w:before="39"/>
        <w:ind w:left="591"/>
        <w:rPr>
          <w:color w:val="auto"/>
        </w:rPr>
      </w:pPr>
      <w:r>
        <w:rPr>
          <w:color w:val="auto"/>
        </w:rPr>
        <w:t>1.【较轻】</w:t>
      </w:r>
    </w:p>
    <w:p>
      <w:pPr>
        <w:pStyle w:val="4"/>
        <w:spacing w:before="195"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68" w:firstLine="480"/>
        <w:jc w:val="both"/>
        <w:rPr>
          <w:color w:val="auto"/>
        </w:rPr>
      </w:pPr>
      <w:r>
        <w:rPr>
          <w:color w:val="auto"/>
          <w:spacing w:val="-4"/>
        </w:rPr>
        <w:t>违法行为持续时间一年以上的；经营者与消费者采用格式条款订立合同的数量一</w:t>
      </w:r>
      <w:r>
        <w:rPr>
          <w:color w:val="auto"/>
          <w:spacing w:val="-6"/>
        </w:rPr>
        <w:t>百份以上的；违法行为造成消费者财产损失五万元以上的；合同中涉嫌违法的条款数</w:t>
      </w:r>
      <w:r>
        <w:rPr>
          <w:color w:val="auto"/>
          <w:spacing w:val="-5"/>
        </w:rPr>
        <w:t>量达五条以上的，有违法所得的，给予警告，处以违法所得额二倍以上三倍以下的罚</w:t>
      </w:r>
      <w:r>
        <w:rPr>
          <w:color w:val="auto"/>
        </w:rPr>
        <w:t>款，但最高不超过三万元。</w:t>
      </w:r>
    </w:p>
    <w:p>
      <w:pPr>
        <w:pStyle w:val="4"/>
        <w:spacing w:line="302" w:lineRule="exact"/>
        <w:ind w:left="591"/>
        <w:rPr>
          <w:color w:val="auto"/>
        </w:rPr>
      </w:pPr>
      <w:r>
        <w:rPr>
          <w:color w:val="auto"/>
        </w:rPr>
        <w:t>没有违法所得的，给予警告，处以七千元以上一万元以下的罚款。</w:t>
      </w:r>
    </w:p>
    <w:p>
      <w:pPr>
        <w:pStyle w:val="2"/>
        <w:spacing w:before="189"/>
        <w:rPr>
          <w:color w:val="auto"/>
        </w:rPr>
      </w:pPr>
      <w:bookmarkStart w:id="321" w:name="一百五十七、经营者在格式条款中排除消费者就格式条款争议提起诉讼的权利"/>
      <w:bookmarkEnd w:id="321"/>
      <w:bookmarkStart w:id="322" w:name="_bookmark160"/>
      <w:bookmarkEnd w:id="322"/>
      <w:r>
        <w:rPr>
          <w:color w:val="auto"/>
        </w:rPr>
        <w:t>一百五十七、经营者在格式条款中排除消费者就格式条款争议提起诉讼的权利</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1</w:t>
      </w:r>
      <w:r>
        <w:rPr>
          <w:color w:val="auto"/>
          <w:spacing w:val="-13"/>
        </w:rPr>
        <w:t>、《合同违法行为监督处理办法》第十二条 当事人违反本办法第六条、第七条、</w:t>
      </w:r>
      <w:r>
        <w:rPr>
          <w:color w:val="auto"/>
          <w:spacing w:val="-6"/>
        </w:rPr>
        <w:t>第八条、第九条、第十条、第十一条规定，法律法规已有规定的，从其规定；法律法</w:t>
      </w:r>
      <w:r>
        <w:rPr>
          <w:color w:val="auto"/>
          <w:spacing w:val="-9"/>
        </w:rPr>
        <w:t>规没有规定的，工商行政管理机关视其情节轻重，分别给予警告，处以违法所得额三倍以下，但最高不超过三万元的罚款，没有违法所得的，处以一万元以下的罚款。</w:t>
      </w:r>
    </w:p>
    <w:p>
      <w:pPr>
        <w:pStyle w:val="4"/>
        <w:spacing w:line="391" w:lineRule="auto"/>
        <w:ind w:right="268" w:firstLine="480"/>
        <w:rPr>
          <w:color w:val="auto"/>
        </w:rPr>
      </w:pPr>
      <w:r>
        <w:rPr>
          <w:color w:val="auto"/>
        </w:rPr>
        <w:t>2</w:t>
      </w:r>
      <w:r>
        <w:rPr>
          <w:color w:val="auto"/>
          <w:spacing w:val="-9"/>
        </w:rPr>
        <w:t>、《合同违法行为监督处理办法》第十一条 经营者与消费者采用格式条款订立合同的，经营者不得在格式条款中排除消费者下列权利：</w:t>
      </w:r>
    </w:p>
    <w:p>
      <w:pPr>
        <w:pStyle w:val="4"/>
        <w:spacing w:line="306" w:lineRule="exact"/>
        <w:ind w:left="591"/>
        <w:rPr>
          <w:color w:val="auto"/>
        </w:rPr>
      </w:pPr>
      <w:r>
        <w:rPr>
          <w:color w:val="auto"/>
        </w:rPr>
        <w:t>（五）就格式条款争议提起诉讼的权利。</w:t>
      </w:r>
    </w:p>
    <w:p>
      <w:pPr>
        <w:spacing w:after="0" w:line="306" w:lineRule="exact"/>
        <w:rPr>
          <w:color w:val="auto"/>
        </w:rPr>
        <w:sectPr>
          <w:pgSz w:w="11910" w:h="16840"/>
          <w:pgMar w:top="1520" w:right="1260" w:bottom="1720" w:left="1420" w:header="0" w:footer="1526" w:gutter="0"/>
        </w:sectPr>
      </w:pPr>
    </w:p>
    <w:p>
      <w:pPr>
        <w:pStyle w:val="4"/>
        <w:spacing w:before="39"/>
        <w:ind w:left="591"/>
        <w:rPr>
          <w:color w:val="auto"/>
        </w:rPr>
      </w:pPr>
      <w:r>
        <w:rPr>
          <w:color w:val="auto"/>
        </w:rPr>
        <w:t>1.【较轻】</w:t>
      </w:r>
    </w:p>
    <w:p>
      <w:pPr>
        <w:pStyle w:val="4"/>
        <w:spacing w:before="195" w:line="391" w:lineRule="auto"/>
        <w:ind w:right="268" w:firstLine="480"/>
        <w:jc w:val="both"/>
        <w:rPr>
          <w:color w:val="auto"/>
        </w:rPr>
      </w:pPr>
      <w:r>
        <w:rPr>
          <w:color w:val="auto"/>
          <w:spacing w:val="-4"/>
        </w:rPr>
        <w:t>违法行为持续三个月以下的；经营者与消费者采用格式条款订立合同的数量五十</w:t>
      </w:r>
      <w:r>
        <w:rPr>
          <w:color w:val="auto"/>
          <w:spacing w:val="-6"/>
        </w:rPr>
        <w:t>份以下的；违法行为造成消费者财产损失一万元以下的；合同中涉嫌违法的条款数量达三条以下的，有违法所得的，给予警告，处以违法所得额一倍以下的罚款，但最高</w:t>
      </w:r>
      <w:r>
        <w:rPr>
          <w:color w:val="auto"/>
        </w:rPr>
        <w:t>不超过三万元。</w:t>
      </w:r>
    </w:p>
    <w:p>
      <w:pPr>
        <w:pStyle w:val="4"/>
        <w:spacing w:line="388" w:lineRule="auto"/>
        <w:ind w:left="591" w:right="2872"/>
        <w:rPr>
          <w:color w:val="auto"/>
        </w:rPr>
      </w:pPr>
      <w:r>
        <w:rPr>
          <w:color w:val="auto"/>
          <w:spacing w:val="-1"/>
        </w:rPr>
        <w:t>没有违法所得的，给予警告，处以三千元以下的罚款。</w:t>
      </w:r>
      <w:r>
        <w:rPr>
          <w:color w:val="auto"/>
        </w:rPr>
        <w:t>2.【一般】</w:t>
      </w:r>
    </w:p>
    <w:p>
      <w:pPr>
        <w:pStyle w:val="4"/>
        <w:spacing w:line="391" w:lineRule="auto"/>
        <w:ind w:right="232" w:firstLine="480"/>
        <w:jc w:val="both"/>
        <w:rPr>
          <w:color w:val="auto"/>
        </w:rPr>
      </w:pPr>
      <w:r>
        <w:rPr>
          <w:color w:val="auto"/>
          <w:spacing w:val="-3"/>
        </w:rPr>
        <w:t>违法行为持续三个月以上一年以下的；经营者与消费者采用格式条款订立合同的</w:t>
      </w:r>
      <w:r>
        <w:rPr>
          <w:color w:val="auto"/>
          <w:spacing w:val="-6"/>
        </w:rPr>
        <w:t>数量五十份以上一百份以下的；违法行为造成消费者财产损失一万元以上五万元以下</w:t>
      </w:r>
      <w:r>
        <w:rPr>
          <w:color w:val="auto"/>
          <w:spacing w:val="-7"/>
        </w:rPr>
        <w:t xml:space="preserve">的；合同中涉嫌违法的条款数量达三条以上五条以下的，有违法所得的，给予警告， </w:t>
      </w:r>
      <w:r>
        <w:rPr>
          <w:color w:val="auto"/>
        </w:rPr>
        <w:t>处以违法所得额一倍以上二倍以下的罚款，但最高不超过三万元。</w:t>
      </w:r>
    </w:p>
    <w:p>
      <w:pPr>
        <w:pStyle w:val="4"/>
        <w:spacing w:line="388" w:lineRule="auto"/>
        <w:ind w:left="591" w:right="1672"/>
        <w:rPr>
          <w:color w:val="auto"/>
        </w:rPr>
      </w:pPr>
      <w:r>
        <w:rPr>
          <w:color w:val="auto"/>
        </w:rPr>
        <w:t>没有违法所得的，给予警告，处以三千元以上七千元以下的罚款。3.【严重】</w:t>
      </w:r>
    </w:p>
    <w:p>
      <w:pPr>
        <w:pStyle w:val="4"/>
        <w:spacing w:line="391" w:lineRule="auto"/>
        <w:ind w:right="268" w:firstLine="480"/>
        <w:jc w:val="both"/>
        <w:rPr>
          <w:color w:val="auto"/>
        </w:rPr>
      </w:pPr>
      <w:r>
        <w:rPr>
          <w:color w:val="auto"/>
          <w:spacing w:val="-4"/>
        </w:rPr>
        <w:t>违法行为持续时间一年以上的；经营者与消费者采用格式条款订立合同的数量一</w:t>
      </w:r>
      <w:r>
        <w:rPr>
          <w:color w:val="auto"/>
          <w:spacing w:val="-6"/>
        </w:rPr>
        <w:t>百份以上的；违法行为造成消费者财产损失五万元以上的；合同中涉嫌违法的条款数</w:t>
      </w:r>
      <w:r>
        <w:rPr>
          <w:color w:val="auto"/>
          <w:spacing w:val="-5"/>
        </w:rPr>
        <w:t>量达五条以上的，有违法所得的，给予警告，处以违法所得额二倍以上三倍以下的罚</w:t>
      </w:r>
      <w:r>
        <w:rPr>
          <w:color w:val="auto"/>
        </w:rPr>
        <w:t>款，但最高不超过三万元。</w:t>
      </w:r>
    </w:p>
    <w:p>
      <w:pPr>
        <w:pStyle w:val="4"/>
        <w:spacing w:line="302" w:lineRule="exact"/>
        <w:ind w:left="591"/>
        <w:rPr>
          <w:color w:val="auto"/>
        </w:rPr>
      </w:pPr>
      <w:r>
        <w:rPr>
          <w:color w:val="auto"/>
        </w:rPr>
        <w:t>没有违法所得的，给予警告，处以七千元以上一万元以下的罚款。</w:t>
      </w:r>
    </w:p>
    <w:p>
      <w:pPr>
        <w:pStyle w:val="4"/>
        <w:ind w:left="0"/>
        <w:rPr>
          <w:color w:val="auto"/>
        </w:rPr>
      </w:pPr>
    </w:p>
    <w:p>
      <w:pPr>
        <w:pStyle w:val="4"/>
        <w:spacing w:before="11"/>
        <w:ind w:left="0"/>
        <w:rPr>
          <w:color w:val="auto"/>
          <w:sz w:val="29"/>
        </w:rPr>
      </w:pPr>
    </w:p>
    <w:p>
      <w:pPr>
        <w:pStyle w:val="4"/>
        <w:tabs>
          <w:tab w:val="left" w:pos="959"/>
        </w:tabs>
        <w:ind w:left="0" w:right="161"/>
        <w:jc w:val="center"/>
        <w:rPr>
          <w:rFonts w:hint="eastAsia" w:ascii="黑体" w:eastAsia="黑体"/>
          <w:color w:val="auto"/>
        </w:rPr>
      </w:pPr>
      <w:bookmarkStart w:id="323" w:name="第五章  消费者权益保护"/>
      <w:bookmarkEnd w:id="323"/>
      <w:bookmarkStart w:id="324" w:name="_bookmark161"/>
      <w:bookmarkEnd w:id="324"/>
      <w:r>
        <w:rPr>
          <w:rFonts w:hint="eastAsia" w:ascii="黑体" w:eastAsia="黑体"/>
          <w:color w:val="auto"/>
        </w:rPr>
        <w:t>第五章</w:t>
      </w:r>
      <w:r>
        <w:rPr>
          <w:rFonts w:hint="eastAsia" w:ascii="黑体" w:eastAsia="黑体"/>
          <w:color w:val="auto"/>
        </w:rPr>
        <w:tab/>
      </w:r>
      <w:r>
        <w:rPr>
          <w:rFonts w:hint="eastAsia" w:ascii="黑体" w:eastAsia="黑体"/>
          <w:color w:val="auto"/>
        </w:rPr>
        <w:t>消费者权益保护</w:t>
      </w:r>
    </w:p>
    <w:p>
      <w:pPr>
        <w:pStyle w:val="4"/>
        <w:ind w:left="0"/>
        <w:rPr>
          <w:rFonts w:ascii="黑体"/>
          <w:color w:val="auto"/>
        </w:rPr>
      </w:pPr>
    </w:p>
    <w:p>
      <w:pPr>
        <w:pStyle w:val="4"/>
        <w:spacing w:before="12"/>
        <w:ind w:left="0"/>
        <w:rPr>
          <w:rFonts w:ascii="黑体"/>
          <w:color w:val="auto"/>
          <w:sz w:val="29"/>
        </w:rPr>
      </w:pPr>
    </w:p>
    <w:p>
      <w:pPr>
        <w:pStyle w:val="2"/>
        <w:rPr>
          <w:color w:val="auto"/>
        </w:rPr>
      </w:pPr>
      <w:bookmarkStart w:id="325" w:name="一百五十八、篡改生产日期"/>
      <w:bookmarkEnd w:id="325"/>
      <w:bookmarkStart w:id="326" w:name="_bookmark162"/>
      <w:bookmarkEnd w:id="326"/>
      <w:r>
        <w:rPr>
          <w:color w:val="auto"/>
        </w:rPr>
        <w:t>一百五十八、篡改生产日期</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80"/>
        <w:jc w:val="both"/>
        <w:rPr>
          <w:color w:val="auto"/>
        </w:rPr>
      </w:pPr>
      <w:r>
        <w:rPr>
          <w:color w:val="auto"/>
        </w:rPr>
        <w:t>《中华人民共和国消费者权益保护法》第五十六条 经营者有下列情形之一，除</w:t>
      </w:r>
      <w:r>
        <w:rPr>
          <w:color w:val="auto"/>
          <w:spacing w:val="-4"/>
        </w:rPr>
        <w:t>承担相应的民事责任外，其他有关法律、法规对处罚机关和处罚方式有规定的，依照</w:t>
      </w:r>
      <w:r>
        <w:rPr>
          <w:color w:val="auto"/>
          <w:spacing w:val="-8"/>
        </w:rPr>
        <w:t>法律、法规的规定执行；法律、法规未作规定的，由工商行政管理部门或者其他有关</w:t>
      </w:r>
      <w:r>
        <w:rPr>
          <w:color w:val="auto"/>
          <w:spacing w:val="-11"/>
        </w:rPr>
        <w:t>行政部门责令改正，可以根据情节单处或者并处警告、没收违法所得、处以违法所得</w:t>
      </w:r>
      <w:r>
        <w:rPr>
          <w:color w:val="auto"/>
          <w:spacing w:val="-17"/>
        </w:rPr>
        <w:t>一倍以上十倍以下的罚款，没有违法所得的，处以五十万元以下的罚款；情节严重的，</w:t>
      </w:r>
    </w:p>
    <w:p>
      <w:pPr>
        <w:spacing w:after="0" w:line="391" w:lineRule="auto"/>
        <w:jc w:val="both"/>
        <w:rPr>
          <w:color w:val="auto"/>
        </w:rPr>
        <w:sectPr>
          <w:footerReference r:id="rId17" w:type="default"/>
          <w:footerReference r:id="rId18" w:type="even"/>
          <w:pgSz w:w="11910" w:h="16840"/>
          <w:pgMar w:top="1520" w:right="1260" w:bottom="1220" w:left="1420" w:header="0" w:footer="1034" w:gutter="0"/>
          <w:pgNumType w:start="112"/>
        </w:sectPr>
      </w:pPr>
    </w:p>
    <w:p>
      <w:pPr>
        <w:pStyle w:val="4"/>
        <w:spacing w:before="39"/>
        <w:rPr>
          <w:color w:val="auto"/>
        </w:rPr>
      </w:pPr>
      <w:r>
        <w:rPr>
          <w:color w:val="auto"/>
        </w:rPr>
        <w:t>责令停业整顿、吊销营业执照：</w:t>
      </w:r>
    </w:p>
    <w:p>
      <w:pPr>
        <w:pStyle w:val="4"/>
        <w:spacing w:before="195" w:line="388" w:lineRule="auto"/>
        <w:ind w:right="212" w:firstLine="480"/>
        <w:rPr>
          <w:color w:val="auto"/>
        </w:rPr>
      </w:pPr>
      <w:r>
        <w:rPr>
          <w:color w:val="auto"/>
        </w:rPr>
        <w:t>（四）伪造商品的产地，伪造或者冒用他人的厂名、厂址，篡改生产日期，伪造或者冒用认证标志等质量标志的。</w:t>
      </w:r>
    </w:p>
    <w:p>
      <w:pPr>
        <w:pStyle w:val="2"/>
        <w:spacing w:before="2"/>
        <w:rPr>
          <w:color w:val="auto"/>
        </w:rPr>
      </w:pPr>
      <w:r>
        <w:rPr>
          <w:color w:val="auto"/>
        </w:rPr>
        <w:t>（二）裁量标准</w:t>
      </w:r>
    </w:p>
    <w:p>
      <w:pPr>
        <w:pStyle w:val="4"/>
        <w:spacing w:before="194"/>
        <w:ind w:left="591"/>
        <w:rPr>
          <w:color w:val="auto"/>
        </w:rPr>
      </w:pPr>
      <w:r>
        <w:rPr>
          <w:color w:val="auto"/>
        </w:rPr>
        <w:t>1、警告、没收违法所得、罚款</w:t>
      </w:r>
    </w:p>
    <w:p>
      <w:pPr>
        <w:pStyle w:val="4"/>
        <w:spacing w:before="192"/>
        <w:ind w:left="591"/>
        <w:rPr>
          <w:color w:val="auto"/>
        </w:rPr>
      </w:pPr>
      <w:r>
        <w:rPr>
          <w:color w:val="auto"/>
        </w:rPr>
        <w:t>【较轻】</w:t>
      </w:r>
    </w:p>
    <w:p>
      <w:pPr>
        <w:pStyle w:val="4"/>
        <w:spacing w:before="191" w:line="391" w:lineRule="auto"/>
        <w:ind w:right="213" w:firstLine="480"/>
        <w:rPr>
          <w:color w:val="auto"/>
        </w:rPr>
      </w:pPr>
      <w:r>
        <w:rPr>
          <w:color w:val="auto"/>
        </w:rPr>
        <w:t>货值金额一万元以下的，给予警告，没收违法所得，处以违法所得一倍以上三倍以下的罚款；没有违法所得的，给予警告，处以二万元以下的罚款。</w:t>
      </w:r>
    </w:p>
    <w:p>
      <w:pPr>
        <w:pStyle w:val="4"/>
        <w:spacing w:line="306" w:lineRule="exact"/>
        <w:ind w:left="591"/>
        <w:rPr>
          <w:color w:val="auto"/>
        </w:rPr>
      </w:pPr>
      <w:r>
        <w:rPr>
          <w:color w:val="auto"/>
        </w:rPr>
        <w:t>【一般】</w:t>
      </w:r>
    </w:p>
    <w:p>
      <w:pPr>
        <w:pStyle w:val="4"/>
        <w:spacing w:before="192" w:line="391" w:lineRule="auto"/>
        <w:ind w:right="213" w:firstLine="480"/>
        <w:rPr>
          <w:color w:val="auto"/>
        </w:rPr>
      </w:pPr>
      <w:r>
        <w:rPr>
          <w:color w:val="auto"/>
        </w:rPr>
        <w:t>货值金额一万元以上十万元以下的，没收违法所得，处以违法所得三倍以上七倍以下的罚款；没有违法所得的，处以二万元以上二十万元以下的罚款。</w:t>
      </w:r>
    </w:p>
    <w:p>
      <w:pPr>
        <w:pStyle w:val="4"/>
        <w:spacing w:line="306" w:lineRule="exact"/>
        <w:ind w:left="591"/>
        <w:rPr>
          <w:color w:val="auto"/>
        </w:rPr>
      </w:pPr>
      <w:r>
        <w:rPr>
          <w:color w:val="auto"/>
        </w:rPr>
        <w:t>【严重】</w:t>
      </w:r>
    </w:p>
    <w:p>
      <w:pPr>
        <w:pStyle w:val="4"/>
        <w:spacing w:before="192" w:line="391" w:lineRule="auto"/>
        <w:ind w:right="213" w:firstLine="480"/>
        <w:rPr>
          <w:color w:val="auto"/>
        </w:rPr>
      </w:pPr>
      <w:r>
        <w:rPr>
          <w:color w:val="auto"/>
        </w:rPr>
        <w:t>货值金额十万元以上二十万以下的，没收违法所得，处以违法所得七倍以上十倍以下的罚款；没有违法所得的，处以二十万元以上五十万元以下的罚款。</w:t>
      </w:r>
    </w:p>
    <w:p>
      <w:pPr>
        <w:pStyle w:val="4"/>
        <w:spacing w:line="306" w:lineRule="exact"/>
        <w:ind w:left="591"/>
        <w:rPr>
          <w:color w:val="auto"/>
        </w:rPr>
      </w:pPr>
      <w:r>
        <w:rPr>
          <w:color w:val="auto"/>
        </w:rPr>
        <w:t>2、责令停业整顿、吊销营业执照</w:t>
      </w:r>
    </w:p>
    <w:p>
      <w:pPr>
        <w:pStyle w:val="13"/>
        <w:numPr>
          <w:ilvl w:val="0"/>
          <w:numId w:val="92"/>
        </w:numPr>
        <w:tabs>
          <w:tab w:val="left" w:pos="1193"/>
        </w:tabs>
        <w:spacing w:before="191" w:after="0" w:line="240" w:lineRule="auto"/>
        <w:ind w:left="1192" w:right="0" w:hanging="602"/>
        <w:jc w:val="left"/>
        <w:rPr>
          <w:color w:val="auto"/>
          <w:sz w:val="24"/>
        </w:rPr>
      </w:pPr>
      <w:r>
        <w:rPr>
          <w:color w:val="auto"/>
          <w:sz w:val="24"/>
        </w:rPr>
        <w:t>货值金额二十万元以上的；</w:t>
      </w:r>
    </w:p>
    <w:p>
      <w:pPr>
        <w:pStyle w:val="13"/>
        <w:numPr>
          <w:ilvl w:val="0"/>
          <w:numId w:val="92"/>
        </w:numPr>
        <w:tabs>
          <w:tab w:val="left" w:pos="1193"/>
        </w:tabs>
        <w:spacing w:before="194" w:after="0" w:line="240" w:lineRule="auto"/>
        <w:ind w:left="1192" w:right="0" w:hanging="602"/>
        <w:jc w:val="left"/>
        <w:rPr>
          <w:color w:val="auto"/>
          <w:sz w:val="24"/>
        </w:rPr>
      </w:pPr>
      <w:r>
        <w:rPr>
          <w:color w:val="auto"/>
          <w:sz w:val="24"/>
        </w:rPr>
        <w:t>一年内实施两次以上同类违法行为且受到行政处罚的；</w:t>
      </w:r>
    </w:p>
    <w:p>
      <w:pPr>
        <w:pStyle w:val="13"/>
        <w:numPr>
          <w:ilvl w:val="0"/>
          <w:numId w:val="92"/>
        </w:numPr>
        <w:tabs>
          <w:tab w:val="left" w:pos="1193"/>
        </w:tabs>
        <w:spacing w:before="192" w:after="0" w:line="240" w:lineRule="auto"/>
        <w:ind w:left="1192" w:right="0" w:hanging="602"/>
        <w:jc w:val="left"/>
        <w:rPr>
          <w:color w:val="auto"/>
          <w:sz w:val="24"/>
        </w:rPr>
      </w:pPr>
      <w:r>
        <w:rPr>
          <w:color w:val="auto"/>
          <w:sz w:val="24"/>
        </w:rPr>
        <w:t>篡改生产日期的商品给人民身体健康、生命财产安全造成严重后果的；</w:t>
      </w:r>
    </w:p>
    <w:p>
      <w:pPr>
        <w:pStyle w:val="13"/>
        <w:numPr>
          <w:ilvl w:val="0"/>
          <w:numId w:val="92"/>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4"/>
        <w:rPr>
          <w:color w:val="auto"/>
        </w:rPr>
      </w:pPr>
      <w:bookmarkStart w:id="327" w:name="一百五十九、销售的商品应当检验、检疫而未检验、检疫或者伪造检验、检疫结果"/>
      <w:bookmarkEnd w:id="327"/>
      <w:bookmarkStart w:id="328" w:name="_bookmark163"/>
      <w:bookmarkEnd w:id="328"/>
      <w:r>
        <w:rPr>
          <w:color w:val="auto"/>
        </w:rPr>
        <w:t>一百五十九、销售的商品应当检验、检疫而未检验、检疫或者伪造检验、检疫结</w:t>
      </w:r>
    </w:p>
    <w:p>
      <w:pPr>
        <w:spacing w:before="192"/>
        <w:ind w:left="111" w:right="0" w:firstLine="0"/>
        <w:jc w:val="left"/>
        <w:rPr>
          <w:b/>
          <w:color w:val="auto"/>
          <w:sz w:val="24"/>
        </w:rPr>
      </w:pPr>
      <w:r>
        <w:rPr>
          <w:b/>
          <w:color w:val="auto"/>
          <w:w w:val="99"/>
          <w:sz w:val="24"/>
        </w:rPr>
        <w:t>果</w:t>
      </w:r>
    </w:p>
    <w:p>
      <w:pPr>
        <w:spacing w:before="191"/>
        <w:ind w:left="591" w:right="0" w:firstLine="0"/>
        <w:jc w:val="left"/>
        <w:rPr>
          <w:b/>
          <w:color w:val="auto"/>
          <w:sz w:val="24"/>
        </w:rPr>
      </w:pPr>
      <w:r>
        <w:rPr>
          <w:b/>
          <w:color w:val="auto"/>
          <w:sz w:val="24"/>
        </w:rPr>
        <w:t>（一）处罚依据</w:t>
      </w:r>
    </w:p>
    <w:p>
      <w:pPr>
        <w:pStyle w:val="4"/>
        <w:spacing w:before="194" w:line="388" w:lineRule="auto"/>
        <w:ind w:right="148" w:firstLine="480"/>
        <w:rPr>
          <w:color w:val="auto"/>
        </w:rPr>
      </w:pPr>
      <w:r>
        <w:rPr>
          <w:color w:val="auto"/>
        </w:rPr>
        <w:t>《中华人民共和国消费者权益保护法》第五十六条 经营者有下列情形之一，除</w:t>
      </w:r>
      <w:r>
        <w:rPr>
          <w:color w:val="auto"/>
          <w:spacing w:val="-4"/>
        </w:rPr>
        <w:t>承担相应的民事责任外，其他有关法律、法规对处罚机关和处罚方式有规定的，依照</w:t>
      </w:r>
      <w:r>
        <w:rPr>
          <w:color w:val="auto"/>
          <w:spacing w:val="-8"/>
        </w:rPr>
        <w:t>法律、法规的规定执行；法律、法规未作规定的，由工商行政管理部门或者其他有关</w:t>
      </w:r>
      <w:r>
        <w:rPr>
          <w:color w:val="auto"/>
          <w:spacing w:val="-11"/>
        </w:rPr>
        <w:t>行政部门责令改正，可以根据情节单处或者并处警告、没收违法所得、处以违法所得</w:t>
      </w:r>
      <w:r>
        <w:rPr>
          <w:color w:val="auto"/>
          <w:spacing w:val="-17"/>
        </w:rPr>
        <w:t xml:space="preserve">一倍以上十倍以下的罚款，没有违法所得的，处以五十万元以下的罚款；情节严重的， </w:t>
      </w:r>
      <w:r>
        <w:rPr>
          <w:color w:val="auto"/>
        </w:rPr>
        <w:t>责令停业整顿、吊销营业执照：</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（五）销售的商品应当检验、检疫而未检验、检疫或者伪造检验、检疫结果的。</w:t>
      </w:r>
    </w:p>
    <w:p>
      <w:pPr>
        <w:pStyle w:val="2"/>
        <w:spacing w:before="195"/>
        <w:rPr>
          <w:color w:val="auto"/>
        </w:rPr>
      </w:pPr>
      <w:r>
        <w:rPr>
          <w:color w:val="auto"/>
        </w:rPr>
        <w:t>（二）裁量标准</w:t>
      </w:r>
    </w:p>
    <w:p>
      <w:pPr>
        <w:pStyle w:val="4"/>
        <w:spacing w:before="191"/>
        <w:ind w:left="591"/>
        <w:rPr>
          <w:color w:val="auto"/>
        </w:rPr>
      </w:pPr>
      <w:r>
        <w:rPr>
          <w:color w:val="auto"/>
        </w:rPr>
        <w:t>1、警告、没收违法所得、罚款</w:t>
      </w:r>
    </w:p>
    <w:p>
      <w:pPr>
        <w:pStyle w:val="4"/>
        <w:spacing w:before="192"/>
        <w:ind w:left="591"/>
        <w:rPr>
          <w:color w:val="auto"/>
        </w:rPr>
      </w:pPr>
      <w:r>
        <w:rPr>
          <w:color w:val="auto"/>
        </w:rPr>
        <w:t>【较轻】</w:t>
      </w:r>
    </w:p>
    <w:p>
      <w:pPr>
        <w:pStyle w:val="4"/>
        <w:spacing w:before="194" w:line="388" w:lineRule="auto"/>
        <w:ind w:right="148" w:firstLine="480"/>
        <w:rPr>
          <w:color w:val="auto"/>
        </w:rPr>
      </w:pPr>
      <w:r>
        <w:rPr>
          <w:color w:val="auto"/>
          <w:spacing w:val="-11"/>
        </w:rPr>
        <w:t xml:space="preserve">销售的商品应当检验、检疫而未检验、检疫，违法所得一万元以下的，给予警告， </w:t>
      </w:r>
      <w:r>
        <w:rPr>
          <w:color w:val="auto"/>
        </w:rPr>
        <w:t>没收违法所得，并处违法所得一倍以上三倍以下的罚款。</w:t>
      </w:r>
    </w:p>
    <w:p>
      <w:pPr>
        <w:pStyle w:val="4"/>
        <w:spacing w:before="2"/>
        <w:ind w:left="591"/>
        <w:rPr>
          <w:color w:val="auto"/>
        </w:rPr>
      </w:pPr>
      <w:r>
        <w:rPr>
          <w:color w:val="auto"/>
        </w:rPr>
        <w:t>【一般】</w:t>
      </w:r>
    </w:p>
    <w:p>
      <w:pPr>
        <w:pStyle w:val="4"/>
        <w:spacing w:before="194" w:line="388" w:lineRule="auto"/>
        <w:ind w:right="148" w:firstLine="480"/>
        <w:rPr>
          <w:color w:val="auto"/>
        </w:rPr>
      </w:pPr>
      <w:r>
        <w:rPr>
          <w:color w:val="auto"/>
          <w:spacing w:val="-13"/>
        </w:rPr>
        <w:t xml:space="preserve">销售的商品应当检验、检疫而未检验、检疫，违法所得一万元以上十万元以下的， </w:t>
      </w:r>
      <w:r>
        <w:rPr>
          <w:color w:val="auto"/>
        </w:rPr>
        <w:t>没收违法所得，处以违法所得三倍以上七倍以下的罚款。</w:t>
      </w:r>
    </w:p>
    <w:p>
      <w:pPr>
        <w:pStyle w:val="4"/>
        <w:spacing w:before="2"/>
        <w:ind w:left="591"/>
        <w:rPr>
          <w:color w:val="auto"/>
        </w:rPr>
      </w:pPr>
      <w:r>
        <w:rPr>
          <w:color w:val="auto"/>
        </w:rPr>
        <w:t>【严重】</w:t>
      </w:r>
    </w:p>
    <w:p>
      <w:pPr>
        <w:pStyle w:val="4"/>
        <w:spacing w:before="195" w:line="388" w:lineRule="auto"/>
        <w:ind w:right="148" w:firstLine="480"/>
        <w:rPr>
          <w:color w:val="auto"/>
        </w:rPr>
      </w:pPr>
      <w:r>
        <w:rPr>
          <w:color w:val="auto"/>
          <w:spacing w:val="-13"/>
        </w:rPr>
        <w:t xml:space="preserve">销售的商品应当检验、检疫而未检验、检疫，违法所得十万元以上二十万以下的， </w:t>
      </w:r>
      <w:r>
        <w:rPr>
          <w:color w:val="auto"/>
        </w:rPr>
        <w:t>没收违法所得，处以违法所得七倍以上十倍以下的罚款。</w:t>
      </w:r>
    </w:p>
    <w:p>
      <w:pPr>
        <w:pStyle w:val="4"/>
        <w:spacing w:before="2"/>
        <w:ind w:left="591"/>
        <w:rPr>
          <w:color w:val="auto"/>
        </w:rPr>
      </w:pPr>
      <w:r>
        <w:rPr>
          <w:color w:val="auto"/>
        </w:rPr>
        <w:t>2、没有违法所得</w:t>
      </w:r>
    </w:p>
    <w:p>
      <w:pPr>
        <w:pStyle w:val="4"/>
        <w:spacing w:before="194"/>
        <w:ind w:left="591"/>
        <w:rPr>
          <w:color w:val="auto"/>
        </w:rPr>
      </w:pPr>
      <w:r>
        <w:rPr>
          <w:color w:val="auto"/>
        </w:rPr>
        <w:t>【较轻】</w:t>
      </w:r>
    </w:p>
    <w:p>
      <w:pPr>
        <w:pStyle w:val="4"/>
        <w:spacing w:before="191"/>
        <w:ind w:left="591"/>
        <w:rPr>
          <w:color w:val="auto"/>
        </w:rPr>
      </w:pPr>
      <w:r>
        <w:rPr>
          <w:color w:val="auto"/>
        </w:rPr>
        <w:t>商品尚未售出的，或者货值金额一万元以下的，处以十万元以下的罚款。</w:t>
      </w:r>
    </w:p>
    <w:p>
      <w:pPr>
        <w:pStyle w:val="4"/>
        <w:spacing w:before="192"/>
        <w:ind w:left="591"/>
        <w:rPr>
          <w:color w:val="auto"/>
        </w:rPr>
      </w:pPr>
      <w:r>
        <w:rPr>
          <w:color w:val="auto"/>
        </w:rPr>
        <w:t>【一般】</w:t>
      </w:r>
    </w:p>
    <w:p>
      <w:pPr>
        <w:pStyle w:val="4"/>
        <w:spacing w:before="194"/>
        <w:ind w:left="591"/>
        <w:rPr>
          <w:color w:val="auto"/>
        </w:rPr>
      </w:pPr>
      <w:r>
        <w:rPr>
          <w:color w:val="auto"/>
        </w:rPr>
        <w:t>货值金额一万元以上的，处以十万元以上三十五万元以下的罚款。</w:t>
      </w:r>
    </w:p>
    <w:p>
      <w:pPr>
        <w:pStyle w:val="4"/>
        <w:spacing w:before="192"/>
        <w:ind w:left="591"/>
        <w:rPr>
          <w:color w:val="auto"/>
        </w:rPr>
      </w:pPr>
      <w:r>
        <w:rPr>
          <w:color w:val="auto"/>
        </w:rPr>
        <w:t>【严重】</w:t>
      </w:r>
    </w:p>
    <w:p>
      <w:pPr>
        <w:pStyle w:val="4"/>
        <w:spacing w:before="192" w:line="391" w:lineRule="auto"/>
        <w:ind w:left="591" w:right="1432"/>
        <w:rPr>
          <w:color w:val="auto"/>
        </w:rPr>
      </w:pPr>
      <w:r>
        <w:rPr>
          <w:color w:val="auto"/>
        </w:rPr>
        <w:t>伪造检验、检疫结果的，处以三十五万元以上五十万元以下的罚款。3、责令停业整顿、吊销营业执照</w:t>
      </w:r>
    </w:p>
    <w:p>
      <w:pPr>
        <w:pStyle w:val="13"/>
        <w:numPr>
          <w:ilvl w:val="0"/>
          <w:numId w:val="93"/>
        </w:numPr>
        <w:tabs>
          <w:tab w:val="left" w:pos="1193"/>
        </w:tabs>
        <w:spacing w:before="0" w:after="0" w:line="306" w:lineRule="exact"/>
        <w:ind w:left="1192" w:right="0" w:hanging="602"/>
        <w:jc w:val="left"/>
        <w:rPr>
          <w:color w:val="auto"/>
          <w:sz w:val="24"/>
        </w:rPr>
      </w:pPr>
      <w:r>
        <w:rPr>
          <w:color w:val="auto"/>
          <w:sz w:val="24"/>
        </w:rPr>
        <w:t>违法所得二十万元以上的；</w:t>
      </w:r>
    </w:p>
    <w:p>
      <w:pPr>
        <w:pStyle w:val="13"/>
        <w:numPr>
          <w:ilvl w:val="0"/>
          <w:numId w:val="93"/>
        </w:numPr>
        <w:tabs>
          <w:tab w:val="left" w:pos="1193"/>
        </w:tabs>
        <w:spacing w:before="191" w:after="0" w:line="240" w:lineRule="auto"/>
        <w:ind w:left="1192" w:right="0" w:hanging="602"/>
        <w:jc w:val="left"/>
        <w:rPr>
          <w:color w:val="auto"/>
          <w:sz w:val="24"/>
        </w:rPr>
      </w:pPr>
      <w:r>
        <w:rPr>
          <w:color w:val="auto"/>
          <w:sz w:val="24"/>
        </w:rPr>
        <w:t>一年内实施两次以上同类违法行为且受到行政处罚的；</w:t>
      </w:r>
    </w:p>
    <w:p>
      <w:pPr>
        <w:pStyle w:val="13"/>
        <w:numPr>
          <w:ilvl w:val="0"/>
          <w:numId w:val="93"/>
        </w:numPr>
        <w:tabs>
          <w:tab w:val="left" w:pos="1199"/>
        </w:tabs>
        <w:spacing w:before="194" w:after="0" w:line="388" w:lineRule="auto"/>
        <w:ind w:left="111" w:right="269" w:firstLine="480"/>
        <w:jc w:val="left"/>
        <w:rPr>
          <w:color w:val="auto"/>
          <w:sz w:val="24"/>
        </w:rPr>
      </w:pPr>
      <w:r>
        <w:rPr>
          <w:color w:val="auto"/>
          <w:sz w:val="24"/>
        </w:rPr>
        <w:t>应当检验、检疫而未检验、检疫造成严重后果的，或者伪造检验、检疫结果的；</w:t>
      </w:r>
    </w:p>
    <w:p>
      <w:pPr>
        <w:pStyle w:val="13"/>
        <w:numPr>
          <w:ilvl w:val="0"/>
          <w:numId w:val="93"/>
        </w:numPr>
        <w:tabs>
          <w:tab w:val="left" w:pos="1193"/>
        </w:tabs>
        <w:spacing w:before="2" w:after="0" w:line="240" w:lineRule="auto"/>
        <w:ind w:left="1192" w:right="0" w:hanging="602"/>
        <w:jc w:val="left"/>
        <w:rPr>
          <w:color w:val="auto"/>
          <w:sz w:val="24"/>
        </w:rPr>
      </w:pPr>
      <w:r>
        <w:rPr>
          <w:color w:val="auto"/>
          <w:sz w:val="24"/>
        </w:rPr>
        <w:t>其他严重违法情形。</w:t>
      </w:r>
    </w:p>
    <w:p>
      <w:pPr>
        <w:pStyle w:val="2"/>
        <w:spacing w:before="195" w:line="388" w:lineRule="auto"/>
        <w:ind w:left="111" w:right="170" w:firstLine="480"/>
        <w:rPr>
          <w:color w:val="auto"/>
        </w:rPr>
      </w:pPr>
      <w:bookmarkStart w:id="329" w:name="_bookmark164"/>
      <w:bookmarkEnd w:id="329"/>
      <w:bookmarkStart w:id="330" w:name="一百六十、拒绝或者拖延有关行政部门责令对缺陷商品或者服务采取停止销售、警示、召回"/>
      <w:bookmarkEnd w:id="330"/>
      <w:r>
        <w:rPr>
          <w:color w:val="auto"/>
        </w:rPr>
        <w:t>一百六十、拒绝或者拖延有关行政部门责令对缺陷商品或者服务采取停止销售、警示、召回、无害化处理、销毁、停止生产或者服务等措施</w:t>
      </w:r>
    </w:p>
    <w:p>
      <w:pPr>
        <w:spacing w:before="2"/>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148" w:firstLine="480"/>
        <w:rPr>
          <w:color w:val="auto"/>
        </w:rPr>
      </w:pPr>
      <w:r>
        <w:rPr>
          <w:color w:val="auto"/>
        </w:rPr>
        <w:t>《中华人民共和国消费者权益保护法》第五十六条 经营者有下列情形之一，除</w:t>
      </w:r>
      <w:r>
        <w:rPr>
          <w:color w:val="auto"/>
          <w:spacing w:val="-4"/>
        </w:rPr>
        <w:t>承担相应的民事责任外，其他有关法律、法规对处罚机关和处罚方式有规定的，依照</w:t>
      </w:r>
      <w:r>
        <w:rPr>
          <w:color w:val="auto"/>
          <w:spacing w:val="-8"/>
        </w:rPr>
        <w:t>法律、法规的规定执行；法律、法规未作规定的，由工商行政管理部门或者其他有关</w:t>
      </w:r>
      <w:r>
        <w:rPr>
          <w:color w:val="auto"/>
          <w:spacing w:val="-11"/>
        </w:rPr>
        <w:t>行政部门责令改正，可以根据情节单处或者并处警告、没收违法所得、处以违法所得</w:t>
      </w:r>
      <w:r>
        <w:rPr>
          <w:color w:val="auto"/>
          <w:spacing w:val="-17"/>
        </w:rPr>
        <w:t xml:space="preserve">一倍以上十倍以下的罚款，没有违法所得的，处以五十万元以下的罚款；情节严重的， </w:t>
      </w:r>
      <w:r>
        <w:rPr>
          <w:color w:val="auto"/>
        </w:rPr>
        <w:t>责令停业整顿、吊销营业执照：</w:t>
      </w:r>
    </w:p>
    <w:p>
      <w:pPr>
        <w:pStyle w:val="4"/>
        <w:spacing w:line="391" w:lineRule="auto"/>
        <w:ind w:right="148" w:firstLine="480"/>
        <w:rPr>
          <w:color w:val="auto"/>
        </w:rPr>
      </w:pPr>
      <w:r>
        <w:rPr>
          <w:color w:val="auto"/>
        </w:rPr>
        <w:t>（七</w:t>
      </w:r>
      <w:r>
        <w:rPr>
          <w:color w:val="auto"/>
          <w:spacing w:val="-80"/>
        </w:rPr>
        <w:t>）</w:t>
      </w:r>
      <w:r>
        <w:rPr>
          <w:color w:val="auto"/>
          <w:spacing w:val="-4"/>
        </w:rPr>
        <w:t>拒绝或者拖延有关行政部门责令对缺陷商品或者服务采取停止销售、警示、</w:t>
      </w:r>
      <w:r>
        <w:rPr>
          <w:color w:val="auto"/>
        </w:rPr>
        <w:t>召回、无害化处理、销毁、停止生产或者服务等措施的。</w:t>
      </w:r>
    </w:p>
    <w:p>
      <w:pPr>
        <w:pStyle w:val="2"/>
        <w:spacing w:line="306" w:lineRule="exact"/>
        <w:rPr>
          <w:color w:val="auto"/>
        </w:rPr>
      </w:pPr>
      <w:r>
        <w:rPr>
          <w:color w:val="auto"/>
        </w:rPr>
        <w:t>（二）裁量标准</w:t>
      </w:r>
    </w:p>
    <w:p>
      <w:pPr>
        <w:pStyle w:val="4"/>
        <w:spacing w:before="185"/>
        <w:ind w:left="591"/>
        <w:rPr>
          <w:color w:val="auto"/>
        </w:rPr>
      </w:pPr>
      <w:r>
        <w:rPr>
          <w:color w:val="auto"/>
        </w:rPr>
        <w:t>1、警告、没收违法所得、罚款</w:t>
      </w:r>
    </w:p>
    <w:p>
      <w:pPr>
        <w:pStyle w:val="4"/>
        <w:spacing w:before="194"/>
        <w:ind w:left="591"/>
        <w:rPr>
          <w:color w:val="auto"/>
        </w:rPr>
      </w:pPr>
      <w:r>
        <w:rPr>
          <w:color w:val="auto"/>
        </w:rPr>
        <w:t>【较轻】</w:t>
      </w:r>
    </w:p>
    <w:p>
      <w:pPr>
        <w:pStyle w:val="4"/>
        <w:spacing w:before="192" w:line="388" w:lineRule="auto"/>
        <w:ind w:right="268" w:firstLine="480"/>
        <w:rPr>
          <w:color w:val="auto"/>
        </w:rPr>
      </w:pPr>
      <w:r>
        <w:rPr>
          <w:color w:val="auto"/>
          <w:spacing w:val="-5"/>
        </w:rPr>
        <w:t>违法所得一万元以下的，给予警告，没收违法所得，处以违法所得一倍以上三倍</w:t>
      </w:r>
      <w:r>
        <w:rPr>
          <w:color w:val="auto"/>
        </w:rPr>
        <w:t>以下的罚款。</w:t>
      </w:r>
    </w:p>
    <w:p>
      <w:pPr>
        <w:pStyle w:val="4"/>
        <w:spacing w:before="4"/>
        <w:ind w:left="591"/>
        <w:rPr>
          <w:color w:val="auto"/>
        </w:rPr>
      </w:pPr>
      <w:r>
        <w:rPr>
          <w:color w:val="auto"/>
        </w:rPr>
        <w:t>【一般】</w:t>
      </w:r>
    </w:p>
    <w:p>
      <w:pPr>
        <w:pStyle w:val="4"/>
        <w:spacing w:before="192" w:line="388" w:lineRule="auto"/>
        <w:ind w:right="268" w:firstLine="480"/>
        <w:rPr>
          <w:color w:val="auto"/>
        </w:rPr>
      </w:pPr>
      <w:r>
        <w:rPr>
          <w:color w:val="auto"/>
          <w:spacing w:val="-4"/>
        </w:rPr>
        <w:t>违法所得一万元以上十万元以下的，没收违法所得，处以违法所得三倍以上七倍</w:t>
      </w:r>
      <w:r>
        <w:rPr>
          <w:color w:val="auto"/>
        </w:rPr>
        <w:t>以下的罚款。</w:t>
      </w:r>
    </w:p>
    <w:p>
      <w:pPr>
        <w:pStyle w:val="4"/>
        <w:spacing w:before="4"/>
        <w:ind w:left="591"/>
        <w:rPr>
          <w:color w:val="auto"/>
        </w:rPr>
      </w:pPr>
      <w:r>
        <w:rPr>
          <w:color w:val="auto"/>
        </w:rPr>
        <w:t>【严重】</w:t>
      </w:r>
    </w:p>
    <w:p>
      <w:pPr>
        <w:pStyle w:val="4"/>
        <w:spacing w:before="192" w:line="388" w:lineRule="auto"/>
        <w:ind w:right="213" w:firstLine="480"/>
        <w:rPr>
          <w:color w:val="auto"/>
        </w:rPr>
      </w:pPr>
      <w:r>
        <w:rPr>
          <w:color w:val="auto"/>
        </w:rPr>
        <w:t>违法所得十万元以上二十万元以下的，没收违法所得，处以违法所得七倍以上十倍以下的罚款。</w:t>
      </w:r>
    </w:p>
    <w:p>
      <w:pPr>
        <w:pStyle w:val="4"/>
        <w:spacing w:before="5"/>
        <w:ind w:left="591"/>
        <w:rPr>
          <w:color w:val="auto"/>
        </w:rPr>
      </w:pPr>
      <w:r>
        <w:rPr>
          <w:color w:val="auto"/>
        </w:rPr>
        <w:t>2、没有违法所得</w:t>
      </w:r>
    </w:p>
    <w:p>
      <w:pPr>
        <w:pStyle w:val="4"/>
        <w:spacing w:before="191"/>
        <w:ind w:left="591"/>
        <w:rPr>
          <w:color w:val="auto"/>
        </w:rPr>
      </w:pPr>
      <w:r>
        <w:rPr>
          <w:color w:val="auto"/>
        </w:rPr>
        <w:t>【较轻】</w:t>
      </w:r>
    </w:p>
    <w:p>
      <w:pPr>
        <w:pStyle w:val="4"/>
        <w:spacing w:before="192"/>
        <w:ind w:left="591"/>
        <w:rPr>
          <w:color w:val="auto"/>
        </w:rPr>
      </w:pPr>
      <w:r>
        <w:rPr>
          <w:color w:val="auto"/>
        </w:rPr>
        <w:t>拒绝或者拖延采取措施，没有造成人身、财产损害的，处以十万元以下的罚款；</w:t>
      </w:r>
    </w:p>
    <w:p>
      <w:pPr>
        <w:pStyle w:val="4"/>
        <w:spacing w:before="194"/>
        <w:ind w:left="591"/>
        <w:rPr>
          <w:color w:val="auto"/>
        </w:rPr>
      </w:pPr>
      <w:r>
        <w:rPr>
          <w:color w:val="auto"/>
        </w:rPr>
        <w:t>【一般】</w:t>
      </w:r>
    </w:p>
    <w:p>
      <w:pPr>
        <w:pStyle w:val="4"/>
        <w:spacing w:before="192" w:line="388" w:lineRule="auto"/>
        <w:ind w:right="213" w:firstLine="480"/>
        <w:rPr>
          <w:color w:val="auto"/>
        </w:rPr>
      </w:pPr>
      <w:r>
        <w:rPr>
          <w:color w:val="auto"/>
        </w:rPr>
        <w:t>拒绝或者拖延采取措施，已经造成财产损害的，处以十万元以上二十万元以下的罚款；</w:t>
      </w:r>
    </w:p>
    <w:p>
      <w:pPr>
        <w:pStyle w:val="4"/>
        <w:spacing w:before="4"/>
        <w:ind w:left="591"/>
        <w:rPr>
          <w:color w:val="auto"/>
        </w:rPr>
      </w:pPr>
      <w:r>
        <w:rPr>
          <w:color w:val="auto"/>
        </w:rPr>
        <w:t>【严重】</w:t>
      </w:r>
    </w:p>
    <w:p>
      <w:pPr>
        <w:pStyle w:val="4"/>
        <w:spacing w:before="192" w:line="388" w:lineRule="auto"/>
        <w:ind w:right="213" w:firstLine="480"/>
        <w:rPr>
          <w:color w:val="auto"/>
        </w:rPr>
      </w:pPr>
      <w:r>
        <w:rPr>
          <w:color w:val="auto"/>
        </w:rPr>
        <w:t>拒绝或者拖延采取措施，已经造成人身伤亡的，处以二十万元以上五十万元以下的罚款。</w:t>
      </w:r>
    </w:p>
    <w:p>
      <w:pPr>
        <w:spacing w:after="0" w:line="388" w:lineRule="auto"/>
        <w:rPr>
          <w:color w:val="auto"/>
        </w:rPr>
        <w:sectPr>
          <w:pgSz w:w="11910" w:h="16840"/>
          <w:pgMar w:top="1520" w:right="1260" w:bottom="1220" w:left="1420" w:header="0" w:footer="1034" w:gutter="0"/>
        </w:sectPr>
      </w:pPr>
    </w:p>
    <w:p>
      <w:pPr>
        <w:pStyle w:val="4"/>
        <w:spacing w:before="39"/>
        <w:ind w:left="711"/>
        <w:rPr>
          <w:color w:val="auto"/>
        </w:rPr>
      </w:pPr>
      <w:r>
        <w:rPr>
          <w:color w:val="auto"/>
        </w:rPr>
        <w:t>3、责令停业整顿、吊销营业执照</w:t>
      </w:r>
    </w:p>
    <w:p>
      <w:pPr>
        <w:pStyle w:val="13"/>
        <w:numPr>
          <w:ilvl w:val="0"/>
          <w:numId w:val="94"/>
        </w:numPr>
        <w:tabs>
          <w:tab w:val="left" w:pos="1193"/>
        </w:tabs>
        <w:spacing w:before="195" w:after="0" w:line="240" w:lineRule="auto"/>
        <w:ind w:left="1192" w:right="0" w:hanging="602"/>
        <w:jc w:val="left"/>
        <w:rPr>
          <w:color w:val="auto"/>
          <w:sz w:val="24"/>
        </w:rPr>
      </w:pPr>
      <w:r>
        <w:rPr>
          <w:color w:val="auto"/>
          <w:sz w:val="24"/>
        </w:rPr>
        <w:t>违法所得二十万元以上的；</w:t>
      </w:r>
    </w:p>
    <w:p>
      <w:pPr>
        <w:pStyle w:val="13"/>
        <w:numPr>
          <w:ilvl w:val="0"/>
          <w:numId w:val="94"/>
        </w:numPr>
        <w:tabs>
          <w:tab w:val="left" w:pos="1193"/>
        </w:tabs>
        <w:spacing w:before="191" w:after="0" w:line="240" w:lineRule="auto"/>
        <w:ind w:left="1192" w:right="0" w:hanging="602"/>
        <w:jc w:val="left"/>
        <w:rPr>
          <w:color w:val="auto"/>
          <w:sz w:val="24"/>
        </w:rPr>
      </w:pPr>
      <w:r>
        <w:rPr>
          <w:color w:val="auto"/>
          <w:sz w:val="24"/>
        </w:rPr>
        <w:t>一年内实施两次以上同类违法行为且受到行政处罚的；</w:t>
      </w:r>
    </w:p>
    <w:p>
      <w:pPr>
        <w:pStyle w:val="13"/>
        <w:numPr>
          <w:ilvl w:val="0"/>
          <w:numId w:val="94"/>
        </w:numPr>
        <w:tabs>
          <w:tab w:val="left" w:pos="1193"/>
        </w:tabs>
        <w:spacing w:before="192" w:after="0" w:line="240" w:lineRule="auto"/>
        <w:ind w:left="1192" w:right="0" w:hanging="602"/>
        <w:jc w:val="left"/>
        <w:rPr>
          <w:color w:val="auto"/>
          <w:sz w:val="24"/>
        </w:rPr>
      </w:pPr>
      <w:r>
        <w:rPr>
          <w:color w:val="auto"/>
          <w:sz w:val="24"/>
        </w:rPr>
        <w:t>缺陷商品给人民身体健康、生命财产安全造成严重后果的；</w:t>
      </w:r>
    </w:p>
    <w:p>
      <w:pPr>
        <w:pStyle w:val="13"/>
        <w:numPr>
          <w:ilvl w:val="0"/>
          <w:numId w:val="94"/>
        </w:numPr>
        <w:tabs>
          <w:tab w:val="left" w:pos="1193"/>
        </w:tabs>
        <w:spacing w:before="194" w:after="0" w:line="240" w:lineRule="auto"/>
        <w:ind w:left="1192" w:right="0" w:hanging="602"/>
        <w:jc w:val="left"/>
        <w:rPr>
          <w:color w:val="auto"/>
          <w:sz w:val="24"/>
        </w:rPr>
      </w:pPr>
      <w:r>
        <w:rPr>
          <w:color w:val="auto"/>
          <w:sz w:val="24"/>
        </w:rPr>
        <w:t>其他严重违法情形。</w:t>
      </w:r>
    </w:p>
    <w:p>
      <w:pPr>
        <w:pStyle w:val="2"/>
        <w:spacing w:before="192" w:line="388" w:lineRule="auto"/>
        <w:ind w:left="111" w:right="240" w:firstLine="480"/>
        <w:rPr>
          <w:color w:val="auto"/>
        </w:rPr>
      </w:pPr>
      <w:bookmarkStart w:id="331" w:name="一百六十一、对消费者提出的修理、重作、更换、退货、补足商品数量、退还货款和服务费"/>
      <w:bookmarkEnd w:id="331"/>
      <w:bookmarkStart w:id="332" w:name="_bookmark165"/>
      <w:bookmarkEnd w:id="332"/>
      <w:r>
        <w:rPr>
          <w:color w:val="auto"/>
          <w:spacing w:val="-7"/>
        </w:rPr>
        <w:t>一百六十一、对消费者提出的修理、重作、更换、退货、补足商品数量、退还货款和服务费用或者赔偿损失的要求故意拖延或者无理拒绝</w:t>
      </w:r>
    </w:p>
    <w:p>
      <w:pPr>
        <w:spacing w:before="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《中华人民共和国消费者权益保护法》第五十六条 经营者有下列情形之一，除</w:t>
      </w:r>
      <w:r>
        <w:rPr>
          <w:color w:val="auto"/>
          <w:spacing w:val="-4"/>
        </w:rPr>
        <w:t>承担相应的民事责任外，其他有关法律、法规对处罚机关和处罚方式有规定的，依照</w:t>
      </w:r>
      <w:r>
        <w:rPr>
          <w:color w:val="auto"/>
          <w:spacing w:val="-8"/>
        </w:rPr>
        <w:t>法律、法规的规定执行；法律、法规未作规定的，由工商行政管理部门或者其他有关</w:t>
      </w:r>
      <w:r>
        <w:rPr>
          <w:color w:val="auto"/>
          <w:spacing w:val="-11"/>
        </w:rPr>
        <w:t>行政部门责令改正，可以根据情节单处或者并处警告、没收违法所得、处以违法所得</w:t>
      </w:r>
      <w:r>
        <w:rPr>
          <w:color w:val="auto"/>
          <w:spacing w:val="-17"/>
        </w:rPr>
        <w:t xml:space="preserve">一倍以上十倍以下的罚款，没有违法所得的，处以五十万元以下的罚款；情节严重的， </w:t>
      </w:r>
      <w:r>
        <w:rPr>
          <w:color w:val="auto"/>
        </w:rPr>
        <w:t>责令停业整顿、吊销营业执照：</w:t>
      </w:r>
    </w:p>
    <w:p>
      <w:pPr>
        <w:pStyle w:val="4"/>
        <w:spacing w:line="388" w:lineRule="auto"/>
        <w:ind w:right="219" w:firstLine="480"/>
        <w:rPr>
          <w:color w:val="auto"/>
        </w:rPr>
      </w:pPr>
      <w:r>
        <w:rPr>
          <w:color w:val="auto"/>
        </w:rPr>
        <w:t>（八）对消费者提出的修理、重作、更换、退货、补足商品数量、退还货款和服务费用或者赔偿损失的要求，故意拖延或者无理拒绝的。</w:t>
      </w:r>
    </w:p>
    <w:p>
      <w:pPr>
        <w:pStyle w:val="2"/>
        <w:rPr>
          <w:color w:val="auto"/>
        </w:rPr>
      </w:pPr>
      <w:r>
        <w:rPr>
          <w:color w:val="auto"/>
        </w:rPr>
        <w:t>（二）裁量标准</w:t>
      </w:r>
    </w:p>
    <w:p>
      <w:pPr>
        <w:pStyle w:val="4"/>
        <w:spacing w:before="189"/>
        <w:ind w:left="591"/>
        <w:rPr>
          <w:color w:val="auto"/>
        </w:rPr>
      </w:pPr>
      <w:r>
        <w:rPr>
          <w:color w:val="auto"/>
        </w:rPr>
        <w:t>1、警告、没收违法所得、罚款</w:t>
      </w:r>
    </w:p>
    <w:p>
      <w:pPr>
        <w:pStyle w:val="4"/>
        <w:spacing w:before="192"/>
        <w:ind w:left="591"/>
        <w:rPr>
          <w:color w:val="auto"/>
        </w:rPr>
      </w:pPr>
      <w:r>
        <w:rPr>
          <w:color w:val="auto"/>
        </w:rPr>
        <w:t>【较轻】</w:t>
      </w:r>
    </w:p>
    <w:p>
      <w:pPr>
        <w:pStyle w:val="4"/>
        <w:spacing w:before="194" w:line="388" w:lineRule="auto"/>
        <w:ind w:right="268" w:firstLine="480"/>
        <w:jc w:val="both"/>
        <w:rPr>
          <w:color w:val="auto"/>
        </w:rPr>
      </w:pPr>
      <w:r>
        <w:rPr>
          <w:color w:val="auto"/>
          <w:spacing w:val="-6"/>
        </w:rPr>
        <w:t>货值金额、服务费用或者损失金额一万元以下的，给予警告，没收违法所得，处</w:t>
      </w:r>
      <w:r>
        <w:rPr>
          <w:color w:val="auto"/>
          <w:spacing w:val="-4"/>
        </w:rPr>
        <w:t>以违法所得一倍以上三倍以下的罚款；没有违法所得的，给予警告，处以二万元以下</w:t>
      </w:r>
      <w:r>
        <w:rPr>
          <w:color w:val="auto"/>
        </w:rPr>
        <w:t>的罚款。</w:t>
      </w:r>
    </w:p>
    <w:p>
      <w:pPr>
        <w:pStyle w:val="4"/>
        <w:spacing w:before="5"/>
        <w:ind w:left="591"/>
        <w:rPr>
          <w:color w:val="auto"/>
        </w:rPr>
      </w:pPr>
      <w:r>
        <w:rPr>
          <w:color w:val="auto"/>
        </w:rPr>
        <w:t>【一般】</w:t>
      </w:r>
    </w:p>
    <w:p>
      <w:pPr>
        <w:pStyle w:val="4"/>
        <w:spacing w:before="192" w:line="391" w:lineRule="auto"/>
        <w:ind w:right="268" w:firstLine="480"/>
        <w:jc w:val="both"/>
        <w:rPr>
          <w:color w:val="auto"/>
        </w:rPr>
      </w:pPr>
      <w:r>
        <w:rPr>
          <w:color w:val="auto"/>
          <w:spacing w:val="-6"/>
        </w:rPr>
        <w:t>货值金额、服务费用或者损失金额一万元以上十万元以下的，没收违法所得，处</w:t>
      </w:r>
      <w:r>
        <w:rPr>
          <w:color w:val="auto"/>
          <w:spacing w:val="-4"/>
        </w:rPr>
        <w:t>以违法所得三倍以上七倍以下的罚款；没有违法所得的，处以二万元以上二十万元以</w:t>
      </w:r>
      <w:r>
        <w:rPr>
          <w:color w:val="auto"/>
        </w:rPr>
        <w:t>下的罚款。</w:t>
      </w:r>
    </w:p>
    <w:p>
      <w:pPr>
        <w:pStyle w:val="4"/>
        <w:spacing w:line="304" w:lineRule="exact"/>
        <w:ind w:left="591"/>
        <w:rPr>
          <w:color w:val="auto"/>
        </w:rPr>
      </w:pPr>
      <w:r>
        <w:rPr>
          <w:color w:val="auto"/>
        </w:rPr>
        <w:t>【严重】</w:t>
      </w:r>
    </w:p>
    <w:p>
      <w:pPr>
        <w:pStyle w:val="4"/>
        <w:spacing w:before="192"/>
        <w:ind w:left="591"/>
        <w:rPr>
          <w:color w:val="auto"/>
        </w:rPr>
      </w:pPr>
      <w:r>
        <w:rPr>
          <w:color w:val="auto"/>
        </w:rPr>
        <w:t>货值金额、服务费用或者损失金额十万元以上二十万元以下的，没收违法所得，</w:t>
      </w:r>
    </w:p>
    <w:p>
      <w:pPr>
        <w:spacing w:after="0"/>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处以违法所得七倍以上十倍以下的罚款；没有违法所得的，处以二十万元以上五十万元以下的罚款。</w:t>
      </w:r>
    </w:p>
    <w:p>
      <w:pPr>
        <w:pStyle w:val="4"/>
        <w:spacing w:line="306" w:lineRule="exact"/>
        <w:ind w:left="591"/>
        <w:rPr>
          <w:color w:val="auto"/>
        </w:rPr>
      </w:pPr>
      <w:r>
        <w:rPr>
          <w:color w:val="auto"/>
        </w:rPr>
        <w:t>2、责令停业整顿、吊销营业执照</w:t>
      </w:r>
    </w:p>
    <w:p>
      <w:pPr>
        <w:pStyle w:val="13"/>
        <w:numPr>
          <w:ilvl w:val="0"/>
          <w:numId w:val="95"/>
        </w:numPr>
        <w:tabs>
          <w:tab w:val="left" w:pos="1193"/>
        </w:tabs>
        <w:spacing w:before="192" w:after="0" w:line="240" w:lineRule="auto"/>
        <w:ind w:left="1192" w:right="0" w:hanging="602"/>
        <w:jc w:val="left"/>
        <w:rPr>
          <w:color w:val="auto"/>
          <w:sz w:val="24"/>
        </w:rPr>
      </w:pPr>
      <w:r>
        <w:rPr>
          <w:color w:val="auto"/>
          <w:sz w:val="24"/>
        </w:rPr>
        <w:t>货值金额、服务费用或者损失金额二十万元以上的；</w:t>
      </w:r>
    </w:p>
    <w:p>
      <w:pPr>
        <w:pStyle w:val="13"/>
        <w:numPr>
          <w:ilvl w:val="0"/>
          <w:numId w:val="95"/>
        </w:numPr>
        <w:tabs>
          <w:tab w:val="left" w:pos="1193"/>
        </w:tabs>
        <w:spacing w:before="194" w:after="0" w:line="240" w:lineRule="auto"/>
        <w:ind w:left="1192" w:right="0" w:hanging="602"/>
        <w:jc w:val="left"/>
        <w:rPr>
          <w:color w:val="auto"/>
          <w:sz w:val="24"/>
        </w:rPr>
      </w:pPr>
      <w:r>
        <w:rPr>
          <w:color w:val="auto"/>
          <w:sz w:val="24"/>
        </w:rPr>
        <w:t>一年内实施两次以上同类违法行为且受到行政处罚的；</w:t>
      </w:r>
    </w:p>
    <w:p>
      <w:pPr>
        <w:pStyle w:val="13"/>
        <w:numPr>
          <w:ilvl w:val="0"/>
          <w:numId w:val="95"/>
        </w:numPr>
        <w:tabs>
          <w:tab w:val="left" w:pos="1193"/>
        </w:tabs>
        <w:spacing w:before="192" w:after="0" w:line="240" w:lineRule="auto"/>
        <w:ind w:left="1192" w:right="0" w:hanging="602"/>
        <w:jc w:val="left"/>
        <w:rPr>
          <w:color w:val="auto"/>
          <w:sz w:val="24"/>
        </w:rPr>
      </w:pPr>
      <w:r>
        <w:rPr>
          <w:color w:val="auto"/>
          <w:sz w:val="24"/>
        </w:rPr>
        <w:t>给人民身体健康、生命财产安全造成严重后果的；</w:t>
      </w:r>
    </w:p>
    <w:p>
      <w:pPr>
        <w:pStyle w:val="13"/>
        <w:numPr>
          <w:ilvl w:val="0"/>
          <w:numId w:val="95"/>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4"/>
        <w:rPr>
          <w:color w:val="auto"/>
        </w:rPr>
      </w:pPr>
      <w:bookmarkStart w:id="333" w:name="_bookmark166"/>
      <w:bookmarkEnd w:id="333"/>
      <w:bookmarkStart w:id="334" w:name="一百六十二、非法使用消费者个人信息"/>
      <w:bookmarkEnd w:id="334"/>
      <w:r>
        <w:rPr>
          <w:color w:val="auto"/>
        </w:rPr>
        <w:t>一百六十二、非法使用消费者个人信息</w:t>
      </w:r>
    </w:p>
    <w:p>
      <w:pPr>
        <w:spacing w:before="191"/>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《中华人民共和国消费者权益保护法》第五十六条 经营者有下列情形之一，除</w:t>
      </w:r>
      <w:r>
        <w:rPr>
          <w:color w:val="auto"/>
          <w:spacing w:val="-4"/>
        </w:rPr>
        <w:t>承担相应的民事责任外，其他有关法律、法规对处罚机关和处罚方式有规定的，依照</w:t>
      </w:r>
      <w:r>
        <w:rPr>
          <w:color w:val="auto"/>
          <w:spacing w:val="-8"/>
        </w:rPr>
        <w:t>法律、法规的规定执行；法律、法规未作规定的，由工商行政管理部门或者其他有关</w:t>
      </w:r>
      <w:r>
        <w:rPr>
          <w:color w:val="auto"/>
          <w:spacing w:val="-11"/>
        </w:rPr>
        <w:t>行政部门责令改正，可以根据情节单处或者并处警告、没收违法所得、处以违法所得</w:t>
      </w:r>
      <w:r>
        <w:rPr>
          <w:color w:val="auto"/>
          <w:spacing w:val="-17"/>
        </w:rPr>
        <w:t xml:space="preserve">一倍以上十倍以下的罚款，没有违法所得的，处以五十万元以下的罚款；情节严重的， </w:t>
      </w:r>
      <w:r>
        <w:rPr>
          <w:color w:val="auto"/>
        </w:rPr>
        <w:t>责令停业整顿、吊销营业执照：</w:t>
      </w:r>
    </w:p>
    <w:p>
      <w:pPr>
        <w:pStyle w:val="4"/>
        <w:spacing w:line="391" w:lineRule="auto"/>
        <w:ind w:right="268" w:firstLine="480"/>
        <w:rPr>
          <w:color w:val="auto"/>
        </w:rPr>
      </w:pPr>
      <w:r>
        <w:rPr>
          <w:color w:val="auto"/>
        </w:rPr>
        <w:t>（九</w:t>
      </w:r>
      <w:r>
        <w:rPr>
          <w:color w:val="auto"/>
          <w:spacing w:val="-20"/>
        </w:rPr>
        <w:t>）</w:t>
      </w:r>
      <w:r>
        <w:rPr>
          <w:color w:val="auto"/>
          <w:spacing w:val="-3"/>
        </w:rPr>
        <w:t>侵害消费者人格尊严、侵犯消费者人身自由或者侵害消费者个人信息依法</w:t>
      </w:r>
      <w:r>
        <w:rPr>
          <w:color w:val="auto"/>
        </w:rPr>
        <w:t>得到保护的权利的。</w:t>
      </w:r>
    </w:p>
    <w:p>
      <w:pPr>
        <w:pStyle w:val="2"/>
        <w:spacing w:line="306" w:lineRule="exact"/>
        <w:rPr>
          <w:color w:val="auto"/>
        </w:rPr>
      </w:pPr>
      <w:r>
        <w:rPr>
          <w:color w:val="auto"/>
          <w:w w:val="95"/>
        </w:rPr>
        <w:t>（二）裁量标准</w:t>
      </w:r>
    </w:p>
    <w:p>
      <w:pPr>
        <w:pStyle w:val="4"/>
        <w:spacing w:before="185"/>
        <w:ind w:left="591"/>
        <w:rPr>
          <w:color w:val="auto"/>
        </w:rPr>
      </w:pPr>
      <w:r>
        <w:rPr>
          <w:color w:val="auto"/>
        </w:rPr>
        <w:t>1、警告、没收违法所得、罚款</w:t>
      </w:r>
    </w:p>
    <w:p>
      <w:pPr>
        <w:pStyle w:val="4"/>
        <w:spacing w:before="194"/>
        <w:ind w:left="591"/>
        <w:rPr>
          <w:color w:val="auto"/>
        </w:rPr>
      </w:pPr>
      <w:r>
        <w:rPr>
          <w:color w:val="auto"/>
        </w:rPr>
        <w:t>【较轻】</w:t>
      </w:r>
    </w:p>
    <w:p>
      <w:pPr>
        <w:pStyle w:val="4"/>
        <w:spacing w:before="191" w:line="388" w:lineRule="auto"/>
        <w:ind w:right="268" w:firstLine="480"/>
        <w:rPr>
          <w:color w:val="auto"/>
        </w:rPr>
      </w:pPr>
      <w:r>
        <w:rPr>
          <w:color w:val="auto"/>
          <w:spacing w:val="-5"/>
        </w:rPr>
        <w:t>违法所得一万元以下的，给予警告，没收违法所得，处以违法所得一倍以上三倍</w:t>
      </w:r>
      <w:r>
        <w:rPr>
          <w:color w:val="auto"/>
        </w:rPr>
        <w:t>以下的罚款。</w:t>
      </w:r>
    </w:p>
    <w:p>
      <w:pPr>
        <w:pStyle w:val="4"/>
        <w:spacing w:before="5"/>
        <w:ind w:left="591"/>
        <w:rPr>
          <w:color w:val="auto"/>
        </w:rPr>
      </w:pPr>
      <w:r>
        <w:rPr>
          <w:color w:val="auto"/>
        </w:rPr>
        <w:t>【一般】</w:t>
      </w:r>
    </w:p>
    <w:p>
      <w:pPr>
        <w:pStyle w:val="4"/>
        <w:spacing w:before="192" w:line="388" w:lineRule="auto"/>
        <w:ind w:right="268" w:firstLine="480"/>
        <w:rPr>
          <w:color w:val="auto"/>
        </w:rPr>
      </w:pPr>
      <w:r>
        <w:rPr>
          <w:color w:val="auto"/>
          <w:spacing w:val="-4"/>
        </w:rPr>
        <w:t>违法所得一万元以上十万元以下的，没收违法所得，处以违法所得三倍以上七倍</w:t>
      </w:r>
      <w:r>
        <w:rPr>
          <w:color w:val="auto"/>
        </w:rPr>
        <w:t>以下的罚款。</w:t>
      </w:r>
    </w:p>
    <w:p>
      <w:pPr>
        <w:pStyle w:val="4"/>
        <w:spacing w:before="4"/>
        <w:ind w:left="591"/>
        <w:rPr>
          <w:color w:val="auto"/>
        </w:rPr>
      </w:pPr>
      <w:r>
        <w:rPr>
          <w:color w:val="auto"/>
        </w:rPr>
        <w:t>【严重】</w:t>
      </w:r>
    </w:p>
    <w:p>
      <w:pPr>
        <w:pStyle w:val="4"/>
        <w:spacing w:before="192" w:line="388" w:lineRule="auto"/>
        <w:ind w:right="213" w:firstLine="480"/>
        <w:rPr>
          <w:color w:val="auto"/>
        </w:rPr>
      </w:pPr>
      <w:r>
        <w:rPr>
          <w:color w:val="auto"/>
        </w:rPr>
        <w:t>违法所得十万元以上二十万元以下的，没收违法所得，处以违法所得七倍以上十倍以下的罚款。</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2、没有违法所得</w:t>
      </w:r>
    </w:p>
    <w:p>
      <w:pPr>
        <w:pStyle w:val="4"/>
        <w:spacing w:before="195"/>
        <w:ind w:left="591"/>
        <w:rPr>
          <w:color w:val="auto"/>
        </w:rPr>
      </w:pPr>
      <w:r>
        <w:rPr>
          <w:color w:val="auto"/>
        </w:rPr>
        <w:t>【较轻】</w:t>
      </w:r>
    </w:p>
    <w:p>
      <w:pPr>
        <w:pStyle w:val="4"/>
        <w:spacing w:before="191"/>
        <w:ind w:left="591"/>
        <w:rPr>
          <w:color w:val="auto"/>
        </w:rPr>
      </w:pPr>
      <w:r>
        <w:rPr>
          <w:color w:val="auto"/>
        </w:rPr>
        <w:t>侵害消费者个人信息的，处以十万元以下的罚款。</w:t>
      </w:r>
    </w:p>
    <w:p>
      <w:pPr>
        <w:pStyle w:val="4"/>
        <w:spacing w:before="192"/>
        <w:ind w:left="591"/>
        <w:rPr>
          <w:color w:val="auto"/>
        </w:rPr>
      </w:pPr>
      <w:r>
        <w:rPr>
          <w:color w:val="auto"/>
        </w:rPr>
        <w:t>【一般】</w:t>
      </w:r>
    </w:p>
    <w:p>
      <w:pPr>
        <w:pStyle w:val="4"/>
        <w:spacing w:before="194"/>
        <w:ind w:left="591"/>
        <w:rPr>
          <w:color w:val="auto"/>
        </w:rPr>
      </w:pPr>
      <w:r>
        <w:rPr>
          <w:color w:val="auto"/>
        </w:rPr>
        <w:t>侵害消费者人格尊严的，处以十万元以上二十万元以下的罚款。</w:t>
      </w:r>
    </w:p>
    <w:p>
      <w:pPr>
        <w:pStyle w:val="4"/>
        <w:spacing w:before="192"/>
        <w:ind w:left="591"/>
        <w:rPr>
          <w:color w:val="auto"/>
        </w:rPr>
      </w:pPr>
      <w:r>
        <w:rPr>
          <w:color w:val="auto"/>
        </w:rPr>
        <w:t>【严重】</w:t>
      </w:r>
    </w:p>
    <w:p>
      <w:pPr>
        <w:pStyle w:val="4"/>
        <w:spacing w:before="191" w:line="391" w:lineRule="auto"/>
        <w:ind w:left="591" w:right="1672"/>
        <w:rPr>
          <w:color w:val="auto"/>
        </w:rPr>
      </w:pPr>
      <w:r>
        <w:rPr>
          <w:color w:val="auto"/>
        </w:rPr>
        <w:t>侵犯消费者人身自由的，处以二十万元以上五十万元以下的罚款。3、责令停业整顿、吊销营业执照</w:t>
      </w:r>
    </w:p>
    <w:p>
      <w:pPr>
        <w:pStyle w:val="13"/>
        <w:numPr>
          <w:ilvl w:val="0"/>
          <w:numId w:val="96"/>
        </w:numPr>
        <w:tabs>
          <w:tab w:val="left" w:pos="1193"/>
        </w:tabs>
        <w:spacing w:before="0" w:after="0" w:line="306" w:lineRule="exact"/>
        <w:ind w:left="1192" w:right="0" w:hanging="602"/>
        <w:jc w:val="left"/>
        <w:rPr>
          <w:color w:val="auto"/>
          <w:sz w:val="24"/>
        </w:rPr>
      </w:pPr>
      <w:r>
        <w:rPr>
          <w:color w:val="auto"/>
          <w:sz w:val="24"/>
        </w:rPr>
        <w:t>违法所得二十万元以上的；</w:t>
      </w:r>
    </w:p>
    <w:p>
      <w:pPr>
        <w:pStyle w:val="13"/>
        <w:numPr>
          <w:ilvl w:val="0"/>
          <w:numId w:val="96"/>
        </w:numPr>
        <w:tabs>
          <w:tab w:val="left" w:pos="1193"/>
        </w:tabs>
        <w:spacing w:before="192" w:after="0" w:line="240" w:lineRule="auto"/>
        <w:ind w:left="1192" w:right="0" w:hanging="602"/>
        <w:jc w:val="left"/>
        <w:rPr>
          <w:color w:val="auto"/>
          <w:sz w:val="24"/>
        </w:rPr>
      </w:pPr>
      <w:r>
        <w:rPr>
          <w:color w:val="auto"/>
          <w:sz w:val="24"/>
        </w:rPr>
        <w:t>一年内实施两次以上同类违法行为且受到行政处罚的；</w:t>
      </w:r>
    </w:p>
    <w:p>
      <w:pPr>
        <w:pStyle w:val="13"/>
        <w:numPr>
          <w:ilvl w:val="0"/>
          <w:numId w:val="96"/>
        </w:numPr>
        <w:tabs>
          <w:tab w:val="left" w:pos="1193"/>
        </w:tabs>
        <w:spacing w:before="194" w:after="0" w:line="240" w:lineRule="auto"/>
        <w:ind w:left="1192" w:right="0" w:hanging="602"/>
        <w:jc w:val="left"/>
        <w:rPr>
          <w:color w:val="auto"/>
          <w:sz w:val="24"/>
        </w:rPr>
      </w:pPr>
      <w:r>
        <w:rPr>
          <w:color w:val="auto"/>
          <w:sz w:val="24"/>
        </w:rPr>
        <w:t>造成严重社会影响的；</w:t>
      </w:r>
    </w:p>
    <w:p>
      <w:pPr>
        <w:pStyle w:val="13"/>
        <w:numPr>
          <w:ilvl w:val="0"/>
          <w:numId w:val="96"/>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2"/>
        <w:rPr>
          <w:color w:val="auto"/>
        </w:rPr>
      </w:pPr>
      <w:bookmarkStart w:id="335" w:name="一百六十三、销售失效变质产品"/>
      <w:bookmarkEnd w:id="335"/>
      <w:bookmarkStart w:id="336" w:name="_bookmark167"/>
      <w:bookmarkEnd w:id="336"/>
      <w:r>
        <w:rPr>
          <w:color w:val="auto"/>
        </w:rPr>
        <w:t>一百六十三、销售失效变质产品</w:t>
      </w:r>
    </w:p>
    <w:p>
      <w:pPr>
        <w:spacing w:before="194"/>
        <w:ind w:left="591" w:right="0" w:firstLine="0"/>
        <w:jc w:val="left"/>
        <w:rPr>
          <w:b/>
          <w:color w:val="auto"/>
          <w:sz w:val="24"/>
        </w:rPr>
      </w:pPr>
      <w:r>
        <w:rPr>
          <w:b/>
          <w:color w:val="auto"/>
          <w:sz w:val="24"/>
        </w:rPr>
        <w:t>（一）处罚依据</w:t>
      </w:r>
    </w:p>
    <w:p>
      <w:pPr>
        <w:pStyle w:val="4"/>
        <w:spacing w:before="191" w:line="391" w:lineRule="auto"/>
        <w:ind w:right="266" w:firstLine="480"/>
        <w:jc w:val="both"/>
        <w:rPr>
          <w:color w:val="auto"/>
        </w:rPr>
      </w:pPr>
      <w:r>
        <w:rPr>
          <w:color w:val="auto"/>
        </w:rPr>
        <w:t>《中华人民共和国产品质量法》第五十二条 销售失效、变质的产品的，责令停</w:t>
      </w:r>
      <w:r>
        <w:rPr>
          <w:color w:val="auto"/>
          <w:spacing w:val="-6"/>
        </w:rPr>
        <w:t>止销售，没收违法销售的产品，并处违法销售产品货值金额二倍以下的罚款；有违法</w:t>
      </w:r>
      <w:r>
        <w:rPr>
          <w:color w:val="auto"/>
          <w:spacing w:val="-7"/>
        </w:rPr>
        <w:t>所得的，并处没收违法所得；情节严重的，吊销营业执照；构成犯罪的，依法追究刑</w:t>
      </w:r>
      <w:r>
        <w:rPr>
          <w:color w:val="auto"/>
        </w:rPr>
        <w:t>事责任。</w:t>
      </w:r>
    </w:p>
    <w:p>
      <w:pPr>
        <w:spacing w:before="0"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86" w:line="391" w:lineRule="auto"/>
        <w:ind w:right="213" w:firstLine="480"/>
        <w:rPr>
          <w:color w:val="auto"/>
        </w:rPr>
      </w:pPr>
      <w:r>
        <w:rPr>
          <w:color w:val="auto"/>
        </w:rPr>
        <w:t>货值金额一万元以下的，没收违法销售的产品，并处货值金额百分之五十以下的罚款；有违法所得的，并处没收违法所得。</w:t>
      </w:r>
    </w:p>
    <w:p>
      <w:pPr>
        <w:pStyle w:val="4"/>
        <w:spacing w:line="306" w:lineRule="exact"/>
        <w:ind w:left="591"/>
        <w:rPr>
          <w:color w:val="auto"/>
        </w:rPr>
      </w:pPr>
      <w:r>
        <w:rPr>
          <w:color w:val="auto"/>
        </w:rPr>
        <w:t>【一般】</w:t>
      </w:r>
    </w:p>
    <w:p>
      <w:pPr>
        <w:pStyle w:val="4"/>
        <w:spacing w:before="192" w:line="391" w:lineRule="auto"/>
        <w:ind w:right="213" w:firstLine="480"/>
        <w:rPr>
          <w:color w:val="auto"/>
        </w:rPr>
      </w:pPr>
      <w:r>
        <w:rPr>
          <w:color w:val="auto"/>
        </w:rPr>
        <w:t>货值金额一万元以上五万元以下的，没收违法销售的产品，并处货值金额百分之五十以上一倍以下的罚款；有违法所得的，并处没收违法所得。</w:t>
      </w:r>
    </w:p>
    <w:p>
      <w:pPr>
        <w:pStyle w:val="4"/>
        <w:spacing w:line="306" w:lineRule="exact"/>
        <w:ind w:left="591"/>
        <w:rPr>
          <w:color w:val="auto"/>
        </w:rPr>
      </w:pPr>
      <w:r>
        <w:rPr>
          <w:color w:val="auto"/>
        </w:rPr>
        <w:t>【严重】</w:t>
      </w:r>
    </w:p>
    <w:p>
      <w:pPr>
        <w:pStyle w:val="4"/>
        <w:spacing w:before="192"/>
        <w:ind w:left="591"/>
        <w:rPr>
          <w:color w:val="auto"/>
        </w:rPr>
      </w:pPr>
      <w:r>
        <w:rPr>
          <w:color w:val="auto"/>
        </w:rPr>
        <w:t>货值金额五万元以上十万元以下的，没收违法销售的产品，并处货值金额一倍以</w:t>
      </w:r>
    </w:p>
    <w:p>
      <w:pPr>
        <w:spacing w:after="0"/>
        <w:rPr>
          <w:color w:val="auto"/>
        </w:rPr>
        <w:sectPr>
          <w:pgSz w:w="11910" w:h="16840"/>
          <w:pgMar w:top="1520" w:right="1260" w:bottom="1220" w:left="1420" w:header="0" w:footer="1034" w:gutter="0"/>
        </w:sectPr>
      </w:pPr>
    </w:p>
    <w:p>
      <w:pPr>
        <w:pStyle w:val="4"/>
        <w:spacing w:before="39" w:line="391" w:lineRule="auto"/>
        <w:ind w:left="591" w:right="3112" w:hanging="480"/>
        <w:rPr>
          <w:color w:val="auto"/>
        </w:rPr>
      </w:pPr>
      <w:r>
        <w:rPr>
          <w:color w:val="auto"/>
        </w:rPr>
        <w:t>上两倍以下的罚款；有违法所得的，并处没收违法所得。2、吊销营业执照</w:t>
      </w:r>
    </w:p>
    <w:p>
      <w:pPr>
        <w:pStyle w:val="13"/>
        <w:numPr>
          <w:ilvl w:val="0"/>
          <w:numId w:val="97"/>
        </w:numPr>
        <w:tabs>
          <w:tab w:val="left" w:pos="1193"/>
        </w:tabs>
        <w:spacing w:before="0" w:after="0" w:line="306" w:lineRule="exact"/>
        <w:ind w:left="1192" w:right="0" w:hanging="602"/>
        <w:jc w:val="left"/>
        <w:rPr>
          <w:color w:val="auto"/>
          <w:sz w:val="24"/>
        </w:rPr>
      </w:pPr>
      <w:r>
        <w:rPr>
          <w:color w:val="auto"/>
          <w:sz w:val="24"/>
        </w:rPr>
        <w:t>货值金额十万元以上的；</w:t>
      </w:r>
    </w:p>
    <w:p>
      <w:pPr>
        <w:pStyle w:val="13"/>
        <w:numPr>
          <w:ilvl w:val="0"/>
          <w:numId w:val="97"/>
        </w:numPr>
        <w:tabs>
          <w:tab w:val="left" w:pos="1193"/>
        </w:tabs>
        <w:spacing w:before="192" w:after="0" w:line="240" w:lineRule="auto"/>
        <w:ind w:left="1192" w:right="0" w:hanging="602"/>
        <w:jc w:val="left"/>
        <w:rPr>
          <w:color w:val="auto"/>
          <w:sz w:val="24"/>
        </w:rPr>
      </w:pPr>
      <w:r>
        <w:rPr>
          <w:color w:val="auto"/>
          <w:sz w:val="24"/>
        </w:rPr>
        <w:t>一年内实施两次以上同类违法行为且受到行政处罚的；</w:t>
      </w:r>
    </w:p>
    <w:p>
      <w:pPr>
        <w:pStyle w:val="13"/>
        <w:numPr>
          <w:ilvl w:val="0"/>
          <w:numId w:val="97"/>
        </w:numPr>
        <w:tabs>
          <w:tab w:val="left" w:pos="1193"/>
        </w:tabs>
        <w:spacing w:before="194" w:after="0" w:line="240" w:lineRule="auto"/>
        <w:ind w:left="1192" w:right="0" w:hanging="602"/>
        <w:jc w:val="left"/>
        <w:rPr>
          <w:color w:val="auto"/>
          <w:sz w:val="24"/>
        </w:rPr>
      </w:pPr>
      <w:r>
        <w:rPr>
          <w:color w:val="auto"/>
          <w:sz w:val="24"/>
        </w:rPr>
        <w:t>违法生产、销售产品给人民身体健康、生命财产安全造成严重后果的；</w:t>
      </w:r>
    </w:p>
    <w:p>
      <w:pPr>
        <w:pStyle w:val="13"/>
        <w:numPr>
          <w:ilvl w:val="0"/>
          <w:numId w:val="97"/>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2"/>
        <w:rPr>
          <w:color w:val="auto"/>
        </w:rPr>
      </w:pPr>
      <w:bookmarkStart w:id="337" w:name="一百六十四、经营者私自拆封、毁损备份样品"/>
      <w:bookmarkEnd w:id="337"/>
      <w:bookmarkStart w:id="338" w:name="_bookmark168"/>
      <w:bookmarkEnd w:id="338"/>
      <w:r>
        <w:rPr>
          <w:color w:val="auto"/>
        </w:rPr>
        <w:t>一百六十四、经营者私自拆封、毁损备份样品</w:t>
      </w:r>
    </w:p>
    <w:p>
      <w:pPr>
        <w:spacing w:before="194"/>
        <w:ind w:left="591" w:right="0" w:firstLine="0"/>
        <w:jc w:val="left"/>
        <w:rPr>
          <w:b/>
          <w:color w:val="auto"/>
          <w:sz w:val="24"/>
        </w:rPr>
      </w:pPr>
      <w:r>
        <w:rPr>
          <w:b/>
          <w:color w:val="auto"/>
          <w:sz w:val="24"/>
        </w:rPr>
        <w:t>（一）处罚依据</w:t>
      </w:r>
    </w:p>
    <w:p>
      <w:pPr>
        <w:pStyle w:val="4"/>
        <w:spacing w:before="191" w:line="388" w:lineRule="auto"/>
        <w:ind w:right="268" w:firstLine="480"/>
        <w:rPr>
          <w:color w:val="auto"/>
        </w:rPr>
      </w:pPr>
      <w:r>
        <w:rPr>
          <w:color w:val="auto"/>
        </w:rPr>
        <w:t>1</w:t>
      </w:r>
      <w:r>
        <w:rPr>
          <w:color w:val="auto"/>
          <w:spacing w:val="-9"/>
        </w:rPr>
        <w:t>、《流通领域商品质量抽查检验办法》第二十七条 经营者违反本办法第十二条规定，私自拆封、毁损备份样品的，处一万元以下罚款。</w:t>
      </w:r>
    </w:p>
    <w:p>
      <w:pPr>
        <w:pStyle w:val="4"/>
        <w:spacing w:before="5" w:line="388" w:lineRule="auto"/>
        <w:ind w:right="268" w:firstLine="480"/>
        <w:rPr>
          <w:color w:val="auto"/>
        </w:rPr>
      </w:pPr>
      <w:r>
        <w:rPr>
          <w:color w:val="auto"/>
        </w:rPr>
        <w:t>2</w:t>
      </w:r>
      <w:r>
        <w:rPr>
          <w:color w:val="auto"/>
          <w:spacing w:val="-9"/>
        </w:rPr>
        <w:t>、《流通领域商品质量抽查检验办法》第十二条 抽检所需检验用样品和备份样品由工商行政管理执法人员、承检机构人员按照有关规定抽取。</w:t>
      </w:r>
    </w:p>
    <w:p>
      <w:pPr>
        <w:pStyle w:val="4"/>
        <w:spacing w:before="2" w:line="391" w:lineRule="auto"/>
        <w:ind w:right="213" w:firstLine="480"/>
        <w:rPr>
          <w:color w:val="auto"/>
        </w:rPr>
      </w:pPr>
      <w:r>
        <w:rPr>
          <w:color w:val="auto"/>
        </w:rPr>
        <w:t>样品和备份样品应当封样，并由工商行政管理执法人员、承检机构人员、经营者三方签字确认。</w:t>
      </w:r>
    </w:p>
    <w:p>
      <w:pPr>
        <w:pStyle w:val="4"/>
        <w:spacing w:line="388" w:lineRule="auto"/>
        <w:ind w:right="213" w:firstLine="480"/>
        <w:rPr>
          <w:color w:val="auto"/>
        </w:rPr>
      </w:pPr>
      <w:r>
        <w:rPr>
          <w:color w:val="auto"/>
        </w:rPr>
        <w:t>备份样品经工商行政管理执法人员、承检机构人员和经营者三方认可后封存。经营者不得私自拆封、毁损代为保管的备份样品。</w:t>
      </w:r>
    </w:p>
    <w:p>
      <w:pPr>
        <w:spacing w:before="3"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1.【一般】</w:t>
      </w:r>
    </w:p>
    <w:p>
      <w:pPr>
        <w:pStyle w:val="4"/>
        <w:spacing w:before="2" w:line="391" w:lineRule="auto"/>
        <w:ind w:left="591" w:right="1912"/>
        <w:rPr>
          <w:color w:val="auto"/>
        </w:rPr>
      </w:pPr>
      <w:r>
        <w:rPr>
          <w:color w:val="auto"/>
          <w:spacing w:val="-1"/>
        </w:rPr>
        <w:t>因过失导致备份样品被拆封、毁损的，处以五千元以下的罚款。</w:t>
      </w:r>
      <w:r>
        <w:rPr>
          <w:color w:val="auto"/>
        </w:rPr>
        <w:t>2.【严重】</w:t>
      </w:r>
    </w:p>
    <w:p>
      <w:pPr>
        <w:pStyle w:val="4"/>
        <w:spacing w:line="306" w:lineRule="exact"/>
        <w:ind w:left="591"/>
        <w:rPr>
          <w:color w:val="auto"/>
        </w:rPr>
      </w:pPr>
      <w:r>
        <w:rPr>
          <w:color w:val="auto"/>
        </w:rPr>
        <w:t>故意拆封、毁损备份样品的，处以五千元以上一万元以下的罚款。</w:t>
      </w:r>
    </w:p>
    <w:p>
      <w:pPr>
        <w:pStyle w:val="2"/>
        <w:spacing w:before="192" w:line="391" w:lineRule="auto"/>
        <w:ind w:left="111" w:right="237" w:firstLine="480"/>
        <w:rPr>
          <w:color w:val="auto"/>
        </w:rPr>
      </w:pPr>
      <w:bookmarkStart w:id="339" w:name="_bookmark169"/>
      <w:bookmarkEnd w:id="339"/>
      <w:bookmarkStart w:id="340" w:name="一百六十五、经营者未在规定期限内提供相关产品标准或者提供虚假企业标准以及与抽检商"/>
      <w:bookmarkEnd w:id="340"/>
      <w:r>
        <w:rPr>
          <w:color w:val="auto"/>
          <w:spacing w:val="-9"/>
        </w:rPr>
        <w:t>一百六十五、经营者未在规定期限内提供相关产品标准或者提供虚假企业标准以及与抽检商品相关虚假信息</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1</w:t>
      </w:r>
      <w:r>
        <w:rPr>
          <w:color w:val="auto"/>
          <w:spacing w:val="-9"/>
        </w:rPr>
        <w:t>、《流通领域商品质量抽查检验办法》第二十八条 经营者违反本办法第十四条</w:t>
      </w:r>
      <w:r>
        <w:rPr>
          <w:color w:val="auto"/>
          <w:spacing w:val="-8"/>
        </w:rPr>
        <w:t>规定，未在规定期限内提供相关产品标准的，或者提供虚假企业标准以及与抽检商品</w:t>
      </w:r>
      <w:r>
        <w:rPr>
          <w:color w:val="auto"/>
        </w:rPr>
        <w:t>相关虚假信息的，责令停止销售并处三万元以下罚款。</w:t>
      </w:r>
    </w:p>
    <w:p>
      <w:pPr>
        <w:pStyle w:val="4"/>
        <w:spacing w:line="304" w:lineRule="exact"/>
        <w:ind w:left="591"/>
        <w:jc w:val="both"/>
        <w:rPr>
          <w:color w:val="auto"/>
        </w:rPr>
      </w:pPr>
      <w:r>
        <w:rPr>
          <w:color w:val="auto"/>
        </w:rPr>
        <w:t>2、《流通领域商品质量抽查检验办法》第十四条 商品或者其包装上注明采用的</w:t>
      </w:r>
    </w:p>
    <w:p>
      <w:pPr>
        <w:spacing w:after="0" w:line="304" w:lineRule="exact"/>
        <w:jc w:val="both"/>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产品标准为企业标准的，经营者应当在接到抽检通知之日起十五日内将相关标准提供给实施抽检的工商行政管理部门。</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88" w:lineRule="auto"/>
        <w:ind w:left="591" w:right="1672"/>
        <w:rPr>
          <w:color w:val="auto"/>
        </w:rPr>
      </w:pPr>
      <w:r>
        <w:rPr>
          <w:color w:val="auto"/>
          <w:spacing w:val="-1"/>
        </w:rPr>
        <w:t>在规定期限内提供的产品标准不完整的，处以一万元以下的罚款。</w:t>
      </w:r>
      <w:r>
        <w:rPr>
          <w:color w:val="auto"/>
        </w:rPr>
        <w:t>2.【一般】</w:t>
      </w:r>
    </w:p>
    <w:p>
      <w:pPr>
        <w:pStyle w:val="4"/>
        <w:spacing w:before="2" w:line="391" w:lineRule="auto"/>
        <w:ind w:left="591" w:right="3352"/>
        <w:rPr>
          <w:color w:val="auto"/>
        </w:rPr>
      </w:pPr>
      <w:r>
        <w:rPr>
          <w:color w:val="auto"/>
          <w:spacing w:val="-1"/>
        </w:rPr>
        <w:t>逾期提供的，处以一万元以上二万元以下的罚款。</w:t>
      </w:r>
      <w:r>
        <w:rPr>
          <w:color w:val="auto"/>
        </w:rPr>
        <w:t>3.【严重】</w:t>
      </w:r>
    </w:p>
    <w:p>
      <w:pPr>
        <w:pStyle w:val="4"/>
        <w:spacing w:line="388" w:lineRule="auto"/>
        <w:ind w:right="213" w:firstLine="480"/>
        <w:rPr>
          <w:color w:val="auto"/>
        </w:rPr>
      </w:pPr>
      <w:r>
        <w:rPr>
          <w:color w:val="auto"/>
        </w:rPr>
        <w:t>提供虚假企业标准以及与抽检商品相关虚假信息的，处以二万元以上三万元以下的罚款。</w:t>
      </w:r>
    </w:p>
    <w:p>
      <w:pPr>
        <w:pStyle w:val="2"/>
        <w:spacing w:before="3"/>
        <w:rPr>
          <w:color w:val="auto"/>
        </w:rPr>
      </w:pPr>
      <w:bookmarkStart w:id="341" w:name="_bookmark170"/>
      <w:bookmarkEnd w:id="341"/>
      <w:bookmarkStart w:id="342" w:name="一百六十六、被抽检的经营者逾期不改正"/>
      <w:bookmarkEnd w:id="342"/>
      <w:r>
        <w:rPr>
          <w:color w:val="auto"/>
        </w:rPr>
        <w:t>一百六十六、被抽检的经营者逾期不改正</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、《流通领域商品质量抽查检验办法》第二十九条 经营者违反本办法第十六条规定，逾期不改正的，处三万元以下罚款。</w:t>
      </w:r>
    </w:p>
    <w:p>
      <w:pPr>
        <w:pStyle w:val="4"/>
        <w:spacing w:line="391" w:lineRule="auto"/>
        <w:ind w:right="268" w:firstLine="480"/>
        <w:jc w:val="both"/>
        <w:rPr>
          <w:color w:val="auto"/>
        </w:rPr>
      </w:pPr>
      <w:r>
        <w:rPr>
          <w:color w:val="auto"/>
        </w:rPr>
        <w:t>2</w:t>
      </w:r>
      <w:r>
        <w:rPr>
          <w:color w:val="auto"/>
          <w:spacing w:val="-9"/>
        </w:rPr>
        <w:t>、《流通领域商品质量抽查检验办法》第十六条 实施抽检的工商行政管理部门</w:t>
      </w:r>
      <w:r>
        <w:rPr>
          <w:color w:val="auto"/>
          <w:spacing w:val="-12"/>
        </w:rPr>
        <w:t>应当自收到检验结果之日起五个工作日内通知被抽样的经营者。检验不合格的，应当</w:t>
      </w:r>
      <w:r>
        <w:rPr>
          <w:color w:val="auto"/>
        </w:rPr>
        <w:t>通知样品标称的生产者并责令被抽检的经营者限期改正。</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32"/>
        <w:rPr>
          <w:color w:val="auto"/>
        </w:rPr>
      </w:pPr>
      <w:r>
        <w:rPr>
          <w:color w:val="auto"/>
          <w:spacing w:val="-1"/>
        </w:rPr>
        <w:t>逾期不改正，销售货值金额三千元以下的，处以一万元以下的罚款。</w:t>
      </w:r>
      <w:r>
        <w:rPr>
          <w:color w:val="auto"/>
        </w:rPr>
        <w:t>2.【一般】</w:t>
      </w:r>
    </w:p>
    <w:p>
      <w:pPr>
        <w:pStyle w:val="4"/>
        <w:spacing w:before="1" w:line="391" w:lineRule="auto"/>
        <w:ind w:right="224" w:firstLine="480"/>
        <w:rPr>
          <w:color w:val="auto"/>
        </w:rPr>
      </w:pPr>
      <w:r>
        <w:rPr>
          <w:color w:val="auto"/>
        </w:rPr>
        <w:t>逾期不改正，销售货值金额三千元以上五千元以下的，处以一万元以上两万元以下的罚款。</w:t>
      </w:r>
    </w:p>
    <w:p>
      <w:pPr>
        <w:pStyle w:val="4"/>
        <w:spacing w:line="306" w:lineRule="exact"/>
        <w:ind w:left="591"/>
        <w:rPr>
          <w:color w:val="auto"/>
        </w:rPr>
      </w:pPr>
      <w:r>
        <w:rPr>
          <w:color w:val="auto"/>
        </w:rPr>
        <w:t>3.【严重】</w:t>
      </w:r>
    </w:p>
    <w:p>
      <w:pPr>
        <w:spacing w:before="192" w:line="391" w:lineRule="auto"/>
        <w:ind w:left="591" w:right="179" w:firstLine="0"/>
        <w:jc w:val="left"/>
        <w:rPr>
          <w:b/>
          <w:color w:val="auto"/>
          <w:sz w:val="24"/>
        </w:rPr>
      </w:pPr>
      <w:r>
        <w:rPr>
          <w:color w:val="auto"/>
          <w:sz w:val="24"/>
        </w:rPr>
        <w:t>逾期不改正，销售货值金额五千元以上的，处以两万元以上三万元以下的罚款。</w:t>
      </w:r>
      <w:bookmarkStart w:id="343" w:name="一百六十七、发现或者有事实证明其提供的商品或者服务存在缺陷，可能对消费者人身、财"/>
      <w:bookmarkEnd w:id="343"/>
      <w:bookmarkStart w:id="344" w:name="_bookmark171"/>
      <w:bookmarkEnd w:id="344"/>
      <w:r>
        <w:rPr>
          <w:b/>
          <w:color w:val="auto"/>
          <w:sz w:val="24"/>
        </w:rPr>
        <w:t>一百六十七、发现或者有事实证明其提供的商品或者服务存在缺陷，可能对消费</w:t>
      </w:r>
    </w:p>
    <w:p>
      <w:pPr>
        <w:pStyle w:val="2"/>
        <w:spacing w:line="306" w:lineRule="exact"/>
        <w:ind w:left="111"/>
        <w:rPr>
          <w:color w:val="auto"/>
        </w:rPr>
      </w:pPr>
      <w:r>
        <w:rPr>
          <w:color w:val="auto"/>
        </w:rPr>
        <w:t>者人身、财产安全造成危害，未立即报告有关部门和告知消费者</w:t>
      </w:r>
    </w:p>
    <w:p>
      <w:pPr>
        <w:spacing w:before="191"/>
        <w:ind w:left="591" w:right="0" w:firstLine="0"/>
        <w:jc w:val="left"/>
        <w:rPr>
          <w:b/>
          <w:color w:val="auto"/>
          <w:sz w:val="24"/>
        </w:rPr>
      </w:pPr>
      <w:r>
        <w:rPr>
          <w:b/>
          <w:color w:val="auto"/>
          <w:sz w:val="24"/>
        </w:rPr>
        <w:t>（一）处罚依据</w:t>
      </w:r>
    </w:p>
    <w:p>
      <w:pPr>
        <w:spacing w:after="0"/>
        <w:jc w:val="left"/>
        <w:rPr>
          <w:color w:val="auto"/>
          <w:sz w:val="24"/>
        </w:rPr>
        <w:sectPr>
          <w:footerReference r:id="rId19" w:type="default"/>
          <w:footerReference r:id="rId20" w:type="even"/>
          <w:pgSz w:w="11910" w:h="16840"/>
          <w:pgMar w:top="1520" w:right="1260" w:bottom="1220" w:left="1420" w:header="0" w:footer="1034" w:gutter="0"/>
          <w:pgNumType w:start="120"/>
        </w:sectPr>
      </w:pPr>
    </w:p>
    <w:p>
      <w:pPr>
        <w:pStyle w:val="4"/>
        <w:spacing w:before="39" w:line="391" w:lineRule="auto"/>
        <w:ind w:right="268" w:firstLine="480"/>
        <w:rPr>
          <w:color w:val="auto"/>
        </w:rPr>
      </w:pPr>
      <w:r>
        <w:rPr>
          <w:color w:val="auto"/>
        </w:rPr>
        <w:t>1</w:t>
      </w:r>
      <w:r>
        <w:rPr>
          <w:color w:val="auto"/>
          <w:spacing w:val="-9"/>
        </w:rPr>
        <w:t>、《山东省消费者权益保护条例》第七十九条 经营者有下列行为之一的，由工商行政管理部门或者其他有关部门责令改正，并按照下列规定予以处罚：</w:t>
      </w:r>
    </w:p>
    <w:p>
      <w:pPr>
        <w:pStyle w:val="4"/>
        <w:spacing w:line="388" w:lineRule="auto"/>
        <w:ind w:right="213" w:firstLine="480"/>
        <w:rPr>
          <w:color w:val="auto"/>
        </w:rPr>
      </w:pPr>
      <w:r>
        <w:rPr>
          <w:color w:val="auto"/>
        </w:rPr>
        <w:t>(一)违反本条例第十七条规定，未立即报告有关部门和告知消费者的，处一万元以上三万元以下罚款。</w:t>
      </w:r>
    </w:p>
    <w:p>
      <w:pPr>
        <w:pStyle w:val="4"/>
        <w:spacing w:before="3" w:line="391" w:lineRule="auto"/>
        <w:ind w:right="232" w:firstLine="480"/>
        <w:jc w:val="both"/>
        <w:rPr>
          <w:color w:val="auto"/>
        </w:rPr>
      </w:pPr>
      <w:r>
        <w:rPr>
          <w:color w:val="auto"/>
        </w:rPr>
        <w:t>2</w:t>
      </w:r>
      <w:r>
        <w:rPr>
          <w:color w:val="auto"/>
          <w:spacing w:val="-10"/>
        </w:rPr>
        <w:t>、《山东省消费者权益保护条例》第十七条 经营者发现或者有事实证明其提供</w:t>
      </w:r>
      <w:r>
        <w:rPr>
          <w:color w:val="auto"/>
          <w:spacing w:val="-12"/>
        </w:rPr>
        <w:t>的商品或者服务存在缺陷，有可能对消费者人身、财产安全造成危害的，应当立即报</w:t>
      </w:r>
      <w:r>
        <w:rPr>
          <w:color w:val="auto"/>
          <w:spacing w:val="-13"/>
        </w:rPr>
        <w:t>告有关部门和告知消费者，并依法采取停止销售、警示、召回、无害化处理、销毁、</w:t>
      </w:r>
      <w:r>
        <w:rPr>
          <w:color w:val="auto"/>
        </w:rPr>
        <w:t>停止生产或者服务等措施。</w:t>
      </w:r>
    </w:p>
    <w:p>
      <w:pPr>
        <w:pStyle w:val="4"/>
        <w:spacing w:line="302" w:lineRule="exact"/>
        <w:ind w:left="591"/>
        <w:rPr>
          <w:color w:val="auto"/>
        </w:rPr>
      </w:pPr>
      <w:r>
        <w:rPr>
          <w:color w:val="auto"/>
        </w:rPr>
        <w:t>采取召回措施的，经营者应当承担消费者因此而支出的必要费用。</w:t>
      </w:r>
    </w:p>
    <w:p>
      <w:pPr>
        <w:spacing w:before="192"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392"/>
        <w:rPr>
          <w:color w:val="auto"/>
        </w:rPr>
      </w:pPr>
      <w:r>
        <w:rPr>
          <w:color w:val="auto"/>
          <w:spacing w:val="-1"/>
        </w:rPr>
        <w:t>逾期三日以下的，处以一万元以上一万五千元以下的罚款。</w:t>
      </w:r>
      <w:r>
        <w:rPr>
          <w:color w:val="auto"/>
        </w:rPr>
        <w:t>2.【一般】</w:t>
      </w:r>
    </w:p>
    <w:p>
      <w:pPr>
        <w:pStyle w:val="4"/>
        <w:spacing w:before="3" w:line="388" w:lineRule="auto"/>
        <w:ind w:left="591" w:right="952"/>
        <w:rPr>
          <w:color w:val="auto"/>
        </w:rPr>
      </w:pPr>
      <w:r>
        <w:rPr>
          <w:color w:val="auto"/>
          <w:spacing w:val="-1"/>
        </w:rPr>
        <w:t>逾期三日以上七日以下的，处以一万五千元以上二万五千元以下的罚款。</w:t>
      </w:r>
      <w:r>
        <w:rPr>
          <w:color w:val="auto"/>
        </w:rPr>
        <w:t>3.【严重】</w:t>
      </w:r>
    </w:p>
    <w:p>
      <w:pPr>
        <w:pStyle w:val="4"/>
        <w:spacing w:before="2"/>
        <w:ind w:left="591"/>
        <w:rPr>
          <w:color w:val="auto"/>
        </w:rPr>
      </w:pPr>
      <w:r>
        <w:rPr>
          <w:color w:val="auto"/>
        </w:rPr>
        <w:t>逾期七日以上的，处以二万五千元以上三万元以下的罚款。</w:t>
      </w:r>
    </w:p>
    <w:p>
      <w:pPr>
        <w:pStyle w:val="2"/>
        <w:spacing w:before="194"/>
        <w:rPr>
          <w:color w:val="auto"/>
        </w:rPr>
      </w:pPr>
      <w:bookmarkStart w:id="345" w:name="一百六十八、未标明租赁期限、特许经营期限、经营地址、联系方式等事项"/>
      <w:bookmarkEnd w:id="345"/>
      <w:bookmarkStart w:id="346" w:name="_bookmark172"/>
      <w:bookmarkEnd w:id="346"/>
      <w:r>
        <w:rPr>
          <w:color w:val="auto"/>
        </w:rPr>
        <w:t>一百六十八、未标明租赁期限、特许经营期限、经营地址、联系方式等事项</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rPr>
          <w:color w:val="auto"/>
        </w:rPr>
      </w:pPr>
      <w:r>
        <w:rPr>
          <w:color w:val="auto"/>
        </w:rPr>
        <w:t>1</w:t>
      </w:r>
      <w:r>
        <w:rPr>
          <w:color w:val="auto"/>
          <w:spacing w:val="-9"/>
        </w:rPr>
        <w:t>、《山东省消费者权益保护条例》第七十九条 经营者有下列行为之一的，由工商行政管理部门或者其他有关部门责令改正，并按照下列规定予以处罚：</w:t>
      </w:r>
    </w:p>
    <w:p>
      <w:pPr>
        <w:pStyle w:val="4"/>
        <w:spacing w:line="388" w:lineRule="auto"/>
        <w:ind w:right="213" w:firstLine="480"/>
        <w:rPr>
          <w:color w:val="auto"/>
        </w:rPr>
      </w:pPr>
      <w:r>
        <w:rPr>
          <w:color w:val="auto"/>
        </w:rPr>
        <w:t>(二)违反本条例第十八条规定，未标明租赁期限、特许经营期限、经营地址、联系方式等事项的，处五千元以上一万元以下罚款。</w:t>
      </w:r>
    </w:p>
    <w:p>
      <w:pPr>
        <w:pStyle w:val="4"/>
        <w:spacing w:before="3" w:line="388" w:lineRule="auto"/>
        <w:ind w:left="591" w:right="148"/>
        <w:rPr>
          <w:color w:val="auto"/>
        </w:rPr>
      </w:pPr>
      <w:r>
        <w:rPr>
          <w:color w:val="auto"/>
        </w:rPr>
        <w:t>2</w:t>
      </w:r>
      <w:r>
        <w:rPr>
          <w:color w:val="auto"/>
          <w:spacing w:val="-15"/>
        </w:rPr>
        <w:t>、《山东省消费者权益保护条例》第十八条 经营者应当标明其真实名称和标记。</w:t>
      </w:r>
      <w:r>
        <w:rPr>
          <w:color w:val="auto"/>
          <w:spacing w:val="-3"/>
        </w:rPr>
        <w:t>租赁他人柜台或者场地的经营者，除履行前款规定的义务外，还应当在经营场所</w:t>
      </w:r>
    </w:p>
    <w:p>
      <w:pPr>
        <w:pStyle w:val="4"/>
        <w:spacing w:before="2"/>
        <w:rPr>
          <w:color w:val="auto"/>
        </w:rPr>
      </w:pPr>
      <w:r>
        <w:rPr>
          <w:color w:val="auto"/>
        </w:rPr>
        <w:t>的显著位置标明租赁期限。</w:t>
      </w:r>
    </w:p>
    <w:p>
      <w:pPr>
        <w:pStyle w:val="4"/>
        <w:spacing w:before="195" w:line="388" w:lineRule="auto"/>
        <w:ind w:right="213" w:firstLine="480"/>
        <w:rPr>
          <w:color w:val="auto"/>
        </w:rPr>
      </w:pPr>
      <w:r>
        <w:rPr>
          <w:color w:val="auto"/>
        </w:rPr>
        <w:t>商业特许经营的经营者，应当标明特许人和被特许人的名称和标记、特许经营期限、经营项目等事项。</w:t>
      </w:r>
    </w:p>
    <w:p>
      <w:pPr>
        <w:pStyle w:val="4"/>
        <w:spacing w:before="2"/>
        <w:ind w:left="591"/>
        <w:rPr>
          <w:color w:val="auto"/>
        </w:rPr>
      </w:pPr>
      <w:r>
        <w:rPr>
          <w:color w:val="auto"/>
        </w:rPr>
        <w:t>采用网络、广播、电视、电话、邮购等方式提供商品或者服务的经营者，应当以</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显著方式明示其真实名称、经营地址、联系方式等信息。</w:t>
      </w:r>
    </w:p>
    <w:p>
      <w:pPr>
        <w:spacing w:before="195"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left="591" w:right="4792"/>
        <w:rPr>
          <w:color w:val="auto"/>
        </w:rPr>
      </w:pPr>
      <w:r>
        <w:rPr>
          <w:color w:val="auto"/>
          <w:spacing w:val="-2"/>
        </w:rPr>
        <w:t>第一次发现的，处以五千元的罚款。</w:t>
      </w:r>
      <w:r>
        <w:rPr>
          <w:color w:val="auto"/>
        </w:rPr>
        <w:t>2.【一般】</w:t>
      </w:r>
    </w:p>
    <w:p>
      <w:pPr>
        <w:pStyle w:val="4"/>
        <w:spacing w:line="388" w:lineRule="auto"/>
        <w:ind w:left="591" w:right="3112"/>
        <w:rPr>
          <w:color w:val="auto"/>
        </w:rPr>
      </w:pPr>
      <w:r>
        <w:rPr>
          <w:color w:val="auto"/>
          <w:spacing w:val="-1"/>
        </w:rPr>
        <w:t>第二次发现的，处以五千元以上七千元以下的罚款。</w:t>
      </w:r>
      <w:r>
        <w:rPr>
          <w:color w:val="auto"/>
        </w:rPr>
        <w:t>3.【严重】</w:t>
      </w:r>
    </w:p>
    <w:p>
      <w:pPr>
        <w:pStyle w:val="4"/>
        <w:spacing w:before="3"/>
        <w:ind w:left="591"/>
        <w:rPr>
          <w:color w:val="auto"/>
        </w:rPr>
      </w:pPr>
      <w:r>
        <w:rPr>
          <w:color w:val="auto"/>
        </w:rPr>
        <w:t>发现三次以上的，处以七千元以上一万元以下的罚款。</w:t>
      </w:r>
    </w:p>
    <w:p>
      <w:pPr>
        <w:pStyle w:val="2"/>
        <w:spacing w:before="191"/>
        <w:rPr>
          <w:color w:val="auto"/>
        </w:rPr>
      </w:pPr>
      <w:bookmarkStart w:id="347" w:name="一百六十九、未核验销售者或者服务者的营业执照、许可证件等资料"/>
      <w:bookmarkEnd w:id="347"/>
      <w:bookmarkStart w:id="348" w:name="_bookmark173"/>
      <w:bookmarkEnd w:id="348"/>
      <w:r>
        <w:rPr>
          <w:color w:val="auto"/>
        </w:rPr>
        <w:t>一百六十九、未核验销售者或者服务者的营业执照、许可证件等资料</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rPr>
          <w:color w:val="auto"/>
        </w:rPr>
      </w:pPr>
      <w:r>
        <w:rPr>
          <w:color w:val="auto"/>
        </w:rPr>
        <w:t>1</w:t>
      </w:r>
      <w:r>
        <w:rPr>
          <w:color w:val="auto"/>
          <w:spacing w:val="-9"/>
        </w:rPr>
        <w:t>、《山东省消费者权益保护条例》第七十九条 经营者有下列行为之一的，由工商行政管理部门或者其他有关部门责令改正，并按照下列规定予以处罚：</w:t>
      </w:r>
    </w:p>
    <w:p>
      <w:pPr>
        <w:pStyle w:val="4"/>
        <w:spacing w:before="2" w:line="391" w:lineRule="auto"/>
        <w:ind w:right="213" w:firstLine="480"/>
        <w:rPr>
          <w:color w:val="auto"/>
        </w:rPr>
      </w:pPr>
      <w:r>
        <w:rPr>
          <w:color w:val="auto"/>
        </w:rPr>
        <w:t>(三)违反本条例第十九条规定，未核验销售者或者服务者的营业执照、许可证件等资料的，处一万元以上三万元以下罚款。</w:t>
      </w:r>
    </w:p>
    <w:p>
      <w:pPr>
        <w:pStyle w:val="4"/>
        <w:spacing w:line="391" w:lineRule="auto"/>
        <w:ind w:right="268" w:firstLine="480"/>
        <w:jc w:val="both"/>
        <w:rPr>
          <w:color w:val="auto"/>
        </w:rPr>
      </w:pPr>
      <w:r>
        <w:rPr>
          <w:color w:val="auto"/>
        </w:rPr>
        <w:t>2</w:t>
      </w:r>
      <w:r>
        <w:rPr>
          <w:color w:val="auto"/>
          <w:spacing w:val="-9"/>
        </w:rPr>
        <w:t>、《山东省消费者权益保护条例》第十九条 商品交易市场的经营管理者、柜台</w:t>
      </w:r>
      <w:r>
        <w:rPr>
          <w:color w:val="auto"/>
          <w:spacing w:val="-10"/>
        </w:rPr>
        <w:t>出租者、场地出租者、展销会举办者、商业特许经营者，应当核验销售者或者服务者</w:t>
      </w:r>
      <w:r>
        <w:rPr>
          <w:color w:val="auto"/>
        </w:rPr>
        <w:t>的营业执照、许可证件等资料，并监督其履行标明真实身份信息的义务。</w:t>
      </w:r>
    </w:p>
    <w:p>
      <w:pPr>
        <w:pStyle w:val="4"/>
        <w:spacing w:line="391" w:lineRule="auto"/>
        <w:ind w:right="268" w:firstLine="480"/>
        <w:jc w:val="both"/>
        <w:rPr>
          <w:color w:val="auto"/>
        </w:rPr>
      </w:pPr>
      <w:r>
        <w:rPr>
          <w:color w:val="auto"/>
          <w:spacing w:val="-5"/>
        </w:rPr>
        <w:t>网络交易平台提供者、广播电视购物平台提供者应当核验进入平台的销售者或者服务者的营业执照、许可证件、身份证明等资料，并监督其履行标明真实身份信息的</w:t>
      </w:r>
      <w:r>
        <w:rPr>
          <w:color w:val="auto"/>
        </w:rPr>
        <w:t>义务。</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632"/>
        <w:rPr>
          <w:color w:val="auto"/>
        </w:rPr>
      </w:pPr>
      <w:r>
        <w:rPr>
          <w:color w:val="auto"/>
          <w:spacing w:val="-1"/>
        </w:rPr>
        <w:t>第一次发现的，处以一万元以上一万五千元以下的罚款。</w:t>
      </w:r>
      <w:r>
        <w:rPr>
          <w:color w:val="auto"/>
        </w:rPr>
        <w:t>2.【一般】</w:t>
      </w:r>
    </w:p>
    <w:p>
      <w:pPr>
        <w:pStyle w:val="4"/>
        <w:spacing w:line="391" w:lineRule="auto"/>
        <w:ind w:left="591" w:right="2152"/>
        <w:rPr>
          <w:color w:val="auto"/>
        </w:rPr>
      </w:pPr>
      <w:r>
        <w:rPr>
          <w:color w:val="auto"/>
          <w:spacing w:val="-1"/>
        </w:rPr>
        <w:t>第二次发现的，处以一万五千元以上两万五千元以下的罚款。</w:t>
      </w:r>
      <w:r>
        <w:rPr>
          <w:color w:val="auto"/>
        </w:rPr>
        <w:t>3.【严重】</w:t>
      </w:r>
    </w:p>
    <w:p>
      <w:pPr>
        <w:spacing w:before="0" w:line="388" w:lineRule="auto"/>
        <w:ind w:left="591" w:right="2368" w:firstLine="0"/>
        <w:jc w:val="left"/>
        <w:rPr>
          <w:b/>
          <w:color w:val="auto"/>
          <w:sz w:val="24"/>
        </w:rPr>
      </w:pPr>
      <w:r>
        <w:rPr>
          <w:color w:val="auto"/>
          <w:sz w:val="24"/>
        </w:rPr>
        <w:t>发现三次以上的，处以两万五千元以上三万元以下的罚款。</w:t>
      </w:r>
      <w:bookmarkStart w:id="349" w:name="一百七十、未设置告知程序提示消费者索要发票等购货凭证"/>
      <w:bookmarkEnd w:id="349"/>
      <w:bookmarkStart w:id="350" w:name="_bookmark174"/>
      <w:bookmarkEnd w:id="350"/>
      <w:r>
        <w:rPr>
          <w:b/>
          <w:color w:val="auto"/>
          <w:sz w:val="24"/>
        </w:rPr>
        <w:t>一百七十、未设置告知程序提示消费者索要发票等购货凭证</w:t>
      </w:r>
    </w:p>
    <w:p>
      <w:pPr>
        <w:spacing w:after="0" w:line="388" w:lineRule="auto"/>
        <w:jc w:val="left"/>
        <w:rPr>
          <w:color w:val="auto"/>
          <w:sz w:val="24"/>
        </w:rPr>
        <w:sectPr>
          <w:pgSz w:w="11910" w:h="16840"/>
          <w:pgMar w:top="1520" w:right="1260" w:bottom="1220" w:left="1420" w:header="0" w:footer="1034" w:gutter="0"/>
        </w:sectPr>
      </w:pPr>
    </w:p>
    <w:p>
      <w:pPr>
        <w:pStyle w:val="2"/>
        <w:spacing w:before="39"/>
        <w:rPr>
          <w:color w:val="auto"/>
        </w:rPr>
      </w:pPr>
      <w:r>
        <w:rPr>
          <w:color w:val="auto"/>
        </w:rPr>
        <w:t>（一）处罚依据</w:t>
      </w:r>
    </w:p>
    <w:p>
      <w:pPr>
        <w:pStyle w:val="4"/>
        <w:spacing w:before="195" w:line="388" w:lineRule="auto"/>
        <w:ind w:right="268" w:firstLine="480"/>
        <w:rPr>
          <w:color w:val="auto"/>
        </w:rPr>
      </w:pPr>
      <w:r>
        <w:rPr>
          <w:color w:val="auto"/>
        </w:rPr>
        <w:t>1</w:t>
      </w:r>
      <w:r>
        <w:rPr>
          <w:color w:val="auto"/>
          <w:spacing w:val="-9"/>
        </w:rPr>
        <w:t>、《山东省消费者权益保护条例》第七十九条 经营者有下列行为之一的，由工商行政管理部门或者其他有关部门责令改正，并按照下列规定予以处罚：</w:t>
      </w:r>
    </w:p>
    <w:p>
      <w:pPr>
        <w:pStyle w:val="4"/>
        <w:spacing w:before="2" w:line="391" w:lineRule="auto"/>
        <w:ind w:right="213" w:firstLine="480"/>
        <w:rPr>
          <w:color w:val="auto"/>
        </w:rPr>
      </w:pPr>
      <w:r>
        <w:rPr>
          <w:color w:val="auto"/>
        </w:rPr>
        <w:t>(四)违反本条例第二十五条规定，未设置告知程序提示消费者索要发票等购货凭证的，处五千元以下罚款。</w:t>
      </w:r>
    </w:p>
    <w:p>
      <w:pPr>
        <w:pStyle w:val="4"/>
        <w:spacing w:line="391" w:lineRule="auto"/>
        <w:ind w:right="268" w:firstLine="480"/>
        <w:jc w:val="both"/>
        <w:rPr>
          <w:color w:val="auto"/>
        </w:rPr>
      </w:pPr>
      <w:r>
        <w:rPr>
          <w:color w:val="auto"/>
        </w:rPr>
        <w:t>2</w:t>
      </w:r>
      <w:r>
        <w:rPr>
          <w:color w:val="auto"/>
          <w:spacing w:val="-9"/>
        </w:rPr>
        <w:t>、《山东省消费者权益保护条例》第二十五条 经营者提供商品或者服务，应当</w:t>
      </w:r>
      <w:r>
        <w:rPr>
          <w:color w:val="auto"/>
          <w:spacing w:val="-13"/>
        </w:rPr>
        <w:t>按照国家有关规定或者商业惯例，向消费者提供发票等购货凭证、服务单据。消费者</w:t>
      </w:r>
      <w:r>
        <w:rPr>
          <w:color w:val="auto"/>
        </w:rPr>
        <w:t>索要发票等购货凭证、服务单据或者费用明细的，经营者应当及时出具。</w:t>
      </w:r>
    </w:p>
    <w:p>
      <w:pPr>
        <w:pStyle w:val="4"/>
        <w:spacing w:line="388" w:lineRule="auto"/>
        <w:ind w:right="213" w:firstLine="480"/>
        <w:rPr>
          <w:color w:val="auto"/>
        </w:rPr>
      </w:pPr>
      <w:r>
        <w:rPr>
          <w:color w:val="auto"/>
        </w:rPr>
        <w:t>网络交易平台提供者、广播电视购物平台提供者，应当在商品销售必经流程中设置告知程序，主动提示消费者可以向销售者或者服务者索要发票等购货凭证。</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1" w:line="391" w:lineRule="auto"/>
        <w:ind w:left="591" w:right="4312"/>
        <w:rPr>
          <w:color w:val="auto"/>
        </w:rPr>
      </w:pPr>
      <w:r>
        <w:rPr>
          <w:color w:val="auto"/>
          <w:spacing w:val="-1"/>
        </w:rPr>
        <w:t>第一次发现的，处以一千元以下的罚款。</w:t>
      </w:r>
      <w:r>
        <w:rPr>
          <w:color w:val="auto"/>
        </w:rPr>
        <w:t>2.【一般】</w:t>
      </w:r>
    </w:p>
    <w:p>
      <w:pPr>
        <w:pStyle w:val="4"/>
        <w:spacing w:line="388" w:lineRule="auto"/>
        <w:ind w:left="591" w:right="3112"/>
        <w:rPr>
          <w:color w:val="auto"/>
        </w:rPr>
      </w:pPr>
      <w:r>
        <w:rPr>
          <w:color w:val="auto"/>
          <w:spacing w:val="-1"/>
        </w:rPr>
        <w:t>第二次发现的，处以一千元以上三千元以下的罚款。</w:t>
      </w:r>
      <w:r>
        <w:rPr>
          <w:color w:val="auto"/>
        </w:rPr>
        <w:t>3.【严重】</w:t>
      </w:r>
    </w:p>
    <w:p>
      <w:pPr>
        <w:pStyle w:val="4"/>
        <w:spacing w:before="3"/>
        <w:ind w:left="591"/>
        <w:rPr>
          <w:color w:val="auto"/>
        </w:rPr>
      </w:pPr>
      <w:r>
        <w:rPr>
          <w:color w:val="auto"/>
        </w:rPr>
        <w:t>发现三次以上的，处以三千元以上五千元以下的罚款。</w:t>
      </w:r>
    </w:p>
    <w:p>
      <w:pPr>
        <w:pStyle w:val="2"/>
        <w:spacing w:before="192"/>
        <w:rPr>
          <w:color w:val="auto"/>
        </w:rPr>
      </w:pPr>
      <w:bookmarkStart w:id="351" w:name="一百七十一、销售不适用无理由退货商品时未设置显著的提示程序"/>
      <w:bookmarkEnd w:id="351"/>
      <w:bookmarkStart w:id="352" w:name="_bookmark175"/>
      <w:bookmarkEnd w:id="352"/>
      <w:r>
        <w:rPr>
          <w:color w:val="auto"/>
        </w:rPr>
        <w:t>一百七十一、销售不适用无理由退货商品时未设置显著的提示程序</w:t>
      </w:r>
    </w:p>
    <w:p>
      <w:pPr>
        <w:spacing w:before="191"/>
        <w:ind w:left="591" w:right="0" w:firstLine="0"/>
        <w:jc w:val="left"/>
        <w:rPr>
          <w:b/>
          <w:color w:val="auto"/>
          <w:sz w:val="24"/>
        </w:rPr>
      </w:pPr>
      <w:r>
        <w:rPr>
          <w:b/>
          <w:color w:val="auto"/>
          <w:sz w:val="24"/>
        </w:rPr>
        <w:t>（一）处罚依据</w:t>
      </w:r>
    </w:p>
    <w:p>
      <w:pPr>
        <w:pStyle w:val="4"/>
        <w:spacing w:before="194" w:line="388" w:lineRule="auto"/>
        <w:ind w:right="268" w:firstLine="480"/>
        <w:rPr>
          <w:color w:val="auto"/>
        </w:rPr>
      </w:pPr>
      <w:r>
        <w:rPr>
          <w:color w:val="auto"/>
        </w:rPr>
        <w:t>1</w:t>
      </w:r>
      <w:r>
        <w:rPr>
          <w:color w:val="auto"/>
          <w:spacing w:val="-9"/>
        </w:rPr>
        <w:t>、《山东省消费者权益保护条例》第七十九条 经营者有下列行为之一的，由工商行政管理部门或者其他有关部门责令改正，并按照下列规定予以处罚：</w:t>
      </w:r>
    </w:p>
    <w:p>
      <w:pPr>
        <w:pStyle w:val="4"/>
        <w:spacing w:before="2" w:line="391" w:lineRule="auto"/>
        <w:ind w:right="213" w:firstLine="480"/>
        <w:rPr>
          <w:color w:val="auto"/>
        </w:rPr>
      </w:pPr>
      <w:r>
        <w:rPr>
          <w:color w:val="auto"/>
        </w:rPr>
        <w:t>(五)违反本条例第二十九条规定，销售不适用无理由退货商品时未设置显著的提示程序的，处五千元以下罚款。</w:t>
      </w:r>
    </w:p>
    <w:p>
      <w:pPr>
        <w:pStyle w:val="4"/>
        <w:spacing w:line="391" w:lineRule="auto"/>
        <w:ind w:right="148" w:firstLine="480"/>
        <w:rPr>
          <w:color w:val="auto"/>
        </w:rPr>
      </w:pPr>
      <w:r>
        <w:rPr>
          <w:color w:val="auto"/>
        </w:rPr>
        <w:t>2</w:t>
      </w:r>
      <w:r>
        <w:rPr>
          <w:color w:val="auto"/>
          <w:spacing w:val="-10"/>
        </w:rPr>
        <w:t>、《山东省消费者权益保护条例》第二十九条 经营者采用网络、广播、电视、</w:t>
      </w:r>
      <w:r>
        <w:rPr>
          <w:color w:val="auto"/>
          <w:spacing w:val="-9"/>
        </w:rPr>
        <w:t>电话、邮购等方式销售商品，除法律、行政法规规定情形外，适用七日无理由退货制</w:t>
      </w:r>
      <w:r>
        <w:rPr>
          <w:color w:val="auto"/>
          <w:spacing w:val="-15"/>
        </w:rPr>
        <w:t xml:space="preserve">度，经营者不得故意拖延。自收到消费者退货要求之日起十五日内未办理退货手续的， </w:t>
      </w:r>
      <w:r>
        <w:rPr>
          <w:color w:val="auto"/>
        </w:rPr>
        <w:t>视为故意拖延。</w:t>
      </w:r>
    </w:p>
    <w:p>
      <w:pPr>
        <w:pStyle w:val="4"/>
        <w:spacing w:line="302" w:lineRule="exact"/>
        <w:ind w:left="591"/>
        <w:rPr>
          <w:color w:val="auto"/>
        </w:rPr>
      </w:pPr>
      <w:r>
        <w:rPr>
          <w:color w:val="auto"/>
        </w:rPr>
        <w:t>除法律、行政法规规定外的其他不适用无理由退货的商品，前款经营者应当进行</w:t>
      </w:r>
    </w:p>
    <w:p>
      <w:pPr>
        <w:spacing w:after="0" w:line="302" w:lineRule="exact"/>
        <w:rPr>
          <w:color w:val="auto"/>
        </w:rPr>
        <w:sectPr>
          <w:pgSz w:w="11910" w:h="16840"/>
          <w:pgMar w:top="1520" w:right="1260" w:bottom="1220" w:left="1420" w:header="0" w:footer="1034" w:gutter="0"/>
        </w:sectPr>
      </w:pPr>
    </w:p>
    <w:p>
      <w:pPr>
        <w:pStyle w:val="4"/>
        <w:spacing w:before="39" w:line="391" w:lineRule="auto"/>
        <w:ind w:right="230"/>
        <w:rPr>
          <w:color w:val="auto"/>
        </w:rPr>
      </w:pPr>
      <w:r>
        <w:rPr>
          <w:color w:val="auto"/>
        </w:rPr>
        <w:t>明确标注，并在商品销售必经流程中设置显著的提示程序，供消费者进行确认。未经消费者在购买时确认的，经营者不得拒绝七日无理由退货。</w:t>
      </w:r>
    </w:p>
    <w:p>
      <w:pPr>
        <w:pStyle w:val="4"/>
        <w:spacing w:line="388" w:lineRule="auto"/>
        <w:ind w:right="148" w:firstLine="480"/>
        <w:rPr>
          <w:color w:val="auto"/>
        </w:rPr>
      </w:pPr>
      <w:r>
        <w:rPr>
          <w:color w:val="auto"/>
          <w:spacing w:val="-12"/>
        </w:rPr>
        <w:t xml:space="preserve">消费者退货的商品应当完好。消费者为检查、试用商品而拆封但商品没有污损的， </w:t>
      </w:r>
      <w:r>
        <w:rPr>
          <w:color w:val="auto"/>
        </w:rPr>
        <w:t>视为商品完好。</w:t>
      </w:r>
    </w:p>
    <w:p>
      <w:pPr>
        <w:pStyle w:val="4"/>
        <w:spacing w:before="3" w:line="388" w:lineRule="auto"/>
        <w:ind w:right="213" w:firstLine="480"/>
        <w:rPr>
          <w:color w:val="auto"/>
        </w:rPr>
      </w:pPr>
      <w:r>
        <w:rPr>
          <w:color w:val="auto"/>
        </w:rPr>
        <w:t>消费者退回商品应当同时退回该次消费获得的奖赠品或者奖赠品的等值价款，退回商品的运费由消费者承担。另有约定的，从其约定。</w:t>
      </w:r>
    </w:p>
    <w:p>
      <w:pPr>
        <w:spacing w:before="2"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4312"/>
        <w:rPr>
          <w:color w:val="auto"/>
        </w:rPr>
      </w:pPr>
      <w:r>
        <w:rPr>
          <w:color w:val="auto"/>
          <w:spacing w:val="-1"/>
        </w:rPr>
        <w:t>第一次发现的，处以一千元以下的罚款。</w:t>
      </w:r>
      <w:r>
        <w:rPr>
          <w:color w:val="auto"/>
        </w:rPr>
        <w:t>2.【一般】</w:t>
      </w:r>
    </w:p>
    <w:p>
      <w:pPr>
        <w:pStyle w:val="4"/>
        <w:spacing w:before="3" w:line="388" w:lineRule="auto"/>
        <w:ind w:left="591" w:right="3112"/>
        <w:rPr>
          <w:color w:val="auto"/>
        </w:rPr>
      </w:pPr>
      <w:r>
        <w:rPr>
          <w:color w:val="auto"/>
          <w:spacing w:val="-1"/>
        </w:rPr>
        <w:t>第二次发现的，处以一千元以上三千元以下的罚款。</w:t>
      </w:r>
      <w:r>
        <w:rPr>
          <w:color w:val="auto"/>
        </w:rPr>
        <w:t>3.【严重】</w:t>
      </w:r>
    </w:p>
    <w:p>
      <w:pPr>
        <w:pStyle w:val="4"/>
        <w:spacing w:before="2"/>
        <w:ind w:left="591"/>
        <w:rPr>
          <w:color w:val="auto"/>
        </w:rPr>
      </w:pPr>
      <w:r>
        <w:rPr>
          <w:color w:val="auto"/>
        </w:rPr>
        <w:t>发现三次以上的，处以三千元以上五千元以下的罚款。</w:t>
      </w:r>
    </w:p>
    <w:p>
      <w:pPr>
        <w:pStyle w:val="2"/>
        <w:spacing w:before="194" w:line="388" w:lineRule="auto"/>
        <w:ind w:left="111" w:right="237" w:firstLine="480"/>
        <w:rPr>
          <w:color w:val="auto"/>
        </w:rPr>
      </w:pPr>
      <w:bookmarkStart w:id="353" w:name="一百七十二、以预收款方式提供商品或者服务的经营者未按照规定退还预付款及其利息"/>
      <w:bookmarkEnd w:id="353"/>
      <w:bookmarkStart w:id="354" w:name="_bookmark176"/>
      <w:bookmarkEnd w:id="354"/>
      <w:r>
        <w:rPr>
          <w:color w:val="auto"/>
          <w:spacing w:val="-9"/>
        </w:rPr>
        <w:t>一百七十二、以预收款方式提供商品或者服务的经营者未按照规定退还预付款及其利息</w:t>
      </w:r>
    </w:p>
    <w:p>
      <w:pPr>
        <w:spacing w:before="3"/>
        <w:ind w:left="591" w:right="0" w:firstLine="0"/>
        <w:jc w:val="left"/>
        <w:rPr>
          <w:b/>
          <w:color w:val="auto"/>
          <w:sz w:val="24"/>
        </w:rPr>
      </w:pPr>
      <w:r>
        <w:rPr>
          <w:b/>
          <w:color w:val="auto"/>
          <w:sz w:val="24"/>
        </w:rPr>
        <w:t>（一）处罚依据</w:t>
      </w:r>
    </w:p>
    <w:p>
      <w:pPr>
        <w:pStyle w:val="4"/>
        <w:spacing w:before="194" w:line="388" w:lineRule="auto"/>
        <w:ind w:right="268" w:firstLine="480"/>
        <w:rPr>
          <w:color w:val="auto"/>
        </w:rPr>
      </w:pPr>
      <w:r>
        <w:rPr>
          <w:color w:val="auto"/>
        </w:rPr>
        <w:t>1</w:t>
      </w:r>
      <w:r>
        <w:rPr>
          <w:color w:val="auto"/>
          <w:spacing w:val="-9"/>
        </w:rPr>
        <w:t>、《山东省消费者权益保护条例》第七十九条 经营者有下列行为之一的，由工商行政管理部门或者其他有关部门责令改正，并按照下列规定予以处罚：</w:t>
      </w:r>
    </w:p>
    <w:p>
      <w:pPr>
        <w:pStyle w:val="4"/>
        <w:spacing w:before="2" w:line="391" w:lineRule="auto"/>
        <w:ind w:right="213" w:firstLine="480"/>
        <w:rPr>
          <w:color w:val="auto"/>
        </w:rPr>
      </w:pPr>
      <w:r>
        <w:rPr>
          <w:color w:val="auto"/>
        </w:rPr>
        <w:t>(六)违反本条例第三十条规定，未按照规定退款的，处一万元以上三万元以下罚款。</w:t>
      </w:r>
    </w:p>
    <w:p>
      <w:pPr>
        <w:pStyle w:val="4"/>
        <w:spacing w:line="391" w:lineRule="auto"/>
        <w:ind w:right="268" w:firstLine="480"/>
        <w:jc w:val="both"/>
        <w:rPr>
          <w:color w:val="auto"/>
        </w:rPr>
      </w:pPr>
      <w:r>
        <w:rPr>
          <w:color w:val="auto"/>
        </w:rPr>
        <w:t>2</w:t>
      </w:r>
      <w:r>
        <w:rPr>
          <w:color w:val="auto"/>
          <w:spacing w:val="-9"/>
        </w:rPr>
        <w:t>、《山东省消费者权益保护条例》第三十条 经营者以预收款方式提供商品或者服务，应当与消费者明确约定商品或者服务的数量和质量、价款或者费用、履行期限</w:t>
      </w:r>
      <w:r>
        <w:rPr>
          <w:color w:val="auto"/>
        </w:rPr>
        <w:t>和方式、安全注意事项和风险警示、售后服务、民事责任等内容。</w:t>
      </w:r>
    </w:p>
    <w:p>
      <w:pPr>
        <w:pStyle w:val="4"/>
        <w:spacing w:line="391" w:lineRule="auto"/>
        <w:ind w:right="232" w:firstLine="480"/>
        <w:jc w:val="both"/>
        <w:rPr>
          <w:color w:val="auto"/>
        </w:rPr>
      </w:pPr>
      <w:r>
        <w:rPr>
          <w:color w:val="auto"/>
        </w:rPr>
        <w:t>经营者违反规定或者未按照约定提供商品、服务，应当按照消费者的要求继续履行或者退回预付款及其利息，并承担消费者支付的其他合理费用。对退款有约定的， 从其约定；无约定的，按照下列规定执行：</w:t>
      </w:r>
    </w:p>
    <w:p>
      <w:pPr>
        <w:pStyle w:val="4"/>
        <w:spacing w:line="304" w:lineRule="exact"/>
        <w:ind w:left="591"/>
        <w:rPr>
          <w:color w:val="auto"/>
        </w:rPr>
      </w:pPr>
      <w:r>
        <w:rPr>
          <w:color w:val="auto"/>
        </w:rPr>
        <w:t>（一）未消费的，应当全额退还预付款及其利息；</w:t>
      </w:r>
    </w:p>
    <w:p>
      <w:pPr>
        <w:pStyle w:val="4"/>
        <w:spacing w:before="186"/>
        <w:ind w:left="591"/>
        <w:rPr>
          <w:color w:val="auto"/>
        </w:rPr>
      </w:pPr>
      <w:r>
        <w:rPr>
          <w:color w:val="auto"/>
        </w:rPr>
        <w:t>（二）已消费的，应当退还剩余的预付款及其利息；经营者给予折扣、让利的，</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应当按比例折抵消费，并退还剩余的预付款及其利息。</w:t>
      </w:r>
    </w:p>
    <w:p>
      <w:pPr>
        <w:pStyle w:val="4"/>
        <w:spacing w:before="195" w:line="388" w:lineRule="auto"/>
        <w:ind w:right="213" w:firstLine="480"/>
        <w:rPr>
          <w:color w:val="auto"/>
        </w:rPr>
      </w:pPr>
      <w:r>
        <w:rPr>
          <w:color w:val="auto"/>
        </w:rPr>
        <w:t>以预收款方式提供商品或者服务的经营者停业、歇业或者变更经营场所的，应当在经营场所显著位置明示，并提前三十日以电话、短信等方式通知消费者。</w:t>
      </w:r>
    </w:p>
    <w:p>
      <w:pPr>
        <w:spacing w:before="2"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632"/>
        <w:rPr>
          <w:color w:val="auto"/>
        </w:rPr>
      </w:pPr>
      <w:r>
        <w:rPr>
          <w:color w:val="auto"/>
          <w:spacing w:val="-1"/>
        </w:rPr>
        <w:t>第一次发现的，处以一万元以上一万五千元以下的罚款。</w:t>
      </w:r>
      <w:r>
        <w:rPr>
          <w:color w:val="auto"/>
        </w:rPr>
        <w:t>2.【一般】</w:t>
      </w:r>
    </w:p>
    <w:p>
      <w:pPr>
        <w:pStyle w:val="4"/>
        <w:spacing w:before="3" w:line="388" w:lineRule="auto"/>
        <w:ind w:left="591" w:right="2152"/>
        <w:rPr>
          <w:color w:val="auto"/>
        </w:rPr>
      </w:pPr>
      <w:r>
        <w:rPr>
          <w:color w:val="auto"/>
          <w:spacing w:val="-1"/>
        </w:rPr>
        <w:t>第二次发现的，处以一万五千元以上二万五千元以下的罚款。</w:t>
      </w:r>
      <w:r>
        <w:rPr>
          <w:color w:val="auto"/>
        </w:rPr>
        <w:t>3.【严重】</w:t>
      </w:r>
    </w:p>
    <w:p>
      <w:pPr>
        <w:pStyle w:val="4"/>
        <w:spacing w:before="2"/>
        <w:ind w:left="591"/>
        <w:rPr>
          <w:color w:val="auto"/>
        </w:rPr>
      </w:pPr>
      <w:r>
        <w:rPr>
          <w:color w:val="auto"/>
        </w:rPr>
        <w:t>三次以上发现的，处以二万五千元以上三万元以下的罚款。</w:t>
      </w:r>
    </w:p>
    <w:p>
      <w:pPr>
        <w:pStyle w:val="2"/>
        <w:spacing w:before="194" w:line="388" w:lineRule="auto"/>
        <w:ind w:left="111" w:right="240" w:firstLine="480"/>
        <w:rPr>
          <w:color w:val="auto"/>
        </w:rPr>
      </w:pPr>
      <w:bookmarkStart w:id="355" w:name="一百七十三、以预收款方式提供商品或者服务的经营者停业、歇业或者变更经营场所未按规"/>
      <w:bookmarkEnd w:id="355"/>
      <w:bookmarkStart w:id="356" w:name="_bookmark177"/>
      <w:bookmarkEnd w:id="356"/>
      <w:r>
        <w:rPr>
          <w:color w:val="auto"/>
          <w:spacing w:val="-8"/>
        </w:rPr>
        <w:t>一百七十三、以预收款方式提供商品或者服务的经营者停业、歇业或者变更经营场所未按规定提前通知消费者</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9"/>
        </w:rPr>
        <w:t>、《山东省消费者权益保护条例》第七十九条 经营者有下列行为之一的，由工商行政管理部门或者其他有关部门责令改正，并按照下列规定予以处罚：</w:t>
      </w:r>
    </w:p>
    <w:p>
      <w:pPr>
        <w:pStyle w:val="4"/>
        <w:spacing w:before="2" w:line="391" w:lineRule="auto"/>
        <w:ind w:right="268" w:firstLine="480"/>
        <w:jc w:val="both"/>
        <w:rPr>
          <w:color w:val="auto"/>
        </w:rPr>
      </w:pPr>
      <w:r>
        <w:rPr>
          <w:color w:val="auto"/>
        </w:rPr>
        <w:t>（六</w:t>
      </w:r>
      <w:r>
        <w:rPr>
          <w:color w:val="auto"/>
          <w:spacing w:val="-12"/>
        </w:rPr>
        <w:t>）</w:t>
      </w:r>
      <w:r>
        <w:rPr>
          <w:color w:val="auto"/>
          <w:spacing w:val="-3"/>
        </w:rPr>
        <w:t>违反本条例第三十条规定，未按照规定退款的，处一万元以上三万元以下</w:t>
      </w:r>
      <w:r>
        <w:rPr>
          <w:color w:val="auto"/>
          <w:spacing w:val="-7"/>
        </w:rPr>
        <w:t>罚款；停业、歇业或者变更经营场所未按规定提前通知消费者的，处五千元以上一万</w:t>
      </w:r>
      <w:r>
        <w:rPr>
          <w:color w:val="auto"/>
        </w:rPr>
        <w:t>元以下罚款。</w:t>
      </w:r>
    </w:p>
    <w:p>
      <w:pPr>
        <w:pStyle w:val="4"/>
        <w:spacing w:line="391" w:lineRule="auto"/>
        <w:ind w:right="268" w:firstLine="480"/>
        <w:jc w:val="both"/>
        <w:rPr>
          <w:color w:val="auto"/>
        </w:rPr>
      </w:pPr>
      <w:r>
        <w:rPr>
          <w:color w:val="auto"/>
        </w:rPr>
        <w:t>2</w:t>
      </w:r>
      <w:r>
        <w:rPr>
          <w:color w:val="auto"/>
          <w:spacing w:val="-9"/>
        </w:rPr>
        <w:t>、《山东省消费者权益保护条例》第三十条 经营者以预收款方式提供商品或者服务，应当与消费者明确约定商品或者服务的数量和质量、价款或者费用、履行期限</w:t>
      </w:r>
      <w:r>
        <w:rPr>
          <w:color w:val="auto"/>
        </w:rPr>
        <w:t>和方式、安全注意事项和风险警示、售后服务、民事责任等内容。</w:t>
      </w:r>
    </w:p>
    <w:p>
      <w:pPr>
        <w:pStyle w:val="4"/>
        <w:spacing w:line="391" w:lineRule="auto"/>
        <w:ind w:right="232" w:firstLine="480"/>
        <w:jc w:val="both"/>
        <w:rPr>
          <w:color w:val="auto"/>
        </w:rPr>
      </w:pPr>
      <w:r>
        <w:rPr>
          <w:color w:val="auto"/>
        </w:rPr>
        <w:t>经营者违反规定或者未按照约定提供商品、服务，应当按照消费者的要求继续履行或者退回预付款及其利息，并承担消费者支付的其他合理费用。对退款有约定的， 从其约定；无约定的，按照下列规定执行：</w:t>
      </w:r>
    </w:p>
    <w:p>
      <w:pPr>
        <w:pStyle w:val="4"/>
        <w:spacing w:line="304" w:lineRule="exact"/>
        <w:ind w:left="591"/>
        <w:rPr>
          <w:color w:val="auto"/>
        </w:rPr>
      </w:pPr>
      <w:r>
        <w:rPr>
          <w:color w:val="auto"/>
        </w:rPr>
        <w:t>（一）未消费的，应当全额退还预付款及其利息；</w:t>
      </w:r>
    </w:p>
    <w:p>
      <w:pPr>
        <w:pStyle w:val="4"/>
        <w:spacing w:before="187" w:line="388" w:lineRule="auto"/>
        <w:ind w:right="232" w:firstLine="480"/>
        <w:rPr>
          <w:color w:val="auto"/>
        </w:rPr>
      </w:pPr>
      <w:r>
        <w:rPr>
          <w:color w:val="auto"/>
        </w:rPr>
        <w:t>（二）</w:t>
      </w:r>
      <w:r>
        <w:rPr>
          <w:color w:val="auto"/>
          <w:spacing w:val="-1"/>
        </w:rPr>
        <w:t xml:space="preserve">已消费的，应当退还剩余的预付款及其利息；经营者给予折扣、让利的， </w:t>
      </w:r>
      <w:r>
        <w:rPr>
          <w:color w:val="auto"/>
        </w:rPr>
        <w:t>应当按比例折抵消费，并退还剩余的预付款及其利息。</w:t>
      </w:r>
    </w:p>
    <w:p>
      <w:pPr>
        <w:pStyle w:val="4"/>
        <w:spacing w:before="2"/>
        <w:ind w:left="591"/>
        <w:rPr>
          <w:color w:val="auto"/>
        </w:rPr>
      </w:pPr>
      <w:r>
        <w:rPr>
          <w:color w:val="auto"/>
        </w:rPr>
        <w:t>以预收款方式提供商品或者服务的经营者停业、歇业或者变更经营场所的，应当</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在经营场所显著位置明示，并提前三十日以电话、短信等方式通知消费者。</w:t>
      </w:r>
    </w:p>
    <w:p>
      <w:pPr>
        <w:spacing w:before="195"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left="591" w:right="2872"/>
        <w:rPr>
          <w:color w:val="auto"/>
        </w:rPr>
      </w:pPr>
      <w:r>
        <w:rPr>
          <w:color w:val="auto"/>
          <w:spacing w:val="-1"/>
        </w:rPr>
        <w:t>逾期十日以下的，处以五千元以上六千元以下的罚款。</w:t>
      </w:r>
      <w:r>
        <w:rPr>
          <w:color w:val="auto"/>
        </w:rPr>
        <w:t>2.【一般】</w:t>
      </w:r>
    </w:p>
    <w:p>
      <w:pPr>
        <w:pStyle w:val="4"/>
        <w:spacing w:line="388" w:lineRule="auto"/>
        <w:ind w:left="591" w:right="1672"/>
        <w:rPr>
          <w:color w:val="auto"/>
        </w:rPr>
      </w:pPr>
      <w:r>
        <w:rPr>
          <w:color w:val="auto"/>
          <w:spacing w:val="-1"/>
        </w:rPr>
        <w:t>逾期十日以上三十日以下的，处以六千元以上八千元以下的罚款。</w:t>
      </w:r>
      <w:r>
        <w:rPr>
          <w:color w:val="auto"/>
        </w:rPr>
        <w:t>3.【严重】</w:t>
      </w:r>
    </w:p>
    <w:p>
      <w:pPr>
        <w:spacing w:before="3" w:line="388" w:lineRule="auto"/>
        <w:ind w:left="591" w:right="2368" w:firstLine="0"/>
        <w:jc w:val="left"/>
        <w:rPr>
          <w:b/>
          <w:color w:val="auto"/>
          <w:sz w:val="24"/>
        </w:rPr>
      </w:pPr>
      <w:r>
        <w:rPr>
          <w:color w:val="auto"/>
          <w:sz w:val="24"/>
        </w:rPr>
        <w:t>逾期三十日以上的，处以八千元以上一万元以下的罚款。</w:t>
      </w:r>
      <w:bookmarkStart w:id="357" w:name="一百七十四、购进或者销售无厂名、厂址等来源不明的商品"/>
      <w:bookmarkEnd w:id="357"/>
      <w:bookmarkStart w:id="358" w:name="_bookmark178"/>
      <w:bookmarkEnd w:id="358"/>
      <w:r>
        <w:rPr>
          <w:color w:val="auto"/>
          <w:sz w:val="24"/>
        </w:rPr>
        <w:t xml:space="preserve"> </w:t>
      </w:r>
      <w:r>
        <w:rPr>
          <w:b/>
          <w:color w:val="auto"/>
          <w:spacing w:val="-1"/>
          <w:sz w:val="24"/>
        </w:rPr>
        <w:t>一百七十四、购进或者销售无厂名、厂址等来源不明的商品</w:t>
      </w:r>
    </w:p>
    <w:p>
      <w:pPr>
        <w:pStyle w:val="2"/>
        <w:spacing w:before="2"/>
        <w:rPr>
          <w:color w:val="auto"/>
        </w:rPr>
      </w:pPr>
      <w:r>
        <w:rPr>
          <w:color w:val="auto"/>
        </w:rPr>
        <w:t>（一）处罚依据</w:t>
      </w:r>
    </w:p>
    <w:p>
      <w:pPr>
        <w:pStyle w:val="4"/>
        <w:spacing w:before="194" w:line="388" w:lineRule="auto"/>
        <w:ind w:right="232" w:firstLine="480"/>
        <w:jc w:val="both"/>
        <w:rPr>
          <w:color w:val="auto"/>
        </w:rPr>
      </w:pPr>
      <w:r>
        <w:rPr>
          <w:color w:val="auto"/>
        </w:rPr>
        <w:t>1</w:t>
      </w:r>
      <w:r>
        <w:rPr>
          <w:color w:val="auto"/>
          <w:spacing w:val="-10"/>
        </w:rPr>
        <w:t>、《流通领域商品质量监督管理办法》第三十二条 销售者违反本办法第十三条</w:t>
      </w:r>
      <w:r>
        <w:rPr>
          <w:color w:val="auto"/>
          <w:spacing w:val="-11"/>
        </w:rPr>
        <w:t xml:space="preserve">规定的，责令改正，处违法所得三倍以下但不超过三万元的罚款；没有违法所得的， </w:t>
      </w:r>
      <w:r>
        <w:rPr>
          <w:color w:val="auto"/>
        </w:rPr>
        <w:t>处一万元以下的罚款。</w:t>
      </w:r>
    </w:p>
    <w:p>
      <w:pPr>
        <w:pStyle w:val="4"/>
        <w:spacing w:before="5" w:line="388" w:lineRule="auto"/>
        <w:ind w:right="268" w:firstLine="480"/>
        <w:jc w:val="both"/>
        <w:rPr>
          <w:color w:val="auto"/>
        </w:rPr>
      </w:pPr>
      <w:r>
        <w:rPr>
          <w:color w:val="auto"/>
        </w:rPr>
        <w:t>2</w:t>
      </w:r>
      <w:r>
        <w:rPr>
          <w:color w:val="auto"/>
          <w:spacing w:val="-9"/>
        </w:rPr>
        <w:t>、《流通领域商品质量监督管理办法》第十三条 销售者不得购进或者销售无厂名、厂址等来源不明的商品。</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违法所得一万元以下的，处以违法所得一倍以下的罚款；没有违法所得，货值金额一万元以下的，处以三千元以下的罚款。</w:t>
      </w:r>
    </w:p>
    <w:p>
      <w:pPr>
        <w:pStyle w:val="13"/>
        <w:numPr>
          <w:ilvl w:val="0"/>
          <w:numId w:val="98"/>
        </w:numPr>
        <w:tabs>
          <w:tab w:val="left" w:pos="833"/>
        </w:tabs>
        <w:spacing w:before="3" w:after="0" w:line="240" w:lineRule="auto"/>
        <w:ind w:left="832" w:right="0" w:hanging="242"/>
        <w:jc w:val="left"/>
        <w:rPr>
          <w:color w:val="auto"/>
          <w:sz w:val="24"/>
        </w:rPr>
      </w:pPr>
      <w:r>
        <w:rPr>
          <w:color w:val="auto"/>
          <w:sz w:val="24"/>
        </w:rPr>
        <w:t>【一般】</w:t>
      </w:r>
    </w:p>
    <w:p>
      <w:pPr>
        <w:pStyle w:val="4"/>
        <w:spacing w:before="192" w:line="391" w:lineRule="auto"/>
        <w:ind w:right="268" w:firstLine="480"/>
        <w:jc w:val="both"/>
        <w:rPr>
          <w:color w:val="auto"/>
        </w:rPr>
      </w:pPr>
      <w:r>
        <w:rPr>
          <w:color w:val="auto"/>
          <w:spacing w:val="-4"/>
        </w:rPr>
        <w:t>违法所得一万元以上三万元以下的，处以违法所得一倍以上二倍以下但不超过三</w:t>
      </w:r>
      <w:r>
        <w:rPr>
          <w:color w:val="auto"/>
          <w:spacing w:val="-5"/>
        </w:rPr>
        <w:t>万元的罚款；没有违法所得，货值金额一万元以上五万元以下的，处以三千元以上七</w:t>
      </w:r>
      <w:r>
        <w:rPr>
          <w:color w:val="auto"/>
        </w:rPr>
        <w:t>千元以下的罚款。</w:t>
      </w:r>
    </w:p>
    <w:p>
      <w:pPr>
        <w:pStyle w:val="13"/>
        <w:numPr>
          <w:ilvl w:val="0"/>
          <w:numId w:val="98"/>
        </w:numPr>
        <w:tabs>
          <w:tab w:val="left" w:pos="833"/>
        </w:tabs>
        <w:spacing w:before="0" w:after="0" w:line="304"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违法所得三万元以上的，处以三万元的罚款；没有违法所得，货值金额五万元以上的，处以七千元以上一万元以下的罚款。</w:t>
      </w:r>
    </w:p>
    <w:p>
      <w:pPr>
        <w:pStyle w:val="2"/>
        <w:spacing w:line="388" w:lineRule="auto"/>
        <w:ind w:left="111" w:right="170" w:firstLine="480"/>
        <w:rPr>
          <w:color w:val="auto"/>
        </w:rPr>
      </w:pPr>
      <w:bookmarkStart w:id="359" w:name="_bookmark179"/>
      <w:bookmarkEnd w:id="359"/>
      <w:bookmarkStart w:id="360" w:name="一百七十五、商品经营柜台出租者、商品展销会举办者、网络交易平台提供者、广播电视购"/>
      <w:bookmarkEnd w:id="360"/>
      <w:r>
        <w:rPr>
          <w:color w:val="auto"/>
        </w:rPr>
        <w:t>一百七十五、商品经营柜台出租者、商品展销会举办者、网络交易平台提供者、广播电视购物平台经营者对申请进入其经营场所或者平台销售商品的经营者的主体</w:t>
      </w:r>
    </w:p>
    <w:p>
      <w:pPr>
        <w:spacing w:after="0" w:line="388" w:lineRule="auto"/>
        <w:rPr>
          <w:color w:val="auto"/>
        </w:rPr>
        <w:sectPr>
          <w:pgSz w:w="11910" w:h="16840"/>
          <w:pgMar w:top="1520" w:right="1260" w:bottom="1220" w:left="1420" w:header="0" w:footer="1034" w:gutter="0"/>
        </w:sectPr>
      </w:pPr>
    </w:p>
    <w:p>
      <w:pPr>
        <w:spacing w:before="39" w:line="391" w:lineRule="auto"/>
        <w:ind w:left="111" w:right="235" w:firstLine="0"/>
        <w:jc w:val="left"/>
        <w:rPr>
          <w:b/>
          <w:color w:val="auto"/>
          <w:sz w:val="24"/>
        </w:rPr>
      </w:pPr>
      <w:r>
        <w:rPr>
          <w:b/>
          <w:color w:val="auto"/>
          <w:w w:val="95"/>
          <w:sz w:val="24"/>
        </w:rPr>
        <w:t xml:space="preserve">资格未履行审查登记义务，或者拒绝协助工商行政管理部门对涉嫌违法行为采取措  </w:t>
      </w:r>
      <w:r>
        <w:rPr>
          <w:b/>
          <w:color w:val="auto"/>
          <w:sz w:val="24"/>
        </w:rPr>
        <w:t>施、开展调查</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《流通领域商品质量监督管理办法》第三十三条 商品经营柜台出租者、商品展</w:t>
      </w:r>
      <w:r>
        <w:rPr>
          <w:color w:val="auto"/>
          <w:spacing w:val="-6"/>
        </w:rPr>
        <w:t>销会举办者、网络交易平台提供者、广播电视购物平台经营者对申请进入其经营场所</w:t>
      </w:r>
      <w:r>
        <w:rPr>
          <w:color w:val="auto"/>
          <w:spacing w:val="-3"/>
        </w:rPr>
        <w:t>或者平台销售商品的经营者的主体资格未履行审查登记义务，或者拒绝协助工商行政</w:t>
      </w:r>
      <w:r>
        <w:rPr>
          <w:color w:val="auto"/>
          <w:spacing w:val="-5"/>
        </w:rPr>
        <w:t>管理部门对涉嫌违法行为采取措施、开展调查的，责令改正；拒不改正的，处一万元</w:t>
      </w:r>
      <w:r>
        <w:rPr>
          <w:color w:val="auto"/>
        </w:rPr>
        <w:t>以上三万元以下的罚款。</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152"/>
        <w:rPr>
          <w:color w:val="auto"/>
        </w:rPr>
      </w:pPr>
      <w:r>
        <w:rPr>
          <w:color w:val="auto"/>
          <w:spacing w:val="-1"/>
        </w:rPr>
        <w:t>第一次拒不改正的，处以一万元以上一万五千元以下的罚款。</w:t>
      </w:r>
      <w:r>
        <w:rPr>
          <w:color w:val="auto"/>
        </w:rPr>
        <w:t>2.【一般】</w:t>
      </w:r>
    </w:p>
    <w:p>
      <w:pPr>
        <w:pStyle w:val="4"/>
        <w:spacing w:before="1" w:line="391" w:lineRule="auto"/>
        <w:ind w:left="591" w:right="1672"/>
        <w:rPr>
          <w:color w:val="auto"/>
        </w:rPr>
      </w:pPr>
      <w:r>
        <w:rPr>
          <w:color w:val="auto"/>
          <w:spacing w:val="-1"/>
        </w:rPr>
        <w:t>第二次拒不改正的，处以一万五千元以上两万五千元以下的罚款。</w:t>
      </w:r>
      <w:r>
        <w:rPr>
          <w:color w:val="auto"/>
        </w:rPr>
        <w:t>3.【严重】</w:t>
      </w:r>
    </w:p>
    <w:p>
      <w:pPr>
        <w:pStyle w:val="4"/>
        <w:spacing w:line="306" w:lineRule="exact"/>
        <w:ind w:left="591"/>
        <w:rPr>
          <w:color w:val="auto"/>
        </w:rPr>
      </w:pPr>
      <w:r>
        <w:rPr>
          <w:color w:val="auto"/>
        </w:rPr>
        <w:t>三次以上拒不改正的，处以两万五千元以上三万元以下的罚款。</w:t>
      </w:r>
    </w:p>
    <w:p>
      <w:pPr>
        <w:pStyle w:val="2"/>
        <w:spacing w:before="192" w:line="391" w:lineRule="auto"/>
        <w:ind w:left="111" w:right="235" w:firstLine="480"/>
        <w:jc w:val="both"/>
        <w:rPr>
          <w:color w:val="auto"/>
        </w:rPr>
      </w:pPr>
      <w:bookmarkStart w:id="361" w:name="_bookmark180"/>
      <w:bookmarkEnd w:id="361"/>
      <w:bookmarkStart w:id="362" w:name="一百七十六、经营者向消费者提供商品或者服务使用格式条款、通知、声明、店堂告示等的"/>
      <w:bookmarkEnd w:id="362"/>
      <w:r>
        <w:rPr>
          <w:color w:val="auto"/>
          <w:spacing w:val="-6"/>
        </w:rPr>
        <w:t>一百七十六、经营者向消费者提供商品或者服务使用格式条款、通知、声明、店</w:t>
      </w:r>
      <w:r>
        <w:rPr>
          <w:color w:val="auto"/>
          <w:spacing w:val="-11"/>
        </w:rPr>
        <w:t>堂告示等的，含有免除或者部分免除经营者对其所提供的商品或者服务应当承担的修</w:t>
      </w:r>
      <w:r>
        <w:rPr>
          <w:color w:val="auto"/>
          <w:spacing w:val="-10"/>
        </w:rPr>
        <w:t>理、重作、更换、退货、补足商品数量、退还货款和服务费用、赔偿损失等责任的内容</w:t>
      </w:r>
    </w:p>
    <w:p>
      <w:pPr>
        <w:spacing w:before="0" w:line="304"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、《侵害消费者权益行为处罚办法》第十五条 经营者违反本办法第十二条、第十三条规定，其他法律、法规有规定的，依照法律、法规的规定执行；法律、法规未</w:t>
      </w:r>
      <w:r>
        <w:rPr>
          <w:color w:val="auto"/>
          <w:spacing w:val="-6"/>
        </w:rPr>
        <w:t>作规定的，由工商行政管理部门责令改正，可以单处或者并处警告，违法所得三倍以</w:t>
      </w:r>
      <w:r>
        <w:rPr>
          <w:color w:val="auto"/>
        </w:rPr>
        <w:t>下、但最高不超过三万元的罚款，没有违法所得的，处以一万元以下的罚款。</w:t>
      </w:r>
    </w:p>
    <w:p>
      <w:pPr>
        <w:pStyle w:val="4"/>
        <w:spacing w:line="391" w:lineRule="auto"/>
        <w:ind w:right="268" w:firstLine="480"/>
        <w:jc w:val="both"/>
        <w:rPr>
          <w:color w:val="auto"/>
        </w:rPr>
      </w:pPr>
      <w:r>
        <w:rPr>
          <w:color w:val="auto"/>
        </w:rPr>
        <w:t>2</w:t>
      </w:r>
      <w:r>
        <w:rPr>
          <w:color w:val="auto"/>
          <w:spacing w:val="-9"/>
        </w:rPr>
        <w:t>、《侵害消费者权益行为处罚办法》第十二条 经营者向消费者提供商品或者服</w:t>
      </w:r>
      <w:r>
        <w:rPr>
          <w:color w:val="auto"/>
          <w:spacing w:val="-11"/>
        </w:rPr>
        <w:t>务使用格式条款、通知、声明、店堂告示等的，应当以显著方式提请消费者注意与消</w:t>
      </w:r>
      <w:r>
        <w:rPr>
          <w:color w:val="auto"/>
          <w:spacing w:val="-4"/>
        </w:rPr>
        <w:t>费者有重大利害关系的内容，并按照消费者的要求予以说明，不得作出含有下列内容</w:t>
      </w:r>
      <w:r>
        <w:rPr>
          <w:color w:val="auto"/>
        </w:rPr>
        <w:t>的规定：</w:t>
      </w:r>
    </w:p>
    <w:p>
      <w:pPr>
        <w:spacing w:after="0" w:line="391" w:lineRule="auto"/>
        <w:jc w:val="both"/>
        <w:rPr>
          <w:color w:val="auto"/>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（一）免除或者部分免除经营者对其所提供的商品或者服务应当承担的修理、重作、更换、退货、补足商品数量、退还货款和服务费用、赔偿损失等责任。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before="3" w:line="388" w:lineRule="auto"/>
        <w:ind w:right="148" w:firstLine="480"/>
        <w:rPr>
          <w:color w:val="auto"/>
        </w:rPr>
      </w:pPr>
      <w:r>
        <w:rPr>
          <w:color w:val="auto"/>
          <w:spacing w:val="-14"/>
        </w:rPr>
        <w:t xml:space="preserve">第一次发现的，给予警告，并处违法所得一倍以下、但最高不超过三万元的罚款； </w:t>
      </w:r>
      <w:r>
        <w:rPr>
          <w:color w:val="auto"/>
        </w:rPr>
        <w:t>没有违法所得的，给予警告，处以三千元以下的罚款。</w:t>
      </w:r>
    </w:p>
    <w:p>
      <w:pPr>
        <w:pStyle w:val="13"/>
        <w:numPr>
          <w:ilvl w:val="0"/>
          <w:numId w:val="99"/>
        </w:numPr>
        <w:tabs>
          <w:tab w:val="left" w:pos="833"/>
        </w:tabs>
        <w:spacing w:before="2"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第二次发现的，给予警告，并处违法所得一倍以上两倍以下、但最高不超过三万元的罚款；没有违法所得的，给予警告，处以三千元以上七千元以下的罚款。</w:t>
      </w:r>
    </w:p>
    <w:p>
      <w:pPr>
        <w:pStyle w:val="13"/>
        <w:numPr>
          <w:ilvl w:val="0"/>
          <w:numId w:val="99"/>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发现三次以上的，给予警告，并处违法所得两倍以上三倍以下、但最高不超过三万元的罚款；没有违法所得的，给予警告，处以七千元以上一万元以下的罚款。</w:t>
      </w:r>
    </w:p>
    <w:p>
      <w:pPr>
        <w:pStyle w:val="2"/>
        <w:spacing w:before="2" w:line="391" w:lineRule="auto"/>
        <w:ind w:left="111" w:right="237" w:firstLine="480"/>
        <w:jc w:val="both"/>
        <w:rPr>
          <w:color w:val="auto"/>
        </w:rPr>
      </w:pPr>
      <w:bookmarkStart w:id="363" w:name="_bookmark181"/>
      <w:bookmarkEnd w:id="363"/>
      <w:bookmarkStart w:id="364" w:name="一百七十七、经营者向消费者提供商品或者服务使用格式条款、通知、声明、店堂告示等的"/>
      <w:bookmarkEnd w:id="364"/>
      <w:r>
        <w:rPr>
          <w:color w:val="auto"/>
          <w:spacing w:val="-6"/>
        </w:rPr>
        <w:t>一百七十七、经营者向消费者提供商品或者服务使用格式条款、通知、声明、店</w:t>
      </w:r>
      <w:r>
        <w:rPr>
          <w:color w:val="auto"/>
          <w:spacing w:val="-10"/>
        </w:rPr>
        <w:t>堂告示等的，含有排除或者限制消费者提出修理、更换、退货、赔偿损失以及获得违约金和其他合理赔偿的权利的内容</w:t>
      </w:r>
    </w:p>
    <w:p>
      <w:pPr>
        <w:spacing w:before="0" w:line="304" w:lineRule="exact"/>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rPr>
        <w:t>1</w:t>
      </w:r>
      <w:r>
        <w:rPr>
          <w:color w:val="auto"/>
          <w:spacing w:val="-9"/>
        </w:rPr>
        <w:t>、《侵害消费者权益行为处罚办法》第十五条 经营者违反本办法第十二条、第十三条规定，其他法律、法规有规定的，依照法律、法规的规定执行；法律、法规未</w:t>
      </w:r>
      <w:r>
        <w:rPr>
          <w:color w:val="auto"/>
          <w:spacing w:val="-6"/>
        </w:rPr>
        <w:t>作规定的，由工商行政管理部门责令改正，可以单处或者并处警告，违法所得三倍以</w:t>
      </w:r>
      <w:r>
        <w:rPr>
          <w:color w:val="auto"/>
        </w:rPr>
        <w:t>下、但最高不超过三万元的罚款，没有违法所得的，处以一万元以下的罚款。</w:t>
      </w:r>
    </w:p>
    <w:p>
      <w:pPr>
        <w:pStyle w:val="4"/>
        <w:spacing w:line="391" w:lineRule="auto"/>
        <w:ind w:right="268" w:firstLine="480"/>
        <w:jc w:val="both"/>
        <w:rPr>
          <w:color w:val="auto"/>
        </w:rPr>
      </w:pPr>
      <w:r>
        <w:rPr>
          <w:color w:val="auto"/>
        </w:rPr>
        <w:t>2</w:t>
      </w:r>
      <w:r>
        <w:rPr>
          <w:color w:val="auto"/>
          <w:spacing w:val="-9"/>
        </w:rPr>
        <w:t>、《侵害消费者权益行为处罚办法》第十二条 经营者向消费者提供商品或者服</w:t>
      </w:r>
      <w:r>
        <w:rPr>
          <w:color w:val="auto"/>
          <w:spacing w:val="-11"/>
        </w:rPr>
        <w:t>务使用格式条款、通知、声明、店堂告示等的，应当以显著方式提请消费者注意与消</w:t>
      </w:r>
      <w:r>
        <w:rPr>
          <w:color w:val="auto"/>
          <w:spacing w:val="-4"/>
        </w:rPr>
        <w:t>费者有重大利害关系的内容，并按照消费者的要求予以说明，不得作出含有下列内容</w:t>
      </w:r>
      <w:r>
        <w:rPr>
          <w:color w:val="auto"/>
        </w:rPr>
        <w:t>的规定：</w:t>
      </w:r>
    </w:p>
    <w:p>
      <w:pPr>
        <w:pStyle w:val="4"/>
        <w:spacing w:line="391" w:lineRule="auto"/>
        <w:ind w:right="213" w:firstLine="480"/>
        <w:rPr>
          <w:color w:val="auto"/>
        </w:rPr>
      </w:pPr>
      <w:r>
        <w:rPr>
          <w:color w:val="auto"/>
        </w:rPr>
        <w:t>（二）排除或者限制消费者提出修理、更换、退货、赔偿损失以及获得违约金和其他合理赔偿的权利。</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4"/>
        <w:spacing w:before="39" w:line="391" w:lineRule="auto"/>
        <w:ind w:right="148" w:firstLine="480"/>
        <w:rPr>
          <w:color w:val="auto"/>
        </w:rPr>
      </w:pPr>
      <w:r>
        <w:rPr>
          <w:color w:val="auto"/>
          <w:spacing w:val="-14"/>
        </w:rPr>
        <w:t xml:space="preserve">第一次发现的，给予警告，并处违法所得一倍以下、但最高不超过三万元的罚款； </w:t>
      </w:r>
      <w:r>
        <w:rPr>
          <w:color w:val="auto"/>
        </w:rPr>
        <w:t>没有违法所得的，给予警告，处以三千元以下的罚款。</w:t>
      </w:r>
    </w:p>
    <w:p>
      <w:pPr>
        <w:pStyle w:val="13"/>
        <w:numPr>
          <w:ilvl w:val="0"/>
          <w:numId w:val="100"/>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13" w:firstLine="480"/>
        <w:rPr>
          <w:color w:val="auto"/>
        </w:rPr>
      </w:pPr>
      <w:r>
        <w:rPr>
          <w:color w:val="auto"/>
        </w:rPr>
        <w:t>第二次发现的，给予警告，并处违法所得一倍以上两倍以下、但最高不超过三万元的罚款；没有违法所得的，给予警告，处以三千元以上七千元以下的罚款。</w:t>
      </w:r>
    </w:p>
    <w:p>
      <w:pPr>
        <w:pStyle w:val="13"/>
        <w:numPr>
          <w:ilvl w:val="0"/>
          <w:numId w:val="100"/>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68" w:firstLine="480"/>
        <w:rPr>
          <w:color w:val="auto"/>
        </w:rPr>
      </w:pPr>
      <w:r>
        <w:rPr>
          <w:color w:val="auto"/>
          <w:spacing w:val="-5"/>
        </w:rPr>
        <w:t>发现三次以上的，给予警告，并处违法所得两倍以上三倍以下、但最高不超过三</w:t>
      </w:r>
      <w:r>
        <w:rPr>
          <w:color w:val="auto"/>
        </w:rPr>
        <w:t>万元的罚款；没有违法所得的，给予警告，处以七千元以上一万元以下的罚款。</w:t>
      </w:r>
    </w:p>
    <w:p>
      <w:pPr>
        <w:pStyle w:val="2"/>
        <w:spacing w:line="388" w:lineRule="auto"/>
        <w:ind w:left="111" w:right="237" w:firstLine="480"/>
        <w:rPr>
          <w:color w:val="auto"/>
        </w:rPr>
      </w:pPr>
      <w:bookmarkStart w:id="365" w:name="_bookmark182"/>
      <w:bookmarkEnd w:id="365"/>
      <w:bookmarkStart w:id="366" w:name="一百七十八、经营者向消费者提供商品或者服务使用格式条款、通知、声明、店堂告示等的"/>
      <w:bookmarkEnd w:id="366"/>
      <w:r>
        <w:rPr>
          <w:color w:val="auto"/>
          <w:spacing w:val="-6"/>
        </w:rPr>
        <w:t>一百七十八、经营者向消费者提供商品或者服务使用格式条款、通知、声明、店堂告示等的，含有排除或者限制消费者依法投诉、举报、提起诉讼的权利的内容</w:t>
      </w:r>
    </w:p>
    <w:p>
      <w:pPr>
        <w:spacing w:before="3"/>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1</w:t>
      </w:r>
      <w:r>
        <w:rPr>
          <w:color w:val="auto"/>
          <w:spacing w:val="-9"/>
        </w:rPr>
        <w:t>、《侵害消费者权益行为处罚办法》第十五条 经营者违反本办法第十二条、第十三条规定，其他法律、法规有规定的，依照法律、法规的规定执行；法律、法规未</w:t>
      </w:r>
      <w:r>
        <w:rPr>
          <w:color w:val="auto"/>
          <w:spacing w:val="-6"/>
        </w:rPr>
        <w:t>作规定的，由工商行政管理部门责令改正，可以单处或者并处警告，违法所得三倍以</w:t>
      </w:r>
      <w:r>
        <w:rPr>
          <w:color w:val="auto"/>
        </w:rPr>
        <w:t>下、但最高不超过三万元的罚款，没有违法所得的，处以一万元以下的罚款。</w:t>
      </w:r>
    </w:p>
    <w:p>
      <w:pPr>
        <w:pStyle w:val="4"/>
        <w:spacing w:line="391" w:lineRule="auto"/>
        <w:ind w:right="268" w:firstLine="480"/>
        <w:jc w:val="both"/>
        <w:rPr>
          <w:color w:val="auto"/>
        </w:rPr>
      </w:pPr>
      <w:r>
        <w:rPr>
          <w:color w:val="auto"/>
        </w:rPr>
        <w:t>2</w:t>
      </w:r>
      <w:r>
        <w:rPr>
          <w:color w:val="auto"/>
          <w:spacing w:val="-9"/>
        </w:rPr>
        <w:t>、《侵害消费者权益行为处罚办法》第十二条 经营者向消费者提供商品或者服</w:t>
      </w:r>
      <w:r>
        <w:rPr>
          <w:color w:val="auto"/>
          <w:spacing w:val="-11"/>
        </w:rPr>
        <w:t>务使用格式条款、通知、声明、店堂告示等的，应当以显著方式提请消费者注意与消</w:t>
      </w:r>
      <w:r>
        <w:rPr>
          <w:color w:val="auto"/>
          <w:spacing w:val="-4"/>
        </w:rPr>
        <w:t>费者有重大利害关系的内容，并按照消费者的要求予以说明，不得作出含有下列内容</w:t>
      </w:r>
      <w:r>
        <w:rPr>
          <w:color w:val="auto"/>
        </w:rPr>
        <w:t>的规定：</w:t>
      </w:r>
    </w:p>
    <w:p>
      <w:pPr>
        <w:pStyle w:val="4"/>
        <w:spacing w:line="304" w:lineRule="exact"/>
        <w:ind w:left="591"/>
        <w:rPr>
          <w:color w:val="auto"/>
        </w:rPr>
      </w:pPr>
      <w:r>
        <w:rPr>
          <w:color w:val="auto"/>
        </w:rPr>
        <w:t>（三）排除或者限制消费者依法投诉、举报、提起诉讼的权利。</w:t>
      </w:r>
    </w:p>
    <w:p>
      <w:pPr>
        <w:spacing w:before="186" w:line="388" w:lineRule="auto"/>
        <w:ind w:left="591" w:right="6948" w:firstLine="0"/>
        <w:jc w:val="left"/>
        <w:rPr>
          <w:color w:val="auto"/>
          <w:sz w:val="24"/>
        </w:rPr>
      </w:pPr>
      <w:r>
        <w:rPr>
          <w:b/>
          <w:color w:val="auto"/>
          <w:sz w:val="24"/>
        </w:rPr>
        <w:t>（二）裁量标准</w:t>
      </w:r>
      <w:r>
        <w:rPr>
          <w:color w:val="auto"/>
          <w:sz w:val="24"/>
        </w:rPr>
        <w:t>1.【较轻】</w:t>
      </w:r>
    </w:p>
    <w:p>
      <w:pPr>
        <w:pStyle w:val="4"/>
        <w:spacing w:before="5" w:line="388" w:lineRule="auto"/>
        <w:ind w:right="148" w:firstLine="480"/>
        <w:rPr>
          <w:color w:val="auto"/>
        </w:rPr>
      </w:pPr>
      <w:r>
        <w:rPr>
          <w:color w:val="auto"/>
          <w:spacing w:val="-14"/>
        </w:rPr>
        <w:t xml:space="preserve">第一次发现的，给予警告，并处违法所得一倍以下、但最高不超过三万元的罚款； </w:t>
      </w:r>
      <w:r>
        <w:rPr>
          <w:color w:val="auto"/>
        </w:rPr>
        <w:t>没有违法所得的，给予警告，处以三千元以下的罚款。</w:t>
      </w:r>
    </w:p>
    <w:p>
      <w:pPr>
        <w:pStyle w:val="13"/>
        <w:numPr>
          <w:ilvl w:val="0"/>
          <w:numId w:val="101"/>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213" w:firstLine="480"/>
        <w:rPr>
          <w:color w:val="auto"/>
        </w:rPr>
      </w:pPr>
      <w:r>
        <w:rPr>
          <w:color w:val="auto"/>
        </w:rPr>
        <w:t>第二次发现的，给予警告，并处违法所得一倍以上两倍以下、但最高不超过三万元的罚款；没有违法所得的，给予警告，处以三千元以上七千元以下的罚款。</w:t>
      </w:r>
    </w:p>
    <w:p>
      <w:pPr>
        <w:pStyle w:val="13"/>
        <w:numPr>
          <w:ilvl w:val="0"/>
          <w:numId w:val="101"/>
        </w:numPr>
        <w:tabs>
          <w:tab w:val="left" w:pos="833"/>
        </w:tabs>
        <w:spacing w:before="2" w:after="0" w:line="240" w:lineRule="auto"/>
        <w:ind w:left="832" w:right="0" w:hanging="242"/>
        <w:jc w:val="left"/>
        <w:rPr>
          <w:color w:val="auto"/>
          <w:sz w:val="24"/>
        </w:rPr>
      </w:pPr>
      <w:r>
        <w:rPr>
          <w:color w:val="auto"/>
          <w:sz w:val="24"/>
        </w:rPr>
        <w:t>【严重】</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发现三次以上的，给予警告，并处违法所得两倍以上三倍以下、但最高不超过三万元的罚款；没有违法所得的，给予警告，处以七千元以上一万元以下的罚款。</w:t>
      </w:r>
    </w:p>
    <w:p>
      <w:pPr>
        <w:pStyle w:val="2"/>
        <w:spacing w:line="391" w:lineRule="auto"/>
        <w:ind w:left="111" w:right="165" w:firstLine="480"/>
        <w:jc w:val="both"/>
        <w:rPr>
          <w:color w:val="auto"/>
        </w:rPr>
      </w:pPr>
      <w:bookmarkStart w:id="367" w:name="一百七十九、经营者向消费者提供商品或者服务使用格式条款、通知、声明、店堂告示等的"/>
      <w:bookmarkEnd w:id="367"/>
      <w:bookmarkStart w:id="368" w:name="_bookmark183"/>
      <w:bookmarkEnd w:id="368"/>
      <w:r>
        <w:rPr>
          <w:color w:val="auto"/>
          <w:spacing w:val="-6"/>
        </w:rPr>
        <w:t>一百七十九、经营者向消费者提供商品或者服务使用格式条款、通知、声明、店</w:t>
      </w:r>
      <w:r>
        <w:rPr>
          <w:color w:val="auto"/>
          <w:spacing w:val="-11"/>
        </w:rPr>
        <w:t>堂告示等的，含有强制或者变相强制消费者购买和使用其提供的或者其指定的经营者提供的商品或者服务，对不接受其不合理条件的消费者拒绝提供相应商品或者服务， 或者提高收费标准的内容</w:t>
      </w:r>
    </w:p>
    <w:p>
      <w:pPr>
        <w:spacing w:before="0" w:line="302" w:lineRule="exact"/>
        <w:ind w:left="591" w:right="0" w:firstLine="0"/>
        <w:jc w:val="left"/>
        <w:rPr>
          <w:b/>
          <w:color w:val="auto"/>
          <w:sz w:val="24"/>
        </w:rPr>
      </w:pPr>
      <w:r>
        <w:rPr>
          <w:b/>
          <w:color w:val="auto"/>
          <w:sz w:val="24"/>
        </w:rPr>
        <w:t>（一）处罚依据</w:t>
      </w:r>
    </w:p>
    <w:p>
      <w:pPr>
        <w:pStyle w:val="4"/>
        <w:spacing w:before="193" w:line="391" w:lineRule="auto"/>
        <w:ind w:right="268" w:firstLine="480"/>
        <w:jc w:val="both"/>
        <w:rPr>
          <w:color w:val="auto"/>
        </w:rPr>
      </w:pPr>
      <w:r>
        <w:rPr>
          <w:color w:val="auto"/>
        </w:rPr>
        <w:t>1</w:t>
      </w:r>
      <w:r>
        <w:rPr>
          <w:color w:val="auto"/>
          <w:spacing w:val="-9"/>
        </w:rPr>
        <w:t>、《侵害消费者权益行为处罚办法》第十五条 经营者违反本办法第十二条、第十三条规定，其他法律、法规有规定的，依照法律、法规的规定执行；法律、法规未</w:t>
      </w:r>
      <w:r>
        <w:rPr>
          <w:color w:val="auto"/>
          <w:spacing w:val="-6"/>
        </w:rPr>
        <w:t>作规定的，由工商行政管理部门责令改正，可以单处或者并处警告，违法所得三倍以</w:t>
      </w:r>
      <w:r>
        <w:rPr>
          <w:color w:val="auto"/>
        </w:rPr>
        <w:t>下、但最高不超过三万元的罚款，没有违法所得的，处以一万元以下的罚款。</w:t>
      </w:r>
    </w:p>
    <w:p>
      <w:pPr>
        <w:pStyle w:val="4"/>
        <w:spacing w:line="391" w:lineRule="auto"/>
        <w:ind w:right="268" w:firstLine="480"/>
        <w:jc w:val="both"/>
        <w:rPr>
          <w:color w:val="auto"/>
        </w:rPr>
      </w:pPr>
      <w:r>
        <w:rPr>
          <w:color w:val="auto"/>
        </w:rPr>
        <w:t>2</w:t>
      </w:r>
      <w:r>
        <w:rPr>
          <w:color w:val="auto"/>
          <w:spacing w:val="-9"/>
        </w:rPr>
        <w:t>、《侵害消费者权益行为处罚办法》第十二条 经营者向消费者提供商品或者服</w:t>
      </w:r>
      <w:r>
        <w:rPr>
          <w:color w:val="auto"/>
          <w:spacing w:val="-11"/>
        </w:rPr>
        <w:t>务使用格式条款、通知、声明、店堂告示等的，应当以显著方式提请消费者注意与消</w:t>
      </w:r>
      <w:r>
        <w:rPr>
          <w:color w:val="auto"/>
          <w:spacing w:val="-4"/>
        </w:rPr>
        <w:t>费者有重大利害关系的内容，并按照消费者的要求予以说明，不得作出含有下列内容</w:t>
      </w:r>
      <w:r>
        <w:rPr>
          <w:color w:val="auto"/>
        </w:rPr>
        <w:t>的规定：</w:t>
      </w:r>
    </w:p>
    <w:p>
      <w:pPr>
        <w:pStyle w:val="4"/>
        <w:spacing w:line="391" w:lineRule="auto"/>
        <w:ind w:right="268" w:firstLine="480"/>
        <w:jc w:val="both"/>
        <w:rPr>
          <w:color w:val="auto"/>
        </w:rPr>
      </w:pPr>
      <w:r>
        <w:rPr>
          <w:color w:val="auto"/>
        </w:rPr>
        <w:t>（四</w:t>
      </w:r>
      <w:r>
        <w:rPr>
          <w:color w:val="auto"/>
          <w:spacing w:val="-36"/>
        </w:rPr>
        <w:t>）</w:t>
      </w:r>
      <w:r>
        <w:rPr>
          <w:color w:val="auto"/>
          <w:spacing w:val="-1"/>
        </w:rPr>
        <w:t>强制或者变相强制消费者购买和使用其提供的或者其指定的经营者提供的</w:t>
      </w:r>
      <w:r>
        <w:rPr>
          <w:color w:val="auto"/>
          <w:spacing w:val="-5"/>
        </w:rPr>
        <w:t>商品或者服务，对不接受其不合理条件的消费者拒绝提供相应商品或者服务，或者提</w:t>
      </w:r>
      <w:r>
        <w:rPr>
          <w:color w:val="auto"/>
        </w:rPr>
        <w:t>高收费标准。</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148" w:firstLine="480"/>
        <w:rPr>
          <w:color w:val="auto"/>
        </w:rPr>
      </w:pPr>
      <w:r>
        <w:rPr>
          <w:color w:val="auto"/>
          <w:spacing w:val="-14"/>
        </w:rPr>
        <w:t xml:space="preserve">第一次发现的，给予警告，并处违法所得一倍以下、但最高不超过三万元的罚款； </w:t>
      </w:r>
      <w:r>
        <w:rPr>
          <w:color w:val="auto"/>
        </w:rPr>
        <w:t>没有违法所得的，给予警告，处以三千元以下的罚款。</w:t>
      </w:r>
    </w:p>
    <w:p>
      <w:pPr>
        <w:pStyle w:val="13"/>
        <w:numPr>
          <w:ilvl w:val="0"/>
          <w:numId w:val="102"/>
        </w:numPr>
        <w:tabs>
          <w:tab w:val="left" w:pos="833"/>
        </w:tabs>
        <w:spacing w:before="0" w:after="0" w:line="240" w:lineRule="auto"/>
        <w:ind w:left="832" w:right="0" w:hanging="242"/>
        <w:jc w:val="left"/>
        <w:rPr>
          <w:color w:val="auto"/>
          <w:sz w:val="24"/>
        </w:rPr>
      </w:pPr>
      <w:r>
        <w:rPr>
          <w:color w:val="auto"/>
          <w:sz w:val="24"/>
        </w:rPr>
        <w:t>【一般】</w:t>
      </w:r>
    </w:p>
    <w:p>
      <w:pPr>
        <w:pStyle w:val="4"/>
        <w:spacing w:before="179" w:line="388" w:lineRule="auto"/>
        <w:ind w:right="213" w:firstLine="480"/>
        <w:rPr>
          <w:color w:val="auto"/>
        </w:rPr>
      </w:pPr>
      <w:r>
        <w:rPr>
          <w:color w:val="auto"/>
        </w:rPr>
        <w:t>第二次发现的，给予警告，并处违法所得一倍以上两倍以下、但最高不超过三万元的罚款；没有违法所得的，给予警告，处以三千元以上七千元以下的罚款。</w:t>
      </w:r>
    </w:p>
    <w:p>
      <w:pPr>
        <w:pStyle w:val="13"/>
        <w:numPr>
          <w:ilvl w:val="0"/>
          <w:numId w:val="102"/>
        </w:numPr>
        <w:tabs>
          <w:tab w:val="left" w:pos="833"/>
        </w:tabs>
        <w:spacing w:before="5" w:after="0" w:line="240" w:lineRule="auto"/>
        <w:ind w:left="832" w:right="0" w:hanging="242"/>
        <w:jc w:val="left"/>
        <w:rPr>
          <w:color w:val="auto"/>
          <w:sz w:val="24"/>
        </w:rPr>
      </w:pPr>
      <w:r>
        <w:rPr>
          <w:color w:val="auto"/>
          <w:sz w:val="24"/>
        </w:rPr>
        <w:t>【严重】</w:t>
      </w:r>
    </w:p>
    <w:p>
      <w:pPr>
        <w:pStyle w:val="4"/>
        <w:spacing w:before="192" w:line="388" w:lineRule="auto"/>
        <w:ind w:right="213" w:firstLine="480"/>
        <w:rPr>
          <w:color w:val="auto"/>
        </w:rPr>
      </w:pPr>
      <w:r>
        <w:rPr>
          <w:color w:val="auto"/>
        </w:rPr>
        <w:t>发现三次以上的，给予警告，并处违法所得两倍以上三倍以下、但最高不超过三万元的罚款；没有违法所得的，给予警告，处以七千元以上一万元以下的罚款。</w:t>
      </w:r>
    </w:p>
    <w:p>
      <w:pPr>
        <w:spacing w:after="0" w:line="388" w:lineRule="auto"/>
        <w:rPr>
          <w:color w:val="auto"/>
        </w:rPr>
        <w:sectPr>
          <w:footerReference r:id="rId21" w:type="default"/>
          <w:footerReference r:id="rId22" w:type="even"/>
          <w:pgSz w:w="11910" w:h="16840"/>
          <w:pgMar w:top="1520" w:right="1260" w:bottom="1220" w:left="1420" w:header="0" w:footer="1034" w:gutter="0"/>
          <w:pgNumType w:start="130"/>
        </w:sectPr>
      </w:pPr>
    </w:p>
    <w:p>
      <w:pPr>
        <w:pStyle w:val="2"/>
        <w:spacing w:before="39" w:line="391" w:lineRule="auto"/>
        <w:ind w:left="111" w:right="235" w:firstLine="480"/>
        <w:jc w:val="both"/>
        <w:rPr>
          <w:color w:val="auto"/>
        </w:rPr>
      </w:pPr>
      <w:bookmarkStart w:id="369" w:name="_bookmark184"/>
      <w:bookmarkEnd w:id="369"/>
      <w:bookmarkStart w:id="370" w:name="一百八十、经营者向消费者提供商品或者服务使用格式条款、通知、声明、店堂告示等的，"/>
      <w:bookmarkEnd w:id="370"/>
      <w:r>
        <w:rPr>
          <w:color w:val="auto"/>
          <w:spacing w:val="-6"/>
        </w:rPr>
        <w:t>一百八十、经营者向消费者提供商品或者服务使用格式条款、通知、声明、店堂</w:t>
      </w:r>
      <w:r>
        <w:rPr>
          <w:color w:val="auto"/>
          <w:spacing w:val="-10"/>
        </w:rPr>
        <w:t>告示等的，含有规定经营者有权任意变更或者解除合同，限制消费者依法变更或者解除合同权利的内容</w:t>
      </w:r>
    </w:p>
    <w:p>
      <w:pPr>
        <w:spacing w:before="0" w:line="304" w:lineRule="exact"/>
        <w:ind w:left="591" w:right="0" w:firstLine="0"/>
        <w:jc w:val="left"/>
        <w:rPr>
          <w:b/>
          <w:color w:val="auto"/>
          <w:sz w:val="24"/>
        </w:rPr>
      </w:pPr>
      <w:r>
        <w:rPr>
          <w:b/>
          <w:color w:val="auto"/>
          <w:sz w:val="24"/>
        </w:rPr>
        <w:t>（一）处罚依据</w:t>
      </w:r>
    </w:p>
    <w:p>
      <w:pPr>
        <w:pStyle w:val="4"/>
        <w:spacing w:before="195" w:line="391" w:lineRule="auto"/>
        <w:ind w:right="268" w:firstLine="480"/>
        <w:jc w:val="both"/>
        <w:rPr>
          <w:color w:val="auto"/>
        </w:rPr>
      </w:pPr>
      <w:r>
        <w:rPr>
          <w:color w:val="auto"/>
        </w:rPr>
        <w:t>1</w:t>
      </w:r>
      <w:r>
        <w:rPr>
          <w:color w:val="auto"/>
          <w:spacing w:val="-9"/>
        </w:rPr>
        <w:t>、《侵害消费者权益行为处罚办法》第十五条 经营者违反本办法第十二条、第十三条规定，其他法律、法规有规定的，依照法律、法规的规定执行；法律、法规未</w:t>
      </w:r>
      <w:r>
        <w:rPr>
          <w:color w:val="auto"/>
          <w:spacing w:val="-6"/>
        </w:rPr>
        <w:t>作规定的，由工商行政管理部门责令改正，可以单处或者并处警告，违法所得三倍以</w:t>
      </w:r>
      <w:r>
        <w:rPr>
          <w:color w:val="auto"/>
        </w:rPr>
        <w:t>下、但最高不超过三万元的罚款，没有违法所得的，处以一万元以下的罚款。</w:t>
      </w:r>
    </w:p>
    <w:p>
      <w:pPr>
        <w:pStyle w:val="4"/>
        <w:spacing w:line="391" w:lineRule="auto"/>
        <w:ind w:right="268" w:firstLine="480"/>
        <w:jc w:val="both"/>
        <w:rPr>
          <w:color w:val="auto"/>
        </w:rPr>
      </w:pPr>
      <w:r>
        <w:rPr>
          <w:color w:val="auto"/>
        </w:rPr>
        <w:t>2</w:t>
      </w:r>
      <w:r>
        <w:rPr>
          <w:color w:val="auto"/>
          <w:spacing w:val="-9"/>
        </w:rPr>
        <w:t>、《侵害消费者权益行为处罚办法》第十二条 经营者向消费者提供商品或者服</w:t>
      </w:r>
      <w:r>
        <w:rPr>
          <w:color w:val="auto"/>
          <w:spacing w:val="-11"/>
        </w:rPr>
        <w:t>务使用格式条款、通知、声明、店堂告示等的，应当以显著方式提请消费者注意与消</w:t>
      </w:r>
      <w:r>
        <w:rPr>
          <w:color w:val="auto"/>
          <w:spacing w:val="-4"/>
        </w:rPr>
        <w:t>费者有重大利害关系的内容，并按照消费者的要求予以说明，不得作出含有下列内容</w:t>
      </w:r>
      <w:r>
        <w:rPr>
          <w:color w:val="auto"/>
        </w:rPr>
        <w:t>的规定：</w:t>
      </w:r>
    </w:p>
    <w:p>
      <w:pPr>
        <w:pStyle w:val="4"/>
        <w:spacing w:line="391" w:lineRule="auto"/>
        <w:ind w:right="268" w:firstLine="480"/>
        <w:rPr>
          <w:color w:val="auto"/>
        </w:rPr>
      </w:pPr>
      <w:r>
        <w:rPr>
          <w:color w:val="auto"/>
        </w:rPr>
        <w:t>（五</w:t>
      </w:r>
      <w:r>
        <w:rPr>
          <w:color w:val="auto"/>
          <w:spacing w:val="-20"/>
        </w:rPr>
        <w:t>）</w:t>
      </w:r>
      <w:r>
        <w:rPr>
          <w:color w:val="auto"/>
          <w:spacing w:val="-2"/>
        </w:rPr>
        <w:t>规定经营者有权任意变更或者解除合同，限制消费者依法变更或者解除合</w:t>
      </w:r>
      <w:r>
        <w:rPr>
          <w:color w:val="auto"/>
        </w:rPr>
        <w:t>同权利。</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148" w:firstLine="480"/>
        <w:rPr>
          <w:color w:val="auto"/>
        </w:rPr>
      </w:pPr>
      <w:r>
        <w:rPr>
          <w:color w:val="auto"/>
          <w:spacing w:val="-14"/>
        </w:rPr>
        <w:t xml:space="preserve">第一次发现的，给予警告，并处违法所得一倍以下、但最高不超过三万元的罚款； </w:t>
      </w:r>
      <w:r>
        <w:rPr>
          <w:color w:val="auto"/>
        </w:rPr>
        <w:t>没有违法所得的，给予警告，处以三千元以下的罚款。</w:t>
      </w:r>
    </w:p>
    <w:p>
      <w:pPr>
        <w:pStyle w:val="13"/>
        <w:numPr>
          <w:ilvl w:val="0"/>
          <w:numId w:val="103"/>
        </w:numPr>
        <w:tabs>
          <w:tab w:val="left" w:pos="833"/>
        </w:tabs>
        <w:spacing w:before="0" w:after="0" w:line="240" w:lineRule="auto"/>
        <w:ind w:left="832" w:right="0" w:hanging="242"/>
        <w:jc w:val="left"/>
        <w:rPr>
          <w:color w:val="auto"/>
          <w:sz w:val="24"/>
        </w:rPr>
      </w:pPr>
      <w:r>
        <w:rPr>
          <w:color w:val="auto"/>
          <w:sz w:val="24"/>
        </w:rPr>
        <w:t>【一般】</w:t>
      </w:r>
    </w:p>
    <w:p>
      <w:pPr>
        <w:pStyle w:val="4"/>
        <w:spacing w:before="187" w:line="388" w:lineRule="auto"/>
        <w:ind w:right="213" w:firstLine="480"/>
        <w:rPr>
          <w:color w:val="auto"/>
        </w:rPr>
      </w:pPr>
      <w:r>
        <w:rPr>
          <w:color w:val="auto"/>
        </w:rPr>
        <w:t>第二次发现的，给予警告，并处违法所得一倍以上两倍以下、但最高不超过三万元的罚款；没有违法所得的，给予警告，处以三千元以上七千元以下的罚款。</w:t>
      </w:r>
    </w:p>
    <w:p>
      <w:pPr>
        <w:pStyle w:val="13"/>
        <w:numPr>
          <w:ilvl w:val="0"/>
          <w:numId w:val="103"/>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发现三次以上的，给予警告，并处违法所得两倍以上三倍以下、但最高不超过三万元的罚款；没有违法所得的，给予警告，处以七千元以上一万元以下的罚款。</w:t>
      </w:r>
    </w:p>
    <w:p>
      <w:pPr>
        <w:pStyle w:val="2"/>
        <w:spacing w:before="3" w:line="391" w:lineRule="auto"/>
        <w:ind w:left="111" w:right="193" w:firstLine="480"/>
        <w:rPr>
          <w:color w:val="auto"/>
        </w:rPr>
      </w:pPr>
      <w:bookmarkStart w:id="371" w:name="_bookmark185"/>
      <w:bookmarkEnd w:id="371"/>
      <w:bookmarkStart w:id="372" w:name="一百八十一、经营者向消费者提供商品或者服务使用格式条款、通知、声明、店堂告示等的"/>
      <w:bookmarkEnd w:id="372"/>
      <w:r>
        <w:rPr>
          <w:color w:val="auto"/>
        </w:rPr>
        <w:t>一百八十一、经营者向消费者提供商品或者服务使用格式条款、通知、声明、店堂告示等的，含有规定经营者单方享有解释权或者最终解释权的内容</w:t>
      </w:r>
    </w:p>
    <w:p>
      <w:pPr>
        <w:spacing w:before="0" w:line="306" w:lineRule="exact"/>
        <w:ind w:left="591" w:right="0" w:firstLine="0"/>
        <w:jc w:val="left"/>
        <w:rPr>
          <w:b/>
          <w:color w:val="auto"/>
          <w:sz w:val="24"/>
        </w:rPr>
      </w:pPr>
      <w:r>
        <w:rPr>
          <w:b/>
          <w:color w:val="auto"/>
          <w:sz w:val="24"/>
        </w:rPr>
        <w:t>（一）处罚依据</w:t>
      </w:r>
    </w:p>
    <w:p>
      <w:pPr>
        <w:pStyle w:val="4"/>
        <w:spacing w:before="191"/>
        <w:ind w:left="591"/>
        <w:rPr>
          <w:color w:val="auto"/>
        </w:rPr>
      </w:pPr>
      <w:r>
        <w:rPr>
          <w:color w:val="auto"/>
        </w:rPr>
        <w:t>1、《侵害消费者权益行为处罚办法》第十五条 经营者违反本办法第十二条、第</w:t>
      </w:r>
    </w:p>
    <w:p>
      <w:pPr>
        <w:spacing w:after="0"/>
        <w:rPr>
          <w:color w:val="auto"/>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7"/>
        </w:rPr>
        <w:t>十三条规定，其他法律、法规有规定的，依照法律、法规的规定执行；法律、法规未</w:t>
      </w:r>
      <w:r>
        <w:rPr>
          <w:color w:val="auto"/>
          <w:spacing w:val="-6"/>
        </w:rPr>
        <w:t>作规定的，由工商行政管理部门责令改正，可以单处或者并处警告，违法所得三倍以</w:t>
      </w:r>
      <w:r>
        <w:rPr>
          <w:color w:val="auto"/>
        </w:rPr>
        <w:t>下、但最高不超过三万元的罚款，没有违法所得的，处以一万元以下的罚款。</w:t>
      </w:r>
    </w:p>
    <w:p>
      <w:pPr>
        <w:pStyle w:val="4"/>
        <w:spacing w:line="391" w:lineRule="auto"/>
        <w:ind w:right="268" w:firstLine="480"/>
        <w:jc w:val="both"/>
        <w:rPr>
          <w:color w:val="auto"/>
        </w:rPr>
      </w:pPr>
      <w:r>
        <w:rPr>
          <w:color w:val="auto"/>
        </w:rPr>
        <w:t>2</w:t>
      </w:r>
      <w:r>
        <w:rPr>
          <w:color w:val="auto"/>
          <w:spacing w:val="-9"/>
        </w:rPr>
        <w:t>、《侵害消费者权益行为处罚办法》第十二条 经营者向消费者提供商品或者服</w:t>
      </w:r>
      <w:r>
        <w:rPr>
          <w:color w:val="auto"/>
          <w:spacing w:val="-11"/>
        </w:rPr>
        <w:t>务使用格式条款、通知、声明、店堂告示等的，应当以显著方式提请消费者注意与消</w:t>
      </w:r>
      <w:r>
        <w:rPr>
          <w:color w:val="auto"/>
          <w:spacing w:val="-4"/>
        </w:rPr>
        <w:t>费者有重大利害关系的内容，并按照消费者的要求予以说明，不得作出含有下列内容</w:t>
      </w:r>
      <w:r>
        <w:rPr>
          <w:color w:val="auto"/>
        </w:rPr>
        <w:t>的规定：</w:t>
      </w:r>
    </w:p>
    <w:p>
      <w:pPr>
        <w:pStyle w:val="4"/>
        <w:spacing w:line="304" w:lineRule="exact"/>
        <w:ind w:left="591"/>
        <w:rPr>
          <w:color w:val="auto"/>
        </w:rPr>
      </w:pPr>
      <w:r>
        <w:rPr>
          <w:color w:val="auto"/>
        </w:rPr>
        <w:t>（六）规定经营者单方享有解释权或者最终解释权。</w:t>
      </w:r>
    </w:p>
    <w:p>
      <w:pPr>
        <w:spacing w:before="189" w:line="388" w:lineRule="auto"/>
        <w:ind w:left="591" w:right="6948" w:firstLine="0"/>
        <w:jc w:val="left"/>
        <w:rPr>
          <w:color w:val="auto"/>
          <w:sz w:val="24"/>
        </w:rPr>
      </w:pPr>
      <w:r>
        <w:rPr>
          <w:b/>
          <w:color w:val="auto"/>
          <w:sz w:val="24"/>
        </w:rPr>
        <w:t>（二）裁量标准</w:t>
      </w:r>
      <w:r>
        <w:rPr>
          <w:color w:val="auto"/>
          <w:sz w:val="24"/>
        </w:rPr>
        <w:t>1.【较轻】</w:t>
      </w:r>
    </w:p>
    <w:p>
      <w:pPr>
        <w:pStyle w:val="4"/>
        <w:spacing w:before="4" w:line="388" w:lineRule="auto"/>
        <w:ind w:right="148" w:firstLine="480"/>
        <w:rPr>
          <w:color w:val="auto"/>
        </w:rPr>
      </w:pPr>
      <w:r>
        <w:rPr>
          <w:color w:val="auto"/>
          <w:spacing w:val="-14"/>
        </w:rPr>
        <w:t xml:space="preserve">第一次发现的，给予警告，并处违法所得一倍以下、但最高不超过三万元的罚款； </w:t>
      </w:r>
      <w:r>
        <w:rPr>
          <w:color w:val="auto"/>
        </w:rPr>
        <w:t>没有违法所得的，给予警告，处以三千元以下的罚款。</w:t>
      </w:r>
    </w:p>
    <w:p>
      <w:pPr>
        <w:pStyle w:val="13"/>
        <w:numPr>
          <w:ilvl w:val="0"/>
          <w:numId w:val="104"/>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213" w:firstLine="480"/>
        <w:rPr>
          <w:color w:val="auto"/>
        </w:rPr>
      </w:pPr>
      <w:r>
        <w:rPr>
          <w:color w:val="auto"/>
        </w:rPr>
        <w:t>第二次发现的，给予警告，并处违法所得一倍以上两倍以下、但最高不超过三万元的罚款；没有违法所得的，给予警告，处以三千元以上七千元以下的罚款。</w:t>
      </w:r>
    </w:p>
    <w:p>
      <w:pPr>
        <w:pStyle w:val="13"/>
        <w:numPr>
          <w:ilvl w:val="0"/>
          <w:numId w:val="104"/>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发现三次以上的，给予警告，并处违法所得两倍以上三倍以下、但最高不超过三万元的罚款；没有违法所得的，给予警告，处以七千元以上一万元以下的罚款。</w:t>
      </w:r>
    </w:p>
    <w:p>
      <w:pPr>
        <w:pStyle w:val="2"/>
        <w:spacing w:before="3" w:line="391" w:lineRule="auto"/>
        <w:ind w:left="111" w:right="237" w:firstLine="480"/>
        <w:jc w:val="both"/>
        <w:rPr>
          <w:color w:val="auto"/>
        </w:rPr>
      </w:pPr>
      <w:bookmarkStart w:id="373" w:name="一百八十二、从事为消费者提供修理、加工、安装、装饰装修等服务的经营者谎报用工用料"/>
      <w:bookmarkEnd w:id="373"/>
      <w:bookmarkStart w:id="374" w:name="_bookmark186"/>
      <w:bookmarkEnd w:id="374"/>
      <w:r>
        <w:rPr>
          <w:color w:val="auto"/>
          <w:spacing w:val="-6"/>
        </w:rPr>
        <w:t>一百八十二、从事为消费者提供修理、加工、安装、装饰装修等服务的经营者谎</w:t>
      </w:r>
      <w:r>
        <w:rPr>
          <w:color w:val="auto"/>
          <w:spacing w:val="-10"/>
        </w:rPr>
        <w:t>报用工用料，故意损坏、偷换零部件或材料，使用不符合国家质量标准或者与约定不</w:t>
      </w:r>
      <w:r>
        <w:rPr>
          <w:color w:val="auto"/>
          <w:spacing w:val="-13"/>
        </w:rPr>
        <w:t>相符的零部件或材料，更换不需要更换的零部件，或者偷工减料、加收费用，损害消费者权益</w:t>
      </w:r>
    </w:p>
    <w:p>
      <w:pPr>
        <w:spacing w:before="0" w:line="304" w:lineRule="exact"/>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1</w:t>
      </w:r>
      <w:r>
        <w:rPr>
          <w:color w:val="auto"/>
          <w:spacing w:val="-9"/>
        </w:rPr>
        <w:t>、《侵害消费者权益行为处罚办法》第十五条 经营者违反本办法第十二条、第十三条规定，其他法律、法规有规定的，依照法律、法规的规定执行；法律、法规未</w:t>
      </w:r>
      <w:r>
        <w:rPr>
          <w:color w:val="auto"/>
          <w:spacing w:val="-6"/>
        </w:rPr>
        <w:t>作规定的，由工商行政管理部门责令改正，可以单处或者并处警告，违法所得三倍以</w:t>
      </w:r>
      <w:r>
        <w:rPr>
          <w:color w:val="auto"/>
        </w:rPr>
        <w:t>下、但最高不超过三万元的罚款，没有违法所得的，处以一万元以下的罚款。</w:t>
      </w:r>
    </w:p>
    <w:p>
      <w:pPr>
        <w:pStyle w:val="4"/>
        <w:spacing w:line="302" w:lineRule="exact"/>
        <w:ind w:left="591"/>
        <w:jc w:val="both"/>
        <w:rPr>
          <w:color w:val="auto"/>
        </w:rPr>
      </w:pPr>
      <w:r>
        <w:rPr>
          <w:color w:val="auto"/>
        </w:rPr>
        <w:t>2、《侵害消费者权益行为处罚办法》第十三条 从事服务业的经营者不得有下列</w:t>
      </w:r>
    </w:p>
    <w:p>
      <w:pPr>
        <w:spacing w:after="0" w:line="302" w:lineRule="exact"/>
        <w:jc w:val="both"/>
        <w:rPr>
          <w:color w:val="auto"/>
        </w:rPr>
        <w:sectPr>
          <w:pgSz w:w="11910" w:h="16840"/>
          <w:pgMar w:top="1520" w:right="1260" w:bottom="1220" w:left="1420" w:header="0" w:footer="1034" w:gutter="0"/>
        </w:sectPr>
      </w:pPr>
    </w:p>
    <w:p>
      <w:pPr>
        <w:pStyle w:val="4"/>
        <w:spacing w:before="39"/>
        <w:rPr>
          <w:color w:val="auto"/>
        </w:rPr>
      </w:pPr>
      <w:r>
        <w:rPr>
          <w:color w:val="auto"/>
        </w:rPr>
        <w:t>行为：</w:t>
      </w:r>
    </w:p>
    <w:p>
      <w:pPr>
        <w:pStyle w:val="4"/>
        <w:spacing w:before="195" w:line="391" w:lineRule="auto"/>
        <w:ind w:right="268" w:firstLine="480"/>
        <w:jc w:val="both"/>
        <w:rPr>
          <w:color w:val="auto"/>
        </w:rPr>
      </w:pPr>
      <w:r>
        <w:rPr>
          <w:color w:val="auto"/>
        </w:rPr>
        <w:t>（一</w:t>
      </w:r>
      <w:r>
        <w:rPr>
          <w:color w:val="auto"/>
          <w:spacing w:val="-10"/>
        </w:rPr>
        <w:t>）</w:t>
      </w:r>
      <w:r>
        <w:rPr>
          <w:color w:val="auto"/>
          <w:spacing w:val="-4"/>
        </w:rPr>
        <w:t>从事为消费者提供修理、加工、安装、装饰装修等服务的经营者谎报用工</w:t>
      </w:r>
      <w:r>
        <w:rPr>
          <w:color w:val="auto"/>
          <w:spacing w:val="-7"/>
        </w:rPr>
        <w:t>用料，故意损坏、偷换零部件或材料，使用不符合国家质量标准或者与约定不相符的</w:t>
      </w:r>
      <w:r>
        <w:rPr>
          <w:color w:val="auto"/>
          <w:spacing w:val="-6"/>
        </w:rPr>
        <w:t>零部件或材料，更换不需要更换的零部件，或者偷工减料、加收费用，损害消费者权</w:t>
      </w:r>
      <w:r>
        <w:rPr>
          <w:color w:val="auto"/>
        </w:rPr>
        <w:t>益的。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148" w:firstLine="480"/>
        <w:rPr>
          <w:color w:val="auto"/>
        </w:rPr>
      </w:pPr>
      <w:r>
        <w:rPr>
          <w:color w:val="auto"/>
          <w:spacing w:val="-14"/>
        </w:rPr>
        <w:t xml:space="preserve">第一次发现的，给予警告，并处违法所得一倍以下、但最高不超过三万元的罚款； </w:t>
      </w:r>
      <w:r>
        <w:rPr>
          <w:color w:val="auto"/>
        </w:rPr>
        <w:t>没有违法所得的，给予警告，处以三千元以下的罚款。</w:t>
      </w:r>
    </w:p>
    <w:p>
      <w:pPr>
        <w:pStyle w:val="13"/>
        <w:numPr>
          <w:ilvl w:val="0"/>
          <w:numId w:val="105"/>
        </w:numPr>
        <w:tabs>
          <w:tab w:val="left" w:pos="833"/>
        </w:tabs>
        <w:spacing w:before="0"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第二次发现的，给予警告，并处违法所得一倍以上两倍以下、但最高不超过三万元的罚款；没有违法所得的，给予警告，处以三千元以上七千元以下的罚款。</w:t>
      </w:r>
    </w:p>
    <w:p>
      <w:pPr>
        <w:pStyle w:val="13"/>
        <w:numPr>
          <w:ilvl w:val="0"/>
          <w:numId w:val="105"/>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发现三次以上的，给予警告，并处违法所得两倍以上三倍以下、但最高不超过三万元的罚款；没有违法所得的，给予警告，处以七千元以上一万元以下的罚款。</w:t>
      </w:r>
    </w:p>
    <w:p>
      <w:pPr>
        <w:pStyle w:val="2"/>
        <w:spacing w:before="2" w:line="391" w:lineRule="auto"/>
        <w:ind w:left="111" w:right="240" w:firstLine="480"/>
        <w:rPr>
          <w:color w:val="auto"/>
        </w:rPr>
      </w:pPr>
      <w:bookmarkStart w:id="375" w:name="_bookmark187"/>
      <w:bookmarkEnd w:id="375"/>
      <w:bookmarkStart w:id="376" w:name="一百八十三、从事房屋租赁、家政服务等中介服务的经营者提供虚假信息或者采取欺骗、恶"/>
      <w:bookmarkEnd w:id="376"/>
      <w:r>
        <w:rPr>
          <w:color w:val="auto"/>
          <w:spacing w:val="-9"/>
        </w:rPr>
        <w:t>一百八十三、从事房屋租赁、家政服务等中介服务的经营者提供虚假信息或者采取欺骗、恶意串通等手段损害消费者权益</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、《侵害消费者权益行为处罚办法》第十五条 经营者违反本办法第十二条、第十三条规定，其他法律、法规有规定的，依照法律、法规的规定执行；法律、法规未</w:t>
      </w:r>
      <w:r>
        <w:rPr>
          <w:color w:val="auto"/>
          <w:spacing w:val="-6"/>
        </w:rPr>
        <w:t>作规定的，由工商行政管理部门责令改正，可以单处或者并处警告，违法所得三倍以</w:t>
      </w:r>
      <w:r>
        <w:rPr>
          <w:color w:val="auto"/>
        </w:rPr>
        <w:t>下、但最高不超过三万元的罚款，没有违法所得的，处以一万元以下的罚款。</w:t>
      </w:r>
    </w:p>
    <w:p>
      <w:pPr>
        <w:pStyle w:val="4"/>
        <w:spacing w:line="388" w:lineRule="auto"/>
        <w:ind w:right="268" w:firstLine="480"/>
        <w:jc w:val="both"/>
        <w:rPr>
          <w:color w:val="auto"/>
        </w:rPr>
      </w:pPr>
      <w:r>
        <w:rPr>
          <w:color w:val="auto"/>
        </w:rPr>
        <w:t>2</w:t>
      </w:r>
      <w:r>
        <w:rPr>
          <w:color w:val="auto"/>
          <w:spacing w:val="-9"/>
        </w:rPr>
        <w:t>、《侵害消费者权益行为处罚办法》第十三条 从事服务业的经营者不得有下列行为：</w:t>
      </w:r>
    </w:p>
    <w:p>
      <w:pPr>
        <w:pStyle w:val="4"/>
        <w:spacing w:line="391" w:lineRule="auto"/>
        <w:ind w:right="148" w:firstLine="480"/>
        <w:rPr>
          <w:color w:val="auto"/>
        </w:rPr>
      </w:pPr>
      <w:r>
        <w:rPr>
          <w:color w:val="auto"/>
        </w:rPr>
        <w:t>（二</w:t>
      </w:r>
      <w:r>
        <w:rPr>
          <w:color w:val="auto"/>
          <w:spacing w:val="-80"/>
        </w:rPr>
        <w:t>）</w:t>
      </w:r>
      <w:r>
        <w:rPr>
          <w:color w:val="auto"/>
          <w:spacing w:val="-10"/>
        </w:rPr>
        <w:t>从事房屋租赁、家政服务等中介服务的经营者提供虚假信息或者采取欺骗、</w:t>
      </w:r>
      <w:r>
        <w:rPr>
          <w:color w:val="auto"/>
        </w:rPr>
        <w:t>恶意串通等手段损害消费者权益的。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4"/>
        <w:spacing w:before="39" w:line="391" w:lineRule="auto"/>
        <w:ind w:right="148" w:firstLine="480"/>
        <w:rPr>
          <w:color w:val="auto"/>
        </w:rPr>
      </w:pPr>
      <w:r>
        <w:rPr>
          <w:color w:val="auto"/>
          <w:spacing w:val="-14"/>
        </w:rPr>
        <w:t xml:space="preserve">第一次发现的，给予警告，并处违法所得一倍以下、但最高不超过三万元的罚款； </w:t>
      </w:r>
      <w:r>
        <w:rPr>
          <w:color w:val="auto"/>
        </w:rPr>
        <w:t>没有违法所得的，给予警告，处以三千元以下的罚款。</w:t>
      </w:r>
    </w:p>
    <w:p>
      <w:pPr>
        <w:pStyle w:val="13"/>
        <w:numPr>
          <w:ilvl w:val="0"/>
          <w:numId w:val="106"/>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13" w:firstLine="480"/>
        <w:rPr>
          <w:color w:val="auto"/>
        </w:rPr>
      </w:pPr>
      <w:r>
        <w:rPr>
          <w:color w:val="auto"/>
        </w:rPr>
        <w:t>第二次发现的，给予警告，并处违法所得一倍以上两倍以下、但最高不超过三万元的罚款；没有违法所得的，给予警告，处以三千元以上七千元以下的罚款。</w:t>
      </w:r>
    </w:p>
    <w:p>
      <w:pPr>
        <w:pStyle w:val="13"/>
        <w:numPr>
          <w:ilvl w:val="0"/>
          <w:numId w:val="106"/>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发现三次以上的，给予警告，并处违法所得两倍以上三倍以下、但最高不超过三万元的罚款；没有违法所得的，给予警告，处以七千元以上一万元以下的罚款。</w:t>
      </w:r>
    </w:p>
    <w:p>
      <w:pPr>
        <w:pStyle w:val="2"/>
        <w:spacing w:line="306" w:lineRule="exact"/>
        <w:rPr>
          <w:color w:val="auto"/>
        </w:rPr>
      </w:pPr>
      <w:bookmarkStart w:id="377" w:name="_bookmark188"/>
      <w:bookmarkEnd w:id="377"/>
      <w:bookmarkStart w:id="378" w:name="一百八十四、平台未履行标注义务"/>
      <w:bookmarkEnd w:id="378"/>
      <w:r>
        <w:rPr>
          <w:color w:val="auto"/>
        </w:rPr>
        <w:t>一百八十四、平台未履行标注义务</w:t>
      </w:r>
    </w:p>
    <w:p>
      <w:pPr>
        <w:spacing w:before="192"/>
        <w:ind w:left="591" w:right="0" w:firstLine="0"/>
        <w:jc w:val="left"/>
        <w:rPr>
          <w:b/>
          <w:color w:val="auto"/>
          <w:sz w:val="24"/>
        </w:rPr>
      </w:pPr>
      <w:r>
        <w:rPr>
          <w:b/>
          <w:color w:val="auto"/>
          <w:sz w:val="24"/>
        </w:rPr>
        <w:t>（一）处罚依据</w:t>
      </w:r>
    </w:p>
    <w:p>
      <w:pPr>
        <w:pStyle w:val="4"/>
        <w:spacing w:before="194" w:line="391" w:lineRule="auto"/>
        <w:ind w:right="232" w:firstLine="480"/>
        <w:jc w:val="both"/>
        <w:rPr>
          <w:color w:val="auto"/>
        </w:rPr>
      </w:pPr>
      <w:r>
        <w:rPr>
          <w:color w:val="auto"/>
        </w:rPr>
        <w:t>1</w:t>
      </w:r>
      <w:r>
        <w:rPr>
          <w:color w:val="auto"/>
          <w:spacing w:val="-10"/>
        </w:rPr>
        <w:t>、《网络购买商品七日无理由退货暂行办法》第三十二条 网络交易平台提供者</w:t>
      </w:r>
      <w:r>
        <w:rPr>
          <w:color w:val="auto"/>
          <w:spacing w:val="-12"/>
        </w:rPr>
        <w:t>违反本办法第二十二条规定，未在其平台显著位置明示七日无理由退货规则及配套的</w:t>
      </w:r>
      <w:r>
        <w:rPr>
          <w:color w:val="auto"/>
          <w:spacing w:val="-13"/>
        </w:rPr>
        <w:t xml:space="preserve">有关制度，或者未在技术上保证消费者能够便利、完整地阅览和保存的，予以警告， </w:t>
      </w:r>
      <w:r>
        <w:rPr>
          <w:color w:val="auto"/>
        </w:rPr>
        <w:t>责令改正；拒不改正的，处以一万元以上三万元以下的罚款。</w:t>
      </w:r>
    </w:p>
    <w:p>
      <w:pPr>
        <w:pStyle w:val="4"/>
        <w:spacing w:line="391" w:lineRule="auto"/>
        <w:ind w:right="148" w:firstLine="480"/>
        <w:jc w:val="both"/>
        <w:rPr>
          <w:color w:val="auto"/>
        </w:rPr>
      </w:pPr>
      <w:r>
        <w:rPr>
          <w:color w:val="auto"/>
        </w:rPr>
        <w:t>2</w:t>
      </w:r>
      <w:r>
        <w:rPr>
          <w:color w:val="auto"/>
          <w:spacing w:val="-11"/>
        </w:rPr>
        <w:t>、《网络购买商品七日无理由退货暂行办法》第二十二条 网络交易平台提供者</w:t>
      </w:r>
      <w:r>
        <w:rPr>
          <w:color w:val="auto"/>
          <w:spacing w:val="3"/>
        </w:rPr>
        <w:t>应当依法建立、完善其平台七日无理由退货规则以及配套的消费者权益保护有关</w:t>
      </w:r>
      <w:r>
        <w:rPr>
          <w:color w:val="auto"/>
        </w:rPr>
        <w:fldChar w:fldCharType="begin"/>
      </w:r>
      <w:r>
        <w:rPr>
          <w:color w:val="auto"/>
        </w:rPr>
        <w:instrText xml:space="preserve"> HYPERLINK "http://www.1010jiajiao.com/qx_portal/cat/124.html" \h </w:instrText>
      </w:r>
      <w:r>
        <w:rPr>
          <w:color w:val="auto"/>
        </w:rPr>
        <w:fldChar w:fldCharType="separate"/>
      </w:r>
      <w:r>
        <w:rPr>
          <w:color w:val="auto"/>
        </w:rPr>
        <w:t>制</w:t>
      </w:r>
      <w:r>
        <w:rPr>
          <w:color w:val="auto"/>
        </w:rPr>
        <w:fldChar w:fldCharType="end"/>
      </w:r>
      <w:r>
        <w:rPr>
          <w:color w:val="auto"/>
          <w:spacing w:val="-15"/>
        </w:rPr>
        <w:t>度，在其平台上显著位置明示，并从技术上保证消费者能够便利、完整地阅览和保存。</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未从技术上保证用户能够便利、完整地阅览和保存，处以一万元以上一万五千元以下的罚款。</w:t>
      </w:r>
    </w:p>
    <w:p>
      <w:pPr>
        <w:pStyle w:val="13"/>
        <w:numPr>
          <w:ilvl w:val="0"/>
          <w:numId w:val="107"/>
        </w:numPr>
        <w:tabs>
          <w:tab w:val="left" w:pos="833"/>
        </w:tabs>
        <w:spacing w:before="0" w:after="0" w:line="240" w:lineRule="auto"/>
        <w:ind w:left="832" w:right="0" w:hanging="242"/>
        <w:jc w:val="left"/>
        <w:rPr>
          <w:color w:val="auto"/>
          <w:sz w:val="24"/>
        </w:rPr>
      </w:pPr>
      <w:r>
        <w:rPr>
          <w:color w:val="auto"/>
          <w:sz w:val="24"/>
        </w:rPr>
        <w:t>【一般】</w:t>
      </w:r>
    </w:p>
    <w:p>
      <w:pPr>
        <w:pStyle w:val="4"/>
        <w:spacing w:before="191" w:line="388" w:lineRule="auto"/>
        <w:ind w:right="213" w:firstLine="480"/>
        <w:rPr>
          <w:color w:val="auto"/>
        </w:rPr>
      </w:pPr>
      <w:r>
        <w:rPr>
          <w:color w:val="auto"/>
        </w:rPr>
        <w:fldChar w:fldCharType="begin"/>
      </w:r>
      <w:r>
        <w:rPr>
          <w:color w:val="auto"/>
        </w:rPr>
        <w:instrText xml:space="preserve"> HYPERLINK "http://www.1010jiajiao.com/qx_portal/cat/124.html" \h </w:instrText>
      </w:r>
      <w:r>
        <w:rPr>
          <w:color w:val="auto"/>
        </w:rPr>
        <w:fldChar w:fldCharType="separate"/>
      </w:r>
      <w:r>
        <w:rPr>
          <w:color w:val="auto"/>
        </w:rPr>
        <w:t>已建立其平台七日无理由退货规则以及配套的消费者权益保护有关制度</w:t>
      </w:r>
      <w:r>
        <w:rPr>
          <w:color w:val="auto"/>
        </w:rPr>
        <w:fldChar w:fldCharType="end"/>
      </w:r>
      <w:r>
        <w:rPr>
          <w:color w:val="auto"/>
        </w:rPr>
        <w:t>，但未在平台上显著位置明示的，处以一万五千元以上二万五千元以下的罚款。</w:t>
      </w:r>
    </w:p>
    <w:p>
      <w:pPr>
        <w:pStyle w:val="13"/>
        <w:numPr>
          <w:ilvl w:val="0"/>
          <w:numId w:val="107"/>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fldChar w:fldCharType="begin"/>
      </w:r>
      <w:r>
        <w:rPr>
          <w:color w:val="auto"/>
        </w:rPr>
        <w:instrText xml:space="preserve"> HYPERLINK "http://www.1010jiajiao.com/qx_portal/cat/124.html" \h </w:instrText>
      </w:r>
      <w:r>
        <w:rPr>
          <w:color w:val="auto"/>
        </w:rPr>
        <w:fldChar w:fldCharType="separate"/>
      </w:r>
      <w:r>
        <w:rPr>
          <w:color w:val="auto"/>
        </w:rPr>
        <w:t>未建立其平台七日无理由退货规则以及配套的消费者权益保护有关制度</w:t>
      </w:r>
      <w:r>
        <w:rPr>
          <w:color w:val="auto"/>
        </w:rPr>
        <w:fldChar w:fldCharType="end"/>
      </w:r>
      <w:r>
        <w:rPr>
          <w:color w:val="auto"/>
        </w:rPr>
        <w:t>的，处以二万五千元以上三万元以下的罚款。</w:t>
      </w:r>
    </w:p>
    <w:p>
      <w:pPr>
        <w:pStyle w:val="2"/>
        <w:spacing w:before="2"/>
        <w:rPr>
          <w:color w:val="auto"/>
        </w:rPr>
      </w:pPr>
      <w:bookmarkStart w:id="379" w:name="一百八十五、网络商品销售者销售不能够完全恢复到初始状态的无理由退货商品，且未通过"/>
      <w:bookmarkEnd w:id="379"/>
      <w:bookmarkStart w:id="380" w:name="_bookmark189"/>
      <w:bookmarkEnd w:id="380"/>
      <w:r>
        <w:rPr>
          <w:color w:val="auto"/>
        </w:rPr>
        <w:t>一百八十五、网络商品销售者销售不能够完全恢复到初始状态的无理由退货商</w:t>
      </w:r>
    </w:p>
    <w:p>
      <w:pPr>
        <w:spacing w:after="0"/>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品，且未通过显著的方式明确标注商品实际情况</w:t>
      </w:r>
    </w:p>
    <w:p>
      <w:pPr>
        <w:spacing w:before="195"/>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rPr>
        <w:t>1</w:t>
      </w:r>
      <w:r>
        <w:rPr>
          <w:color w:val="auto"/>
          <w:spacing w:val="-11"/>
        </w:rPr>
        <w:t>、《网络购买商品七日无理由退货暂行办法》第三十三条 网络商品销售者违反</w:t>
      </w:r>
      <w:r>
        <w:rPr>
          <w:color w:val="auto"/>
          <w:spacing w:val="-12"/>
        </w:rPr>
        <w:t>本办法第二十五条规定，销售不能够完全恢复到初始状态的无理由退货商品，且未通</w:t>
      </w:r>
      <w:r>
        <w:rPr>
          <w:color w:val="auto"/>
          <w:spacing w:val="-19"/>
        </w:rPr>
        <w:t>过显著的方式明确标注商品实际情况的，违反其他法律、行政法规的，依照有关法律、</w:t>
      </w:r>
      <w:r>
        <w:rPr>
          <w:color w:val="auto"/>
          <w:spacing w:val="-5"/>
        </w:rPr>
        <w:t>行政法规的规定处罚；法律、行政法规未作规定的，予以警告，责令改正，并处一万元以上三万元以下的罚款。</w:t>
      </w:r>
    </w:p>
    <w:p>
      <w:pPr>
        <w:pStyle w:val="4"/>
        <w:spacing w:line="388" w:lineRule="auto"/>
        <w:ind w:right="268" w:firstLine="480"/>
        <w:rPr>
          <w:color w:val="auto"/>
        </w:rPr>
      </w:pPr>
      <w:r>
        <w:rPr>
          <w:color w:val="auto"/>
        </w:rPr>
        <w:t>2</w:t>
      </w:r>
      <w:r>
        <w:rPr>
          <w:color w:val="auto"/>
          <w:spacing w:val="-10"/>
        </w:rPr>
        <w:t>、《网络购买商品七日无理由退货暂行办法》第二十五条 网络商品销售者应当建立完善的七日无理由退货商品检验和处理程序。</w:t>
      </w:r>
    </w:p>
    <w:p>
      <w:pPr>
        <w:pStyle w:val="4"/>
        <w:spacing w:line="391" w:lineRule="auto"/>
        <w:ind w:right="268" w:firstLine="480"/>
        <w:jc w:val="both"/>
        <w:rPr>
          <w:color w:val="auto"/>
        </w:rPr>
      </w:pPr>
      <w:r>
        <w:rPr>
          <w:color w:val="auto"/>
          <w:spacing w:val="-3"/>
        </w:rPr>
        <w:t>对能够完全恢复到初始销售状态的七日无理由退货商品，可以作为全新商品再次</w:t>
      </w:r>
      <w:r>
        <w:rPr>
          <w:color w:val="auto"/>
        </w:rPr>
        <w:t>销售;对不能够完全恢复到初始销售状态的七日无理由退货商品而再次销售的，应当通过显著的方式将商品的实际情况明确标注。</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432"/>
        <w:rPr>
          <w:color w:val="auto"/>
        </w:rPr>
      </w:pPr>
      <w:r>
        <w:rPr>
          <w:color w:val="auto"/>
          <w:spacing w:val="-1"/>
        </w:rPr>
        <w:t>第一次发现的，予以警告，并处一万元以上一万五千元以下的罚款。</w:t>
      </w:r>
      <w:r>
        <w:rPr>
          <w:color w:val="auto"/>
        </w:rPr>
        <w:t>2.【一般】</w:t>
      </w:r>
    </w:p>
    <w:p>
      <w:pPr>
        <w:pStyle w:val="4"/>
        <w:spacing w:line="388" w:lineRule="auto"/>
        <w:ind w:left="591" w:right="952"/>
        <w:rPr>
          <w:color w:val="auto"/>
        </w:rPr>
      </w:pPr>
      <w:r>
        <w:rPr>
          <w:color w:val="auto"/>
          <w:spacing w:val="-1"/>
        </w:rPr>
        <w:t>第二次发现的，予以警告，并处一万五千元以上两万五千元以下的罚款。</w:t>
      </w:r>
      <w:r>
        <w:rPr>
          <w:color w:val="auto"/>
        </w:rPr>
        <w:t>3.【严重】</w:t>
      </w:r>
    </w:p>
    <w:p>
      <w:pPr>
        <w:spacing w:before="0" w:line="391" w:lineRule="auto"/>
        <w:ind w:left="591" w:right="1192" w:firstLine="0"/>
        <w:jc w:val="left"/>
        <w:rPr>
          <w:b/>
          <w:color w:val="auto"/>
          <w:sz w:val="24"/>
        </w:rPr>
      </w:pPr>
      <w:r>
        <w:rPr>
          <w:color w:val="auto"/>
          <w:sz w:val="24"/>
        </w:rPr>
        <w:t>发现三次以上的，予以警告，并处两万五千元以上三万元以下的罚款。</w:t>
      </w:r>
      <w:bookmarkStart w:id="381" w:name="一百八十六、平台拒不履行协助义务"/>
      <w:bookmarkEnd w:id="381"/>
      <w:bookmarkStart w:id="382" w:name="_bookmark190"/>
      <w:bookmarkEnd w:id="382"/>
      <w:r>
        <w:rPr>
          <w:b/>
          <w:color w:val="auto"/>
          <w:sz w:val="24"/>
        </w:rPr>
        <w:t>一百八十六、平台拒不履行协助义务</w:t>
      </w:r>
    </w:p>
    <w:p>
      <w:pPr>
        <w:pStyle w:val="2"/>
        <w:spacing w:line="306" w:lineRule="exact"/>
        <w:rPr>
          <w:color w:val="auto"/>
        </w:rPr>
      </w:pPr>
      <w:r>
        <w:rPr>
          <w:color w:val="auto"/>
        </w:rPr>
        <w:t>（一）处罚依据</w:t>
      </w:r>
    </w:p>
    <w:p>
      <w:pPr>
        <w:pStyle w:val="4"/>
        <w:spacing w:before="190" w:line="391" w:lineRule="auto"/>
        <w:ind w:right="268" w:firstLine="480"/>
        <w:jc w:val="both"/>
        <w:rPr>
          <w:color w:val="auto"/>
        </w:rPr>
      </w:pPr>
      <w:r>
        <w:rPr>
          <w:color w:val="auto"/>
        </w:rPr>
        <w:t>《网络购买商品七日无理由退货暂行办法》第三十四条 网络交易平台提供者拒</w:t>
      </w:r>
      <w:r>
        <w:rPr>
          <w:color w:val="auto"/>
          <w:spacing w:val="-4"/>
        </w:rPr>
        <w:t>绝协助工商行政管理部门对涉嫌违法行为采取措施、开展调查的，予以警告，责令改</w:t>
      </w:r>
      <w:r>
        <w:rPr>
          <w:color w:val="auto"/>
        </w:rPr>
        <w:t>正；拒不改正的，处三万元以下的罚款。</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192"/>
        <w:rPr>
          <w:color w:val="auto"/>
        </w:rPr>
      </w:pPr>
      <w:r>
        <w:rPr>
          <w:color w:val="auto"/>
          <w:spacing w:val="-1"/>
        </w:rPr>
        <w:t>第一次拒不履行协助义务的，处以一万元以上一万五千元以下的罚款。</w:t>
      </w:r>
      <w:r>
        <w:rPr>
          <w:color w:val="auto"/>
        </w:rPr>
        <w:t>2.【一般】</w:t>
      </w:r>
    </w:p>
    <w:p>
      <w:pPr>
        <w:spacing w:after="0" w:line="388" w:lineRule="auto"/>
        <w:rPr>
          <w:color w:val="auto"/>
        </w:rPr>
        <w:sectPr>
          <w:pgSz w:w="11910" w:h="16840"/>
          <w:pgMar w:top="1520" w:right="1260" w:bottom="1220" w:left="1420" w:header="0" w:footer="1034" w:gutter="0"/>
        </w:sectPr>
      </w:pPr>
    </w:p>
    <w:p>
      <w:pPr>
        <w:pStyle w:val="4"/>
        <w:spacing w:before="39" w:line="391" w:lineRule="auto"/>
        <w:ind w:left="591" w:right="712"/>
        <w:rPr>
          <w:color w:val="auto"/>
        </w:rPr>
      </w:pPr>
      <w:r>
        <w:rPr>
          <w:color w:val="auto"/>
        </w:rPr>
        <w:t>第二次拒不履行协助义务的，处以一万五千元以上二万五千元以下的罚款。3.【严重】</w:t>
      </w:r>
    </w:p>
    <w:p>
      <w:pPr>
        <w:spacing w:before="0" w:line="388" w:lineRule="auto"/>
        <w:ind w:left="591" w:right="924" w:firstLine="0"/>
        <w:jc w:val="left"/>
        <w:rPr>
          <w:b/>
          <w:color w:val="auto"/>
          <w:sz w:val="24"/>
        </w:rPr>
      </w:pPr>
      <w:r>
        <w:rPr>
          <w:color w:val="auto"/>
          <w:sz w:val="24"/>
        </w:rPr>
        <w:t>三次以上拒不履行协助义务的，处以二万五千元以上三万元以下的罚款。</w:t>
      </w:r>
      <w:bookmarkStart w:id="383" w:name="_bookmark191"/>
      <w:bookmarkEnd w:id="383"/>
      <w:bookmarkStart w:id="384" w:name="一百八十七、销售者对发现销售的产品存在安全缺陷未履行相关法定义务"/>
      <w:bookmarkEnd w:id="384"/>
      <w:r>
        <w:rPr>
          <w:b/>
          <w:color w:val="auto"/>
          <w:sz w:val="24"/>
        </w:rPr>
        <w:t>一百八十七、销售者对发现销售的产品存在安全缺陷未履行相关法定义务</w:t>
      </w:r>
    </w:p>
    <w:p>
      <w:pPr>
        <w:pStyle w:val="2"/>
        <w:spacing w:before="3"/>
        <w:rPr>
          <w:color w:val="auto"/>
        </w:rPr>
      </w:pPr>
      <w:r>
        <w:rPr>
          <w:color w:val="auto"/>
        </w:rPr>
        <w:t>（一）处罚依据</w:t>
      </w:r>
    </w:p>
    <w:p>
      <w:pPr>
        <w:pStyle w:val="4"/>
        <w:spacing w:before="192" w:line="391" w:lineRule="auto"/>
        <w:ind w:right="268" w:firstLine="480"/>
        <w:jc w:val="both"/>
        <w:rPr>
          <w:color w:val="auto"/>
        </w:rPr>
      </w:pPr>
      <w:r>
        <w:rPr>
          <w:color w:val="auto"/>
        </w:rPr>
        <w:t>《国务院关于加强食品等产品安全监督管理的特别规定》第九条 生产企业发现</w:t>
      </w:r>
      <w:r>
        <w:rPr>
          <w:color w:val="auto"/>
          <w:spacing w:val="-4"/>
        </w:rPr>
        <w:t>其生产的产品存在安全隐患，可能对人体健康和生命安全造成损害的，应当向社会公</w:t>
      </w:r>
      <w:r>
        <w:rPr>
          <w:color w:val="auto"/>
          <w:spacing w:val="-6"/>
        </w:rPr>
        <w:t>布有关信息，通知销售者停止销售，告知消费者停止使用，主动召回产品，并向有关</w:t>
      </w:r>
      <w:r>
        <w:rPr>
          <w:color w:val="auto"/>
          <w:spacing w:val="-5"/>
        </w:rPr>
        <w:t>监督管理部门报告；销售者应当立即停止销售该产品。销售者发现其销售的产品存在</w:t>
      </w:r>
      <w:r>
        <w:rPr>
          <w:color w:val="auto"/>
          <w:spacing w:val="-6"/>
        </w:rPr>
        <w:t>安全隐患，可能对人体健康和生命安全造成损害的，应当立即停止销售该产品，通知</w:t>
      </w:r>
      <w:r>
        <w:rPr>
          <w:color w:val="auto"/>
        </w:rPr>
        <w:t>生产企业或者供货商，并向有关监督管理部门报告。</w:t>
      </w:r>
    </w:p>
    <w:p>
      <w:pPr>
        <w:pStyle w:val="4"/>
        <w:spacing w:line="391" w:lineRule="auto"/>
        <w:ind w:right="232" w:firstLine="480"/>
        <w:jc w:val="both"/>
        <w:rPr>
          <w:color w:val="auto"/>
        </w:rPr>
      </w:pPr>
      <w:r>
        <w:rPr>
          <w:color w:val="auto"/>
          <w:spacing w:val="-1"/>
        </w:rPr>
        <w:t>生产企业和销售者不履行前款规定义务的，由农业、卫生、质检、商务、工商、</w:t>
      </w:r>
      <w:r>
        <w:rPr>
          <w:color w:val="auto"/>
          <w:spacing w:val="-3"/>
        </w:rPr>
        <w:t>药品等监督管理部门依据各自职责，责令生产企业召回产品、销售者停止销售，对生</w:t>
      </w:r>
      <w:r>
        <w:rPr>
          <w:color w:val="auto"/>
          <w:spacing w:val="-8"/>
        </w:rPr>
        <w:t xml:space="preserve">产企业并处货值金额 </w:t>
      </w:r>
      <w:r>
        <w:rPr>
          <w:color w:val="auto"/>
        </w:rPr>
        <w:t>3</w:t>
      </w:r>
      <w:r>
        <w:rPr>
          <w:color w:val="auto"/>
          <w:spacing w:val="-12"/>
        </w:rPr>
        <w:t xml:space="preserve"> 倍的罚款，对销售者并处 </w:t>
      </w:r>
      <w:r>
        <w:rPr>
          <w:color w:val="auto"/>
        </w:rPr>
        <w:t>1000</w:t>
      </w:r>
      <w:r>
        <w:rPr>
          <w:color w:val="auto"/>
          <w:spacing w:val="-21"/>
        </w:rPr>
        <w:t xml:space="preserve"> 元以上 </w:t>
      </w:r>
      <w:r>
        <w:rPr>
          <w:color w:val="auto"/>
        </w:rPr>
        <w:t>5</w:t>
      </w:r>
      <w:r>
        <w:rPr>
          <w:color w:val="auto"/>
          <w:spacing w:val="-7"/>
        </w:rPr>
        <w:t xml:space="preserve"> 万元以下的罚款；造成严重后果的，由原发证部门吊销许可证照。</w:t>
      </w:r>
    </w:p>
    <w:p>
      <w:pPr>
        <w:spacing w:before="0"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79"/>
        <w:ind w:left="591"/>
        <w:rPr>
          <w:color w:val="auto"/>
        </w:rPr>
      </w:pPr>
      <w:r>
        <w:rPr>
          <w:color w:val="auto"/>
        </w:rPr>
        <w:t>货值金额一万元以下的，处以一千元以上一万元以下的罚款。</w:t>
      </w:r>
    </w:p>
    <w:p>
      <w:pPr>
        <w:pStyle w:val="4"/>
        <w:spacing w:before="194"/>
        <w:ind w:left="591"/>
        <w:rPr>
          <w:color w:val="auto"/>
        </w:rPr>
      </w:pPr>
      <w:r>
        <w:rPr>
          <w:color w:val="auto"/>
        </w:rPr>
        <w:t>【一般】</w:t>
      </w:r>
    </w:p>
    <w:p>
      <w:pPr>
        <w:pStyle w:val="4"/>
        <w:spacing w:before="191"/>
        <w:ind w:left="591"/>
        <w:rPr>
          <w:color w:val="auto"/>
        </w:rPr>
      </w:pPr>
      <w:r>
        <w:rPr>
          <w:color w:val="auto"/>
        </w:rPr>
        <w:t>货值金额一万元以上五万元以下的，处以一万元以上三万元以下的罚款。</w:t>
      </w:r>
    </w:p>
    <w:p>
      <w:pPr>
        <w:pStyle w:val="4"/>
        <w:spacing w:before="192"/>
        <w:ind w:left="591"/>
        <w:rPr>
          <w:color w:val="auto"/>
        </w:rPr>
      </w:pPr>
      <w:r>
        <w:rPr>
          <w:color w:val="auto"/>
        </w:rPr>
        <w:t>【严重】</w:t>
      </w:r>
    </w:p>
    <w:p>
      <w:pPr>
        <w:pStyle w:val="4"/>
        <w:spacing w:before="194" w:line="388" w:lineRule="auto"/>
        <w:ind w:left="591" w:right="952"/>
        <w:rPr>
          <w:color w:val="auto"/>
        </w:rPr>
      </w:pPr>
      <w:r>
        <w:rPr>
          <w:color w:val="auto"/>
        </w:rPr>
        <w:t>货值金额五万元以上十万元以下的，处以三万元以上五万元以下的罚款。2、吊销营业执照</w:t>
      </w:r>
    </w:p>
    <w:p>
      <w:pPr>
        <w:pStyle w:val="13"/>
        <w:numPr>
          <w:ilvl w:val="0"/>
          <w:numId w:val="108"/>
        </w:numPr>
        <w:tabs>
          <w:tab w:val="left" w:pos="1193"/>
        </w:tabs>
        <w:spacing w:before="2" w:after="0" w:line="240" w:lineRule="auto"/>
        <w:ind w:left="1192" w:right="0" w:hanging="602"/>
        <w:jc w:val="left"/>
        <w:rPr>
          <w:color w:val="auto"/>
          <w:sz w:val="24"/>
        </w:rPr>
      </w:pPr>
      <w:r>
        <w:rPr>
          <w:color w:val="auto"/>
          <w:sz w:val="24"/>
        </w:rPr>
        <w:t>货值金额十万元以上的；</w:t>
      </w:r>
    </w:p>
    <w:p>
      <w:pPr>
        <w:pStyle w:val="13"/>
        <w:numPr>
          <w:ilvl w:val="0"/>
          <w:numId w:val="108"/>
        </w:numPr>
        <w:tabs>
          <w:tab w:val="left" w:pos="1193"/>
        </w:tabs>
        <w:spacing w:before="194" w:after="0" w:line="240" w:lineRule="auto"/>
        <w:ind w:left="1192" w:right="0" w:hanging="602"/>
        <w:jc w:val="left"/>
        <w:rPr>
          <w:color w:val="auto"/>
          <w:sz w:val="24"/>
        </w:rPr>
      </w:pPr>
      <w:r>
        <w:rPr>
          <w:color w:val="auto"/>
          <w:sz w:val="24"/>
        </w:rPr>
        <w:t>一年内实施两次以上同类违法行为且受到行政处罚的；</w:t>
      </w:r>
    </w:p>
    <w:p>
      <w:pPr>
        <w:pStyle w:val="13"/>
        <w:numPr>
          <w:ilvl w:val="0"/>
          <w:numId w:val="108"/>
        </w:numPr>
        <w:tabs>
          <w:tab w:val="left" w:pos="1193"/>
        </w:tabs>
        <w:spacing w:before="192" w:after="0" w:line="240" w:lineRule="auto"/>
        <w:ind w:left="1192" w:right="0" w:hanging="602"/>
        <w:jc w:val="left"/>
        <w:rPr>
          <w:color w:val="auto"/>
          <w:sz w:val="24"/>
        </w:rPr>
      </w:pPr>
      <w:r>
        <w:rPr>
          <w:color w:val="auto"/>
          <w:sz w:val="24"/>
        </w:rPr>
        <w:t>销售的产品给人民身体健康、生命财产安全造成严重后果的；</w:t>
      </w:r>
    </w:p>
    <w:p>
      <w:pPr>
        <w:pStyle w:val="13"/>
        <w:numPr>
          <w:ilvl w:val="0"/>
          <w:numId w:val="108"/>
        </w:numPr>
        <w:tabs>
          <w:tab w:val="left" w:pos="1193"/>
        </w:tabs>
        <w:spacing w:before="192" w:after="0" w:line="240" w:lineRule="auto"/>
        <w:ind w:left="1192" w:right="0" w:hanging="602"/>
        <w:jc w:val="left"/>
        <w:rPr>
          <w:color w:val="auto"/>
          <w:sz w:val="24"/>
        </w:rPr>
      </w:pPr>
      <w:r>
        <w:rPr>
          <w:color w:val="auto"/>
          <w:sz w:val="24"/>
        </w:rPr>
        <w:t>其他严重违法情形。</w:t>
      </w:r>
    </w:p>
    <w:p>
      <w:pPr>
        <w:spacing w:after="0" w:line="240" w:lineRule="auto"/>
        <w:jc w:val="left"/>
        <w:rPr>
          <w:color w:val="auto"/>
          <w:sz w:val="24"/>
        </w:rPr>
        <w:sectPr>
          <w:pgSz w:w="11910" w:h="16840"/>
          <w:pgMar w:top="1520" w:right="1260" w:bottom="1220" w:left="1420" w:header="0" w:footer="1034" w:gutter="0"/>
        </w:sectPr>
      </w:pPr>
    </w:p>
    <w:p>
      <w:pPr>
        <w:pStyle w:val="2"/>
        <w:spacing w:before="39" w:line="391" w:lineRule="auto"/>
        <w:ind w:left="111" w:right="193" w:firstLine="480"/>
        <w:rPr>
          <w:color w:val="auto"/>
        </w:rPr>
      </w:pPr>
      <w:bookmarkStart w:id="385" w:name="一百八十八、需要依法取得许可证照或者经认证的产品，不按照法定条件、要求从事生产经"/>
      <w:bookmarkEnd w:id="385"/>
      <w:bookmarkStart w:id="386" w:name="_bookmark192"/>
      <w:bookmarkEnd w:id="386"/>
      <w:r>
        <w:rPr>
          <w:color w:val="auto"/>
        </w:rPr>
        <w:t>一百八十八、需要依法取得许可证照或者经认证的产品，不按照法定条件、要求从事生产经营活动或者生产、销售不符合法定要求的产品</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5" w:firstLine="480"/>
        <w:jc w:val="both"/>
        <w:rPr>
          <w:color w:val="auto"/>
        </w:rPr>
      </w:pPr>
      <w:r>
        <w:rPr>
          <w:color w:val="auto"/>
        </w:rPr>
        <w:t>《国务院关于加强食品等产品安全监督管理的特别规定》第三条第二款 依照法</w:t>
      </w:r>
      <w:r>
        <w:rPr>
          <w:color w:val="auto"/>
          <w:spacing w:val="-6"/>
        </w:rPr>
        <w:t>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w:t>
      </w:r>
      <w:r>
        <w:rPr>
          <w:color w:val="auto"/>
          <w:spacing w:val="-5"/>
        </w:rPr>
        <w:t>理部门依据各自职责，没收违法所得、产品和用于违法生产的工具、设备、原材料等</w:t>
      </w:r>
      <w:r>
        <w:rPr>
          <w:color w:val="auto"/>
          <w:spacing w:val="-9"/>
        </w:rPr>
        <w:t xml:space="preserve">物品，货值金额不足 </w:t>
      </w:r>
      <w:r>
        <w:rPr>
          <w:color w:val="auto"/>
        </w:rPr>
        <w:t>5000</w:t>
      </w:r>
      <w:r>
        <w:rPr>
          <w:color w:val="auto"/>
          <w:spacing w:val="-20"/>
        </w:rPr>
        <w:t xml:space="preserve"> 元的，并处 </w:t>
      </w:r>
      <w:r>
        <w:rPr>
          <w:color w:val="auto"/>
        </w:rPr>
        <w:t>5</w:t>
      </w:r>
      <w:r>
        <w:rPr>
          <w:color w:val="auto"/>
          <w:spacing w:val="-14"/>
        </w:rPr>
        <w:t xml:space="preserve"> 万元罚款；货值金额 </w:t>
      </w:r>
      <w:r>
        <w:rPr>
          <w:color w:val="auto"/>
        </w:rPr>
        <w:t>5000</w:t>
      </w:r>
      <w:r>
        <w:rPr>
          <w:color w:val="auto"/>
          <w:spacing w:val="-18"/>
        </w:rPr>
        <w:t xml:space="preserve"> 元以上不足 </w:t>
      </w:r>
      <w:r>
        <w:rPr>
          <w:color w:val="auto"/>
        </w:rPr>
        <w:t>1</w:t>
      </w:r>
      <w:r>
        <w:rPr>
          <w:color w:val="auto"/>
          <w:spacing w:val="-25"/>
        </w:rPr>
        <w:t xml:space="preserve"> 万元</w:t>
      </w:r>
    </w:p>
    <w:p>
      <w:pPr>
        <w:pStyle w:val="4"/>
        <w:spacing w:line="391" w:lineRule="auto"/>
        <w:ind w:right="232"/>
        <w:jc w:val="both"/>
        <w:rPr>
          <w:color w:val="auto"/>
        </w:rPr>
      </w:pPr>
      <w:r>
        <w:rPr>
          <w:color w:val="auto"/>
          <w:spacing w:val="-11"/>
        </w:rPr>
        <w:t xml:space="preserve">的，并处 </w:t>
      </w:r>
      <w:r>
        <w:rPr>
          <w:color w:val="auto"/>
        </w:rPr>
        <w:t>10</w:t>
      </w:r>
      <w:r>
        <w:rPr>
          <w:color w:val="auto"/>
          <w:spacing w:val="-12"/>
        </w:rPr>
        <w:t xml:space="preserve"> 万元罚款；货值金额 </w:t>
      </w:r>
      <w:r>
        <w:rPr>
          <w:color w:val="auto"/>
        </w:rPr>
        <w:t>1</w:t>
      </w:r>
      <w:r>
        <w:rPr>
          <w:color w:val="auto"/>
          <w:spacing w:val="-12"/>
        </w:rPr>
        <w:t xml:space="preserve"> 万元以上的，并处货值金额 </w:t>
      </w:r>
      <w:r>
        <w:rPr>
          <w:color w:val="auto"/>
        </w:rPr>
        <w:t>10</w:t>
      </w:r>
      <w:r>
        <w:rPr>
          <w:color w:val="auto"/>
          <w:spacing w:val="-21"/>
        </w:rPr>
        <w:t xml:space="preserve"> 倍以上 </w:t>
      </w:r>
      <w:r>
        <w:rPr>
          <w:color w:val="auto"/>
        </w:rPr>
        <w:t>20</w:t>
      </w:r>
      <w:r>
        <w:rPr>
          <w:color w:val="auto"/>
          <w:spacing w:val="-14"/>
        </w:rPr>
        <w:t xml:space="preserve"> 倍以下</w:t>
      </w:r>
      <w:r>
        <w:rPr>
          <w:color w:val="auto"/>
          <w:spacing w:val="-15"/>
        </w:rPr>
        <w:t>的罚款；造成严重后果的，由原发证部门吊销许可证照；构成非法经营罪或者生产、</w:t>
      </w:r>
      <w:r>
        <w:rPr>
          <w:color w:val="auto"/>
        </w:rPr>
        <w:t>销售伪劣商品罪等犯罪的，依法追究刑事责任。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81" w:line="391" w:lineRule="auto"/>
        <w:ind w:right="213" w:firstLine="480"/>
        <w:rPr>
          <w:color w:val="auto"/>
        </w:rPr>
      </w:pPr>
      <w:r>
        <w:rPr>
          <w:color w:val="auto"/>
        </w:rPr>
        <w:t>货值金额一万元以上三万元以下的，没收违法所得、产品，并处货值金额十倍以上十三倍以下的罚款。</w:t>
      </w:r>
    </w:p>
    <w:p>
      <w:pPr>
        <w:pStyle w:val="4"/>
        <w:spacing w:line="306" w:lineRule="exact"/>
        <w:ind w:left="591"/>
        <w:rPr>
          <w:color w:val="auto"/>
        </w:rPr>
      </w:pPr>
      <w:r>
        <w:rPr>
          <w:color w:val="auto"/>
        </w:rPr>
        <w:t>【一般】</w:t>
      </w:r>
    </w:p>
    <w:p>
      <w:pPr>
        <w:pStyle w:val="4"/>
        <w:spacing w:before="192" w:line="391" w:lineRule="auto"/>
        <w:ind w:right="213" w:firstLine="480"/>
        <w:rPr>
          <w:color w:val="auto"/>
        </w:rPr>
      </w:pPr>
      <w:r>
        <w:rPr>
          <w:color w:val="auto"/>
        </w:rPr>
        <w:t>货值金额三万元以上七万元以下的，没收违法所得、产品，并处货值金额十三倍以上十七倍以下的罚款。</w:t>
      </w:r>
    </w:p>
    <w:p>
      <w:pPr>
        <w:pStyle w:val="4"/>
        <w:spacing w:line="306" w:lineRule="exact"/>
        <w:ind w:left="591"/>
        <w:rPr>
          <w:color w:val="auto"/>
        </w:rPr>
      </w:pPr>
      <w:r>
        <w:rPr>
          <w:color w:val="auto"/>
        </w:rPr>
        <w:t>【严重】</w:t>
      </w:r>
    </w:p>
    <w:p>
      <w:pPr>
        <w:pStyle w:val="4"/>
        <w:spacing w:before="191" w:line="391" w:lineRule="auto"/>
        <w:ind w:right="268" w:firstLine="480"/>
        <w:rPr>
          <w:color w:val="auto"/>
        </w:rPr>
      </w:pPr>
      <w:r>
        <w:rPr>
          <w:color w:val="auto"/>
          <w:spacing w:val="-5"/>
        </w:rPr>
        <w:t>货值金额七万元以上的，没收违法所得、产品，并处货值金额十七倍以上二十倍</w:t>
      </w:r>
      <w:r>
        <w:rPr>
          <w:color w:val="auto"/>
        </w:rPr>
        <w:t>以下的罚款。</w:t>
      </w:r>
    </w:p>
    <w:p>
      <w:pPr>
        <w:pStyle w:val="4"/>
        <w:spacing w:line="306" w:lineRule="exact"/>
        <w:ind w:left="711"/>
        <w:rPr>
          <w:color w:val="auto"/>
        </w:rPr>
      </w:pPr>
      <w:r>
        <w:rPr>
          <w:color w:val="auto"/>
        </w:rPr>
        <w:t>2、吊销营业执照</w:t>
      </w:r>
    </w:p>
    <w:p>
      <w:pPr>
        <w:pStyle w:val="13"/>
        <w:numPr>
          <w:ilvl w:val="0"/>
          <w:numId w:val="109"/>
        </w:numPr>
        <w:tabs>
          <w:tab w:val="left" w:pos="1193"/>
        </w:tabs>
        <w:spacing w:before="192" w:after="0" w:line="240" w:lineRule="auto"/>
        <w:ind w:left="1192" w:right="0" w:hanging="602"/>
        <w:jc w:val="left"/>
        <w:rPr>
          <w:color w:val="auto"/>
          <w:sz w:val="24"/>
        </w:rPr>
      </w:pPr>
      <w:r>
        <w:rPr>
          <w:color w:val="auto"/>
          <w:sz w:val="24"/>
        </w:rPr>
        <w:t>一年内实施两次以上同类违法行为且受到行政处罚的；</w:t>
      </w:r>
    </w:p>
    <w:p>
      <w:pPr>
        <w:pStyle w:val="13"/>
        <w:numPr>
          <w:ilvl w:val="0"/>
          <w:numId w:val="109"/>
        </w:numPr>
        <w:tabs>
          <w:tab w:val="left" w:pos="1193"/>
        </w:tabs>
        <w:spacing w:before="194" w:after="0" w:line="240" w:lineRule="auto"/>
        <w:ind w:left="1192" w:right="0" w:hanging="602"/>
        <w:jc w:val="left"/>
        <w:rPr>
          <w:color w:val="auto"/>
          <w:sz w:val="24"/>
        </w:rPr>
      </w:pPr>
      <w:r>
        <w:rPr>
          <w:color w:val="auto"/>
          <w:sz w:val="24"/>
        </w:rPr>
        <w:t>销售的产品给人民身体健康、生命财产安全造成严重后果的；</w:t>
      </w:r>
    </w:p>
    <w:p>
      <w:pPr>
        <w:pStyle w:val="13"/>
        <w:numPr>
          <w:ilvl w:val="0"/>
          <w:numId w:val="109"/>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1"/>
        <w:rPr>
          <w:color w:val="auto"/>
        </w:rPr>
      </w:pPr>
      <w:bookmarkStart w:id="387" w:name="一百八十九、依法应当取得许可证照而未取得许可证照从事生产经营活动"/>
      <w:bookmarkEnd w:id="387"/>
      <w:bookmarkStart w:id="388" w:name="_bookmark193"/>
      <w:bookmarkEnd w:id="388"/>
      <w:r>
        <w:rPr>
          <w:color w:val="auto"/>
        </w:rPr>
        <w:t>一百八十九、依法应当取得许可证照而未取得许可证照从事生产经营活动</w:t>
      </w:r>
    </w:p>
    <w:p>
      <w:pPr>
        <w:spacing w:after="0"/>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91" w:lineRule="auto"/>
        <w:ind w:right="148" w:firstLine="480"/>
        <w:rPr>
          <w:color w:val="auto"/>
        </w:rPr>
      </w:pPr>
      <w:r>
        <w:rPr>
          <w:color w:val="auto"/>
        </w:rPr>
        <w:t>《国务院关于加强食品等产品安全监督管理的特别规定》第三条第四款 依法应</w:t>
      </w:r>
      <w:r>
        <w:rPr>
          <w:color w:val="auto"/>
          <w:spacing w:val="-8"/>
        </w:rPr>
        <w:t>当取得许可证照而未取得许可证照从事生产经营活动的，由农业、卫生、质检、商务、</w:t>
      </w:r>
      <w:r>
        <w:rPr>
          <w:color w:val="auto"/>
          <w:spacing w:val="-5"/>
        </w:rPr>
        <w:t>工商、药品等监督管理部门依据各自职责，没收违法所得、产品和用于违法生产的工</w:t>
      </w:r>
      <w:r>
        <w:rPr>
          <w:color w:val="auto"/>
          <w:spacing w:val="-3"/>
        </w:rPr>
        <w:t xml:space="preserve">具、设备、原材料等物品，货值金额不足 </w:t>
      </w:r>
      <w:r>
        <w:rPr>
          <w:color w:val="auto"/>
        </w:rPr>
        <w:t>1</w:t>
      </w:r>
      <w:r>
        <w:rPr>
          <w:color w:val="auto"/>
          <w:spacing w:val="-14"/>
        </w:rPr>
        <w:t xml:space="preserve"> 万元的，并处 </w:t>
      </w:r>
      <w:r>
        <w:rPr>
          <w:color w:val="auto"/>
        </w:rPr>
        <w:t>10</w:t>
      </w:r>
      <w:r>
        <w:rPr>
          <w:color w:val="auto"/>
          <w:spacing w:val="-9"/>
        </w:rPr>
        <w:t xml:space="preserve"> 万元罚款；货值金额 </w:t>
      </w:r>
      <w:r>
        <w:rPr>
          <w:color w:val="auto"/>
        </w:rPr>
        <w:t>1</w:t>
      </w:r>
    </w:p>
    <w:p>
      <w:pPr>
        <w:pStyle w:val="4"/>
        <w:spacing w:line="388" w:lineRule="auto"/>
        <w:ind w:right="268"/>
        <w:rPr>
          <w:color w:val="auto"/>
        </w:rPr>
      </w:pPr>
      <w:r>
        <w:rPr>
          <w:color w:val="auto"/>
          <w:spacing w:val="-7"/>
        </w:rPr>
        <w:t xml:space="preserve">万元以上的，并处货值金额 </w:t>
      </w:r>
      <w:r>
        <w:rPr>
          <w:color w:val="auto"/>
        </w:rPr>
        <w:t>10</w:t>
      </w:r>
      <w:r>
        <w:rPr>
          <w:color w:val="auto"/>
          <w:spacing w:val="-24"/>
        </w:rPr>
        <w:t xml:space="preserve"> 倍以上 </w:t>
      </w:r>
      <w:r>
        <w:rPr>
          <w:color w:val="auto"/>
        </w:rPr>
        <w:t>20</w:t>
      </w:r>
      <w:r>
        <w:rPr>
          <w:color w:val="auto"/>
          <w:spacing w:val="-11"/>
        </w:rPr>
        <w:t xml:space="preserve"> 倍以下的罚款；构成非法经营罪的，依法追</w:t>
      </w:r>
      <w:r>
        <w:rPr>
          <w:color w:val="auto"/>
        </w:rPr>
        <w:t>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148" w:firstLine="480"/>
        <w:rPr>
          <w:color w:val="auto"/>
        </w:rPr>
      </w:pPr>
      <w:r>
        <w:rPr>
          <w:color w:val="auto"/>
          <w:spacing w:val="-10"/>
        </w:rPr>
        <w:t>货值金额一万元以上三万元以下的，没收违法所得、产品和用于违法生产的工具、</w:t>
      </w:r>
      <w:r>
        <w:rPr>
          <w:color w:val="auto"/>
        </w:rPr>
        <w:t>设备、原材料等物品，并处货值金额十倍以上十三倍以下的罚款。</w:t>
      </w:r>
    </w:p>
    <w:p>
      <w:pPr>
        <w:pStyle w:val="13"/>
        <w:numPr>
          <w:ilvl w:val="0"/>
          <w:numId w:val="110"/>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148" w:firstLine="480"/>
        <w:rPr>
          <w:color w:val="auto"/>
        </w:rPr>
      </w:pPr>
      <w:r>
        <w:rPr>
          <w:color w:val="auto"/>
          <w:spacing w:val="-10"/>
        </w:rPr>
        <w:t>货值金额三万元以上七万元以下的，没收违法所得、产品和用于违法生产的工具、</w:t>
      </w:r>
      <w:r>
        <w:rPr>
          <w:color w:val="auto"/>
        </w:rPr>
        <w:t>设备、原材料等物品，并处货值金额十三倍以上十七倍以下的罚款。</w:t>
      </w:r>
    </w:p>
    <w:p>
      <w:pPr>
        <w:pStyle w:val="13"/>
        <w:numPr>
          <w:ilvl w:val="0"/>
          <w:numId w:val="110"/>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货值金额七万元以上的，没收违法所得、产品和用于违法生产的工具、设备、原材料等物品，并处货值金额十七倍以上二十倍以下的罚款。</w:t>
      </w:r>
    </w:p>
    <w:p>
      <w:pPr>
        <w:pStyle w:val="4"/>
        <w:ind w:left="0"/>
        <w:rPr>
          <w:color w:val="auto"/>
        </w:rPr>
      </w:pPr>
    </w:p>
    <w:p>
      <w:pPr>
        <w:pStyle w:val="4"/>
        <w:tabs>
          <w:tab w:val="left" w:pos="959"/>
        </w:tabs>
        <w:spacing w:before="190"/>
        <w:ind w:left="0" w:right="161"/>
        <w:jc w:val="center"/>
        <w:rPr>
          <w:rFonts w:hint="eastAsia" w:ascii="黑体" w:eastAsia="黑体"/>
          <w:color w:val="auto"/>
        </w:rPr>
      </w:pPr>
      <w:bookmarkStart w:id="389" w:name="_bookmark194"/>
      <w:bookmarkEnd w:id="389"/>
      <w:bookmarkStart w:id="390" w:name="第六章  商标监督管理"/>
      <w:bookmarkEnd w:id="390"/>
      <w:r>
        <w:rPr>
          <w:rFonts w:hint="eastAsia" w:ascii="黑体" w:eastAsia="黑体"/>
          <w:color w:val="auto"/>
        </w:rPr>
        <w:t>第六章</w:t>
      </w:r>
      <w:r>
        <w:rPr>
          <w:rFonts w:hint="eastAsia" w:ascii="黑体" w:eastAsia="黑体"/>
          <w:color w:val="auto"/>
        </w:rPr>
        <w:tab/>
      </w:r>
      <w:r>
        <w:rPr>
          <w:rFonts w:hint="eastAsia" w:ascii="黑体" w:eastAsia="黑体"/>
          <w:color w:val="auto"/>
        </w:rPr>
        <w:t>商标监督管理</w:t>
      </w:r>
    </w:p>
    <w:p>
      <w:pPr>
        <w:pStyle w:val="4"/>
        <w:ind w:left="0"/>
        <w:rPr>
          <w:rFonts w:ascii="黑体"/>
          <w:color w:val="auto"/>
        </w:rPr>
      </w:pPr>
    </w:p>
    <w:p>
      <w:pPr>
        <w:pStyle w:val="4"/>
        <w:spacing w:before="1"/>
        <w:ind w:left="0"/>
        <w:rPr>
          <w:rFonts w:ascii="黑体"/>
          <w:color w:val="auto"/>
          <w:sz w:val="30"/>
        </w:rPr>
      </w:pPr>
    </w:p>
    <w:p>
      <w:pPr>
        <w:pStyle w:val="2"/>
        <w:rPr>
          <w:color w:val="auto"/>
        </w:rPr>
      </w:pPr>
      <w:bookmarkStart w:id="391" w:name="_bookmark195"/>
      <w:bookmarkEnd w:id="391"/>
      <w:bookmarkStart w:id="392" w:name="一百九十、必须使用注册商标的商品未经核准注册在市场上销售"/>
      <w:bookmarkEnd w:id="392"/>
      <w:r>
        <w:rPr>
          <w:color w:val="auto"/>
        </w:rPr>
        <w:t>一百九十、必须使用注册商标的商品未经核准注册在市场上销售</w:t>
      </w:r>
    </w:p>
    <w:p>
      <w:pPr>
        <w:spacing w:before="192"/>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rPr>
        <w:t>1</w:t>
      </w:r>
      <w:r>
        <w:rPr>
          <w:color w:val="auto"/>
          <w:spacing w:val="-9"/>
        </w:rPr>
        <w:t>、《中华人民共和国商标法》第五十一条 违反本法第六条规定的，由地方工商</w:t>
      </w:r>
      <w:r>
        <w:rPr>
          <w:color w:val="auto"/>
          <w:spacing w:val="-12"/>
        </w:rPr>
        <w:t>行政管理部门责令限期申请注册，违法经营额五万元以上的，可以处违法经营额百分</w:t>
      </w:r>
      <w:r>
        <w:rPr>
          <w:color w:val="auto"/>
          <w:spacing w:val="-5"/>
        </w:rPr>
        <w:t>之二十以下的罚款，没有违法经营额或者违法经营额不足五万元的，可以处一万元以</w:t>
      </w:r>
      <w:r>
        <w:rPr>
          <w:color w:val="auto"/>
        </w:rPr>
        <w:t>下的罚款。</w:t>
      </w:r>
    </w:p>
    <w:p>
      <w:pPr>
        <w:pStyle w:val="4"/>
        <w:spacing w:line="388" w:lineRule="auto"/>
        <w:ind w:right="268" w:firstLine="480"/>
        <w:jc w:val="both"/>
        <w:rPr>
          <w:color w:val="auto"/>
        </w:rPr>
      </w:pPr>
      <w:r>
        <w:rPr>
          <w:color w:val="auto"/>
        </w:rPr>
        <w:t>2</w:t>
      </w:r>
      <w:r>
        <w:rPr>
          <w:color w:val="auto"/>
          <w:spacing w:val="-8"/>
        </w:rPr>
        <w:t>、《中华人民共和国商标法》第六条 法律、行政法规规定必须使用注册商标的商品，必须申请商标注册，未经核准注册的，不得在市场销售。</w:t>
      </w:r>
    </w:p>
    <w:p>
      <w:pPr>
        <w:spacing w:after="0" w:line="388" w:lineRule="auto"/>
        <w:jc w:val="both"/>
        <w:rPr>
          <w:color w:val="auto"/>
        </w:rPr>
        <w:sectPr>
          <w:pgSz w:w="11910" w:h="16840"/>
          <w:pgMar w:top="1520" w:right="1260" w:bottom="1220" w:left="1420" w:header="0" w:footer="1034" w:gutter="0"/>
        </w:sectPr>
      </w:pPr>
    </w:p>
    <w:p>
      <w:pPr>
        <w:spacing w:before="39" w:line="391" w:lineRule="auto"/>
        <w:ind w:left="591" w:right="7068" w:hanging="12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722" w:hanging="10"/>
        <w:rPr>
          <w:color w:val="auto"/>
        </w:rPr>
      </w:pPr>
      <w:r>
        <w:rPr>
          <w:color w:val="auto"/>
          <w:spacing w:val="-1"/>
        </w:rPr>
        <w:t>没有违法经营额或者违法经营额不足五万元的，可以处一万元以下的罚款。</w:t>
      </w:r>
      <w:r>
        <w:rPr>
          <w:color w:val="auto"/>
        </w:rPr>
        <w:t>2.【一般】</w:t>
      </w:r>
    </w:p>
    <w:p>
      <w:pPr>
        <w:pStyle w:val="4"/>
        <w:spacing w:before="3" w:line="388" w:lineRule="auto"/>
        <w:ind w:left="591" w:right="472"/>
        <w:rPr>
          <w:color w:val="auto"/>
        </w:rPr>
      </w:pPr>
      <w:r>
        <w:rPr>
          <w:color w:val="auto"/>
          <w:spacing w:val="-1"/>
        </w:rPr>
        <w:t>违法经营额五万元以上十万元以下的，处以违法经营额百分之十以下的罚款。</w:t>
      </w:r>
      <w:r>
        <w:rPr>
          <w:color w:val="auto"/>
        </w:rPr>
        <w:t>3.【严重】</w:t>
      </w:r>
    </w:p>
    <w:p>
      <w:pPr>
        <w:pStyle w:val="4"/>
        <w:spacing w:before="2" w:line="391" w:lineRule="auto"/>
        <w:ind w:right="269" w:firstLine="480"/>
        <w:rPr>
          <w:color w:val="auto"/>
        </w:rPr>
      </w:pPr>
      <w:r>
        <w:rPr>
          <w:color w:val="auto"/>
        </w:rPr>
        <w:t>违法经营额十万元以上的，处以违法经营额百分之十以上百分之二十以下的罚款。</w:t>
      </w:r>
    </w:p>
    <w:p>
      <w:pPr>
        <w:pStyle w:val="2"/>
        <w:spacing w:line="388" w:lineRule="auto"/>
        <w:ind w:left="111" w:right="237" w:firstLine="480"/>
        <w:rPr>
          <w:color w:val="auto"/>
        </w:rPr>
      </w:pPr>
      <w:bookmarkStart w:id="393" w:name="一百九十一、使用未注册商标冒充注册商标或者使用法律禁止使用的标志作为未注册商标使"/>
      <w:bookmarkEnd w:id="393"/>
      <w:bookmarkStart w:id="394" w:name="_bookmark196"/>
      <w:bookmarkEnd w:id="394"/>
      <w:r>
        <w:rPr>
          <w:color w:val="auto"/>
          <w:spacing w:val="-9"/>
        </w:rPr>
        <w:t>一百九十一、使用未注册商标冒充注册商标或者使用法律禁止使用的标志作为未注册商标使用</w:t>
      </w:r>
    </w:p>
    <w:p>
      <w:pPr>
        <w:spacing w:before="3"/>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 xml:space="preserve">、《中华人民共和国商标法》第五十二条 将未注册商标冒充注册商标使用的， </w:t>
      </w:r>
      <w:r>
        <w:rPr>
          <w:color w:val="auto"/>
          <w:spacing w:val="-12"/>
        </w:rPr>
        <w:t>或者使用未注册商标违反本法第十条规定的，由地方工商行政管理部门予以制止，限</w:t>
      </w:r>
      <w:r>
        <w:rPr>
          <w:color w:val="auto"/>
          <w:spacing w:val="-6"/>
        </w:rPr>
        <w:t>期改正，并可以予以通报，违法经营额五万元以上的，可以处违法经营额百分之二十以下的罚款，没有违法经营额或者违法经营额不足五万元的，可以处一万元以下的罚</w:t>
      </w:r>
      <w:r>
        <w:rPr>
          <w:color w:val="auto"/>
        </w:rPr>
        <w:t>款。</w:t>
      </w:r>
    </w:p>
    <w:p>
      <w:pPr>
        <w:pStyle w:val="4"/>
        <w:spacing w:line="302" w:lineRule="exact"/>
        <w:ind w:left="591"/>
        <w:jc w:val="both"/>
        <w:rPr>
          <w:color w:val="auto"/>
        </w:rPr>
      </w:pPr>
      <w:r>
        <w:rPr>
          <w:color w:val="auto"/>
        </w:rPr>
        <w:t>2、《中华人民共和国商标法》第十条 下列标志不得作为商标使用：</w:t>
      </w:r>
    </w:p>
    <w:p>
      <w:pPr>
        <w:pStyle w:val="4"/>
        <w:spacing w:before="192" w:line="391" w:lineRule="auto"/>
        <w:ind w:right="232" w:firstLine="480"/>
        <w:jc w:val="both"/>
        <w:rPr>
          <w:color w:val="auto"/>
        </w:rPr>
      </w:pPr>
      <w:r>
        <w:rPr>
          <w:color w:val="auto"/>
        </w:rPr>
        <w:t>（一）同中华人民共和国的国家名称、国旗、国徽、国歌、军旗、军徽、军歌、勋章等相同或者近似的，以及同中央国家机关的名称、标志、所在地特定地点的名称或者标志性建筑物的名称、图形相同的；</w:t>
      </w:r>
    </w:p>
    <w:p>
      <w:pPr>
        <w:pStyle w:val="4"/>
        <w:spacing w:line="388" w:lineRule="auto"/>
        <w:ind w:right="215" w:firstLine="480"/>
        <w:rPr>
          <w:color w:val="auto"/>
        </w:rPr>
      </w:pPr>
      <w:r>
        <w:rPr>
          <w:color w:val="auto"/>
        </w:rPr>
        <w:t>（二）同外国的国家名称、国旗、国徽、军旗等相同或者近似的，但经该国政府同意的除外；</w:t>
      </w:r>
    </w:p>
    <w:p>
      <w:pPr>
        <w:pStyle w:val="4"/>
        <w:spacing w:before="1" w:line="388" w:lineRule="auto"/>
        <w:ind w:right="213" w:firstLine="480"/>
        <w:rPr>
          <w:color w:val="auto"/>
        </w:rPr>
      </w:pPr>
      <w:r>
        <w:rPr>
          <w:color w:val="auto"/>
        </w:rPr>
        <w:t>（三）同政府间国际组织的名称、旗帜、徽记等相同或者近似的，但经该组织同意或者不易误导公众的除外；</w:t>
      </w:r>
    </w:p>
    <w:p>
      <w:pPr>
        <w:pStyle w:val="4"/>
        <w:spacing w:before="2" w:line="391" w:lineRule="auto"/>
        <w:ind w:right="213" w:firstLine="480"/>
        <w:rPr>
          <w:color w:val="auto"/>
        </w:rPr>
      </w:pPr>
      <w:r>
        <w:rPr>
          <w:color w:val="auto"/>
        </w:rPr>
        <w:t>（四）与表明实施控制、予以保证的官方标志、检验印记相同或者近似的，但经授权的除外；</w:t>
      </w:r>
    </w:p>
    <w:p>
      <w:pPr>
        <w:pStyle w:val="4"/>
        <w:spacing w:line="306" w:lineRule="exact"/>
        <w:ind w:left="591"/>
        <w:rPr>
          <w:color w:val="auto"/>
        </w:rPr>
      </w:pPr>
      <w:r>
        <w:rPr>
          <w:color w:val="auto"/>
        </w:rPr>
        <w:t>（五）同“红十字”、“红新月”的名称、标志相同或者近似的；</w:t>
      </w:r>
    </w:p>
    <w:p>
      <w:pPr>
        <w:pStyle w:val="4"/>
        <w:spacing w:before="191"/>
        <w:ind w:left="591"/>
        <w:rPr>
          <w:color w:val="auto"/>
        </w:rPr>
      </w:pPr>
      <w:r>
        <w:rPr>
          <w:color w:val="auto"/>
        </w:rPr>
        <w:t>（六）带有民族歧视性的；</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（七）带有欺骗性，容易使公众对商品的质量等特点或者产地产生误认的；</w:t>
      </w:r>
    </w:p>
    <w:p>
      <w:pPr>
        <w:pStyle w:val="4"/>
        <w:spacing w:before="195"/>
        <w:ind w:left="591"/>
        <w:rPr>
          <w:color w:val="auto"/>
        </w:rPr>
      </w:pPr>
      <w:r>
        <w:rPr>
          <w:color w:val="auto"/>
        </w:rPr>
        <w:t>（八）有害于社会主义道德风尚或者有其他不良影响的。</w:t>
      </w:r>
    </w:p>
    <w:p>
      <w:pPr>
        <w:pStyle w:val="4"/>
        <w:spacing w:before="191" w:line="391" w:lineRule="auto"/>
        <w:ind w:right="268" w:firstLine="480"/>
        <w:jc w:val="both"/>
        <w:rPr>
          <w:color w:val="auto"/>
        </w:rPr>
      </w:pPr>
      <w:r>
        <w:rPr>
          <w:color w:val="auto"/>
          <w:spacing w:val="-4"/>
        </w:rPr>
        <w:t>县级以上行政区划的地名或者公众知晓的外国地名，不得作为商标。但是，地名具有其他含义或者作为集体商标、证明商标组成部分的除外；已经注册的使用地名的</w:t>
      </w:r>
      <w:r>
        <w:rPr>
          <w:color w:val="auto"/>
        </w:rPr>
        <w:t>商标继续有效。</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1" w:line="388" w:lineRule="auto"/>
        <w:ind w:right="218" w:firstLine="470"/>
        <w:rPr>
          <w:color w:val="auto"/>
        </w:rPr>
      </w:pPr>
      <w:r>
        <w:rPr>
          <w:color w:val="auto"/>
        </w:rPr>
        <w:t>没有违法经营额或者违法经营额不足五万元的，并可以予以通报，可以处一万元以下的罚款。</w:t>
      </w:r>
    </w:p>
    <w:p>
      <w:pPr>
        <w:pStyle w:val="13"/>
        <w:numPr>
          <w:ilvl w:val="0"/>
          <w:numId w:val="111"/>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213" w:firstLine="480"/>
        <w:rPr>
          <w:color w:val="auto"/>
        </w:rPr>
      </w:pPr>
      <w:r>
        <w:rPr>
          <w:color w:val="auto"/>
        </w:rPr>
        <w:t>违法经营额五万元以上十万元以下的，并可以予以通报，处以违法经营额百分之十以下的罚款。</w:t>
      </w:r>
    </w:p>
    <w:p>
      <w:pPr>
        <w:pStyle w:val="13"/>
        <w:numPr>
          <w:ilvl w:val="0"/>
          <w:numId w:val="111"/>
        </w:numPr>
        <w:tabs>
          <w:tab w:val="left" w:pos="833"/>
        </w:tabs>
        <w:spacing w:before="2" w:after="0" w:line="240" w:lineRule="auto"/>
        <w:ind w:left="832" w:right="0" w:hanging="242"/>
        <w:jc w:val="left"/>
        <w:rPr>
          <w:color w:val="auto"/>
          <w:sz w:val="24"/>
        </w:rPr>
      </w:pPr>
      <w:r>
        <w:rPr>
          <w:color w:val="auto"/>
          <w:sz w:val="24"/>
        </w:rPr>
        <w:t>【严重】</w:t>
      </w:r>
    </w:p>
    <w:p>
      <w:pPr>
        <w:pStyle w:val="4"/>
        <w:spacing w:before="195" w:line="388" w:lineRule="auto"/>
        <w:ind w:right="213" w:firstLine="480"/>
        <w:rPr>
          <w:color w:val="auto"/>
        </w:rPr>
      </w:pPr>
      <w:r>
        <w:rPr>
          <w:color w:val="auto"/>
        </w:rPr>
        <w:t>违法经营额十万元以上的，并可以予以通报，处以违法经营额百分之十以上百分之二十以下的罚款。</w:t>
      </w:r>
    </w:p>
    <w:p>
      <w:pPr>
        <w:pStyle w:val="2"/>
        <w:spacing w:before="2"/>
        <w:rPr>
          <w:color w:val="auto"/>
        </w:rPr>
      </w:pPr>
      <w:bookmarkStart w:id="395" w:name="一百九十二、经许可使用他人注册商标但未标明被许可人的名称和商品产地"/>
      <w:bookmarkEnd w:id="395"/>
      <w:bookmarkStart w:id="396" w:name="_bookmark197"/>
      <w:bookmarkEnd w:id="396"/>
      <w:r>
        <w:rPr>
          <w:color w:val="auto"/>
        </w:rPr>
        <w:t>一百九十二、经许可使用他人注册商标但未标明被许可人的名称和商品产地</w:t>
      </w:r>
    </w:p>
    <w:p>
      <w:pPr>
        <w:spacing w:before="194"/>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1</w:t>
      </w:r>
      <w:r>
        <w:rPr>
          <w:color w:val="auto"/>
          <w:spacing w:val="-9"/>
        </w:rPr>
        <w:t>、《中华人民共和国商标法实施条例》第七十一条 违反商标法第四十三条第二</w:t>
      </w:r>
      <w:r>
        <w:rPr>
          <w:color w:val="auto"/>
          <w:spacing w:val="-10"/>
        </w:rPr>
        <w:t>款规定的，由工商行政管理部门责令限期改正；逾期不改正的，责令停止销售，拒不</w:t>
      </w:r>
      <w:r>
        <w:rPr>
          <w:color w:val="auto"/>
          <w:spacing w:val="-8"/>
        </w:rPr>
        <w:t xml:space="preserve">停止销售的，处 </w:t>
      </w:r>
      <w:r>
        <w:rPr>
          <w:color w:val="auto"/>
        </w:rPr>
        <w:t>10</w:t>
      </w:r>
      <w:r>
        <w:rPr>
          <w:color w:val="auto"/>
          <w:spacing w:val="-8"/>
        </w:rPr>
        <w:t xml:space="preserve"> 万元以下的罚款。</w:t>
      </w:r>
    </w:p>
    <w:p>
      <w:pPr>
        <w:pStyle w:val="4"/>
        <w:spacing w:line="388" w:lineRule="auto"/>
        <w:ind w:right="268" w:firstLine="480"/>
        <w:jc w:val="both"/>
        <w:rPr>
          <w:color w:val="auto"/>
        </w:rPr>
      </w:pPr>
      <w:r>
        <w:rPr>
          <w:color w:val="auto"/>
        </w:rPr>
        <w:t>2</w:t>
      </w:r>
      <w:r>
        <w:rPr>
          <w:color w:val="auto"/>
          <w:spacing w:val="-9"/>
        </w:rPr>
        <w:t>、《中华人民共和国商标法》第四十三条第二款 经许可使用他人注册商标的， 必须在使用该注册商标的商品上标明被许可人的名称和商品产地。</w:t>
      </w:r>
    </w:p>
    <w:p>
      <w:pPr>
        <w:spacing w:before="1" w:line="388" w:lineRule="auto"/>
        <w:ind w:left="591" w:right="6948" w:firstLine="0"/>
        <w:jc w:val="left"/>
        <w:rPr>
          <w:b/>
          <w:color w:val="auto"/>
          <w:spacing w:val="-5"/>
          <w:sz w:val="24"/>
        </w:rPr>
      </w:pPr>
      <w:r>
        <w:rPr>
          <w:b/>
          <w:color w:val="auto"/>
          <w:sz w:val="24"/>
        </w:rPr>
        <w:t>（二）</w:t>
      </w:r>
      <w:r>
        <w:rPr>
          <w:b/>
          <w:color w:val="auto"/>
          <w:spacing w:val="-5"/>
          <w:sz w:val="24"/>
        </w:rPr>
        <w:t>裁量标准</w:t>
      </w:r>
    </w:p>
    <w:p>
      <w:pPr>
        <w:keepNext w:val="0"/>
        <w:keepLines w:val="0"/>
        <w:widowControl/>
        <w:suppressLineNumbers w:val="0"/>
        <w:ind w:firstLine="693" w:firstLineChars="300"/>
        <w:jc w:val="left"/>
        <w:rPr>
          <w:rFonts w:hint="default" w:eastAsia="宋体"/>
          <w:b/>
          <w:color w:val="auto"/>
          <w:spacing w:val="-5"/>
          <w:sz w:val="24"/>
          <w:lang w:val="en-US" w:eastAsia="zh-CN"/>
        </w:rPr>
      </w:pPr>
      <w:r>
        <w:rPr>
          <w:rFonts w:hint="eastAsia"/>
          <w:b/>
          <w:color w:val="auto"/>
          <w:spacing w:val="-5"/>
          <w:sz w:val="24"/>
          <w:lang w:val="en-US" w:eastAsia="zh-CN"/>
        </w:rPr>
        <w:t>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spacing w:before="1" w:line="388"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4"/>
        <w:spacing w:before="2" w:line="391" w:lineRule="auto"/>
        <w:ind w:left="591" w:right="1432"/>
        <w:rPr>
          <w:color w:val="auto"/>
        </w:rPr>
      </w:pPr>
      <w:r>
        <w:rPr>
          <w:color w:val="auto"/>
          <w:spacing w:val="-1"/>
        </w:rPr>
        <w:t>逾期不改正，销售货值金额一万元以下的，处以三万元以下的罚款。</w:t>
      </w:r>
      <w:r>
        <w:rPr>
          <w:rFonts w:hint="eastAsia"/>
          <w:color w:val="auto"/>
          <w:lang w:val="en-US" w:eastAsia="zh-CN"/>
        </w:rPr>
        <w:t>3</w:t>
      </w:r>
      <w:r>
        <w:rPr>
          <w:color w:val="auto"/>
        </w:rPr>
        <w:t>.【一般】</w:t>
      </w:r>
    </w:p>
    <w:p>
      <w:pPr>
        <w:pStyle w:val="4"/>
        <w:spacing w:line="388" w:lineRule="auto"/>
        <w:ind w:right="224" w:firstLine="480"/>
        <w:rPr>
          <w:color w:val="auto"/>
        </w:rPr>
      </w:pPr>
      <w:r>
        <w:rPr>
          <w:color w:val="auto"/>
        </w:rPr>
        <w:t>逾期不改正，销售货值金额一万元以上三万元以下的，处以三万元以上七万元以下的罚款。</w:t>
      </w:r>
    </w:p>
    <w:p>
      <w:pPr>
        <w:pStyle w:val="4"/>
        <w:spacing w:before="39"/>
        <w:ind w:left="591"/>
        <w:rPr>
          <w:color w:val="auto"/>
        </w:rPr>
      </w:pPr>
      <w:r>
        <w:rPr>
          <w:rFonts w:hint="eastAsia"/>
          <w:color w:val="auto"/>
          <w:lang w:val="en-US" w:eastAsia="zh-CN"/>
        </w:rPr>
        <w:t>4</w:t>
      </w:r>
      <w:r>
        <w:rPr>
          <w:color w:val="auto"/>
        </w:rPr>
        <w:t>.【严重】</w:t>
      </w:r>
    </w:p>
    <w:p>
      <w:pPr>
        <w:spacing w:before="195" w:line="388" w:lineRule="auto"/>
        <w:ind w:left="591" w:right="232" w:firstLine="0"/>
        <w:jc w:val="left"/>
        <w:rPr>
          <w:b/>
          <w:color w:val="auto"/>
          <w:sz w:val="24"/>
        </w:rPr>
      </w:pPr>
      <w:r>
        <w:rPr>
          <w:color w:val="auto"/>
          <w:sz w:val="24"/>
        </w:rPr>
        <w:t>逾期不改正，销售货值金额三万元以上的，处以七万元以上十万元以下的罚款。</w:t>
      </w:r>
      <w:bookmarkStart w:id="397" w:name="一百九十三、侵犯注册商标专用权"/>
      <w:bookmarkEnd w:id="397"/>
      <w:bookmarkStart w:id="398" w:name="_bookmark198"/>
      <w:bookmarkEnd w:id="398"/>
      <w:r>
        <w:rPr>
          <w:b/>
          <w:color w:val="auto"/>
          <w:sz w:val="24"/>
        </w:rPr>
        <w:t>一百九十三、侵犯注册商标专用权</w:t>
      </w:r>
    </w:p>
    <w:p>
      <w:pPr>
        <w:pStyle w:val="2"/>
        <w:spacing w:before="2"/>
        <w:rPr>
          <w:color w:val="auto"/>
        </w:rPr>
      </w:pPr>
      <w:r>
        <w:rPr>
          <w:color w:val="auto"/>
        </w:rPr>
        <w:t>（一）处罚依据</w:t>
      </w:r>
    </w:p>
    <w:p>
      <w:pPr>
        <w:pStyle w:val="4"/>
        <w:spacing w:before="194" w:line="388" w:lineRule="auto"/>
        <w:ind w:right="268" w:firstLine="480"/>
        <w:jc w:val="both"/>
        <w:rPr>
          <w:color w:val="auto"/>
        </w:rPr>
      </w:pPr>
      <w:r>
        <w:rPr>
          <w:color w:val="auto"/>
        </w:rPr>
        <w:t>1</w:t>
      </w:r>
      <w:r>
        <w:rPr>
          <w:color w:val="auto"/>
          <w:spacing w:val="-9"/>
        </w:rPr>
        <w:t>、《中华人民共和国商标法》第六十条 有本法第五十七条所列侵犯注册商标专</w:t>
      </w:r>
      <w:r>
        <w:rPr>
          <w:color w:val="auto"/>
          <w:spacing w:val="-11"/>
        </w:rPr>
        <w:t>用权行为之一，引起纠纷的，由当事人协商解决；不愿协商或者协商不成的，商标注</w:t>
      </w:r>
      <w:r>
        <w:rPr>
          <w:color w:val="auto"/>
        </w:rPr>
        <w:t>册人或者利害关系人可以向人民法院起诉，也可以请求工商行政管理部门处理。</w:t>
      </w:r>
    </w:p>
    <w:p>
      <w:pPr>
        <w:pStyle w:val="4"/>
        <w:spacing w:before="5" w:line="388" w:lineRule="auto"/>
        <w:ind w:right="148" w:firstLine="480"/>
        <w:rPr>
          <w:color w:val="auto"/>
        </w:rPr>
      </w:pPr>
      <w:r>
        <w:rPr>
          <w:color w:val="auto"/>
          <w:spacing w:val="-11"/>
        </w:rPr>
        <w:t>工商行政管理部门处理时，认定侵权行为成立的，责令立即停止侵权行为，没收、</w:t>
      </w:r>
      <w:r>
        <w:rPr>
          <w:color w:val="auto"/>
          <w:spacing w:val="-3"/>
        </w:rPr>
        <w:t>销毁侵权商品和主要用于制造侵权商品、伪造注册商标标识的工具，违法经营额五万</w:t>
      </w:r>
      <w:r>
        <w:rPr>
          <w:color w:val="auto"/>
          <w:spacing w:val="-7"/>
        </w:rPr>
        <w:t>元以上的，可以处违法经营额五倍以下的罚款，没有违法经营额或者违法经营额不足</w:t>
      </w:r>
      <w:r>
        <w:rPr>
          <w:color w:val="auto"/>
          <w:spacing w:val="-8"/>
        </w:rPr>
        <w:t>五万元的，可以处二十五万元以下的罚款。对五年内实施两次以上商标侵权行为或者</w:t>
      </w:r>
      <w:r>
        <w:rPr>
          <w:color w:val="auto"/>
          <w:spacing w:val="-11"/>
        </w:rPr>
        <w:t>有其他严重情节的，应当从重处罚。</w:t>
      </w:r>
      <w:r>
        <w:rPr>
          <w:color w:val="auto"/>
          <w:spacing w:val="-11"/>
        </w:rPr>
        <w:t>销售不知道是侵犯注册商标专用权的商品，能</w:t>
      </w:r>
      <w:r>
        <w:rPr>
          <w:color w:val="auto"/>
          <w:spacing w:val="-11"/>
        </w:rPr>
        <w:t>证明该商品是自己合法取得并说明提供者的，由工商行政管理部门责令停止销售。</w:t>
      </w:r>
    </w:p>
    <w:p>
      <w:pPr>
        <w:pStyle w:val="4"/>
        <w:spacing w:before="11" w:line="388" w:lineRule="auto"/>
        <w:ind w:right="268" w:firstLine="600"/>
        <w:rPr>
          <w:color w:val="auto"/>
        </w:rPr>
      </w:pPr>
      <w:r>
        <w:rPr>
          <w:color w:val="auto"/>
        </w:rPr>
        <w:t>2</w:t>
      </w:r>
      <w:r>
        <w:rPr>
          <w:color w:val="auto"/>
          <w:spacing w:val="-14"/>
        </w:rPr>
        <w:t>、《中华人民共和国商标法》第五十七条 有下列行为之一的，均属侵犯注册商</w:t>
      </w:r>
      <w:r>
        <w:rPr>
          <w:color w:val="auto"/>
        </w:rPr>
        <w:t>标专用权：</w:t>
      </w:r>
    </w:p>
    <w:p>
      <w:pPr>
        <w:pStyle w:val="4"/>
        <w:spacing w:before="3"/>
        <w:ind w:left="591"/>
        <w:rPr>
          <w:color w:val="auto"/>
        </w:rPr>
      </w:pPr>
      <w:r>
        <w:rPr>
          <w:color w:val="auto"/>
        </w:rPr>
        <w:t>（一</w:t>
      </w:r>
      <w:r>
        <w:rPr>
          <w:color w:val="auto"/>
          <w:spacing w:val="-80"/>
        </w:rPr>
        <w:t>）</w:t>
      </w:r>
      <w:r>
        <w:rPr>
          <w:color w:val="auto"/>
          <w:spacing w:val="-8"/>
        </w:rPr>
        <w:t>未经商标注册人的许可，在同一种商品上使用与其注册商标相同的商标的；</w:t>
      </w:r>
    </w:p>
    <w:p>
      <w:pPr>
        <w:pStyle w:val="4"/>
        <w:spacing w:before="194" w:line="388" w:lineRule="auto"/>
        <w:ind w:right="232" w:firstLine="480"/>
        <w:rPr>
          <w:color w:val="auto"/>
        </w:rPr>
      </w:pPr>
      <w:r>
        <w:rPr>
          <w:color w:val="auto"/>
        </w:rPr>
        <w:t>（二）未经商标注册人的许可，在同一种商品上使用与其注册商标近似的商标， 或者在类似商品上使用与其注册商标相同或者近似的商标，容易导致混淆的；</w:t>
      </w:r>
    </w:p>
    <w:p>
      <w:pPr>
        <w:pStyle w:val="4"/>
        <w:spacing w:before="2"/>
        <w:ind w:left="591"/>
        <w:rPr>
          <w:color w:val="auto"/>
        </w:rPr>
      </w:pPr>
      <w:r>
        <w:rPr>
          <w:color w:val="auto"/>
        </w:rPr>
        <w:t>（三）销售侵犯注册商标专用权的商品的；</w:t>
      </w:r>
    </w:p>
    <w:p>
      <w:pPr>
        <w:pStyle w:val="4"/>
        <w:spacing w:before="194" w:line="388" w:lineRule="auto"/>
        <w:ind w:right="213" w:firstLine="480"/>
        <w:rPr>
          <w:color w:val="auto"/>
        </w:rPr>
      </w:pPr>
      <w:r>
        <w:rPr>
          <w:color w:val="auto"/>
        </w:rPr>
        <w:t>（四）伪造、擅自制造他人注册商标标识或者销售伪造、擅自制造的注册商标标识的；</w:t>
      </w:r>
    </w:p>
    <w:p>
      <w:pPr>
        <w:pStyle w:val="4"/>
        <w:spacing w:before="2" w:line="391" w:lineRule="auto"/>
        <w:ind w:right="213" w:firstLine="480"/>
        <w:rPr>
          <w:color w:val="auto"/>
        </w:rPr>
      </w:pPr>
      <w:r>
        <w:rPr>
          <w:color w:val="auto"/>
        </w:rPr>
        <w:t>（五）未经商标注册人同意，更换其注册商标并将该更换商标的商品又投入市场的；</w:t>
      </w:r>
    </w:p>
    <w:p>
      <w:pPr>
        <w:pStyle w:val="4"/>
        <w:spacing w:line="388" w:lineRule="auto"/>
        <w:ind w:right="213" w:firstLine="480"/>
        <w:rPr>
          <w:color w:val="auto"/>
        </w:rPr>
      </w:pPr>
      <w:r>
        <w:rPr>
          <w:color w:val="auto"/>
        </w:rPr>
        <w:t>（六）故意为侵犯他人商标专用权行为提供便利条件，帮助他人实施侵犯商标专用权行为的；</w:t>
      </w:r>
    </w:p>
    <w:p>
      <w:pPr>
        <w:pStyle w:val="4"/>
        <w:spacing w:before="3"/>
        <w:ind w:left="591"/>
        <w:rPr>
          <w:color w:val="auto"/>
        </w:rPr>
      </w:pPr>
      <w:r>
        <w:rPr>
          <w:color w:val="auto"/>
        </w:rPr>
        <w:t>（七）给他人的注册商标专用权造成其他损害的。</w:t>
      </w:r>
    </w:p>
    <w:p>
      <w:pPr>
        <w:pStyle w:val="2"/>
        <w:spacing w:before="191"/>
        <w:rPr>
          <w:color w:val="auto"/>
        </w:rPr>
      </w:pPr>
      <w:r>
        <w:rPr>
          <w:color w:val="auto"/>
        </w:rPr>
        <w:t>（二）裁量标准</w:t>
      </w:r>
    </w:p>
    <w:p>
      <w:pPr>
        <w:pStyle w:val="4"/>
        <w:spacing w:before="192"/>
        <w:ind w:left="591"/>
        <w:rPr>
          <w:rFonts w:hint="default" w:eastAsia="宋体"/>
          <w:color w:val="auto"/>
          <w:lang w:val="en-US" w:eastAsia="zh-CN"/>
        </w:rPr>
      </w:pPr>
      <w:r>
        <w:rPr>
          <w:rFonts w:hint="eastAsia"/>
          <w:color w:val="auto"/>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能证明合法取得,并说明提供者；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未造成危害后果</w:t>
      </w:r>
    </w:p>
    <w:p>
      <w:pPr>
        <w:pStyle w:val="4"/>
        <w:spacing w:before="192"/>
        <w:ind w:left="591"/>
        <w:rPr>
          <w:color w:val="auto"/>
        </w:rPr>
      </w:pPr>
      <w:r>
        <w:rPr>
          <w:rFonts w:hint="eastAsia"/>
          <w:color w:val="auto"/>
          <w:lang w:val="en-US" w:eastAsia="zh-CN"/>
        </w:rPr>
        <w:t>2</w:t>
      </w:r>
      <w:r>
        <w:rPr>
          <w:color w:val="auto"/>
        </w:rPr>
        <w:t>、没有违法经营额或者违法经营额不足五万元</w:t>
      </w:r>
    </w:p>
    <w:p>
      <w:pPr>
        <w:pStyle w:val="4"/>
        <w:spacing w:before="39"/>
        <w:ind w:left="591"/>
        <w:rPr>
          <w:color w:val="auto"/>
        </w:rPr>
      </w:pPr>
      <w:r>
        <w:rPr>
          <w:color w:val="auto"/>
        </w:rPr>
        <w:t>【较轻】</w:t>
      </w:r>
    </w:p>
    <w:p>
      <w:pPr>
        <w:pStyle w:val="4"/>
        <w:spacing w:before="195" w:line="388" w:lineRule="auto"/>
        <w:ind w:right="213" w:firstLine="480"/>
        <w:rPr>
          <w:color w:val="auto"/>
        </w:rPr>
      </w:pPr>
      <w:r>
        <w:rPr>
          <w:color w:val="auto"/>
        </w:rPr>
        <w:t>没有违法经营额或者违法经营额三万元以下的，没收侵权商品和主要用于制造侵权商品、伪造注册商标标识的工具，可以处三万元以下的罚款。</w:t>
      </w:r>
    </w:p>
    <w:p>
      <w:pPr>
        <w:pStyle w:val="4"/>
        <w:spacing w:before="2"/>
        <w:ind w:left="591"/>
        <w:rPr>
          <w:color w:val="auto"/>
        </w:rPr>
      </w:pPr>
      <w:r>
        <w:rPr>
          <w:color w:val="auto"/>
        </w:rPr>
        <w:t>【一般】</w:t>
      </w:r>
    </w:p>
    <w:p>
      <w:pPr>
        <w:pStyle w:val="4"/>
        <w:spacing w:before="194" w:line="388" w:lineRule="auto"/>
        <w:ind w:right="232" w:firstLine="480"/>
        <w:rPr>
          <w:color w:val="auto"/>
        </w:rPr>
      </w:pPr>
      <w:r>
        <w:rPr>
          <w:color w:val="auto"/>
        </w:rPr>
        <w:t>违法经营额三万元以上五万元以下的，没收侵权商品和主要用于制造侵权商品、伪造注册商标标识的工具，处以三万元以上五万元以下的罚款。</w:t>
      </w:r>
    </w:p>
    <w:p>
      <w:pPr>
        <w:pStyle w:val="4"/>
        <w:spacing w:before="2"/>
        <w:ind w:left="591"/>
        <w:rPr>
          <w:color w:val="auto"/>
        </w:rPr>
      </w:pPr>
      <w:r>
        <w:rPr>
          <w:color w:val="auto"/>
        </w:rPr>
        <w:t>【严重】</w:t>
      </w:r>
    </w:p>
    <w:p>
      <w:pPr>
        <w:pStyle w:val="4"/>
        <w:spacing w:before="194" w:line="388" w:lineRule="auto"/>
        <w:ind w:right="268" w:firstLine="480"/>
        <w:jc w:val="both"/>
        <w:rPr>
          <w:color w:val="auto"/>
        </w:rPr>
      </w:pPr>
      <w:r>
        <w:rPr>
          <w:color w:val="auto"/>
          <w:spacing w:val="-4"/>
        </w:rPr>
        <w:t>实施第</w:t>
      </w:r>
      <w:r>
        <w:rPr>
          <w:color w:val="auto"/>
        </w:rPr>
        <w:t>（一</w:t>
      </w:r>
      <w:r>
        <w:rPr>
          <w:color w:val="auto"/>
          <w:spacing w:val="-10"/>
        </w:rPr>
        <w:t>）</w:t>
      </w:r>
      <w:r>
        <w:rPr>
          <w:color w:val="auto"/>
          <w:spacing w:val="-4"/>
        </w:rPr>
        <w:t>项违法行为，或者五年内实施两次以上商标侵权行为，或者有其他</w:t>
      </w:r>
      <w:r>
        <w:rPr>
          <w:color w:val="auto"/>
          <w:spacing w:val="-5"/>
        </w:rPr>
        <w:t>严重情节的，没收侵权商品和主要用于制造侵权商品、伪造注册商标标识的工具，处</w:t>
      </w:r>
      <w:r>
        <w:rPr>
          <w:color w:val="auto"/>
        </w:rPr>
        <w:t>以五万元以上二十五万元以下的罚款。</w:t>
      </w:r>
    </w:p>
    <w:p>
      <w:pPr>
        <w:pStyle w:val="4"/>
        <w:spacing w:before="6"/>
        <w:ind w:left="591"/>
        <w:rPr>
          <w:color w:val="auto"/>
        </w:rPr>
      </w:pPr>
      <w:r>
        <w:rPr>
          <w:rFonts w:hint="eastAsia"/>
          <w:color w:val="auto"/>
          <w:lang w:val="en-US" w:eastAsia="zh-CN"/>
        </w:rPr>
        <w:t>3</w:t>
      </w:r>
      <w:r>
        <w:rPr>
          <w:color w:val="auto"/>
        </w:rPr>
        <w:t>、违法经营额五万元以上</w:t>
      </w:r>
    </w:p>
    <w:p>
      <w:pPr>
        <w:pStyle w:val="4"/>
        <w:spacing w:before="191"/>
        <w:ind w:left="591"/>
        <w:rPr>
          <w:color w:val="auto"/>
        </w:rPr>
      </w:pPr>
      <w:r>
        <w:rPr>
          <w:color w:val="auto"/>
        </w:rPr>
        <w:t>【较轻】</w:t>
      </w:r>
    </w:p>
    <w:p>
      <w:pPr>
        <w:pStyle w:val="4"/>
        <w:spacing w:before="192" w:line="391" w:lineRule="auto"/>
        <w:ind w:right="213" w:firstLine="480"/>
        <w:rPr>
          <w:color w:val="auto"/>
        </w:rPr>
      </w:pPr>
      <w:r>
        <w:rPr>
          <w:color w:val="auto"/>
        </w:rPr>
        <w:t>违法经营额五万元以上二十万元以下，不构成犯罪的，没收侵权商品和主要用于制造侵权商品、伪造注册商标标识的工具，可以处违法经营额一倍以下的罚款。</w:t>
      </w:r>
    </w:p>
    <w:p>
      <w:pPr>
        <w:pStyle w:val="4"/>
        <w:spacing w:line="306" w:lineRule="exact"/>
        <w:ind w:left="591"/>
        <w:rPr>
          <w:color w:val="auto"/>
        </w:rPr>
      </w:pPr>
      <w:r>
        <w:rPr>
          <w:color w:val="auto"/>
        </w:rPr>
        <w:t>【一般】</w:t>
      </w:r>
    </w:p>
    <w:p>
      <w:pPr>
        <w:pStyle w:val="4"/>
        <w:spacing w:before="192" w:line="391" w:lineRule="auto"/>
        <w:ind w:right="268" w:firstLine="480"/>
        <w:jc w:val="both"/>
        <w:rPr>
          <w:color w:val="auto"/>
        </w:rPr>
      </w:pPr>
      <w:r>
        <w:rPr>
          <w:color w:val="auto"/>
          <w:spacing w:val="-4"/>
        </w:rPr>
        <w:t>违法经营额二十万元以上五十万元以下，不构成犯罪的，没收侵权商品和主要用</w:t>
      </w:r>
      <w:r>
        <w:rPr>
          <w:color w:val="auto"/>
          <w:spacing w:val="-5"/>
        </w:rPr>
        <w:t>于制造侵权商品、伪造注册商标标识的工具，处以违法经营额一倍以上三倍以下的罚</w:t>
      </w:r>
      <w:r>
        <w:rPr>
          <w:color w:val="auto"/>
        </w:rPr>
        <w:t>款。</w:t>
      </w:r>
    </w:p>
    <w:p>
      <w:pPr>
        <w:pStyle w:val="4"/>
        <w:spacing w:line="304" w:lineRule="exact"/>
        <w:ind w:left="591"/>
        <w:rPr>
          <w:color w:val="auto"/>
        </w:rPr>
      </w:pPr>
      <w:r>
        <w:rPr>
          <w:color w:val="auto"/>
        </w:rPr>
        <w:t>【严重】</w:t>
      </w:r>
    </w:p>
    <w:p>
      <w:pPr>
        <w:pStyle w:val="4"/>
        <w:spacing w:before="194" w:line="388" w:lineRule="auto"/>
        <w:ind w:right="268" w:firstLine="480"/>
        <w:jc w:val="both"/>
        <w:rPr>
          <w:color w:val="auto"/>
        </w:rPr>
      </w:pPr>
      <w:r>
        <w:rPr>
          <w:color w:val="auto"/>
          <w:spacing w:val="-4"/>
        </w:rPr>
        <w:t>违法经营额五十万元以上的，或者违法经营额五万元以上五十万元以下，但五年内实施两次以上商标侵权行为，不构成犯罪的，没收侵权商品和主要用于制造侵权商</w:t>
      </w:r>
      <w:r>
        <w:rPr>
          <w:color w:val="auto"/>
        </w:rPr>
        <w:t>品、伪造注册商标标识的工具，处以违法经营额三倍以上五倍以下的罚款。</w:t>
      </w:r>
    </w:p>
    <w:p>
      <w:pPr>
        <w:pStyle w:val="2"/>
        <w:spacing w:before="5"/>
        <w:rPr>
          <w:color w:val="auto"/>
        </w:rPr>
      </w:pPr>
      <w:bookmarkStart w:id="399" w:name="_bookmark199"/>
      <w:bookmarkEnd w:id="399"/>
      <w:bookmarkStart w:id="400" w:name="一百九十四、商标代理机构违法从事代理业务"/>
      <w:bookmarkEnd w:id="400"/>
      <w:r>
        <w:rPr>
          <w:color w:val="auto"/>
        </w:rPr>
        <w:t>一百九十四、商标代理机构违法从事代理业务</w:t>
      </w:r>
    </w:p>
    <w:p>
      <w:pPr>
        <w:spacing w:before="192"/>
        <w:ind w:left="591" w:right="0" w:firstLine="0"/>
        <w:jc w:val="left"/>
        <w:rPr>
          <w:b/>
          <w:color w:val="auto"/>
          <w:sz w:val="24"/>
        </w:rPr>
      </w:pPr>
      <w:r>
        <w:rPr>
          <w:b/>
          <w:color w:val="auto"/>
          <w:w w:val="95"/>
          <w:sz w:val="24"/>
        </w:rPr>
        <w:t>（一）处罚依据</w:t>
      </w:r>
    </w:p>
    <w:p>
      <w:pPr>
        <w:pStyle w:val="13"/>
        <w:numPr>
          <w:ilvl w:val="0"/>
          <w:numId w:val="112"/>
        </w:numPr>
        <w:tabs>
          <w:tab w:val="left" w:pos="833"/>
        </w:tabs>
        <w:spacing w:before="192" w:after="0" w:line="391" w:lineRule="auto"/>
        <w:ind w:left="111" w:right="232" w:firstLine="480"/>
        <w:jc w:val="left"/>
        <w:rPr>
          <w:color w:val="auto"/>
          <w:sz w:val="24"/>
        </w:rPr>
      </w:pPr>
      <w:r>
        <w:rPr>
          <w:color w:val="auto"/>
          <w:sz w:val="24"/>
        </w:rPr>
        <w:t>《中华人民共和国商标法》第六十八条 商标代理机构有下列行为之一的，由</w:t>
      </w:r>
      <w:r>
        <w:rPr>
          <w:color w:val="auto"/>
          <w:spacing w:val="-3"/>
          <w:sz w:val="24"/>
        </w:rPr>
        <w:t>工商行政管理部门责令限期改正，给予警告，处一万元以上十万元以下的罚款；对直</w:t>
      </w:r>
      <w:r>
        <w:rPr>
          <w:color w:val="auto"/>
          <w:spacing w:val="-4"/>
          <w:sz w:val="24"/>
        </w:rPr>
        <w:t xml:space="preserve">接负责的主管人员和其他直接责任人员给予警告，处五千元以上五万元以下的罚款； </w:t>
      </w:r>
      <w:r>
        <w:rPr>
          <w:color w:val="auto"/>
          <w:sz w:val="24"/>
        </w:rPr>
        <w:t>构成犯罪的，依法追究刑事责任：</w:t>
      </w:r>
    </w:p>
    <w:p>
      <w:pPr>
        <w:spacing w:after="0" w:line="391" w:lineRule="auto"/>
        <w:jc w:val="left"/>
        <w:rPr>
          <w:color w:val="auto"/>
          <w:sz w:val="24"/>
        </w:rPr>
        <w:sectPr>
          <w:footerReference r:id="rId23" w:type="default"/>
          <w:footerReference r:id="rId24" w:type="even"/>
          <w:pgSz w:w="11910" w:h="16840"/>
          <w:pgMar w:top="1520" w:right="1260" w:bottom="1220" w:left="1420" w:header="0" w:footer="1034" w:gutter="0"/>
        </w:sectPr>
      </w:pPr>
    </w:p>
    <w:p>
      <w:pPr>
        <w:pStyle w:val="4"/>
        <w:spacing w:before="39" w:line="391" w:lineRule="auto"/>
        <w:ind w:right="151" w:firstLine="480"/>
        <w:rPr>
          <w:color w:val="auto"/>
        </w:rPr>
      </w:pPr>
      <w:r>
        <w:rPr>
          <w:color w:val="auto"/>
        </w:rPr>
        <w:t>（一</w:t>
      </w:r>
      <w:r>
        <w:rPr>
          <w:color w:val="auto"/>
          <w:spacing w:val="-32"/>
        </w:rPr>
        <w:t>）</w:t>
      </w:r>
      <w:r>
        <w:rPr>
          <w:color w:val="auto"/>
          <w:spacing w:val="-11"/>
        </w:rPr>
        <w:t>办理商标事宜过程中，伪造、变造或者使用伪造、变造的法律文件、印章、</w:t>
      </w:r>
      <w:r>
        <w:rPr>
          <w:color w:val="auto"/>
        </w:rPr>
        <w:t>签名的；</w:t>
      </w:r>
    </w:p>
    <w:p>
      <w:pPr>
        <w:pStyle w:val="4"/>
        <w:spacing w:line="388" w:lineRule="auto"/>
        <w:ind w:right="213" w:firstLine="480"/>
        <w:rPr>
          <w:color w:val="auto"/>
        </w:rPr>
      </w:pPr>
      <w:r>
        <w:rPr>
          <w:color w:val="auto"/>
        </w:rPr>
        <w:t>（二）以诋毁其他商标代理机构等手段招徕商标代理业务或者以其他不正当手段扰乱商标代理市场秩序的；</w:t>
      </w:r>
    </w:p>
    <w:p>
      <w:pPr>
        <w:pStyle w:val="4"/>
        <w:spacing w:before="3"/>
        <w:ind w:left="591"/>
        <w:rPr>
          <w:color w:val="auto"/>
        </w:rPr>
      </w:pPr>
      <w:r>
        <w:rPr>
          <w:color w:val="auto"/>
        </w:rPr>
        <w:t>（三）违反本法第四条、第十九条第三款、第四款规定的。</w:t>
      </w:r>
    </w:p>
    <w:p>
      <w:pPr>
        <w:pStyle w:val="13"/>
        <w:numPr>
          <w:ilvl w:val="0"/>
          <w:numId w:val="112"/>
        </w:numPr>
        <w:tabs>
          <w:tab w:val="left" w:pos="833"/>
        </w:tabs>
        <w:spacing w:before="192" w:after="0" w:line="391" w:lineRule="auto"/>
        <w:ind w:left="111" w:right="268" w:firstLine="480"/>
        <w:jc w:val="both"/>
        <w:rPr>
          <w:color w:val="auto"/>
          <w:sz w:val="24"/>
        </w:rPr>
      </w:pPr>
      <w:r>
        <w:rPr>
          <w:color w:val="auto"/>
          <w:spacing w:val="-3"/>
          <w:sz w:val="24"/>
        </w:rPr>
        <w:t>《中华人民共和国商标法》第四条 自然人、法人或者其他组织在生产经营活</w:t>
      </w:r>
      <w:r>
        <w:rPr>
          <w:color w:val="auto"/>
          <w:spacing w:val="-6"/>
          <w:sz w:val="24"/>
        </w:rPr>
        <w:t>动中，对其商品或者服务需要取得商标专用权的，应当向商标局申请商标注册。不以</w:t>
      </w:r>
      <w:r>
        <w:rPr>
          <w:color w:val="auto"/>
          <w:sz w:val="24"/>
        </w:rPr>
        <w:t>使用为目的的恶意商标注册申请，应当予以驳回。</w:t>
      </w:r>
    </w:p>
    <w:p>
      <w:pPr>
        <w:pStyle w:val="4"/>
        <w:spacing w:line="304" w:lineRule="exact"/>
        <w:ind w:left="591"/>
        <w:rPr>
          <w:color w:val="auto"/>
        </w:rPr>
      </w:pPr>
      <w:r>
        <w:rPr>
          <w:color w:val="auto"/>
        </w:rPr>
        <w:t>本法有关商品商标的规定，适用于服务商标。</w:t>
      </w:r>
    </w:p>
    <w:p>
      <w:pPr>
        <w:pStyle w:val="13"/>
        <w:numPr>
          <w:ilvl w:val="0"/>
          <w:numId w:val="112"/>
        </w:numPr>
        <w:tabs>
          <w:tab w:val="left" w:pos="833"/>
        </w:tabs>
        <w:spacing w:before="192" w:after="0" w:line="391" w:lineRule="auto"/>
        <w:ind w:left="111" w:right="268" w:firstLine="480"/>
        <w:jc w:val="left"/>
        <w:rPr>
          <w:color w:val="auto"/>
          <w:sz w:val="24"/>
        </w:rPr>
      </w:pPr>
      <w:r>
        <w:rPr>
          <w:color w:val="auto"/>
          <w:sz w:val="24"/>
        </w:rPr>
        <w:t>《中华人民共和国商标法》第十九条第三款 商标代理机构知道或者应当知道</w:t>
      </w:r>
      <w:r>
        <w:rPr>
          <w:color w:val="auto"/>
          <w:spacing w:val="-4"/>
          <w:sz w:val="24"/>
        </w:rPr>
        <w:t>委托人申请注册的商标属于本法第四条、第十五条和第三十二条规定情形的，不得接</w:t>
      </w:r>
      <w:r>
        <w:rPr>
          <w:color w:val="auto"/>
          <w:sz w:val="24"/>
        </w:rPr>
        <w:t>受其委托。</w:t>
      </w:r>
    </w:p>
    <w:p>
      <w:pPr>
        <w:pStyle w:val="4"/>
        <w:spacing w:line="304" w:lineRule="exact"/>
        <w:ind w:left="591"/>
        <w:rPr>
          <w:color w:val="auto"/>
        </w:rPr>
      </w:pPr>
      <w:r>
        <w:rPr>
          <w:color w:val="auto"/>
        </w:rPr>
        <w:t>第四款 商标代理机构除对其代理服务申请商标注册外，不得申请注册其他商标。</w:t>
      </w:r>
    </w:p>
    <w:p>
      <w:pPr>
        <w:spacing w:before="194"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13" w:firstLine="480"/>
        <w:rPr>
          <w:color w:val="auto"/>
        </w:rPr>
      </w:pPr>
      <w:r>
        <w:rPr>
          <w:color w:val="auto"/>
        </w:rPr>
        <w:t>造成较轻危害后果的，给予警告，处以一万元以上二万元以下的罚款；对直接负责的主管人员和其他直接责任人员给予警告，处以五千元以上一万元以下的罚款。</w:t>
      </w:r>
    </w:p>
    <w:p>
      <w:pPr>
        <w:pStyle w:val="13"/>
        <w:numPr>
          <w:ilvl w:val="0"/>
          <w:numId w:val="113"/>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13" w:firstLine="480"/>
        <w:rPr>
          <w:color w:val="auto"/>
        </w:rPr>
      </w:pPr>
      <w:r>
        <w:rPr>
          <w:color w:val="auto"/>
        </w:rPr>
        <w:t>造成一定危害后果的，给予警告，处以二万元以上五万元以下的罚款；对直接负责的主管人员和其他直接责任人员给予警告，处以一万元以上二万元以下的罚款。</w:t>
      </w:r>
    </w:p>
    <w:p>
      <w:pPr>
        <w:pStyle w:val="13"/>
        <w:numPr>
          <w:ilvl w:val="0"/>
          <w:numId w:val="113"/>
        </w:numPr>
        <w:tabs>
          <w:tab w:val="left" w:pos="833"/>
        </w:tabs>
        <w:spacing w:before="0" w:after="0" w:line="306" w:lineRule="exact"/>
        <w:ind w:left="832" w:right="0" w:hanging="242"/>
        <w:jc w:val="left"/>
        <w:rPr>
          <w:color w:val="auto"/>
          <w:sz w:val="24"/>
        </w:rPr>
      </w:pPr>
      <w:r>
        <w:rPr>
          <w:color w:val="auto"/>
          <w:sz w:val="24"/>
        </w:rPr>
        <w:t>【严重】</w:t>
      </w:r>
    </w:p>
    <w:p>
      <w:pPr>
        <w:pStyle w:val="4"/>
        <w:spacing w:before="191" w:line="391" w:lineRule="auto"/>
        <w:ind w:right="232" w:firstLine="480"/>
        <w:rPr>
          <w:color w:val="auto"/>
        </w:rPr>
      </w:pPr>
      <w:r>
        <w:rPr>
          <w:color w:val="auto"/>
        </w:rPr>
        <w:t>造成较大危害后果的，给予警告，处以五万元以上十万元以下的罚款；对直接负责的主管人员和其他直接责任人员，给予警告，处以二万元以上五万元以下的罚款。</w:t>
      </w:r>
    </w:p>
    <w:p>
      <w:pPr>
        <w:pStyle w:val="2"/>
        <w:spacing w:line="306" w:lineRule="exact"/>
        <w:rPr>
          <w:color w:val="auto"/>
        </w:rPr>
      </w:pPr>
      <w:bookmarkStart w:id="401" w:name="一百九十五、侵犯奥林匹克标志专用权"/>
      <w:bookmarkEnd w:id="401"/>
      <w:bookmarkStart w:id="402" w:name="_bookmark200"/>
      <w:bookmarkEnd w:id="402"/>
      <w:r>
        <w:rPr>
          <w:color w:val="auto"/>
        </w:rPr>
        <w:t>一百九十五、侵犯奥林匹克标志专用权</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rPr>
        <w:t>《奥林匹克标志保护条例》第十二条 未经奥林匹克标志权利人许可，为商业目</w:t>
      </w:r>
      <w:r>
        <w:rPr>
          <w:color w:val="auto"/>
          <w:spacing w:val="-4"/>
        </w:rPr>
        <w:t>的擅自使用奥林匹克标志，或者使用足以引人误认的近似标志，即侵犯奥林匹克标志</w:t>
      </w:r>
      <w:r>
        <w:rPr>
          <w:color w:val="auto"/>
          <w:spacing w:val="-7"/>
        </w:rPr>
        <w:t>专有权，引起纠纷的，由当事人协商解决；不愿协商或者协商不成的，奥林匹克标志</w:t>
      </w:r>
    </w:p>
    <w:p>
      <w:pPr>
        <w:spacing w:after="0" w:line="388" w:lineRule="auto"/>
        <w:jc w:val="both"/>
        <w:rPr>
          <w:color w:val="auto"/>
        </w:rPr>
        <w:sectPr>
          <w:pgSz w:w="11910" w:h="16840"/>
          <w:pgMar w:top="1520" w:right="1260" w:bottom="1220" w:left="1420" w:header="0" w:footer="1034" w:gutter="0"/>
        </w:sectPr>
      </w:pPr>
    </w:p>
    <w:p>
      <w:pPr>
        <w:pStyle w:val="4"/>
        <w:spacing w:before="39" w:line="391" w:lineRule="auto"/>
        <w:ind w:right="148"/>
        <w:rPr>
          <w:color w:val="auto"/>
        </w:rPr>
      </w:pPr>
      <w:r>
        <w:rPr>
          <w:color w:val="auto"/>
          <w:spacing w:val="3"/>
        </w:rPr>
        <w:t>权利人或者利害关系人可以向人民法院提起诉讼，也可以请求市场监督管理部门处</w:t>
      </w:r>
      <w:r>
        <w:rPr>
          <w:color w:val="auto"/>
          <w:spacing w:val="-13"/>
        </w:rPr>
        <w:t>理。市场监督管理部门处理时，认定侵权行为成立的，责令立即停止侵权行为，没收、</w:t>
      </w:r>
      <w:r>
        <w:rPr>
          <w:color w:val="auto"/>
          <w:spacing w:val="3"/>
        </w:rPr>
        <w:t>销毁侵权商品和主要用于制造侵权商品或者为商业目的擅自制造奥林匹克标志的工</w:t>
      </w:r>
      <w:r>
        <w:rPr>
          <w:color w:val="auto"/>
          <w:spacing w:val="-11"/>
        </w:rPr>
        <w:t xml:space="preserve">具。违法经营额 </w:t>
      </w:r>
      <w:r>
        <w:rPr>
          <w:color w:val="auto"/>
        </w:rPr>
        <w:t>5</w:t>
      </w:r>
      <w:r>
        <w:rPr>
          <w:color w:val="auto"/>
          <w:spacing w:val="-12"/>
        </w:rPr>
        <w:t xml:space="preserve"> 万元以上的，可以并处违法经营额 </w:t>
      </w:r>
      <w:r>
        <w:rPr>
          <w:color w:val="auto"/>
        </w:rPr>
        <w:t>5</w:t>
      </w:r>
      <w:r>
        <w:rPr>
          <w:color w:val="auto"/>
          <w:spacing w:val="-9"/>
        </w:rPr>
        <w:t xml:space="preserve"> 倍以下的罚款，没有违法经营</w:t>
      </w:r>
    </w:p>
    <w:p>
      <w:pPr>
        <w:pStyle w:val="4"/>
        <w:spacing w:line="388" w:lineRule="auto"/>
        <w:ind w:right="266"/>
        <w:jc w:val="both"/>
        <w:rPr>
          <w:color w:val="auto"/>
        </w:rPr>
      </w:pPr>
      <w:r>
        <w:rPr>
          <w:color w:val="auto"/>
          <w:spacing w:val="-5"/>
        </w:rPr>
        <w:t xml:space="preserve">额或者违法经营额不足 </w:t>
      </w:r>
      <w:r>
        <w:rPr>
          <w:color w:val="auto"/>
        </w:rPr>
        <w:t>5</w:t>
      </w:r>
      <w:r>
        <w:rPr>
          <w:color w:val="auto"/>
          <w:spacing w:val="-11"/>
        </w:rPr>
        <w:t xml:space="preserve"> 万元的，可以并处 </w:t>
      </w:r>
      <w:r>
        <w:rPr>
          <w:color w:val="auto"/>
        </w:rPr>
        <w:t>25</w:t>
      </w:r>
      <w:r>
        <w:rPr>
          <w:color w:val="auto"/>
          <w:spacing w:val="-7"/>
        </w:rPr>
        <w:t xml:space="preserve"> 万元以下的罚款。当事人对处理决定</w:t>
      </w:r>
      <w:r>
        <w:rPr>
          <w:color w:val="auto"/>
          <w:spacing w:val="-18"/>
        </w:rPr>
        <w:t>不服的，可以依照《中华人民共和国行政复议法》申请行政复议，也可以直接依照《中</w:t>
      </w:r>
      <w:r>
        <w:rPr>
          <w:color w:val="auto"/>
          <w:spacing w:val="-4"/>
        </w:rPr>
        <w:t>华人民共和国行政诉讼法》向人民法院提起诉讼。进行处理的市场监督管理部门应当</w:t>
      </w:r>
      <w:r>
        <w:rPr>
          <w:color w:val="auto"/>
          <w:spacing w:val="-5"/>
        </w:rPr>
        <w:t>事人的请求，可以就侵犯奥林匹克标志专有权的赔偿数额进行调解；调解不成的，当</w:t>
      </w:r>
      <w:r>
        <w:rPr>
          <w:color w:val="auto"/>
        </w:rPr>
        <w:t>事人可以依照《中华人民共和国民事诉讼法》向人民法院提起诉讼。 利用奥林匹克标志进行诈骗等活动，构成犯罪的，依法追究刑事责任。</w:t>
      </w:r>
    </w:p>
    <w:p>
      <w:pPr>
        <w:pStyle w:val="2"/>
        <w:spacing w:before="8"/>
        <w:ind w:left="581"/>
        <w:rPr>
          <w:color w:val="auto"/>
        </w:rPr>
      </w:pPr>
      <w:r>
        <w:rPr>
          <w:color w:val="auto"/>
        </w:rPr>
        <w:t>（二）裁量标准</w:t>
      </w:r>
    </w:p>
    <w:p>
      <w:pPr>
        <w:pStyle w:val="4"/>
        <w:spacing w:before="192"/>
        <w:ind w:left="581"/>
        <w:rPr>
          <w:color w:val="auto"/>
        </w:rPr>
      </w:pPr>
      <w:r>
        <w:rPr>
          <w:color w:val="auto"/>
        </w:rPr>
        <w:t>1、没有违法经营额或者违法经营额不足五万元</w:t>
      </w:r>
    </w:p>
    <w:p>
      <w:pPr>
        <w:pStyle w:val="4"/>
        <w:spacing w:before="192"/>
        <w:ind w:left="581"/>
        <w:rPr>
          <w:color w:val="auto"/>
        </w:rPr>
      </w:pPr>
      <w:r>
        <w:rPr>
          <w:color w:val="auto"/>
        </w:rPr>
        <w:t>【较轻】</w:t>
      </w:r>
    </w:p>
    <w:p>
      <w:pPr>
        <w:pStyle w:val="4"/>
        <w:spacing w:before="194" w:line="388" w:lineRule="auto"/>
        <w:ind w:right="218" w:firstLine="470"/>
        <w:rPr>
          <w:color w:val="auto"/>
        </w:rPr>
      </w:pPr>
      <w:r>
        <w:rPr>
          <w:color w:val="auto"/>
        </w:rPr>
        <w:t>没有违法经营额或者违法经营额三万元以下的，没收侵权商品和专门用于制造侵权商品或者为商业目的擅自制造奥林匹克标志的工具，可以处三万元以下的罚款。</w:t>
      </w:r>
    </w:p>
    <w:p>
      <w:pPr>
        <w:pStyle w:val="4"/>
        <w:spacing w:before="2"/>
        <w:ind w:left="581"/>
        <w:rPr>
          <w:color w:val="auto"/>
        </w:rPr>
      </w:pPr>
      <w:r>
        <w:rPr>
          <w:color w:val="auto"/>
        </w:rPr>
        <w:t>【一般】</w:t>
      </w:r>
    </w:p>
    <w:p>
      <w:pPr>
        <w:pStyle w:val="4"/>
        <w:spacing w:before="194" w:line="388" w:lineRule="auto"/>
        <w:ind w:right="218" w:firstLine="470"/>
        <w:rPr>
          <w:color w:val="auto"/>
        </w:rPr>
      </w:pPr>
      <w:r>
        <w:rPr>
          <w:color w:val="auto"/>
        </w:rPr>
        <w:t>违法经营额三万元以上五万元以下的，没收侵权商品和专门用于制造侵权商品或者为商业目的擅自制造奥林匹克标志的工具，处以三万元以上五万元以下的罚款。</w:t>
      </w:r>
    </w:p>
    <w:p>
      <w:pPr>
        <w:pStyle w:val="4"/>
        <w:spacing w:before="2"/>
        <w:ind w:left="581"/>
        <w:rPr>
          <w:color w:val="auto"/>
        </w:rPr>
      </w:pPr>
      <w:r>
        <w:rPr>
          <w:color w:val="auto"/>
        </w:rPr>
        <w:t>【严重】</w:t>
      </w:r>
    </w:p>
    <w:p>
      <w:pPr>
        <w:pStyle w:val="4"/>
        <w:spacing w:before="194" w:line="388" w:lineRule="auto"/>
        <w:ind w:right="268" w:firstLine="470"/>
        <w:jc w:val="both"/>
        <w:rPr>
          <w:color w:val="auto"/>
        </w:rPr>
      </w:pPr>
      <w:r>
        <w:rPr>
          <w:color w:val="auto"/>
          <w:spacing w:val="-4"/>
        </w:rPr>
        <w:t>五年内实施两次以上侵权行为，或者有其他严重情节的，没收侵权商品和专门用</w:t>
      </w:r>
      <w:r>
        <w:rPr>
          <w:color w:val="auto"/>
          <w:spacing w:val="-3"/>
        </w:rPr>
        <w:t>于制造侵权商品或者为商业目的擅自制造奥林匹克标志的工具，处以五万元以上二十</w:t>
      </w:r>
      <w:r>
        <w:rPr>
          <w:color w:val="auto"/>
        </w:rPr>
        <w:t>五万元以下的罚款。</w:t>
      </w:r>
    </w:p>
    <w:p>
      <w:pPr>
        <w:pStyle w:val="4"/>
        <w:spacing w:before="6"/>
        <w:ind w:left="581"/>
        <w:rPr>
          <w:color w:val="auto"/>
        </w:rPr>
      </w:pPr>
      <w:r>
        <w:rPr>
          <w:color w:val="auto"/>
        </w:rPr>
        <w:t>2、违法经营额五万元以上</w:t>
      </w:r>
    </w:p>
    <w:p>
      <w:pPr>
        <w:pStyle w:val="4"/>
        <w:spacing w:before="191"/>
        <w:ind w:left="581"/>
        <w:rPr>
          <w:color w:val="auto"/>
        </w:rPr>
      </w:pPr>
      <w:r>
        <w:rPr>
          <w:color w:val="auto"/>
        </w:rPr>
        <w:t>【较轻】</w:t>
      </w:r>
    </w:p>
    <w:p>
      <w:pPr>
        <w:pStyle w:val="4"/>
        <w:spacing w:before="192" w:line="391" w:lineRule="auto"/>
        <w:ind w:right="268" w:firstLine="470"/>
        <w:jc w:val="both"/>
        <w:rPr>
          <w:color w:val="auto"/>
        </w:rPr>
      </w:pPr>
      <w:r>
        <w:rPr>
          <w:color w:val="auto"/>
          <w:spacing w:val="-3"/>
        </w:rPr>
        <w:t>违法经营额五万元以上二十万元以下，不构成犯罪的，没收侵权商品和专门用于制造侵权商品或者为商业目的擅自制造奥林匹克标志的工具，可以处违法经营额一倍</w:t>
      </w:r>
      <w:r>
        <w:rPr>
          <w:color w:val="auto"/>
        </w:rPr>
        <w:t>以下的罚款。</w:t>
      </w:r>
    </w:p>
    <w:p>
      <w:pPr>
        <w:pStyle w:val="4"/>
        <w:spacing w:line="304" w:lineRule="exact"/>
        <w:ind w:left="581"/>
        <w:rPr>
          <w:color w:val="auto"/>
        </w:rPr>
      </w:pPr>
      <w:r>
        <w:rPr>
          <w:color w:val="auto"/>
        </w:rPr>
        <w:t>【一般】</w:t>
      </w:r>
    </w:p>
    <w:p>
      <w:pPr>
        <w:spacing w:after="0" w:line="304" w:lineRule="exact"/>
        <w:rPr>
          <w:color w:val="auto"/>
        </w:rPr>
        <w:sectPr>
          <w:pgSz w:w="11910" w:h="16840"/>
          <w:pgMar w:top="1520" w:right="1260" w:bottom="1220" w:left="1420" w:header="0" w:footer="1034" w:gutter="0"/>
        </w:sectPr>
      </w:pPr>
    </w:p>
    <w:p>
      <w:pPr>
        <w:pStyle w:val="4"/>
        <w:spacing w:before="39" w:line="391" w:lineRule="auto"/>
        <w:ind w:right="268" w:firstLine="470"/>
        <w:jc w:val="both"/>
        <w:rPr>
          <w:color w:val="auto"/>
        </w:rPr>
      </w:pPr>
      <w:r>
        <w:rPr>
          <w:color w:val="auto"/>
          <w:spacing w:val="-3"/>
        </w:rPr>
        <w:t>违法经营额二十万元以上五十万元以下，不构成犯罪的，没收侵权商品和专门用于制造侵权商品或者为商业目的擅自制造奥林匹克标志的工具，处以违法经营额一倍</w:t>
      </w:r>
      <w:r>
        <w:rPr>
          <w:color w:val="auto"/>
        </w:rPr>
        <w:t>以上三倍以下的罚款。</w:t>
      </w:r>
    </w:p>
    <w:p>
      <w:pPr>
        <w:pStyle w:val="4"/>
        <w:spacing w:line="304" w:lineRule="exact"/>
        <w:ind w:left="581"/>
        <w:rPr>
          <w:color w:val="auto"/>
        </w:rPr>
      </w:pPr>
      <w:r>
        <w:rPr>
          <w:color w:val="auto"/>
        </w:rPr>
        <w:t>【严重】</w:t>
      </w:r>
    </w:p>
    <w:p>
      <w:pPr>
        <w:pStyle w:val="4"/>
        <w:spacing w:before="195" w:line="391" w:lineRule="auto"/>
        <w:ind w:right="268" w:firstLine="470"/>
        <w:jc w:val="both"/>
        <w:rPr>
          <w:color w:val="auto"/>
        </w:rPr>
      </w:pPr>
      <w:r>
        <w:rPr>
          <w:color w:val="auto"/>
          <w:spacing w:val="-4"/>
        </w:rPr>
        <w:t>违法经营额五十万元以上的，或者违法经营额五万元以上五十万元以下，但五年内实施两次以上商标侵权行为，不构成犯罪的，没收侵权商品和专门用于制造侵权商</w:t>
      </w:r>
      <w:r>
        <w:rPr>
          <w:color w:val="auto"/>
          <w:spacing w:val="-3"/>
        </w:rPr>
        <w:t>品或者为商业目的擅自制造奥林匹克标志的工具，处以违法经营额三倍以上五倍以下</w:t>
      </w:r>
      <w:r>
        <w:rPr>
          <w:color w:val="auto"/>
        </w:rPr>
        <w:t>的罚款。</w:t>
      </w:r>
    </w:p>
    <w:p>
      <w:pPr>
        <w:pStyle w:val="2"/>
        <w:spacing w:line="388" w:lineRule="auto"/>
        <w:ind w:left="111" w:right="240" w:firstLine="480"/>
        <w:rPr>
          <w:color w:val="auto"/>
        </w:rPr>
      </w:pPr>
      <w:bookmarkStart w:id="403" w:name="_bookmark201"/>
      <w:bookmarkEnd w:id="403"/>
      <w:bookmarkStart w:id="404" w:name="一百九十六、集体商标、证明商标注册人没有对该商标的使用进行有效管理或者控制，致使"/>
      <w:bookmarkEnd w:id="404"/>
      <w:r>
        <w:rPr>
          <w:color w:val="auto"/>
          <w:spacing w:val="-9"/>
        </w:rPr>
        <w:t>一百九十六、集体商标、证明商标注册人没有对该商标的使用进行有效管理或者控制，致使该商标使用的商品达不到其使用管理规则的要求，对消费者造成损害</w:t>
      </w:r>
    </w:p>
    <w:p>
      <w:pPr>
        <w:spacing w:before="0"/>
        <w:ind w:left="591" w:right="0" w:firstLine="0"/>
        <w:jc w:val="left"/>
        <w:rPr>
          <w:b/>
          <w:color w:val="auto"/>
          <w:sz w:val="24"/>
        </w:rPr>
      </w:pPr>
      <w:r>
        <w:rPr>
          <w:b/>
          <w:color w:val="auto"/>
          <w:sz w:val="24"/>
        </w:rPr>
        <w:t>（一）处罚依据</w:t>
      </w:r>
    </w:p>
    <w:p>
      <w:pPr>
        <w:pStyle w:val="4"/>
        <w:spacing w:before="190" w:line="391" w:lineRule="auto"/>
        <w:ind w:right="268" w:firstLine="470"/>
        <w:jc w:val="both"/>
        <w:rPr>
          <w:color w:val="auto"/>
        </w:rPr>
      </w:pPr>
      <w:r>
        <w:rPr>
          <w:color w:val="auto"/>
        </w:rPr>
        <w:t>《集体商标证明商标注册和管理办法》第二十一条 集体商标、证明商标注册人</w:t>
      </w:r>
      <w:r>
        <w:rPr>
          <w:color w:val="auto"/>
          <w:spacing w:val="-3"/>
        </w:rPr>
        <w:t>没有对该商标的使用进行有效管理或者控制，致使该商标使用的商品达不到其使用管</w:t>
      </w:r>
      <w:r>
        <w:rPr>
          <w:color w:val="auto"/>
          <w:spacing w:val="-5"/>
        </w:rPr>
        <w:t>理规则的要求，对消费者造成损害的，由工商行政管理部门责令限期改正；拒不改正</w:t>
      </w:r>
      <w:r>
        <w:rPr>
          <w:color w:val="auto"/>
          <w:spacing w:val="-7"/>
        </w:rPr>
        <w:t>的，处以违法所得三倍以下的罚款，但最高不超过三万元；没有违法所得的，处以一</w:t>
      </w:r>
      <w:r>
        <w:rPr>
          <w:color w:val="auto"/>
        </w:rPr>
        <w:t>万元以下的罚款。</w:t>
      </w:r>
    </w:p>
    <w:p>
      <w:pPr>
        <w:numPr>
          <w:ilvl w:val="0"/>
          <w:numId w:val="114"/>
        </w:numPr>
        <w:spacing w:before="0" w:line="388" w:lineRule="auto"/>
        <w:ind w:left="591" w:right="6957" w:hanging="10"/>
        <w:jc w:val="left"/>
        <w:rPr>
          <w:b/>
          <w:color w:val="auto"/>
          <w:sz w:val="24"/>
        </w:rPr>
      </w:pPr>
      <w:r>
        <w:rPr>
          <w:b/>
          <w:color w:val="auto"/>
          <w:sz w:val="24"/>
        </w:rPr>
        <w:t>裁量标准</w:t>
      </w:r>
    </w:p>
    <w:p>
      <w:pPr>
        <w:numPr>
          <w:ilvl w:val="0"/>
          <w:numId w:val="0"/>
        </w:numPr>
        <w:spacing w:before="0" w:line="388" w:lineRule="auto"/>
        <w:ind w:left="581" w:leftChars="0" w:right="6957" w:rightChars="0"/>
        <w:jc w:val="left"/>
        <w:rPr>
          <w:rFonts w:hint="default" w:eastAsia="宋体"/>
          <w:color w:val="auto"/>
          <w:sz w:val="24"/>
          <w:lang w:val="en-US" w:eastAsia="zh-CN"/>
        </w:rPr>
      </w:pPr>
      <w:r>
        <w:rPr>
          <w:rFonts w:hint="eastAsia"/>
          <w:color w:val="auto"/>
          <w:sz w:val="24"/>
          <w:lang w:val="en-US" w:eastAsia="zh-CN"/>
        </w:rPr>
        <w:t>1.【不予处罚】</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违法情节轻微； </w:t>
      </w:r>
    </w:p>
    <w:p>
      <w:pPr>
        <w:keepNext w:val="0"/>
        <w:keepLines w:val="0"/>
        <w:widowControl/>
        <w:suppressLineNumbers w:val="0"/>
        <w:ind w:firstLine="480" w:firstLineChars="2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没有违法所得</w:t>
      </w:r>
    </w:p>
    <w:p>
      <w:pPr>
        <w:numPr>
          <w:ilvl w:val="0"/>
          <w:numId w:val="0"/>
        </w:numPr>
        <w:spacing w:before="0" w:line="388" w:lineRule="auto"/>
        <w:ind w:left="581" w:leftChars="0" w:right="6957" w:rightChars="0"/>
        <w:jc w:val="left"/>
        <w:rPr>
          <w:color w:val="auto"/>
          <w:sz w:val="24"/>
        </w:rPr>
      </w:pPr>
      <w:r>
        <w:rPr>
          <w:rFonts w:hint="eastAsia"/>
          <w:color w:val="auto"/>
          <w:sz w:val="24"/>
          <w:lang w:val="en-US" w:eastAsia="zh-CN"/>
        </w:rPr>
        <w:t>2</w:t>
      </w:r>
      <w:r>
        <w:rPr>
          <w:color w:val="auto"/>
          <w:sz w:val="24"/>
        </w:rPr>
        <w:t>.【较轻】</w:t>
      </w:r>
    </w:p>
    <w:p>
      <w:pPr>
        <w:pStyle w:val="4"/>
        <w:spacing w:line="391" w:lineRule="auto"/>
        <w:ind w:right="213" w:firstLine="480"/>
        <w:rPr>
          <w:color w:val="auto"/>
        </w:rPr>
      </w:pPr>
      <w:r>
        <w:rPr>
          <w:color w:val="auto"/>
        </w:rPr>
        <w:t>第一次拒不改正的，处以违法所得一倍以下的罚款，但最高不超过三万元；没有违法所得的，处以三千元以下的罚款。</w:t>
      </w:r>
    </w:p>
    <w:p>
      <w:pPr>
        <w:pStyle w:val="13"/>
        <w:numPr>
          <w:ilvl w:val="0"/>
          <w:numId w:val="0"/>
        </w:numPr>
        <w:tabs>
          <w:tab w:val="left" w:pos="833"/>
        </w:tabs>
        <w:spacing w:before="0" w:after="0" w:line="306" w:lineRule="exact"/>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4"/>
        <w:spacing w:before="189" w:line="391" w:lineRule="auto"/>
        <w:ind w:right="213" w:firstLine="480"/>
        <w:rPr>
          <w:color w:val="auto"/>
        </w:rPr>
      </w:pPr>
      <w:r>
        <w:rPr>
          <w:color w:val="auto"/>
        </w:rPr>
        <w:t>第二次拒不改正的，处以违法所得一倍以上二倍以下的罚款，但最高不超过三万元；没有违法所得的，处以三千元以上七千元以下的罚款。</w:t>
      </w:r>
    </w:p>
    <w:p>
      <w:pPr>
        <w:pStyle w:val="13"/>
        <w:numPr>
          <w:ilvl w:val="0"/>
          <w:numId w:val="0"/>
        </w:numPr>
        <w:tabs>
          <w:tab w:val="left" w:pos="833"/>
        </w:tabs>
        <w:spacing w:before="0" w:after="0" w:line="306" w:lineRule="exact"/>
        <w:ind w:left="590" w:leftChars="0" w:right="0" w:rightChars="0"/>
        <w:jc w:val="left"/>
        <w:rPr>
          <w:color w:val="auto"/>
          <w:sz w:val="24"/>
        </w:rPr>
      </w:pPr>
      <w:r>
        <w:rPr>
          <w:rFonts w:hint="eastAsia"/>
          <w:color w:val="auto"/>
          <w:sz w:val="24"/>
          <w:lang w:val="en-US" w:eastAsia="zh-CN"/>
        </w:rPr>
        <w:t>4.</w:t>
      </w:r>
      <w:r>
        <w:rPr>
          <w:color w:val="auto"/>
          <w:sz w:val="24"/>
        </w:rPr>
        <w:t>【严重】</w:t>
      </w:r>
    </w:p>
    <w:p>
      <w:pPr>
        <w:pStyle w:val="4"/>
        <w:spacing w:before="191" w:line="391" w:lineRule="auto"/>
        <w:ind w:right="268" w:firstLine="480"/>
        <w:rPr>
          <w:color w:val="auto"/>
        </w:rPr>
      </w:pPr>
      <w:r>
        <w:rPr>
          <w:color w:val="auto"/>
          <w:spacing w:val="-4"/>
        </w:rPr>
        <w:t>三次以上拒不改正的，处以违法所得二倍以上三倍以下的罚款，但最高不超过三</w:t>
      </w:r>
      <w:r>
        <w:rPr>
          <w:color w:val="auto"/>
        </w:rPr>
        <w:t>万元；没有违法所得的，处以七千元以上一万元以下的罚款。</w:t>
      </w:r>
    </w:p>
    <w:p>
      <w:pPr>
        <w:pStyle w:val="2"/>
        <w:spacing w:line="306" w:lineRule="exact"/>
        <w:rPr>
          <w:color w:val="auto"/>
        </w:rPr>
      </w:pPr>
      <w:bookmarkStart w:id="405" w:name="_bookmark202"/>
      <w:bookmarkEnd w:id="405"/>
      <w:bookmarkStart w:id="406" w:name="一百九十七、集体商标注册人的成员发生变化未申请变更"/>
      <w:bookmarkEnd w:id="406"/>
      <w:r>
        <w:rPr>
          <w:color w:val="auto"/>
          <w:w w:val="95"/>
        </w:rPr>
        <w:t>一百九十七、集体商标注册人的成员发生变化未申请变更</w:t>
      </w:r>
    </w:p>
    <w:p>
      <w:pPr>
        <w:spacing w:before="192"/>
        <w:ind w:left="591" w:right="0" w:firstLine="0"/>
        <w:jc w:val="left"/>
        <w:rPr>
          <w:b/>
          <w:color w:val="auto"/>
          <w:sz w:val="24"/>
        </w:rPr>
      </w:pPr>
      <w:r>
        <w:rPr>
          <w:b/>
          <w:color w:val="auto"/>
          <w:sz w:val="24"/>
        </w:rPr>
        <w:t>（一）处罚依据</w:t>
      </w:r>
    </w:p>
    <w:p>
      <w:pPr>
        <w:pStyle w:val="4"/>
        <w:spacing w:before="39" w:line="391" w:lineRule="auto"/>
        <w:ind w:right="145" w:firstLine="470"/>
        <w:rPr>
          <w:color w:val="auto"/>
        </w:rPr>
      </w:pPr>
      <w:r>
        <w:rPr>
          <w:color w:val="auto"/>
        </w:rPr>
        <w:t>1</w:t>
      </w:r>
      <w:r>
        <w:rPr>
          <w:color w:val="auto"/>
          <w:spacing w:val="-12"/>
        </w:rPr>
        <w:t>、《集体商标证明商标注册和管理办法》第二十二条 违反实施条例第六条</w:t>
      </w:r>
      <w:r>
        <w:rPr>
          <w:color w:val="auto"/>
          <w:spacing w:val="-3"/>
        </w:rPr>
        <w:t>（</w:t>
      </w:r>
      <w:r>
        <w:rPr>
          <w:color w:val="auto"/>
          <w:spacing w:val="-7"/>
        </w:rPr>
        <w:t xml:space="preserve">注： </w:t>
      </w:r>
      <w:r>
        <w:rPr>
          <w:color w:val="auto"/>
          <w:spacing w:val="-1"/>
        </w:rPr>
        <w:t>对应修改后的实施条例第四条</w:t>
      </w:r>
      <w:r>
        <w:rPr>
          <w:color w:val="auto"/>
          <w:spacing w:val="-32"/>
        </w:rPr>
        <w:t>）</w:t>
      </w:r>
      <w:r>
        <w:rPr>
          <w:color w:val="auto"/>
          <w:spacing w:val="-14"/>
        </w:rPr>
        <w:t>、本办法第十四条、第十五条、第十七条、第十八条、</w:t>
      </w:r>
      <w:r>
        <w:rPr>
          <w:color w:val="auto"/>
          <w:spacing w:val="-4"/>
        </w:rPr>
        <w:t>第二十条规定的，由工商行政管理部门责令限期改正；拒不改正的，处以违法所得三倍以下的罚款，但最高不超过三万元；没有违法所得的，处以一万元以下的罚款。</w:t>
      </w:r>
    </w:p>
    <w:p>
      <w:pPr>
        <w:pStyle w:val="4"/>
        <w:spacing w:line="388" w:lineRule="auto"/>
        <w:ind w:right="271" w:firstLine="470"/>
        <w:rPr>
          <w:color w:val="auto"/>
        </w:rPr>
      </w:pPr>
      <w:r>
        <w:rPr>
          <w:color w:val="auto"/>
        </w:rPr>
        <w:t>2</w:t>
      </w:r>
      <w:r>
        <w:rPr>
          <w:color w:val="auto"/>
          <w:spacing w:val="-9"/>
        </w:rPr>
        <w:t>、《集体商标证明商标注册和管理办法》第十四条 集体商标注册人的成员发生变化的，注册人应当向商标局申请变更注册事项，由商标局公告。</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第一次拒不改正的，处以违法所得一倍以下的罚款，但最高不超过三万元；没有违法所得的，处以三千元以下的罚款。</w:t>
      </w:r>
    </w:p>
    <w:p>
      <w:pPr>
        <w:pStyle w:val="13"/>
        <w:numPr>
          <w:ilvl w:val="0"/>
          <w:numId w:val="115"/>
        </w:numPr>
        <w:tabs>
          <w:tab w:val="left" w:pos="833"/>
        </w:tabs>
        <w:spacing w:before="2" w:after="0" w:line="240" w:lineRule="auto"/>
        <w:ind w:left="832" w:right="0" w:hanging="242"/>
        <w:jc w:val="left"/>
        <w:rPr>
          <w:color w:val="auto"/>
          <w:sz w:val="24"/>
        </w:rPr>
      </w:pPr>
      <w:r>
        <w:rPr>
          <w:color w:val="auto"/>
          <w:sz w:val="24"/>
        </w:rPr>
        <w:t>【一般】</w:t>
      </w:r>
    </w:p>
    <w:p>
      <w:pPr>
        <w:pStyle w:val="4"/>
        <w:spacing w:before="192" w:line="388" w:lineRule="auto"/>
        <w:ind w:right="213" w:firstLine="480"/>
        <w:rPr>
          <w:color w:val="auto"/>
        </w:rPr>
      </w:pPr>
      <w:r>
        <w:rPr>
          <w:color w:val="auto"/>
        </w:rPr>
        <w:t>第二次拒不改正的，处以违法所得一倍以上二倍以下的罚款，但最高不超过三万元；没有违法所得的，处以三千元以上七千元以下的罚款。</w:t>
      </w:r>
    </w:p>
    <w:p>
      <w:pPr>
        <w:pStyle w:val="13"/>
        <w:numPr>
          <w:ilvl w:val="0"/>
          <w:numId w:val="115"/>
        </w:numPr>
        <w:tabs>
          <w:tab w:val="left" w:pos="833"/>
        </w:tabs>
        <w:spacing w:before="4" w:after="0" w:line="240" w:lineRule="auto"/>
        <w:ind w:left="832" w:right="0" w:hanging="242"/>
        <w:jc w:val="left"/>
        <w:rPr>
          <w:color w:val="auto"/>
          <w:sz w:val="24"/>
        </w:rPr>
      </w:pPr>
      <w:r>
        <w:rPr>
          <w:color w:val="auto"/>
          <w:sz w:val="24"/>
        </w:rPr>
        <w:t>【严重】</w:t>
      </w:r>
    </w:p>
    <w:p>
      <w:pPr>
        <w:pStyle w:val="4"/>
        <w:spacing w:before="192" w:line="388" w:lineRule="auto"/>
        <w:ind w:right="213" w:firstLine="480"/>
        <w:rPr>
          <w:color w:val="auto"/>
        </w:rPr>
      </w:pPr>
      <w:r>
        <w:rPr>
          <w:color w:val="auto"/>
        </w:rPr>
        <w:t>三次以上拒不改正的，处以违法所得二倍以上三倍以下的罚款，但最高不超过三万元；没有违法所得的，处以七千元以上一万元以下的罚款。</w:t>
      </w:r>
    </w:p>
    <w:p>
      <w:pPr>
        <w:pStyle w:val="2"/>
        <w:spacing w:before="5"/>
        <w:rPr>
          <w:color w:val="auto"/>
        </w:rPr>
      </w:pPr>
      <w:bookmarkStart w:id="407" w:name="_bookmark203"/>
      <w:bookmarkEnd w:id="407"/>
      <w:bookmarkStart w:id="408" w:name="一百九十八、证明商标注册人准许他人使用其商标但未在一年内报商标局备案"/>
      <w:bookmarkEnd w:id="408"/>
      <w:r>
        <w:rPr>
          <w:color w:val="auto"/>
        </w:rPr>
        <w:t>一百九十八、证明商标注册人准许他人使用其商标但未在一年内报商标局备案</w:t>
      </w:r>
    </w:p>
    <w:p>
      <w:pPr>
        <w:spacing w:before="191"/>
        <w:ind w:left="591" w:right="0" w:firstLine="0"/>
        <w:jc w:val="left"/>
        <w:rPr>
          <w:b/>
          <w:color w:val="auto"/>
          <w:sz w:val="24"/>
        </w:rPr>
      </w:pPr>
      <w:r>
        <w:rPr>
          <w:b/>
          <w:color w:val="auto"/>
          <w:sz w:val="24"/>
        </w:rPr>
        <w:t>（一）处罚依据</w:t>
      </w:r>
    </w:p>
    <w:p>
      <w:pPr>
        <w:pStyle w:val="4"/>
        <w:spacing w:before="192" w:line="391" w:lineRule="auto"/>
        <w:ind w:right="266" w:firstLine="470"/>
        <w:jc w:val="both"/>
        <w:rPr>
          <w:color w:val="auto"/>
        </w:rPr>
      </w:pPr>
      <w:r>
        <w:rPr>
          <w:color w:val="auto"/>
        </w:rPr>
        <w:t>1</w:t>
      </w:r>
      <w:r>
        <w:rPr>
          <w:color w:val="auto"/>
          <w:spacing w:val="-9"/>
        </w:rPr>
        <w:t>、《集体商标证明商标注册和管理办法》第二十二条 违反实施条例第六条、本办法第十四条、第十五条、第十七条、第十八条、第二十条规定的，由工商行政管理</w:t>
      </w:r>
      <w:r>
        <w:rPr>
          <w:color w:val="auto"/>
          <w:spacing w:val="-5"/>
        </w:rPr>
        <w:t>部门责令限期改正；拒不改正的，处以违法所得三倍以下的罚款，但最高不超过三万</w:t>
      </w:r>
      <w:r>
        <w:rPr>
          <w:color w:val="auto"/>
        </w:rPr>
        <w:t>元；没有违法所得的，处以一万元以下的罚款。</w:t>
      </w:r>
    </w:p>
    <w:p>
      <w:pPr>
        <w:pStyle w:val="4"/>
        <w:spacing w:line="388" w:lineRule="auto"/>
        <w:ind w:right="268" w:firstLine="480"/>
        <w:jc w:val="both"/>
        <w:rPr>
          <w:color w:val="auto"/>
        </w:rPr>
      </w:pPr>
      <w:r>
        <w:rPr>
          <w:color w:val="auto"/>
        </w:rPr>
        <w:t>2</w:t>
      </w:r>
      <w:r>
        <w:rPr>
          <w:color w:val="auto"/>
          <w:spacing w:val="-9"/>
        </w:rPr>
        <w:t>、《集体商标证明商标注册和管理办法》第十五条 证明商标注册人准许他人使用其商标的，注册人应当在一年内报商标局备案，由商标局公告。</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第一次拒不改正的，处以违法所得一倍以下的罚款，但最高不超过三万元；没有违法所得的，处以三千元以下的罚款。</w:t>
      </w:r>
    </w:p>
    <w:p>
      <w:pPr>
        <w:spacing w:after="0" w:line="388" w:lineRule="auto"/>
        <w:rPr>
          <w:color w:val="auto"/>
        </w:rPr>
        <w:sectPr>
          <w:pgSz w:w="11910" w:h="16840"/>
          <w:pgMar w:top="1520" w:right="1260" w:bottom="1220" w:left="1420" w:header="0" w:footer="1034" w:gutter="0"/>
        </w:sectPr>
      </w:pPr>
    </w:p>
    <w:p>
      <w:pPr>
        <w:pStyle w:val="13"/>
        <w:numPr>
          <w:ilvl w:val="0"/>
          <w:numId w:val="116"/>
        </w:numPr>
        <w:tabs>
          <w:tab w:val="left" w:pos="833"/>
        </w:tabs>
        <w:spacing w:before="39"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第二次拒不改正的，处以违法所得一倍以上二倍以下的罚款，但最高不超过三万元；没有违法所得的，处以三千元以上七千元以下的罚款。</w:t>
      </w:r>
    </w:p>
    <w:p>
      <w:pPr>
        <w:pStyle w:val="13"/>
        <w:numPr>
          <w:ilvl w:val="0"/>
          <w:numId w:val="116"/>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三次以上拒不改正的，处以违法所得二倍以上三倍以下的罚款，但最高不超过三万元；没有违法所得的，处以七千元以上一万元以下的罚款。</w:t>
      </w:r>
    </w:p>
    <w:p>
      <w:pPr>
        <w:pStyle w:val="2"/>
        <w:spacing w:before="2"/>
        <w:rPr>
          <w:color w:val="auto"/>
        </w:rPr>
      </w:pPr>
      <w:bookmarkStart w:id="409" w:name="_bookmark204"/>
      <w:bookmarkEnd w:id="409"/>
      <w:bookmarkStart w:id="410" w:name="一百九十九、集体商标许可非集体成员使用"/>
      <w:bookmarkEnd w:id="410"/>
      <w:r>
        <w:rPr>
          <w:color w:val="auto"/>
        </w:rPr>
        <w:t>一百九十九、集体商标许可非集体成员使用</w:t>
      </w:r>
    </w:p>
    <w:p>
      <w:pPr>
        <w:spacing w:before="194"/>
        <w:ind w:left="591" w:right="0" w:firstLine="0"/>
        <w:jc w:val="left"/>
        <w:rPr>
          <w:b/>
          <w:color w:val="auto"/>
          <w:sz w:val="24"/>
        </w:rPr>
      </w:pPr>
      <w:r>
        <w:rPr>
          <w:b/>
          <w:color w:val="auto"/>
          <w:sz w:val="24"/>
        </w:rPr>
        <w:t>（一）处罚依据</w:t>
      </w:r>
    </w:p>
    <w:p>
      <w:pPr>
        <w:pStyle w:val="4"/>
        <w:spacing w:before="192" w:line="391" w:lineRule="auto"/>
        <w:ind w:right="266" w:firstLine="470"/>
        <w:jc w:val="both"/>
        <w:rPr>
          <w:color w:val="auto"/>
        </w:rPr>
      </w:pPr>
      <w:r>
        <w:rPr>
          <w:color w:val="auto"/>
        </w:rPr>
        <w:t>1</w:t>
      </w:r>
      <w:r>
        <w:rPr>
          <w:color w:val="auto"/>
          <w:spacing w:val="-9"/>
        </w:rPr>
        <w:t>、《集体商标证明商标注册和管理办法》第二十二条 违反实施条例第六条、本办法第十四条、第十五条、第十七条、第十八条、第二十条规定的，由工商行政管理</w:t>
      </w:r>
      <w:r>
        <w:rPr>
          <w:color w:val="auto"/>
          <w:spacing w:val="-5"/>
        </w:rPr>
        <w:t>部门责令限期改正；拒不改正的，处以违法所得三倍以下的罚款，但最高不超过三万</w:t>
      </w:r>
      <w:r>
        <w:rPr>
          <w:color w:val="auto"/>
        </w:rPr>
        <w:t>元；没有违法所得的，处以一万元以下的罚款。</w:t>
      </w:r>
    </w:p>
    <w:p>
      <w:pPr>
        <w:pStyle w:val="4"/>
        <w:spacing w:line="391" w:lineRule="auto"/>
        <w:ind w:right="268" w:firstLine="470"/>
        <w:jc w:val="both"/>
        <w:rPr>
          <w:color w:val="auto"/>
        </w:rPr>
      </w:pPr>
      <w:r>
        <w:rPr>
          <w:color w:val="auto"/>
        </w:rPr>
        <w:t>2</w:t>
      </w:r>
      <w:r>
        <w:rPr>
          <w:color w:val="auto"/>
          <w:spacing w:val="-9"/>
        </w:rPr>
        <w:t>、《集体商标证明商标注册和管理办法》第十七条第二款 集体商标不得许可非集体成员使用。</w:t>
      </w:r>
    </w:p>
    <w:p>
      <w:pPr>
        <w:spacing w:before="0" w:line="388" w:lineRule="auto"/>
        <w:ind w:left="591" w:right="6957" w:hanging="10"/>
        <w:jc w:val="left"/>
        <w:rPr>
          <w:color w:val="auto"/>
          <w:sz w:val="24"/>
        </w:rPr>
      </w:pPr>
      <w:r>
        <w:rPr>
          <w:b/>
          <w:color w:val="auto"/>
          <w:sz w:val="24"/>
        </w:rPr>
        <w:t>（二）</w:t>
      </w:r>
      <w:r>
        <w:rPr>
          <w:b/>
          <w:color w:val="auto"/>
          <w:spacing w:val="-4"/>
          <w:sz w:val="24"/>
        </w:rPr>
        <w:t>裁量标准</w:t>
      </w:r>
      <w:r>
        <w:rPr>
          <w:color w:val="auto"/>
          <w:sz w:val="24"/>
        </w:rPr>
        <w:t>1.【较轻】</w:t>
      </w:r>
    </w:p>
    <w:p>
      <w:pPr>
        <w:pStyle w:val="4"/>
        <w:spacing w:line="388" w:lineRule="auto"/>
        <w:ind w:right="213" w:firstLine="480"/>
        <w:rPr>
          <w:color w:val="auto"/>
        </w:rPr>
      </w:pPr>
      <w:r>
        <w:rPr>
          <w:color w:val="auto"/>
        </w:rPr>
        <w:t>第一次拒不改正的，处以违法所得一倍以下的罚款，但最高不超过三万元；没有违法所得的，处以三千元以下的罚款。</w:t>
      </w:r>
    </w:p>
    <w:p>
      <w:pPr>
        <w:pStyle w:val="13"/>
        <w:numPr>
          <w:ilvl w:val="0"/>
          <w:numId w:val="117"/>
        </w:numPr>
        <w:tabs>
          <w:tab w:val="left" w:pos="833"/>
        </w:tabs>
        <w:spacing w:before="0" w:after="0" w:line="240" w:lineRule="auto"/>
        <w:ind w:left="832" w:right="0" w:hanging="242"/>
        <w:jc w:val="left"/>
        <w:rPr>
          <w:color w:val="auto"/>
          <w:sz w:val="24"/>
        </w:rPr>
      </w:pPr>
      <w:r>
        <w:rPr>
          <w:color w:val="auto"/>
          <w:sz w:val="24"/>
        </w:rPr>
        <w:t>【一般】</w:t>
      </w:r>
    </w:p>
    <w:p>
      <w:pPr>
        <w:pStyle w:val="4"/>
        <w:spacing w:before="193" w:line="388" w:lineRule="auto"/>
        <w:ind w:right="213" w:firstLine="480"/>
        <w:rPr>
          <w:color w:val="auto"/>
        </w:rPr>
      </w:pPr>
      <w:r>
        <w:rPr>
          <w:color w:val="auto"/>
        </w:rPr>
        <w:t>第二次拒不改正的，处以违法所得一倍以上二倍以下的罚款，但最高不超过三万元；没有违法所得的，处以三千元以上七千元以下的罚款。</w:t>
      </w:r>
    </w:p>
    <w:p>
      <w:pPr>
        <w:pStyle w:val="13"/>
        <w:numPr>
          <w:ilvl w:val="0"/>
          <w:numId w:val="117"/>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68" w:firstLine="480"/>
        <w:rPr>
          <w:color w:val="auto"/>
        </w:rPr>
      </w:pPr>
      <w:r>
        <w:rPr>
          <w:color w:val="auto"/>
          <w:spacing w:val="-4"/>
        </w:rPr>
        <w:t>三次以上拒不改正的，处以违法所得二倍以上三倍以下的罚款，但最高不超过三</w:t>
      </w:r>
      <w:r>
        <w:rPr>
          <w:color w:val="auto"/>
        </w:rPr>
        <w:t>万元；没有违法所得的，处以七千元以上一万元以下的罚款。</w:t>
      </w:r>
    </w:p>
    <w:p>
      <w:pPr>
        <w:pStyle w:val="2"/>
        <w:spacing w:before="2"/>
        <w:rPr>
          <w:color w:val="auto"/>
        </w:rPr>
      </w:pPr>
      <w:bookmarkStart w:id="411" w:name="_bookmark205"/>
      <w:bookmarkEnd w:id="411"/>
      <w:bookmarkStart w:id="412" w:name="二百、证明商标注册人拒绝为符合条件的使用人办理手续"/>
      <w:bookmarkEnd w:id="412"/>
      <w:r>
        <w:rPr>
          <w:color w:val="auto"/>
          <w:w w:val="95"/>
        </w:rPr>
        <w:t>二百、证明商标注册人拒绝为符合条件的使用人办理手续</w:t>
      </w:r>
    </w:p>
    <w:p>
      <w:pPr>
        <w:spacing w:before="194"/>
        <w:ind w:left="591" w:right="0" w:firstLine="0"/>
        <w:jc w:val="left"/>
        <w:rPr>
          <w:b/>
          <w:color w:val="auto"/>
          <w:sz w:val="24"/>
        </w:rPr>
      </w:pPr>
      <w:r>
        <w:rPr>
          <w:b/>
          <w:color w:val="auto"/>
          <w:sz w:val="24"/>
        </w:rPr>
        <w:t>（一）处罚依据</w:t>
      </w:r>
    </w:p>
    <w:p>
      <w:pPr>
        <w:pStyle w:val="4"/>
        <w:spacing w:before="192" w:line="388" w:lineRule="auto"/>
        <w:ind w:right="266" w:firstLine="470"/>
        <w:rPr>
          <w:color w:val="auto"/>
        </w:rPr>
      </w:pPr>
      <w:r>
        <w:rPr>
          <w:color w:val="auto"/>
        </w:rPr>
        <w:t>1</w:t>
      </w:r>
      <w:r>
        <w:rPr>
          <w:color w:val="auto"/>
          <w:spacing w:val="-9"/>
        </w:rPr>
        <w:t>、《集体商标证明商标注册和管理办法》第二十二条 违反实施条例第六条、本办法第十四条、第十五条、第十七条、第十八条、第二十条规定的，由工商行政管理</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部门责令限期改正；拒不改正的，处以违法所得三倍以下的罚款，但最高不超过三万元；没有违法所得的，处以一万元以下的罚款。</w:t>
      </w:r>
    </w:p>
    <w:p>
      <w:pPr>
        <w:pStyle w:val="4"/>
        <w:spacing w:line="391" w:lineRule="auto"/>
        <w:ind w:right="148" w:firstLine="470"/>
        <w:rPr>
          <w:color w:val="auto"/>
        </w:rPr>
      </w:pPr>
      <w:r>
        <w:rPr>
          <w:color w:val="auto"/>
        </w:rPr>
        <w:t>2</w:t>
      </w:r>
      <w:r>
        <w:rPr>
          <w:color w:val="auto"/>
          <w:spacing w:val="-10"/>
        </w:rPr>
        <w:t>、《集体商标证明商标注册和管理办法》第十八条 凡符合证明商标使用管理规</w:t>
      </w:r>
      <w:r>
        <w:rPr>
          <w:color w:val="auto"/>
          <w:spacing w:val="-16"/>
        </w:rPr>
        <w:t xml:space="preserve">则规定条件的，在履行该证明商标使用管理规则规定的手续后，可以使用该证明商标， </w:t>
      </w:r>
      <w:r>
        <w:rPr>
          <w:color w:val="auto"/>
        </w:rPr>
        <w:t>注册人不得拒绝办理手续。</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第一次拒不改正的，处以违法所得一倍以下的罚款，但最高不超过三万元；没有违法所得的，处以三千元以下的罚款。</w:t>
      </w:r>
    </w:p>
    <w:p>
      <w:pPr>
        <w:pStyle w:val="13"/>
        <w:numPr>
          <w:ilvl w:val="0"/>
          <w:numId w:val="118"/>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213" w:firstLine="480"/>
        <w:rPr>
          <w:color w:val="auto"/>
        </w:rPr>
      </w:pPr>
      <w:r>
        <w:rPr>
          <w:color w:val="auto"/>
        </w:rPr>
        <w:t>第二次拒不改正的，处以违法所得一倍以上二倍以下的罚款，但最高不超过三万元；没有违法所得的，处以三千元以上七千元以下的罚款。</w:t>
      </w:r>
    </w:p>
    <w:p>
      <w:pPr>
        <w:pStyle w:val="13"/>
        <w:numPr>
          <w:ilvl w:val="0"/>
          <w:numId w:val="118"/>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三次以上拒不改正的，处以违法所得二倍以上三倍以下的罚款，但最高不超过三万元；没有违法所得的，处以七千元以上一万元以下的罚款。</w:t>
      </w:r>
    </w:p>
    <w:p>
      <w:pPr>
        <w:pStyle w:val="2"/>
        <w:spacing w:before="2"/>
        <w:rPr>
          <w:color w:val="auto"/>
        </w:rPr>
      </w:pPr>
      <w:bookmarkStart w:id="413" w:name="_bookmark206"/>
      <w:bookmarkEnd w:id="413"/>
      <w:bookmarkStart w:id="414" w:name="二百零一、证明商标的注册人在自己提供的商品上使用该证明商标"/>
      <w:bookmarkEnd w:id="414"/>
      <w:r>
        <w:rPr>
          <w:color w:val="auto"/>
        </w:rPr>
        <w:t>二百零一、证明商标的注册人在自己提供的商品上使用该证明商标</w:t>
      </w:r>
    </w:p>
    <w:p>
      <w:pPr>
        <w:spacing w:before="194"/>
        <w:ind w:left="591" w:right="0" w:firstLine="0"/>
        <w:jc w:val="left"/>
        <w:rPr>
          <w:b/>
          <w:color w:val="auto"/>
          <w:sz w:val="24"/>
        </w:rPr>
      </w:pPr>
      <w:r>
        <w:rPr>
          <w:b/>
          <w:color w:val="auto"/>
          <w:sz w:val="24"/>
        </w:rPr>
        <w:t>（一）处罚依据</w:t>
      </w:r>
    </w:p>
    <w:p>
      <w:pPr>
        <w:pStyle w:val="4"/>
        <w:spacing w:before="192" w:line="391" w:lineRule="auto"/>
        <w:ind w:right="266" w:firstLine="470"/>
        <w:jc w:val="both"/>
        <w:rPr>
          <w:color w:val="auto"/>
        </w:rPr>
      </w:pPr>
      <w:r>
        <w:rPr>
          <w:color w:val="auto"/>
        </w:rPr>
        <w:t>1</w:t>
      </w:r>
      <w:r>
        <w:rPr>
          <w:color w:val="auto"/>
          <w:spacing w:val="-9"/>
        </w:rPr>
        <w:t>、《集体商标证明商标注册和管理办法》第二十二条 违反实施条例第六条、本办法第十四条、第十五条、第十七条、第十八条、第二十条规定的，由工商行政管理</w:t>
      </w:r>
      <w:r>
        <w:rPr>
          <w:color w:val="auto"/>
          <w:spacing w:val="-5"/>
        </w:rPr>
        <w:t>部门责令限期改正；拒不改正的，处以违法所得三倍以下的罚款，但最高不超过三万</w:t>
      </w:r>
      <w:r>
        <w:rPr>
          <w:color w:val="auto"/>
        </w:rPr>
        <w:t>元；没有违法所得的，处以一万元以下的罚款。</w:t>
      </w:r>
    </w:p>
    <w:p>
      <w:pPr>
        <w:pStyle w:val="4"/>
        <w:spacing w:line="391" w:lineRule="auto"/>
        <w:ind w:right="271" w:firstLine="470"/>
        <w:jc w:val="both"/>
        <w:rPr>
          <w:color w:val="auto"/>
        </w:rPr>
      </w:pPr>
      <w:r>
        <w:rPr>
          <w:color w:val="auto"/>
        </w:rPr>
        <w:t>2</w:t>
      </w:r>
      <w:r>
        <w:rPr>
          <w:color w:val="auto"/>
          <w:spacing w:val="-9"/>
        </w:rPr>
        <w:t>、《集体商标证明商标注册和管理办法》第二十条 证明商标的注册人不得在自己提供的商品上使用该证明商标。</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第一次拒不改正的，处以违法所得一倍以下的罚款，但最高不超过三万元；没有违法所得的，处以三千元以下的罚款。</w:t>
      </w:r>
    </w:p>
    <w:p>
      <w:pPr>
        <w:pStyle w:val="13"/>
        <w:numPr>
          <w:ilvl w:val="0"/>
          <w:numId w:val="119"/>
        </w:numPr>
        <w:tabs>
          <w:tab w:val="left" w:pos="833"/>
        </w:tabs>
        <w:spacing w:before="0" w:after="0" w:line="240" w:lineRule="auto"/>
        <w:ind w:left="832" w:right="0" w:hanging="242"/>
        <w:jc w:val="left"/>
        <w:rPr>
          <w:color w:val="auto"/>
          <w:sz w:val="24"/>
        </w:rPr>
      </w:pPr>
      <w:r>
        <w:rPr>
          <w:color w:val="auto"/>
          <w:sz w:val="24"/>
        </w:rPr>
        <w:t>【一般】</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第二次拒不改正的，处以违法所得一倍以上二倍以下的罚款，但最高不超过三万元；没有违法所得的，处以三千元以上七千元以下的罚款。</w:t>
      </w:r>
    </w:p>
    <w:p>
      <w:pPr>
        <w:pStyle w:val="13"/>
        <w:numPr>
          <w:ilvl w:val="0"/>
          <w:numId w:val="119"/>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三次以上拒不改正的，处以违法所得二倍以上三倍以下的罚款，但最高不超过三万元；没有违法所得的，处以七千元以上一万元以下的罚款。</w:t>
      </w:r>
    </w:p>
    <w:p>
      <w:pPr>
        <w:pStyle w:val="2"/>
        <w:spacing w:line="306" w:lineRule="exact"/>
        <w:rPr>
          <w:color w:val="auto"/>
        </w:rPr>
      </w:pPr>
      <w:bookmarkStart w:id="415" w:name="_bookmark207"/>
      <w:bookmarkEnd w:id="415"/>
      <w:bookmarkStart w:id="416" w:name="二百零二、商标印制单位未履行法定职责"/>
      <w:bookmarkEnd w:id="416"/>
      <w:r>
        <w:rPr>
          <w:color w:val="auto"/>
        </w:rPr>
        <w:t>二百零二、商标印制单位未履行法定职责</w:t>
      </w:r>
    </w:p>
    <w:p>
      <w:pPr>
        <w:spacing w:before="192"/>
        <w:ind w:left="591" w:right="0" w:firstLine="0"/>
        <w:jc w:val="left"/>
        <w:rPr>
          <w:b/>
          <w:color w:val="auto"/>
          <w:sz w:val="24"/>
        </w:rPr>
      </w:pPr>
      <w:r>
        <w:rPr>
          <w:b/>
          <w:color w:val="auto"/>
          <w:sz w:val="24"/>
        </w:rPr>
        <w:t>（一）处罚依据</w:t>
      </w:r>
    </w:p>
    <w:p>
      <w:pPr>
        <w:pStyle w:val="4"/>
        <w:spacing w:before="194" w:line="391" w:lineRule="auto"/>
        <w:ind w:right="268" w:firstLine="470"/>
        <w:jc w:val="both"/>
        <w:rPr>
          <w:color w:val="auto"/>
        </w:rPr>
      </w:pPr>
      <w:r>
        <w:rPr>
          <w:color w:val="auto"/>
        </w:rPr>
        <w:t>1</w:t>
      </w:r>
      <w:r>
        <w:rPr>
          <w:color w:val="auto"/>
          <w:spacing w:val="-8"/>
        </w:rPr>
        <w:t>、《商标印制管理办法》第十一条 商标印制单位违反本办法第七条至第十条规</w:t>
      </w:r>
      <w:r>
        <w:rPr>
          <w:color w:val="auto"/>
          <w:spacing w:val="-9"/>
        </w:rPr>
        <w:t>定的，由所在地工商行政管理局责令其限期改正，并视其情节予以警告，处以非法所</w:t>
      </w:r>
      <w:r>
        <w:rPr>
          <w:color w:val="auto"/>
          <w:spacing w:val="-5"/>
        </w:rPr>
        <w:t>得额三倍以下的罚款，但最高不超过三万元，没有违法所得的，可以处以一万元以下</w:t>
      </w:r>
      <w:r>
        <w:rPr>
          <w:color w:val="auto"/>
        </w:rPr>
        <w:t>的罚款。</w:t>
      </w:r>
    </w:p>
    <w:p>
      <w:pPr>
        <w:pStyle w:val="13"/>
        <w:numPr>
          <w:ilvl w:val="1"/>
          <w:numId w:val="120"/>
        </w:numPr>
        <w:tabs>
          <w:tab w:val="left" w:pos="944"/>
        </w:tabs>
        <w:spacing w:before="0" w:after="0" w:line="388" w:lineRule="auto"/>
        <w:ind w:left="111" w:right="268" w:firstLine="470"/>
        <w:jc w:val="both"/>
        <w:rPr>
          <w:color w:val="auto"/>
          <w:sz w:val="24"/>
        </w:rPr>
      </w:pPr>
      <w:r>
        <w:rPr>
          <w:color w:val="auto"/>
          <w:spacing w:val="-9"/>
          <w:sz w:val="24"/>
        </w:rPr>
        <w:t>、《商标印制管理办法》第七条 商标印制单位应当对商标印制委托人提供的证明文件和商标图样进行核查。</w:t>
      </w:r>
    </w:p>
    <w:p>
      <w:pPr>
        <w:pStyle w:val="4"/>
        <w:spacing w:line="388" w:lineRule="auto"/>
        <w:ind w:right="213" w:firstLine="480"/>
        <w:rPr>
          <w:color w:val="auto"/>
        </w:rPr>
      </w:pPr>
      <w:r>
        <w:rPr>
          <w:color w:val="auto"/>
        </w:rPr>
        <w:t>商标印制委托人未提供本办法第三条、第四条所规定的证明文件，或者其要求印制的商标标识不符合本办法第五条、第六条规定的，商标印制单位不得承接印制。</w:t>
      </w:r>
    </w:p>
    <w:p>
      <w:pPr>
        <w:pStyle w:val="13"/>
        <w:numPr>
          <w:ilvl w:val="1"/>
          <w:numId w:val="120"/>
        </w:numPr>
        <w:tabs>
          <w:tab w:val="left" w:pos="954"/>
        </w:tabs>
        <w:spacing w:before="1" w:after="0" w:line="391" w:lineRule="auto"/>
        <w:ind w:left="111" w:right="268" w:firstLine="480"/>
        <w:jc w:val="both"/>
        <w:rPr>
          <w:color w:val="auto"/>
          <w:sz w:val="24"/>
        </w:rPr>
      </w:pPr>
      <w:r>
        <w:rPr>
          <w:color w:val="auto"/>
          <w:spacing w:val="-8"/>
          <w:sz w:val="24"/>
        </w:rPr>
        <w:t>、《商标印制管理办法》第八条 商标印制单位承印符合本办法规定的商标印</w:t>
      </w:r>
      <w:r>
        <w:rPr>
          <w:color w:val="auto"/>
          <w:spacing w:val="-10"/>
          <w:sz w:val="24"/>
        </w:rPr>
        <w:t>制业务的，商标印制业务管理人员应当按照要求填写《商标印制业务登记表》，载明</w:t>
      </w:r>
      <w:r>
        <w:rPr>
          <w:color w:val="auto"/>
          <w:spacing w:val="-6"/>
          <w:sz w:val="24"/>
        </w:rPr>
        <w:t>商标印制委托人所提供的证明文件的主要内容，《商标印制业务登记表》中的图样应当由商标印制单位业务主管人员加盖骑缝章。</w:t>
      </w:r>
    </w:p>
    <w:p>
      <w:pPr>
        <w:pStyle w:val="4"/>
        <w:spacing w:line="388" w:lineRule="auto"/>
        <w:ind w:right="268" w:firstLine="480"/>
        <w:jc w:val="both"/>
        <w:rPr>
          <w:color w:val="auto"/>
        </w:rPr>
      </w:pPr>
      <w:r>
        <w:rPr>
          <w:color w:val="auto"/>
          <w:spacing w:val="-2"/>
        </w:rPr>
        <w:t xml:space="preserve">商标标识印制完毕，商标印制单位应当在 </w:t>
      </w:r>
      <w:r>
        <w:rPr>
          <w:color w:val="auto"/>
        </w:rPr>
        <w:t>15</w:t>
      </w:r>
      <w:r>
        <w:rPr>
          <w:color w:val="auto"/>
          <w:spacing w:val="-5"/>
        </w:rPr>
        <w:t xml:space="preserve"> 天内提取标识样品，连同《商标印</w:t>
      </w:r>
      <w:r>
        <w:rPr>
          <w:color w:val="auto"/>
          <w:spacing w:val="-13"/>
        </w:rPr>
        <w:t>制业务登记表》、《商标注册证》复印件、商标使用许可合同复印件、商标印制授权书复印件并造册存档。”</w:t>
      </w:r>
    </w:p>
    <w:p>
      <w:pPr>
        <w:pStyle w:val="13"/>
        <w:numPr>
          <w:ilvl w:val="1"/>
          <w:numId w:val="120"/>
        </w:numPr>
        <w:tabs>
          <w:tab w:val="left" w:pos="953"/>
        </w:tabs>
        <w:spacing w:before="2" w:after="0" w:line="388" w:lineRule="auto"/>
        <w:ind w:left="111" w:right="148" w:firstLine="480"/>
        <w:jc w:val="both"/>
        <w:rPr>
          <w:color w:val="auto"/>
          <w:sz w:val="24"/>
        </w:rPr>
      </w:pPr>
      <w:r>
        <w:rPr>
          <w:color w:val="auto"/>
          <w:spacing w:val="-15"/>
          <w:sz w:val="24"/>
        </w:rPr>
        <w:t xml:space="preserve">、《商标印制管理办法》第九条 商标印制单位应当建立商标标识出入库制度， </w:t>
      </w:r>
      <w:r>
        <w:rPr>
          <w:color w:val="auto"/>
          <w:sz w:val="24"/>
        </w:rPr>
        <w:t>商标标识出入库应当登记台账。废次标识应当集中进行销毁，不得流入社会。</w:t>
      </w:r>
    </w:p>
    <w:p>
      <w:pPr>
        <w:pStyle w:val="13"/>
        <w:numPr>
          <w:ilvl w:val="1"/>
          <w:numId w:val="120"/>
        </w:numPr>
        <w:tabs>
          <w:tab w:val="left" w:pos="954"/>
        </w:tabs>
        <w:spacing w:before="2" w:after="0" w:line="391" w:lineRule="auto"/>
        <w:ind w:left="111" w:right="268" w:firstLine="480"/>
        <w:jc w:val="both"/>
        <w:rPr>
          <w:color w:val="auto"/>
          <w:sz w:val="24"/>
        </w:rPr>
      </w:pPr>
      <w:r>
        <w:rPr>
          <w:color w:val="auto"/>
          <w:spacing w:val="-8"/>
          <w:sz w:val="24"/>
        </w:rPr>
        <w:t xml:space="preserve">、《商标印制管理办法》第十条 </w:t>
      </w:r>
      <w:r>
        <w:rPr>
          <w:color w:val="auto"/>
          <w:spacing w:val="-8"/>
          <w:sz w:val="24"/>
        </w:rPr>
        <w:t>商标印制档案及商标标识出入库台账应当存档备查，存查期为两年。</w:t>
      </w:r>
    </w:p>
    <w:p>
      <w:pPr>
        <w:spacing w:before="0" w:line="388" w:lineRule="auto"/>
        <w:ind w:left="591" w:right="6948" w:firstLine="0"/>
        <w:jc w:val="left"/>
        <w:rPr>
          <w:b/>
          <w:color w:val="auto"/>
          <w:sz w:val="24"/>
        </w:rPr>
      </w:pPr>
      <w:r>
        <w:rPr>
          <w:b/>
          <w:color w:val="auto"/>
          <w:sz w:val="24"/>
        </w:rPr>
        <w:t>（二）裁量标准</w:t>
      </w:r>
    </w:p>
    <w:p>
      <w:pPr>
        <w:spacing w:before="0" w:line="388" w:lineRule="auto"/>
        <w:ind w:left="591" w:right="6948" w:firstLine="0"/>
        <w:jc w:val="left"/>
        <w:rPr>
          <w:rFonts w:hint="default" w:eastAsia="宋体"/>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没有违法所得</w:t>
      </w:r>
    </w:p>
    <w:p>
      <w:pPr>
        <w:spacing w:before="0" w:line="388"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4"/>
        <w:spacing w:before="39" w:line="391" w:lineRule="auto"/>
        <w:ind w:right="232" w:firstLine="480"/>
        <w:jc w:val="both"/>
        <w:rPr>
          <w:color w:val="auto"/>
        </w:rPr>
      </w:pPr>
      <w:r>
        <w:rPr>
          <w:color w:val="auto"/>
        </w:rPr>
        <w:t>非法所得额一万元以下的，给予警告，可以处非法所得额一倍以下的罚款，但最高不超过三万元；没有违法所得，违反本办法第七条至第十条规定所列情形之一的， 可以处三千元以下的罚款。</w:t>
      </w:r>
    </w:p>
    <w:p>
      <w:pPr>
        <w:pStyle w:val="13"/>
        <w:numPr>
          <w:ilvl w:val="0"/>
          <w:numId w:val="0"/>
        </w:numPr>
        <w:tabs>
          <w:tab w:val="left" w:pos="833"/>
        </w:tabs>
        <w:spacing w:before="0" w:after="0" w:line="304" w:lineRule="exact"/>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4"/>
        <w:spacing w:before="195" w:line="388" w:lineRule="auto"/>
        <w:ind w:right="268" w:firstLine="480"/>
        <w:jc w:val="both"/>
        <w:rPr>
          <w:color w:val="auto"/>
        </w:rPr>
      </w:pPr>
      <w:r>
        <w:rPr>
          <w:color w:val="auto"/>
          <w:spacing w:val="-4"/>
        </w:rPr>
        <w:t>非法所得额一万元以上三万元以下的，给予警告，处以非法所得额一倍以上二倍</w:t>
      </w:r>
      <w:r>
        <w:rPr>
          <w:color w:val="auto"/>
          <w:spacing w:val="-5"/>
        </w:rPr>
        <w:t>以下的罚款，但最高不超过三万元；没有违法所得的，违反本办法第七条至第十条规</w:t>
      </w:r>
      <w:r>
        <w:rPr>
          <w:color w:val="auto"/>
        </w:rPr>
        <w:t>定所列二到三种情形的，处以三千元以上七千元以下的罚款。</w:t>
      </w:r>
    </w:p>
    <w:p>
      <w:pPr>
        <w:pStyle w:val="13"/>
        <w:numPr>
          <w:ilvl w:val="0"/>
          <w:numId w:val="0"/>
        </w:numPr>
        <w:tabs>
          <w:tab w:val="left" w:pos="833"/>
        </w:tabs>
        <w:spacing w:before="5" w:after="0" w:line="240" w:lineRule="auto"/>
        <w:ind w:left="590" w:leftChars="0" w:right="0" w:rightChars="0"/>
        <w:jc w:val="left"/>
        <w:rPr>
          <w:color w:val="auto"/>
          <w:sz w:val="24"/>
        </w:rPr>
      </w:pPr>
      <w:r>
        <w:rPr>
          <w:rFonts w:hint="eastAsia"/>
          <w:color w:val="auto"/>
          <w:sz w:val="24"/>
          <w:lang w:val="en-US" w:eastAsia="zh-CN"/>
        </w:rPr>
        <w:t>4.</w:t>
      </w:r>
      <w:r>
        <w:rPr>
          <w:color w:val="auto"/>
          <w:sz w:val="24"/>
        </w:rPr>
        <w:t>【严重】</w:t>
      </w:r>
    </w:p>
    <w:p>
      <w:pPr>
        <w:pStyle w:val="4"/>
        <w:spacing w:before="192" w:line="388" w:lineRule="auto"/>
        <w:ind w:right="213" w:firstLine="480"/>
        <w:rPr>
          <w:color w:val="auto"/>
        </w:rPr>
      </w:pPr>
      <w:r>
        <w:rPr>
          <w:color w:val="auto"/>
        </w:rPr>
        <w:t>非法所得额三万元以上的，给予警告，处以三万元的罚款；没有违法所得，违反本办法第七条至第十条全部规定的，处以七千元以上一万元以下的罚款。</w:t>
      </w:r>
    </w:p>
    <w:p>
      <w:pPr>
        <w:pStyle w:val="2"/>
        <w:spacing w:before="4"/>
        <w:rPr>
          <w:color w:val="auto"/>
        </w:rPr>
      </w:pPr>
      <w:bookmarkStart w:id="417" w:name="_bookmark208"/>
      <w:bookmarkEnd w:id="417"/>
      <w:bookmarkStart w:id="418" w:name="二百零三、印刷企业违法接受委托印刷注册商标标识、广告宣传品"/>
      <w:bookmarkEnd w:id="418"/>
      <w:r>
        <w:rPr>
          <w:color w:val="auto"/>
        </w:rPr>
        <w:t>二百零三、印刷企业违法接受委托印刷注册商标标识、广告宣传品</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《印刷业管理条例》第四十一条第二款 印刷企业接受委托印刷注册商标标识、</w:t>
      </w:r>
      <w:r>
        <w:rPr>
          <w:color w:val="auto"/>
          <w:spacing w:val="-5"/>
        </w:rPr>
        <w:t>广告宣传品，违反国家有关注册商标、广告印刷管理规定的，由工商行政管理部门给</w:t>
      </w:r>
      <w:r>
        <w:rPr>
          <w:color w:val="auto"/>
          <w:spacing w:val="-7"/>
        </w:rPr>
        <w:t xml:space="preserve">予警告，没收印刷品和违法所得，违法经营额 </w:t>
      </w:r>
      <w:r>
        <w:rPr>
          <w:color w:val="auto"/>
        </w:rPr>
        <w:t>1</w:t>
      </w:r>
      <w:r>
        <w:rPr>
          <w:color w:val="auto"/>
          <w:spacing w:val="-13"/>
        </w:rPr>
        <w:t xml:space="preserve"> 万元以上的，并处违法经营额 </w:t>
      </w:r>
      <w:r>
        <w:rPr>
          <w:color w:val="auto"/>
        </w:rPr>
        <w:t>5</w:t>
      </w:r>
      <w:r>
        <w:rPr>
          <w:color w:val="auto"/>
          <w:spacing w:val="-26"/>
        </w:rPr>
        <w:t xml:space="preserve"> 倍以</w:t>
      </w:r>
    </w:p>
    <w:p>
      <w:pPr>
        <w:pStyle w:val="4"/>
        <w:spacing w:line="304" w:lineRule="exact"/>
        <w:jc w:val="both"/>
        <w:rPr>
          <w:color w:val="auto"/>
        </w:rPr>
      </w:pPr>
      <w:r>
        <w:rPr>
          <w:color w:val="auto"/>
          <w:spacing w:val="-30"/>
        </w:rPr>
        <w:t xml:space="preserve">上 </w:t>
      </w:r>
      <w:r>
        <w:rPr>
          <w:color w:val="auto"/>
        </w:rPr>
        <w:t>10</w:t>
      </w:r>
      <w:r>
        <w:rPr>
          <w:color w:val="auto"/>
          <w:spacing w:val="-13"/>
        </w:rPr>
        <w:t xml:space="preserve"> 倍以下的罚款；违法经营额不足 </w:t>
      </w:r>
      <w:r>
        <w:rPr>
          <w:color w:val="auto"/>
        </w:rPr>
        <w:t>1</w:t>
      </w:r>
      <w:r>
        <w:rPr>
          <w:color w:val="auto"/>
          <w:spacing w:val="-18"/>
        </w:rPr>
        <w:t xml:space="preserve"> 万元的，并处 </w:t>
      </w:r>
      <w:r>
        <w:rPr>
          <w:color w:val="auto"/>
        </w:rPr>
        <w:t>1</w:t>
      </w:r>
      <w:r>
        <w:rPr>
          <w:color w:val="auto"/>
          <w:spacing w:val="-20"/>
        </w:rPr>
        <w:t xml:space="preserve"> 万元以上 </w:t>
      </w:r>
      <w:r>
        <w:rPr>
          <w:color w:val="auto"/>
        </w:rPr>
        <w:t>5</w:t>
      </w:r>
      <w:r>
        <w:rPr>
          <w:color w:val="auto"/>
          <w:spacing w:val="-8"/>
        </w:rPr>
        <w:t xml:space="preserve"> 万元以下的罚款。</w:t>
      </w:r>
    </w:p>
    <w:p>
      <w:pPr>
        <w:pStyle w:val="2"/>
        <w:spacing w:before="194"/>
        <w:rPr>
          <w:color w:val="auto"/>
        </w:rPr>
      </w:pPr>
      <w:r>
        <w:rPr>
          <w:color w:val="auto"/>
        </w:rPr>
        <w:t>（二）裁量标准</w:t>
      </w:r>
    </w:p>
    <w:p>
      <w:pPr>
        <w:pStyle w:val="4"/>
        <w:spacing w:before="192"/>
        <w:ind w:left="591"/>
        <w:rPr>
          <w:color w:val="auto"/>
        </w:rPr>
      </w:pPr>
      <w:r>
        <w:rPr>
          <w:color w:val="auto"/>
        </w:rPr>
        <w:t>1、违法经营额不足一万元</w:t>
      </w:r>
    </w:p>
    <w:p>
      <w:pPr>
        <w:pStyle w:val="4"/>
        <w:spacing w:before="191"/>
        <w:ind w:left="591"/>
        <w:rPr>
          <w:color w:val="auto"/>
        </w:rPr>
      </w:pPr>
      <w:r>
        <w:rPr>
          <w:color w:val="auto"/>
        </w:rPr>
        <w:t>【较轻】</w:t>
      </w:r>
    </w:p>
    <w:p>
      <w:pPr>
        <w:pStyle w:val="4"/>
        <w:spacing w:before="194" w:line="388" w:lineRule="auto"/>
        <w:ind w:left="216" w:right="221" w:firstLine="360"/>
        <w:rPr>
          <w:color w:val="auto"/>
        </w:rPr>
      </w:pPr>
      <w:r>
        <w:rPr>
          <w:color w:val="auto"/>
        </w:rPr>
        <w:t>违法经营额三千元以下的，给予警告，没收印刷品和违法所得，并处一万元以上二万元以下的罚款。</w:t>
      </w:r>
    </w:p>
    <w:p>
      <w:pPr>
        <w:pStyle w:val="4"/>
        <w:spacing w:before="2"/>
        <w:ind w:left="591"/>
        <w:rPr>
          <w:color w:val="auto"/>
        </w:rPr>
      </w:pPr>
      <w:r>
        <w:rPr>
          <w:color w:val="auto"/>
        </w:rPr>
        <w:t>【一般】</w:t>
      </w:r>
    </w:p>
    <w:p>
      <w:pPr>
        <w:pStyle w:val="4"/>
        <w:spacing w:before="195" w:line="388" w:lineRule="auto"/>
        <w:ind w:left="216" w:right="221" w:firstLine="360"/>
        <w:rPr>
          <w:color w:val="auto"/>
        </w:rPr>
      </w:pPr>
      <w:r>
        <w:rPr>
          <w:color w:val="auto"/>
        </w:rPr>
        <w:t>违法经营额三千元以上七千元以下的，给予警告，没收印刷品和违法所得，并处二万元以上三万五千元以下的罚款。</w:t>
      </w:r>
    </w:p>
    <w:p>
      <w:pPr>
        <w:pStyle w:val="4"/>
        <w:spacing w:before="2"/>
        <w:ind w:left="591"/>
        <w:rPr>
          <w:color w:val="auto"/>
        </w:rPr>
      </w:pPr>
      <w:r>
        <w:rPr>
          <w:color w:val="auto"/>
        </w:rPr>
        <w:t>【严重】</w:t>
      </w:r>
    </w:p>
    <w:p>
      <w:pPr>
        <w:pStyle w:val="4"/>
        <w:spacing w:before="194" w:line="388" w:lineRule="auto"/>
        <w:ind w:right="213" w:firstLine="480"/>
        <w:rPr>
          <w:color w:val="auto"/>
        </w:rPr>
      </w:pPr>
      <w:r>
        <w:rPr>
          <w:color w:val="auto"/>
        </w:rPr>
        <w:t>违法经营额七千元以上一万元以下的，给予警告，没收印刷品和违法所得，并处三万五千元以上五万元以下的罚款。</w:t>
      </w:r>
    </w:p>
    <w:p>
      <w:pPr>
        <w:pStyle w:val="4"/>
        <w:spacing w:before="2"/>
        <w:ind w:left="591"/>
        <w:rPr>
          <w:color w:val="auto"/>
        </w:rPr>
      </w:pPr>
      <w:r>
        <w:rPr>
          <w:color w:val="auto"/>
        </w:rPr>
        <w:t>2、违法经营额一万元以上</w:t>
      </w:r>
    </w:p>
    <w:p>
      <w:pPr>
        <w:spacing w:after="0"/>
        <w:rPr>
          <w:color w:val="auto"/>
        </w:rPr>
        <w:sectPr>
          <w:footerReference r:id="rId25" w:type="default"/>
          <w:footerReference r:id="rId26" w:type="even"/>
          <w:pgSz w:w="11910" w:h="16840"/>
          <w:pgMar w:top="1520" w:right="1260" w:bottom="1220" w:left="1420" w:header="0" w:footer="1034" w:gutter="0"/>
          <w:pgNumType w:start="150"/>
        </w:sectPr>
      </w:pPr>
    </w:p>
    <w:p>
      <w:pPr>
        <w:pStyle w:val="4"/>
        <w:spacing w:before="39"/>
        <w:ind w:left="591"/>
        <w:rPr>
          <w:color w:val="auto"/>
        </w:rPr>
      </w:pPr>
      <w:r>
        <w:rPr>
          <w:color w:val="auto"/>
        </w:rPr>
        <w:t>【较轻】</w:t>
      </w:r>
    </w:p>
    <w:p>
      <w:pPr>
        <w:pStyle w:val="4"/>
        <w:spacing w:before="195" w:line="388" w:lineRule="auto"/>
        <w:ind w:right="213" w:firstLine="480"/>
        <w:rPr>
          <w:color w:val="auto"/>
        </w:rPr>
      </w:pPr>
      <w:r>
        <w:rPr>
          <w:color w:val="auto"/>
        </w:rPr>
        <w:t>违法经营额一万元以上三万元以下的，给予警告，没收印刷品和违法所得，并处违法经营额五倍以上七倍以下的罚款。</w:t>
      </w:r>
    </w:p>
    <w:p>
      <w:pPr>
        <w:pStyle w:val="4"/>
        <w:spacing w:before="2"/>
        <w:ind w:left="591"/>
        <w:rPr>
          <w:color w:val="auto"/>
        </w:rPr>
      </w:pPr>
      <w:r>
        <w:rPr>
          <w:color w:val="auto"/>
        </w:rPr>
        <w:t>【一般】</w:t>
      </w:r>
    </w:p>
    <w:p>
      <w:pPr>
        <w:pStyle w:val="4"/>
        <w:spacing w:before="194" w:line="388" w:lineRule="auto"/>
        <w:ind w:right="213" w:firstLine="480"/>
        <w:rPr>
          <w:color w:val="auto"/>
        </w:rPr>
      </w:pPr>
      <w:r>
        <w:rPr>
          <w:color w:val="auto"/>
        </w:rPr>
        <w:t>违法经营额三万元以上十万元以下的，给予警告，没收印刷品和违法所得，并处违法经营额七倍以上九倍以下的罚款。</w:t>
      </w:r>
    </w:p>
    <w:p>
      <w:pPr>
        <w:pStyle w:val="4"/>
        <w:spacing w:before="2"/>
        <w:ind w:left="591"/>
        <w:rPr>
          <w:color w:val="auto"/>
        </w:rPr>
      </w:pPr>
      <w:r>
        <w:rPr>
          <w:color w:val="auto"/>
        </w:rPr>
        <w:t>【严重】</w:t>
      </w:r>
    </w:p>
    <w:p>
      <w:pPr>
        <w:pStyle w:val="4"/>
        <w:spacing w:before="194" w:line="388" w:lineRule="auto"/>
        <w:ind w:right="213" w:firstLine="480"/>
        <w:rPr>
          <w:color w:val="auto"/>
        </w:rPr>
      </w:pPr>
      <w:r>
        <w:rPr>
          <w:color w:val="auto"/>
        </w:rPr>
        <w:t>违法经营额十万元以上的，给予警告，没收印刷品和违法所得，并处违法经营额九倍以上十倍以下的罚款。</w:t>
      </w:r>
    </w:p>
    <w:p>
      <w:pPr>
        <w:pStyle w:val="2"/>
        <w:spacing w:before="2"/>
        <w:rPr>
          <w:color w:val="auto"/>
        </w:rPr>
      </w:pPr>
      <w:bookmarkStart w:id="419" w:name="_bookmark209"/>
      <w:bookmarkEnd w:id="419"/>
      <w:bookmarkStart w:id="420" w:name="二百零四、特殊标志所有人或者使用人违规使用特殊标志"/>
      <w:bookmarkEnd w:id="420"/>
      <w:r>
        <w:rPr>
          <w:color w:val="auto"/>
        </w:rPr>
        <w:t>二百零四、特殊标志所有人或者使用人违规使用特殊标志</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70"/>
        <w:rPr>
          <w:color w:val="auto"/>
        </w:rPr>
      </w:pPr>
      <w:r>
        <w:rPr>
          <w:color w:val="auto"/>
          <w:spacing w:val="-4"/>
        </w:rPr>
        <w:t xml:space="preserve">《特殊标志管理条例》第十五条 特殊标志所有人或者使用人有下列行为之一的， </w:t>
      </w:r>
      <w:r>
        <w:rPr>
          <w:color w:val="auto"/>
          <w:spacing w:val="-2"/>
        </w:rPr>
        <w:t xml:space="preserve">由其所在地或者行为发生地县级以上人民政府工商行政管理部门责令改正，可以处 </w:t>
      </w:r>
      <w:r>
        <w:rPr>
          <w:color w:val="auto"/>
        </w:rPr>
        <w:t xml:space="preserve">5 </w:t>
      </w:r>
      <w:r>
        <w:rPr>
          <w:color w:val="auto"/>
          <w:spacing w:val="-4"/>
        </w:rPr>
        <w:t>万元以下的罚款；情节严重的，由县级以上人民政府工商行政管理部门责令使用人停止使用该特殊标志，由国务院工商行政管理部门撤销所有人的特殊标志登记：</w:t>
      </w:r>
    </w:p>
    <w:p>
      <w:pPr>
        <w:pStyle w:val="4"/>
        <w:spacing w:line="302" w:lineRule="exact"/>
        <w:ind w:left="591"/>
        <w:rPr>
          <w:color w:val="auto"/>
        </w:rPr>
      </w:pPr>
      <w:r>
        <w:rPr>
          <w:color w:val="auto"/>
        </w:rPr>
        <w:t>（一）擅自改变特殊标志文字、图形的；</w:t>
      </w:r>
    </w:p>
    <w:p>
      <w:pPr>
        <w:pStyle w:val="4"/>
        <w:spacing w:before="194" w:line="388" w:lineRule="auto"/>
        <w:ind w:right="268" w:firstLine="480"/>
        <w:jc w:val="both"/>
        <w:rPr>
          <w:color w:val="auto"/>
        </w:rPr>
      </w:pPr>
      <w:r>
        <w:rPr>
          <w:color w:val="auto"/>
        </w:rPr>
        <w:t>（二</w:t>
      </w:r>
      <w:r>
        <w:rPr>
          <w:color w:val="auto"/>
          <w:spacing w:val="-12"/>
        </w:rPr>
        <w:t>）</w:t>
      </w:r>
      <w:r>
        <w:rPr>
          <w:color w:val="auto"/>
          <w:spacing w:val="-4"/>
        </w:rPr>
        <w:t>许可他人使用特殊标志，未签订使用合同，或者使用人在规定期限内未报</w:t>
      </w:r>
      <w:r>
        <w:rPr>
          <w:color w:val="auto"/>
          <w:spacing w:val="3"/>
        </w:rPr>
        <w:t>国务院工商行政管理部门备案或者未报所在地县级以上人民政府工商行政管理机关存查的；</w:t>
      </w:r>
    </w:p>
    <w:p>
      <w:pPr>
        <w:pStyle w:val="4"/>
        <w:spacing w:before="6"/>
        <w:ind w:left="581"/>
        <w:rPr>
          <w:color w:val="auto"/>
        </w:rPr>
      </w:pPr>
      <w:r>
        <w:rPr>
          <w:color w:val="auto"/>
        </w:rPr>
        <w:t>（三）超出核准登记的商品或者服务范围使用的。</w:t>
      </w:r>
    </w:p>
    <w:p>
      <w:pPr>
        <w:spacing w:before="191"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5" w:line="388" w:lineRule="auto"/>
        <w:ind w:left="591" w:right="3112"/>
        <w:rPr>
          <w:color w:val="auto"/>
        </w:rPr>
      </w:pPr>
      <w:r>
        <w:rPr>
          <w:color w:val="auto"/>
          <w:spacing w:val="-1"/>
        </w:rPr>
        <w:t>持续使用一个月以下的，可以处一万元以下的罚款。</w:t>
      </w:r>
      <w:r>
        <w:rPr>
          <w:color w:val="auto"/>
        </w:rPr>
        <w:t>2.【一般】</w:t>
      </w:r>
    </w:p>
    <w:p>
      <w:pPr>
        <w:pStyle w:val="4"/>
        <w:spacing w:before="2" w:line="391" w:lineRule="auto"/>
        <w:ind w:left="591" w:right="952"/>
        <w:rPr>
          <w:color w:val="auto"/>
        </w:rPr>
      </w:pPr>
      <w:r>
        <w:rPr>
          <w:color w:val="auto"/>
          <w:spacing w:val="-1"/>
        </w:rPr>
        <w:t>持续使用一个月以上三个月以下的，处以一万元以上三万元以下的罚款。</w:t>
      </w:r>
      <w:r>
        <w:rPr>
          <w:color w:val="auto"/>
        </w:rPr>
        <w:t>3.【严重】</w:t>
      </w:r>
    </w:p>
    <w:p>
      <w:pPr>
        <w:spacing w:before="0" w:line="388" w:lineRule="auto"/>
        <w:ind w:left="591" w:right="1886" w:firstLine="0"/>
        <w:jc w:val="left"/>
        <w:rPr>
          <w:b/>
          <w:color w:val="auto"/>
          <w:sz w:val="24"/>
        </w:rPr>
      </w:pPr>
      <w:r>
        <w:rPr>
          <w:color w:val="auto"/>
          <w:sz w:val="24"/>
        </w:rPr>
        <w:t>持续使用三个月以上的，处以三万元以上五万元以下的罚款。</w:t>
      </w:r>
      <w:bookmarkStart w:id="421" w:name="二百零五、非特殊标志所有人或者授权使用人擅自使用特殊标志"/>
      <w:bookmarkEnd w:id="421"/>
      <w:bookmarkStart w:id="422" w:name="_bookmark210"/>
      <w:bookmarkEnd w:id="422"/>
      <w:r>
        <w:rPr>
          <w:color w:val="auto"/>
          <w:sz w:val="24"/>
        </w:rPr>
        <w:t xml:space="preserve"> </w:t>
      </w:r>
      <w:r>
        <w:rPr>
          <w:b/>
          <w:color w:val="auto"/>
          <w:spacing w:val="-1"/>
          <w:sz w:val="24"/>
        </w:rPr>
        <w:t>二百零五、非特殊标志所有人或者授权使用人擅自使用特殊标志</w:t>
      </w:r>
    </w:p>
    <w:p>
      <w:pPr>
        <w:spacing w:after="0" w:line="388" w:lineRule="auto"/>
        <w:jc w:val="left"/>
        <w:rPr>
          <w:color w:val="auto"/>
          <w:sz w:val="24"/>
        </w:rPr>
        <w:sectPr>
          <w:pgSz w:w="11910" w:h="16840"/>
          <w:pgMar w:top="1520" w:right="1260" w:bottom="1220" w:left="1420" w:header="0" w:footer="1034" w:gutter="0"/>
        </w:sectPr>
      </w:pPr>
    </w:p>
    <w:p>
      <w:pPr>
        <w:pStyle w:val="2"/>
        <w:spacing w:before="39"/>
        <w:rPr>
          <w:color w:val="auto"/>
        </w:rPr>
      </w:pPr>
      <w:r>
        <w:rPr>
          <w:color w:val="auto"/>
        </w:rPr>
        <w:t>（一）处罚依据</w:t>
      </w:r>
    </w:p>
    <w:p>
      <w:pPr>
        <w:pStyle w:val="4"/>
        <w:spacing w:before="195" w:line="388" w:lineRule="auto"/>
        <w:ind w:right="268" w:firstLine="470"/>
        <w:jc w:val="both"/>
        <w:rPr>
          <w:color w:val="auto"/>
        </w:rPr>
      </w:pPr>
      <w:r>
        <w:rPr>
          <w:color w:val="auto"/>
        </w:rPr>
        <w:t>《特殊标志管理条例》第十六条 有下列行为之一的，由县级以上人民政府工商</w:t>
      </w:r>
      <w:r>
        <w:rPr>
          <w:color w:val="auto"/>
          <w:spacing w:val="-4"/>
        </w:rPr>
        <w:t>行政管理部门责令侵权人立即停止侵权行为，没收侵权商品，没收违法所得，并处违</w:t>
      </w:r>
      <w:r>
        <w:rPr>
          <w:color w:val="auto"/>
          <w:spacing w:val="-15"/>
        </w:rPr>
        <w:t xml:space="preserve">法所得 </w:t>
      </w:r>
      <w:r>
        <w:rPr>
          <w:color w:val="auto"/>
        </w:rPr>
        <w:t>5</w:t>
      </w:r>
      <w:r>
        <w:rPr>
          <w:color w:val="auto"/>
          <w:spacing w:val="-11"/>
        </w:rPr>
        <w:t xml:space="preserve"> 倍以下的罚款，没有违法所得的，处 </w:t>
      </w:r>
      <w:r>
        <w:rPr>
          <w:color w:val="auto"/>
        </w:rPr>
        <w:t>1</w:t>
      </w:r>
      <w:r>
        <w:rPr>
          <w:color w:val="auto"/>
          <w:spacing w:val="-8"/>
        </w:rPr>
        <w:t xml:space="preserve"> 万元以下的罚款：</w:t>
      </w:r>
    </w:p>
    <w:p>
      <w:pPr>
        <w:pStyle w:val="4"/>
        <w:spacing w:before="5"/>
        <w:ind w:left="581"/>
        <w:rPr>
          <w:color w:val="auto"/>
        </w:rPr>
      </w:pPr>
      <w:r>
        <w:rPr>
          <w:color w:val="auto"/>
        </w:rPr>
        <w:t>（一）擅自使用与所有人的特殊标志相同或者近似的文字、图形或者其组合的。</w:t>
      </w:r>
    </w:p>
    <w:p>
      <w:pPr>
        <w:pStyle w:val="4"/>
        <w:spacing w:before="192" w:line="388" w:lineRule="auto"/>
        <w:ind w:right="218" w:firstLine="470"/>
        <w:rPr>
          <w:color w:val="auto"/>
        </w:rPr>
      </w:pPr>
      <w:r>
        <w:rPr>
          <w:color w:val="auto"/>
        </w:rPr>
        <w:t>（二）未经特殊标志所有人许可，擅自制造、销售其特殊标志或者将其特殊标志用于商业活动的；</w:t>
      </w:r>
    </w:p>
    <w:p>
      <w:pPr>
        <w:pStyle w:val="4"/>
        <w:spacing w:before="4"/>
        <w:ind w:left="591"/>
        <w:rPr>
          <w:color w:val="auto"/>
        </w:rPr>
      </w:pPr>
      <w:r>
        <w:rPr>
          <w:color w:val="auto"/>
        </w:rPr>
        <w:t>（三）有给特殊标志所有人造成经济损失的其他行为的。</w:t>
      </w:r>
    </w:p>
    <w:p>
      <w:pPr>
        <w:spacing w:before="192"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5" w:line="388" w:lineRule="auto"/>
        <w:ind w:left="591" w:right="2392"/>
        <w:rPr>
          <w:color w:val="auto"/>
        </w:rPr>
      </w:pPr>
      <w:r>
        <w:rPr>
          <w:color w:val="auto"/>
          <w:spacing w:val="-1"/>
        </w:rPr>
        <w:t>没有违法所得的，没收侵权商品，处以一万元以下的罚款。</w:t>
      </w:r>
      <w:r>
        <w:rPr>
          <w:color w:val="auto"/>
        </w:rPr>
        <w:t>2.【一般】</w:t>
      </w:r>
    </w:p>
    <w:p>
      <w:pPr>
        <w:pStyle w:val="4"/>
        <w:spacing w:before="2" w:line="391" w:lineRule="auto"/>
        <w:ind w:right="213" w:firstLine="480"/>
        <w:rPr>
          <w:color w:val="auto"/>
        </w:rPr>
      </w:pPr>
      <w:r>
        <w:rPr>
          <w:color w:val="auto"/>
        </w:rPr>
        <w:t>违法所得三万元以下的，没收侵权商品，没收违法所得，并处违法所得二倍以下的罚款。</w:t>
      </w:r>
    </w:p>
    <w:p>
      <w:pPr>
        <w:pStyle w:val="4"/>
        <w:spacing w:line="306" w:lineRule="exact"/>
        <w:ind w:left="591"/>
        <w:rPr>
          <w:color w:val="auto"/>
        </w:rPr>
      </w:pPr>
      <w:r>
        <w:rPr>
          <w:color w:val="auto"/>
        </w:rPr>
        <w:t>3.【严重】</w:t>
      </w:r>
    </w:p>
    <w:p>
      <w:pPr>
        <w:pStyle w:val="4"/>
        <w:spacing w:before="191" w:line="391" w:lineRule="auto"/>
        <w:ind w:right="218" w:firstLine="470"/>
        <w:rPr>
          <w:color w:val="auto"/>
        </w:rPr>
      </w:pPr>
      <w:r>
        <w:rPr>
          <w:color w:val="auto"/>
        </w:rPr>
        <w:t>违法所得三万元以上的，没收侵权商品，没收违法所得，并处违法所得二倍以上五倍以下的罚款。</w:t>
      </w:r>
    </w:p>
    <w:p>
      <w:pPr>
        <w:pStyle w:val="2"/>
        <w:spacing w:line="306" w:lineRule="exact"/>
        <w:rPr>
          <w:color w:val="auto"/>
        </w:rPr>
      </w:pPr>
      <w:bookmarkStart w:id="423" w:name="二百零六、侵犯世界博览会标志专有权"/>
      <w:bookmarkEnd w:id="423"/>
      <w:bookmarkStart w:id="424" w:name="_bookmark211"/>
      <w:bookmarkEnd w:id="424"/>
      <w:r>
        <w:rPr>
          <w:color w:val="auto"/>
        </w:rPr>
        <w:t>二百零六、侵犯世界博览会标志专有权</w:t>
      </w:r>
    </w:p>
    <w:p>
      <w:pPr>
        <w:spacing w:before="192"/>
        <w:ind w:left="591" w:right="0" w:firstLine="0"/>
        <w:jc w:val="left"/>
        <w:rPr>
          <w:b/>
          <w:color w:val="auto"/>
          <w:sz w:val="24"/>
        </w:rPr>
      </w:pPr>
      <w:r>
        <w:rPr>
          <w:b/>
          <w:color w:val="auto"/>
          <w:sz w:val="24"/>
        </w:rPr>
        <w:t>（一）处罚依据</w:t>
      </w:r>
    </w:p>
    <w:p>
      <w:pPr>
        <w:pStyle w:val="4"/>
        <w:spacing w:before="194" w:line="391" w:lineRule="auto"/>
        <w:ind w:right="268" w:firstLine="470"/>
        <w:jc w:val="both"/>
        <w:rPr>
          <w:color w:val="auto"/>
        </w:rPr>
      </w:pPr>
      <w:r>
        <w:rPr>
          <w:color w:val="auto"/>
        </w:rPr>
        <w:t>《世界博览会标志保护条例》第十一条第一款 工商行政管理部门处理侵犯世界</w:t>
      </w:r>
      <w:r>
        <w:rPr>
          <w:color w:val="auto"/>
          <w:spacing w:val="-5"/>
        </w:rPr>
        <w:t>博览会标志专有权行为时，认定侵权行为成立的，责令立即停止侵权行为，没收、销</w:t>
      </w:r>
      <w:r>
        <w:rPr>
          <w:color w:val="auto"/>
          <w:spacing w:val="3"/>
        </w:rPr>
        <w:t>毁侵权商品和专门用于制造侵权商品或者为商业目的擅自制造世界博览会标志的工</w:t>
      </w:r>
      <w:r>
        <w:rPr>
          <w:color w:val="auto"/>
          <w:spacing w:val="-8"/>
        </w:rPr>
        <w:t xml:space="preserve">具，有违法所得的，没收违法所得，可以并处违法所得 </w:t>
      </w:r>
      <w:r>
        <w:rPr>
          <w:color w:val="auto"/>
        </w:rPr>
        <w:t>5</w:t>
      </w:r>
      <w:r>
        <w:rPr>
          <w:color w:val="auto"/>
          <w:spacing w:val="-10"/>
        </w:rPr>
        <w:t xml:space="preserve"> 倍以下的罚款；没有违法所</w:t>
      </w:r>
    </w:p>
    <w:p>
      <w:pPr>
        <w:pStyle w:val="4"/>
        <w:spacing w:line="302" w:lineRule="exact"/>
        <w:jc w:val="both"/>
        <w:rPr>
          <w:color w:val="auto"/>
        </w:rPr>
      </w:pPr>
      <w:r>
        <w:rPr>
          <w:color w:val="auto"/>
        </w:rPr>
        <w:t>得的，可以并处 5 万元以下的罚款。</w:t>
      </w:r>
    </w:p>
    <w:p>
      <w:pPr>
        <w:spacing w:before="192"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24" w:firstLine="480"/>
        <w:rPr>
          <w:color w:val="auto"/>
        </w:rPr>
      </w:pPr>
      <w:r>
        <w:rPr>
          <w:color w:val="auto"/>
        </w:rPr>
        <w:t>没有违法所得的，没收侵权商品和专门用于制造侵权商品或者为商业目的擅自制造世界博览会标志的工具，可以并处五万元以下的罚款。</w:t>
      </w:r>
    </w:p>
    <w:p>
      <w:pPr>
        <w:spacing w:after="0" w:line="388" w:lineRule="auto"/>
        <w:rPr>
          <w:color w:val="auto"/>
        </w:rPr>
        <w:sectPr>
          <w:pgSz w:w="11910" w:h="16840"/>
          <w:pgMar w:top="1520" w:right="1260" w:bottom="1220" w:left="1420" w:header="0" w:footer="1034" w:gutter="0"/>
        </w:sectPr>
      </w:pPr>
    </w:p>
    <w:p>
      <w:pPr>
        <w:pStyle w:val="13"/>
        <w:numPr>
          <w:ilvl w:val="0"/>
          <w:numId w:val="121"/>
        </w:numPr>
        <w:tabs>
          <w:tab w:val="left" w:pos="833"/>
        </w:tabs>
        <w:spacing w:before="39"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违法所得三万元以下的，没收侵权商品和专门用于制造侵权商品或者为商业目的擅自制造世界博览会标志的工具，没收违法所得，并处违法所得二倍以下的罚款。</w:t>
      </w:r>
    </w:p>
    <w:p>
      <w:pPr>
        <w:pStyle w:val="13"/>
        <w:numPr>
          <w:ilvl w:val="0"/>
          <w:numId w:val="121"/>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68" w:firstLine="470"/>
        <w:jc w:val="both"/>
        <w:rPr>
          <w:color w:val="auto"/>
        </w:rPr>
      </w:pPr>
      <w:r>
        <w:rPr>
          <w:color w:val="auto"/>
          <w:spacing w:val="-4"/>
        </w:rPr>
        <w:t>违法所得三万元以上的，没收侵权商品和专门用于制造侵权商品或者为商业目的擅自制造世界博览会标志的工具，没收违法所得，并处违法所得二倍以上五倍以下的</w:t>
      </w:r>
      <w:r>
        <w:rPr>
          <w:color w:val="auto"/>
        </w:rPr>
        <w:t>罚款。</w:t>
      </w:r>
    </w:p>
    <w:p>
      <w:pPr>
        <w:pStyle w:val="4"/>
        <w:ind w:left="0"/>
        <w:rPr>
          <w:color w:val="auto"/>
        </w:rPr>
      </w:pPr>
    </w:p>
    <w:p>
      <w:pPr>
        <w:pStyle w:val="4"/>
        <w:tabs>
          <w:tab w:val="left" w:pos="959"/>
        </w:tabs>
        <w:spacing w:before="197"/>
        <w:ind w:left="0" w:right="161"/>
        <w:jc w:val="center"/>
        <w:rPr>
          <w:rFonts w:hint="eastAsia" w:ascii="黑体" w:eastAsia="黑体"/>
          <w:color w:val="auto"/>
        </w:rPr>
      </w:pPr>
      <w:bookmarkStart w:id="425" w:name="第七章  广告监督管理"/>
      <w:bookmarkEnd w:id="425"/>
      <w:bookmarkStart w:id="426" w:name="_bookmark212"/>
      <w:bookmarkEnd w:id="426"/>
      <w:r>
        <w:rPr>
          <w:rFonts w:hint="eastAsia" w:ascii="黑体" w:eastAsia="黑体"/>
          <w:color w:val="auto"/>
        </w:rPr>
        <w:t>第七章</w:t>
      </w:r>
      <w:r>
        <w:rPr>
          <w:rFonts w:hint="eastAsia" w:ascii="黑体" w:eastAsia="黑体"/>
          <w:color w:val="auto"/>
        </w:rPr>
        <w:tab/>
      </w:r>
      <w:r>
        <w:rPr>
          <w:rFonts w:hint="eastAsia" w:ascii="黑体" w:eastAsia="黑体"/>
          <w:color w:val="auto"/>
        </w:rPr>
        <w:t>广告监督管理</w:t>
      </w:r>
    </w:p>
    <w:p>
      <w:pPr>
        <w:pStyle w:val="4"/>
        <w:ind w:left="0"/>
        <w:rPr>
          <w:rFonts w:ascii="黑体"/>
          <w:color w:val="auto"/>
        </w:rPr>
      </w:pPr>
    </w:p>
    <w:p>
      <w:pPr>
        <w:pStyle w:val="4"/>
        <w:spacing w:before="1"/>
        <w:ind w:left="0"/>
        <w:rPr>
          <w:rFonts w:ascii="黑体"/>
          <w:color w:val="auto"/>
          <w:sz w:val="30"/>
        </w:rPr>
      </w:pPr>
    </w:p>
    <w:p>
      <w:pPr>
        <w:pStyle w:val="2"/>
        <w:rPr>
          <w:color w:val="auto"/>
        </w:rPr>
      </w:pPr>
      <w:bookmarkStart w:id="427" w:name="_bookmark213"/>
      <w:bookmarkEnd w:id="427"/>
      <w:bookmarkStart w:id="428" w:name="二百零七、发布虚假广告"/>
      <w:bookmarkEnd w:id="428"/>
      <w:r>
        <w:rPr>
          <w:color w:val="auto"/>
        </w:rPr>
        <w:t>二百零七、发布虚假广告</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、《中华人民共和国广告法》第五十五条 违反本法规定，发布虚假广告的，由</w:t>
      </w:r>
      <w:r>
        <w:rPr>
          <w:color w:val="auto"/>
          <w:spacing w:val="-12"/>
        </w:rPr>
        <w:t>市场监督管理部门责令停止发布广告，责令广告主在相应范围内消除影响，处广告费</w:t>
      </w:r>
      <w:r>
        <w:rPr>
          <w:color w:val="auto"/>
          <w:spacing w:val="-4"/>
        </w:rPr>
        <w:t>用三倍以上五倍以下的罚款，广告费用无法计算或者明显偏低的，处二十万元以上一</w:t>
      </w:r>
      <w:r>
        <w:rPr>
          <w:color w:val="auto"/>
          <w:spacing w:val="-5"/>
        </w:rPr>
        <w:t>百万元以下的罚款；两年内有三次以上违法行为或者有其他严重情节的，处广告费用</w:t>
      </w:r>
      <w:r>
        <w:rPr>
          <w:color w:val="auto"/>
          <w:spacing w:val="-4"/>
        </w:rPr>
        <w:t>五倍以上十倍以下的罚款，广告费用无法计算或者明显偏低的，处一百万元以上二百</w:t>
      </w:r>
      <w:r>
        <w:rPr>
          <w:color w:val="auto"/>
          <w:spacing w:val="-5"/>
        </w:rPr>
        <w:t>万元以下的罚款，可以吊销营业执照，并由广告审查机关撤销广告审查批准文件、一</w:t>
      </w:r>
      <w:r>
        <w:rPr>
          <w:color w:val="auto"/>
        </w:rPr>
        <w:t>年内不受理其广告审查申请。</w:t>
      </w:r>
    </w:p>
    <w:p>
      <w:pPr>
        <w:pStyle w:val="4"/>
        <w:spacing w:line="388" w:lineRule="auto"/>
        <w:ind w:right="213" w:firstLine="480"/>
        <w:rPr>
          <w:color w:val="auto"/>
        </w:rPr>
      </w:pPr>
      <w:r>
        <w:rPr>
          <w:color w:val="auto"/>
        </w:rPr>
        <w:t>医疗机构有前款规定违法行为，情节严重的，除由市场监督管理部门依照本法处罚外，卫生行政部门可以吊销诊疗科目或者吊销医疗机构执业许可证。</w:t>
      </w:r>
    </w:p>
    <w:p>
      <w:pPr>
        <w:pStyle w:val="4"/>
        <w:spacing w:line="391" w:lineRule="auto"/>
        <w:ind w:right="232" w:firstLine="480"/>
        <w:jc w:val="both"/>
        <w:rPr>
          <w:color w:val="auto"/>
        </w:rPr>
      </w:pPr>
      <w:r>
        <w:rPr>
          <w:color w:val="auto"/>
          <w:spacing w:val="-1"/>
        </w:rPr>
        <w:t xml:space="preserve">广告经营者、广告发布者明知或者应知广告虚假仍设计、制作、代理、发布的， </w:t>
      </w:r>
      <w:r>
        <w:rPr>
          <w:color w:val="auto"/>
          <w:spacing w:val="-3"/>
        </w:rPr>
        <w:t>由市场监督管理部门没收广告费用，并处广告费用三倍以上五倍以下的罚款，广告费</w:t>
      </w:r>
      <w:r>
        <w:rPr>
          <w:color w:val="auto"/>
          <w:spacing w:val="-6"/>
        </w:rPr>
        <w:t>用无法计算或者明显偏低的，处二十万元以上一百万元以下的罚款；两年内有三次以</w:t>
      </w:r>
      <w:r>
        <w:rPr>
          <w:color w:val="auto"/>
          <w:spacing w:val="-8"/>
        </w:rPr>
        <w:t>上违法行为或者有其他严重情节的，处广告费用五倍以上十倍以下的罚款，广告费用</w:t>
      </w:r>
      <w:r>
        <w:rPr>
          <w:color w:val="auto"/>
          <w:spacing w:val="-10"/>
        </w:rPr>
        <w:t>无法计算或者明显偏低的，处一百万元以上二百万元以下的罚款，并可以由有关部门暂停广告发布业务、吊销营业执照、吊销广告发布登记证件。</w:t>
      </w:r>
    </w:p>
    <w:p>
      <w:pPr>
        <w:pStyle w:val="4"/>
        <w:spacing w:line="300" w:lineRule="exact"/>
        <w:ind w:left="591"/>
        <w:rPr>
          <w:color w:val="auto"/>
        </w:rPr>
      </w:pPr>
      <w:r>
        <w:rPr>
          <w:color w:val="auto"/>
          <w:spacing w:val="-13"/>
        </w:rPr>
        <w:t>广告主、广告经营者、广告发布者有本条第一款、第三款规定行为，构成犯罪的，</w:t>
      </w:r>
    </w:p>
    <w:p>
      <w:pPr>
        <w:spacing w:after="0" w:line="300" w:lineRule="exact"/>
        <w:rPr>
          <w:color w:val="auto"/>
        </w:rPr>
        <w:sectPr>
          <w:pgSz w:w="11910" w:h="16840"/>
          <w:pgMar w:top="1520" w:right="1260" w:bottom="1220" w:left="1420" w:header="0" w:footer="1034" w:gutter="0"/>
        </w:sectPr>
      </w:pPr>
    </w:p>
    <w:p>
      <w:pPr>
        <w:pStyle w:val="4"/>
        <w:spacing w:before="39"/>
        <w:rPr>
          <w:color w:val="auto"/>
        </w:rPr>
      </w:pPr>
      <w:r>
        <w:rPr>
          <w:color w:val="auto"/>
        </w:rPr>
        <w:t>依法追究刑事责任。</w:t>
      </w:r>
    </w:p>
    <w:p>
      <w:pPr>
        <w:pStyle w:val="13"/>
        <w:numPr>
          <w:ilvl w:val="1"/>
          <w:numId w:val="122"/>
        </w:numPr>
        <w:tabs>
          <w:tab w:val="left" w:pos="954"/>
        </w:tabs>
        <w:spacing w:before="195" w:after="0" w:line="388" w:lineRule="auto"/>
        <w:ind w:left="111" w:right="232" w:firstLine="480"/>
        <w:jc w:val="left"/>
        <w:rPr>
          <w:color w:val="auto"/>
          <w:sz w:val="24"/>
        </w:rPr>
      </w:pPr>
      <w:r>
        <w:rPr>
          <w:color w:val="auto"/>
          <w:spacing w:val="-9"/>
          <w:sz w:val="24"/>
        </w:rPr>
        <w:t>、《中华人民共和国广告法》第三条 广告应当真实、合法，以健康的表现形</w:t>
      </w:r>
      <w:r>
        <w:rPr>
          <w:color w:val="auto"/>
          <w:spacing w:val="-10"/>
          <w:sz w:val="24"/>
        </w:rPr>
        <w:t>式表达广告内容，符合社会主义精神文明建设和弘扬中华民族优秀传统文化的要求。</w:t>
      </w:r>
    </w:p>
    <w:p>
      <w:pPr>
        <w:pStyle w:val="13"/>
        <w:numPr>
          <w:ilvl w:val="1"/>
          <w:numId w:val="122"/>
        </w:numPr>
        <w:tabs>
          <w:tab w:val="left" w:pos="953"/>
        </w:tabs>
        <w:spacing w:before="2" w:after="0" w:line="391" w:lineRule="auto"/>
        <w:ind w:left="111" w:right="148" w:firstLine="480"/>
        <w:jc w:val="left"/>
        <w:rPr>
          <w:color w:val="auto"/>
          <w:sz w:val="24"/>
        </w:rPr>
      </w:pPr>
      <w:r>
        <w:rPr>
          <w:color w:val="auto"/>
          <w:spacing w:val="-15"/>
          <w:sz w:val="24"/>
        </w:rPr>
        <w:t xml:space="preserve">、《中华人民共和国广告法》第四条 广告不得含有虚假或者引人误解的内容， </w:t>
      </w:r>
      <w:r>
        <w:rPr>
          <w:color w:val="auto"/>
          <w:sz w:val="24"/>
        </w:rPr>
        <w:t>不得欺骗、误导消费者。</w:t>
      </w:r>
    </w:p>
    <w:p>
      <w:pPr>
        <w:pStyle w:val="4"/>
        <w:spacing w:line="306" w:lineRule="exact"/>
        <w:ind w:left="591"/>
        <w:rPr>
          <w:color w:val="auto"/>
        </w:rPr>
      </w:pPr>
      <w:r>
        <w:rPr>
          <w:color w:val="auto"/>
        </w:rPr>
        <w:t>广告主应当对广告内容的真实性负责。</w:t>
      </w:r>
    </w:p>
    <w:p>
      <w:pPr>
        <w:pStyle w:val="13"/>
        <w:numPr>
          <w:ilvl w:val="1"/>
          <w:numId w:val="122"/>
        </w:numPr>
        <w:tabs>
          <w:tab w:val="left" w:pos="954"/>
        </w:tabs>
        <w:spacing w:before="191" w:after="0" w:line="391" w:lineRule="auto"/>
        <w:ind w:left="111" w:right="271" w:firstLine="480"/>
        <w:jc w:val="left"/>
        <w:rPr>
          <w:color w:val="auto"/>
          <w:sz w:val="24"/>
        </w:rPr>
      </w:pPr>
      <w:r>
        <w:rPr>
          <w:color w:val="auto"/>
          <w:spacing w:val="-9"/>
          <w:sz w:val="24"/>
        </w:rPr>
        <w:t>、《中华人民共和国广告法》第二十八条 广告以虚假或者引人误解的内容欺骗、误导消费者的，构成虚假广告。</w:t>
      </w:r>
    </w:p>
    <w:p>
      <w:pPr>
        <w:pStyle w:val="4"/>
        <w:spacing w:line="306" w:lineRule="exact"/>
        <w:ind w:left="591"/>
        <w:rPr>
          <w:color w:val="auto"/>
        </w:rPr>
      </w:pPr>
      <w:r>
        <w:rPr>
          <w:color w:val="auto"/>
        </w:rPr>
        <w:t>广告有下列情形之一的，为虚假广告：</w:t>
      </w:r>
    </w:p>
    <w:p>
      <w:pPr>
        <w:pStyle w:val="4"/>
        <w:spacing w:before="192"/>
        <w:ind w:left="591"/>
        <w:rPr>
          <w:color w:val="auto"/>
        </w:rPr>
      </w:pPr>
      <w:r>
        <w:rPr>
          <w:color w:val="auto"/>
        </w:rPr>
        <w:t>（一）商品或者服务不存在的；</w:t>
      </w:r>
    </w:p>
    <w:p>
      <w:pPr>
        <w:pStyle w:val="4"/>
        <w:spacing w:before="194" w:line="391" w:lineRule="auto"/>
        <w:ind w:right="145" w:firstLine="480"/>
        <w:rPr>
          <w:color w:val="auto"/>
        </w:rPr>
      </w:pPr>
      <w:r>
        <w:rPr>
          <w:color w:val="auto"/>
        </w:rPr>
        <w:t>（二</w:t>
      </w:r>
      <w:r>
        <w:rPr>
          <w:color w:val="auto"/>
          <w:spacing w:val="-5"/>
        </w:rPr>
        <w:t>）商品的性能、功能、产地、用途、质量、规格、成分、价格、生产者、有</w:t>
      </w:r>
      <w:r>
        <w:rPr>
          <w:color w:val="auto"/>
          <w:spacing w:val="-14"/>
        </w:rPr>
        <w:t xml:space="preserve">效期限、销售状况、曾获荣誉等信息，或者服务的内容、提供者、形式、质量、价格、销售状况、曾获荣誉等信息，以及与商品或者服务有关的允诺等信息与实际情况不符， </w:t>
      </w:r>
      <w:r>
        <w:rPr>
          <w:color w:val="auto"/>
        </w:rPr>
        <w:t>对购买行为有实质性影响的；</w:t>
      </w:r>
    </w:p>
    <w:p>
      <w:pPr>
        <w:pStyle w:val="4"/>
        <w:spacing w:line="388" w:lineRule="auto"/>
        <w:ind w:right="232" w:firstLine="480"/>
        <w:rPr>
          <w:color w:val="auto"/>
        </w:rPr>
      </w:pPr>
      <w:r>
        <w:rPr>
          <w:color w:val="auto"/>
        </w:rPr>
        <w:t>（三）</w:t>
      </w:r>
      <w:r>
        <w:rPr>
          <w:color w:val="auto"/>
          <w:spacing w:val="-1"/>
        </w:rPr>
        <w:t>使用虚构、伪造或者无法验证的科研成果、统计资料、调查结果、文摘、</w:t>
      </w:r>
      <w:r>
        <w:rPr>
          <w:color w:val="auto"/>
        </w:rPr>
        <w:t>引用语等信息作证明材料的；</w:t>
      </w:r>
    </w:p>
    <w:p>
      <w:pPr>
        <w:pStyle w:val="4"/>
        <w:ind w:left="591"/>
        <w:rPr>
          <w:color w:val="auto"/>
        </w:rPr>
      </w:pPr>
      <w:r>
        <w:rPr>
          <w:color w:val="auto"/>
        </w:rPr>
        <w:t>（四）虚构使用商品或者接受服务的效果的；</w:t>
      </w:r>
    </w:p>
    <w:p>
      <w:pPr>
        <w:pStyle w:val="4"/>
        <w:spacing w:before="191"/>
        <w:ind w:left="591"/>
        <w:rPr>
          <w:color w:val="auto"/>
        </w:rPr>
      </w:pPr>
      <w:r>
        <w:rPr>
          <w:color w:val="auto"/>
        </w:rPr>
        <w:t>（五）以虚假或者引人误解的内容欺骗、误导消费者的其他情形。</w:t>
      </w:r>
    </w:p>
    <w:p>
      <w:pPr>
        <w:spacing w:before="191"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13"/>
        <w:numPr>
          <w:ilvl w:val="0"/>
          <w:numId w:val="123"/>
        </w:numPr>
        <w:tabs>
          <w:tab w:val="left" w:pos="1199"/>
        </w:tabs>
        <w:spacing w:before="192" w:after="0" w:line="391" w:lineRule="auto"/>
        <w:ind w:left="111" w:right="268" w:firstLine="480"/>
        <w:jc w:val="both"/>
        <w:rPr>
          <w:color w:val="auto"/>
          <w:sz w:val="24"/>
        </w:rPr>
      </w:pPr>
      <w:r>
        <w:rPr>
          <w:color w:val="auto"/>
          <w:sz w:val="24"/>
        </w:rPr>
        <w:t>两年内发布虚假广告一次，广告费用一万元以下的，处以广告费用三倍的</w:t>
      </w:r>
      <w:r>
        <w:rPr>
          <w:color w:val="auto"/>
          <w:spacing w:val="-6"/>
          <w:sz w:val="24"/>
        </w:rPr>
        <w:t>罚款；两年内发布虚假广告一次，广告费用无法计算或者明显偏低的，处以二十万元</w:t>
      </w:r>
      <w:r>
        <w:rPr>
          <w:color w:val="auto"/>
          <w:sz w:val="24"/>
        </w:rPr>
        <w:t>的罚款。</w:t>
      </w:r>
    </w:p>
    <w:p>
      <w:pPr>
        <w:pStyle w:val="13"/>
        <w:numPr>
          <w:ilvl w:val="0"/>
          <w:numId w:val="123"/>
        </w:numPr>
        <w:tabs>
          <w:tab w:val="left" w:pos="1199"/>
        </w:tabs>
        <w:spacing w:before="0" w:after="0" w:line="391" w:lineRule="auto"/>
        <w:ind w:left="111" w:right="232" w:firstLine="480"/>
        <w:jc w:val="both"/>
        <w:rPr>
          <w:color w:val="auto"/>
          <w:sz w:val="24"/>
        </w:rPr>
      </w:pPr>
      <w:r>
        <w:rPr>
          <w:color w:val="auto"/>
          <w:sz w:val="24"/>
        </w:rPr>
        <w:t>两年内广告经营者、广告发布者明知或者应知广告虚假仍设计、制作、代</w:t>
      </w:r>
      <w:r>
        <w:rPr>
          <w:color w:val="auto"/>
          <w:spacing w:val="-1"/>
          <w:sz w:val="24"/>
        </w:rPr>
        <w:t xml:space="preserve">理、发布一次，广告费用一万元以下的，没收广告费用，处以广告费用三倍的罚款； </w:t>
      </w:r>
      <w:r>
        <w:rPr>
          <w:color w:val="auto"/>
          <w:spacing w:val="-5"/>
          <w:sz w:val="24"/>
        </w:rPr>
        <w:t>两年内广告经营者、广告发布者明知或者应知广告虚假仍设计、制作、代理、发布一次，广告费用无法计算或者明显偏低的，处以二十万元的罚款。</w:t>
      </w:r>
    </w:p>
    <w:p>
      <w:pPr>
        <w:spacing w:after="0" w:line="391" w:lineRule="auto"/>
        <w:jc w:val="both"/>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【一般】</w:t>
      </w:r>
    </w:p>
    <w:p>
      <w:pPr>
        <w:pStyle w:val="13"/>
        <w:numPr>
          <w:ilvl w:val="0"/>
          <w:numId w:val="124"/>
        </w:numPr>
        <w:tabs>
          <w:tab w:val="left" w:pos="1199"/>
        </w:tabs>
        <w:spacing w:before="195" w:after="0" w:line="388" w:lineRule="auto"/>
        <w:ind w:left="111" w:right="268" w:firstLine="480"/>
        <w:jc w:val="both"/>
        <w:rPr>
          <w:color w:val="auto"/>
          <w:sz w:val="24"/>
        </w:rPr>
      </w:pPr>
      <w:r>
        <w:rPr>
          <w:color w:val="auto"/>
          <w:sz w:val="24"/>
        </w:rPr>
        <w:t>两年内发布虚假广告一次，广告费用一万元以上十万元以下的，处以广告</w:t>
      </w:r>
      <w:r>
        <w:rPr>
          <w:color w:val="auto"/>
          <w:spacing w:val="-4"/>
          <w:sz w:val="24"/>
        </w:rPr>
        <w:t>费用三倍以上四倍以下的罚款；两年内发布虚假广告两次，广告费用无法计算或者明</w:t>
      </w:r>
      <w:r>
        <w:rPr>
          <w:color w:val="auto"/>
          <w:sz w:val="24"/>
        </w:rPr>
        <w:t>显偏低的，处以二十万元以上五十万元以下的罚款。</w:t>
      </w:r>
    </w:p>
    <w:p>
      <w:pPr>
        <w:pStyle w:val="13"/>
        <w:numPr>
          <w:ilvl w:val="0"/>
          <w:numId w:val="124"/>
        </w:numPr>
        <w:tabs>
          <w:tab w:val="left" w:pos="1199"/>
        </w:tabs>
        <w:spacing w:before="5" w:after="0" w:line="391" w:lineRule="auto"/>
        <w:ind w:left="111" w:right="266" w:firstLine="480"/>
        <w:jc w:val="both"/>
        <w:rPr>
          <w:color w:val="auto"/>
          <w:sz w:val="24"/>
        </w:rPr>
      </w:pPr>
      <w:r>
        <w:rPr>
          <w:color w:val="auto"/>
          <w:sz w:val="24"/>
        </w:rPr>
        <w:t>两年内广告经营者、广告发布者明知或者应知广告虚假仍设计、制作、代</w:t>
      </w:r>
      <w:r>
        <w:rPr>
          <w:color w:val="auto"/>
          <w:spacing w:val="-7"/>
          <w:sz w:val="24"/>
        </w:rPr>
        <w:t>理、发布一次，广告费用一万元以上十万元以下的，没收广告费用，并处广告费用三</w:t>
      </w:r>
      <w:r>
        <w:rPr>
          <w:color w:val="auto"/>
          <w:spacing w:val="-4"/>
          <w:sz w:val="24"/>
        </w:rPr>
        <w:t>倍以上四倍以下的罚款；两年内广告经营者、广告发布者明知或者应知广告虚假仍设</w:t>
      </w:r>
      <w:r>
        <w:rPr>
          <w:color w:val="auto"/>
          <w:spacing w:val="-8"/>
          <w:sz w:val="24"/>
        </w:rPr>
        <w:t>计、制作、代理、发布两次，广告费用无法计算或者明显偏低的，处以二十万元以上</w:t>
      </w:r>
      <w:r>
        <w:rPr>
          <w:color w:val="auto"/>
          <w:sz w:val="24"/>
        </w:rPr>
        <w:t>五十万元以下的罚款。</w:t>
      </w:r>
    </w:p>
    <w:p>
      <w:pPr>
        <w:pStyle w:val="4"/>
        <w:spacing w:line="300" w:lineRule="exact"/>
        <w:ind w:left="591"/>
        <w:rPr>
          <w:color w:val="auto"/>
        </w:rPr>
      </w:pPr>
      <w:r>
        <w:rPr>
          <w:color w:val="auto"/>
        </w:rPr>
        <w:t>【较重】</w:t>
      </w:r>
    </w:p>
    <w:p>
      <w:pPr>
        <w:pStyle w:val="13"/>
        <w:numPr>
          <w:ilvl w:val="0"/>
          <w:numId w:val="125"/>
        </w:numPr>
        <w:tabs>
          <w:tab w:val="left" w:pos="1199"/>
        </w:tabs>
        <w:spacing w:before="194" w:after="0" w:line="388" w:lineRule="auto"/>
        <w:ind w:left="111" w:right="268" w:firstLine="480"/>
        <w:jc w:val="both"/>
        <w:rPr>
          <w:color w:val="auto"/>
          <w:sz w:val="24"/>
        </w:rPr>
      </w:pPr>
      <w:r>
        <w:rPr>
          <w:color w:val="auto"/>
          <w:sz w:val="24"/>
        </w:rPr>
        <w:t>两年内发布虚假广告两次的，或者广告费用十万元以上未达到刑事案件立</w:t>
      </w:r>
      <w:r>
        <w:rPr>
          <w:color w:val="auto"/>
          <w:spacing w:val="-5"/>
          <w:sz w:val="24"/>
        </w:rPr>
        <w:t>案追诉标准的，处以广告费用四倍以上五倍以下的罚款；两年内发布虚假广告两次以</w:t>
      </w:r>
      <w:r>
        <w:rPr>
          <w:color w:val="auto"/>
          <w:sz w:val="24"/>
        </w:rPr>
        <w:t>上，广告费用无法计算或者明显偏低的，处以五十万元以上一百万元以下的罚款。</w:t>
      </w:r>
    </w:p>
    <w:p>
      <w:pPr>
        <w:pStyle w:val="13"/>
        <w:numPr>
          <w:ilvl w:val="0"/>
          <w:numId w:val="125"/>
        </w:numPr>
        <w:tabs>
          <w:tab w:val="left" w:pos="1199"/>
        </w:tabs>
        <w:spacing w:before="6" w:after="0" w:line="391" w:lineRule="auto"/>
        <w:ind w:left="111" w:right="268" w:firstLine="480"/>
        <w:jc w:val="both"/>
        <w:rPr>
          <w:color w:val="auto"/>
          <w:sz w:val="24"/>
        </w:rPr>
      </w:pPr>
      <w:r>
        <w:rPr>
          <w:color w:val="auto"/>
          <w:sz w:val="24"/>
        </w:rPr>
        <w:t>两年内广告经营者、广告发布者明知或者应知广告虚假仍设计、制作、代</w:t>
      </w:r>
      <w:r>
        <w:rPr>
          <w:color w:val="auto"/>
          <w:spacing w:val="-7"/>
          <w:sz w:val="24"/>
        </w:rPr>
        <w:t>理、发布两次的，或者广告费用十万元以上未达到刑事案件立案追诉标准的，没收广</w:t>
      </w:r>
      <w:r>
        <w:rPr>
          <w:color w:val="auto"/>
          <w:spacing w:val="-6"/>
          <w:sz w:val="24"/>
        </w:rPr>
        <w:t>告费用，并处广告费用四倍以上五倍以下的罚款；两年内广告经营者、广告发布者明</w:t>
      </w:r>
      <w:r>
        <w:rPr>
          <w:color w:val="auto"/>
          <w:spacing w:val="-5"/>
          <w:sz w:val="24"/>
        </w:rPr>
        <w:t>知或者应知广告虚假仍设计、制作、代理、发布三次，广告费用无法计算或者明显偏</w:t>
      </w:r>
      <w:r>
        <w:rPr>
          <w:color w:val="auto"/>
          <w:sz w:val="24"/>
        </w:rPr>
        <w:t>低的，处以五十万元以上一百万元以下的罚款。</w:t>
      </w:r>
    </w:p>
    <w:p>
      <w:pPr>
        <w:pStyle w:val="4"/>
        <w:spacing w:line="300" w:lineRule="exact"/>
        <w:ind w:left="591"/>
        <w:rPr>
          <w:color w:val="auto"/>
        </w:rPr>
      </w:pPr>
      <w:r>
        <w:rPr>
          <w:color w:val="auto"/>
        </w:rPr>
        <w:t>【严重】</w:t>
      </w:r>
    </w:p>
    <w:p>
      <w:pPr>
        <w:pStyle w:val="13"/>
        <w:numPr>
          <w:ilvl w:val="0"/>
          <w:numId w:val="126"/>
        </w:numPr>
        <w:tabs>
          <w:tab w:val="left" w:pos="1199"/>
        </w:tabs>
        <w:spacing w:before="194" w:after="0" w:line="388" w:lineRule="auto"/>
        <w:ind w:left="111" w:right="268" w:firstLine="480"/>
        <w:jc w:val="both"/>
        <w:rPr>
          <w:color w:val="auto"/>
          <w:sz w:val="24"/>
        </w:rPr>
      </w:pPr>
      <w:r>
        <w:rPr>
          <w:color w:val="auto"/>
          <w:sz w:val="24"/>
        </w:rPr>
        <w:t>两年内发布虚假广告三次以上，未达到刑事案件立案追诉标准的，或者造</w:t>
      </w:r>
      <w:r>
        <w:rPr>
          <w:color w:val="auto"/>
          <w:spacing w:val="-5"/>
          <w:sz w:val="24"/>
        </w:rPr>
        <w:t>成一定危害后果的，处以广告费用五倍以上七倍以下的罚款，广告费用无法计算或者</w:t>
      </w:r>
      <w:r>
        <w:rPr>
          <w:color w:val="auto"/>
          <w:sz w:val="24"/>
        </w:rPr>
        <w:t>明显偏低的，处以一百万元以上一百五十万元以下的罚款，并可以吊销营业执照。</w:t>
      </w:r>
    </w:p>
    <w:p>
      <w:pPr>
        <w:pStyle w:val="13"/>
        <w:numPr>
          <w:ilvl w:val="0"/>
          <w:numId w:val="126"/>
        </w:numPr>
        <w:tabs>
          <w:tab w:val="left" w:pos="1199"/>
        </w:tabs>
        <w:spacing w:before="5" w:after="0" w:line="391" w:lineRule="auto"/>
        <w:ind w:left="111" w:right="268" w:firstLine="480"/>
        <w:jc w:val="both"/>
        <w:rPr>
          <w:color w:val="auto"/>
          <w:sz w:val="24"/>
        </w:rPr>
      </w:pPr>
      <w:r>
        <w:rPr>
          <w:color w:val="auto"/>
          <w:sz w:val="24"/>
        </w:rPr>
        <w:t>两年内广告经营者、广告发布者明知或者应知广告虚假仍设计、制作、代</w:t>
      </w:r>
      <w:r>
        <w:rPr>
          <w:color w:val="auto"/>
          <w:spacing w:val="-7"/>
          <w:sz w:val="24"/>
        </w:rPr>
        <w:t>理、发布三次以上，未达到刑事案件立案追诉标准的，或者造成一定危害后果的，没</w:t>
      </w:r>
      <w:r>
        <w:rPr>
          <w:color w:val="auto"/>
          <w:spacing w:val="-6"/>
          <w:sz w:val="24"/>
        </w:rPr>
        <w:t>收广告费用，并处广告费用五倍以上七倍以下的罚款，广告费用无法计算或者明显偏</w:t>
      </w:r>
      <w:r>
        <w:rPr>
          <w:color w:val="auto"/>
          <w:sz w:val="24"/>
        </w:rPr>
        <w:t>低的，处以一百万元以上一百五十万元以下的罚款。</w:t>
      </w:r>
    </w:p>
    <w:p>
      <w:pPr>
        <w:pStyle w:val="4"/>
        <w:spacing w:line="302" w:lineRule="exact"/>
        <w:ind w:left="591"/>
        <w:rPr>
          <w:color w:val="auto"/>
        </w:rPr>
      </w:pPr>
      <w:r>
        <w:rPr>
          <w:color w:val="auto"/>
        </w:rPr>
        <w:t>【特别严重】</w:t>
      </w:r>
    </w:p>
    <w:p>
      <w:pPr>
        <w:pStyle w:val="13"/>
        <w:numPr>
          <w:ilvl w:val="0"/>
          <w:numId w:val="127"/>
        </w:numPr>
        <w:tabs>
          <w:tab w:val="left" w:pos="1199"/>
        </w:tabs>
        <w:spacing w:before="192" w:after="0" w:line="240" w:lineRule="auto"/>
        <w:ind w:left="1198" w:right="0" w:hanging="608"/>
        <w:jc w:val="left"/>
        <w:rPr>
          <w:color w:val="auto"/>
          <w:sz w:val="24"/>
        </w:rPr>
      </w:pPr>
      <w:r>
        <w:rPr>
          <w:color w:val="auto"/>
          <w:sz w:val="24"/>
        </w:rPr>
        <w:t>发布虚假广告给消费者造成严重人身、财产损失或者其他严重后果，或者</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4"/>
        </w:rPr>
        <w:t>造成严重不良社会影响，未达到刑事案件立案追诉标准的，处以广告费用七倍以上十</w:t>
      </w:r>
      <w:r>
        <w:rPr>
          <w:color w:val="auto"/>
          <w:spacing w:val="-5"/>
        </w:rPr>
        <w:t>倍以下的罚款，广告费用无法计算或者明显偏低的，处以一百五十万元以上二百万元</w:t>
      </w:r>
      <w:r>
        <w:rPr>
          <w:color w:val="auto"/>
        </w:rPr>
        <w:t>以下的罚款。</w:t>
      </w:r>
    </w:p>
    <w:p>
      <w:pPr>
        <w:pStyle w:val="13"/>
        <w:numPr>
          <w:ilvl w:val="0"/>
          <w:numId w:val="127"/>
        </w:numPr>
        <w:tabs>
          <w:tab w:val="left" w:pos="1199"/>
        </w:tabs>
        <w:spacing w:before="0" w:after="0" w:line="391" w:lineRule="auto"/>
        <w:ind w:left="111" w:right="268" w:firstLine="480"/>
        <w:jc w:val="both"/>
        <w:rPr>
          <w:color w:val="auto"/>
          <w:sz w:val="24"/>
        </w:rPr>
      </w:pPr>
      <w:r>
        <w:rPr>
          <w:color w:val="auto"/>
          <w:sz w:val="24"/>
        </w:rPr>
        <w:t>广告经营者、广告发布者明知或者应知广告虚假仍设计、制作、代理、发</w:t>
      </w:r>
      <w:r>
        <w:rPr>
          <w:color w:val="auto"/>
          <w:spacing w:val="-6"/>
          <w:sz w:val="24"/>
        </w:rPr>
        <w:t>布，给消费者造成严重人身、财产损失或者其他严重后果，或者造成严重不良社会影响，未达到刑事案件立案追诉标准的，没收广告费用，处以广告费用七倍以上十倍以下的罚款，广告费用无法计算或者明显偏低的，处以一百五十万元以上二百万元以下</w:t>
      </w:r>
      <w:r>
        <w:rPr>
          <w:color w:val="auto"/>
          <w:sz w:val="24"/>
        </w:rPr>
        <w:t>的罚款。</w:t>
      </w:r>
    </w:p>
    <w:p>
      <w:pPr>
        <w:pStyle w:val="4"/>
        <w:spacing w:line="302" w:lineRule="exact"/>
        <w:ind w:left="591"/>
        <w:rPr>
          <w:color w:val="auto"/>
        </w:rPr>
      </w:pPr>
      <w:r>
        <w:rPr>
          <w:color w:val="auto"/>
        </w:rPr>
        <w:t>2、暂停广告发布业务</w:t>
      </w:r>
    </w:p>
    <w:p>
      <w:pPr>
        <w:pStyle w:val="13"/>
        <w:numPr>
          <w:ilvl w:val="0"/>
          <w:numId w:val="128"/>
        </w:numPr>
        <w:tabs>
          <w:tab w:val="left" w:pos="1193"/>
        </w:tabs>
        <w:spacing w:before="189" w:after="0" w:line="240" w:lineRule="auto"/>
        <w:ind w:left="1192" w:right="0" w:hanging="602"/>
        <w:jc w:val="left"/>
        <w:rPr>
          <w:color w:val="auto"/>
          <w:sz w:val="24"/>
        </w:rPr>
      </w:pPr>
      <w:r>
        <w:rPr>
          <w:color w:val="auto"/>
          <w:sz w:val="24"/>
        </w:rPr>
        <w:t>两年内发布虚假广告三次以上的；</w:t>
      </w:r>
    </w:p>
    <w:p>
      <w:pPr>
        <w:pStyle w:val="13"/>
        <w:numPr>
          <w:ilvl w:val="0"/>
          <w:numId w:val="128"/>
        </w:numPr>
        <w:tabs>
          <w:tab w:val="left" w:pos="1193"/>
        </w:tabs>
        <w:spacing w:before="194" w:after="0" w:line="388"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29"/>
        </w:numPr>
        <w:tabs>
          <w:tab w:val="left" w:pos="1193"/>
        </w:tabs>
        <w:spacing w:before="2" w:after="0" w:line="240" w:lineRule="auto"/>
        <w:ind w:left="1192" w:right="0" w:hanging="602"/>
        <w:jc w:val="left"/>
        <w:rPr>
          <w:color w:val="auto"/>
          <w:sz w:val="24"/>
        </w:rPr>
      </w:pPr>
      <w:r>
        <w:rPr>
          <w:color w:val="auto"/>
          <w:sz w:val="24"/>
        </w:rPr>
        <w:t>被追究刑事责任的；</w:t>
      </w:r>
    </w:p>
    <w:p>
      <w:pPr>
        <w:pStyle w:val="13"/>
        <w:numPr>
          <w:ilvl w:val="0"/>
          <w:numId w:val="129"/>
        </w:numPr>
        <w:tabs>
          <w:tab w:val="left" w:pos="1193"/>
        </w:tabs>
        <w:spacing w:before="194" w:after="0" w:line="388" w:lineRule="auto"/>
        <w:ind w:left="591" w:right="4192" w:firstLine="0"/>
        <w:jc w:val="left"/>
        <w:rPr>
          <w:b/>
          <w:color w:val="auto"/>
          <w:sz w:val="24"/>
        </w:rPr>
      </w:pPr>
      <w:r>
        <w:rPr>
          <w:color w:val="auto"/>
          <w:spacing w:val="-2"/>
          <w:sz w:val="24"/>
        </w:rPr>
        <w:t>引发群体性事件，造成重大影响的。</w:t>
      </w:r>
      <w:bookmarkStart w:id="429" w:name="_bookmark214"/>
      <w:bookmarkEnd w:id="429"/>
      <w:bookmarkStart w:id="430" w:name="二百零八、广告内容违反国家禁止性规定"/>
      <w:bookmarkEnd w:id="430"/>
      <w:r>
        <w:rPr>
          <w:b/>
          <w:color w:val="auto"/>
          <w:sz w:val="24"/>
        </w:rPr>
        <w:t>二百零八、广告内容违反国家禁止性规定</w:t>
      </w:r>
    </w:p>
    <w:p>
      <w:pPr>
        <w:pStyle w:val="2"/>
        <w:spacing w:before="2"/>
        <w:rPr>
          <w:color w:val="auto"/>
        </w:rPr>
      </w:pPr>
      <w:r>
        <w:rPr>
          <w:color w:val="auto"/>
        </w:rPr>
        <w:t>（一）处罚依据</w:t>
      </w:r>
    </w:p>
    <w:p>
      <w:pPr>
        <w:pStyle w:val="4"/>
        <w:spacing w:before="194" w:line="388" w:lineRule="auto"/>
        <w:ind w:right="148" w:firstLine="480"/>
        <w:rPr>
          <w:color w:val="auto"/>
        </w:rPr>
      </w:pPr>
      <w:r>
        <w:rPr>
          <w:color w:val="auto"/>
        </w:rPr>
        <w:t>1</w:t>
      </w:r>
      <w:r>
        <w:rPr>
          <w:color w:val="auto"/>
          <w:spacing w:val="-10"/>
        </w:rPr>
        <w:t>、《中华人民共和国广告法》第五十七条 有下列行为之一的，由市场监督管理</w:t>
      </w:r>
      <w:r>
        <w:rPr>
          <w:color w:val="auto"/>
          <w:spacing w:val="-16"/>
        </w:rPr>
        <w:t xml:space="preserve">部门责令停止发布广告，对广告主处二十万元以上一百万元以下的罚款，情节严重的， </w:t>
      </w:r>
      <w:r>
        <w:rPr>
          <w:color w:val="auto"/>
          <w:spacing w:val="-3"/>
        </w:rPr>
        <w:t>并可以吊销营业执照，由广告审查机关撤销广告审查批准文件、一年内不受理其广告</w:t>
      </w:r>
      <w:r>
        <w:rPr>
          <w:color w:val="auto"/>
          <w:spacing w:val="-8"/>
        </w:rPr>
        <w:t>审查申请；对广告经营者、广告发布者，由市场监督管理部门没收广告费用，处二十</w:t>
      </w:r>
      <w:r>
        <w:rPr>
          <w:color w:val="auto"/>
          <w:spacing w:val="-11"/>
        </w:rPr>
        <w:t>万元以上一百万元以下的罚款，情节严重的，并可以吊销营业执照、吊销广告发布登记证件：</w:t>
      </w:r>
    </w:p>
    <w:p>
      <w:pPr>
        <w:pStyle w:val="4"/>
        <w:spacing w:before="11"/>
        <w:ind w:left="591"/>
        <w:rPr>
          <w:color w:val="auto"/>
        </w:rPr>
      </w:pPr>
      <w:r>
        <w:rPr>
          <w:color w:val="auto"/>
        </w:rPr>
        <w:t>(一)发布有本法第九条规定的禁止情形的广告的。</w:t>
      </w:r>
    </w:p>
    <w:p>
      <w:pPr>
        <w:pStyle w:val="4"/>
        <w:spacing w:before="192"/>
        <w:ind w:left="591"/>
        <w:rPr>
          <w:color w:val="auto"/>
        </w:rPr>
      </w:pPr>
      <w:r>
        <w:rPr>
          <w:color w:val="auto"/>
        </w:rPr>
        <w:t>2、《中华人民共和国广告法》第九条 广告不得有下列情形：</w:t>
      </w:r>
    </w:p>
    <w:p>
      <w:pPr>
        <w:pStyle w:val="4"/>
        <w:spacing w:before="192" w:line="391" w:lineRule="auto"/>
        <w:ind w:right="219" w:firstLine="480"/>
        <w:rPr>
          <w:color w:val="auto"/>
        </w:rPr>
      </w:pPr>
      <w:r>
        <w:rPr>
          <w:color w:val="auto"/>
        </w:rPr>
        <w:t>（一）使用或者变相使用中华人民共和国的国旗、国歌、国徽，军旗、军歌、军徽；</w:t>
      </w:r>
    </w:p>
    <w:p>
      <w:pPr>
        <w:pStyle w:val="4"/>
        <w:spacing w:line="306" w:lineRule="exact"/>
        <w:ind w:left="591"/>
        <w:rPr>
          <w:color w:val="auto"/>
        </w:rPr>
      </w:pPr>
      <w:r>
        <w:rPr>
          <w:color w:val="auto"/>
        </w:rPr>
        <w:t>（二）使用或者变相使用国家机关、国家机关工作人员的名义或者形象；</w:t>
      </w:r>
    </w:p>
    <w:p>
      <w:pPr>
        <w:pStyle w:val="4"/>
        <w:spacing w:before="191"/>
        <w:ind w:left="591"/>
        <w:rPr>
          <w:color w:val="auto"/>
        </w:rPr>
      </w:pPr>
      <w:r>
        <w:rPr>
          <w:color w:val="auto"/>
        </w:rPr>
        <w:t>（三）使用“国家级”、“最高级”、“最佳”等用语；</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（四）损害国家的尊严或者利益，泄露国家秘密；</w:t>
      </w:r>
    </w:p>
    <w:p>
      <w:pPr>
        <w:pStyle w:val="4"/>
        <w:spacing w:before="195"/>
        <w:ind w:left="591"/>
        <w:rPr>
          <w:color w:val="auto"/>
        </w:rPr>
      </w:pPr>
      <w:r>
        <w:rPr>
          <w:color w:val="auto"/>
        </w:rPr>
        <w:t>（五）妨碍社会安定，损害社会公共利益；</w:t>
      </w:r>
    </w:p>
    <w:p>
      <w:pPr>
        <w:pStyle w:val="4"/>
        <w:spacing w:before="191"/>
        <w:ind w:left="591"/>
        <w:rPr>
          <w:color w:val="auto"/>
        </w:rPr>
      </w:pPr>
      <w:r>
        <w:rPr>
          <w:color w:val="auto"/>
        </w:rPr>
        <w:t>（六）危害人身、财产安全，泄露个人隐私；</w:t>
      </w:r>
    </w:p>
    <w:p>
      <w:pPr>
        <w:pStyle w:val="4"/>
        <w:spacing w:before="192"/>
        <w:ind w:left="591"/>
        <w:rPr>
          <w:color w:val="auto"/>
        </w:rPr>
      </w:pPr>
      <w:r>
        <w:rPr>
          <w:color w:val="auto"/>
        </w:rPr>
        <w:t>（七）妨碍社会公共秩序或者违背社会良好风尚；</w:t>
      </w:r>
    </w:p>
    <w:p>
      <w:pPr>
        <w:pStyle w:val="4"/>
        <w:spacing w:before="194"/>
        <w:ind w:left="591"/>
        <w:rPr>
          <w:color w:val="auto"/>
        </w:rPr>
      </w:pPr>
      <w:r>
        <w:rPr>
          <w:color w:val="auto"/>
        </w:rPr>
        <w:t>（八）含有淫秽、色情、赌博、迷信、恐怖、暴力的内容；</w:t>
      </w:r>
    </w:p>
    <w:p>
      <w:pPr>
        <w:pStyle w:val="4"/>
        <w:spacing w:before="192"/>
        <w:ind w:left="591"/>
        <w:rPr>
          <w:color w:val="auto"/>
        </w:rPr>
      </w:pPr>
      <w:r>
        <w:rPr>
          <w:color w:val="auto"/>
        </w:rPr>
        <w:t>（九）含有民族、种族、宗教、性别歧视的内容；</w:t>
      </w:r>
    </w:p>
    <w:p>
      <w:pPr>
        <w:pStyle w:val="4"/>
        <w:spacing w:before="191"/>
        <w:ind w:left="591"/>
        <w:rPr>
          <w:color w:val="auto"/>
        </w:rPr>
      </w:pPr>
      <w:r>
        <w:rPr>
          <w:color w:val="auto"/>
        </w:rPr>
        <w:t>（十）妨碍环境、自然资源或者文化遗产保护；</w:t>
      </w:r>
    </w:p>
    <w:p>
      <w:pPr>
        <w:pStyle w:val="4"/>
        <w:spacing w:before="195"/>
        <w:ind w:left="591"/>
        <w:rPr>
          <w:color w:val="auto"/>
        </w:rPr>
      </w:pPr>
      <w:r>
        <w:rPr>
          <w:color w:val="auto"/>
        </w:rPr>
        <w:t>（十一）法律、行政法规规定禁止的其他情形。</w:t>
      </w:r>
    </w:p>
    <w:p>
      <w:pPr>
        <w:spacing w:before="191" w:line="388" w:lineRule="auto"/>
        <w:ind w:left="591" w:right="6948" w:firstLine="0"/>
        <w:jc w:val="left"/>
        <w:rPr>
          <w:b/>
          <w:color w:val="auto"/>
          <w:sz w:val="24"/>
        </w:rPr>
      </w:pPr>
      <w:r>
        <w:rPr>
          <w:b/>
          <w:color w:val="auto"/>
          <w:sz w:val="24"/>
        </w:rPr>
        <w:t>（二）裁量标准</w:t>
      </w:r>
    </w:p>
    <w:p>
      <w:pPr>
        <w:spacing w:before="191" w:line="388" w:lineRule="auto"/>
        <w:ind w:left="591" w:right="6948" w:firstLine="0"/>
        <w:jc w:val="left"/>
        <w:rPr>
          <w:rFonts w:hint="eastAsia"/>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广告是广告主在其自有经营场所、自设网站或者网店发布；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广告内容中有关等级的表述是依据国家标准、行业标准认定的产品分级用 </w:t>
      </w:r>
    </w:p>
    <w:p>
      <w:pPr>
        <w:keepNext w:val="0"/>
        <w:keepLines w:val="0"/>
        <w:widowControl/>
        <w:suppressLineNumbers w:val="0"/>
        <w:ind w:firstLine="720" w:firstLineChars="300"/>
        <w:jc w:val="left"/>
        <w:rPr>
          <w:color w:val="auto"/>
        </w:rPr>
      </w:pPr>
      <w:r>
        <w:rPr>
          <w:rFonts w:hint="eastAsia" w:ascii="宋体" w:hAnsi="宋体" w:eastAsia="宋体" w:cs="宋体"/>
          <w:color w:val="auto"/>
          <w:kern w:val="0"/>
          <w:sz w:val="24"/>
          <w:szCs w:val="24"/>
          <w:lang w:val="en-US" w:eastAsia="zh-CN" w:bidi="ar"/>
        </w:rPr>
        <w:t>语，或者有关荣誉的表述是依据国家规定评定的奖项或者荣誉称号；</w:t>
      </w:r>
    </w:p>
    <w:p>
      <w:pPr>
        <w:keepNext w:val="0"/>
        <w:keepLines w:val="0"/>
        <w:widowControl/>
        <w:suppressLineNumbers w:val="0"/>
        <w:ind w:firstLine="720" w:firstLineChars="300"/>
        <w:jc w:val="left"/>
        <w:rPr>
          <w:rFonts w:hint="eastAsia" w:ascii="宋体" w:hAnsi="宋体" w:eastAsia="宋体" w:cs="宋体"/>
          <w:color w:val="auto"/>
          <w:kern w:val="0"/>
          <w:sz w:val="24"/>
          <w:szCs w:val="24"/>
          <w:lang w:val="en-US" w:eastAsia="zh-CN" w:bidi="ar"/>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内容客观、真实；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rFonts w:hint="default" w:ascii="宋体" w:hAnsi="宋体" w:eastAsia="宋体" w:cs="宋体"/>
          <w:color w:val="auto"/>
          <w:kern w:val="0"/>
          <w:sz w:val="24"/>
          <w:szCs w:val="24"/>
          <w:lang w:val="en-US" w:eastAsia="zh-CN" w:bidi="ar"/>
        </w:rPr>
      </w:pPr>
      <w:r>
        <w:rPr>
          <w:rFonts w:hint="eastAsia" w:cs="宋体"/>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 xml:space="preserve">违法情节轻微，未造成危害后果 </w:t>
      </w:r>
    </w:p>
    <w:p>
      <w:pPr>
        <w:spacing w:before="191" w:line="388" w:lineRule="auto"/>
        <w:ind w:left="591" w:right="6948" w:firstLine="0"/>
        <w:jc w:val="left"/>
        <w:rPr>
          <w:color w:val="auto"/>
          <w:sz w:val="24"/>
        </w:rPr>
      </w:pPr>
      <w:r>
        <w:rPr>
          <w:rFonts w:hint="eastAsia"/>
          <w:color w:val="auto"/>
          <w:sz w:val="24"/>
          <w:lang w:val="en-US" w:eastAsia="zh-CN"/>
        </w:rPr>
        <w:t>2</w:t>
      </w:r>
      <w:r>
        <w:rPr>
          <w:color w:val="auto"/>
          <w:sz w:val="24"/>
        </w:rPr>
        <w:t>、罚款</w:t>
      </w:r>
    </w:p>
    <w:p>
      <w:pPr>
        <w:pStyle w:val="4"/>
        <w:spacing w:before="5"/>
        <w:ind w:left="591"/>
        <w:rPr>
          <w:color w:val="auto"/>
        </w:rPr>
      </w:pPr>
      <w:r>
        <w:rPr>
          <w:color w:val="auto"/>
        </w:rPr>
        <w:t>【较轻】</w:t>
      </w:r>
    </w:p>
    <w:p>
      <w:pPr>
        <w:pStyle w:val="4"/>
        <w:spacing w:before="191" w:line="388" w:lineRule="auto"/>
        <w:ind w:right="213" w:firstLine="480"/>
        <w:rPr>
          <w:color w:val="auto"/>
        </w:rPr>
      </w:pPr>
      <w:r>
        <w:rPr>
          <w:color w:val="auto"/>
        </w:rPr>
        <w:t>广告费用一万元以下或者没有广告费用的，对广告主处以二十万元的罚款；对广告经营者、广告发布者处以二十万元的罚款，有广告费用的，没收广告费用。</w:t>
      </w:r>
    </w:p>
    <w:p>
      <w:pPr>
        <w:pStyle w:val="4"/>
        <w:spacing w:before="5"/>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广告费用一万元以上五万元以下的，对广告主处以二十万元以上三十万元以下的</w:t>
      </w:r>
      <w:r>
        <w:rPr>
          <w:color w:val="auto"/>
          <w:spacing w:val="-6"/>
        </w:rPr>
        <w:t>罚款；对广告经营者、广告发布者没收广告费用，处以二十万元以上三十万元以下的</w:t>
      </w:r>
      <w:r>
        <w:rPr>
          <w:color w:val="auto"/>
        </w:rPr>
        <w:t>罚款。</w:t>
      </w:r>
    </w:p>
    <w:p>
      <w:pPr>
        <w:pStyle w:val="4"/>
        <w:spacing w:line="304" w:lineRule="exact"/>
        <w:ind w:left="591"/>
        <w:rPr>
          <w:color w:val="auto"/>
        </w:rPr>
      </w:pPr>
      <w:r>
        <w:rPr>
          <w:color w:val="auto"/>
        </w:rPr>
        <w:t>【较重】</w:t>
      </w:r>
    </w:p>
    <w:p>
      <w:pPr>
        <w:pStyle w:val="4"/>
        <w:spacing w:before="191" w:line="391" w:lineRule="auto"/>
        <w:ind w:right="268" w:firstLine="480"/>
        <w:jc w:val="both"/>
        <w:rPr>
          <w:color w:val="auto"/>
        </w:rPr>
      </w:pPr>
      <w:r>
        <w:rPr>
          <w:color w:val="auto"/>
          <w:spacing w:val="-4"/>
        </w:rPr>
        <w:t>广告费用五万元以上十万元以下的，对广告主处以三十万元以上五十万元以下的</w:t>
      </w:r>
      <w:r>
        <w:rPr>
          <w:color w:val="auto"/>
          <w:spacing w:val="-6"/>
        </w:rPr>
        <w:t>罚款；对广告经营者、广告发布者没收广告费用，处以三十万元以上五十万元以下的</w:t>
      </w:r>
      <w:r>
        <w:rPr>
          <w:color w:val="auto"/>
        </w:rPr>
        <w:t>罚款。</w:t>
      </w:r>
    </w:p>
    <w:p>
      <w:pPr>
        <w:pStyle w:val="4"/>
        <w:spacing w:line="304" w:lineRule="exact"/>
        <w:ind w:left="591"/>
        <w:rPr>
          <w:color w:val="auto"/>
        </w:rPr>
      </w:pPr>
      <w:r>
        <w:rPr>
          <w:color w:val="auto"/>
        </w:rPr>
        <w:t>【严重】</w:t>
      </w:r>
    </w:p>
    <w:p>
      <w:pPr>
        <w:pStyle w:val="4"/>
        <w:spacing w:before="194" w:line="388" w:lineRule="auto"/>
        <w:ind w:right="268" w:firstLine="480"/>
        <w:jc w:val="both"/>
        <w:rPr>
          <w:color w:val="auto"/>
        </w:rPr>
      </w:pPr>
      <w:r>
        <w:rPr>
          <w:color w:val="auto"/>
          <w:spacing w:val="-4"/>
        </w:rPr>
        <w:t>广告费用十万元以上二十万元以下的，对广告主处以五十万元以上七十万元以下</w:t>
      </w:r>
      <w:r>
        <w:rPr>
          <w:color w:val="auto"/>
          <w:spacing w:val="-6"/>
        </w:rPr>
        <w:t>罚款；对广告经营者、广告发布者没收广告费用，处以五十万元以上七十万元以下的</w:t>
      </w:r>
      <w:r>
        <w:rPr>
          <w:color w:val="auto"/>
        </w:rPr>
        <w:t>罚款。</w:t>
      </w:r>
    </w:p>
    <w:p>
      <w:pPr>
        <w:pStyle w:val="4"/>
        <w:spacing w:before="6"/>
        <w:ind w:left="591"/>
        <w:rPr>
          <w:color w:val="auto"/>
        </w:rPr>
      </w:pPr>
      <w:r>
        <w:rPr>
          <w:color w:val="auto"/>
        </w:rPr>
        <w:t>【特别严重】</w:t>
      </w:r>
    </w:p>
    <w:p>
      <w:pPr>
        <w:pStyle w:val="4"/>
        <w:spacing w:before="192" w:line="388" w:lineRule="auto"/>
        <w:ind w:right="213" w:firstLine="480"/>
        <w:rPr>
          <w:color w:val="auto"/>
        </w:rPr>
      </w:pPr>
      <w:r>
        <w:rPr>
          <w:color w:val="auto"/>
        </w:rPr>
        <w:t>广告费用二十万元以上的，或者给消费者造成严重人身、财产损失或者其他严重后果的，或者造成严重不良社会影响的，对广告主处以七十万元以上一百万元以下的</w:t>
      </w:r>
    </w:p>
    <w:p>
      <w:pPr>
        <w:pStyle w:val="4"/>
        <w:spacing w:before="39" w:line="391" w:lineRule="auto"/>
        <w:ind w:right="230"/>
        <w:rPr>
          <w:color w:val="auto"/>
        </w:rPr>
      </w:pPr>
      <w:r>
        <w:rPr>
          <w:color w:val="auto"/>
        </w:rPr>
        <w:t>罚款；对广告经营者、广告发布者没收广告费用，处以七十万元以上一百万元以下罚款。</w:t>
      </w:r>
    </w:p>
    <w:p>
      <w:pPr>
        <w:pStyle w:val="4"/>
        <w:spacing w:line="306" w:lineRule="exact"/>
        <w:ind w:left="591"/>
        <w:rPr>
          <w:color w:val="auto"/>
        </w:rPr>
      </w:pPr>
      <w:r>
        <w:rPr>
          <w:rFonts w:hint="eastAsia"/>
          <w:color w:val="auto"/>
          <w:lang w:val="en-US" w:eastAsia="zh-CN"/>
        </w:rPr>
        <w:t>3</w:t>
      </w:r>
      <w:r>
        <w:rPr>
          <w:color w:val="auto"/>
        </w:rPr>
        <w:t>、吊销营业执照、吊销广告发布登记证件</w:t>
      </w:r>
    </w:p>
    <w:p>
      <w:pPr>
        <w:pStyle w:val="13"/>
        <w:numPr>
          <w:ilvl w:val="0"/>
          <w:numId w:val="130"/>
        </w:numPr>
        <w:tabs>
          <w:tab w:val="left" w:pos="1193"/>
        </w:tabs>
        <w:spacing w:before="192" w:after="0" w:line="240" w:lineRule="auto"/>
        <w:ind w:left="1192" w:right="0" w:hanging="602"/>
        <w:jc w:val="left"/>
        <w:rPr>
          <w:color w:val="auto"/>
          <w:sz w:val="24"/>
        </w:rPr>
      </w:pPr>
      <w:r>
        <w:rPr>
          <w:color w:val="auto"/>
          <w:sz w:val="24"/>
        </w:rPr>
        <w:t>对国家机关及其工作人员的名誉或者形象造成极坏影响的；</w:t>
      </w:r>
    </w:p>
    <w:p>
      <w:pPr>
        <w:pStyle w:val="13"/>
        <w:numPr>
          <w:ilvl w:val="0"/>
          <w:numId w:val="130"/>
        </w:numPr>
        <w:tabs>
          <w:tab w:val="left" w:pos="1193"/>
        </w:tabs>
        <w:spacing w:before="194" w:after="0" w:line="240" w:lineRule="auto"/>
        <w:ind w:left="1192" w:right="0" w:hanging="602"/>
        <w:jc w:val="left"/>
        <w:rPr>
          <w:color w:val="auto"/>
          <w:sz w:val="24"/>
        </w:rPr>
      </w:pPr>
      <w:r>
        <w:rPr>
          <w:color w:val="auto"/>
          <w:sz w:val="24"/>
        </w:rPr>
        <w:t>引发群体性事件，造成重大影响的；</w:t>
      </w:r>
    </w:p>
    <w:p>
      <w:pPr>
        <w:pStyle w:val="13"/>
        <w:numPr>
          <w:ilvl w:val="0"/>
          <w:numId w:val="130"/>
        </w:numPr>
        <w:tabs>
          <w:tab w:val="left" w:pos="1193"/>
        </w:tabs>
        <w:spacing w:before="192" w:after="0" w:line="240" w:lineRule="auto"/>
        <w:ind w:left="1192" w:right="0" w:hanging="602"/>
        <w:jc w:val="left"/>
        <w:rPr>
          <w:color w:val="auto"/>
          <w:sz w:val="24"/>
        </w:rPr>
      </w:pPr>
      <w:r>
        <w:rPr>
          <w:color w:val="auto"/>
          <w:sz w:val="24"/>
        </w:rPr>
        <w:t>引发民族、宗教冲突的；</w:t>
      </w:r>
    </w:p>
    <w:p>
      <w:pPr>
        <w:pStyle w:val="13"/>
        <w:numPr>
          <w:ilvl w:val="0"/>
          <w:numId w:val="130"/>
        </w:numPr>
        <w:tabs>
          <w:tab w:val="left" w:pos="1193"/>
        </w:tabs>
        <w:spacing w:before="192" w:after="0" w:line="240" w:lineRule="auto"/>
        <w:ind w:left="1192" w:right="0" w:hanging="602"/>
        <w:jc w:val="left"/>
        <w:rPr>
          <w:color w:val="auto"/>
          <w:sz w:val="24"/>
        </w:rPr>
      </w:pPr>
      <w:r>
        <w:rPr>
          <w:color w:val="auto"/>
          <w:sz w:val="24"/>
        </w:rPr>
        <w:t>造成其他严重后果的。</w:t>
      </w:r>
    </w:p>
    <w:p>
      <w:pPr>
        <w:pStyle w:val="2"/>
        <w:spacing w:before="194"/>
        <w:rPr>
          <w:color w:val="auto"/>
        </w:rPr>
      </w:pPr>
      <w:bookmarkStart w:id="431" w:name="_bookmark215"/>
      <w:bookmarkEnd w:id="431"/>
      <w:bookmarkStart w:id="432" w:name="二百零九、广告内容损害未成年人和残疾人身心健康"/>
      <w:bookmarkEnd w:id="432"/>
      <w:r>
        <w:rPr>
          <w:color w:val="auto"/>
        </w:rPr>
        <w:t>二百零九、广告内容损害未成年人和残疾人身心健康</w:t>
      </w:r>
    </w:p>
    <w:p>
      <w:pPr>
        <w:spacing w:before="191"/>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1</w:t>
      </w:r>
      <w:r>
        <w:rPr>
          <w:color w:val="auto"/>
          <w:spacing w:val="-10"/>
        </w:rPr>
        <w:t>、《中华人民共和国广告法》第五十七条 有下列行为之一的，由市场监督管理</w:t>
      </w:r>
      <w:r>
        <w:rPr>
          <w:color w:val="auto"/>
          <w:spacing w:val="-16"/>
        </w:rPr>
        <w:t xml:space="preserve">部门责令停止发布广告，对广告主处二十万元以上一百万元以下的罚款，情节严重的， </w:t>
      </w:r>
      <w:r>
        <w:rPr>
          <w:color w:val="auto"/>
          <w:spacing w:val="-3"/>
        </w:rPr>
        <w:t>并可以吊销营业执照，由广告审查机关撤销广告审查批准文件、一年内不受理其广告</w:t>
      </w:r>
      <w:r>
        <w:rPr>
          <w:color w:val="auto"/>
          <w:spacing w:val="-8"/>
        </w:rPr>
        <w:t>审查申请；对广告经营者、广告发布者，由市场监督管理部门没收广告费用，处二十</w:t>
      </w:r>
      <w:r>
        <w:rPr>
          <w:color w:val="auto"/>
          <w:spacing w:val="-11"/>
        </w:rPr>
        <w:t>万元以上一百万元以下的罚款，情节严重的，并可以吊销营业执照、吊销广告发布登记证件：</w:t>
      </w:r>
    </w:p>
    <w:p>
      <w:pPr>
        <w:pStyle w:val="4"/>
        <w:spacing w:line="300" w:lineRule="exact"/>
        <w:ind w:left="591"/>
        <w:rPr>
          <w:color w:val="auto"/>
        </w:rPr>
      </w:pPr>
      <w:r>
        <w:rPr>
          <w:color w:val="auto"/>
        </w:rPr>
        <w:t>（一）发布有本法第十条规定的禁止情形的广告的；</w:t>
      </w:r>
    </w:p>
    <w:p>
      <w:pPr>
        <w:pStyle w:val="4"/>
        <w:spacing w:before="194" w:line="388" w:lineRule="auto"/>
        <w:ind w:right="268" w:firstLine="480"/>
        <w:jc w:val="both"/>
        <w:rPr>
          <w:color w:val="auto"/>
        </w:rPr>
      </w:pPr>
      <w:r>
        <w:rPr>
          <w:color w:val="auto"/>
        </w:rPr>
        <w:t>（六</w:t>
      </w:r>
      <w:r>
        <w:rPr>
          <w:color w:val="auto"/>
          <w:spacing w:val="-20"/>
        </w:rPr>
        <w:t>）</w:t>
      </w:r>
      <w:r>
        <w:rPr>
          <w:color w:val="auto"/>
          <w:spacing w:val="-3"/>
        </w:rPr>
        <w:t>违反本法第四十条第一款规定，在针对未成年人的大众传播媒介上发布医</w:t>
      </w:r>
      <w:r>
        <w:rPr>
          <w:color w:val="auto"/>
          <w:spacing w:val="-7"/>
        </w:rPr>
        <w:t>疗、药品、保健食品、医疗器械、化妆品、酒类美容广告，以及不利于未成年人身心</w:t>
      </w:r>
      <w:r>
        <w:rPr>
          <w:color w:val="auto"/>
        </w:rPr>
        <w:t>健康的网络游戏广告的。</w:t>
      </w:r>
    </w:p>
    <w:p>
      <w:pPr>
        <w:pStyle w:val="13"/>
        <w:numPr>
          <w:ilvl w:val="1"/>
          <w:numId w:val="131"/>
        </w:numPr>
        <w:tabs>
          <w:tab w:val="left" w:pos="954"/>
        </w:tabs>
        <w:spacing w:before="6" w:after="0" w:line="388" w:lineRule="auto"/>
        <w:ind w:left="111" w:right="271" w:firstLine="480"/>
        <w:jc w:val="both"/>
        <w:rPr>
          <w:color w:val="auto"/>
          <w:sz w:val="24"/>
        </w:rPr>
      </w:pPr>
      <w:r>
        <w:rPr>
          <w:color w:val="auto"/>
          <w:spacing w:val="-9"/>
          <w:sz w:val="24"/>
        </w:rPr>
        <w:t>、《中华人民共和国广告法》第十条 广告不得损害未成年人和残疾人的身心健康。</w:t>
      </w:r>
    </w:p>
    <w:p>
      <w:pPr>
        <w:pStyle w:val="13"/>
        <w:numPr>
          <w:ilvl w:val="1"/>
          <w:numId w:val="131"/>
        </w:numPr>
        <w:tabs>
          <w:tab w:val="left" w:pos="954"/>
        </w:tabs>
        <w:spacing w:before="2" w:after="0" w:line="391" w:lineRule="auto"/>
        <w:ind w:left="111" w:right="265" w:firstLine="480"/>
        <w:jc w:val="both"/>
        <w:rPr>
          <w:color w:val="auto"/>
          <w:sz w:val="24"/>
        </w:rPr>
      </w:pPr>
      <w:r>
        <w:rPr>
          <w:color w:val="auto"/>
          <w:spacing w:val="-10"/>
          <w:sz w:val="24"/>
        </w:rPr>
        <w:t>、《中华人民共和国广告法》第四十条第一款 在针对未成年人的大众传播媒介上不得发布医疗、药品、保健食品、医疗器械、化妆品、酒类、美容广告，以及不</w:t>
      </w:r>
      <w:r>
        <w:rPr>
          <w:color w:val="auto"/>
          <w:sz w:val="24"/>
        </w:rPr>
        <w:t>利于未成年人身心健康的网络游戏广告。</w:t>
      </w:r>
    </w:p>
    <w:p>
      <w:pPr>
        <w:spacing w:before="0"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88"/>
        <w:ind w:left="591"/>
        <w:rPr>
          <w:color w:val="auto"/>
        </w:rPr>
      </w:pPr>
      <w:r>
        <w:rPr>
          <w:color w:val="auto"/>
        </w:rPr>
        <w:t>广告费用一万元以下的，或者没有广告费用的，对广告主处以二十万元的罚款；</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spacing w:val="-11"/>
        </w:rPr>
        <w:t>对广告经营者、广告发布者处以二十万元的罚款，有广告费用的，并处没收广告费用。</w:t>
      </w:r>
    </w:p>
    <w:p>
      <w:pPr>
        <w:pStyle w:val="4"/>
        <w:spacing w:before="195"/>
        <w:ind w:left="591"/>
        <w:rPr>
          <w:color w:val="auto"/>
        </w:rPr>
      </w:pPr>
      <w:r>
        <w:rPr>
          <w:color w:val="auto"/>
        </w:rPr>
        <w:t>【一般】</w:t>
      </w:r>
    </w:p>
    <w:p>
      <w:pPr>
        <w:pStyle w:val="4"/>
        <w:spacing w:before="191" w:line="391" w:lineRule="auto"/>
        <w:ind w:right="268" w:firstLine="480"/>
        <w:jc w:val="both"/>
        <w:rPr>
          <w:color w:val="auto"/>
        </w:rPr>
      </w:pPr>
      <w:r>
        <w:rPr>
          <w:color w:val="auto"/>
          <w:spacing w:val="-4"/>
        </w:rPr>
        <w:t>广告费用一万元以上五万元以下的，对广告主处以二十万元以上三十万元以下的</w:t>
      </w:r>
      <w:r>
        <w:rPr>
          <w:color w:val="auto"/>
          <w:spacing w:val="-6"/>
        </w:rPr>
        <w:t>罚款；对广告经营者、广告发布者没收广告费用，处以二十万元以上三十万元以下的</w:t>
      </w:r>
      <w:r>
        <w:rPr>
          <w:color w:val="auto"/>
        </w:rPr>
        <w:t>罚款。</w:t>
      </w:r>
    </w:p>
    <w:p>
      <w:pPr>
        <w:pStyle w:val="4"/>
        <w:spacing w:line="304" w:lineRule="exact"/>
        <w:ind w:left="591"/>
        <w:rPr>
          <w:color w:val="auto"/>
        </w:rPr>
      </w:pPr>
      <w:r>
        <w:rPr>
          <w:color w:val="auto"/>
        </w:rPr>
        <w:t>【较重】</w:t>
      </w:r>
    </w:p>
    <w:p>
      <w:pPr>
        <w:pStyle w:val="4"/>
        <w:spacing w:before="192" w:line="391" w:lineRule="auto"/>
        <w:ind w:right="268" w:firstLine="480"/>
        <w:jc w:val="both"/>
        <w:rPr>
          <w:color w:val="auto"/>
        </w:rPr>
      </w:pPr>
      <w:r>
        <w:rPr>
          <w:color w:val="auto"/>
          <w:spacing w:val="-4"/>
        </w:rPr>
        <w:t>广告费用五万元以上十万元以下的，对广告主处以三十万元以上五十万元以下的</w:t>
      </w:r>
      <w:r>
        <w:rPr>
          <w:color w:val="auto"/>
          <w:spacing w:val="-6"/>
        </w:rPr>
        <w:t>罚款；对广告经营者、广告发布者没收广告费用，处以三十万元以上五十万元以下的</w:t>
      </w:r>
      <w:r>
        <w:rPr>
          <w:color w:val="auto"/>
        </w:rPr>
        <w:t>罚款。</w:t>
      </w:r>
    </w:p>
    <w:p>
      <w:pPr>
        <w:pStyle w:val="4"/>
        <w:spacing w:line="304" w:lineRule="exact"/>
        <w:ind w:left="591"/>
        <w:rPr>
          <w:color w:val="auto"/>
        </w:rPr>
      </w:pPr>
      <w:r>
        <w:rPr>
          <w:color w:val="auto"/>
        </w:rPr>
        <w:t>【严重】</w:t>
      </w:r>
    </w:p>
    <w:p>
      <w:pPr>
        <w:pStyle w:val="4"/>
        <w:spacing w:before="194" w:line="388" w:lineRule="auto"/>
        <w:ind w:right="268" w:firstLine="480"/>
        <w:jc w:val="both"/>
        <w:rPr>
          <w:color w:val="auto"/>
        </w:rPr>
      </w:pPr>
      <w:r>
        <w:rPr>
          <w:color w:val="auto"/>
          <w:spacing w:val="-4"/>
        </w:rPr>
        <w:t>广告费用十万元以上二十万元以下的，对广告主处以五十万元以上七十万元以下</w:t>
      </w:r>
      <w:r>
        <w:rPr>
          <w:color w:val="auto"/>
          <w:spacing w:val="-6"/>
        </w:rPr>
        <w:t>的罚款；对广告经营者、广告发布者没收广告费用，处以五十万元以上七十万元以下</w:t>
      </w:r>
      <w:r>
        <w:rPr>
          <w:color w:val="auto"/>
        </w:rPr>
        <w:t>的罚款。</w:t>
      </w:r>
    </w:p>
    <w:p>
      <w:pPr>
        <w:pStyle w:val="4"/>
        <w:spacing w:before="6"/>
        <w:ind w:left="591"/>
        <w:rPr>
          <w:color w:val="auto"/>
        </w:rPr>
      </w:pPr>
      <w:r>
        <w:rPr>
          <w:color w:val="auto"/>
        </w:rPr>
        <w:t>【特别严重】</w:t>
      </w:r>
    </w:p>
    <w:p>
      <w:pPr>
        <w:pStyle w:val="4"/>
        <w:spacing w:before="191" w:line="391" w:lineRule="auto"/>
        <w:ind w:right="232" w:firstLine="480"/>
        <w:jc w:val="both"/>
        <w:rPr>
          <w:color w:val="auto"/>
        </w:rPr>
      </w:pPr>
      <w:r>
        <w:rPr>
          <w:color w:val="auto"/>
        </w:rPr>
        <w:t>广告费用二十万元以上的，或者造成严重人身、财产损失或者其他严重后果的， 或者造成严重不良社会影响的，对广告主处以七十万元以上一百万元以下的罚款；对广告经营者、广告发布者没收广告费用，处以七十万元以上一百万元以下的罚款。</w:t>
      </w:r>
    </w:p>
    <w:p>
      <w:pPr>
        <w:pStyle w:val="4"/>
        <w:spacing w:line="304" w:lineRule="exact"/>
        <w:ind w:left="591"/>
        <w:rPr>
          <w:color w:val="auto"/>
        </w:rPr>
      </w:pPr>
      <w:r>
        <w:rPr>
          <w:color w:val="auto"/>
        </w:rPr>
        <w:t>2、吊销营业执照、吊销广告发布登记证件</w:t>
      </w:r>
    </w:p>
    <w:p>
      <w:pPr>
        <w:pStyle w:val="13"/>
        <w:numPr>
          <w:ilvl w:val="0"/>
          <w:numId w:val="132"/>
        </w:numPr>
        <w:tabs>
          <w:tab w:val="left" w:pos="1193"/>
        </w:tabs>
        <w:spacing w:before="192" w:after="0" w:line="240" w:lineRule="auto"/>
        <w:ind w:left="1192" w:right="0" w:hanging="602"/>
        <w:jc w:val="left"/>
        <w:rPr>
          <w:color w:val="auto"/>
          <w:sz w:val="24"/>
        </w:rPr>
      </w:pPr>
      <w:r>
        <w:rPr>
          <w:color w:val="auto"/>
          <w:sz w:val="24"/>
        </w:rPr>
        <w:t>引发群体性事件，造成重大影响的；</w:t>
      </w:r>
    </w:p>
    <w:p>
      <w:pPr>
        <w:pStyle w:val="13"/>
        <w:numPr>
          <w:ilvl w:val="0"/>
          <w:numId w:val="132"/>
        </w:numPr>
        <w:tabs>
          <w:tab w:val="left" w:pos="1193"/>
        </w:tabs>
        <w:spacing w:before="194" w:after="0" w:line="240" w:lineRule="auto"/>
        <w:ind w:left="1192" w:right="0" w:hanging="602"/>
        <w:jc w:val="left"/>
        <w:rPr>
          <w:color w:val="auto"/>
          <w:sz w:val="24"/>
        </w:rPr>
      </w:pPr>
      <w:r>
        <w:rPr>
          <w:color w:val="auto"/>
          <w:sz w:val="24"/>
        </w:rPr>
        <w:t>给未成年人和残疾人的身心健康造成重大损害的。</w:t>
      </w:r>
    </w:p>
    <w:p>
      <w:pPr>
        <w:pStyle w:val="2"/>
        <w:spacing w:before="192" w:line="388" w:lineRule="auto"/>
        <w:ind w:left="111" w:right="240" w:firstLine="480"/>
        <w:rPr>
          <w:color w:val="auto"/>
        </w:rPr>
      </w:pPr>
      <w:bookmarkStart w:id="433" w:name="_bookmark216"/>
      <w:bookmarkEnd w:id="433"/>
      <w:bookmarkStart w:id="434" w:name="二百一十、违法发布处方药广告、药品类易制毒化学品广告、戒毒治疗的医疗器械和治疗方"/>
      <w:bookmarkEnd w:id="434"/>
      <w:r>
        <w:rPr>
          <w:color w:val="auto"/>
          <w:spacing w:val="-8"/>
        </w:rPr>
        <w:t>二百一十、违法发布处方药广告、药品类易制毒化学品广告、戒毒治疗的医疗器械和治疗方法广告</w:t>
      </w:r>
    </w:p>
    <w:p>
      <w:pPr>
        <w:spacing w:before="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1</w:t>
      </w:r>
      <w:r>
        <w:rPr>
          <w:color w:val="auto"/>
          <w:spacing w:val="-10"/>
        </w:rPr>
        <w:t>、《中华人民共和国广告法》第五十七条 有下列行为之一的，由市场监督管理</w:t>
      </w:r>
      <w:r>
        <w:rPr>
          <w:color w:val="auto"/>
          <w:spacing w:val="-16"/>
        </w:rPr>
        <w:t xml:space="preserve">部门责令停止发布广告，对广告主处二十万元以上一百万元以下的罚款，情节严重的， </w:t>
      </w:r>
      <w:r>
        <w:rPr>
          <w:color w:val="auto"/>
          <w:spacing w:val="-3"/>
        </w:rPr>
        <w:t>并可以吊销营业执照，由广告审查机关撤销广告审查批准文件、一年内不受理其广告</w:t>
      </w:r>
      <w:r>
        <w:rPr>
          <w:color w:val="auto"/>
          <w:spacing w:val="-8"/>
        </w:rPr>
        <w:t>审查申请；对广告经营者、广告发布者，由市场监督管理部门没收广告费用，处二十</w:t>
      </w:r>
      <w:r>
        <w:rPr>
          <w:color w:val="auto"/>
          <w:spacing w:val="-11"/>
        </w:rPr>
        <w:t>万元以上一百万元以下的罚款，情节严重的，并可以吊销营业执照、吊销广告发布登</w:t>
      </w:r>
    </w:p>
    <w:p>
      <w:pPr>
        <w:spacing w:after="0" w:line="391" w:lineRule="auto"/>
        <w:rPr>
          <w:color w:val="auto"/>
        </w:rPr>
        <w:sectPr>
          <w:pgSz w:w="11910" w:h="16840"/>
          <w:pgMar w:top="1520" w:right="1260" w:bottom="1220" w:left="1420" w:header="0" w:footer="1034" w:gutter="0"/>
        </w:sectPr>
      </w:pPr>
    </w:p>
    <w:p>
      <w:pPr>
        <w:pStyle w:val="4"/>
        <w:spacing w:before="39"/>
        <w:rPr>
          <w:color w:val="auto"/>
        </w:rPr>
      </w:pPr>
      <w:r>
        <w:rPr>
          <w:color w:val="auto"/>
        </w:rPr>
        <w:t>记证件：</w:t>
      </w:r>
    </w:p>
    <w:p>
      <w:pPr>
        <w:pStyle w:val="4"/>
        <w:spacing w:before="195" w:line="388" w:lineRule="auto"/>
        <w:ind w:right="213" w:firstLine="480"/>
        <w:rPr>
          <w:color w:val="auto"/>
        </w:rPr>
      </w:pPr>
      <w:r>
        <w:rPr>
          <w:color w:val="auto"/>
        </w:rPr>
        <w:t>（二）违反本法第十五条规定发布处方药广告、药品类易制毒化学品广告、戒毒治疗的医疗器械和治疗方法广告的。</w:t>
      </w:r>
    </w:p>
    <w:p>
      <w:pPr>
        <w:pStyle w:val="4"/>
        <w:spacing w:before="2" w:line="391" w:lineRule="auto"/>
        <w:ind w:right="148" w:firstLine="480"/>
        <w:rPr>
          <w:color w:val="auto"/>
        </w:rPr>
      </w:pPr>
      <w:r>
        <w:rPr>
          <w:color w:val="auto"/>
        </w:rPr>
        <w:t>2</w:t>
      </w:r>
      <w:r>
        <w:rPr>
          <w:color w:val="auto"/>
          <w:spacing w:val="-14"/>
        </w:rPr>
        <w:t>、《中华人民共和国广告法》第十五条 麻醉药品、精神药品、医疗用毒性药品、</w:t>
      </w:r>
      <w:r>
        <w:rPr>
          <w:color w:val="auto"/>
          <w:spacing w:val="-4"/>
        </w:rPr>
        <w:t>放射性药品等特殊药品，药品类易制毒化学品，以及戒毒治疗的药品、医疗器械和治疗方法，不得作广告。</w:t>
      </w:r>
    </w:p>
    <w:p>
      <w:pPr>
        <w:pStyle w:val="4"/>
        <w:spacing w:line="391" w:lineRule="auto"/>
        <w:ind w:right="213" w:firstLine="480"/>
        <w:rPr>
          <w:color w:val="auto"/>
        </w:rPr>
      </w:pPr>
      <w:r>
        <w:rPr>
          <w:color w:val="auto"/>
        </w:rPr>
        <w:t>前款规定以外的处方药，只能在国务院卫生行政部门和国务院药品监督管理部门共同指定的医学、药学专业刊物上作广告。</w:t>
      </w:r>
    </w:p>
    <w:p>
      <w:pPr>
        <w:spacing w:before="0" w:line="388" w:lineRule="auto"/>
        <w:ind w:left="591" w:right="6948" w:firstLine="0"/>
        <w:jc w:val="left"/>
        <w:rPr>
          <w:color w:val="auto"/>
          <w:sz w:val="24"/>
        </w:rPr>
      </w:pPr>
      <w:r>
        <w:rPr>
          <w:b/>
          <w:color w:val="auto"/>
          <w:sz w:val="24"/>
        </w:rPr>
        <w:t>（二）裁量标准</w:t>
      </w:r>
      <w:r>
        <w:rPr>
          <w:color w:val="auto"/>
          <w:sz w:val="24"/>
        </w:rPr>
        <w:t>1、罚款</w:t>
      </w:r>
    </w:p>
    <w:p>
      <w:pPr>
        <w:pStyle w:val="4"/>
        <w:ind w:left="591"/>
        <w:rPr>
          <w:color w:val="auto"/>
        </w:rPr>
      </w:pPr>
      <w:r>
        <w:rPr>
          <w:color w:val="auto"/>
        </w:rPr>
        <w:t>【较轻】</w:t>
      </w:r>
    </w:p>
    <w:p>
      <w:pPr>
        <w:pStyle w:val="4"/>
        <w:spacing w:before="191" w:line="388" w:lineRule="auto"/>
        <w:ind w:right="148" w:firstLine="480"/>
        <w:rPr>
          <w:color w:val="auto"/>
        </w:rPr>
      </w:pPr>
      <w:r>
        <w:rPr>
          <w:color w:val="auto"/>
        </w:rPr>
        <w:t xml:space="preserve">广告费用一万元以下的，或者没有广告费用的，对广告主处以二十万元的罚款； </w:t>
      </w:r>
      <w:r>
        <w:rPr>
          <w:color w:val="auto"/>
          <w:spacing w:val="-12"/>
        </w:rPr>
        <w:t>对广告经营者、广告发布者处以二十万元的罚款，有广告费用的，并处没收广告费用。</w:t>
      </w:r>
    </w:p>
    <w:p>
      <w:pPr>
        <w:pStyle w:val="4"/>
        <w:spacing w:before="4"/>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广告费用一万元以上五万元以下的，对广告主处以二十万元以上三十万元以下的</w:t>
      </w:r>
      <w:r>
        <w:rPr>
          <w:color w:val="auto"/>
          <w:spacing w:val="-6"/>
        </w:rPr>
        <w:t>罚款；对广告经营者、广告发布者没收广告费用，处以二十万元以上三十万元以下的</w:t>
      </w:r>
      <w:r>
        <w:rPr>
          <w:color w:val="auto"/>
        </w:rPr>
        <w:t>罚款。</w:t>
      </w:r>
    </w:p>
    <w:p>
      <w:pPr>
        <w:pStyle w:val="4"/>
        <w:spacing w:line="304" w:lineRule="exact"/>
        <w:ind w:left="591"/>
        <w:rPr>
          <w:color w:val="auto"/>
        </w:rPr>
      </w:pPr>
      <w:r>
        <w:rPr>
          <w:color w:val="auto"/>
        </w:rPr>
        <w:t>【较重】</w:t>
      </w:r>
    </w:p>
    <w:p>
      <w:pPr>
        <w:pStyle w:val="4"/>
        <w:spacing w:before="191" w:line="391" w:lineRule="auto"/>
        <w:ind w:right="268" w:firstLine="480"/>
        <w:jc w:val="both"/>
        <w:rPr>
          <w:color w:val="auto"/>
        </w:rPr>
      </w:pPr>
      <w:r>
        <w:rPr>
          <w:color w:val="auto"/>
          <w:spacing w:val="-4"/>
        </w:rPr>
        <w:t>广告费用五万元以上十万元以下的，对广告主处以三十万元以上五十万元以下的</w:t>
      </w:r>
      <w:r>
        <w:rPr>
          <w:color w:val="auto"/>
          <w:spacing w:val="-6"/>
        </w:rPr>
        <w:t>罚款；对广告经营者、广告发布者没收广告费用，处以三十万元以上五十万元以下的</w:t>
      </w:r>
      <w:r>
        <w:rPr>
          <w:color w:val="auto"/>
        </w:rPr>
        <w:t>罚款。</w:t>
      </w:r>
    </w:p>
    <w:p>
      <w:pPr>
        <w:pStyle w:val="4"/>
        <w:spacing w:line="304" w:lineRule="exact"/>
        <w:ind w:left="591"/>
        <w:rPr>
          <w:color w:val="auto"/>
        </w:rPr>
      </w:pPr>
      <w:r>
        <w:rPr>
          <w:color w:val="auto"/>
        </w:rPr>
        <w:t>【严重】</w:t>
      </w:r>
    </w:p>
    <w:p>
      <w:pPr>
        <w:pStyle w:val="4"/>
        <w:spacing w:before="195" w:line="388" w:lineRule="auto"/>
        <w:ind w:right="268" w:firstLine="480"/>
        <w:jc w:val="both"/>
        <w:rPr>
          <w:color w:val="auto"/>
        </w:rPr>
      </w:pPr>
      <w:r>
        <w:rPr>
          <w:color w:val="auto"/>
          <w:spacing w:val="-4"/>
        </w:rPr>
        <w:t>广告费用十万元以上二十万元以下的，对广告主处以五十万元以上七十万元以下</w:t>
      </w:r>
      <w:r>
        <w:rPr>
          <w:color w:val="auto"/>
          <w:spacing w:val="-6"/>
        </w:rPr>
        <w:t>的罚款；对广告经营者、广告发布者没收广告费用，处以五十万元以上七十万元以下</w:t>
      </w:r>
      <w:r>
        <w:rPr>
          <w:color w:val="auto"/>
        </w:rPr>
        <w:t>的罚款。</w:t>
      </w:r>
    </w:p>
    <w:p>
      <w:pPr>
        <w:pStyle w:val="4"/>
        <w:spacing w:before="5"/>
        <w:ind w:left="591"/>
        <w:rPr>
          <w:color w:val="auto"/>
        </w:rPr>
      </w:pPr>
      <w:r>
        <w:rPr>
          <w:color w:val="auto"/>
        </w:rPr>
        <w:t>【特别严重】</w:t>
      </w:r>
    </w:p>
    <w:p>
      <w:pPr>
        <w:pStyle w:val="4"/>
        <w:spacing w:before="192" w:line="388" w:lineRule="auto"/>
        <w:ind w:right="232" w:firstLine="480"/>
        <w:rPr>
          <w:color w:val="auto"/>
        </w:rPr>
      </w:pPr>
      <w:r>
        <w:rPr>
          <w:color w:val="auto"/>
        </w:rPr>
        <w:t>广告费用二十万元以上的，或者造成严重人身、财产损失或者其他严重后果的， 或者造成严重不良社会影响的，对广告主处以七十万元以上一百万元以下的罚款，对</w:t>
      </w:r>
    </w:p>
    <w:p>
      <w:pPr>
        <w:spacing w:after="0" w:line="388" w:lineRule="auto"/>
        <w:rPr>
          <w:color w:val="auto"/>
        </w:rPr>
        <w:sectPr>
          <w:footerReference r:id="rId27" w:type="default"/>
          <w:footerReference r:id="rId28" w:type="even"/>
          <w:pgSz w:w="11910" w:h="16840"/>
          <w:pgMar w:top="1520" w:right="1260" w:bottom="1220" w:left="1420" w:header="0" w:footer="1034" w:gutter="0"/>
          <w:pgNumType w:start="160"/>
        </w:sectPr>
      </w:pPr>
    </w:p>
    <w:p>
      <w:pPr>
        <w:pStyle w:val="4"/>
        <w:spacing w:before="39" w:line="391" w:lineRule="auto"/>
        <w:ind w:left="591" w:right="472" w:hanging="480"/>
        <w:rPr>
          <w:color w:val="auto"/>
        </w:rPr>
      </w:pPr>
      <w:r>
        <w:rPr>
          <w:color w:val="auto"/>
        </w:rPr>
        <w:t>广告经营者、广告发布者没收广告费用，处以七十万元以上一百万元以下的罚款。2、吊销营业执照、</w:t>
      </w:r>
      <w:r>
        <w:rPr>
          <w:color w:val="auto"/>
        </w:rPr>
        <w:t>吊销广告发布登记证件</w:t>
      </w:r>
    </w:p>
    <w:p>
      <w:pPr>
        <w:pStyle w:val="13"/>
        <w:numPr>
          <w:ilvl w:val="0"/>
          <w:numId w:val="133"/>
        </w:numPr>
        <w:tabs>
          <w:tab w:val="left" w:pos="1193"/>
        </w:tabs>
        <w:spacing w:before="0" w:after="0" w:line="306" w:lineRule="exact"/>
        <w:ind w:left="1192" w:right="0" w:hanging="602"/>
        <w:jc w:val="left"/>
        <w:rPr>
          <w:color w:val="auto"/>
          <w:sz w:val="24"/>
        </w:rPr>
      </w:pPr>
      <w:r>
        <w:rPr>
          <w:color w:val="auto"/>
          <w:sz w:val="24"/>
        </w:rPr>
        <w:t>引发群体性事件，造成重大影响的；</w:t>
      </w:r>
    </w:p>
    <w:p>
      <w:pPr>
        <w:pStyle w:val="13"/>
        <w:numPr>
          <w:ilvl w:val="0"/>
          <w:numId w:val="133"/>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33"/>
        </w:numPr>
        <w:tabs>
          <w:tab w:val="left" w:pos="1193"/>
        </w:tabs>
        <w:spacing w:before="194" w:after="0" w:line="240" w:lineRule="auto"/>
        <w:ind w:left="1192" w:right="0" w:hanging="602"/>
        <w:jc w:val="left"/>
        <w:rPr>
          <w:color w:val="auto"/>
          <w:sz w:val="24"/>
        </w:rPr>
      </w:pPr>
      <w:r>
        <w:rPr>
          <w:color w:val="auto"/>
          <w:sz w:val="24"/>
        </w:rPr>
        <w:t>造成严重不良社会影响的。</w:t>
      </w:r>
    </w:p>
    <w:p>
      <w:pPr>
        <w:pStyle w:val="2"/>
        <w:spacing w:before="192"/>
        <w:rPr>
          <w:color w:val="auto"/>
        </w:rPr>
      </w:pPr>
      <w:bookmarkStart w:id="435" w:name="_bookmark217"/>
      <w:bookmarkEnd w:id="435"/>
      <w:bookmarkStart w:id="436" w:name="二百一十一、违法发布母乳代用品广告"/>
      <w:bookmarkEnd w:id="436"/>
      <w:r>
        <w:rPr>
          <w:color w:val="auto"/>
        </w:rPr>
        <w:t>二百一十一、违法发布母乳代用品广告</w:t>
      </w:r>
    </w:p>
    <w:p>
      <w:pPr>
        <w:spacing w:before="192"/>
        <w:ind w:left="591" w:right="0" w:firstLine="0"/>
        <w:jc w:val="left"/>
        <w:rPr>
          <w:b/>
          <w:color w:val="auto"/>
          <w:sz w:val="24"/>
        </w:rPr>
      </w:pPr>
      <w:r>
        <w:rPr>
          <w:b/>
          <w:color w:val="auto"/>
          <w:sz w:val="24"/>
        </w:rPr>
        <w:t>（一）处罚依据</w:t>
      </w:r>
    </w:p>
    <w:p>
      <w:pPr>
        <w:pStyle w:val="4"/>
        <w:spacing w:before="194" w:line="388" w:lineRule="auto"/>
        <w:ind w:right="148" w:firstLine="480"/>
        <w:rPr>
          <w:color w:val="auto"/>
        </w:rPr>
      </w:pPr>
      <w:r>
        <w:rPr>
          <w:color w:val="auto"/>
        </w:rPr>
        <w:t>1</w:t>
      </w:r>
      <w:r>
        <w:rPr>
          <w:color w:val="auto"/>
          <w:spacing w:val="-10"/>
        </w:rPr>
        <w:t>、《中华人民共和国广告法》第五十七条 有下列行为之一的，由市场监督管理</w:t>
      </w:r>
      <w:r>
        <w:rPr>
          <w:color w:val="auto"/>
          <w:spacing w:val="-16"/>
        </w:rPr>
        <w:t xml:space="preserve">部门责令停止发布广告，对广告主处二十万元以上一百万元以下的罚款，情节严重的， </w:t>
      </w:r>
      <w:r>
        <w:rPr>
          <w:color w:val="auto"/>
          <w:spacing w:val="-3"/>
        </w:rPr>
        <w:t>并可以吊销营业执照，由广告审查机关撤销广告审查批准文件、一年内不受理其广告</w:t>
      </w:r>
      <w:r>
        <w:rPr>
          <w:color w:val="auto"/>
          <w:spacing w:val="-8"/>
        </w:rPr>
        <w:t>审查申请；对广告经营者、广告发布者，由市场监督管理部门没收广告费用，处二十</w:t>
      </w:r>
      <w:r>
        <w:rPr>
          <w:color w:val="auto"/>
          <w:spacing w:val="-11"/>
        </w:rPr>
        <w:t>万元以上一百万元以下的罚款，情节严重的，并可以吊销营业执照、吊销广告发布登记证件：</w:t>
      </w:r>
    </w:p>
    <w:p>
      <w:pPr>
        <w:pStyle w:val="4"/>
        <w:spacing w:before="11" w:line="388" w:lineRule="auto"/>
        <w:ind w:right="232" w:firstLine="480"/>
        <w:rPr>
          <w:color w:val="auto"/>
        </w:rPr>
      </w:pPr>
      <w:r>
        <w:rPr>
          <w:color w:val="auto"/>
        </w:rPr>
        <w:t>（三）违反本法第二十条规定，发布声称全部或者部分替代母乳的婴儿乳制品、饮料和其他食品广告的。</w:t>
      </w:r>
    </w:p>
    <w:p>
      <w:pPr>
        <w:pStyle w:val="4"/>
        <w:spacing w:before="2" w:line="391" w:lineRule="auto"/>
        <w:ind w:right="268" w:firstLine="480"/>
        <w:rPr>
          <w:color w:val="auto"/>
        </w:rPr>
      </w:pPr>
      <w:r>
        <w:rPr>
          <w:color w:val="auto"/>
        </w:rPr>
        <w:t>2</w:t>
      </w:r>
      <w:r>
        <w:rPr>
          <w:color w:val="auto"/>
          <w:spacing w:val="-9"/>
        </w:rPr>
        <w:t>、《中华人民共和国广告法》第二十条 禁止在大众传播媒介或者公共场所发布声称全部或者部分替代母乳的婴儿乳制品、饮料和其他食品广告。</w:t>
      </w:r>
    </w:p>
    <w:p>
      <w:pPr>
        <w:spacing w:before="0" w:line="388" w:lineRule="auto"/>
        <w:ind w:left="591" w:right="6948" w:firstLine="0"/>
        <w:jc w:val="left"/>
        <w:rPr>
          <w:color w:val="auto"/>
          <w:sz w:val="24"/>
        </w:rPr>
      </w:pPr>
      <w:r>
        <w:rPr>
          <w:b/>
          <w:color w:val="auto"/>
          <w:sz w:val="24"/>
        </w:rPr>
        <w:t>（二）裁量标准</w:t>
      </w:r>
      <w:r>
        <w:rPr>
          <w:color w:val="auto"/>
          <w:sz w:val="24"/>
        </w:rPr>
        <w:t>1、罚款</w:t>
      </w:r>
    </w:p>
    <w:p>
      <w:pPr>
        <w:pStyle w:val="4"/>
        <w:spacing w:before="3"/>
        <w:ind w:left="591"/>
        <w:rPr>
          <w:color w:val="auto"/>
        </w:rPr>
      </w:pPr>
      <w:r>
        <w:rPr>
          <w:color w:val="auto"/>
        </w:rPr>
        <w:t>【较轻】</w:t>
      </w:r>
    </w:p>
    <w:p>
      <w:pPr>
        <w:pStyle w:val="4"/>
        <w:spacing w:before="192" w:line="388" w:lineRule="auto"/>
        <w:ind w:right="148" w:firstLine="480"/>
        <w:rPr>
          <w:color w:val="auto"/>
        </w:rPr>
      </w:pPr>
      <w:r>
        <w:rPr>
          <w:color w:val="auto"/>
        </w:rPr>
        <w:t xml:space="preserve">广告费用一万元以下的，或者没有广告费用的，对广告主处以二十万元的罚款； </w:t>
      </w:r>
      <w:r>
        <w:rPr>
          <w:color w:val="auto"/>
          <w:spacing w:val="-12"/>
        </w:rPr>
        <w:t>对广告经营者、广告发布者处以二十万元的罚款，有广告费用的，并处没收广告费用。</w:t>
      </w:r>
    </w:p>
    <w:p>
      <w:pPr>
        <w:pStyle w:val="4"/>
        <w:spacing w:before="4"/>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广告费用一万元以上五万元以下的，对广告主处以二十万元以上三十万元以下的</w:t>
      </w:r>
      <w:r>
        <w:rPr>
          <w:color w:val="auto"/>
          <w:spacing w:val="-6"/>
        </w:rPr>
        <w:t>罚款；对广告经营者、广告发布者没收广告费用，处以二十万元以上三十万元以下的</w:t>
      </w:r>
      <w:r>
        <w:rPr>
          <w:color w:val="auto"/>
        </w:rPr>
        <w:t>罚款。</w:t>
      </w:r>
    </w:p>
    <w:p>
      <w:pPr>
        <w:pStyle w:val="4"/>
        <w:spacing w:line="304" w:lineRule="exact"/>
        <w:ind w:left="591"/>
        <w:rPr>
          <w:color w:val="auto"/>
        </w:rPr>
      </w:pPr>
      <w:r>
        <w:rPr>
          <w:color w:val="auto"/>
        </w:rPr>
        <w:t>【较重】</w:t>
      </w:r>
    </w:p>
    <w:p>
      <w:pPr>
        <w:pStyle w:val="4"/>
        <w:spacing w:before="191"/>
        <w:ind w:left="591"/>
        <w:rPr>
          <w:color w:val="auto"/>
        </w:rPr>
      </w:pPr>
      <w:r>
        <w:rPr>
          <w:color w:val="auto"/>
        </w:rPr>
        <w:t>广告费用五万元以上十万元以下的，对广告主处以三十万元以上五十万元以下的</w:t>
      </w:r>
    </w:p>
    <w:p>
      <w:pPr>
        <w:spacing w:after="0"/>
        <w:rPr>
          <w:color w:val="auto"/>
        </w:rPr>
        <w:sectPr>
          <w:pgSz w:w="11910" w:h="16840"/>
          <w:pgMar w:top="1520" w:right="1260" w:bottom="1220" w:left="1420" w:header="0" w:footer="1034" w:gutter="0"/>
        </w:sectPr>
      </w:pPr>
    </w:p>
    <w:p>
      <w:pPr>
        <w:pStyle w:val="4"/>
        <w:spacing w:before="39" w:line="391" w:lineRule="auto"/>
        <w:ind w:right="230"/>
        <w:rPr>
          <w:color w:val="auto"/>
        </w:rPr>
      </w:pPr>
      <w:r>
        <w:rPr>
          <w:color w:val="auto"/>
        </w:rPr>
        <w:t>罚款；对广告经营者、广告发布者没收广告费用，处以三十万元以上五十万元以下的罚款。</w:t>
      </w:r>
    </w:p>
    <w:p>
      <w:pPr>
        <w:pStyle w:val="4"/>
        <w:spacing w:line="306" w:lineRule="exact"/>
        <w:ind w:left="591"/>
        <w:rPr>
          <w:color w:val="auto"/>
        </w:rPr>
      </w:pPr>
      <w:r>
        <w:rPr>
          <w:color w:val="auto"/>
        </w:rPr>
        <w:t>【严重】</w:t>
      </w:r>
    </w:p>
    <w:p>
      <w:pPr>
        <w:pStyle w:val="4"/>
        <w:spacing w:before="192" w:line="391" w:lineRule="auto"/>
        <w:ind w:right="268" w:firstLine="480"/>
        <w:jc w:val="both"/>
        <w:rPr>
          <w:color w:val="auto"/>
        </w:rPr>
      </w:pPr>
      <w:r>
        <w:rPr>
          <w:color w:val="auto"/>
          <w:spacing w:val="-4"/>
        </w:rPr>
        <w:t>广告费用十万元以上二十万元以下的，对广告主处以五十万元以上七十万元以下</w:t>
      </w:r>
      <w:r>
        <w:rPr>
          <w:color w:val="auto"/>
          <w:spacing w:val="-6"/>
        </w:rPr>
        <w:t>的罚款；对广告经营者、广告发布者没收广告费用，处以五十万元以上七十万元以下</w:t>
      </w:r>
      <w:r>
        <w:rPr>
          <w:color w:val="auto"/>
        </w:rPr>
        <w:t>的罚款。</w:t>
      </w:r>
    </w:p>
    <w:p>
      <w:pPr>
        <w:pStyle w:val="4"/>
        <w:spacing w:line="304" w:lineRule="exact"/>
        <w:ind w:left="591"/>
        <w:rPr>
          <w:color w:val="auto"/>
        </w:rPr>
      </w:pPr>
      <w:r>
        <w:rPr>
          <w:color w:val="auto"/>
        </w:rPr>
        <w:t>【特别严重】</w:t>
      </w:r>
    </w:p>
    <w:p>
      <w:pPr>
        <w:pStyle w:val="4"/>
        <w:spacing w:before="194" w:line="388" w:lineRule="auto"/>
        <w:ind w:right="232" w:firstLine="480"/>
        <w:jc w:val="both"/>
        <w:rPr>
          <w:color w:val="auto"/>
        </w:rPr>
      </w:pPr>
      <w:r>
        <w:rPr>
          <w:color w:val="auto"/>
        </w:rPr>
        <w:t>广告费用二十万元以上的，或者造成严重人身、财产损失或者其他严重后果的， 或者造成严重不良社会影响的，对广告主处以七十万元以上一百万元以下的罚款；对广告经营者、广告发布者没收广告费用，处以七十万元以上一百万元以下的罚款。</w:t>
      </w:r>
    </w:p>
    <w:p>
      <w:pPr>
        <w:pStyle w:val="4"/>
        <w:spacing w:before="6"/>
        <w:ind w:left="591"/>
        <w:rPr>
          <w:color w:val="auto"/>
        </w:rPr>
      </w:pPr>
      <w:r>
        <w:rPr>
          <w:color w:val="auto"/>
        </w:rPr>
        <w:t>2、吊销营业执照、</w:t>
      </w:r>
      <w:r>
        <w:rPr>
          <w:color w:val="auto"/>
        </w:rPr>
        <w:t>吊销广告发布登记证件</w:t>
      </w:r>
    </w:p>
    <w:p>
      <w:pPr>
        <w:pStyle w:val="13"/>
        <w:numPr>
          <w:ilvl w:val="0"/>
          <w:numId w:val="134"/>
        </w:numPr>
        <w:tabs>
          <w:tab w:val="left" w:pos="1193"/>
        </w:tabs>
        <w:spacing w:before="192" w:after="0" w:line="240" w:lineRule="auto"/>
        <w:ind w:left="1192" w:right="0" w:hanging="602"/>
        <w:jc w:val="left"/>
        <w:rPr>
          <w:color w:val="auto"/>
          <w:sz w:val="24"/>
        </w:rPr>
      </w:pPr>
      <w:r>
        <w:rPr>
          <w:color w:val="auto"/>
          <w:sz w:val="24"/>
        </w:rPr>
        <w:t>引发群体性事件，造成重大影响的；</w:t>
      </w:r>
    </w:p>
    <w:p>
      <w:pPr>
        <w:pStyle w:val="13"/>
        <w:numPr>
          <w:ilvl w:val="0"/>
          <w:numId w:val="134"/>
        </w:numPr>
        <w:tabs>
          <w:tab w:val="left" w:pos="1193"/>
        </w:tabs>
        <w:spacing w:before="191"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34"/>
        </w:numPr>
        <w:tabs>
          <w:tab w:val="left" w:pos="1193"/>
        </w:tabs>
        <w:spacing w:before="194" w:after="0" w:line="388" w:lineRule="auto"/>
        <w:ind w:left="591" w:right="5152" w:firstLine="0"/>
        <w:jc w:val="left"/>
        <w:rPr>
          <w:b/>
          <w:color w:val="auto"/>
          <w:sz w:val="24"/>
        </w:rPr>
      </w:pPr>
      <w:r>
        <w:rPr>
          <w:color w:val="auto"/>
          <w:spacing w:val="-2"/>
          <w:sz w:val="24"/>
        </w:rPr>
        <w:t>造成严重不良社会影响的。</w:t>
      </w:r>
      <w:bookmarkStart w:id="437" w:name="二百一十二、违法发布烟草广告"/>
      <w:bookmarkEnd w:id="437"/>
      <w:bookmarkStart w:id="438" w:name="_bookmark218"/>
      <w:bookmarkEnd w:id="438"/>
      <w:r>
        <w:rPr>
          <w:b/>
          <w:color w:val="auto"/>
          <w:sz w:val="24"/>
        </w:rPr>
        <w:t>二百一十二、违法发布烟草广告</w:t>
      </w:r>
    </w:p>
    <w:p>
      <w:pPr>
        <w:pStyle w:val="2"/>
        <w:spacing w:before="2"/>
        <w:rPr>
          <w:color w:val="auto"/>
        </w:rPr>
      </w:pPr>
      <w:r>
        <w:rPr>
          <w:color w:val="auto"/>
        </w:rPr>
        <w:t>（一）处罚依据</w:t>
      </w:r>
    </w:p>
    <w:p>
      <w:pPr>
        <w:pStyle w:val="4"/>
        <w:spacing w:before="195" w:line="388" w:lineRule="auto"/>
        <w:ind w:right="148" w:firstLine="480"/>
        <w:rPr>
          <w:color w:val="auto"/>
        </w:rPr>
      </w:pPr>
      <w:r>
        <w:rPr>
          <w:color w:val="auto"/>
        </w:rPr>
        <w:t>1</w:t>
      </w:r>
      <w:r>
        <w:rPr>
          <w:color w:val="auto"/>
          <w:spacing w:val="-10"/>
        </w:rPr>
        <w:t>、《中华人民共和国广告法》第五十七条 有下列行为之一的，由市场监督管理</w:t>
      </w:r>
      <w:r>
        <w:rPr>
          <w:color w:val="auto"/>
          <w:spacing w:val="-16"/>
        </w:rPr>
        <w:t xml:space="preserve">部门责令停止发布广告，对广告主处二十万元以上一百万元以下的罚款，情节严重的， </w:t>
      </w:r>
      <w:r>
        <w:rPr>
          <w:color w:val="auto"/>
          <w:spacing w:val="-3"/>
        </w:rPr>
        <w:t>并可以吊销营业执照，由广告审查机关撤销广告审查批准文件、一年内不受理其广告</w:t>
      </w:r>
      <w:r>
        <w:rPr>
          <w:color w:val="auto"/>
          <w:spacing w:val="-8"/>
        </w:rPr>
        <w:t>审查申请；对广告经营者、广告发布者，由市场监督管理部门没收广告费用，处二十</w:t>
      </w:r>
      <w:r>
        <w:rPr>
          <w:color w:val="auto"/>
          <w:spacing w:val="-11"/>
        </w:rPr>
        <w:t>万元以上一百万元以下的罚款，情节严重的，并可以吊销营业执照、吊销广告发布登记证件：</w:t>
      </w:r>
    </w:p>
    <w:p>
      <w:pPr>
        <w:pStyle w:val="4"/>
        <w:spacing w:before="11"/>
        <w:ind w:left="591"/>
        <w:rPr>
          <w:color w:val="auto"/>
        </w:rPr>
      </w:pPr>
      <w:r>
        <w:rPr>
          <w:color w:val="auto"/>
        </w:rPr>
        <w:t>（四）违反本法第二十二条规定发布烟草广告的。</w:t>
      </w:r>
    </w:p>
    <w:p>
      <w:pPr>
        <w:pStyle w:val="4"/>
        <w:spacing w:before="191" w:line="388" w:lineRule="auto"/>
        <w:ind w:right="271" w:firstLine="480"/>
        <w:rPr>
          <w:color w:val="auto"/>
        </w:rPr>
      </w:pPr>
      <w:r>
        <w:rPr>
          <w:color w:val="auto"/>
        </w:rPr>
        <w:t>2</w:t>
      </w:r>
      <w:r>
        <w:rPr>
          <w:color w:val="auto"/>
          <w:spacing w:val="-9"/>
        </w:rPr>
        <w:t>、《中华人民共和国广告法》第二十二条 禁止在大众传播媒介或者公共场所、公共交通工具、户外发布烟草广告。禁止向未成年人发送任何形式的烟草广告。</w:t>
      </w:r>
    </w:p>
    <w:p>
      <w:pPr>
        <w:pStyle w:val="4"/>
        <w:spacing w:before="5" w:line="388" w:lineRule="auto"/>
        <w:ind w:right="148" w:firstLine="480"/>
        <w:rPr>
          <w:color w:val="auto"/>
        </w:rPr>
      </w:pPr>
      <w:r>
        <w:rPr>
          <w:color w:val="auto"/>
          <w:spacing w:val="-9"/>
        </w:rPr>
        <w:t>禁止利用其他商品或者服务的广告、公益广告，宣传烟草制品名称、商标、包装、</w:t>
      </w:r>
      <w:r>
        <w:rPr>
          <w:color w:val="auto"/>
        </w:rPr>
        <w:t>装潢以及类似内容。</w:t>
      </w:r>
    </w:p>
    <w:p>
      <w:pPr>
        <w:pStyle w:val="4"/>
        <w:spacing w:before="2"/>
        <w:ind w:left="591"/>
        <w:rPr>
          <w:color w:val="auto"/>
        </w:rPr>
      </w:pPr>
      <w:r>
        <w:rPr>
          <w:color w:val="auto"/>
        </w:rPr>
        <w:t>烟草制品生产者或者销售者发布的迁址、更名、招聘等启事中，不得含有烟草制</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品名称、商标、包装、装潢以及类似内容。</w:t>
      </w:r>
    </w:p>
    <w:p>
      <w:pPr>
        <w:spacing w:before="195"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32" w:firstLine="480"/>
        <w:rPr>
          <w:color w:val="auto"/>
        </w:rPr>
      </w:pPr>
      <w:r>
        <w:rPr>
          <w:color w:val="auto"/>
        </w:rPr>
        <w:t>广告费用一万元以下的，或者没有广告费用的，对广告主处以二十万元的罚款； 对广告经营者、广告发布者处以二十万元罚款，有广告费用的，并处没收广告费用。</w:t>
      </w:r>
    </w:p>
    <w:p>
      <w:pPr>
        <w:pStyle w:val="4"/>
        <w:spacing w:before="2"/>
        <w:ind w:left="591"/>
        <w:rPr>
          <w:color w:val="auto"/>
        </w:rPr>
      </w:pPr>
      <w:r>
        <w:rPr>
          <w:color w:val="auto"/>
        </w:rPr>
        <w:t>【一般】</w:t>
      </w:r>
    </w:p>
    <w:p>
      <w:pPr>
        <w:pStyle w:val="4"/>
        <w:spacing w:before="194" w:line="388" w:lineRule="auto"/>
        <w:ind w:right="268" w:firstLine="480"/>
        <w:jc w:val="both"/>
        <w:rPr>
          <w:color w:val="auto"/>
        </w:rPr>
      </w:pPr>
      <w:r>
        <w:rPr>
          <w:color w:val="auto"/>
          <w:spacing w:val="-4"/>
        </w:rPr>
        <w:t>广告费用一万元以上五万元以下的，对广告主处以二十万元以上三十万元以下的</w:t>
      </w:r>
      <w:r>
        <w:rPr>
          <w:color w:val="auto"/>
          <w:spacing w:val="-6"/>
        </w:rPr>
        <w:t>罚款；对广告经营者、广告发布者没收广告费用，处以二十万元以上三十万元以下的</w:t>
      </w:r>
      <w:r>
        <w:rPr>
          <w:color w:val="auto"/>
        </w:rPr>
        <w:t>罚款。</w:t>
      </w:r>
    </w:p>
    <w:p>
      <w:pPr>
        <w:pStyle w:val="4"/>
        <w:spacing w:before="6"/>
        <w:ind w:left="591"/>
        <w:rPr>
          <w:color w:val="auto"/>
        </w:rPr>
      </w:pPr>
      <w:r>
        <w:rPr>
          <w:color w:val="auto"/>
        </w:rPr>
        <w:t>【较重】</w:t>
      </w:r>
    </w:p>
    <w:p>
      <w:pPr>
        <w:pStyle w:val="4"/>
        <w:spacing w:before="191" w:line="391" w:lineRule="auto"/>
        <w:ind w:right="268" w:firstLine="480"/>
        <w:jc w:val="both"/>
        <w:rPr>
          <w:color w:val="auto"/>
        </w:rPr>
      </w:pPr>
      <w:r>
        <w:rPr>
          <w:color w:val="auto"/>
          <w:spacing w:val="-4"/>
        </w:rPr>
        <w:t>广告费用五万元以上十万元以下的，对广告主处以三十万元以上五十万元以下的</w:t>
      </w:r>
      <w:r>
        <w:rPr>
          <w:color w:val="auto"/>
          <w:spacing w:val="-6"/>
        </w:rPr>
        <w:t>罚款；对广告经营者、广告发布者没收广告费用，处以三十万元以上五十万元以下的</w:t>
      </w:r>
      <w:r>
        <w:rPr>
          <w:color w:val="auto"/>
        </w:rPr>
        <w:t>罚款。</w:t>
      </w:r>
    </w:p>
    <w:p>
      <w:pPr>
        <w:pStyle w:val="4"/>
        <w:spacing w:line="304" w:lineRule="exact"/>
        <w:ind w:left="591"/>
        <w:rPr>
          <w:color w:val="auto"/>
        </w:rPr>
      </w:pPr>
      <w:r>
        <w:rPr>
          <w:color w:val="auto"/>
        </w:rPr>
        <w:t>【严重】</w:t>
      </w:r>
    </w:p>
    <w:p>
      <w:pPr>
        <w:pStyle w:val="4"/>
        <w:spacing w:before="192" w:line="391" w:lineRule="auto"/>
        <w:ind w:right="268" w:firstLine="480"/>
        <w:jc w:val="both"/>
        <w:rPr>
          <w:color w:val="auto"/>
        </w:rPr>
      </w:pPr>
      <w:r>
        <w:rPr>
          <w:color w:val="auto"/>
          <w:spacing w:val="-4"/>
        </w:rPr>
        <w:t>广告费用十万元以上二十万元以下的，对广告主处以五十万元以上七十万元以下</w:t>
      </w:r>
      <w:r>
        <w:rPr>
          <w:color w:val="auto"/>
          <w:spacing w:val="-6"/>
        </w:rPr>
        <w:t>的罚款；对广告经营者、广告发布者没收广告费用，处以五十万元以上七十万元以下</w:t>
      </w:r>
      <w:r>
        <w:rPr>
          <w:color w:val="auto"/>
        </w:rPr>
        <w:t>的罚款。</w:t>
      </w:r>
    </w:p>
    <w:p>
      <w:pPr>
        <w:pStyle w:val="4"/>
        <w:spacing w:line="304" w:lineRule="exact"/>
        <w:ind w:left="591"/>
        <w:rPr>
          <w:color w:val="auto"/>
        </w:rPr>
      </w:pPr>
      <w:r>
        <w:rPr>
          <w:color w:val="auto"/>
        </w:rPr>
        <w:t>【特别严重】</w:t>
      </w:r>
    </w:p>
    <w:p>
      <w:pPr>
        <w:pStyle w:val="4"/>
        <w:spacing w:before="194" w:line="388" w:lineRule="auto"/>
        <w:ind w:right="232" w:firstLine="480"/>
        <w:jc w:val="both"/>
        <w:rPr>
          <w:color w:val="auto"/>
        </w:rPr>
      </w:pPr>
      <w:r>
        <w:rPr>
          <w:color w:val="auto"/>
        </w:rPr>
        <w:t>广告费用二十万元以上的，或者造成严重人身、财产损失或者其他严重后果的， 或者造成严重不良社会影响的，对广告主处以七十万元以上一百万元以下的罚款；对广告经营者、广告发布者没收广告费用，处以七十万元以上一百万元以下的罚款。</w:t>
      </w:r>
    </w:p>
    <w:p>
      <w:pPr>
        <w:pStyle w:val="4"/>
        <w:spacing w:before="6"/>
        <w:ind w:left="591"/>
        <w:rPr>
          <w:color w:val="auto"/>
        </w:rPr>
      </w:pPr>
      <w:r>
        <w:rPr>
          <w:color w:val="auto"/>
        </w:rPr>
        <w:t>2、吊销营业执照</w:t>
      </w:r>
      <w:r>
        <w:rPr>
          <w:color w:val="auto"/>
        </w:rPr>
        <w:t>、吊销广告发布登记证件</w:t>
      </w:r>
    </w:p>
    <w:p>
      <w:pPr>
        <w:pStyle w:val="13"/>
        <w:numPr>
          <w:ilvl w:val="0"/>
          <w:numId w:val="135"/>
        </w:numPr>
        <w:tabs>
          <w:tab w:val="left" w:pos="1199"/>
        </w:tabs>
        <w:spacing w:before="191" w:after="0" w:line="388" w:lineRule="auto"/>
        <w:ind w:left="111" w:right="269" w:firstLine="480"/>
        <w:jc w:val="left"/>
        <w:rPr>
          <w:color w:val="auto"/>
          <w:sz w:val="24"/>
        </w:rPr>
      </w:pPr>
      <w:r>
        <w:rPr>
          <w:color w:val="auto"/>
          <w:sz w:val="24"/>
        </w:rPr>
        <w:t>在大众传播媒介或者公共场所、公共交通工具、户外发布烟草广告，引发严重不良后果的；</w:t>
      </w:r>
    </w:p>
    <w:p>
      <w:pPr>
        <w:pStyle w:val="13"/>
        <w:numPr>
          <w:ilvl w:val="0"/>
          <w:numId w:val="135"/>
        </w:numPr>
        <w:tabs>
          <w:tab w:val="left" w:pos="1193"/>
        </w:tabs>
        <w:spacing w:before="5" w:after="0" w:line="240" w:lineRule="auto"/>
        <w:ind w:left="1192" w:right="0" w:hanging="602"/>
        <w:jc w:val="left"/>
        <w:rPr>
          <w:color w:val="auto"/>
          <w:sz w:val="24"/>
        </w:rPr>
      </w:pPr>
      <w:r>
        <w:rPr>
          <w:color w:val="auto"/>
          <w:sz w:val="24"/>
        </w:rPr>
        <w:t>向未成年人发送烟草广告，危害未成年人身心健康的。</w:t>
      </w:r>
    </w:p>
    <w:p>
      <w:pPr>
        <w:pStyle w:val="2"/>
        <w:spacing w:before="191" w:line="388" w:lineRule="auto"/>
        <w:ind w:left="111" w:right="240" w:firstLine="480"/>
        <w:rPr>
          <w:color w:val="auto"/>
        </w:rPr>
      </w:pPr>
      <w:bookmarkStart w:id="439" w:name="_bookmark219"/>
      <w:bookmarkEnd w:id="439"/>
      <w:bookmarkStart w:id="440" w:name="二百一十三、利用广告推销禁止生产、销售的产品或者提供的服务或者禁止发布广告的商品"/>
      <w:bookmarkEnd w:id="440"/>
      <w:r>
        <w:rPr>
          <w:color w:val="auto"/>
          <w:spacing w:val="-8"/>
        </w:rPr>
        <w:t>二百一十三、利用广告推销禁止生产、销售的产品或者提供的服务或者禁止发布广告的商品或者服务</w:t>
      </w:r>
    </w:p>
    <w:p>
      <w:pPr>
        <w:spacing w:after="0" w:line="388" w:lineRule="auto"/>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88" w:lineRule="auto"/>
        <w:ind w:right="148" w:firstLine="480"/>
        <w:rPr>
          <w:color w:val="auto"/>
        </w:rPr>
      </w:pPr>
      <w:r>
        <w:rPr>
          <w:color w:val="auto"/>
        </w:rPr>
        <w:t>1</w:t>
      </w:r>
      <w:r>
        <w:rPr>
          <w:color w:val="auto"/>
          <w:spacing w:val="-10"/>
        </w:rPr>
        <w:t>、《中华人民共和国广告法》第五十七条 有下列行为之一的，由市场监督管理</w:t>
      </w:r>
      <w:r>
        <w:rPr>
          <w:color w:val="auto"/>
          <w:spacing w:val="-16"/>
        </w:rPr>
        <w:t xml:space="preserve">部门责令停止发布广告，对广告主处二十万元以上一百万元以下的罚款，情节严重的， </w:t>
      </w:r>
      <w:r>
        <w:rPr>
          <w:color w:val="auto"/>
          <w:spacing w:val="-3"/>
        </w:rPr>
        <w:t>并可以吊销营业执照，由广告审查机关撤销广告审查批准文件、一年内不受理其广告</w:t>
      </w:r>
      <w:r>
        <w:rPr>
          <w:color w:val="auto"/>
          <w:spacing w:val="-8"/>
        </w:rPr>
        <w:t>审查申请；对广告经营者、广告发布者，由市场监督管理部门没收广告费用，处二十</w:t>
      </w:r>
      <w:r>
        <w:rPr>
          <w:color w:val="auto"/>
          <w:spacing w:val="-11"/>
        </w:rPr>
        <w:t>万元以上一百万元以下的罚款，情节严重的，并可以吊销营业执照、吊销广告发布登记证件：</w:t>
      </w:r>
    </w:p>
    <w:p>
      <w:pPr>
        <w:pStyle w:val="4"/>
        <w:spacing w:before="11" w:line="388" w:lineRule="auto"/>
        <w:ind w:right="213" w:firstLine="480"/>
        <w:rPr>
          <w:color w:val="auto"/>
        </w:rPr>
      </w:pPr>
      <w:r>
        <w:rPr>
          <w:color w:val="auto"/>
        </w:rPr>
        <w:t>（五）违反本法第三十七条规定，利用广告推销禁止生产、销售的产品或者提供的服务，或者禁止发布广告的商品或者服务的。</w:t>
      </w:r>
    </w:p>
    <w:p>
      <w:pPr>
        <w:pStyle w:val="4"/>
        <w:spacing w:before="2" w:line="391" w:lineRule="auto"/>
        <w:ind w:right="268" w:firstLine="480"/>
        <w:jc w:val="both"/>
        <w:rPr>
          <w:color w:val="auto"/>
        </w:rPr>
      </w:pPr>
      <w:r>
        <w:rPr>
          <w:color w:val="auto"/>
        </w:rPr>
        <w:t>2</w:t>
      </w:r>
      <w:r>
        <w:rPr>
          <w:color w:val="auto"/>
          <w:spacing w:val="-9"/>
        </w:rPr>
        <w:t>、《中华人民共和国广告法》第三十七条 法律、行政法规规定禁止生产、销售</w:t>
      </w:r>
      <w:r>
        <w:rPr>
          <w:color w:val="auto"/>
          <w:spacing w:val="-12"/>
        </w:rPr>
        <w:t>的产品或者提供的服务，以及禁止发布广告的商品或者服务，任何单位或者个人不得</w:t>
      </w:r>
      <w:r>
        <w:rPr>
          <w:color w:val="auto"/>
        </w:rPr>
        <w:t>设计、制作、代理、发布广告。</w:t>
      </w:r>
    </w:p>
    <w:p>
      <w:pPr>
        <w:spacing w:before="0"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88" w:line="391" w:lineRule="auto"/>
        <w:ind w:right="232" w:firstLine="480"/>
        <w:rPr>
          <w:color w:val="auto"/>
        </w:rPr>
      </w:pPr>
      <w:r>
        <w:rPr>
          <w:color w:val="auto"/>
        </w:rPr>
        <w:t>广告费用一万元以下的，或者没有广告费用的，对广告主处以二十万元的罚款； 对广告经营者、广告发布者处以二十万元罚款，有广告费用的，并处没收广告费用。</w:t>
      </w:r>
    </w:p>
    <w:p>
      <w:pPr>
        <w:pStyle w:val="4"/>
        <w:spacing w:line="306" w:lineRule="exact"/>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广告费用一万元以上五万元以下的，对广告主处以二十万元以上三十万元以下的</w:t>
      </w:r>
      <w:r>
        <w:rPr>
          <w:color w:val="auto"/>
          <w:spacing w:val="-6"/>
        </w:rPr>
        <w:t>罚款；对广告经营者、广告发布者没收广告费用，处以二十万元以上三十万元以下的</w:t>
      </w:r>
      <w:r>
        <w:rPr>
          <w:color w:val="auto"/>
        </w:rPr>
        <w:t>罚款。</w:t>
      </w:r>
    </w:p>
    <w:p>
      <w:pPr>
        <w:pStyle w:val="4"/>
        <w:spacing w:line="304" w:lineRule="exact"/>
        <w:ind w:left="591"/>
        <w:rPr>
          <w:color w:val="auto"/>
        </w:rPr>
      </w:pPr>
      <w:r>
        <w:rPr>
          <w:color w:val="auto"/>
        </w:rPr>
        <w:t>【较重】</w:t>
      </w:r>
    </w:p>
    <w:p>
      <w:pPr>
        <w:pStyle w:val="4"/>
        <w:spacing w:before="194" w:line="388" w:lineRule="auto"/>
        <w:ind w:right="268" w:firstLine="480"/>
        <w:jc w:val="both"/>
        <w:rPr>
          <w:color w:val="auto"/>
        </w:rPr>
      </w:pPr>
      <w:r>
        <w:rPr>
          <w:color w:val="auto"/>
          <w:spacing w:val="-4"/>
        </w:rPr>
        <w:t>广告费用五万元以上十万元以下的，对广告主处以三十万元以上五十万元以下的</w:t>
      </w:r>
      <w:r>
        <w:rPr>
          <w:color w:val="auto"/>
          <w:spacing w:val="-6"/>
        </w:rPr>
        <w:t>罚款，对广告经营者、广告发布者没收广告费用，处以三十万元以上五十万元以下罚</w:t>
      </w:r>
      <w:r>
        <w:rPr>
          <w:color w:val="auto"/>
        </w:rPr>
        <w:t>款。</w:t>
      </w:r>
    </w:p>
    <w:p>
      <w:pPr>
        <w:pStyle w:val="4"/>
        <w:spacing w:before="5"/>
        <w:ind w:left="591"/>
        <w:rPr>
          <w:color w:val="auto"/>
        </w:rPr>
      </w:pPr>
      <w:r>
        <w:rPr>
          <w:color w:val="auto"/>
        </w:rPr>
        <w:t>【严重】</w:t>
      </w:r>
    </w:p>
    <w:p>
      <w:pPr>
        <w:pStyle w:val="4"/>
        <w:spacing w:before="192" w:line="388" w:lineRule="auto"/>
        <w:ind w:right="213" w:firstLine="480"/>
        <w:rPr>
          <w:color w:val="auto"/>
        </w:rPr>
      </w:pPr>
      <w:r>
        <w:rPr>
          <w:color w:val="auto"/>
        </w:rPr>
        <w:t>广告费用十万元以上二十万元以下的，对广告主处以五十万元以上七十万元以下的罚款；对广告经营者、广告发布者没收广告费用，处以五十万元以上七十万元以下</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的罚款。</w:t>
      </w:r>
    </w:p>
    <w:p>
      <w:pPr>
        <w:pStyle w:val="4"/>
        <w:spacing w:before="195"/>
        <w:ind w:left="591"/>
        <w:rPr>
          <w:color w:val="auto"/>
        </w:rPr>
      </w:pPr>
      <w:r>
        <w:rPr>
          <w:color w:val="auto"/>
        </w:rPr>
        <w:t>【特别严重】</w:t>
      </w:r>
    </w:p>
    <w:p>
      <w:pPr>
        <w:pStyle w:val="4"/>
        <w:spacing w:before="191" w:line="391" w:lineRule="auto"/>
        <w:ind w:right="232" w:firstLine="480"/>
        <w:jc w:val="both"/>
        <w:rPr>
          <w:color w:val="auto"/>
        </w:rPr>
      </w:pPr>
      <w:r>
        <w:rPr>
          <w:color w:val="auto"/>
        </w:rPr>
        <w:t>广告费用二十万元以上的，或者造成严重人身、财产损失或者其他严重后果的， 或者造成严重不良社会影响的，对广告主处以七十万元以上一百万元以下的罚款；对广告经营者、广告发布者没收广告费用，处以七十万元以上一百万元以下的罚款。</w:t>
      </w:r>
    </w:p>
    <w:p>
      <w:pPr>
        <w:pStyle w:val="4"/>
        <w:spacing w:line="304" w:lineRule="exact"/>
        <w:ind w:left="591"/>
        <w:rPr>
          <w:color w:val="auto"/>
        </w:rPr>
      </w:pPr>
      <w:r>
        <w:rPr>
          <w:color w:val="auto"/>
        </w:rPr>
        <w:t>2、吊销营业执照</w:t>
      </w:r>
      <w:r>
        <w:rPr>
          <w:color w:val="auto"/>
        </w:rPr>
        <w:t>、吊销广告发布登记证件</w:t>
      </w:r>
    </w:p>
    <w:p>
      <w:pPr>
        <w:pStyle w:val="13"/>
        <w:numPr>
          <w:ilvl w:val="0"/>
          <w:numId w:val="136"/>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36"/>
        </w:numPr>
        <w:tabs>
          <w:tab w:val="left" w:pos="1193"/>
        </w:tabs>
        <w:spacing w:before="194" w:after="0" w:line="240" w:lineRule="auto"/>
        <w:ind w:left="1192" w:right="0" w:hanging="602"/>
        <w:jc w:val="left"/>
        <w:rPr>
          <w:color w:val="auto"/>
          <w:sz w:val="24"/>
        </w:rPr>
      </w:pPr>
      <w:r>
        <w:rPr>
          <w:color w:val="auto"/>
          <w:sz w:val="24"/>
        </w:rPr>
        <w:t>造成严重不良社会影响的。</w:t>
      </w:r>
    </w:p>
    <w:p>
      <w:pPr>
        <w:pStyle w:val="2"/>
        <w:spacing w:before="192"/>
        <w:rPr>
          <w:color w:val="auto"/>
        </w:rPr>
      </w:pPr>
      <w:bookmarkStart w:id="441" w:name="二百一十四、违法发布医疗、药品、医疗器械广告"/>
      <w:bookmarkEnd w:id="441"/>
      <w:bookmarkStart w:id="442" w:name="_bookmark220"/>
      <w:bookmarkEnd w:id="442"/>
      <w:r>
        <w:rPr>
          <w:color w:val="auto"/>
        </w:rPr>
        <w:t>二百一十四、违法发布医疗、药品、医疗器械广告</w:t>
      </w:r>
    </w:p>
    <w:p>
      <w:pPr>
        <w:spacing w:before="191"/>
        <w:ind w:left="591" w:right="0" w:firstLine="0"/>
        <w:jc w:val="left"/>
        <w:rPr>
          <w:b/>
          <w:color w:val="auto"/>
          <w:sz w:val="24"/>
        </w:rPr>
      </w:pPr>
      <w:r>
        <w:rPr>
          <w:b/>
          <w:color w:val="auto"/>
          <w:sz w:val="24"/>
        </w:rPr>
        <w:t>（一）处罚依据</w:t>
      </w:r>
    </w:p>
    <w:p>
      <w:pPr>
        <w:pStyle w:val="4"/>
        <w:spacing w:before="195" w:line="388"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before="11"/>
        <w:ind w:left="591"/>
        <w:jc w:val="both"/>
        <w:rPr>
          <w:color w:val="auto"/>
        </w:rPr>
      </w:pPr>
      <w:r>
        <w:rPr>
          <w:color w:val="auto"/>
        </w:rPr>
        <w:t>（一）违反本法第十六条 规定发布医疗、药品、医疗器械广告的；</w:t>
      </w:r>
    </w:p>
    <w:p>
      <w:pPr>
        <w:pStyle w:val="4"/>
        <w:spacing w:before="191" w:line="391"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line="388" w:lineRule="auto"/>
        <w:ind w:right="268" w:firstLine="480"/>
        <w:rPr>
          <w:color w:val="auto"/>
        </w:rPr>
      </w:pPr>
      <w:r>
        <w:rPr>
          <w:color w:val="auto"/>
        </w:rPr>
        <w:t>2</w:t>
      </w:r>
      <w:r>
        <w:rPr>
          <w:color w:val="auto"/>
          <w:spacing w:val="-14"/>
        </w:rPr>
        <w:t>、《中华人民共和国广告法》第十六条医疗、药品、医疗器械广告不得含有下列</w:t>
      </w:r>
      <w:r>
        <w:rPr>
          <w:color w:val="auto"/>
        </w:rPr>
        <w:t>内容：</w:t>
      </w:r>
    </w:p>
    <w:p>
      <w:pPr>
        <w:pStyle w:val="4"/>
        <w:ind w:left="591"/>
        <w:rPr>
          <w:color w:val="auto"/>
        </w:rPr>
      </w:pPr>
      <w:r>
        <w:rPr>
          <w:color w:val="auto"/>
        </w:rPr>
        <w:t>（一）表示功效、安全性的断言或者保证；</w:t>
      </w:r>
    </w:p>
    <w:p>
      <w:pPr>
        <w:pStyle w:val="4"/>
        <w:spacing w:before="189"/>
        <w:ind w:left="591"/>
        <w:rPr>
          <w:color w:val="auto"/>
        </w:rPr>
      </w:pPr>
      <w:r>
        <w:rPr>
          <w:color w:val="auto"/>
        </w:rPr>
        <w:t>（二）说明治愈率或者有效率；</w:t>
      </w:r>
    </w:p>
    <w:p>
      <w:pPr>
        <w:pStyle w:val="4"/>
        <w:spacing w:before="192"/>
        <w:ind w:left="591"/>
        <w:rPr>
          <w:color w:val="auto"/>
        </w:rPr>
      </w:pPr>
      <w:r>
        <w:rPr>
          <w:color w:val="auto"/>
        </w:rPr>
        <w:t>（三）与其他药品、医疗器械的功效和安全性或者其他医疗机构比较；</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（四）利用广告代言人作推荐、证明；</w:t>
      </w:r>
    </w:p>
    <w:p>
      <w:pPr>
        <w:pStyle w:val="4"/>
        <w:spacing w:before="195"/>
        <w:ind w:left="591"/>
        <w:rPr>
          <w:color w:val="auto"/>
        </w:rPr>
      </w:pPr>
      <w:r>
        <w:rPr>
          <w:color w:val="auto"/>
        </w:rPr>
        <w:t>（五）法律、行政法规规定禁止的其他内容。</w:t>
      </w:r>
    </w:p>
    <w:p>
      <w:pPr>
        <w:pStyle w:val="4"/>
        <w:spacing w:before="191" w:line="391" w:lineRule="auto"/>
        <w:ind w:right="232" w:firstLine="480"/>
        <w:jc w:val="right"/>
        <w:rPr>
          <w:color w:val="auto"/>
        </w:rPr>
      </w:pPr>
      <w:r>
        <w:rPr>
          <w:color w:val="auto"/>
          <w:spacing w:val="-2"/>
        </w:rPr>
        <w:t>药品广告的内容不得与国务院药品监督管理部门批准的说明书不一致，并应当显</w:t>
      </w:r>
      <w:r>
        <w:rPr>
          <w:color w:val="auto"/>
          <w:spacing w:val="-6"/>
        </w:rPr>
        <w:t>著标明禁忌、不良反应。处方药广告应当显著标明“本广告仅供医学药学专业人士阅</w:t>
      </w:r>
      <w:r>
        <w:rPr>
          <w:color w:val="auto"/>
          <w:spacing w:val="-16"/>
        </w:rPr>
        <w:t>读”，非处方药广告应当显著标明“请按药品说明书或者在药师指导下购买和使用”。</w:t>
      </w:r>
      <w:r>
        <w:rPr>
          <w:color w:val="auto"/>
          <w:spacing w:val="-3"/>
        </w:rPr>
        <w:t>推荐给个人自用的医疗器械的广告，应当显著标明“请仔细阅读产品说明书或者</w:t>
      </w:r>
    </w:p>
    <w:p>
      <w:pPr>
        <w:pStyle w:val="4"/>
        <w:spacing w:line="391" w:lineRule="auto"/>
        <w:ind w:right="271"/>
        <w:rPr>
          <w:color w:val="auto"/>
        </w:rPr>
      </w:pPr>
      <w:r>
        <w:rPr>
          <w:color w:val="auto"/>
          <w:spacing w:val="-8"/>
        </w:rPr>
        <w:t>在医务人员的指导下购买和使用”。医疗器械产品注册证明文件中有禁忌内容、注意</w:t>
      </w:r>
      <w:r>
        <w:rPr>
          <w:color w:val="auto"/>
          <w:spacing w:val="-12"/>
        </w:rPr>
        <w:t>事项的，广告中应当显著标明“禁忌内容或者注意事项详见说明书”。</w:t>
      </w:r>
    </w:p>
    <w:p>
      <w:pPr>
        <w:spacing w:before="0" w:line="388" w:lineRule="auto"/>
        <w:ind w:left="591" w:right="6948" w:firstLine="0"/>
        <w:jc w:val="left"/>
        <w:rPr>
          <w:color w:val="auto"/>
          <w:sz w:val="24"/>
        </w:rPr>
      </w:pPr>
      <w:r>
        <w:rPr>
          <w:b/>
          <w:color w:val="auto"/>
          <w:sz w:val="24"/>
        </w:rPr>
        <w:t>（二）裁量标准</w:t>
      </w:r>
      <w:r>
        <w:rPr>
          <w:color w:val="auto"/>
          <w:sz w:val="24"/>
        </w:rPr>
        <w:t>1、罚款</w:t>
      </w:r>
    </w:p>
    <w:p>
      <w:pPr>
        <w:pStyle w:val="4"/>
        <w:ind w:left="591"/>
        <w:rPr>
          <w:color w:val="auto"/>
        </w:rPr>
      </w:pPr>
      <w:r>
        <w:rPr>
          <w:color w:val="auto"/>
        </w:rPr>
        <w:t>【较轻】</w:t>
      </w:r>
    </w:p>
    <w:p>
      <w:pPr>
        <w:pStyle w:val="4"/>
        <w:spacing w:before="189"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5" w:line="388" w:lineRule="auto"/>
        <w:ind w:right="213" w:firstLine="480"/>
        <w:rPr>
          <w:color w:val="auto"/>
        </w:rPr>
      </w:pPr>
      <w:r>
        <w:rPr>
          <w:color w:val="auto"/>
        </w:rPr>
        <w:t>存在一种情形且广告费用无法计算或者明显偏低的，对广告主、广告经营者、广告发布者处以十万元的罚款。</w:t>
      </w:r>
    </w:p>
    <w:p>
      <w:pPr>
        <w:pStyle w:val="4"/>
        <w:spacing w:before="2"/>
        <w:ind w:left="591"/>
        <w:rPr>
          <w:color w:val="auto"/>
        </w:rPr>
      </w:pPr>
      <w:r>
        <w:rPr>
          <w:color w:val="auto"/>
        </w:rPr>
        <w:t>【一般】</w:t>
      </w:r>
    </w:p>
    <w:p>
      <w:pPr>
        <w:pStyle w:val="4"/>
        <w:spacing w:before="194" w:line="388"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before="5" w:line="388" w:lineRule="auto"/>
        <w:ind w:right="148" w:firstLine="480"/>
        <w:rPr>
          <w:color w:val="auto"/>
        </w:rPr>
      </w:pPr>
      <w:r>
        <w:rPr>
          <w:color w:val="auto"/>
          <w:spacing w:val="-8"/>
        </w:rPr>
        <w:t>存在二至三种情形且广告费用无法计算或者明显偏低的，对广告主、广告经营者、</w:t>
      </w:r>
      <w:r>
        <w:rPr>
          <w:color w:val="auto"/>
        </w:rPr>
        <w:t>广告发布者处以十万元以上二十万元以下的罚款。</w:t>
      </w:r>
    </w:p>
    <w:p>
      <w:pPr>
        <w:pStyle w:val="4"/>
        <w:spacing w:before="3"/>
        <w:ind w:left="591"/>
        <w:rPr>
          <w:color w:val="auto"/>
        </w:rPr>
      </w:pPr>
      <w:r>
        <w:rPr>
          <w:color w:val="auto"/>
        </w:rPr>
        <w:t>【较重】</w:t>
      </w:r>
    </w:p>
    <w:p>
      <w:pPr>
        <w:pStyle w:val="4"/>
        <w:spacing w:before="194" w:line="388"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before="5" w:line="388" w:lineRule="auto"/>
        <w:ind w:right="148" w:firstLine="480"/>
        <w:rPr>
          <w:color w:val="auto"/>
        </w:rPr>
      </w:pPr>
      <w:r>
        <w:rPr>
          <w:color w:val="auto"/>
          <w:spacing w:val="-8"/>
        </w:rPr>
        <w:t>存在四种以上情形且广告费用无法计算或者明显偏低的，对广告主、广告经营者、</w:t>
      </w:r>
      <w:r>
        <w:rPr>
          <w:color w:val="auto"/>
        </w:rPr>
        <w:t>广告发布者处以二十万元以上五十万元以下的罚款。</w:t>
      </w:r>
    </w:p>
    <w:p>
      <w:pPr>
        <w:pStyle w:val="4"/>
        <w:spacing w:before="2"/>
        <w:ind w:left="591"/>
        <w:rPr>
          <w:color w:val="auto"/>
        </w:rPr>
      </w:pPr>
      <w:r>
        <w:rPr>
          <w:color w:val="auto"/>
        </w:rPr>
        <w:t>【严重】</w:t>
      </w:r>
    </w:p>
    <w:p>
      <w:pPr>
        <w:spacing w:after="0"/>
        <w:rPr>
          <w:color w:val="auto"/>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spacing w:val="-4"/>
        </w:rPr>
        <w:t>广告费用二十万元以上的，或者造成严重人身、财产损失或其他严重后果的，或者造成严重不良社会影响的，对广告主处广告费用四倍以上五倍以下的罚款；对广告</w:t>
      </w:r>
      <w:r>
        <w:rPr>
          <w:color w:val="auto"/>
        </w:rPr>
        <w:t>经营者、广告发布者没收广告费用，并处广告费用四倍以上五倍以下的罚款。</w:t>
      </w:r>
    </w:p>
    <w:p>
      <w:pPr>
        <w:pStyle w:val="4"/>
        <w:spacing w:line="391" w:lineRule="auto"/>
        <w:ind w:right="268" w:firstLine="480"/>
        <w:jc w:val="both"/>
        <w:rPr>
          <w:color w:val="auto"/>
        </w:rPr>
      </w:pPr>
      <w:r>
        <w:rPr>
          <w:color w:val="auto"/>
          <w:spacing w:val="-3"/>
        </w:rPr>
        <w:t>造成严重人身、财产损失或其他严重后果的，或者</w:t>
      </w:r>
      <w:r>
        <w:rPr>
          <w:color w:val="auto"/>
          <w:spacing w:val="-1"/>
        </w:rPr>
        <w:t>造成严重不良社会影响的，</w:t>
      </w:r>
      <w:r>
        <w:rPr>
          <w:color w:val="auto"/>
          <w:spacing w:val="-17"/>
        </w:rPr>
        <w:t>且</w:t>
      </w:r>
      <w:r>
        <w:rPr>
          <w:color w:val="auto"/>
          <w:spacing w:val="-4"/>
        </w:rPr>
        <w:t>广告费用无法计算或者明显偏低的，对广告主、广告经营者、广告发布者处以五十万</w:t>
      </w:r>
      <w:r>
        <w:rPr>
          <w:color w:val="auto"/>
        </w:rPr>
        <w:t>元以上一百万元以下的罚款。</w:t>
      </w:r>
    </w:p>
    <w:p>
      <w:pPr>
        <w:pStyle w:val="4"/>
        <w:spacing w:line="304" w:lineRule="exact"/>
        <w:ind w:left="591"/>
        <w:rPr>
          <w:color w:val="auto"/>
        </w:rPr>
      </w:pPr>
      <w:r>
        <w:rPr>
          <w:color w:val="auto"/>
        </w:rPr>
        <w:t>2、暂停广告发布业务</w:t>
      </w:r>
    </w:p>
    <w:p>
      <w:pPr>
        <w:pStyle w:val="13"/>
        <w:numPr>
          <w:ilvl w:val="0"/>
          <w:numId w:val="137"/>
        </w:numPr>
        <w:tabs>
          <w:tab w:val="left" w:pos="1193"/>
        </w:tabs>
        <w:spacing w:before="191" w:after="0" w:line="240" w:lineRule="auto"/>
        <w:ind w:left="1192" w:right="0" w:hanging="602"/>
        <w:jc w:val="left"/>
        <w:rPr>
          <w:color w:val="auto"/>
          <w:sz w:val="24"/>
        </w:rPr>
      </w:pPr>
      <w:r>
        <w:rPr>
          <w:color w:val="auto"/>
          <w:sz w:val="24"/>
        </w:rPr>
        <w:t>两年内发布三次以上的；</w:t>
      </w:r>
    </w:p>
    <w:p>
      <w:pPr>
        <w:pStyle w:val="13"/>
        <w:numPr>
          <w:ilvl w:val="0"/>
          <w:numId w:val="137"/>
        </w:numPr>
        <w:tabs>
          <w:tab w:val="left" w:pos="1193"/>
        </w:tabs>
        <w:spacing w:before="192" w:after="0" w:line="388"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w:t>
      </w:r>
      <w:r>
        <w:rPr>
          <w:color w:val="auto"/>
          <w:sz w:val="24"/>
        </w:rPr>
        <w:t>布登记证件</w:t>
      </w:r>
    </w:p>
    <w:p>
      <w:pPr>
        <w:pStyle w:val="13"/>
        <w:numPr>
          <w:ilvl w:val="0"/>
          <w:numId w:val="138"/>
        </w:numPr>
        <w:tabs>
          <w:tab w:val="left" w:pos="1193"/>
        </w:tabs>
        <w:spacing w:before="4" w:after="0" w:line="240" w:lineRule="auto"/>
        <w:ind w:left="1192" w:right="0" w:hanging="602"/>
        <w:jc w:val="left"/>
        <w:rPr>
          <w:color w:val="auto"/>
          <w:sz w:val="22"/>
        </w:rPr>
      </w:pPr>
      <w:r>
        <w:rPr>
          <w:color w:val="auto"/>
          <w:sz w:val="24"/>
        </w:rPr>
        <w:t>引发群体性事件，造成</w:t>
      </w:r>
      <w:r>
        <w:rPr>
          <w:color w:val="auto"/>
          <w:sz w:val="24"/>
        </w:rPr>
        <w:t>重大影响的；</w:t>
      </w:r>
    </w:p>
    <w:p>
      <w:pPr>
        <w:pStyle w:val="13"/>
        <w:numPr>
          <w:ilvl w:val="0"/>
          <w:numId w:val="138"/>
        </w:numPr>
        <w:tabs>
          <w:tab w:val="left" w:pos="1193"/>
        </w:tabs>
        <w:spacing w:before="192" w:after="0" w:line="240" w:lineRule="auto"/>
        <w:ind w:left="1192" w:right="0" w:hanging="602"/>
        <w:jc w:val="left"/>
        <w:rPr>
          <w:color w:val="auto"/>
          <w:sz w:val="22"/>
        </w:rPr>
      </w:pPr>
      <w:r>
        <w:rPr>
          <w:color w:val="auto"/>
          <w:sz w:val="24"/>
        </w:rPr>
        <w:t>造成严重人身、财产损失或者其他严重后果的；</w:t>
      </w:r>
    </w:p>
    <w:p>
      <w:pPr>
        <w:pStyle w:val="13"/>
        <w:numPr>
          <w:ilvl w:val="0"/>
          <w:numId w:val="138"/>
        </w:numPr>
        <w:tabs>
          <w:tab w:val="left" w:pos="1193"/>
        </w:tabs>
        <w:spacing w:before="192" w:after="0" w:line="240" w:lineRule="auto"/>
        <w:ind w:left="1192" w:right="0" w:hanging="602"/>
        <w:jc w:val="left"/>
        <w:rPr>
          <w:color w:val="auto"/>
          <w:sz w:val="22"/>
        </w:rPr>
      </w:pPr>
      <w:r>
        <w:rPr>
          <w:color w:val="auto"/>
          <w:sz w:val="24"/>
        </w:rPr>
        <w:t>造成严重不良社会影响的。</w:t>
      </w:r>
    </w:p>
    <w:p>
      <w:pPr>
        <w:pStyle w:val="2"/>
        <w:spacing w:before="194"/>
        <w:rPr>
          <w:color w:val="auto"/>
        </w:rPr>
      </w:pPr>
      <w:bookmarkStart w:id="443" w:name="二百一十五、非医疗、药品、医疗器械广告使用医药用语"/>
      <w:bookmarkEnd w:id="443"/>
      <w:bookmarkStart w:id="444" w:name="_bookmark221"/>
      <w:bookmarkEnd w:id="444"/>
      <w:r>
        <w:rPr>
          <w:color w:val="auto"/>
        </w:rPr>
        <w:t>二百一十五、非医疗、药品、医疗器械广告使用医药用语</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91" w:lineRule="auto"/>
        <w:ind w:right="213" w:firstLine="480"/>
        <w:rPr>
          <w:color w:val="auto"/>
        </w:rPr>
      </w:pPr>
      <w:r>
        <w:rPr>
          <w:color w:val="auto"/>
        </w:rPr>
        <w:t>（二）违反本法第十七条规定，在广告中涉及疾病治疗功能，以及使用医疗用语或者易使推销的商品与药品、医疗器械相混淆的用语的；</w:t>
      </w:r>
    </w:p>
    <w:p>
      <w:pPr>
        <w:pStyle w:val="4"/>
        <w:spacing w:line="391"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w:t>
      </w:r>
    </w:p>
    <w:p>
      <w:pPr>
        <w:spacing w:after="0" w:line="391" w:lineRule="auto"/>
        <w:rPr>
          <w:color w:val="auto"/>
        </w:rPr>
        <w:sectPr>
          <w:pgSz w:w="11910" w:h="16840"/>
          <w:pgMar w:top="1520" w:right="1260" w:bottom="1220" w:left="1420" w:header="0" w:footer="1034" w:gutter="0"/>
        </w:sectPr>
      </w:pPr>
    </w:p>
    <w:p>
      <w:pPr>
        <w:pStyle w:val="4"/>
        <w:spacing w:before="39"/>
        <w:rPr>
          <w:color w:val="auto"/>
        </w:rPr>
      </w:pPr>
      <w:r>
        <w:rPr>
          <w:color w:val="auto"/>
        </w:rPr>
        <w:t>业执照、吊销广告发布登记证件。</w:t>
      </w:r>
    </w:p>
    <w:p>
      <w:pPr>
        <w:pStyle w:val="4"/>
        <w:spacing w:before="195" w:line="388" w:lineRule="auto"/>
        <w:ind w:right="232" w:firstLine="480"/>
        <w:jc w:val="both"/>
        <w:rPr>
          <w:color w:val="auto"/>
        </w:rPr>
      </w:pPr>
      <w:r>
        <w:rPr>
          <w:color w:val="auto"/>
        </w:rPr>
        <w:t>2</w:t>
      </w:r>
      <w:r>
        <w:rPr>
          <w:color w:val="auto"/>
          <w:spacing w:val="-9"/>
        </w:rPr>
        <w:t>、《中华人民共和国广告法》第十七条 除医疗、药品、医疗器械广告外，禁止</w:t>
      </w:r>
      <w:r>
        <w:rPr>
          <w:color w:val="auto"/>
          <w:spacing w:val="-10"/>
        </w:rPr>
        <w:t>其他任何广告涉及疾病治疗功能，并不得使用医疗用语或者易使推销的商品与药品、</w:t>
      </w:r>
      <w:r>
        <w:rPr>
          <w:color w:val="auto"/>
        </w:rPr>
        <w:t>医疗器械相混淆的用语。</w:t>
      </w:r>
    </w:p>
    <w:p>
      <w:pPr>
        <w:spacing w:before="5"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2" w:line="391" w:lineRule="auto"/>
        <w:ind w:right="213" w:firstLine="480"/>
        <w:rPr>
          <w:color w:val="auto"/>
        </w:rPr>
      </w:pPr>
      <w:r>
        <w:rPr>
          <w:color w:val="auto"/>
        </w:rPr>
        <w:t>存在一种情形且广告费用无法计算或者明显偏低的，对广告主、广告经营者、广告发布者处以十万元的罚款。</w:t>
      </w:r>
    </w:p>
    <w:p>
      <w:pPr>
        <w:pStyle w:val="4"/>
        <w:spacing w:line="306" w:lineRule="exact"/>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line="391" w:lineRule="auto"/>
        <w:ind w:right="213" w:firstLine="480"/>
        <w:rPr>
          <w:color w:val="auto"/>
        </w:rPr>
      </w:pPr>
      <w:r>
        <w:rPr>
          <w:color w:val="auto"/>
        </w:rPr>
        <w:t>存在二种情形且广告费用无法计算或者明显偏低的，对广告主、广告经营者、广告发布者处以十万元以上二十万元以下的罚款。</w:t>
      </w:r>
    </w:p>
    <w:p>
      <w:pPr>
        <w:pStyle w:val="4"/>
        <w:spacing w:line="306" w:lineRule="exact"/>
        <w:ind w:left="591"/>
        <w:rPr>
          <w:color w:val="auto"/>
        </w:rPr>
      </w:pPr>
      <w:r>
        <w:rPr>
          <w:color w:val="auto"/>
        </w:rPr>
        <w:t>【较重】</w:t>
      </w:r>
    </w:p>
    <w:p>
      <w:pPr>
        <w:pStyle w:val="4"/>
        <w:spacing w:before="188" w:line="391"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line="391" w:lineRule="auto"/>
        <w:ind w:right="268" w:firstLine="480"/>
        <w:jc w:val="both"/>
        <w:rPr>
          <w:color w:val="auto"/>
        </w:rPr>
      </w:pPr>
      <w:r>
        <w:rPr>
          <w:color w:val="auto"/>
          <w:spacing w:val="-4"/>
        </w:rPr>
        <w:t>广告涉及疾病治疗功能，使用医疗用语且易使推销的商品与药品、医疗器械相混</w:t>
      </w:r>
      <w:r>
        <w:rPr>
          <w:color w:val="auto"/>
          <w:spacing w:val="-5"/>
        </w:rPr>
        <w:t>淆的用语的，对广告主、广告经营者、广告发布者处以二十万元以上五十万元以下的</w:t>
      </w:r>
      <w:r>
        <w:rPr>
          <w:color w:val="auto"/>
        </w:rPr>
        <w:t>罚款。</w:t>
      </w:r>
    </w:p>
    <w:p>
      <w:pPr>
        <w:spacing w:after="0" w:line="391" w:lineRule="auto"/>
        <w:jc w:val="both"/>
        <w:rPr>
          <w:color w:val="auto"/>
        </w:rPr>
        <w:sectPr>
          <w:footerReference r:id="rId29" w:type="default"/>
          <w:footerReference r:id="rId30" w:type="even"/>
          <w:pgSz w:w="11910" w:h="16840"/>
          <w:pgMar w:top="1520" w:right="1260" w:bottom="3220" w:left="1420" w:header="0" w:footer="3026" w:gutter="0"/>
          <w:pgNumType w:start="168"/>
        </w:sectPr>
      </w:pPr>
    </w:p>
    <w:p>
      <w:pPr>
        <w:pStyle w:val="4"/>
        <w:spacing w:before="39" w:line="391" w:lineRule="auto"/>
        <w:ind w:right="232" w:firstLine="480"/>
        <w:jc w:val="both"/>
        <w:rPr>
          <w:color w:val="auto"/>
        </w:rPr>
      </w:pPr>
      <w:r>
        <w:rPr>
          <w:color w:val="auto"/>
        </w:rPr>
        <w:t>造成严重人身、财产损失或者其他严重后果的，或者造成严重不良社会影响的， 且广告费用无法计算或者明显偏低的，对广告主、广告经营者、广告发布者处以五十万元以上一百万元以下的罚款。</w:t>
      </w:r>
    </w:p>
    <w:p>
      <w:pPr>
        <w:pStyle w:val="4"/>
        <w:spacing w:line="304" w:lineRule="exact"/>
        <w:ind w:left="591"/>
        <w:rPr>
          <w:color w:val="auto"/>
        </w:rPr>
      </w:pPr>
      <w:r>
        <w:rPr>
          <w:color w:val="auto"/>
        </w:rPr>
        <w:t>2、暂停广告发布业务</w:t>
      </w:r>
    </w:p>
    <w:p>
      <w:pPr>
        <w:pStyle w:val="13"/>
        <w:numPr>
          <w:ilvl w:val="0"/>
          <w:numId w:val="139"/>
        </w:numPr>
        <w:tabs>
          <w:tab w:val="left" w:pos="1193"/>
        </w:tabs>
        <w:spacing w:before="195" w:after="0" w:line="240" w:lineRule="auto"/>
        <w:ind w:left="1192" w:right="0" w:hanging="602"/>
        <w:jc w:val="left"/>
        <w:rPr>
          <w:color w:val="auto"/>
          <w:sz w:val="24"/>
        </w:rPr>
      </w:pPr>
      <w:r>
        <w:rPr>
          <w:color w:val="auto"/>
          <w:sz w:val="24"/>
        </w:rPr>
        <w:t>两年内发布三次以上的；</w:t>
      </w:r>
    </w:p>
    <w:p>
      <w:pPr>
        <w:pStyle w:val="13"/>
        <w:numPr>
          <w:ilvl w:val="0"/>
          <w:numId w:val="139"/>
        </w:numPr>
        <w:tabs>
          <w:tab w:val="left" w:pos="1193"/>
        </w:tabs>
        <w:spacing w:before="191" w:after="0" w:line="388"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40"/>
        </w:numPr>
        <w:tabs>
          <w:tab w:val="left" w:pos="1193"/>
        </w:tabs>
        <w:spacing w:before="5" w:after="0" w:line="240" w:lineRule="auto"/>
        <w:ind w:left="1192" w:right="0" w:hanging="602"/>
        <w:jc w:val="left"/>
        <w:rPr>
          <w:color w:val="auto"/>
          <w:sz w:val="24"/>
        </w:rPr>
      </w:pPr>
      <w:r>
        <w:rPr>
          <w:color w:val="auto"/>
          <w:sz w:val="24"/>
        </w:rPr>
        <w:t>引发群体性事件，造成重大影响的；</w:t>
      </w:r>
    </w:p>
    <w:p>
      <w:pPr>
        <w:pStyle w:val="13"/>
        <w:numPr>
          <w:ilvl w:val="0"/>
          <w:numId w:val="140"/>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40"/>
        </w:numPr>
        <w:tabs>
          <w:tab w:val="left" w:pos="1193"/>
        </w:tabs>
        <w:spacing w:before="191" w:after="0" w:line="240" w:lineRule="auto"/>
        <w:ind w:left="1192" w:right="0" w:hanging="602"/>
        <w:jc w:val="left"/>
        <w:rPr>
          <w:color w:val="auto"/>
          <w:sz w:val="24"/>
        </w:rPr>
      </w:pPr>
      <w:r>
        <w:rPr>
          <w:color w:val="auto"/>
          <w:sz w:val="24"/>
        </w:rPr>
        <w:t>造成严重不良社会影响的。</w:t>
      </w:r>
    </w:p>
    <w:p>
      <w:pPr>
        <w:pStyle w:val="2"/>
        <w:spacing w:before="194"/>
        <w:rPr>
          <w:color w:val="auto"/>
        </w:rPr>
      </w:pPr>
      <w:bookmarkStart w:id="445" w:name="二百一十六、违法发布保健食品广告"/>
      <w:bookmarkEnd w:id="445"/>
      <w:bookmarkStart w:id="446" w:name="_bookmark222"/>
      <w:bookmarkEnd w:id="446"/>
      <w:r>
        <w:rPr>
          <w:color w:val="auto"/>
        </w:rPr>
        <w:t>二百一十六、违法发布保健食品广告</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00" w:lineRule="exact"/>
        <w:ind w:left="591"/>
        <w:rPr>
          <w:color w:val="auto"/>
        </w:rPr>
      </w:pPr>
      <w:r>
        <w:rPr>
          <w:color w:val="auto"/>
        </w:rPr>
        <w:t>（三）违反本法第十八条规定发布保健食品广告的；</w:t>
      </w:r>
    </w:p>
    <w:p>
      <w:pPr>
        <w:pStyle w:val="4"/>
        <w:spacing w:before="194" w:line="388"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before="11"/>
        <w:ind w:left="591"/>
        <w:rPr>
          <w:color w:val="auto"/>
        </w:rPr>
      </w:pPr>
      <w:r>
        <w:rPr>
          <w:color w:val="auto"/>
        </w:rPr>
        <w:t>2、《中华人民共和国广告法》第十八条 保健食品广告不得含有下列内容：</w:t>
      </w:r>
    </w:p>
    <w:p>
      <w:pPr>
        <w:pStyle w:val="4"/>
        <w:spacing w:before="192"/>
        <w:ind w:left="591"/>
        <w:rPr>
          <w:color w:val="auto"/>
        </w:rPr>
      </w:pPr>
      <w:r>
        <w:rPr>
          <w:color w:val="auto"/>
        </w:rPr>
        <w:t>（一）表示功效、安全性的断言或者保证；</w:t>
      </w:r>
    </w:p>
    <w:p>
      <w:pPr>
        <w:pStyle w:val="4"/>
        <w:spacing w:before="191"/>
        <w:ind w:left="591"/>
        <w:rPr>
          <w:color w:val="auto"/>
        </w:rPr>
      </w:pPr>
      <w:r>
        <w:rPr>
          <w:color w:val="auto"/>
        </w:rPr>
        <w:t>（二）涉及疾病预防、治疗功能；</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（三）声称或者暗示广告商品为保障健康所必需；</w:t>
      </w:r>
    </w:p>
    <w:p>
      <w:pPr>
        <w:pStyle w:val="4"/>
        <w:spacing w:before="195"/>
        <w:ind w:left="591"/>
        <w:rPr>
          <w:color w:val="auto"/>
        </w:rPr>
      </w:pPr>
      <w:r>
        <w:rPr>
          <w:color w:val="auto"/>
        </w:rPr>
        <w:t>（四）与药品、其他保健食品进行比较；</w:t>
      </w:r>
    </w:p>
    <w:p>
      <w:pPr>
        <w:pStyle w:val="4"/>
        <w:spacing w:before="191"/>
        <w:ind w:left="591"/>
        <w:rPr>
          <w:color w:val="auto"/>
        </w:rPr>
      </w:pPr>
      <w:r>
        <w:rPr>
          <w:color w:val="auto"/>
        </w:rPr>
        <w:t>（五）利用广告代言人作推荐、证明；</w:t>
      </w:r>
    </w:p>
    <w:p>
      <w:pPr>
        <w:pStyle w:val="4"/>
        <w:spacing w:before="192"/>
        <w:ind w:left="591"/>
        <w:rPr>
          <w:color w:val="auto"/>
        </w:rPr>
      </w:pPr>
      <w:r>
        <w:rPr>
          <w:color w:val="auto"/>
        </w:rPr>
        <w:t>（六）法律、行政法规规定禁止的其他内容。</w:t>
      </w:r>
    </w:p>
    <w:p>
      <w:pPr>
        <w:pStyle w:val="4"/>
        <w:spacing w:before="194"/>
        <w:ind w:left="591"/>
        <w:rPr>
          <w:color w:val="auto"/>
        </w:rPr>
      </w:pPr>
      <w:r>
        <w:rPr>
          <w:color w:val="auto"/>
        </w:rPr>
        <w:t>保健食品广告应当显著标明“本品不能代替药物”。</w:t>
      </w:r>
    </w:p>
    <w:p>
      <w:pPr>
        <w:spacing w:before="192" w:line="388" w:lineRule="auto"/>
        <w:ind w:left="591" w:right="6948" w:firstLine="0"/>
        <w:jc w:val="left"/>
        <w:rPr>
          <w:color w:val="auto"/>
          <w:sz w:val="24"/>
        </w:rPr>
      </w:pPr>
      <w:r>
        <w:rPr>
          <w:b/>
          <w:color w:val="auto"/>
          <w:sz w:val="24"/>
        </w:rPr>
        <w:t>（二）裁量标准</w:t>
      </w:r>
      <w:r>
        <w:rPr>
          <w:color w:val="auto"/>
          <w:sz w:val="24"/>
        </w:rPr>
        <w:t>1、罚款</w:t>
      </w:r>
    </w:p>
    <w:p>
      <w:pPr>
        <w:pStyle w:val="4"/>
        <w:spacing w:before="4"/>
        <w:ind w:left="591"/>
        <w:rPr>
          <w:color w:val="auto"/>
        </w:rPr>
      </w:pPr>
      <w:r>
        <w:rPr>
          <w:color w:val="auto"/>
        </w:rPr>
        <w:t>【较轻】</w:t>
      </w:r>
    </w:p>
    <w:p>
      <w:pPr>
        <w:pStyle w:val="4"/>
        <w:spacing w:before="192"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5" w:line="388" w:lineRule="auto"/>
        <w:ind w:right="213" w:firstLine="480"/>
        <w:rPr>
          <w:color w:val="auto"/>
        </w:rPr>
      </w:pPr>
      <w:r>
        <w:rPr>
          <w:color w:val="auto"/>
        </w:rPr>
        <w:t>存在一种情形且广告费用无法计算或者明显偏低的，对广告主、广告经营者、广告发布者处以十万元的罚款。</w:t>
      </w:r>
    </w:p>
    <w:p>
      <w:pPr>
        <w:pStyle w:val="4"/>
        <w:spacing w:before="2"/>
        <w:ind w:left="591"/>
        <w:rPr>
          <w:color w:val="auto"/>
        </w:rPr>
      </w:pPr>
      <w:r>
        <w:rPr>
          <w:color w:val="auto"/>
        </w:rPr>
        <w:t>【一般】</w:t>
      </w:r>
    </w:p>
    <w:p>
      <w:pPr>
        <w:pStyle w:val="4"/>
        <w:spacing w:before="194" w:line="388"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before="5" w:line="388" w:lineRule="auto"/>
        <w:ind w:right="148" w:firstLine="480"/>
        <w:rPr>
          <w:color w:val="auto"/>
        </w:rPr>
      </w:pPr>
      <w:r>
        <w:rPr>
          <w:color w:val="auto"/>
          <w:spacing w:val="-8"/>
        </w:rPr>
        <w:t>存在二至三种情形且广告费用无法计算或者明显偏低的，对广告主、广告经营者、</w:t>
      </w:r>
      <w:r>
        <w:rPr>
          <w:color w:val="auto"/>
        </w:rPr>
        <w:t>广告发布者处以十万元以上二十万元以下的罚款。</w:t>
      </w:r>
    </w:p>
    <w:p>
      <w:pPr>
        <w:pStyle w:val="4"/>
        <w:spacing w:before="2"/>
        <w:ind w:left="591"/>
        <w:rPr>
          <w:color w:val="auto"/>
        </w:rPr>
      </w:pPr>
      <w:r>
        <w:rPr>
          <w:color w:val="auto"/>
        </w:rPr>
        <w:t>【较重】</w:t>
      </w:r>
    </w:p>
    <w:p>
      <w:pPr>
        <w:pStyle w:val="4"/>
        <w:spacing w:before="194" w:line="388"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before="6" w:line="388" w:lineRule="auto"/>
        <w:ind w:right="148" w:firstLine="480"/>
        <w:rPr>
          <w:color w:val="auto"/>
        </w:rPr>
      </w:pPr>
      <w:r>
        <w:rPr>
          <w:color w:val="auto"/>
          <w:spacing w:val="-8"/>
        </w:rPr>
        <w:t>存在四种以上情形且广告费用无法计算或者明显偏低的，对广告主、广告经营者、</w:t>
      </w:r>
      <w:r>
        <w:rPr>
          <w:color w:val="auto"/>
        </w:rPr>
        <w:t>广告发布者处以二十万元以上五十万元以下的罚款。</w:t>
      </w:r>
    </w:p>
    <w:p>
      <w:pPr>
        <w:spacing w:after="0" w:line="388" w:lineRule="auto"/>
        <w:rPr>
          <w:color w:val="auto"/>
        </w:rPr>
        <w:sectPr>
          <w:footerReference r:id="rId31" w:type="default"/>
          <w:footerReference r:id="rId32" w:type="even"/>
          <w:pgSz w:w="11910" w:h="16840"/>
          <w:pgMar w:top="1520" w:right="1260" w:bottom="3220" w:left="1420" w:header="0" w:footer="3026" w:gutter="0"/>
          <w:pgNumType w:start="170"/>
        </w:sectPr>
      </w:pPr>
    </w:p>
    <w:p>
      <w:pPr>
        <w:pStyle w:val="4"/>
        <w:spacing w:before="39" w:line="391" w:lineRule="auto"/>
        <w:ind w:right="232" w:firstLine="480"/>
        <w:jc w:val="both"/>
        <w:rPr>
          <w:color w:val="auto"/>
        </w:rPr>
      </w:pPr>
      <w:r>
        <w:rPr>
          <w:color w:val="auto"/>
        </w:rPr>
        <w:t>造成严重人身、财产损失或者其他严重后果的，或者造成严重不良社会影响的， 且广告费用无法计算或者明显偏低的，对广告主、广告经营者、广告发布者处以五十万元以上一百万元以下的罚款。</w:t>
      </w:r>
    </w:p>
    <w:p>
      <w:pPr>
        <w:pStyle w:val="4"/>
        <w:spacing w:line="304" w:lineRule="exact"/>
        <w:ind w:left="591"/>
        <w:rPr>
          <w:color w:val="auto"/>
        </w:rPr>
      </w:pPr>
      <w:r>
        <w:rPr>
          <w:color w:val="auto"/>
        </w:rPr>
        <w:t>2、暂停广告发布业务</w:t>
      </w:r>
    </w:p>
    <w:p>
      <w:pPr>
        <w:pStyle w:val="13"/>
        <w:numPr>
          <w:ilvl w:val="0"/>
          <w:numId w:val="141"/>
        </w:numPr>
        <w:tabs>
          <w:tab w:val="left" w:pos="1193"/>
        </w:tabs>
        <w:spacing w:before="195" w:after="0" w:line="240" w:lineRule="auto"/>
        <w:ind w:left="1192" w:right="0" w:hanging="602"/>
        <w:jc w:val="left"/>
        <w:rPr>
          <w:color w:val="auto"/>
          <w:sz w:val="24"/>
        </w:rPr>
      </w:pPr>
      <w:r>
        <w:rPr>
          <w:color w:val="auto"/>
          <w:sz w:val="24"/>
        </w:rPr>
        <w:t>两年内发布三次以上的；</w:t>
      </w:r>
    </w:p>
    <w:p>
      <w:pPr>
        <w:pStyle w:val="13"/>
        <w:numPr>
          <w:ilvl w:val="0"/>
          <w:numId w:val="141"/>
        </w:numPr>
        <w:tabs>
          <w:tab w:val="left" w:pos="1193"/>
        </w:tabs>
        <w:spacing w:before="191" w:after="0" w:line="388"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42"/>
        </w:numPr>
        <w:tabs>
          <w:tab w:val="left" w:pos="1193"/>
        </w:tabs>
        <w:spacing w:before="5" w:after="0" w:line="240" w:lineRule="auto"/>
        <w:ind w:left="1192" w:right="0" w:hanging="602"/>
        <w:jc w:val="left"/>
        <w:rPr>
          <w:color w:val="auto"/>
          <w:sz w:val="24"/>
        </w:rPr>
      </w:pPr>
      <w:r>
        <w:rPr>
          <w:color w:val="auto"/>
          <w:sz w:val="24"/>
        </w:rPr>
        <w:t>引发群体性事件，造成重大影响的；</w:t>
      </w:r>
    </w:p>
    <w:p>
      <w:pPr>
        <w:pStyle w:val="13"/>
        <w:numPr>
          <w:ilvl w:val="0"/>
          <w:numId w:val="142"/>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42"/>
        </w:numPr>
        <w:tabs>
          <w:tab w:val="left" w:pos="1193"/>
        </w:tabs>
        <w:spacing w:before="191" w:after="0" w:line="240" w:lineRule="auto"/>
        <w:ind w:left="1192" w:right="0" w:hanging="602"/>
        <w:jc w:val="left"/>
        <w:rPr>
          <w:color w:val="auto"/>
          <w:sz w:val="24"/>
        </w:rPr>
      </w:pPr>
      <w:r>
        <w:rPr>
          <w:color w:val="auto"/>
          <w:sz w:val="24"/>
        </w:rPr>
        <w:t>造成严重不良社会影响的。</w:t>
      </w:r>
    </w:p>
    <w:p>
      <w:pPr>
        <w:pStyle w:val="2"/>
        <w:spacing w:before="194"/>
        <w:rPr>
          <w:color w:val="auto"/>
        </w:rPr>
      </w:pPr>
      <w:bookmarkStart w:id="447" w:name="_bookmark223"/>
      <w:bookmarkEnd w:id="447"/>
      <w:bookmarkStart w:id="448" w:name="二百一十七、违法发布农药、兽药、饲料和饲料添加剂广告"/>
      <w:bookmarkEnd w:id="448"/>
      <w:r>
        <w:rPr>
          <w:color w:val="auto"/>
        </w:rPr>
        <w:t>二百一十七、违法发布农药、兽药、饲料和饲料添加剂广告</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91" w:lineRule="auto"/>
        <w:ind w:left="591" w:right="148"/>
        <w:rPr>
          <w:color w:val="auto"/>
        </w:rPr>
      </w:pPr>
      <w:r>
        <w:rPr>
          <w:color w:val="auto"/>
        </w:rPr>
        <w:t xml:space="preserve">（四）违反本法第二十一条规定发布农药、兽药、饲料和饲料添加剂广告的； </w:t>
      </w:r>
      <w:r>
        <w:rPr>
          <w:color w:val="auto"/>
          <w:spacing w:val="-13"/>
        </w:rPr>
        <w:t>广告经营者、广告发布者明知或者应知有本条第一款规定违法行为仍设计、制作、</w:t>
      </w:r>
    </w:p>
    <w:p>
      <w:pPr>
        <w:pStyle w:val="4"/>
        <w:spacing w:line="391" w:lineRule="auto"/>
        <w:ind w:right="148"/>
        <w:rPr>
          <w:color w:val="auto"/>
        </w:rPr>
      </w:pP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line="388" w:lineRule="auto"/>
        <w:ind w:right="271" w:firstLine="480"/>
        <w:rPr>
          <w:color w:val="auto"/>
        </w:rPr>
      </w:pPr>
      <w:r>
        <w:rPr>
          <w:color w:val="auto"/>
        </w:rPr>
        <w:t>2</w:t>
      </w:r>
      <w:r>
        <w:rPr>
          <w:color w:val="auto"/>
          <w:spacing w:val="-9"/>
        </w:rPr>
        <w:t>、《中华人民共和国广告法》第二十一条 农药、兽药、饲料和饲料添加剂广告不得含有下列内容：</w:t>
      </w:r>
    </w:p>
    <w:p>
      <w:pPr>
        <w:pStyle w:val="4"/>
        <w:ind w:left="591"/>
        <w:rPr>
          <w:color w:val="auto"/>
        </w:rPr>
      </w:pPr>
      <w:r>
        <w:rPr>
          <w:color w:val="auto"/>
        </w:rPr>
        <w:t>（一）表示功效、安全性的断言或者保证；</w:t>
      </w:r>
    </w:p>
    <w:p>
      <w:pPr>
        <w:spacing w:after="0"/>
        <w:rPr>
          <w:color w:val="auto"/>
        </w:rPr>
        <w:sectPr>
          <w:pgSz w:w="11910" w:h="16840"/>
          <w:pgMar w:top="1520" w:right="1260" w:bottom="1220" w:left="1420" w:header="0" w:footer="1034" w:gutter="0"/>
        </w:sectPr>
      </w:pPr>
    </w:p>
    <w:p>
      <w:pPr>
        <w:pStyle w:val="4"/>
        <w:spacing w:before="39" w:line="391" w:lineRule="auto"/>
        <w:ind w:right="219" w:firstLine="480"/>
        <w:rPr>
          <w:color w:val="auto"/>
        </w:rPr>
      </w:pPr>
      <w:r>
        <w:rPr>
          <w:color w:val="auto"/>
        </w:rPr>
        <w:t>（二）利用科研单位、学术机构、技术推广机构、行业协会或者专业人士、用户的名义或者形象作推荐、证明；</w:t>
      </w:r>
    </w:p>
    <w:p>
      <w:pPr>
        <w:pStyle w:val="4"/>
        <w:spacing w:line="306" w:lineRule="exact"/>
        <w:ind w:left="591"/>
        <w:rPr>
          <w:color w:val="auto"/>
        </w:rPr>
      </w:pPr>
      <w:r>
        <w:rPr>
          <w:color w:val="auto"/>
        </w:rPr>
        <w:t>（三）说明有效率；</w:t>
      </w:r>
    </w:p>
    <w:p>
      <w:pPr>
        <w:pStyle w:val="4"/>
        <w:spacing w:before="192"/>
        <w:ind w:left="591"/>
        <w:rPr>
          <w:color w:val="auto"/>
        </w:rPr>
      </w:pPr>
      <w:r>
        <w:rPr>
          <w:color w:val="auto"/>
        </w:rPr>
        <w:t>（四）违反安全使用规程的文字、语言或者画面；</w:t>
      </w:r>
    </w:p>
    <w:p>
      <w:pPr>
        <w:pStyle w:val="4"/>
        <w:spacing w:before="194"/>
        <w:ind w:left="591"/>
        <w:rPr>
          <w:color w:val="auto"/>
        </w:rPr>
      </w:pPr>
      <w:r>
        <w:rPr>
          <w:color w:val="auto"/>
        </w:rPr>
        <w:t>（五）法律、行政法规规定禁止的其他内容。</w:t>
      </w:r>
    </w:p>
    <w:p>
      <w:pPr>
        <w:spacing w:before="192" w:line="388" w:lineRule="auto"/>
        <w:ind w:left="591" w:right="6948" w:firstLine="0"/>
        <w:jc w:val="left"/>
        <w:rPr>
          <w:color w:val="auto"/>
          <w:sz w:val="24"/>
        </w:rPr>
      </w:pPr>
      <w:r>
        <w:rPr>
          <w:b/>
          <w:color w:val="auto"/>
          <w:sz w:val="24"/>
        </w:rPr>
        <w:t>（二）裁量标准</w:t>
      </w:r>
      <w:r>
        <w:rPr>
          <w:color w:val="auto"/>
          <w:sz w:val="24"/>
        </w:rPr>
        <w:t>1、罚款</w:t>
      </w:r>
    </w:p>
    <w:p>
      <w:pPr>
        <w:pStyle w:val="4"/>
        <w:spacing w:before="4"/>
        <w:ind w:left="591"/>
        <w:rPr>
          <w:color w:val="auto"/>
        </w:rPr>
      </w:pPr>
      <w:r>
        <w:rPr>
          <w:color w:val="auto"/>
        </w:rPr>
        <w:t>【较轻】</w:t>
      </w:r>
    </w:p>
    <w:p>
      <w:pPr>
        <w:pStyle w:val="4"/>
        <w:spacing w:before="192"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5" w:line="388" w:lineRule="auto"/>
        <w:ind w:right="213" w:firstLine="480"/>
        <w:rPr>
          <w:color w:val="auto"/>
        </w:rPr>
      </w:pPr>
      <w:r>
        <w:rPr>
          <w:color w:val="auto"/>
        </w:rPr>
        <w:t>存在一种情形且广告费用无法计算或者明显偏低的，对广告主、广告经营者、广告发布者处以十万元的罚款。</w:t>
      </w:r>
    </w:p>
    <w:p>
      <w:pPr>
        <w:pStyle w:val="4"/>
        <w:spacing w:before="2"/>
        <w:ind w:left="591"/>
        <w:rPr>
          <w:color w:val="auto"/>
        </w:rPr>
      </w:pPr>
      <w:r>
        <w:rPr>
          <w:color w:val="auto"/>
        </w:rPr>
        <w:t>【一般】</w:t>
      </w:r>
    </w:p>
    <w:p>
      <w:pPr>
        <w:pStyle w:val="4"/>
        <w:spacing w:before="194" w:line="388"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before="5" w:line="388" w:lineRule="auto"/>
        <w:ind w:right="148" w:firstLine="480"/>
        <w:rPr>
          <w:color w:val="auto"/>
        </w:rPr>
      </w:pPr>
      <w:r>
        <w:rPr>
          <w:color w:val="auto"/>
          <w:spacing w:val="-8"/>
        </w:rPr>
        <w:t>存在二至三种情形且广告费用无法计算或者明显偏低的，对广告主、广告经营者、</w:t>
      </w:r>
      <w:r>
        <w:rPr>
          <w:color w:val="auto"/>
        </w:rPr>
        <w:t>广告发布者处以十万元以上二十万元以下的罚款。</w:t>
      </w:r>
    </w:p>
    <w:p>
      <w:pPr>
        <w:pStyle w:val="4"/>
        <w:spacing w:before="3"/>
        <w:ind w:left="591"/>
        <w:rPr>
          <w:color w:val="auto"/>
        </w:rPr>
      </w:pPr>
      <w:r>
        <w:rPr>
          <w:color w:val="auto"/>
        </w:rPr>
        <w:t>【较重】</w:t>
      </w:r>
    </w:p>
    <w:p>
      <w:pPr>
        <w:pStyle w:val="4"/>
        <w:spacing w:before="194" w:line="388"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before="5" w:line="388" w:lineRule="auto"/>
        <w:ind w:right="148" w:firstLine="480"/>
        <w:rPr>
          <w:color w:val="auto"/>
        </w:rPr>
      </w:pPr>
      <w:r>
        <w:rPr>
          <w:color w:val="auto"/>
          <w:spacing w:val="-8"/>
        </w:rPr>
        <w:t>存在四种以上情形且广告费用无法计算或者明显偏低的，对广告主、广告经营者、</w:t>
      </w:r>
      <w:r>
        <w:rPr>
          <w:color w:val="auto"/>
        </w:rPr>
        <w:t>广告发布者处以二十万元以上五十万元以下的罚款。</w:t>
      </w:r>
    </w:p>
    <w:p>
      <w:pPr>
        <w:pStyle w:val="4"/>
        <w:spacing w:before="2"/>
        <w:ind w:left="591"/>
        <w:rPr>
          <w:color w:val="auto"/>
        </w:rPr>
      </w:pPr>
      <w:r>
        <w:rPr>
          <w:color w:val="auto"/>
        </w:rPr>
        <w:t>【严重】</w:t>
      </w:r>
    </w:p>
    <w:p>
      <w:pPr>
        <w:pStyle w:val="4"/>
        <w:spacing w:before="194" w:line="388" w:lineRule="auto"/>
        <w:ind w:right="232" w:firstLine="480"/>
        <w:jc w:val="both"/>
        <w:rPr>
          <w:color w:val="auto"/>
        </w:rPr>
      </w:pPr>
      <w:r>
        <w:rPr>
          <w:color w:val="auto"/>
        </w:rPr>
        <w:t>广告费用二十万元以上的，或者造成严重人身、财产损失或者其他严重后果的， 或者造成严重不良社会影响的，对广告主处广告费用四倍以上五倍以下的罚款；对广告经营者、广告发布者没收广告费用，并处广告费用四倍以上五倍以下的罚款。</w:t>
      </w:r>
    </w:p>
    <w:p>
      <w:pPr>
        <w:spacing w:after="0" w:line="388" w:lineRule="auto"/>
        <w:jc w:val="both"/>
        <w:rPr>
          <w:color w:val="auto"/>
        </w:rPr>
        <w:sectPr>
          <w:footerReference r:id="rId33" w:type="default"/>
          <w:footerReference r:id="rId34" w:type="even"/>
          <w:pgSz w:w="11910" w:h="16840"/>
          <w:pgMar w:top="1520" w:right="1260" w:bottom="1220" w:left="1420" w:header="0" w:footer="1034" w:gutter="0"/>
          <w:pgNumType w:start="172"/>
        </w:sectPr>
      </w:pPr>
    </w:p>
    <w:p>
      <w:pPr>
        <w:pStyle w:val="4"/>
        <w:spacing w:before="39" w:line="391" w:lineRule="auto"/>
        <w:ind w:right="268" w:firstLine="480"/>
        <w:jc w:val="both"/>
        <w:rPr>
          <w:color w:val="auto"/>
        </w:rPr>
      </w:pPr>
      <w:r>
        <w:rPr>
          <w:color w:val="auto"/>
          <w:spacing w:val="-5"/>
        </w:rPr>
        <w:t>造成严重人身、财产损失或其他严重后果的，或者造成严重不良社会影响的，且</w:t>
      </w:r>
      <w:r>
        <w:rPr>
          <w:color w:val="auto"/>
          <w:spacing w:val="-4"/>
        </w:rPr>
        <w:t>广告费用无法计算或者明显偏低的，对广告主、广告经营者、广告发布者处以五十万</w:t>
      </w:r>
      <w:r>
        <w:rPr>
          <w:color w:val="auto"/>
        </w:rPr>
        <w:t>元以上一百万元以下的罚款。</w:t>
      </w:r>
    </w:p>
    <w:p>
      <w:pPr>
        <w:pStyle w:val="4"/>
        <w:spacing w:line="304" w:lineRule="exact"/>
        <w:ind w:left="591"/>
        <w:rPr>
          <w:color w:val="auto"/>
        </w:rPr>
      </w:pPr>
      <w:r>
        <w:rPr>
          <w:color w:val="auto"/>
        </w:rPr>
        <w:t>2、暂停广告发布业务</w:t>
      </w:r>
    </w:p>
    <w:p>
      <w:pPr>
        <w:pStyle w:val="13"/>
        <w:numPr>
          <w:ilvl w:val="0"/>
          <w:numId w:val="143"/>
        </w:numPr>
        <w:tabs>
          <w:tab w:val="left" w:pos="1193"/>
        </w:tabs>
        <w:spacing w:before="195" w:after="0" w:line="240" w:lineRule="auto"/>
        <w:ind w:left="1192" w:right="0" w:hanging="602"/>
        <w:jc w:val="left"/>
        <w:rPr>
          <w:color w:val="auto"/>
          <w:sz w:val="24"/>
        </w:rPr>
      </w:pPr>
      <w:r>
        <w:rPr>
          <w:color w:val="auto"/>
          <w:sz w:val="24"/>
        </w:rPr>
        <w:t>两年内发布三次以上的；</w:t>
      </w:r>
    </w:p>
    <w:p>
      <w:pPr>
        <w:pStyle w:val="13"/>
        <w:numPr>
          <w:ilvl w:val="0"/>
          <w:numId w:val="143"/>
        </w:numPr>
        <w:tabs>
          <w:tab w:val="left" w:pos="1193"/>
        </w:tabs>
        <w:spacing w:before="191" w:after="0" w:line="388"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44"/>
        </w:numPr>
        <w:tabs>
          <w:tab w:val="left" w:pos="1193"/>
        </w:tabs>
        <w:spacing w:before="5" w:after="0" w:line="240" w:lineRule="auto"/>
        <w:ind w:left="1192" w:right="0" w:hanging="602"/>
        <w:jc w:val="left"/>
        <w:rPr>
          <w:color w:val="auto"/>
          <w:sz w:val="24"/>
        </w:rPr>
      </w:pPr>
      <w:r>
        <w:rPr>
          <w:color w:val="auto"/>
          <w:sz w:val="24"/>
        </w:rPr>
        <w:t>引发群体性事件，造成重大影响的；</w:t>
      </w:r>
    </w:p>
    <w:p>
      <w:pPr>
        <w:pStyle w:val="13"/>
        <w:numPr>
          <w:ilvl w:val="0"/>
          <w:numId w:val="144"/>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44"/>
        </w:numPr>
        <w:tabs>
          <w:tab w:val="left" w:pos="1193"/>
        </w:tabs>
        <w:spacing w:before="191" w:after="0" w:line="391" w:lineRule="auto"/>
        <w:ind w:left="591" w:right="5152" w:firstLine="0"/>
        <w:jc w:val="left"/>
        <w:rPr>
          <w:b/>
          <w:color w:val="auto"/>
          <w:sz w:val="24"/>
        </w:rPr>
      </w:pPr>
      <w:r>
        <w:rPr>
          <w:color w:val="auto"/>
          <w:spacing w:val="-2"/>
          <w:sz w:val="24"/>
        </w:rPr>
        <w:t>造成严重不良社会影响的。</w:t>
      </w:r>
      <w:bookmarkStart w:id="449" w:name="_bookmark224"/>
      <w:bookmarkEnd w:id="449"/>
      <w:bookmarkStart w:id="450" w:name="二百一十八、违法发布酒类广告"/>
      <w:bookmarkEnd w:id="450"/>
      <w:r>
        <w:rPr>
          <w:b/>
          <w:color w:val="auto"/>
          <w:sz w:val="24"/>
        </w:rPr>
        <w:t>二百一十八、违法发布酒类广告</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00" w:lineRule="exact"/>
        <w:ind w:left="591"/>
        <w:rPr>
          <w:color w:val="auto"/>
        </w:rPr>
      </w:pPr>
      <w:r>
        <w:rPr>
          <w:color w:val="auto"/>
        </w:rPr>
        <w:t>（五）违反本法第二十三条规定发布酒类广告的；</w:t>
      </w:r>
    </w:p>
    <w:p>
      <w:pPr>
        <w:pStyle w:val="4"/>
        <w:spacing w:before="194" w:line="388"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before="11"/>
        <w:ind w:left="591"/>
        <w:rPr>
          <w:color w:val="auto"/>
        </w:rPr>
      </w:pPr>
      <w:r>
        <w:rPr>
          <w:color w:val="auto"/>
        </w:rPr>
        <w:t>2、《中华人民共和国广告法》第二十三条 酒类广告不得含有下列内容：</w:t>
      </w:r>
    </w:p>
    <w:p>
      <w:pPr>
        <w:pStyle w:val="4"/>
        <w:spacing w:before="192"/>
        <w:ind w:left="591"/>
        <w:rPr>
          <w:color w:val="auto"/>
        </w:rPr>
      </w:pPr>
      <w:r>
        <w:rPr>
          <w:color w:val="auto"/>
        </w:rPr>
        <w:t>（一）诱导、怂恿饮酒或者宣传无节制饮酒；</w:t>
      </w:r>
    </w:p>
    <w:p>
      <w:pPr>
        <w:pStyle w:val="4"/>
        <w:spacing w:before="191"/>
        <w:ind w:left="591"/>
        <w:rPr>
          <w:color w:val="auto"/>
        </w:rPr>
      </w:pPr>
      <w:r>
        <w:rPr>
          <w:color w:val="auto"/>
        </w:rPr>
        <w:t>（二）出现饮酒的动作；</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（三）表现驾驶车、船、飞机等活动；</w:t>
      </w:r>
    </w:p>
    <w:p>
      <w:pPr>
        <w:pStyle w:val="4"/>
        <w:spacing w:before="195"/>
        <w:ind w:left="591"/>
        <w:rPr>
          <w:color w:val="auto"/>
        </w:rPr>
      </w:pPr>
      <w:r>
        <w:rPr>
          <w:color w:val="auto"/>
        </w:rPr>
        <w:t>（四）明示或者暗示饮酒有消除紧张和焦虑、增加体力等功效。</w:t>
      </w:r>
    </w:p>
    <w:p>
      <w:pPr>
        <w:spacing w:before="191" w:line="388" w:lineRule="auto"/>
        <w:ind w:left="591" w:right="6948" w:firstLine="0"/>
        <w:jc w:val="left"/>
        <w:rPr>
          <w:color w:val="auto"/>
          <w:sz w:val="24"/>
        </w:rPr>
      </w:pPr>
      <w:r>
        <w:rPr>
          <w:b/>
          <w:color w:val="auto"/>
          <w:sz w:val="24"/>
        </w:rPr>
        <w:t>（二）裁量标准</w:t>
      </w:r>
      <w:r>
        <w:rPr>
          <w:color w:val="auto"/>
          <w:sz w:val="24"/>
        </w:rPr>
        <w:t>1、罚款</w:t>
      </w:r>
    </w:p>
    <w:p>
      <w:pPr>
        <w:pStyle w:val="4"/>
        <w:spacing w:before="5"/>
        <w:ind w:left="591"/>
        <w:rPr>
          <w:color w:val="auto"/>
        </w:rPr>
      </w:pPr>
      <w:r>
        <w:rPr>
          <w:color w:val="auto"/>
        </w:rPr>
        <w:t>【较轻】</w:t>
      </w:r>
    </w:p>
    <w:p>
      <w:pPr>
        <w:pStyle w:val="4"/>
        <w:spacing w:before="192"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4" w:line="388" w:lineRule="auto"/>
        <w:ind w:right="213" w:firstLine="480"/>
        <w:rPr>
          <w:color w:val="auto"/>
        </w:rPr>
      </w:pPr>
      <w:r>
        <w:rPr>
          <w:color w:val="auto"/>
        </w:rPr>
        <w:t>存在一种情形且广告费用无法计算或者明显偏低的，对广告主、广告经营者、广告发布者处以十万元的罚款。</w:t>
      </w:r>
    </w:p>
    <w:p>
      <w:pPr>
        <w:pStyle w:val="4"/>
        <w:spacing w:before="2"/>
        <w:ind w:left="591"/>
        <w:rPr>
          <w:color w:val="auto"/>
        </w:rPr>
      </w:pPr>
      <w:r>
        <w:rPr>
          <w:color w:val="auto"/>
        </w:rPr>
        <w:t>【一般】</w:t>
      </w:r>
    </w:p>
    <w:p>
      <w:pPr>
        <w:pStyle w:val="4"/>
        <w:spacing w:before="194" w:line="388"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before="6" w:line="388" w:lineRule="auto"/>
        <w:ind w:right="148" w:firstLine="480"/>
        <w:rPr>
          <w:color w:val="auto"/>
        </w:rPr>
      </w:pPr>
      <w:r>
        <w:rPr>
          <w:color w:val="auto"/>
          <w:spacing w:val="-8"/>
        </w:rPr>
        <w:t>存在二至三种情形且广告费用无法计算或者明显偏低的，对广告主、广告经营者、</w:t>
      </w:r>
      <w:r>
        <w:rPr>
          <w:color w:val="auto"/>
        </w:rPr>
        <w:t>广告发布者处以十万元以上二十万元以下的罚款。</w:t>
      </w:r>
    </w:p>
    <w:p>
      <w:pPr>
        <w:pStyle w:val="4"/>
        <w:spacing w:before="2"/>
        <w:ind w:left="591"/>
        <w:rPr>
          <w:color w:val="auto"/>
        </w:rPr>
      </w:pPr>
      <w:r>
        <w:rPr>
          <w:color w:val="auto"/>
        </w:rPr>
        <w:t>【较重】</w:t>
      </w:r>
    </w:p>
    <w:p>
      <w:pPr>
        <w:pStyle w:val="4"/>
        <w:spacing w:before="194" w:line="388"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before="5" w:line="388" w:lineRule="auto"/>
        <w:ind w:right="213" w:firstLine="480"/>
        <w:rPr>
          <w:color w:val="auto"/>
        </w:rPr>
      </w:pPr>
      <w:r>
        <w:rPr>
          <w:color w:val="auto"/>
        </w:rPr>
        <w:t>存在四种情形且广告费用无法计算或者明显偏低的，对广告主、广告经营者、广告发布者处以二十万元以上五十万元以下的罚款。</w:t>
      </w:r>
    </w:p>
    <w:p>
      <w:pPr>
        <w:pStyle w:val="4"/>
        <w:spacing w:before="3"/>
        <w:ind w:left="591"/>
        <w:rPr>
          <w:color w:val="auto"/>
        </w:rPr>
      </w:pPr>
      <w:r>
        <w:rPr>
          <w:color w:val="auto"/>
        </w:rPr>
        <w:t>【严重】</w:t>
      </w:r>
    </w:p>
    <w:p>
      <w:pPr>
        <w:pStyle w:val="4"/>
        <w:spacing w:before="194" w:line="388" w:lineRule="auto"/>
        <w:ind w:right="232" w:firstLine="480"/>
        <w:jc w:val="both"/>
        <w:rPr>
          <w:color w:val="auto"/>
        </w:rPr>
      </w:pPr>
      <w:r>
        <w:rPr>
          <w:color w:val="auto"/>
        </w:rPr>
        <w:t>广告费用二十万元以上的，或者造成严重人身、财产损失或者其他严重后果的， 或者造成严重不良社会影响的，对广告主处广告费用四倍以上五倍以下的罚款；对广告经营者、广告发布者没收广告费用，并处广告费用四倍以上五倍以下的罚款。</w:t>
      </w:r>
    </w:p>
    <w:p>
      <w:pPr>
        <w:pStyle w:val="4"/>
        <w:spacing w:before="5" w:line="388" w:lineRule="auto"/>
        <w:ind w:right="268" w:firstLine="480"/>
        <w:jc w:val="both"/>
        <w:rPr>
          <w:color w:val="auto"/>
        </w:rPr>
      </w:pPr>
      <w:r>
        <w:rPr>
          <w:color w:val="auto"/>
          <w:spacing w:val="-5"/>
        </w:rPr>
        <w:t>造成严重人身、财产损失或其他严重后果的，或者造成严重不良社会影响的，且</w:t>
      </w:r>
      <w:r>
        <w:rPr>
          <w:color w:val="auto"/>
          <w:spacing w:val="-4"/>
        </w:rPr>
        <w:t>广告费用无法计算或者明显偏低的，对广告主、广告经营者、广告发布者处以五十万</w:t>
      </w:r>
      <w:r>
        <w:rPr>
          <w:color w:val="auto"/>
        </w:rPr>
        <w:t>元以上一百万元以下的罚款。</w:t>
      </w:r>
    </w:p>
    <w:p>
      <w:pPr>
        <w:spacing w:after="0" w:line="388" w:lineRule="auto"/>
        <w:jc w:val="both"/>
        <w:rPr>
          <w:color w:val="auto"/>
        </w:rPr>
        <w:sectPr>
          <w:pgSz w:w="11910" w:h="16840"/>
          <w:pgMar w:top="1520" w:right="1260" w:bottom="1220" w:left="1420" w:header="0" w:footer="1034" w:gutter="0"/>
        </w:sectPr>
      </w:pPr>
    </w:p>
    <w:p>
      <w:pPr>
        <w:pStyle w:val="4"/>
        <w:spacing w:before="39"/>
        <w:ind w:left="591"/>
        <w:rPr>
          <w:color w:val="auto"/>
        </w:rPr>
      </w:pPr>
      <w:r>
        <w:rPr>
          <w:color w:val="auto"/>
        </w:rPr>
        <w:t>2、暂停广告发布业务</w:t>
      </w:r>
    </w:p>
    <w:p>
      <w:pPr>
        <w:pStyle w:val="13"/>
        <w:numPr>
          <w:ilvl w:val="0"/>
          <w:numId w:val="145"/>
        </w:numPr>
        <w:tabs>
          <w:tab w:val="left" w:pos="1193"/>
        </w:tabs>
        <w:spacing w:before="195" w:after="0" w:line="240" w:lineRule="auto"/>
        <w:ind w:left="1192" w:right="0" w:hanging="602"/>
        <w:jc w:val="left"/>
        <w:rPr>
          <w:color w:val="auto"/>
          <w:sz w:val="24"/>
        </w:rPr>
      </w:pPr>
      <w:r>
        <w:rPr>
          <w:color w:val="auto"/>
          <w:sz w:val="24"/>
        </w:rPr>
        <w:t>两年内发布三次以上的；</w:t>
      </w:r>
    </w:p>
    <w:p>
      <w:pPr>
        <w:pStyle w:val="13"/>
        <w:numPr>
          <w:ilvl w:val="0"/>
          <w:numId w:val="145"/>
        </w:numPr>
        <w:tabs>
          <w:tab w:val="left" w:pos="1193"/>
        </w:tabs>
        <w:spacing w:before="191" w:after="0" w:line="388"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46"/>
        </w:numPr>
        <w:tabs>
          <w:tab w:val="left" w:pos="1193"/>
        </w:tabs>
        <w:spacing w:before="5" w:after="0" w:line="240" w:lineRule="auto"/>
        <w:ind w:left="1192" w:right="0" w:hanging="602"/>
        <w:jc w:val="left"/>
        <w:rPr>
          <w:color w:val="auto"/>
          <w:sz w:val="24"/>
        </w:rPr>
      </w:pPr>
      <w:r>
        <w:rPr>
          <w:color w:val="auto"/>
          <w:sz w:val="24"/>
        </w:rPr>
        <w:t>引发群体性事件，造成重大影响的；</w:t>
      </w:r>
    </w:p>
    <w:p>
      <w:pPr>
        <w:pStyle w:val="13"/>
        <w:numPr>
          <w:ilvl w:val="0"/>
          <w:numId w:val="146"/>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46"/>
        </w:numPr>
        <w:tabs>
          <w:tab w:val="left" w:pos="1193"/>
        </w:tabs>
        <w:spacing w:before="191" w:after="0" w:line="240" w:lineRule="auto"/>
        <w:ind w:left="1192" w:right="0" w:hanging="602"/>
        <w:jc w:val="left"/>
        <w:rPr>
          <w:color w:val="auto"/>
          <w:sz w:val="24"/>
        </w:rPr>
      </w:pPr>
      <w:r>
        <w:rPr>
          <w:color w:val="auto"/>
          <w:sz w:val="24"/>
        </w:rPr>
        <w:t>造成严重不良社会影响的。</w:t>
      </w:r>
    </w:p>
    <w:p>
      <w:pPr>
        <w:pStyle w:val="2"/>
        <w:spacing w:before="194"/>
        <w:rPr>
          <w:color w:val="auto"/>
        </w:rPr>
      </w:pPr>
      <w:bookmarkStart w:id="451" w:name="_bookmark225"/>
      <w:bookmarkEnd w:id="451"/>
      <w:bookmarkStart w:id="452" w:name="二百一十九、违法发布教育、培训广告"/>
      <w:bookmarkEnd w:id="452"/>
      <w:r>
        <w:rPr>
          <w:color w:val="auto"/>
        </w:rPr>
        <w:t>二百一十九、违法发布教育、培训广告</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00" w:lineRule="exact"/>
        <w:ind w:left="591"/>
        <w:rPr>
          <w:color w:val="auto"/>
        </w:rPr>
      </w:pPr>
      <w:r>
        <w:rPr>
          <w:color w:val="auto"/>
        </w:rPr>
        <w:t>（六）违反本法第二十四条规定发布教育、培训广告的；</w:t>
      </w:r>
    </w:p>
    <w:p>
      <w:pPr>
        <w:pStyle w:val="4"/>
        <w:spacing w:before="194" w:line="388"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before="11"/>
        <w:ind w:left="591"/>
        <w:rPr>
          <w:color w:val="auto"/>
        </w:rPr>
      </w:pPr>
      <w:r>
        <w:rPr>
          <w:color w:val="auto"/>
        </w:rPr>
        <w:t>2、《中华人民共和国广告法》第二十四条 教育、培训广告不得含有下列内容：</w:t>
      </w:r>
    </w:p>
    <w:p>
      <w:pPr>
        <w:pStyle w:val="4"/>
        <w:spacing w:before="192" w:line="388" w:lineRule="auto"/>
        <w:ind w:right="219" w:firstLine="480"/>
        <w:rPr>
          <w:color w:val="auto"/>
        </w:rPr>
      </w:pPr>
      <w:r>
        <w:rPr>
          <w:color w:val="auto"/>
        </w:rPr>
        <w:t>（一）对升学、通过考试、获得学位学历或者合格证书，或者对教育、培训的效果作出明示或者暗示的保证性承诺；</w:t>
      </w:r>
    </w:p>
    <w:p>
      <w:pPr>
        <w:pStyle w:val="4"/>
        <w:spacing w:before="4" w:line="388" w:lineRule="auto"/>
        <w:ind w:right="232" w:firstLine="480"/>
        <w:rPr>
          <w:color w:val="auto"/>
        </w:rPr>
      </w:pPr>
      <w:r>
        <w:rPr>
          <w:color w:val="auto"/>
        </w:rPr>
        <w:t>（二）明示或者暗示有相关考试机构或者其工作人员、考试命题人员参与教育、培训；</w:t>
      </w:r>
    </w:p>
    <w:p>
      <w:pPr>
        <w:pStyle w:val="4"/>
        <w:spacing w:before="2"/>
        <w:ind w:left="591"/>
        <w:rPr>
          <w:color w:val="auto"/>
        </w:rPr>
      </w:pPr>
      <w:r>
        <w:rPr>
          <w:color w:val="auto"/>
        </w:rPr>
        <w:t>（三）利用科研单位、学术机构、教育机构、行业协会、专业人士、受益者的名</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义或者形象作推荐、证明。</w:t>
      </w:r>
    </w:p>
    <w:p>
      <w:pPr>
        <w:spacing w:before="195"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2" w:line="391" w:lineRule="auto"/>
        <w:ind w:right="213" w:firstLine="480"/>
        <w:rPr>
          <w:color w:val="auto"/>
        </w:rPr>
      </w:pPr>
      <w:r>
        <w:rPr>
          <w:color w:val="auto"/>
        </w:rPr>
        <w:t>存在一种情形且广告费用无法计算或者明显偏低的，对广告主、广告经营者、广告发布者处以十万元的罚款。</w:t>
      </w:r>
    </w:p>
    <w:p>
      <w:pPr>
        <w:pStyle w:val="4"/>
        <w:spacing w:line="306" w:lineRule="exact"/>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line="391" w:lineRule="auto"/>
        <w:ind w:right="213" w:firstLine="480"/>
        <w:rPr>
          <w:color w:val="auto"/>
        </w:rPr>
      </w:pPr>
      <w:r>
        <w:rPr>
          <w:color w:val="auto"/>
        </w:rPr>
        <w:t>存在二种情形且广告费用无法计算或者明显偏低的，对广告主、广告经营者、广告发布者处以十万元以上二十万元以下的罚款。</w:t>
      </w:r>
    </w:p>
    <w:p>
      <w:pPr>
        <w:pStyle w:val="4"/>
        <w:spacing w:line="306" w:lineRule="exact"/>
        <w:ind w:left="591"/>
        <w:rPr>
          <w:color w:val="auto"/>
        </w:rPr>
      </w:pPr>
      <w:r>
        <w:rPr>
          <w:color w:val="auto"/>
        </w:rPr>
        <w:t>【较重】</w:t>
      </w:r>
    </w:p>
    <w:p>
      <w:pPr>
        <w:pStyle w:val="4"/>
        <w:spacing w:before="188" w:line="391"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line="391" w:lineRule="auto"/>
        <w:ind w:right="213" w:firstLine="480"/>
        <w:rPr>
          <w:color w:val="auto"/>
        </w:rPr>
      </w:pPr>
      <w:r>
        <w:rPr>
          <w:color w:val="auto"/>
        </w:rPr>
        <w:t>存在三种情形且广告费用无法计算或者明显偏低的，对广告主、广告经营者、广告发布者处以二十万元以上五十万元以下的罚款。</w:t>
      </w:r>
    </w:p>
    <w:p>
      <w:pPr>
        <w:pStyle w:val="4"/>
        <w:spacing w:line="306" w:lineRule="exact"/>
        <w:ind w:left="591"/>
        <w:rPr>
          <w:color w:val="auto"/>
        </w:rPr>
      </w:pPr>
      <w:r>
        <w:rPr>
          <w:color w:val="auto"/>
        </w:rPr>
        <w:t>【严重】</w:t>
      </w:r>
    </w:p>
    <w:p>
      <w:pPr>
        <w:pStyle w:val="4"/>
        <w:spacing w:before="188" w:line="391" w:lineRule="auto"/>
        <w:ind w:right="232" w:firstLine="480"/>
        <w:jc w:val="both"/>
        <w:rPr>
          <w:color w:val="auto"/>
        </w:rPr>
      </w:pPr>
      <w:r>
        <w:rPr>
          <w:color w:val="auto"/>
        </w:rPr>
        <w:t>广告费用二十万元以上的，或者造成严重人身、财产损失或者其他严重后果的， 或者造成严重不良社会影响的，对广告主处广告费用四倍以上五倍以下的罚款；对广告经营者、广告发布者没收广告费用，并处广告费用四倍以上五倍以下的罚款。</w:t>
      </w:r>
    </w:p>
    <w:p>
      <w:pPr>
        <w:pStyle w:val="4"/>
        <w:spacing w:line="391" w:lineRule="auto"/>
        <w:ind w:right="232" w:firstLine="480"/>
        <w:jc w:val="both"/>
        <w:rPr>
          <w:color w:val="auto"/>
        </w:rPr>
      </w:pPr>
      <w:r>
        <w:rPr>
          <w:color w:val="auto"/>
        </w:rPr>
        <w:t>造成严重人身、财产损失或者其他严重后果的，或者造成严重不良社会影响的， 且广告费用无法计算或者明显偏低的，对广告主、广告经营者、广告发布者处以五十万元以上一百万元以下的罚款。</w:t>
      </w:r>
    </w:p>
    <w:p>
      <w:pPr>
        <w:pStyle w:val="4"/>
        <w:spacing w:line="304" w:lineRule="exact"/>
        <w:ind w:left="591"/>
        <w:rPr>
          <w:color w:val="auto"/>
        </w:rPr>
      </w:pPr>
      <w:r>
        <w:rPr>
          <w:color w:val="auto"/>
        </w:rPr>
        <w:t>2、暂停广告发布业务</w:t>
      </w:r>
    </w:p>
    <w:p>
      <w:pPr>
        <w:spacing w:after="0" w:line="304" w:lineRule="exact"/>
        <w:rPr>
          <w:color w:val="auto"/>
        </w:rPr>
        <w:sectPr>
          <w:pgSz w:w="11910" w:h="16840"/>
          <w:pgMar w:top="1520" w:right="1260" w:bottom="1220" w:left="1420" w:header="0" w:footer="1034" w:gutter="0"/>
        </w:sectPr>
      </w:pPr>
    </w:p>
    <w:p>
      <w:pPr>
        <w:pStyle w:val="13"/>
        <w:numPr>
          <w:ilvl w:val="0"/>
          <w:numId w:val="147"/>
        </w:numPr>
        <w:tabs>
          <w:tab w:val="left" w:pos="1193"/>
        </w:tabs>
        <w:spacing w:before="39" w:after="0" w:line="240" w:lineRule="auto"/>
        <w:ind w:left="1192" w:right="0" w:hanging="602"/>
        <w:jc w:val="left"/>
        <w:rPr>
          <w:color w:val="auto"/>
          <w:sz w:val="24"/>
        </w:rPr>
      </w:pPr>
      <w:r>
        <w:rPr>
          <w:color w:val="auto"/>
          <w:sz w:val="24"/>
        </w:rPr>
        <w:t>两年内发布三次以上的；</w:t>
      </w:r>
    </w:p>
    <w:p>
      <w:pPr>
        <w:pStyle w:val="13"/>
        <w:numPr>
          <w:ilvl w:val="0"/>
          <w:numId w:val="147"/>
        </w:numPr>
        <w:tabs>
          <w:tab w:val="left" w:pos="1193"/>
        </w:tabs>
        <w:spacing w:before="195" w:after="0" w:line="388"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48"/>
        </w:numPr>
        <w:tabs>
          <w:tab w:val="left" w:pos="1193"/>
        </w:tabs>
        <w:spacing w:before="2" w:after="0" w:line="240" w:lineRule="auto"/>
        <w:ind w:left="1192" w:right="0" w:hanging="602"/>
        <w:jc w:val="left"/>
        <w:rPr>
          <w:color w:val="auto"/>
          <w:sz w:val="24"/>
        </w:rPr>
      </w:pPr>
      <w:r>
        <w:rPr>
          <w:color w:val="auto"/>
          <w:sz w:val="24"/>
        </w:rPr>
        <w:t>引发群体性事件，造成重大影响的；</w:t>
      </w:r>
    </w:p>
    <w:p>
      <w:pPr>
        <w:pStyle w:val="13"/>
        <w:numPr>
          <w:ilvl w:val="0"/>
          <w:numId w:val="148"/>
        </w:numPr>
        <w:tabs>
          <w:tab w:val="left" w:pos="1193"/>
        </w:tabs>
        <w:spacing w:before="194"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48"/>
        </w:numPr>
        <w:tabs>
          <w:tab w:val="left" w:pos="1193"/>
        </w:tabs>
        <w:spacing w:before="192" w:after="0" w:line="240" w:lineRule="auto"/>
        <w:ind w:left="1192" w:right="0" w:hanging="602"/>
        <w:jc w:val="left"/>
        <w:rPr>
          <w:color w:val="auto"/>
          <w:sz w:val="24"/>
        </w:rPr>
      </w:pPr>
      <w:r>
        <w:rPr>
          <w:color w:val="auto"/>
          <w:sz w:val="24"/>
        </w:rPr>
        <w:t>造成严重不良社会影响的。</w:t>
      </w:r>
    </w:p>
    <w:p>
      <w:pPr>
        <w:pStyle w:val="2"/>
        <w:spacing w:before="191"/>
        <w:rPr>
          <w:color w:val="auto"/>
        </w:rPr>
      </w:pPr>
      <w:bookmarkStart w:id="453" w:name="_bookmark226"/>
      <w:bookmarkEnd w:id="453"/>
      <w:bookmarkStart w:id="454" w:name="二百二十、违法发布招商等有投资回报预期的商品或者服务广告"/>
      <w:bookmarkEnd w:id="454"/>
      <w:r>
        <w:rPr>
          <w:color w:val="auto"/>
        </w:rPr>
        <w:t>二百二十、违法发布招商等有投资回报预期的商品或者服务广告</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88" w:lineRule="auto"/>
        <w:ind w:right="213" w:firstLine="480"/>
        <w:rPr>
          <w:color w:val="auto"/>
        </w:rPr>
      </w:pPr>
      <w:r>
        <w:rPr>
          <w:color w:val="auto"/>
        </w:rPr>
        <w:t>（七）违反本法第二十五条规定发布招商等有投资回报预期的商品或者服务广告的；</w:t>
      </w:r>
    </w:p>
    <w:p>
      <w:pPr>
        <w:pStyle w:val="4"/>
        <w:spacing w:line="388"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before="8" w:line="388" w:lineRule="auto"/>
        <w:ind w:right="268" w:firstLine="480"/>
        <w:jc w:val="both"/>
        <w:rPr>
          <w:color w:val="auto"/>
        </w:rPr>
      </w:pPr>
      <w:r>
        <w:rPr>
          <w:color w:val="auto"/>
        </w:rPr>
        <w:t>2</w:t>
      </w:r>
      <w:r>
        <w:rPr>
          <w:color w:val="auto"/>
          <w:spacing w:val="-9"/>
        </w:rPr>
        <w:t>、《中华人民共和国广告法》第二十五条 招商等有投资回报预期的商品或者服务广告，应当对可能存在的风险以及风险责任承担有合理提示或者警示，并不得含有</w:t>
      </w:r>
      <w:r>
        <w:rPr>
          <w:color w:val="auto"/>
        </w:rPr>
        <w:t>下列内容：</w:t>
      </w:r>
    </w:p>
    <w:p>
      <w:pPr>
        <w:pStyle w:val="4"/>
        <w:spacing w:before="6" w:line="388" w:lineRule="auto"/>
        <w:ind w:right="213" w:firstLine="480"/>
        <w:rPr>
          <w:color w:val="auto"/>
        </w:rPr>
      </w:pPr>
      <w:r>
        <w:rPr>
          <w:color w:val="auto"/>
        </w:rPr>
        <w:t>（一）对未来效果、收益或者与其相关的情况作出保证性承诺，明示或者暗示保本、无风险或者保收益等，国家另有规定的除外；</w:t>
      </w:r>
    </w:p>
    <w:p>
      <w:pPr>
        <w:pStyle w:val="4"/>
        <w:spacing w:before="2"/>
        <w:ind w:left="591"/>
        <w:rPr>
          <w:color w:val="auto"/>
        </w:rPr>
      </w:pPr>
      <w:r>
        <w:rPr>
          <w:color w:val="auto"/>
        </w:rPr>
        <w:t>（二）利用学术机构、行业协会、专业人士、受益者的名义或者形象作推荐、证</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明。</w:t>
      </w:r>
    </w:p>
    <w:p>
      <w:pPr>
        <w:spacing w:before="195"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2" w:line="391" w:lineRule="auto"/>
        <w:ind w:right="213" w:firstLine="480"/>
        <w:rPr>
          <w:color w:val="auto"/>
        </w:rPr>
      </w:pPr>
      <w:r>
        <w:rPr>
          <w:color w:val="auto"/>
        </w:rPr>
        <w:t>对可能存在的风险以及风险责任承担无合理提示或者警示，且广告费用无法计算或者明显偏低的，对广告主、广告经营者、广告发布者处以十万元的罚款。</w:t>
      </w:r>
    </w:p>
    <w:p>
      <w:pPr>
        <w:pStyle w:val="4"/>
        <w:spacing w:line="306" w:lineRule="exact"/>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line="391" w:lineRule="auto"/>
        <w:ind w:right="268" w:firstLine="480"/>
        <w:jc w:val="both"/>
        <w:rPr>
          <w:color w:val="auto"/>
        </w:rPr>
      </w:pPr>
      <w:r>
        <w:rPr>
          <w:color w:val="auto"/>
          <w:spacing w:val="-2"/>
        </w:rPr>
        <w:t>对可能存在的风险以及风险责任承担无合理提示或者警示，并有第</w:t>
      </w:r>
      <w:r>
        <w:rPr>
          <w:color w:val="auto"/>
        </w:rPr>
        <w:t>（一</w:t>
      </w:r>
      <w:r>
        <w:rPr>
          <w:color w:val="auto"/>
          <w:spacing w:val="-12"/>
        </w:rPr>
        <w:t>）</w:t>
      </w:r>
      <w:r>
        <w:rPr>
          <w:color w:val="auto"/>
          <w:spacing w:val="-6"/>
        </w:rPr>
        <w:t>项规定的违法行为，且广告费用无法计算或者明显偏低的，对广告主、广告经营者、广告发</w:t>
      </w:r>
      <w:r>
        <w:rPr>
          <w:color w:val="auto"/>
        </w:rPr>
        <w:t>布者处以十万元以上二十万元以下的罚款。</w:t>
      </w:r>
    </w:p>
    <w:p>
      <w:pPr>
        <w:pStyle w:val="4"/>
        <w:spacing w:line="304" w:lineRule="exact"/>
        <w:ind w:left="591"/>
        <w:rPr>
          <w:color w:val="auto"/>
        </w:rPr>
      </w:pPr>
      <w:r>
        <w:rPr>
          <w:color w:val="auto"/>
        </w:rPr>
        <w:t>【较重】</w:t>
      </w:r>
    </w:p>
    <w:p>
      <w:pPr>
        <w:pStyle w:val="4"/>
        <w:spacing w:before="190" w:line="388"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before="6"/>
        <w:ind w:left="591"/>
        <w:rPr>
          <w:color w:val="auto"/>
        </w:rPr>
      </w:pPr>
      <w:r>
        <w:rPr>
          <w:color w:val="auto"/>
          <w:spacing w:val="-2"/>
        </w:rPr>
        <w:t>对可能存在的风险以及风险责任承担无合理提示或者警示，并同时具有第</w:t>
      </w:r>
      <w:r>
        <w:rPr>
          <w:color w:val="auto"/>
        </w:rPr>
        <w:t>（一</w:t>
      </w:r>
      <w:r>
        <w:rPr>
          <w:color w:val="auto"/>
          <w:spacing w:val="-120"/>
        </w:rPr>
        <w:t>）</w:t>
      </w:r>
      <w:r>
        <w:rPr>
          <w:color w:val="auto"/>
        </w:rPr>
        <w:t>、</w:t>
      </w:r>
    </w:p>
    <w:p>
      <w:pPr>
        <w:pStyle w:val="4"/>
        <w:spacing w:before="191" w:line="388" w:lineRule="auto"/>
        <w:ind w:right="213"/>
        <w:rPr>
          <w:color w:val="auto"/>
        </w:rPr>
      </w:pPr>
      <w:r>
        <w:rPr>
          <w:color w:val="auto"/>
        </w:rPr>
        <w:t>（二）项规定的违法行为，且广告费用无法计算或者明显偏低的，对广告主、广告经营者、广告发布者处以二十万元以上五十万元以下的罚款。</w:t>
      </w:r>
    </w:p>
    <w:p>
      <w:pPr>
        <w:spacing w:after="0" w:line="388" w:lineRule="auto"/>
        <w:rPr>
          <w:color w:val="auto"/>
        </w:rPr>
        <w:sectPr>
          <w:footerReference r:id="rId35" w:type="default"/>
          <w:footerReference r:id="rId36" w:type="even"/>
          <w:pgSz w:w="11910" w:h="16840"/>
          <w:pgMar w:top="1520" w:right="1260" w:bottom="4220" w:left="1420" w:header="0" w:footer="4025" w:gutter="0"/>
          <w:pgNumType w:start="178"/>
        </w:sectPr>
      </w:pPr>
    </w:p>
    <w:p>
      <w:pPr>
        <w:pStyle w:val="4"/>
        <w:spacing w:before="39" w:line="391" w:lineRule="auto"/>
        <w:ind w:left="591" w:right="5752" w:hanging="480"/>
        <w:rPr>
          <w:color w:val="auto"/>
        </w:rPr>
      </w:pPr>
      <w:r>
        <w:rPr>
          <w:color w:val="auto"/>
        </w:rPr>
        <w:t>万元以上一百万元以下的罚款。2、暂停广告发布业务</w:t>
      </w:r>
    </w:p>
    <w:p>
      <w:pPr>
        <w:pStyle w:val="13"/>
        <w:numPr>
          <w:ilvl w:val="0"/>
          <w:numId w:val="149"/>
        </w:numPr>
        <w:tabs>
          <w:tab w:val="left" w:pos="1193"/>
        </w:tabs>
        <w:spacing w:before="0" w:after="0" w:line="306" w:lineRule="exact"/>
        <w:ind w:left="1192" w:right="0" w:hanging="602"/>
        <w:jc w:val="left"/>
        <w:rPr>
          <w:color w:val="auto"/>
          <w:sz w:val="24"/>
        </w:rPr>
      </w:pPr>
      <w:r>
        <w:rPr>
          <w:color w:val="auto"/>
          <w:sz w:val="24"/>
        </w:rPr>
        <w:t>两年内发布三次以上的；</w:t>
      </w:r>
    </w:p>
    <w:p>
      <w:pPr>
        <w:pStyle w:val="13"/>
        <w:numPr>
          <w:ilvl w:val="0"/>
          <w:numId w:val="149"/>
        </w:numPr>
        <w:tabs>
          <w:tab w:val="left" w:pos="1193"/>
        </w:tabs>
        <w:spacing w:before="192" w:after="0" w:line="391"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50"/>
        </w:numPr>
        <w:tabs>
          <w:tab w:val="left" w:pos="1193"/>
        </w:tabs>
        <w:spacing w:before="0" w:after="0" w:line="306" w:lineRule="exact"/>
        <w:ind w:left="1192" w:right="0" w:hanging="602"/>
        <w:jc w:val="left"/>
        <w:rPr>
          <w:color w:val="auto"/>
          <w:sz w:val="24"/>
        </w:rPr>
      </w:pPr>
      <w:r>
        <w:rPr>
          <w:color w:val="auto"/>
          <w:sz w:val="24"/>
        </w:rPr>
        <w:t>引发群体性事件，造成重大影响的；</w:t>
      </w:r>
    </w:p>
    <w:p>
      <w:pPr>
        <w:pStyle w:val="13"/>
        <w:numPr>
          <w:ilvl w:val="0"/>
          <w:numId w:val="150"/>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50"/>
        </w:numPr>
        <w:tabs>
          <w:tab w:val="left" w:pos="1193"/>
        </w:tabs>
        <w:spacing w:before="194" w:after="0" w:line="388" w:lineRule="auto"/>
        <w:ind w:left="591" w:right="5018" w:firstLine="0"/>
        <w:jc w:val="left"/>
        <w:rPr>
          <w:b/>
          <w:color w:val="auto"/>
          <w:sz w:val="24"/>
        </w:rPr>
      </w:pPr>
      <w:r>
        <w:rPr>
          <w:color w:val="auto"/>
          <w:sz w:val="24"/>
        </w:rPr>
        <w:t>造成严重不良社会影响的。</w:t>
      </w:r>
      <w:bookmarkStart w:id="455" w:name="_bookmark227"/>
      <w:bookmarkEnd w:id="455"/>
      <w:bookmarkStart w:id="456" w:name="二百二十一、违法发布房地产广告"/>
      <w:bookmarkEnd w:id="456"/>
      <w:r>
        <w:rPr>
          <w:b/>
          <w:color w:val="auto"/>
          <w:spacing w:val="-1"/>
          <w:sz w:val="24"/>
        </w:rPr>
        <w:t>二百二十一、违法发布房地产广告</w:t>
      </w:r>
      <w:r>
        <w:rPr>
          <w:b/>
          <w:color w:val="auto"/>
          <w:sz w:val="24"/>
        </w:rPr>
        <w:t>1、违法发布房地产广告—1</w:t>
      </w:r>
    </w:p>
    <w:p>
      <w:pPr>
        <w:pStyle w:val="2"/>
        <w:spacing w:before="6"/>
        <w:rPr>
          <w:color w:val="auto"/>
        </w:rPr>
      </w:pPr>
      <w:r>
        <w:rPr>
          <w:color w:val="auto"/>
        </w:rPr>
        <w:t>（一）处罚依据</w:t>
      </w:r>
    </w:p>
    <w:p>
      <w:pPr>
        <w:pStyle w:val="4"/>
        <w:spacing w:before="191"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00" w:lineRule="exact"/>
        <w:ind w:left="591"/>
        <w:rPr>
          <w:color w:val="auto"/>
        </w:rPr>
      </w:pPr>
      <w:r>
        <w:rPr>
          <w:color w:val="auto"/>
        </w:rPr>
        <w:t>（八）违反本法第二十六条规定发布房地产广告的；</w:t>
      </w:r>
    </w:p>
    <w:p>
      <w:pPr>
        <w:pStyle w:val="4"/>
        <w:spacing w:before="192" w:line="391"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line="391" w:lineRule="auto"/>
        <w:ind w:right="271" w:firstLine="480"/>
        <w:rPr>
          <w:color w:val="auto"/>
        </w:rPr>
      </w:pPr>
      <w:r>
        <w:rPr>
          <w:color w:val="auto"/>
        </w:rPr>
        <w:t>2</w:t>
      </w:r>
      <w:r>
        <w:rPr>
          <w:color w:val="auto"/>
          <w:spacing w:val="-9"/>
        </w:rPr>
        <w:t>、《中华人民共和国广告法》第二十六条 房地产广告，房源信息应当真实，面积应当表明为建筑面积或者套内建筑面积，并不得含有下列内容：</w:t>
      </w:r>
    </w:p>
    <w:p>
      <w:pPr>
        <w:pStyle w:val="4"/>
        <w:spacing w:line="306" w:lineRule="exact"/>
        <w:ind w:left="591"/>
        <w:rPr>
          <w:color w:val="auto"/>
        </w:rPr>
      </w:pPr>
      <w:r>
        <w:rPr>
          <w:color w:val="auto"/>
        </w:rPr>
        <w:t>（一）升值或者投资回报的承诺；</w:t>
      </w:r>
    </w:p>
    <w:p>
      <w:pPr>
        <w:pStyle w:val="4"/>
        <w:spacing w:before="184"/>
        <w:ind w:left="591"/>
        <w:rPr>
          <w:color w:val="auto"/>
        </w:rPr>
      </w:pPr>
      <w:r>
        <w:rPr>
          <w:color w:val="auto"/>
        </w:rPr>
        <w:t>（二）以项目到达某一具体参照物的所需时间表示项目位置；</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（三）违反国家有关价格管理的规定；</w:t>
      </w:r>
    </w:p>
    <w:p>
      <w:pPr>
        <w:pStyle w:val="4"/>
        <w:spacing w:before="195" w:line="388" w:lineRule="auto"/>
        <w:ind w:right="213" w:firstLine="480"/>
        <w:rPr>
          <w:color w:val="auto"/>
        </w:rPr>
      </w:pPr>
      <w:r>
        <w:rPr>
          <w:color w:val="auto"/>
        </w:rPr>
        <w:t>（四）对规划或者建设中的交通、商业、文化教育设施以及其他市政条件作误导宣传。</w:t>
      </w:r>
    </w:p>
    <w:p>
      <w:pPr>
        <w:spacing w:before="2"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91" w:line="391"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line="388" w:lineRule="auto"/>
        <w:ind w:right="213" w:firstLine="480"/>
        <w:rPr>
          <w:color w:val="auto"/>
        </w:rPr>
      </w:pPr>
      <w:r>
        <w:rPr>
          <w:color w:val="auto"/>
        </w:rPr>
        <w:t>存在一种情形且广告费用无法计算或者明显偏低的，对广告主、广告经营者、广告发布者处以十万元的罚款。</w:t>
      </w:r>
    </w:p>
    <w:p>
      <w:pPr>
        <w:pStyle w:val="4"/>
        <w:spacing w:before="3"/>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line="388" w:lineRule="auto"/>
        <w:ind w:right="148" w:firstLine="480"/>
        <w:rPr>
          <w:color w:val="auto"/>
        </w:rPr>
      </w:pPr>
      <w:r>
        <w:rPr>
          <w:color w:val="auto"/>
          <w:spacing w:val="-8"/>
        </w:rPr>
        <w:t>存在二至三种情形且广告费用无法计算或者明显偏低的，对广告主、广告经营者、</w:t>
      </w:r>
      <w:r>
        <w:rPr>
          <w:color w:val="auto"/>
        </w:rPr>
        <w:t>广告发布者处以十万元以上二十万元以下的罚款。</w:t>
      </w:r>
    </w:p>
    <w:p>
      <w:pPr>
        <w:pStyle w:val="4"/>
        <w:spacing w:before="1"/>
        <w:ind w:left="591"/>
        <w:rPr>
          <w:color w:val="auto"/>
        </w:rPr>
      </w:pPr>
      <w:r>
        <w:rPr>
          <w:color w:val="auto"/>
        </w:rPr>
        <w:t>【较重】</w:t>
      </w:r>
    </w:p>
    <w:p>
      <w:pPr>
        <w:pStyle w:val="4"/>
        <w:spacing w:before="191" w:line="391"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line="388" w:lineRule="auto"/>
        <w:ind w:right="213" w:firstLine="480"/>
        <w:rPr>
          <w:color w:val="auto"/>
        </w:rPr>
      </w:pPr>
      <w:r>
        <w:rPr>
          <w:color w:val="auto"/>
        </w:rPr>
        <w:t>存在四种情形且广告费用无法计算或者明显偏低的，对广告主、广告经营者、广告发布者处以二十万元以上五十万元以下的罚款。</w:t>
      </w:r>
    </w:p>
    <w:p>
      <w:pPr>
        <w:spacing w:after="0" w:line="388" w:lineRule="auto"/>
        <w:rPr>
          <w:color w:val="auto"/>
        </w:rPr>
        <w:sectPr>
          <w:footerReference r:id="rId37" w:type="default"/>
          <w:footerReference r:id="rId38" w:type="even"/>
          <w:pgSz w:w="11910" w:h="16840"/>
          <w:pgMar w:top="1520" w:right="1260" w:bottom="4220" w:left="1420" w:header="0" w:footer="4025" w:gutter="0"/>
          <w:pgNumType w:start="180"/>
        </w:sectPr>
      </w:pPr>
    </w:p>
    <w:p>
      <w:pPr>
        <w:pStyle w:val="4"/>
        <w:spacing w:before="39" w:line="391" w:lineRule="auto"/>
        <w:ind w:left="591" w:right="5752" w:hanging="480"/>
        <w:rPr>
          <w:color w:val="auto"/>
        </w:rPr>
      </w:pPr>
      <w:r>
        <w:rPr>
          <w:color w:val="auto"/>
        </w:rPr>
        <w:t>万元以上一百万元以下的罚款。2、暂停广告发布业务</w:t>
      </w:r>
    </w:p>
    <w:p>
      <w:pPr>
        <w:pStyle w:val="13"/>
        <w:numPr>
          <w:ilvl w:val="0"/>
          <w:numId w:val="151"/>
        </w:numPr>
        <w:tabs>
          <w:tab w:val="left" w:pos="1193"/>
        </w:tabs>
        <w:spacing w:before="0" w:after="0" w:line="306" w:lineRule="exact"/>
        <w:ind w:left="1192" w:right="0" w:hanging="602"/>
        <w:jc w:val="left"/>
        <w:rPr>
          <w:color w:val="auto"/>
          <w:sz w:val="24"/>
        </w:rPr>
      </w:pPr>
      <w:r>
        <w:rPr>
          <w:color w:val="auto"/>
          <w:sz w:val="24"/>
        </w:rPr>
        <w:t>两年内发布三次以上的；</w:t>
      </w:r>
    </w:p>
    <w:p>
      <w:pPr>
        <w:pStyle w:val="13"/>
        <w:numPr>
          <w:ilvl w:val="0"/>
          <w:numId w:val="151"/>
        </w:numPr>
        <w:tabs>
          <w:tab w:val="left" w:pos="1193"/>
        </w:tabs>
        <w:spacing w:before="192" w:after="0" w:line="391"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52"/>
        </w:numPr>
        <w:tabs>
          <w:tab w:val="left" w:pos="1193"/>
        </w:tabs>
        <w:spacing w:before="0" w:after="0" w:line="306" w:lineRule="exact"/>
        <w:ind w:left="1192" w:right="0" w:hanging="602"/>
        <w:jc w:val="left"/>
        <w:rPr>
          <w:color w:val="auto"/>
          <w:sz w:val="24"/>
        </w:rPr>
      </w:pPr>
      <w:r>
        <w:rPr>
          <w:color w:val="auto"/>
          <w:sz w:val="24"/>
        </w:rPr>
        <w:t>引发群体性事件，造成重大影响的；</w:t>
      </w:r>
    </w:p>
    <w:p>
      <w:pPr>
        <w:pStyle w:val="13"/>
        <w:numPr>
          <w:ilvl w:val="0"/>
          <w:numId w:val="152"/>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52"/>
        </w:numPr>
        <w:tabs>
          <w:tab w:val="left" w:pos="1193"/>
        </w:tabs>
        <w:spacing w:before="194" w:after="0" w:line="388" w:lineRule="auto"/>
        <w:ind w:left="591" w:right="5152" w:firstLine="0"/>
        <w:jc w:val="left"/>
        <w:rPr>
          <w:b/>
          <w:color w:val="auto"/>
          <w:sz w:val="24"/>
        </w:rPr>
      </w:pPr>
      <w:r>
        <w:rPr>
          <w:color w:val="auto"/>
          <w:spacing w:val="-2"/>
          <w:sz w:val="24"/>
        </w:rPr>
        <w:t>造成严重不良社会影响的。</w:t>
      </w:r>
      <w:r>
        <w:rPr>
          <w:b/>
          <w:color w:val="auto"/>
          <w:sz w:val="24"/>
        </w:rPr>
        <w:t>2、违法发布房地产广告—2</w:t>
      </w:r>
    </w:p>
    <w:p>
      <w:pPr>
        <w:pStyle w:val="2"/>
        <w:spacing w:before="2"/>
        <w:rPr>
          <w:color w:val="auto"/>
        </w:rPr>
      </w:pPr>
      <w:r>
        <w:rPr>
          <w:color w:val="auto"/>
        </w:rPr>
        <w:t>(一)处罚依据</w:t>
      </w:r>
    </w:p>
    <w:p>
      <w:pPr>
        <w:pStyle w:val="4"/>
        <w:spacing w:before="194" w:line="391" w:lineRule="auto"/>
        <w:ind w:right="268" w:firstLine="480"/>
        <w:jc w:val="both"/>
        <w:rPr>
          <w:color w:val="auto"/>
        </w:rPr>
      </w:pPr>
      <w:r>
        <w:rPr>
          <w:color w:val="auto"/>
        </w:rPr>
        <w:t>1</w:t>
      </w:r>
      <w:r>
        <w:rPr>
          <w:color w:val="auto"/>
          <w:spacing w:val="-18"/>
        </w:rPr>
        <w:t>、《房地产广告发布规定》第二十一条 违反本规定发布广告，《广告法》及其他</w:t>
      </w:r>
      <w:r>
        <w:rPr>
          <w:color w:val="auto"/>
          <w:spacing w:val="-5"/>
        </w:rPr>
        <w:t>法律法规有规定的，依照有关法律法规规定予以处罚。法律法规没有规定的，对负有责任的广告主、广告经营者、广告发布者，处以违法所得三倍以下但不超过三万元的</w:t>
      </w:r>
      <w:r>
        <w:rPr>
          <w:color w:val="auto"/>
        </w:rPr>
        <w:t>罚款；没有违法所得的，处以一万元以下的罚款。</w:t>
      </w:r>
    </w:p>
    <w:p>
      <w:pPr>
        <w:pStyle w:val="13"/>
        <w:numPr>
          <w:ilvl w:val="1"/>
          <w:numId w:val="153"/>
        </w:numPr>
        <w:tabs>
          <w:tab w:val="left" w:pos="953"/>
        </w:tabs>
        <w:spacing w:before="0" w:after="0" w:line="302" w:lineRule="exact"/>
        <w:ind w:left="952" w:right="0" w:hanging="362"/>
        <w:jc w:val="both"/>
        <w:rPr>
          <w:color w:val="auto"/>
          <w:sz w:val="24"/>
        </w:rPr>
      </w:pPr>
      <w:r>
        <w:rPr>
          <w:color w:val="auto"/>
          <w:spacing w:val="-12"/>
          <w:sz w:val="24"/>
        </w:rPr>
        <w:t>、《房地产广告发布规定》第五条 凡下列情况的房地产，不得发布广告：</w:t>
      </w:r>
    </w:p>
    <w:p>
      <w:pPr>
        <w:pStyle w:val="4"/>
        <w:spacing w:before="192"/>
        <w:ind w:left="591"/>
        <w:rPr>
          <w:color w:val="auto"/>
        </w:rPr>
      </w:pPr>
      <w:r>
        <w:rPr>
          <w:color w:val="auto"/>
        </w:rPr>
        <w:t>（一）在未经依法取得国有土地使用权的土地上开发建设的；</w:t>
      </w:r>
    </w:p>
    <w:p>
      <w:pPr>
        <w:pStyle w:val="4"/>
        <w:spacing w:before="194"/>
        <w:ind w:left="591"/>
        <w:rPr>
          <w:color w:val="auto"/>
        </w:rPr>
      </w:pPr>
      <w:r>
        <w:rPr>
          <w:color w:val="auto"/>
        </w:rPr>
        <w:t>（二）在未经国家征用的集体所有的土地上建设的；</w:t>
      </w:r>
    </w:p>
    <w:p>
      <w:pPr>
        <w:pStyle w:val="4"/>
        <w:spacing w:before="192" w:line="388" w:lineRule="auto"/>
        <w:ind w:right="213" w:firstLine="480"/>
        <w:rPr>
          <w:color w:val="auto"/>
        </w:rPr>
      </w:pPr>
      <w:r>
        <w:rPr>
          <w:color w:val="auto"/>
        </w:rPr>
        <w:t>（三）司法机关和行政机关依法裁定、决定查封或者以其他形式限制房地产权利的；</w:t>
      </w:r>
    </w:p>
    <w:p>
      <w:pPr>
        <w:pStyle w:val="4"/>
        <w:spacing w:before="4"/>
        <w:ind w:left="591"/>
        <w:rPr>
          <w:color w:val="auto"/>
        </w:rPr>
      </w:pPr>
      <w:r>
        <w:rPr>
          <w:color w:val="auto"/>
        </w:rPr>
        <w:t>（四）预售房地产，但未取得该项目预售许可证的；</w:t>
      </w:r>
    </w:p>
    <w:p>
      <w:pPr>
        <w:pStyle w:val="4"/>
        <w:spacing w:before="192"/>
        <w:ind w:left="591"/>
        <w:rPr>
          <w:color w:val="auto"/>
        </w:rPr>
      </w:pPr>
      <w:r>
        <w:rPr>
          <w:color w:val="auto"/>
        </w:rPr>
        <w:t>（五）权属有争议的；</w:t>
      </w:r>
    </w:p>
    <w:p>
      <w:pPr>
        <w:pStyle w:val="4"/>
        <w:spacing w:before="192"/>
        <w:ind w:left="591"/>
        <w:rPr>
          <w:color w:val="auto"/>
        </w:rPr>
      </w:pPr>
      <w:r>
        <w:rPr>
          <w:color w:val="auto"/>
        </w:rPr>
        <w:t>（六）违反国家有关规定建设的；</w:t>
      </w:r>
    </w:p>
    <w:p>
      <w:pPr>
        <w:pStyle w:val="4"/>
        <w:spacing w:before="194"/>
        <w:ind w:left="591"/>
        <w:rPr>
          <w:color w:val="auto"/>
        </w:rPr>
      </w:pPr>
      <w:r>
        <w:rPr>
          <w:color w:val="auto"/>
        </w:rPr>
        <w:t>（七）不符合工程质量标准，经验收不合格的；</w:t>
      </w:r>
    </w:p>
    <w:p>
      <w:pPr>
        <w:pStyle w:val="4"/>
        <w:spacing w:before="191"/>
        <w:ind w:left="591"/>
        <w:rPr>
          <w:color w:val="auto"/>
        </w:rPr>
      </w:pPr>
      <w:r>
        <w:rPr>
          <w:color w:val="auto"/>
        </w:rPr>
        <w:t>（八）法律、行政法规规定禁止的其他情形。</w:t>
      </w:r>
    </w:p>
    <w:p>
      <w:pPr>
        <w:pStyle w:val="13"/>
        <w:numPr>
          <w:ilvl w:val="1"/>
          <w:numId w:val="153"/>
        </w:numPr>
        <w:tabs>
          <w:tab w:val="left" w:pos="954"/>
        </w:tabs>
        <w:spacing w:before="192" w:after="0" w:line="391" w:lineRule="auto"/>
        <w:ind w:left="111" w:right="271" w:firstLine="480"/>
        <w:jc w:val="left"/>
        <w:rPr>
          <w:color w:val="auto"/>
          <w:sz w:val="24"/>
        </w:rPr>
      </w:pPr>
      <w:r>
        <w:rPr>
          <w:color w:val="auto"/>
          <w:spacing w:val="-8"/>
          <w:sz w:val="24"/>
        </w:rPr>
        <w:t>、《房地产广告发布规定》第六条 发布房地产广告，应当具有或者提供下列相应真实、合法、有效的证明文件：</w:t>
      </w:r>
    </w:p>
    <w:p>
      <w:pPr>
        <w:pStyle w:val="4"/>
        <w:spacing w:line="388" w:lineRule="auto"/>
        <w:ind w:right="213" w:firstLine="480"/>
        <w:rPr>
          <w:color w:val="auto"/>
        </w:rPr>
      </w:pPr>
      <w:r>
        <w:rPr>
          <w:color w:val="auto"/>
        </w:rPr>
        <w:t>（一）房地产开发企业、房地产权利人、房地产中介服务机构的营业执照或者其他主体资格证明；</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（二）建设主管部门颁发的房地产开发企业资质证书；</w:t>
      </w:r>
    </w:p>
    <w:p>
      <w:pPr>
        <w:pStyle w:val="4"/>
        <w:spacing w:before="195"/>
        <w:ind w:left="591"/>
        <w:rPr>
          <w:color w:val="auto"/>
        </w:rPr>
      </w:pPr>
      <w:r>
        <w:rPr>
          <w:color w:val="auto"/>
        </w:rPr>
        <w:t>（三）土地主管部门颁发的项目土地使用权证明；</w:t>
      </w:r>
    </w:p>
    <w:p>
      <w:pPr>
        <w:pStyle w:val="4"/>
        <w:spacing w:before="191"/>
        <w:ind w:left="591"/>
        <w:rPr>
          <w:color w:val="auto"/>
        </w:rPr>
      </w:pPr>
      <w:r>
        <w:rPr>
          <w:color w:val="auto"/>
        </w:rPr>
        <w:t>（四）工程竣工验收合格证明；</w:t>
      </w:r>
    </w:p>
    <w:p>
      <w:pPr>
        <w:pStyle w:val="4"/>
        <w:spacing w:before="192" w:line="391" w:lineRule="auto"/>
        <w:ind w:right="213" w:firstLine="480"/>
        <w:rPr>
          <w:color w:val="auto"/>
        </w:rPr>
      </w:pPr>
      <w:r>
        <w:rPr>
          <w:color w:val="auto"/>
        </w:rPr>
        <w:t>（五）发布房地产项目预售、出售广告，应当具有地方政府建设主管部门颁发的预售、销售许可证证明；出租、项目转让广告，应当具有相应的产权证明；</w:t>
      </w:r>
    </w:p>
    <w:p>
      <w:pPr>
        <w:pStyle w:val="4"/>
        <w:spacing w:line="306" w:lineRule="exact"/>
        <w:ind w:left="591"/>
        <w:rPr>
          <w:color w:val="auto"/>
        </w:rPr>
      </w:pPr>
      <w:r>
        <w:rPr>
          <w:color w:val="auto"/>
        </w:rPr>
        <w:t>（六）中介机构发布所代理的房地产项目广告，应当提供业主委托证明；</w:t>
      </w:r>
    </w:p>
    <w:p>
      <w:pPr>
        <w:pStyle w:val="4"/>
        <w:spacing w:before="192"/>
        <w:ind w:left="591"/>
        <w:rPr>
          <w:color w:val="auto"/>
        </w:rPr>
      </w:pPr>
      <w:r>
        <w:rPr>
          <w:color w:val="auto"/>
        </w:rPr>
        <w:t>（七）确认广告内容真实性的其他证明文件。</w:t>
      </w:r>
    </w:p>
    <w:p>
      <w:pPr>
        <w:pStyle w:val="13"/>
        <w:numPr>
          <w:ilvl w:val="1"/>
          <w:numId w:val="153"/>
        </w:numPr>
        <w:tabs>
          <w:tab w:val="left" w:pos="954"/>
        </w:tabs>
        <w:spacing w:before="194" w:after="0" w:line="388" w:lineRule="auto"/>
        <w:ind w:left="111" w:right="271" w:firstLine="480"/>
        <w:jc w:val="left"/>
        <w:rPr>
          <w:color w:val="auto"/>
          <w:sz w:val="24"/>
        </w:rPr>
      </w:pPr>
      <w:r>
        <w:rPr>
          <w:color w:val="auto"/>
          <w:spacing w:val="-8"/>
          <w:sz w:val="24"/>
        </w:rPr>
        <w:t>、《房地产广告发布规定》第七条 房地产预售、销售广告，必须载明以下事项：</w:t>
      </w:r>
    </w:p>
    <w:p>
      <w:pPr>
        <w:pStyle w:val="4"/>
        <w:spacing w:before="2"/>
        <w:ind w:left="591"/>
        <w:rPr>
          <w:color w:val="auto"/>
        </w:rPr>
      </w:pPr>
      <w:r>
        <w:rPr>
          <w:color w:val="auto"/>
        </w:rPr>
        <w:t>（一）开发企业名称；</w:t>
      </w:r>
    </w:p>
    <w:p>
      <w:pPr>
        <w:pStyle w:val="4"/>
        <w:spacing w:before="194"/>
        <w:ind w:left="591"/>
        <w:rPr>
          <w:color w:val="auto"/>
        </w:rPr>
      </w:pPr>
      <w:r>
        <w:rPr>
          <w:color w:val="auto"/>
        </w:rPr>
        <w:t>（二）中介服务机构代理销售的，载明该机构名称；</w:t>
      </w:r>
    </w:p>
    <w:p>
      <w:pPr>
        <w:pStyle w:val="4"/>
        <w:spacing w:before="192"/>
        <w:ind w:left="591"/>
        <w:rPr>
          <w:color w:val="auto"/>
        </w:rPr>
      </w:pPr>
      <w:r>
        <w:rPr>
          <w:color w:val="auto"/>
        </w:rPr>
        <w:t>（三）预售或者销售许可证书号。</w:t>
      </w:r>
    </w:p>
    <w:p>
      <w:pPr>
        <w:pStyle w:val="4"/>
        <w:spacing w:before="191"/>
        <w:ind w:left="591"/>
        <w:rPr>
          <w:color w:val="auto"/>
        </w:rPr>
      </w:pPr>
      <w:r>
        <w:rPr>
          <w:color w:val="auto"/>
        </w:rPr>
        <w:t>广告中仅介绍房地产项目名称的，可以不必载明上述事项。</w:t>
      </w:r>
    </w:p>
    <w:p>
      <w:pPr>
        <w:pStyle w:val="13"/>
        <w:numPr>
          <w:ilvl w:val="1"/>
          <w:numId w:val="153"/>
        </w:numPr>
        <w:tabs>
          <w:tab w:val="left" w:pos="954"/>
        </w:tabs>
        <w:spacing w:before="194" w:after="0" w:line="388" w:lineRule="auto"/>
        <w:ind w:left="111" w:right="271" w:firstLine="480"/>
        <w:jc w:val="left"/>
        <w:rPr>
          <w:color w:val="auto"/>
          <w:sz w:val="24"/>
        </w:rPr>
      </w:pPr>
      <w:r>
        <w:rPr>
          <w:color w:val="auto"/>
          <w:spacing w:val="-8"/>
          <w:sz w:val="24"/>
        </w:rPr>
        <w:t>、《房地产广告发布规定》第九条 房地产广告中涉及所有权或者使用权的， 所有或者使用的基本单位应当是有实际意义的完整的生产、生活空间。</w:t>
      </w:r>
    </w:p>
    <w:p>
      <w:pPr>
        <w:pStyle w:val="13"/>
        <w:numPr>
          <w:ilvl w:val="1"/>
          <w:numId w:val="153"/>
        </w:numPr>
        <w:tabs>
          <w:tab w:val="left" w:pos="954"/>
        </w:tabs>
        <w:spacing w:before="3" w:after="0" w:line="391" w:lineRule="auto"/>
        <w:ind w:left="111" w:right="271" w:firstLine="480"/>
        <w:jc w:val="left"/>
        <w:rPr>
          <w:color w:val="auto"/>
          <w:sz w:val="24"/>
        </w:rPr>
      </w:pPr>
      <w:r>
        <w:rPr>
          <w:color w:val="auto"/>
          <w:spacing w:val="-9"/>
          <w:sz w:val="24"/>
        </w:rPr>
        <w:t>、《房地产广告发布规定》第十二条 房地产广告中涉及的交通、商业、文化教育设施及其他市政条件等，如在规划或者建设中，应当在广告中注明。</w:t>
      </w:r>
    </w:p>
    <w:p>
      <w:pPr>
        <w:pStyle w:val="13"/>
        <w:numPr>
          <w:ilvl w:val="1"/>
          <w:numId w:val="153"/>
        </w:numPr>
        <w:tabs>
          <w:tab w:val="left" w:pos="954"/>
        </w:tabs>
        <w:spacing w:before="0" w:after="0" w:line="388" w:lineRule="auto"/>
        <w:ind w:left="111" w:right="271" w:firstLine="480"/>
        <w:jc w:val="left"/>
        <w:rPr>
          <w:color w:val="auto"/>
          <w:sz w:val="24"/>
        </w:rPr>
      </w:pPr>
      <w:r>
        <w:rPr>
          <w:color w:val="auto"/>
          <w:spacing w:val="-9"/>
          <w:sz w:val="24"/>
        </w:rPr>
        <w:t>、《房地产广告发布规定》第十五条 房地产广告中使用建筑设计效果图或者模型照片的，应当在广告中注明。</w:t>
      </w:r>
    </w:p>
    <w:p>
      <w:pPr>
        <w:pStyle w:val="13"/>
        <w:numPr>
          <w:ilvl w:val="1"/>
          <w:numId w:val="153"/>
        </w:numPr>
        <w:tabs>
          <w:tab w:val="left" w:pos="954"/>
        </w:tabs>
        <w:spacing w:before="2" w:after="0" w:line="388" w:lineRule="auto"/>
        <w:ind w:left="111" w:right="271" w:firstLine="480"/>
        <w:jc w:val="left"/>
        <w:rPr>
          <w:color w:val="auto"/>
          <w:sz w:val="24"/>
        </w:rPr>
      </w:pPr>
      <w:r>
        <w:rPr>
          <w:color w:val="auto"/>
          <w:spacing w:val="-9"/>
          <w:sz w:val="24"/>
        </w:rPr>
        <w:t>、《房地产广告发布规定》第十六条 房地产广告中不得出现融资或者变相融资的内容。</w:t>
      </w:r>
    </w:p>
    <w:p>
      <w:pPr>
        <w:pStyle w:val="13"/>
        <w:numPr>
          <w:ilvl w:val="1"/>
          <w:numId w:val="153"/>
        </w:numPr>
        <w:tabs>
          <w:tab w:val="left" w:pos="954"/>
        </w:tabs>
        <w:spacing w:before="3" w:after="0" w:line="391" w:lineRule="auto"/>
        <w:ind w:left="111" w:right="271" w:firstLine="480"/>
        <w:jc w:val="left"/>
        <w:rPr>
          <w:color w:val="auto"/>
          <w:sz w:val="24"/>
        </w:rPr>
      </w:pPr>
      <w:r>
        <w:rPr>
          <w:color w:val="auto"/>
          <w:spacing w:val="-9"/>
          <w:sz w:val="24"/>
        </w:rPr>
        <w:t>、《房地产广告发布规定》第十七条 房地产广告中涉及贷款服务的，应当载明提供贷款的银行名称及贷款额度、年期。</w:t>
      </w:r>
    </w:p>
    <w:p>
      <w:pPr>
        <w:pStyle w:val="13"/>
        <w:numPr>
          <w:ilvl w:val="1"/>
          <w:numId w:val="153"/>
        </w:numPr>
        <w:tabs>
          <w:tab w:val="left" w:pos="954"/>
        </w:tabs>
        <w:spacing w:before="0" w:after="0" w:line="388" w:lineRule="auto"/>
        <w:ind w:left="111" w:right="271" w:firstLine="480"/>
        <w:jc w:val="left"/>
        <w:rPr>
          <w:color w:val="auto"/>
          <w:sz w:val="24"/>
        </w:rPr>
      </w:pPr>
      <w:r>
        <w:rPr>
          <w:color w:val="auto"/>
          <w:spacing w:val="-9"/>
          <w:sz w:val="24"/>
        </w:rPr>
        <w:t>、《房地产广告发布规定》第十八条 房地产广告中不得含有广告主能够为入住者办理户口、就业、升学等事项的承诺。</w:t>
      </w:r>
    </w:p>
    <w:p>
      <w:pPr>
        <w:pStyle w:val="13"/>
        <w:numPr>
          <w:ilvl w:val="1"/>
          <w:numId w:val="153"/>
        </w:numPr>
        <w:tabs>
          <w:tab w:val="left" w:pos="1073"/>
        </w:tabs>
        <w:spacing w:before="2" w:after="0" w:line="388" w:lineRule="auto"/>
        <w:ind w:left="111" w:right="268" w:firstLine="480"/>
        <w:jc w:val="left"/>
        <w:rPr>
          <w:color w:val="auto"/>
          <w:sz w:val="24"/>
        </w:rPr>
      </w:pPr>
      <w:r>
        <w:rPr>
          <w:color w:val="auto"/>
          <w:spacing w:val="-14"/>
          <w:sz w:val="24"/>
        </w:rPr>
        <w:t>、《房地产广告发布规定》第十九条 房地产广告中涉及物业管理内容的，应</w:t>
      </w:r>
      <w:r>
        <w:rPr>
          <w:color w:val="auto"/>
          <w:sz w:val="24"/>
        </w:rPr>
        <w:t>当符合国家有关规定；涉及尚未实现的物业管理内容，应当在广告中注明。</w:t>
      </w:r>
    </w:p>
    <w:p>
      <w:pPr>
        <w:pStyle w:val="13"/>
        <w:numPr>
          <w:ilvl w:val="1"/>
          <w:numId w:val="153"/>
        </w:numPr>
        <w:tabs>
          <w:tab w:val="left" w:pos="1073"/>
        </w:tabs>
        <w:spacing w:before="2" w:after="0" w:line="240" w:lineRule="auto"/>
        <w:ind w:left="1072" w:right="0" w:hanging="482"/>
        <w:jc w:val="left"/>
        <w:rPr>
          <w:color w:val="auto"/>
          <w:sz w:val="24"/>
        </w:rPr>
      </w:pPr>
      <w:r>
        <w:rPr>
          <w:color w:val="auto"/>
          <w:spacing w:val="-12"/>
          <w:sz w:val="24"/>
        </w:rPr>
        <w:t>、《房地产广告发布规定》第二十条 房地产广告中涉及房地产价格评估的，</w:t>
      </w:r>
    </w:p>
    <w:p>
      <w:pPr>
        <w:spacing w:after="0" w:line="240" w:lineRule="auto"/>
        <w:jc w:val="left"/>
        <w:rPr>
          <w:color w:val="auto"/>
          <w:sz w:val="24"/>
        </w:rPr>
        <w:sectPr>
          <w:footerReference r:id="rId39" w:type="default"/>
          <w:footerReference r:id="rId40" w:type="even"/>
          <w:pgSz w:w="11910" w:h="16840"/>
          <w:pgMar w:top="1520" w:right="1260" w:bottom="1220" w:left="1420" w:header="0" w:footer="1034" w:gutter="0"/>
          <w:pgNumType w:start="182"/>
        </w:sectPr>
      </w:pPr>
    </w:p>
    <w:p>
      <w:pPr>
        <w:pStyle w:val="4"/>
        <w:spacing w:before="39"/>
        <w:rPr>
          <w:color w:val="auto"/>
        </w:rPr>
      </w:pPr>
      <w:r>
        <w:rPr>
          <w:color w:val="auto"/>
        </w:rPr>
        <w:t>应当表明评估单位、估价师和评估时间。</w:t>
      </w:r>
    </w:p>
    <w:p>
      <w:pPr>
        <w:pStyle w:val="2"/>
        <w:spacing w:before="195"/>
        <w:rPr>
          <w:color w:val="auto"/>
        </w:rPr>
      </w:pPr>
      <w:r>
        <w:rPr>
          <w:color w:val="auto"/>
        </w:rPr>
        <w:t>（二）裁量基准</w:t>
      </w:r>
    </w:p>
    <w:p>
      <w:pPr>
        <w:pStyle w:val="4"/>
        <w:spacing w:before="191"/>
        <w:ind w:left="591"/>
        <w:rPr>
          <w:rFonts w:hint="default" w:eastAsia="宋体"/>
          <w:color w:val="auto"/>
          <w:lang w:val="en-US" w:eastAsia="zh-CN"/>
        </w:rPr>
      </w:pPr>
      <w:r>
        <w:rPr>
          <w:rFonts w:hint="eastAsia"/>
          <w:color w:val="auto"/>
          <w:lang w:val="en-US" w:eastAsia="zh-CN"/>
        </w:rPr>
        <w:t>1.【不予处罚】</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.已取得预售或者销售许可；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5</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没有违法所得</w:t>
      </w:r>
    </w:p>
    <w:p>
      <w:pPr>
        <w:pStyle w:val="4"/>
        <w:spacing w:before="191"/>
        <w:ind w:left="591"/>
        <w:rPr>
          <w:color w:val="auto"/>
        </w:rPr>
      </w:pPr>
      <w:r>
        <w:rPr>
          <w:rFonts w:hint="eastAsia"/>
          <w:color w:val="auto"/>
          <w:lang w:val="en-US" w:eastAsia="zh-CN"/>
        </w:rPr>
        <w:t>2.</w:t>
      </w:r>
      <w:r>
        <w:rPr>
          <w:color w:val="auto"/>
        </w:rPr>
        <w:t>【较轻】</w:t>
      </w:r>
    </w:p>
    <w:p>
      <w:pPr>
        <w:pStyle w:val="4"/>
        <w:spacing w:before="192"/>
        <w:ind w:left="591"/>
        <w:rPr>
          <w:color w:val="auto"/>
        </w:rPr>
      </w:pPr>
      <w:r>
        <w:rPr>
          <w:color w:val="auto"/>
        </w:rPr>
        <w:t>没有违法所得的，处以一万元以下的罚款。</w:t>
      </w:r>
    </w:p>
    <w:p>
      <w:pPr>
        <w:pStyle w:val="4"/>
        <w:spacing w:before="194"/>
        <w:ind w:left="591"/>
        <w:rPr>
          <w:color w:val="auto"/>
        </w:rPr>
      </w:pPr>
      <w:r>
        <w:rPr>
          <w:color w:val="auto"/>
        </w:rPr>
        <w:t>【一般】</w:t>
      </w:r>
    </w:p>
    <w:p>
      <w:pPr>
        <w:pStyle w:val="4"/>
        <w:spacing w:before="192"/>
        <w:ind w:left="591"/>
        <w:rPr>
          <w:color w:val="auto"/>
        </w:rPr>
      </w:pPr>
      <w:r>
        <w:rPr>
          <w:color w:val="auto"/>
        </w:rPr>
        <w:t>违法所得一万元以下的，处以违法所得二倍以下的罚款。</w:t>
      </w:r>
    </w:p>
    <w:p>
      <w:pPr>
        <w:pStyle w:val="4"/>
        <w:spacing w:before="191"/>
        <w:ind w:left="591"/>
        <w:rPr>
          <w:color w:val="auto"/>
        </w:rPr>
      </w:pPr>
      <w:r>
        <w:rPr>
          <w:rFonts w:hint="eastAsia"/>
          <w:color w:val="auto"/>
          <w:lang w:val="en-US" w:eastAsia="zh-CN"/>
        </w:rPr>
        <w:t>3.</w:t>
      </w:r>
      <w:r>
        <w:rPr>
          <w:color w:val="auto"/>
        </w:rPr>
        <w:t>【严重】</w:t>
      </w:r>
    </w:p>
    <w:p>
      <w:pPr>
        <w:pStyle w:val="4"/>
        <w:spacing w:before="195" w:line="388" w:lineRule="auto"/>
        <w:ind w:right="269" w:firstLine="480"/>
        <w:rPr>
          <w:color w:val="auto"/>
        </w:rPr>
      </w:pPr>
      <w:r>
        <w:rPr>
          <w:color w:val="auto"/>
        </w:rPr>
        <w:t>违法所得一万元以上的，处以违法所得二倍以上三倍以下但不超过三万元的罚款。</w:t>
      </w:r>
    </w:p>
    <w:p>
      <w:pPr>
        <w:pStyle w:val="2"/>
        <w:spacing w:before="2"/>
        <w:rPr>
          <w:color w:val="auto"/>
        </w:rPr>
      </w:pPr>
      <w:bookmarkStart w:id="457" w:name="_bookmark228"/>
      <w:bookmarkEnd w:id="457"/>
      <w:bookmarkStart w:id="458" w:name="二百二十二、违法发布种子、种植养植广告"/>
      <w:bookmarkEnd w:id="458"/>
      <w:r>
        <w:rPr>
          <w:color w:val="auto"/>
        </w:rPr>
        <w:t>二百二十二、违法发布种子、种植养植广告</w:t>
      </w:r>
    </w:p>
    <w:p>
      <w:pPr>
        <w:spacing w:before="194"/>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88" w:lineRule="auto"/>
        <w:ind w:right="232" w:firstLine="480"/>
        <w:rPr>
          <w:color w:val="auto"/>
        </w:rPr>
      </w:pPr>
      <w:r>
        <w:rPr>
          <w:color w:val="auto"/>
        </w:rPr>
        <w:t>（九）违反本法第二十七条规定发布农作物种子、林木种子、草种子、种畜禽、水产苗种和种养殖广告的；</w:t>
      </w:r>
    </w:p>
    <w:p>
      <w:pPr>
        <w:pStyle w:val="4"/>
        <w:spacing w:line="388"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before="9" w:line="388" w:lineRule="auto"/>
        <w:ind w:right="265" w:firstLine="480"/>
        <w:jc w:val="both"/>
        <w:rPr>
          <w:color w:val="auto"/>
        </w:rPr>
      </w:pPr>
      <w:r>
        <w:rPr>
          <w:color w:val="auto"/>
        </w:rPr>
        <w:t>2</w:t>
      </w:r>
      <w:r>
        <w:rPr>
          <w:color w:val="auto"/>
          <w:spacing w:val="-9"/>
        </w:rPr>
        <w:t>、《中华人民共和国广告法》第二十七条 农作物种子、林木种子、草种子、种畜禽、水产苗种和种养殖广告关于品种名称、生产性能、生长量或者产量、品质、抗</w:t>
      </w:r>
      <w:r>
        <w:rPr>
          <w:color w:val="auto"/>
          <w:spacing w:val="-6"/>
        </w:rPr>
        <w:t>性、特殊使用价值、经济价值、适宜种植或者养殖的范围和条件等方面的表述应当真</w:t>
      </w:r>
    </w:p>
    <w:p>
      <w:pPr>
        <w:spacing w:after="0" w:line="388"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实、清楚、明白，并不得含有下列内容：</w:t>
      </w:r>
    </w:p>
    <w:p>
      <w:pPr>
        <w:pStyle w:val="4"/>
        <w:spacing w:before="195"/>
        <w:ind w:left="591"/>
        <w:rPr>
          <w:color w:val="auto"/>
        </w:rPr>
      </w:pPr>
      <w:r>
        <w:rPr>
          <w:color w:val="auto"/>
        </w:rPr>
        <w:t>（一）作科学上无法验证的断言；</w:t>
      </w:r>
    </w:p>
    <w:p>
      <w:pPr>
        <w:pStyle w:val="4"/>
        <w:spacing w:before="191"/>
        <w:ind w:left="591"/>
        <w:rPr>
          <w:color w:val="auto"/>
        </w:rPr>
      </w:pPr>
      <w:r>
        <w:rPr>
          <w:color w:val="auto"/>
        </w:rPr>
        <w:t>（二）表示功效的断言或者保证；</w:t>
      </w:r>
    </w:p>
    <w:p>
      <w:pPr>
        <w:pStyle w:val="4"/>
        <w:spacing w:before="192"/>
        <w:ind w:left="591"/>
        <w:rPr>
          <w:color w:val="auto"/>
        </w:rPr>
      </w:pPr>
      <w:r>
        <w:rPr>
          <w:color w:val="auto"/>
        </w:rPr>
        <w:t>（三）对经济效益进行分析、预测或者作保证性承诺；</w:t>
      </w:r>
    </w:p>
    <w:p>
      <w:pPr>
        <w:pStyle w:val="4"/>
        <w:spacing w:before="194" w:line="388" w:lineRule="auto"/>
        <w:ind w:right="219" w:firstLine="480"/>
        <w:rPr>
          <w:color w:val="auto"/>
        </w:rPr>
      </w:pPr>
      <w:r>
        <w:rPr>
          <w:color w:val="auto"/>
        </w:rPr>
        <w:t>（四）利用科研单位、学术机构、技术推广机构、行业协会或者专业人士、用户的名义或者形象作推荐、证明。</w:t>
      </w:r>
    </w:p>
    <w:p>
      <w:pPr>
        <w:spacing w:before="2"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92" w:line="391"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line="388" w:lineRule="auto"/>
        <w:ind w:right="213" w:firstLine="480"/>
        <w:rPr>
          <w:color w:val="auto"/>
        </w:rPr>
      </w:pPr>
      <w:r>
        <w:rPr>
          <w:color w:val="auto"/>
        </w:rPr>
        <w:t>存在一种情形且广告费用无法计算或者明显偏低的，对广告主、广告经营者、广告发布者处以十万元的罚款。</w:t>
      </w:r>
    </w:p>
    <w:p>
      <w:pPr>
        <w:pStyle w:val="4"/>
        <w:spacing w:before="3"/>
        <w:ind w:left="591"/>
        <w:rPr>
          <w:color w:val="auto"/>
        </w:rPr>
      </w:pPr>
      <w:r>
        <w:rPr>
          <w:color w:val="auto"/>
        </w:rPr>
        <w:t>【一般】</w:t>
      </w:r>
    </w:p>
    <w:p>
      <w:pPr>
        <w:pStyle w:val="4"/>
        <w:spacing w:before="191" w:line="391"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line="388" w:lineRule="auto"/>
        <w:ind w:right="148" w:firstLine="480"/>
        <w:rPr>
          <w:color w:val="auto"/>
        </w:rPr>
      </w:pPr>
      <w:r>
        <w:rPr>
          <w:color w:val="auto"/>
          <w:spacing w:val="-8"/>
        </w:rPr>
        <w:t>存在二至三种情形且广告费用无法计算或者明显偏低的，对广告主、广告经营者、</w:t>
      </w:r>
      <w:r>
        <w:rPr>
          <w:color w:val="auto"/>
        </w:rPr>
        <w:t>广告发布者处以十万元以上二十万元以下的罚款。</w:t>
      </w:r>
    </w:p>
    <w:p>
      <w:pPr>
        <w:pStyle w:val="4"/>
        <w:spacing w:before="1"/>
        <w:ind w:left="591"/>
        <w:rPr>
          <w:color w:val="auto"/>
        </w:rPr>
      </w:pPr>
      <w:r>
        <w:rPr>
          <w:color w:val="auto"/>
        </w:rPr>
        <w:t>【较重】</w:t>
      </w:r>
    </w:p>
    <w:p>
      <w:pPr>
        <w:pStyle w:val="4"/>
        <w:spacing w:before="192" w:line="391"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line="388" w:lineRule="auto"/>
        <w:ind w:right="213" w:firstLine="480"/>
        <w:rPr>
          <w:color w:val="auto"/>
        </w:rPr>
      </w:pPr>
      <w:r>
        <w:rPr>
          <w:color w:val="auto"/>
        </w:rPr>
        <w:t>存在四种情形且广告费用无法计算或者明显偏低的，对广告主、广告经营者、广告发布者处以二十万元以上五十万元以下的罚款。</w:t>
      </w:r>
    </w:p>
    <w:p>
      <w:pPr>
        <w:pStyle w:val="4"/>
        <w:spacing w:before="1"/>
        <w:ind w:left="591"/>
        <w:rPr>
          <w:color w:val="auto"/>
        </w:rPr>
      </w:pPr>
      <w:r>
        <w:rPr>
          <w:color w:val="auto"/>
        </w:rPr>
        <w:t>【严重】</w:t>
      </w:r>
    </w:p>
    <w:p>
      <w:pPr>
        <w:pStyle w:val="4"/>
        <w:spacing w:before="191" w:line="388" w:lineRule="auto"/>
        <w:ind w:right="232" w:firstLine="480"/>
        <w:rPr>
          <w:color w:val="auto"/>
        </w:rPr>
      </w:pPr>
      <w:r>
        <w:rPr>
          <w:color w:val="auto"/>
        </w:rPr>
        <w:t>广告费用二十万元以上的，或者造成严重人身、财产损失或者其他严重后果的， 或者造成严重不良社会影响的，对广告主处广告费用四倍以上五倍以下的罚款；对广</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告经营者、广告发布者没收广告费用，并处广告费用四倍以上五倍以下的罚款。</w:t>
      </w:r>
    </w:p>
    <w:p>
      <w:pPr>
        <w:pStyle w:val="4"/>
        <w:spacing w:before="195" w:line="388" w:lineRule="auto"/>
        <w:ind w:right="232" w:firstLine="480"/>
        <w:jc w:val="both"/>
        <w:rPr>
          <w:color w:val="auto"/>
        </w:rPr>
      </w:pPr>
      <w:r>
        <w:rPr>
          <w:color w:val="auto"/>
        </w:rPr>
        <w:t>造成严重人身、财产损失或者其他严重后果的，或者造成严重不良社会影响的， 且广告费用无法计算或者明显偏低的，对广告主、广告经营者、广告发布者处以五十万元以上一百万元以下的罚款。</w:t>
      </w:r>
    </w:p>
    <w:p>
      <w:pPr>
        <w:pStyle w:val="4"/>
        <w:spacing w:before="5"/>
        <w:ind w:left="591"/>
        <w:rPr>
          <w:color w:val="auto"/>
        </w:rPr>
      </w:pPr>
      <w:r>
        <w:rPr>
          <w:color w:val="auto"/>
        </w:rPr>
        <w:t>2、暂停广告发布业务</w:t>
      </w:r>
    </w:p>
    <w:p>
      <w:pPr>
        <w:pStyle w:val="13"/>
        <w:numPr>
          <w:ilvl w:val="0"/>
          <w:numId w:val="154"/>
        </w:numPr>
        <w:tabs>
          <w:tab w:val="left" w:pos="1193"/>
        </w:tabs>
        <w:spacing w:before="192" w:after="0" w:line="240" w:lineRule="auto"/>
        <w:ind w:left="1192" w:right="0" w:hanging="602"/>
        <w:jc w:val="left"/>
        <w:rPr>
          <w:color w:val="auto"/>
          <w:sz w:val="24"/>
        </w:rPr>
      </w:pPr>
      <w:r>
        <w:rPr>
          <w:color w:val="auto"/>
          <w:sz w:val="24"/>
        </w:rPr>
        <w:t>两年内发布三次以上的；</w:t>
      </w:r>
    </w:p>
    <w:p>
      <w:pPr>
        <w:pStyle w:val="13"/>
        <w:numPr>
          <w:ilvl w:val="0"/>
          <w:numId w:val="154"/>
        </w:numPr>
        <w:tabs>
          <w:tab w:val="left" w:pos="1193"/>
        </w:tabs>
        <w:spacing w:before="192" w:after="0" w:line="391"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55"/>
        </w:numPr>
        <w:tabs>
          <w:tab w:val="left" w:pos="1193"/>
        </w:tabs>
        <w:spacing w:before="0" w:after="0" w:line="306" w:lineRule="exact"/>
        <w:ind w:left="1192" w:right="0" w:hanging="602"/>
        <w:jc w:val="left"/>
        <w:rPr>
          <w:color w:val="auto"/>
          <w:sz w:val="24"/>
        </w:rPr>
      </w:pPr>
      <w:r>
        <w:rPr>
          <w:color w:val="auto"/>
          <w:sz w:val="24"/>
        </w:rPr>
        <w:t>引发群体性事件，造成重大影响的；</w:t>
      </w:r>
    </w:p>
    <w:p>
      <w:pPr>
        <w:pStyle w:val="13"/>
        <w:numPr>
          <w:ilvl w:val="0"/>
          <w:numId w:val="155"/>
        </w:numPr>
        <w:tabs>
          <w:tab w:val="left" w:pos="1193"/>
        </w:tabs>
        <w:spacing w:before="191"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55"/>
        </w:numPr>
        <w:tabs>
          <w:tab w:val="left" w:pos="1193"/>
        </w:tabs>
        <w:spacing w:before="194" w:after="0" w:line="240" w:lineRule="auto"/>
        <w:ind w:left="1192" w:right="0" w:hanging="602"/>
        <w:jc w:val="left"/>
        <w:rPr>
          <w:color w:val="auto"/>
          <w:sz w:val="24"/>
        </w:rPr>
      </w:pPr>
      <w:r>
        <w:rPr>
          <w:color w:val="auto"/>
          <w:sz w:val="24"/>
        </w:rPr>
        <w:t>造成严重不良社会影响的。</w:t>
      </w:r>
    </w:p>
    <w:p>
      <w:pPr>
        <w:pStyle w:val="2"/>
        <w:spacing w:before="192"/>
        <w:rPr>
          <w:color w:val="auto"/>
        </w:rPr>
      </w:pPr>
      <w:bookmarkStart w:id="459" w:name="_bookmark229"/>
      <w:bookmarkEnd w:id="459"/>
      <w:bookmarkStart w:id="460" w:name="二百二十三、利用不具备资格的广告代言人发布广告"/>
      <w:bookmarkEnd w:id="460"/>
      <w:r>
        <w:rPr>
          <w:color w:val="auto"/>
        </w:rPr>
        <w:t>二百二十三、利用不具备资格的广告代言人发布广告</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before="11" w:line="388" w:lineRule="auto"/>
        <w:ind w:right="213" w:firstLine="480"/>
        <w:rPr>
          <w:color w:val="auto"/>
        </w:rPr>
      </w:pPr>
      <w:r>
        <w:rPr>
          <w:color w:val="auto"/>
        </w:rPr>
        <w:t>（十一）违反本法第三十八条第三款规定，利用自然人、法人或者其他组织作为广告代言人的；</w:t>
      </w:r>
    </w:p>
    <w:p>
      <w:pPr>
        <w:pStyle w:val="4"/>
        <w:spacing w:before="2" w:line="391"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line="300" w:lineRule="exact"/>
        <w:ind w:left="591"/>
        <w:rPr>
          <w:color w:val="auto"/>
        </w:rPr>
      </w:pPr>
      <w:r>
        <w:rPr>
          <w:color w:val="auto"/>
        </w:rPr>
        <w:t>2、《中华人民共和国广告法》第三十八条第三款 对在虚假广告中作推荐、证明</w:t>
      </w:r>
    </w:p>
    <w:p>
      <w:pPr>
        <w:spacing w:after="0" w:line="300" w:lineRule="exact"/>
        <w:rPr>
          <w:color w:val="auto"/>
        </w:rPr>
        <w:sectPr>
          <w:pgSz w:w="11910" w:h="16840"/>
          <w:pgMar w:top="1520" w:right="1260" w:bottom="1220" w:left="1420" w:header="0" w:footer="1034" w:gutter="0"/>
        </w:sectPr>
      </w:pPr>
    </w:p>
    <w:p>
      <w:pPr>
        <w:pStyle w:val="4"/>
        <w:spacing w:before="39"/>
        <w:rPr>
          <w:color w:val="auto"/>
        </w:rPr>
      </w:pPr>
      <w:r>
        <w:rPr>
          <w:color w:val="auto"/>
        </w:rPr>
        <w:t>受到行政处罚未满三年的自然人、法人或者其他组织，不得利用其作为广告代言人。</w:t>
      </w:r>
    </w:p>
    <w:p>
      <w:pPr>
        <w:spacing w:before="195"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68" w:firstLine="480"/>
        <w:rPr>
          <w:color w:val="auto"/>
        </w:rPr>
      </w:pPr>
      <w:r>
        <w:rPr>
          <w:color w:val="auto"/>
          <w:spacing w:val="-5"/>
        </w:rPr>
        <w:t>广告费用一万元以下的，对广告主处以广告费用一倍的罚款；对广告经营者、广</w:t>
      </w:r>
      <w:r>
        <w:rPr>
          <w:color w:val="auto"/>
        </w:rPr>
        <w:t>告发布者没收广告费用，并处广告费用一倍的罚款。</w:t>
      </w:r>
    </w:p>
    <w:p>
      <w:pPr>
        <w:pStyle w:val="4"/>
        <w:spacing w:before="2" w:line="391" w:lineRule="auto"/>
        <w:ind w:right="268" w:firstLine="480"/>
        <w:rPr>
          <w:color w:val="auto"/>
        </w:rPr>
      </w:pPr>
      <w:r>
        <w:rPr>
          <w:color w:val="auto"/>
          <w:spacing w:val="-3"/>
        </w:rPr>
        <w:t>不知道代言人受到行政处罚未满三年且广告费用无法计算或者明显偏低的，对广</w:t>
      </w:r>
      <w:r>
        <w:rPr>
          <w:color w:val="auto"/>
        </w:rPr>
        <w:t>告主、广告经营者、广告发布者处以十万元的罚款。</w:t>
      </w:r>
    </w:p>
    <w:p>
      <w:pPr>
        <w:pStyle w:val="4"/>
        <w:spacing w:line="306" w:lineRule="exact"/>
        <w:ind w:left="591"/>
        <w:rPr>
          <w:color w:val="auto"/>
        </w:rPr>
      </w:pPr>
      <w:r>
        <w:rPr>
          <w:color w:val="auto"/>
        </w:rPr>
        <w:t>【一般】</w:t>
      </w:r>
    </w:p>
    <w:p>
      <w:pPr>
        <w:pStyle w:val="4"/>
        <w:spacing w:before="192" w:line="391"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line="391" w:lineRule="auto"/>
        <w:ind w:right="213" w:firstLine="480"/>
        <w:rPr>
          <w:color w:val="auto"/>
        </w:rPr>
      </w:pPr>
      <w:r>
        <w:rPr>
          <w:color w:val="auto"/>
        </w:rPr>
        <w:t>应当知道代言人受到行政处罚未满三年且广告费用无法计算或者明显偏低的，对广告主、广告经营者、广告发布者处以十万元以上二十万元以下的罚款。</w:t>
      </w:r>
    </w:p>
    <w:p>
      <w:pPr>
        <w:pStyle w:val="4"/>
        <w:spacing w:line="306" w:lineRule="exact"/>
        <w:ind w:left="591"/>
        <w:rPr>
          <w:color w:val="auto"/>
        </w:rPr>
      </w:pPr>
      <w:r>
        <w:rPr>
          <w:color w:val="auto"/>
        </w:rPr>
        <w:t>【较重】</w:t>
      </w:r>
    </w:p>
    <w:p>
      <w:pPr>
        <w:pStyle w:val="4"/>
        <w:spacing w:before="188" w:line="391"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line="391" w:lineRule="auto"/>
        <w:ind w:right="213" w:firstLine="480"/>
        <w:rPr>
          <w:color w:val="auto"/>
        </w:rPr>
      </w:pPr>
      <w:r>
        <w:rPr>
          <w:color w:val="auto"/>
        </w:rPr>
        <w:t>明知道代言人受到行政处罚未满三年且广告费用无法计算或者明显偏低的，对广告主、广告经营者、广告发布者处以二十万元以上五十万元以下的罚款。</w:t>
      </w:r>
    </w:p>
    <w:p>
      <w:pPr>
        <w:pStyle w:val="4"/>
        <w:spacing w:line="306" w:lineRule="exact"/>
        <w:ind w:left="591"/>
        <w:rPr>
          <w:color w:val="auto"/>
        </w:rPr>
      </w:pPr>
      <w:r>
        <w:rPr>
          <w:color w:val="auto"/>
        </w:rPr>
        <w:t>【严重】</w:t>
      </w:r>
    </w:p>
    <w:p>
      <w:pPr>
        <w:pStyle w:val="4"/>
        <w:spacing w:before="188" w:line="391" w:lineRule="auto"/>
        <w:ind w:right="268" w:firstLine="480"/>
        <w:jc w:val="both"/>
        <w:rPr>
          <w:color w:val="auto"/>
        </w:rPr>
      </w:pPr>
      <w:r>
        <w:rPr>
          <w:color w:val="auto"/>
          <w:spacing w:val="-4"/>
        </w:rPr>
        <w:t>广告费用二十万元以上的，或者造成不良社会影响的，对广告主处广告费用四倍</w:t>
      </w:r>
      <w:r>
        <w:rPr>
          <w:color w:val="auto"/>
          <w:spacing w:val="-5"/>
        </w:rPr>
        <w:t>以上五倍以下的罚款；对广告经营者、广告发布者没收广告费用，并处广告费用四倍</w:t>
      </w:r>
      <w:r>
        <w:rPr>
          <w:color w:val="auto"/>
        </w:rPr>
        <w:t>以上五倍以下的罚款。</w:t>
      </w:r>
    </w:p>
    <w:p>
      <w:pPr>
        <w:pStyle w:val="4"/>
        <w:spacing w:line="391" w:lineRule="auto"/>
        <w:ind w:right="213" w:firstLine="480"/>
        <w:rPr>
          <w:color w:val="auto"/>
        </w:rPr>
      </w:pPr>
      <w:r>
        <w:rPr>
          <w:color w:val="auto"/>
        </w:rPr>
        <w:t>造成严重不良社会影响的，且广告费用无法计算或者明显偏低的，对广告主、广告经营者、广告发布者处以五十万元以上一百万元以下的罚款。</w:t>
      </w:r>
    </w:p>
    <w:p>
      <w:pPr>
        <w:pStyle w:val="4"/>
        <w:spacing w:line="306" w:lineRule="exact"/>
        <w:ind w:left="591"/>
        <w:rPr>
          <w:color w:val="auto"/>
        </w:rPr>
      </w:pPr>
      <w:r>
        <w:rPr>
          <w:color w:val="auto"/>
        </w:rPr>
        <w:t>2、暂停广告发布业务</w:t>
      </w:r>
    </w:p>
    <w:p>
      <w:pPr>
        <w:pStyle w:val="13"/>
        <w:numPr>
          <w:ilvl w:val="0"/>
          <w:numId w:val="156"/>
        </w:numPr>
        <w:tabs>
          <w:tab w:val="left" w:pos="1193"/>
        </w:tabs>
        <w:spacing w:before="188" w:after="0" w:line="240" w:lineRule="auto"/>
        <w:ind w:left="1192" w:right="0" w:hanging="602"/>
        <w:jc w:val="left"/>
        <w:rPr>
          <w:color w:val="auto"/>
          <w:sz w:val="24"/>
        </w:rPr>
      </w:pPr>
      <w:r>
        <w:rPr>
          <w:color w:val="auto"/>
          <w:sz w:val="24"/>
        </w:rPr>
        <w:t>两年内发布三次以上的；</w:t>
      </w:r>
    </w:p>
    <w:p>
      <w:pPr>
        <w:spacing w:after="0" w:line="240" w:lineRule="auto"/>
        <w:jc w:val="left"/>
        <w:rPr>
          <w:color w:val="auto"/>
          <w:sz w:val="24"/>
        </w:rPr>
        <w:sectPr>
          <w:pgSz w:w="11910" w:h="16840"/>
          <w:pgMar w:top="1520" w:right="1260" w:bottom="1220" w:left="1420" w:header="0" w:footer="1034" w:gutter="0"/>
        </w:sectPr>
      </w:pPr>
    </w:p>
    <w:p>
      <w:pPr>
        <w:pStyle w:val="13"/>
        <w:numPr>
          <w:ilvl w:val="0"/>
          <w:numId w:val="156"/>
        </w:numPr>
        <w:tabs>
          <w:tab w:val="left" w:pos="1193"/>
        </w:tabs>
        <w:spacing w:before="39" w:after="0" w:line="391"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4"/>
        <w:spacing w:line="306" w:lineRule="exact"/>
        <w:ind w:left="951"/>
        <w:rPr>
          <w:color w:val="auto"/>
        </w:rPr>
      </w:pPr>
      <w:r>
        <w:rPr>
          <w:color w:val="auto"/>
        </w:rPr>
        <w:t>造成严重不良社会影响的。</w:t>
      </w:r>
    </w:p>
    <w:p>
      <w:pPr>
        <w:pStyle w:val="2"/>
        <w:spacing w:before="192"/>
        <w:rPr>
          <w:color w:val="auto"/>
        </w:rPr>
      </w:pPr>
      <w:bookmarkStart w:id="461" w:name="_bookmark230"/>
      <w:bookmarkEnd w:id="461"/>
      <w:bookmarkStart w:id="462" w:name="二百二十四、在学校、幼儿园内或者利用教材等发布广告"/>
      <w:bookmarkEnd w:id="462"/>
      <w:r>
        <w:rPr>
          <w:color w:val="auto"/>
        </w:rPr>
        <w:t>二百二十四、在学校、幼儿园内或者利用教材等发布广告</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88" w:lineRule="auto"/>
        <w:ind w:right="232" w:firstLine="480"/>
        <w:rPr>
          <w:color w:val="auto"/>
        </w:rPr>
      </w:pPr>
      <w:r>
        <w:rPr>
          <w:color w:val="auto"/>
        </w:rPr>
        <w:t>（十二）违反本法第三十九条规定，在中小学校、幼儿园内或者利用中小学生、幼儿有关的物品发布广告的；</w:t>
      </w:r>
    </w:p>
    <w:p>
      <w:pPr>
        <w:pStyle w:val="4"/>
        <w:spacing w:line="388"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before="8" w:line="388" w:lineRule="auto"/>
        <w:ind w:right="265" w:firstLine="480"/>
        <w:jc w:val="both"/>
        <w:rPr>
          <w:color w:val="auto"/>
        </w:rPr>
      </w:pPr>
      <w:r>
        <w:rPr>
          <w:color w:val="auto"/>
        </w:rPr>
        <w:t>2</w:t>
      </w:r>
      <w:r>
        <w:rPr>
          <w:color w:val="auto"/>
          <w:spacing w:val="-9"/>
        </w:rPr>
        <w:t>、《中华人民共和国广告法》第三十九条 不得在中小学校、幼儿园内开展广告</w:t>
      </w:r>
      <w:r>
        <w:rPr>
          <w:color w:val="auto"/>
          <w:spacing w:val="-6"/>
        </w:rPr>
        <w:t>活动，不得利用中小学生和幼儿的教材、教辅材料、练习册、文具、教具、校服、校</w:t>
      </w:r>
      <w:r>
        <w:rPr>
          <w:color w:val="auto"/>
        </w:rPr>
        <w:t>车等发布或者变相发布广告，但公益广告除外。</w:t>
      </w:r>
    </w:p>
    <w:p>
      <w:pPr>
        <w:spacing w:before="6"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2"/>
        <w:ind w:left="591"/>
        <w:rPr>
          <w:color w:val="auto"/>
        </w:rPr>
      </w:pPr>
      <w:r>
        <w:rPr>
          <w:color w:val="auto"/>
        </w:rPr>
        <w:t>发布内容合法的广告且广告费用无法计算或者明显偏低的，对广告主、广告经营</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者、广告发布者处以十万元的罚款。</w:t>
      </w:r>
    </w:p>
    <w:p>
      <w:pPr>
        <w:pStyle w:val="4"/>
        <w:spacing w:before="195"/>
        <w:ind w:left="591"/>
        <w:rPr>
          <w:color w:val="auto"/>
        </w:rPr>
      </w:pPr>
      <w:r>
        <w:rPr>
          <w:color w:val="auto"/>
        </w:rPr>
        <w:t>【一般】</w:t>
      </w:r>
    </w:p>
    <w:p>
      <w:pPr>
        <w:pStyle w:val="4"/>
        <w:spacing w:before="191" w:line="391"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line="388" w:lineRule="auto"/>
        <w:ind w:right="213" w:firstLine="480"/>
        <w:rPr>
          <w:color w:val="auto"/>
        </w:rPr>
      </w:pPr>
      <w:r>
        <w:rPr>
          <w:color w:val="auto"/>
        </w:rPr>
        <w:t>发布禁止发布的广告且广告费用无法计算或者明显偏低的，对广告主、广告经营者、广告发布者处以十万元以上二十万元以下的罚款。</w:t>
      </w:r>
    </w:p>
    <w:p>
      <w:pPr>
        <w:pStyle w:val="4"/>
        <w:spacing w:before="1"/>
        <w:ind w:left="591"/>
        <w:rPr>
          <w:color w:val="auto"/>
        </w:rPr>
      </w:pPr>
      <w:r>
        <w:rPr>
          <w:color w:val="auto"/>
        </w:rPr>
        <w:t>【较重】</w:t>
      </w:r>
    </w:p>
    <w:p>
      <w:pPr>
        <w:pStyle w:val="4"/>
        <w:spacing w:before="192" w:line="391"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line="388" w:lineRule="auto"/>
        <w:ind w:right="269" w:firstLine="480"/>
        <w:rPr>
          <w:color w:val="auto"/>
        </w:rPr>
      </w:pPr>
      <w:r>
        <w:rPr>
          <w:color w:val="auto"/>
        </w:rPr>
        <w:t>发布可能对青少年身心健康造成危害的广告且广告费用无法计算或者明显偏低的，对广告主、广告经营者、广告发布者处以二十万元以上五十万元以下的罚款。</w:t>
      </w:r>
    </w:p>
    <w:p>
      <w:pPr>
        <w:pStyle w:val="4"/>
        <w:spacing w:before="1"/>
        <w:ind w:left="591"/>
        <w:rPr>
          <w:color w:val="auto"/>
        </w:rPr>
      </w:pPr>
      <w:r>
        <w:rPr>
          <w:color w:val="auto"/>
        </w:rPr>
        <w:t>【严重】</w:t>
      </w:r>
    </w:p>
    <w:p>
      <w:pPr>
        <w:pStyle w:val="4"/>
        <w:spacing w:before="191" w:line="388" w:lineRule="auto"/>
        <w:ind w:right="213" w:firstLine="480"/>
        <w:rPr>
          <w:color w:val="auto"/>
        </w:rPr>
      </w:pPr>
      <w:r>
        <w:rPr>
          <w:color w:val="auto"/>
        </w:rPr>
        <w:t>广告费用二十万元以上的，对广告主处广告费用四倍以上五倍以下的罚款；对广告经营者、广告发布者没收广告费用，并处广告费用四倍以上五倍以下的罚款。</w:t>
      </w:r>
    </w:p>
    <w:p>
      <w:pPr>
        <w:pStyle w:val="4"/>
        <w:spacing w:before="5" w:line="388" w:lineRule="auto"/>
        <w:ind w:right="268" w:firstLine="480"/>
        <w:jc w:val="both"/>
        <w:rPr>
          <w:color w:val="auto"/>
        </w:rPr>
      </w:pPr>
      <w:r>
        <w:rPr>
          <w:color w:val="auto"/>
          <w:spacing w:val="-4"/>
        </w:rPr>
        <w:t>在校园内造成较坏影响，或者对青少年身心健康造成较大损害的，且广告费用无</w:t>
      </w:r>
      <w:r>
        <w:rPr>
          <w:color w:val="auto"/>
          <w:spacing w:val="-5"/>
        </w:rPr>
        <w:t>法计算或者明显偏低的，对广告主、广告经营者、广告发布者处以五十万元以上一百</w:t>
      </w:r>
      <w:r>
        <w:rPr>
          <w:color w:val="auto"/>
        </w:rPr>
        <w:t>万元以下的罚款。</w:t>
      </w:r>
    </w:p>
    <w:p>
      <w:pPr>
        <w:pStyle w:val="4"/>
        <w:spacing w:before="5"/>
        <w:ind w:left="591"/>
        <w:rPr>
          <w:color w:val="auto"/>
        </w:rPr>
      </w:pPr>
      <w:r>
        <w:rPr>
          <w:color w:val="auto"/>
        </w:rPr>
        <w:t>2、暂停广告发布业务</w:t>
      </w:r>
    </w:p>
    <w:p>
      <w:pPr>
        <w:pStyle w:val="13"/>
        <w:numPr>
          <w:ilvl w:val="0"/>
          <w:numId w:val="157"/>
        </w:numPr>
        <w:tabs>
          <w:tab w:val="left" w:pos="1193"/>
        </w:tabs>
        <w:spacing w:before="192" w:after="0" w:line="240" w:lineRule="auto"/>
        <w:ind w:left="1192" w:right="0" w:hanging="602"/>
        <w:jc w:val="left"/>
        <w:rPr>
          <w:color w:val="auto"/>
          <w:sz w:val="24"/>
        </w:rPr>
      </w:pPr>
      <w:r>
        <w:rPr>
          <w:color w:val="auto"/>
          <w:sz w:val="24"/>
        </w:rPr>
        <w:t>两年内发布三次以上的；</w:t>
      </w:r>
    </w:p>
    <w:p>
      <w:pPr>
        <w:pStyle w:val="13"/>
        <w:numPr>
          <w:ilvl w:val="0"/>
          <w:numId w:val="157"/>
        </w:numPr>
        <w:tabs>
          <w:tab w:val="left" w:pos="1193"/>
        </w:tabs>
        <w:spacing w:before="192" w:after="0" w:line="391"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58"/>
        </w:numPr>
        <w:tabs>
          <w:tab w:val="left" w:pos="1193"/>
        </w:tabs>
        <w:spacing w:before="0" w:after="0" w:line="306" w:lineRule="exact"/>
        <w:ind w:left="1192" w:right="0" w:hanging="602"/>
        <w:jc w:val="left"/>
        <w:rPr>
          <w:color w:val="auto"/>
          <w:sz w:val="24"/>
        </w:rPr>
      </w:pPr>
      <w:r>
        <w:rPr>
          <w:color w:val="auto"/>
          <w:sz w:val="24"/>
        </w:rPr>
        <w:t>引发群体性事件，造成重大影响的；</w:t>
      </w:r>
    </w:p>
    <w:p>
      <w:pPr>
        <w:pStyle w:val="13"/>
        <w:numPr>
          <w:ilvl w:val="0"/>
          <w:numId w:val="158"/>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58"/>
        </w:numPr>
        <w:tabs>
          <w:tab w:val="left" w:pos="1193"/>
        </w:tabs>
        <w:spacing w:before="194" w:after="0" w:line="240" w:lineRule="auto"/>
        <w:ind w:left="1192" w:right="0" w:hanging="602"/>
        <w:jc w:val="left"/>
        <w:rPr>
          <w:color w:val="auto"/>
          <w:sz w:val="24"/>
        </w:rPr>
      </w:pPr>
      <w:r>
        <w:rPr>
          <w:color w:val="auto"/>
          <w:sz w:val="24"/>
        </w:rPr>
        <w:t>造成严重不良社会影响的。</w:t>
      </w:r>
    </w:p>
    <w:p>
      <w:pPr>
        <w:pStyle w:val="2"/>
        <w:spacing w:before="191"/>
        <w:rPr>
          <w:color w:val="auto"/>
        </w:rPr>
      </w:pPr>
      <w:bookmarkStart w:id="463" w:name="_bookmark231"/>
      <w:bookmarkEnd w:id="463"/>
      <w:bookmarkStart w:id="464" w:name="二百二十五、发布针对不满十四周岁的未成年人的商品或者服务的广告"/>
      <w:bookmarkEnd w:id="464"/>
      <w:r>
        <w:rPr>
          <w:color w:val="auto"/>
        </w:rPr>
        <w:t>二百二十五、发布针对不满十四周岁的未成年人的商品或者服务的广告</w:t>
      </w:r>
    </w:p>
    <w:p>
      <w:pPr>
        <w:spacing w:before="192"/>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91" w:lineRule="auto"/>
        <w:ind w:right="213" w:firstLine="480"/>
        <w:rPr>
          <w:color w:val="auto"/>
        </w:rPr>
      </w:pPr>
      <w:r>
        <w:rPr>
          <w:color w:val="auto"/>
        </w:rPr>
        <w:t>（十三）违反本法第四十条第二款规定，发布针对不满十四周岁的未成年人的商品或者服务的广告的；</w:t>
      </w:r>
    </w:p>
    <w:p>
      <w:pPr>
        <w:pStyle w:val="4"/>
        <w:spacing w:line="391"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line="388" w:lineRule="auto"/>
        <w:ind w:right="268" w:firstLine="480"/>
        <w:rPr>
          <w:color w:val="auto"/>
        </w:rPr>
      </w:pPr>
      <w:r>
        <w:rPr>
          <w:color w:val="auto"/>
        </w:rPr>
        <w:t>2</w:t>
      </w:r>
      <w:r>
        <w:rPr>
          <w:color w:val="auto"/>
          <w:spacing w:val="-9"/>
        </w:rPr>
        <w:t>、《中华人民共和国广告法》第四十条第二款 针对不满十四周岁的未成年人的商品或者服务的广告不得含有下列内容：</w:t>
      </w:r>
    </w:p>
    <w:p>
      <w:pPr>
        <w:pStyle w:val="4"/>
        <w:ind w:left="591"/>
        <w:rPr>
          <w:color w:val="auto"/>
        </w:rPr>
      </w:pPr>
      <w:r>
        <w:rPr>
          <w:color w:val="auto"/>
        </w:rPr>
        <w:t>（一）劝诱其要求家长购买广告商品或者服务；</w:t>
      </w:r>
    </w:p>
    <w:p>
      <w:pPr>
        <w:pStyle w:val="4"/>
        <w:spacing w:before="180"/>
        <w:ind w:left="591"/>
        <w:rPr>
          <w:color w:val="auto"/>
        </w:rPr>
      </w:pPr>
      <w:r>
        <w:rPr>
          <w:color w:val="auto"/>
        </w:rPr>
        <w:t>（二）可能引发其模仿不安全行为。</w:t>
      </w:r>
    </w:p>
    <w:p>
      <w:pPr>
        <w:spacing w:before="192" w:line="391" w:lineRule="auto"/>
        <w:ind w:left="591" w:right="6948" w:firstLine="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92" w:line="391"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line="388" w:lineRule="auto"/>
        <w:ind w:right="213" w:firstLine="480"/>
        <w:rPr>
          <w:color w:val="auto"/>
        </w:rPr>
      </w:pPr>
      <w:r>
        <w:rPr>
          <w:color w:val="auto"/>
        </w:rPr>
        <w:t>存在一种情形且广告费用无法计算或者明显偏低的，对广告主、广告经营者、广告发布者处以十万元的罚款。</w:t>
      </w:r>
    </w:p>
    <w:p>
      <w:pPr>
        <w:pStyle w:val="4"/>
        <w:spacing w:before="3"/>
        <w:ind w:left="591"/>
        <w:rPr>
          <w:color w:val="auto"/>
        </w:rPr>
      </w:pPr>
      <w:r>
        <w:rPr>
          <w:color w:val="auto"/>
        </w:rPr>
        <w:t>【一般】</w:t>
      </w:r>
    </w:p>
    <w:p>
      <w:pPr>
        <w:pStyle w:val="4"/>
        <w:spacing w:before="191" w:line="388" w:lineRule="auto"/>
        <w:ind w:right="213" w:firstLine="480"/>
        <w:rPr>
          <w:color w:val="auto"/>
        </w:rPr>
      </w:pPr>
      <w:r>
        <w:rPr>
          <w:color w:val="auto"/>
        </w:rPr>
        <w:t>广告费用一万元以上十万元以下的，对广告主处以广告费用一倍以上三倍以下的罚款；对广告经营者、广告发布者没收广告费用，并处广告费用一倍以上三倍以下的</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罚款。</w:t>
      </w:r>
    </w:p>
    <w:p>
      <w:pPr>
        <w:pStyle w:val="4"/>
        <w:spacing w:before="195" w:line="388" w:lineRule="auto"/>
        <w:ind w:right="213" w:firstLine="480"/>
        <w:rPr>
          <w:color w:val="auto"/>
        </w:rPr>
      </w:pPr>
      <w:r>
        <w:rPr>
          <w:color w:val="auto"/>
        </w:rPr>
        <w:t>存在二种情形且广告费用无法计算或者明显偏低的，对广告主、广告经营者、广告发布者处以十万元以上二十万元以下的罚款。</w:t>
      </w:r>
    </w:p>
    <w:p>
      <w:pPr>
        <w:pStyle w:val="4"/>
        <w:spacing w:before="2"/>
        <w:ind w:left="591"/>
        <w:rPr>
          <w:color w:val="auto"/>
        </w:rPr>
      </w:pPr>
      <w:r>
        <w:rPr>
          <w:color w:val="auto"/>
        </w:rPr>
        <w:t>【较重】</w:t>
      </w:r>
    </w:p>
    <w:p>
      <w:pPr>
        <w:pStyle w:val="4"/>
        <w:spacing w:before="194" w:line="388" w:lineRule="auto"/>
        <w:ind w:right="268" w:firstLine="480"/>
        <w:jc w:val="both"/>
        <w:rPr>
          <w:color w:val="auto"/>
        </w:rPr>
      </w:pPr>
      <w:r>
        <w:rPr>
          <w:color w:val="auto"/>
          <w:spacing w:val="-4"/>
        </w:rPr>
        <w:t>广告费用十万元以上二十万元以下的，对广告主处以广告费用三倍以上四倍以下</w:t>
      </w:r>
      <w:r>
        <w:rPr>
          <w:color w:val="auto"/>
          <w:spacing w:val="-6"/>
        </w:rPr>
        <w:t>的罚款；对广告经营者、广告发布者没收广告费用，并处广告费用三倍以上四倍以下</w:t>
      </w:r>
      <w:r>
        <w:rPr>
          <w:color w:val="auto"/>
        </w:rPr>
        <w:t>的罚款。</w:t>
      </w:r>
    </w:p>
    <w:p>
      <w:pPr>
        <w:pStyle w:val="4"/>
        <w:spacing w:before="5" w:line="388" w:lineRule="auto"/>
        <w:ind w:right="213" w:firstLine="480"/>
        <w:rPr>
          <w:color w:val="auto"/>
        </w:rPr>
      </w:pPr>
      <w:r>
        <w:rPr>
          <w:color w:val="auto"/>
        </w:rPr>
        <w:t>引发模仿不安全行为且广告费用无法计算或者明显偏低的，对广告主、广告经营者、广告发布者处以二十万元以上五十万元以下的罚款。</w:t>
      </w:r>
    </w:p>
    <w:p>
      <w:pPr>
        <w:pStyle w:val="4"/>
        <w:spacing w:before="2"/>
        <w:ind w:left="591"/>
        <w:rPr>
          <w:color w:val="auto"/>
        </w:rPr>
      </w:pPr>
      <w:r>
        <w:rPr>
          <w:color w:val="auto"/>
        </w:rPr>
        <w:t>【严重】</w:t>
      </w:r>
    </w:p>
    <w:p>
      <w:pPr>
        <w:pStyle w:val="4"/>
        <w:spacing w:before="195" w:line="388" w:lineRule="auto"/>
        <w:ind w:right="232" w:firstLine="480"/>
        <w:jc w:val="both"/>
        <w:rPr>
          <w:color w:val="auto"/>
        </w:rPr>
      </w:pPr>
      <w:r>
        <w:rPr>
          <w:color w:val="auto"/>
        </w:rPr>
        <w:t>广告费用二十万元以上的，或者造成严重人身、财产损失或者其他严重后果的， 或者造成严重不良社会影响的，对广告主处广告费用四倍以上五倍以下的罚款；对广告经营者、广告发布者没收广告费用，并处广告费用四倍以上五倍以下的罚款。</w:t>
      </w:r>
    </w:p>
    <w:p>
      <w:pPr>
        <w:pStyle w:val="4"/>
        <w:spacing w:before="5" w:line="388" w:lineRule="auto"/>
        <w:ind w:right="232" w:firstLine="480"/>
        <w:jc w:val="both"/>
        <w:rPr>
          <w:color w:val="auto"/>
        </w:rPr>
      </w:pPr>
      <w:r>
        <w:rPr>
          <w:color w:val="auto"/>
        </w:rPr>
        <w:t>造成严重人身、财产损失或者其他严重后果的，或者造成严重不良社会影响的， 且广告费用无法计算或者明显偏低的，对广告主、广告经营者、广告发布者处以五十万元以上一百万元以下的罚款。</w:t>
      </w:r>
    </w:p>
    <w:p>
      <w:pPr>
        <w:pStyle w:val="4"/>
        <w:spacing w:before="6"/>
        <w:ind w:left="591"/>
        <w:rPr>
          <w:color w:val="auto"/>
        </w:rPr>
      </w:pPr>
      <w:r>
        <w:rPr>
          <w:color w:val="auto"/>
        </w:rPr>
        <w:t>2、暂停广告发布业务</w:t>
      </w:r>
    </w:p>
    <w:p>
      <w:pPr>
        <w:pStyle w:val="13"/>
        <w:numPr>
          <w:ilvl w:val="0"/>
          <w:numId w:val="159"/>
        </w:numPr>
        <w:tabs>
          <w:tab w:val="left" w:pos="1193"/>
        </w:tabs>
        <w:spacing w:before="191" w:after="0" w:line="240" w:lineRule="auto"/>
        <w:ind w:left="1192" w:right="0" w:hanging="602"/>
        <w:jc w:val="left"/>
        <w:rPr>
          <w:color w:val="auto"/>
          <w:sz w:val="24"/>
        </w:rPr>
      </w:pPr>
      <w:r>
        <w:rPr>
          <w:color w:val="auto"/>
          <w:sz w:val="24"/>
        </w:rPr>
        <w:t>两年内发布三次以上的；</w:t>
      </w:r>
    </w:p>
    <w:p>
      <w:pPr>
        <w:pStyle w:val="13"/>
        <w:numPr>
          <w:ilvl w:val="0"/>
          <w:numId w:val="159"/>
        </w:numPr>
        <w:tabs>
          <w:tab w:val="left" w:pos="1193"/>
        </w:tabs>
        <w:spacing w:before="192" w:after="0" w:line="391"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3、吊销营业执照、吊销广告发布登记证件</w:t>
      </w:r>
    </w:p>
    <w:p>
      <w:pPr>
        <w:pStyle w:val="13"/>
        <w:numPr>
          <w:ilvl w:val="0"/>
          <w:numId w:val="160"/>
        </w:numPr>
        <w:tabs>
          <w:tab w:val="left" w:pos="1193"/>
        </w:tabs>
        <w:spacing w:before="0" w:after="0" w:line="306" w:lineRule="exact"/>
        <w:ind w:left="1192" w:right="0" w:hanging="602"/>
        <w:jc w:val="left"/>
        <w:rPr>
          <w:color w:val="auto"/>
          <w:sz w:val="24"/>
        </w:rPr>
      </w:pPr>
      <w:r>
        <w:rPr>
          <w:color w:val="auto"/>
          <w:sz w:val="24"/>
        </w:rPr>
        <w:t>引发群体性事件，造成重大影响的；</w:t>
      </w:r>
    </w:p>
    <w:p>
      <w:pPr>
        <w:pStyle w:val="13"/>
        <w:numPr>
          <w:ilvl w:val="0"/>
          <w:numId w:val="160"/>
        </w:numPr>
        <w:tabs>
          <w:tab w:val="left" w:pos="1193"/>
        </w:tabs>
        <w:spacing w:before="192"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60"/>
        </w:numPr>
        <w:tabs>
          <w:tab w:val="left" w:pos="1193"/>
        </w:tabs>
        <w:spacing w:before="194" w:after="0" w:line="240" w:lineRule="auto"/>
        <w:ind w:left="1192" w:right="0" w:hanging="602"/>
        <w:jc w:val="left"/>
        <w:rPr>
          <w:color w:val="auto"/>
          <w:sz w:val="24"/>
        </w:rPr>
      </w:pPr>
      <w:r>
        <w:rPr>
          <w:color w:val="auto"/>
          <w:sz w:val="24"/>
        </w:rPr>
        <w:t>造成严重不良社会影响的。</w:t>
      </w:r>
    </w:p>
    <w:p>
      <w:pPr>
        <w:pStyle w:val="2"/>
        <w:spacing w:before="192"/>
        <w:rPr>
          <w:color w:val="auto"/>
        </w:rPr>
      </w:pPr>
      <w:bookmarkStart w:id="465" w:name="二百二十六、未经审查发布特殊商品和服务广告"/>
      <w:bookmarkEnd w:id="465"/>
      <w:bookmarkStart w:id="466" w:name="_bookmark232"/>
      <w:bookmarkEnd w:id="466"/>
      <w:r>
        <w:rPr>
          <w:color w:val="auto"/>
        </w:rPr>
        <w:t>二百二十六、未经审查发布特殊商品和服务广告</w:t>
      </w:r>
    </w:p>
    <w:p>
      <w:pPr>
        <w:spacing w:before="191"/>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9"/>
        </w:rPr>
        <w:t>、《中华人民共和国广告法》第五十八条 有下列行为之一的，由市场监督管理</w:t>
      </w:r>
      <w:r>
        <w:rPr>
          <w:color w:val="auto"/>
          <w:spacing w:val="-12"/>
        </w:rPr>
        <w:t>部门责令停止发布广告，责令广告主在相应范围内消除影响，处广告费用一倍以上三</w:t>
      </w:r>
      <w:r>
        <w:rPr>
          <w:color w:val="auto"/>
          <w:spacing w:val="-5"/>
        </w:rPr>
        <w:t>倍以下的罚款，广告费用无法计算或者明显偏低的，处十万元以上二十万元以下的罚</w:t>
      </w:r>
    </w:p>
    <w:p>
      <w:pPr>
        <w:spacing w:after="0" w:line="388" w:lineRule="auto"/>
        <w:jc w:val="both"/>
        <w:rPr>
          <w:color w:val="auto"/>
        </w:rPr>
        <w:sectPr>
          <w:footerReference r:id="rId41" w:type="default"/>
          <w:footerReference r:id="rId42" w:type="even"/>
          <w:pgSz w:w="11910" w:h="16840"/>
          <w:pgMar w:top="1520" w:right="1260" w:bottom="1220" w:left="1420" w:header="0" w:footer="1034" w:gutter="0"/>
          <w:pgNumType w:start="190"/>
        </w:sectPr>
      </w:pPr>
    </w:p>
    <w:p>
      <w:pPr>
        <w:pStyle w:val="4"/>
        <w:spacing w:before="39" w:line="391" w:lineRule="auto"/>
        <w:ind w:right="268"/>
        <w:jc w:val="both"/>
        <w:rPr>
          <w:color w:val="auto"/>
        </w:rPr>
      </w:pPr>
      <w:r>
        <w:rPr>
          <w:color w:val="auto"/>
          <w:spacing w:val="-7"/>
        </w:rPr>
        <w:t>款；情节严重的，处广告费用三倍以上五倍以下的罚款，广告费用无法计算或者明显</w:t>
      </w:r>
      <w:r>
        <w:rPr>
          <w:color w:val="auto"/>
          <w:spacing w:val="-6"/>
        </w:rPr>
        <w:t>偏低的，处二十万元以上一百万元以下的罚款，可以吊销营业执照，并由广告审查机</w:t>
      </w:r>
      <w:r>
        <w:rPr>
          <w:color w:val="auto"/>
        </w:rPr>
        <w:t>关撤销广告审查批准文件、一年内不受理其广告审查申请：</w:t>
      </w:r>
    </w:p>
    <w:p>
      <w:pPr>
        <w:pStyle w:val="4"/>
        <w:spacing w:line="304" w:lineRule="exact"/>
        <w:ind w:left="591"/>
        <w:rPr>
          <w:color w:val="auto"/>
        </w:rPr>
      </w:pPr>
      <w:r>
        <w:rPr>
          <w:color w:val="auto"/>
        </w:rPr>
        <w:t>（十四）违反本法第四十六条规定，未经审查发布广告的。</w:t>
      </w:r>
    </w:p>
    <w:p>
      <w:pPr>
        <w:pStyle w:val="4"/>
        <w:spacing w:before="195" w:line="388" w:lineRule="auto"/>
        <w:ind w:right="148" w:firstLine="480"/>
        <w:rPr>
          <w:color w:val="auto"/>
        </w:rPr>
      </w:pPr>
      <w:r>
        <w:rPr>
          <w:color w:val="auto"/>
          <w:spacing w:val="-13"/>
        </w:rPr>
        <w:t>广告经营者、广告发布者明知或者应知有本条第一款规定违法行为仍设计、制作、</w:t>
      </w:r>
      <w:r>
        <w:rPr>
          <w:color w:val="auto"/>
          <w:spacing w:val="-6"/>
        </w:rPr>
        <w:t>代理、发布的，由市场监督管理部门没收广告费用，并处广告费用一倍以上三倍以下</w:t>
      </w:r>
      <w:r>
        <w:rPr>
          <w:color w:val="auto"/>
          <w:spacing w:val="-8"/>
        </w:rPr>
        <w:t>的罚款，广告费用无法计算或者明显偏低的，处十万元以上二十万元以下的罚款；情</w:t>
      </w:r>
      <w:r>
        <w:rPr>
          <w:color w:val="auto"/>
          <w:spacing w:val="-16"/>
        </w:rPr>
        <w:t xml:space="preserve">节严重的，处广告费用三倍以上五倍以下的罚款，广告费用无法计算或者明显偏低的， </w:t>
      </w:r>
      <w:r>
        <w:rPr>
          <w:color w:val="auto"/>
          <w:spacing w:val="-3"/>
        </w:rPr>
        <w:t>处二十万元以上一百万元以下的罚款，并可以由有关部门暂停广告发布业务、吊销营业执照、吊销广告发布登记证件。</w:t>
      </w:r>
    </w:p>
    <w:p>
      <w:pPr>
        <w:pStyle w:val="4"/>
        <w:spacing w:before="11" w:line="388" w:lineRule="auto"/>
        <w:ind w:right="148" w:firstLine="480"/>
        <w:jc w:val="both"/>
        <w:rPr>
          <w:color w:val="auto"/>
        </w:rPr>
      </w:pPr>
      <w:r>
        <w:rPr>
          <w:color w:val="auto"/>
        </w:rPr>
        <w:t>2</w:t>
      </w:r>
      <w:r>
        <w:rPr>
          <w:color w:val="auto"/>
          <w:spacing w:val="-10"/>
        </w:rPr>
        <w:t>、《中华人民共和国广告法》第四十六条 发布医疗、药品、医疗器械、农药、</w:t>
      </w:r>
      <w:r>
        <w:rPr>
          <w:color w:val="auto"/>
          <w:spacing w:val="-12"/>
        </w:rPr>
        <w:t>兽药和保健食品广告，以及法律、行政法规规定应当进行审查的其他广告，应当在发</w:t>
      </w:r>
      <w:r>
        <w:rPr>
          <w:color w:val="auto"/>
          <w:spacing w:val="-16"/>
        </w:rPr>
        <w:t>布前由有关部门</w:t>
      </w:r>
      <w:r>
        <w:rPr>
          <w:color w:val="auto"/>
        </w:rPr>
        <w:t>（以下称广告审查机关</w:t>
      </w:r>
      <w:r>
        <w:rPr>
          <w:color w:val="auto"/>
          <w:spacing w:val="-41"/>
        </w:rPr>
        <w:t>）</w:t>
      </w:r>
      <w:r>
        <w:rPr>
          <w:color w:val="auto"/>
          <w:spacing w:val="-8"/>
        </w:rPr>
        <w:t>对广告内容进行审查；未经审查，不得发布。</w:t>
      </w:r>
    </w:p>
    <w:p>
      <w:pPr>
        <w:spacing w:before="5"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13" w:firstLine="480"/>
        <w:rPr>
          <w:color w:val="auto"/>
        </w:rPr>
      </w:pPr>
      <w:r>
        <w:rPr>
          <w:color w:val="auto"/>
        </w:rPr>
        <w:t>广告费用一万元以下的，对广告主处以广告费用一倍的罚款；对广告经营者、广告发布者没收广告费用，并处广告费用一倍的罚款。</w:t>
      </w:r>
    </w:p>
    <w:p>
      <w:pPr>
        <w:pStyle w:val="4"/>
        <w:spacing w:before="3" w:line="391" w:lineRule="auto"/>
        <w:ind w:right="232" w:firstLine="480"/>
        <w:rPr>
          <w:color w:val="auto"/>
        </w:rPr>
      </w:pPr>
      <w:r>
        <w:rPr>
          <w:color w:val="auto"/>
        </w:rPr>
        <w:t>第一次发现未经审查发布广告且广告费用无法计算或者明显偏低的，对广告主、广告经营者、广告发布者处以十万元的罚款。</w:t>
      </w:r>
    </w:p>
    <w:p>
      <w:pPr>
        <w:pStyle w:val="4"/>
        <w:spacing w:line="306" w:lineRule="exact"/>
        <w:ind w:left="591"/>
        <w:rPr>
          <w:color w:val="auto"/>
        </w:rPr>
      </w:pPr>
      <w:r>
        <w:rPr>
          <w:color w:val="auto"/>
        </w:rPr>
        <w:t>【一般】</w:t>
      </w:r>
    </w:p>
    <w:p>
      <w:pPr>
        <w:pStyle w:val="4"/>
        <w:spacing w:before="191" w:line="391" w:lineRule="auto"/>
        <w:ind w:right="268" w:firstLine="480"/>
        <w:jc w:val="both"/>
        <w:rPr>
          <w:color w:val="auto"/>
        </w:rPr>
      </w:pPr>
      <w:r>
        <w:rPr>
          <w:color w:val="auto"/>
          <w:spacing w:val="-4"/>
        </w:rPr>
        <w:t>广告费用一万元以上十万元以下的，对广告主处以广告费用一倍以上三倍以下的</w:t>
      </w:r>
      <w:r>
        <w:rPr>
          <w:color w:val="auto"/>
          <w:spacing w:val="-6"/>
        </w:rPr>
        <w:t>罚款；对广告经营者、广告发布者没收广告费用，并处广告费用一倍以上三倍以下的</w:t>
      </w:r>
      <w:r>
        <w:rPr>
          <w:color w:val="auto"/>
        </w:rPr>
        <w:t>罚款。</w:t>
      </w:r>
    </w:p>
    <w:p>
      <w:pPr>
        <w:pStyle w:val="4"/>
        <w:spacing w:line="391" w:lineRule="auto"/>
        <w:ind w:right="232" w:firstLine="480"/>
        <w:rPr>
          <w:color w:val="auto"/>
        </w:rPr>
      </w:pPr>
      <w:r>
        <w:rPr>
          <w:color w:val="auto"/>
        </w:rPr>
        <w:t>第二次发现未经审查发布广告且广告费用无法计算或者明显偏低的，对广告主、广告经营者、广告发布者处以十万元以上二十万元以下的罚款。</w:t>
      </w:r>
    </w:p>
    <w:p>
      <w:pPr>
        <w:pStyle w:val="4"/>
        <w:spacing w:line="306" w:lineRule="exact"/>
        <w:ind w:left="591"/>
        <w:rPr>
          <w:color w:val="auto"/>
        </w:rPr>
      </w:pPr>
      <w:r>
        <w:rPr>
          <w:color w:val="auto"/>
        </w:rPr>
        <w:t>【较重】</w:t>
      </w:r>
    </w:p>
    <w:p>
      <w:pPr>
        <w:pStyle w:val="4"/>
        <w:spacing w:before="188"/>
        <w:ind w:left="591"/>
        <w:rPr>
          <w:color w:val="auto"/>
        </w:rPr>
      </w:pPr>
      <w:r>
        <w:rPr>
          <w:color w:val="auto"/>
        </w:rPr>
        <w:t>广告费用十万元以上二十万元以下的，对广告主处以广告费用三倍以上四倍以下</w:t>
      </w:r>
    </w:p>
    <w:p>
      <w:pPr>
        <w:spacing w:after="0"/>
        <w:rPr>
          <w:color w:val="auto"/>
        </w:rPr>
        <w:sectPr>
          <w:pgSz w:w="11910" w:h="16840"/>
          <w:pgMar w:top="1520" w:right="1260" w:bottom="1220" w:left="1420" w:header="0" w:footer="1034" w:gutter="0"/>
        </w:sectPr>
      </w:pPr>
    </w:p>
    <w:p>
      <w:pPr>
        <w:pStyle w:val="4"/>
        <w:spacing w:before="39" w:line="391" w:lineRule="auto"/>
        <w:ind w:right="230"/>
        <w:rPr>
          <w:color w:val="auto"/>
        </w:rPr>
      </w:pPr>
      <w:r>
        <w:rPr>
          <w:color w:val="auto"/>
        </w:rPr>
        <w:t>的罚款；对广告经营者、广告发布者没收广告费用，并处广告费用三倍以上四倍以下的罚款。</w:t>
      </w:r>
    </w:p>
    <w:p>
      <w:pPr>
        <w:pStyle w:val="4"/>
        <w:spacing w:line="388" w:lineRule="auto"/>
        <w:ind w:right="269" w:firstLine="480"/>
        <w:rPr>
          <w:color w:val="auto"/>
        </w:rPr>
      </w:pPr>
      <w:r>
        <w:rPr>
          <w:color w:val="auto"/>
        </w:rPr>
        <w:t>三次以上发现未经审查发布广告且广告费用无法计算或者明显偏低的，对广告主、广告经营者、广告发布者处以二十万元以上五十万元以下的罚款。</w:t>
      </w:r>
    </w:p>
    <w:p>
      <w:pPr>
        <w:pStyle w:val="4"/>
        <w:spacing w:before="3"/>
        <w:ind w:left="591"/>
        <w:rPr>
          <w:color w:val="auto"/>
        </w:rPr>
      </w:pPr>
      <w:r>
        <w:rPr>
          <w:color w:val="auto"/>
        </w:rPr>
        <w:t>【严重】</w:t>
      </w:r>
    </w:p>
    <w:p>
      <w:pPr>
        <w:pStyle w:val="4"/>
        <w:spacing w:before="192" w:line="391" w:lineRule="auto"/>
        <w:ind w:right="232" w:firstLine="480"/>
        <w:jc w:val="both"/>
        <w:rPr>
          <w:color w:val="auto"/>
        </w:rPr>
      </w:pPr>
      <w:r>
        <w:rPr>
          <w:color w:val="auto"/>
        </w:rPr>
        <w:t>广告费用二十万元以上的，或者造成严重人身、财产损失或者其他严重后果的， 或者造成严重不良社会影响的，对广告主处广告费用四倍以上五倍以下的罚款；对广告经营者、广告发布者没收广告费用，并处广告费用四倍以上五倍以下的罚款。</w:t>
      </w:r>
    </w:p>
    <w:p>
      <w:pPr>
        <w:pStyle w:val="4"/>
        <w:spacing w:line="391" w:lineRule="auto"/>
        <w:ind w:right="268" w:firstLine="480"/>
        <w:jc w:val="both"/>
        <w:rPr>
          <w:color w:val="auto"/>
        </w:rPr>
      </w:pPr>
      <w:r>
        <w:rPr>
          <w:color w:val="auto"/>
          <w:spacing w:val="-5"/>
        </w:rPr>
        <w:t>造成严重人身、财产损失或者其他严重后果的，或者在社会上造成严重不良影响</w:t>
      </w:r>
      <w:r>
        <w:rPr>
          <w:color w:val="auto"/>
          <w:spacing w:val="-7"/>
        </w:rPr>
        <w:t>的，且广告费用无法计算或者明显偏低的，对广告主、广告经营者、广告发布者处以</w:t>
      </w:r>
      <w:r>
        <w:rPr>
          <w:color w:val="auto"/>
        </w:rPr>
        <w:t>五十万元以上一百万元以下的罚款。</w:t>
      </w:r>
    </w:p>
    <w:p>
      <w:pPr>
        <w:pStyle w:val="4"/>
        <w:spacing w:line="304" w:lineRule="exact"/>
        <w:ind w:left="591"/>
        <w:rPr>
          <w:color w:val="auto"/>
        </w:rPr>
      </w:pPr>
      <w:r>
        <w:rPr>
          <w:color w:val="auto"/>
        </w:rPr>
        <w:t>2、暂停广告发布业务</w:t>
      </w:r>
    </w:p>
    <w:p>
      <w:pPr>
        <w:pStyle w:val="13"/>
        <w:numPr>
          <w:ilvl w:val="0"/>
          <w:numId w:val="161"/>
        </w:numPr>
        <w:tabs>
          <w:tab w:val="left" w:pos="1193"/>
        </w:tabs>
        <w:spacing w:before="188" w:after="0" w:line="240" w:lineRule="auto"/>
        <w:ind w:left="1192" w:right="0" w:hanging="602"/>
        <w:jc w:val="left"/>
        <w:rPr>
          <w:color w:val="auto"/>
          <w:sz w:val="24"/>
        </w:rPr>
      </w:pPr>
      <w:r>
        <w:rPr>
          <w:color w:val="auto"/>
          <w:sz w:val="24"/>
        </w:rPr>
        <w:t>两年内发布三次以上的；</w:t>
      </w:r>
    </w:p>
    <w:p>
      <w:pPr>
        <w:pStyle w:val="13"/>
        <w:numPr>
          <w:ilvl w:val="0"/>
          <w:numId w:val="161"/>
        </w:numPr>
        <w:tabs>
          <w:tab w:val="left" w:pos="1193"/>
        </w:tabs>
        <w:spacing w:before="194" w:after="0" w:line="388" w:lineRule="auto"/>
        <w:ind w:left="591" w:right="2752" w:firstLine="0"/>
        <w:jc w:val="left"/>
        <w:rPr>
          <w:color w:val="auto"/>
          <w:sz w:val="24"/>
        </w:rPr>
      </w:pPr>
      <w:r>
        <w:rPr>
          <w:color w:val="auto"/>
          <w:spacing w:val="-1"/>
          <w:sz w:val="24"/>
        </w:rPr>
        <w:t>拒不配合监督检查，情节严重，社会影响恶劣的。</w:t>
      </w:r>
      <w:r>
        <w:rPr>
          <w:color w:val="auto"/>
          <w:sz w:val="24"/>
        </w:rPr>
        <w:t>3、吊销营业执照、吊销广告发布登记</w:t>
      </w:r>
    </w:p>
    <w:p>
      <w:pPr>
        <w:pStyle w:val="13"/>
        <w:numPr>
          <w:ilvl w:val="0"/>
          <w:numId w:val="162"/>
        </w:numPr>
        <w:tabs>
          <w:tab w:val="left" w:pos="1193"/>
        </w:tabs>
        <w:spacing w:before="2" w:after="0" w:line="240" w:lineRule="auto"/>
        <w:ind w:left="1192" w:right="0" w:hanging="602"/>
        <w:jc w:val="left"/>
        <w:rPr>
          <w:color w:val="auto"/>
          <w:sz w:val="24"/>
        </w:rPr>
      </w:pPr>
      <w:r>
        <w:rPr>
          <w:color w:val="auto"/>
          <w:sz w:val="24"/>
        </w:rPr>
        <w:t>引发群体性事件，造成重大影响的；</w:t>
      </w:r>
    </w:p>
    <w:p>
      <w:pPr>
        <w:pStyle w:val="13"/>
        <w:numPr>
          <w:ilvl w:val="0"/>
          <w:numId w:val="162"/>
        </w:numPr>
        <w:tabs>
          <w:tab w:val="left" w:pos="1193"/>
        </w:tabs>
        <w:spacing w:before="194" w:after="0" w:line="240" w:lineRule="auto"/>
        <w:ind w:left="1192" w:right="0" w:hanging="602"/>
        <w:jc w:val="left"/>
        <w:rPr>
          <w:color w:val="auto"/>
          <w:sz w:val="24"/>
        </w:rPr>
      </w:pPr>
      <w:r>
        <w:rPr>
          <w:color w:val="auto"/>
          <w:sz w:val="24"/>
        </w:rPr>
        <w:t>造成严重人身、财产损失或者其他严重后果的；</w:t>
      </w:r>
    </w:p>
    <w:p>
      <w:pPr>
        <w:pStyle w:val="13"/>
        <w:numPr>
          <w:ilvl w:val="0"/>
          <w:numId w:val="162"/>
        </w:numPr>
        <w:tabs>
          <w:tab w:val="left" w:pos="1193"/>
        </w:tabs>
        <w:spacing w:before="192" w:after="0" w:line="240" w:lineRule="auto"/>
        <w:ind w:left="1192" w:right="0" w:hanging="602"/>
        <w:jc w:val="left"/>
        <w:rPr>
          <w:color w:val="auto"/>
          <w:sz w:val="24"/>
        </w:rPr>
      </w:pPr>
      <w:r>
        <w:rPr>
          <w:color w:val="auto"/>
          <w:sz w:val="24"/>
        </w:rPr>
        <w:t>造成严重不良社会影响的。</w:t>
      </w:r>
    </w:p>
    <w:p>
      <w:pPr>
        <w:pStyle w:val="2"/>
        <w:spacing w:before="192"/>
        <w:rPr>
          <w:color w:val="auto"/>
        </w:rPr>
      </w:pPr>
      <w:bookmarkStart w:id="467" w:name="_bookmark233"/>
      <w:bookmarkEnd w:id="467"/>
      <w:bookmarkStart w:id="468" w:name="二百二十七、广告内容不准确、不清楚、不明白"/>
      <w:bookmarkEnd w:id="468"/>
      <w:r>
        <w:rPr>
          <w:color w:val="auto"/>
        </w:rPr>
        <w:t>二百二十七、广告内容不准确、不清楚、不明白</w:t>
      </w:r>
    </w:p>
    <w:p>
      <w:pPr>
        <w:spacing w:before="194"/>
        <w:ind w:left="591" w:right="0" w:firstLine="0"/>
        <w:jc w:val="left"/>
        <w:rPr>
          <w:b/>
          <w:color w:val="auto"/>
          <w:sz w:val="24"/>
        </w:rPr>
      </w:pPr>
      <w:r>
        <w:rPr>
          <w:b/>
          <w:color w:val="auto"/>
          <w:sz w:val="24"/>
        </w:rPr>
        <w:t>（一）处罚依据</w:t>
      </w:r>
    </w:p>
    <w:p>
      <w:pPr>
        <w:pStyle w:val="4"/>
        <w:spacing w:before="192" w:line="388" w:lineRule="auto"/>
        <w:ind w:right="271" w:firstLine="480"/>
        <w:rPr>
          <w:color w:val="auto"/>
        </w:rPr>
      </w:pPr>
      <w:r>
        <w:rPr>
          <w:color w:val="auto"/>
        </w:rPr>
        <w:t>1</w:t>
      </w:r>
      <w:r>
        <w:rPr>
          <w:color w:val="auto"/>
          <w:spacing w:val="-9"/>
        </w:rPr>
        <w:t>、《中华人民共和国广告法》第五十九条 有下列行为之一的，由市场监督管理部门责令停止发布广告，对广告主处十万元以下的罚款：</w:t>
      </w:r>
    </w:p>
    <w:p>
      <w:pPr>
        <w:pStyle w:val="4"/>
        <w:spacing w:before="4"/>
        <w:ind w:left="591"/>
        <w:rPr>
          <w:color w:val="auto"/>
        </w:rPr>
      </w:pPr>
      <w:r>
        <w:rPr>
          <w:color w:val="auto"/>
        </w:rPr>
        <w:t>（一）广告内容违反本法第八条规定的；</w:t>
      </w:r>
    </w:p>
    <w:p>
      <w:pPr>
        <w:pStyle w:val="4"/>
        <w:spacing w:before="192"/>
        <w:ind w:left="591"/>
        <w:rPr>
          <w:color w:val="auto"/>
        </w:rPr>
      </w:pPr>
      <w:r>
        <w:rPr>
          <w:color w:val="auto"/>
        </w:rPr>
        <w:t>（二）广告引证内容违反本法第十一条规定的；</w:t>
      </w:r>
    </w:p>
    <w:p>
      <w:pPr>
        <w:pStyle w:val="4"/>
        <w:spacing w:before="191"/>
        <w:ind w:left="591"/>
        <w:rPr>
          <w:color w:val="auto"/>
        </w:rPr>
      </w:pPr>
      <w:r>
        <w:rPr>
          <w:color w:val="auto"/>
        </w:rPr>
        <w:t>（三）涉及专利的广告违反本法第十二条规定的。</w:t>
      </w:r>
    </w:p>
    <w:p>
      <w:pPr>
        <w:pStyle w:val="4"/>
        <w:spacing w:before="195" w:line="388" w:lineRule="auto"/>
        <w:ind w:right="148" w:firstLine="480"/>
        <w:rPr>
          <w:color w:val="auto"/>
        </w:rPr>
      </w:pPr>
      <w:r>
        <w:rPr>
          <w:color w:val="auto"/>
          <w:spacing w:val="-12"/>
        </w:rPr>
        <w:t>广告经营者、广告发布者明知或者应知有前款规定违法行为仍设计、制作、代理、</w:t>
      </w:r>
      <w:r>
        <w:rPr>
          <w:color w:val="auto"/>
        </w:rPr>
        <w:t>发布的，由市场监督管理部门处十万元以下的罚款。</w:t>
      </w:r>
    </w:p>
    <w:p>
      <w:pPr>
        <w:pStyle w:val="13"/>
        <w:numPr>
          <w:ilvl w:val="1"/>
          <w:numId w:val="163"/>
        </w:numPr>
        <w:tabs>
          <w:tab w:val="left" w:pos="954"/>
        </w:tabs>
        <w:spacing w:before="2" w:after="0" w:line="240" w:lineRule="auto"/>
        <w:ind w:left="953" w:right="0" w:hanging="363"/>
        <w:jc w:val="left"/>
        <w:rPr>
          <w:color w:val="auto"/>
          <w:sz w:val="24"/>
        </w:rPr>
      </w:pPr>
      <w:r>
        <w:rPr>
          <w:color w:val="auto"/>
          <w:spacing w:val="-11"/>
          <w:sz w:val="24"/>
        </w:rPr>
        <w:t>、《中华人民共和国广告法》第八条 广告中对商品的性能、功能、产地、用</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30"/>
        <w:rPr>
          <w:color w:val="auto"/>
        </w:rPr>
      </w:pPr>
      <w:r>
        <w:rPr>
          <w:color w:val="auto"/>
        </w:rPr>
        <w:t>途、质量、成分、价格、生产者、有效期限、允诺等或者对服务的内容、提供者、形式、质量、价格、允诺等有表示的，应当准确、清楚、明白。</w:t>
      </w:r>
    </w:p>
    <w:p>
      <w:pPr>
        <w:pStyle w:val="4"/>
        <w:spacing w:line="388" w:lineRule="auto"/>
        <w:ind w:right="213" w:firstLine="480"/>
        <w:rPr>
          <w:color w:val="auto"/>
        </w:rPr>
      </w:pPr>
      <w:r>
        <w:rPr>
          <w:color w:val="auto"/>
        </w:rPr>
        <w:t>广告中表明推销的商品或者服务附带赠送的，应当明示所附带赠送商品或者服务的品种、规格、数量、期限和方式。</w:t>
      </w:r>
    </w:p>
    <w:p>
      <w:pPr>
        <w:pStyle w:val="4"/>
        <w:spacing w:before="3"/>
        <w:ind w:left="591"/>
        <w:rPr>
          <w:color w:val="auto"/>
        </w:rPr>
      </w:pPr>
      <w:r>
        <w:rPr>
          <w:color w:val="auto"/>
        </w:rPr>
        <w:t>法律、行政法规规定广告中应当明示的内容，应当显著、清晰表示。</w:t>
      </w:r>
    </w:p>
    <w:p>
      <w:pPr>
        <w:pStyle w:val="13"/>
        <w:numPr>
          <w:ilvl w:val="1"/>
          <w:numId w:val="163"/>
        </w:numPr>
        <w:tabs>
          <w:tab w:val="left" w:pos="954"/>
        </w:tabs>
        <w:spacing w:before="192" w:after="0" w:line="388" w:lineRule="auto"/>
        <w:ind w:left="111" w:right="271" w:firstLine="480"/>
        <w:jc w:val="left"/>
        <w:rPr>
          <w:color w:val="auto"/>
          <w:sz w:val="24"/>
        </w:rPr>
      </w:pPr>
      <w:r>
        <w:rPr>
          <w:color w:val="auto"/>
          <w:spacing w:val="-9"/>
          <w:sz w:val="24"/>
        </w:rPr>
        <w:t>、《中华人民共和国广告法》第十一条 广告内容涉及的事项需要取得行政许可的，应当与许可的内容相符合。</w:t>
      </w:r>
    </w:p>
    <w:p>
      <w:pPr>
        <w:pStyle w:val="4"/>
        <w:spacing w:before="5" w:line="388" w:lineRule="auto"/>
        <w:ind w:right="232" w:firstLine="480"/>
        <w:rPr>
          <w:color w:val="auto"/>
        </w:rPr>
      </w:pPr>
      <w:r>
        <w:rPr>
          <w:color w:val="auto"/>
        </w:rPr>
        <w:t>广告使用数据、统计资料、调查结果、文摘、引用语等引证内容的，应当真实、准确，并表明出处。引证内容有适用范围和有效期限的，应当明确表示。</w:t>
      </w:r>
    </w:p>
    <w:p>
      <w:pPr>
        <w:pStyle w:val="13"/>
        <w:numPr>
          <w:ilvl w:val="1"/>
          <w:numId w:val="163"/>
        </w:numPr>
        <w:tabs>
          <w:tab w:val="left" w:pos="953"/>
        </w:tabs>
        <w:spacing w:before="2" w:after="0" w:line="391" w:lineRule="auto"/>
        <w:ind w:left="111" w:right="148" w:firstLine="480"/>
        <w:jc w:val="left"/>
        <w:rPr>
          <w:color w:val="auto"/>
          <w:sz w:val="24"/>
        </w:rPr>
      </w:pPr>
      <w:r>
        <w:rPr>
          <w:color w:val="auto"/>
          <w:spacing w:val="-15"/>
          <w:sz w:val="24"/>
        </w:rPr>
        <w:t xml:space="preserve">、《中华人民共和国广告法》第十二条 广告中涉及专利产品或者专利方法的， </w:t>
      </w:r>
      <w:r>
        <w:rPr>
          <w:color w:val="auto"/>
          <w:sz w:val="24"/>
        </w:rPr>
        <w:t>应当标明专利号和专利种类。</w:t>
      </w:r>
    </w:p>
    <w:p>
      <w:pPr>
        <w:pStyle w:val="4"/>
        <w:spacing w:line="306" w:lineRule="exact"/>
        <w:ind w:left="591"/>
        <w:rPr>
          <w:color w:val="auto"/>
        </w:rPr>
      </w:pPr>
      <w:r>
        <w:rPr>
          <w:color w:val="auto"/>
        </w:rPr>
        <w:t>未取得专利权的，不得在广告中谎称取得专利权。</w:t>
      </w:r>
    </w:p>
    <w:p>
      <w:pPr>
        <w:pStyle w:val="4"/>
        <w:spacing w:before="191"/>
        <w:ind w:left="591"/>
        <w:rPr>
          <w:color w:val="auto"/>
        </w:rPr>
      </w:pPr>
      <w:r>
        <w:rPr>
          <w:color w:val="auto"/>
        </w:rPr>
        <w:t>禁止使用未授予专利权的专利申请和已经终止、撤销、无效的专利作广告。</w:t>
      </w:r>
    </w:p>
    <w:p>
      <w:pPr>
        <w:pStyle w:val="2"/>
        <w:spacing w:before="194"/>
        <w:rPr>
          <w:color w:val="auto"/>
        </w:rPr>
      </w:pPr>
      <w:r>
        <w:rPr>
          <w:color w:val="auto"/>
        </w:rPr>
        <w:t>（二）裁量标准</w:t>
      </w:r>
    </w:p>
    <w:p>
      <w:pPr>
        <w:pStyle w:val="4"/>
        <w:spacing w:before="192"/>
        <w:ind w:left="591"/>
        <w:rPr>
          <w:rFonts w:hint="eastAsia"/>
          <w:color w:val="auto"/>
          <w:lang w:val="en-US" w:eastAsia="zh-CN"/>
        </w:rPr>
      </w:pPr>
      <w:r>
        <w:rPr>
          <w:rFonts w:hint="eastAsia"/>
          <w:color w:val="auto"/>
          <w:lang w:val="en-US" w:eastAsia="zh-CN"/>
        </w:rPr>
        <w:t>1.【不予处罚】</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引证内容有出处，且真实、准确；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 xml:space="preserve">专利真实有效；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80" w:firstLineChars="200"/>
        <w:jc w:val="left"/>
        <w:rPr>
          <w:rFonts w:hint="default"/>
          <w:color w:val="auto"/>
          <w:lang w:val="en-US" w:eastAsia="zh-CN"/>
        </w:rPr>
      </w:pPr>
      <w:r>
        <w:rPr>
          <w:rFonts w:hint="eastAsia" w:cs="宋体"/>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未造成危害后果</w:t>
      </w:r>
    </w:p>
    <w:p>
      <w:pPr>
        <w:pStyle w:val="4"/>
        <w:spacing w:before="192"/>
        <w:ind w:left="591"/>
        <w:rPr>
          <w:color w:val="auto"/>
        </w:rPr>
      </w:pPr>
      <w:r>
        <w:rPr>
          <w:rFonts w:hint="eastAsia"/>
          <w:color w:val="auto"/>
          <w:lang w:val="en-US" w:eastAsia="zh-CN"/>
        </w:rPr>
        <w:t>2.</w:t>
      </w:r>
      <w:r>
        <w:rPr>
          <w:color w:val="auto"/>
        </w:rPr>
        <w:t>【较轻】</w:t>
      </w:r>
    </w:p>
    <w:p>
      <w:pPr>
        <w:pStyle w:val="4"/>
        <w:spacing w:before="192" w:line="391" w:lineRule="auto"/>
        <w:ind w:right="213" w:firstLine="480"/>
        <w:rPr>
          <w:color w:val="auto"/>
        </w:rPr>
      </w:pPr>
      <w:r>
        <w:rPr>
          <w:color w:val="auto"/>
        </w:rPr>
        <w:t>广告费用一万元以下的，对广告主处以一万元以下的罚款；对广告经营者、广告发布者处以一万元以下的罚款。</w:t>
      </w:r>
    </w:p>
    <w:p>
      <w:pPr>
        <w:pStyle w:val="4"/>
        <w:spacing w:line="306" w:lineRule="exact"/>
        <w:ind w:left="591"/>
        <w:rPr>
          <w:color w:val="auto"/>
        </w:rPr>
      </w:pPr>
      <w:r>
        <w:rPr>
          <w:rFonts w:hint="eastAsia"/>
          <w:color w:val="auto"/>
          <w:lang w:val="en-US" w:eastAsia="zh-CN"/>
        </w:rPr>
        <w:t>3.</w:t>
      </w:r>
      <w:r>
        <w:rPr>
          <w:color w:val="auto"/>
        </w:rPr>
        <w:t>【一般】</w:t>
      </w:r>
    </w:p>
    <w:p>
      <w:pPr>
        <w:pStyle w:val="4"/>
        <w:spacing w:before="192" w:line="391" w:lineRule="auto"/>
        <w:ind w:right="232" w:firstLine="480"/>
        <w:rPr>
          <w:color w:val="auto"/>
        </w:rPr>
      </w:pPr>
      <w:r>
        <w:rPr>
          <w:color w:val="auto"/>
        </w:rPr>
        <w:t>广告费用一万元以上十万元以下的，对广告主处以一万元以上三万元以下罚款； 对广告经营者、广告发布者处以一万元以上三万元以下的罚款。</w:t>
      </w:r>
    </w:p>
    <w:p>
      <w:pPr>
        <w:pStyle w:val="4"/>
        <w:spacing w:line="306" w:lineRule="exact"/>
        <w:ind w:left="591"/>
        <w:rPr>
          <w:color w:val="auto"/>
        </w:rPr>
      </w:pPr>
      <w:r>
        <w:rPr>
          <w:rFonts w:hint="eastAsia"/>
          <w:color w:val="auto"/>
          <w:lang w:val="en-US" w:eastAsia="zh-CN"/>
        </w:rPr>
        <w:t>4.</w:t>
      </w:r>
      <w:r>
        <w:rPr>
          <w:color w:val="auto"/>
        </w:rPr>
        <w:t>【较重】</w:t>
      </w:r>
    </w:p>
    <w:p>
      <w:pPr>
        <w:pStyle w:val="4"/>
        <w:spacing w:before="191" w:line="391" w:lineRule="auto"/>
        <w:ind w:right="213" w:firstLine="480"/>
        <w:rPr>
          <w:color w:val="auto"/>
        </w:rPr>
      </w:pPr>
      <w:r>
        <w:rPr>
          <w:color w:val="auto"/>
        </w:rPr>
        <w:t>广告费用十万元以上二十万元以下的，对广告主处以三万元以上五万元以下的罚款；对广告经营者、广告发布者处以三万元以上五万元以下的罚款。</w:t>
      </w:r>
    </w:p>
    <w:p>
      <w:pPr>
        <w:pStyle w:val="4"/>
        <w:spacing w:line="306" w:lineRule="exact"/>
        <w:ind w:left="591"/>
        <w:rPr>
          <w:color w:val="auto"/>
        </w:rPr>
      </w:pPr>
      <w:r>
        <w:rPr>
          <w:rFonts w:hint="eastAsia"/>
          <w:color w:val="auto"/>
          <w:lang w:val="en-US" w:eastAsia="zh-CN"/>
        </w:rPr>
        <w:t>5.</w:t>
      </w:r>
      <w:r>
        <w:rPr>
          <w:color w:val="auto"/>
        </w:rPr>
        <w:t>【严重】</w:t>
      </w:r>
    </w:p>
    <w:p>
      <w:pPr>
        <w:pStyle w:val="4"/>
        <w:spacing w:before="192" w:line="391" w:lineRule="auto"/>
        <w:ind w:right="232" w:firstLine="480"/>
        <w:jc w:val="both"/>
        <w:rPr>
          <w:color w:val="auto"/>
        </w:rPr>
      </w:pPr>
      <w:r>
        <w:rPr>
          <w:color w:val="auto"/>
        </w:rPr>
        <w:t>广告费用二十万元以上的，或者造成严重人身、财产损失或者其他严重后果的， 或者造成严重不良社会影响的，对广告主处以五万元以上十万元以下的罚款；对广告经营者、广告发布者处以五万元以上十万元以下的罚款。</w:t>
      </w:r>
    </w:p>
    <w:p>
      <w:pPr>
        <w:pStyle w:val="2"/>
        <w:spacing w:line="304" w:lineRule="exact"/>
        <w:rPr>
          <w:color w:val="auto"/>
        </w:rPr>
      </w:pPr>
      <w:bookmarkStart w:id="469" w:name="二百二十八、发布贬低其他生产经营者的商品或者服务的广告"/>
      <w:bookmarkEnd w:id="469"/>
      <w:bookmarkStart w:id="470" w:name="_bookmark234"/>
      <w:bookmarkEnd w:id="470"/>
      <w:r>
        <w:rPr>
          <w:color w:val="auto"/>
        </w:rPr>
        <w:t>二百二十八、发布贬低其他生产经营者的商品或者服务的广告</w:t>
      </w:r>
    </w:p>
    <w:p>
      <w:pPr>
        <w:spacing w:before="39"/>
        <w:ind w:left="591" w:right="0" w:firstLine="0"/>
        <w:jc w:val="left"/>
        <w:rPr>
          <w:b/>
          <w:color w:val="auto"/>
          <w:sz w:val="24"/>
        </w:rPr>
      </w:pPr>
      <w:r>
        <w:rPr>
          <w:b/>
          <w:color w:val="auto"/>
          <w:sz w:val="24"/>
        </w:rPr>
        <w:t>（一）处罚依据</w:t>
      </w:r>
    </w:p>
    <w:p>
      <w:pPr>
        <w:pStyle w:val="4"/>
        <w:spacing w:before="195" w:line="388" w:lineRule="auto"/>
        <w:ind w:right="271" w:firstLine="480"/>
        <w:rPr>
          <w:color w:val="auto"/>
        </w:rPr>
      </w:pPr>
      <w:r>
        <w:rPr>
          <w:color w:val="auto"/>
        </w:rPr>
        <w:t>1</w:t>
      </w:r>
      <w:r>
        <w:rPr>
          <w:color w:val="auto"/>
          <w:spacing w:val="-9"/>
        </w:rPr>
        <w:t>、《中华人民共和国广告法》第五十九条 有下列行为之一的，由市场监督管理部门责令停止发布广告，对广告主处十万元以下的罚款：</w:t>
      </w:r>
    </w:p>
    <w:p>
      <w:pPr>
        <w:pStyle w:val="4"/>
        <w:spacing w:before="2" w:line="391" w:lineRule="auto"/>
        <w:ind w:left="591" w:right="148"/>
        <w:rPr>
          <w:color w:val="auto"/>
        </w:rPr>
      </w:pPr>
      <w:r>
        <w:rPr>
          <w:color w:val="auto"/>
        </w:rPr>
        <w:t xml:space="preserve">（四）违反本法第十三条规定，广告贬低其他生产经营者的商品或者服务的。 </w:t>
      </w:r>
      <w:r>
        <w:rPr>
          <w:color w:val="auto"/>
          <w:spacing w:val="-12"/>
        </w:rPr>
        <w:t>广告经营者、广告发布者明知或者应知有前款规定违法行为仍设计、制作、代理、</w:t>
      </w:r>
    </w:p>
    <w:p>
      <w:pPr>
        <w:pStyle w:val="4"/>
        <w:spacing w:line="306" w:lineRule="exact"/>
        <w:rPr>
          <w:color w:val="auto"/>
        </w:rPr>
      </w:pPr>
      <w:r>
        <w:rPr>
          <w:color w:val="auto"/>
        </w:rPr>
        <w:t>发布的，由市场监督管理部门处十万元以下的罚款。</w:t>
      </w:r>
    </w:p>
    <w:p>
      <w:pPr>
        <w:pStyle w:val="4"/>
        <w:spacing w:before="191" w:line="391" w:lineRule="auto"/>
        <w:ind w:right="268" w:firstLine="480"/>
        <w:rPr>
          <w:color w:val="auto"/>
        </w:rPr>
      </w:pPr>
      <w:r>
        <w:rPr>
          <w:color w:val="auto"/>
        </w:rPr>
        <w:t>2</w:t>
      </w:r>
      <w:r>
        <w:rPr>
          <w:color w:val="auto"/>
          <w:spacing w:val="-9"/>
        </w:rPr>
        <w:t>、《中华人民共和国广告法》第十三条 广告不得贬低其他生产经营者的商品或者服务。</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before="3" w:line="388" w:lineRule="auto"/>
        <w:ind w:right="213" w:firstLine="480"/>
        <w:rPr>
          <w:color w:val="auto"/>
        </w:rPr>
      </w:pPr>
      <w:r>
        <w:rPr>
          <w:color w:val="auto"/>
        </w:rPr>
        <w:t>广告费用一万元以下的，对广告主处以一万元以下的罚款；对广告经营者、广告发布者处以一万元以下的罚款。</w:t>
      </w:r>
    </w:p>
    <w:p>
      <w:pPr>
        <w:pStyle w:val="13"/>
        <w:numPr>
          <w:ilvl w:val="0"/>
          <w:numId w:val="164"/>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269" w:firstLine="480"/>
        <w:rPr>
          <w:color w:val="auto"/>
        </w:rPr>
      </w:pPr>
      <w:r>
        <w:rPr>
          <w:color w:val="auto"/>
        </w:rPr>
        <w:t>广告费用一万元以上十万元以下的，对广告主处以一万元以上三万元以下的罚款；对广告经营者、广告发布者处以一万元以上三万元以下的罚款。</w:t>
      </w:r>
    </w:p>
    <w:p>
      <w:pPr>
        <w:pStyle w:val="13"/>
        <w:numPr>
          <w:ilvl w:val="0"/>
          <w:numId w:val="164"/>
        </w:numPr>
        <w:tabs>
          <w:tab w:val="left" w:pos="833"/>
        </w:tabs>
        <w:spacing w:before="3" w:after="0" w:line="240" w:lineRule="auto"/>
        <w:ind w:left="832" w:right="0" w:hanging="242"/>
        <w:jc w:val="left"/>
        <w:rPr>
          <w:color w:val="auto"/>
          <w:sz w:val="24"/>
        </w:rPr>
      </w:pPr>
      <w:r>
        <w:rPr>
          <w:color w:val="auto"/>
          <w:sz w:val="24"/>
        </w:rPr>
        <w:t>【较重】</w:t>
      </w:r>
    </w:p>
    <w:p>
      <w:pPr>
        <w:pStyle w:val="4"/>
        <w:spacing w:before="194" w:line="388" w:lineRule="auto"/>
        <w:ind w:right="213" w:firstLine="480"/>
        <w:rPr>
          <w:color w:val="auto"/>
        </w:rPr>
      </w:pPr>
      <w:r>
        <w:rPr>
          <w:color w:val="auto"/>
        </w:rPr>
        <w:t>广告费用十万元以上二十万元以下的，对广告主处以三万元以上五万元以下的罚款；对广告经营者、广告发布者处以三万元以上五万元以下的罚款。</w:t>
      </w:r>
    </w:p>
    <w:p>
      <w:pPr>
        <w:pStyle w:val="13"/>
        <w:numPr>
          <w:ilvl w:val="0"/>
          <w:numId w:val="164"/>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32" w:firstLine="480"/>
        <w:jc w:val="both"/>
        <w:rPr>
          <w:color w:val="auto"/>
        </w:rPr>
      </w:pPr>
      <w:r>
        <w:rPr>
          <w:color w:val="auto"/>
        </w:rPr>
        <w:t>广告费用二十万元以上的，或者造成严重人身、财产损失或者其他严重后果的， 或者造成严重不良社会影响的，对广告主处以五万元以上十万元以下的罚款；对广告经营者、广告发布者处以五万元以上十万元以下的罚款。</w:t>
      </w:r>
    </w:p>
    <w:p>
      <w:pPr>
        <w:pStyle w:val="2"/>
        <w:spacing w:before="5"/>
        <w:rPr>
          <w:color w:val="auto"/>
        </w:rPr>
      </w:pPr>
      <w:bookmarkStart w:id="471" w:name="_bookmark235"/>
      <w:bookmarkEnd w:id="471"/>
      <w:bookmarkStart w:id="472" w:name="二百二十九、发布不具有可识别性广告"/>
      <w:bookmarkEnd w:id="472"/>
      <w:r>
        <w:rPr>
          <w:color w:val="auto"/>
        </w:rPr>
        <w:t>二百二十九、发布不具有可识别性广告</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 xml:space="preserve">、《中华人民共和国广告法》第五十九条第三款 广告违反本法第十四条规定， </w:t>
      </w:r>
      <w:r>
        <w:rPr>
          <w:color w:val="auto"/>
          <w:spacing w:val="-12"/>
        </w:rPr>
        <w:t>不具有可识别性的，由市场监督管理部门责令改正，对广告发布者处十万元以下的罚</w:t>
      </w:r>
      <w:r>
        <w:rPr>
          <w:color w:val="auto"/>
        </w:rPr>
        <w:t>款。</w:t>
      </w:r>
    </w:p>
    <w:p>
      <w:pPr>
        <w:pStyle w:val="4"/>
        <w:spacing w:line="304" w:lineRule="exact"/>
        <w:ind w:left="591"/>
        <w:jc w:val="both"/>
        <w:rPr>
          <w:color w:val="auto"/>
        </w:rPr>
      </w:pPr>
      <w:r>
        <w:rPr>
          <w:color w:val="auto"/>
        </w:rPr>
        <w:t>2、《中华人民共和国广告法》第十四条 广告应当具有可识别性，能够使消费者</w:t>
      </w:r>
    </w:p>
    <w:p>
      <w:pPr>
        <w:pStyle w:val="4"/>
        <w:spacing w:before="39"/>
        <w:rPr>
          <w:color w:val="auto"/>
        </w:rPr>
      </w:pPr>
      <w:r>
        <w:rPr>
          <w:color w:val="auto"/>
        </w:rPr>
        <w:t>辨明其为广告。</w:t>
      </w:r>
    </w:p>
    <w:p>
      <w:pPr>
        <w:pStyle w:val="4"/>
        <w:spacing w:before="195" w:line="388" w:lineRule="auto"/>
        <w:ind w:right="213" w:firstLine="480"/>
        <w:rPr>
          <w:color w:val="auto"/>
        </w:rPr>
      </w:pPr>
      <w:r>
        <w:rPr>
          <w:color w:val="auto"/>
        </w:rPr>
        <w:t>大众传播媒介不得以新闻报道形式变相发布广告。通过大众传播媒介发布的广告应当显著标明“广告”，与其他非广告信息相区别，不得使消费者产生误解。</w:t>
      </w:r>
    </w:p>
    <w:p>
      <w:pPr>
        <w:pStyle w:val="4"/>
        <w:spacing w:before="2" w:line="391" w:lineRule="auto"/>
        <w:ind w:right="232" w:firstLine="480"/>
        <w:rPr>
          <w:color w:val="auto"/>
        </w:rPr>
      </w:pPr>
      <w:r>
        <w:rPr>
          <w:color w:val="auto"/>
        </w:rPr>
        <w:t>广播电台、电视台发布广告，应当遵守国务院有关部门关于时长、方式的规定， 并应当对广告时长作出明显提示。</w:t>
      </w:r>
    </w:p>
    <w:p>
      <w:pPr>
        <w:numPr>
          <w:ilvl w:val="0"/>
          <w:numId w:val="165"/>
        </w:numPr>
        <w:spacing w:before="0" w:line="388" w:lineRule="auto"/>
        <w:ind w:left="591" w:right="6948" w:firstLine="0"/>
        <w:jc w:val="left"/>
        <w:rPr>
          <w:color w:val="auto"/>
          <w:sz w:val="24"/>
        </w:rPr>
      </w:pPr>
      <w:r>
        <w:rPr>
          <w:b/>
          <w:color w:val="auto"/>
          <w:spacing w:val="-5"/>
          <w:sz w:val="24"/>
        </w:rPr>
        <w:t>裁量标准</w:t>
      </w:r>
      <w:r>
        <w:rPr>
          <w:color w:val="auto"/>
          <w:sz w:val="24"/>
        </w:rPr>
        <w:t>1.</w:t>
      </w:r>
      <w:r>
        <w:rPr>
          <w:rFonts w:hint="eastAsia"/>
          <w:color w:val="auto"/>
          <w:sz w:val="24"/>
          <w:lang w:eastAsia="zh-CN"/>
        </w:rPr>
        <w:t>【不予处罚】</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能使消费者辨明为广告；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480" w:firstLineChars="2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.未造成危害后果</w:t>
      </w:r>
    </w:p>
    <w:p>
      <w:pPr>
        <w:numPr>
          <w:ilvl w:val="0"/>
          <w:numId w:val="0"/>
        </w:numPr>
        <w:spacing w:before="0"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before="3" w:line="388" w:lineRule="auto"/>
        <w:ind w:left="591" w:right="3352"/>
        <w:rPr>
          <w:color w:val="auto"/>
        </w:rPr>
      </w:pPr>
      <w:r>
        <w:rPr>
          <w:color w:val="auto"/>
          <w:spacing w:val="-1"/>
        </w:rPr>
        <w:t>广告费用一万元以下的，处以一万元以下的罚款。</w:t>
      </w:r>
      <w:r>
        <w:rPr>
          <w:rFonts w:hint="eastAsia"/>
          <w:color w:val="auto"/>
          <w:lang w:val="en-US" w:eastAsia="zh-CN"/>
        </w:rPr>
        <w:t>3</w:t>
      </w:r>
      <w:r>
        <w:rPr>
          <w:color w:val="auto"/>
        </w:rPr>
        <w:t>.【一般】</w:t>
      </w:r>
    </w:p>
    <w:p>
      <w:pPr>
        <w:pStyle w:val="4"/>
        <w:spacing w:before="2" w:line="391" w:lineRule="auto"/>
        <w:ind w:left="591" w:right="952"/>
        <w:rPr>
          <w:color w:val="auto"/>
        </w:rPr>
      </w:pPr>
      <w:r>
        <w:rPr>
          <w:color w:val="auto"/>
          <w:spacing w:val="-1"/>
        </w:rPr>
        <w:t>广告费用一万元以上十万元以下的，处以一万元以上三万元以下的罚款。</w:t>
      </w:r>
      <w:r>
        <w:rPr>
          <w:rFonts w:hint="eastAsia"/>
          <w:color w:val="auto"/>
          <w:lang w:val="en-US" w:eastAsia="zh-CN"/>
        </w:rPr>
        <w:t>4</w:t>
      </w:r>
      <w:r>
        <w:rPr>
          <w:color w:val="auto"/>
        </w:rPr>
        <w:t>.【较重】</w:t>
      </w:r>
    </w:p>
    <w:p>
      <w:pPr>
        <w:pStyle w:val="4"/>
        <w:spacing w:line="388" w:lineRule="auto"/>
        <w:ind w:left="591" w:right="712"/>
        <w:rPr>
          <w:color w:val="auto"/>
        </w:rPr>
      </w:pPr>
      <w:r>
        <w:rPr>
          <w:color w:val="auto"/>
          <w:spacing w:val="-1"/>
        </w:rPr>
        <w:t>广告费用十万元以上二十万元以下的，处以三万元以上五万元以下的罚款。</w:t>
      </w:r>
      <w:r>
        <w:rPr>
          <w:rFonts w:hint="eastAsia"/>
          <w:color w:val="auto"/>
          <w:lang w:val="en-US" w:eastAsia="zh-CN"/>
        </w:rPr>
        <w:t>5</w:t>
      </w:r>
      <w:r>
        <w:rPr>
          <w:color w:val="auto"/>
        </w:rPr>
        <w:t>.【严重】</w:t>
      </w:r>
    </w:p>
    <w:p>
      <w:pPr>
        <w:pStyle w:val="4"/>
        <w:spacing w:before="2" w:line="388" w:lineRule="auto"/>
        <w:ind w:right="232" w:firstLine="480"/>
        <w:rPr>
          <w:color w:val="auto"/>
        </w:rPr>
      </w:pPr>
      <w:r>
        <w:rPr>
          <w:color w:val="auto"/>
        </w:rPr>
        <w:t>广告费用二十万元以上的，或者造成严重人身、财产损失或者其他严重后果的， 或者造成严重不良社会影响的，处以五万元以上十万元以下的罚款。</w:t>
      </w:r>
    </w:p>
    <w:p>
      <w:pPr>
        <w:pStyle w:val="2"/>
        <w:spacing w:before="3"/>
        <w:rPr>
          <w:color w:val="auto"/>
        </w:rPr>
      </w:pPr>
      <w:bookmarkStart w:id="473" w:name="二百三十、变相发布医疗、药品、医疗器械、保健食品广告"/>
      <w:bookmarkEnd w:id="473"/>
      <w:bookmarkStart w:id="474" w:name="_bookmark236"/>
      <w:bookmarkEnd w:id="474"/>
      <w:r>
        <w:rPr>
          <w:color w:val="auto"/>
        </w:rPr>
        <w:t>二百三十、变相发布医疗、药品、医疗器械、保健食品广告</w:t>
      </w:r>
    </w:p>
    <w:p>
      <w:pPr>
        <w:spacing w:before="194"/>
        <w:ind w:left="591" w:right="0" w:firstLine="0"/>
        <w:jc w:val="left"/>
        <w:rPr>
          <w:b/>
          <w:color w:val="auto"/>
          <w:sz w:val="24"/>
        </w:rPr>
      </w:pPr>
      <w:r>
        <w:rPr>
          <w:b/>
          <w:color w:val="auto"/>
          <w:sz w:val="24"/>
        </w:rPr>
        <w:t>（一）处罚依据</w:t>
      </w:r>
    </w:p>
    <w:p>
      <w:pPr>
        <w:pStyle w:val="4"/>
        <w:spacing w:before="191" w:line="391" w:lineRule="auto"/>
        <w:ind w:right="232" w:firstLine="480"/>
        <w:jc w:val="both"/>
        <w:rPr>
          <w:color w:val="auto"/>
        </w:rPr>
      </w:pPr>
      <w:r>
        <w:rPr>
          <w:color w:val="auto"/>
        </w:rPr>
        <w:t>1</w:t>
      </w:r>
      <w:r>
        <w:rPr>
          <w:color w:val="auto"/>
          <w:spacing w:val="-10"/>
        </w:rPr>
        <w:t xml:space="preserve">、《中华人民共和国广告法》第五十九条第三款 广告违反本法第十九条规定， </w:t>
      </w:r>
      <w:r>
        <w:rPr>
          <w:color w:val="auto"/>
          <w:spacing w:val="-11"/>
        </w:rPr>
        <w:t xml:space="preserve">变相发布医疗、药品、医疗器械、保健食品广告的，由市场监督管理部门责令改正， </w:t>
      </w:r>
      <w:r>
        <w:rPr>
          <w:color w:val="auto"/>
        </w:rPr>
        <w:t>对广告发布者处十万元以下的罚款。</w:t>
      </w:r>
    </w:p>
    <w:p>
      <w:pPr>
        <w:pStyle w:val="4"/>
        <w:spacing w:line="391" w:lineRule="auto"/>
        <w:ind w:right="148" w:firstLine="480"/>
        <w:rPr>
          <w:color w:val="auto"/>
        </w:rPr>
      </w:pPr>
      <w:r>
        <w:rPr>
          <w:color w:val="auto"/>
        </w:rPr>
        <w:t>2</w:t>
      </w:r>
      <w:r>
        <w:rPr>
          <w:color w:val="auto"/>
          <w:spacing w:val="-14"/>
        </w:rPr>
        <w:t>、《中华人民共和国广告法》第十九条 广播电台、电视台、报刊音像出版单位、</w:t>
      </w:r>
      <w:r>
        <w:rPr>
          <w:color w:val="auto"/>
          <w:spacing w:val="-3"/>
        </w:rPr>
        <w:t>互联网信息服务提供者不得以介绍健康、养生知识等形式变相发布医疗、药品、医疗器械、保健食品广告。</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3352"/>
        <w:rPr>
          <w:color w:val="auto"/>
        </w:rPr>
      </w:pPr>
      <w:r>
        <w:rPr>
          <w:color w:val="auto"/>
          <w:spacing w:val="-1"/>
        </w:rPr>
        <w:t>广告费用一万元以下的，处以一万元以下的罚款。</w:t>
      </w:r>
      <w:r>
        <w:rPr>
          <w:color w:val="auto"/>
        </w:rPr>
        <w:t>2.【一般】</w:t>
      </w:r>
    </w:p>
    <w:p>
      <w:pPr>
        <w:pStyle w:val="4"/>
        <w:ind w:left="591"/>
        <w:rPr>
          <w:color w:val="auto"/>
        </w:rPr>
      </w:pPr>
      <w:r>
        <w:rPr>
          <w:color w:val="auto"/>
        </w:rPr>
        <w:t>广告费用一万元以上十万元以下的，处以一万元以上三万元以下的罚款。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3.【较重】</w:t>
      </w:r>
    </w:p>
    <w:p>
      <w:pPr>
        <w:pStyle w:val="4"/>
        <w:spacing w:before="195" w:line="388" w:lineRule="auto"/>
        <w:ind w:left="591" w:right="712"/>
        <w:rPr>
          <w:color w:val="auto"/>
        </w:rPr>
      </w:pPr>
      <w:r>
        <w:rPr>
          <w:color w:val="auto"/>
          <w:spacing w:val="-1"/>
        </w:rPr>
        <w:t>广告费用十万元以上二十万元以下的，处以三万元以上五万元以下的罚款。</w:t>
      </w:r>
      <w:r>
        <w:rPr>
          <w:color w:val="auto"/>
        </w:rPr>
        <w:t>4.【严重】</w:t>
      </w:r>
    </w:p>
    <w:p>
      <w:pPr>
        <w:pStyle w:val="4"/>
        <w:spacing w:before="2" w:line="391" w:lineRule="auto"/>
        <w:ind w:right="232" w:firstLine="480"/>
        <w:rPr>
          <w:color w:val="auto"/>
        </w:rPr>
      </w:pPr>
      <w:r>
        <w:rPr>
          <w:color w:val="auto"/>
        </w:rPr>
        <w:t>广告费用二十万元以上的，或者造成严重人身、财产损失或者其他严重后果的， 或造成严重不良社会影响的，处以五万元以上十万元以下的罚款。</w:t>
      </w:r>
    </w:p>
    <w:p>
      <w:pPr>
        <w:pStyle w:val="2"/>
        <w:spacing w:line="306" w:lineRule="exact"/>
        <w:rPr>
          <w:color w:val="auto"/>
        </w:rPr>
      </w:pPr>
      <w:bookmarkStart w:id="475" w:name="_bookmark237"/>
      <w:bookmarkEnd w:id="475"/>
      <w:bookmarkStart w:id="476" w:name="二百三十一、未办理广告发布登记擅自从事广告发布业务"/>
      <w:bookmarkEnd w:id="476"/>
      <w:r>
        <w:rPr>
          <w:color w:val="auto"/>
        </w:rPr>
        <w:t>二百三十一、未办理广告发布登记擅自从事广告发布业务</w:t>
      </w:r>
    </w:p>
    <w:p>
      <w:pPr>
        <w:spacing w:before="191"/>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rPr>
        <w:t>1</w:t>
      </w:r>
      <w:r>
        <w:rPr>
          <w:color w:val="auto"/>
          <w:spacing w:val="-9"/>
        </w:rPr>
        <w:t>、《中华人民共和国广告法》第六十条 违反本法第二十九条规定，广播电台、电视台、报刊出版单位未办理广告发布登记，擅自从事广告发布业务的，由市场监督</w:t>
      </w:r>
      <w:r>
        <w:rPr>
          <w:color w:val="auto"/>
          <w:spacing w:val="-5"/>
        </w:rPr>
        <w:t>管理部门责令改正，没收违法所得，违法所得一万元以上的，并处违法所得一倍以上</w:t>
      </w:r>
      <w:r>
        <w:rPr>
          <w:color w:val="auto"/>
        </w:rPr>
        <w:t>三倍以下的罚款；违法所得不足一万元的，并处五千元以上三万元以下的罚款。</w:t>
      </w:r>
    </w:p>
    <w:p>
      <w:pPr>
        <w:pStyle w:val="4"/>
        <w:spacing w:line="391" w:lineRule="auto"/>
        <w:ind w:right="148" w:firstLine="480"/>
        <w:jc w:val="both"/>
        <w:rPr>
          <w:color w:val="auto"/>
        </w:rPr>
      </w:pPr>
      <w:r>
        <w:rPr>
          <w:color w:val="auto"/>
        </w:rPr>
        <w:t>2</w:t>
      </w:r>
      <w:r>
        <w:rPr>
          <w:color w:val="auto"/>
          <w:spacing w:val="-10"/>
        </w:rPr>
        <w:t>、《中华人民共和国广告法》第二十九条 广播电台、电视台、报刊出版单位从</w:t>
      </w:r>
      <w:r>
        <w:rPr>
          <w:color w:val="auto"/>
          <w:spacing w:val="-12"/>
        </w:rPr>
        <w:t>事广告发布业务的，应当设有专门从事广告业务的机构，配备必要的人员，具有与发</w:t>
      </w:r>
      <w:r>
        <w:rPr>
          <w:color w:val="auto"/>
          <w:spacing w:val="-17"/>
        </w:rPr>
        <w:t>布广告相适应的场所、设备，并向县级以上地方市场监督管理部门办理广告发布登记。</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472"/>
        <w:rPr>
          <w:color w:val="auto"/>
        </w:rPr>
      </w:pPr>
      <w:r>
        <w:rPr>
          <w:color w:val="auto"/>
          <w:spacing w:val="-1"/>
        </w:rPr>
        <w:t>违法所得五千元以下的，没收违法所得，并处五千元以上一万元以下的罚款。</w:t>
      </w:r>
      <w:r>
        <w:rPr>
          <w:color w:val="auto"/>
        </w:rPr>
        <w:t>2.【一般】</w:t>
      </w:r>
    </w:p>
    <w:p>
      <w:pPr>
        <w:pStyle w:val="4"/>
        <w:spacing w:line="391" w:lineRule="auto"/>
        <w:ind w:right="213" w:firstLine="480"/>
        <w:rPr>
          <w:color w:val="auto"/>
        </w:rPr>
      </w:pPr>
      <w:r>
        <w:rPr>
          <w:color w:val="auto"/>
        </w:rPr>
        <w:t>违法所得五千元以上一万元以下的，没收违法所得，并处一万元以上三万元以下的罚款。</w:t>
      </w:r>
    </w:p>
    <w:p>
      <w:pPr>
        <w:pStyle w:val="13"/>
        <w:numPr>
          <w:ilvl w:val="0"/>
          <w:numId w:val="166"/>
        </w:numPr>
        <w:tabs>
          <w:tab w:val="left" w:pos="833"/>
        </w:tabs>
        <w:spacing w:before="0" w:after="0" w:line="306" w:lineRule="exact"/>
        <w:ind w:left="832" w:right="0" w:hanging="242"/>
        <w:jc w:val="left"/>
        <w:rPr>
          <w:color w:val="auto"/>
          <w:sz w:val="24"/>
        </w:rPr>
      </w:pPr>
      <w:r>
        <w:rPr>
          <w:color w:val="auto"/>
          <w:sz w:val="24"/>
        </w:rPr>
        <w:t>【较重】</w:t>
      </w:r>
    </w:p>
    <w:p>
      <w:pPr>
        <w:pStyle w:val="4"/>
        <w:spacing w:before="189" w:line="391" w:lineRule="auto"/>
        <w:ind w:right="213" w:firstLine="480"/>
        <w:rPr>
          <w:color w:val="auto"/>
        </w:rPr>
      </w:pPr>
      <w:r>
        <w:rPr>
          <w:color w:val="auto"/>
        </w:rPr>
        <w:t>违法所得一万元以上五万元以下的，没收违法所得，并处一倍以上二倍以下的罚款。</w:t>
      </w:r>
    </w:p>
    <w:p>
      <w:pPr>
        <w:pStyle w:val="13"/>
        <w:numPr>
          <w:ilvl w:val="0"/>
          <w:numId w:val="166"/>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148" w:firstLine="480"/>
        <w:rPr>
          <w:color w:val="auto"/>
        </w:rPr>
      </w:pPr>
      <w:r>
        <w:rPr>
          <w:color w:val="auto"/>
          <w:spacing w:val="-4"/>
        </w:rPr>
        <w:t>违法所得五万元以上的，或者造成严重人身、财产损失或其者他严重后果的，或</w:t>
      </w:r>
      <w:r>
        <w:rPr>
          <w:color w:val="auto"/>
          <w:spacing w:val="-15"/>
        </w:rPr>
        <w:t>者造成严重不良社会影响的，没收违法所得，并处违法所得二倍以上三倍以下的罚款。</w:t>
      </w:r>
    </w:p>
    <w:p>
      <w:pPr>
        <w:pStyle w:val="2"/>
        <w:spacing w:line="306" w:lineRule="exact"/>
        <w:rPr>
          <w:color w:val="auto"/>
        </w:rPr>
      </w:pPr>
      <w:bookmarkStart w:id="477" w:name="_bookmark238"/>
      <w:bookmarkEnd w:id="477"/>
      <w:bookmarkStart w:id="478" w:name="二百三十二、未按规定建立健全广告业务管理制度、未履行广告审查义务"/>
      <w:bookmarkEnd w:id="478"/>
      <w:r>
        <w:rPr>
          <w:color w:val="auto"/>
        </w:rPr>
        <w:t>二百三十二、未按规定建立健全广告业务管理制度、未履行广告审查义务</w:t>
      </w:r>
    </w:p>
    <w:p>
      <w:pPr>
        <w:spacing w:before="192"/>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32" w:firstLine="480"/>
        <w:jc w:val="right"/>
        <w:rPr>
          <w:color w:val="auto"/>
        </w:rPr>
      </w:pPr>
      <w:r>
        <w:rPr>
          <w:color w:val="auto"/>
        </w:rPr>
        <w:t>1</w:t>
      </w:r>
      <w:r>
        <w:rPr>
          <w:color w:val="auto"/>
          <w:spacing w:val="-9"/>
        </w:rPr>
        <w:t>、《中华人民共和国广告法》第六十一条第一款 违反本法第三十四条规定，广告经营者、广告发布者未按照国家有关规定建立、健全广告业务管理制度的，或者未</w:t>
      </w:r>
      <w:r>
        <w:rPr>
          <w:color w:val="auto"/>
          <w:spacing w:val="-10"/>
        </w:rPr>
        <w:t>对广告内容进行核对的，由市场监督管理部门责令改正，可以处五万元以下的罚款。</w:t>
      </w:r>
      <w:r>
        <w:rPr>
          <w:color w:val="auto"/>
        </w:rPr>
        <w:t xml:space="preserve"> 2</w:t>
      </w:r>
      <w:r>
        <w:rPr>
          <w:color w:val="auto"/>
          <w:spacing w:val="-8"/>
        </w:rPr>
        <w:t>、《中华人民共和国广告法》第三十四条 广告经营者、广告发布者应当按照国</w:t>
      </w:r>
    </w:p>
    <w:p>
      <w:pPr>
        <w:pStyle w:val="4"/>
        <w:spacing w:line="304" w:lineRule="exact"/>
        <w:rPr>
          <w:color w:val="auto"/>
        </w:rPr>
      </w:pPr>
      <w:r>
        <w:rPr>
          <w:color w:val="auto"/>
        </w:rPr>
        <w:t>家有关规定，建立、健全广告业务的承接登记、审核、档案管理制度。</w:t>
      </w:r>
    </w:p>
    <w:p>
      <w:pPr>
        <w:pStyle w:val="4"/>
        <w:spacing w:before="192" w:line="391" w:lineRule="auto"/>
        <w:ind w:right="148" w:firstLine="480"/>
        <w:rPr>
          <w:color w:val="auto"/>
        </w:rPr>
      </w:pPr>
      <w:r>
        <w:rPr>
          <w:color w:val="auto"/>
          <w:spacing w:val="-13"/>
        </w:rPr>
        <w:t>广告经营者、广告发布者依据法律、行政法规查验有关证明文件，核对广告内容。</w:t>
      </w:r>
      <w:r>
        <w:rPr>
          <w:color w:val="auto"/>
        </w:rPr>
        <w:t>对内容不符或者证明文件不全的广告，广告经营者不得提供设计、制作、代理服务， 广告发布者不得发布。</w:t>
      </w:r>
    </w:p>
    <w:p>
      <w:pPr>
        <w:spacing w:before="0" w:line="388" w:lineRule="auto"/>
        <w:ind w:left="471" w:right="6948" w:firstLine="120"/>
        <w:jc w:val="left"/>
        <w:rPr>
          <w:color w:val="auto"/>
          <w:sz w:val="24"/>
        </w:rPr>
      </w:pPr>
      <w:r>
        <w:rPr>
          <w:b/>
          <w:color w:val="auto"/>
          <w:sz w:val="24"/>
        </w:rPr>
        <w:t>（二）裁量标准</w:t>
      </w:r>
      <w:r>
        <w:rPr>
          <w:color w:val="auto"/>
          <w:sz w:val="24"/>
        </w:rPr>
        <w:t>1.【较轻】</w:t>
      </w:r>
    </w:p>
    <w:p>
      <w:pPr>
        <w:pStyle w:val="4"/>
        <w:spacing w:before="1" w:line="388" w:lineRule="auto"/>
        <w:ind w:right="232" w:firstLine="480"/>
        <w:rPr>
          <w:color w:val="auto"/>
        </w:rPr>
      </w:pPr>
      <w:r>
        <w:rPr>
          <w:color w:val="auto"/>
        </w:rPr>
        <w:t>缺少一项广告业务管理制度，或者未对广告内容进行核对，未造成危害后果的， 可以处一万元以下的罚款。</w:t>
      </w:r>
    </w:p>
    <w:p>
      <w:pPr>
        <w:pStyle w:val="13"/>
        <w:numPr>
          <w:ilvl w:val="0"/>
          <w:numId w:val="167"/>
        </w:numPr>
        <w:tabs>
          <w:tab w:val="left" w:pos="713"/>
        </w:tabs>
        <w:spacing w:before="2" w:after="0" w:line="240" w:lineRule="auto"/>
        <w:ind w:left="712" w:right="0" w:hanging="242"/>
        <w:jc w:val="left"/>
        <w:rPr>
          <w:color w:val="auto"/>
          <w:sz w:val="24"/>
        </w:rPr>
      </w:pPr>
      <w:r>
        <w:rPr>
          <w:color w:val="auto"/>
          <w:sz w:val="24"/>
        </w:rPr>
        <w:t>【一般】</w:t>
      </w:r>
    </w:p>
    <w:p>
      <w:pPr>
        <w:pStyle w:val="4"/>
        <w:spacing w:before="194" w:line="388" w:lineRule="auto"/>
        <w:ind w:right="148" w:firstLine="480"/>
        <w:rPr>
          <w:color w:val="auto"/>
        </w:rPr>
      </w:pPr>
      <w:r>
        <w:rPr>
          <w:color w:val="auto"/>
          <w:spacing w:val="-11"/>
        </w:rPr>
        <w:t xml:space="preserve">缺少两项广告业务管理制度，或者未对广告内容进行核对，造成一定危害后果的， </w:t>
      </w:r>
      <w:r>
        <w:rPr>
          <w:color w:val="auto"/>
        </w:rPr>
        <w:t>处以一万元以上三万元以下的罚款。</w:t>
      </w:r>
    </w:p>
    <w:p>
      <w:pPr>
        <w:pStyle w:val="13"/>
        <w:numPr>
          <w:ilvl w:val="0"/>
          <w:numId w:val="167"/>
        </w:numPr>
        <w:tabs>
          <w:tab w:val="left" w:pos="713"/>
        </w:tabs>
        <w:spacing w:before="2" w:after="0" w:line="240" w:lineRule="auto"/>
        <w:ind w:left="71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4"/>
        </w:rPr>
        <w:t>未建立广告业务管理制度，或者未对广告内容进行核对，造成严重人身、财产损失或其他严重后果的，或者造成严重不良社会影响的，处以三万元以上五万元以下的</w:t>
      </w:r>
      <w:r>
        <w:rPr>
          <w:color w:val="auto"/>
        </w:rPr>
        <w:t>罚款。</w:t>
      </w:r>
    </w:p>
    <w:p>
      <w:pPr>
        <w:pStyle w:val="2"/>
        <w:spacing w:before="6"/>
        <w:rPr>
          <w:color w:val="auto"/>
        </w:rPr>
      </w:pPr>
      <w:bookmarkStart w:id="479" w:name="_bookmark239"/>
      <w:bookmarkEnd w:id="479"/>
      <w:bookmarkStart w:id="480" w:name="二百三十三、广告代言人违法代言"/>
      <w:bookmarkEnd w:id="480"/>
      <w:r>
        <w:rPr>
          <w:color w:val="auto"/>
        </w:rPr>
        <w:t>二百三十三、广告代言人违法代言</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rPr>
          <w:color w:val="auto"/>
        </w:rPr>
      </w:pPr>
      <w:r>
        <w:rPr>
          <w:color w:val="auto"/>
        </w:rPr>
        <w:t>1</w:t>
      </w:r>
      <w:r>
        <w:rPr>
          <w:color w:val="auto"/>
          <w:spacing w:val="-9"/>
        </w:rPr>
        <w:t>、《中华人民共和国广告法》第六十二条 广告代言人有下列情形之一的，由市场监督管理部门没收违法所得，并处违法所得一倍以上二倍以下的罚款：</w:t>
      </w:r>
    </w:p>
    <w:p>
      <w:pPr>
        <w:pStyle w:val="4"/>
        <w:spacing w:line="388" w:lineRule="auto"/>
        <w:ind w:right="213" w:firstLine="480"/>
        <w:rPr>
          <w:color w:val="auto"/>
        </w:rPr>
      </w:pPr>
      <w:r>
        <w:rPr>
          <w:color w:val="auto"/>
        </w:rPr>
        <w:t>（一）违反本法第十六条第一款第四项规定，在医疗、药品、医疗器械广告中作推荐、证明的；</w:t>
      </w:r>
    </w:p>
    <w:p>
      <w:pPr>
        <w:pStyle w:val="4"/>
        <w:spacing w:before="3"/>
        <w:ind w:left="591"/>
        <w:rPr>
          <w:color w:val="auto"/>
        </w:rPr>
      </w:pPr>
      <w:r>
        <w:rPr>
          <w:color w:val="auto"/>
        </w:rPr>
        <w:t>（二</w:t>
      </w:r>
      <w:r>
        <w:rPr>
          <w:color w:val="auto"/>
          <w:spacing w:val="-53"/>
        </w:rPr>
        <w:t>）</w:t>
      </w:r>
      <w:r>
        <w:rPr>
          <w:color w:val="auto"/>
          <w:spacing w:val="-5"/>
        </w:rPr>
        <w:t>违反本法第十八条第一款第五项规定，在保健食品广告中作推荐、证明的；</w:t>
      </w:r>
    </w:p>
    <w:p>
      <w:pPr>
        <w:pStyle w:val="4"/>
        <w:spacing w:before="192" w:line="388" w:lineRule="auto"/>
        <w:ind w:right="213" w:firstLine="480"/>
        <w:rPr>
          <w:color w:val="auto"/>
        </w:rPr>
      </w:pPr>
      <w:r>
        <w:rPr>
          <w:color w:val="auto"/>
        </w:rPr>
        <w:t>（三）违反本法第三十八条第一款规定，为其未使用过的商品或者未接受过的服务作推荐、证明的；</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（四）明知或者应知广告虚假仍在广告中对商品、服务作推荐、证明的。</w:t>
      </w:r>
    </w:p>
    <w:p>
      <w:pPr>
        <w:pStyle w:val="13"/>
        <w:numPr>
          <w:ilvl w:val="1"/>
          <w:numId w:val="168"/>
        </w:numPr>
        <w:tabs>
          <w:tab w:val="left" w:pos="954"/>
        </w:tabs>
        <w:spacing w:before="195" w:after="0" w:line="388" w:lineRule="auto"/>
        <w:ind w:left="111" w:right="271" w:firstLine="480"/>
        <w:jc w:val="left"/>
        <w:rPr>
          <w:color w:val="auto"/>
          <w:sz w:val="24"/>
        </w:rPr>
      </w:pPr>
      <w:r>
        <w:rPr>
          <w:color w:val="auto"/>
          <w:spacing w:val="-9"/>
          <w:sz w:val="24"/>
        </w:rPr>
        <w:t>、《中华人民共和国广告法》第十六条第一款 医疗、药品、医疗器械广告不</w:t>
      </w:r>
      <w:r>
        <w:rPr>
          <w:color w:val="auto"/>
          <w:spacing w:val="-23"/>
          <w:sz w:val="24"/>
        </w:rPr>
        <w:t>得含有下列内容：</w:t>
      </w:r>
      <w:r>
        <w:rPr>
          <w:color w:val="auto"/>
          <w:sz w:val="24"/>
        </w:rPr>
        <w:t>（四）利用广告代言人作推荐、证明。</w:t>
      </w:r>
    </w:p>
    <w:p>
      <w:pPr>
        <w:pStyle w:val="13"/>
        <w:numPr>
          <w:ilvl w:val="1"/>
          <w:numId w:val="168"/>
        </w:numPr>
        <w:tabs>
          <w:tab w:val="left" w:pos="954"/>
        </w:tabs>
        <w:spacing w:before="2" w:after="0" w:line="391" w:lineRule="auto"/>
        <w:ind w:left="111" w:right="271" w:firstLine="480"/>
        <w:jc w:val="left"/>
        <w:rPr>
          <w:color w:val="auto"/>
          <w:sz w:val="24"/>
        </w:rPr>
      </w:pPr>
      <w:r>
        <w:rPr>
          <w:color w:val="auto"/>
          <w:spacing w:val="-9"/>
          <w:sz w:val="24"/>
        </w:rPr>
        <w:t>、《中华人民共和国广告法》第十八条第一款 保健食品广告不得含有下列内</w:t>
      </w:r>
      <w:r>
        <w:rPr>
          <w:color w:val="auto"/>
          <w:spacing w:val="-65"/>
          <w:sz w:val="24"/>
        </w:rPr>
        <w:t>容：</w:t>
      </w:r>
      <w:r>
        <w:rPr>
          <w:color w:val="auto"/>
          <w:sz w:val="24"/>
        </w:rPr>
        <w:t>（五）利用广告代言人作推荐、证明。</w:t>
      </w:r>
    </w:p>
    <w:p>
      <w:pPr>
        <w:pStyle w:val="13"/>
        <w:numPr>
          <w:ilvl w:val="1"/>
          <w:numId w:val="168"/>
        </w:numPr>
        <w:tabs>
          <w:tab w:val="left" w:pos="953"/>
        </w:tabs>
        <w:spacing w:before="0" w:after="0" w:line="391" w:lineRule="auto"/>
        <w:ind w:left="111" w:right="148" w:firstLine="480"/>
        <w:jc w:val="left"/>
        <w:rPr>
          <w:color w:val="auto"/>
          <w:sz w:val="24"/>
        </w:rPr>
      </w:pPr>
      <w:r>
        <w:rPr>
          <w:color w:val="auto"/>
          <w:spacing w:val="-15"/>
          <w:sz w:val="24"/>
        </w:rPr>
        <w:t>、《中华人民共和国广告法》第三十八条第一款 广告代言人在广告中对商品、</w:t>
      </w:r>
      <w:r>
        <w:rPr>
          <w:color w:val="auto"/>
          <w:spacing w:val="-6"/>
          <w:sz w:val="24"/>
        </w:rPr>
        <w:t>服务作推荐、证明，应当依据事实，符合本法和有关法律、行政法规规定，并不得为其未使用过的商品或者未接受过的服务作推荐、证明。</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4"/>
        <w:spacing w:line="388" w:lineRule="auto"/>
        <w:ind w:right="213" w:firstLine="480"/>
        <w:rPr>
          <w:color w:val="auto"/>
        </w:rPr>
      </w:pPr>
      <w:r>
        <w:rPr>
          <w:color w:val="auto"/>
        </w:rPr>
        <w:t>违法所得五万元以下的，没收违法所得，并处违法所得一倍以上一点五倍以下的罚款。</w:t>
      </w:r>
    </w:p>
    <w:p>
      <w:pPr>
        <w:pStyle w:val="13"/>
        <w:numPr>
          <w:ilvl w:val="1"/>
          <w:numId w:val="167"/>
        </w:numPr>
        <w:tabs>
          <w:tab w:val="left" w:pos="833"/>
        </w:tabs>
        <w:spacing w:before="1" w:after="0" w:line="240" w:lineRule="auto"/>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5"/>
        </w:rPr>
        <w:t>违法所得五万元以上的，或者造成严重人身、财产损失或其他严重后果的，或者</w:t>
      </w:r>
      <w:r>
        <w:rPr>
          <w:color w:val="auto"/>
          <w:spacing w:val="-4"/>
        </w:rPr>
        <w:t>造成严重不良社会影响的，没收违法所得，并处违法所得一点五倍以上二倍以下的罚</w:t>
      </w:r>
      <w:r>
        <w:rPr>
          <w:color w:val="auto"/>
        </w:rPr>
        <w:t>款。</w:t>
      </w:r>
    </w:p>
    <w:p>
      <w:pPr>
        <w:pStyle w:val="2"/>
        <w:spacing w:before="6"/>
        <w:rPr>
          <w:color w:val="auto"/>
        </w:rPr>
      </w:pPr>
      <w:bookmarkStart w:id="481" w:name="二百三十四、擅自向特定对象发送广告"/>
      <w:bookmarkEnd w:id="481"/>
      <w:bookmarkStart w:id="482" w:name="_bookmark240"/>
      <w:bookmarkEnd w:id="482"/>
      <w:r>
        <w:rPr>
          <w:color w:val="auto"/>
        </w:rPr>
        <w:t>二百三十四、擅自向特定对象发送广告</w:t>
      </w:r>
    </w:p>
    <w:p>
      <w:pPr>
        <w:spacing w:before="191"/>
        <w:ind w:left="591" w:right="0" w:firstLine="0"/>
        <w:jc w:val="left"/>
        <w:rPr>
          <w:b/>
          <w:color w:val="auto"/>
          <w:sz w:val="24"/>
        </w:rPr>
      </w:pPr>
      <w:r>
        <w:rPr>
          <w:b/>
          <w:color w:val="auto"/>
          <w:sz w:val="24"/>
        </w:rPr>
        <w:t>（一）处罚依据</w:t>
      </w:r>
    </w:p>
    <w:p>
      <w:pPr>
        <w:pStyle w:val="4"/>
        <w:spacing w:before="192" w:line="391" w:lineRule="auto"/>
        <w:ind w:right="232" w:firstLine="480"/>
        <w:jc w:val="right"/>
        <w:rPr>
          <w:color w:val="auto"/>
        </w:rPr>
      </w:pPr>
      <w:r>
        <w:rPr>
          <w:color w:val="auto"/>
        </w:rPr>
        <w:t>1</w:t>
      </w:r>
      <w:r>
        <w:rPr>
          <w:color w:val="auto"/>
          <w:spacing w:val="-9"/>
        </w:rPr>
        <w:t>、《中华人民共和国广告法》第六十三条第一款 违反本法第四十三条规定发送</w:t>
      </w:r>
      <w:r>
        <w:rPr>
          <w:color w:val="auto"/>
          <w:spacing w:val="-10"/>
        </w:rPr>
        <w:t>广告的，由有关部门责令停止违法行为，对广告主处五千元以上三万元以下的罚款。</w:t>
      </w:r>
      <w:r>
        <w:rPr>
          <w:color w:val="auto"/>
        </w:rPr>
        <w:t xml:space="preserve"> 2</w:t>
      </w:r>
      <w:r>
        <w:rPr>
          <w:color w:val="auto"/>
          <w:spacing w:val="-8"/>
        </w:rPr>
        <w:t>、《中华人民共和国广告法》第四十三条 任何单位或者个人未经当事人同意或</w:t>
      </w:r>
    </w:p>
    <w:p>
      <w:pPr>
        <w:pStyle w:val="4"/>
        <w:spacing w:line="391" w:lineRule="auto"/>
        <w:ind w:left="591" w:right="148" w:hanging="480"/>
        <w:rPr>
          <w:color w:val="auto"/>
        </w:rPr>
      </w:pPr>
      <w:r>
        <w:rPr>
          <w:color w:val="auto"/>
          <w:spacing w:val="-14"/>
        </w:rPr>
        <w:t>者请求，不得向其住宅、交通工具等发送广告，也不得以电子信息方式向其发送广告。</w:t>
      </w:r>
      <w:r>
        <w:rPr>
          <w:color w:val="auto"/>
          <w:spacing w:val="-3"/>
        </w:rPr>
        <w:t>以电子信息方式发送广告的，应当明示发送者的真实身份和联系方式，并向接收</w:t>
      </w:r>
    </w:p>
    <w:p>
      <w:pPr>
        <w:pStyle w:val="4"/>
        <w:spacing w:line="306" w:lineRule="exact"/>
        <w:rPr>
          <w:color w:val="auto"/>
        </w:rPr>
      </w:pPr>
      <w:r>
        <w:rPr>
          <w:color w:val="auto"/>
        </w:rPr>
        <w:t>者提供拒绝继续接收的方式。</w:t>
      </w:r>
    </w:p>
    <w:p>
      <w:pPr>
        <w:spacing w:before="188"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4792"/>
        <w:rPr>
          <w:color w:val="auto"/>
        </w:rPr>
      </w:pPr>
      <w:r>
        <w:rPr>
          <w:color w:val="auto"/>
          <w:spacing w:val="-2"/>
        </w:rPr>
        <w:t>第一次发现的，处以五千元的罚款。</w:t>
      </w:r>
      <w:r>
        <w:rPr>
          <w:color w:val="auto"/>
        </w:rPr>
        <w:t>2.【一般】</w:t>
      </w:r>
    </w:p>
    <w:p>
      <w:pPr>
        <w:spacing w:after="0" w:line="388" w:lineRule="auto"/>
        <w:rPr>
          <w:color w:val="auto"/>
        </w:rPr>
        <w:sectPr>
          <w:pgSz w:w="11910" w:h="16840"/>
          <w:pgMar w:top="1520" w:right="1260" w:bottom="1220" w:left="1420" w:header="0" w:footer="1034" w:gutter="0"/>
        </w:sectPr>
      </w:pPr>
    </w:p>
    <w:p>
      <w:pPr>
        <w:pStyle w:val="4"/>
        <w:spacing w:before="39" w:line="391" w:lineRule="auto"/>
        <w:ind w:left="591" w:right="3112"/>
        <w:rPr>
          <w:color w:val="auto"/>
        </w:rPr>
      </w:pPr>
      <w:r>
        <w:rPr>
          <w:color w:val="auto"/>
        </w:rPr>
        <w:t>第二次发现的，处以五千元以上一万元以下的罚款。3.【严重】</w:t>
      </w:r>
    </w:p>
    <w:p>
      <w:pPr>
        <w:pStyle w:val="4"/>
        <w:spacing w:line="388" w:lineRule="auto"/>
        <w:ind w:right="213" w:firstLine="480"/>
        <w:rPr>
          <w:color w:val="auto"/>
        </w:rPr>
      </w:pPr>
      <w:r>
        <w:rPr>
          <w:color w:val="auto"/>
        </w:rPr>
        <w:t>发现三次以上的，或者对被发送对象的生活造成侵扰的，处以一万元以上三万元以下的罚款。</w:t>
      </w:r>
    </w:p>
    <w:p>
      <w:pPr>
        <w:pStyle w:val="2"/>
        <w:spacing w:before="3"/>
        <w:rPr>
          <w:color w:val="auto"/>
        </w:rPr>
      </w:pPr>
      <w:bookmarkStart w:id="483" w:name="_bookmark241"/>
      <w:bookmarkEnd w:id="483"/>
      <w:bookmarkStart w:id="484" w:name="二百三十五、利用互联网发布广告未显著标明关闭标志、确保一键关闭"/>
      <w:bookmarkEnd w:id="484"/>
      <w:r>
        <w:rPr>
          <w:color w:val="auto"/>
        </w:rPr>
        <w:t>二百三十五、利用互联网发布广告未显著标明关闭标志、确保一键关闭</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、《中华人民共和国广告法》第六十三条第二款 违反本法第四十四条第二款规定，利用互联网发布广告，未显著标明关闭标志，确保一键关闭的，由市场监督管理</w:t>
      </w:r>
      <w:r>
        <w:rPr>
          <w:color w:val="auto"/>
        </w:rPr>
        <w:t>部门责令改正，对广告主处五千元以上三万元以下的罚款。</w:t>
      </w:r>
    </w:p>
    <w:p>
      <w:pPr>
        <w:pStyle w:val="4"/>
        <w:spacing w:line="391" w:lineRule="auto"/>
        <w:ind w:right="268" w:firstLine="480"/>
        <w:jc w:val="both"/>
        <w:rPr>
          <w:color w:val="auto"/>
        </w:rPr>
      </w:pPr>
      <w:r>
        <w:rPr>
          <w:color w:val="auto"/>
        </w:rPr>
        <w:t>2</w:t>
      </w:r>
      <w:r>
        <w:rPr>
          <w:color w:val="auto"/>
          <w:spacing w:val="-9"/>
        </w:rPr>
        <w:t xml:space="preserve">、《中华人民共和国广告法》第四十四条第二款 利用互联网发布、发送广告， </w:t>
      </w:r>
      <w:r>
        <w:rPr>
          <w:color w:val="auto"/>
          <w:spacing w:val="-12"/>
        </w:rPr>
        <w:t>不得影响用户正常使用网络。在互联网页面以弹出等形式发布的广告，应当显著标明</w:t>
      </w:r>
      <w:r>
        <w:rPr>
          <w:color w:val="auto"/>
        </w:rPr>
        <w:t>关闭标志，确保一键关闭。</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632"/>
        <w:rPr>
          <w:color w:val="auto"/>
        </w:rPr>
      </w:pPr>
      <w:r>
        <w:rPr>
          <w:color w:val="auto"/>
          <w:spacing w:val="-1"/>
        </w:rPr>
        <w:t>关闭标志不显著，但能一键关闭的，处以五千元的罚款。</w:t>
      </w:r>
      <w:r>
        <w:rPr>
          <w:color w:val="auto"/>
        </w:rPr>
        <w:t>2.【一般】</w:t>
      </w:r>
    </w:p>
    <w:p>
      <w:pPr>
        <w:pStyle w:val="4"/>
        <w:spacing w:line="388" w:lineRule="auto"/>
        <w:ind w:left="591" w:right="952"/>
        <w:rPr>
          <w:color w:val="auto"/>
        </w:rPr>
      </w:pPr>
      <w:r>
        <w:rPr>
          <w:color w:val="auto"/>
          <w:spacing w:val="-1"/>
        </w:rPr>
        <w:t>关闭标志不显著且无法一键关闭的，处以五千元以上一万元以下的罚款。</w:t>
      </w:r>
      <w:r>
        <w:rPr>
          <w:color w:val="auto"/>
        </w:rPr>
        <w:t>3.【严重】</w:t>
      </w:r>
    </w:p>
    <w:p>
      <w:pPr>
        <w:pStyle w:val="4"/>
        <w:spacing w:line="391" w:lineRule="auto"/>
        <w:ind w:right="213" w:firstLine="480"/>
        <w:rPr>
          <w:color w:val="auto"/>
        </w:rPr>
      </w:pPr>
      <w:r>
        <w:rPr>
          <w:color w:val="auto"/>
        </w:rPr>
        <w:t>没有关闭标志，或者影响用户正常使用网络的，处以一万元以上三万元以下的罚款。</w:t>
      </w:r>
    </w:p>
    <w:p>
      <w:pPr>
        <w:pStyle w:val="2"/>
        <w:spacing w:line="388" w:lineRule="auto"/>
        <w:ind w:left="111" w:right="237" w:firstLine="480"/>
        <w:rPr>
          <w:color w:val="auto"/>
        </w:rPr>
      </w:pPr>
      <w:bookmarkStart w:id="485" w:name="二百三十六、公共场所的管理者和电信业务经营者、互联网信息服务提供者不履行制止违法"/>
      <w:bookmarkEnd w:id="485"/>
      <w:bookmarkStart w:id="486" w:name="_bookmark242"/>
      <w:bookmarkEnd w:id="486"/>
      <w:r>
        <w:rPr>
          <w:color w:val="auto"/>
          <w:spacing w:val="-8"/>
        </w:rPr>
        <w:t>二百三十六、公共场所的管理者和电信业务经营者、互联网信息服务提供者不履行制止违法广告义务</w:t>
      </w:r>
    </w:p>
    <w:p>
      <w:pPr>
        <w:spacing w:before="0"/>
        <w:ind w:left="591" w:right="0" w:firstLine="0"/>
        <w:jc w:val="left"/>
        <w:rPr>
          <w:b/>
          <w:color w:val="auto"/>
          <w:sz w:val="24"/>
        </w:rPr>
      </w:pPr>
      <w:r>
        <w:rPr>
          <w:b/>
          <w:color w:val="auto"/>
          <w:w w:val="95"/>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、《中华人民共和国广告法》第六十四条 违反本法第四十五条规定，公共场所</w:t>
      </w:r>
      <w:r>
        <w:rPr>
          <w:color w:val="auto"/>
          <w:spacing w:val="-12"/>
        </w:rPr>
        <w:t>的管理者和电信业务经营者、互联网信息服务提供者，明知或者应知广告活动违法不</w:t>
      </w:r>
      <w:r>
        <w:rPr>
          <w:color w:val="auto"/>
          <w:spacing w:val="-6"/>
        </w:rPr>
        <w:t>予制止的，由市场监督管理部门没收违法所得，违法所得五万元以上的，并处违法所</w:t>
      </w:r>
      <w:r>
        <w:rPr>
          <w:color w:val="auto"/>
          <w:spacing w:val="-4"/>
        </w:rPr>
        <w:t>得一倍以上三倍以下的罚款，违法所得不足五万元的，并处一万元以上五万元以下的</w:t>
      </w:r>
      <w:r>
        <w:rPr>
          <w:color w:val="auto"/>
        </w:rPr>
        <w:t>罚款；情节严重的，由有关部门依法停止相关业务。</w:t>
      </w:r>
    </w:p>
    <w:p>
      <w:pPr>
        <w:spacing w:after="0" w:line="391" w:lineRule="auto"/>
        <w:jc w:val="both"/>
        <w:rPr>
          <w:color w:val="auto"/>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rPr>
        <w:t>2</w:t>
      </w:r>
      <w:r>
        <w:rPr>
          <w:color w:val="auto"/>
          <w:spacing w:val="-9"/>
        </w:rPr>
        <w:t>、《中华人民共和国广告法》第四十五条 公共场所的管理者或者电信业务经营</w:t>
      </w:r>
      <w:r>
        <w:rPr>
          <w:color w:val="auto"/>
          <w:spacing w:val="-8"/>
        </w:rPr>
        <w:t>者、互联网信息服务提供者对其明知或者应知的利用其场所或者信息传输、发布平台</w:t>
      </w:r>
      <w:r>
        <w:rPr>
          <w:color w:val="auto"/>
        </w:rPr>
        <w:t>发送、发布违法广告的，应当予以制止。</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152"/>
        <w:rPr>
          <w:color w:val="auto"/>
        </w:rPr>
      </w:pPr>
      <w:r>
        <w:rPr>
          <w:color w:val="auto"/>
          <w:spacing w:val="-1"/>
        </w:rPr>
        <w:t>违法所得一万元以下的，没收违法所得，并处一万元的罚款。</w:t>
      </w:r>
      <w:r>
        <w:rPr>
          <w:color w:val="auto"/>
        </w:rPr>
        <w:t>2.【一般】</w:t>
      </w:r>
    </w:p>
    <w:p>
      <w:pPr>
        <w:pStyle w:val="4"/>
        <w:spacing w:line="388" w:lineRule="auto"/>
        <w:ind w:right="213" w:firstLine="480"/>
        <w:rPr>
          <w:color w:val="auto"/>
        </w:rPr>
      </w:pPr>
      <w:r>
        <w:rPr>
          <w:color w:val="auto"/>
        </w:rPr>
        <w:t>违法所得一万元以上三万元以下的，没收违法所得，并处一万元以上三万元以下的罚款。</w:t>
      </w:r>
    </w:p>
    <w:p>
      <w:pPr>
        <w:pStyle w:val="13"/>
        <w:numPr>
          <w:ilvl w:val="1"/>
          <w:numId w:val="167"/>
        </w:numPr>
        <w:tabs>
          <w:tab w:val="left" w:pos="833"/>
        </w:tabs>
        <w:spacing w:before="2" w:after="0" w:line="240" w:lineRule="auto"/>
        <w:ind w:left="832" w:right="0" w:hanging="242"/>
        <w:jc w:val="left"/>
        <w:rPr>
          <w:color w:val="auto"/>
          <w:sz w:val="24"/>
        </w:rPr>
      </w:pPr>
      <w:r>
        <w:rPr>
          <w:color w:val="auto"/>
          <w:sz w:val="24"/>
        </w:rPr>
        <w:t>【较重】</w:t>
      </w:r>
    </w:p>
    <w:p>
      <w:pPr>
        <w:pStyle w:val="4"/>
        <w:spacing w:before="194" w:line="388" w:lineRule="auto"/>
        <w:ind w:right="213" w:firstLine="480"/>
        <w:rPr>
          <w:color w:val="auto"/>
        </w:rPr>
      </w:pPr>
      <w:r>
        <w:rPr>
          <w:color w:val="auto"/>
        </w:rPr>
        <w:t>违法所得三万元以上五万元以下的，没收违法所得，并处三万元以上五万元以下的罚款。</w:t>
      </w:r>
    </w:p>
    <w:p>
      <w:pPr>
        <w:pStyle w:val="13"/>
        <w:numPr>
          <w:ilvl w:val="1"/>
          <w:numId w:val="167"/>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违法所得五万元以上十万元以下的，没收违法所得，并处违法所得一倍以上二倍以下的罚款。</w:t>
      </w:r>
    </w:p>
    <w:p>
      <w:pPr>
        <w:pStyle w:val="13"/>
        <w:numPr>
          <w:ilvl w:val="1"/>
          <w:numId w:val="167"/>
        </w:numPr>
        <w:tabs>
          <w:tab w:val="left" w:pos="833"/>
        </w:tabs>
        <w:spacing w:before="2" w:after="0" w:line="240" w:lineRule="auto"/>
        <w:ind w:left="832" w:right="0" w:hanging="242"/>
        <w:jc w:val="left"/>
        <w:rPr>
          <w:color w:val="auto"/>
          <w:sz w:val="24"/>
        </w:rPr>
      </w:pPr>
      <w:r>
        <w:rPr>
          <w:color w:val="auto"/>
          <w:sz w:val="24"/>
        </w:rPr>
        <w:t>【特别严重】</w:t>
      </w:r>
    </w:p>
    <w:p>
      <w:pPr>
        <w:pStyle w:val="4"/>
        <w:spacing w:before="194" w:line="388" w:lineRule="auto"/>
        <w:ind w:right="148" w:firstLine="480"/>
        <w:rPr>
          <w:color w:val="auto"/>
        </w:rPr>
      </w:pPr>
      <w:r>
        <w:rPr>
          <w:color w:val="auto"/>
          <w:spacing w:val="-4"/>
        </w:rPr>
        <w:t>违法所得十万元以上的，或者造成严重人身、财产损失或者其他严重后果的，或</w:t>
      </w:r>
      <w:r>
        <w:rPr>
          <w:color w:val="auto"/>
          <w:spacing w:val="-15"/>
        </w:rPr>
        <w:t>者造成严重不良社会影响的，没收违法所得，并处违法所得二倍以上三倍以下的罚款。</w:t>
      </w:r>
    </w:p>
    <w:p>
      <w:pPr>
        <w:pStyle w:val="2"/>
        <w:spacing w:before="2"/>
        <w:rPr>
          <w:color w:val="auto"/>
        </w:rPr>
      </w:pPr>
      <w:bookmarkStart w:id="487" w:name="二百三十七、伪造、变造或者转让广告审查批准文件"/>
      <w:bookmarkEnd w:id="487"/>
      <w:bookmarkStart w:id="488" w:name="_bookmark243"/>
      <w:bookmarkEnd w:id="488"/>
      <w:r>
        <w:rPr>
          <w:color w:val="auto"/>
        </w:rPr>
        <w:t>二百三十七、伪造、变造或者转让广告审查批准文件</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、《中华人民共和国广告法》第六十六条 违反本法规定，伪造、变造或者转让</w:t>
      </w:r>
      <w:r>
        <w:rPr>
          <w:color w:val="auto"/>
          <w:spacing w:val="-11"/>
        </w:rPr>
        <w:t xml:space="preserve">广告审查批准文件的，由市场监督管理部门没收违法所得，并处 </w:t>
      </w:r>
      <w:r>
        <w:rPr>
          <w:color w:val="auto"/>
        </w:rPr>
        <w:t>1</w:t>
      </w:r>
      <w:r>
        <w:rPr>
          <w:color w:val="auto"/>
          <w:spacing w:val="-16"/>
        </w:rPr>
        <w:t xml:space="preserve"> 万元以上 </w:t>
      </w:r>
      <w:r>
        <w:rPr>
          <w:color w:val="auto"/>
        </w:rPr>
        <w:t>10</w:t>
      </w:r>
      <w:r>
        <w:rPr>
          <w:color w:val="auto"/>
          <w:spacing w:val="-15"/>
        </w:rPr>
        <w:t xml:space="preserve"> 万元以下的罚款。</w:t>
      </w:r>
    </w:p>
    <w:p>
      <w:pPr>
        <w:pStyle w:val="13"/>
        <w:numPr>
          <w:ilvl w:val="1"/>
          <w:numId w:val="169"/>
        </w:numPr>
        <w:tabs>
          <w:tab w:val="left" w:pos="953"/>
        </w:tabs>
        <w:spacing w:before="0" w:after="0" w:line="391" w:lineRule="auto"/>
        <w:ind w:left="111" w:right="146" w:firstLine="480"/>
        <w:jc w:val="left"/>
        <w:rPr>
          <w:color w:val="auto"/>
          <w:sz w:val="24"/>
        </w:rPr>
      </w:pPr>
      <w:r>
        <w:rPr>
          <w:color w:val="auto"/>
          <w:spacing w:val="-13"/>
          <w:sz w:val="24"/>
        </w:rPr>
        <w:t>、《中华人民共和国广告法》第四十六条 发布医疗、药品、医疗器械、农药、</w:t>
      </w:r>
      <w:r>
        <w:rPr>
          <w:color w:val="auto"/>
          <w:spacing w:val="-4"/>
          <w:sz w:val="24"/>
        </w:rPr>
        <w:t>兽药和保健食品广告，以及法律、行政法规规定应当进行审查的其他广告，应当在发</w:t>
      </w:r>
      <w:r>
        <w:rPr>
          <w:color w:val="auto"/>
          <w:spacing w:val="-10"/>
          <w:sz w:val="24"/>
        </w:rPr>
        <w:t>布前由有关部门</w:t>
      </w:r>
      <w:r>
        <w:rPr>
          <w:color w:val="auto"/>
          <w:sz w:val="24"/>
        </w:rPr>
        <w:t>（以下称广告审查机关</w:t>
      </w:r>
      <w:r>
        <w:rPr>
          <w:color w:val="auto"/>
          <w:spacing w:val="-41"/>
          <w:sz w:val="24"/>
        </w:rPr>
        <w:t>）</w:t>
      </w:r>
      <w:r>
        <w:rPr>
          <w:color w:val="auto"/>
          <w:spacing w:val="-8"/>
          <w:sz w:val="24"/>
        </w:rPr>
        <w:t>对广告内容进行审查；未经审查，不得发布。</w:t>
      </w:r>
    </w:p>
    <w:p>
      <w:pPr>
        <w:pStyle w:val="13"/>
        <w:numPr>
          <w:ilvl w:val="1"/>
          <w:numId w:val="169"/>
        </w:numPr>
        <w:tabs>
          <w:tab w:val="left" w:pos="954"/>
        </w:tabs>
        <w:spacing w:before="0" w:after="0" w:line="388" w:lineRule="auto"/>
        <w:ind w:left="111" w:right="271" w:firstLine="480"/>
        <w:jc w:val="left"/>
        <w:rPr>
          <w:color w:val="auto"/>
          <w:sz w:val="24"/>
        </w:rPr>
      </w:pPr>
      <w:r>
        <w:rPr>
          <w:color w:val="auto"/>
          <w:spacing w:val="-9"/>
          <w:sz w:val="24"/>
        </w:rPr>
        <w:t>、《中华人民共和国广告法》第四十八条 任何单位或者个人不得伪造、变造或者转让广告审查批准文件。</w:t>
      </w:r>
    </w:p>
    <w:p>
      <w:pPr>
        <w:spacing w:after="0" w:line="388" w:lineRule="auto"/>
        <w:jc w:val="left"/>
        <w:rPr>
          <w:color w:val="auto"/>
          <w:sz w:val="24"/>
        </w:rPr>
        <w:sectPr>
          <w:footerReference r:id="rId43" w:type="default"/>
          <w:footerReference r:id="rId44" w:type="even"/>
          <w:pgSz w:w="11910" w:h="16840"/>
          <w:pgMar w:top="1520" w:right="1260" w:bottom="1220" w:left="1420" w:header="0" w:footer="1034" w:gutter="0"/>
          <w:pgNumType w:start="200"/>
        </w:sectPr>
      </w:pPr>
    </w:p>
    <w:p>
      <w:pPr>
        <w:spacing w:before="39"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152"/>
        <w:rPr>
          <w:color w:val="auto"/>
        </w:rPr>
      </w:pPr>
      <w:r>
        <w:rPr>
          <w:color w:val="auto"/>
          <w:spacing w:val="-1"/>
        </w:rPr>
        <w:t>违法所得一万元以下的，没收违法所得，并处一万元的罚款。</w:t>
      </w:r>
      <w:r>
        <w:rPr>
          <w:color w:val="auto"/>
        </w:rPr>
        <w:t>2.【一般】</w:t>
      </w:r>
    </w:p>
    <w:p>
      <w:pPr>
        <w:pStyle w:val="4"/>
        <w:spacing w:before="3" w:line="388" w:lineRule="auto"/>
        <w:ind w:right="213" w:firstLine="480"/>
        <w:rPr>
          <w:color w:val="auto"/>
        </w:rPr>
      </w:pPr>
      <w:r>
        <w:rPr>
          <w:color w:val="auto"/>
        </w:rPr>
        <w:t>违法所得一万元以上五万元以下的，没收违法所得，并处一万元以上三万元以下的罚款。</w:t>
      </w:r>
    </w:p>
    <w:p>
      <w:pPr>
        <w:pStyle w:val="13"/>
        <w:numPr>
          <w:ilvl w:val="0"/>
          <w:numId w:val="170"/>
        </w:numPr>
        <w:tabs>
          <w:tab w:val="left" w:pos="833"/>
        </w:tabs>
        <w:spacing w:before="2" w:after="0" w:line="240" w:lineRule="auto"/>
        <w:ind w:left="832" w:right="0" w:hanging="242"/>
        <w:jc w:val="left"/>
        <w:rPr>
          <w:color w:val="auto"/>
          <w:sz w:val="24"/>
        </w:rPr>
      </w:pPr>
      <w:r>
        <w:rPr>
          <w:color w:val="auto"/>
          <w:sz w:val="24"/>
        </w:rPr>
        <w:t>【较重】</w:t>
      </w:r>
    </w:p>
    <w:p>
      <w:pPr>
        <w:pStyle w:val="4"/>
        <w:spacing w:before="195" w:line="388" w:lineRule="auto"/>
        <w:ind w:right="213" w:firstLine="480"/>
        <w:rPr>
          <w:color w:val="auto"/>
        </w:rPr>
      </w:pPr>
      <w:r>
        <w:rPr>
          <w:color w:val="auto"/>
        </w:rPr>
        <w:t>违法所得五万元以上十万元以下的，没收违法所得，并处三万元以上五万元以下的罚款。</w:t>
      </w:r>
    </w:p>
    <w:p>
      <w:pPr>
        <w:pStyle w:val="13"/>
        <w:numPr>
          <w:ilvl w:val="0"/>
          <w:numId w:val="170"/>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违法所得十万元以上的，或者造成严重人身、财产损失或者其他严重后果的，或者造成严重不良社会影响的，没收违法所得，并处五万元以上十万元以下的罚款。</w:t>
      </w:r>
    </w:p>
    <w:p>
      <w:pPr>
        <w:pStyle w:val="2"/>
        <w:spacing w:before="2"/>
        <w:rPr>
          <w:color w:val="auto"/>
        </w:rPr>
      </w:pPr>
      <w:bookmarkStart w:id="489" w:name="_bookmark244"/>
      <w:bookmarkEnd w:id="489"/>
      <w:bookmarkStart w:id="490" w:name="二百三十八、诱使用户点击广告和未经允许在电子邮件中附加广告"/>
      <w:bookmarkEnd w:id="490"/>
      <w:r>
        <w:rPr>
          <w:color w:val="auto"/>
        </w:rPr>
        <w:t>二百三十八、诱使用户点击广告和未经允许在电子邮件中附加广告</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、《互联网广告管理暂行办法》第二十四条 违反本办法第八条第二款、第三款规定，以欺骗方式诱使用户点击广告内容的，或者未经允许，在用户发送的电子邮件</w:t>
      </w:r>
      <w:r>
        <w:rPr>
          <w:color w:val="auto"/>
        </w:rPr>
        <w:t>中附加广告或者广告链接的，责令改正，处一万元以上三万元以下的罚款。</w:t>
      </w:r>
    </w:p>
    <w:p>
      <w:pPr>
        <w:pStyle w:val="13"/>
        <w:numPr>
          <w:ilvl w:val="1"/>
          <w:numId w:val="171"/>
        </w:numPr>
        <w:tabs>
          <w:tab w:val="left" w:pos="954"/>
        </w:tabs>
        <w:spacing w:before="0" w:after="0" w:line="388" w:lineRule="auto"/>
        <w:ind w:left="111" w:right="271" w:firstLine="480"/>
        <w:jc w:val="both"/>
        <w:rPr>
          <w:color w:val="auto"/>
          <w:sz w:val="24"/>
        </w:rPr>
      </w:pPr>
      <w:r>
        <w:rPr>
          <w:color w:val="auto"/>
          <w:spacing w:val="-9"/>
          <w:sz w:val="24"/>
        </w:rPr>
        <w:t>、《互联网广告管理暂行办法》第八条第二款 不得以欺骗方式诱使用户点击广告内容。</w:t>
      </w:r>
    </w:p>
    <w:p>
      <w:pPr>
        <w:pStyle w:val="13"/>
        <w:numPr>
          <w:ilvl w:val="1"/>
          <w:numId w:val="171"/>
        </w:numPr>
        <w:tabs>
          <w:tab w:val="left" w:pos="954"/>
        </w:tabs>
        <w:spacing w:before="0" w:after="0" w:line="388" w:lineRule="auto"/>
        <w:ind w:left="111" w:right="271" w:firstLine="480"/>
        <w:jc w:val="both"/>
        <w:rPr>
          <w:color w:val="auto"/>
          <w:sz w:val="24"/>
        </w:rPr>
      </w:pPr>
      <w:r>
        <w:rPr>
          <w:color w:val="auto"/>
          <w:spacing w:val="-9"/>
          <w:sz w:val="24"/>
        </w:rPr>
        <w:t>、《互联网广告管理暂行办法》第八条第三款 未经允许，不得在用户发送的电子邮件中附加广告或者广告链接。</w:t>
      </w:r>
    </w:p>
    <w:p>
      <w:pPr>
        <w:spacing w:before="3"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4792"/>
        <w:rPr>
          <w:color w:val="auto"/>
        </w:rPr>
      </w:pPr>
      <w:r>
        <w:rPr>
          <w:color w:val="auto"/>
          <w:spacing w:val="-2"/>
        </w:rPr>
        <w:t>第一次发现的，处以一万元的罚款。</w:t>
      </w:r>
      <w:r>
        <w:rPr>
          <w:color w:val="auto"/>
        </w:rPr>
        <w:t>2.【一般】</w:t>
      </w:r>
    </w:p>
    <w:p>
      <w:pPr>
        <w:pStyle w:val="4"/>
        <w:spacing w:before="2" w:line="388" w:lineRule="auto"/>
        <w:ind w:left="591" w:right="3112"/>
        <w:rPr>
          <w:color w:val="auto"/>
        </w:rPr>
      </w:pPr>
      <w:r>
        <w:rPr>
          <w:color w:val="auto"/>
          <w:spacing w:val="-1"/>
        </w:rPr>
        <w:t>第二次发现的，处以一万元以上二万元以下的罚款。</w:t>
      </w:r>
      <w:r>
        <w:rPr>
          <w:color w:val="auto"/>
        </w:rPr>
        <w:t>3.【严重】</w:t>
      </w:r>
    </w:p>
    <w:p>
      <w:pPr>
        <w:pStyle w:val="4"/>
        <w:spacing w:before="3"/>
        <w:ind w:left="591"/>
        <w:rPr>
          <w:color w:val="auto"/>
        </w:rPr>
      </w:pPr>
      <w:r>
        <w:rPr>
          <w:color w:val="auto"/>
        </w:rPr>
        <w:t>发现三次以上的，处以二万元以上三万元以下的罚款。</w:t>
      </w:r>
    </w:p>
    <w:p>
      <w:pPr>
        <w:spacing w:after="0"/>
        <w:rPr>
          <w:color w:val="auto"/>
        </w:rPr>
        <w:sectPr>
          <w:pgSz w:w="11910" w:h="16840"/>
          <w:pgMar w:top="1520" w:right="1260" w:bottom="1220" w:left="1420" w:header="0" w:footer="1034" w:gutter="0"/>
        </w:sectPr>
      </w:pPr>
    </w:p>
    <w:p>
      <w:pPr>
        <w:pStyle w:val="2"/>
        <w:spacing w:before="39"/>
        <w:rPr>
          <w:color w:val="auto"/>
        </w:rPr>
      </w:pPr>
      <w:bookmarkStart w:id="491" w:name="_bookmark245"/>
      <w:bookmarkEnd w:id="491"/>
      <w:bookmarkStart w:id="492" w:name="二百三十九、互联网广告未标明来源"/>
      <w:bookmarkEnd w:id="492"/>
      <w:r>
        <w:rPr>
          <w:color w:val="auto"/>
        </w:rPr>
        <w:t>二百三十九、互联网广告未标明来源</w:t>
      </w:r>
    </w:p>
    <w:p>
      <w:pPr>
        <w:spacing w:before="195"/>
        <w:ind w:left="591" w:right="0" w:firstLine="0"/>
        <w:jc w:val="left"/>
        <w:rPr>
          <w:b/>
          <w:color w:val="auto"/>
          <w:sz w:val="24"/>
        </w:rPr>
      </w:pPr>
      <w:r>
        <w:rPr>
          <w:b/>
          <w:color w:val="auto"/>
          <w:sz w:val="24"/>
        </w:rPr>
        <w:t>（一）处罚依据</w:t>
      </w:r>
    </w:p>
    <w:p>
      <w:pPr>
        <w:pStyle w:val="4"/>
        <w:spacing w:before="191" w:line="388" w:lineRule="auto"/>
        <w:ind w:right="268" w:firstLine="480"/>
        <w:rPr>
          <w:color w:val="auto"/>
        </w:rPr>
      </w:pPr>
      <w:r>
        <w:rPr>
          <w:color w:val="auto"/>
        </w:rPr>
        <w:t>1</w:t>
      </w:r>
      <w:r>
        <w:rPr>
          <w:color w:val="auto"/>
          <w:spacing w:val="-9"/>
        </w:rPr>
        <w:t>、《互联网广告管理暂行办法》第二十六条 有下列情形之一的，责令改正，处一万元以上三万元以下的罚款：</w:t>
      </w:r>
    </w:p>
    <w:p>
      <w:pPr>
        <w:pStyle w:val="4"/>
        <w:spacing w:before="5" w:line="388" w:lineRule="auto"/>
        <w:ind w:right="268" w:firstLine="480"/>
        <w:rPr>
          <w:color w:val="auto"/>
        </w:rPr>
      </w:pPr>
      <w:r>
        <w:rPr>
          <w:color w:val="auto"/>
        </w:rPr>
        <w:t>（一</w:t>
      </w:r>
      <w:r>
        <w:rPr>
          <w:color w:val="auto"/>
          <w:spacing w:val="-20"/>
        </w:rPr>
        <w:t>）</w:t>
      </w:r>
      <w:r>
        <w:rPr>
          <w:color w:val="auto"/>
          <w:spacing w:val="-2"/>
        </w:rPr>
        <w:t>广告需求方平台经营者违反本办法第十三条第二款规定，通过程序化购买</w:t>
      </w:r>
      <w:r>
        <w:rPr>
          <w:color w:val="auto"/>
        </w:rPr>
        <w:t>方式发布的广告未标明来源的。</w:t>
      </w:r>
    </w:p>
    <w:p>
      <w:pPr>
        <w:pStyle w:val="4"/>
        <w:spacing w:before="2" w:line="391" w:lineRule="auto"/>
        <w:ind w:right="268" w:firstLine="480"/>
        <w:rPr>
          <w:color w:val="auto"/>
        </w:rPr>
      </w:pPr>
      <w:r>
        <w:rPr>
          <w:color w:val="auto"/>
        </w:rPr>
        <w:t>2</w:t>
      </w:r>
      <w:r>
        <w:rPr>
          <w:color w:val="auto"/>
          <w:spacing w:val="-9"/>
        </w:rPr>
        <w:t>、《互联网广告管理暂行办法》第十三条第二款 通过程序化购买广告方式发布的互联网广告，广告需求方平台经营者应当清晰标明广告来源。</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88" w:lineRule="auto"/>
        <w:ind w:left="591" w:right="4792"/>
        <w:rPr>
          <w:color w:val="auto"/>
        </w:rPr>
      </w:pPr>
      <w:r>
        <w:rPr>
          <w:color w:val="auto"/>
          <w:spacing w:val="-2"/>
        </w:rPr>
        <w:t>第一次发现的，处以一万元的罚款。</w:t>
      </w:r>
      <w:r>
        <w:rPr>
          <w:color w:val="auto"/>
        </w:rPr>
        <w:t>2.【一般】</w:t>
      </w:r>
    </w:p>
    <w:p>
      <w:pPr>
        <w:pStyle w:val="4"/>
        <w:spacing w:before="2" w:line="391" w:lineRule="auto"/>
        <w:ind w:left="591" w:right="3112"/>
        <w:rPr>
          <w:color w:val="auto"/>
        </w:rPr>
      </w:pPr>
      <w:r>
        <w:rPr>
          <w:color w:val="auto"/>
          <w:spacing w:val="-1"/>
        </w:rPr>
        <w:t>第二次发现的，处以一万元以上二万元以下的罚款。</w:t>
      </w:r>
      <w:r>
        <w:rPr>
          <w:color w:val="auto"/>
        </w:rPr>
        <w:t>3.【严重】</w:t>
      </w:r>
    </w:p>
    <w:p>
      <w:pPr>
        <w:pStyle w:val="4"/>
        <w:spacing w:line="306" w:lineRule="exact"/>
        <w:ind w:left="591"/>
        <w:rPr>
          <w:color w:val="auto"/>
        </w:rPr>
      </w:pPr>
      <w:r>
        <w:rPr>
          <w:color w:val="auto"/>
        </w:rPr>
        <w:t>发现三次以上的，处以二万元以上三万元以下的罚款。</w:t>
      </w:r>
    </w:p>
    <w:p>
      <w:pPr>
        <w:pStyle w:val="2"/>
        <w:spacing w:before="192" w:line="391" w:lineRule="auto"/>
        <w:ind w:left="111" w:right="240" w:firstLine="480"/>
        <w:rPr>
          <w:color w:val="auto"/>
        </w:rPr>
      </w:pPr>
      <w:bookmarkStart w:id="493" w:name="二百四十、媒介方平台经营者、广告信息交换平台经营者、媒介方平台成员未履行法定义务"/>
      <w:bookmarkEnd w:id="493"/>
      <w:bookmarkStart w:id="494" w:name="_bookmark246"/>
      <w:bookmarkEnd w:id="494"/>
      <w:r>
        <w:rPr>
          <w:color w:val="auto"/>
          <w:spacing w:val="-8"/>
        </w:rPr>
        <w:t>二百四十、媒介方平台经营者、广告信息交换平台经营者、媒介方平台成员未履行法定义务</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8" w:firstLine="480"/>
        <w:rPr>
          <w:color w:val="auto"/>
        </w:rPr>
      </w:pPr>
      <w:r>
        <w:rPr>
          <w:color w:val="auto"/>
        </w:rPr>
        <w:t>1</w:t>
      </w:r>
      <w:r>
        <w:rPr>
          <w:color w:val="auto"/>
          <w:spacing w:val="-9"/>
        </w:rPr>
        <w:t>、《互联网广告管理暂行办法》第二十六条 有下列情形之一的，责令改正，处一万元以上三万元以下的罚款：</w:t>
      </w:r>
    </w:p>
    <w:p>
      <w:pPr>
        <w:pStyle w:val="4"/>
        <w:spacing w:line="388" w:lineRule="auto"/>
        <w:ind w:right="213" w:firstLine="480"/>
        <w:rPr>
          <w:color w:val="auto"/>
        </w:rPr>
      </w:pPr>
      <w:r>
        <w:rPr>
          <w:color w:val="auto"/>
        </w:rPr>
        <w:t>（二）媒介方平台经营者、广告信息交换平台经营者以及媒介方平台成员，违反本办法第十五条第一款、第二款规定，未履行相关义务的。</w:t>
      </w:r>
    </w:p>
    <w:p>
      <w:pPr>
        <w:pStyle w:val="4"/>
        <w:spacing w:before="3" w:line="391" w:lineRule="auto"/>
        <w:ind w:right="268" w:firstLine="480"/>
        <w:jc w:val="both"/>
        <w:rPr>
          <w:color w:val="auto"/>
        </w:rPr>
      </w:pPr>
      <w:r>
        <w:rPr>
          <w:color w:val="auto"/>
        </w:rPr>
        <w:t>2</w:t>
      </w:r>
      <w:r>
        <w:rPr>
          <w:color w:val="auto"/>
          <w:spacing w:val="-9"/>
        </w:rPr>
        <w:t>、《互联网广告管理暂行办法》第十五条第一款 广告需求方平台经营者、媒介</w:t>
      </w:r>
      <w:r>
        <w:rPr>
          <w:color w:val="auto"/>
          <w:spacing w:val="-11"/>
        </w:rPr>
        <w:t>方平台经营者、广告信息交换平台经营者以及媒介方平台成员，在订立互联网广告合</w:t>
      </w:r>
      <w:r>
        <w:rPr>
          <w:color w:val="auto"/>
          <w:spacing w:val="-6"/>
        </w:rPr>
        <w:t>同时，应当查验合同相对方的主体身份证明文件、真实名称、地址和有效联系方式等</w:t>
      </w:r>
      <w:r>
        <w:rPr>
          <w:color w:val="auto"/>
        </w:rPr>
        <w:t>信息，建立登记档案并定期核实更新。</w:t>
      </w:r>
    </w:p>
    <w:p>
      <w:pPr>
        <w:pStyle w:val="4"/>
        <w:spacing w:line="388" w:lineRule="auto"/>
        <w:ind w:right="232" w:firstLine="480"/>
        <w:jc w:val="both"/>
        <w:rPr>
          <w:color w:val="auto"/>
        </w:rPr>
      </w:pPr>
      <w:r>
        <w:rPr>
          <w:color w:val="auto"/>
        </w:rPr>
        <w:t>《互联网广告管理暂行办法》第十五条第二款 媒介方平台经营者、广告信息交换平台经营者以及媒介方平台成员，对其明知或者应知的违法广告，应当采取删除、</w:t>
      </w:r>
    </w:p>
    <w:p>
      <w:pPr>
        <w:spacing w:after="0" w:line="388"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屏蔽、断开链接等技术措施和管理措施，予以制止。</w:t>
      </w:r>
    </w:p>
    <w:p>
      <w:pPr>
        <w:spacing w:before="195"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2" w:line="391" w:lineRule="auto"/>
        <w:ind w:left="591" w:right="4792"/>
        <w:rPr>
          <w:color w:val="auto"/>
        </w:rPr>
      </w:pPr>
      <w:r>
        <w:rPr>
          <w:color w:val="auto"/>
          <w:spacing w:val="-2"/>
        </w:rPr>
        <w:t>第一次发现的，处以一万元的罚款。</w:t>
      </w:r>
      <w:r>
        <w:rPr>
          <w:color w:val="auto"/>
        </w:rPr>
        <w:t>2.【一般】</w:t>
      </w:r>
    </w:p>
    <w:p>
      <w:pPr>
        <w:pStyle w:val="4"/>
        <w:spacing w:line="388" w:lineRule="auto"/>
        <w:ind w:left="591" w:right="3112"/>
        <w:rPr>
          <w:color w:val="auto"/>
        </w:rPr>
      </w:pPr>
      <w:r>
        <w:rPr>
          <w:color w:val="auto"/>
          <w:spacing w:val="-1"/>
        </w:rPr>
        <w:t>第二次发现的，处以一万元以上二万元以下的罚款。</w:t>
      </w:r>
      <w:r>
        <w:rPr>
          <w:color w:val="auto"/>
        </w:rPr>
        <w:t>3.【严重】</w:t>
      </w:r>
    </w:p>
    <w:p>
      <w:pPr>
        <w:spacing w:before="3" w:line="388" w:lineRule="auto"/>
        <w:ind w:left="591" w:right="2851" w:firstLine="0"/>
        <w:jc w:val="left"/>
        <w:rPr>
          <w:b/>
          <w:color w:val="auto"/>
          <w:sz w:val="24"/>
        </w:rPr>
      </w:pPr>
      <w:r>
        <w:rPr>
          <w:color w:val="auto"/>
          <w:sz w:val="24"/>
        </w:rPr>
        <w:t>发现三次以上的，处以二万元以上三万元以下的罚款。</w:t>
      </w:r>
      <w:bookmarkStart w:id="495" w:name="二百四十一、违反《药品广告审查发布标准》发布广告"/>
      <w:bookmarkEnd w:id="495"/>
      <w:bookmarkStart w:id="496" w:name="_bookmark247"/>
      <w:bookmarkEnd w:id="496"/>
      <w:r>
        <w:rPr>
          <w:b/>
          <w:color w:val="auto"/>
          <w:sz w:val="24"/>
        </w:rPr>
        <w:t>二百四十一、违反《药品广告审查发布标准》发布广告</w:t>
      </w:r>
    </w:p>
    <w:p>
      <w:pPr>
        <w:pStyle w:val="2"/>
        <w:spacing w:before="2"/>
        <w:rPr>
          <w:color w:val="auto"/>
        </w:rPr>
      </w:pPr>
      <w:r>
        <w:rPr>
          <w:color w:val="auto"/>
        </w:rPr>
        <w:t>（一）处罚依据</w:t>
      </w:r>
    </w:p>
    <w:p>
      <w:pPr>
        <w:pStyle w:val="4"/>
        <w:spacing w:before="194" w:line="391" w:lineRule="auto"/>
        <w:ind w:right="266" w:firstLine="480"/>
        <w:jc w:val="both"/>
        <w:rPr>
          <w:color w:val="auto"/>
        </w:rPr>
      </w:pPr>
      <w:r>
        <w:rPr>
          <w:color w:val="auto"/>
        </w:rPr>
        <w:t>1</w:t>
      </w:r>
      <w:r>
        <w:rPr>
          <w:color w:val="auto"/>
          <w:spacing w:val="-19"/>
        </w:rPr>
        <w:t>、《药品广告审查发布标准》第十八条第四款 违反本标准其他规定发布广告</w:t>
      </w:r>
      <w:r>
        <w:rPr>
          <w:color w:val="auto"/>
          <w:spacing w:val="-75"/>
        </w:rPr>
        <w:t>，《广</w:t>
      </w:r>
      <w:r>
        <w:rPr>
          <w:color w:val="auto"/>
          <w:spacing w:val="-7"/>
        </w:rPr>
        <w:t>告法》有规定的，依照《广告法》处罚；《广告法》没有具体规定的，对负有责任的</w:t>
      </w:r>
      <w:r>
        <w:rPr>
          <w:color w:val="auto"/>
          <w:spacing w:val="-9"/>
        </w:rPr>
        <w:t>广告主、广告经营者、广告发布者，处以一万元以下罚款；有违法所得的，处以违法</w:t>
      </w:r>
      <w:r>
        <w:rPr>
          <w:color w:val="auto"/>
        </w:rPr>
        <w:t>所得三倍以下但不超过三万元的罚款。</w:t>
      </w:r>
    </w:p>
    <w:p>
      <w:pPr>
        <w:pStyle w:val="13"/>
        <w:numPr>
          <w:ilvl w:val="1"/>
          <w:numId w:val="172"/>
        </w:numPr>
        <w:tabs>
          <w:tab w:val="left" w:pos="954"/>
        </w:tabs>
        <w:spacing w:before="0" w:after="0" w:line="391" w:lineRule="auto"/>
        <w:ind w:left="111" w:right="268" w:firstLine="480"/>
        <w:jc w:val="both"/>
        <w:rPr>
          <w:color w:val="auto"/>
          <w:sz w:val="24"/>
        </w:rPr>
      </w:pPr>
      <w:r>
        <w:rPr>
          <w:color w:val="auto"/>
          <w:spacing w:val="-9"/>
          <w:sz w:val="24"/>
        </w:rPr>
        <w:t>、《药品广告审查发布标准》第七条 药品广告中必须标明药品的通用名称、忠告语、药品广告批准文号、药品生产批准文号；以非处方药商品名称为各种活动冠</w:t>
      </w:r>
      <w:r>
        <w:rPr>
          <w:color w:val="auto"/>
          <w:sz w:val="24"/>
        </w:rPr>
        <w:t>名的，可以只发布药品商品名称。</w:t>
      </w:r>
    </w:p>
    <w:p>
      <w:pPr>
        <w:pStyle w:val="4"/>
        <w:spacing w:line="388" w:lineRule="auto"/>
        <w:ind w:right="213" w:firstLine="480"/>
        <w:rPr>
          <w:color w:val="auto"/>
        </w:rPr>
      </w:pPr>
      <w:r>
        <w:rPr>
          <w:color w:val="auto"/>
        </w:rPr>
        <w:t>药品广告必须标明药品生产企业或者药品经营企业名称，不得单独出现“咨询热线”、“咨询电话”等内容。</w:t>
      </w:r>
    </w:p>
    <w:p>
      <w:pPr>
        <w:pStyle w:val="4"/>
        <w:ind w:left="591"/>
        <w:rPr>
          <w:color w:val="auto"/>
        </w:rPr>
      </w:pPr>
      <w:r>
        <w:rPr>
          <w:color w:val="auto"/>
        </w:rPr>
        <w:t>非处方药广告必须同时标明非处方药专用标识（OTC</w:t>
      </w:r>
      <w:r>
        <w:rPr>
          <w:color w:val="auto"/>
          <w:spacing w:val="-120"/>
        </w:rPr>
        <w:t>）</w:t>
      </w:r>
      <w:r>
        <w:rPr>
          <w:color w:val="auto"/>
        </w:rPr>
        <w:t>。</w:t>
      </w:r>
    </w:p>
    <w:p>
      <w:pPr>
        <w:pStyle w:val="4"/>
        <w:spacing w:before="187" w:line="388" w:lineRule="auto"/>
        <w:ind w:right="213" w:firstLine="480"/>
        <w:rPr>
          <w:color w:val="auto"/>
        </w:rPr>
      </w:pPr>
      <w:r>
        <w:rPr>
          <w:color w:val="auto"/>
        </w:rPr>
        <w:t>药品广告中不得以产品注册商标代替药品名称进行宣传，但经批准作为药品商品名称使用的文字型注册商标除外。</w:t>
      </w:r>
    </w:p>
    <w:p>
      <w:pPr>
        <w:pStyle w:val="4"/>
        <w:spacing w:before="4"/>
        <w:ind w:left="591"/>
        <w:rPr>
          <w:color w:val="auto"/>
        </w:rPr>
      </w:pPr>
      <w:r>
        <w:rPr>
          <w:color w:val="auto"/>
        </w:rPr>
        <w:t>已经审查批准的药品广告在广播电台发布时，可不播出药品广告批准文号。</w:t>
      </w:r>
    </w:p>
    <w:p>
      <w:pPr>
        <w:pStyle w:val="13"/>
        <w:numPr>
          <w:ilvl w:val="1"/>
          <w:numId w:val="172"/>
        </w:numPr>
        <w:tabs>
          <w:tab w:val="left" w:pos="956"/>
        </w:tabs>
        <w:spacing w:before="192" w:after="0" w:line="240" w:lineRule="auto"/>
        <w:ind w:left="956" w:right="0" w:hanging="365"/>
        <w:jc w:val="left"/>
        <w:rPr>
          <w:color w:val="auto"/>
          <w:sz w:val="24"/>
        </w:rPr>
      </w:pPr>
      <w:r>
        <w:rPr>
          <w:color w:val="auto"/>
          <w:spacing w:val="-10"/>
          <w:sz w:val="24"/>
        </w:rPr>
        <w:t xml:space="preserve">、《药品广告审查发布标准》第九条第二款 电视台、广播电台不得在 </w:t>
      </w:r>
      <w:r>
        <w:rPr>
          <w:color w:val="auto"/>
          <w:sz w:val="24"/>
        </w:rPr>
        <w:t>7：00</w:t>
      </w:r>
    </w:p>
    <w:p>
      <w:pPr>
        <w:pStyle w:val="4"/>
        <w:spacing w:before="191"/>
        <w:rPr>
          <w:color w:val="auto"/>
        </w:rPr>
      </w:pPr>
      <w:r>
        <w:rPr>
          <w:color w:val="auto"/>
        </w:rPr>
        <w:t>—22：00 发布含有上款内容的广告。</w:t>
      </w:r>
    </w:p>
    <w:p>
      <w:pPr>
        <w:pStyle w:val="13"/>
        <w:numPr>
          <w:ilvl w:val="1"/>
          <w:numId w:val="172"/>
        </w:numPr>
        <w:tabs>
          <w:tab w:val="left" w:pos="953"/>
        </w:tabs>
        <w:spacing w:before="195" w:after="0" w:line="388" w:lineRule="auto"/>
        <w:ind w:left="111" w:right="148" w:firstLine="480"/>
        <w:jc w:val="left"/>
        <w:rPr>
          <w:color w:val="auto"/>
          <w:sz w:val="24"/>
        </w:rPr>
      </w:pPr>
      <w:r>
        <w:rPr>
          <w:color w:val="auto"/>
          <w:spacing w:val="-15"/>
          <w:sz w:val="24"/>
        </w:rPr>
        <w:t>、《药品广告审查发布标准》第十三条 药品广告不得含有利用医药科研单位、</w:t>
      </w:r>
      <w:r>
        <w:rPr>
          <w:color w:val="auto"/>
          <w:sz w:val="24"/>
        </w:rPr>
        <w:t>学术机构、医疗机构或者专家、医生、患者的名义和形象作证明的内容。</w:t>
      </w:r>
    </w:p>
    <w:p>
      <w:pPr>
        <w:pStyle w:val="13"/>
        <w:numPr>
          <w:ilvl w:val="1"/>
          <w:numId w:val="172"/>
        </w:numPr>
        <w:tabs>
          <w:tab w:val="left" w:pos="954"/>
        </w:tabs>
        <w:spacing w:before="2" w:after="0" w:line="240" w:lineRule="auto"/>
        <w:ind w:left="953" w:right="0" w:hanging="363"/>
        <w:jc w:val="left"/>
        <w:rPr>
          <w:color w:val="auto"/>
          <w:sz w:val="24"/>
        </w:rPr>
      </w:pPr>
      <w:r>
        <w:rPr>
          <w:color w:val="auto"/>
          <w:spacing w:val="-11"/>
          <w:sz w:val="24"/>
        </w:rPr>
        <w:t>、《药品广告审查发布标准》第十四条 药品广告不得含有涉及公共信息、公</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rPr>
          <w:color w:val="auto"/>
        </w:rPr>
      </w:pPr>
      <w:r>
        <w:rPr>
          <w:color w:val="auto"/>
        </w:rPr>
        <w:t>共事件或其他与公共利益相关联的内容，如各类疾病信息、经济社会发展成果或医药科学以外的科技成果。</w:t>
      </w:r>
    </w:p>
    <w:p>
      <w:pPr>
        <w:pStyle w:val="13"/>
        <w:numPr>
          <w:ilvl w:val="1"/>
          <w:numId w:val="172"/>
        </w:numPr>
        <w:tabs>
          <w:tab w:val="left" w:pos="954"/>
        </w:tabs>
        <w:spacing w:before="0" w:after="0" w:line="391" w:lineRule="auto"/>
        <w:ind w:left="111" w:right="265" w:firstLine="480"/>
        <w:jc w:val="both"/>
        <w:rPr>
          <w:color w:val="auto"/>
          <w:sz w:val="24"/>
        </w:rPr>
      </w:pPr>
      <w:r>
        <w:rPr>
          <w:color w:val="auto"/>
          <w:spacing w:val="-9"/>
          <w:sz w:val="24"/>
        </w:rPr>
        <w:t>、《药品广告审查发布标准》第十六条 药品广告不得含有医疗机构的名称、</w:t>
      </w:r>
      <w:r>
        <w:rPr>
          <w:color w:val="auto"/>
          <w:spacing w:val="-5"/>
          <w:sz w:val="24"/>
        </w:rPr>
        <w:t>地址、联系办法、诊疗项目、诊疗方法以及有关义诊、医疗</w:t>
      </w:r>
      <w:r>
        <w:rPr>
          <w:color w:val="auto"/>
          <w:sz w:val="24"/>
        </w:rPr>
        <w:t>（热线</w:t>
      </w:r>
      <w:r>
        <w:rPr>
          <w:color w:val="auto"/>
          <w:spacing w:val="-5"/>
          <w:sz w:val="24"/>
        </w:rPr>
        <w:t>）</w:t>
      </w:r>
      <w:r>
        <w:rPr>
          <w:color w:val="auto"/>
          <w:spacing w:val="-4"/>
          <w:sz w:val="24"/>
        </w:rPr>
        <w:t>咨询、开设特约</w:t>
      </w:r>
      <w:r>
        <w:rPr>
          <w:color w:val="auto"/>
          <w:sz w:val="24"/>
        </w:rPr>
        <w:t>门诊等医疗服务的内容。</w:t>
      </w:r>
    </w:p>
    <w:p>
      <w:pPr>
        <w:pStyle w:val="13"/>
        <w:numPr>
          <w:ilvl w:val="1"/>
          <w:numId w:val="172"/>
        </w:numPr>
        <w:tabs>
          <w:tab w:val="left" w:pos="954"/>
        </w:tabs>
        <w:spacing w:before="0" w:after="0" w:line="391" w:lineRule="auto"/>
        <w:ind w:left="111" w:right="232" w:firstLine="480"/>
        <w:jc w:val="both"/>
        <w:rPr>
          <w:color w:val="auto"/>
          <w:sz w:val="24"/>
        </w:rPr>
      </w:pPr>
      <w:r>
        <w:rPr>
          <w:color w:val="auto"/>
          <w:spacing w:val="-9"/>
          <w:sz w:val="24"/>
        </w:rPr>
        <w:t>、《药品广告审查发布标准》第十七条 按照本标准第七条规定必须在药品广</w:t>
      </w:r>
      <w:r>
        <w:rPr>
          <w:color w:val="auto"/>
          <w:spacing w:val="-10"/>
          <w:sz w:val="24"/>
        </w:rPr>
        <w:t>告中出现的内容，其字体和颜色必须清晰可见、易于辨认。上述内容在电视、电影、</w:t>
      </w:r>
      <w:r>
        <w:rPr>
          <w:color w:val="auto"/>
          <w:spacing w:val="-3"/>
          <w:sz w:val="24"/>
        </w:rPr>
        <w:t xml:space="preserve">互联网、显示屏等媒体发布时，出现时间不得少于 </w:t>
      </w:r>
      <w:r>
        <w:rPr>
          <w:color w:val="auto"/>
          <w:sz w:val="24"/>
        </w:rPr>
        <w:t>5</w:t>
      </w:r>
      <w:r>
        <w:rPr>
          <w:color w:val="auto"/>
          <w:spacing w:val="-20"/>
          <w:sz w:val="24"/>
        </w:rPr>
        <w:t xml:space="preserve"> 秒。</w:t>
      </w:r>
    </w:p>
    <w:p>
      <w:pPr>
        <w:spacing w:before="0" w:line="388" w:lineRule="auto"/>
        <w:ind w:left="591" w:right="6828" w:firstLine="0"/>
        <w:jc w:val="left"/>
        <w:rPr>
          <w:color w:val="auto"/>
          <w:sz w:val="24"/>
        </w:rPr>
      </w:pPr>
      <w:r>
        <w:rPr>
          <w:b/>
          <w:color w:val="auto"/>
          <w:sz w:val="24"/>
        </w:rPr>
        <w:t>（二）</w:t>
      </w:r>
      <w:r>
        <w:rPr>
          <w:b/>
          <w:color w:val="auto"/>
          <w:spacing w:val="-5"/>
          <w:sz w:val="24"/>
        </w:rPr>
        <w:t xml:space="preserve"> 裁量基准</w:t>
      </w:r>
      <w:r>
        <w:rPr>
          <w:color w:val="auto"/>
          <w:sz w:val="24"/>
        </w:rPr>
        <w:t>1.【较轻】</w:t>
      </w:r>
    </w:p>
    <w:p>
      <w:pPr>
        <w:pStyle w:val="4"/>
        <w:spacing w:line="388" w:lineRule="auto"/>
        <w:ind w:left="591" w:right="4072"/>
        <w:rPr>
          <w:color w:val="auto"/>
        </w:rPr>
      </w:pPr>
      <w:r>
        <w:rPr>
          <w:color w:val="auto"/>
          <w:spacing w:val="-1"/>
        </w:rPr>
        <w:t>没有违法所得的，处以一万元以下的罚款。</w:t>
      </w:r>
      <w:r>
        <w:rPr>
          <w:color w:val="auto"/>
        </w:rPr>
        <w:t>2.【一般】</w:t>
      </w:r>
    </w:p>
    <w:p>
      <w:pPr>
        <w:pStyle w:val="4"/>
        <w:spacing w:line="391" w:lineRule="auto"/>
        <w:ind w:left="591" w:right="2632"/>
        <w:rPr>
          <w:color w:val="auto"/>
        </w:rPr>
      </w:pPr>
      <w:r>
        <w:rPr>
          <w:color w:val="auto"/>
          <w:spacing w:val="-1"/>
        </w:rPr>
        <w:t>违法所得一万元以下的，处以违法所得二倍以下的罚款。</w:t>
      </w:r>
      <w:r>
        <w:rPr>
          <w:color w:val="auto"/>
        </w:rPr>
        <w:t>3.【严重】</w:t>
      </w:r>
    </w:p>
    <w:p>
      <w:pPr>
        <w:pStyle w:val="4"/>
        <w:spacing w:line="388" w:lineRule="auto"/>
        <w:ind w:right="269" w:firstLine="480"/>
        <w:rPr>
          <w:color w:val="auto"/>
        </w:rPr>
      </w:pPr>
      <w:r>
        <w:rPr>
          <w:color w:val="auto"/>
        </w:rPr>
        <w:t>违法所得一万元以上的，处以违法所得二倍以上三倍以下但不超过三万元的罚款。</w:t>
      </w:r>
    </w:p>
    <w:p>
      <w:pPr>
        <w:pStyle w:val="2"/>
        <w:spacing w:before="1"/>
        <w:rPr>
          <w:color w:val="auto"/>
        </w:rPr>
      </w:pPr>
      <w:bookmarkStart w:id="497" w:name="二百四十二、违反《医疗广告管理办法》发布广告"/>
      <w:bookmarkEnd w:id="497"/>
      <w:bookmarkStart w:id="498" w:name="_bookmark248"/>
      <w:bookmarkEnd w:id="498"/>
      <w:r>
        <w:rPr>
          <w:color w:val="auto"/>
        </w:rPr>
        <w:t>二百四十二、违反《医疗广告管理办法》发布广告</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1</w:t>
      </w:r>
      <w:r>
        <w:rPr>
          <w:color w:val="auto"/>
          <w:spacing w:val="-8"/>
        </w:rPr>
        <w:t>、《医疗广告管理办法》第二十二条 工商行政管理机关对违反本办法规定的广</w:t>
      </w:r>
      <w:r>
        <w:rPr>
          <w:color w:val="auto"/>
          <w:spacing w:val="-18"/>
        </w:rPr>
        <w:t>告主、广告经营者、广告发布者依据《广告法》、《反不正当竞争法》予以处罚，对情</w:t>
      </w:r>
      <w:r>
        <w:rPr>
          <w:color w:val="auto"/>
          <w:spacing w:val="-6"/>
        </w:rPr>
        <w:t>节严重，造成严重后果的，可以并处一至六个月暂停发布医疗广告、直至取消广告经营者、广告发布者的医疗广告经营和发布资格的处罚。法律法规没有规定的，工商行</w:t>
      </w:r>
      <w:r>
        <w:rPr>
          <w:color w:val="auto"/>
          <w:spacing w:val="-4"/>
        </w:rPr>
        <w:t>政管理机关应当对负有责任的广告主、广告经营者、广告发布者给予警告或者处以一万元以上三万元以下的罚款；医疗广告内容涉嫌虚假的，工商行政管理机关可根据需</w:t>
      </w:r>
      <w:r>
        <w:rPr>
          <w:color w:val="auto"/>
        </w:rPr>
        <w:t>要会同卫生行政部门、中医药管理部门作出认定。</w:t>
      </w:r>
    </w:p>
    <w:p>
      <w:pPr>
        <w:pStyle w:val="13"/>
        <w:numPr>
          <w:ilvl w:val="1"/>
          <w:numId w:val="173"/>
        </w:numPr>
        <w:tabs>
          <w:tab w:val="left" w:pos="953"/>
        </w:tabs>
        <w:spacing w:before="0" w:after="0" w:line="301" w:lineRule="exact"/>
        <w:ind w:left="952" w:right="0" w:hanging="362"/>
        <w:jc w:val="both"/>
        <w:rPr>
          <w:color w:val="auto"/>
          <w:sz w:val="24"/>
        </w:rPr>
      </w:pPr>
      <w:r>
        <w:rPr>
          <w:color w:val="auto"/>
          <w:spacing w:val="-12"/>
          <w:sz w:val="24"/>
        </w:rPr>
        <w:t>、《医疗广告管理办法》第七条 医疗广告的表现形式不得含有以下情形：</w:t>
      </w:r>
    </w:p>
    <w:p>
      <w:pPr>
        <w:pStyle w:val="4"/>
        <w:spacing w:before="192"/>
        <w:ind w:left="591"/>
        <w:rPr>
          <w:color w:val="auto"/>
        </w:rPr>
      </w:pPr>
      <w:r>
        <w:rPr>
          <w:color w:val="auto"/>
        </w:rPr>
        <w:t>（一）涉及医疗技术、诊疗方法、疾病名称、药物的；</w:t>
      </w:r>
    </w:p>
    <w:p>
      <w:pPr>
        <w:pStyle w:val="4"/>
        <w:spacing w:before="192"/>
        <w:ind w:left="591"/>
        <w:rPr>
          <w:color w:val="auto"/>
        </w:rPr>
      </w:pPr>
      <w:r>
        <w:rPr>
          <w:color w:val="auto"/>
        </w:rPr>
        <w:t>（二）保证治愈或者隐含保证治愈的；</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（三）宣传治愈率、有效率等诊疗效果的；</w:t>
      </w:r>
    </w:p>
    <w:p>
      <w:pPr>
        <w:pStyle w:val="4"/>
        <w:spacing w:before="195"/>
        <w:ind w:left="591"/>
        <w:rPr>
          <w:color w:val="auto"/>
        </w:rPr>
      </w:pPr>
      <w:r>
        <w:rPr>
          <w:color w:val="auto"/>
        </w:rPr>
        <w:t>（四）淫秽、迷信、荒诞的；</w:t>
      </w:r>
    </w:p>
    <w:p>
      <w:pPr>
        <w:pStyle w:val="4"/>
        <w:spacing w:before="191"/>
        <w:ind w:left="591"/>
        <w:rPr>
          <w:color w:val="auto"/>
        </w:rPr>
      </w:pPr>
      <w:r>
        <w:rPr>
          <w:color w:val="auto"/>
        </w:rPr>
        <w:t>（五）贬低他人的；</w:t>
      </w:r>
    </w:p>
    <w:p>
      <w:pPr>
        <w:pStyle w:val="4"/>
        <w:spacing w:before="192" w:line="391" w:lineRule="auto"/>
        <w:ind w:right="232" w:firstLine="480"/>
        <w:rPr>
          <w:color w:val="auto"/>
        </w:rPr>
      </w:pPr>
      <w:r>
        <w:rPr>
          <w:color w:val="auto"/>
        </w:rPr>
        <w:t>（六）利用患者、卫生技术人员、医学教育科研机构及人员以及其他社会社团、组织的名义、形象作证明的；</w:t>
      </w:r>
    </w:p>
    <w:p>
      <w:pPr>
        <w:pStyle w:val="4"/>
        <w:spacing w:line="306" w:lineRule="exact"/>
        <w:ind w:left="591"/>
        <w:rPr>
          <w:color w:val="auto"/>
        </w:rPr>
      </w:pPr>
      <w:r>
        <w:rPr>
          <w:color w:val="auto"/>
        </w:rPr>
        <w:t>（七）使用解放军和武警部队名义的；</w:t>
      </w:r>
    </w:p>
    <w:p>
      <w:pPr>
        <w:pStyle w:val="4"/>
        <w:spacing w:before="192"/>
        <w:ind w:left="591"/>
        <w:rPr>
          <w:color w:val="auto"/>
        </w:rPr>
      </w:pPr>
      <w:r>
        <w:rPr>
          <w:color w:val="auto"/>
        </w:rPr>
        <w:t>（八）法律、行政法规规定禁止的其他情形。</w:t>
      </w:r>
    </w:p>
    <w:p>
      <w:pPr>
        <w:pStyle w:val="13"/>
        <w:numPr>
          <w:ilvl w:val="1"/>
          <w:numId w:val="173"/>
        </w:numPr>
        <w:tabs>
          <w:tab w:val="left" w:pos="954"/>
        </w:tabs>
        <w:spacing w:before="194" w:after="0" w:line="388" w:lineRule="auto"/>
        <w:ind w:left="111" w:right="268" w:firstLine="480"/>
        <w:jc w:val="left"/>
        <w:rPr>
          <w:color w:val="auto"/>
          <w:sz w:val="24"/>
        </w:rPr>
      </w:pPr>
      <w:r>
        <w:rPr>
          <w:color w:val="auto"/>
          <w:spacing w:val="-8"/>
          <w:sz w:val="24"/>
        </w:rPr>
        <w:t>、《医疗广告管理办法》第五条 非医疗机构不得发布医疗广告，医疗机构不得以内部科室名义发布医疗广告。</w:t>
      </w:r>
    </w:p>
    <w:p>
      <w:pPr>
        <w:pStyle w:val="13"/>
        <w:numPr>
          <w:ilvl w:val="1"/>
          <w:numId w:val="173"/>
        </w:numPr>
        <w:tabs>
          <w:tab w:val="left" w:pos="953"/>
        </w:tabs>
        <w:spacing w:before="2" w:after="0" w:line="240" w:lineRule="auto"/>
        <w:ind w:left="952" w:right="0" w:hanging="362"/>
        <w:jc w:val="left"/>
        <w:rPr>
          <w:color w:val="auto"/>
          <w:sz w:val="24"/>
        </w:rPr>
      </w:pPr>
      <w:r>
        <w:rPr>
          <w:color w:val="auto"/>
          <w:spacing w:val="-12"/>
          <w:sz w:val="24"/>
        </w:rPr>
        <w:t>、《医疗广告管理办法》第六条 医疗广告内容仅限于以下项目：</w:t>
      </w:r>
    </w:p>
    <w:p>
      <w:pPr>
        <w:pStyle w:val="4"/>
        <w:spacing w:before="194"/>
        <w:ind w:left="591"/>
        <w:rPr>
          <w:color w:val="auto"/>
        </w:rPr>
      </w:pPr>
      <w:r>
        <w:rPr>
          <w:color w:val="auto"/>
        </w:rPr>
        <w:t>（一）医疗机构第一名称；</w:t>
      </w:r>
    </w:p>
    <w:p>
      <w:pPr>
        <w:pStyle w:val="4"/>
        <w:spacing w:before="192"/>
        <w:ind w:left="591"/>
        <w:rPr>
          <w:color w:val="auto"/>
        </w:rPr>
      </w:pPr>
      <w:r>
        <w:rPr>
          <w:color w:val="auto"/>
        </w:rPr>
        <w:t>（二）医疗机构地址；</w:t>
      </w:r>
    </w:p>
    <w:p>
      <w:pPr>
        <w:pStyle w:val="4"/>
        <w:spacing w:before="191"/>
        <w:ind w:left="591"/>
        <w:rPr>
          <w:color w:val="auto"/>
        </w:rPr>
      </w:pPr>
      <w:r>
        <w:rPr>
          <w:color w:val="auto"/>
        </w:rPr>
        <w:t>（三）所有制形式；</w:t>
      </w:r>
    </w:p>
    <w:p>
      <w:pPr>
        <w:pStyle w:val="4"/>
        <w:spacing w:before="194"/>
        <w:ind w:left="591"/>
        <w:rPr>
          <w:color w:val="auto"/>
        </w:rPr>
      </w:pPr>
      <w:r>
        <w:rPr>
          <w:color w:val="auto"/>
        </w:rPr>
        <w:t>（四）医疗机构类别；</w:t>
      </w:r>
    </w:p>
    <w:p>
      <w:pPr>
        <w:pStyle w:val="4"/>
        <w:spacing w:before="192"/>
        <w:ind w:left="591"/>
        <w:rPr>
          <w:color w:val="auto"/>
        </w:rPr>
      </w:pPr>
      <w:r>
        <w:rPr>
          <w:color w:val="auto"/>
        </w:rPr>
        <w:t>（五）诊疗科目；</w:t>
      </w:r>
    </w:p>
    <w:p>
      <w:pPr>
        <w:pStyle w:val="4"/>
        <w:spacing w:before="192"/>
        <w:ind w:left="591"/>
        <w:rPr>
          <w:color w:val="auto"/>
        </w:rPr>
      </w:pPr>
      <w:r>
        <w:rPr>
          <w:color w:val="auto"/>
        </w:rPr>
        <w:t>（六）床位数；</w:t>
      </w:r>
    </w:p>
    <w:p>
      <w:pPr>
        <w:pStyle w:val="4"/>
        <w:spacing w:before="194"/>
        <w:ind w:left="591"/>
        <w:rPr>
          <w:color w:val="auto"/>
        </w:rPr>
      </w:pPr>
      <w:r>
        <w:rPr>
          <w:color w:val="auto"/>
        </w:rPr>
        <w:t>（七）接诊时间；</w:t>
      </w:r>
    </w:p>
    <w:p>
      <w:pPr>
        <w:pStyle w:val="4"/>
        <w:spacing w:before="192"/>
        <w:ind w:left="591"/>
        <w:rPr>
          <w:color w:val="auto"/>
        </w:rPr>
      </w:pPr>
      <w:r>
        <w:rPr>
          <w:color w:val="auto"/>
        </w:rPr>
        <w:t>（八）联系电话。</w:t>
      </w:r>
    </w:p>
    <w:p>
      <w:pPr>
        <w:pStyle w:val="13"/>
        <w:numPr>
          <w:ilvl w:val="1"/>
          <w:numId w:val="173"/>
        </w:numPr>
        <w:tabs>
          <w:tab w:val="left" w:pos="954"/>
        </w:tabs>
        <w:spacing w:before="191" w:after="0" w:line="391" w:lineRule="auto"/>
        <w:ind w:left="111" w:right="271" w:firstLine="480"/>
        <w:jc w:val="left"/>
        <w:rPr>
          <w:color w:val="auto"/>
          <w:sz w:val="24"/>
        </w:rPr>
      </w:pPr>
      <w:r>
        <w:rPr>
          <w:color w:val="auto"/>
          <w:spacing w:val="-8"/>
          <w:sz w:val="24"/>
        </w:rPr>
        <w:t>、《医疗广告管理办法》第十四条 发布医疗广告应当标注医疗机构第一名称和《医疗广告审查证明》文号。</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88" w:lineRule="auto"/>
        <w:ind w:left="591" w:right="2392"/>
        <w:rPr>
          <w:color w:val="auto"/>
        </w:rPr>
      </w:pPr>
      <w:r>
        <w:rPr>
          <w:color w:val="auto"/>
          <w:spacing w:val="-1"/>
        </w:rPr>
        <w:t>有本条所列情形之一的，给予警告或者处以一万元的罚款。</w:t>
      </w:r>
      <w:r>
        <w:rPr>
          <w:color w:val="auto"/>
        </w:rPr>
        <w:t>2.【一般】</w:t>
      </w:r>
    </w:p>
    <w:p>
      <w:pPr>
        <w:pStyle w:val="4"/>
        <w:spacing w:before="2" w:line="391" w:lineRule="auto"/>
        <w:ind w:left="591" w:right="2152"/>
        <w:rPr>
          <w:color w:val="auto"/>
        </w:rPr>
      </w:pPr>
      <w:r>
        <w:rPr>
          <w:color w:val="auto"/>
          <w:spacing w:val="-1"/>
        </w:rPr>
        <w:t>有本条所列二种情形的，处以一万元以上二万元以下的罚款。</w:t>
      </w:r>
      <w:r>
        <w:rPr>
          <w:color w:val="auto"/>
        </w:rPr>
        <w:t>3.【严重】</w:t>
      </w:r>
    </w:p>
    <w:p>
      <w:pPr>
        <w:spacing w:before="0" w:line="388" w:lineRule="auto"/>
        <w:ind w:left="591" w:right="1672" w:firstLine="0"/>
        <w:jc w:val="left"/>
        <w:rPr>
          <w:b/>
          <w:color w:val="auto"/>
          <w:sz w:val="24"/>
        </w:rPr>
      </w:pPr>
      <w:r>
        <w:rPr>
          <w:color w:val="auto"/>
          <w:sz w:val="24"/>
        </w:rPr>
        <w:t>有本条所列三种以上情形的，处以二万元以上三万元以下的罚款。</w:t>
      </w:r>
      <w:bookmarkStart w:id="499" w:name="二百四十三、违反《医疗器械广告审查发布标准》发布广告"/>
      <w:bookmarkEnd w:id="499"/>
      <w:bookmarkStart w:id="500" w:name="_bookmark249"/>
      <w:bookmarkEnd w:id="500"/>
      <w:r>
        <w:rPr>
          <w:b/>
          <w:color w:val="auto"/>
          <w:sz w:val="24"/>
        </w:rPr>
        <w:t>二百四十三、违反《医疗器械广告审查发布标准》发布广告</w:t>
      </w:r>
    </w:p>
    <w:p>
      <w:pPr>
        <w:spacing w:after="0" w:line="388" w:lineRule="auto"/>
        <w:jc w:val="left"/>
        <w:rPr>
          <w:color w:val="auto"/>
          <w:sz w:val="24"/>
        </w:rPr>
        <w:sectPr>
          <w:pgSz w:w="11910" w:h="16840"/>
          <w:pgMar w:top="1520" w:right="1260" w:bottom="1220" w:left="1420" w:header="0" w:footer="1034" w:gutter="0"/>
        </w:sectPr>
      </w:pPr>
    </w:p>
    <w:p>
      <w:pPr>
        <w:pStyle w:val="2"/>
        <w:spacing w:before="39"/>
        <w:rPr>
          <w:color w:val="auto"/>
        </w:rPr>
      </w:pPr>
      <w:r>
        <w:rPr>
          <w:color w:val="auto"/>
        </w:rPr>
        <w:t>（一）处罚依据</w:t>
      </w:r>
    </w:p>
    <w:p>
      <w:pPr>
        <w:pStyle w:val="4"/>
        <w:spacing w:before="195" w:line="391" w:lineRule="auto"/>
        <w:ind w:right="148" w:firstLine="480"/>
        <w:jc w:val="both"/>
        <w:rPr>
          <w:color w:val="auto"/>
        </w:rPr>
      </w:pPr>
      <w:r>
        <w:rPr>
          <w:color w:val="auto"/>
        </w:rPr>
        <w:t>1</w:t>
      </w:r>
      <w:r>
        <w:rPr>
          <w:color w:val="auto"/>
          <w:spacing w:val="-11"/>
        </w:rPr>
        <w:t>、《医疗器械广告审查发布标准》第十七条第三款 违反本标准其他规定发布广</w:t>
      </w:r>
      <w:r>
        <w:rPr>
          <w:color w:val="auto"/>
          <w:spacing w:val="-32"/>
        </w:rPr>
        <w:t xml:space="preserve">告，《广告法》、《反不正当竞争法》有规定的，依照《广告法》处罚；《广告法》、《反不正当竞争法》没有具体规定的，对负有责任的广告主、广告经营者、广告发布者， </w:t>
      </w:r>
      <w:r>
        <w:rPr>
          <w:color w:val="auto"/>
          <w:spacing w:val="-23"/>
        </w:rPr>
        <w:t>处以一万元以下罚款；有违法所得的，处以违法所得三倍以下但不超过三万元的罚款。</w:t>
      </w:r>
    </w:p>
    <w:p>
      <w:pPr>
        <w:pStyle w:val="13"/>
        <w:numPr>
          <w:ilvl w:val="1"/>
          <w:numId w:val="174"/>
        </w:numPr>
        <w:tabs>
          <w:tab w:val="left" w:pos="954"/>
        </w:tabs>
        <w:spacing w:before="0" w:after="0" w:line="388" w:lineRule="auto"/>
        <w:ind w:left="111" w:right="148" w:firstLine="480"/>
        <w:jc w:val="both"/>
        <w:rPr>
          <w:color w:val="auto"/>
          <w:sz w:val="24"/>
        </w:rPr>
      </w:pPr>
      <w:r>
        <w:rPr>
          <w:color w:val="auto"/>
          <w:spacing w:val="-10"/>
          <w:sz w:val="24"/>
        </w:rPr>
        <w:t>、《医疗器械广告审查发布标准》第六条 医疗器械广告中必须标明经批准的</w:t>
      </w:r>
      <w:r>
        <w:rPr>
          <w:color w:val="auto"/>
          <w:spacing w:val="-16"/>
          <w:sz w:val="24"/>
        </w:rPr>
        <w:t>医疗器械名称、医疗器械生产企业名称、医疗器械注册证号、医疗器械广告批准文号。</w:t>
      </w:r>
    </w:p>
    <w:p>
      <w:pPr>
        <w:pStyle w:val="4"/>
        <w:spacing w:line="388" w:lineRule="auto"/>
        <w:ind w:left="591" w:right="232"/>
        <w:rPr>
          <w:color w:val="auto"/>
        </w:rPr>
      </w:pPr>
      <w:r>
        <w:rPr>
          <w:color w:val="auto"/>
        </w:rPr>
        <w:t>经审批的医疗器械广告在广播电台发布时，可以不播出医疗器械广告批准文号。仅出现医疗器械产品名称的，不受前款限制，但应标明医疗器械注册证号。</w:t>
      </w:r>
    </w:p>
    <w:p>
      <w:pPr>
        <w:pStyle w:val="13"/>
        <w:numPr>
          <w:ilvl w:val="1"/>
          <w:numId w:val="174"/>
        </w:numPr>
        <w:tabs>
          <w:tab w:val="left" w:pos="954"/>
        </w:tabs>
        <w:spacing w:before="0" w:after="0" w:line="391" w:lineRule="auto"/>
        <w:ind w:left="111" w:right="268" w:firstLine="480"/>
        <w:jc w:val="both"/>
        <w:rPr>
          <w:color w:val="auto"/>
          <w:sz w:val="24"/>
        </w:rPr>
      </w:pPr>
      <w:r>
        <w:rPr>
          <w:color w:val="auto"/>
          <w:spacing w:val="-10"/>
          <w:sz w:val="24"/>
        </w:rPr>
        <w:t>、《医疗器械广告审查发布标准》第九条第二款 报纸头版、期刊封面不得发</w:t>
      </w:r>
      <w:r>
        <w:rPr>
          <w:color w:val="auto"/>
          <w:spacing w:val="-4"/>
          <w:sz w:val="24"/>
        </w:rPr>
        <w:t>布含有前款内容的广告。电视台、广播电台不得在７：００－２２：００发布含有前</w:t>
      </w:r>
      <w:r>
        <w:rPr>
          <w:color w:val="auto"/>
          <w:sz w:val="24"/>
        </w:rPr>
        <w:t>款内容的广告。</w:t>
      </w:r>
    </w:p>
    <w:p>
      <w:pPr>
        <w:pStyle w:val="13"/>
        <w:numPr>
          <w:ilvl w:val="1"/>
          <w:numId w:val="174"/>
        </w:numPr>
        <w:tabs>
          <w:tab w:val="left" w:pos="954"/>
        </w:tabs>
        <w:spacing w:before="0" w:after="0" w:line="391" w:lineRule="auto"/>
        <w:ind w:left="111" w:right="148" w:firstLine="480"/>
        <w:jc w:val="both"/>
        <w:rPr>
          <w:color w:val="auto"/>
          <w:sz w:val="24"/>
        </w:rPr>
      </w:pPr>
      <w:r>
        <w:rPr>
          <w:color w:val="auto"/>
          <w:spacing w:val="-10"/>
          <w:sz w:val="24"/>
        </w:rPr>
        <w:t>、《医疗器械广告审查发布标准》第十二条 医疗器械广告中不得含有利用医</w:t>
      </w:r>
      <w:r>
        <w:rPr>
          <w:color w:val="auto"/>
          <w:spacing w:val="-16"/>
          <w:sz w:val="24"/>
        </w:rPr>
        <w:t>药科研单位、学术机构、医疗机构或者专家、医生、患者的名义和形象作证明的内容。</w:t>
      </w:r>
    </w:p>
    <w:p>
      <w:pPr>
        <w:pStyle w:val="13"/>
        <w:numPr>
          <w:ilvl w:val="1"/>
          <w:numId w:val="174"/>
        </w:numPr>
        <w:tabs>
          <w:tab w:val="left" w:pos="954"/>
        </w:tabs>
        <w:spacing w:before="0" w:after="0" w:line="391" w:lineRule="auto"/>
        <w:ind w:left="111" w:right="268" w:firstLine="480"/>
        <w:jc w:val="both"/>
        <w:rPr>
          <w:color w:val="auto"/>
          <w:sz w:val="24"/>
        </w:rPr>
      </w:pPr>
      <w:r>
        <w:rPr>
          <w:color w:val="auto"/>
          <w:spacing w:val="-9"/>
          <w:sz w:val="24"/>
        </w:rPr>
        <w:t>、《医疗器械广告审查发布标准》第十三条 医疗器械广告不得含有涉及公共信息、公共事件或其他与公共利益相关联的内容，如各类疾病信息、经济社会发展成</w:t>
      </w:r>
      <w:r>
        <w:rPr>
          <w:color w:val="auto"/>
          <w:sz w:val="24"/>
        </w:rPr>
        <w:t>果或医疗科学以外的科技成果。</w:t>
      </w:r>
    </w:p>
    <w:p>
      <w:pPr>
        <w:pStyle w:val="13"/>
        <w:numPr>
          <w:ilvl w:val="1"/>
          <w:numId w:val="174"/>
        </w:numPr>
        <w:tabs>
          <w:tab w:val="left" w:pos="954"/>
        </w:tabs>
        <w:spacing w:before="0" w:after="0" w:line="391" w:lineRule="auto"/>
        <w:ind w:left="111" w:right="145" w:firstLine="480"/>
        <w:jc w:val="left"/>
        <w:rPr>
          <w:color w:val="auto"/>
          <w:sz w:val="24"/>
        </w:rPr>
      </w:pPr>
      <w:r>
        <w:rPr>
          <w:color w:val="auto"/>
          <w:spacing w:val="-10"/>
          <w:sz w:val="24"/>
        </w:rPr>
        <w:t>、《医疗器械广告审查发布标准》第十四条 医疗器械广告中不得含有医疗机</w:t>
      </w:r>
      <w:r>
        <w:rPr>
          <w:color w:val="auto"/>
          <w:spacing w:val="-15"/>
          <w:sz w:val="24"/>
        </w:rPr>
        <w:t>构的名称、地址、联系办法、诊疗项目、诊疗方法以及有关义诊、医疗</w:t>
      </w:r>
      <w:r>
        <w:rPr>
          <w:color w:val="auto"/>
          <w:sz w:val="24"/>
        </w:rPr>
        <w:t>（热线</w:t>
      </w:r>
      <w:r>
        <w:rPr>
          <w:color w:val="auto"/>
          <w:spacing w:val="-22"/>
          <w:sz w:val="24"/>
        </w:rPr>
        <w:t>）</w:t>
      </w:r>
      <w:r>
        <w:rPr>
          <w:color w:val="auto"/>
          <w:spacing w:val="-5"/>
          <w:sz w:val="24"/>
        </w:rPr>
        <w:t>咨询、</w:t>
      </w:r>
      <w:r>
        <w:rPr>
          <w:color w:val="auto"/>
          <w:sz w:val="24"/>
        </w:rPr>
        <w:t>开设特约门诊等医疗服务的内容。</w:t>
      </w:r>
    </w:p>
    <w:p>
      <w:pPr>
        <w:pStyle w:val="13"/>
        <w:numPr>
          <w:ilvl w:val="1"/>
          <w:numId w:val="174"/>
        </w:numPr>
        <w:tabs>
          <w:tab w:val="left" w:pos="954"/>
        </w:tabs>
        <w:spacing w:before="0" w:after="0" w:line="391" w:lineRule="auto"/>
        <w:ind w:left="111" w:right="148" w:firstLine="480"/>
        <w:jc w:val="left"/>
        <w:rPr>
          <w:color w:val="auto"/>
          <w:sz w:val="24"/>
        </w:rPr>
      </w:pPr>
      <w:r>
        <w:rPr>
          <w:color w:val="auto"/>
          <w:spacing w:val="-10"/>
          <w:sz w:val="24"/>
        </w:rPr>
        <w:t>、《医疗器械广告审查发布标准》第十六条 按照本标准第六条规定必须在医</w:t>
      </w:r>
      <w:r>
        <w:rPr>
          <w:color w:val="auto"/>
          <w:spacing w:val="-17"/>
          <w:sz w:val="24"/>
        </w:rPr>
        <w:t>疗器械广告中出现的内容，其字体和颜色必须清晰可见、易于辨认。上述内容在电视、</w:t>
      </w:r>
      <w:r>
        <w:rPr>
          <w:color w:val="auto"/>
          <w:sz w:val="24"/>
        </w:rPr>
        <w:t>互联网、显示屏等媒体发布时，出现时间不得少于５秒。</w:t>
      </w:r>
    </w:p>
    <w:p>
      <w:pPr>
        <w:spacing w:before="0" w:line="388" w:lineRule="auto"/>
        <w:ind w:left="591" w:right="6948" w:firstLine="0"/>
        <w:jc w:val="left"/>
        <w:rPr>
          <w:color w:val="auto"/>
          <w:sz w:val="24"/>
        </w:rPr>
      </w:pPr>
      <w:r>
        <w:rPr>
          <w:b/>
          <w:color w:val="auto"/>
          <w:sz w:val="24"/>
        </w:rPr>
        <w:t>（二）</w:t>
      </w:r>
      <w:r>
        <w:rPr>
          <w:b/>
          <w:color w:val="auto"/>
          <w:spacing w:val="-5"/>
          <w:sz w:val="24"/>
        </w:rPr>
        <w:t>裁量基准</w:t>
      </w:r>
      <w:r>
        <w:rPr>
          <w:color w:val="auto"/>
          <w:sz w:val="24"/>
        </w:rPr>
        <w:t>1.【较轻】</w:t>
      </w:r>
    </w:p>
    <w:p>
      <w:pPr>
        <w:pStyle w:val="4"/>
        <w:spacing w:line="388" w:lineRule="auto"/>
        <w:ind w:left="591" w:right="4072"/>
        <w:rPr>
          <w:color w:val="auto"/>
        </w:rPr>
      </w:pPr>
      <w:r>
        <w:rPr>
          <w:color w:val="auto"/>
          <w:spacing w:val="-1"/>
        </w:rPr>
        <w:t>没有违法所得的，处以一万元以下的罚款。</w:t>
      </w:r>
      <w:r>
        <w:rPr>
          <w:color w:val="auto"/>
        </w:rPr>
        <w:t>2.【一般】</w:t>
      </w:r>
    </w:p>
    <w:p>
      <w:pPr>
        <w:pStyle w:val="4"/>
        <w:ind w:left="591"/>
        <w:rPr>
          <w:color w:val="auto"/>
        </w:rPr>
      </w:pPr>
      <w:r>
        <w:rPr>
          <w:color w:val="auto"/>
        </w:rPr>
        <w:t>违法所得一万元以下的，处以违法所得二倍以下的罚款。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3.【严重】</w:t>
      </w:r>
    </w:p>
    <w:p>
      <w:pPr>
        <w:pStyle w:val="4"/>
        <w:spacing w:before="195" w:line="388" w:lineRule="auto"/>
        <w:ind w:right="269" w:firstLine="480"/>
        <w:rPr>
          <w:color w:val="auto"/>
        </w:rPr>
      </w:pPr>
      <w:r>
        <w:rPr>
          <w:color w:val="auto"/>
        </w:rPr>
        <w:t>违法所得一万元以上的，处以违法所得二倍以上三倍以下但不超过三万元的罚款。</w:t>
      </w:r>
    </w:p>
    <w:p>
      <w:pPr>
        <w:pStyle w:val="2"/>
        <w:spacing w:before="2"/>
        <w:rPr>
          <w:color w:val="auto"/>
        </w:rPr>
      </w:pPr>
      <w:bookmarkStart w:id="501" w:name="二百四十四、违反《食品广告发布暂行规定》发布广告"/>
      <w:bookmarkEnd w:id="501"/>
      <w:bookmarkStart w:id="502" w:name="_bookmark250"/>
      <w:bookmarkEnd w:id="502"/>
      <w:r>
        <w:rPr>
          <w:color w:val="auto"/>
        </w:rPr>
        <w:t>二百四十四、违反《食品广告发布暂行规定》发布广告</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、《食品广告发布暂行规定》第十五条 违反本规定发布广告，依照《广告法》</w:t>
      </w:r>
      <w:r>
        <w:rPr>
          <w:color w:val="auto"/>
          <w:spacing w:val="-14"/>
        </w:rPr>
        <w:t xml:space="preserve">有关条款处罚。《广告法》无具体处罚条款的，由广告监督管理机关责令停止发布， </w:t>
      </w:r>
      <w:r>
        <w:rPr>
          <w:color w:val="auto"/>
          <w:spacing w:val="-13"/>
        </w:rPr>
        <w:t>视其情节予以通报批评，处以违法所得额三倍以下的罚款，但最高不超过三万元，没</w:t>
      </w:r>
      <w:r>
        <w:rPr>
          <w:color w:val="auto"/>
        </w:rPr>
        <w:t>有违法所得的，处以一万元以下的罚款。</w:t>
      </w:r>
    </w:p>
    <w:p>
      <w:pPr>
        <w:pStyle w:val="13"/>
        <w:numPr>
          <w:ilvl w:val="1"/>
          <w:numId w:val="175"/>
        </w:numPr>
        <w:tabs>
          <w:tab w:val="left" w:pos="954"/>
        </w:tabs>
        <w:spacing w:before="0" w:after="0" w:line="391" w:lineRule="auto"/>
        <w:ind w:left="111" w:right="271" w:firstLine="480"/>
        <w:jc w:val="both"/>
        <w:rPr>
          <w:color w:val="auto"/>
          <w:sz w:val="24"/>
        </w:rPr>
      </w:pPr>
      <w:r>
        <w:rPr>
          <w:color w:val="auto"/>
          <w:spacing w:val="-9"/>
          <w:sz w:val="24"/>
        </w:rPr>
        <w:t>、《食品广告发布暂行规定》第八条 食品广告不得明示或者暗示可以替代母</w:t>
      </w:r>
      <w:r>
        <w:rPr>
          <w:color w:val="auto"/>
          <w:spacing w:val="-16"/>
          <w:sz w:val="24"/>
        </w:rPr>
        <w:t>乳，不得使用哺乳妇女和婴儿的形象。其中“不得使用哺乳妇女和婴儿的形象。”。</w:t>
      </w:r>
    </w:p>
    <w:p>
      <w:pPr>
        <w:pStyle w:val="13"/>
        <w:numPr>
          <w:ilvl w:val="1"/>
          <w:numId w:val="175"/>
        </w:numPr>
        <w:tabs>
          <w:tab w:val="left" w:pos="954"/>
        </w:tabs>
        <w:spacing w:before="0" w:after="0" w:line="391" w:lineRule="auto"/>
        <w:ind w:left="111" w:right="268" w:firstLine="480"/>
        <w:jc w:val="both"/>
        <w:rPr>
          <w:color w:val="auto"/>
          <w:sz w:val="24"/>
        </w:rPr>
      </w:pPr>
      <w:r>
        <w:rPr>
          <w:color w:val="auto"/>
          <w:spacing w:val="-9"/>
          <w:sz w:val="24"/>
        </w:rPr>
        <w:t>、《食品广告发布暂行规定》第九条 食品广告中不得使用医疗机构、医生的</w:t>
      </w:r>
      <w:r>
        <w:rPr>
          <w:color w:val="auto"/>
          <w:spacing w:val="-11"/>
          <w:sz w:val="24"/>
        </w:rPr>
        <w:t>名义或者形象。食品广告中涉及特定功效的，不得利用专家、消费者的名义或者形象</w:t>
      </w:r>
      <w:r>
        <w:rPr>
          <w:color w:val="auto"/>
          <w:sz w:val="24"/>
        </w:rPr>
        <w:t>做证明。</w:t>
      </w:r>
    </w:p>
    <w:p>
      <w:pPr>
        <w:pStyle w:val="13"/>
        <w:numPr>
          <w:ilvl w:val="1"/>
          <w:numId w:val="175"/>
        </w:numPr>
        <w:tabs>
          <w:tab w:val="left" w:pos="954"/>
        </w:tabs>
        <w:spacing w:before="0" w:after="0" w:line="388" w:lineRule="auto"/>
        <w:ind w:left="111" w:right="271" w:firstLine="480"/>
        <w:jc w:val="both"/>
        <w:rPr>
          <w:color w:val="auto"/>
          <w:sz w:val="24"/>
        </w:rPr>
      </w:pPr>
      <w:r>
        <w:rPr>
          <w:color w:val="auto"/>
          <w:spacing w:val="-9"/>
          <w:sz w:val="24"/>
        </w:rPr>
        <w:t>、《食品广告发布暂行规定》第十二条 保健食品、新资源食品、特殊营养食品的批准文号应当在其广告中同时发布。</w:t>
      </w:r>
    </w:p>
    <w:p>
      <w:pPr>
        <w:pStyle w:val="13"/>
        <w:numPr>
          <w:ilvl w:val="1"/>
          <w:numId w:val="175"/>
        </w:numPr>
        <w:tabs>
          <w:tab w:val="left" w:pos="954"/>
        </w:tabs>
        <w:spacing w:before="0" w:after="0" w:line="388" w:lineRule="auto"/>
        <w:ind w:left="111" w:right="269" w:firstLine="480"/>
        <w:jc w:val="both"/>
        <w:rPr>
          <w:color w:val="auto"/>
          <w:sz w:val="24"/>
        </w:rPr>
      </w:pPr>
      <w:r>
        <w:rPr>
          <w:color w:val="auto"/>
          <w:spacing w:val="-9"/>
          <w:sz w:val="24"/>
        </w:rPr>
        <w:t>、《食品广告发布暂行规定》第十三条 普通食品、新资源食品、特殊营养食</w:t>
      </w:r>
      <w:r>
        <w:rPr>
          <w:color w:val="auto"/>
          <w:spacing w:val="3"/>
          <w:sz w:val="24"/>
        </w:rPr>
        <w:t>品广告不得宣传保健功能，也不得借助宣传某些成份的作用明示或者暗示其保健作用。</w:t>
      </w:r>
    </w:p>
    <w:p>
      <w:pPr>
        <w:pStyle w:val="13"/>
        <w:numPr>
          <w:ilvl w:val="1"/>
          <w:numId w:val="175"/>
        </w:numPr>
        <w:tabs>
          <w:tab w:val="left" w:pos="954"/>
        </w:tabs>
        <w:spacing w:before="0" w:after="0" w:line="388" w:lineRule="auto"/>
        <w:ind w:left="111" w:right="271" w:firstLine="480"/>
        <w:jc w:val="both"/>
        <w:rPr>
          <w:color w:val="auto"/>
          <w:sz w:val="24"/>
        </w:rPr>
      </w:pPr>
      <w:r>
        <w:rPr>
          <w:color w:val="auto"/>
          <w:spacing w:val="-9"/>
          <w:sz w:val="24"/>
        </w:rPr>
        <w:t>、《食品广告发布暂行规定》第十四条 普通食品广告不得宣传该食品含有新资源食品中的成份或者特殊营养成份。</w:t>
      </w:r>
    </w:p>
    <w:p>
      <w:pPr>
        <w:spacing w:before="1"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4072"/>
        <w:rPr>
          <w:color w:val="auto"/>
        </w:rPr>
      </w:pPr>
      <w:r>
        <w:rPr>
          <w:color w:val="auto"/>
          <w:spacing w:val="-1"/>
        </w:rPr>
        <w:t>没有违法所得的，处以一万元以下的罚款。</w:t>
      </w:r>
      <w:r>
        <w:rPr>
          <w:color w:val="auto"/>
        </w:rPr>
        <w:t>2.【一般】</w:t>
      </w:r>
    </w:p>
    <w:p>
      <w:pPr>
        <w:pStyle w:val="4"/>
        <w:spacing w:before="2" w:line="388" w:lineRule="auto"/>
        <w:ind w:left="591" w:right="2632"/>
        <w:rPr>
          <w:color w:val="auto"/>
        </w:rPr>
      </w:pPr>
      <w:r>
        <w:rPr>
          <w:color w:val="auto"/>
          <w:spacing w:val="-1"/>
        </w:rPr>
        <w:t>违法所得一万元以下的，处以违法所得二倍以下的罚款。</w:t>
      </w:r>
      <w:r>
        <w:rPr>
          <w:color w:val="auto"/>
        </w:rPr>
        <w:t>3.【严重】</w:t>
      </w:r>
    </w:p>
    <w:p>
      <w:pPr>
        <w:pStyle w:val="4"/>
        <w:spacing w:before="3"/>
        <w:ind w:left="591"/>
        <w:rPr>
          <w:color w:val="auto"/>
        </w:rPr>
      </w:pPr>
      <w:r>
        <w:rPr>
          <w:color w:val="auto"/>
        </w:rPr>
        <w:t>违法所得一万元以上的，处以违法所得二倍以上三倍以下但不超过三万元的罚</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款。</w:t>
      </w:r>
    </w:p>
    <w:p>
      <w:pPr>
        <w:pStyle w:val="2"/>
        <w:spacing w:before="195"/>
        <w:rPr>
          <w:color w:val="auto"/>
        </w:rPr>
      </w:pPr>
      <w:bookmarkStart w:id="503" w:name="_bookmark251"/>
      <w:bookmarkEnd w:id="503"/>
      <w:bookmarkStart w:id="504" w:name="二百四十五、违反《农药广告审查发布标准》发布广告"/>
      <w:bookmarkEnd w:id="504"/>
      <w:r>
        <w:rPr>
          <w:color w:val="auto"/>
        </w:rPr>
        <w:t>二百四十五、违反《农药广告审查发布标准》发布广告</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18"/>
        </w:rPr>
        <w:t>、《农药广告审查发布标准》第十三条 违反本标准发布广告，《广告法》及其他</w:t>
      </w:r>
      <w:r>
        <w:rPr>
          <w:color w:val="auto"/>
          <w:spacing w:val="-5"/>
        </w:rPr>
        <w:t>法律法规有规定的，依照有关法律法规规定予以处罚。法律法规没有规定的，对负有责任的广告主、广告经营者、广告发布者，处以违法所得三倍以下但不超过三万元的</w:t>
      </w:r>
      <w:r>
        <w:rPr>
          <w:color w:val="auto"/>
        </w:rPr>
        <w:t>罚款；没有违法所得的，处以一万元以下的罚款。</w:t>
      </w:r>
    </w:p>
    <w:p>
      <w:pPr>
        <w:pStyle w:val="13"/>
        <w:numPr>
          <w:ilvl w:val="1"/>
          <w:numId w:val="176"/>
        </w:numPr>
        <w:tabs>
          <w:tab w:val="left" w:pos="953"/>
        </w:tabs>
        <w:spacing w:before="0" w:after="0" w:line="388" w:lineRule="auto"/>
        <w:ind w:left="111" w:right="148" w:firstLine="480"/>
        <w:jc w:val="both"/>
        <w:rPr>
          <w:color w:val="auto"/>
          <w:sz w:val="24"/>
        </w:rPr>
      </w:pPr>
      <w:r>
        <w:rPr>
          <w:color w:val="auto"/>
          <w:spacing w:val="-14"/>
          <w:sz w:val="24"/>
        </w:rPr>
        <w:t>、《农药广告审查发布标准》第七条 农药广告中不得含有评比、排序、推荐、</w:t>
      </w:r>
      <w:r>
        <w:rPr>
          <w:color w:val="auto"/>
          <w:sz w:val="24"/>
        </w:rPr>
        <w:t>指定、选用、获奖等综合性评价内容。</w:t>
      </w:r>
    </w:p>
    <w:p>
      <w:pPr>
        <w:pStyle w:val="13"/>
        <w:numPr>
          <w:ilvl w:val="1"/>
          <w:numId w:val="176"/>
        </w:numPr>
        <w:tabs>
          <w:tab w:val="left" w:pos="954"/>
        </w:tabs>
        <w:spacing w:before="0" w:after="0" w:line="391" w:lineRule="auto"/>
        <w:ind w:left="111" w:right="271" w:firstLine="480"/>
        <w:jc w:val="both"/>
        <w:rPr>
          <w:color w:val="auto"/>
          <w:sz w:val="24"/>
        </w:rPr>
      </w:pPr>
      <w:r>
        <w:rPr>
          <w:color w:val="auto"/>
          <w:spacing w:val="-9"/>
          <w:sz w:val="24"/>
        </w:rPr>
        <w:t>、《农药广告审查发布标准》第十一条 农药广告的批准文号应当列为广告内容同时发布。</w:t>
      </w:r>
    </w:p>
    <w:p>
      <w:pPr>
        <w:spacing w:before="0" w:line="388" w:lineRule="auto"/>
        <w:ind w:left="591" w:right="6948" w:firstLine="0"/>
        <w:jc w:val="left"/>
        <w:rPr>
          <w:color w:val="auto"/>
          <w:sz w:val="24"/>
        </w:rPr>
      </w:pPr>
      <w:r>
        <w:rPr>
          <w:b/>
          <w:color w:val="auto"/>
          <w:sz w:val="24"/>
        </w:rPr>
        <w:t>（二）</w:t>
      </w:r>
      <w:r>
        <w:rPr>
          <w:b/>
          <w:color w:val="auto"/>
          <w:spacing w:val="-5"/>
          <w:sz w:val="24"/>
        </w:rPr>
        <w:t>裁量基准</w:t>
      </w:r>
      <w:r>
        <w:rPr>
          <w:color w:val="auto"/>
          <w:sz w:val="24"/>
        </w:rPr>
        <w:t>1.【较轻】</w:t>
      </w:r>
    </w:p>
    <w:p>
      <w:pPr>
        <w:pStyle w:val="4"/>
        <w:spacing w:before="2" w:line="388" w:lineRule="auto"/>
        <w:ind w:left="591" w:right="4072"/>
        <w:rPr>
          <w:color w:val="auto"/>
        </w:rPr>
      </w:pPr>
      <w:r>
        <w:rPr>
          <w:color w:val="auto"/>
          <w:spacing w:val="-1"/>
        </w:rPr>
        <w:t>没有违法所得的，处以一万元以下的罚款。</w:t>
      </w:r>
      <w:r>
        <w:rPr>
          <w:color w:val="auto"/>
        </w:rPr>
        <w:t>2.【一般】</w:t>
      </w:r>
    </w:p>
    <w:p>
      <w:pPr>
        <w:pStyle w:val="4"/>
        <w:spacing w:before="2" w:line="391" w:lineRule="auto"/>
        <w:ind w:left="591" w:right="2632"/>
        <w:rPr>
          <w:color w:val="auto"/>
        </w:rPr>
      </w:pPr>
      <w:r>
        <w:rPr>
          <w:color w:val="auto"/>
          <w:spacing w:val="-1"/>
        </w:rPr>
        <w:t>违法所得一万元以下的，处以违法所得二倍以下的罚款。</w:t>
      </w:r>
      <w:r>
        <w:rPr>
          <w:color w:val="auto"/>
        </w:rPr>
        <w:t>3.【严重】</w:t>
      </w:r>
    </w:p>
    <w:p>
      <w:pPr>
        <w:pStyle w:val="4"/>
        <w:spacing w:line="388" w:lineRule="auto"/>
        <w:ind w:right="269" w:firstLine="480"/>
        <w:rPr>
          <w:color w:val="auto"/>
        </w:rPr>
      </w:pPr>
      <w:r>
        <w:rPr>
          <w:color w:val="auto"/>
        </w:rPr>
        <w:t>违法所得一万元以上的，处以违法所得二倍以上三倍以下但不超过三万元的罚款。</w:t>
      </w:r>
    </w:p>
    <w:p>
      <w:pPr>
        <w:pStyle w:val="2"/>
        <w:spacing w:before="3"/>
        <w:rPr>
          <w:color w:val="auto"/>
        </w:rPr>
      </w:pPr>
      <w:bookmarkStart w:id="505" w:name="_bookmark252"/>
      <w:bookmarkEnd w:id="505"/>
      <w:bookmarkStart w:id="506" w:name="二百四十六、违反《兽药广告审查发布标准》发布广告"/>
      <w:bookmarkEnd w:id="506"/>
      <w:r>
        <w:rPr>
          <w:color w:val="auto"/>
        </w:rPr>
        <w:t>二百四十六、违反《兽药广告审查发布标准》发布广告</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18"/>
        </w:rPr>
        <w:t>、《兽药广告审查发布标准》第十二条 违反本标准发布广告，《广告法》及其他</w:t>
      </w:r>
      <w:r>
        <w:rPr>
          <w:color w:val="auto"/>
          <w:spacing w:val="-5"/>
        </w:rPr>
        <w:t>法律法规有规定的，依照有关法律法规规定予以处罚。法律法规没有规定的，对负有责任的广告主、广告经营者、广告发布者，处以违法所得三倍以下但不超过三万元的</w:t>
      </w:r>
      <w:r>
        <w:rPr>
          <w:color w:val="auto"/>
        </w:rPr>
        <w:t>罚款；没有违法所得的，处以一万元以下的罚款。</w:t>
      </w:r>
    </w:p>
    <w:p>
      <w:pPr>
        <w:pStyle w:val="13"/>
        <w:numPr>
          <w:ilvl w:val="1"/>
          <w:numId w:val="177"/>
        </w:numPr>
        <w:tabs>
          <w:tab w:val="left" w:pos="953"/>
        </w:tabs>
        <w:spacing w:before="0" w:after="0" w:line="304" w:lineRule="exact"/>
        <w:ind w:left="952" w:right="0" w:hanging="362"/>
        <w:jc w:val="both"/>
        <w:rPr>
          <w:color w:val="auto"/>
          <w:sz w:val="24"/>
        </w:rPr>
      </w:pPr>
      <w:r>
        <w:rPr>
          <w:color w:val="auto"/>
          <w:spacing w:val="-12"/>
          <w:sz w:val="24"/>
        </w:rPr>
        <w:t>、《兽药广告审查发布标准》第三条 下列兽药不得发布广告：</w:t>
      </w:r>
    </w:p>
    <w:p>
      <w:pPr>
        <w:pStyle w:val="4"/>
        <w:spacing w:before="192"/>
        <w:ind w:left="591"/>
        <w:rPr>
          <w:color w:val="auto"/>
        </w:rPr>
      </w:pPr>
      <w:r>
        <w:rPr>
          <w:color w:val="auto"/>
        </w:rPr>
        <w:t>（一）兽用麻醉药品、精神药品以及兽医医疗单位配制的兽药制剂；</w:t>
      </w:r>
    </w:p>
    <w:p>
      <w:pPr>
        <w:pStyle w:val="4"/>
        <w:spacing w:before="191"/>
        <w:ind w:left="591"/>
        <w:rPr>
          <w:color w:val="auto"/>
        </w:rPr>
      </w:pPr>
      <w:r>
        <w:rPr>
          <w:color w:val="auto"/>
        </w:rPr>
        <w:t>（二）所含成份的种类、含量、名称与兽药国家标准不符的兽药；</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（三）临床应用发现超出规定毒副作用的兽药；</w:t>
      </w:r>
    </w:p>
    <w:p>
      <w:pPr>
        <w:pStyle w:val="4"/>
        <w:spacing w:before="195" w:line="388" w:lineRule="auto"/>
        <w:ind w:right="213" w:firstLine="480"/>
        <w:rPr>
          <w:color w:val="auto"/>
        </w:rPr>
      </w:pPr>
      <w:r>
        <w:rPr>
          <w:color w:val="auto"/>
        </w:rPr>
        <w:t>（四）国务院农牧行政管理部门明令禁止使用的，未取得兽药产品批准文号或者未取得《进口兽药注册证书》的兽药。</w:t>
      </w:r>
    </w:p>
    <w:p>
      <w:pPr>
        <w:pStyle w:val="13"/>
        <w:numPr>
          <w:ilvl w:val="1"/>
          <w:numId w:val="177"/>
        </w:numPr>
        <w:tabs>
          <w:tab w:val="left" w:pos="954"/>
        </w:tabs>
        <w:spacing w:before="2" w:after="0" w:line="391" w:lineRule="auto"/>
        <w:ind w:left="111" w:right="271" w:firstLine="480"/>
        <w:jc w:val="left"/>
        <w:rPr>
          <w:color w:val="auto"/>
          <w:sz w:val="24"/>
        </w:rPr>
      </w:pPr>
      <w:r>
        <w:rPr>
          <w:color w:val="auto"/>
          <w:spacing w:val="-9"/>
          <w:sz w:val="24"/>
        </w:rPr>
        <w:t>、《兽药广告审查发布标准》第五条 兽药广告不得贬低同类产品，不得与其他兽药进行功效和安全性对比。</w:t>
      </w:r>
    </w:p>
    <w:p>
      <w:pPr>
        <w:pStyle w:val="13"/>
        <w:numPr>
          <w:ilvl w:val="1"/>
          <w:numId w:val="177"/>
        </w:numPr>
        <w:tabs>
          <w:tab w:val="left" w:pos="953"/>
        </w:tabs>
        <w:spacing w:before="0" w:after="0" w:line="388" w:lineRule="auto"/>
        <w:ind w:left="111" w:right="148" w:firstLine="480"/>
        <w:jc w:val="left"/>
        <w:rPr>
          <w:color w:val="auto"/>
          <w:sz w:val="24"/>
        </w:rPr>
      </w:pPr>
      <w:r>
        <w:rPr>
          <w:color w:val="auto"/>
          <w:spacing w:val="-14"/>
          <w:sz w:val="24"/>
        </w:rPr>
        <w:t>、《兽药广告审查发布标准》第七条 兽药广告中不得含有评比、排序、推荐、</w:t>
      </w:r>
      <w:r>
        <w:rPr>
          <w:color w:val="auto"/>
          <w:sz w:val="24"/>
        </w:rPr>
        <w:t>指定、选用、获奖等综合性评价内容。</w:t>
      </w:r>
    </w:p>
    <w:p>
      <w:pPr>
        <w:pStyle w:val="13"/>
        <w:numPr>
          <w:ilvl w:val="1"/>
          <w:numId w:val="177"/>
        </w:numPr>
        <w:tabs>
          <w:tab w:val="left" w:pos="954"/>
        </w:tabs>
        <w:spacing w:before="3" w:after="0" w:line="388" w:lineRule="auto"/>
        <w:ind w:left="111" w:right="271" w:firstLine="480"/>
        <w:jc w:val="left"/>
        <w:rPr>
          <w:color w:val="auto"/>
          <w:sz w:val="24"/>
        </w:rPr>
      </w:pPr>
      <w:r>
        <w:rPr>
          <w:color w:val="auto"/>
          <w:spacing w:val="-9"/>
          <w:sz w:val="24"/>
        </w:rPr>
        <w:t>、《兽药广告审查发布标准》第九条 兽药广告中兽药的使用范围不得超出国家兽药标准的规定。</w:t>
      </w:r>
    </w:p>
    <w:p>
      <w:pPr>
        <w:pStyle w:val="13"/>
        <w:numPr>
          <w:ilvl w:val="1"/>
          <w:numId w:val="177"/>
        </w:numPr>
        <w:tabs>
          <w:tab w:val="left" w:pos="954"/>
        </w:tabs>
        <w:spacing w:before="2" w:after="0" w:line="391" w:lineRule="auto"/>
        <w:ind w:left="111" w:right="271" w:firstLine="480"/>
        <w:jc w:val="left"/>
        <w:rPr>
          <w:color w:val="auto"/>
          <w:sz w:val="24"/>
        </w:rPr>
      </w:pPr>
      <w:r>
        <w:rPr>
          <w:color w:val="auto"/>
          <w:spacing w:val="-9"/>
          <w:sz w:val="24"/>
        </w:rPr>
        <w:t>、《兽药广告审查发布标准》第十条 兽药广告的批准文号应当列为广告内容同时发布。</w:t>
      </w:r>
    </w:p>
    <w:p>
      <w:pPr>
        <w:spacing w:before="0" w:line="388" w:lineRule="auto"/>
        <w:ind w:left="591" w:right="6948" w:firstLine="0"/>
        <w:jc w:val="left"/>
        <w:rPr>
          <w:color w:val="auto"/>
          <w:sz w:val="24"/>
        </w:rPr>
      </w:pPr>
      <w:r>
        <w:rPr>
          <w:b/>
          <w:color w:val="auto"/>
          <w:sz w:val="24"/>
        </w:rPr>
        <w:t>（二）</w:t>
      </w:r>
      <w:r>
        <w:rPr>
          <w:b/>
          <w:color w:val="auto"/>
          <w:spacing w:val="-5"/>
          <w:sz w:val="24"/>
        </w:rPr>
        <w:t>裁量基准</w:t>
      </w:r>
      <w:r>
        <w:rPr>
          <w:color w:val="auto"/>
          <w:sz w:val="24"/>
        </w:rPr>
        <w:t>1.【较轻】</w:t>
      </w:r>
    </w:p>
    <w:p>
      <w:pPr>
        <w:pStyle w:val="4"/>
        <w:spacing w:before="2" w:line="388" w:lineRule="auto"/>
        <w:ind w:left="591" w:right="4072"/>
        <w:rPr>
          <w:color w:val="auto"/>
        </w:rPr>
      </w:pPr>
      <w:r>
        <w:rPr>
          <w:color w:val="auto"/>
          <w:spacing w:val="-1"/>
        </w:rPr>
        <w:t>没有违法所得的，处以一万元以下的罚款。</w:t>
      </w:r>
      <w:r>
        <w:rPr>
          <w:color w:val="auto"/>
        </w:rPr>
        <w:t>2.【一般】</w:t>
      </w:r>
    </w:p>
    <w:p>
      <w:pPr>
        <w:pStyle w:val="4"/>
        <w:spacing w:before="3" w:line="391" w:lineRule="auto"/>
        <w:ind w:left="591" w:right="2632"/>
        <w:rPr>
          <w:color w:val="auto"/>
        </w:rPr>
      </w:pPr>
      <w:r>
        <w:rPr>
          <w:color w:val="auto"/>
          <w:spacing w:val="-1"/>
        </w:rPr>
        <w:t>违法所得一万元以下的，处以违法所得二倍以下的罚款。</w:t>
      </w:r>
      <w:r>
        <w:rPr>
          <w:color w:val="auto"/>
        </w:rPr>
        <w:t>3.【严重】</w:t>
      </w:r>
    </w:p>
    <w:p>
      <w:pPr>
        <w:pStyle w:val="4"/>
        <w:spacing w:line="388" w:lineRule="auto"/>
        <w:ind w:right="269" w:firstLine="480"/>
        <w:rPr>
          <w:color w:val="auto"/>
        </w:rPr>
      </w:pPr>
      <w:r>
        <w:rPr>
          <w:color w:val="auto"/>
        </w:rPr>
        <w:t>违法所得一万元以上的，处以违法所得二倍以上三倍以下但不超过三万元的罚款。</w:t>
      </w:r>
    </w:p>
    <w:p>
      <w:pPr>
        <w:pStyle w:val="2"/>
        <w:spacing w:before="2"/>
        <w:rPr>
          <w:color w:val="auto"/>
        </w:rPr>
      </w:pPr>
      <w:bookmarkStart w:id="507" w:name="_bookmark253"/>
      <w:bookmarkEnd w:id="507"/>
      <w:bookmarkStart w:id="508" w:name="二百四十七、未按《广告发布登记管理规定》变更登记"/>
      <w:bookmarkEnd w:id="508"/>
      <w:r>
        <w:rPr>
          <w:color w:val="auto"/>
        </w:rPr>
        <w:t>二百四十七、未按《广告发布登记管理规定》变更登记</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、《广告发布登记管理规定》第十五条第三款 广告发布登记事项发生变化，广</w:t>
      </w:r>
      <w:r>
        <w:rPr>
          <w:color w:val="auto"/>
          <w:spacing w:val="-12"/>
        </w:rPr>
        <w:t>告发布单位未按规定办理变更登记的，由工商行政管理部门责令限期变更；逾期仍未</w:t>
      </w:r>
      <w:r>
        <w:rPr>
          <w:color w:val="auto"/>
        </w:rPr>
        <w:t>办理变更登记的，处一万元以上三万元以下罚款。</w:t>
      </w:r>
    </w:p>
    <w:p>
      <w:pPr>
        <w:pStyle w:val="4"/>
        <w:spacing w:line="391" w:lineRule="auto"/>
        <w:ind w:right="261" w:firstLine="480"/>
        <w:jc w:val="both"/>
        <w:rPr>
          <w:color w:val="auto"/>
        </w:rPr>
      </w:pPr>
      <w:r>
        <w:rPr>
          <w:color w:val="auto"/>
        </w:rPr>
        <w:t>2</w:t>
      </w:r>
      <w:r>
        <w:rPr>
          <w:color w:val="auto"/>
          <w:spacing w:val="-23"/>
        </w:rPr>
        <w:t>、《广告发布登记管理规定》第八条第一款 广告发布登记事项发生变化的，广告发</w:t>
      </w:r>
      <w:r>
        <w:rPr>
          <w:color w:val="auto"/>
          <w:spacing w:val="-10"/>
        </w:rPr>
        <w:t>布单位应当自该事项发生变化之日起三十日内向工商行政管理部门申请变更登记。</w:t>
      </w:r>
    </w:p>
    <w:p>
      <w:pPr>
        <w:spacing w:before="0" w:line="388" w:lineRule="auto"/>
        <w:ind w:left="591" w:right="6948" w:firstLine="0"/>
        <w:jc w:val="left"/>
        <w:rPr>
          <w:b/>
          <w:color w:val="auto"/>
          <w:sz w:val="24"/>
        </w:rPr>
      </w:pPr>
      <w:r>
        <w:rPr>
          <w:b/>
          <w:color w:val="auto"/>
          <w:sz w:val="24"/>
        </w:rPr>
        <w:t>（二）裁量标准</w:t>
      </w:r>
    </w:p>
    <w:p>
      <w:pPr>
        <w:keepNext w:val="0"/>
        <w:keepLines w:val="0"/>
        <w:widowControl/>
        <w:suppressLineNumbers w:val="0"/>
        <w:ind w:firstLine="482" w:firstLineChars="200"/>
        <w:jc w:val="left"/>
        <w:rPr>
          <w:color w:val="auto"/>
        </w:rPr>
      </w:pPr>
      <w:r>
        <w:rPr>
          <w:rFonts w:hint="eastAsia"/>
          <w:b/>
          <w:color w:val="auto"/>
          <w:sz w:val="24"/>
          <w:lang w:val="en-US" w:eastAsia="zh-CN"/>
        </w:rPr>
        <w:t>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spacing w:before="0" w:line="388" w:lineRule="auto"/>
        <w:ind w:left="591" w:right="6948" w:firstLine="0"/>
        <w:jc w:val="left"/>
        <w:rPr>
          <w:rFonts w:hint="default" w:eastAsia="宋体"/>
          <w:b/>
          <w:color w:val="auto"/>
          <w:sz w:val="24"/>
          <w:lang w:val="en-US" w:eastAsia="zh-CN"/>
        </w:rPr>
      </w:pPr>
    </w:p>
    <w:p>
      <w:pPr>
        <w:spacing w:before="0" w:line="388" w:lineRule="auto"/>
        <w:ind w:left="591" w:right="6948" w:firstLine="0"/>
        <w:jc w:val="left"/>
        <w:rPr>
          <w:color w:val="auto"/>
          <w:sz w:val="24"/>
        </w:rPr>
      </w:pPr>
      <w:r>
        <w:rPr>
          <w:color w:val="auto"/>
          <w:sz w:val="24"/>
        </w:rPr>
        <w:t>1.【较轻】</w:t>
      </w:r>
    </w:p>
    <w:p>
      <w:pPr>
        <w:pStyle w:val="4"/>
        <w:spacing w:before="39" w:line="391" w:lineRule="auto"/>
        <w:ind w:left="591" w:right="3832"/>
        <w:rPr>
          <w:color w:val="auto"/>
        </w:rPr>
      </w:pPr>
      <w:r>
        <w:rPr>
          <w:color w:val="auto"/>
          <w:spacing w:val="-1"/>
        </w:rPr>
        <w:t>第一次违反本条规定的，处以一万元的罚款。</w:t>
      </w:r>
      <w:r>
        <w:rPr>
          <w:color w:val="auto"/>
        </w:rPr>
        <w:t>2.【一般】</w:t>
      </w:r>
    </w:p>
    <w:p>
      <w:pPr>
        <w:pStyle w:val="4"/>
        <w:spacing w:line="388" w:lineRule="auto"/>
        <w:ind w:left="591" w:right="2152"/>
        <w:rPr>
          <w:color w:val="auto"/>
        </w:rPr>
      </w:pPr>
      <w:r>
        <w:rPr>
          <w:color w:val="auto"/>
          <w:spacing w:val="-1"/>
        </w:rPr>
        <w:t>第二次违反本条规定的，处以一万元以上二万元以下的罚款。</w:t>
      </w:r>
      <w:r>
        <w:rPr>
          <w:color w:val="auto"/>
        </w:rPr>
        <w:t>3.【严重】</w:t>
      </w:r>
    </w:p>
    <w:p>
      <w:pPr>
        <w:spacing w:before="3" w:line="388" w:lineRule="auto"/>
        <w:ind w:left="591" w:right="1912" w:firstLine="0"/>
        <w:jc w:val="left"/>
        <w:rPr>
          <w:b/>
          <w:color w:val="auto"/>
          <w:sz w:val="24"/>
        </w:rPr>
      </w:pPr>
      <w:r>
        <w:rPr>
          <w:color w:val="auto"/>
          <w:sz w:val="24"/>
        </w:rPr>
        <w:t>三次以上违反本条规定的，处以二万元以上三万元以下的罚款。</w:t>
      </w:r>
      <w:bookmarkStart w:id="509" w:name="_bookmark254"/>
      <w:bookmarkEnd w:id="509"/>
      <w:bookmarkStart w:id="510" w:name="二百四十八、不按规定报送《广告业统计报表》"/>
      <w:bookmarkEnd w:id="510"/>
      <w:r>
        <w:rPr>
          <w:b/>
          <w:color w:val="auto"/>
          <w:sz w:val="24"/>
        </w:rPr>
        <w:t>二百四十八、不按规定报送《广告业统计报表》</w:t>
      </w:r>
    </w:p>
    <w:p>
      <w:pPr>
        <w:pStyle w:val="2"/>
        <w:spacing w:before="2"/>
        <w:rPr>
          <w:color w:val="auto"/>
        </w:rPr>
      </w:pPr>
      <w:r>
        <w:rPr>
          <w:color w:val="auto"/>
        </w:rPr>
        <w:t>（一）处罚依据</w:t>
      </w:r>
    </w:p>
    <w:p>
      <w:pPr>
        <w:pStyle w:val="4"/>
        <w:spacing w:before="195" w:line="388" w:lineRule="auto"/>
        <w:ind w:right="266" w:firstLine="480"/>
        <w:jc w:val="both"/>
        <w:rPr>
          <w:color w:val="auto"/>
        </w:rPr>
      </w:pPr>
      <w:r>
        <w:rPr>
          <w:color w:val="auto"/>
        </w:rPr>
        <w:t>《广告发布登记管理规定》第十五条第四款 广告发布单位不按规定报送《广告</w:t>
      </w:r>
      <w:r>
        <w:rPr>
          <w:color w:val="auto"/>
          <w:spacing w:val="-7"/>
        </w:rPr>
        <w:t>业统计报表》的，由工商行政管理部门予以警告，责令改正；拒不改正的，处一万元</w:t>
      </w:r>
      <w:r>
        <w:rPr>
          <w:color w:val="auto"/>
        </w:rPr>
        <w:t>以下罚款。</w:t>
      </w:r>
    </w:p>
    <w:p>
      <w:pPr>
        <w:numPr>
          <w:ilvl w:val="0"/>
          <w:numId w:val="165"/>
        </w:numPr>
        <w:spacing w:before="5" w:line="388" w:lineRule="auto"/>
        <w:ind w:left="591" w:leftChars="0" w:right="6948" w:firstLine="0" w:firstLineChars="0"/>
        <w:jc w:val="left"/>
        <w:rPr>
          <w:color w:val="auto"/>
          <w:sz w:val="24"/>
        </w:rPr>
      </w:pPr>
      <w:r>
        <w:rPr>
          <w:b/>
          <w:color w:val="auto"/>
          <w:spacing w:val="-5"/>
          <w:sz w:val="24"/>
        </w:rPr>
        <w:t>裁量标准</w:t>
      </w:r>
      <w:r>
        <w:rPr>
          <w:color w:val="auto"/>
          <w:sz w:val="24"/>
        </w:rPr>
        <w:t>1.</w:t>
      </w:r>
      <w:r>
        <w:rPr>
          <w:rFonts w:hint="eastAsia"/>
          <w:color w:val="auto"/>
          <w:sz w:val="24"/>
          <w:lang w:eastAsia="zh-CN"/>
        </w:rPr>
        <w:t>【不予处罚】</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80" w:firstLineChars="200"/>
        <w:jc w:val="left"/>
        <w:rPr>
          <w:rFonts w:hint="eastAsia"/>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未造成危害后果</w:t>
      </w:r>
    </w:p>
    <w:p>
      <w:pPr>
        <w:numPr>
          <w:ilvl w:val="0"/>
          <w:numId w:val="0"/>
        </w:numPr>
        <w:spacing w:before="5"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before="2" w:line="391" w:lineRule="auto"/>
        <w:ind w:left="591" w:right="3352"/>
        <w:rPr>
          <w:color w:val="auto"/>
        </w:rPr>
      </w:pPr>
      <w:r>
        <w:rPr>
          <w:color w:val="auto"/>
          <w:spacing w:val="-1"/>
        </w:rPr>
        <w:t>第一次违反本条规定的，处以三千元以下的罚款。</w:t>
      </w:r>
      <w:r>
        <w:rPr>
          <w:rFonts w:hint="eastAsia"/>
          <w:color w:val="auto"/>
          <w:lang w:val="en-US" w:eastAsia="zh-CN"/>
        </w:rPr>
        <w:t>3</w:t>
      </w:r>
      <w:r>
        <w:rPr>
          <w:color w:val="auto"/>
        </w:rPr>
        <w:t>.【一般】</w:t>
      </w:r>
    </w:p>
    <w:p>
      <w:pPr>
        <w:pStyle w:val="4"/>
        <w:spacing w:line="388" w:lineRule="auto"/>
        <w:ind w:left="591" w:right="2152"/>
        <w:rPr>
          <w:color w:val="auto"/>
        </w:rPr>
      </w:pPr>
      <w:r>
        <w:rPr>
          <w:color w:val="auto"/>
          <w:spacing w:val="-1"/>
        </w:rPr>
        <w:t>第二次违反本条规定的，处以三千元以上七千元以下的罚款。</w:t>
      </w:r>
      <w:r>
        <w:rPr>
          <w:rFonts w:hint="eastAsia"/>
          <w:color w:val="auto"/>
          <w:lang w:val="en-US" w:eastAsia="zh-CN"/>
        </w:rPr>
        <w:t>4</w:t>
      </w:r>
      <w:r>
        <w:rPr>
          <w:color w:val="auto"/>
        </w:rPr>
        <w:t>.【严重】</w:t>
      </w:r>
    </w:p>
    <w:p>
      <w:pPr>
        <w:spacing w:before="3" w:line="388" w:lineRule="auto"/>
        <w:ind w:left="591" w:right="1912" w:firstLine="0"/>
        <w:jc w:val="left"/>
        <w:rPr>
          <w:b/>
          <w:color w:val="auto"/>
          <w:sz w:val="24"/>
        </w:rPr>
      </w:pPr>
      <w:r>
        <w:rPr>
          <w:color w:val="auto"/>
          <w:sz w:val="24"/>
        </w:rPr>
        <w:t>三次以上违反本条规定的，处以七千元以上一万元以下的罚款。</w:t>
      </w:r>
      <w:bookmarkStart w:id="511" w:name="二百四十九、擅自发布境外就业中介服务广告"/>
      <w:bookmarkEnd w:id="511"/>
      <w:bookmarkStart w:id="512" w:name="_bookmark255"/>
      <w:bookmarkEnd w:id="512"/>
      <w:r>
        <w:rPr>
          <w:b/>
          <w:color w:val="auto"/>
          <w:sz w:val="24"/>
        </w:rPr>
        <w:t>二百四十九、擅自发布境外就业中介服务广告</w:t>
      </w:r>
    </w:p>
    <w:p>
      <w:pPr>
        <w:pStyle w:val="2"/>
        <w:spacing w:before="2"/>
        <w:rPr>
          <w:color w:val="auto"/>
        </w:rPr>
      </w:pPr>
      <w:r>
        <w:rPr>
          <w:color w:val="auto"/>
        </w:rPr>
        <w:t>（一）处罚依据</w:t>
      </w:r>
    </w:p>
    <w:p>
      <w:pPr>
        <w:pStyle w:val="4"/>
        <w:spacing w:before="194" w:line="388" w:lineRule="auto"/>
        <w:ind w:right="268" w:firstLine="480"/>
        <w:rPr>
          <w:color w:val="auto"/>
        </w:rPr>
      </w:pPr>
      <w:r>
        <w:rPr>
          <w:color w:val="auto"/>
        </w:rPr>
        <w:t>《境外就业中介管理规定》第三十七条第二款 对未经批准发布境外就业中介服</w:t>
      </w:r>
      <w:r>
        <w:rPr>
          <w:color w:val="auto"/>
          <w:spacing w:val="-7"/>
        </w:rPr>
        <w:t xml:space="preserve">务广告的，由工商行政管理机关责令停止发布，没有违法所得的，处以 </w:t>
      </w:r>
      <w:r>
        <w:rPr>
          <w:color w:val="auto"/>
        </w:rPr>
        <w:t>10000</w:t>
      </w:r>
      <w:r>
        <w:rPr>
          <w:color w:val="auto"/>
          <w:spacing w:val="-20"/>
        </w:rPr>
        <w:t xml:space="preserve"> 元以下</w:t>
      </w:r>
    </w:p>
    <w:p>
      <w:pPr>
        <w:pStyle w:val="4"/>
        <w:spacing w:before="2" w:line="391" w:lineRule="auto"/>
        <w:ind w:right="292"/>
        <w:rPr>
          <w:color w:val="auto"/>
        </w:rPr>
      </w:pPr>
      <w:r>
        <w:rPr>
          <w:color w:val="auto"/>
          <w:spacing w:val="-3"/>
        </w:rPr>
        <w:t xml:space="preserve">的罚款；有违法所得的，没收违法所得，并可处以违法所得 </w:t>
      </w:r>
      <w:r>
        <w:rPr>
          <w:color w:val="auto"/>
        </w:rPr>
        <w:t>3</w:t>
      </w:r>
      <w:r>
        <w:rPr>
          <w:color w:val="auto"/>
          <w:spacing w:val="-14"/>
        </w:rPr>
        <w:t xml:space="preserve"> 倍以下但不超过 </w:t>
      </w:r>
      <w:r>
        <w:rPr>
          <w:color w:val="auto"/>
          <w:spacing w:val="-4"/>
        </w:rPr>
        <w:t xml:space="preserve">30000 </w:t>
      </w:r>
      <w:r>
        <w:rPr>
          <w:color w:val="auto"/>
        </w:rPr>
        <w:t>元的罚款。</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88" w:lineRule="auto"/>
        <w:ind w:left="591" w:right="4072"/>
        <w:rPr>
          <w:color w:val="auto"/>
        </w:rPr>
      </w:pPr>
      <w:r>
        <w:rPr>
          <w:color w:val="auto"/>
          <w:spacing w:val="-1"/>
        </w:rPr>
        <w:t>没有违法所得的，处以一万元以下的罚款。</w:t>
      </w:r>
      <w:r>
        <w:rPr>
          <w:color w:val="auto"/>
        </w:rPr>
        <w:t>2.【一般】</w:t>
      </w:r>
    </w:p>
    <w:p>
      <w:pPr>
        <w:pStyle w:val="4"/>
        <w:spacing w:before="2"/>
        <w:ind w:left="591"/>
        <w:rPr>
          <w:color w:val="auto"/>
        </w:rPr>
      </w:pPr>
      <w:r>
        <w:rPr>
          <w:color w:val="auto"/>
        </w:rPr>
        <w:t>违法所得一万元以下的，并处违法所得二倍以下的罚款。</w:t>
      </w:r>
    </w:p>
    <w:p>
      <w:pPr>
        <w:spacing w:after="0"/>
        <w:rPr>
          <w:color w:val="auto"/>
        </w:rPr>
        <w:sectPr>
          <w:footerReference r:id="rId45" w:type="default"/>
          <w:footerReference r:id="rId46" w:type="even"/>
          <w:pgSz w:w="11910" w:h="16840"/>
          <w:pgMar w:top="1520" w:right="1260" w:bottom="1220" w:left="1420" w:header="0" w:footer="1034" w:gutter="0"/>
          <w:pgNumType w:start="210"/>
        </w:sectPr>
      </w:pPr>
    </w:p>
    <w:p>
      <w:pPr>
        <w:pStyle w:val="4"/>
        <w:spacing w:before="39"/>
        <w:ind w:left="591"/>
        <w:rPr>
          <w:color w:val="auto"/>
        </w:rPr>
      </w:pPr>
      <w:r>
        <w:rPr>
          <w:color w:val="auto"/>
        </w:rPr>
        <w:t>3.【严重】</w:t>
      </w:r>
    </w:p>
    <w:p>
      <w:pPr>
        <w:pStyle w:val="4"/>
        <w:spacing w:before="195" w:line="388" w:lineRule="auto"/>
        <w:ind w:right="269" w:firstLine="480"/>
        <w:rPr>
          <w:color w:val="auto"/>
        </w:rPr>
      </w:pPr>
      <w:r>
        <w:rPr>
          <w:color w:val="auto"/>
        </w:rPr>
        <w:t>违法所得一万元以上的，并处违法所得二倍以上三倍以下但不超过三万元的罚款。</w:t>
      </w:r>
    </w:p>
    <w:p>
      <w:pPr>
        <w:pStyle w:val="2"/>
        <w:spacing w:before="2"/>
        <w:rPr>
          <w:color w:val="auto"/>
        </w:rPr>
      </w:pPr>
      <w:bookmarkStart w:id="513" w:name="二百五十、广告语言文字不符合规定"/>
      <w:bookmarkEnd w:id="513"/>
      <w:bookmarkStart w:id="514" w:name="_bookmark256"/>
      <w:bookmarkEnd w:id="514"/>
      <w:r>
        <w:rPr>
          <w:color w:val="auto"/>
        </w:rPr>
        <w:t>二百五十、广告语言文字不符合规定</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、《广告语言文字管理暂行规定》第十五条 违反本规定其他条款的，由广告监</w:t>
      </w:r>
      <w:r>
        <w:rPr>
          <w:color w:val="auto"/>
          <w:spacing w:val="-11"/>
        </w:rPr>
        <w:t>督管理机关责令限期改正，逾期未能改正的，对负有责任的广告主、广告经营者、广</w:t>
      </w:r>
      <w:r>
        <w:rPr>
          <w:color w:val="auto"/>
        </w:rPr>
        <w:t>告发布者处以１万元以下罚款。</w:t>
      </w:r>
    </w:p>
    <w:p>
      <w:pPr>
        <w:pStyle w:val="13"/>
        <w:numPr>
          <w:ilvl w:val="1"/>
          <w:numId w:val="178"/>
        </w:numPr>
        <w:tabs>
          <w:tab w:val="left" w:pos="954"/>
        </w:tabs>
        <w:spacing w:before="0" w:after="0" w:line="388" w:lineRule="auto"/>
        <w:ind w:left="111" w:right="271" w:firstLine="480"/>
        <w:jc w:val="both"/>
        <w:rPr>
          <w:color w:val="auto"/>
          <w:sz w:val="24"/>
        </w:rPr>
      </w:pPr>
      <w:r>
        <w:rPr>
          <w:color w:val="auto"/>
          <w:spacing w:val="-9"/>
          <w:sz w:val="24"/>
        </w:rPr>
        <w:t>、《广告语言文字管理暂行规定》第三条 广告使用的语言文字，用语应当清晰、准确，用字应当规范、标准；</w:t>
      </w:r>
    </w:p>
    <w:p>
      <w:pPr>
        <w:pStyle w:val="13"/>
        <w:numPr>
          <w:ilvl w:val="1"/>
          <w:numId w:val="178"/>
        </w:numPr>
        <w:tabs>
          <w:tab w:val="left" w:pos="954"/>
        </w:tabs>
        <w:spacing w:before="0" w:after="0" w:line="388" w:lineRule="auto"/>
        <w:ind w:left="111" w:right="271" w:firstLine="480"/>
        <w:jc w:val="both"/>
        <w:rPr>
          <w:color w:val="auto"/>
          <w:sz w:val="24"/>
        </w:rPr>
      </w:pPr>
      <w:r>
        <w:rPr>
          <w:color w:val="auto"/>
          <w:spacing w:val="-9"/>
          <w:sz w:val="24"/>
        </w:rPr>
        <w:t>、《广告语言文字管理暂行规定》第五条 广告用语用字应当使用普通话和规范汉字；</w:t>
      </w:r>
    </w:p>
    <w:p>
      <w:pPr>
        <w:pStyle w:val="4"/>
        <w:spacing w:before="2" w:line="391" w:lineRule="auto"/>
        <w:ind w:right="268" w:firstLine="480"/>
        <w:jc w:val="both"/>
        <w:rPr>
          <w:color w:val="auto"/>
        </w:rPr>
      </w:pPr>
      <w:r>
        <w:rPr>
          <w:color w:val="auto"/>
          <w:spacing w:val="-5"/>
        </w:rPr>
        <w:t>根据国家规定，广播电台、电视台可以使用方言播音的节目，其广告中可以使用</w:t>
      </w:r>
      <w:r>
        <w:rPr>
          <w:color w:val="auto"/>
          <w:spacing w:val="-7"/>
        </w:rPr>
        <w:t>方言；广播电台、电视台使用少数民族语言播音的节目，其广告应当使用少数民族语</w:t>
      </w:r>
      <w:r>
        <w:rPr>
          <w:color w:val="auto"/>
        </w:rPr>
        <w:t>言文字。</w:t>
      </w:r>
    </w:p>
    <w:p>
      <w:pPr>
        <w:pStyle w:val="4"/>
        <w:spacing w:line="391" w:lineRule="auto"/>
        <w:ind w:left="591" w:right="232"/>
        <w:jc w:val="both"/>
        <w:rPr>
          <w:color w:val="auto"/>
        </w:rPr>
      </w:pPr>
      <w:r>
        <w:rPr>
          <w:color w:val="auto"/>
        </w:rPr>
        <w:t>在民族自治地方，广告用语用字参照《民族自治地方语言文字单行条例》执行。2-3、《广告语言文字管理暂行规定》第六条 广告中不得单独使用汉语拼音。广</w:t>
      </w:r>
    </w:p>
    <w:p>
      <w:pPr>
        <w:pStyle w:val="4"/>
        <w:spacing w:line="306" w:lineRule="exact"/>
        <w:rPr>
          <w:color w:val="auto"/>
        </w:rPr>
      </w:pPr>
      <w:r>
        <w:rPr>
          <w:color w:val="auto"/>
        </w:rPr>
        <w:t>告中如需使用汉语拼音时，应当正确、规范，并与规范汉字同时使用；</w:t>
      </w:r>
    </w:p>
    <w:p>
      <w:pPr>
        <w:pStyle w:val="13"/>
        <w:numPr>
          <w:ilvl w:val="1"/>
          <w:numId w:val="179"/>
        </w:numPr>
        <w:tabs>
          <w:tab w:val="left" w:pos="954"/>
        </w:tabs>
        <w:spacing w:before="188" w:after="0" w:line="391" w:lineRule="auto"/>
        <w:ind w:left="111" w:right="271" w:firstLine="480"/>
        <w:jc w:val="left"/>
        <w:rPr>
          <w:color w:val="auto"/>
          <w:sz w:val="24"/>
        </w:rPr>
      </w:pPr>
      <w:r>
        <w:rPr>
          <w:color w:val="auto"/>
          <w:spacing w:val="-9"/>
          <w:sz w:val="24"/>
        </w:rPr>
        <w:t>、《广告语言文字管理暂行规定》第七条 广告中数字、标点符号的用法和计量单位等，应当符合国家标准和有关规定；</w:t>
      </w:r>
    </w:p>
    <w:p>
      <w:pPr>
        <w:pStyle w:val="13"/>
        <w:numPr>
          <w:ilvl w:val="1"/>
          <w:numId w:val="179"/>
        </w:numPr>
        <w:tabs>
          <w:tab w:val="left" w:pos="953"/>
        </w:tabs>
        <w:spacing w:before="0" w:after="0" w:line="388" w:lineRule="auto"/>
        <w:ind w:left="591" w:right="148" w:firstLine="0"/>
        <w:jc w:val="left"/>
        <w:rPr>
          <w:color w:val="auto"/>
          <w:sz w:val="24"/>
        </w:rPr>
      </w:pPr>
      <w:r>
        <w:rPr>
          <w:color w:val="auto"/>
          <w:spacing w:val="-15"/>
          <w:sz w:val="24"/>
        </w:rPr>
        <w:t xml:space="preserve">、《广告语言文字管理暂行规定》第八条 广告中不得单独使用外国语言文字； </w:t>
      </w:r>
      <w:r>
        <w:rPr>
          <w:color w:val="auto"/>
          <w:spacing w:val="-2"/>
          <w:sz w:val="24"/>
        </w:rPr>
        <w:t>广告中如因特殊需要配合使用外国语言文字时，应当采用以普通话和规范汉字为</w:t>
      </w:r>
    </w:p>
    <w:p>
      <w:pPr>
        <w:pStyle w:val="4"/>
        <w:spacing w:before="3" w:line="388" w:lineRule="auto"/>
        <w:ind w:right="230"/>
        <w:rPr>
          <w:color w:val="auto"/>
        </w:rPr>
      </w:pPr>
      <w:r>
        <w:rPr>
          <w:color w:val="auto"/>
        </w:rPr>
        <w:t>主、外国语言文字为辅的形式，不得在同一广告语句中夹杂使用外国语言文字。广告中的外国语言文字所表达的意思，与中文意思不一致的，以中文意思为准。</w:t>
      </w:r>
    </w:p>
    <w:p>
      <w:pPr>
        <w:pStyle w:val="13"/>
        <w:numPr>
          <w:ilvl w:val="1"/>
          <w:numId w:val="179"/>
        </w:numPr>
        <w:tabs>
          <w:tab w:val="left" w:pos="953"/>
        </w:tabs>
        <w:spacing w:before="2" w:after="0" w:line="240" w:lineRule="auto"/>
        <w:ind w:left="952" w:right="0" w:hanging="362"/>
        <w:jc w:val="left"/>
        <w:rPr>
          <w:color w:val="auto"/>
          <w:sz w:val="24"/>
        </w:rPr>
      </w:pPr>
      <w:r>
        <w:rPr>
          <w:color w:val="auto"/>
          <w:spacing w:val="-14"/>
          <w:sz w:val="24"/>
        </w:rPr>
        <w:t>、《广告语言文字管理暂行规定》第十条 广告用语用字，不得出现下列情形：</w:t>
      </w:r>
    </w:p>
    <w:p>
      <w:pPr>
        <w:pStyle w:val="4"/>
        <w:spacing w:before="194"/>
        <w:ind w:left="591"/>
        <w:rPr>
          <w:color w:val="auto"/>
        </w:rPr>
      </w:pPr>
      <w:r>
        <w:rPr>
          <w:color w:val="auto"/>
        </w:rPr>
        <w:t>（一）使用错别字；</w:t>
      </w:r>
    </w:p>
    <w:p>
      <w:pPr>
        <w:pStyle w:val="4"/>
        <w:spacing w:before="192"/>
        <w:ind w:left="591"/>
        <w:rPr>
          <w:color w:val="auto"/>
        </w:rPr>
      </w:pPr>
      <w:r>
        <w:rPr>
          <w:color w:val="auto"/>
        </w:rPr>
        <w:t>（二）违反国家法律、法规规定使用繁体字；</w:t>
      </w:r>
    </w:p>
    <w:p>
      <w:pPr>
        <w:pStyle w:val="4"/>
        <w:spacing w:before="192"/>
        <w:ind w:left="591"/>
        <w:rPr>
          <w:color w:val="auto"/>
        </w:rPr>
      </w:pPr>
      <w:r>
        <w:rPr>
          <w:color w:val="auto"/>
        </w:rPr>
        <w:t>（三）使用国家已废止的异体字和简化字；</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（四）使用国家已废止的印刷字形；</w:t>
      </w:r>
    </w:p>
    <w:p>
      <w:pPr>
        <w:pStyle w:val="4"/>
        <w:spacing w:before="195"/>
        <w:ind w:left="591"/>
        <w:rPr>
          <w:color w:val="auto"/>
        </w:rPr>
      </w:pPr>
      <w:r>
        <w:rPr>
          <w:color w:val="auto"/>
        </w:rPr>
        <w:t>（五）其他不规范使用的语言文字。</w:t>
      </w:r>
    </w:p>
    <w:p>
      <w:pPr>
        <w:pStyle w:val="13"/>
        <w:numPr>
          <w:ilvl w:val="1"/>
          <w:numId w:val="179"/>
        </w:numPr>
        <w:tabs>
          <w:tab w:val="left" w:pos="954"/>
        </w:tabs>
        <w:spacing w:before="191" w:after="0" w:line="388" w:lineRule="auto"/>
        <w:ind w:left="111" w:right="271" w:firstLine="480"/>
        <w:jc w:val="both"/>
        <w:rPr>
          <w:color w:val="auto"/>
          <w:sz w:val="24"/>
        </w:rPr>
      </w:pPr>
      <w:r>
        <w:rPr>
          <w:color w:val="auto"/>
          <w:spacing w:val="-9"/>
          <w:sz w:val="24"/>
        </w:rPr>
        <w:t>、《广告语言文字管理暂行规定》第十一条 广告中成语的使用必须符合国家有关规定，不得引起误导，对社会造成不良影响；</w:t>
      </w:r>
    </w:p>
    <w:p>
      <w:pPr>
        <w:pStyle w:val="13"/>
        <w:numPr>
          <w:ilvl w:val="1"/>
          <w:numId w:val="179"/>
        </w:numPr>
        <w:tabs>
          <w:tab w:val="left" w:pos="954"/>
        </w:tabs>
        <w:spacing w:before="5" w:after="0" w:line="388" w:lineRule="auto"/>
        <w:ind w:left="111" w:right="268" w:firstLine="480"/>
        <w:jc w:val="both"/>
        <w:rPr>
          <w:color w:val="auto"/>
          <w:sz w:val="24"/>
        </w:rPr>
      </w:pPr>
      <w:r>
        <w:rPr>
          <w:color w:val="auto"/>
          <w:spacing w:val="-9"/>
          <w:sz w:val="24"/>
        </w:rPr>
        <w:t>、《广告语言文字管理暂行规定》第十二条 广告中出现的注册商标定型字、</w:t>
      </w:r>
      <w:r>
        <w:rPr>
          <w:color w:val="auto"/>
          <w:spacing w:val="-12"/>
          <w:sz w:val="24"/>
        </w:rPr>
        <w:t>文物古迹中原有的文字，以及经国家有关部门认可的企业字号用字等，不适用本规定</w:t>
      </w:r>
      <w:r>
        <w:rPr>
          <w:color w:val="auto"/>
          <w:sz w:val="24"/>
        </w:rPr>
        <w:t>第十条规定，但应当与原形一致，不得引起误导；</w:t>
      </w:r>
    </w:p>
    <w:p>
      <w:pPr>
        <w:pStyle w:val="13"/>
        <w:numPr>
          <w:ilvl w:val="1"/>
          <w:numId w:val="179"/>
        </w:numPr>
        <w:tabs>
          <w:tab w:val="left" w:pos="473"/>
        </w:tabs>
        <w:spacing w:before="5" w:after="0" w:line="388" w:lineRule="auto"/>
        <w:ind w:left="111" w:right="148" w:firstLine="0"/>
        <w:jc w:val="left"/>
        <w:rPr>
          <w:color w:val="auto"/>
          <w:sz w:val="24"/>
        </w:rPr>
      </w:pPr>
      <w:r>
        <w:rPr>
          <w:color w:val="auto"/>
          <w:spacing w:val="-7"/>
          <w:sz w:val="24"/>
        </w:rPr>
        <w:t>、《广告语言文字管理暂行规定》第十三条广告中因创意等需要使用的手书体字、</w:t>
      </w:r>
      <w:r>
        <w:rPr>
          <w:color w:val="auto"/>
          <w:sz w:val="24"/>
        </w:rPr>
        <w:t>美术字、变体字、古文字，应当易于辨认，不得引起误导；</w:t>
      </w:r>
    </w:p>
    <w:p>
      <w:pPr>
        <w:numPr>
          <w:ilvl w:val="0"/>
          <w:numId w:val="180"/>
        </w:numPr>
        <w:spacing w:before="2" w:line="391" w:lineRule="auto"/>
        <w:ind w:left="591" w:right="6948" w:firstLine="0"/>
        <w:jc w:val="left"/>
        <w:rPr>
          <w:b/>
          <w:color w:val="auto"/>
          <w:spacing w:val="-5"/>
          <w:sz w:val="24"/>
        </w:rPr>
      </w:pPr>
      <w:r>
        <w:rPr>
          <w:b/>
          <w:color w:val="auto"/>
          <w:spacing w:val="-5"/>
          <w:sz w:val="24"/>
        </w:rPr>
        <w:t>裁量标准</w:t>
      </w:r>
    </w:p>
    <w:p>
      <w:pPr>
        <w:numPr>
          <w:ilvl w:val="0"/>
          <w:numId w:val="0"/>
        </w:numPr>
        <w:spacing w:before="2" w:line="391" w:lineRule="auto"/>
        <w:ind w:left="591" w:leftChars="0" w:right="6948" w:rightChars="0"/>
        <w:jc w:val="left"/>
        <w:rPr>
          <w:rFonts w:hint="eastAsia"/>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rFonts w:hint="default"/>
          <w:color w:val="auto"/>
          <w:sz w:val="24"/>
          <w:lang w:val="en-US" w:eastAsia="zh-CN"/>
        </w:rPr>
      </w:pP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numPr>
          <w:ilvl w:val="0"/>
          <w:numId w:val="0"/>
        </w:numPr>
        <w:spacing w:before="2" w:line="391"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4"/>
        <w:spacing w:line="388" w:lineRule="auto"/>
        <w:ind w:left="591" w:right="3352"/>
        <w:rPr>
          <w:color w:val="auto"/>
        </w:rPr>
      </w:pPr>
      <w:r>
        <w:rPr>
          <w:color w:val="auto"/>
          <w:spacing w:val="-1"/>
        </w:rPr>
        <w:t>有本条所列情形之一的，处以三千元以下的罚款。</w:t>
      </w:r>
      <w:r>
        <w:rPr>
          <w:rFonts w:hint="eastAsia"/>
          <w:color w:val="auto"/>
          <w:lang w:val="en-US" w:eastAsia="zh-CN"/>
        </w:rPr>
        <w:t>3</w:t>
      </w:r>
      <w:r>
        <w:rPr>
          <w:color w:val="auto"/>
        </w:rPr>
        <w:t>.【一般】</w:t>
      </w:r>
    </w:p>
    <w:p>
      <w:pPr>
        <w:pStyle w:val="4"/>
        <w:spacing w:before="3" w:line="388" w:lineRule="auto"/>
        <w:ind w:left="591" w:right="1672"/>
        <w:rPr>
          <w:color w:val="auto"/>
        </w:rPr>
      </w:pPr>
      <w:r>
        <w:rPr>
          <w:color w:val="auto"/>
          <w:spacing w:val="-1"/>
        </w:rPr>
        <w:t>有本条所列二到三种情形的，处以三千元以上七千元以下的罚款。</w:t>
      </w:r>
      <w:r>
        <w:rPr>
          <w:color w:val="auto"/>
        </w:rPr>
        <w:t>3.【严重】</w:t>
      </w:r>
    </w:p>
    <w:p>
      <w:pPr>
        <w:pStyle w:val="4"/>
        <w:spacing w:before="2"/>
        <w:ind w:left="591"/>
        <w:rPr>
          <w:color w:val="auto"/>
        </w:rPr>
      </w:pPr>
      <w:r>
        <w:rPr>
          <w:color w:val="auto"/>
        </w:rPr>
        <w:t>有本条所列四种以上情形的，处以七千元以上一万元以下的罚款。</w:t>
      </w:r>
    </w:p>
    <w:p>
      <w:pPr>
        <w:pStyle w:val="4"/>
        <w:ind w:left="0"/>
        <w:rPr>
          <w:color w:val="auto"/>
        </w:rPr>
      </w:pPr>
    </w:p>
    <w:p>
      <w:pPr>
        <w:pStyle w:val="4"/>
        <w:spacing w:before="2"/>
        <w:ind w:left="0"/>
        <w:rPr>
          <w:color w:val="auto"/>
          <w:sz w:val="30"/>
        </w:rPr>
      </w:pPr>
    </w:p>
    <w:p>
      <w:pPr>
        <w:pStyle w:val="4"/>
        <w:tabs>
          <w:tab w:val="left" w:pos="959"/>
        </w:tabs>
        <w:ind w:left="0" w:right="161"/>
        <w:jc w:val="center"/>
        <w:rPr>
          <w:rFonts w:hint="eastAsia" w:ascii="黑体" w:eastAsia="黑体"/>
          <w:color w:val="auto"/>
        </w:rPr>
      </w:pPr>
      <w:bookmarkStart w:id="515" w:name="_bookmark257"/>
      <w:bookmarkEnd w:id="515"/>
      <w:bookmarkStart w:id="516" w:name="第八章  反不正当竞争执法"/>
      <w:bookmarkEnd w:id="516"/>
      <w:r>
        <w:rPr>
          <w:rFonts w:hint="eastAsia" w:ascii="黑体" w:eastAsia="黑体"/>
          <w:color w:val="auto"/>
        </w:rPr>
        <w:t>第八章</w:t>
      </w:r>
      <w:r>
        <w:rPr>
          <w:rFonts w:hint="eastAsia" w:ascii="黑体" w:eastAsia="黑体"/>
          <w:color w:val="auto"/>
        </w:rPr>
        <w:tab/>
      </w:r>
      <w:r>
        <w:rPr>
          <w:rFonts w:hint="eastAsia" w:ascii="黑体" w:eastAsia="黑体"/>
          <w:color w:val="auto"/>
        </w:rPr>
        <w:t>反不正当竞争执法</w:t>
      </w:r>
    </w:p>
    <w:p>
      <w:pPr>
        <w:pStyle w:val="4"/>
        <w:ind w:left="0"/>
        <w:rPr>
          <w:rFonts w:ascii="黑体"/>
          <w:color w:val="auto"/>
        </w:rPr>
      </w:pPr>
    </w:p>
    <w:p>
      <w:pPr>
        <w:pStyle w:val="4"/>
        <w:spacing w:before="1"/>
        <w:ind w:left="0"/>
        <w:rPr>
          <w:rFonts w:ascii="黑体"/>
          <w:color w:val="auto"/>
          <w:sz w:val="30"/>
        </w:rPr>
      </w:pPr>
    </w:p>
    <w:p>
      <w:pPr>
        <w:pStyle w:val="2"/>
        <w:spacing w:line="388" w:lineRule="auto"/>
        <w:ind w:left="111" w:right="237" w:firstLine="480"/>
        <w:rPr>
          <w:color w:val="auto"/>
        </w:rPr>
      </w:pPr>
      <w:bookmarkStart w:id="517" w:name="_bookmark258"/>
      <w:bookmarkEnd w:id="517"/>
      <w:bookmarkStart w:id="518" w:name="二百五十一、经营者实施混淆行为，引人误认为是他人商品或者与他人存在特定联系"/>
      <w:bookmarkEnd w:id="518"/>
      <w:r>
        <w:rPr>
          <w:color w:val="auto"/>
          <w:spacing w:val="-8"/>
        </w:rPr>
        <w:t>二百五十一、经营者实施混淆行为，引人误认为是他人商品或者与他人存在特定联系</w:t>
      </w:r>
    </w:p>
    <w:p>
      <w:pPr>
        <w:spacing w:before="2"/>
        <w:ind w:left="511" w:right="0" w:firstLine="0"/>
        <w:jc w:val="left"/>
        <w:rPr>
          <w:b/>
          <w:color w:val="auto"/>
          <w:sz w:val="24"/>
        </w:rPr>
      </w:pPr>
      <w:r>
        <w:rPr>
          <w:b/>
          <w:color w:val="auto"/>
          <w:sz w:val="24"/>
        </w:rPr>
        <w:t>（一）处罚依据</w:t>
      </w:r>
    </w:p>
    <w:p>
      <w:pPr>
        <w:pStyle w:val="13"/>
        <w:numPr>
          <w:ilvl w:val="2"/>
          <w:numId w:val="179"/>
        </w:numPr>
        <w:tabs>
          <w:tab w:val="left" w:pos="713"/>
        </w:tabs>
        <w:spacing w:before="194" w:after="0" w:line="391" w:lineRule="auto"/>
        <w:ind w:left="111" w:right="268" w:firstLine="360"/>
        <w:jc w:val="both"/>
        <w:rPr>
          <w:color w:val="auto"/>
          <w:sz w:val="24"/>
        </w:rPr>
      </w:pPr>
      <w:r>
        <w:rPr>
          <w:color w:val="auto"/>
          <w:spacing w:val="-3"/>
          <w:sz w:val="24"/>
        </w:rPr>
        <w:t>《中华人民共和国反不正当竞争法》第十八条 经营者违反本法第六条规定实施</w:t>
      </w:r>
      <w:r>
        <w:rPr>
          <w:color w:val="auto"/>
          <w:spacing w:val="-5"/>
          <w:sz w:val="24"/>
        </w:rPr>
        <w:t>混淆行为的，由监督检查部门责令停止违法行为，没收违法商品。违法经营额五万元</w:t>
      </w:r>
      <w:r>
        <w:rPr>
          <w:color w:val="auto"/>
          <w:sz w:val="24"/>
        </w:rPr>
        <w:t>以上的，可以并处违法经营额五倍以下的罚款;没有违法经营额或者违法经营额不足五万元的，可以并处二十五万元以下的罚款。情节严重的，吊销营业执照。</w:t>
      </w:r>
    </w:p>
    <w:p>
      <w:pPr>
        <w:pStyle w:val="4"/>
        <w:spacing w:line="388" w:lineRule="auto"/>
        <w:ind w:right="213" w:firstLine="360"/>
        <w:rPr>
          <w:color w:val="auto"/>
        </w:rPr>
      </w:pPr>
      <w:r>
        <w:rPr>
          <w:color w:val="auto"/>
        </w:rPr>
        <w:t>经营者登记的企业名称违反本法第六条规定的，应当及时办理名称变更登记;名称变更前，由原企业登记机关以统一社会信用代码代替其名称。</w:t>
      </w:r>
    </w:p>
    <w:p>
      <w:pPr>
        <w:pStyle w:val="13"/>
        <w:numPr>
          <w:ilvl w:val="2"/>
          <w:numId w:val="179"/>
        </w:numPr>
        <w:tabs>
          <w:tab w:val="left" w:pos="713"/>
        </w:tabs>
        <w:spacing w:before="39" w:after="0" w:line="391" w:lineRule="auto"/>
        <w:ind w:left="111" w:right="268" w:firstLine="360"/>
        <w:jc w:val="left"/>
        <w:rPr>
          <w:color w:val="auto"/>
          <w:sz w:val="24"/>
        </w:rPr>
      </w:pPr>
      <w:r>
        <w:rPr>
          <w:color w:val="auto"/>
          <w:spacing w:val="-3"/>
          <w:sz w:val="24"/>
        </w:rPr>
        <w:t>《中华人民共和国反不正当竞争法》第六条 经营者不得实施下列混淆行为，引</w:t>
      </w:r>
      <w:r>
        <w:rPr>
          <w:color w:val="auto"/>
          <w:sz w:val="24"/>
        </w:rPr>
        <w:t>人误认为是他人商品或者与他人存在特定联系：</w:t>
      </w:r>
    </w:p>
    <w:p>
      <w:pPr>
        <w:pStyle w:val="4"/>
        <w:spacing w:line="388" w:lineRule="auto"/>
        <w:ind w:left="471" w:right="115"/>
        <w:rPr>
          <w:color w:val="auto"/>
        </w:rPr>
      </w:pPr>
      <w:r>
        <w:rPr>
          <w:color w:val="auto"/>
        </w:rPr>
        <w:t>(一)擅自使用与他人有一定影响的商品名称、包装、装潢等相同或者近似的标识； (二)擅自使用他人有一定影响的企业名称(包括简称、字号等)、社会组织名称(包</w:t>
      </w:r>
    </w:p>
    <w:p>
      <w:pPr>
        <w:pStyle w:val="4"/>
        <w:spacing w:before="3"/>
        <w:rPr>
          <w:color w:val="auto"/>
        </w:rPr>
      </w:pPr>
      <w:r>
        <w:rPr>
          <w:color w:val="auto"/>
        </w:rPr>
        <w:t>括简称等)、姓名(包括笔名、艺名、译名等)；</w:t>
      </w:r>
    </w:p>
    <w:p>
      <w:pPr>
        <w:pStyle w:val="4"/>
        <w:spacing w:before="192"/>
        <w:ind w:left="471"/>
        <w:rPr>
          <w:color w:val="auto"/>
        </w:rPr>
      </w:pPr>
      <w:r>
        <w:rPr>
          <w:color w:val="auto"/>
        </w:rPr>
        <w:t>(三)擅自使用他人有一定影响的域名主体部分、网站名称、网页等；</w:t>
      </w:r>
    </w:p>
    <w:p>
      <w:pPr>
        <w:pStyle w:val="4"/>
        <w:spacing w:before="192"/>
        <w:ind w:left="471"/>
        <w:rPr>
          <w:color w:val="auto"/>
        </w:rPr>
      </w:pPr>
      <w:r>
        <w:rPr>
          <w:color w:val="auto"/>
        </w:rPr>
        <w:t>(四)其他足以引人误认为是他人商品或者与他人存在特定联系的混淆行为。</w:t>
      </w:r>
    </w:p>
    <w:p>
      <w:pPr>
        <w:spacing w:before="194" w:line="388" w:lineRule="auto"/>
        <w:ind w:left="591" w:right="7068" w:hanging="12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13" w:firstLine="480"/>
        <w:rPr>
          <w:color w:val="auto"/>
        </w:rPr>
      </w:pPr>
      <w:r>
        <w:rPr>
          <w:color w:val="auto"/>
        </w:rPr>
        <w:t>没有违法经营额或违法经营额五万元以下的，没收违法商品，可以并处二十五万元以下的罚款。</w:t>
      </w:r>
    </w:p>
    <w:p>
      <w:pPr>
        <w:pStyle w:val="4"/>
        <w:spacing w:before="2"/>
        <w:ind w:left="591"/>
        <w:rPr>
          <w:color w:val="auto"/>
        </w:rPr>
      </w:pPr>
      <w:r>
        <w:rPr>
          <w:color w:val="auto"/>
        </w:rPr>
        <w:t>【一般】</w:t>
      </w:r>
    </w:p>
    <w:p>
      <w:pPr>
        <w:pStyle w:val="4"/>
        <w:spacing w:before="194" w:line="388" w:lineRule="auto"/>
        <w:ind w:right="213" w:firstLine="480"/>
        <w:rPr>
          <w:color w:val="auto"/>
        </w:rPr>
      </w:pPr>
      <w:r>
        <w:rPr>
          <w:color w:val="auto"/>
        </w:rPr>
        <w:t>违法经营额五万元以上十万元以下的，没收违法商品，可以并处违法经营额二点五倍以下的罚款。</w:t>
      </w:r>
    </w:p>
    <w:p>
      <w:pPr>
        <w:pStyle w:val="4"/>
        <w:spacing w:before="2"/>
        <w:ind w:left="591"/>
        <w:rPr>
          <w:color w:val="auto"/>
        </w:rPr>
      </w:pPr>
      <w:r>
        <w:rPr>
          <w:color w:val="auto"/>
        </w:rPr>
        <w:t>【严重】</w:t>
      </w:r>
    </w:p>
    <w:p>
      <w:pPr>
        <w:pStyle w:val="4"/>
        <w:spacing w:before="194" w:line="388" w:lineRule="auto"/>
        <w:ind w:right="213" w:firstLine="480"/>
        <w:rPr>
          <w:color w:val="auto"/>
        </w:rPr>
      </w:pPr>
      <w:r>
        <w:rPr>
          <w:color w:val="auto"/>
        </w:rPr>
        <w:t>违法经营额十万元以上的，没收违法商品，可以并处违法经营额二点五倍以上五倍以下的罚款。</w:t>
      </w:r>
    </w:p>
    <w:p>
      <w:pPr>
        <w:pStyle w:val="4"/>
        <w:spacing w:before="3"/>
        <w:ind w:left="591"/>
        <w:rPr>
          <w:color w:val="auto"/>
        </w:rPr>
      </w:pPr>
      <w:r>
        <w:rPr>
          <w:color w:val="auto"/>
        </w:rPr>
        <w:t>2、吊销营业执照</w:t>
      </w:r>
    </w:p>
    <w:p>
      <w:pPr>
        <w:pStyle w:val="4"/>
        <w:spacing w:before="194"/>
        <w:ind w:left="591"/>
        <w:rPr>
          <w:color w:val="auto"/>
        </w:rPr>
      </w:pPr>
      <w:r>
        <w:rPr>
          <w:color w:val="auto"/>
        </w:rPr>
        <w:t>有下列情形之一，依法吊销营业执照：</w:t>
      </w:r>
    </w:p>
    <w:p>
      <w:pPr>
        <w:pStyle w:val="13"/>
        <w:numPr>
          <w:ilvl w:val="3"/>
          <w:numId w:val="179"/>
        </w:numPr>
        <w:tabs>
          <w:tab w:val="left" w:pos="1193"/>
        </w:tabs>
        <w:spacing w:before="191" w:after="0" w:line="240" w:lineRule="auto"/>
        <w:ind w:left="1192" w:right="0" w:hanging="602"/>
        <w:jc w:val="left"/>
        <w:rPr>
          <w:color w:val="auto"/>
          <w:sz w:val="24"/>
        </w:rPr>
      </w:pPr>
      <w:r>
        <w:rPr>
          <w:color w:val="auto"/>
          <w:sz w:val="24"/>
        </w:rPr>
        <w:t>实施两次以上同类违法行为且受到行政处罚的。</w:t>
      </w:r>
    </w:p>
    <w:p>
      <w:pPr>
        <w:pStyle w:val="13"/>
        <w:numPr>
          <w:ilvl w:val="3"/>
          <w:numId w:val="179"/>
        </w:numPr>
        <w:tabs>
          <w:tab w:val="left" w:pos="1193"/>
        </w:tabs>
        <w:spacing w:before="192" w:after="0" w:line="240" w:lineRule="auto"/>
        <w:ind w:left="1192" w:right="0" w:hanging="602"/>
        <w:jc w:val="left"/>
        <w:rPr>
          <w:color w:val="auto"/>
          <w:sz w:val="24"/>
        </w:rPr>
      </w:pPr>
      <w:r>
        <w:rPr>
          <w:color w:val="auto"/>
          <w:sz w:val="24"/>
        </w:rPr>
        <w:t>生产、销售违法商品，对人民身体健康和生命财产安全造成严重后果的。</w:t>
      </w:r>
    </w:p>
    <w:p>
      <w:pPr>
        <w:pStyle w:val="13"/>
        <w:numPr>
          <w:ilvl w:val="3"/>
          <w:numId w:val="179"/>
        </w:numPr>
        <w:tabs>
          <w:tab w:val="left" w:pos="1193"/>
        </w:tabs>
        <w:spacing w:before="194" w:after="0" w:line="240" w:lineRule="auto"/>
        <w:ind w:left="1192" w:right="0" w:hanging="602"/>
        <w:jc w:val="left"/>
        <w:rPr>
          <w:color w:val="auto"/>
          <w:sz w:val="24"/>
        </w:rPr>
      </w:pPr>
      <w:r>
        <w:rPr>
          <w:color w:val="auto"/>
          <w:sz w:val="24"/>
        </w:rPr>
        <w:t>有重大社会影响的。</w:t>
      </w:r>
    </w:p>
    <w:p>
      <w:pPr>
        <w:pStyle w:val="13"/>
        <w:numPr>
          <w:ilvl w:val="3"/>
          <w:numId w:val="179"/>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2" w:line="391" w:lineRule="auto"/>
        <w:ind w:left="111" w:right="237" w:firstLine="480"/>
        <w:rPr>
          <w:color w:val="auto"/>
        </w:rPr>
      </w:pPr>
      <w:bookmarkStart w:id="519" w:name="_bookmark259"/>
      <w:bookmarkEnd w:id="519"/>
      <w:bookmarkStart w:id="520" w:name="二百五十二、经营者采用财物或者其他手段进行贿赂，以谋取交易机会或者竞争优势"/>
      <w:bookmarkEnd w:id="520"/>
      <w:r>
        <w:rPr>
          <w:color w:val="auto"/>
          <w:spacing w:val="-8"/>
        </w:rPr>
        <w:t>二百五十二、经营者采用财物或者其他手段进行贿赂，以谋取交易机会或者竞争优势</w:t>
      </w:r>
    </w:p>
    <w:p>
      <w:pPr>
        <w:spacing w:before="0" w:line="306" w:lineRule="exact"/>
        <w:ind w:left="471" w:right="0" w:firstLine="0"/>
        <w:jc w:val="left"/>
        <w:rPr>
          <w:b/>
          <w:color w:val="auto"/>
          <w:sz w:val="24"/>
        </w:rPr>
      </w:pPr>
      <w:r>
        <w:rPr>
          <w:b/>
          <w:color w:val="auto"/>
          <w:sz w:val="24"/>
        </w:rPr>
        <w:t>（一）处罚依据</w:t>
      </w:r>
    </w:p>
    <w:p>
      <w:pPr>
        <w:pStyle w:val="13"/>
        <w:numPr>
          <w:ilvl w:val="0"/>
          <w:numId w:val="181"/>
        </w:numPr>
        <w:tabs>
          <w:tab w:val="left" w:pos="834"/>
        </w:tabs>
        <w:spacing w:before="191" w:after="0" w:line="240" w:lineRule="auto"/>
        <w:ind w:left="833" w:right="0" w:hanging="243"/>
        <w:jc w:val="left"/>
        <w:rPr>
          <w:color w:val="auto"/>
          <w:sz w:val="24"/>
        </w:rPr>
      </w:pPr>
      <w:r>
        <w:rPr>
          <w:color w:val="auto"/>
          <w:sz w:val="24"/>
        </w:rPr>
        <w:t>《中华人民共和国反不正当竞争法》第十九条 经营者违反本法第七条规定贿</w:t>
      </w:r>
    </w:p>
    <w:p>
      <w:pPr>
        <w:pStyle w:val="4"/>
        <w:spacing w:before="39" w:line="391" w:lineRule="auto"/>
        <w:ind w:right="230"/>
        <w:rPr>
          <w:color w:val="auto"/>
        </w:rPr>
      </w:pPr>
      <w:r>
        <w:rPr>
          <w:color w:val="auto"/>
        </w:rPr>
        <w:t>赂他人的，由监督检查部门没收违法所得，处十万元以上三百万元以下的罚款。情节严重的，吊销营业执照。</w:t>
      </w:r>
    </w:p>
    <w:p>
      <w:pPr>
        <w:pStyle w:val="13"/>
        <w:numPr>
          <w:ilvl w:val="0"/>
          <w:numId w:val="181"/>
        </w:numPr>
        <w:tabs>
          <w:tab w:val="left" w:pos="834"/>
        </w:tabs>
        <w:spacing w:before="0" w:after="0" w:line="388" w:lineRule="auto"/>
        <w:ind w:left="111" w:right="271" w:firstLine="480"/>
        <w:jc w:val="left"/>
        <w:rPr>
          <w:color w:val="auto"/>
          <w:sz w:val="24"/>
        </w:rPr>
      </w:pPr>
      <w:r>
        <w:rPr>
          <w:color w:val="auto"/>
          <w:sz w:val="24"/>
        </w:rPr>
        <w:t>《中华人民共和国反不正当竞争法》第七条 经营者不得采用财物或者其他手段贿赂下列单位或者个人，以谋取交易机会或者竞争优势：</w:t>
      </w:r>
    </w:p>
    <w:p>
      <w:pPr>
        <w:pStyle w:val="4"/>
        <w:spacing w:before="3"/>
        <w:ind w:left="591"/>
        <w:rPr>
          <w:color w:val="auto"/>
        </w:rPr>
      </w:pPr>
      <w:r>
        <w:rPr>
          <w:color w:val="auto"/>
        </w:rPr>
        <w:t>(一)交易相对方的工作人员；</w:t>
      </w:r>
    </w:p>
    <w:p>
      <w:pPr>
        <w:pStyle w:val="4"/>
        <w:spacing w:before="192" w:line="388" w:lineRule="auto"/>
        <w:ind w:left="591" w:right="2872"/>
        <w:rPr>
          <w:color w:val="auto"/>
        </w:rPr>
      </w:pPr>
      <w:r>
        <w:rPr>
          <w:color w:val="auto"/>
        </w:rPr>
        <w:t>(二)受交易相对方委托办理相关事务的单位或者个人； (三)利用职权或者影响力影响交易的单位或者个人。</w:t>
      </w:r>
    </w:p>
    <w:p>
      <w:pPr>
        <w:pStyle w:val="4"/>
        <w:spacing w:before="5" w:line="388" w:lineRule="auto"/>
        <w:ind w:right="268" w:firstLine="480"/>
        <w:jc w:val="both"/>
        <w:rPr>
          <w:color w:val="auto"/>
        </w:rPr>
      </w:pPr>
      <w:r>
        <w:rPr>
          <w:color w:val="auto"/>
          <w:spacing w:val="-4"/>
        </w:rPr>
        <w:t>经营者在交易活动中，可以以明示方式向交易相对方支付折扣，或者向中间人支</w:t>
      </w:r>
      <w:r>
        <w:rPr>
          <w:color w:val="auto"/>
          <w:spacing w:val="-7"/>
        </w:rPr>
        <w:t>付佣金。经营者向交易相对方支付折扣、向中间人支付佣金的，应当如实入账。接受</w:t>
      </w:r>
      <w:r>
        <w:rPr>
          <w:color w:val="auto"/>
        </w:rPr>
        <w:t>折扣、佣金的经营者也应当如实入账。</w:t>
      </w:r>
    </w:p>
    <w:p>
      <w:pPr>
        <w:pStyle w:val="4"/>
        <w:spacing w:before="5" w:line="388" w:lineRule="auto"/>
        <w:ind w:right="213" w:firstLine="480"/>
        <w:rPr>
          <w:color w:val="auto"/>
        </w:rPr>
      </w:pPr>
      <w:r>
        <w:rPr>
          <w:color w:val="auto"/>
        </w:rPr>
        <w:t>经营者的工作人员进行贿赂的，应当认定为经营者的行为；但是，经营者有证据证明该工作人员的行为与为经营者谋取交易机会或者竞争优势无关的除外。</w:t>
      </w:r>
    </w:p>
    <w:p>
      <w:pPr>
        <w:spacing w:before="2" w:line="391" w:lineRule="auto"/>
        <w:ind w:left="591" w:right="7068" w:hanging="120"/>
        <w:jc w:val="left"/>
        <w:rPr>
          <w:color w:val="auto"/>
          <w:sz w:val="24"/>
        </w:rPr>
      </w:pPr>
      <w:r>
        <w:rPr>
          <w:b/>
          <w:color w:val="auto"/>
          <w:sz w:val="24"/>
        </w:rPr>
        <w:t>（二）裁量标准</w:t>
      </w:r>
      <w:r>
        <w:rPr>
          <w:color w:val="auto"/>
          <w:sz w:val="24"/>
        </w:rPr>
        <w:t>1、罚款</w:t>
      </w:r>
    </w:p>
    <w:p>
      <w:pPr>
        <w:pStyle w:val="4"/>
        <w:spacing w:line="306" w:lineRule="exact"/>
        <w:ind w:left="591"/>
        <w:rPr>
          <w:color w:val="auto"/>
        </w:rPr>
      </w:pPr>
      <w:r>
        <w:rPr>
          <w:color w:val="auto"/>
        </w:rPr>
        <w:t>【较轻】</w:t>
      </w:r>
    </w:p>
    <w:p>
      <w:pPr>
        <w:pStyle w:val="4"/>
        <w:spacing w:before="192"/>
        <w:ind w:left="591"/>
        <w:rPr>
          <w:color w:val="auto"/>
        </w:rPr>
      </w:pPr>
      <w:r>
        <w:rPr>
          <w:color w:val="auto"/>
        </w:rPr>
        <w:t>违法所得五万元以下的，没收违法所得，并处十万元以上一百万元以下的罚款。</w:t>
      </w:r>
    </w:p>
    <w:p>
      <w:pPr>
        <w:pStyle w:val="4"/>
        <w:spacing w:before="194"/>
        <w:ind w:left="591"/>
        <w:rPr>
          <w:color w:val="auto"/>
        </w:rPr>
      </w:pPr>
      <w:r>
        <w:rPr>
          <w:color w:val="auto"/>
        </w:rPr>
        <w:t>【一般】</w:t>
      </w:r>
    </w:p>
    <w:p>
      <w:pPr>
        <w:pStyle w:val="4"/>
        <w:spacing w:before="192" w:line="388" w:lineRule="auto"/>
        <w:ind w:right="268" w:firstLine="480"/>
        <w:rPr>
          <w:color w:val="auto"/>
        </w:rPr>
      </w:pPr>
      <w:r>
        <w:rPr>
          <w:color w:val="auto"/>
          <w:spacing w:val="-4"/>
        </w:rPr>
        <w:t>违法所得五万元以上十万元以下的，没收违法所得，并处一百万元以上二百万元</w:t>
      </w:r>
      <w:r>
        <w:rPr>
          <w:color w:val="auto"/>
        </w:rPr>
        <w:t>以下的罚款。</w:t>
      </w:r>
    </w:p>
    <w:p>
      <w:pPr>
        <w:pStyle w:val="4"/>
        <w:spacing w:before="4"/>
        <w:ind w:left="591"/>
        <w:rPr>
          <w:color w:val="auto"/>
        </w:rPr>
      </w:pPr>
      <w:r>
        <w:rPr>
          <w:color w:val="auto"/>
        </w:rPr>
        <w:t>【严重】</w:t>
      </w:r>
    </w:p>
    <w:p>
      <w:pPr>
        <w:pStyle w:val="4"/>
        <w:spacing w:before="192" w:line="388" w:lineRule="auto"/>
        <w:ind w:left="591" w:right="148"/>
        <w:rPr>
          <w:color w:val="auto"/>
        </w:rPr>
      </w:pPr>
      <w:r>
        <w:rPr>
          <w:color w:val="auto"/>
          <w:spacing w:val="-13"/>
        </w:rPr>
        <w:t>违法所得十万元以上的，没收违法所得，并处二百万元以上三百万元以下的罚款。</w:t>
      </w:r>
      <w:r>
        <w:rPr>
          <w:color w:val="auto"/>
        </w:rPr>
        <w:t>2、吊销营业执照</w:t>
      </w:r>
    </w:p>
    <w:p>
      <w:pPr>
        <w:pStyle w:val="13"/>
        <w:numPr>
          <w:ilvl w:val="0"/>
          <w:numId w:val="182"/>
        </w:numPr>
        <w:tabs>
          <w:tab w:val="left" w:pos="1193"/>
        </w:tabs>
        <w:spacing w:before="4" w:after="0" w:line="240" w:lineRule="auto"/>
        <w:ind w:left="1192" w:right="0" w:hanging="602"/>
        <w:jc w:val="left"/>
        <w:rPr>
          <w:color w:val="auto"/>
          <w:sz w:val="24"/>
        </w:rPr>
      </w:pPr>
      <w:r>
        <w:rPr>
          <w:color w:val="auto"/>
          <w:sz w:val="24"/>
        </w:rPr>
        <w:t>实施两次以上同类违法行为且受到行政处罚的；</w:t>
      </w:r>
    </w:p>
    <w:p>
      <w:pPr>
        <w:pStyle w:val="13"/>
        <w:numPr>
          <w:ilvl w:val="0"/>
          <w:numId w:val="182"/>
        </w:numPr>
        <w:tabs>
          <w:tab w:val="left" w:pos="1193"/>
        </w:tabs>
        <w:spacing w:before="192" w:after="0" w:line="240" w:lineRule="auto"/>
        <w:ind w:left="1192" w:right="0" w:hanging="602"/>
        <w:jc w:val="left"/>
        <w:rPr>
          <w:color w:val="auto"/>
          <w:sz w:val="24"/>
        </w:rPr>
      </w:pPr>
      <w:r>
        <w:rPr>
          <w:color w:val="auto"/>
          <w:sz w:val="24"/>
        </w:rPr>
        <w:t>有重大社会影响的。</w:t>
      </w:r>
    </w:p>
    <w:p>
      <w:pPr>
        <w:pStyle w:val="13"/>
        <w:numPr>
          <w:ilvl w:val="0"/>
          <w:numId w:val="182"/>
        </w:numPr>
        <w:tabs>
          <w:tab w:val="left" w:pos="1193"/>
        </w:tabs>
        <w:spacing w:before="192" w:after="0" w:line="240" w:lineRule="auto"/>
        <w:ind w:left="1192" w:right="0" w:hanging="602"/>
        <w:jc w:val="left"/>
        <w:rPr>
          <w:color w:val="auto"/>
          <w:sz w:val="24"/>
        </w:rPr>
      </w:pPr>
      <w:r>
        <w:rPr>
          <w:color w:val="auto"/>
          <w:sz w:val="24"/>
        </w:rPr>
        <w:t>其他严重违法情形。</w:t>
      </w:r>
    </w:p>
    <w:p>
      <w:pPr>
        <w:pStyle w:val="2"/>
        <w:spacing w:before="194"/>
        <w:rPr>
          <w:color w:val="auto"/>
        </w:rPr>
      </w:pPr>
      <w:bookmarkStart w:id="521" w:name="_bookmark260"/>
      <w:bookmarkEnd w:id="521"/>
      <w:bookmarkStart w:id="522" w:name="二百五十三、经营者实施虚假或引人误解的商业宣传"/>
      <w:bookmarkEnd w:id="522"/>
      <w:r>
        <w:rPr>
          <w:color w:val="auto"/>
        </w:rPr>
        <w:t>二百五十三、经营者实施虚假或引人误解的商业宣传</w:t>
      </w:r>
    </w:p>
    <w:p>
      <w:pPr>
        <w:spacing w:before="192"/>
        <w:ind w:left="471" w:right="0" w:firstLine="0"/>
        <w:jc w:val="left"/>
        <w:rPr>
          <w:b/>
          <w:color w:val="auto"/>
          <w:sz w:val="24"/>
        </w:rPr>
      </w:pPr>
      <w:r>
        <w:rPr>
          <w:b/>
          <w:color w:val="auto"/>
          <w:sz w:val="24"/>
        </w:rPr>
        <w:t>（一）处罚依据</w:t>
      </w:r>
    </w:p>
    <w:p>
      <w:pPr>
        <w:pStyle w:val="13"/>
        <w:numPr>
          <w:ilvl w:val="0"/>
          <w:numId w:val="183"/>
        </w:numPr>
        <w:tabs>
          <w:tab w:val="left" w:pos="834"/>
        </w:tabs>
        <w:spacing w:before="191" w:after="0" w:line="240" w:lineRule="auto"/>
        <w:ind w:left="833" w:right="0" w:hanging="243"/>
        <w:jc w:val="left"/>
        <w:rPr>
          <w:color w:val="auto"/>
          <w:sz w:val="24"/>
        </w:rPr>
      </w:pPr>
      <w:r>
        <w:rPr>
          <w:color w:val="auto"/>
          <w:sz w:val="24"/>
        </w:rPr>
        <w:t>《中华人民共和国反不正当竞争法》第二十条 经营者违反本法第八条规定对</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3"/>
        </w:rPr>
        <w:t>其商品作虚假或者引人误解的商业宣传，或者通过组织虚假交易等方式帮助其他经营</w:t>
      </w:r>
      <w:r>
        <w:rPr>
          <w:color w:val="auto"/>
          <w:spacing w:val="-4"/>
        </w:rPr>
        <w:t>者进行虚假或者引人误解的商业宣传的，由监督检查部门责令停止违法行为，处二十</w:t>
      </w:r>
      <w:r>
        <w:rPr>
          <w:color w:val="auto"/>
        </w:rPr>
        <w:t>万元以上一百万元以下的罚款;情节严重的，处一百万元以上二百万元以下的罚款， 可以吊销营业执照。</w:t>
      </w:r>
    </w:p>
    <w:p>
      <w:pPr>
        <w:pStyle w:val="4"/>
        <w:spacing w:line="388" w:lineRule="auto"/>
        <w:ind w:right="213" w:firstLine="480"/>
        <w:rPr>
          <w:color w:val="auto"/>
        </w:rPr>
      </w:pPr>
      <w:r>
        <w:rPr>
          <w:color w:val="auto"/>
        </w:rPr>
        <w:t>经营者违反本法第八条规定，属于发布虚假广告的，依照《中华人民共和国广告法》的规定处罚。</w:t>
      </w:r>
    </w:p>
    <w:p>
      <w:pPr>
        <w:pStyle w:val="13"/>
        <w:numPr>
          <w:ilvl w:val="0"/>
          <w:numId w:val="183"/>
        </w:numPr>
        <w:tabs>
          <w:tab w:val="left" w:pos="834"/>
        </w:tabs>
        <w:spacing w:before="0" w:after="0" w:line="391" w:lineRule="auto"/>
        <w:ind w:left="111" w:right="145" w:firstLine="480"/>
        <w:jc w:val="left"/>
        <w:rPr>
          <w:color w:val="auto"/>
          <w:sz w:val="24"/>
        </w:rPr>
      </w:pPr>
      <w:r>
        <w:rPr>
          <w:color w:val="auto"/>
          <w:sz w:val="24"/>
        </w:rPr>
        <w:t>《中华人民共和国反不正当竞争法》第八条 经营者不得对其商品的性能、功</w:t>
      </w:r>
      <w:r>
        <w:rPr>
          <w:color w:val="auto"/>
          <w:spacing w:val="-14"/>
          <w:sz w:val="24"/>
        </w:rPr>
        <w:t>能、质量、销售状况、用户评价、曾获荣誉等作虚假或者引人误解的商业宣传，欺骗、</w:t>
      </w:r>
      <w:r>
        <w:rPr>
          <w:color w:val="auto"/>
          <w:sz w:val="24"/>
        </w:rPr>
        <w:t>误导消费者。</w:t>
      </w:r>
    </w:p>
    <w:p>
      <w:pPr>
        <w:pStyle w:val="4"/>
        <w:spacing w:line="391" w:lineRule="auto"/>
        <w:ind w:right="268" w:firstLine="480"/>
        <w:rPr>
          <w:color w:val="auto"/>
        </w:rPr>
      </w:pPr>
      <w:r>
        <w:rPr>
          <w:color w:val="auto"/>
          <w:spacing w:val="-4"/>
        </w:rPr>
        <w:t>经营者不得通过组织虚假交易等方式，帮助其他经营者进行虚假或者引人误解的</w:t>
      </w:r>
      <w:r>
        <w:rPr>
          <w:color w:val="auto"/>
        </w:rPr>
        <w:t>商业宣传。</w:t>
      </w:r>
    </w:p>
    <w:p>
      <w:pPr>
        <w:spacing w:before="0" w:line="388" w:lineRule="auto"/>
        <w:ind w:left="591" w:right="7068" w:hanging="120"/>
        <w:jc w:val="left"/>
        <w:rPr>
          <w:color w:val="auto"/>
          <w:sz w:val="24"/>
        </w:rPr>
      </w:pPr>
      <w:r>
        <w:rPr>
          <w:b/>
          <w:color w:val="auto"/>
          <w:sz w:val="24"/>
        </w:rPr>
        <w:t>（二）</w:t>
      </w:r>
      <w:r>
        <w:rPr>
          <w:b/>
          <w:color w:val="auto"/>
          <w:spacing w:val="-5"/>
          <w:sz w:val="24"/>
        </w:rPr>
        <w:t>裁量标准</w:t>
      </w:r>
      <w:r>
        <w:rPr>
          <w:color w:val="auto"/>
          <w:sz w:val="24"/>
        </w:rPr>
        <w:t>1、罚款</w:t>
      </w:r>
    </w:p>
    <w:p>
      <w:pPr>
        <w:pStyle w:val="4"/>
        <w:ind w:left="591"/>
        <w:rPr>
          <w:color w:val="auto"/>
        </w:rPr>
      </w:pPr>
      <w:r>
        <w:rPr>
          <w:color w:val="auto"/>
        </w:rPr>
        <w:t>【较轻】</w:t>
      </w:r>
    </w:p>
    <w:p>
      <w:pPr>
        <w:pStyle w:val="4"/>
        <w:spacing w:before="190" w:line="388" w:lineRule="auto"/>
        <w:ind w:right="213" w:firstLine="480"/>
        <w:rPr>
          <w:color w:val="auto"/>
        </w:rPr>
      </w:pPr>
      <w:r>
        <w:rPr>
          <w:color w:val="auto"/>
        </w:rPr>
        <w:t>违法经营额二十万元以下的，责令停止违法行为，处以二十万元以上五十万元以下的罚款。</w:t>
      </w:r>
    </w:p>
    <w:p>
      <w:pPr>
        <w:pStyle w:val="4"/>
        <w:spacing w:before="5"/>
        <w:ind w:left="591"/>
        <w:rPr>
          <w:color w:val="auto"/>
        </w:rPr>
      </w:pPr>
      <w:r>
        <w:rPr>
          <w:color w:val="auto"/>
        </w:rPr>
        <w:t>【一般】</w:t>
      </w:r>
    </w:p>
    <w:p>
      <w:pPr>
        <w:pStyle w:val="4"/>
        <w:spacing w:before="191" w:line="388" w:lineRule="auto"/>
        <w:ind w:right="213" w:firstLine="480"/>
        <w:rPr>
          <w:color w:val="auto"/>
        </w:rPr>
      </w:pPr>
      <w:r>
        <w:rPr>
          <w:color w:val="auto"/>
        </w:rPr>
        <w:t>违法经营额二十万元以上五十万元以下的，责令停止违法行为，处以五十万元以上一百万元以下的罚款。</w:t>
      </w:r>
    </w:p>
    <w:p>
      <w:pPr>
        <w:pStyle w:val="4"/>
        <w:spacing w:before="5"/>
        <w:ind w:left="591"/>
        <w:rPr>
          <w:color w:val="auto"/>
        </w:rPr>
      </w:pPr>
      <w:r>
        <w:rPr>
          <w:color w:val="auto"/>
        </w:rPr>
        <w:t>【严重】</w:t>
      </w:r>
    </w:p>
    <w:p>
      <w:pPr>
        <w:pStyle w:val="4"/>
        <w:spacing w:before="192" w:line="388" w:lineRule="auto"/>
        <w:ind w:right="213" w:firstLine="480"/>
        <w:rPr>
          <w:color w:val="auto"/>
        </w:rPr>
      </w:pPr>
      <w:r>
        <w:rPr>
          <w:color w:val="auto"/>
        </w:rPr>
        <w:t>违法经营额五十万元以上的，责令停止违法行为，处以一百万元以上二百万元以下的罚款。</w:t>
      </w:r>
    </w:p>
    <w:p>
      <w:pPr>
        <w:pStyle w:val="4"/>
        <w:spacing w:before="4"/>
        <w:ind w:left="591"/>
        <w:rPr>
          <w:color w:val="auto"/>
        </w:rPr>
      </w:pPr>
      <w:r>
        <w:rPr>
          <w:color w:val="auto"/>
        </w:rPr>
        <w:t>2、吊销营业执照</w:t>
      </w:r>
    </w:p>
    <w:p>
      <w:pPr>
        <w:pStyle w:val="13"/>
        <w:numPr>
          <w:ilvl w:val="0"/>
          <w:numId w:val="184"/>
        </w:numPr>
        <w:tabs>
          <w:tab w:val="left" w:pos="1193"/>
        </w:tabs>
        <w:spacing w:before="192" w:after="0" w:line="240" w:lineRule="auto"/>
        <w:ind w:left="1192" w:right="0" w:hanging="602"/>
        <w:jc w:val="left"/>
        <w:rPr>
          <w:color w:val="auto"/>
          <w:sz w:val="24"/>
        </w:rPr>
      </w:pPr>
      <w:r>
        <w:rPr>
          <w:color w:val="auto"/>
          <w:sz w:val="24"/>
        </w:rPr>
        <w:t>实施两次以上同类违法行为且受到行政处罚的.</w:t>
      </w:r>
    </w:p>
    <w:p>
      <w:pPr>
        <w:pStyle w:val="13"/>
        <w:numPr>
          <w:ilvl w:val="0"/>
          <w:numId w:val="184"/>
        </w:numPr>
        <w:tabs>
          <w:tab w:val="left" w:pos="1193"/>
        </w:tabs>
        <w:spacing w:before="191" w:after="0" w:line="240" w:lineRule="auto"/>
        <w:ind w:left="1192" w:right="0" w:hanging="602"/>
        <w:jc w:val="left"/>
        <w:rPr>
          <w:color w:val="auto"/>
          <w:sz w:val="24"/>
        </w:rPr>
      </w:pPr>
      <w:r>
        <w:rPr>
          <w:color w:val="auto"/>
          <w:sz w:val="24"/>
        </w:rPr>
        <w:t>有重大社会影响的。</w:t>
      </w:r>
    </w:p>
    <w:p>
      <w:pPr>
        <w:pStyle w:val="13"/>
        <w:numPr>
          <w:ilvl w:val="0"/>
          <w:numId w:val="184"/>
        </w:numPr>
        <w:tabs>
          <w:tab w:val="left" w:pos="1193"/>
        </w:tabs>
        <w:spacing w:before="195" w:after="0" w:line="388" w:lineRule="auto"/>
        <w:ind w:left="591" w:right="5743" w:firstLine="0"/>
        <w:jc w:val="left"/>
        <w:rPr>
          <w:b/>
          <w:color w:val="auto"/>
          <w:sz w:val="24"/>
        </w:rPr>
      </w:pPr>
      <w:r>
        <w:rPr>
          <w:color w:val="auto"/>
          <w:sz w:val="24"/>
        </w:rPr>
        <w:t>其他严重违法情形。</w:t>
      </w:r>
      <w:bookmarkStart w:id="523" w:name="_bookmark261"/>
      <w:bookmarkEnd w:id="523"/>
      <w:bookmarkStart w:id="524" w:name="二百五十四、侵犯商业秘密"/>
      <w:bookmarkEnd w:id="524"/>
      <w:r>
        <w:rPr>
          <w:b/>
          <w:color w:val="auto"/>
          <w:spacing w:val="-2"/>
          <w:sz w:val="24"/>
        </w:rPr>
        <w:t>二百五十四、侵犯商业秘密</w:t>
      </w:r>
    </w:p>
    <w:p>
      <w:pPr>
        <w:pStyle w:val="2"/>
        <w:spacing w:before="2"/>
        <w:ind w:left="471"/>
        <w:rPr>
          <w:color w:val="auto"/>
        </w:rPr>
      </w:pPr>
      <w:r>
        <w:rPr>
          <w:color w:val="auto"/>
        </w:rPr>
        <w:t>（一）处罚依据</w:t>
      </w:r>
    </w:p>
    <w:p>
      <w:pPr>
        <w:spacing w:after="0"/>
        <w:rPr>
          <w:color w:val="auto"/>
        </w:rPr>
        <w:sectPr>
          <w:pgSz w:w="11910" w:h="16840"/>
          <w:pgMar w:top="1520" w:right="1260" w:bottom="1220" w:left="1420" w:header="0" w:footer="1034" w:gutter="0"/>
        </w:sectPr>
      </w:pPr>
    </w:p>
    <w:p>
      <w:pPr>
        <w:pStyle w:val="13"/>
        <w:numPr>
          <w:ilvl w:val="0"/>
          <w:numId w:val="185"/>
        </w:numPr>
        <w:tabs>
          <w:tab w:val="left" w:pos="834"/>
        </w:tabs>
        <w:spacing w:before="39" w:after="0" w:line="391" w:lineRule="auto"/>
        <w:ind w:left="111" w:right="268" w:firstLine="480"/>
        <w:jc w:val="both"/>
        <w:rPr>
          <w:color w:val="auto"/>
          <w:sz w:val="24"/>
        </w:rPr>
      </w:pPr>
      <w:r>
        <w:rPr>
          <w:color w:val="auto"/>
          <w:sz w:val="24"/>
        </w:rPr>
        <w:t>《中华人民共和国反不正当竞争法》第二十一条 经营者以及其他自然人、法</w:t>
      </w:r>
      <w:r>
        <w:rPr>
          <w:color w:val="auto"/>
          <w:spacing w:val="-3"/>
          <w:sz w:val="24"/>
        </w:rPr>
        <w:t>人和非法人组织违反本法第九条规定侵犯商业秘密的，由监督检查部门责令停止违法</w:t>
      </w:r>
      <w:r>
        <w:rPr>
          <w:color w:val="auto"/>
          <w:spacing w:val="-7"/>
          <w:sz w:val="24"/>
        </w:rPr>
        <w:t>行为，没收违法所得，处十万元以上一百万元以下的罚款；情节严重的，处五十万元</w:t>
      </w:r>
      <w:r>
        <w:rPr>
          <w:color w:val="auto"/>
          <w:sz w:val="24"/>
        </w:rPr>
        <w:t>以上五百万元以下的罚款。</w:t>
      </w:r>
    </w:p>
    <w:p>
      <w:pPr>
        <w:pStyle w:val="13"/>
        <w:numPr>
          <w:ilvl w:val="0"/>
          <w:numId w:val="185"/>
        </w:numPr>
        <w:tabs>
          <w:tab w:val="left" w:pos="834"/>
        </w:tabs>
        <w:spacing w:before="0" w:after="0" w:line="388" w:lineRule="auto"/>
        <w:ind w:left="111" w:right="271" w:firstLine="480"/>
        <w:jc w:val="both"/>
        <w:rPr>
          <w:color w:val="auto"/>
          <w:sz w:val="24"/>
        </w:rPr>
      </w:pPr>
      <w:r>
        <w:rPr>
          <w:color w:val="auto"/>
          <w:sz w:val="24"/>
        </w:rPr>
        <w:t>《中华人民共和国反不正当竞争法》第九条 经营者不得实施下列侵犯商业秘密的行为：</w:t>
      </w:r>
    </w:p>
    <w:p>
      <w:pPr>
        <w:pStyle w:val="4"/>
        <w:spacing w:line="391" w:lineRule="auto"/>
        <w:ind w:right="227" w:firstLine="480"/>
        <w:rPr>
          <w:color w:val="auto"/>
        </w:rPr>
      </w:pPr>
      <w:r>
        <w:rPr>
          <w:color w:val="auto"/>
        </w:rPr>
        <w:t>(一)以盗窃、贿赂、欺诈、胁迫、电子侵入或者其他不正当手段获取权利人的商业秘密；</w:t>
      </w:r>
    </w:p>
    <w:p>
      <w:pPr>
        <w:pStyle w:val="4"/>
        <w:spacing w:line="306" w:lineRule="exact"/>
        <w:ind w:left="591"/>
        <w:rPr>
          <w:color w:val="auto"/>
        </w:rPr>
      </w:pPr>
      <w:r>
        <w:rPr>
          <w:color w:val="auto"/>
        </w:rPr>
        <w:t>(二)披露、使用或者允许他人使用以前项手段获取的权利人的商业秘密；</w:t>
      </w:r>
    </w:p>
    <w:p>
      <w:pPr>
        <w:pStyle w:val="4"/>
        <w:spacing w:before="191" w:line="391" w:lineRule="auto"/>
        <w:ind w:right="213" w:firstLine="480"/>
        <w:rPr>
          <w:color w:val="auto"/>
        </w:rPr>
      </w:pPr>
      <w:r>
        <w:rPr>
          <w:color w:val="auto"/>
        </w:rPr>
        <w:t>(三)违反保密义务或者违反权利人有关保守商业秘密的要求，披露、使用或者允许他人使用其所掌握的商业秘密；</w:t>
      </w:r>
    </w:p>
    <w:p>
      <w:pPr>
        <w:pStyle w:val="4"/>
        <w:spacing w:line="388" w:lineRule="auto"/>
        <w:ind w:right="268" w:firstLine="480"/>
        <w:rPr>
          <w:color w:val="auto"/>
        </w:rPr>
      </w:pPr>
      <w:r>
        <w:rPr>
          <w:color w:val="auto"/>
          <w:spacing w:val="-7"/>
        </w:rPr>
        <w:t>(四)教唆、引诱、帮助他人违反保密义务或者违反权利人有关保守商业秘密的要</w:t>
      </w:r>
      <w:r>
        <w:rPr>
          <w:color w:val="auto"/>
        </w:rPr>
        <w:t>求，获取、披露、使用或者允许他人使用权利人的商业秘密。</w:t>
      </w:r>
    </w:p>
    <w:p>
      <w:pPr>
        <w:pStyle w:val="4"/>
        <w:spacing w:before="3" w:line="388" w:lineRule="auto"/>
        <w:ind w:right="213" w:firstLine="480"/>
        <w:rPr>
          <w:color w:val="auto"/>
        </w:rPr>
      </w:pPr>
      <w:r>
        <w:rPr>
          <w:color w:val="auto"/>
        </w:rPr>
        <w:t>经营者以外的其他自然人、法人和非法人组织实施前款所列违法行为的，视为侵犯商业秘密。</w:t>
      </w:r>
    </w:p>
    <w:p>
      <w:pPr>
        <w:pStyle w:val="4"/>
        <w:spacing w:before="2" w:line="391" w:lineRule="auto"/>
        <w:ind w:right="268" w:firstLine="480"/>
        <w:jc w:val="both"/>
        <w:rPr>
          <w:color w:val="auto"/>
        </w:rPr>
      </w:pPr>
      <w:r>
        <w:rPr>
          <w:color w:val="auto"/>
          <w:spacing w:val="-3"/>
        </w:rPr>
        <w:t>第三人明知或者应知商业秘密权利人的员工、前员工或者其他单位、个人实施本</w:t>
      </w:r>
      <w:r>
        <w:rPr>
          <w:color w:val="auto"/>
          <w:spacing w:val="-5"/>
        </w:rPr>
        <w:t>条第一款所列违法行为，仍获取、披露、使用或者允许他人使用该商业秘密的，视为</w:t>
      </w:r>
      <w:r>
        <w:rPr>
          <w:color w:val="auto"/>
        </w:rPr>
        <w:t>侵犯商业秘密。</w:t>
      </w:r>
    </w:p>
    <w:p>
      <w:pPr>
        <w:pStyle w:val="4"/>
        <w:spacing w:line="391" w:lineRule="auto"/>
        <w:ind w:right="213" w:firstLine="480"/>
        <w:rPr>
          <w:color w:val="auto"/>
        </w:rPr>
      </w:pPr>
      <w:r>
        <w:rPr>
          <w:color w:val="auto"/>
        </w:rPr>
        <w:t>本法所称的商业秘密，是指不为公众所知悉、具有商业价值并经权利人采取相应保密措施的技术信息、经营信息等商业信息。</w:t>
      </w:r>
    </w:p>
    <w:p>
      <w:pPr>
        <w:spacing w:before="0" w:line="388" w:lineRule="auto"/>
        <w:ind w:left="591" w:right="7068" w:hanging="12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给被侵权人造成实际损失或者侵权人的违法经营额十万元以下的，责令停止违法行为，处以十万元以上五十万元以下的罚款。</w:t>
      </w:r>
    </w:p>
    <w:p>
      <w:pPr>
        <w:pStyle w:val="13"/>
        <w:numPr>
          <w:ilvl w:val="0"/>
          <w:numId w:val="186"/>
        </w:numPr>
        <w:tabs>
          <w:tab w:val="left" w:pos="833"/>
        </w:tabs>
        <w:spacing w:before="1" w:after="0" w:line="240" w:lineRule="auto"/>
        <w:ind w:left="832" w:right="0" w:hanging="242"/>
        <w:jc w:val="left"/>
        <w:rPr>
          <w:color w:val="auto"/>
          <w:sz w:val="24"/>
        </w:rPr>
      </w:pPr>
      <w:r>
        <w:rPr>
          <w:color w:val="auto"/>
          <w:sz w:val="24"/>
        </w:rPr>
        <w:t>【一般】</w:t>
      </w:r>
    </w:p>
    <w:p>
      <w:pPr>
        <w:pStyle w:val="4"/>
        <w:spacing w:before="194" w:line="388" w:lineRule="auto"/>
        <w:ind w:right="232" w:firstLine="480"/>
        <w:rPr>
          <w:color w:val="auto"/>
        </w:rPr>
      </w:pPr>
      <w:r>
        <w:rPr>
          <w:color w:val="auto"/>
        </w:rPr>
        <w:t>给被侵权人造成实际损失或者侵权人的违法经营额十万元以上三十万元以下的， 责令停止违法行为，处以五十万元以上一百万元以下的罚款。</w:t>
      </w:r>
    </w:p>
    <w:p>
      <w:pPr>
        <w:pStyle w:val="13"/>
        <w:numPr>
          <w:ilvl w:val="0"/>
          <w:numId w:val="186"/>
        </w:numPr>
        <w:tabs>
          <w:tab w:val="left" w:pos="833"/>
        </w:tabs>
        <w:spacing w:before="2" w:after="0" w:line="240" w:lineRule="auto"/>
        <w:ind w:left="832" w:right="0" w:hanging="242"/>
        <w:jc w:val="left"/>
        <w:rPr>
          <w:color w:val="auto"/>
          <w:sz w:val="24"/>
        </w:rPr>
      </w:pPr>
      <w:r>
        <w:rPr>
          <w:color w:val="auto"/>
          <w:sz w:val="24"/>
        </w:rPr>
        <w:t>【严重】</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给被侵权人造成实际损失或者侵权人的违法经营额三十万元以上的，责令停止违法行为，处以一百万元以上五百万元以下的罚款。</w:t>
      </w:r>
    </w:p>
    <w:p>
      <w:pPr>
        <w:pStyle w:val="2"/>
        <w:spacing w:line="306" w:lineRule="exact"/>
        <w:rPr>
          <w:color w:val="auto"/>
        </w:rPr>
      </w:pPr>
      <w:bookmarkStart w:id="525" w:name="_bookmark262"/>
      <w:bookmarkEnd w:id="525"/>
      <w:bookmarkStart w:id="526" w:name="二百五十五、不正当有奖销售"/>
      <w:bookmarkEnd w:id="526"/>
      <w:r>
        <w:rPr>
          <w:color w:val="auto"/>
        </w:rPr>
        <w:t>二百五十五、不正当有奖销售</w:t>
      </w:r>
    </w:p>
    <w:p>
      <w:pPr>
        <w:spacing w:before="192"/>
        <w:ind w:left="591" w:right="0" w:firstLine="0"/>
        <w:jc w:val="left"/>
        <w:rPr>
          <w:b/>
          <w:color w:val="auto"/>
          <w:sz w:val="24"/>
        </w:rPr>
      </w:pPr>
      <w:r>
        <w:rPr>
          <w:b/>
          <w:color w:val="auto"/>
          <w:sz w:val="24"/>
        </w:rPr>
        <w:t>（一）处罚依据</w:t>
      </w:r>
    </w:p>
    <w:p>
      <w:pPr>
        <w:pStyle w:val="13"/>
        <w:numPr>
          <w:ilvl w:val="0"/>
          <w:numId w:val="187"/>
        </w:numPr>
        <w:tabs>
          <w:tab w:val="left" w:pos="834"/>
        </w:tabs>
        <w:spacing w:before="194" w:after="0" w:line="388" w:lineRule="auto"/>
        <w:ind w:left="111" w:right="268" w:firstLine="480"/>
        <w:jc w:val="both"/>
        <w:rPr>
          <w:color w:val="auto"/>
          <w:sz w:val="24"/>
        </w:rPr>
      </w:pPr>
      <w:r>
        <w:rPr>
          <w:color w:val="auto"/>
          <w:sz w:val="24"/>
        </w:rPr>
        <w:t>《中华人民共和国反不正当竞争法》第二十二条 经营者违反本法第十条规定</w:t>
      </w:r>
      <w:r>
        <w:rPr>
          <w:color w:val="auto"/>
          <w:spacing w:val="-5"/>
          <w:sz w:val="24"/>
        </w:rPr>
        <w:t>进行有奖销售的，由监督检查部门责令停止违法行为，处五万元以上五十万元以下的</w:t>
      </w:r>
      <w:r>
        <w:rPr>
          <w:color w:val="auto"/>
          <w:sz w:val="24"/>
        </w:rPr>
        <w:t>罚款。</w:t>
      </w:r>
    </w:p>
    <w:p>
      <w:pPr>
        <w:pStyle w:val="13"/>
        <w:numPr>
          <w:ilvl w:val="0"/>
          <w:numId w:val="187"/>
        </w:numPr>
        <w:tabs>
          <w:tab w:val="left" w:pos="834"/>
        </w:tabs>
        <w:spacing w:before="6" w:after="0" w:line="388" w:lineRule="auto"/>
        <w:ind w:left="111" w:right="271" w:firstLine="480"/>
        <w:jc w:val="both"/>
        <w:rPr>
          <w:color w:val="auto"/>
          <w:sz w:val="24"/>
        </w:rPr>
      </w:pPr>
      <w:r>
        <w:rPr>
          <w:color w:val="auto"/>
          <w:sz w:val="24"/>
        </w:rPr>
        <w:t>《中华人民共和国反不正当竞争法》第十条 经营者进行有奖销售不得存在下列情形：</w:t>
      </w:r>
    </w:p>
    <w:p>
      <w:pPr>
        <w:pStyle w:val="4"/>
        <w:spacing w:before="2" w:line="391" w:lineRule="auto"/>
        <w:ind w:right="213" w:firstLine="480"/>
        <w:rPr>
          <w:color w:val="auto"/>
        </w:rPr>
      </w:pPr>
      <w:r>
        <w:rPr>
          <w:color w:val="auto"/>
        </w:rPr>
        <w:t>(一)所设奖的种类、兑奖条件、奖金金额或者奖品等有奖销售信息不明确，影响兑奖；</w:t>
      </w:r>
    </w:p>
    <w:p>
      <w:pPr>
        <w:pStyle w:val="4"/>
        <w:spacing w:line="388" w:lineRule="auto"/>
        <w:ind w:left="591" w:right="1192"/>
        <w:rPr>
          <w:color w:val="auto"/>
        </w:rPr>
      </w:pPr>
      <w:r>
        <w:rPr>
          <w:color w:val="auto"/>
        </w:rPr>
        <w:t>(二)采用谎称有奖或者故意让内定人员中奖的欺骗方式进行有奖销售； (三)抽奖式的有奖销售，最高奖的金额超过五万元。</w:t>
      </w:r>
    </w:p>
    <w:p>
      <w:pPr>
        <w:spacing w:before="3"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68" w:firstLine="480"/>
        <w:jc w:val="both"/>
        <w:rPr>
          <w:color w:val="auto"/>
        </w:rPr>
      </w:pPr>
      <w:r>
        <w:rPr>
          <w:color w:val="auto"/>
          <w:spacing w:val="-4"/>
        </w:rPr>
        <w:t>因信息不明确影响兑奖或者谎称有奖，全部奖项金额十万元以下的；故意让内定</w:t>
      </w:r>
      <w:r>
        <w:rPr>
          <w:color w:val="auto"/>
          <w:spacing w:val="-6"/>
        </w:rPr>
        <w:t>人员中奖，中奖奖金比例为全部奖项金额的百分之三十以下的；最高奖金额五万元以</w:t>
      </w:r>
      <w:r>
        <w:rPr>
          <w:color w:val="auto"/>
        </w:rPr>
        <w:t>上十万元以下的，处以五万元以上十五万元以下的罚款。</w:t>
      </w:r>
    </w:p>
    <w:p>
      <w:pPr>
        <w:pStyle w:val="13"/>
        <w:numPr>
          <w:ilvl w:val="0"/>
          <w:numId w:val="188"/>
        </w:numPr>
        <w:tabs>
          <w:tab w:val="left" w:pos="833"/>
        </w:tabs>
        <w:spacing w:before="0" w:after="0" w:line="304" w:lineRule="exact"/>
        <w:ind w:left="832" w:right="0" w:hanging="242"/>
        <w:jc w:val="left"/>
        <w:rPr>
          <w:color w:val="auto"/>
          <w:sz w:val="24"/>
        </w:rPr>
      </w:pPr>
      <w:r>
        <w:rPr>
          <w:color w:val="auto"/>
          <w:sz w:val="24"/>
        </w:rPr>
        <w:t>【一般】</w:t>
      </w:r>
    </w:p>
    <w:p>
      <w:pPr>
        <w:pStyle w:val="4"/>
        <w:spacing w:before="194" w:line="391" w:lineRule="auto"/>
        <w:ind w:right="268" w:firstLine="480"/>
        <w:jc w:val="both"/>
        <w:rPr>
          <w:color w:val="auto"/>
        </w:rPr>
      </w:pPr>
      <w:r>
        <w:rPr>
          <w:color w:val="auto"/>
          <w:spacing w:val="3"/>
        </w:rPr>
        <w:t>因信息不明确影响兑奖或者谎称有奖，全部奖项金额十万元以上二十万元以下</w:t>
      </w:r>
      <w:r>
        <w:rPr>
          <w:color w:val="auto"/>
          <w:spacing w:val="-7"/>
        </w:rPr>
        <w:t>的；故意让内定人员中奖，中奖奖金比例为全部奖项金额的百分之三十以上百分之七</w:t>
      </w:r>
      <w:r>
        <w:rPr>
          <w:color w:val="auto"/>
          <w:spacing w:val="-6"/>
        </w:rPr>
        <w:t>十以下的；最高奖金额十万元以上二十万元以下的，处以十五万元以上三十五万元以</w:t>
      </w:r>
      <w:r>
        <w:rPr>
          <w:color w:val="auto"/>
        </w:rPr>
        <w:t>下的罚款。</w:t>
      </w:r>
    </w:p>
    <w:p>
      <w:pPr>
        <w:pStyle w:val="13"/>
        <w:numPr>
          <w:ilvl w:val="0"/>
          <w:numId w:val="188"/>
        </w:numPr>
        <w:tabs>
          <w:tab w:val="left" w:pos="833"/>
        </w:tabs>
        <w:spacing w:before="0" w:after="0" w:line="302" w:lineRule="exact"/>
        <w:ind w:left="832" w:right="0" w:hanging="242"/>
        <w:jc w:val="left"/>
        <w:rPr>
          <w:color w:val="auto"/>
          <w:sz w:val="24"/>
        </w:rPr>
      </w:pPr>
      <w:r>
        <w:rPr>
          <w:color w:val="auto"/>
          <w:sz w:val="24"/>
        </w:rPr>
        <w:t>【严重】</w:t>
      </w:r>
    </w:p>
    <w:p>
      <w:pPr>
        <w:pStyle w:val="4"/>
        <w:spacing w:before="192" w:line="391" w:lineRule="auto"/>
        <w:ind w:right="268" w:firstLine="480"/>
        <w:jc w:val="both"/>
        <w:rPr>
          <w:color w:val="auto"/>
        </w:rPr>
      </w:pPr>
      <w:r>
        <w:rPr>
          <w:color w:val="auto"/>
          <w:spacing w:val="-4"/>
        </w:rPr>
        <w:t>因信息不明确影响兑奖或者谎称有奖，全部奖项金额二十万元以上的；故意让内</w:t>
      </w:r>
      <w:r>
        <w:rPr>
          <w:color w:val="auto"/>
          <w:spacing w:val="-6"/>
        </w:rPr>
        <w:t>定人员中奖，中奖奖金比例为全部奖项金额的百分之七十以上的；最高奖金额二十万</w:t>
      </w:r>
      <w:r>
        <w:rPr>
          <w:color w:val="auto"/>
        </w:rPr>
        <w:t>元以上的，处以三十五万元以上五十万元以下的罚款。</w:t>
      </w:r>
    </w:p>
    <w:p>
      <w:pPr>
        <w:pStyle w:val="2"/>
        <w:spacing w:line="304" w:lineRule="exact"/>
        <w:rPr>
          <w:color w:val="auto"/>
        </w:rPr>
      </w:pPr>
      <w:bookmarkStart w:id="527" w:name="_bookmark263"/>
      <w:bookmarkEnd w:id="527"/>
      <w:bookmarkStart w:id="528" w:name="二百五十六、商业诋毁"/>
      <w:bookmarkEnd w:id="528"/>
      <w:r>
        <w:rPr>
          <w:color w:val="auto"/>
        </w:rPr>
        <w:t>二百五十六、商业诋毁</w:t>
      </w:r>
    </w:p>
    <w:p>
      <w:pPr>
        <w:spacing w:after="0" w:line="304" w:lineRule="exact"/>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13"/>
        <w:numPr>
          <w:ilvl w:val="0"/>
          <w:numId w:val="189"/>
        </w:numPr>
        <w:tabs>
          <w:tab w:val="left" w:pos="833"/>
        </w:tabs>
        <w:spacing w:before="195" w:after="0" w:line="391" w:lineRule="auto"/>
        <w:ind w:left="111" w:right="268" w:firstLine="480"/>
        <w:jc w:val="both"/>
        <w:rPr>
          <w:color w:val="auto"/>
          <w:sz w:val="24"/>
        </w:rPr>
      </w:pPr>
      <w:r>
        <w:rPr>
          <w:color w:val="auto"/>
          <w:spacing w:val="-3"/>
          <w:sz w:val="24"/>
        </w:rPr>
        <w:t>《中华人民共和国反不正当竞争法》第二十三条 经营者违反本法第十一条规</w:t>
      </w:r>
      <w:r>
        <w:rPr>
          <w:color w:val="auto"/>
          <w:spacing w:val="-4"/>
          <w:sz w:val="24"/>
        </w:rPr>
        <w:t>定损害竞争对手商业信誉、商品声誉的，由监督检查部门责令停止违法行为、消除影</w:t>
      </w:r>
      <w:r>
        <w:rPr>
          <w:color w:val="auto"/>
          <w:sz w:val="24"/>
        </w:rPr>
        <w:t>响，处十万元以上五十万元以下的罚款;情节严重的，处五十万元以上三百万元以下的罚款。</w:t>
      </w:r>
    </w:p>
    <w:p>
      <w:pPr>
        <w:pStyle w:val="13"/>
        <w:numPr>
          <w:ilvl w:val="0"/>
          <w:numId w:val="189"/>
        </w:numPr>
        <w:tabs>
          <w:tab w:val="left" w:pos="834"/>
        </w:tabs>
        <w:spacing w:before="0" w:after="0" w:line="388" w:lineRule="auto"/>
        <w:ind w:left="111" w:right="271" w:firstLine="480"/>
        <w:jc w:val="both"/>
        <w:rPr>
          <w:color w:val="auto"/>
          <w:sz w:val="24"/>
        </w:rPr>
      </w:pPr>
      <w:r>
        <w:rPr>
          <w:color w:val="auto"/>
          <w:sz w:val="24"/>
        </w:rPr>
        <w:t>《中华人民共和国反不正当竞争法》第十一条 经营者不得编造、传播虚假信息或者误导性信息，损害竞争对手的商业信誉、商品声誉。</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13" w:firstLine="480"/>
        <w:rPr>
          <w:color w:val="auto"/>
        </w:rPr>
      </w:pPr>
      <w:r>
        <w:rPr>
          <w:color w:val="auto"/>
        </w:rPr>
        <w:t>给被侵权人造成实际损失十万元以下的，责令停止违法行为、消除影响，处以十万元以上二十五万元以下的罚款。</w:t>
      </w:r>
    </w:p>
    <w:p>
      <w:pPr>
        <w:pStyle w:val="13"/>
        <w:numPr>
          <w:ilvl w:val="0"/>
          <w:numId w:val="190"/>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213" w:firstLine="480"/>
        <w:rPr>
          <w:color w:val="auto"/>
        </w:rPr>
      </w:pPr>
      <w:r>
        <w:rPr>
          <w:color w:val="auto"/>
        </w:rPr>
        <w:t>给被侵权人造成实际损失十万元以上三十万元以下的，责令停止违法行为、消除影响，处以二十五万元以上五十万元以下的罚款。</w:t>
      </w:r>
    </w:p>
    <w:p>
      <w:pPr>
        <w:pStyle w:val="13"/>
        <w:numPr>
          <w:ilvl w:val="0"/>
          <w:numId w:val="190"/>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13" w:firstLine="480"/>
        <w:rPr>
          <w:color w:val="auto"/>
        </w:rPr>
      </w:pPr>
      <w:r>
        <w:rPr>
          <w:color w:val="auto"/>
        </w:rPr>
        <w:t>给被侵权人造成实际损失三十万元以上的，责令停止违法行为、消除影响，处以五十万元以上三百万元以下的罚款。</w:t>
      </w:r>
    </w:p>
    <w:p>
      <w:pPr>
        <w:pStyle w:val="2"/>
        <w:spacing w:line="306" w:lineRule="exact"/>
        <w:rPr>
          <w:color w:val="auto"/>
        </w:rPr>
      </w:pPr>
      <w:bookmarkStart w:id="529" w:name="_bookmark264"/>
      <w:bookmarkEnd w:id="529"/>
      <w:bookmarkStart w:id="530" w:name="二百五十七、网络领域不正当竞争行为"/>
      <w:bookmarkEnd w:id="530"/>
      <w:r>
        <w:rPr>
          <w:color w:val="auto"/>
        </w:rPr>
        <w:t>二百五十七、网络领域不正当竞争行为</w:t>
      </w:r>
    </w:p>
    <w:p>
      <w:pPr>
        <w:spacing w:before="192"/>
        <w:ind w:left="591" w:right="0" w:firstLine="0"/>
        <w:jc w:val="left"/>
        <w:rPr>
          <w:b/>
          <w:color w:val="auto"/>
          <w:sz w:val="24"/>
        </w:rPr>
      </w:pPr>
      <w:r>
        <w:rPr>
          <w:b/>
          <w:color w:val="auto"/>
          <w:sz w:val="24"/>
        </w:rPr>
        <w:t>（一）处罚依据</w:t>
      </w:r>
    </w:p>
    <w:p>
      <w:pPr>
        <w:pStyle w:val="13"/>
        <w:numPr>
          <w:ilvl w:val="0"/>
          <w:numId w:val="191"/>
        </w:numPr>
        <w:tabs>
          <w:tab w:val="left" w:pos="833"/>
        </w:tabs>
        <w:spacing w:before="194" w:after="0" w:line="391" w:lineRule="auto"/>
        <w:ind w:left="111" w:right="268" w:firstLine="480"/>
        <w:jc w:val="both"/>
        <w:rPr>
          <w:color w:val="auto"/>
          <w:sz w:val="24"/>
        </w:rPr>
      </w:pPr>
      <w:r>
        <w:rPr>
          <w:color w:val="auto"/>
          <w:spacing w:val="-3"/>
          <w:sz w:val="24"/>
        </w:rPr>
        <w:t>《中华人民共和国反不正当竞争法》第二十四条 经营者违反本法第十二条规</w:t>
      </w:r>
      <w:r>
        <w:rPr>
          <w:color w:val="auto"/>
          <w:spacing w:val="-6"/>
          <w:sz w:val="24"/>
        </w:rPr>
        <w:t>定妨碍、破坏其他经营者合法提供的网络产品或者服务正常运行的，由监督检查部门</w:t>
      </w:r>
      <w:r>
        <w:rPr>
          <w:color w:val="auto"/>
          <w:sz w:val="24"/>
        </w:rPr>
        <w:t>责令停止违法行为，处十万元以上五十万元以下的罚款;情节严重的，处五十万元以上三百万元以下的罚款。</w:t>
      </w:r>
    </w:p>
    <w:p>
      <w:pPr>
        <w:pStyle w:val="13"/>
        <w:numPr>
          <w:ilvl w:val="0"/>
          <w:numId w:val="191"/>
        </w:numPr>
        <w:tabs>
          <w:tab w:val="left" w:pos="834"/>
        </w:tabs>
        <w:spacing w:before="0" w:after="0" w:line="388" w:lineRule="auto"/>
        <w:ind w:left="111" w:right="271" w:firstLine="480"/>
        <w:jc w:val="both"/>
        <w:rPr>
          <w:color w:val="auto"/>
          <w:sz w:val="24"/>
        </w:rPr>
      </w:pPr>
      <w:r>
        <w:rPr>
          <w:color w:val="auto"/>
          <w:sz w:val="24"/>
        </w:rPr>
        <w:t>《中华人民共和国反不正当竞争法》第十二条 经营者利用网络从事生产经营活动，应当遵守本法的各项规定。</w:t>
      </w:r>
    </w:p>
    <w:p>
      <w:pPr>
        <w:pStyle w:val="4"/>
        <w:spacing w:line="388" w:lineRule="auto"/>
        <w:ind w:right="213" w:firstLine="480"/>
        <w:rPr>
          <w:color w:val="auto"/>
        </w:rPr>
      </w:pPr>
      <w:r>
        <w:rPr>
          <w:color w:val="auto"/>
        </w:rPr>
        <w:t>经营者不得利用技术手段，通过影响用户选择或者其他方式，实施下列妨碍、破坏其他经营者合法提供的网络产品或者服务正常运行的行为：</w:t>
      </w:r>
    </w:p>
    <w:p>
      <w:pPr>
        <w:pStyle w:val="4"/>
        <w:spacing w:before="1"/>
        <w:ind w:left="591"/>
        <w:rPr>
          <w:color w:val="auto"/>
        </w:rPr>
      </w:pPr>
      <w:r>
        <w:rPr>
          <w:color w:val="auto"/>
        </w:rPr>
        <w:t>(一)未经其他经营者同意，在其合法提供的网络产品或者服务中，插入链接、强</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制进行目标跳转；</w:t>
      </w:r>
    </w:p>
    <w:p>
      <w:pPr>
        <w:pStyle w:val="4"/>
        <w:spacing w:before="195" w:line="388" w:lineRule="auto"/>
        <w:ind w:right="227" w:firstLine="480"/>
        <w:rPr>
          <w:color w:val="auto"/>
        </w:rPr>
      </w:pPr>
      <w:r>
        <w:rPr>
          <w:color w:val="auto"/>
        </w:rPr>
        <w:t>(二)误导、欺骗、强迫用户修改、关闭、卸载其他经营者合法提供的网络产品或者服务；</w:t>
      </w:r>
    </w:p>
    <w:p>
      <w:pPr>
        <w:pStyle w:val="4"/>
        <w:spacing w:before="2"/>
        <w:ind w:left="591"/>
        <w:rPr>
          <w:color w:val="auto"/>
        </w:rPr>
      </w:pPr>
      <w:r>
        <w:rPr>
          <w:color w:val="auto"/>
        </w:rPr>
        <w:t>(三)恶意对其他经营者合法提供的网络产品或者服务实施不兼容；</w:t>
      </w:r>
    </w:p>
    <w:p>
      <w:pPr>
        <w:pStyle w:val="4"/>
        <w:spacing w:before="194"/>
        <w:ind w:left="591"/>
        <w:rPr>
          <w:color w:val="auto"/>
        </w:rPr>
      </w:pPr>
      <w:r>
        <w:rPr>
          <w:color w:val="auto"/>
        </w:rPr>
        <w:t>(四)其他妨碍、破坏其他经营者合法提供的网络产品或者服务正常运行的行为。</w:t>
      </w:r>
    </w:p>
    <w:p>
      <w:pPr>
        <w:spacing w:before="192" w:line="388" w:lineRule="auto"/>
        <w:ind w:left="591" w:right="6948" w:firstLine="0"/>
        <w:jc w:val="left"/>
        <w:rPr>
          <w:color w:val="auto"/>
          <w:sz w:val="24"/>
        </w:rPr>
      </w:pPr>
      <w:r>
        <w:rPr>
          <w:b/>
          <w:color w:val="auto"/>
          <w:sz w:val="24"/>
        </w:rPr>
        <w:t>（二）裁量标准</w:t>
      </w:r>
      <w:r>
        <w:rPr>
          <w:color w:val="auto"/>
          <w:sz w:val="24"/>
        </w:rPr>
        <w:t>1.【较轻】</w:t>
      </w:r>
    </w:p>
    <w:p>
      <w:pPr>
        <w:pStyle w:val="4"/>
        <w:spacing w:before="4" w:line="388" w:lineRule="auto"/>
        <w:ind w:right="268" w:firstLine="480"/>
        <w:rPr>
          <w:color w:val="auto"/>
        </w:rPr>
      </w:pPr>
      <w:r>
        <w:rPr>
          <w:color w:val="auto"/>
          <w:spacing w:val="-4"/>
        </w:rPr>
        <w:t>给被侵权人造成实际损失十万元以下的，责令停止违法行为，处以十万元以上二</w:t>
      </w:r>
      <w:r>
        <w:rPr>
          <w:color w:val="auto"/>
        </w:rPr>
        <w:t>十五万元以下的罚款。</w:t>
      </w:r>
    </w:p>
    <w:p>
      <w:pPr>
        <w:pStyle w:val="13"/>
        <w:numPr>
          <w:ilvl w:val="0"/>
          <w:numId w:val="192"/>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213" w:firstLine="480"/>
        <w:rPr>
          <w:color w:val="auto"/>
        </w:rPr>
      </w:pPr>
      <w:r>
        <w:rPr>
          <w:color w:val="auto"/>
        </w:rPr>
        <w:t>给被侵权人造成实际损失十万元以上三十万元以下的，责令停止违法行为，处以二十五万元以上五十万元以下的罚款。</w:t>
      </w:r>
    </w:p>
    <w:p>
      <w:pPr>
        <w:pStyle w:val="13"/>
        <w:numPr>
          <w:ilvl w:val="0"/>
          <w:numId w:val="192"/>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给被侵权人造成实际损失三十万元以上的，责令停止违法行为，处以五十万元以上三百万元以下的罚款。</w:t>
      </w:r>
    </w:p>
    <w:p>
      <w:pPr>
        <w:pStyle w:val="2"/>
        <w:spacing w:before="2"/>
        <w:rPr>
          <w:color w:val="auto"/>
        </w:rPr>
      </w:pPr>
      <w:bookmarkStart w:id="531" w:name="二百五十八、妨害监督检查部门依照本法履行职责，拒绝、阻碍调查"/>
      <w:bookmarkEnd w:id="531"/>
      <w:bookmarkStart w:id="532" w:name="_bookmark265"/>
      <w:bookmarkEnd w:id="532"/>
      <w:r>
        <w:rPr>
          <w:color w:val="auto"/>
        </w:rPr>
        <w:t>二百五十八、妨害监督检查部门依照本法履行职责，拒绝、阻碍调查</w:t>
      </w:r>
    </w:p>
    <w:p>
      <w:pPr>
        <w:pStyle w:val="4"/>
        <w:spacing w:before="195"/>
        <w:ind w:left="591"/>
        <w:rPr>
          <w:color w:val="auto"/>
        </w:rPr>
      </w:pPr>
      <w:r>
        <w:rPr>
          <w:color w:val="auto"/>
        </w:rPr>
        <w:t>（一）处罚依据</w:t>
      </w:r>
    </w:p>
    <w:p>
      <w:pPr>
        <w:pStyle w:val="4"/>
        <w:spacing w:before="191" w:line="391" w:lineRule="auto"/>
        <w:ind w:right="232" w:firstLine="480"/>
        <w:jc w:val="both"/>
        <w:rPr>
          <w:color w:val="auto"/>
        </w:rPr>
      </w:pPr>
      <w:r>
        <w:rPr>
          <w:color w:val="auto"/>
          <w:spacing w:val="-3"/>
        </w:rPr>
        <w:t>《中华人民共和国反不正当竞争法》第二十八条 妨害监督检查部门依照本法履</w:t>
      </w:r>
      <w:r>
        <w:rPr>
          <w:color w:val="auto"/>
          <w:spacing w:val="-7"/>
        </w:rPr>
        <w:t>行职责，拒绝、阻碍调查的，由监督检查部门责令改正，对个人可以处五千元以下的</w:t>
      </w:r>
      <w:r>
        <w:rPr>
          <w:color w:val="auto"/>
          <w:spacing w:val="-8"/>
        </w:rPr>
        <w:t>罚款，对单位可以处五万元以下的罚款，并可以由公安机关依法给予治安管理处罚。</w:t>
      </w:r>
    </w:p>
    <w:p>
      <w:pPr>
        <w:pStyle w:val="4"/>
        <w:spacing w:line="388" w:lineRule="auto"/>
        <w:ind w:left="591" w:right="6952"/>
        <w:rPr>
          <w:color w:val="auto"/>
        </w:rPr>
      </w:pPr>
      <w:r>
        <w:rPr>
          <w:color w:val="auto"/>
        </w:rPr>
        <w:t>（二）裁量标准1.【一般】</w:t>
      </w:r>
    </w:p>
    <w:p>
      <w:pPr>
        <w:pStyle w:val="4"/>
        <w:spacing w:before="1" w:line="388" w:lineRule="auto"/>
        <w:ind w:right="271" w:firstLine="480"/>
        <w:rPr>
          <w:color w:val="auto"/>
        </w:rPr>
      </w:pPr>
      <w:r>
        <w:rPr>
          <w:color w:val="auto"/>
        </w:rPr>
        <w:t>妨害监督检查部门履行职责，拒绝、阻碍调查,经教育能主动改正的，对个人处以三千元以下的罚款，对单位处以三万元以下的罚款。</w:t>
      </w:r>
    </w:p>
    <w:p>
      <w:pPr>
        <w:pStyle w:val="4"/>
        <w:spacing w:before="2"/>
        <w:ind w:left="591"/>
        <w:rPr>
          <w:color w:val="auto"/>
        </w:rPr>
      </w:pPr>
      <w:r>
        <w:rPr>
          <w:color w:val="auto"/>
        </w:rPr>
        <w:t>2.【严重】</w:t>
      </w:r>
    </w:p>
    <w:p>
      <w:pPr>
        <w:pStyle w:val="4"/>
        <w:spacing w:before="194" w:line="388" w:lineRule="auto"/>
        <w:ind w:right="268" w:firstLine="480"/>
        <w:jc w:val="both"/>
        <w:rPr>
          <w:color w:val="auto"/>
        </w:rPr>
      </w:pPr>
      <w:r>
        <w:rPr>
          <w:color w:val="auto"/>
        </w:rPr>
        <w:t>妨害监督检查部门履行职责，拒绝、阻碍调查,经教育拒不改正的；或者两次以</w:t>
      </w:r>
      <w:r>
        <w:rPr>
          <w:color w:val="auto"/>
          <w:spacing w:val="-5"/>
        </w:rPr>
        <w:t>上实施违法行为的；或者危害执法人员人身安全的，对个人处以三千元以上五千元以</w:t>
      </w:r>
      <w:r>
        <w:rPr>
          <w:color w:val="auto"/>
        </w:rPr>
        <w:t>下罚款，对单位处以三万元以上五万元以下罚款。</w:t>
      </w:r>
    </w:p>
    <w:p>
      <w:pPr>
        <w:spacing w:after="0" w:line="388" w:lineRule="auto"/>
        <w:jc w:val="both"/>
        <w:rPr>
          <w:color w:val="auto"/>
        </w:rPr>
        <w:sectPr>
          <w:pgSz w:w="11910" w:h="16840"/>
          <w:pgMar w:top="1520" w:right="1260" w:bottom="1220" w:left="1420" w:header="0" w:footer="1034" w:gutter="0"/>
        </w:sectPr>
      </w:pPr>
    </w:p>
    <w:p>
      <w:pPr>
        <w:pStyle w:val="2"/>
        <w:spacing w:before="39"/>
        <w:rPr>
          <w:color w:val="auto"/>
        </w:rPr>
      </w:pPr>
      <w:bookmarkStart w:id="533" w:name="_bookmark266"/>
      <w:bookmarkEnd w:id="533"/>
      <w:bookmarkStart w:id="534" w:name="二百五十九、违反零售商供应商公平交易管理"/>
      <w:bookmarkEnd w:id="534"/>
      <w:r>
        <w:rPr>
          <w:color w:val="auto"/>
        </w:rPr>
        <w:t>二百五十九、违反零售商供应商公平交易管理</w:t>
      </w:r>
    </w:p>
    <w:p>
      <w:pPr>
        <w:spacing w:before="19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《零售商供应商公平交易管理办法》第二十三条 零售商或者供应商违反本办法</w:t>
      </w:r>
      <w:r>
        <w:rPr>
          <w:color w:val="auto"/>
          <w:spacing w:val="-7"/>
        </w:rPr>
        <w:t>规定的，法律法规有规定的，从其规定；没有规定的，责令改正；有违法所得的，可</w:t>
      </w:r>
      <w:r>
        <w:rPr>
          <w:color w:val="auto"/>
          <w:spacing w:val="-4"/>
        </w:rPr>
        <w:t>处违法所得三倍以下罚款，但最高不超过三万元；没有违法所得的，可处一万元以下</w:t>
      </w:r>
      <w:r>
        <w:rPr>
          <w:color w:val="auto"/>
        </w:rPr>
        <w:t>罚款；并可向社会公告。</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4"/>
        </w:rPr>
        <w:t>给供应商造成的经济损失不满三万元的；强制搭售商品价值不满三万元的；违法</w:t>
      </w:r>
      <w:r>
        <w:rPr>
          <w:color w:val="auto"/>
          <w:spacing w:val="-5"/>
        </w:rPr>
        <w:t>所得不满一万元的；其他应从轻处罚的情形，有违法所得的，处违法所得一倍以下的</w:t>
      </w:r>
      <w:r>
        <w:rPr>
          <w:color w:val="auto"/>
        </w:rPr>
        <w:t>罚款，但最高不超过一万元；没有违法所得的，处以三千元以下的罚款。</w:t>
      </w:r>
    </w:p>
    <w:p>
      <w:pPr>
        <w:pStyle w:val="13"/>
        <w:numPr>
          <w:ilvl w:val="0"/>
          <w:numId w:val="193"/>
        </w:numPr>
        <w:tabs>
          <w:tab w:val="left" w:pos="833"/>
        </w:tabs>
        <w:spacing w:before="0" w:after="0" w:line="304" w:lineRule="exact"/>
        <w:ind w:left="832" w:right="0" w:hanging="242"/>
        <w:jc w:val="left"/>
        <w:rPr>
          <w:color w:val="auto"/>
          <w:sz w:val="24"/>
        </w:rPr>
      </w:pPr>
      <w:r>
        <w:rPr>
          <w:color w:val="auto"/>
          <w:sz w:val="24"/>
        </w:rPr>
        <w:t>【一般】</w:t>
      </w:r>
    </w:p>
    <w:p>
      <w:pPr>
        <w:pStyle w:val="4"/>
        <w:spacing w:before="185" w:line="391" w:lineRule="auto"/>
        <w:ind w:right="268" w:firstLine="480"/>
        <w:jc w:val="both"/>
        <w:rPr>
          <w:color w:val="auto"/>
        </w:rPr>
      </w:pPr>
      <w:r>
        <w:rPr>
          <w:color w:val="auto"/>
          <w:spacing w:val="-4"/>
        </w:rPr>
        <w:t>给供应商造成的经济损失在三万元以上，不满十万元的；强制搭售商品价值三万</w:t>
      </w:r>
      <w:r>
        <w:rPr>
          <w:color w:val="auto"/>
          <w:spacing w:val="-7"/>
        </w:rPr>
        <w:t>元以上，不满十万元的；违法所得一万元以上，不满三万元的；已因相同违法行为被</w:t>
      </w:r>
      <w:r>
        <w:rPr>
          <w:color w:val="auto"/>
          <w:spacing w:val="-5"/>
        </w:rPr>
        <w:t>行政处罚一次的；供应商或零售商数量达到两个的，有违法所得的，处违法所得一倍以上两倍以下的罚款，但最高不超过两万元；没有违法所得的，处以三千元以上七千</w:t>
      </w:r>
      <w:r>
        <w:rPr>
          <w:color w:val="auto"/>
        </w:rPr>
        <w:t>元以下的罚款。</w:t>
      </w:r>
    </w:p>
    <w:p>
      <w:pPr>
        <w:pStyle w:val="13"/>
        <w:numPr>
          <w:ilvl w:val="0"/>
          <w:numId w:val="193"/>
        </w:numPr>
        <w:tabs>
          <w:tab w:val="left" w:pos="833"/>
        </w:tabs>
        <w:spacing w:before="0" w:after="0" w:line="302" w:lineRule="exact"/>
        <w:ind w:left="832" w:right="0" w:hanging="242"/>
        <w:jc w:val="left"/>
        <w:rPr>
          <w:color w:val="auto"/>
          <w:sz w:val="24"/>
        </w:rPr>
      </w:pPr>
      <w:r>
        <w:rPr>
          <w:color w:val="auto"/>
          <w:sz w:val="24"/>
        </w:rPr>
        <w:t>【严重】</w:t>
      </w:r>
    </w:p>
    <w:p>
      <w:pPr>
        <w:pStyle w:val="4"/>
        <w:spacing w:before="191" w:line="391" w:lineRule="auto"/>
        <w:ind w:right="232" w:firstLine="480"/>
        <w:jc w:val="both"/>
        <w:rPr>
          <w:color w:val="auto"/>
        </w:rPr>
      </w:pPr>
      <w:r>
        <w:rPr>
          <w:color w:val="auto"/>
          <w:spacing w:val="-1"/>
        </w:rPr>
        <w:t xml:space="preserve">给供应商造成的经济损失在十万元以上的；强制搭售商品价值达十万元以上的； </w:t>
      </w:r>
      <w:r>
        <w:rPr>
          <w:color w:val="auto"/>
          <w:spacing w:val="-3"/>
        </w:rPr>
        <w:t>违法所得三万元以上的；已因相同违法行为被行政处罚两次及以上的；供应商或零售</w:t>
      </w:r>
      <w:r>
        <w:rPr>
          <w:color w:val="auto"/>
          <w:spacing w:val="-6"/>
        </w:rPr>
        <w:t>商数量达到三个及以上的，有违法所得的，处两倍以上三倍以下的罚款，但最高不超</w:t>
      </w:r>
      <w:r>
        <w:rPr>
          <w:color w:val="auto"/>
          <w:spacing w:val="-9"/>
        </w:rPr>
        <w:t>过三万元，并向社会公告；没有违法所得的，处七千元以上一万元以下罚款，并向社会公告。</w:t>
      </w:r>
    </w:p>
    <w:p>
      <w:pPr>
        <w:pStyle w:val="2"/>
        <w:spacing w:line="302" w:lineRule="exact"/>
        <w:rPr>
          <w:color w:val="auto"/>
        </w:rPr>
      </w:pPr>
      <w:bookmarkStart w:id="535" w:name="_bookmark267"/>
      <w:bookmarkEnd w:id="535"/>
      <w:bookmarkStart w:id="536" w:name="二百六十、违反《零售商促销行为管理办法》规定"/>
      <w:bookmarkEnd w:id="536"/>
      <w:r>
        <w:rPr>
          <w:color w:val="auto"/>
        </w:rPr>
        <w:t>二百六十、违反《零售商促销行为管理办法》规定</w:t>
      </w:r>
    </w:p>
    <w:p>
      <w:pPr>
        <w:spacing w:before="192"/>
        <w:ind w:left="591" w:right="0" w:firstLine="0"/>
        <w:jc w:val="left"/>
        <w:rPr>
          <w:b/>
          <w:color w:val="auto"/>
          <w:sz w:val="24"/>
        </w:rPr>
      </w:pPr>
      <w:r>
        <w:rPr>
          <w:b/>
          <w:color w:val="auto"/>
          <w:sz w:val="24"/>
        </w:rPr>
        <w:t>（一）处罚依据</w:t>
      </w:r>
    </w:p>
    <w:p>
      <w:pPr>
        <w:pStyle w:val="4"/>
        <w:spacing w:before="194" w:line="388" w:lineRule="auto"/>
        <w:ind w:right="266" w:firstLine="480"/>
        <w:jc w:val="both"/>
        <w:rPr>
          <w:color w:val="auto"/>
        </w:rPr>
      </w:pPr>
      <w:r>
        <w:rPr>
          <w:color w:val="auto"/>
        </w:rPr>
        <w:t>《零售商促销行为管理办法》第二十三条 零售商违反本办法规定，法律法规有</w:t>
      </w:r>
      <w:r>
        <w:rPr>
          <w:color w:val="auto"/>
          <w:spacing w:val="-7"/>
        </w:rPr>
        <w:t>规定的，从其规定；没有规定的，责令改正，有违法所得的，可处违法所得三倍以下罚款，但最高不超过三万元；没有违法所得的，可处以一万元以下罚款；并可予以公</w:t>
      </w:r>
    </w:p>
    <w:p>
      <w:pPr>
        <w:spacing w:after="0" w:line="388" w:lineRule="auto"/>
        <w:jc w:val="both"/>
        <w:rPr>
          <w:color w:val="auto"/>
        </w:rPr>
        <w:sectPr>
          <w:footerReference r:id="rId47" w:type="default"/>
          <w:footerReference r:id="rId48" w:type="even"/>
          <w:pgSz w:w="11910" w:h="16840"/>
          <w:pgMar w:top="1520" w:right="1260" w:bottom="1220" w:left="1420" w:header="0" w:footer="1034" w:gutter="0"/>
          <w:pgNumType w:start="220"/>
        </w:sectPr>
      </w:pPr>
    </w:p>
    <w:p>
      <w:pPr>
        <w:pStyle w:val="4"/>
        <w:spacing w:before="39"/>
        <w:rPr>
          <w:color w:val="auto"/>
        </w:rPr>
      </w:pPr>
      <w:r>
        <w:rPr>
          <w:color w:val="auto"/>
        </w:rPr>
        <w:t>告。</w:t>
      </w:r>
    </w:p>
    <w:p>
      <w:pPr>
        <w:spacing w:before="19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148" w:firstLine="480"/>
        <w:rPr>
          <w:color w:val="auto"/>
        </w:rPr>
      </w:pPr>
      <w:r>
        <w:rPr>
          <w:color w:val="auto"/>
          <w:spacing w:val="-9"/>
        </w:rPr>
        <w:t xml:space="preserve">零售商违法促销商品价值三万元以下的；违法所得一万元以下的，有违法所得的， </w:t>
      </w:r>
      <w:r>
        <w:rPr>
          <w:color w:val="auto"/>
          <w:spacing w:val="-3"/>
        </w:rPr>
        <w:t>可以处违法所得一倍以下的罚款，但最高不超过一万元；没有违法所得的，可以处三千元以下的罚款。</w:t>
      </w:r>
    </w:p>
    <w:p>
      <w:pPr>
        <w:pStyle w:val="13"/>
        <w:numPr>
          <w:ilvl w:val="0"/>
          <w:numId w:val="194"/>
        </w:numPr>
        <w:tabs>
          <w:tab w:val="left" w:pos="833"/>
        </w:tabs>
        <w:spacing w:before="0" w:after="0" w:line="304" w:lineRule="exact"/>
        <w:ind w:left="832" w:right="0" w:hanging="242"/>
        <w:jc w:val="left"/>
        <w:rPr>
          <w:color w:val="auto"/>
          <w:sz w:val="24"/>
        </w:rPr>
      </w:pPr>
      <w:r>
        <w:rPr>
          <w:color w:val="auto"/>
          <w:sz w:val="24"/>
        </w:rPr>
        <w:t>【一般】</w:t>
      </w:r>
    </w:p>
    <w:p>
      <w:pPr>
        <w:pStyle w:val="4"/>
        <w:spacing w:before="194" w:line="391" w:lineRule="auto"/>
        <w:ind w:right="268" w:firstLine="480"/>
        <w:jc w:val="both"/>
        <w:rPr>
          <w:color w:val="auto"/>
        </w:rPr>
      </w:pPr>
      <w:r>
        <w:rPr>
          <w:color w:val="auto"/>
          <w:spacing w:val="-3"/>
        </w:rPr>
        <w:t>零售商违法促销商品价值三万元以上十万元以下的；零售商将质量不合格的物品</w:t>
      </w:r>
      <w:r>
        <w:rPr>
          <w:color w:val="auto"/>
          <w:spacing w:val="-6"/>
        </w:rPr>
        <w:t>作为奖品、赠品的；违法所得一万元以上三万元以下的；已因相同违法行为被行政处罚一次的，有违法所得的，处以违法所得一倍以上二倍以下的罚款，但最高不超过两</w:t>
      </w:r>
      <w:r>
        <w:rPr>
          <w:color w:val="auto"/>
        </w:rPr>
        <w:t>万元；没有违法所得的，处以三千元以上七千元以下的罚款。</w:t>
      </w:r>
    </w:p>
    <w:p>
      <w:pPr>
        <w:pStyle w:val="13"/>
        <w:numPr>
          <w:ilvl w:val="0"/>
          <w:numId w:val="194"/>
        </w:numPr>
        <w:tabs>
          <w:tab w:val="left" w:pos="833"/>
        </w:tabs>
        <w:spacing w:before="0" w:after="0" w:line="302" w:lineRule="exact"/>
        <w:ind w:left="832" w:right="0" w:hanging="242"/>
        <w:jc w:val="left"/>
        <w:rPr>
          <w:color w:val="auto"/>
          <w:sz w:val="24"/>
        </w:rPr>
      </w:pPr>
      <w:r>
        <w:rPr>
          <w:color w:val="auto"/>
          <w:sz w:val="24"/>
        </w:rPr>
        <w:t>【严重】</w:t>
      </w:r>
    </w:p>
    <w:p>
      <w:pPr>
        <w:pStyle w:val="4"/>
        <w:spacing w:before="191" w:line="391" w:lineRule="auto"/>
        <w:ind w:right="148" w:firstLine="480"/>
        <w:rPr>
          <w:color w:val="auto"/>
        </w:rPr>
      </w:pPr>
      <w:r>
        <w:rPr>
          <w:color w:val="auto"/>
          <w:spacing w:val="-3"/>
        </w:rPr>
        <w:t>零售商违法促销商品价值十万元以上的；违法所得三万元以上的；已因相同违法</w:t>
      </w:r>
      <w:r>
        <w:rPr>
          <w:color w:val="auto"/>
          <w:spacing w:val="-14"/>
        </w:rPr>
        <w:t xml:space="preserve">行为被行政处罚两次以上的，有违法所得的，处以违法所得二倍以上三倍以下的罚款， </w:t>
      </w:r>
      <w:r>
        <w:rPr>
          <w:color w:val="auto"/>
          <w:spacing w:val="-4"/>
        </w:rPr>
        <w:t>但最高不超过三万元，并向社会公告；没有违法所得的，处以七千元以上一万元以下罚款，并向社会公告。</w:t>
      </w:r>
    </w:p>
    <w:p>
      <w:pPr>
        <w:pStyle w:val="2"/>
        <w:spacing w:line="304" w:lineRule="exact"/>
        <w:rPr>
          <w:color w:val="auto"/>
        </w:rPr>
      </w:pPr>
      <w:bookmarkStart w:id="537" w:name="二百六十一、未经批准从事直销活动"/>
      <w:bookmarkEnd w:id="537"/>
      <w:bookmarkStart w:id="538" w:name="_bookmark268"/>
      <w:bookmarkEnd w:id="538"/>
      <w:r>
        <w:rPr>
          <w:color w:val="auto"/>
        </w:rPr>
        <w:t>二百六十一、未经批准从事直销活动</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8"/>
        </w:rPr>
        <w:t>、《直销管理条例》第三十九条 违反本条例第九条和第十条规定，未经批准从</w:t>
      </w:r>
      <w:r>
        <w:rPr>
          <w:color w:val="auto"/>
          <w:spacing w:val="-10"/>
        </w:rPr>
        <w:t xml:space="preserve">事直销活动的，由工商行政管理部门责令改正，没收直销产品和违法销售收入，处 </w:t>
      </w:r>
      <w:r>
        <w:rPr>
          <w:color w:val="auto"/>
        </w:rPr>
        <w:t>5</w:t>
      </w:r>
    </w:p>
    <w:p>
      <w:pPr>
        <w:pStyle w:val="4"/>
        <w:spacing w:line="388" w:lineRule="auto"/>
        <w:ind w:right="268"/>
        <w:jc w:val="both"/>
        <w:rPr>
          <w:color w:val="auto"/>
        </w:rPr>
      </w:pPr>
      <w:r>
        <w:rPr>
          <w:color w:val="auto"/>
          <w:spacing w:val="-10"/>
        </w:rPr>
        <w:t xml:space="preserve">万元以上 </w:t>
      </w:r>
      <w:r>
        <w:rPr>
          <w:color w:val="auto"/>
        </w:rPr>
        <w:t>30</w:t>
      </w:r>
      <w:r>
        <w:rPr>
          <w:color w:val="auto"/>
          <w:spacing w:val="-11"/>
        </w:rPr>
        <w:t xml:space="preserve"> 万元以下的罚款；情节严重的，处 </w:t>
      </w:r>
      <w:r>
        <w:rPr>
          <w:color w:val="auto"/>
        </w:rPr>
        <w:t>30</w:t>
      </w:r>
      <w:r>
        <w:rPr>
          <w:color w:val="auto"/>
          <w:spacing w:val="-18"/>
        </w:rPr>
        <w:t xml:space="preserve"> 万元以上 </w:t>
      </w:r>
      <w:r>
        <w:rPr>
          <w:color w:val="auto"/>
        </w:rPr>
        <w:t>50</w:t>
      </w:r>
      <w:r>
        <w:rPr>
          <w:color w:val="auto"/>
          <w:spacing w:val="-7"/>
        </w:rPr>
        <w:t xml:space="preserve"> 万元以下的罚款，并依法予以取缔；构成犯罪的，依法追究刑事责任。</w:t>
      </w:r>
    </w:p>
    <w:p>
      <w:pPr>
        <w:pStyle w:val="13"/>
        <w:numPr>
          <w:ilvl w:val="1"/>
          <w:numId w:val="195"/>
        </w:numPr>
        <w:tabs>
          <w:tab w:val="left" w:pos="954"/>
        </w:tabs>
        <w:spacing w:before="3" w:after="0" w:line="388" w:lineRule="auto"/>
        <w:ind w:left="111" w:right="268" w:firstLine="480"/>
        <w:jc w:val="both"/>
        <w:rPr>
          <w:color w:val="auto"/>
          <w:sz w:val="24"/>
        </w:rPr>
      </w:pPr>
      <w:r>
        <w:rPr>
          <w:color w:val="auto"/>
          <w:spacing w:val="-8"/>
          <w:sz w:val="24"/>
        </w:rPr>
        <w:t>、《直销管理条例》第九条 申请人应当通过所在地省、</w:t>
      </w:r>
      <w:r>
        <w:rPr>
          <w:color w:val="auto"/>
        </w:rPr>
        <w:fldChar w:fldCharType="begin"/>
      </w:r>
      <w:r>
        <w:rPr>
          <w:color w:val="auto"/>
        </w:rPr>
        <w:instrText xml:space="preserve"> HYPERLINK "http://baike.so.com/doc/5411133-5649231.html" \h </w:instrText>
      </w:r>
      <w:r>
        <w:rPr>
          <w:color w:val="auto"/>
        </w:rPr>
        <w:fldChar w:fldCharType="separate"/>
      </w:r>
      <w:r>
        <w:rPr>
          <w:color w:val="auto"/>
          <w:sz w:val="24"/>
        </w:rPr>
        <w:t>自治区</w:t>
      </w:r>
      <w:r>
        <w:rPr>
          <w:color w:val="auto"/>
          <w:sz w:val="24"/>
        </w:rPr>
        <w:fldChar w:fldCharType="end"/>
      </w:r>
      <w:r>
        <w:rPr>
          <w:color w:val="auto"/>
          <w:spacing w:val="4"/>
          <w:sz w:val="24"/>
        </w:rPr>
        <w:t>、</w:t>
      </w:r>
      <w:r>
        <w:rPr>
          <w:color w:val="auto"/>
        </w:rPr>
        <w:fldChar w:fldCharType="begin"/>
      </w:r>
      <w:r>
        <w:rPr>
          <w:color w:val="auto"/>
        </w:rPr>
        <w:instrText xml:space="preserve"> HYPERLINK "http://baike.so.com/doc/4262805-4465570.html" \h </w:instrText>
      </w:r>
      <w:r>
        <w:rPr>
          <w:color w:val="auto"/>
        </w:rPr>
        <w:fldChar w:fldCharType="separate"/>
      </w:r>
      <w:r>
        <w:rPr>
          <w:color w:val="auto"/>
          <w:sz w:val="24"/>
        </w:rPr>
        <w:t>直辖市</w:t>
      </w:r>
      <w:r>
        <w:rPr>
          <w:color w:val="auto"/>
          <w:sz w:val="24"/>
        </w:rPr>
        <w:fldChar w:fldCharType="end"/>
      </w:r>
      <w:r>
        <w:rPr>
          <w:color w:val="auto"/>
          <w:sz w:val="24"/>
        </w:rPr>
        <w:t>商务</w:t>
      </w:r>
      <w:r>
        <w:rPr>
          <w:color w:val="auto"/>
          <w:spacing w:val="-4"/>
          <w:sz w:val="24"/>
        </w:rPr>
        <w:t>主管部门向国务院商务主管部门提出申请。省、自治区、直辖市商务主管部门应当自</w:t>
      </w:r>
      <w:r>
        <w:rPr>
          <w:color w:val="auto"/>
          <w:spacing w:val="-7"/>
          <w:sz w:val="24"/>
        </w:rPr>
        <w:t xml:space="preserve">收到申请文件、资料之日起 </w:t>
      </w:r>
      <w:r>
        <w:rPr>
          <w:color w:val="auto"/>
          <w:sz w:val="24"/>
        </w:rPr>
        <w:t>7</w:t>
      </w:r>
      <w:r>
        <w:rPr>
          <w:color w:val="auto"/>
          <w:spacing w:val="-11"/>
          <w:sz w:val="24"/>
        </w:rPr>
        <w:t xml:space="preserve"> 日内，将申请文件、资料报送国务院商务主管部门。国</w:t>
      </w:r>
    </w:p>
    <w:p>
      <w:pPr>
        <w:pStyle w:val="4"/>
        <w:spacing w:before="5" w:line="388" w:lineRule="auto"/>
        <w:ind w:right="268"/>
        <w:jc w:val="both"/>
        <w:rPr>
          <w:color w:val="auto"/>
        </w:rPr>
      </w:pPr>
      <w:r>
        <w:rPr>
          <w:color w:val="auto"/>
          <w:spacing w:val="-2"/>
        </w:rPr>
        <w:t xml:space="preserve">务院商务主管部门应当自收到全部申请文件、资料之日起 </w:t>
      </w:r>
      <w:r>
        <w:rPr>
          <w:color w:val="auto"/>
        </w:rPr>
        <w:t>90</w:t>
      </w:r>
      <w:r>
        <w:rPr>
          <w:color w:val="auto"/>
          <w:spacing w:val="-6"/>
        </w:rPr>
        <w:t xml:space="preserve"> 日内，经征求国务院工</w:t>
      </w:r>
      <w:r>
        <w:rPr>
          <w:color w:val="auto"/>
          <w:spacing w:val="-10"/>
        </w:rPr>
        <w:t>商行政管理部门的意见，作出批准或者不予批准的决定。予以批准的，由国务院商务</w:t>
      </w:r>
      <w:r>
        <w:rPr>
          <w:color w:val="auto"/>
        </w:rPr>
        <w:t>主管部门颁发直销经营许可证。</w:t>
      </w:r>
    </w:p>
    <w:p>
      <w:pPr>
        <w:spacing w:after="0" w:line="388" w:lineRule="auto"/>
        <w:jc w:val="both"/>
        <w:rPr>
          <w:color w:val="auto"/>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申请人持国务院商务主管部门颁发的直销经营许可证，依法向工商行政管理部门申请变更登记。</w:t>
      </w:r>
    </w:p>
    <w:p>
      <w:pPr>
        <w:pStyle w:val="4"/>
        <w:spacing w:line="388" w:lineRule="auto"/>
        <w:ind w:right="213" w:firstLine="480"/>
        <w:rPr>
          <w:color w:val="auto"/>
        </w:rPr>
      </w:pPr>
      <w:r>
        <w:rPr>
          <w:color w:val="auto"/>
        </w:rPr>
        <w:t>国务院商务主管部门审查颁发直销经营许可证，应当考虑国家安全、社会公共利益和直销业发展状况等因素。</w:t>
      </w:r>
    </w:p>
    <w:p>
      <w:pPr>
        <w:pStyle w:val="13"/>
        <w:numPr>
          <w:ilvl w:val="1"/>
          <w:numId w:val="195"/>
        </w:numPr>
        <w:tabs>
          <w:tab w:val="left" w:pos="954"/>
        </w:tabs>
        <w:spacing w:before="3" w:after="0" w:line="388" w:lineRule="auto"/>
        <w:ind w:left="111" w:right="268" w:firstLine="480"/>
        <w:jc w:val="both"/>
        <w:rPr>
          <w:color w:val="auto"/>
          <w:sz w:val="24"/>
        </w:rPr>
      </w:pPr>
      <w:r>
        <w:rPr>
          <w:color w:val="auto"/>
          <w:spacing w:val="-7"/>
          <w:sz w:val="24"/>
        </w:rPr>
        <w:t>、《直销管理条例》第十条 直销企业从事直销活动，必须在拟从事直销活动的省、自治区、直辖市设立负责</w:t>
      </w:r>
      <w:r>
        <w:rPr>
          <w:color w:val="auto"/>
        </w:rPr>
        <w:fldChar w:fldCharType="begin"/>
      </w:r>
      <w:r>
        <w:rPr>
          <w:color w:val="auto"/>
        </w:rPr>
        <w:instrText xml:space="preserve"> HYPERLINK "http://baike.so.com/doc/5759567-5972329.html" \h </w:instrText>
      </w:r>
      <w:r>
        <w:rPr>
          <w:color w:val="auto"/>
        </w:rPr>
        <w:fldChar w:fldCharType="separate"/>
      </w:r>
      <w:r>
        <w:rPr>
          <w:color w:val="auto"/>
          <w:spacing w:val="-7"/>
          <w:sz w:val="24"/>
        </w:rPr>
        <w:t>该行政区域</w:t>
      </w:r>
      <w:r>
        <w:rPr>
          <w:color w:val="auto"/>
          <w:spacing w:val="-7"/>
          <w:sz w:val="24"/>
        </w:rPr>
        <w:fldChar w:fldCharType="end"/>
      </w:r>
      <w:r>
        <w:rPr>
          <w:color w:val="auto"/>
          <w:spacing w:val="-7"/>
          <w:sz w:val="24"/>
        </w:rPr>
        <w:t>内直销业务的分支机构(以下简称分支机构)。</w:t>
      </w:r>
    </w:p>
    <w:p>
      <w:pPr>
        <w:pStyle w:val="4"/>
        <w:spacing w:before="6" w:line="388" w:lineRule="auto"/>
        <w:ind w:right="268" w:firstLine="480"/>
        <w:jc w:val="both"/>
        <w:rPr>
          <w:color w:val="auto"/>
        </w:rPr>
      </w:pPr>
      <w:r>
        <w:rPr>
          <w:color w:val="auto"/>
          <w:spacing w:val="-3"/>
        </w:rPr>
        <w:t>直销企业在其从事直销活动的地区应当建立便于并满足消费者、直销员了解产品</w:t>
      </w:r>
      <w:r>
        <w:rPr>
          <w:color w:val="auto"/>
          <w:spacing w:val="-7"/>
        </w:rPr>
        <w:t>价格、退换货及企业依法提供其他服务的服务网点。服务网点的设立应当符合当地县</w:t>
      </w:r>
      <w:r>
        <w:rPr>
          <w:color w:val="auto"/>
        </w:rPr>
        <w:t>级以上人民政府的要求。</w:t>
      </w:r>
    </w:p>
    <w:p>
      <w:pPr>
        <w:pStyle w:val="4"/>
        <w:spacing w:before="5" w:line="388" w:lineRule="auto"/>
        <w:ind w:right="268" w:firstLine="480"/>
        <w:jc w:val="both"/>
        <w:rPr>
          <w:color w:val="auto"/>
        </w:rPr>
      </w:pPr>
      <w:r>
        <w:rPr>
          <w:color w:val="auto"/>
          <w:spacing w:val="-4"/>
        </w:rPr>
        <w:t>直销企业申请设立分支机构，应当提供符合前款规定条件的证明文件和资料，并</w:t>
      </w:r>
      <w:r>
        <w:rPr>
          <w:color w:val="auto"/>
          <w:spacing w:val="-3"/>
        </w:rPr>
        <w:t>应当依照本条例第九条第一款规定的程序提出申请。获得批准后，依法向工商行政管</w:t>
      </w:r>
      <w:r>
        <w:rPr>
          <w:color w:val="auto"/>
        </w:rPr>
        <w:t>理部门办理登记。</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13" w:firstLine="480"/>
        <w:rPr>
          <w:color w:val="auto"/>
        </w:rPr>
      </w:pPr>
      <w:r>
        <w:rPr>
          <w:color w:val="auto"/>
        </w:rPr>
        <w:t>直销产品货值和违法销售收入总金额五万元以下且违法情节轻微的，没收直销产品和违法销售收入，处以五万元以上十万元以下的罚款。</w:t>
      </w:r>
    </w:p>
    <w:p>
      <w:pPr>
        <w:pStyle w:val="13"/>
        <w:numPr>
          <w:ilvl w:val="0"/>
          <w:numId w:val="196"/>
        </w:numPr>
        <w:tabs>
          <w:tab w:val="left" w:pos="833"/>
        </w:tabs>
        <w:spacing w:before="0" w:after="0" w:line="306" w:lineRule="exact"/>
        <w:ind w:left="832" w:right="0" w:hanging="242"/>
        <w:jc w:val="left"/>
        <w:rPr>
          <w:color w:val="auto"/>
          <w:sz w:val="24"/>
        </w:rPr>
      </w:pPr>
      <w:r>
        <w:rPr>
          <w:color w:val="auto"/>
          <w:sz w:val="24"/>
        </w:rPr>
        <w:t>【一般】</w:t>
      </w:r>
    </w:p>
    <w:p>
      <w:pPr>
        <w:pStyle w:val="4"/>
        <w:spacing w:before="192" w:line="391" w:lineRule="auto"/>
        <w:ind w:right="148" w:firstLine="480"/>
        <w:rPr>
          <w:color w:val="auto"/>
        </w:rPr>
      </w:pPr>
      <w:r>
        <w:rPr>
          <w:color w:val="auto"/>
          <w:spacing w:val="-2"/>
        </w:rPr>
        <w:t>直销产品货值和违法销售收入总金额五万元以上二十万元以下，且违法行为未造</w:t>
      </w:r>
      <w:r>
        <w:rPr>
          <w:color w:val="auto"/>
          <w:spacing w:val="-15"/>
        </w:rPr>
        <w:t>成严重后果的，没收直销产品和违法销售收入，处以十万元以上三十万元以下的罚款。</w:t>
      </w:r>
    </w:p>
    <w:p>
      <w:pPr>
        <w:pStyle w:val="13"/>
        <w:numPr>
          <w:ilvl w:val="0"/>
          <w:numId w:val="196"/>
        </w:numPr>
        <w:tabs>
          <w:tab w:val="left" w:pos="833"/>
        </w:tabs>
        <w:spacing w:before="0" w:after="0" w:line="306" w:lineRule="exact"/>
        <w:ind w:left="832" w:right="0" w:hanging="242"/>
        <w:jc w:val="left"/>
        <w:rPr>
          <w:color w:val="auto"/>
          <w:sz w:val="24"/>
        </w:rPr>
      </w:pPr>
      <w:r>
        <w:rPr>
          <w:color w:val="auto"/>
          <w:sz w:val="24"/>
        </w:rPr>
        <w:t>【严重】</w:t>
      </w:r>
    </w:p>
    <w:p>
      <w:pPr>
        <w:pStyle w:val="4"/>
        <w:spacing w:before="191" w:line="391" w:lineRule="auto"/>
        <w:ind w:right="268" w:firstLine="480"/>
        <w:jc w:val="both"/>
        <w:rPr>
          <w:color w:val="auto"/>
        </w:rPr>
      </w:pPr>
      <w:r>
        <w:rPr>
          <w:color w:val="auto"/>
          <w:spacing w:val="-3"/>
        </w:rPr>
        <w:t>直销产品货值和违法销售收入总金额在二十万元以上的，或者具有其他严重情节</w:t>
      </w:r>
      <w:r>
        <w:rPr>
          <w:color w:val="auto"/>
          <w:spacing w:val="-6"/>
        </w:rPr>
        <w:t>的，没收直销产品和违法销售收入，处以三十万元以上五十万元以下的罚款，并依法</w:t>
      </w:r>
      <w:r>
        <w:rPr>
          <w:color w:val="auto"/>
        </w:rPr>
        <w:t>予以取缔。</w:t>
      </w:r>
    </w:p>
    <w:p>
      <w:pPr>
        <w:pStyle w:val="2"/>
        <w:spacing w:line="304" w:lineRule="exact"/>
        <w:rPr>
          <w:color w:val="auto"/>
        </w:rPr>
      </w:pPr>
      <w:bookmarkStart w:id="539" w:name="_bookmark269"/>
      <w:bookmarkEnd w:id="539"/>
      <w:bookmarkStart w:id="540" w:name="二百六十二、通过欺骗、贿赂等手段取得直销经营许可"/>
      <w:bookmarkEnd w:id="540"/>
      <w:r>
        <w:rPr>
          <w:color w:val="auto"/>
        </w:rPr>
        <w:t>二百六十二、通过欺骗、贿赂等手段取得直销经营许可</w:t>
      </w:r>
    </w:p>
    <w:p>
      <w:pPr>
        <w:spacing w:before="195"/>
        <w:ind w:left="591" w:right="0" w:firstLine="0"/>
        <w:jc w:val="left"/>
        <w:rPr>
          <w:b/>
          <w:color w:val="auto"/>
          <w:sz w:val="24"/>
        </w:rPr>
      </w:pPr>
      <w:r>
        <w:rPr>
          <w:b/>
          <w:color w:val="auto"/>
          <w:sz w:val="24"/>
        </w:rPr>
        <w:t>（一）处罚依据</w:t>
      </w:r>
    </w:p>
    <w:p>
      <w:pPr>
        <w:pStyle w:val="4"/>
        <w:spacing w:before="191" w:line="388" w:lineRule="auto"/>
        <w:ind w:right="268" w:firstLine="480"/>
        <w:rPr>
          <w:color w:val="auto"/>
        </w:rPr>
      </w:pPr>
      <w:r>
        <w:rPr>
          <w:color w:val="auto"/>
        </w:rPr>
        <w:t>1</w:t>
      </w:r>
      <w:r>
        <w:rPr>
          <w:color w:val="auto"/>
          <w:spacing w:val="-8"/>
        </w:rPr>
        <w:t>、《直销管理条例》第四十条 申请人通过欺骗、贿赂等手段取得本条例第九条</w:t>
      </w:r>
      <w:r>
        <w:rPr>
          <w:color w:val="auto"/>
          <w:spacing w:val="-13"/>
        </w:rPr>
        <w:t xml:space="preserve">和第十条设定的许可的，由工商行政管理部门没收直销产品和违法销售收入，处 </w:t>
      </w:r>
      <w:r>
        <w:rPr>
          <w:color w:val="auto"/>
        </w:rPr>
        <w:t>5</w:t>
      </w:r>
      <w:r>
        <w:rPr>
          <w:color w:val="auto"/>
          <w:spacing w:val="-38"/>
        </w:rPr>
        <w:t xml:space="preserve"> 万</w:t>
      </w:r>
    </w:p>
    <w:p>
      <w:pPr>
        <w:spacing w:after="0" w:line="388" w:lineRule="auto"/>
        <w:rPr>
          <w:color w:val="auto"/>
        </w:rPr>
        <w:sectPr>
          <w:pgSz w:w="11910" w:h="16840"/>
          <w:pgMar w:top="1520" w:right="1260" w:bottom="1220" w:left="1420" w:header="0" w:footer="1034" w:gutter="0"/>
        </w:sectPr>
      </w:pPr>
    </w:p>
    <w:p>
      <w:pPr>
        <w:pStyle w:val="4"/>
        <w:spacing w:before="39"/>
        <w:jc w:val="both"/>
        <w:rPr>
          <w:color w:val="auto"/>
        </w:rPr>
      </w:pPr>
      <w:r>
        <w:rPr>
          <w:color w:val="auto"/>
        </w:rPr>
        <w:t>元以上 30 万元以下的罚款，由国务院商务主管部门撤销其相应的许可，申请人不得</w:t>
      </w:r>
    </w:p>
    <w:p>
      <w:pPr>
        <w:pStyle w:val="4"/>
        <w:spacing w:before="195" w:line="388" w:lineRule="auto"/>
        <w:ind w:right="268"/>
        <w:jc w:val="both"/>
        <w:rPr>
          <w:color w:val="auto"/>
        </w:rPr>
      </w:pPr>
      <w:r>
        <w:rPr>
          <w:color w:val="auto"/>
          <w:spacing w:val="-8"/>
        </w:rPr>
        <w:t xml:space="preserve">再提出申请；情节严重的，处 </w:t>
      </w:r>
      <w:r>
        <w:rPr>
          <w:color w:val="auto"/>
        </w:rPr>
        <w:t>30</w:t>
      </w:r>
      <w:r>
        <w:rPr>
          <w:color w:val="auto"/>
          <w:spacing w:val="-20"/>
        </w:rPr>
        <w:t xml:space="preserve"> 万元以上 </w:t>
      </w:r>
      <w:r>
        <w:rPr>
          <w:color w:val="auto"/>
        </w:rPr>
        <w:t>50</w:t>
      </w:r>
      <w:r>
        <w:rPr>
          <w:color w:val="auto"/>
          <w:spacing w:val="-10"/>
        </w:rPr>
        <w:t xml:space="preserve"> 万元以下的罚款，并依法予以取缔；构</w:t>
      </w:r>
      <w:r>
        <w:rPr>
          <w:color w:val="auto"/>
        </w:rPr>
        <w:t>成犯罪的，依法追究刑事责任。</w:t>
      </w:r>
    </w:p>
    <w:p>
      <w:pPr>
        <w:pStyle w:val="13"/>
        <w:numPr>
          <w:ilvl w:val="1"/>
          <w:numId w:val="197"/>
        </w:numPr>
        <w:tabs>
          <w:tab w:val="left" w:pos="954"/>
        </w:tabs>
        <w:spacing w:before="2" w:after="0" w:line="391" w:lineRule="auto"/>
        <w:ind w:left="111" w:right="268" w:firstLine="480"/>
        <w:jc w:val="both"/>
        <w:rPr>
          <w:color w:val="auto"/>
          <w:sz w:val="24"/>
        </w:rPr>
      </w:pPr>
      <w:r>
        <w:rPr>
          <w:color w:val="auto"/>
          <w:spacing w:val="-8"/>
          <w:sz w:val="24"/>
        </w:rPr>
        <w:t>、《直销管理条例》第九条 申请人应当通过所在地省、</w:t>
      </w:r>
      <w:r>
        <w:rPr>
          <w:color w:val="auto"/>
        </w:rPr>
        <w:fldChar w:fldCharType="begin"/>
      </w:r>
      <w:r>
        <w:rPr>
          <w:color w:val="auto"/>
        </w:rPr>
        <w:instrText xml:space="preserve"> HYPERLINK "http://baike.so.com/doc/5411133-5649231.html" \h </w:instrText>
      </w:r>
      <w:r>
        <w:rPr>
          <w:color w:val="auto"/>
        </w:rPr>
        <w:fldChar w:fldCharType="separate"/>
      </w:r>
      <w:r>
        <w:rPr>
          <w:color w:val="auto"/>
          <w:sz w:val="24"/>
        </w:rPr>
        <w:t>自治区</w:t>
      </w:r>
      <w:r>
        <w:rPr>
          <w:color w:val="auto"/>
          <w:sz w:val="24"/>
        </w:rPr>
        <w:fldChar w:fldCharType="end"/>
      </w:r>
      <w:r>
        <w:rPr>
          <w:color w:val="auto"/>
          <w:spacing w:val="4"/>
          <w:sz w:val="24"/>
        </w:rPr>
        <w:t>、</w:t>
      </w:r>
      <w:r>
        <w:rPr>
          <w:color w:val="auto"/>
        </w:rPr>
        <w:fldChar w:fldCharType="begin"/>
      </w:r>
      <w:r>
        <w:rPr>
          <w:color w:val="auto"/>
        </w:rPr>
        <w:instrText xml:space="preserve"> HYPERLINK "http://baike.so.com/doc/4262805-4465570.html" \h </w:instrText>
      </w:r>
      <w:r>
        <w:rPr>
          <w:color w:val="auto"/>
        </w:rPr>
        <w:fldChar w:fldCharType="separate"/>
      </w:r>
      <w:r>
        <w:rPr>
          <w:color w:val="auto"/>
          <w:sz w:val="24"/>
        </w:rPr>
        <w:t>直辖市</w:t>
      </w:r>
      <w:r>
        <w:rPr>
          <w:color w:val="auto"/>
          <w:sz w:val="24"/>
        </w:rPr>
        <w:fldChar w:fldCharType="end"/>
      </w:r>
      <w:r>
        <w:rPr>
          <w:color w:val="auto"/>
          <w:sz w:val="24"/>
        </w:rPr>
        <w:t>商务</w:t>
      </w:r>
      <w:r>
        <w:rPr>
          <w:color w:val="auto"/>
          <w:spacing w:val="-4"/>
          <w:sz w:val="24"/>
        </w:rPr>
        <w:t>主管部门向国务院商务主管部门提出申请。省、自治区、直辖市商务主管部门应当自</w:t>
      </w:r>
      <w:r>
        <w:rPr>
          <w:color w:val="auto"/>
          <w:spacing w:val="-7"/>
          <w:sz w:val="24"/>
        </w:rPr>
        <w:t xml:space="preserve">收到申请文件、资料之日起 </w:t>
      </w:r>
      <w:r>
        <w:rPr>
          <w:color w:val="auto"/>
          <w:sz w:val="24"/>
        </w:rPr>
        <w:t>7</w:t>
      </w:r>
      <w:r>
        <w:rPr>
          <w:color w:val="auto"/>
          <w:spacing w:val="-11"/>
          <w:sz w:val="24"/>
        </w:rPr>
        <w:t xml:space="preserve"> 日内，将申请文件、资料报送国务院商务主管部门。国</w:t>
      </w:r>
    </w:p>
    <w:p>
      <w:pPr>
        <w:pStyle w:val="4"/>
        <w:spacing w:line="391" w:lineRule="auto"/>
        <w:ind w:right="268"/>
        <w:jc w:val="both"/>
        <w:rPr>
          <w:color w:val="auto"/>
        </w:rPr>
      </w:pPr>
      <w:r>
        <w:rPr>
          <w:color w:val="auto"/>
          <w:spacing w:val="-2"/>
        </w:rPr>
        <w:t xml:space="preserve">务院商务主管部门应当自收到全部申请文件、资料之日起 </w:t>
      </w:r>
      <w:r>
        <w:rPr>
          <w:color w:val="auto"/>
        </w:rPr>
        <w:t>90</w:t>
      </w:r>
      <w:r>
        <w:rPr>
          <w:color w:val="auto"/>
          <w:spacing w:val="-6"/>
        </w:rPr>
        <w:t xml:space="preserve"> 日内，经征求国务院工</w:t>
      </w:r>
      <w:r>
        <w:rPr>
          <w:color w:val="auto"/>
          <w:spacing w:val="-10"/>
        </w:rPr>
        <w:t>商行政管理部门的意见，作出批准或者不予批准的决定。予以批准的，由国务院商务</w:t>
      </w:r>
      <w:r>
        <w:rPr>
          <w:color w:val="auto"/>
        </w:rPr>
        <w:t>主管部门颁发直销经营许可证。</w:t>
      </w:r>
    </w:p>
    <w:p>
      <w:pPr>
        <w:pStyle w:val="4"/>
        <w:spacing w:line="391" w:lineRule="auto"/>
        <w:ind w:right="213" w:firstLine="480"/>
        <w:rPr>
          <w:color w:val="auto"/>
        </w:rPr>
      </w:pPr>
      <w:r>
        <w:rPr>
          <w:color w:val="auto"/>
        </w:rPr>
        <w:t>申请人持国务院商务主管部门颁发的直销经营许可证，依法向工商行政管理部门申请变更登记。</w:t>
      </w:r>
    </w:p>
    <w:p>
      <w:pPr>
        <w:pStyle w:val="4"/>
        <w:spacing w:line="388" w:lineRule="auto"/>
        <w:ind w:right="213" w:firstLine="480"/>
        <w:rPr>
          <w:color w:val="auto"/>
        </w:rPr>
      </w:pPr>
      <w:r>
        <w:rPr>
          <w:color w:val="auto"/>
        </w:rPr>
        <w:t>国务院商务主管部门审查颁发直销经营许可证，应当考虑国家安全、社会公共利益和直销业发展状况等因素。</w:t>
      </w:r>
    </w:p>
    <w:p>
      <w:pPr>
        <w:pStyle w:val="13"/>
        <w:numPr>
          <w:ilvl w:val="1"/>
          <w:numId w:val="197"/>
        </w:numPr>
        <w:tabs>
          <w:tab w:val="left" w:pos="954"/>
        </w:tabs>
        <w:spacing w:before="0" w:after="0" w:line="388" w:lineRule="auto"/>
        <w:ind w:left="111" w:right="268" w:firstLine="480"/>
        <w:jc w:val="both"/>
        <w:rPr>
          <w:color w:val="auto"/>
          <w:sz w:val="24"/>
        </w:rPr>
      </w:pPr>
      <w:r>
        <w:rPr>
          <w:color w:val="auto"/>
          <w:spacing w:val="-7"/>
          <w:sz w:val="24"/>
        </w:rPr>
        <w:t>、《直销管理条例》第十条 直销企业从事直销活动，必须在拟从事直销活动的省、自治区、直辖市设立负责</w:t>
      </w:r>
      <w:r>
        <w:rPr>
          <w:color w:val="auto"/>
        </w:rPr>
        <w:fldChar w:fldCharType="begin"/>
      </w:r>
      <w:r>
        <w:rPr>
          <w:color w:val="auto"/>
        </w:rPr>
        <w:instrText xml:space="preserve"> HYPERLINK "http://baike.so.com/doc/5759567-5972329.html" \h </w:instrText>
      </w:r>
      <w:r>
        <w:rPr>
          <w:color w:val="auto"/>
        </w:rPr>
        <w:fldChar w:fldCharType="separate"/>
      </w:r>
      <w:r>
        <w:rPr>
          <w:color w:val="auto"/>
          <w:spacing w:val="-7"/>
          <w:sz w:val="24"/>
        </w:rPr>
        <w:t>该行政区域</w:t>
      </w:r>
      <w:r>
        <w:rPr>
          <w:color w:val="auto"/>
          <w:spacing w:val="-7"/>
          <w:sz w:val="24"/>
        </w:rPr>
        <w:fldChar w:fldCharType="end"/>
      </w:r>
      <w:r>
        <w:rPr>
          <w:color w:val="auto"/>
          <w:spacing w:val="-7"/>
          <w:sz w:val="24"/>
        </w:rPr>
        <w:t>内直销业务的分支机构(以下简称分支机构)。</w:t>
      </w:r>
    </w:p>
    <w:p>
      <w:pPr>
        <w:pStyle w:val="4"/>
        <w:spacing w:before="1" w:line="388" w:lineRule="auto"/>
        <w:ind w:right="268" w:firstLine="480"/>
        <w:jc w:val="both"/>
        <w:rPr>
          <w:color w:val="auto"/>
        </w:rPr>
      </w:pPr>
      <w:r>
        <w:rPr>
          <w:color w:val="auto"/>
          <w:spacing w:val="-3"/>
        </w:rPr>
        <w:t>直销企业在其从事直销活动的地区应当建立便于并满足消费者、直销员了解产品</w:t>
      </w:r>
      <w:r>
        <w:rPr>
          <w:color w:val="auto"/>
          <w:spacing w:val="-7"/>
        </w:rPr>
        <w:t>价格、退换货及企业依法提供其他服务的服务网点。服务网点的设立应当符合当地县</w:t>
      </w:r>
      <w:r>
        <w:rPr>
          <w:color w:val="auto"/>
        </w:rPr>
        <w:t>级以上人民政府的要求。</w:t>
      </w:r>
    </w:p>
    <w:p>
      <w:pPr>
        <w:pStyle w:val="4"/>
        <w:spacing w:before="5" w:line="388" w:lineRule="auto"/>
        <w:ind w:right="268" w:firstLine="480"/>
        <w:jc w:val="both"/>
        <w:rPr>
          <w:color w:val="auto"/>
        </w:rPr>
      </w:pPr>
      <w:r>
        <w:rPr>
          <w:color w:val="auto"/>
          <w:spacing w:val="-4"/>
        </w:rPr>
        <w:t>直销企业申请设立分支机构，应当提供符合前款规定条件的证明文件和资料，并</w:t>
      </w:r>
      <w:r>
        <w:rPr>
          <w:color w:val="auto"/>
          <w:spacing w:val="-3"/>
        </w:rPr>
        <w:t>应当依照本条例第九条第一款规定的程序提出申请。获得批准后，依法向工商行政管</w:t>
      </w:r>
      <w:r>
        <w:rPr>
          <w:color w:val="auto"/>
        </w:rPr>
        <w:t>理部门办理登记。</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13" w:firstLine="480"/>
        <w:rPr>
          <w:color w:val="auto"/>
        </w:rPr>
      </w:pPr>
      <w:r>
        <w:rPr>
          <w:color w:val="auto"/>
        </w:rPr>
        <w:t>直销产品货值和违法销售收入总金额五万元以下且违法情节轻微的，没收直销产品和违法销售收入，处以五万元以上十万元以下的罚款。</w:t>
      </w:r>
    </w:p>
    <w:p>
      <w:pPr>
        <w:pStyle w:val="4"/>
        <w:spacing w:line="306" w:lineRule="exact"/>
        <w:ind w:left="591"/>
        <w:rPr>
          <w:color w:val="auto"/>
        </w:rPr>
      </w:pPr>
      <w:r>
        <w:rPr>
          <w:color w:val="auto"/>
        </w:rPr>
        <w:t>2.【一般】</w:t>
      </w:r>
    </w:p>
    <w:p>
      <w:pPr>
        <w:pStyle w:val="4"/>
        <w:spacing w:before="192"/>
        <w:ind w:left="591"/>
        <w:rPr>
          <w:color w:val="auto"/>
        </w:rPr>
      </w:pPr>
      <w:r>
        <w:rPr>
          <w:color w:val="auto"/>
        </w:rPr>
        <w:t>直销产品货值和违法销售收入总金额五万元以上二十万元以下，且违法行为未造</w:t>
      </w:r>
    </w:p>
    <w:p>
      <w:pPr>
        <w:spacing w:after="0"/>
        <w:rPr>
          <w:color w:val="auto"/>
        </w:rPr>
        <w:sectPr>
          <w:pgSz w:w="11910" w:h="16840"/>
          <w:pgMar w:top="1520" w:right="1260" w:bottom="1220" w:left="1420" w:header="0" w:footer="1034" w:gutter="0"/>
        </w:sectPr>
      </w:pPr>
    </w:p>
    <w:p>
      <w:pPr>
        <w:pStyle w:val="4"/>
        <w:spacing w:before="39" w:line="391" w:lineRule="auto"/>
        <w:ind w:left="591" w:right="148" w:hanging="480"/>
        <w:rPr>
          <w:color w:val="auto"/>
        </w:rPr>
      </w:pPr>
      <w:r>
        <w:rPr>
          <w:color w:val="auto"/>
          <w:spacing w:val="-14"/>
        </w:rPr>
        <w:t>成严重后果的，没收直销产品和违法销售收入，处以十万元以上三十万元以下的罚款。</w:t>
      </w:r>
      <w:r>
        <w:rPr>
          <w:color w:val="auto"/>
        </w:rPr>
        <w:t>3.【严重】</w:t>
      </w:r>
    </w:p>
    <w:p>
      <w:pPr>
        <w:pStyle w:val="4"/>
        <w:spacing w:line="391" w:lineRule="auto"/>
        <w:ind w:right="268" w:firstLine="480"/>
        <w:jc w:val="both"/>
        <w:rPr>
          <w:color w:val="auto"/>
        </w:rPr>
      </w:pPr>
      <w:r>
        <w:rPr>
          <w:color w:val="auto"/>
          <w:spacing w:val="3"/>
        </w:rPr>
        <w:t>直销产品货值和违法销售收入总金额二十万元以上的，或者具有其他严重情节</w:t>
      </w:r>
      <w:r>
        <w:rPr>
          <w:color w:val="auto"/>
          <w:spacing w:val="-6"/>
        </w:rPr>
        <w:t>的，没收直销产品和违法销售收入，处以三十万元以上五十万元以下的罚款，并依法</w:t>
      </w:r>
      <w:r>
        <w:rPr>
          <w:color w:val="auto"/>
        </w:rPr>
        <w:t>予以取缔。</w:t>
      </w:r>
    </w:p>
    <w:p>
      <w:pPr>
        <w:pStyle w:val="2"/>
        <w:spacing w:line="304" w:lineRule="exact"/>
        <w:rPr>
          <w:color w:val="auto"/>
        </w:rPr>
      </w:pPr>
      <w:bookmarkStart w:id="541" w:name="_bookmark270"/>
      <w:bookmarkEnd w:id="541"/>
      <w:bookmarkStart w:id="542" w:name="二百六十三、直销企业申请文件、资料内容发生重大变更未依照规定程序报批"/>
      <w:bookmarkEnd w:id="542"/>
      <w:r>
        <w:rPr>
          <w:color w:val="auto"/>
        </w:rPr>
        <w:t>二百六十三、直销企业申请文件、资料内容发生重大变更未依照规定程序报批</w:t>
      </w:r>
    </w:p>
    <w:p>
      <w:pPr>
        <w:spacing w:before="191"/>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8"/>
        </w:rPr>
        <w:t>、《直销管理条例》第四十一条 直销企业违反本条例第十一条规定的，由工商</w:t>
      </w:r>
      <w:r>
        <w:rPr>
          <w:color w:val="auto"/>
          <w:spacing w:val="-11"/>
        </w:rPr>
        <w:t xml:space="preserve">行政管理部门责令改正，处 </w:t>
      </w:r>
      <w:r>
        <w:rPr>
          <w:color w:val="auto"/>
        </w:rPr>
        <w:t>3</w:t>
      </w:r>
      <w:r>
        <w:rPr>
          <w:color w:val="auto"/>
          <w:spacing w:val="-16"/>
        </w:rPr>
        <w:t xml:space="preserve"> 万元以上 </w:t>
      </w:r>
      <w:r>
        <w:rPr>
          <w:color w:val="auto"/>
        </w:rPr>
        <w:t>30</w:t>
      </w:r>
      <w:r>
        <w:rPr>
          <w:color w:val="auto"/>
          <w:spacing w:val="-7"/>
        </w:rPr>
        <w:t xml:space="preserve"> 万元以下的罚款；对不再符合直销经营许可条件的，由国务院商务主管部门吊销其直销经营许可证。</w:t>
      </w:r>
    </w:p>
    <w:p>
      <w:pPr>
        <w:pStyle w:val="4"/>
        <w:spacing w:before="5" w:line="388" w:lineRule="auto"/>
        <w:ind w:right="271" w:firstLine="480"/>
        <w:jc w:val="both"/>
        <w:rPr>
          <w:color w:val="auto"/>
        </w:rPr>
      </w:pPr>
      <w:r>
        <w:rPr>
          <w:color w:val="auto"/>
        </w:rPr>
        <w:t>2</w:t>
      </w:r>
      <w:r>
        <w:rPr>
          <w:color w:val="auto"/>
          <w:spacing w:val="-8"/>
        </w:rPr>
        <w:t>、《直销管理条例》第十一条 直销企业有关本条例第八条所列内容发生重大变更的，应当依照本条例第九条第一款规定的程序报国务院商务主管部门批准。</w:t>
      </w:r>
    </w:p>
    <w:p>
      <w:pPr>
        <w:spacing w:before="2"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152"/>
        <w:rPr>
          <w:color w:val="auto"/>
        </w:rPr>
      </w:pPr>
      <w:r>
        <w:rPr>
          <w:color w:val="auto"/>
          <w:spacing w:val="-1"/>
        </w:rPr>
        <w:t>逾期申报一个月以下的，处以三万元以上十万元以下的罚款。</w:t>
      </w:r>
      <w:r>
        <w:rPr>
          <w:color w:val="auto"/>
        </w:rPr>
        <w:t>2.【一般】</w:t>
      </w:r>
    </w:p>
    <w:p>
      <w:pPr>
        <w:pStyle w:val="4"/>
        <w:spacing w:before="3" w:line="388" w:lineRule="auto"/>
        <w:ind w:left="591" w:right="712"/>
        <w:rPr>
          <w:color w:val="auto"/>
        </w:rPr>
      </w:pPr>
      <w:r>
        <w:rPr>
          <w:color w:val="auto"/>
          <w:spacing w:val="-1"/>
        </w:rPr>
        <w:t>逾期申报一个月以上三个月以下的，处以十万元以上二十万元以下的罚款。</w:t>
      </w:r>
      <w:r>
        <w:rPr>
          <w:color w:val="auto"/>
        </w:rPr>
        <w:t>3.【严重】</w:t>
      </w:r>
    </w:p>
    <w:p>
      <w:pPr>
        <w:pStyle w:val="4"/>
        <w:spacing w:before="2" w:line="391" w:lineRule="auto"/>
        <w:ind w:right="213" w:firstLine="480"/>
        <w:rPr>
          <w:color w:val="auto"/>
        </w:rPr>
      </w:pPr>
      <w:r>
        <w:rPr>
          <w:color w:val="auto"/>
        </w:rPr>
        <w:t>逾期申报三个月以上的，或者具有其他严重情节的，处以二十万元以上三十万元以下的罚款。</w:t>
      </w:r>
    </w:p>
    <w:p>
      <w:pPr>
        <w:pStyle w:val="2"/>
        <w:spacing w:line="306" w:lineRule="exact"/>
        <w:rPr>
          <w:color w:val="auto"/>
        </w:rPr>
      </w:pPr>
      <w:bookmarkStart w:id="543" w:name="_bookmark271"/>
      <w:bookmarkEnd w:id="543"/>
      <w:bookmarkStart w:id="544" w:name="二百六十四、超出直销产品范围从事直销经营活动"/>
      <w:bookmarkEnd w:id="544"/>
      <w:r>
        <w:rPr>
          <w:color w:val="auto"/>
        </w:rPr>
        <w:t>二百六十四、超出直销产品范围从事直销经营活动</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《直销管理条例》第四十二条 直销企业违反规定，超出直销产品范围从事直销</w:t>
      </w:r>
      <w:r>
        <w:rPr>
          <w:color w:val="auto"/>
          <w:spacing w:val="-6"/>
        </w:rPr>
        <w:t xml:space="preserve">经营活动的，由工商行政管理部门责令改正，没收直销产品和违法销售收入，处 </w:t>
      </w:r>
      <w:r>
        <w:rPr>
          <w:color w:val="auto"/>
        </w:rPr>
        <w:t>5</w:t>
      </w:r>
      <w:r>
        <w:rPr>
          <w:color w:val="auto"/>
          <w:spacing w:val="-39"/>
        </w:rPr>
        <w:t xml:space="preserve"> 万</w:t>
      </w:r>
    </w:p>
    <w:p>
      <w:pPr>
        <w:pStyle w:val="4"/>
        <w:spacing w:before="2" w:line="391" w:lineRule="auto"/>
        <w:ind w:right="269"/>
        <w:jc w:val="both"/>
        <w:rPr>
          <w:color w:val="auto"/>
        </w:rPr>
      </w:pPr>
      <w:r>
        <w:rPr>
          <w:color w:val="auto"/>
          <w:spacing w:val="-13"/>
        </w:rPr>
        <w:t xml:space="preserve">元以上 </w:t>
      </w:r>
      <w:r>
        <w:rPr>
          <w:color w:val="auto"/>
        </w:rPr>
        <w:t>30</w:t>
      </w:r>
      <w:r>
        <w:rPr>
          <w:color w:val="auto"/>
          <w:spacing w:val="-11"/>
        </w:rPr>
        <w:t xml:space="preserve"> 万元以下的罚款；情节严重的，处 </w:t>
      </w:r>
      <w:r>
        <w:rPr>
          <w:color w:val="auto"/>
        </w:rPr>
        <w:t>30</w:t>
      </w:r>
      <w:r>
        <w:rPr>
          <w:color w:val="auto"/>
          <w:spacing w:val="-18"/>
        </w:rPr>
        <w:t xml:space="preserve"> 万元以上 </w:t>
      </w:r>
      <w:r>
        <w:rPr>
          <w:color w:val="auto"/>
        </w:rPr>
        <w:t>50</w:t>
      </w:r>
      <w:r>
        <w:rPr>
          <w:color w:val="auto"/>
          <w:spacing w:val="-8"/>
        </w:rPr>
        <w:t xml:space="preserve"> 万元以下的罚款，由工</w:t>
      </w:r>
      <w:r>
        <w:rPr>
          <w:color w:val="auto"/>
          <w:spacing w:val="3"/>
        </w:rPr>
        <w:t>商行政管理部门吊销有违法经营行为的直销企业分支机构的营业执照直至由国务院商务主管部门吊销直销企业的直销经营许可证。</w:t>
      </w:r>
    </w:p>
    <w:p>
      <w:pPr>
        <w:pStyle w:val="2"/>
        <w:spacing w:line="304" w:lineRule="exact"/>
        <w:rPr>
          <w:color w:val="auto"/>
        </w:rPr>
      </w:pPr>
      <w:r>
        <w:rPr>
          <w:color w:val="auto"/>
        </w:rPr>
        <w:t>（二）裁量标准</w:t>
      </w:r>
    </w:p>
    <w:p>
      <w:pPr>
        <w:spacing w:after="0" w:line="304" w:lineRule="exact"/>
        <w:rPr>
          <w:color w:val="auto"/>
        </w:rPr>
        <w:sectPr>
          <w:pgSz w:w="11910" w:h="16840"/>
          <w:pgMar w:top="1520" w:right="1260" w:bottom="1220" w:left="1420" w:header="0" w:footer="1034" w:gutter="0"/>
        </w:sectPr>
      </w:pPr>
    </w:p>
    <w:p>
      <w:pPr>
        <w:pStyle w:val="13"/>
        <w:numPr>
          <w:ilvl w:val="0"/>
          <w:numId w:val="198"/>
        </w:numPr>
        <w:tabs>
          <w:tab w:val="left" w:pos="833"/>
        </w:tabs>
        <w:spacing w:before="39" w:after="0" w:line="240" w:lineRule="auto"/>
        <w:ind w:left="832" w:right="0" w:hanging="242"/>
        <w:jc w:val="left"/>
        <w:rPr>
          <w:color w:val="auto"/>
          <w:sz w:val="24"/>
        </w:rPr>
      </w:pPr>
      <w:r>
        <w:rPr>
          <w:color w:val="auto"/>
          <w:sz w:val="24"/>
        </w:rPr>
        <w:t>【较轻】</w:t>
      </w:r>
    </w:p>
    <w:p>
      <w:pPr>
        <w:pStyle w:val="4"/>
        <w:spacing w:before="195" w:line="388" w:lineRule="auto"/>
        <w:ind w:right="213" w:firstLine="480"/>
        <w:rPr>
          <w:color w:val="auto"/>
        </w:rPr>
      </w:pPr>
      <w:r>
        <w:rPr>
          <w:color w:val="auto"/>
        </w:rPr>
        <w:t>直销产品货值和违法销售收入总金额五万元以下且违法情节轻微的，没收直销产品和违法销售收入，处以五万元以上十万元以下的罚款。</w:t>
      </w:r>
    </w:p>
    <w:p>
      <w:pPr>
        <w:pStyle w:val="13"/>
        <w:numPr>
          <w:ilvl w:val="0"/>
          <w:numId w:val="198"/>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148" w:firstLine="480"/>
        <w:rPr>
          <w:color w:val="auto"/>
        </w:rPr>
      </w:pPr>
      <w:r>
        <w:rPr>
          <w:color w:val="auto"/>
          <w:spacing w:val="-2"/>
        </w:rPr>
        <w:t>直销产品货值和违法销售收入总金额五万元以上二十万元以下，且违法行为未造</w:t>
      </w:r>
      <w:r>
        <w:rPr>
          <w:color w:val="auto"/>
          <w:spacing w:val="-15"/>
        </w:rPr>
        <w:t>成严重后果的，没收直销产品和违法销售收入，处以十万元以上三十万元以下的罚款。</w:t>
      </w:r>
    </w:p>
    <w:p>
      <w:pPr>
        <w:pStyle w:val="13"/>
        <w:numPr>
          <w:ilvl w:val="0"/>
          <w:numId w:val="198"/>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3"/>
        </w:rPr>
        <w:t>直销产品货值和违法销售收入总金额二十万元以上的，或者具有其他严重情节</w:t>
      </w:r>
      <w:r>
        <w:rPr>
          <w:color w:val="auto"/>
          <w:spacing w:val="-6"/>
        </w:rPr>
        <w:t>的，没收直销产品和违法销售收入，处以三十万元以上五十万元以下的罚款，并依法</w:t>
      </w:r>
      <w:r>
        <w:rPr>
          <w:color w:val="auto"/>
        </w:rPr>
        <w:t>予以取缔。</w:t>
      </w:r>
    </w:p>
    <w:p>
      <w:pPr>
        <w:pStyle w:val="2"/>
        <w:spacing w:before="6"/>
        <w:rPr>
          <w:color w:val="auto"/>
        </w:rPr>
      </w:pPr>
      <w:bookmarkStart w:id="545" w:name="二百六十五、直销企业及其直销员有欺骗、误导等宣传和推销行为"/>
      <w:bookmarkEnd w:id="545"/>
      <w:bookmarkStart w:id="546" w:name="_bookmark272"/>
      <w:bookmarkEnd w:id="546"/>
      <w:r>
        <w:rPr>
          <w:color w:val="auto"/>
        </w:rPr>
        <w:t>二百六十五、直销企业及其直销员有欺骗、误导等宣传和推销行为</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rPr>
          <w:color w:val="auto"/>
        </w:rPr>
      </w:pPr>
      <w:r>
        <w:rPr>
          <w:color w:val="auto"/>
        </w:rPr>
        <w:t>《直销管理条例》第四十三条 直销企业及其直销员违反本条例规定，有欺骗、</w:t>
      </w:r>
      <w:r>
        <w:rPr>
          <w:color w:val="auto"/>
          <w:spacing w:val="-2"/>
        </w:rPr>
        <w:t xml:space="preserve">误导等宣传和推销行为的，对直销企业，由工商行政管理部门处 </w:t>
      </w:r>
      <w:r>
        <w:rPr>
          <w:color w:val="auto"/>
        </w:rPr>
        <w:t>3</w:t>
      </w:r>
      <w:r>
        <w:rPr>
          <w:color w:val="auto"/>
          <w:spacing w:val="-16"/>
        </w:rPr>
        <w:t xml:space="preserve"> 万元以上 </w:t>
      </w:r>
      <w:r>
        <w:rPr>
          <w:color w:val="auto"/>
        </w:rPr>
        <w:t>10</w:t>
      </w:r>
      <w:r>
        <w:rPr>
          <w:color w:val="auto"/>
          <w:spacing w:val="-15"/>
        </w:rPr>
        <w:t xml:space="preserve"> 万元</w:t>
      </w:r>
    </w:p>
    <w:p>
      <w:pPr>
        <w:pStyle w:val="4"/>
        <w:spacing w:line="391" w:lineRule="auto"/>
        <w:ind w:right="148"/>
        <w:rPr>
          <w:color w:val="auto"/>
        </w:rPr>
      </w:pPr>
      <w:r>
        <w:rPr>
          <w:color w:val="auto"/>
          <w:spacing w:val="-8"/>
        </w:rPr>
        <w:t xml:space="preserve">以下的罚款；情节严重的，处 </w:t>
      </w:r>
      <w:r>
        <w:rPr>
          <w:color w:val="auto"/>
        </w:rPr>
        <w:t>10</w:t>
      </w:r>
      <w:r>
        <w:rPr>
          <w:color w:val="auto"/>
          <w:spacing w:val="-20"/>
        </w:rPr>
        <w:t xml:space="preserve"> 万元以上 </w:t>
      </w:r>
      <w:r>
        <w:rPr>
          <w:color w:val="auto"/>
        </w:rPr>
        <w:t>30</w:t>
      </w:r>
      <w:r>
        <w:rPr>
          <w:color w:val="auto"/>
          <w:spacing w:val="-9"/>
        </w:rPr>
        <w:t xml:space="preserve"> 万元以下的罚款，由工商行政管理部门</w:t>
      </w:r>
      <w:r>
        <w:rPr>
          <w:color w:val="auto"/>
          <w:spacing w:val="3"/>
        </w:rPr>
        <w:t>吊销有违法经营行为的直销企业分支机构的营业执照直至由国务院商务主管部门吊</w:t>
      </w:r>
      <w:r>
        <w:rPr>
          <w:color w:val="auto"/>
          <w:spacing w:val="-9"/>
        </w:rPr>
        <w:t xml:space="preserve">销直销企业的直销经营许可证。对直销员，由工商行政管理部门处 </w:t>
      </w:r>
      <w:r>
        <w:rPr>
          <w:color w:val="auto"/>
        </w:rPr>
        <w:t>5</w:t>
      </w:r>
      <w:r>
        <w:rPr>
          <w:color w:val="auto"/>
          <w:spacing w:val="-9"/>
        </w:rPr>
        <w:t xml:space="preserve"> 万元以下的罚款； </w:t>
      </w:r>
      <w:r>
        <w:rPr>
          <w:color w:val="auto"/>
        </w:rPr>
        <w:t>情节严重的，责令直销企业撤销其直销员资格。</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违法销售收入二万元以下的，对直销企业处以三万元以上五万元以下的罚款；对直销员处以五千元以下的罚款。</w:t>
      </w:r>
    </w:p>
    <w:p>
      <w:pPr>
        <w:pStyle w:val="13"/>
        <w:numPr>
          <w:ilvl w:val="0"/>
          <w:numId w:val="199"/>
        </w:numPr>
        <w:tabs>
          <w:tab w:val="left" w:pos="833"/>
        </w:tabs>
        <w:spacing w:before="0" w:after="0" w:line="240" w:lineRule="auto"/>
        <w:ind w:left="832" w:right="0" w:hanging="242"/>
        <w:jc w:val="left"/>
        <w:rPr>
          <w:color w:val="auto"/>
          <w:sz w:val="24"/>
        </w:rPr>
      </w:pPr>
      <w:r>
        <w:rPr>
          <w:color w:val="auto"/>
          <w:sz w:val="24"/>
        </w:rPr>
        <w:t>【一般】</w:t>
      </w:r>
    </w:p>
    <w:p>
      <w:pPr>
        <w:pStyle w:val="4"/>
        <w:spacing w:before="187" w:line="388" w:lineRule="auto"/>
        <w:ind w:right="213" w:firstLine="480"/>
        <w:rPr>
          <w:color w:val="auto"/>
        </w:rPr>
      </w:pPr>
      <w:r>
        <w:rPr>
          <w:color w:val="auto"/>
        </w:rPr>
        <w:t>违法销售收入二万元以上五万元以下的，对直销企业处以五万元以上十万元以下的罚款；对直销员处以五千元以上二万元以下的罚款。</w:t>
      </w:r>
    </w:p>
    <w:p>
      <w:pPr>
        <w:pStyle w:val="13"/>
        <w:numPr>
          <w:ilvl w:val="0"/>
          <w:numId w:val="199"/>
        </w:numPr>
        <w:tabs>
          <w:tab w:val="left" w:pos="833"/>
        </w:tabs>
        <w:spacing w:before="5" w:after="0" w:line="240" w:lineRule="auto"/>
        <w:ind w:left="832" w:right="0" w:hanging="242"/>
        <w:jc w:val="left"/>
        <w:rPr>
          <w:color w:val="auto"/>
          <w:sz w:val="24"/>
        </w:rPr>
      </w:pPr>
      <w:r>
        <w:rPr>
          <w:color w:val="auto"/>
          <w:sz w:val="24"/>
        </w:rPr>
        <w:t>【严重】</w:t>
      </w:r>
    </w:p>
    <w:p>
      <w:pPr>
        <w:pStyle w:val="4"/>
        <w:spacing w:before="191" w:line="388" w:lineRule="auto"/>
        <w:ind w:right="213" w:firstLine="480"/>
        <w:rPr>
          <w:color w:val="auto"/>
        </w:rPr>
      </w:pPr>
      <w:r>
        <w:rPr>
          <w:color w:val="auto"/>
        </w:rPr>
        <w:t>违法销售收入五万元以上的，或者具有其他严重情节的，对直销企业处以十万元以上三十万元以下的罚款，吊销有违法经营行为的直销企业分支机构的营业执照；对</w:t>
      </w:r>
    </w:p>
    <w:p>
      <w:pPr>
        <w:spacing w:after="0" w:line="388" w:lineRule="auto"/>
        <w:rPr>
          <w:color w:val="auto"/>
        </w:rPr>
        <w:sectPr>
          <w:pgSz w:w="11910" w:h="16840"/>
          <w:pgMar w:top="1520" w:right="1260" w:bottom="1220" w:left="1420" w:header="0" w:footer="1034" w:gutter="0"/>
        </w:sectPr>
      </w:pPr>
    </w:p>
    <w:p>
      <w:pPr>
        <w:spacing w:before="39" w:line="391" w:lineRule="auto"/>
        <w:ind w:left="591" w:right="952" w:hanging="480"/>
        <w:jc w:val="left"/>
        <w:rPr>
          <w:b/>
          <w:color w:val="auto"/>
          <w:sz w:val="24"/>
        </w:rPr>
      </w:pPr>
      <w:r>
        <w:rPr>
          <w:color w:val="auto"/>
          <w:sz w:val="24"/>
        </w:rPr>
        <w:t>直销员处以二万元以上五万元以下的罚款，责令直销企业撤销其直销员资格。</w:t>
      </w:r>
      <w:bookmarkStart w:id="547" w:name="_bookmark273"/>
      <w:bookmarkEnd w:id="547"/>
      <w:bookmarkStart w:id="548" w:name="二百六十六、直销企业及其分支机构违规招募直销员"/>
      <w:bookmarkEnd w:id="548"/>
      <w:r>
        <w:rPr>
          <w:b/>
          <w:color w:val="auto"/>
          <w:sz w:val="24"/>
        </w:rPr>
        <w:t>二百六十六、直销企业及其分支机构违规招募直销员</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rPr>
        <w:t>《直销管理条例》第四十四条 直销企业及其分支机构违反本条例规定招募直销</w:t>
      </w:r>
      <w:r>
        <w:rPr>
          <w:color w:val="auto"/>
          <w:spacing w:val="-3"/>
        </w:rPr>
        <w:t xml:space="preserve">员的，由工商行政管理部门责令改正，处 </w:t>
      </w:r>
      <w:r>
        <w:rPr>
          <w:color w:val="auto"/>
        </w:rPr>
        <w:t>3</w:t>
      </w:r>
      <w:r>
        <w:rPr>
          <w:color w:val="auto"/>
          <w:spacing w:val="-16"/>
        </w:rPr>
        <w:t xml:space="preserve"> 万元以上 </w:t>
      </w:r>
      <w:r>
        <w:rPr>
          <w:color w:val="auto"/>
        </w:rPr>
        <w:t>10</w:t>
      </w:r>
      <w:r>
        <w:rPr>
          <w:color w:val="auto"/>
          <w:spacing w:val="-7"/>
        </w:rPr>
        <w:t xml:space="preserve"> 万元以下的罚款；情节严重</w:t>
      </w:r>
    </w:p>
    <w:p>
      <w:pPr>
        <w:pStyle w:val="4"/>
        <w:spacing w:line="391" w:lineRule="auto"/>
        <w:ind w:right="268"/>
        <w:jc w:val="both"/>
        <w:rPr>
          <w:color w:val="auto"/>
        </w:rPr>
      </w:pPr>
      <w:r>
        <w:rPr>
          <w:color w:val="auto"/>
          <w:spacing w:val="-21"/>
        </w:rPr>
        <w:t xml:space="preserve">的，处 </w:t>
      </w:r>
      <w:r>
        <w:rPr>
          <w:color w:val="auto"/>
        </w:rPr>
        <w:t>10</w:t>
      </w:r>
      <w:r>
        <w:rPr>
          <w:color w:val="auto"/>
          <w:spacing w:val="-20"/>
        </w:rPr>
        <w:t xml:space="preserve"> 万元以上 </w:t>
      </w:r>
      <w:r>
        <w:rPr>
          <w:color w:val="auto"/>
        </w:rPr>
        <w:t>30</w:t>
      </w:r>
      <w:r>
        <w:rPr>
          <w:color w:val="auto"/>
          <w:spacing w:val="-10"/>
        </w:rPr>
        <w:t xml:space="preserve"> 万元以下的罚款，由工商行政管理部门吊销有违法经营行为的</w:t>
      </w:r>
      <w:r>
        <w:rPr>
          <w:color w:val="auto"/>
          <w:spacing w:val="3"/>
        </w:rPr>
        <w:t>直销企业分支机构的营业执照直至由国务院商务主管部门吊销直销企业的直销经营许可证。</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直销企业及其分支机构违规招募直销员 10 人以下，且违法销售收入二万元以下的，处以三万元以上五万元以下的罚款。</w:t>
      </w:r>
    </w:p>
    <w:p>
      <w:pPr>
        <w:pStyle w:val="13"/>
        <w:numPr>
          <w:ilvl w:val="0"/>
          <w:numId w:val="200"/>
        </w:numPr>
        <w:tabs>
          <w:tab w:val="left" w:pos="833"/>
        </w:tabs>
        <w:spacing w:before="1" w:after="0" w:line="240" w:lineRule="auto"/>
        <w:ind w:left="832" w:right="0" w:hanging="242"/>
        <w:jc w:val="left"/>
        <w:rPr>
          <w:color w:val="auto"/>
          <w:sz w:val="24"/>
        </w:rPr>
      </w:pPr>
      <w:r>
        <w:rPr>
          <w:color w:val="auto"/>
          <w:sz w:val="24"/>
        </w:rPr>
        <w:t>【一般】</w:t>
      </w:r>
    </w:p>
    <w:p>
      <w:pPr>
        <w:pStyle w:val="4"/>
        <w:spacing w:before="195" w:line="388" w:lineRule="auto"/>
        <w:ind w:right="268" w:firstLine="480"/>
        <w:rPr>
          <w:color w:val="auto"/>
        </w:rPr>
      </w:pPr>
      <w:r>
        <w:rPr>
          <w:color w:val="auto"/>
          <w:spacing w:val="-4"/>
        </w:rPr>
        <w:t xml:space="preserve">直销企业及其分支机构违规招募直销员 </w:t>
      </w:r>
      <w:r>
        <w:rPr>
          <w:color w:val="auto"/>
        </w:rPr>
        <w:t>10</w:t>
      </w:r>
      <w:r>
        <w:rPr>
          <w:color w:val="auto"/>
          <w:spacing w:val="-24"/>
        </w:rPr>
        <w:t xml:space="preserve"> 人以上 </w:t>
      </w:r>
      <w:r>
        <w:rPr>
          <w:color w:val="auto"/>
        </w:rPr>
        <w:t>20</w:t>
      </w:r>
      <w:r>
        <w:rPr>
          <w:color w:val="auto"/>
          <w:spacing w:val="-11"/>
        </w:rPr>
        <w:t xml:space="preserve"> 人以下的，或者违法销售收</w:t>
      </w:r>
      <w:r>
        <w:rPr>
          <w:color w:val="auto"/>
        </w:rPr>
        <w:t>入二万元以上五万元以下的，处以五万元以上十万元以下的罚款。</w:t>
      </w:r>
    </w:p>
    <w:p>
      <w:pPr>
        <w:pStyle w:val="13"/>
        <w:numPr>
          <w:ilvl w:val="0"/>
          <w:numId w:val="200"/>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4" w:firstLine="480"/>
        <w:rPr>
          <w:color w:val="auto"/>
        </w:rPr>
      </w:pPr>
      <w:r>
        <w:rPr>
          <w:color w:val="auto"/>
        </w:rPr>
        <w:t>违规招募直销员 20 人以上的，或者违法销售收入五万元以上的，处以十万元以上三十万元以下的罚款，吊销有违法经营行为的直销企业分支机构的营业执照。</w:t>
      </w:r>
    </w:p>
    <w:p>
      <w:pPr>
        <w:pStyle w:val="2"/>
        <w:spacing w:before="2"/>
        <w:rPr>
          <w:color w:val="auto"/>
        </w:rPr>
      </w:pPr>
      <w:bookmarkStart w:id="549" w:name="二百六十七、未取得直销员证从事直销活动"/>
      <w:bookmarkEnd w:id="549"/>
      <w:bookmarkStart w:id="550" w:name="_bookmark274"/>
      <w:bookmarkEnd w:id="550"/>
      <w:r>
        <w:rPr>
          <w:color w:val="auto"/>
        </w:rPr>
        <w:t>二百六十七、未取得直销员证从事直销活动</w:t>
      </w:r>
    </w:p>
    <w:p>
      <w:pPr>
        <w:spacing w:before="194"/>
        <w:ind w:left="591" w:right="0" w:firstLine="0"/>
        <w:jc w:val="left"/>
        <w:rPr>
          <w:b/>
          <w:color w:val="auto"/>
          <w:sz w:val="24"/>
        </w:rPr>
      </w:pPr>
      <w:r>
        <w:rPr>
          <w:b/>
          <w:color w:val="auto"/>
          <w:sz w:val="24"/>
        </w:rPr>
        <w:t>（一）处罚依据</w:t>
      </w:r>
    </w:p>
    <w:p>
      <w:pPr>
        <w:pStyle w:val="4"/>
        <w:spacing w:before="192" w:line="388" w:lineRule="auto"/>
        <w:ind w:right="268" w:firstLine="480"/>
        <w:rPr>
          <w:color w:val="auto"/>
        </w:rPr>
      </w:pPr>
      <w:r>
        <w:rPr>
          <w:color w:val="auto"/>
        </w:rPr>
        <w:t>《直销管理条例》第四十五条 违反本条例规定，未取得直销员证从事直销活动</w:t>
      </w:r>
      <w:r>
        <w:rPr>
          <w:color w:val="auto"/>
          <w:spacing w:val="-7"/>
        </w:rPr>
        <w:t xml:space="preserve">的，由工商行政管理部门责令改正，没收直销产品和违法销售收入，可以处 </w:t>
      </w:r>
      <w:r>
        <w:rPr>
          <w:color w:val="auto"/>
        </w:rPr>
        <w:t>2</w:t>
      </w:r>
      <w:r>
        <w:rPr>
          <w:color w:val="auto"/>
          <w:spacing w:val="-20"/>
        </w:rPr>
        <w:t xml:space="preserve"> 万元以</w:t>
      </w:r>
    </w:p>
    <w:p>
      <w:pPr>
        <w:pStyle w:val="4"/>
        <w:spacing w:before="4"/>
        <w:rPr>
          <w:color w:val="auto"/>
        </w:rPr>
      </w:pPr>
      <w:r>
        <w:rPr>
          <w:color w:val="auto"/>
        </w:rPr>
        <w:t>下的罚款；情节严重的，处 2 万元以上 20 万元以下的罚款。</w:t>
      </w:r>
    </w:p>
    <w:p>
      <w:pPr>
        <w:spacing w:before="192" w:line="388" w:lineRule="auto"/>
        <w:ind w:left="591" w:right="6948" w:firstLine="0"/>
        <w:jc w:val="left"/>
        <w:rPr>
          <w:color w:val="auto"/>
          <w:sz w:val="24"/>
        </w:rPr>
      </w:pPr>
      <w:r>
        <w:rPr>
          <w:b/>
          <w:color w:val="auto"/>
          <w:sz w:val="24"/>
        </w:rPr>
        <w:t>（二）裁量标准</w:t>
      </w:r>
      <w:r>
        <w:rPr>
          <w:color w:val="auto"/>
          <w:sz w:val="24"/>
        </w:rPr>
        <w:t>1.【较轻】</w:t>
      </w:r>
    </w:p>
    <w:p>
      <w:pPr>
        <w:pStyle w:val="4"/>
        <w:spacing w:before="4" w:line="388" w:lineRule="auto"/>
        <w:ind w:right="213" w:firstLine="480"/>
        <w:rPr>
          <w:color w:val="auto"/>
        </w:rPr>
      </w:pPr>
      <w:r>
        <w:rPr>
          <w:color w:val="auto"/>
        </w:rPr>
        <w:t>直销产品货值和违法销售收入总金额五千元以下，且违法情节轻微的，没收直销产品和违法销售收入，可以处五千元以下的罚款。</w:t>
      </w:r>
    </w:p>
    <w:p>
      <w:pPr>
        <w:pStyle w:val="13"/>
        <w:numPr>
          <w:ilvl w:val="0"/>
          <w:numId w:val="201"/>
        </w:numPr>
        <w:tabs>
          <w:tab w:val="left" w:pos="833"/>
        </w:tabs>
        <w:spacing w:before="2" w:after="0" w:line="240" w:lineRule="auto"/>
        <w:ind w:left="832" w:right="0" w:hanging="242"/>
        <w:jc w:val="left"/>
        <w:rPr>
          <w:color w:val="auto"/>
          <w:sz w:val="24"/>
        </w:rPr>
      </w:pPr>
      <w:r>
        <w:rPr>
          <w:color w:val="auto"/>
          <w:sz w:val="24"/>
        </w:rPr>
        <w:t>【一般】</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直销产品货值和违法销售收入总金额五千元以上二万元以下的，没收直销产品和违法销售收入，处以五千元以上二万元以下的罚款。</w:t>
      </w:r>
    </w:p>
    <w:p>
      <w:pPr>
        <w:pStyle w:val="13"/>
        <w:numPr>
          <w:ilvl w:val="0"/>
          <w:numId w:val="201"/>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32" w:firstLine="480"/>
        <w:rPr>
          <w:color w:val="auto"/>
        </w:rPr>
      </w:pPr>
      <w:r>
        <w:rPr>
          <w:color w:val="auto"/>
        </w:rPr>
        <w:t>直销产品货值和违法销售收入总金额二万元以上的，或者具有其他严重情节的， 没收直销产品和违法销售收入，处以二万元以上二十万元以下的罚款。</w:t>
      </w:r>
    </w:p>
    <w:p>
      <w:pPr>
        <w:pStyle w:val="2"/>
        <w:spacing w:line="306" w:lineRule="exact"/>
        <w:rPr>
          <w:color w:val="auto"/>
        </w:rPr>
      </w:pPr>
      <w:bookmarkStart w:id="551" w:name="二百六十八、直销企业违反规定进行直销员业务培训"/>
      <w:bookmarkEnd w:id="551"/>
      <w:bookmarkStart w:id="552" w:name="_bookmark275"/>
      <w:bookmarkEnd w:id="552"/>
      <w:r>
        <w:rPr>
          <w:color w:val="auto"/>
        </w:rPr>
        <w:t>二百六十八、直销企业违反规定进行直销员业务培训</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《直销管理条例》第四十六条第一款 直销企业进行直销员业务培训违反本条例</w:t>
      </w:r>
      <w:r>
        <w:rPr>
          <w:color w:val="auto"/>
          <w:spacing w:val="-2"/>
        </w:rPr>
        <w:t xml:space="preserve">规定的，由工商行政管理部门责令改正，没收违法所得，处 </w:t>
      </w:r>
      <w:r>
        <w:rPr>
          <w:color w:val="auto"/>
        </w:rPr>
        <w:t>3</w:t>
      </w:r>
      <w:r>
        <w:rPr>
          <w:color w:val="auto"/>
          <w:spacing w:val="-16"/>
        </w:rPr>
        <w:t xml:space="preserve"> 万元以上 </w:t>
      </w:r>
      <w:r>
        <w:rPr>
          <w:color w:val="auto"/>
        </w:rPr>
        <w:t>10</w:t>
      </w:r>
      <w:r>
        <w:rPr>
          <w:color w:val="auto"/>
          <w:spacing w:val="-10"/>
        </w:rPr>
        <w:t xml:space="preserve"> 万元以下</w:t>
      </w:r>
    </w:p>
    <w:p>
      <w:pPr>
        <w:pStyle w:val="4"/>
        <w:spacing w:before="2" w:line="391" w:lineRule="auto"/>
        <w:ind w:right="232"/>
        <w:jc w:val="both"/>
        <w:rPr>
          <w:color w:val="auto"/>
        </w:rPr>
      </w:pPr>
      <w:r>
        <w:rPr>
          <w:color w:val="auto"/>
          <w:spacing w:val="-9"/>
        </w:rPr>
        <w:t xml:space="preserve">的罚款；情节严重的，处 </w:t>
      </w:r>
      <w:r>
        <w:rPr>
          <w:color w:val="auto"/>
        </w:rPr>
        <w:t>10</w:t>
      </w:r>
      <w:r>
        <w:rPr>
          <w:color w:val="auto"/>
          <w:spacing w:val="-20"/>
        </w:rPr>
        <w:t xml:space="preserve"> 万元以上 </w:t>
      </w:r>
      <w:r>
        <w:rPr>
          <w:color w:val="auto"/>
        </w:rPr>
        <w:t>30</w:t>
      </w:r>
      <w:r>
        <w:rPr>
          <w:color w:val="auto"/>
          <w:spacing w:val="-9"/>
        </w:rPr>
        <w:t xml:space="preserve"> 万元以下的罚款，由工商行政管理部门吊销</w:t>
      </w:r>
      <w:r>
        <w:rPr>
          <w:color w:val="auto"/>
          <w:spacing w:val="3"/>
        </w:rPr>
        <w:t>有违法经营行为的直销企业分支机构的营业执照直至由国务院商务主管部门吊销直</w:t>
      </w:r>
      <w:r>
        <w:rPr>
          <w:color w:val="auto"/>
        </w:rPr>
        <w:t>销企业的直销经营许可证；对授课人员，由工商行政管理部门处 5</w:t>
      </w:r>
      <w:r>
        <w:rPr>
          <w:color w:val="auto"/>
          <w:spacing w:val="-9"/>
        </w:rPr>
        <w:t xml:space="preserve"> 万元以下的罚款， </w:t>
      </w:r>
      <w:r>
        <w:rPr>
          <w:color w:val="auto"/>
        </w:rPr>
        <w:t>是直销培训员的，责令直销企业撤销其直销培训员资格。</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13" w:firstLine="480"/>
        <w:rPr>
          <w:color w:val="auto"/>
        </w:rPr>
      </w:pPr>
      <w:r>
        <w:rPr>
          <w:color w:val="auto"/>
        </w:rPr>
        <w:t>向参加培训人员收取费用，违法所得一万元以下的，没收违法所得，处以三万元以上五万元以下的罚款；对授课人员处以一万五千元以下的罚款。</w:t>
      </w:r>
    </w:p>
    <w:p>
      <w:pPr>
        <w:pStyle w:val="13"/>
        <w:numPr>
          <w:ilvl w:val="0"/>
          <w:numId w:val="202"/>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145" w:firstLine="480"/>
        <w:rPr>
          <w:color w:val="auto"/>
        </w:rPr>
      </w:pPr>
      <w:r>
        <w:rPr>
          <w:color w:val="auto"/>
          <w:spacing w:val="-3"/>
        </w:rPr>
        <w:t>向参加培训人员收取费用，违法所得一万元以上二万元以下的；授课人员主体不</w:t>
      </w:r>
      <w:r>
        <w:rPr>
          <w:color w:val="auto"/>
          <w:spacing w:val="-18"/>
        </w:rPr>
        <w:t>适格的；培训内容、形式、地点等违反《直销管理条例》</w:t>
      </w:r>
      <w:r>
        <w:rPr>
          <w:color w:val="auto"/>
          <w:spacing w:val="-15"/>
        </w:rPr>
        <w:t>、《直销员业务培训管理办法》</w:t>
      </w:r>
      <w:r>
        <w:rPr>
          <w:color w:val="auto"/>
          <w:spacing w:val="-6"/>
        </w:rPr>
        <w:t>规定，未造成严重后果的，没收违法所得，处以五万元以上十万元以下的罚款；对授</w:t>
      </w:r>
      <w:r>
        <w:rPr>
          <w:color w:val="auto"/>
          <w:spacing w:val="-8"/>
        </w:rPr>
        <w:t>课人员，处以一万五千元以上三万元以下的罚款；是直销培训员的，责令直销企业撤销其直销培训员资格。</w:t>
      </w:r>
    </w:p>
    <w:p>
      <w:pPr>
        <w:pStyle w:val="13"/>
        <w:numPr>
          <w:ilvl w:val="0"/>
          <w:numId w:val="202"/>
        </w:numPr>
        <w:tabs>
          <w:tab w:val="left" w:pos="833"/>
        </w:tabs>
        <w:spacing w:before="0" w:after="0" w:line="302" w:lineRule="exact"/>
        <w:ind w:left="832" w:right="0" w:hanging="242"/>
        <w:jc w:val="left"/>
        <w:rPr>
          <w:color w:val="auto"/>
          <w:sz w:val="24"/>
        </w:rPr>
      </w:pPr>
      <w:r>
        <w:rPr>
          <w:color w:val="auto"/>
          <w:sz w:val="24"/>
        </w:rPr>
        <w:t>【严重】</w:t>
      </w:r>
    </w:p>
    <w:p>
      <w:pPr>
        <w:pStyle w:val="4"/>
        <w:spacing w:before="191" w:line="391" w:lineRule="auto"/>
        <w:ind w:right="148" w:firstLine="480"/>
        <w:rPr>
          <w:color w:val="auto"/>
        </w:rPr>
      </w:pPr>
      <w:r>
        <w:rPr>
          <w:color w:val="auto"/>
          <w:spacing w:val="-4"/>
        </w:rPr>
        <w:t>向参加培训人员收取费用，违法所得二万元以上的；培训内容、形式、地点等严</w:t>
      </w:r>
      <w:r>
        <w:rPr>
          <w:color w:val="auto"/>
          <w:spacing w:val="-18"/>
        </w:rPr>
        <w:t>重违反《直销管理条例》</w:t>
      </w:r>
      <w:r>
        <w:rPr>
          <w:color w:val="auto"/>
          <w:spacing w:val="-17"/>
        </w:rPr>
        <w:t xml:space="preserve">、《直销员业务培训管理办法》规定的；具有其他严重情节的， </w:t>
      </w:r>
      <w:r>
        <w:rPr>
          <w:color w:val="auto"/>
          <w:spacing w:val="-4"/>
        </w:rPr>
        <w:t>没收违法所得，处以十万元以上三十万元以下的罚款，吊销有违法经营行为的直销企</w:t>
      </w:r>
      <w:r>
        <w:rPr>
          <w:color w:val="auto"/>
          <w:spacing w:val="-7"/>
        </w:rPr>
        <w:t>业分支机构的营业执照；对授课人员，处以三万元以上五万元以下的罚款；是直销培</w:t>
      </w:r>
    </w:p>
    <w:p>
      <w:pPr>
        <w:spacing w:after="0" w:line="391" w:lineRule="auto"/>
        <w:rPr>
          <w:color w:val="auto"/>
        </w:rPr>
        <w:sectPr>
          <w:pgSz w:w="11910" w:h="16840"/>
          <w:pgMar w:top="1520" w:right="1260" w:bottom="1220" w:left="1420" w:header="0" w:footer="1034" w:gutter="0"/>
        </w:sectPr>
      </w:pPr>
    </w:p>
    <w:p>
      <w:pPr>
        <w:pStyle w:val="4"/>
        <w:spacing w:before="39"/>
        <w:rPr>
          <w:color w:val="auto"/>
        </w:rPr>
      </w:pPr>
      <w:r>
        <w:rPr>
          <w:color w:val="auto"/>
        </w:rPr>
        <w:t>训员的，责令直销企业撤销其直销培训员资格。</w:t>
      </w:r>
    </w:p>
    <w:p>
      <w:pPr>
        <w:pStyle w:val="2"/>
        <w:spacing w:before="195"/>
        <w:rPr>
          <w:color w:val="auto"/>
        </w:rPr>
      </w:pPr>
      <w:bookmarkStart w:id="553" w:name="二百六十九、直销企业以外的单位和个人组织直销员业务培训"/>
      <w:bookmarkEnd w:id="553"/>
      <w:bookmarkStart w:id="554" w:name="_bookmark276"/>
      <w:bookmarkEnd w:id="554"/>
      <w:r>
        <w:rPr>
          <w:color w:val="auto"/>
        </w:rPr>
        <w:t>二百六十九、直销企业以外的单位和个人组织直销员业务培训</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《直销管理条例》第四十六条第二款 直销企业以外的单位和个人组织直销员业</w:t>
      </w:r>
      <w:r>
        <w:rPr>
          <w:color w:val="auto"/>
          <w:spacing w:val="-2"/>
        </w:rPr>
        <w:t xml:space="preserve">务培训的，由工商行政管理部门责令改正，没收违法所得，处 </w:t>
      </w:r>
      <w:r>
        <w:rPr>
          <w:color w:val="auto"/>
        </w:rPr>
        <w:t>2</w:t>
      </w:r>
      <w:r>
        <w:rPr>
          <w:color w:val="auto"/>
          <w:spacing w:val="-16"/>
        </w:rPr>
        <w:t xml:space="preserve"> 万元以上 </w:t>
      </w:r>
      <w:r>
        <w:rPr>
          <w:color w:val="auto"/>
        </w:rPr>
        <w:t>20</w:t>
      </w:r>
      <w:r>
        <w:rPr>
          <w:color w:val="auto"/>
          <w:spacing w:val="-12"/>
        </w:rPr>
        <w:t xml:space="preserve"> 万元以下的罚款。</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2872"/>
        <w:rPr>
          <w:color w:val="auto"/>
        </w:rPr>
      </w:pPr>
      <w:r>
        <w:rPr>
          <w:color w:val="auto"/>
          <w:spacing w:val="-1"/>
        </w:rPr>
        <w:t>没有违法所得的，处以二万元以上五万元以下的罚款。</w:t>
      </w:r>
      <w:r>
        <w:rPr>
          <w:color w:val="auto"/>
        </w:rPr>
        <w:t>2.【一般】</w:t>
      </w:r>
    </w:p>
    <w:p>
      <w:pPr>
        <w:pStyle w:val="4"/>
        <w:spacing w:line="388" w:lineRule="auto"/>
        <w:ind w:left="591" w:right="472"/>
        <w:rPr>
          <w:color w:val="auto"/>
        </w:rPr>
      </w:pPr>
      <w:r>
        <w:rPr>
          <w:color w:val="auto"/>
          <w:spacing w:val="-1"/>
        </w:rPr>
        <w:t>违法所得十万元以下的，没收违法所得，处以五万元以上十万元以下的罚款。</w:t>
      </w:r>
      <w:r>
        <w:rPr>
          <w:color w:val="auto"/>
        </w:rPr>
        <w:t>3.【严重】</w:t>
      </w:r>
    </w:p>
    <w:p>
      <w:pPr>
        <w:spacing w:before="1" w:line="391" w:lineRule="auto"/>
        <w:ind w:left="591" w:right="232" w:firstLine="0"/>
        <w:jc w:val="left"/>
        <w:rPr>
          <w:b/>
          <w:color w:val="auto"/>
          <w:sz w:val="24"/>
        </w:rPr>
      </w:pPr>
      <w:r>
        <w:rPr>
          <w:color w:val="auto"/>
          <w:sz w:val="24"/>
        </w:rPr>
        <w:t>违法所得十万元以上的，没收违法所得，处以十万元以上二十万元以下的罚款。</w:t>
      </w:r>
      <w:bookmarkStart w:id="555" w:name="二百七十、直销员违反规定向消费者推销产品"/>
      <w:bookmarkEnd w:id="555"/>
      <w:bookmarkStart w:id="556" w:name="_bookmark277"/>
      <w:bookmarkEnd w:id="556"/>
      <w:r>
        <w:rPr>
          <w:b/>
          <w:color w:val="auto"/>
          <w:sz w:val="24"/>
        </w:rPr>
        <w:t>二百七十、直销员违反规定向消费者推销产品</w:t>
      </w:r>
    </w:p>
    <w:p>
      <w:pPr>
        <w:pStyle w:val="2"/>
        <w:spacing w:line="306" w:lineRule="exact"/>
        <w:rPr>
          <w:color w:val="auto"/>
        </w:rPr>
      </w:pPr>
      <w:r>
        <w:rPr>
          <w:color w:val="auto"/>
        </w:rPr>
        <w:t>（一）处罚依据</w:t>
      </w:r>
    </w:p>
    <w:p>
      <w:pPr>
        <w:pStyle w:val="4"/>
        <w:spacing w:before="192" w:line="391" w:lineRule="auto"/>
        <w:ind w:right="268" w:firstLine="480"/>
        <w:rPr>
          <w:color w:val="auto"/>
        </w:rPr>
      </w:pPr>
      <w:r>
        <w:rPr>
          <w:color w:val="auto"/>
        </w:rPr>
        <w:t>1</w:t>
      </w:r>
      <w:r>
        <w:rPr>
          <w:color w:val="auto"/>
          <w:spacing w:val="-8"/>
        </w:rPr>
        <w:t>、《直销管理条例》第四十七条 直销员违反本条例第二十二条规定的，由工商</w:t>
      </w:r>
      <w:r>
        <w:rPr>
          <w:color w:val="auto"/>
          <w:spacing w:val="-12"/>
        </w:rPr>
        <w:t xml:space="preserve">行政管理部门没收违法销售收入，可以处 </w:t>
      </w:r>
      <w:r>
        <w:rPr>
          <w:color w:val="auto"/>
        </w:rPr>
        <w:t>5</w:t>
      </w:r>
      <w:r>
        <w:rPr>
          <w:color w:val="auto"/>
          <w:spacing w:val="-11"/>
        </w:rPr>
        <w:t xml:space="preserve"> 万元以下的罚款；情节严重的，责令直销</w:t>
      </w:r>
    </w:p>
    <w:p>
      <w:pPr>
        <w:pStyle w:val="4"/>
        <w:spacing w:line="306" w:lineRule="exact"/>
        <w:rPr>
          <w:color w:val="auto"/>
        </w:rPr>
      </w:pPr>
      <w:r>
        <w:rPr>
          <w:color w:val="auto"/>
        </w:rPr>
        <w:t>企业撤销其直销员资格，并对直销企业处 1 万元以上 10 万元以下的罚款。</w:t>
      </w:r>
    </w:p>
    <w:p>
      <w:pPr>
        <w:pStyle w:val="4"/>
        <w:spacing w:before="192"/>
        <w:ind w:left="576"/>
        <w:rPr>
          <w:color w:val="auto"/>
        </w:rPr>
      </w:pPr>
      <w:r>
        <w:rPr>
          <w:color w:val="auto"/>
        </w:rPr>
        <w:t>2、《直销管理条例》第二十二条 直销员向消费者推销产品，应当遵守下列规定：</w:t>
      </w:r>
    </w:p>
    <w:p>
      <w:pPr>
        <w:pStyle w:val="4"/>
        <w:spacing w:before="194"/>
        <w:ind w:left="576"/>
        <w:rPr>
          <w:color w:val="auto"/>
        </w:rPr>
      </w:pPr>
      <w:r>
        <w:rPr>
          <w:color w:val="auto"/>
        </w:rPr>
        <w:t>（一）出示直销员证和推销合同；</w:t>
      </w:r>
    </w:p>
    <w:p>
      <w:pPr>
        <w:pStyle w:val="4"/>
        <w:spacing w:before="191" w:line="388" w:lineRule="auto"/>
        <w:ind w:left="216" w:right="221" w:firstLine="360"/>
        <w:rPr>
          <w:color w:val="auto"/>
        </w:rPr>
      </w:pPr>
      <w:r>
        <w:rPr>
          <w:color w:val="auto"/>
        </w:rPr>
        <w:t>（二）未经消费者同意，不得进入消费者住所强行推销产品，消费者要求其停止推销活动的，应当立即停止，并离开消费者住所；</w:t>
      </w:r>
    </w:p>
    <w:p>
      <w:pPr>
        <w:pStyle w:val="4"/>
        <w:spacing w:before="5"/>
        <w:ind w:left="576"/>
        <w:rPr>
          <w:color w:val="auto"/>
        </w:rPr>
      </w:pPr>
      <w:r>
        <w:rPr>
          <w:color w:val="auto"/>
        </w:rPr>
        <w:t>（三）成交前，向消费者详细介绍本企业的退货制度；</w:t>
      </w:r>
    </w:p>
    <w:p>
      <w:pPr>
        <w:pStyle w:val="4"/>
        <w:spacing w:before="192" w:line="388" w:lineRule="auto"/>
        <w:ind w:left="216" w:right="221" w:firstLine="360"/>
        <w:rPr>
          <w:color w:val="auto"/>
        </w:rPr>
      </w:pPr>
      <w:r>
        <w:rPr>
          <w:color w:val="auto"/>
        </w:rPr>
        <w:t>（四）成交后，向消费者提供发票和由直销企业出具的含有退货制度、直销企业当地服务网点地址和电话号码等内容的售货凭证。</w:t>
      </w:r>
    </w:p>
    <w:p>
      <w:pPr>
        <w:spacing w:before="4"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ind w:left="591"/>
        <w:rPr>
          <w:color w:val="auto"/>
        </w:rPr>
      </w:pPr>
      <w:r>
        <w:rPr>
          <w:color w:val="auto"/>
        </w:rPr>
        <w:t>违法销售收入二万元以下的，没收违法销售收入。</w:t>
      </w:r>
    </w:p>
    <w:p>
      <w:pPr>
        <w:spacing w:after="0"/>
        <w:rPr>
          <w:color w:val="auto"/>
        </w:rPr>
        <w:sectPr>
          <w:pgSz w:w="11910" w:h="16840"/>
          <w:pgMar w:top="1520" w:right="1260" w:bottom="1220" w:left="1420" w:header="0" w:footer="1034" w:gutter="0"/>
        </w:sectPr>
      </w:pPr>
    </w:p>
    <w:p>
      <w:pPr>
        <w:pStyle w:val="13"/>
        <w:numPr>
          <w:ilvl w:val="0"/>
          <w:numId w:val="203"/>
        </w:numPr>
        <w:tabs>
          <w:tab w:val="left" w:pos="833"/>
        </w:tabs>
        <w:spacing w:before="39"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违法销售收入二万元以上五万元以下，没收违法销售收入，对直销员处以二万元以下的罚款。</w:t>
      </w:r>
    </w:p>
    <w:p>
      <w:pPr>
        <w:pStyle w:val="13"/>
        <w:numPr>
          <w:ilvl w:val="0"/>
          <w:numId w:val="203"/>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68" w:firstLine="480"/>
        <w:jc w:val="both"/>
        <w:rPr>
          <w:color w:val="auto"/>
        </w:rPr>
      </w:pPr>
      <w:r>
        <w:rPr>
          <w:color w:val="auto"/>
          <w:spacing w:val="-4"/>
        </w:rPr>
        <w:t>违法销售收入五万元以上的，没收违法销售收入，对直销员处以二万元以上五万</w:t>
      </w:r>
      <w:r>
        <w:rPr>
          <w:color w:val="auto"/>
          <w:spacing w:val="-5"/>
        </w:rPr>
        <w:t>元以下的罚款；责令直销企业撤销其直销员资格，对直销企业处以一万元以上十万元</w:t>
      </w:r>
      <w:r>
        <w:rPr>
          <w:color w:val="auto"/>
        </w:rPr>
        <w:t>以下的罚款。</w:t>
      </w:r>
    </w:p>
    <w:p>
      <w:pPr>
        <w:pStyle w:val="2"/>
        <w:spacing w:before="5"/>
        <w:rPr>
          <w:color w:val="auto"/>
        </w:rPr>
      </w:pPr>
      <w:bookmarkStart w:id="557" w:name="二百七十一、直销企业未按规定支付直销员报酬"/>
      <w:bookmarkEnd w:id="557"/>
      <w:bookmarkStart w:id="558" w:name="_bookmark278"/>
      <w:bookmarkEnd w:id="558"/>
      <w:r>
        <w:rPr>
          <w:color w:val="auto"/>
        </w:rPr>
        <w:t>二百七十一、直销企业未按规定支付直销员报酬</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8"/>
        </w:rPr>
        <w:t>、《直销管理条例》第四十九条 直销企业违反本条例第二十四条和第二十五条</w:t>
      </w:r>
      <w:r>
        <w:rPr>
          <w:color w:val="auto"/>
          <w:spacing w:val="-10"/>
        </w:rPr>
        <w:t xml:space="preserve">规定的，由工商行政管理部门责令改正，处 </w:t>
      </w:r>
      <w:r>
        <w:rPr>
          <w:color w:val="auto"/>
        </w:rPr>
        <w:t>5</w:t>
      </w:r>
      <w:r>
        <w:rPr>
          <w:color w:val="auto"/>
          <w:spacing w:val="-16"/>
        </w:rPr>
        <w:t xml:space="preserve"> 万元以上 </w:t>
      </w:r>
      <w:r>
        <w:rPr>
          <w:color w:val="auto"/>
        </w:rPr>
        <w:t>30</w:t>
      </w:r>
      <w:r>
        <w:rPr>
          <w:color w:val="auto"/>
          <w:spacing w:val="-7"/>
        </w:rPr>
        <w:t xml:space="preserve"> 万元以下的罚款；情节严</w:t>
      </w:r>
    </w:p>
    <w:p>
      <w:pPr>
        <w:pStyle w:val="4"/>
        <w:spacing w:line="391" w:lineRule="auto"/>
        <w:ind w:right="268"/>
        <w:jc w:val="both"/>
        <w:rPr>
          <w:color w:val="auto"/>
        </w:rPr>
      </w:pPr>
      <w:r>
        <w:rPr>
          <w:color w:val="auto"/>
          <w:spacing w:val="-17"/>
        </w:rPr>
        <w:t xml:space="preserve">重的，处 </w:t>
      </w:r>
      <w:r>
        <w:rPr>
          <w:color w:val="auto"/>
        </w:rPr>
        <w:t>30</w:t>
      </w:r>
      <w:r>
        <w:rPr>
          <w:color w:val="auto"/>
          <w:spacing w:val="-20"/>
        </w:rPr>
        <w:t xml:space="preserve"> 万元以上 </w:t>
      </w:r>
      <w:r>
        <w:rPr>
          <w:color w:val="auto"/>
        </w:rPr>
        <w:t>50</w:t>
      </w:r>
      <w:r>
        <w:rPr>
          <w:color w:val="auto"/>
          <w:spacing w:val="-10"/>
        </w:rPr>
        <w:t xml:space="preserve"> 万元以下的罚款，由工商行政管理部门吊销有违法经营行为</w:t>
      </w:r>
      <w:r>
        <w:rPr>
          <w:color w:val="auto"/>
          <w:spacing w:val="3"/>
        </w:rPr>
        <w:t>的直销企业分支机构的营业执照直至由国务院商务主管部门吊销直销企业的直销经营许可证。</w:t>
      </w:r>
    </w:p>
    <w:p>
      <w:pPr>
        <w:pStyle w:val="4"/>
        <w:spacing w:line="391" w:lineRule="auto"/>
        <w:ind w:right="268" w:firstLine="480"/>
        <w:jc w:val="both"/>
        <w:rPr>
          <w:color w:val="auto"/>
        </w:rPr>
      </w:pPr>
      <w:r>
        <w:rPr>
          <w:color w:val="auto"/>
        </w:rPr>
        <w:t>2</w:t>
      </w:r>
      <w:r>
        <w:rPr>
          <w:color w:val="auto"/>
          <w:spacing w:val="-8"/>
        </w:rPr>
        <w:t>、《直销管理条例》第二十四条 直销企业至少应当按月支付直销员报酬。直销</w:t>
      </w:r>
      <w:r>
        <w:rPr>
          <w:color w:val="auto"/>
          <w:spacing w:val="-10"/>
        </w:rPr>
        <w:t>企业支付给直销员的报酬只能按照直销员本人直接向消费者销售产品的收入计算，报</w:t>
      </w:r>
      <w:r>
        <w:rPr>
          <w:color w:val="auto"/>
          <w:spacing w:val="-6"/>
        </w:rPr>
        <w:t>酬总额(包括佣金、奖金、各种形式的奖励以及其他经济利益等)不得超过直销员本人</w:t>
      </w:r>
      <w:r>
        <w:rPr>
          <w:color w:val="auto"/>
          <w:spacing w:val="-5"/>
        </w:rPr>
        <w:t xml:space="preserve">直接向消费者销售产品收入的 </w:t>
      </w:r>
      <w:r>
        <w:rPr>
          <w:color w:val="auto"/>
        </w:rPr>
        <w:t>30%。</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268" w:firstLine="480"/>
        <w:jc w:val="both"/>
        <w:rPr>
          <w:color w:val="auto"/>
        </w:rPr>
      </w:pPr>
      <w:r>
        <w:rPr>
          <w:color w:val="auto"/>
          <w:spacing w:val="-4"/>
        </w:rPr>
        <w:t>拖欠支付直销员报酬二个月以下的，或者支付给直销员的报酬超过直销员本人直</w:t>
      </w:r>
      <w:r>
        <w:rPr>
          <w:color w:val="auto"/>
          <w:spacing w:val="-3"/>
        </w:rPr>
        <w:t>接向消费者销售产品收入的百分之三十以上百分之三十五以下的，处以五万元以上十</w:t>
      </w:r>
      <w:r>
        <w:rPr>
          <w:color w:val="auto"/>
        </w:rPr>
        <w:t>万元以下的罚款。</w:t>
      </w:r>
    </w:p>
    <w:p>
      <w:pPr>
        <w:pStyle w:val="13"/>
        <w:numPr>
          <w:ilvl w:val="0"/>
          <w:numId w:val="204"/>
        </w:numPr>
        <w:tabs>
          <w:tab w:val="left" w:pos="833"/>
        </w:tabs>
        <w:spacing w:before="0" w:after="0" w:line="304" w:lineRule="exact"/>
        <w:ind w:left="832" w:right="0" w:hanging="242"/>
        <w:jc w:val="left"/>
        <w:rPr>
          <w:color w:val="auto"/>
          <w:sz w:val="24"/>
        </w:rPr>
      </w:pPr>
      <w:r>
        <w:rPr>
          <w:color w:val="auto"/>
          <w:sz w:val="24"/>
        </w:rPr>
        <w:t>【一般】</w:t>
      </w:r>
    </w:p>
    <w:p>
      <w:pPr>
        <w:pStyle w:val="4"/>
        <w:spacing w:before="179" w:line="391" w:lineRule="auto"/>
        <w:ind w:right="268" w:firstLine="480"/>
        <w:jc w:val="both"/>
        <w:rPr>
          <w:color w:val="auto"/>
        </w:rPr>
      </w:pPr>
      <w:r>
        <w:rPr>
          <w:color w:val="auto"/>
          <w:spacing w:val="-3"/>
        </w:rPr>
        <w:t>拖欠支付直销员报酬二个月以上五个月以下的，或者支付给直销员的报酬达到直销员本人直接向消费者销售产品收入的百分之三十五以上百分之四十以下的，处以十</w:t>
      </w:r>
      <w:r>
        <w:rPr>
          <w:color w:val="auto"/>
        </w:rPr>
        <w:t>万元以上三十万元以下的罚款。</w:t>
      </w:r>
    </w:p>
    <w:p>
      <w:pPr>
        <w:pStyle w:val="13"/>
        <w:numPr>
          <w:ilvl w:val="0"/>
          <w:numId w:val="204"/>
        </w:numPr>
        <w:tabs>
          <w:tab w:val="left" w:pos="833"/>
        </w:tabs>
        <w:spacing w:before="0" w:after="0" w:line="304" w:lineRule="exact"/>
        <w:ind w:left="832" w:right="0" w:hanging="242"/>
        <w:jc w:val="left"/>
        <w:rPr>
          <w:color w:val="auto"/>
          <w:sz w:val="24"/>
        </w:rPr>
      </w:pPr>
      <w:r>
        <w:rPr>
          <w:color w:val="auto"/>
          <w:sz w:val="24"/>
        </w:rPr>
        <w:t>【严重】</w:t>
      </w:r>
    </w:p>
    <w:p>
      <w:pPr>
        <w:spacing w:after="0" w:line="304" w:lineRule="exact"/>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spacing w:val="-4"/>
        </w:rPr>
        <w:t>拖欠支付直销员报酬五个月以上的，或者支付给直销员的报酬达到直销员本人直</w:t>
      </w:r>
      <w:r>
        <w:rPr>
          <w:color w:val="auto"/>
          <w:spacing w:val="-3"/>
        </w:rPr>
        <w:t>接向消费者销售产品收入的百分之四十以上的，或者具有其他严重情节的，处以三十</w:t>
      </w:r>
      <w:r>
        <w:rPr>
          <w:color w:val="auto"/>
          <w:spacing w:val="3"/>
        </w:rPr>
        <w:t>万元以上五十万元以下的罚款，吊销有违法经营行为的直销企业分支机构的营业执照。</w:t>
      </w:r>
    </w:p>
    <w:p>
      <w:pPr>
        <w:pStyle w:val="2"/>
        <w:spacing w:line="304" w:lineRule="exact"/>
        <w:rPr>
          <w:color w:val="auto"/>
        </w:rPr>
      </w:pPr>
      <w:bookmarkStart w:id="559" w:name="二百七十二、直销企业未建立并实行完善的换货和退货制度"/>
      <w:bookmarkEnd w:id="559"/>
      <w:bookmarkStart w:id="560" w:name="_bookmark279"/>
      <w:bookmarkEnd w:id="560"/>
      <w:r>
        <w:rPr>
          <w:color w:val="auto"/>
        </w:rPr>
        <w:t>二百七十二、直销企业未建立并实行完善的换货和退货制度</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8"/>
        </w:rPr>
        <w:t>、《直销管理条例》第四十九条 直销企业违反本条例第二十四条和第二十五条</w:t>
      </w:r>
      <w:r>
        <w:rPr>
          <w:color w:val="auto"/>
          <w:spacing w:val="-10"/>
        </w:rPr>
        <w:t xml:space="preserve">规定的，由工商行政管理部门责令改正，处 </w:t>
      </w:r>
      <w:r>
        <w:rPr>
          <w:color w:val="auto"/>
        </w:rPr>
        <w:t>5</w:t>
      </w:r>
      <w:r>
        <w:rPr>
          <w:color w:val="auto"/>
          <w:spacing w:val="-16"/>
        </w:rPr>
        <w:t xml:space="preserve"> 万元以上 </w:t>
      </w:r>
      <w:r>
        <w:rPr>
          <w:color w:val="auto"/>
        </w:rPr>
        <w:t>30</w:t>
      </w:r>
      <w:r>
        <w:rPr>
          <w:color w:val="auto"/>
          <w:spacing w:val="-7"/>
        </w:rPr>
        <w:t xml:space="preserve"> 万元以下的罚款；情节严</w:t>
      </w:r>
    </w:p>
    <w:p>
      <w:pPr>
        <w:pStyle w:val="4"/>
        <w:spacing w:line="391" w:lineRule="auto"/>
        <w:ind w:right="268"/>
        <w:jc w:val="both"/>
        <w:rPr>
          <w:color w:val="auto"/>
        </w:rPr>
      </w:pPr>
      <w:r>
        <w:rPr>
          <w:color w:val="auto"/>
          <w:spacing w:val="-17"/>
        </w:rPr>
        <w:t xml:space="preserve">重的，处 </w:t>
      </w:r>
      <w:r>
        <w:rPr>
          <w:color w:val="auto"/>
        </w:rPr>
        <w:t>30</w:t>
      </w:r>
      <w:r>
        <w:rPr>
          <w:color w:val="auto"/>
          <w:spacing w:val="-20"/>
        </w:rPr>
        <w:t xml:space="preserve"> 万元以上 </w:t>
      </w:r>
      <w:r>
        <w:rPr>
          <w:color w:val="auto"/>
        </w:rPr>
        <w:t>50</w:t>
      </w:r>
      <w:r>
        <w:rPr>
          <w:color w:val="auto"/>
          <w:spacing w:val="-10"/>
        </w:rPr>
        <w:t xml:space="preserve"> 万元以下的罚款，由工商行政管理部门吊销有违法经营行为</w:t>
      </w:r>
      <w:r>
        <w:rPr>
          <w:color w:val="auto"/>
          <w:spacing w:val="3"/>
        </w:rPr>
        <w:t>的直销企业分支机构的营业执照直至由国务院商务主管部门吊销直销企业的直销经营许可证。</w:t>
      </w:r>
    </w:p>
    <w:p>
      <w:pPr>
        <w:pStyle w:val="4"/>
        <w:spacing w:line="388" w:lineRule="auto"/>
        <w:ind w:right="268" w:firstLine="480"/>
        <w:jc w:val="both"/>
        <w:rPr>
          <w:color w:val="auto"/>
        </w:rPr>
      </w:pPr>
      <w:r>
        <w:rPr>
          <w:color w:val="auto"/>
        </w:rPr>
        <w:t>2</w:t>
      </w:r>
      <w:r>
        <w:rPr>
          <w:color w:val="auto"/>
          <w:spacing w:val="-8"/>
        </w:rPr>
        <w:t>、《直销管理条例》第二十五条 直销企业应当建立并实行完善的换货和退货制度。</w:t>
      </w:r>
    </w:p>
    <w:p>
      <w:pPr>
        <w:pStyle w:val="4"/>
        <w:spacing w:line="391" w:lineRule="auto"/>
        <w:ind w:right="268" w:firstLine="480"/>
        <w:jc w:val="both"/>
        <w:rPr>
          <w:color w:val="auto"/>
        </w:rPr>
      </w:pPr>
      <w:r>
        <w:rPr>
          <w:color w:val="auto"/>
          <w:spacing w:val="-3"/>
        </w:rPr>
        <w:t xml:space="preserve">消费者自购买直销产品之日起 </w:t>
      </w:r>
      <w:r>
        <w:rPr>
          <w:color w:val="auto"/>
        </w:rPr>
        <w:t>30</w:t>
      </w:r>
      <w:r>
        <w:rPr>
          <w:color w:val="auto"/>
          <w:spacing w:val="-5"/>
        </w:rPr>
        <w:t xml:space="preserve"> 日内，产品未开封的，可以凭直销企业开具的</w:t>
      </w:r>
      <w:r>
        <w:rPr>
          <w:color w:val="auto"/>
          <w:spacing w:val="-8"/>
        </w:rPr>
        <w:t>发票或者售货凭证向直销企业及其分支机构、所在地的服务网点或者推销产品的直销</w:t>
      </w:r>
      <w:r>
        <w:rPr>
          <w:color w:val="auto"/>
        </w:rPr>
        <w:t>员办理换货和退货;直销企业及其分支机构、所在地的服务网点和直销员应当自消费</w:t>
      </w:r>
      <w:r>
        <w:rPr>
          <w:color w:val="auto"/>
          <w:spacing w:val="-4"/>
        </w:rPr>
        <w:t xml:space="preserve">者提出换货或者退货要求之日起 </w:t>
      </w:r>
      <w:r>
        <w:rPr>
          <w:color w:val="auto"/>
        </w:rPr>
        <w:t>7</w:t>
      </w:r>
      <w:r>
        <w:rPr>
          <w:color w:val="auto"/>
          <w:spacing w:val="-12"/>
        </w:rPr>
        <w:t xml:space="preserve"> 日内，按照发票或者售货凭证标明的价款办理换货</w:t>
      </w:r>
      <w:r>
        <w:rPr>
          <w:color w:val="auto"/>
        </w:rPr>
        <w:t>和退货。</w:t>
      </w:r>
    </w:p>
    <w:p>
      <w:pPr>
        <w:pStyle w:val="4"/>
        <w:spacing w:line="391" w:lineRule="auto"/>
        <w:ind w:right="269" w:firstLine="480"/>
        <w:jc w:val="both"/>
        <w:rPr>
          <w:color w:val="auto"/>
        </w:rPr>
      </w:pPr>
      <w:r>
        <w:rPr>
          <w:color w:val="auto"/>
          <w:spacing w:val="-3"/>
        </w:rPr>
        <w:t xml:space="preserve">直销员自购买直销产品之日起 </w:t>
      </w:r>
      <w:r>
        <w:rPr>
          <w:color w:val="auto"/>
        </w:rPr>
        <w:t>30</w:t>
      </w:r>
      <w:r>
        <w:rPr>
          <w:color w:val="auto"/>
          <w:spacing w:val="-5"/>
        </w:rPr>
        <w:t xml:space="preserve"> 日内，产品未开封的，可以凭直销企业开具的发票或者售货凭证向直销企业及其分支机构或者所在地的服务网点办理换货和退货; </w:t>
      </w:r>
      <w:r>
        <w:rPr>
          <w:color w:val="auto"/>
          <w:spacing w:val="3"/>
        </w:rPr>
        <w:t>直销企业及其分支机构和所在地的服务网点应当自直销员提出换货或者退货要求之</w:t>
      </w:r>
      <w:r>
        <w:rPr>
          <w:color w:val="auto"/>
          <w:spacing w:val="-18"/>
        </w:rPr>
        <w:t xml:space="preserve">日起 </w:t>
      </w:r>
      <w:r>
        <w:rPr>
          <w:color w:val="auto"/>
        </w:rPr>
        <w:t>7</w:t>
      </w:r>
      <w:r>
        <w:rPr>
          <w:color w:val="auto"/>
          <w:spacing w:val="-8"/>
        </w:rPr>
        <w:t xml:space="preserve"> 日内，按照发票或者售货凭证标明的价款办理换货和退货。</w:t>
      </w:r>
    </w:p>
    <w:p>
      <w:pPr>
        <w:pStyle w:val="4"/>
        <w:spacing w:line="388" w:lineRule="auto"/>
        <w:ind w:right="268" w:firstLine="480"/>
        <w:jc w:val="both"/>
        <w:rPr>
          <w:color w:val="auto"/>
        </w:rPr>
      </w:pPr>
      <w:r>
        <w:rPr>
          <w:color w:val="auto"/>
          <w:spacing w:val="-5"/>
        </w:rPr>
        <w:t>不属于前两款规定情形，消费者、直销员要求换货和退货的，直销企业及其分支</w:t>
      </w:r>
      <w:r>
        <w:rPr>
          <w:color w:val="auto"/>
          <w:spacing w:val="-7"/>
        </w:rPr>
        <w:t>机构、所在地的服务网点和直销员应当依照有关法律法规的规定或者合同的约定，办</w:t>
      </w:r>
      <w:r>
        <w:rPr>
          <w:color w:val="auto"/>
        </w:rPr>
        <w:t>理换货和退货。</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ind w:left="591"/>
        <w:rPr>
          <w:color w:val="auto"/>
        </w:rPr>
      </w:pPr>
      <w:r>
        <w:rPr>
          <w:color w:val="auto"/>
        </w:rPr>
        <w:t>有较完善的换货和退货制度，自直销员提出换货或退货要求之日起超过七日不足</w:t>
      </w:r>
    </w:p>
    <w:p>
      <w:pPr>
        <w:spacing w:after="0"/>
        <w:rPr>
          <w:color w:val="auto"/>
        </w:rPr>
        <w:sectPr>
          <w:footerReference r:id="rId49" w:type="default"/>
          <w:footerReference r:id="rId50" w:type="even"/>
          <w:pgSz w:w="11910" w:h="16840"/>
          <w:pgMar w:top="1520" w:right="1260" w:bottom="1220" w:left="1420" w:header="0" w:footer="1034" w:gutter="0"/>
          <w:pgNumType w:start="230"/>
        </w:sectPr>
      </w:pPr>
    </w:p>
    <w:p>
      <w:pPr>
        <w:pStyle w:val="4"/>
        <w:spacing w:before="39" w:line="391" w:lineRule="auto"/>
        <w:ind w:left="591" w:right="472" w:hanging="480"/>
        <w:rPr>
          <w:color w:val="auto"/>
        </w:rPr>
      </w:pPr>
      <w:r>
        <w:rPr>
          <w:color w:val="auto"/>
        </w:rPr>
        <w:t>十四日办理换货或退货，且违法情节轻微的，处以五万元以上十万元以下的罚款。2.【一般】</w:t>
      </w:r>
    </w:p>
    <w:p>
      <w:pPr>
        <w:pStyle w:val="4"/>
        <w:spacing w:line="391" w:lineRule="auto"/>
        <w:ind w:right="268" w:firstLine="480"/>
        <w:jc w:val="both"/>
        <w:rPr>
          <w:color w:val="auto"/>
        </w:rPr>
      </w:pPr>
      <w:r>
        <w:rPr>
          <w:color w:val="auto"/>
          <w:spacing w:val="-4"/>
        </w:rPr>
        <w:t>有换货和退货制度但不够完善的；有完善的换货和退货制度，自直销员提出换货</w:t>
      </w:r>
      <w:r>
        <w:rPr>
          <w:color w:val="auto"/>
          <w:spacing w:val="-3"/>
        </w:rPr>
        <w:t>或退货要求之日起十四日以上三十日以下办理换货或退货，且未造成严重后果的，处</w:t>
      </w:r>
      <w:r>
        <w:rPr>
          <w:color w:val="auto"/>
        </w:rPr>
        <w:t>以十万元以上三十万元以下的罚款。</w:t>
      </w:r>
    </w:p>
    <w:p>
      <w:pPr>
        <w:pStyle w:val="4"/>
        <w:spacing w:line="304" w:lineRule="exact"/>
        <w:ind w:left="591"/>
        <w:rPr>
          <w:color w:val="auto"/>
        </w:rPr>
      </w:pPr>
      <w:r>
        <w:rPr>
          <w:color w:val="auto"/>
        </w:rPr>
        <w:t>3.【严重】</w:t>
      </w:r>
    </w:p>
    <w:p>
      <w:pPr>
        <w:pStyle w:val="4"/>
        <w:spacing w:before="191" w:line="391" w:lineRule="auto"/>
        <w:ind w:right="268" w:firstLine="480"/>
        <w:jc w:val="both"/>
        <w:rPr>
          <w:color w:val="auto"/>
        </w:rPr>
      </w:pPr>
      <w:r>
        <w:rPr>
          <w:color w:val="auto"/>
          <w:spacing w:val="-4"/>
        </w:rPr>
        <w:t>没有换货和退货制度的；有换货和退货制度，自直销员提出换货或退货要求之日起三十日以上办理换货或退货的，或者具有其他严重情节的，处以三十万元以上五十</w:t>
      </w:r>
      <w:r>
        <w:rPr>
          <w:color w:val="auto"/>
        </w:rPr>
        <w:t>万元以下的罚款，吊销有违法经营行为的直销企业分支机构的营业执照。</w:t>
      </w:r>
    </w:p>
    <w:p>
      <w:pPr>
        <w:pStyle w:val="2"/>
        <w:spacing w:line="304" w:lineRule="exact"/>
        <w:rPr>
          <w:color w:val="auto"/>
        </w:rPr>
      </w:pPr>
      <w:bookmarkStart w:id="561" w:name="_bookmark280"/>
      <w:bookmarkEnd w:id="561"/>
      <w:bookmarkStart w:id="562" w:name="二百七十三、直销企业未依照有关规定进行信息报备和披露"/>
      <w:bookmarkEnd w:id="562"/>
      <w:r>
        <w:rPr>
          <w:color w:val="auto"/>
        </w:rPr>
        <w:t>二百七十三、直销企业未依照有关规定进行信息报备和披露</w:t>
      </w:r>
    </w:p>
    <w:p>
      <w:pPr>
        <w:spacing w:before="194"/>
        <w:ind w:left="591" w:right="0" w:firstLine="0"/>
        <w:jc w:val="left"/>
        <w:rPr>
          <w:b/>
          <w:color w:val="auto"/>
          <w:sz w:val="24"/>
        </w:rPr>
      </w:pPr>
      <w:r>
        <w:rPr>
          <w:b/>
          <w:color w:val="auto"/>
          <w:sz w:val="24"/>
        </w:rPr>
        <w:t>（一）处罚依据</w:t>
      </w:r>
    </w:p>
    <w:p>
      <w:pPr>
        <w:pStyle w:val="4"/>
        <w:spacing w:before="191" w:line="388" w:lineRule="auto"/>
        <w:ind w:right="268" w:firstLine="480"/>
        <w:rPr>
          <w:color w:val="auto"/>
        </w:rPr>
      </w:pPr>
      <w:r>
        <w:rPr>
          <w:color w:val="auto"/>
        </w:rPr>
        <w:t xml:space="preserve">《直销管理条例》第五十条 直销企业未依照有关规定进行信息报备和披露的， </w:t>
      </w:r>
      <w:r>
        <w:rPr>
          <w:color w:val="auto"/>
          <w:spacing w:val="-5"/>
        </w:rPr>
        <w:t xml:space="preserve">由工商行政管理部门责令限期改正，处 </w:t>
      </w:r>
      <w:r>
        <w:rPr>
          <w:color w:val="auto"/>
        </w:rPr>
        <w:t>10</w:t>
      </w:r>
      <w:r>
        <w:rPr>
          <w:color w:val="auto"/>
          <w:spacing w:val="-13"/>
        </w:rPr>
        <w:t xml:space="preserve"> 万元以下的罚款；情节严重的，处 </w:t>
      </w:r>
      <w:r>
        <w:rPr>
          <w:color w:val="auto"/>
        </w:rPr>
        <w:t>10</w:t>
      </w:r>
      <w:r>
        <w:rPr>
          <w:color w:val="auto"/>
          <w:spacing w:val="-26"/>
        </w:rPr>
        <w:t xml:space="preserve"> 万元</w:t>
      </w:r>
    </w:p>
    <w:p>
      <w:pPr>
        <w:pStyle w:val="4"/>
        <w:spacing w:before="5" w:line="388" w:lineRule="auto"/>
        <w:ind w:right="239"/>
        <w:rPr>
          <w:color w:val="auto"/>
        </w:rPr>
      </w:pPr>
      <w:r>
        <w:rPr>
          <w:color w:val="auto"/>
        </w:rPr>
        <w:t>以上 30 万元以下的罚款；拒不改正的，由国务院商务主管部门吊销其直销经营许可证。</w:t>
      </w:r>
    </w:p>
    <w:p>
      <w:pPr>
        <w:spacing w:before="2"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1672"/>
        <w:rPr>
          <w:color w:val="auto"/>
        </w:rPr>
      </w:pPr>
      <w:r>
        <w:rPr>
          <w:color w:val="auto"/>
          <w:spacing w:val="-1"/>
        </w:rPr>
        <w:t>逾期十五日以下，且未造成严重后果的，处以五万元以下的罚款。</w:t>
      </w:r>
      <w:r>
        <w:rPr>
          <w:color w:val="auto"/>
        </w:rPr>
        <w:t>2.【一般】</w:t>
      </w:r>
    </w:p>
    <w:p>
      <w:pPr>
        <w:pStyle w:val="4"/>
        <w:spacing w:before="3" w:line="388" w:lineRule="auto"/>
        <w:ind w:right="148" w:firstLine="480"/>
        <w:rPr>
          <w:color w:val="auto"/>
        </w:rPr>
      </w:pPr>
      <w:r>
        <w:rPr>
          <w:color w:val="auto"/>
          <w:spacing w:val="-10"/>
        </w:rPr>
        <w:t xml:space="preserve">逾期十五日以上三十日以下的；披露的信息存在虚假、误导性陈述或者有遗漏的， </w:t>
      </w:r>
      <w:r>
        <w:rPr>
          <w:color w:val="auto"/>
        </w:rPr>
        <w:t>处以五万元以上十万元以下的罚款。</w:t>
      </w:r>
    </w:p>
    <w:p>
      <w:pPr>
        <w:pStyle w:val="4"/>
        <w:spacing w:before="2"/>
        <w:ind w:left="591"/>
        <w:rPr>
          <w:color w:val="auto"/>
        </w:rPr>
      </w:pPr>
      <w:r>
        <w:rPr>
          <w:color w:val="auto"/>
        </w:rPr>
        <w:t>3.【严重】</w:t>
      </w:r>
    </w:p>
    <w:p>
      <w:pPr>
        <w:pStyle w:val="4"/>
        <w:spacing w:before="194" w:line="388" w:lineRule="auto"/>
        <w:ind w:right="232" w:firstLine="480"/>
        <w:rPr>
          <w:color w:val="auto"/>
        </w:rPr>
      </w:pPr>
      <w:r>
        <w:rPr>
          <w:color w:val="auto"/>
        </w:rPr>
        <w:t>逾期三十日以上的；披露的信息存在严重虚假、误导性陈述或者有重大遗漏的； 具有其他严重情节的，处以十万元以上三十万元以下的罚款。</w:t>
      </w:r>
    </w:p>
    <w:p>
      <w:pPr>
        <w:pStyle w:val="2"/>
        <w:spacing w:before="2"/>
        <w:rPr>
          <w:color w:val="auto"/>
        </w:rPr>
      </w:pPr>
      <w:bookmarkStart w:id="563" w:name="_bookmark281"/>
      <w:bookmarkEnd w:id="563"/>
      <w:bookmarkStart w:id="564" w:name="二百七十四、直销企业违反保证金存缴、使用规定"/>
      <w:bookmarkEnd w:id="564"/>
      <w:r>
        <w:rPr>
          <w:color w:val="auto"/>
        </w:rPr>
        <w:t>二百七十四、直销企业违反保证金存缴、使用规定</w:t>
      </w:r>
    </w:p>
    <w:p>
      <w:pPr>
        <w:spacing w:before="194"/>
        <w:ind w:left="591" w:right="0" w:firstLine="0"/>
        <w:jc w:val="left"/>
        <w:rPr>
          <w:b/>
          <w:color w:val="auto"/>
          <w:sz w:val="24"/>
        </w:rPr>
      </w:pPr>
      <w:r>
        <w:rPr>
          <w:b/>
          <w:color w:val="auto"/>
          <w:sz w:val="24"/>
        </w:rPr>
        <w:t>（一）处罚依据</w:t>
      </w:r>
    </w:p>
    <w:p>
      <w:pPr>
        <w:pStyle w:val="4"/>
        <w:spacing w:before="192" w:line="388" w:lineRule="auto"/>
        <w:ind w:right="268" w:firstLine="480"/>
        <w:rPr>
          <w:color w:val="auto"/>
        </w:rPr>
      </w:pPr>
      <w:r>
        <w:rPr>
          <w:color w:val="auto"/>
        </w:rPr>
        <w:t>《直销管理条例》第五十一条 直销企业违反本条例第五章有关规定的，由工商</w:t>
      </w:r>
      <w:r>
        <w:rPr>
          <w:color w:val="auto"/>
          <w:spacing w:val="-7"/>
        </w:rPr>
        <w:t xml:space="preserve">行政管理部门责令限期改正，处 </w:t>
      </w:r>
      <w:r>
        <w:rPr>
          <w:color w:val="auto"/>
        </w:rPr>
        <w:t>10</w:t>
      </w:r>
      <w:r>
        <w:rPr>
          <w:color w:val="auto"/>
          <w:spacing w:val="-15"/>
        </w:rPr>
        <w:t xml:space="preserve"> 万元以下的罚款；拒不改正的，处 </w:t>
      </w:r>
      <w:r>
        <w:rPr>
          <w:color w:val="auto"/>
        </w:rPr>
        <w:t>10</w:t>
      </w:r>
      <w:r>
        <w:rPr>
          <w:color w:val="auto"/>
          <w:spacing w:val="-20"/>
        </w:rPr>
        <w:t xml:space="preserve"> 万元以上 </w:t>
      </w:r>
      <w:r>
        <w:rPr>
          <w:color w:val="auto"/>
          <w:spacing w:val="-8"/>
        </w:rPr>
        <w:t>30</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万元以下的罚款，由国务院商务主管部门吊销其直销经营许可证。</w:t>
      </w:r>
    </w:p>
    <w:p>
      <w:pPr>
        <w:spacing w:before="195"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13" w:firstLine="480"/>
        <w:rPr>
          <w:color w:val="auto"/>
        </w:rPr>
      </w:pPr>
      <w:r>
        <w:rPr>
          <w:color w:val="auto"/>
        </w:rPr>
        <w:t>违反保证金存缴、使用等有关规定一次，且未造成严重后果的，处以五万元以下的罚款。</w:t>
      </w:r>
    </w:p>
    <w:p>
      <w:pPr>
        <w:pStyle w:val="13"/>
        <w:numPr>
          <w:ilvl w:val="0"/>
          <w:numId w:val="205"/>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213" w:firstLine="480"/>
        <w:rPr>
          <w:color w:val="auto"/>
        </w:rPr>
      </w:pPr>
      <w:r>
        <w:rPr>
          <w:color w:val="auto"/>
        </w:rPr>
        <w:t>违反保证金存缴、使用等有关规定两次，且未造成严重后果的，处以五万元以上十万元以下的罚款。</w:t>
      </w:r>
    </w:p>
    <w:p>
      <w:pPr>
        <w:pStyle w:val="13"/>
        <w:numPr>
          <w:ilvl w:val="0"/>
          <w:numId w:val="205"/>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224" w:firstLine="480"/>
        <w:rPr>
          <w:color w:val="auto"/>
        </w:rPr>
      </w:pPr>
      <w:r>
        <w:rPr>
          <w:color w:val="auto"/>
        </w:rPr>
        <w:t>违反保证金存缴、使用等有关规定三次以上的；造成严重后果的；拒不改正，情节严重的，处以十万元以上三十万元以下的罚款。</w:t>
      </w:r>
    </w:p>
    <w:p>
      <w:pPr>
        <w:pStyle w:val="2"/>
        <w:spacing w:line="306" w:lineRule="exact"/>
        <w:rPr>
          <w:color w:val="auto"/>
        </w:rPr>
      </w:pPr>
      <w:bookmarkStart w:id="565" w:name="_bookmark282"/>
      <w:bookmarkEnd w:id="565"/>
      <w:bookmarkStart w:id="566" w:name="二百七十五、组织策划传销"/>
      <w:bookmarkEnd w:id="566"/>
      <w:r>
        <w:rPr>
          <w:color w:val="auto"/>
        </w:rPr>
        <w:t>二百七十五、组织策划传销</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9"/>
        </w:rPr>
        <w:t>、《禁止传销条例》第二十四条第一款 有本条例第七条规定的行为，组织策划</w:t>
      </w:r>
      <w:r>
        <w:rPr>
          <w:color w:val="auto"/>
          <w:spacing w:val="-11"/>
        </w:rPr>
        <w:t xml:space="preserve">传销的，由工商行政管理部门没收非法财物，没收违法所得，处 </w:t>
      </w:r>
      <w:r>
        <w:rPr>
          <w:color w:val="auto"/>
        </w:rPr>
        <w:t>50</w:t>
      </w:r>
      <w:r>
        <w:rPr>
          <w:color w:val="auto"/>
          <w:spacing w:val="-16"/>
        </w:rPr>
        <w:t xml:space="preserve"> 万元以上 </w:t>
      </w:r>
      <w:r>
        <w:rPr>
          <w:color w:val="auto"/>
        </w:rPr>
        <w:t>200</w:t>
      </w:r>
      <w:r>
        <w:rPr>
          <w:color w:val="auto"/>
          <w:spacing w:val="-23"/>
        </w:rPr>
        <w:t xml:space="preserve"> 万元以下的罚款；构成犯罪的，依法追究刑事责任。</w:t>
      </w:r>
    </w:p>
    <w:p>
      <w:pPr>
        <w:pStyle w:val="4"/>
        <w:spacing w:before="5"/>
        <w:ind w:left="591"/>
        <w:jc w:val="both"/>
        <w:rPr>
          <w:color w:val="auto"/>
        </w:rPr>
      </w:pPr>
      <w:r>
        <w:rPr>
          <w:color w:val="auto"/>
        </w:rPr>
        <w:t>2、《禁止传销条例》第七条 下列行为，属于传销行为:</w:t>
      </w:r>
    </w:p>
    <w:p>
      <w:pPr>
        <w:pStyle w:val="4"/>
        <w:spacing w:before="192" w:line="391" w:lineRule="auto"/>
        <w:ind w:right="268" w:firstLine="480"/>
        <w:jc w:val="both"/>
        <w:rPr>
          <w:color w:val="auto"/>
        </w:rPr>
      </w:pPr>
      <w:r>
        <w:rPr>
          <w:color w:val="auto"/>
          <w:spacing w:val="-4"/>
        </w:rPr>
        <w:t>(一)组织者或者经营者通过发展人员，要求被发展人员发展其他人员加入，对发</w:t>
      </w:r>
      <w:r>
        <w:rPr>
          <w:color w:val="auto"/>
        </w:rPr>
        <w:t>展的人员以其直接或者间接滚动发展的人员数量为依据计算和给付报酬(包括物质奖励和其他经济利益，下同)，牟取非法利益的;</w:t>
      </w:r>
    </w:p>
    <w:p>
      <w:pPr>
        <w:pStyle w:val="4"/>
        <w:spacing w:line="388" w:lineRule="auto"/>
        <w:ind w:right="268" w:firstLine="480"/>
        <w:rPr>
          <w:color w:val="auto"/>
        </w:rPr>
      </w:pPr>
      <w:r>
        <w:rPr>
          <w:color w:val="auto"/>
        </w:rPr>
        <w:fldChar w:fldCharType="begin"/>
      </w:r>
      <w:r>
        <w:rPr>
          <w:color w:val="auto"/>
        </w:rPr>
        <w:instrText xml:space="preserve"> HYPERLINK "http://baike.so.com/doc/6024096-6237093.html" \h </w:instrText>
      </w:r>
      <w:r>
        <w:rPr>
          <w:color w:val="auto"/>
        </w:rPr>
        <w:fldChar w:fldCharType="separate"/>
      </w:r>
      <w:r>
        <w:rPr>
          <w:color w:val="auto"/>
        </w:rPr>
        <w:t>(二)组织者或者经营者</w:t>
      </w:r>
      <w:r>
        <w:rPr>
          <w:color w:val="auto"/>
        </w:rPr>
        <w:fldChar w:fldCharType="end"/>
      </w:r>
      <w:r>
        <w:rPr>
          <w:color w:val="auto"/>
          <w:spacing w:val="-7"/>
        </w:rPr>
        <w:t>通过发展人员，要求被发展人员交纳费用或者以认购商品</w:t>
      </w:r>
      <w:r>
        <w:rPr>
          <w:color w:val="auto"/>
        </w:rPr>
        <w:t>等方式变相交纳费用，取得加入或者发展其他人员加入的资格，牟取非法利益的;</w:t>
      </w:r>
    </w:p>
    <w:p>
      <w:pPr>
        <w:pStyle w:val="4"/>
        <w:spacing w:before="1" w:line="388" w:lineRule="auto"/>
        <w:ind w:right="268" w:firstLine="480"/>
        <w:rPr>
          <w:color w:val="auto"/>
        </w:rPr>
      </w:pPr>
      <w:r>
        <w:rPr>
          <w:color w:val="auto"/>
          <w:spacing w:val="-4"/>
        </w:rPr>
        <w:t>(三)组织者或者经营者通过发展人员，要求被发展人员发展其他人员加入，形成</w:t>
      </w:r>
      <w:r>
        <w:rPr>
          <w:color w:val="auto"/>
        </w:rPr>
        <w:t>上下线关系，并以下线的销售业绩为依据计算和给付上线报酬，牟取非法利益的。</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13" w:firstLine="480"/>
        <w:rPr>
          <w:color w:val="auto"/>
        </w:rPr>
      </w:pPr>
      <w:r>
        <w:rPr>
          <w:color w:val="auto"/>
        </w:rPr>
        <w:t>非法经营额二十万元以下，尚未达到刑事立案追诉标准的，没收非法财物，没收违法所得，处以五十万元以上八十万元以下的罚款。</w:t>
      </w:r>
    </w:p>
    <w:p>
      <w:pPr>
        <w:spacing w:after="0" w:line="388" w:lineRule="auto"/>
        <w:rPr>
          <w:color w:val="auto"/>
        </w:rPr>
        <w:sectPr>
          <w:pgSz w:w="11910" w:h="16840"/>
          <w:pgMar w:top="1520" w:right="1260" w:bottom="1220" w:left="1420" w:header="0" w:footer="1034" w:gutter="0"/>
        </w:sectPr>
      </w:pPr>
    </w:p>
    <w:p>
      <w:pPr>
        <w:pStyle w:val="13"/>
        <w:numPr>
          <w:ilvl w:val="0"/>
          <w:numId w:val="206"/>
        </w:numPr>
        <w:tabs>
          <w:tab w:val="left" w:pos="833"/>
        </w:tabs>
        <w:spacing w:before="39" w:after="0" w:line="240" w:lineRule="auto"/>
        <w:ind w:left="832" w:right="0" w:hanging="242"/>
        <w:jc w:val="left"/>
        <w:rPr>
          <w:color w:val="auto"/>
          <w:sz w:val="24"/>
        </w:rPr>
      </w:pPr>
      <w:r>
        <w:rPr>
          <w:color w:val="auto"/>
          <w:sz w:val="24"/>
        </w:rPr>
        <w:t>【一般】</w:t>
      </w:r>
    </w:p>
    <w:p>
      <w:pPr>
        <w:pStyle w:val="4"/>
        <w:spacing w:before="195" w:line="388" w:lineRule="auto"/>
        <w:ind w:right="213" w:firstLine="480"/>
        <w:rPr>
          <w:color w:val="auto"/>
        </w:rPr>
      </w:pPr>
      <w:r>
        <w:rPr>
          <w:color w:val="auto"/>
        </w:rPr>
        <w:t>非法经营额二十万元以上五十万元以下，尚未达到刑事立案追诉标准的，没收非法财物，没收违法所得，处以八十万元以上一百五十万元以下的罚款。</w:t>
      </w:r>
    </w:p>
    <w:p>
      <w:pPr>
        <w:pStyle w:val="13"/>
        <w:numPr>
          <w:ilvl w:val="0"/>
          <w:numId w:val="206"/>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非法经营额五十万元以上，尚未达到刑事立案追诉标准的，没收非法财物，没收违法所得，处以一百五十万元以上二百万元以下的罚款。</w:t>
      </w:r>
    </w:p>
    <w:p>
      <w:pPr>
        <w:pStyle w:val="2"/>
        <w:spacing w:before="2"/>
        <w:rPr>
          <w:color w:val="auto"/>
        </w:rPr>
      </w:pPr>
      <w:bookmarkStart w:id="567" w:name="_bookmark283"/>
      <w:bookmarkEnd w:id="567"/>
      <w:bookmarkStart w:id="568" w:name="二百七十六、介绍、诱骗、胁迫他人参加传销"/>
      <w:bookmarkEnd w:id="568"/>
      <w:r>
        <w:rPr>
          <w:color w:val="auto"/>
        </w:rPr>
        <w:t>二百七十六、介绍、诱骗、胁迫他人参加传销</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80"/>
        <w:jc w:val="both"/>
        <w:rPr>
          <w:color w:val="auto"/>
        </w:rPr>
      </w:pPr>
      <w:r>
        <w:rPr>
          <w:color w:val="auto"/>
        </w:rPr>
        <w:t>1</w:t>
      </w:r>
      <w:r>
        <w:rPr>
          <w:color w:val="auto"/>
          <w:spacing w:val="-10"/>
        </w:rPr>
        <w:t xml:space="preserve">、《禁止传销条例》第二十四条第二款 有本条例第七条规定的行为，介绍、诱骗、胁迫他人参加传销的，由工商行政管理部门责令停止违法行为，没收非法财物， </w:t>
      </w:r>
      <w:r>
        <w:rPr>
          <w:color w:val="auto"/>
          <w:spacing w:val="-20"/>
        </w:rPr>
        <w:t xml:space="preserve">没收违法所得，处 </w:t>
      </w:r>
      <w:r>
        <w:rPr>
          <w:color w:val="auto"/>
        </w:rPr>
        <w:t>10</w:t>
      </w:r>
      <w:r>
        <w:rPr>
          <w:color w:val="auto"/>
          <w:spacing w:val="-20"/>
        </w:rPr>
        <w:t xml:space="preserve"> 万元以上 </w:t>
      </w:r>
      <w:r>
        <w:rPr>
          <w:color w:val="auto"/>
        </w:rPr>
        <w:t>50</w:t>
      </w:r>
      <w:r>
        <w:rPr>
          <w:color w:val="auto"/>
          <w:spacing w:val="-15"/>
        </w:rPr>
        <w:t xml:space="preserve"> 万元以下的罚款；构成犯罪的，依法追究刑事责任。</w:t>
      </w:r>
    </w:p>
    <w:p>
      <w:pPr>
        <w:pStyle w:val="4"/>
        <w:spacing w:line="304" w:lineRule="exact"/>
        <w:ind w:left="591"/>
        <w:jc w:val="both"/>
        <w:rPr>
          <w:color w:val="auto"/>
        </w:rPr>
      </w:pPr>
      <w:r>
        <w:rPr>
          <w:color w:val="auto"/>
        </w:rPr>
        <w:t>2、《禁止传销条例》第七条 下列行为，属于传销行为:</w:t>
      </w:r>
    </w:p>
    <w:p>
      <w:pPr>
        <w:pStyle w:val="4"/>
        <w:spacing w:before="191" w:line="391" w:lineRule="auto"/>
        <w:ind w:right="268" w:firstLine="480"/>
        <w:jc w:val="both"/>
        <w:rPr>
          <w:color w:val="auto"/>
        </w:rPr>
      </w:pPr>
      <w:r>
        <w:rPr>
          <w:color w:val="auto"/>
          <w:spacing w:val="-4"/>
        </w:rPr>
        <w:t>(一)组织者或者经营者通过发展人员，要求被发展人员发展其他人员加入，对发</w:t>
      </w:r>
      <w:r>
        <w:rPr>
          <w:color w:val="auto"/>
        </w:rPr>
        <w:t>展的人员以其直接或者间接滚动发展的人员数量为依据计算和给付报酬(包括物质奖励和其他经济利益，下同)，牟取非法利益的;</w:t>
      </w:r>
    </w:p>
    <w:p>
      <w:pPr>
        <w:pStyle w:val="4"/>
        <w:spacing w:line="391" w:lineRule="auto"/>
        <w:ind w:right="268" w:firstLine="480"/>
        <w:rPr>
          <w:color w:val="auto"/>
        </w:rPr>
      </w:pPr>
      <w:r>
        <w:rPr>
          <w:color w:val="auto"/>
        </w:rPr>
        <w:fldChar w:fldCharType="begin"/>
      </w:r>
      <w:r>
        <w:rPr>
          <w:color w:val="auto"/>
        </w:rPr>
        <w:instrText xml:space="preserve"> HYPERLINK "http://baike.so.com/doc/6024096-6237093.html" \h </w:instrText>
      </w:r>
      <w:r>
        <w:rPr>
          <w:color w:val="auto"/>
        </w:rPr>
        <w:fldChar w:fldCharType="separate"/>
      </w:r>
      <w:r>
        <w:rPr>
          <w:color w:val="auto"/>
        </w:rPr>
        <w:t>(二)组织者或者经营者</w:t>
      </w:r>
      <w:r>
        <w:rPr>
          <w:color w:val="auto"/>
        </w:rPr>
        <w:fldChar w:fldCharType="end"/>
      </w:r>
      <w:r>
        <w:rPr>
          <w:color w:val="auto"/>
          <w:spacing w:val="-7"/>
        </w:rPr>
        <w:t>通过发展人员，要求被发展人员交纳费用或者以认购商品</w:t>
      </w:r>
      <w:r>
        <w:rPr>
          <w:color w:val="auto"/>
        </w:rPr>
        <w:t>等方式变相交纳费用，取得加入或者发展其他人员加入的资格，牟取非法利益的;</w:t>
      </w:r>
    </w:p>
    <w:p>
      <w:pPr>
        <w:pStyle w:val="4"/>
        <w:spacing w:line="388" w:lineRule="auto"/>
        <w:ind w:right="268" w:firstLine="480"/>
        <w:rPr>
          <w:color w:val="auto"/>
        </w:rPr>
      </w:pPr>
      <w:r>
        <w:rPr>
          <w:color w:val="auto"/>
          <w:spacing w:val="-4"/>
        </w:rPr>
        <w:t>(三)组织者或者经营者通过发展人员，要求被发展人员发展其他人员加入，形成</w:t>
      </w:r>
      <w:r>
        <w:rPr>
          <w:color w:val="auto"/>
        </w:rPr>
        <w:t>上下线关系，并以下线的销售业绩为依据计算和给付上线报酬，牟取非法利益的。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before="2" w:line="391" w:lineRule="auto"/>
        <w:ind w:right="213" w:firstLine="480"/>
        <w:rPr>
          <w:color w:val="auto"/>
        </w:rPr>
      </w:pPr>
      <w:r>
        <w:rPr>
          <w:color w:val="auto"/>
        </w:rPr>
        <w:t>非法经营额十万元以下，尚未达到刑事立案追诉标准的，没收非法财物，没收违法所得，处以十万元以上二十万元以下的罚款。</w:t>
      </w:r>
    </w:p>
    <w:p>
      <w:pPr>
        <w:pStyle w:val="13"/>
        <w:numPr>
          <w:ilvl w:val="0"/>
          <w:numId w:val="207"/>
        </w:numPr>
        <w:tabs>
          <w:tab w:val="left" w:pos="833"/>
        </w:tabs>
        <w:spacing w:before="0" w:after="0" w:line="306" w:lineRule="exact"/>
        <w:ind w:left="832" w:right="0" w:hanging="242"/>
        <w:jc w:val="left"/>
        <w:rPr>
          <w:color w:val="auto"/>
          <w:sz w:val="24"/>
        </w:rPr>
      </w:pPr>
      <w:r>
        <w:rPr>
          <w:color w:val="auto"/>
          <w:sz w:val="24"/>
        </w:rPr>
        <w:t>【一般】</w:t>
      </w:r>
    </w:p>
    <w:p>
      <w:pPr>
        <w:pStyle w:val="4"/>
        <w:spacing w:before="191" w:line="391" w:lineRule="auto"/>
        <w:ind w:right="213" w:firstLine="480"/>
        <w:rPr>
          <w:color w:val="auto"/>
        </w:rPr>
      </w:pPr>
      <w:r>
        <w:rPr>
          <w:color w:val="auto"/>
        </w:rPr>
        <w:t>非法经营额十万元以上二十万元以下，尚未达到刑事立案追诉标准的，没收非法财物，没收违法所得，处以二十万元以上四十万元以下的罚款。</w:t>
      </w:r>
    </w:p>
    <w:p>
      <w:pPr>
        <w:pStyle w:val="13"/>
        <w:numPr>
          <w:ilvl w:val="0"/>
          <w:numId w:val="207"/>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ind w:left="591"/>
        <w:rPr>
          <w:color w:val="auto"/>
        </w:rPr>
      </w:pPr>
      <w:r>
        <w:rPr>
          <w:color w:val="auto"/>
        </w:rPr>
        <w:t>非法经营额二十万元以上，尚未达到刑事立案追诉标准的，没收非法财物，没收</w:t>
      </w:r>
    </w:p>
    <w:p>
      <w:pPr>
        <w:spacing w:after="0"/>
        <w:rPr>
          <w:color w:val="auto"/>
        </w:rPr>
        <w:sectPr>
          <w:pgSz w:w="11910" w:h="16840"/>
          <w:pgMar w:top="1520" w:right="1260" w:bottom="1220" w:left="1420" w:header="0" w:footer="1034" w:gutter="0"/>
        </w:sectPr>
      </w:pPr>
    </w:p>
    <w:p>
      <w:pPr>
        <w:spacing w:before="39" w:line="391" w:lineRule="auto"/>
        <w:ind w:left="591" w:right="3592" w:hanging="480"/>
        <w:jc w:val="left"/>
        <w:rPr>
          <w:b/>
          <w:color w:val="auto"/>
          <w:sz w:val="24"/>
        </w:rPr>
      </w:pPr>
      <w:r>
        <w:rPr>
          <w:color w:val="auto"/>
          <w:sz w:val="24"/>
        </w:rPr>
        <w:t>违法所得，处以四十万元以上五十万元以下的罚款。</w:t>
      </w:r>
      <w:bookmarkStart w:id="569" w:name="二百七十七、参加传销活动"/>
      <w:bookmarkEnd w:id="569"/>
      <w:bookmarkStart w:id="570" w:name="_bookmark284"/>
      <w:bookmarkEnd w:id="570"/>
      <w:r>
        <w:rPr>
          <w:b/>
          <w:color w:val="auto"/>
          <w:sz w:val="24"/>
        </w:rPr>
        <w:t>二百七十七、参加传销活动</w:t>
      </w:r>
    </w:p>
    <w:p>
      <w:pPr>
        <w:pStyle w:val="2"/>
        <w:spacing w:line="306" w:lineRule="exact"/>
        <w:rPr>
          <w:color w:val="auto"/>
        </w:rPr>
      </w:pPr>
      <w:r>
        <w:rPr>
          <w:color w:val="auto"/>
        </w:rPr>
        <w:t>（一）处罚依据</w:t>
      </w:r>
    </w:p>
    <w:p>
      <w:pPr>
        <w:pStyle w:val="4"/>
        <w:spacing w:before="192" w:line="391" w:lineRule="auto"/>
        <w:ind w:right="268" w:firstLine="480"/>
        <w:rPr>
          <w:color w:val="auto"/>
        </w:rPr>
      </w:pPr>
      <w:r>
        <w:rPr>
          <w:color w:val="auto"/>
        </w:rPr>
        <w:t>1</w:t>
      </w:r>
      <w:r>
        <w:rPr>
          <w:color w:val="auto"/>
          <w:spacing w:val="-9"/>
        </w:rPr>
        <w:t>、《禁止传销条例》第二十四条第三款 有本条例第七条规定的行为，参加传销</w:t>
      </w:r>
      <w:r>
        <w:rPr>
          <w:color w:val="auto"/>
          <w:spacing w:val="-12"/>
        </w:rPr>
        <w:t xml:space="preserve">的，由工商行政管理部门责令停止违法行为，可以处 </w:t>
      </w:r>
      <w:r>
        <w:rPr>
          <w:color w:val="auto"/>
        </w:rPr>
        <w:t>2000</w:t>
      </w:r>
      <w:r>
        <w:rPr>
          <w:color w:val="auto"/>
          <w:spacing w:val="-8"/>
        </w:rPr>
        <w:t xml:space="preserve"> 元以下的罚款。</w:t>
      </w:r>
    </w:p>
    <w:p>
      <w:pPr>
        <w:pStyle w:val="4"/>
        <w:spacing w:line="306" w:lineRule="exact"/>
        <w:ind w:left="591"/>
        <w:rPr>
          <w:color w:val="auto"/>
        </w:rPr>
      </w:pPr>
      <w:r>
        <w:rPr>
          <w:color w:val="auto"/>
        </w:rPr>
        <w:t>2、《禁止传销条例》第七条 下列行为，属于传销行为:</w:t>
      </w:r>
    </w:p>
    <w:p>
      <w:pPr>
        <w:pStyle w:val="4"/>
        <w:spacing w:before="192" w:line="391" w:lineRule="auto"/>
        <w:ind w:right="268" w:firstLine="480"/>
        <w:jc w:val="both"/>
        <w:rPr>
          <w:color w:val="auto"/>
        </w:rPr>
      </w:pPr>
      <w:r>
        <w:rPr>
          <w:color w:val="auto"/>
          <w:spacing w:val="-4"/>
        </w:rPr>
        <w:t>(一)组织者或者经营者通过发展人员，要求被发展人员发展其他人员加入，对发</w:t>
      </w:r>
      <w:r>
        <w:rPr>
          <w:color w:val="auto"/>
        </w:rPr>
        <w:t>展的人员以其直接或者间接滚动发展的人员数量为依据计算和给付报酬(包括物质奖励和其他经济利益，下同)，牟取非法利益的;</w:t>
      </w:r>
    </w:p>
    <w:p>
      <w:pPr>
        <w:pStyle w:val="4"/>
        <w:spacing w:line="391" w:lineRule="auto"/>
        <w:ind w:right="268" w:firstLine="480"/>
        <w:rPr>
          <w:color w:val="auto"/>
        </w:rPr>
      </w:pPr>
      <w:r>
        <w:rPr>
          <w:color w:val="auto"/>
        </w:rPr>
        <w:fldChar w:fldCharType="begin"/>
      </w:r>
      <w:r>
        <w:rPr>
          <w:color w:val="auto"/>
        </w:rPr>
        <w:instrText xml:space="preserve"> HYPERLINK "http://baike.so.com/doc/6024096-6237093.html" \h </w:instrText>
      </w:r>
      <w:r>
        <w:rPr>
          <w:color w:val="auto"/>
        </w:rPr>
        <w:fldChar w:fldCharType="separate"/>
      </w:r>
      <w:r>
        <w:rPr>
          <w:color w:val="auto"/>
        </w:rPr>
        <w:t>(二)组织者或者经营者</w:t>
      </w:r>
      <w:r>
        <w:rPr>
          <w:color w:val="auto"/>
        </w:rPr>
        <w:fldChar w:fldCharType="end"/>
      </w:r>
      <w:r>
        <w:rPr>
          <w:color w:val="auto"/>
          <w:spacing w:val="-7"/>
        </w:rPr>
        <w:t>通过发展人员，要求被发展人员交纳费用或者以认购商品</w:t>
      </w:r>
      <w:r>
        <w:rPr>
          <w:color w:val="auto"/>
        </w:rPr>
        <w:t>等方式变相交纳费用，取得加入或者发展其他人员加入的资格，牟取非法利益的;</w:t>
      </w:r>
    </w:p>
    <w:p>
      <w:pPr>
        <w:pStyle w:val="4"/>
        <w:spacing w:line="388" w:lineRule="auto"/>
        <w:ind w:right="268" w:firstLine="480"/>
        <w:rPr>
          <w:color w:val="auto"/>
        </w:rPr>
      </w:pPr>
      <w:r>
        <w:rPr>
          <w:color w:val="auto"/>
          <w:spacing w:val="-4"/>
        </w:rPr>
        <w:t>(三)组织者或者经营者通过发展人员，要求被发展人员发展其他人员加入，形成</w:t>
      </w:r>
      <w:r>
        <w:rPr>
          <w:color w:val="auto"/>
        </w:rPr>
        <w:t>上下线关系，并以下线的销售业绩为依据计算和给付上线报酬，牟取非法利益的。</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1" w:line="391" w:lineRule="auto"/>
        <w:ind w:left="591" w:right="2152"/>
        <w:rPr>
          <w:color w:val="auto"/>
        </w:rPr>
      </w:pPr>
      <w:r>
        <w:rPr>
          <w:color w:val="auto"/>
          <w:spacing w:val="-1"/>
        </w:rPr>
        <w:t>第一次发现，未造成危害后果的，可以处五百元以下的罚款。</w:t>
      </w:r>
      <w:r>
        <w:rPr>
          <w:color w:val="auto"/>
        </w:rPr>
        <w:t>2.【一般】</w:t>
      </w:r>
    </w:p>
    <w:p>
      <w:pPr>
        <w:pStyle w:val="4"/>
        <w:spacing w:line="388" w:lineRule="auto"/>
        <w:ind w:left="591" w:right="3352"/>
        <w:rPr>
          <w:color w:val="auto"/>
        </w:rPr>
      </w:pPr>
      <w:r>
        <w:rPr>
          <w:color w:val="auto"/>
          <w:spacing w:val="-1"/>
        </w:rPr>
        <w:t>第二次发现，处以五百元以上一千元以下的罚款。</w:t>
      </w:r>
      <w:r>
        <w:rPr>
          <w:color w:val="auto"/>
        </w:rPr>
        <w:t>3.【严重】</w:t>
      </w:r>
    </w:p>
    <w:p>
      <w:pPr>
        <w:pStyle w:val="4"/>
        <w:spacing w:before="3"/>
        <w:ind w:left="591"/>
        <w:rPr>
          <w:color w:val="auto"/>
        </w:rPr>
      </w:pPr>
      <w:r>
        <w:rPr>
          <w:color w:val="auto"/>
        </w:rPr>
        <w:t>发现三次以上的，处以一千元以上二千元以下的罚款。</w:t>
      </w:r>
    </w:p>
    <w:p>
      <w:pPr>
        <w:pStyle w:val="2"/>
        <w:spacing w:before="192"/>
        <w:rPr>
          <w:color w:val="auto"/>
        </w:rPr>
      </w:pPr>
      <w:bookmarkStart w:id="571" w:name="_bookmark285"/>
      <w:bookmarkEnd w:id="571"/>
      <w:bookmarkStart w:id="572" w:name="二百七十八、为传销行为提供经营场所、培训场所、货源、保管、仓储等条件"/>
      <w:bookmarkEnd w:id="572"/>
      <w:r>
        <w:rPr>
          <w:color w:val="auto"/>
        </w:rPr>
        <w:t>二百七十八、为传销行为提供经营场所、培训场所、货源、保管、仓储等条件</w:t>
      </w:r>
    </w:p>
    <w:p>
      <w:pPr>
        <w:spacing w:before="191"/>
        <w:ind w:left="591" w:right="0" w:firstLine="0"/>
        <w:jc w:val="left"/>
        <w:rPr>
          <w:b/>
          <w:color w:val="auto"/>
          <w:sz w:val="24"/>
        </w:rPr>
      </w:pPr>
      <w:r>
        <w:rPr>
          <w:b/>
          <w:color w:val="auto"/>
          <w:sz w:val="24"/>
        </w:rPr>
        <w:t>（一）处罚依据</w:t>
      </w:r>
    </w:p>
    <w:p>
      <w:pPr>
        <w:pStyle w:val="4"/>
        <w:spacing w:before="195" w:line="388" w:lineRule="auto"/>
        <w:ind w:right="264" w:firstLine="480"/>
        <w:jc w:val="both"/>
        <w:rPr>
          <w:color w:val="auto"/>
        </w:rPr>
      </w:pPr>
      <w:r>
        <w:rPr>
          <w:color w:val="auto"/>
        </w:rPr>
        <w:t>1</w:t>
      </w:r>
      <w:r>
        <w:rPr>
          <w:color w:val="auto"/>
          <w:spacing w:val="-9"/>
        </w:rPr>
        <w:t>、《禁止传销条例》第二十六条第一款 违反本条例第七条规定的传销行为提供</w:t>
      </w:r>
      <w:r>
        <w:rPr>
          <w:color w:val="auto"/>
          <w:spacing w:val="-10"/>
        </w:rPr>
        <w:t>经营场所、培训场所、货源、保管、仓储等条件的，由工商行政管理部门责令停止违</w:t>
      </w:r>
      <w:r>
        <w:rPr>
          <w:color w:val="auto"/>
          <w:spacing w:val="-5"/>
        </w:rPr>
        <w:t xml:space="preserve">法行为，没收违法所得，处 </w:t>
      </w:r>
      <w:r>
        <w:rPr>
          <w:color w:val="auto"/>
        </w:rPr>
        <w:t>5</w:t>
      </w:r>
      <w:r>
        <w:rPr>
          <w:color w:val="auto"/>
          <w:spacing w:val="-20"/>
        </w:rPr>
        <w:t xml:space="preserve"> 万元以上 </w:t>
      </w:r>
      <w:r>
        <w:rPr>
          <w:color w:val="auto"/>
        </w:rPr>
        <w:t>50</w:t>
      </w:r>
      <w:r>
        <w:rPr>
          <w:color w:val="auto"/>
          <w:spacing w:val="-8"/>
        </w:rPr>
        <w:t xml:space="preserve"> 万元以下的罚款</w:t>
      </w:r>
    </w:p>
    <w:p>
      <w:pPr>
        <w:pStyle w:val="4"/>
        <w:spacing w:before="5"/>
        <w:ind w:left="591"/>
        <w:rPr>
          <w:color w:val="auto"/>
        </w:rPr>
      </w:pPr>
      <w:r>
        <w:rPr>
          <w:color w:val="auto"/>
        </w:rPr>
        <w:t>2、《禁止传销条例》第七条 下列行为，属于传销行为:</w:t>
      </w:r>
    </w:p>
    <w:p>
      <w:pPr>
        <w:pStyle w:val="4"/>
        <w:spacing w:before="192" w:line="388" w:lineRule="auto"/>
        <w:ind w:right="213" w:firstLine="480"/>
        <w:rPr>
          <w:color w:val="auto"/>
        </w:rPr>
      </w:pPr>
      <w:r>
        <w:rPr>
          <w:color w:val="auto"/>
        </w:rPr>
        <w:t>(一)组织者或者经营者通过发展人员，要求被发展人员发展其他人员加入，对发展的人员以其直接或者间接滚动发展的人员数量为依据计算和给付报酬(包括物质奖</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励和其他经济利益，下同)，牟取非法利益的;</w:t>
      </w:r>
    </w:p>
    <w:p>
      <w:pPr>
        <w:pStyle w:val="4"/>
        <w:spacing w:before="195" w:line="388" w:lineRule="auto"/>
        <w:ind w:right="268" w:firstLine="480"/>
        <w:rPr>
          <w:color w:val="auto"/>
        </w:rPr>
      </w:pPr>
      <w:r>
        <w:rPr>
          <w:color w:val="auto"/>
        </w:rPr>
        <w:fldChar w:fldCharType="begin"/>
      </w:r>
      <w:r>
        <w:rPr>
          <w:color w:val="auto"/>
        </w:rPr>
        <w:instrText xml:space="preserve"> HYPERLINK "http://baike.so.com/doc/6024096-6237093.html" \h </w:instrText>
      </w:r>
      <w:r>
        <w:rPr>
          <w:color w:val="auto"/>
        </w:rPr>
        <w:fldChar w:fldCharType="separate"/>
      </w:r>
      <w:r>
        <w:rPr>
          <w:color w:val="auto"/>
        </w:rPr>
        <w:t>(二)组织者或者经营者</w:t>
      </w:r>
      <w:r>
        <w:rPr>
          <w:color w:val="auto"/>
        </w:rPr>
        <w:fldChar w:fldCharType="end"/>
      </w:r>
      <w:r>
        <w:rPr>
          <w:color w:val="auto"/>
          <w:spacing w:val="-7"/>
        </w:rPr>
        <w:t>通过发展人员，要求被发展人员交纳费用或者以认购商品</w:t>
      </w:r>
      <w:r>
        <w:rPr>
          <w:color w:val="auto"/>
        </w:rPr>
        <w:t>等方式变相交纳费用，取得加入或者发展其他人员加入的资格，牟取非法利益的;</w:t>
      </w:r>
    </w:p>
    <w:p>
      <w:pPr>
        <w:pStyle w:val="4"/>
        <w:spacing w:before="2" w:line="391" w:lineRule="auto"/>
        <w:ind w:right="268" w:firstLine="480"/>
        <w:rPr>
          <w:color w:val="auto"/>
        </w:rPr>
      </w:pPr>
      <w:r>
        <w:rPr>
          <w:color w:val="auto"/>
          <w:spacing w:val="-4"/>
        </w:rPr>
        <w:t>(三)组织者或者经营者通过发展人员，要求被发展人员发展其他人员加入，形成</w:t>
      </w:r>
      <w:r>
        <w:rPr>
          <w:color w:val="auto"/>
        </w:rPr>
        <w:t>上下线关系，并以下线的销售业绩为依据计算和给付上线报酬，牟取非法利益的。</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3" w:line="388" w:lineRule="auto"/>
        <w:ind w:left="591" w:right="472"/>
        <w:rPr>
          <w:color w:val="auto"/>
        </w:rPr>
      </w:pPr>
      <w:r>
        <w:rPr>
          <w:color w:val="auto"/>
          <w:spacing w:val="-1"/>
        </w:rPr>
        <w:t>违法所得五万元以下的，没收违法所得，处以五万元以上十万元以下的罚款。</w:t>
      </w:r>
      <w:r>
        <w:rPr>
          <w:color w:val="auto"/>
        </w:rPr>
        <w:t>2.【一般】</w:t>
      </w:r>
    </w:p>
    <w:p>
      <w:pPr>
        <w:pStyle w:val="4"/>
        <w:spacing w:before="2" w:line="391" w:lineRule="auto"/>
        <w:ind w:right="213" w:firstLine="480"/>
        <w:rPr>
          <w:color w:val="auto"/>
        </w:rPr>
      </w:pPr>
      <w:r>
        <w:rPr>
          <w:color w:val="auto"/>
        </w:rPr>
        <w:t>违法所得五万元以上十万元以下的，没收违法所得，处以十万元以上三十万元以下的罚款。</w:t>
      </w:r>
    </w:p>
    <w:p>
      <w:pPr>
        <w:pStyle w:val="4"/>
        <w:spacing w:line="306" w:lineRule="exact"/>
        <w:ind w:left="591"/>
        <w:rPr>
          <w:color w:val="auto"/>
        </w:rPr>
      </w:pPr>
      <w:r>
        <w:rPr>
          <w:color w:val="auto"/>
        </w:rPr>
        <w:t>3.【严重】</w:t>
      </w:r>
    </w:p>
    <w:p>
      <w:pPr>
        <w:spacing w:before="191" w:line="391" w:lineRule="auto"/>
        <w:ind w:left="591" w:right="148" w:firstLine="0"/>
        <w:jc w:val="left"/>
        <w:rPr>
          <w:b/>
          <w:color w:val="auto"/>
          <w:sz w:val="24"/>
        </w:rPr>
      </w:pPr>
      <w:r>
        <w:rPr>
          <w:color w:val="auto"/>
          <w:spacing w:val="-13"/>
          <w:sz w:val="24"/>
        </w:rPr>
        <w:t>违法所得十万元以上的，没收违法所得，处以三十万元以上五十万元以下的罚款。</w:t>
      </w:r>
      <w:bookmarkStart w:id="573" w:name="_bookmark286"/>
      <w:bookmarkEnd w:id="573"/>
      <w:bookmarkStart w:id="574" w:name="二百七十九、擅自动用、调换、转移、损毁被查封、扣押财物"/>
      <w:bookmarkEnd w:id="574"/>
      <w:r>
        <w:rPr>
          <w:b/>
          <w:color w:val="auto"/>
          <w:sz w:val="24"/>
        </w:rPr>
        <w:t>二百七十九、擅自动用、调换、转移、损毁被查封、扣押财物</w:t>
      </w:r>
    </w:p>
    <w:p>
      <w:pPr>
        <w:pStyle w:val="2"/>
        <w:spacing w:line="306" w:lineRule="exact"/>
        <w:rPr>
          <w:color w:val="auto"/>
        </w:rPr>
      </w:pPr>
      <w:r>
        <w:rPr>
          <w:color w:val="auto"/>
        </w:rPr>
        <w:t>（一）处罚依据</w:t>
      </w:r>
    </w:p>
    <w:p>
      <w:pPr>
        <w:pStyle w:val="4"/>
        <w:spacing w:before="192" w:line="391" w:lineRule="auto"/>
        <w:ind w:right="266" w:firstLine="480"/>
        <w:jc w:val="both"/>
        <w:rPr>
          <w:color w:val="auto"/>
        </w:rPr>
      </w:pPr>
      <w:r>
        <w:rPr>
          <w:color w:val="auto"/>
        </w:rPr>
        <w:t>《禁止传销条例》第二十七条 当事人擅自动用、调换、转移、损毁被查封、扣</w:t>
      </w:r>
      <w:r>
        <w:rPr>
          <w:color w:val="auto"/>
          <w:spacing w:val="-7"/>
        </w:rPr>
        <w:t>押财物的，由工商行政管理部门责令停止违法行为，处被动用、调换、转移、损毁财</w:t>
      </w:r>
      <w:r>
        <w:rPr>
          <w:color w:val="auto"/>
          <w:spacing w:val="-15"/>
        </w:rPr>
        <w:t xml:space="preserve">物价值 </w:t>
      </w:r>
      <w:r>
        <w:rPr>
          <w:color w:val="auto"/>
        </w:rPr>
        <w:t>5％</w:t>
      </w:r>
      <w:r>
        <w:rPr>
          <w:color w:val="auto"/>
          <w:spacing w:val="-20"/>
        </w:rPr>
        <w:t xml:space="preserve">以上 </w:t>
      </w:r>
      <w:r>
        <w:rPr>
          <w:color w:val="auto"/>
        </w:rPr>
        <w:t>20％</w:t>
      </w:r>
      <w:r>
        <w:rPr>
          <w:color w:val="auto"/>
          <w:spacing w:val="-7"/>
        </w:rPr>
        <w:t>以下的罚款；拒不改正的，处被动用、调换、转移、损毁财物价</w:t>
      </w:r>
      <w:r>
        <w:rPr>
          <w:color w:val="auto"/>
          <w:spacing w:val="-30"/>
        </w:rPr>
        <w:t xml:space="preserve">值 </w:t>
      </w:r>
      <w:r>
        <w:rPr>
          <w:color w:val="auto"/>
        </w:rPr>
        <w:t>1</w:t>
      </w:r>
      <w:r>
        <w:rPr>
          <w:color w:val="auto"/>
          <w:spacing w:val="-24"/>
        </w:rPr>
        <w:t xml:space="preserve"> 倍以上 </w:t>
      </w:r>
      <w:r>
        <w:rPr>
          <w:color w:val="auto"/>
        </w:rPr>
        <w:t>3</w:t>
      </w:r>
      <w:r>
        <w:rPr>
          <w:color w:val="auto"/>
          <w:spacing w:val="-8"/>
        </w:rPr>
        <w:t xml:space="preserve"> 倍以下的罚款。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91" w:lineRule="auto"/>
        <w:ind w:right="148" w:firstLine="480"/>
        <w:rPr>
          <w:color w:val="auto"/>
        </w:rPr>
      </w:pPr>
      <w:r>
        <w:rPr>
          <w:color w:val="auto"/>
          <w:spacing w:val="-6"/>
        </w:rPr>
        <w:t>被动用、调换、转移、损毁财物价值占被查封、扣押财物价值百分之十以下，且</w:t>
      </w:r>
      <w:r>
        <w:rPr>
          <w:color w:val="auto"/>
          <w:spacing w:val="-5"/>
        </w:rPr>
        <w:t>被动用、调换、转移、损毁财物价值一万元以下的，处以被动用、调换、转移、损毁</w:t>
      </w:r>
      <w:r>
        <w:rPr>
          <w:color w:val="auto"/>
          <w:spacing w:val="-12"/>
        </w:rPr>
        <w:t>财物价值百分之五以上百分之十以下的罚款；拒不改正的，处以被动用、调换、转移、</w:t>
      </w:r>
      <w:r>
        <w:rPr>
          <w:color w:val="auto"/>
        </w:rPr>
        <w:t>损毁财物价值一倍的罚款。</w:t>
      </w:r>
    </w:p>
    <w:p>
      <w:pPr>
        <w:pStyle w:val="13"/>
        <w:numPr>
          <w:ilvl w:val="0"/>
          <w:numId w:val="208"/>
        </w:numPr>
        <w:tabs>
          <w:tab w:val="left" w:pos="833"/>
        </w:tabs>
        <w:spacing w:before="0" w:after="0" w:line="304" w:lineRule="exact"/>
        <w:ind w:left="832" w:right="0" w:hanging="242"/>
        <w:jc w:val="left"/>
        <w:rPr>
          <w:color w:val="auto"/>
          <w:sz w:val="24"/>
        </w:rPr>
      </w:pPr>
      <w:r>
        <w:rPr>
          <w:color w:val="auto"/>
          <w:sz w:val="24"/>
        </w:rPr>
        <w:t>【一般】</w:t>
      </w:r>
    </w:p>
    <w:p>
      <w:pPr>
        <w:pStyle w:val="4"/>
        <w:spacing w:before="191" w:line="388" w:lineRule="auto"/>
        <w:ind w:right="232" w:firstLine="480"/>
        <w:rPr>
          <w:color w:val="auto"/>
        </w:rPr>
      </w:pPr>
      <w:r>
        <w:rPr>
          <w:color w:val="auto"/>
        </w:rPr>
        <w:t>被动用、调换、转移、损毁财物价值占被查封、扣押财物价值百分之十以上百分之二十以下的，或者被动用、调换、转移、损毁财物价值一万元以上五万元以下的，</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30"/>
        <w:rPr>
          <w:color w:val="auto"/>
        </w:rPr>
      </w:pPr>
      <w:r>
        <w:rPr>
          <w:color w:val="auto"/>
        </w:rPr>
        <w:t>处以被动用、调换、转移、损毁财物价值百分之十以上百分之十五以下的罚款；拒不改正的，处以被动用、调换、转移、损毁财物价值一倍以上二倍以下的罚款。</w:t>
      </w:r>
    </w:p>
    <w:p>
      <w:pPr>
        <w:pStyle w:val="13"/>
        <w:numPr>
          <w:ilvl w:val="0"/>
          <w:numId w:val="208"/>
        </w:numPr>
        <w:tabs>
          <w:tab w:val="left" w:pos="833"/>
        </w:tabs>
        <w:spacing w:before="0" w:after="0" w:line="306" w:lineRule="exact"/>
        <w:ind w:left="832" w:right="0" w:hanging="242"/>
        <w:jc w:val="left"/>
        <w:rPr>
          <w:color w:val="auto"/>
          <w:sz w:val="24"/>
        </w:rPr>
      </w:pPr>
      <w:r>
        <w:rPr>
          <w:color w:val="auto"/>
          <w:sz w:val="24"/>
        </w:rPr>
        <w:t>【严重】</w:t>
      </w:r>
    </w:p>
    <w:p>
      <w:pPr>
        <w:pStyle w:val="4"/>
        <w:spacing w:before="192" w:line="391" w:lineRule="auto"/>
        <w:ind w:right="148" w:firstLine="480"/>
        <w:rPr>
          <w:color w:val="auto"/>
        </w:rPr>
      </w:pPr>
      <w:r>
        <w:rPr>
          <w:color w:val="auto"/>
          <w:spacing w:val="-14"/>
        </w:rPr>
        <w:t xml:space="preserve">被动用、调换、转移、损毁财物价值占被查封、扣押财物价值百分之二十以上的， </w:t>
      </w:r>
      <w:r>
        <w:rPr>
          <w:color w:val="auto"/>
        </w:rPr>
        <w:t>或者被动用、调换、转移、损毁财物价值五万元以上的，处以被动用、调换、转移、</w:t>
      </w:r>
      <w:r>
        <w:rPr>
          <w:color w:val="auto"/>
          <w:spacing w:val="-3"/>
        </w:rPr>
        <w:t>损毁财物价值百分之十五以上百分之二十以下的罚款；拒不改正的，处以被动用、调换、转移、损毁财物价值二倍以上三倍以下的罚款。</w:t>
      </w:r>
    </w:p>
    <w:p>
      <w:pPr>
        <w:pStyle w:val="2"/>
        <w:spacing w:line="388" w:lineRule="auto"/>
        <w:ind w:left="111" w:right="242" w:firstLine="480"/>
        <w:rPr>
          <w:color w:val="auto"/>
        </w:rPr>
      </w:pPr>
      <w:bookmarkStart w:id="575" w:name="_bookmark287"/>
      <w:bookmarkEnd w:id="575"/>
      <w:bookmarkStart w:id="576" w:name="二百八十、非法生产军服、军服专用材料，买卖军服、军服专用材料，生产销售军服仿制品"/>
      <w:bookmarkEnd w:id="576"/>
      <w:r>
        <w:rPr>
          <w:color w:val="auto"/>
          <w:spacing w:val="-7"/>
        </w:rPr>
        <w:t>二百八十、非法生产军服、军服专用材料，买卖军服、军服专用材料，生产销售军服仿制品</w:t>
      </w:r>
    </w:p>
    <w:p>
      <w:pPr>
        <w:spacing w:before="0"/>
        <w:ind w:left="591" w:right="0" w:firstLine="0"/>
        <w:jc w:val="left"/>
        <w:rPr>
          <w:b/>
          <w:color w:val="auto"/>
          <w:sz w:val="24"/>
        </w:rPr>
      </w:pPr>
      <w:r>
        <w:rPr>
          <w:b/>
          <w:color w:val="auto"/>
          <w:sz w:val="24"/>
        </w:rPr>
        <w:t>（一）处罚依据</w:t>
      </w:r>
    </w:p>
    <w:p>
      <w:pPr>
        <w:pStyle w:val="4"/>
        <w:spacing w:before="193" w:line="388" w:lineRule="auto"/>
        <w:ind w:right="352" w:firstLine="480"/>
        <w:jc w:val="both"/>
        <w:rPr>
          <w:color w:val="auto"/>
        </w:rPr>
      </w:pPr>
      <w:r>
        <w:rPr>
          <w:color w:val="auto"/>
          <w:spacing w:val="-1"/>
        </w:rPr>
        <w:t>《军服管理条例》第十二条 违反本条例规定，有下列情形之一的，由工商行政</w:t>
      </w:r>
      <w:r>
        <w:rPr>
          <w:color w:val="auto"/>
          <w:spacing w:val="-4"/>
        </w:rPr>
        <w:t xml:space="preserve">管理部门没收违法物品和违法所得，处 </w:t>
      </w:r>
      <w:r>
        <w:rPr>
          <w:color w:val="auto"/>
        </w:rPr>
        <w:t>1</w:t>
      </w:r>
      <w:r>
        <w:rPr>
          <w:color w:val="auto"/>
          <w:spacing w:val="-20"/>
        </w:rPr>
        <w:t xml:space="preserve"> 万元以上 </w:t>
      </w:r>
      <w:r>
        <w:rPr>
          <w:color w:val="auto"/>
        </w:rPr>
        <w:t>10</w:t>
      </w:r>
      <w:r>
        <w:rPr>
          <w:color w:val="auto"/>
          <w:spacing w:val="-9"/>
        </w:rPr>
        <w:t xml:space="preserve"> 万元以下的罚款；违法经营数</w:t>
      </w:r>
      <w:r>
        <w:rPr>
          <w:color w:val="auto"/>
        </w:rPr>
        <w:t>额巨大的，吊销营业执照；构成犯罪的，依法追究刑事责任：</w:t>
      </w:r>
    </w:p>
    <w:p>
      <w:pPr>
        <w:pStyle w:val="4"/>
        <w:spacing w:before="6"/>
        <w:ind w:left="591"/>
        <w:rPr>
          <w:color w:val="auto"/>
        </w:rPr>
      </w:pPr>
      <w:r>
        <w:rPr>
          <w:color w:val="auto"/>
        </w:rPr>
        <w:t>（一）非法生产军服、军服专用材料的；</w:t>
      </w:r>
    </w:p>
    <w:p>
      <w:pPr>
        <w:pStyle w:val="4"/>
        <w:spacing w:before="191"/>
        <w:ind w:left="591"/>
        <w:rPr>
          <w:color w:val="auto"/>
        </w:rPr>
      </w:pPr>
      <w:r>
        <w:rPr>
          <w:color w:val="auto"/>
        </w:rPr>
        <w:t>（二）买卖军服、军服专用材料的；</w:t>
      </w:r>
    </w:p>
    <w:p>
      <w:pPr>
        <w:pStyle w:val="4"/>
        <w:spacing w:before="192"/>
        <w:ind w:left="591"/>
        <w:rPr>
          <w:color w:val="auto"/>
        </w:rPr>
      </w:pPr>
      <w:r>
        <w:rPr>
          <w:color w:val="auto"/>
        </w:rPr>
        <w:t>（三）生产、销售军服仿制品的。</w:t>
      </w:r>
    </w:p>
    <w:p>
      <w:pPr>
        <w:spacing w:before="194" w:line="388" w:lineRule="auto"/>
        <w:ind w:left="591" w:right="6948" w:firstLine="0"/>
        <w:jc w:val="left"/>
        <w:rPr>
          <w:color w:val="auto"/>
          <w:sz w:val="24"/>
        </w:rPr>
      </w:pPr>
      <w:r>
        <w:rPr>
          <w:b/>
          <w:color w:val="auto"/>
          <w:sz w:val="24"/>
        </w:rPr>
        <w:t>（二）裁量标准</w:t>
      </w:r>
      <w:r>
        <w:rPr>
          <w:color w:val="auto"/>
          <w:sz w:val="24"/>
        </w:rPr>
        <w:t>1、罚款</w:t>
      </w:r>
    </w:p>
    <w:p>
      <w:pPr>
        <w:pStyle w:val="4"/>
        <w:spacing w:before="2"/>
        <w:ind w:left="591"/>
        <w:rPr>
          <w:color w:val="auto"/>
        </w:rPr>
      </w:pPr>
      <w:r>
        <w:rPr>
          <w:color w:val="auto"/>
        </w:rPr>
        <w:t>【较轻】</w:t>
      </w:r>
    </w:p>
    <w:p>
      <w:pPr>
        <w:pStyle w:val="4"/>
        <w:spacing w:before="194" w:line="388" w:lineRule="auto"/>
        <w:ind w:right="268" w:firstLine="480"/>
        <w:rPr>
          <w:color w:val="auto"/>
        </w:rPr>
      </w:pPr>
      <w:r>
        <w:rPr>
          <w:color w:val="auto"/>
          <w:spacing w:val="-4"/>
        </w:rPr>
        <w:t>违法经营额六千元以下的，或者违法所得一千五百元以下，或者涉及成套制式服</w:t>
      </w:r>
      <w:r>
        <w:rPr>
          <w:color w:val="auto"/>
          <w:spacing w:val="-30"/>
        </w:rPr>
        <w:t xml:space="preserve">装 </w:t>
      </w:r>
      <w:r>
        <w:rPr>
          <w:color w:val="auto"/>
        </w:rPr>
        <w:t>10</w:t>
      </w:r>
      <w:r>
        <w:rPr>
          <w:color w:val="auto"/>
          <w:spacing w:val="-12"/>
        </w:rPr>
        <w:t xml:space="preserve"> 套以下，或者帽徽、领花、臂章等标志服饰 </w:t>
      </w:r>
      <w:r>
        <w:rPr>
          <w:color w:val="auto"/>
        </w:rPr>
        <w:t>30</w:t>
      </w:r>
      <w:r>
        <w:rPr>
          <w:color w:val="auto"/>
          <w:spacing w:val="-33"/>
        </w:rPr>
        <w:t xml:space="preserve"> 件</w:t>
      </w:r>
      <w:r>
        <w:rPr>
          <w:color w:val="auto"/>
        </w:rPr>
        <w:t>（副</w:t>
      </w:r>
      <w:r>
        <w:rPr>
          <w:color w:val="auto"/>
          <w:spacing w:val="-8"/>
        </w:rPr>
        <w:t>）</w:t>
      </w:r>
      <w:r>
        <w:rPr>
          <w:color w:val="auto"/>
          <w:spacing w:val="-4"/>
        </w:rPr>
        <w:t>以下，或者非成套制式</w:t>
      </w:r>
    </w:p>
    <w:p>
      <w:pPr>
        <w:pStyle w:val="4"/>
        <w:spacing w:before="2"/>
        <w:rPr>
          <w:color w:val="auto"/>
        </w:rPr>
      </w:pPr>
      <w:r>
        <w:rPr>
          <w:color w:val="auto"/>
          <w:spacing w:val="-20"/>
        </w:rPr>
        <w:t xml:space="preserve">服装 </w:t>
      </w:r>
      <w:r>
        <w:rPr>
          <w:color w:val="auto"/>
        </w:rPr>
        <w:t>30</w:t>
      </w:r>
      <w:r>
        <w:rPr>
          <w:color w:val="auto"/>
          <w:spacing w:val="-8"/>
        </w:rPr>
        <w:t xml:space="preserve"> 件以下的，没收违法物品和违法所得，处以一万元以上三万元以下的罚款。</w:t>
      </w:r>
    </w:p>
    <w:p>
      <w:pPr>
        <w:pStyle w:val="4"/>
        <w:spacing w:before="195"/>
        <w:ind w:left="591"/>
        <w:rPr>
          <w:color w:val="auto"/>
        </w:rPr>
      </w:pPr>
      <w:r>
        <w:rPr>
          <w:color w:val="auto"/>
        </w:rPr>
        <w:t>【一般】</w:t>
      </w:r>
    </w:p>
    <w:p>
      <w:pPr>
        <w:pStyle w:val="4"/>
        <w:spacing w:before="191" w:line="388" w:lineRule="auto"/>
        <w:ind w:right="268" w:firstLine="480"/>
        <w:rPr>
          <w:color w:val="auto"/>
        </w:rPr>
      </w:pPr>
      <w:r>
        <w:rPr>
          <w:color w:val="auto"/>
          <w:spacing w:val="-3"/>
        </w:rPr>
        <w:t>违法经营额六千元以上一万四千元以下的，或者违法所得一千五百元以上三千元</w:t>
      </w:r>
      <w:r>
        <w:rPr>
          <w:color w:val="auto"/>
          <w:spacing w:val="-8"/>
        </w:rPr>
        <w:t xml:space="preserve">以下，或者涉及成套制式服装 </w:t>
      </w:r>
      <w:r>
        <w:rPr>
          <w:color w:val="auto"/>
        </w:rPr>
        <w:t>10</w:t>
      </w:r>
      <w:r>
        <w:rPr>
          <w:color w:val="auto"/>
          <w:spacing w:val="-24"/>
        </w:rPr>
        <w:t xml:space="preserve"> 套以上 </w:t>
      </w:r>
      <w:r>
        <w:rPr>
          <w:color w:val="auto"/>
        </w:rPr>
        <w:t>20</w:t>
      </w:r>
      <w:r>
        <w:rPr>
          <w:color w:val="auto"/>
          <w:spacing w:val="-11"/>
        </w:rPr>
        <w:t xml:space="preserve"> 套以下，或者帽徽、领花、臂章等标志服</w:t>
      </w:r>
    </w:p>
    <w:p>
      <w:pPr>
        <w:pStyle w:val="4"/>
        <w:spacing w:before="5" w:line="388" w:lineRule="auto"/>
        <w:ind w:right="232"/>
        <w:rPr>
          <w:color w:val="auto"/>
        </w:rPr>
      </w:pPr>
      <w:r>
        <w:rPr>
          <w:color w:val="auto"/>
          <w:spacing w:val="-30"/>
        </w:rPr>
        <w:t xml:space="preserve">饰 </w:t>
      </w:r>
      <w:r>
        <w:rPr>
          <w:color w:val="auto"/>
        </w:rPr>
        <w:t>30</w:t>
      </w:r>
      <w:r>
        <w:rPr>
          <w:color w:val="auto"/>
          <w:spacing w:val="-30"/>
        </w:rPr>
        <w:t xml:space="preserve"> 件</w:t>
      </w:r>
      <w:r>
        <w:rPr>
          <w:color w:val="auto"/>
        </w:rPr>
        <w:t>（副）</w:t>
      </w:r>
      <w:r>
        <w:rPr>
          <w:color w:val="auto"/>
          <w:spacing w:val="-20"/>
        </w:rPr>
        <w:t xml:space="preserve">以上 </w:t>
      </w:r>
      <w:r>
        <w:rPr>
          <w:color w:val="auto"/>
        </w:rPr>
        <w:t>70</w:t>
      </w:r>
      <w:r>
        <w:rPr>
          <w:color w:val="auto"/>
          <w:spacing w:val="-20"/>
        </w:rPr>
        <w:t xml:space="preserve"> 套以</w:t>
      </w:r>
      <w:r>
        <w:rPr>
          <w:color w:val="auto"/>
        </w:rPr>
        <w:t>（副）</w:t>
      </w:r>
      <w:r>
        <w:rPr>
          <w:color w:val="auto"/>
          <w:spacing w:val="-5"/>
        </w:rPr>
        <w:t xml:space="preserve">下，或者非成套制式服装 </w:t>
      </w:r>
      <w:r>
        <w:rPr>
          <w:color w:val="auto"/>
        </w:rPr>
        <w:t>30</w:t>
      </w:r>
      <w:r>
        <w:rPr>
          <w:color w:val="auto"/>
          <w:spacing w:val="-24"/>
        </w:rPr>
        <w:t xml:space="preserve"> 件以上 </w:t>
      </w:r>
      <w:r>
        <w:rPr>
          <w:color w:val="auto"/>
        </w:rPr>
        <w:t>70</w:t>
      </w:r>
      <w:r>
        <w:rPr>
          <w:color w:val="auto"/>
          <w:spacing w:val="-13"/>
        </w:rPr>
        <w:t xml:space="preserve"> 件以下的， </w:t>
      </w:r>
      <w:r>
        <w:rPr>
          <w:color w:val="auto"/>
        </w:rPr>
        <w:t>没收违法物品和违法所得，处以三万元以上七万元以下的罚款。</w:t>
      </w:r>
    </w:p>
    <w:p>
      <w:pPr>
        <w:pStyle w:val="4"/>
        <w:spacing w:before="2"/>
        <w:ind w:left="591"/>
        <w:rPr>
          <w:color w:val="auto"/>
        </w:rPr>
      </w:pPr>
      <w:r>
        <w:rPr>
          <w:color w:val="auto"/>
        </w:rPr>
        <w:t>【严重】</w:t>
      </w:r>
    </w:p>
    <w:p>
      <w:pPr>
        <w:spacing w:after="0"/>
        <w:rPr>
          <w:color w:val="auto"/>
        </w:rPr>
        <w:sectPr>
          <w:pgSz w:w="11910" w:h="16840"/>
          <w:pgMar w:top="1520" w:right="1260" w:bottom="1220" w:left="1420" w:header="0" w:footer="1034" w:gutter="0"/>
        </w:sectPr>
      </w:pPr>
    </w:p>
    <w:p>
      <w:pPr>
        <w:pStyle w:val="4"/>
        <w:spacing w:before="39" w:line="391" w:lineRule="auto"/>
        <w:ind w:right="268" w:firstLine="480"/>
        <w:rPr>
          <w:color w:val="auto"/>
        </w:rPr>
      </w:pPr>
      <w:r>
        <w:rPr>
          <w:color w:val="auto"/>
          <w:spacing w:val="-3"/>
        </w:rPr>
        <w:t>违法经营额一万四千元以上二万元以下的，或者违法所得一千五百元以上三千元</w:t>
      </w:r>
      <w:r>
        <w:rPr>
          <w:color w:val="auto"/>
          <w:spacing w:val="-8"/>
        </w:rPr>
        <w:t xml:space="preserve">以下，或者涉及成套制式服装 </w:t>
      </w:r>
      <w:r>
        <w:rPr>
          <w:color w:val="auto"/>
        </w:rPr>
        <w:t>20</w:t>
      </w:r>
      <w:r>
        <w:rPr>
          <w:color w:val="auto"/>
          <w:spacing w:val="-24"/>
        </w:rPr>
        <w:t xml:space="preserve"> 套以上 </w:t>
      </w:r>
      <w:r>
        <w:rPr>
          <w:color w:val="auto"/>
        </w:rPr>
        <w:t>30</w:t>
      </w:r>
      <w:r>
        <w:rPr>
          <w:color w:val="auto"/>
          <w:spacing w:val="-11"/>
        </w:rPr>
        <w:t xml:space="preserve"> 套以下，或者帽徽、领花、臂章等标志服</w:t>
      </w:r>
    </w:p>
    <w:p>
      <w:pPr>
        <w:pStyle w:val="4"/>
        <w:spacing w:line="388" w:lineRule="auto"/>
        <w:ind w:right="148"/>
        <w:rPr>
          <w:color w:val="auto"/>
        </w:rPr>
      </w:pPr>
      <w:r>
        <w:rPr>
          <w:color w:val="auto"/>
          <w:spacing w:val="-30"/>
        </w:rPr>
        <w:t xml:space="preserve">饰 </w:t>
      </w:r>
      <w:r>
        <w:rPr>
          <w:color w:val="auto"/>
        </w:rPr>
        <w:t>70</w:t>
      </w:r>
      <w:r>
        <w:rPr>
          <w:color w:val="auto"/>
          <w:spacing w:val="-46"/>
        </w:rPr>
        <w:t xml:space="preserve"> 件</w:t>
      </w:r>
      <w:r>
        <w:rPr>
          <w:color w:val="auto"/>
        </w:rPr>
        <w:t>（副</w:t>
      </w:r>
      <w:r>
        <w:rPr>
          <w:color w:val="auto"/>
          <w:spacing w:val="-32"/>
        </w:rPr>
        <w:t>）</w:t>
      </w:r>
      <w:r>
        <w:rPr>
          <w:color w:val="auto"/>
          <w:spacing w:val="-20"/>
        </w:rPr>
        <w:t xml:space="preserve">以上 </w:t>
      </w:r>
      <w:r>
        <w:rPr>
          <w:color w:val="auto"/>
        </w:rPr>
        <w:t>100</w:t>
      </w:r>
      <w:r>
        <w:rPr>
          <w:color w:val="auto"/>
          <w:spacing w:val="-31"/>
        </w:rPr>
        <w:t xml:space="preserve"> 套以</w:t>
      </w:r>
      <w:r>
        <w:rPr>
          <w:color w:val="auto"/>
        </w:rPr>
        <w:t>（副</w:t>
      </w:r>
      <w:r>
        <w:rPr>
          <w:color w:val="auto"/>
          <w:spacing w:val="-32"/>
        </w:rPr>
        <w:t>）</w:t>
      </w:r>
      <w:r>
        <w:rPr>
          <w:color w:val="auto"/>
          <w:spacing w:val="-11"/>
        </w:rPr>
        <w:t xml:space="preserve">下，或者非成套制式服装 </w:t>
      </w:r>
      <w:r>
        <w:rPr>
          <w:color w:val="auto"/>
        </w:rPr>
        <w:t>70</w:t>
      </w:r>
      <w:r>
        <w:rPr>
          <w:color w:val="auto"/>
          <w:spacing w:val="-24"/>
        </w:rPr>
        <w:t xml:space="preserve"> 件以上 </w:t>
      </w:r>
      <w:r>
        <w:rPr>
          <w:color w:val="auto"/>
        </w:rPr>
        <w:t>100</w:t>
      </w:r>
      <w:r>
        <w:rPr>
          <w:color w:val="auto"/>
          <w:spacing w:val="-13"/>
        </w:rPr>
        <w:t xml:space="preserve"> 件以下的， </w:t>
      </w:r>
      <w:r>
        <w:rPr>
          <w:color w:val="auto"/>
        </w:rPr>
        <w:t>没收违法物品和违法所得，处以七万元以上十万元以下的罚款。</w:t>
      </w:r>
    </w:p>
    <w:p>
      <w:pPr>
        <w:pStyle w:val="4"/>
        <w:spacing w:before="3"/>
        <w:ind w:left="591"/>
        <w:rPr>
          <w:color w:val="auto"/>
        </w:rPr>
      </w:pPr>
      <w:r>
        <w:rPr>
          <w:color w:val="auto"/>
        </w:rPr>
        <w:t>2、吊销营业执照</w:t>
      </w:r>
    </w:p>
    <w:p>
      <w:pPr>
        <w:pStyle w:val="13"/>
        <w:numPr>
          <w:ilvl w:val="0"/>
          <w:numId w:val="209"/>
        </w:numPr>
        <w:tabs>
          <w:tab w:val="left" w:pos="1193"/>
        </w:tabs>
        <w:spacing w:before="192" w:after="0" w:line="240" w:lineRule="auto"/>
        <w:ind w:left="1192" w:right="0" w:hanging="602"/>
        <w:jc w:val="left"/>
        <w:rPr>
          <w:color w:val="auto"/>
          <w:sz w:val="24"/>
        </w:rPr>
      </w:pPr>
      <w:r>
        <w:rPr>
          <w:color w:val="auto"/>
          <w:sz w:val="24"/>
        </w:rPr>
        <w:t>已经构成犯罪的；</w:t>
      </w:r>
    </w:p>
    <w:p>
      <w:pPr>
        <w:pStyle w:val="13"/>
        <w:numPr>
          <w:ilvl w:val="0"/>
          <w:numId w:val="209"/>
        </w:numPr>
        <w:tabs>
          <w:tab w:val="left" w:pos="1193"/>
        </w:tabs>
        <w:spacing w:before="192" w:after="0" w:line="240" w:lineRule="auto"/>
        <w:ind w:left="1192" w:right="0" w:hanging="602"/>
        <w:jc w:val="left"/>
        <w:rPr>
          <w:color w:val="auto"/>
          <w:sz w:val="24"/>
        </w:rPr>
      </w:pPr>
      <w:r>
        <w:rPr>
          <w:color w:val="auto"/>
          <w:sz w:val="24"/>
        </w:rPr>
        <w:t>虽未构成犯罪，但违反本条规定受到第二次行政处罚的；</w:t>
      </w:r>
    </w:p>
    <w:p>
      <w:pPr>
        <w:pStyle w:val="13"/>
        <w:numPr>
          <w:ilvl w:val="0"/>
          <w:numId w:val="209"/>
        </w:numPr>
        <w:tabs>
          <w:tab w:val="left" w:pos="1193"/>
        </w:tabs>
        <w:spacing w:before="194" w:after="0" w:line="388" w:lineRule="auto"/>
        <w:ind w:left="591" w:right="240" w:firstLine="0"/>
        <w:jc w:val="left"/>
        <w:rPr>
          <w:b/>
          <w:color w:val="auto"/>
          <w:sz w:val="24"/>
        </w:rPr>
      </w:pPr>
      <w:r>
        <w:rPr>
          <w:color w:val="auto"/>
          <w:sz w:val="24"/>
        </w:rPr>
        <w:t>非法生产、买卖军服专用材料、军服仿制品，违法经营额五万元以上的。</w:t>
      </w:r>
      <w:bookmarkStart w:id="577" w:name="二百八十一、转让军服、军服专用材料生产合同或者生产技术规范，委托其他企业生产军服"/>
      <w:bookmarkEnd w:id="577"/>
      <w:bookmarkStart w:id="578" w:name="_bookmark288"/>
      <w:bookmarkEnd w:id="578"/>
      <w:r>
        <w:rPr>
          <w:b/>
          <w:color w:val="auto"/>
          <w:spacing w:val="-7"/>
          <w:sz w:val="24"/>
        </w:rPr>
        <w:t>二百八十一、转让军服、军服专用材料生产合同或者生产技术规范，委托其他企</w:t>
      </w:r>
    </w:p>
    <w:p>
      <w:pPr>
        <w:pStyle w:val="2"/>
        <w:spacing w:before="2" w:line="391" w:lineRule="auto"/>
        <w:ind w:left="111" w:right="117"/>
        <w:rPr>
          <w:color w:val="auto"/>
        </w:rPr>
      </w:pPr>
      <w:r>
        <w:rPr>
          <w:color w:val="auto"/>
          <w:spacing w:val="-14"/>
        </w:rPr>
        <w:t>业生产军服、军服专用材料，销售或者以其他方式转让未经改制、染色等处理的军服、军服专用材料残次品，未将军服生产中剩余的军服专用材料妥善保管移交</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spacing w:val="-5"/>
        </w:rPr>
        <w:t xml:space="preserve">《军服管理条例》第十三条 军服承制企业违反本条例规定，有下列情形之一的， 由工商行政管理部门责令改正，处 </w:t>
      </w:r>
      <w:r>
        <w:rPr>
          <w:color w:val="auto"/>
        </w:rPr>
        <w:t>1</w:t>
      </w:r>
      <w:r>
        <w:rPr>
          <w:color w:val="auto"/>
          <w:spacing w:val="-20"/>
        </w:rPr>
        <w:t xml:space="preserve"> 万元以上 </w:t>
      </w:r>
      <w:r>
        <w:rPr>
          <w:color w:val="auto"/>
        </w:rPr>
        <w:t>5</w:t>
      </w:r>
      <w:r>
        <w:rPr>
          <w:color w:val="auto"/>
          <w:spacing w:val="-10"/>
        </w:rPr>
        <w:t xml:space="preserve"> 万元以下的罚款；拒不改正的，责令停业整顿：</w:t>
      </w:r>
    </w:p>
    <w:p>
      <w:pPr>
        <w:pStyle w:val="4"/>
        <w:spacing w:line="391" w:lineRule="auto"/>
        <w:ind w:right="213" w:firstLine="480"/>
        <w:rPr>
          <w:color w:val="auto"/>
        </w:rPr>
      </w:pPr>
      <w:r>
        <w:rPr>
          <w:color w:val="auto"/>
        </w:rPr>
        <w:t>（一）转让军服、军服专用材料生产合同或者生产技术规范，或者委托其他企业生产军服、军服专用材料的；</w:t>
      </w:r>
    </w:p>
    <w:p>
      <w:pPr>
        <w:pStyle w:val="4"/>
        <w:spacing w:line="388" w:lineRule="auto"/>
        <w:ind w:right="213" w:firstLine="480"/>
        <w:rPr>
          <w:color w:val="auto"/>
        </w:rPr>
      </w:pPr>
      <w:r>
        <w:rPr>
          <w:color w:val="auto"/>
        </w:rPr>
        <w:t>（二）销售或者以其他方式转让未经改制、染色等处理的军服、军服专用材料残次品的；</w:t>
      </w:r>
    </w:p>
    <w:p>
      <w:pPr>
        <w:pStyle w:val="4"/>
        <w:ind w:left="591"/>
        <w:rPr>
          <w:color w:val="auto"/>
        </w:rPr>
      </w:pPr>
      <w:r>
        <w:rPr>
          <w:color w:val="auto"/>
        </w:rPr>
        <w:t>（三）未将军服生产中剩余的军服专用材料妥善保管、移交的。</w:t>
      </w:r>
    </w:p>
    <w:p>
      <w:pPr>
        <w:spacing w:before="191"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before="4" w:line="388" w:lineRule="auto"/>
        <w:ind w:left="591" w:right="1912"/>
        <w:rPr>
          <w:color w:val="auto"/>
        </w:rPr>
      </w:pPr>
      <w:r>
        <w:rPr>
          <w:color w:val="auto"/>
          <w:spacing w:val="-1"/>
        </w:rPr>
        <w:t>违反本条规定一项的，处以一万元以上一万五千元以下的罚款。</w:t>
      </w:r>
      <w:r>
        <w:rPr>
          <w:color w:val="auto"/>
        </w:rPr>
        <w:t>2.【一般】</w:t>
      </w:r>
    </w:p>
    <w:p>
      <w:pPr>
        <w:pStyle w:val="4"/>
        <w:spacing w:before="2" w:line="391" w:lineRule="auto"/>
        <w:ind w:left="591" w:right="1912"/>
        <w:rPr>
          <w:color w:val="auto"/>
        </w:rPr>
      </w:pPr>
      <w:r>
        <w:rPr>
          <w:color w:val="auto"/>
          <w:spacing w:val="-1"/>
        </w:rPr>
        <w:t>违反本条规定两项的，处以一万五千元以上三万元以下的罚款。</w:t>
      </w:r>
      <w:r>
        <w:rPr>
          <w:color w:val="auto"/>
        </w:rPr>
        <w:t>3.【严重】</w:t>
      </w:r>
    </w:p>
    <w:p>
      <w:pPr>
        <w:pStyle w:val="4"/>
        <w:spacing w:line="306" w:lineRule="exact"/>
        <w:ind w:left="591"/>
        <w:rPr>
          <w:color w:val="auto"/>
        </w:rPr>
      </w:pPr>
      <w:r>
        <w:rPr>
          <w:color w:val="auto"/>
        </w:rPr>
        <w:t>违反本条规定三项的，处以三万元以上五万元以下的罚款。</w:t>
      </w:r>
    </w:p>
    <w:p>
      <w:pPr>
        <w:pStyle w:val="2"/>
        <w:spacing w:before="192"/>
        <w:rPr>
          <w:color w:val="auto"/>
        </w:rPr>
      </w:pPr>
      <w:bookmarkStart w:id="579" w:name="二百八十二、使用军服和中国人民解放军曾经装备的制式服装从事经营活动，以“军需”、"/>
      <w:bookmarkEnd w:id="579"/>
      <w:bookmarkStart w:id="580" w:name="_bookmark289"/>
      <w:bookmarkEnd w:id="580"/>
      <w:r>
        <w:rPr>
          <w:color w:val="auto"/>
        </w:rPr>
        <w:t>二百八十二、使用军服和中国人民解放军曾经装备的制式服装从事经营活动，以</w:t>
      </w:r>
    </w:p>
    <w:p>
      <w:pPr>
        <w:spacing w:after="0"/>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“军需”、“军服”、“军品”等用语招揽顾客</w:t>
      </w:r>
    </w:p>
    <w:p>
      <w:pPr>
        <w:spacing w:before="195"/>
        <w:ind w:left="591" w:right="0" w:firstLine="0"/>
        <w:jc w:val="left"/>
        <w:rPr>
          <w:b/>
          <w:color w:val="auto"/>
          <w:sz w:val="24"/>
        </w:rPr>
      </w:pPr>
      <w:r>
        <w:rPr>
          <w:b/>
          <w:color w:val="auto"/>
          <w:sz w:val="24"/>
        </w:rPr>
        <w:t>（一）处罚依据</w:t>
      </w:r>
    </w:p>
    <w:p>
      <w:pPr>
        <w:pStyle w:val="4"/>
        <w:spacing w:before="191" w:line="391" w:lineRule="auto"/>
        <w:ind w:right="151" w:firstLine="480"/>
        <w:rPr>
          <w:color w:val="auto"/>
        </w:rPr>
      </w:pPr>
      <w:r>
        <w:rPr>
          <w:color w:val="auto"/>
        </w:rPr>
        <w:t>《军服管理条例》第十五条 违反本条例规定，使用军服和中国人民解放军曾经</w:t>
      </w:r>
      <w:r>
        <w:rPr>
          <w:color w:val="auto"/>
          <w:spacing w:val="-11"/>
        </w:rPr>
        <w:t>装备的制式服装从事经营活动，或者以“军需”</w:t>
      </w:r>
      <w:r>
        <w:rPr>
          <w:color w:val="auto"/>
          <w:spacing w:val="-30"/>
        </w:rPr>
        <w:t xml:space="preserve">、“军服”、“军品”等用语招揽顾客的， </w:t>
      </w:r>
      <w:r>
        <w:rPr>
          <w:color w:val="auto"/>
          <w:spacing w:val="-3"/>
        </w:rPr>
        <w:t xml:space="preserve">由工商行政管理部门责令改正，没收违法物品和违法所得，并处 </w:t>
      </w:r>
      <w:r>
        <w:rPr>
          <w:color w:val="auto"/>
        </w:rPr>
        <w:t>2000</w:t>
      </w:r>
      <w:r>
        <w:rPr>
          <w:color w:val="auto"/>
          <w:spacing w:val="-24"/>
        </w:rPr>
        <w:t xml:space="preserve"> 元以上 </w:t>
      </w:r>
      <w:r>
        <w:rPr>
          <w:color w:val="auto"/>
        </w:rPr>
        <w:t>2</w:t>
      </w:r>
      <w:r>
        <w:rPr>
          <w:color w:val="auto"/>
          <w:spacing w:val="-20"/>
        </w:rPr>
        <w:t xml:space="preserve"> 万元以下的罚款；拒不改正的，责令停业整顿。</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68" w:firstLine="480"/>
        <w:rPr>
          <w:color w:val="auto"/>
        </w:rPr>
      </w:pPr>
      <w:r>
        <w:rPr>
          <w:color w:val="auto"/>
          <w:spacing w:val="-25"/>
        </w:rPr>
        <w:t>以“军需”、“军服”、“军品”等用语招揽顾客的，没收违法物品和违法所得，并</w:t>
      </w:r>
      <w:r>
        <w:rPr>
          <w:color w:val="auto"/>
        </w:rPr>
        <w:t>处二千元以上一万元以下的罚款。</w:t>
      </w:r>
    </w:p>
    <w:p>
      <w:pPr>
        <w:pStyle w:val="13"/>
        <w:numPr>
          <w:ilvl w:val="0"/>
          <w:numId w:val="210"/>
        </w:numPr>
        <w:tabs>
          <w:tab w:val="left" w:pos="833"/>
        </w:tabs>
        <w:spacing w:before="0" w:after="0" w:line="240" w:lineRule="auto"/>
        <w:ind w:left="832" w:right="0" w:hanging="242"/>
        <w:jc w:val="left"/>
        <w:rPr>
          <w:color w:val="auto"/>
          <w:sz w:val="24"/>
        </w:rPr>
      </w:pPr>
      <w:r>
        <w:rPr>
          <w:color w:val="auto"/>
          <w:sz w:val="24"/>
        </w:rPr>
        <w:t>【一般】</w:t>
      </w:r>
    </w:p>
    <w:p>
      <w:pPr>
        <w:pStyle w:val="4"/>
        <w:spacing w:before="189" w:line="388" w:lineRule="auto"/>
        <w:ind w:right="213" w:firstLine="480"/>
        <w:rPr>
          <w:color w:val="auto"/>
        </w:rPr>
      </w:pPr>
      <w:r>
        <w:rPr>
          <w:color w:val="auto"/>
        </w:rPr>
        <w:t>使用曾经装备的制式服装从事经营活动的，没收违法物品和违法所得，并处一万元以上一万五千元以下的罚款。</w:t>
      </w:r>
    </w:p>
    <w:p>
      <w:pPr>
        <w:pStyle w:val="13"/>
        <w:numPr>
          <w:ilvl w:val="0"/>
          <w:numId w:val="210"/>
        </w:numPr>
        <w:tabs>
          <w:tab w:val="left" w:pos="833"/>
        </w:tabs>
        <w:spacing w:before="5" w:after="0" w:line="240" w:lineRule="auto"/>
        <w:ind w:left="832" w:right="0" w:hanging="242"/>
        <w:jc w:val="left"/>
        <w:rPr>
          <w:color w:val="auto"/>
          <w:sz w:val="24"/>
        </w:rPr>
      </w:pPr>
      <w:r>
        <w:rPr>
          <w:color w:val="auto"/>
          <w:sz w:val="24"/>
        </w:rPr>
        <w:t>【严重】</w:t>
      </w:r>
    </w:p>
    <w:p>
      <w:pPr>
        <w:pStyle w:val="4"/>
        <w:spacing w:before="191" w:line="388" w:lineRule="auto"/>
        <w:ind w:right="213" w:firstLine="480"/>
        <w:rPr>
          <w:color w:val="auto"/>
        </w:rPr>
      </w:pPr>
      <w:r>
        <w:rPr>
          <w:color w:val="auto"/>
        </w:rPr>
        <w:t>使用现行有效的军服或制式服装从事经营活动的，没收违法物品和违法所得，并处一万五千元以上二万元以下的罚款。</w:t>
      </w:r>
    </w:p>
    <w:p>
      <w:pPr>
        <w:pStyle w:val="2"/>
        <w:spacing w:before="5"/>
        <w:rPr>
          <w:color w:val="auto"/>
        </w:rPr>
      </w:pPr>
      <w:bookmarkStart w:id="581" w:name="二百八十三、擅自销售卫星地面接收设施"/>
      <w:bookmarkEnd w:id="581"/>
      <w:bookmarkStart w:id="582" w:name="_bookmark290"/>
      <w:bookmarkEnd w:id="582"/>
      <w:r>
        <w:rPr>
          <w:color w:val="auto"/>
        </w:rPr>
        <w:t>二百八十三、擅自销售卫星地面接收设施</w:t>
      </w:r>
    </w:p>
    <w:p>
      <w:pPr>
        <w:spacing w:before="192"/>
        <w:ind w:left="591" w:right="0" w:firstLine="0"/>
        <w:jc w:val="left"/>
        <w:rPr>
          <w:b/>
          <w:color w:val="auto"/>
          <w:sz w:val="24"/>
        </w:rPr>
      </w:pPr>
      <w:r>
        <w:rPr>
          <w:b/>
          <w:color w:val="auto"/>
          <w:sz w:val="24"/>
        </w:rPr>
        <w:t>（一）处罚依据</w:t>
      </w:r>
    </w:p>
    <w:p>
      <w:pPr>
        <w:pStyle w:val="4"/>
        <w:spacing w:before="191" w:line="391" w:lineRule="auto"/>
        <w:ind w:right="232" w:firstLine="480"/>
        <w:rPr>
          <w:color w:val="auto"/>
        </w:rPr>
      </w:pPr>
      <w:r>
        <w:rPr>
          <w:color w:val="auto"/>
        </w:rPr>
        <w:t>《卫星电视广播地面接收设施管理规定》第十条 违反本规定，擅自生产卫星地面接收设施或者生产企业未按照规定销售给依法设立的安装服务机构的，由工业产品生产许可证主管部门责令停止生产、销售。 违反本规定，擅自销售卫星地面接收设施的，由市场监督管理部门责令停止销售，没收其卫星地面接收设施，并可以处以相当于销售额二倍以下的罚款。违反本规定，擅自安装和使用卫星地面接收设施的，由广播电视行政管理部门没收其安装和使用的卫星地面接收设施，对个人可以并处五千元以下的罚款，对单位可以并处五万元以下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ind w:left="591"/>
        <w:rPr>
          <w:color w:val="auto"/>
        </w:rPr>
      </w:pPr>
      <w:r>
        <w:rPr>
          <w:color w:val="auto"/>
        </w:rPr>
        <w:t>销售额一千元以下的，没收其卫星地面接收设施，可以并处销售额百分之五十以</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下的罚款。</w:t>
      </w:r>
    </w:p>
    <w:p>
      <w:pPr>
        <w:pStyle w:val="13"/>
        <w:numPr>
          <w:ilvl w:val="0"/>
          <w:numId w:val="211"/>
        </w:numPr>
        <w:tabs>
          <w:tab w:val="left" w:pos="833"/>
        </w:tabs>
        <w:spacing w:before="195" w:after="0" w:line="240" w:lineRule="auto"/>
        <w:ind w:left="832" w:right="0" w:hanging="242"/>
        <w:jc w:val="left"/>
        <w:rPr>
          <w:color w:val="auto"/>
          <w:sz w:val="24"/>
        </w:rPr>
      </w:pPr>
      <w:r>
        <w:rPr>
          <w:color w:val="auto"/>
          <w:sz w:val="24"/>
        </w:rPr>
        <w:t>【一般】</w:t>
      </w:r>
    </w:p>
    <w:p>
      <w:pPr>
        <w:pStyle w:val="4"/>
        <w:spacing w:before="191" w:line="388" w:lineRule="auto"/>
        <w:ind w:right="213" w:firstLine="480"/>
        <w:rPr>
          <w:color w:val="auto"/>
        </w:rPr>
      </w:pPr>
      <w:r>
        <w:rPr>
          <w:color w:val="auto"/>
        </w:rPr>
        <w:t>销售额一千元以上三千元以下的，没收其卫星地面接收设施，并处销售额百分之五十以上一倍以下的罚款。</w:t>
      </w:r>
    </w:p>
    <w:p>
      <w:pPr>
        <w:pStyle w:val="13"/>
        <w:numPr>
          <w:ilvl w:val="0"/>
          <w:numId w:val="211"/>
        </w:numPr>
        <w:tabs>
          <w:tab w:val="left" w:pos="833"/>
        </w:tabs>
        <w:spacing w:before="5" w:after="0" w:line="240" w:lineRule="auto"/>
        <w:ind w:left="832" w:right="0" w:hanging="242"/>
        <w:jc w:val="left"/>
        <w:rPr>
          <w:color w:val="auto"/>
          <w:sz w:val="24"/>
        </w:rPr>
      </w:pPr>
      <w:r>
        <w:rPr>
          <w:color w:val="auto"/>
          <w:sz w:val="24"/>
        </w:rPr>
        <w:t>【严重】</w:t>
      </w:r>
    </w:p>
    <w:p>
      <w:pPr>
        <w:pStyle w:val="4"/>
        <w:spacing w:before="192" w:line="388" w:lineRule="auto"/>
        <w:ind w:right="213" w:firstLine="480"/>
        <w:rPr>
          <w:color w:val="auto"/>
        </w:rPr>
      </w:pPr>
      <w:r>
        <w:rPr>
          <w:color w:val="auto"/>
        </w:rPr>
        <w:t>销售额三千元以上的，没收其卫星地面接收设施，并处销售额一倍以上二倍以下的罚款。</w:t>
      </w:r>
    </w:p>
    <w:p>
      <w:pPr>
        <w:pStyle w:val="2"/>
        <w:spacing w:before="4"/>
        <w:rPr>
          <w:color w:val="auto"/>
        </w:rPr>
      </w:pPr>
      <w:bookmarkStart w:id="583" w:name="二百八十四、采用不正当手段垄断种苗市场或者哄抬种苗价格"/>
      <w:bookmarkEnd w:id="583"/>
      <w:bookmarkStart w:id="584" w:name="_bookmark291"/>
      <w:bookmarkEnd w:id="584"/>
      <w:r>
        <w:rPr>
          <w:color w:val="auto"/>
        </w:rPr>
        <w:t>二百八十四、采用不正当手段垄断种苗市场或者哄抬种苗价格</w:t>
      </w:r>
    </w:p>
    <w:p>
      <w:pPr>
        <w:spacing w:before="192"/>
        <w:ind w:left="591" w:right="0" w:firstLine="0"/>
        <w:jc w:val="left"/>
        <w:rPr>
          <w:b/>
          <w:color w:val="auto"/>
          <w:sz w:val="24"/>
        </w:rPr>
      </w:pPr>
      <w:r>
        <w:rPr>
          <w:b/>
          <w:color w:val="auto"/>
          <w:sz w:val="24"/>
        </w:rPr>
        <w:t>（一）处罚依据</w:t>
      </w:r>
    </w:p>
    <w:p>
      <w:pPr>
        <w:pStyle w:val="4"/>
        <w:tabs>
          <w:tab w:val="left" w:pos="3931"/>
        </w:tabs>
        <w:spacing w:before="191" w:line="391" w:lineRule="auto"/>
        <w:ind w:right="148" w:firstLine="480"/>
        <w:rPr>
          <w:color w:val="auto"/>
        </w:rPr>
      </w:pPr>
      <w:r>
        <w:rPr>
          <w:color w:val="auto"/>
        </w:rPr>
        <w:t>《退耕还林条例</w:t>
      </w:r>
      <w:r>
        <w:rPr>
          <w:color w:val="auto"/>
          <w:spacing w:val="-20"/>
        </w:rPr>
        <w:t>》</w:t>
      </w:r>
      <w:r>
        <w:rPr>
          <w:color w:val="auto"/>
        </w:rPr>
        <w:t>第五十九条</w:t>
      </w:r>
      <w:r>
        <w:rPr>
          <w:color w:val="auto"/>
        </w:rPr>
        <w:tab/>
      </w:r>
      <w:r>
        <w:rPr>
          <w:color w:val="auto"/>
        </w:rPr>
        <w:t>采用不正当手段垄断种苗市场</w:t>
      </w:r>
      <w:r>
        <w:rPr>
          <w:color w:val="auto"/>
          <w:spacing w:val="-17"/>
        </w:rPr>
        <w:t>，</w:t>
      </w:r>
      <w:r>
        <w:rPr>
          <w:color w:val="auto"/>
        </w:rPr>
        <w:t>或者哄抬种苗价格的</w:t>
      </w:r>
      <w:r>
        <w:rPr>
          <w:color w:val="auto"/>
          <w:spacing w:val="-53"/>
        </w:rPr>
        <w:t>，</w:t>
      </w:r>
      <w:r>
        <w:rPr>
          <w:color w:val="auto"/>
        </w:rPr>
        <w:t>依照刑法关于非法经营罪</w:t>
      </w:r>
      <w:r>
        <w:rPr>
          <w:color w:val="auto"/>
          <w:spacing w:val="-51"/>
        </w:rPr>
        <w:t>、</w:t>
      </w:r>
      <w:r>
        <w:rPr>
          <w:color w:val="auto"/>
        </w:rPr>
        <w:t>强迫交易罪或者其他罪的规定</w:t>
      </w:r>
      <w:r>
        <w:rPr>
          <w:color w:val="auto"/>
          <w:spacing w:val="-53"/>
        </w:rPr>
        <w:t>，</w:t>
      </w:r>
      <w:r>
        <w:rPr>
          <w:color w:val="auto"/>
        </w:rPr>
        <w:t>依法追究刑事责任</w:t>
      </w:r>
      <w:r>
        <w:rPr>
          <w:color w:val="auto"/>
          <w:spacing w:val="-16"/>
        </w:rPr>
        <w:t xml:space="preserve">； </w:t>
      </w:r>
      <w:r>
        <w:rPr>
          <w:color w:val="auto"/>
        </w:rPr>
        <w:t>尚不够刑事处罚的</w:t>
      </w:r>
      <w:r>
        <w:rPr>
          <w:color w:val="auto"/>
          <w:spacing w:val="-20"/>
        </w:rPr>
        <w:t>，</w:t>
      </w:r>
      <w:r>
        <w:rPr>
          <w:color w:val="auto"/>
        </w:rPr>
        <w:t>由工商行政管理机关依照反不正当竞争法的规定处理</w:t>
      </w:r>
      <w:r>
        <w:rPr>
          <w:color w:val="auto"/>
          <w:spacing w:val="-17"/>
        </w:rPr>
        <w:t>；</w:t>
      </w:r>
      <w:r>
        <w:rPr>
          <w:color w:val="auto"/>
        </w:rPr>
        <w:t>反不正当竞争法未作规定的，由工商行政管理机关处以非法经营额</w:t>
      </w:r>
      <w:r>
        <w:rPr>
          <w:color w:val="auto"/>
          <w:spacing w:val="-60"/>
        </w:rPr>
        <w:t xml:space="preserve"> </w:t>
      </w:r>
      <w:r>
        <w:rPr>
          <w:color w:val="auto"/>
        </w:rPr>
        <w:t>2</w:t>
      </w:r>
      <w:r>
        <w:rPr>
          <w:color w:val="auto"/>
          <w:spacing w:val="-60"/>
        </w:rPr>
        <w:t xml:space="preserve"> </w:t>
      </w:r>
      <w:r>
        <w:rPr>
          <w:color w:val="auto"/>
        </w:rPr>
        <w:t>倍以上</w:t>
      </w:r>
      <w:r>
        <w:rPr>
          <w:color w:val="auto"/>
          <w:spacing w:val="-60"/>
        </w:rPr>
        <w:t xml:space="preserve"> </w:t>
      </w:r>
      <w:r>
        <w:rPr>
          <w:color w:val="auto"/>
        </w:rPr>
        <w:t>5</w:t>
      </w:r>
      <w:r>
        <w:rPr>
          <w:color w:val="auto"/>
          <w:spacing w:val="-60"/>
        </w:rPr>
        <w:t xml:space="preserve"> </w:t>
      </w:r>
      <w:r>
        <w:rPr>
          <w:color w:val="auto"/>
        </w:rPr>
        <w:t>倍以下的罚款。</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91" w:lineRule="auto"/>
        <w:ind w:left="591" w:right="1192"/>
        <w:rPr>
          <w:color w:val="auto"/>
        </w:rPr>
      </w:pPr>
      <w:r>
        <w:rPr>
          <w:color w:val="auto"/>
          <w:spacing w:val="-1"/>
        </w:rPr>
        <w:t>非法经营额二万元以下的，处以非法经营额二倍以上三倍以下的罚款。</w:t>
      </w:r>
      <w:r>
        <w:rPr>
          <w:color w:val="auto"/>
        </w:rPr>
        <w:t>2.【一般】</w:t>
      </w:r>
    </w:p>
    <w:p>
      <w:pPr>
        <w:pStyle w:val="4"/>
        <w:spacing w:line="388" w:lineRule="auto"/>
        <w:ind w:right="269" w:firstLine="480"/>
        <w:rPr>
          <w:color w:val="auto"/>
        </w:rPr>
      </w:pPr>
      <w:r>
        <w:rPr>
          <w:color w:val="auto"/>
        </w:rPr>
        <w:t>非法经营额二万元以上五万元以下的，处以非法经营额三倍以上四倍以下的罚款。</w:t>
      </w:r>
    </w:p>
    <w:p>
      <w:pPr>
        <w:pStyle w:val="4"/>
        <w:spacing w:before="2"/>
        <w:ind w:left="591"/>
        <w:rPr>
          <w:color w:val="auto"/>
        </w:rPr>
      </w:pPr>
      <w:r>
        <w:rPr>
          <w:color w:val="auto"/>
        </w:rPr>
        <w:t>3.【严重】</w:t>
      </w:r>
    </w:p>
    <w:p>
      <w:pPr>
        <w:spacing w:before="192" w:line="388" w:lineRule="auto"/>
        <w:ind w:left="591" w:right="1192" w:firstLine="0"/>
        <w:jc w:val="left"/>
        <w:rPr>
          <w:b/>
          <w:color w:val="auto"/>
          <w:sz w:val="24"/>
        </w:rPr>
      </w:pPr>
      <w:r>
        <w:rPr>
          <w:color w:val="auto"/>
          <w:sz w:val="24"/>
        </w:rPr>
        <w:t>非法经营额五万元以上的，处以非法经营额四倍以上五倍以下的罚款。</w:t>
      </w:r>
      <w:bookmarkStart w:id="585" w:name="二百八十五、无烟草专卖零售许可证经营烟草制品零售业务"/>
      <w:bookmarkEnd w:id="585"/>
      <w:bookmarkStart w:id="586" w:name="_bookmark292"/>
      <w:bookmarkEnd w:id="586"/>
      <w:r>
        <w:rPr>
          <w:b/>
          <w:color w:val="auto"/>
          <w:sz w:val="24"/>
        </w:rPr>
        <w:t>二百八十五、无烟草专卖零售许可证经营烟草制品零售业务</w:t>
      </w:r>
    </w:p>
    <w:p>
      <w:pPr>
        <w:pStyle w:val="2"/>
        <w:spacing w:before="4"/>
        <w:rPr>
          <w:color w:val="auto"/>
        </w:rPr>
      </w:pPr>
      <w:r>
        <w:rPr>
          <w:color w:val="auto"/>
        </w:rPr>
        <w:t>（一）处罚依据</w:t>
      </w:r>
    </w:p>
    <w:p>
      <w:pPr>
        <w:pStyle w:val="4"/>
        <w:spacing w:before="192" w:line="391" w:lineRule="auto"/>
        <w:ind w:right="268" w:firstLine="480"/>
        <w:jc w:val="both"/>
        <w:rPr>
          <w:color w:val="auto"/>
        </w:rPr>
      </w:pPr>
      <w:r>
        <w:rPr>
          <w:color w:val="auto"/>
        </w:rPr>
        <w:t>《中华人民共和国烟草专卖法实施条例》第五十七条 无烟草专卖零售许可证经</w:t>
      </w:r>
      <w:r>
        <w:rPr>
          <w:color w:val="auto"/>
          <w:spacing w:val="-5"/>
        </w:rPr>
        <w:t>营烟草制品零售业务的，由工商行政管理部门或者由工商行政管理部门根据烟草专卖行政主管部门的意见，责令停止经营烟草制品零售业务，没收违法所得，处以违法经</w:t>
      </w:r>
      <w:r>
        <w:rPr>
          <w:color w:val="auto"/>
          <w:spacing w:val="-15"/>
        </w:rPr>
        <w:t xml:space="preserve">营总额 </w:t>
      </w:r>
      <w:r>
        <w:rPr>
          <w:color w:val="auto"/>
        </w:rPr>
        <w:t>20%</w:t>
      </w:r>
      <w:r>
        <w:rPr>
          <w:color w:val="auto"/>
          <w:spacing w:val="-20"/>
        </w:rPr>
        <w:t xml:space="preserve">以上 </w:t>
      </w:r>
      <w:r>
        <w:rPr>
          <w:color w:val="auto"/>
        </w:rPr>
        <w:t>50%以下的罚款。</w:t>
      </w:r>
    </w:p>
    <w:p>
      <w:pPr>
        <w:pStyle w:val="2"/>
        <w:spacing w:line="302" w:lineRule="exact"/>
        <w:rPr>
          <w:color w:val="auto"/>
        </w:rPr>
      </w:pPr>
      <w:r>
        <w:rPr>
          <w:color w:val="auto"/>
        </w:rPr>
        <w:t>（二）裁量标准</w:t>
      </w:r>
    </w:p>
    <w:p>
      <w:pPr>
        <w:spacing w:after="0" w:line="302" w:lineRule="exact"/>
        <w:rPr>
          <w:color w:val="auto"/>
        </w:rPr>
        <w:sectPr>
          <w:pgSz w:w="11910" w:h="16840"/>
          <w:pgMar w:top="1520" w:right="1260" w:bottom="1220" w:left="1420" w:header="0" w:footer="1034" w:gutter="0"/>
        </w:sectPr>
      </w:pPr>
    </w:p>
    <w:p>
      <w:pPr>
        <w:pStyle w:val="13"/>
        <w:numPr>
          <w:ilvl w:val="0"/>
          <w:numId w:val="212"/>
        </w:numPr>
        <w:tabs>
          <w:tab w:val="left" w:pos="833"/>
        </w:tabs>
        <w:spacing w:before="39" w:after="0" w:line="240" w:lineRule="auto"/>
        <w:ind w:left="832" w:right="0" w:hanging="242"/>
        <w:jc w:val="left"/>
        <w:rPr>
          <w:color w:val="auto"/>
          <w:sz w:val="24"/>
        </w:rPr>
      </w:pPr>
      <w:r>
        <w:rPr>
          <w:color w:val="auto"/>
          <w:sz w:val="24"/>
        </w:rPr>
        <w:t>【较轻】</w:t>
      </w:r>
    </w:p>
    <w:p>
      <w:pPr>
        <w:pStyle w:val="4"/>
        <w:spacing w:before="195" w:line="388" w:lineRule="auto"/>
        <w:ind w:right="213" w:firstLine="480"/>
        <w:rPr>
          <w:color w:val="auto"/>
        </w:rPr>
      </w:pPr>
      <w:r>
        <w:rPr>
          <w:color w:val="auto"/>
        </w:rPr>
        <w:t>违法经营总额一万元以下的，没收违法所得，处以违法经营总额百分之二十以上百分之三十以下的罚款。</w:t>
      </w:r>
    </w:p>
    <w:p>
      <w:pPr>
        <w:pStyle w:val="13"/>
        <w:numPr>
          <w:ilvl w:val="0"/>
          <w:numId w:val="212"/>
        </w:numPr>
        <w:tabs>
          <w:tab w:val="left" w:pos="833"/>
        </w:tabs>
        <w:spacing w:before="2" w:after="0" w:line="240" w:lineRule="auto"/>
        <w:ind w:left="832" w:right="0" w:hanging="242"/>
        <w:jc w:val="left"/>
        <w:rPr>
          <w:color w:val="auto"/>
          <w:sz w:val="24"/>
        </w:rPr>
      </w:pPr>
      <w:r>
        <w:rPr>
          <w:color w:val="auto"/>
          <w:sz w:val="24"/>
        </w:rPr>
        <w:t>【一般】</w:t>
      </w:r>
    </w:p>
    <w:p>
      <w:pPr>
        <w:pStyle w:val="4"/>
        <w:spacing w:before="194" w:line="388" w:lineRule="auto"/>
        <w:ind w:right="213" w:firstLine="480"/>
        <w:rPr>
          <w:color w:val="auto"/>
        </w:rPr>
      </w:pPr>
      <w:r>
        <w:rPr>
          <w:color w:val="auto"/>
        </w:rPr>
        <w:t>违法经营总额一万元以上三万元以下的，没收违法所得，处以违法经营总额百分之三十以上四十以下的罚款。</w:t>
      </w:r>
    </w:p>
    <w:p>
      <w:pPr>
        <w:pStyle w:val="13"/>
        <w:numPr>
          <w:ilvl w:val="0"/>
          <w:numId w:val="212"/>
        </w:numPr>
        <w:tabs>
          <w:tab w:val="left" w:pos="833"/>
        </w:tabs>
        <w:spacing w:before="2" w:after="0" w:line="240" w:lineRule="auto"/>
        <w:ind w:left="832" w:right="0" w:hanging="242"/>
        <w:jc w:val="left"/>
        <w:rPr>
          <w:color w:val="auto"/>
          <w:sz w:val="24"/>
        </w:rPr>
      </w:pPr>
      <w:r>
        <w:rPr>
          <w:color w:val="auto"/>
          <w:sz w:val="24"/>
        </w:rPr>
        <w:t>【严重】</w:t>
      </w:r>
    </w:p>
    <w:p>
      <w:pPr>
        <w:pStyle w:val="4"/>
        <w:spacing w:before="194" w:line="388" w:lineRule="auto"/>
        <w:ind w:right="213" w:firstLine="480"/>
        <w:rPr>
          <w:color w:val="auto"/>
        </w:rPr>
      </w:pPr>
      <w:r>
        <w:rPr>
          <w:color w:val="auto"/>
        </w:rPr>
        <w:t>违法经营总额三万元以上的，没收违法所得，处以违法经营总额百分之四十以上五十以下的罚款。</w:t>
      </w:r>
    </w:p>
    <w:p>
      <w:pPr>
        <w:pStyle w:val="4"/>
        <w:ind w:left="0"/>
        <w:rPr>
          <w:color w:val="auto"/>
        </w:rPr>
      </w:pPr>
    </w:p>
    <w:p>
      <w:pPr>
        <w:pStyle w:val="4"/>
        <w:tabs>
          <w:tab w:val="left" w:pos="959"/>
        </w:tabs>
        <w:spacing w:before="196"/>
        <w:ind w:left="0" w:right="161"/>
        <w:jc w:val="center"/>
        <w:rPr>
          <w:rFonts w:hint="eastAsia" w:ascii="黑体" w:eastAsia="黑体"/>
          <w:color w:val="auto"/>
        </w:rPr>
      </w:pPr>
      <w:bookmarkStart w:id="587" w:name="_bookmark293"/>
      <w:bookmarkEnd w:id="587"/>
      <w:bookmarkStart w:id="588" w:name="第九章  产品质量监管"/>
      <w:bookmarkEnd w:id="588"/>
      <w:r>
        <w:rPr>
          <w:rFonts w:hint="eastAsia" w:ascii="黑体" w:eastAsia="黑体"/>
          <w:color w:val="auto"/>
        </w:rPr>
        <w:t>第九章</w:t>
      </w:r>
      <w:r>
        <w:rPr>
          <w:rFonts w:hint="eastAsia" w:ascii="黑体" w:eastAsia="黑体"/>
          <w:color w:val="auto"/>
        </w:rPr>
        <w:tab/>
      </w:r>
      <w:r>
        <w:rPr>
          <w:rFonts w:hint="eastAsia" w:ascii="黑体" w:eastAsia="黑体"/>
          <w:color w:val="auto"/>
        </w:rPr>
        <w:t>产品质量监管</w:t>
      </w:r>
    </w:p>
    <w:p>
      <w:pPr>
        <w:pStyle w:val="4"/>
        <w:ind w:left="0"/>
        <w:rPr>
          <w:rFonts w:ascii="黑体"/>
          <w:color w:val="auto"/>
        </w:rPr>
      </w:pPr>
    </w:p>
    <w:p>
      <w:pPr>
        <w:pStyle w:val="4"/>
        <w:spacing w:before="12"/>
        <w:ind w:left="0"/>
        <w:rPr>
          <w:rFonts w:ascii="黑体"/>
          <w:color w:val="auto"/>
          <w:sz w:val="29"/>
        </w:rPr>
      </w:pPr>
    </w:p>
    <w:p>
      <w:pPr>
        <w:pStyle w:val="2"/>
        <w:spacing w:line="391" w:lineRule="auto"/>
        <w:ind w:left="111" w:right="237" w:firstLine="480"/>
        <w:rPr>
          <w:color w:val="auto"/>
        </w:rPr>
      </w:pPr>
      <w:bookmarkStart w:id="589" w:name="_bookmark294"/>
      <w:bookmarkEnd w:id="589"/>
      <w:bookmarkStart w:id="590" w:name="二百八十六、生产、销售不符合保障人体健康和人身、财产安全的国家标准、行业标准的产"/>
      <w:bookmarkEnd w:id="590"/>
      <w:r>
        <w:rPr>
          <w:color w:val="auto"/>
          <w:spacing w:val="-7"/>
        </w:rPr>
        <w:t>二百八十六、生产、销售不符合保障人体健康和人身、财产安全的国家标准、行业标准的产品</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6" w:firstLine="470"/>
        <w:jc w:val="both"/>
        <w:rPr>
          <w:color w:val="auto"/>
        </w:rPr>
      </w:pPr>
      <w:r>
        <w:rPr>
          <w:color w:val="auto"/>
          <w:spacing w:val="-4"/>
        </w:rPr>
        <w:t>《中华人民共和国产品质量法》第四十九条“生产、销售不符合保障人体健康和</w:t>
      </w:r>
      <w:r>
        <w:rPr>
          <w:color w:val="auto"/>
          <w:spacing w:val="-8"/>
        </w:rPr>
        <w:t>人身、财产安全的国家标准、行业标准的产品的，责令停止生产、销售，没收违法生</w:t>
      </w:r>
      <w:r>
        <w:rPr>
          <w:color w:val="auto"/>
          <w:spacing w:val="-5"/>
        </w:rPr>
        <w:t>产、销售的产品，并处违法生产、销售产品</w:t>
      </w:r>
      <w:r>
        <w:rPr>
          <w:color w:val="auto"/>
        </w:rPr>
        <w:t>（</w:t>
      </w:r>
      <w:r>
        <w:rPr>
          <w:color w:val="auto"/>
          <w:spacing w:val="-1"/>
        </w:rPr>
        <w:t>包括已售出和未售出的产品，下同</w:t>
      </w:r>
      <w:r>
        <w:rPr>
          <w:color w:val="auto"/>
          <w:spacing w:val="-5"/>
        </w:rPr>
        <w:t>）</w:t>
      </w:r>
      <w:r>
        <w:rPr>
          <w:color w:val="auto"/>
          <w:spacing w:val="-12"/>
        </w:rPr>
        <w:t>货</w:t>
      </w:r>
      <w:r>
        <w:rPr>
          <w:color w:val="auto"/>
          <w:spacing w:val="-4"/>
        </w:rPr>
        <w:t>值金额等值以上三倍以下的罚款；有违法所得的，并处没收违法所得；情节严重的吊</w:t>
      </w:r>
      <w:r>
        <w:rPr>
          <w:color w:val="auto"/>
        </w:rPr>
        <w:t>销营业执照；构成犯罪的，依法追究刑事责任。”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1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line="388" w:lineRule="auto"/>
        <w:ind w:right="212" w:firstLine="480"/>
        <w:rPr>
          <w:color w:val="auto"/>
        </w:rPr>
      </w:pPr>
      <w:r>
        <w:rPr>
          <w:color w:val="auto"/>
        </w:rPr>
        <w:t>有下列情形之一的：1、有证据证明该产品是初次生产，且尚未销售的；2、有证据证明该产品是初次生产，没有造成危害结果的。</w:t>
      </w:r>
    </w:p>
    <w:p>
      <w:pPr>
        <w:pStyle w:val="13"/>
        <w:numPr>
          <w:ilvl w:val="0"/>
          <w:numId w:val="213"/>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66" w:firstLine="480"/>
        <w:rPr>
          <w:color w:val="auto"/>
        </w:rPr>
      </w:pPr>
      <w:r>
        <w:rPr>
          <w:color w:val="auto"/>
          <w:spacing w:val="-7"/>
        </w:rPr>
        <w:t>责令停止生产、销售，没收违法生产、销售的产品，并处货值金额等值罚款；有</w:t>
      </w:r>
      <w:r>
        <w:rPr>
          <w:color w:val="auto"/>
        </w:rPr>
        <w:t>违法所得的，并处没收违法所得。</w:t>
      </w:r>
    </w:p>
    <w:p>
      <w:pPr>
        <w:spacing w:after="0" w:line="388" w:lineRule="auto"/>
        <w:rPr>
          <w:color w:val="auto"/>
        </w:rPr>
        <w:sectPr>
          <w:footerReference r:id="rId51" w:type="default"/>
          <w:footerReference r:id="rId52" w:type="even"/>
          <w:pgSz w:w="11910" w:h="16840"/>
          <w:pgMar w:top="1520" w:right="1260" w:bottom="1220" w:left="1420" w:header="0" w:footer="1034" w:gutter="0"/>
          <w:pgNumType w:start="240"/>
        </w:sectPr>
      </w:pPr>
    </w:p>
    <w:p>
      <w:pPr>
        <w:pStyle w:val="4"/>
        <w:spacing w:before="39"/>
        <w:ind w:left="591"/>
        <w:rPr>
          <w:color w:val="auto"/>
        </w:rPr>
      </w:pPr>
      <w:r>
        <w:rPr>
          <w:color w:val="auto"/>
        </w:rPr>
        <w:t>2、【一般】</w:t>
      </w:r>
    </w:p>
    <w:p>
      <w:pPr>
        <w:pStyle w:val="13"/>
        <w:numPr>
          <w:ilvl w:val="0"/>
          <w:numId w:val="214"/>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13" w:firstLine="480"/>
        <w:rPr>
          <w:color w:val="auto"/>
        </w:rPr>
      </w:pPr>
      <w:r>
        <w:rPr>
          <w:color w:val="auto"/>
        </w:rPr>
        <w:t>有下列情形之一的：1、检验结论为不合格且主动追回已售出的产品的；2、检验结论为不合格且售出产品未造成危害后果的。</w:t>
      </w:r>
    </w:p>
    <w:p>
      <w:pPr>
        <w:pStyle w:val="13"/>
        <w:numPr>
          <w:ilvl w:val="0"/>
          <w:numId w:val="214"/>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25" w:firstLine="480"/>
        <w:rPr>
          <w:color w:val="auto"/>
        </w:rPr>
      </w:pPr>
      <w:r>
        <w:rPr>
          <w:color w:val="auto"/>
        </w:rPr>
        <w:t>责令停止生产、销售，没收违法生产、销售的产品，并处货值金额等值以上 1.5 倍以下罚款；有违法所得的，并处没收违法所得。</w:t>
      </w:r>
    </w:p>
    <w:p>
      <w:pPr>
        <w:pStyle w:val="4"/>
        <w:spacing w:before="4"/>
        <w:ind w:left="591"/>
        <w:rPr>
          <w:color w:val="auto"/>
        </w:rPr>
      </w:pPr>
      <w:r>
        <w:rPr>
          <w:color w:val="auto"/>
        </w:rPr>
        <w:t>3、【较重】</w:t>
      </w:r>
    </w:p>
    <w:p>
      <w:pPr>
        <w:pStyle w:val="13"/>
        <w:numPr>
          <w:ilvl w:val="0"/>
          <w:numId w:val="21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有下列情形之一的：检验结论为不合格且产品半数以下售出、无法追回的。</w:t>
      </w:r>
    </w:p>
    <w:p>
      <w:pPr>
        <w:pStyle w:val="13"/>
        <w:numPr>
          <w:ilvl w:val="0"/>
          <w:numId w:val="215"/>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92" w:firstLine="480"/>
        <w:rPr>
          <w:color w:val="auto"/>
        </w:rPr>
      </w:pPr>
      <w:r>
        <w:rPr>
          <w:color w:val="auto"/>
          <w:spacing w:val="-2"/>
        </w:rPr>
        <w:t xml:space="preserve">责令停止生产、销售，没收违法生产、销售的产品，并处货值金额 </w:t>
      </w:r>
      <w:r>
        <w:rPr>
          <w:color w:val="auto"/>
        </w:rPr>
        <w:t>1.5</w:t>
      </w:r>
      <w:r>
        <w:rPr>
          <w:color w:val="auto"/>
          <w:spacing w:val="-24"/>
        </w:rPr>
        <w:t xml:space="preserve"> 倍以上 </w:t>
      </w:r>
      <w:r>
        <w:rPr>
          <w:color w:val="auto"/>
          <w:spacing w:val="-17"/>
        </w:rPr>
        <w:t xml:space="preserve">2 </w:t>
      </w:r>
      <w:r>
        <w:rPr>
          <w:color w:val="auto"/>
        </w:rPr>
        <w:t>倍以下罚款；有违法所得的，并处没收违法所得；通报营业执照发证部门。</w:t>
      </w:r>
    </w:p>
    <w:p>
      <w:pPr>
        <w:pStyle w:val="4"/>
        <w:spacing w:before="5"/>
        <w:ind w:left="591"/>
        <w:rPr>
          <w:color w:val="auto"/>
        </w:rPr>
      </w:pPr>
      <w:r>
        <w:rPr>
          <w:color w:val="auto"/>
        </w:rPr>
        <w:t>4、【严重】</w:t>
      </w:r>
    </w:p>
    <w:p>
      <w:pPr>
        <w:pStyle w:val="13"/>
        <w:numPr>
          <w:ilvl w:val="0"/>
          <w:numId w:val="216"/>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32" w:firstLine="480"/>
        <w:rPr>
          <w:color w:val="auto"/>
        </w:rPr>
      </w:pPr>
      <w:r>
        <w:rPr>
          <w:color w:val="auto"/>
        </w:rPr>
        <w:t>有下列情形之一的：1、检验结论为严重不合格的；2、产品全部或大部分销售， 无法追回的。</w:t>
      </w:r>
    </w:p>
    <w:p>
      <w:pPr>
        <w:pStyle w:val="13"/>
        <w:numPr>
          <w:ilvl w:val="0"/>
          <w:numId w:val="21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倍以下罚款；有违法所得的，并处没收违法所得；吊销营业执照。</w:t>
      </w:r>
    </w:p>
    <w:p>
      <w:pPr>
        <w:pStyle w:val="4"/>
        <w:spacing w:line="306" w:lineRule="exact"/>
        <w:ind w:left="591"/>
        <w:rPr>
          <w:color w:val="auto"/>
        </w:rPr>
      </w:pPr>
      <w:r>
        <w:rPr>
          <w:color w:val="auto"/>
        </w:rPr>
        <w:t>5、【特别严重】</w:t>
      </w:r>
    </w:p>
    <w:p>
      <w:pPr>
        <w:pStyle w:val="13"/>
        <w:numPr>
          <w:ilvl w:val="0"/>
          <w:numId w:val="217"/>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5" w:line="388" w:lineRule="auto"/>
        <w:ind w:right="266" w:firstLine="480"/>
        <w:jc w:val="both"/>
        <w:rPr>
          <w:color w:val="auto"/>
        </w:rPr>
      </w:pPr>
      <w:r>
        <w:rPr>
          <w:color w:val="auto"/>
          <w:spacing w:val="-1"/>
        </w:rPr>
        <w:t>有下列情形之一的：</w:t>
      </w:r>
      <w:r>
        <w:rPr>
          <w:color w:val="auto"/>
          <w:spacing w:val="-4"/>
        </w:rPr>
        <w:t>1、产品全部或大部分销售，且拒不追回的；2</w:t>
      </w:r>
      <w:r>
        <w:rPr>
          <w:color w:val="auto"/>
          <w:spacing w:val="-5"/>
        </w:rPr>
        <w:t>、不执行责令</w:t>
      </w:r>
      <w:r>
        <w:rPr>
          <w:color w:val="auto"/>
        </w:rPr>
        <w:t>停止生产、销售，继续实施违法行为的；3、生产的产品造成人身、财产损害或者造成较大社会影响等严重危害后果的；4、其他符合特别严重违法情节的。</w:t>
      </w:r>
    </w:p>
    <w:p>
      <w:pPr>
        <w:pStyle w:val="13"/>
        <w:numPr>
          <w:ilvl w:val="0"/>
          <w:numId w:val="217"/>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92" w:firstLine="480"/>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倍以下罚款；有违法所得的，并处没收违法所得；吊销营业执照。</w:t>
      </w:r>
    </w:p>
    <w:p>
      <w:pPr>
        <w:spacing w:after="0" w:line="388" w:lineRule="auto"/>
        <w:rPr>
          <w:color w:val="auto"/>
        </w:rPr>
        <w:sectPr>
          <w:pgSz w:w="11910" w:h="16840"/>
          <w:pgMar w:top="1520" w:right="1260" w:bottom="1220" w:left="1420" w:header="0" w:footer="1034" w:gutter="0"/>
        </w:sectPr>
      </w:pPr>
    </w:p>
    <w:p>
      <w:pPr>
        <w:pStyle w:val="2"/>
        <w:spacing w:before="39"/>
        <w:rPr>
          <w:color w:val="auto"/>
        </w:rPr>
      </w:pPr>
      <w:bookmarkStart w:id="591" w:name="_bookmark295"/>
      <w:bookmarkEnd w:id="591"/>
      <w:bookmarkStart w:id="592" w:name="二百八十七、在产品中掺杂、掺假"/>
      <w:bookmarkEnd w:id="592"/>
      <w:r>
        <w:rPr>
          <w:color w:val="auto"/>
        </w:rPr>
        <w:t>二百八十七、在产品中掺杂、掺假</w:t>
      </w:r>
    </w:p>
    <w:p>
      <w:pPr>
        <w:spacing w:before="195"/>
        <w:ind w:left="591" w:right="0" w:firstLine="0"/>
        <w:jc w:val="left"/>
        <w:rPr>
          <w:b/>
          <w:color w:val="auto"/>
          <w:sz w:val="24"/>
        </w:rPr>
      </w:pPr>
      <w:r>
        <w:rPr>
          <w:b/>
          <w:color w:val="auto"/>
          <w:sz w:val="24"/>
        </w:rPr>
        <w:t>（一）处罚依据</w:t>
      </w:r>
    </w:p>
    <w:p>
      <w:pPr>
        <w:pStyle w:val="4"/>
        <w:spacing w:before="191" w:line="391" w:lineRule="auto"/>
        <w:ind w:right="264" w:firstLine="470"/>
        <w:jc w:val="both"/>
        <w:rPr>
          <w:color w:val="auto"/>
        </w:rPr>
      </w:pPr>
      <w:r>
        <w:rPr>
          <w:color w:val="auto"/>
          <w:spacing w:val="-5"/>
        </w:rPr>
        <w:t>《中华人民共和国产品质量法》第五十条“在产品中掺杂、掺假的，责令停止生</w:t>
      </w:r>
      <w:r>
        <w:rPr>
          <w:color w:val="auto"/>
          <w:spacing w:val="-8"/>
        </w:rPr>
        <w:t>产、销售，没收违法生产、销售的产品，并处违法生产、销售产品货值金额百分之五</w:t>
      </w:r>
      <w:r>
        <w:rPr>
          <w:color w:val="auto"/>
          <w:spacing w:val="-5"/>
        </w:rPr>
        <w:t>十以上三倍以下的罚款；有违法所得的，并处没收违法所得；情节严重的，吊销营业</w:t>
      </w:r>
      <w:r>
        <w:rPr>
          <w:color w:val="auto"/>
        </w:rPr>
        <w:t>执照；构成犯罪的，依法追究刑事责任。”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1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line="391" w:lineRule="auto"/>
        <w:ind w:right="212" w:firstLine="480"/>
        <w:rPr>
          <w:color w:val="auto"/>
        </w:rPr>
      </w:pPr>
      <w:r>
        <w:rPr>
          <w:color w:val="auto"/>
        </w:rPr>
        <w:t>有下列情形之一的：1、有证据证明该产品是初次生产，且尚未销售的；2、有证据证明该产品是初次生产，没有造成危害结果的。</w:t>
      </w:r>
    </w:p>
    <w:p>
      <w:pPr>
        <w:pStyle w:val="13"/>
        <w:numPr>
          <w:ilvl w:val="0"/>
          <w:numId w:val="21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71" w:firstLine="480"/>
        <w:rPr>
          <w:color w:val="auto"/>
        </w:rPr>
      </w:pPr>
      <w:r>
        <w:rPr>
          <w:color w:val="auto"/>
          <w:spacing w:val="-2"/>
        </w:rPr>
        <w:t xml:space="preserve">责令停止生产、销售，没收违法生产、销售的产品，并处货值金额 </w:t>
      </w:r>
      <w:r>
        <w:rPr>
          <w:color w:val="auto"/>
        </w:rPr>
        <w:t>50%</w:t>
      </w:r>
      <w:r>
        <w:rPr>
          <w:color w:val="auto"/>
          <w:spacing w:val="-19"/>
        </w:rPr>
        <w:t xml:space="preserve">以上 </w:t>
      </w:r>
      <w:r>
        <w:rPr>
          <w:color w:val="auto"/>
        </w:rPr>
        <w:t>1</w:t>
      </w:r>
      <w:r>
        <w:rPr>
          <w:color w:val="auto"/>
          <w:spacing w:val="-35"/>
        </w:rPr>
        <w:t xml:space="preserve"> 倍</w:t>
      </w:r>
      <w:r>
        <w:rPr>
          <w:color w:val="auto"/>
        </w:rPr>
        <w:t>以下的罚款；有违法所得的，并处没收违法所得。</w:t>
      </w:r>
    </w:p>
    <w:p>
      <w:pPr>
        <w:pStyle w:val="4"/>
        <w:spacing w:line="306" w:lineRule="exact"/>
        <w:ind w:left="591"/>
        <w:rPr>
          <w:color w:val="auto"/>
        </w:rPr>
      </w:pPr>
      <w:r>
        <w:rPr>
          <w:color w:val="auto"/>
        </w:rPr>
        <w:t>2、【一般】</w:t>
      </w:r>
    </w:p>
    <w:p>
      <w:pPr>
        <w:pStyle w:val="13"/>
        <w:numPr>
          <w:ilvl w:val="0"/>
          <w:numId w:val="21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3"/>
        </w:rPr>
        <w:t>有下列情形之一的：</w:t>
      </w:r>
      <w:r>
        <w:rPr>
          <w:color w:val="auto"/>
          <w:spacing w:val="-20"/>
        </w:rPr>
        <w:t>1</w:t>
      </w:r>
      <w:r>
        <w:rPr>
          <w:color w:val="auto"/>
          <w:spacing w:val="-8"/>
        </w:rPr>
        <w:t>、检验结论为不合格的且主动追回已售出产品的；</w:t>
      </w:r>
      <w:r>
        <w:rPr>
          <w:color w:val="auto"/>
          <w:spacing w:val="-20"/>
        </w:rPr>
        <w:t>2</w:t>
      </w:r>
      <w:r>
        <w:rPr>
          <w:color w:val="auto"/>
          <w:spacing w:val="-15"/>
        </w:rPr>
        <w:t>、掺杂、</w:t>
      </w:r>
      <w:r>
        <w:rPr>
          <w:color w:val="auto"/>
        </w:rPr>
        <w:t>掺假的杂质系无毒无害物质，且对产品使用性能影响不大的；3、对用户要求的赔偿能及时赔偿或采取其它补救措施的。</w:t>
      </w:r>
    </w:p>
    <w:p>
      <w:pPr>
        <w:pStyle w:val="13"/>
        <w:numPr>
          <w:ilvl w:val="0"/>
          <w:numId w:val="219"/>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92" w:firstLine="480"/>
        <w:rPr>
          <w:color w:val="auto"/>
        </w:rPr>
      </w:pPr>
      <w:r>
        <w:rPr>
          <w:color w:val="auto"/>
          <w:spacing w:val="-2"/>
        </w:rPr>
        <w:t xml:space="preserve">责令停止生产、销售，没收违法生产、销售的产品，并处货值金额 </w:t>
      </w:r>
      <w:r>
        <w:rPr>
          <w:color w:val="auto"/>
        </w:rPr>
        <w:t>1</w:t>
      </w:r>
      <w:r>
        <w:rPr>
          <w:color w:val="auto"/>
          <w:spacing w:val="-24"/>
        </w:rPr>
        <w:t xml:space="preserve"> 倍以上 </w:t>
      </w:r>
      <w:r>
        <w:rPr>
          <w:color w:val="auto"/>
          <w:spacing w:val="-6"/>
        </w:rPr>
        <w:t xml:space="preserve">1.5 </w:t>
      </w:r>
      <w:r>
        <w:rPr>
          <w:color w:val="auto"/>
        </w:rPr>
        <w:t>倍以下的罚款；有违法所得的，并处没收违法所得。</w:t>
      </w:r>
    </w:p>
    <w:p>
      <w:pPr>
        <w:pStyle w:val="4"/>
        <w:spacing w:before="5"/>
        <w:ind w:left="591"/>
        <w:rPr>
          <w:color w:val="auto"/>
        </w:rPr>
      </w:pPr>
      <w:r>
        <w:rPr>
          <w:color w:val="auto"/>
        </w:rPr>
        <w:t>3、【较重】</w:t>
      </w:r>
    </w:p>
    <w:p>
      <w:pPr>
        <w:pStyle w:val="13"/>
        <w:numPr>
          <w:ilvl w:val="0"/>
          <w:numId w:val="220"/>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71" w:firstLine="480"/>
        <w:rPr>
          <w:color w:val="auto"/>
        </w:rPr>
      </w:pPr>
      <w:r>
        <w:rPr>
          <w:color w:val="auto"/>
        </w:rPr>
        <w:t>有下列情形之一的：1、检验结论为不合格的；2.掺入无毒无害物质，使产品失去部分使用功能的；3. 产品半数以下售出且无法追回的。</w:t>
      </w:r>
    </w:p>
    <w:p>
      <w:pPr>
        <w:pStyle w:val="13"/>
        <w:numPr>
          <w:ilvl w:val="0"/>
          <w:numId w:val="22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责令停止生产、销售，没收违法生产、销售的产品，并处货值金额 1.5 倍以上 2</w:t>
      </w:r>
    </w:p>
    <w:p>
      <w:pPr>
        <w:spacing w:after="0"/>
        <w:rPr>
          <w:color w:val="auto"/>
        </w:rPr>
        <w:sectPr>
          <w:pgSz w:w="11910" w:h="16840"/>
          <w:pgMar w:top="1520" w:right="1260" w:bottom="1220" w:left="1420" w:header="0" w:footer="1034" w:gutter="0"/>
        </w:sectPr>
      </w:pPr>
    </w:p>
    <w:p>
      <w:pPr>
        <w:pStyle w:val="4"/>
        <w:spacing w:before="39" w:line="391" w:lineRule="auto"/>
        <w:ind w:left="591" w:right="952" w:hanging="480"/>
        <w:rPr>
          <w:color w:val="auto"/>
        </w:rPr>
      </w:pPr>
      <w:r>
        <w:rPr>
          <w:color w:val="auto"/>
        </w:rPr>
        <w:t>倍以下的罚款；有违法所得的，并处没收违法所得；通报营业执照发证部门。4、【严重】</w:t>
      </w:r>
    </w:p>
    <w:p>
      <w:pPr>
        <w:pStyle w:val="13"/>
        <w:numPr>
          <w:ilvl w:val="0"/>
          <w:numId w:val="22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有下列情形之一的：1、检验结论为严重不合格的；2、产品全部或大部分已被销售，已无法追回的；3、经查处后，再次违法的。</w:t>
      </w:r>
    </w:p>
    <w:p>
      <w:pPr>
        <w:pStyle w:val="13"/>
        <w:numPr>
          <w:ilvl w:val="0"/>
          <w:numId w:val="22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倍以下的罚款；有违法所得的，并处没收违法所得；吊销营业执照。</w:t>
      </w:r>
    </w:p>
    <w:p>
      <w:pPr>
        <w:pStyle w:val="4"/>
        <w:spacing w:line="306" w:lineRule="exact"/>
        <w:ind w:left="591"/>
        <w:rPr>
          <w:color w:val="auto"/>
        </w:rPr>
      </w:pPr>
      <w:r>
        <w:rPr>
          <w:color w:val="auto"/>
        </w:rPr>
        <w:t>5、【特别严重】</w:t>
      </w:r>
    </w:p>
    <w:p>
      <w:pPr>
        <w:pStyle w:val="13"/>
        <w:numPr>
          <w:ilvl w:val="0"/>
          <w:numId w:val="22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91" w:lineRule="auto"/>
        <w:ind w:right="148" w:firstLine="480"/>
        <w:rPr>
          <w:color w:val="auto"/>
        </w:rPr>
      </w:pPr>
      <w:r>
        <w:rPr>
          <w:color w:val="auto"/>
        </w:rPr>
        <w:t>有下列情形之一的：1、产品全部或大部分已被销售，且拒不追回的；2、掺杂、</w:t>
      </w:r>
      <w:r>
        <w:rPr>
          <w:color w:val="auto"/>
          <w:spacing w:val="-2"/>
        </w:rPr>
        <w:t>掺假的杂质有毒有害或严重影响产品使用性能的；</w:t>
      </w:r>
      <w:r>
        <w:rPr>
          <w:color w:val="auto"/>
          <w:spacing w:val="-27"/>
        </w:rPr>
        <w:t>3</w:t>
      </w:r>
      <w:r>
        <w:rPr>
          <w:color w:val="auto"/>
          <w:spacing w:val="-10"/>
        </w:rPr>
        <w:t>、造成工农业生产减产减收的；</w:t>
      </w:r>
      <w:r>
        <w:rPr>
          <w:color w:val="auto"/>
          <w:spacing w:val="-27"/>
        </w:rPr>
        <w:t>4</w:t>
      </w:r>
      <w:r>
        <w:rPr>
          <w:color w:val="auto"/>
          <w:spacing w:val="-16"/>
        </w:rPr>
        <w:t>、</w:t>
      </w:r>
      <w:r>
        <w:rPr>
          <w:color w:val="auto"/>
        </w:rPr>
        <w:t>不执行责令停止生产、销售，继续实施违法行为的的；5、生产的产品造成人身、财产损害或者造成较大社会影响等严重危害后果的。</w:t>
      </w:r>
    </w:p>
    <w:p>
      <w:pPr>
        <w:pStyle w:val="13"/>
        <w:numPr>
          <w:ilvl w:val="0"/>
          <w:numId w:val="222"/>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1" w:line="391" w:lineRule="auto"/>
        <w:ind w:right="292" w:firstLine="480"/>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倍以下的罚款；有违法所得的，并处没收违法所得；吊销营业执照。</w:t>
      </w:r>
    </w:p>
    <w:p>
      <w:pPr>
        <w:pStyle w:val="2"/>
        <w:spacing w:line="306" w:lineRule="exact"/>
        <w:rPr>
          <w:color w:val="auto"/>
        </w:rPr>
      </w:pPr>
      <w:bookmarkStart w:id="593" w:name="二百八十八、产品以假充真"/>
      <w:bookmarkEnd w:id="593"/>
      <w:bookmarkStart w:id="594" w:name="_bookmark296"/>
      <w:bookmarkEnd w:id="594"/>
      <w:r>
        <w:rPr>
          <w:color w:val="auto"/>
        </w:rPr>
        <w:t>二百八十八、产品以假充真</w:t>
      </w:r>
    </w:p>
    <w:p>
      <w:pPr>
        <w:spacing w:before="192"/>
        <w:ind w:left="59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rPr>
        <w:t>《中华人民共和国产品质量法》第五十条“产品以假充真的 责令停止生产、销</w:t>
      </w:r>
      <w:r>
        <w:rPr>
          <w:color w:val="auto"/>
          <w:spacing w:val="-6"/>
        </w:rPr>
        <w:t>售，没收违法生产、销售的产品，并处违法生产、销售产品货值金额百分之五十以上</w:t>
      </w:r>
      <w:r>
        <w:rPr>
          <w:color w:val="auto"/>
          <w:spacing w:val="-7"/>
        </w:rPr>
        <w:t xml:space="preserve">三倍以下的罚款；有违法所得的，并处没收违法所得；情节严重的，吊销营业执照； </w:t>
      </w:r>
      <w:r>
        <w:rPr>
          <w:color w:val="auto"/>
        </w:rPr>
        <w:t>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2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line="388" w:lineRule="auto"/>
        <w:ind w:right="212" w:firstLine="480"/>
        <w:rPr>
          <w:color w:val="auto"/>
        </w:rPr>
      </w:pPr>
      <w:r>
        <w:rPr>
          <w:color w:val="auto"/>
        </w:rPr>
        <w:t>有下列情形之一的：1、有证据证明该产品是初次生产，且尚未销售的；2、有证据证明该产品是初次生产，没有造成危害结果的。</w:t>
      </w:r>
    </w:p>
    <w:p>
      <w:pPr>
        <w:spacing w:after="0" w:line="388" w:lineRule="auto"/>
        <w:rPr>
          <w:color w:val="auto"/>
        </w:rPr>
        <w:sectPr>
          <w:pgSz w:w="11910" w:h="16840"/>
          <w:pgMar w:top="1520" w:right="1260" w:bottom="1220" w:left="1420" w:header="0" w:footer="1034" w:gutter="0"/>
        </w:sectPr>
      </w:pPr>
    </w:p>
    <w:p>
      <w:pPr>
        <w:pStyle w:val="13"/>
        <w:numPr>
          <w:ilvl w:val="0"/>
          <w:numId w:val="223"/>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71" w:firstLine="480"/>
        <w:rPr>
          <w:color w:val="auto"/>
        </w:rPr>
      </w:pPr>
      <w:r>
        <w:rPr>
          <w:color w:val="auto"/>
          <w:spacing w:val="-2"/>
        </w:rPr>
        <w:t xml:space="preserve">责令停止生产、销售，没收违法生产、销售的产品，并处货值金额 </w:t>
      </w:r>
      <w:r>
        <w:rPr>
          <w:color w:val="auto"/>
        </w:rPr>
        <w:t>50%</w:t>
      </w:r>
      <w:r>
        <w:rPr>
          <w:color w:val="auto"/>
          <w:spacing w:val="-19"/>
        </w:rPr>
        <w:t xml:space="preserve">以上 </w:t>
      </w:r>
      <w:r>
        <w:rPr>
          <w:color w:val="auto"/>
        </w:rPr>
        <w:t>1</w:t>
      </w:r>
      <w:r>
        <w:rPr>
          <w:color w:val="auto"/>
          <w:spacing w:val="-35"/>
        </w:rPr>
        <w:t xml:space="preserve"> 倍</w:t>
      </w:r>
      <w:r>
        <w:rPr>
          <w:color w:val="auto"/>
        </w:rPr>
        <w:t>以下的罚款；有违法所得的，并处没收违法所得。</w:t>
      </w:r>
    </w:p>
    <w:p>
      <w:pPr>
        <w:pStyle w:val="4"/>
        <w:spacing w:before="2"/>
        <w:ind w:left="591"/>
        <w:rPr>
          <w:color w:val="auto"/>
        </w:rPr>
      </w:pPr>
      <w:r>
        <w:rPr>
          <w:color w:val="auto"/>
        </w:rPr>
        <w:t>2、【一般】</w:t>
      </w:r>
    </w:p>
    <w:p>
      <w:pPr>
        <w:pStyle w:val="13"/>
        <w:numPr>
          <w:ilvl w:val="0"/>
          <w:numId w:val="22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有下列情形之一的：1、检验结论为不合格且主动追回已售出产品的；2、对用户要求的赔偿能及时赔偿或采取其它补救措施的。</w:t>
      </w:r>
    </w:p>
    <w:p>
      <w:pPr>
        <w:pStyle w:val="13"/>
        <w:numPr>
          <w:ilvl w:val="0"/>
          <w:numId w:val="224"/>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92" w:firstLine="480"/>
        <w:rPr>
          <w:color w:val="auto"/>
        </w:rPr>
      </w:pPr>
      <w:r>
        <w:rPr>
          <w:color w:val="auto"/>
          <w:spacing w:val="-2"/>
        </w:rPr>
        <w:t xml:space="preserve">责令停止生产、销售，没收违法生产、销售的产品，并处货值金额 </w:t>
      </w:r>
      <w:r>
        <w:rPr>
          <w:color w:val="auto"/>
        </w:rPr>
        <w:t>1</w:t>
      </w:r>
      <w:r>
        <w:rPr>
          <w:color w:val="auto"/>
          <w:spacing w:val="-24"/>
        </w:rPr>
        <w:t xml:space="preserve"> 倍以上 </w:t>
      </w:r>
      <w:r>
        <w:rPr>
          <w:color w:val="auto"/>
          <w:spacing w:val="-6"/>
        </w:rPr>
        <w:t xml:space="preserve">1.5 </w:t>
      </w:r>
      <w:r>
        <w:rPr>
          <w:color w:val="auto"/>
        </w:rPr>
        <w:t>倍以下的罚款；有违法所得的，并处没收违法所得。</w:t>
      </w:r>
    </w:p>
    <w:p>
      <w:pPr>
        <w:pStyle w:val="4"/>
        <w:spacing w:before="4"/>
        <w:ind w:left="591"/>
        <w:rPr>
          <w:color w:val="auto"/>
        </w:rPr>
      </w:pPr>
      <w:r>
        <w:rPr>
          <w:color w:val="auto"/>
        </w:rPr>
        <w:t>3、【较重】</w:t>
      </w:r>
    </w:p>
    <w:p>
      <w:pPr>
        <w:pStyle w:val="13"/>
        <w:numPr>
          <w:ilvl w:val="0"/>
          <w:numId w:val="22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有下列情形之一的：1、检验结论为不合格的；2、产品半数以下售出且无法追回的。</w:t>
      </w:r>
    </w:p>
    <w:p>
      <w:pPr>
        <w:pStyle w:val="13"/>
        <w:numPr>
          <w:ilvl w:val="0"/>
          <w:numId w:val="22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92" w:firstLine="480"/>
        <w:rPr>
          <w:color w:val="auto"/>
        </w:rPr>
      </w:pPr>
      <w:r>
        <w:rPr>
          <w:color w:val="auto"/>
          <w:spacing w:val="-2"/>
        </w:rPr>
        <w:t xml:space="preserve">责令停止生产、销售，没收违法生产、销售的产品，并处货值金额 </w:t>
      </w:r>
      <w:r>
        <w:rPr>
          <w:color w:val="auto"/>
        </w:rPr>
        <w:t>1.5</w:t>
      </w:r>
      <w:r>
        <w:rPr>
          <w:color w:val="auto"/>
          <w:spacing w:val="-24"/>
        </w:rPr>
        <w:t xml:space="preserve"> 倍以上 </w:t>
      </w:r>
      <w:r>
        <w:rPr>
          <w:color w:val="auto"/>
          <w:spacing w:val="-17"/>
        </w:rPr>
        <w:t xml:space="preserve">2 </w:t>
      </w:r>
      <w:r>
        <w:rPr>
          <w:color w:val="auto"/>
        </w:rPr>
        <w:t>倍以下的罚款；有违法所得的，并处没收违法所得；通报营业执照发证部门。</w:t>
      </w:r>
    </w:p>
    <w:p>
      <w:pPr>
        <w:pStyle w:val="4"/>
        <w:spacing w:line="306" w:lineRule="exact"/>
        <w:ind w:left="591"/>
        <w:rPr>
          <w:color w:val="auto"/>
        </w:rPr>
      </w:pPr>
      <w:r>
        <w:rPr>
          <w:color w:val="auto"/>
        </w:rPr>
        <w:t>4、【严重】</w:t>
      </w:r>
    </w:p>
    <w:p>
      <w:pPr>
        <w:pStyle w:val="13"/>
        <w:numPr>
          <w:ilvl w:val="0"/>
          <w:numId w:val="22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有下列情形之一的：1、检验结论为严重不合格的；2、产品全部或大部分已被销售，且无法追回的。</w:t>
      </w:r>
    </w:p>
    <w:p>
      <w:pPr>
        <w:pStyle w:val="13"/>
        <w:numPr>
          <w:ilvl w:val="0"/>
          <w:numId w:val="22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倍以下的罚款；有违法所得的，并处没收违法所得；吊销营业执照。</w:t>
      </w:r>
    </w:p>
    <w:p>
      <w:pPr>
        <w:pStyle w:val="4"/>
        <w:spacing w:before="2"/>
        <w:ind w:left="591"/>
        <w:rPr>
          <w:color w:val="auto"/>
        </w:rPr>
      </w:pPr>
      <w:r>
        <w:rPr>
          <w:color w:val="auto"/>
        </w:rPr>
        <w:t>5、【特别严重】</w:t>
      </w:r>
    </w:p>
    <w:p>
      <w:pPr>
        <w:pStyle w:val="13"/>
        <w:numPr>
          <w:ilvl w:val="0"/>
          <w:numId w:val="22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有下列情形之一的：1、假冒产品涉及安全、健康指标产品全部或大部分已被销售、且拒不追回的；2、造成工农业生产减产减收的；3、拒不执行责令停止生产、销</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售，继续实施违法行为的；4、经查处后再犯的；5、生产的产品造成人身、财产损害或者造成较大社会影响等严重危害后果的。</w:t>
      </w:r>
    </w:p>
    <w:p>
      <w:pPr>
        <w:pStyle w:val="13"/>
        <w:numPr>
          <w:ilvl w:val="0"/>
          <w:numId w:val="22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倍以下的罚款；有违法所得的，并处没收违法所得；吊销营业执照。</w:t>
      </w:r>
    </w:p>
    <w:p>
      <w:pPr>
        <w:pStyle w:val="2"/>
        <w:spacing w:line="306" w:lineRule="exact"/>
        <w:rPr>
          <w:color w:val="auto"/>
        </w:rPr>
      </w:pPr>
      <w:bookmarkStart w:id="595" w:name="_bookmark297"/>
      <w:bookmarkEnd w:id="595"/>
      <w:bookmarkStart w:id="596" w:name="二百八十九、产品以次充好 "/>
      <w:bookmarkEnd w:id="596"/>
      <w:r>
        <w:rPr>
          <w:color w:val="auto"/>
        </w:rPr>
        <w:t>二百八十九、产品以次充好</w:t>
      </w:r>
    </w:p>
    <w:p>
      <w:pPr>
        <w:spacing w:before="192"/>
        <w:ind w:left="59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spacing w:val="-6"/>
        </w:rPr>
        <w:t>《中华人民共和国产品质量法》第五十条“在产品中掺杂、掺假，以假充真，以</w:t>
      </w:r>
      <w:r>
        <w:rPr>
          <w:color w:val="auto"/>
          <w:spacing w:val="-7"/>
        </w:rPr>
        <w:t>次充好，或者以不合格产品冒充合格产品的，责令停止生产、销售，没收违法生产、</w:t>
      </w:r>
      <w:r>
        <w:rPr>
          <w:color w:val="auto"/>
          <w:spacing w:val="-4"/>
        </w:rPr>
        <w:t>销售的产品，并处违法生产、销售产品货值金额百分之五十以上三倍以下的罚款；有</w:t>
      </w:r>
      <w:r>
        <w:rPr>
          <w:color w:val="auto"/>
          <w:spacing w:val="-8"/>
        </w:rPr>
        <w:t>违法所得的，并处没收违法所得；情节严重的，吊销营业执照；构成犯罪的，依法追究刑事责任。”</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w:t>
      </w:r>
      <w:r>
        <w:rPr>
          <w:color w:val="auto"/>
          <w:spacing w:val="-24"/>
          <w:sz w:val="24"/>
        </w:rPr>
        <w:t>、【较轻】</w:t>
      </w:r>
    </w:p>
    <w:p>
      <w:pPr>
        <w:pStyle w:val="13"/>
        <w:numPr>
          <w:ilvl w:val="0"/>
          <w:numId w:val="22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line="391" w:lineRule="auto"/>
        <w:ind w:right="212" w:firstLine="480"/>
        <w:rPr>
          <w:color w:val="auto"/>
        </w:rPr>
      </w:pPr>
      <w:r>
        <w:rPr>
          <w:color w:val="auto"/>
        </w:rPr>
        <w:t>有下列情形之一的：1、有证据证明该产品是初次生产，且尚未销售的；2、有证据证明该产品是初次生产，没有造成危害结果的。</w:t>
      </w:r>
    </w:p>
    <w:p>
      <w:pPr>
        <w:pStyle w:val="13"/>
        <w:numPr>
          <w:ilvl w:val="0"/>
          <w:numId w:val="22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71" w:firstLine="480"/>
        <w:rPr>
          <w:color w:val="auto"/>
        </w:rPr>
      </w:pPr>
      <w:r>
        <w:rPr>
          <w:color w:val="auto"/>
          <w:spacing w:val="-2"/>
        </w:rPr>
        <w:t xml:space="preserve">责令停止生产、销售，没收违法生产、销售的产品，并处货值金额 </w:t>
      </w:r>
      <w:r>
        <w:rPr>
          <w:color w:val="auto"/>
        </w:rPr>
        <w:t>50%</w:t>
      </w:r>
      <w:r>
        <w:rPr>
          <w:color w:val="auto"/>
          <w:spacing w:val="-19"/>
        </w:rPr>
        <w:t xml:space="preserve">以上 </w:t>
      </w:r>
      <w:r>
        <w:rPr>
          <w:color w:val="auto"/>
        </w:rPr>
        <w:t>1</w:t>
      </w:r>
      <w:r>
        <w:rPr>
          <w:color w:val="auto"/>
          <w:spacing w:val="-35"/>
        </w:rPr>
        <w:t xml:space="preserve"> 倍</w:t>
      </w:r>
      <w:r>
        <w:rPr>
          <w:color w:val="auto"/>
        </w:rPr>
        <w:t>以下的罚款；有违法所得的，并处没收违法所得。</w:t>
      </w:r>
    </w:p>
    <w:p>
      <w:pPr>
        <w:pStyle w:val="4"/>
        <w:spacing w:line="306" w:lineRule="exact"/>
        <w:ind w:left="591"/>
        <w:rPr>
          <w:color w:val="auto"/>
        </w:rPr>
      </w:pPr>
      <w:r>
        <w:rPr>
          <w:color w:val="auto"/>
        </w:rPr>
        <w:t>2、【一般】</w:t>
      </w:r>
    </w:p>
    <w:p>
      <w:pPr>
        <w:pStyle w:val="13"/>
        <w:numPr>
          <w:ilvl w:val="0"/>
          <w:numId w:val="229"/>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jc w:val="both"/>
        <w:rPr>
          <w:color w:val="auto"/>
        </w:rPr>
      </w:pPr>
      <w:r>
        <w:rPr>
          <w:color w:val="auto"/>
        </w:rPr>
        <w:t>有下列情形之一的：1、检验结论为不合格，但不涉及安全、健康指标且主动追回已售出产品的；2、以低等级、低档次产品冒充相近等级和档次的产品，经检验质量合格的；3、对用户要求的赔偿能及时赔偿或采取其它补救措施的。</w:t>
      </w:r>
    </w:p>
    <w:p>
      <w:pPr>
        <w:pStyle w:val="13"/>
        <w:numPr>
          <w:ilvl w:val="0"/>
          <w:numId w:val="229"/>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2" w:line="388" w:lineRule="auto"/>
        <w:ind w:right="292" w:firstLine="480"/>
        <w:rPr>
          <w:color w:val="auto"/>
        </w:rPr>
      </w:pPr>
      <w:r>
        <w:rPr>
          <w:color w:val="auto"/>
          <w:spacing w:val="-2"/>
        </w:rPr>
        <w:t xml:space="preserve">责令停止生产、销售，没收违法生产、销售的产品，并处货值金额 </w:t>
      </w:r>
      <w:r>
        <w:rPr>
          <w:color w:val="auto"/>
        </w:rPr>
        <w:t>1</w:t>
      </w:r>
      <w:r>
        <w:rPr>
          <w:color w:val="auto"/>
          <w:spacing w:val="-24"/>
        </w:rPr>
        <w:t xml:space="preserve"> 倍以上 </w:t>
      </w:r>
      <w:r>
        <w:rPr>
          <w:color w:val="auto"/>
          <w:spacing w:val="-6"/>
        </w:rPr>
        <w:t xml:space="preserve">1.5 </w:t>
      </w:r>
      <w:r>
        <w:rPr>
          <w:color w:val="auto"/>
        </w:rPr>
        <w:t>倍以下的罚款；有违法所得的，并处没收违法所得。</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3、【较重】</w:t>
      </w:r>
    </w:p>
    <w:p>
      <w:pPr>
        <w:pStyle w:val="13"/>
        <w:numPr>
          <w:ilvl w:val="0"/>
          <w:numId w:val="230"/>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71" w:firstLine="480"/>
        <w:rPr>
          <w:color w:val="auto"/>
        </w:rPr>
      </w:pPr>
      <w:r>
        <w:rPr>
          <w:color w:val="auto"/>
        </w:rPr>
        <w:t>检验结论为不合格，但不涉及安全、健康指标的；2、产品半数以下售出且无法追回的。</w:t>
      </w:r>
    </w:p>
    <w:p>
      <w:pPr>
        <w:pStyle w:val="13"/>
        <w:numPr>
          <w:ilvl w:val="0"/>
          <w:numId w:val="230"/>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92" w:firstLine="480"/>
        <w:rPr>
          <w:color w:val="auto"/>
        </w:rPr>
      </w:pPr>
      <w:r>
        <w:rPr>
          <w:color w:val="auto"/>
          <w:spacing w:val="-2"/>
        </w:rPr>
        <w:t xml:space="preserve">责令停止生产、销售，没收违法生产、销售的产品，并处货值金额 </w:t>
      </w:r>
      <w:r>
        <w:rPr>
          <w:color w:val="auto"/>
        </w:rPr>
        <w:t>1.5</w:t>
      </w:r>
      <w:r>
        <w:rPr>
          <w:color w:val="auto"/>
          <w:spacing w:val="-24"/>
        </w:rPr>
        <w:t xml:space="preserve"> 倍以上 </w:t>
      </w:r>
      <w:r>
        <w:rPr>
          <w:color w:val="auto"/>
          <w:spacing w:val="-17"/>
        </w:rPr>
        <w:t xml:space="preserve">2 </w:t>
      </w:r>
      <w:r>
        <w:rPr>
          <w:color w:val="auto"/>
        </w:rPr>
        <w:t>倍以下的罚款；有违法所得的，并处没收违法所得；通报营业执照发证部门。</w:t>
      </w:r>
    </w:p>
    <w:p>
      <w:pPr>
        <w:pStyle w:val="4"/>
        <w:spacing w:before="4"/>
        <w:ind w:left="591"/>
        <w:rPr>
          <w:color w:val="auto"/>
        </w:rPr>
      </w:pPr>
      <w:r>
        <w:rPr>
          <w:color w:val="auto"/>
        </w:rPr>
        <w:t>4、【严重】</w:t>
      </w:r>
    </w:p>
    <w:p>
      <w:pPr>
        <w:pStyle w:val="13"/>
        <w:numPr>
          <w:ilvl w:val="0"/>
          <w:numId w:val="23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69" w:firstLine="480"/>
        <w:rPr>
          <w:color w:val="auto"/>
        </w:rPr>
      </w:pPr>
      <w:r>
        <w:rPr>
          <w:color w:val="auto"/>
        </w:rPr>
        <w:t>有下列情形之一的：1、检验结论为严重不合格或不合格项目设计安全、健康指标；2、产品全部或大部分已被销售，无法追回的。</w:t>
      </w:r>
    </w:p>
    <w:p>
      <w:pPr>
        <w:pStyle w:val="13"/>
        <w:numPr>
          <w:ilvl w:val="0"/>
          <w:numId w:val="23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倍以下的罚款；有违法所得的，并处没收违法所得；吊销营业执照。</w:t>
      </w:r>
    </w:p>
    <w:p>
      <w:pPr>
        <w:pStyle w:val="4"/>
        <w:spacing w:line="306" w:lineRule="exact"/>
        <w:ind w:left="591"/>
        <w:rPr>
          <w:color w:val="auto"/>
        </w:rPr>
      </w:pPr>
      <w:r>
        <w:rPr>
          <w:color w:val="auto"/>
        </w:rPr>
        <w:t>5、【特别严重】</w:t>
      </w:r>
    </w:p>
    <w:p>
      <w:pPr>
        <w:pStyle w:val="13"/>
        <w:numPr>
          <w:ilvl w:val="0"/>
          <w:numId w:val="23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91" w:lineRule="auto"/>
        <w:ind w:right="264" w:firstLine="480"/>
        <w:jc w:val="both"/>
        <w:rPr>
          <w:color w:val="auto"/>
        </w:rPr>
      </w:pPr>
      <w:r>
        <w:rPr>
          <w:color w:val="auto"/>
        </w:rPr>
        <w:t>有下列情形之一的：1、产品检验不合格，不合格项目涉及安全、健康指标，产</w:t>
      </w:r>
      <w:r>
        <w:rPr>
          <w:color w:val="auto"/>
          <w:spacing w:val="-2"/>
        </w:rPr>
        <w:t>品全部或大部分已被销售，且拒不追回的；</w:t>
      </w:r>
      <w:r>
        <w:rPr>
          <w:color w:val="auto"/>
          <w:spacing w:val="-4"/>
        </w:rPr>
        <w:t>2</w:t>
      </w:r>
      <w:r>
        <w:rPr>
          <w:color w:val="auto"/>
          <w:spacing w:val="-3"/>
        </w:rPr>
        <w:t>、造成工农业生产减产减收的；</w:t>
      </w:r>
      <w:r>
        <w:rPr>
          <w:color w:val="auto"/>
          <w:spacing w:val="-4"/>
        </w:rPr>
        <w:t>3</w:t>
      </w:r>
      <w:r>
        <w:rPr>
          <w:color w:val="auto"/>
          <w:spacing w:val="-7"/>
        </w:rPr>
        <w:t>、冒充</w:t>
      </w:r>
      <w:r>
        <w:rPr>
          <w:color w:val="auto"/>
          <w:spacing w:val="-2"/>
        </w:rPr>
        <w:t>高等级产品但不能满足特定需求的；</w:t>
      </w:r>
      <w:r>
        <w:rPr>
          <w:color w:val="auto"/>
          <w:spacing w:val="-4"/>
        </w:rPr>
        <w:t>4、经查处后，再次违法的；5、不执行责令停止</w:t>
      </w:r>
      <w:r>
        <w:rPr>
          <w:color w:val="auto"/>
          <w:spacing w:val="-12"/>
        </w:rPr>
        <w:t>生产、销售，继续实施违法行为的；；</w:t>
      </w:r>
      <w:r>
        <w:rPr>
          <w:color w:val="auto"/>
        </w:rPr>
        <w:t>6</w:t>
      </w:r>
      <w:r>
        <w:rPr>
          <w:color w:val="auto"/>
          <w:spacing w:val="-5"/>
        </w:rPr>
        <w:t>、造成人身、财产损害或者造成较大社会影响</w:t>
      </w:r>
      <w:r>
        <w:rPr>
          <w:color w:val="auto"/>
        </w:rPr>
        <w:t>等严重危害后果的。</w:t>
      </w:r>
    </w:p>
    <w:p>
      <w:pPr>
        <w:pStyle w:val="13"/>
        <w:numPr>
          <w:ilvl w:val="0"/>
          <w:numId w:val="232"/>
        </w:numPr>
        <w:tabs>
          <w:tab w:val="left" w:pos="1193"/>
        </w:tabs>
        <w:spacing w:before="0" w:after="0" w:line="300" w:lineRule="exact"/>
        <w:ind w:left="1192" w:right="0" w:hanging="602"/>
        <w:jc w:val="left"/>
        <w:rPr>
          <w:color w:val="auto"/>
          <w:sz w:val="24"/>
        </w:rPr>
      </w:pPr>
      <w:r>
        <w:rPr>
          <w:color w:val="auto"/>
          <w:sz w:val="24"/>
        </w:rPr>
        <w:t>处罚标准</w:t>
      </w:r>
    </w:p>
    <w:p>
      <w:pPr>
        <w:pStyle w:val="4"/>
        <w:spacing w:before="194" w:line="388" w:lineRule="auto"/>
        <w:ind w:right="292" w:firstLine="480"/>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倍以下的罚款；有违法所得的，并处没收违法所得；吊销营业执照。</w:t>
      </w:r>
    </w:p>
    <w:p>
      <w:pPr>
        <w:pStyle w:val="2"/>
        <w:spacing w:before="2"/>
        <w:rPr>
          <w:color w:val="auto"/>
        </w:rPr>
      </w:pPr>
      <w:bookmarkStart w:id="597" w:name="_bookmark298"/>
      <w:bookmarkEnd w:id="597"/>
      <w:bookmarkStart w:id="598" w:name="二百九十、以不合格产品冒充合格产品 "/>
      <w:bookmarkEnd w:id="598"/>
      <w:r>
        <w:rPr>
          <w:color w:val="auto"/>
        </w:rPr>
        <w:t>二百九十、以不合格产品冒充合格产品</w:t>
      </w:r>
    </w:p>
    <w:p>
      <w:pPr>
        <w:spacing w:before="194"/>
        <w:ind w:left="591" w:right="0" w:firstLine="0"/>
        <w:jc w:val="left"/>
        <w:rPr>
          <w:b/>
          <w:color w:val="auto"/>
          <w:sz w:val="24"/>
        </w:rPr>
      </w:pPr>
      <w:r>
        <w:rPr>
          <w:b/>
          <w:color w:val="auto"/>
          <w:sz w:val="24"/>
        </w:rPr>
        <w:t>（一）处罚依据</w:t>
      </w:r>
    </w:p>
    <w:p>
      <w:pPr>
        <w:pStyle w:val="4"/>
        <w:spacing w:before="192" w:line="388" w:lineRule="auto"/>
        <w:ind w:right="212" w:firstLine="470"/>
        <w:rPr>
          <w:color w:val="auto"/>
        </w:rPr>
      </w:pPr>
      <w:r>
        <w:rPr>
          <w:color w:val="auto"/>
        </w:rPr>
        <w:t>《中华人民共和国产品质量法》第五十条“以不合格产品冒充合格产品的 责令停止生产、销售，没收违法生产、销售的产品，并处违法生产、销售产品货值金额百</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分之五十以上三倍以下的罚款；有违法所得的，并处没收违法所得；情节严重的，吊销营业执照；构成犯罪的，依法追究刑事责任。”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33"/>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spacing w:val="-1"/>
        </w:rPr>
        <w:t>有下列情形之一的：</w:t>
      </w:r>
      <w:r>
        <w:rPr>
          <w:color w:val="auto"/>
          <w:spacing w:val="-4"/>
        </w:rPr>
        <w:t>1、有证据证明该产品是初次生产，且尚未销售的；2</w:t>
      </w:r>
      <w:r>
        <w:rPr>
          <w:color w:val="auto"/>
          <w:spacing w:val="-7"/>
        </w:rPr>
        <w:t>、有证</w:t>
      </w:r>
      <w:r>
        <w:rPr>
          <w:color w:val="auto"/>
        </w:rPr>
        <w:t>据证明该产品是初次生产，没有造成危害结果的；3、经检验不合格程度轻微，有证据表明不会造成危害后果的。</w:t>
      </w:r>
    </w:p>
    <w:p>
      <w:pPr>
        <w:pStyle w:val="13"/>
        <w:numPr>
          <w:ilvl w:val="0"/>
          <w:numId w:val="233"/>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right="271" w:firstLine="480"/>
        <w:rPr>
          <w:color w:val="auto"/>
        </w:rPr>
      </w:pPr>
      <w:r>
        <w:rPr>
          <w:color w:val="auto"/>
          <w:spacing w:val="-2"/>
        </w:rPr>
        <w:t xml:space="preserve">责令停止生产、销售，没收违法生产、销售的产品，并处货值金额 </w:t>
      </w:r>
      <w:r>
        <w:rPr>
          <w:color w:val="auto"/>
        </w:rPr>
        <w:t>50%</w:t>
      </w:r>
      <w:r>
        <w:rPr>
          <w:color w:val="auto"/>
          <w:spacing w:val="-19"/>
        </w:rPr>
        <w:t xml:space="preserve">以上 </w:t>
      </w:r>
      <w:r>
        <w:rPr>
          <w:color w:val="auto"/>
        </w:rPr>
        <w:t>1</w:t>
      </w:r>
      <w:r>
        <w:rPr>
          <w:color w:val="auto"/>
          <w:spacing w:val="-35"/>
        </w:rPr>
        <w:t xml:space="preserve"> 倍</w:t>
      </w:r>
      <w:r>
        <w:rPr>
          <w:color w:val="auto"/>
        </w:rPr>
        <w:t>以下的罚款；有违法所得的，并处没收违法所得。</w:t>
      </w:r>
    </w:p>
    <w:p>
      <w:pPr>
        <w:pStyle w:val="4"/>
        <w:spacing w:line="306" w:lineRule="exact"/>
        <w:ind w:left="591"/>
        <w:rPr>
          <w:color w:val="auto"/>
        </w:rPr>
      </w:pPr>
      <w:r>
        <w:rPr>
          <w:color w:val="auto"/>
        </w:rPr>
        <w:t>2、【一般】</w:t>
      </w:r>
    </w:p>
    <w:p>
      <w:pPr>
        <w:pStyle w:val="13"/>
        <w:numPr>
          <w:ilvl w:val="0"/>
          <w:numId w:val="234"/>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有下列情形之一的：1、检验结论为不合格且主动追回已售出产品的；3、对用户要求的赔偿能及时赔偿或采取其它补救措施的。</w:t>
      </w:r>
    </w:p>
    <w:p>
      <w:pPr>
        <w:pStyle w:val="13"/>
        <w:numPr>
          <w:ilvl w:val="0"/>
          <w:numId w:val="23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92" w:firstLine="480"/>
        <w:rPr>
          <w:color w:val="auto"/>
        </w:rPr>
      </w:pPr>
      <w:r>
        <w:rPr>
          <w:color w:val="auto"/>
          <w:spacing w:val="-2"/>
        </w:rPr>
        <w:t xml:space="preserve">责令停止生产、销售，没收违法生产、销售的产品，并处货值金额 </w:t>
      </w:r>
      <w:r>
        <w:rPr>
          <w:color w:val="auto"/>
        </w:rPr>
        <w:t>1</w:t>
      </w:r>
      <w:r>
        <w:rPr>
          <w:color w:val="auto"/>
          <w:spacing w:val="-24"/>
        </w:rPr>
        <w:t xml:space="preserve"> 倍以上 </w:t>
      </w:r>
      <w:r>
        <w:rPr>
          <w:color w:val="auto"/>
          <w:spacing w:val="-6"/>
        </w:rPr>
        <w:t xml:space="preserve">1.5 </w:t>
      </w:r>
      <w:r>
        <w:rPr>
          <w:color w:val="auto"/>
        </w:rPr>
        <w:t>倍以下的罚款；有违法所得的，并处没收违法所得。</w:t>
      </w:r>
    </w:p>
    <w:p>
      <w:pPr>
        <w:pStyle w:val="4"/>
        <w:spacing w:before="2"/>
        <w:ind w:left="591"/>
        <w:rPr>
          <w:color w:val="auto"/>
        </w:rPr>
      </w:pPr>
      <w:r>
        <w:rPr>
          <w:color w:val="auto"/>
        </w:rPr>
        <w:t>3、【较重】</w:t>
      </w:r>
    </w:p>
    <w:p>
      <w:pPr>
        <w:pStyle w:val="13"/>
        <w:numPr>
          <w:ilvl w:val="0"/>
          <w:numId w:val="235"/>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检验结论为不合格的且产品半数以下售出且无法追回的。</w:t>
      </w:r>
    </w:p>
    <w:p>
      <w:pPr>
        <w:pStyle w:val="13"/>
        <w:numPr>
          <w:ilvl w:val="0"/>
          <w:numId w:val="23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right="292" w:firstLine="480"/>
        <w:rPr>
          <w:color w:val="auto"/>
        </w:rPr>
      </w:pPr>
      <w:r>
        <w:rPr>
          <w:color w:val="auto"/>
          <w:spacing w:val="-2"/>
        </w:rPr>
        <w:t xml:space="preserve">责令停止生产、销售，没收违法生产、销售的产品，并处货值金额 </w:t>
      </w:r>
      <w:r>
        <w:rPr>
          <w:color w:val="auto"/>
        </w:rPr>
        <w:t>1.5</w:t>
      </w:r>
      <w:r>
        <w:rPr>
          <w:color w:val="auto"/>
          <w:spacing w:val="-24"/>
        </w:rPr>
        <w:t xml:space="preserve"> 倍以上 </w:t>
      </w:r>
      <w:r>
        <w:rPr>
          <w:color w:val="auto"/>
          <w:spacing w:val="-17"/>
        </w:rPr>
        <w:t xml:space="preserve">2 </w:t>
      </w:r>
      <w:r>
        <w:rPr>
          <w:color w:val="auto"/>
        </w:rPr>
        <w:t>倍以下的罚款；有违法所得的，并处没收违法所得；通报营业执照发证部门。</w:t>
      </w:r>
    </w:p>
    <w:p>
      <w:pPr>
        <w:pStyle w:val="4"/>
        <w:spacing w:before="3"/>
        <w:ind w:left="591"/>
        <w:rPr>
          <w:color w:val="auto"/>
        </w:rPr>
      </w:pPr>
      <w:r>
        <w:rPr>
          <w:color w:val="auto"/>
        </w:rPr>
        <w:t>4、【严重】</w:t>
      </w:r>
    </w:p>
    <w:p>
      <w:pPr>
        <w:pStyle w:val="13"/>
        <w:numPr>
          <w:ilvl w:val="0"/>
          <w:numId w:val="236"/>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13" w:firstLine="480"/>
        <w:rPr>
          <w:color w:val="auto"/>
        </w:rPr>
      </w:pPr>
      <w:r>
        <w:rPr>
          <w:color w:val="auto"/>
        </w:rPr>
        <w:t>有下列情形之一的：1、检验结论为严重不合格的；2、产品全部或大部分已被销售，无法追回的；3、不合格项目致使产品失去部分使用功能的；4、经查处后，再次</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违法的。</w:t>
      </w:r>
    </w:p>
    <w:p>
      <w:pPr>
        <w:pStyle w:val="13"/>
        <w:numPr>
          <w:ilvl w:val="0"/>
          <w:numId w:val="236"/>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倍以下的罚款；有违法所得的，并处没收违法所得；通报营业执照发证部门。</w:t>
      </w:r>
    </w:p>
    <w:p>
      <w:pPr>
        <w:pStyle w:val="4"/>
        <w:spacing w:before="5"/>
        <w:ind w:left="591"/>
        <w:rPr>
          <w:color w:val="auto"/>
        </w:rPr>
      </w:pPr>
      <w:r>
        <w:rPr>
          <w:color w:val="auto"/>
        </w:rPr>
        <w:t>5、【特别严重】</w:t>
      </w:r>
    </w:p>
    <w:p>
      <w:pPr>
        <w:pStyle w:val="13"/>
        <w:numPr>
          <w:ilvl w:val="0"/>
          <w:numId w:val="23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32" w:firstLine="480"/>
        <w:jc w:val="both"/>
        <w:rPr>
          <w:color w:val="auto"/>
        </w:rPr>
      </w:pPr>
      <w:r>
        <w:rPr>
          <w:color w:val="auto"/>
          <w:spacing w:val="-1"/>
        </w:rPr>
        <w:t>有下列情形之一的：</w:t>
      </w:r>
      <w:r>
        <w:rPr>
          <w:color w:val="auto"/>
          <w:spacing w:val="-4"/>
        </w:rPr>
        <w:t>1、产品全部或大部分已被销售，且拒不追回的；2</w:t>
      </w:r>
      <w:r>
        <w:rPr>
          <w:color w:val="auto"/>
          <w:spacing w:val="-3"/>
        </w:rPr>
        <w:t>、造成工农业生产减产减收的；3</w:t>
      </w:r>
      <w:r>
        <w:rPr>
          <w:color w:val="auto"/>
          <w:spacing w:val="-8"/>
        </w:rPr>
        <w:t xml:space="preserve">、不执行责令停止生产、销售，继续实施违法行为的；； </w:t>
      </w:r>
      <w:r>
        <w:rPr>
          <w:color w:val="auto"/>
        </w:rPr>
        <w:t>4</w:t>
      </w:r>
      <w:r>
        <w:rPr>
          <w:color w:val="auto"/>
          <w:spacing w:val="-17"/>
        </w:rPr>
        <w:t>、</w:t>
      </w:r>
      <w:r>
        <w:rPr>
          <w:color w:val="auto"/>
        </w:rPr>
        <w:t>不合格项目足以使产品失去使用功能，且有证据证明可能造成危害后果的；5、造成人身、财产损害或者造成较大社会影响等严重危害后果的。</w:t>
      </w:r>
    </w:p>
    <w:p>
      <w:pPr>
        <w:pStyle w:val="13"/>
        <w:numPr>
          <w:ilvl w:val="0"/>
          <w:numId w:val="237"/>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88" w:lineRule="auto"/>
        <w:ind w:right="292" w:firstLine="480"/>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倍以下的罚款；有违法所得的，并处没收违法所得；吊销营业执照。</w:t>
      </w:r>
    </w:p>
    <w:p>
      <w:pPr>
        <w:pStyle w:val="2"/>
        <w:spacing w:before="4"/>
        <w:rPr>
          <w:color w:val="auto"/>
        </w:rPr>
      </w:pPr>
      <w:bookmarkStart w:id="599" w:name="_bookmark299"/>
      <w:bookmarkEnd w:id="599"/>
      <w:bookmarkStart w:id="600" w:name="二百九十一、生产国家明令淘汰的产品，销售国家明令淘汰并停止销售的产品"/>
      <w:bookmarkEnd w:id="600"/>
      <w:r>
        <w:rPr>
          <w:color w:val="auto"/>
        </w:rPr>
        <w:t>二百九十一、生产国家明令淘汰的产品，销售国家明令淘汰并停止销售的产品</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《中华人民共和国产品质量法》第五十一条“生产国家明令淘汰的产品的，销售</w:t>
      </w:r>
      <w:r>
        <w:rPr>
          <w:color w:val="auto"/>
          <w:spacing w:val="-5"/>
        </w:rPr>
        <w:t>国家明令淘汰并停止销售的产品的，责令停止生产、销售，没收违法生产、销售的产</w:t>
      </w:r>
      <w:r>
        <w:rPr>
          <w:color w:val="auto"/>
          <w:spacing w:val="-7"/>
        </w:rPr>
        <w:t>品，并处违法生产、销售产品货值金额等值以下的罚款；有违法所得的，并处没收违</w:t>
      </w:r>
      <w:r>
        <w:rPr>
          <w:color w:val="auto"/>
        </w:rPr>
        <w:t>法所得；情节严重的，吊销营业执照。”</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3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有下列情形之一的：1、有证据证明该产品是初次生产；2、产品尚未销售的。</w:t>
      </w:r>
    </w:p>
    <w:p>
      <w:pPr>
        <w:pStyle w:val="13"/>
        <w:numPr>
          <w:ilvl w:val="0"/>
          <w:numId w:val="23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6" w:firstLine="480"/>
        <w:rPr>
          <w:color w:val="auto"/>
        </w:rPr>
      </w:pPr>
      <w:r>
        <w:rPr>
          <w:color w:val="auto"/>
          <w:spacing w:val="-7"/>
        </w:rPr>
        <w:t>责令停止生产、销售，没收违法生产、销售的产品，并处违法生产、销售产品货</w:t>
      </w:r>
      <w:r>
        <w:rPr>
          <w:color w:val="auto"/>
          <w:spacing w:val="-15"/>
        </w:rPr>
        <w:t xml:space="preserve">值金额 </w:t>
      </w:r>
      <w:r>
        <w:rPr>
          <w:color w:val="auto"/>
        </w:rPr>
        <w:t>20%以下的罚款；有违法所得的，并处没收违法所得。</w:t>
      </w:r>
    </w:p>
    <w:p>
      <w:pPr>
        <w:pStyle w:val="4"/>
        <w:spacing w:line="306" w:lineRule="exact"/>
        <w:ind w:left="591"/>
        <w:rPr>
          <w:color w:val="auto"/>
        </w:rPr>
      </w:pPr>
      <w:r>
        <w:rPr>
          <w:color w:val="auto"/>
        </w:rPr>
        <w:t>2、【一般】</w:t>
      </w:r>
    </w:p>
    <w:p>
      <w:pPr>
        <w:pStyle w:val="13"/>
        <w:numPr>
          <w:ilvl w:val="0"/>
          <w:numId w:val="239"/>
        </w:numPr>
        <w:tabs>
          <w:tab w:val="left" w:pos="1193"/>
        </w:tabs>
        <w:spacing w:before="19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9" w:firstLine="480"/>
        <w:rPr>
          <w:color w:val="auto"/>
        </w:rPr>
      </w:pPr>
      <w:r>
        <w:rPr>
          <w:color w:val="auto"/>
        </w:rPr>
        <w:t>有下列情形之一的：1、有证据证明该产品是初次生产，流出产品未造成危害后果的；2、产品部分销售，企业主动组织召回的。</w:t>
      </w:r>
    </w:p>
    <w:p>
      <w:pPr>
        <w:pStyle w:val="13"/>
        <w:numPr>
          <w:ilvl w:val="0"/>
          <w:numId w:val="23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6" w:firstLine="480"/>
        <w:rPr>
          <w:color w:val="auto"/>
        </w:rPr>
      </w:pPr>
      <w:r>
        <w:rPr>
          <w:color w:val="auto"/>
          <w:spacing w:val="-7"/>
        </w:rPr>
        <w:t>责令停止生产、销售，没收违法生产、销售的产品，并处违法生产、销售产品货</w:t>
      </w:r>
      <w:r>
        <w:rPr>
          <w:color w:val="auto"/>
          <w:spacing w:val="-15"/>
        </w:rPr>
        <w:t xml:space="preserve">值金额 </w:t>
      </w:r>
      <w:r>
        <w:rPr>
          <w:color w:val="auto"/>
        </w:rPr>
        <w:t>20%</w:t>
      </w:r>
      <w:r>
        <w:rPr>
          <w:color w:val="auto"/>
          <w:spacing w:val="-20"/>
        </w:rPr>
        <w:t xml:space="preserve">以上 </w:t>
      </w:r>
      <w:r>
        <w:rPr>
          <w:color w:val="auto"/>
        </w:rPr>
        <w:t>40%以下的罚款；有违法所得的，并处没收违法所得。</w:t>
      </w:r>
    </w:p>
    <w:p>
      <w:pPr>
        <w:pStyle w:val="4"/>
        <w:spacing w:line="306" w:lineRule="exact"/>
        <w:ind w:left="591"/>
        <w:rPr>
          <w:color w:val="auto"/>
        </w:rPr>
      </w:pPr>
      <w:r>
        <w:rPr>
          <w:color w:val="auto"/>
        </w:rPr>
        <w:t>3、【较重】</w:t>
      </w:r>
    </w:p>
    <w:p>
      <w:pPr>
        <w:pStyle w:val="13"/>
        <w:numPr>
          <w:ilvl w:val="0"/>
          <w:numId w:val="24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有下列情形之一的：1、产品已销售，且无法追回；2、造成环境污染、生态破坏等危害后果，但能够采取有效措施予以消除或补救的。</w:t>
      </w:r>
    </w:p>
    <w:p>
      <w:pPr>
        <w:pStyle w:val="13"/>
        <w:numPr>
          <w:ilvl w:val="0"/>
          <w:numId w:val="24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6" w:firstLine="480"/>
        <w:jc w:val="both"/>
        <w:rPr>
          <w:color w:val="auto"/>
        </w:rPr>
      </w:pPr>
      <w:r>
        <w:rPr>
          <w:color w:val="auto"/>
          <w:spacing w:val="-7"/>
        </w:rPr>
        <w:t>责令停止生产、销售，没收违法生产、销售的产品，并处违法生产、销售产品货</w:t>
      </w:r>
      <w:r>
        <w:rPr>
          <w:color w:val="auto"/>
          <w:spacing w:val="-8"/>
        </w:rPr>
        <w:t xml:space="preserve">值金额 </w:t>
      </w:r>
      <w:r>
        <w:rPr>
          <w:color w:val="auto"/>
        </w:rPr>
        <w:t>40</w:t>
      </w:r>
      <w:r>
        <w:rPr>
          <w:color w:val="auto"/>
          <w:spacing w:val="-8"/>
        </w:rPr>
        <w:t xml:space="preserve">%以上 </w:t>
      </w:r>
      <w:r>
        <w:rPr>
          <w:color w:val="auto"/>
        </w:rPr>
        <w:t>60%以下的罚款；有违法所得的，并处没收违法所得；通报营业执照发证部门。</w:t>
      </w:r>
    </w:p>
    <w:p>
      <w:pPr>
        <w:pStyle w:val="4"/>
        <w:spacing w:before="6"/>
        <w:ind w:left="591"/>
        <w:rPr>
          <w:color w:val="auto"/>
        </w:rPr>
      </w:pPr>
      <w:r>
        <w:rPr>
          <w:color w:val="auto"/>
        </w:rPr>
        <w:t>4、【严重】</w:t>
      </w:r>
    </w:p>
    <w:p>
      <w:pPr>
        <w:pStyle w:val="13"/>
        <w:numPr>
          <w:ilvl w:val="0"/>
          <w:numId w:val="24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1"/>
        </w:rPr>
        <w:t>有下列情形之一的：</w:t>
      </w:r>
      <w:r>
        <w:rPr>
          <w:color w:val="auto"/>
          <w:spacing w:val="-4"/>
        </w:rPr>
        <w:t>1</w:t>
      </w:r>
      <w:r>
        <w:rPr>
          <w:color w:val="auto"/>
          <w:spacing w:val="-3"/>
        </w:rPr>
        <w:t>、产品已销售，且企业拒绝追回的；2</w:t>
      </w:r>
      <w:r>
        <w:rPr>
          <w:color w:val="auto"/>
          <w:spacing w:val="-6"/>
        </w:rPr>
        <w:t>、造成环境污染、生</w:t>
      </w:r>
      <w:r>
        <w:rPr>
          <w:color w:val="auto"/>
          <w:spacing w:val="-2"/>
        </w:rPr>
        <w:t>态破坏等危害后果，短时间无法消除的；</w:t>
      </w:r>
      <w:r>
        <w:rPr>
          <w:color w:val="auto"/>
          <w:spacing w:val="-3"/>
        </w:rPr>
        <w:t>3、属于高耗能的；4</w:t>
      </w:r>
      <w:r>
        <w:rPr>
          <w:color w:val="auto"/>
          <w:spacing w:val="-5"/>
        </w:rPr>
        <w:t>、经查处后，再次违法</w:t>
      </w:r>
      <w:r>
        <w:rPr>
          <w:color w:val="auto"/>
        </w:rPr>
        <w:t>的。</w:t>
      </w:r>
    </w:p>
    <w:p>
      <w:pPr>
        <w:pStyle w:val="13"/>
        <w:numPr>
          <w:ilvl w:val="0"/>
          <w:numId w:val="241"/>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right="148" w:firstLine="480"/>
        <w:rPr>
          <w:color w:val="auto"/>
        </w:rPr>
      </w:pPr>
      <w:r>
        <w:rPr>
          <w:color w:val="auto"/>
          <w:spacing w:val="-6"/>
        </w:rPr>
        <w:t>责令停止生产、销售，没收违法生产、销售的产品，并处违法生产、销售产品货</w:t>
      </w:r>
      <w:r>
        <w:rPr>
          <w:color w:val="auto"/>
          <w:spacing w:val="-20"/>
        </w:rPr>
        <w:t xml:space="preserve">值金额 </w:t>
      </w:r>
      <w:r>
        <w:rPr>
          <w:color w:val="auto"/>
        </w:rPr>
        <w:t>60%</w:t>
      </w:r>
      <w:r>
        <w:rPr>
          <w:color w:val="auto"/>
          <w:spacing w:val="-20"/>
        </w:rPr>
        <w:t xml:space="preserve">以上 </w:t>
      </w:r>
      <w:r>
        <w:rPr>
          <w:color w:val="auto"/>
        </w:rPr>
        <w:t>80%</w:t>
      </w:r>
      <w:r>
        <w:rPr>
          <w:color w:val="auto"/>
          <w:spacing w:val="-5"/>
        </w:rPr>
        <w:t>以下的罚款；有违法所得的，并处没收违法所得；吊销营业执照。</w:t>
      </w:r>
    </w:p>
    <w:p>
      <w:pPr>
        <w:pStyle w:val="4"/>
        <w:spacing w:before="2"/>
        <w:ind w:left="591"/>
        <w:rPr>
          <w:color w:val="auto"/>
        </w:rPr>
      </w:pPr>
      <w:r>
        <w:rPr>
          <w:color w:val="auto"/>
        </w:rPr>
        <w:t>5、【特别严重】</w:t>
      </w:r>
    </w:p>
    <w:p>
      <w:pPr>
        <w:pStyle w:val="13"/>
        <w:numPr>
          <w:ilvl w:val="0"/>
          <w:numId w:val="24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4" w:firstLine="480"/>
        <w:jc w:val="both"/>
        <w:rPr>
          <w:color w:val="auto"/>
        </w:rPr>
      </w:pPr>
      <w:r>
        <w:rPr>
          <w:color w:val="auto"/>
        </w:rPr>
        <w:t>有下列情形之一的：1、造成较严重环境污染、生态破坏等后果，且拒绝履行赔</w:t>
      </w:r>
      <w:r>
        <w:rPr>
          <w:color w:val="auto"/>
          <w:spacing w:val="-1"/>
        </w:rPr>
        <w:t>付或补救义务的；</w:t>
      </w:r>
      <w:r>
        <w:rPr>
          <w:color w:val="auto"/>
          <w:spacing w:val="-4"/>
        </w:rPr>
        <w:t>2</w:t>
      </w:r>
      <w:r>
        <w:rPr>
          <w:color w:val="auto"/>
          <w:spacing w:val="-3"/>
        </w:rPr>
        <w:t>、屡次被查处的；3</w:t>
      </w:r>
      <w:r>
        <w:rPr>
          <w:color w:val="auto"/>
          <w:spacing w:val="-5"/>
        </w:rPr>
        <w:t>、造成人身、财产损害或者造成较大社会影响</w:t>
      </w:r>
      <w:r>
        <w:rPr>
          <w:color w:val="auto"/>
        </w:rPr>
        <w:t>等严重危害后果的。</w:t>
      </w:r>
    </w:p>
    <w:p>
      <w:pPr>
        <w:pStyle w:val="13"/>
        <w:numPr>
          <w:ilvl w:val="0"/>
          <w:numId w:val="242"/>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责令停止生产、销售，没收违法生产、销售的产品，并处违法生产、销售产品货</w:t>
      </w:r>
    </w:p>
    <w:p>
      <w:pPr>
        <w:spacing w:after="0"/>
        <w:rPr>
          <w:color w:val="auto"/>
        </w:rPr>
        <w:sectPr>
          <w:pgSz w:w="11910" w:h="16840"/>
          <w:pgMar w:top="1520" w:right="1260" w:bottom="1220" w:left="1420" w:header="0" w:footer="1034" w:gutter="0"/>
        </w:sectPr>
      </w:pPr>
    </w:p>
    <w:p>
      <w:pPr>
        <w:spacing w:before="39" w:line="391" w:lineRule="auto"/>
        <w:ind w:left="591" w:right="148" w:hanging="480"/>
        <w:jc w:val="left"/>
        <w:rPr>
          <w:b/>
          <w:color w:val="auto"/>
          <w:sz w:val="24"/>
        </w:rPr>
      </w:pPr>
      <w:r>
        <w:rPr>
          <w:color w:val="auto"/>
          <w:spacing w:val="-15"/>
          <w:sz w:val="24"/>
        </w:rPr>
        <w:t xml:space="preserve">值金额 </w:t>
      </w:r>
      <w:r>
        <w:rPr>
          <w:color w:val="auto"/>
          <w:sz w:val="24"/>
        </w:rPr>
        <w:t>80%</w:t>
      </w:r>
      <w:r>
        <w:rPr>
          <w:color w:val="auto"/>
          <w:spacing w:val="-8"/>
          <w:sz w:val="24"/>
        </w:rPr>
        <w:t>以上等值以下的罚款；有违法所得的，并处没收违法所得；吊销营业执照。</w:t>
      </w:r>
      <w:bookmarkStart w:id="601" w:name="二百九十二、伪造产品产地；伪造或者冒用他人厂名、厂址；伪造或者冒用认证标志等质量"/>
      <w:bookmarkEnd w:id="601"/>
      <w:bookmarkStart w:id="602" w:name="_bookmark300"/>
      <w:bookmarkEnd w:id="602"/>
      <w:r>
        <w:rPr>
          <w:b/>
          <w:color w:val="auto"/>
          <w:spacing w:val="-6"/>
          <w:sz w:val="24"/>
        </w:rPr>
        <w:t>二百九十二、伪造产品产地；伪造或者冒用他人厂名、厂址；伪造或者冒用认证</w:t>
      </w:r>
    </w:p>
    <w:p>
      <w:pPr>
        <w:pStyle w:val="2"/>
        <w:spacing w:line="306" w:lineRule="exact"/>
        <w:ind w:left="111"/>
        <w:rPr>
          <w:color w:val="auto"/>
        </w:rPr>
      </w:pPr>
      <w:r>
        <w:rPr>
          <w:color w:val="auto"/>
        </w:rPr>
        <w:t>标志等质量标志</w:t>
      </w:r>
    </w:p>
    <w:p>
      <w:pPr>
        <w:spacing w:before="192"/>
        <w:ind w:left="591" w:right="0" w:firstLine="0"/>
        <w:jc w:val="left"/>
        <w:rPr>
          <w:b/>
          <w:color w:val="auto"/>
          <w:sz w:val="24"/>
        </w:rPr>
      </w:pPr>
      <w:r>
        <w:rPr>
          <w:b/>
          <w:color w:val="auto"/>
          <w:sz w:val="24"/>
        </w:rPr>
        <w:t>（一）处罚依据</w:t>
      </w:r>
    </w:p>
    <w:p>
      <w:pPr>
        <w:pStyle w:val="4"/>
        <w:spacing w:before="194" w:line="391" w:lineRule="auto"/>
        <w:ind w:right="148" w:firstLine="470"/>
        <w:rPr>
          <w:color w:val="auto"/>
        </w:rPr>
      </w:pPr>
      <w:r>
        <w:rPr>
          <w:color w:val="auto"/>
        </w:rPr>
        <w:t>1、《中华人民共和国产品质量法》第五十三条“伪造产品产地的，伪造或者冒</w:t>
      </w:r>
      <w:r>
        <w:rPr>
          <w:color w:val="auto"/>
          <w:spacing w:val="-5"/>
        </w:rPr>
        <w:t>用他人厂名、厂址的，伪造或者冒用认证标志等质量标志的，责令改正，没收违法生</w:t>
      </w:r>
      <w:r>
        <w:rPr>
          <w:color w:val="auto"/>
          <w:spacing w:val="-14"/>
        </w:rPr>
        <w:t xml:space="preserve">产、销售的产品，并处违法生产、销售产品货值金额等值以下的罚款；有违法所得的， </w:t>
      </w:r>
      <w:r>
        <w:rPr>
          <w:color w:val="auto"/>
        </w:rPr>
        <w:t>并处没收违法所得；情节严重的，吊销营业执照。”</w:t>
      </w:r>
    </w:p>
    <w:p>
      <w:pPr>
        <w:pStyle w:val="4"/>
        <w:spacing w:line="391" w:lineRule="auto"/>
        <w:ind w:right="268" w:firstLine="480"/>
        <w:jc w:val="both"/>
        <w:rPr>
          <w:color w:val="auto"/>
        </w:rPr>
      </w:pPr>
      <w:r>
        <w:rPr>
          <w:color w:val="auto"/>
        </w:rPr>
        <w:t>2、《山东省实施〈中华人民共和国产品质量法〉办法》第三十一条“生产者、</w:t>
      </w:r>
      <w:r>
        <w:rPr>
          <w:color w:val="auto"/>
          <w:spacing w:val="-3"/>
        </w:rPr>
        <w:t>销售者违反本办法第二十五条第一款规定的，处违法销售产品货值金额等值以下的罚</w:t>
      </w:r>
      <w:r>
        <w:rPr>
          <w:color w:val="auto"/>
        </w:rPr>
        <w:t>款；情节严重的，吊销营业执照；构成犯罪的，依法追究刑事责任”。</w:t>
      </w:r>
    </w:p>
    <w:p>
      <w:pPr>
        <w:pStyle w:val="4"/>
        <w:spacing w:line="391" w:lineRule="auto"/>
        <w:ind w:right="266" w:firstLine="480"/>
        <w:jc w:val="both"/>
        <w:rPr>
          <w:color w:val="auto"/>
        </w:rPr>
      </w:pPr>
      <w:r>
        <w:rPr>
          <w:color w:val="auto"/>
          <w:spacing w:val="-4"/>
        </w:rPr>
        <w:t>3</w:t>
      </w:r>
      <w:r>
        <w:rPr>
          <w:color w:val="auto"/>
          <w:spacing w:val="-7"/>
        </w:rPr>
        <w:t>.《山东省实施〈中华人民共和国产品质量法〉办法》第二十五条第一款“生产</w:t>
      </w:r>
      <w:r>
        <w:rPr>
          <w:color w:val="auto"/>
          <w:spacing w:val="-8"/>
        </w:rPr>
        <w:t>者、销售者不得伪造、篡改或者冒用产品质量检验机构的检验结论以及其他质量证明</w:t>
      </w:r>
      <w:r>
        <w:rPr>
          <w:color w:val="auto"/>
        </w:rPr>
        <w:t>用以推销产品”。</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4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3" w:line="388" w:lineRule="auto"/>
        <w:ind w:right="93" w:firstLine="480"/>
        <w:rPr>
          <w:color w:val="auto"/>
        </w:rPr>
      </w:pPr>
      <w:r>
        <w:rPr>
          <w:color w:val="auto"/>
        </w:rPr>
        <w:t>有下列情形之一的：1、初次违法，未造成危害后果的；2、产品尚未销售的；3、积极配合查处并有悔改表现的；4、主动追回产品的。</w:t>
      </w:r>
    </w:p>
    <w:p>
      <w:pPr>
        <w:pStyle w:val="13"/>
        <w:numPr>
          <w:ilvl w:val="0"/>
          <w:numId w:val="24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13" w:firstLine="480"/>
        <w:rPr>
          <w:color w:val="auto"/>
        </w:rPr>
      </w:pPr>
      <w:r>
        <w:rPr>
          <w:color w:val="auto"/>
        </w:rPr>
        <w:t>责令改正，没收违法生产、销售的产品，并处违法生产产品货值金额 20%以下的罚款；有违法所得的，并处没收违法所得。</w:t>
      </w:r>
    </w:p>
    <w:p>
      <w:pPr>
        <w:pStyle w:val="4"/>
        <w:spacing w:before="4"/>
        <w:ind w:left="591"/>
        <w:rPr>
          <w:color w:val="auto"/>
        </w:rPr>
      </w:pPr>
      <w:r>
        <w:rPr>
          <w:color w:val="auto"/>
        </w:rPr>
        <w:t>2、【一般】</w:t>
      </w:r>
    </w:p>
    <w:p>
      <w:pPr>
        <w:pStyle w:val="13"/>
        <w:numPr>
          <w:ilvl w:val="0"/>
          <w:numId w:val="24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9" w:firstLine="480"/>
        <w:jc w:val="both"/>
        <w:rPr>
          <w:color w:val="auto"/>
        </w:rPr>
      </w:pPr>
      <w:r>
        <w:rPr>
          <w:color w:val="auto"/>
        </w:rPr>
        <w:t>有下列情形之一的：1、厂名、厂址标注真实仅伪造产地，且该产地不属于地理标志产品保护区域的；2、冒用关联企业的厂名、厂址且被冒用企业知道或应该知道的。</w:t>
      </w:r>
    </w:p>
    <w:p>
      <w:pPr>
        <w:pStyle w:val="13"/>
        <w:numPr>
          <w:ilvl w:val="0"/>
          <w:numId w:val="244"/>
        </w:numPr>
        <w:tabs>
          <w:tab w:val="left" w:pos="1193"/>
        </w:tabs>
        <w:spacing w:before="0" w:after="0" w:line="304" w:lineRule="exact"/>
        <w:ind w:left="1192" w:right="0" w:hanging="602"/>
        <w:jc w:val="left"/>
        <w:rPr>
          <w:color w:val="auto"/>
          <w:sz w:val="24"/>
        </w:rPr>
      </w:pPr>
      <w:r>
        <w:rPr>
          <w:color w:val="auto"/>
          <w:sz w:val="24"/>
        </w:rPr>
        <w:t>处罚标准</w:t>
      </w:r>
    </w:p>
    <w:p>
      <w:pPr>
        <w:spacing w:after="0" w:line="304" w:lineRule="exact"/>
        <w:jc w:val="left"/>
        <w:rPr>
          <w:color w:val="auto"/>
          <w:sz w:val="24"/>
        </w:rPr>
        <w:sectPr>
          <w:footerReference r:id="rId53" w:type="default"/>
          <w:footerReference r:id="rId54" w:type="even"/>
          <w:pgSz w:w="11910" w:h="16840"/>
          <w:pgMar w:top="1520" w:right="1260" w:bottom="1220" w:left="1420" w:header="0" w:footer="1034" w:gutter="0"/>
          <w:pgNumType w:start="250"/>
        </w:sectPr>
      </w:pPr>
    </w:p>
    <w:p>
      <w:pPr>
        <w:pStyle w:val="4"/>
        <w:spacing w:before="39" w:line="391" w:lineRule="auto"/>
        <w:ind w:right="215" w:firstLine="480"/>
        <w:rPr>
          <w:color w:val="auto"/>
        </w:rPr>
      </w:pPr>
      <w:r>
        <w:rPr>
          <w:color w:val="auto"/>
        </w:rPr>
        <w:t>责令改正，没收违法生产、销售的产品，并处违法生产、销售产品货值金额 20% 以上 40%以下的罚款；有违法所得的，并处没收违法所得。</w:t>
      </w:r>
    </w:p>
    <w:p>
      <w:pPr>
        <w:pStyle w:val="4"/>
        <w:spacing w:line="306" w:lineRule="exact"/>
        <w:ind w:left="591"/>
        <w:rPr>
          <w:color w:val="auto"/>
        </w:rPr>
      </w:pPr>
      <w:r>
        <w:rPr>
          <w:color w:val="auto"/>
        </w:rPr>
        <w:t>3、【较重】</w:t>
      </w:r>
    </w:p>
    <w:p>
      <w:pPr>
        <w:pStyle w:val="13"/>
        <w:numPr>
          <w:ilvl w:val="0"/>
          <w:numId w:val="24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同时具有两种《产品质量法》第五十三条所列违法行为的。</w:t>
      </w:r>
    </w:p>
    <w:p>
      <w:pPr>
        <w:pStyle w:val="13"/>
        <w:numPr>
          <w:ilvl w:val="0"/>
          <w:numId w:val="24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15" w:firstLine="480"/>
        <w:rPr>
          <w:color w:val="auto"/>
        </w:rPr>
      </w:pPr>
      <w:r>
        <w:rPr>
          <w:color w:val="auto"/>
        </w:rPr>
        <w:t>责令改正，没收违法生产、销售的产品，并处违法生产、销售产品货值金额 40% 以上 60%以下的罚款；有违法所得的，并处没收违法所得；通报营业执照发证部门。</w:t>
      </w:r>
    </w:p>
    <w:p>
      <w:pPr>
        <w:pStyle w:val="4"/>
        <w:spacing w:line="306" w:lineRule="exact"/>
        <w:ind w:left="591"/>
        <w:rPr>
          <w:color w:val="auto"/>
        </w:rPr>
      </w:pPr>
      <w:r>
        <w:rPr>
          <w:color w:val="auto"/>
        </w:rPr>
        <w:t>4、【严重】</w:t>
      </w:r>
    </w:p>
    <w:p>
      <w:pPr>
        <w:pStyle w:val="13"/>
        <w:numPr>
          <w:ilvl w:val="0"/>
          <w:numId w:val="246"/>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151" w:firstLine="480"/>
        <w:rPr>
          <w:color w:val="auto"/>
        </w:rPr>
      </w:pPr>
      <w:r>
        <w:rPr>
          <w:color w:val="auto"/>
        </w:rPr>
        <w:t>有下列情形之一的：1、同时具有两种以上《产品质量法》第五十三条所列违法</w:t>
      </w:r>
      <w:r>
        <w:rPr>
          <w:color w:val="auto"/>
          <w:spacing w:val="-4"/>
        </w:rPr>
        <w:t>行为的；</w:t>
      </w:r>
      <w:r>
        <w:rPr>
          <w:color w:val="auto"/>
          <w:spacing w:val="-16"/>
        </w:rPr>
        <w:t>2</w:t>
      </w:r>
      <w:r>
        <w:rPr>
          <w:color w:val="auto"/>
          <w:spacing w:val="-7"/>
        </w:rPr>
        <w:t>、所伪造的产地属于地理标志产品保护区域的；</w:t>
      </w:r>
      <w:r>
        <w:rPr>
          <w:color w:val="auto"/>
          <w:spacing w:val="-16"/>
        </w:rPr>
        <w:t>3</w:t>
      </w:r>
      <w:r>
        <w:rPr>
          <w:color w:val="auto"/>
          <w:spacing w:val="-10"/>
        </w:rPr>
        <w:t>、经查处后，再次违法的。</w:t>
      </w:r>
    </w:p>
    <w:p>
      <w:pPr>
        <w:pStyle w:val="13"/>
        <w:numPr>
          <w:ilvl w:val="0"/>
          <w:numId w:val="246"/>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right="215" w:firstLine="480"/>
        <w:rPr>
          <w:color w:val="auto"/>
        </w:rPr>
      </w:pPr>
      <w:r>
        <w:rPr>
          <w:color w:val="auto"/>
        </w:rPr>
        <w:t>责令改正，没收违法生产、销售的产品，并处违法生产、销售产品货值金额 60% 以上 80%以下的罚款；有违法所得的，并处没收违法所得；吊销营业执照。</w:t>
      </w:r>
    </w:p>
    <w:p>
      <w:pPr>
        <w:pStyle w:val="4"/>
        <w:spacing w:before="2"/>
        <w:ind w:left="591"/>
        <w:rPr>
          <w:color w:val="auto"/>
        </w:rPr>
      </w:pPr>
      <w:r>
        <w:rPr>
          <w:color w:val="auto"/>
        </w:rPr>
        <w:t>5、【特别严重】</w:t>
      </w:r>
    </w:p>
    <w:p>
      <w:pPr>
        <w:pStyle w:val="13"/>
        <w:numPr>
          <w:ilvl w:val="0"/>
          <w:numId w:val="24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145" w:firstLine="480"/>
        <w:rPr>
          <w:color w:val="auto"/>
        </w:rPr>
      </w:pPr>
      <w:r>
        <w:rPr>
          <w:color w:val="auto"/>
          <w:spacing w:val="-1"/>
        </w:rPr>
        <w:t>有下列情形之一的：</w:t>
      </w:r>
      <w:r>
        <w:rPr>
          <w:color w:val="auto"/>
        </w:rPr>
        <w:t>1</w:t>
      </w:r>
      <w:r>
        <w:rPr>
          <w:color w:val="auto"/>
          <w:spacing w:val="-10"/>
        </w:rPr>
        <w:t>、不执行责令停止生产、销售，继续实施违法行为的；；</w:t>
      </w:r>
      <w:r>
        <w:rPr>
          <w:color w:val="auto"/>
          <w:spacing w:val="2"/>
        </w:rPr>
        <w:t>2</w:t>
      </w:r>
      <w:r>
        <w:rPr>
          <w:color w:val="auto"/>
          <w:spacing w:val="-15"/>
        </w:rPr>
        <w:t>、</w:t>
      </w:r>
      <w:r>
        <w:rPr>
          <w:color w:val="auto"/>
        </w:rPr>
        <w:t>造成较大社会影响等严重危害后果的。</w:t>
      </w:r>
    </w:p>
    <w:p>
      <w:pPr>
        <w:pStyle w:val="13"/>
        <w:numPr>
          <w:ilvl w:val="0"/>
          <w:numId w:val="247"/>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13" w:firstLine="480"/>
        <w:rPr>
          <w:color w:val="auto"/>
        </w:rPr>
      </w:pPr>
      <w:r>
        <w:rPr>
          <w:color w:val="auto"/>
        </w:rPr>
        <w:t>没收违法生产、销售的产品，并处违法生产、销售产品货值金额 80%以上等值以下的罚款；有违法所得的，并处没收违法所得；吊销营业执照。</w:t>
      </w:r>
    </w:p>
    <w:p>
      <w:pPr>
        <w:pStyle w:val="2"/>
        <w:spacing w:before="4" w:line="388" w:lineRule="auto"/>
        <w:ind w:left="111" w:right="237" w:firstLine="480"/>
        <w:rPr>
          <w:color w:val="auto"/>
        </w:rPr>
      </w:pPr>
      <w:bookmarkStart w:id="603" w:name="二百九十三、限期使用的产品，没有在显著位置清晰地标注生产日期和安全使用期或者失效"/>
      <w:bookmarkEnd w:id="603"/>
      <w:bookmarkStart w:id="604" w:name="_bookmark301"/>
      <w:bookmarkEnd w:id="604"/>
      <w:r>
        <w:rPr>
          <w:color w:val="auto"/>
          <w:spacing w:val="-8"/>
        </w:rPr>
        <w:t>二百九十三、限期使用的产品，没有在显著位置清晰地标注生产日期和安全使用期或者失效日期</w:t>
      </w:r>
    </w:p>
    <w:p>
      <w:pPr>
        <w:spacing w:before="2"/>
        <w:ind w:left="591" w:right="0" w:firstLine="0"/>
        <w:jc w:val="left"/>
        <w:rPr>
          <w:b/>
          <w:color w:val="auto"/>
          <w:sz w:val="24"/>
        </w:rPr>
      </w:pPr>
      <w:r>
        <w:rPr>
          <w:b/>
          <w:color w:val="auto"/>
          <w:sz w:val="24"/>
        </w:rPr>
        <w:t>（一）处罚依据</w:t>
      </w:r>
    </w:p>
    <w:p>
      <w:pPr>
        <w:pStyle w:val="13"/>
        <w:numPr>
          <w:ilvl w:val="0"/>
          <w:numId w:val="248"/>
        </w:numPr>
        <w:tabs>
          <w:tab w:val="left" w:pos="823"/>
        </w:tabs>
        <w:spacing w:before="194" w:after="0" w:line="388" w:lineRule="auto"/>
        <w:ind w:left="111" w:right="232" w:firstLine="470"/>
        <w:jc w:val="both"/>
        <w:rPr>
          <w:color w:val="auto"/>
          <w:sz w:val="24"/>
        </w:rPr>
      </w:pPr>
      <w:r>
        <w:rPr>
          <w:color w:val="auto"/>
          <w:spacing w:val="-2"/>
          <w:sz w:val="24"/>
        </w:rPr>
        <w:t>《中华人民共和国产品质量法》第五十四条“产品标识不符合本法第二十七条规定的，责令改正；有包装的产品标识不符合本法第二十七条第（四）项、第（五</w:t>
      </w:r>
      <w:r>
        <w:rPr>
          <w:color w:val="auto"/>
          <w:spacing w:val="-17"/>
          <w:sz w:val="24"/>
        </w:rPr>
        <w:t xml:space="preserve">） </w:t>
      </w:r>
      <w:r>
        <w:rPr>
          <w:color w:val="auto"/>
          <w:spacing w:val="-6"/>
          <w:sz w:val="24"/>
        </w:rPr>
        <w:t>项规定，情节严重的，责令停止生产、销售，并处违法生产、销售产品货值金额百分</w:t>
      </w:r>
    </w:p>
    <w:p>
      <w:pPr>
        <w:spacing w:after="0" w:line="388" w:lineRule="auto"/>
        <w:jc w:val="both"/>
        <w:rPr>
          <w:color w:val="auto"/>
          <w:sz w:val="24"/>
        </w:rPr>
        <w:sectPr>
          <w:pgSz w:w="11910" w:h="16840"/>
          <w:pgMar w:top="1520" w:right="1260" w:bottom="1220" w:left="1420" w:header="0" w:footer="1034" w:gutter="0"/>
        </w:sectPr>
      </w:pPr>
    </w:p>
    <w:p>
      <w:pPr>
        <w:pStyle w:val="4"/>
        <w:spacing w:before="39"/>
        <w:rPr>
          <w:color w:val="auto"/>
        </w:rPr>
      </w:pPr>
      <w:r>
        <w:rPr>
          <w:color w:val="auto"/>
        </w:rPr>
        <w:t>之三十以下的罚款；有违法所得的，并处没收违法所得。”</w:t>
      </w:r>
    </w:p>
    <w:p>
      <w:pPr>
        <w:pStyle w:val="13"/>
        <w:numPr>
          <w:ilvl w:val="0"/>
          <w:numId w:val="248"/>
        </w:numPr>
        <w:tabs>
          <w:tab w:val="left" w:pos="824"/>
        </w:tabs>
        <w:spacing w:before="195" w:after="0" w:line="388" w:lineRule="auto"/>
        <w:ind w:left="111" w:right="268" w:firstLine="470"/>
        <w:jc w:val="left"/>
        <w:rPr>
          <w:color w:val="auto"/>
          <w:sz w:val="24"/>
        </w:rPr>
      </w:pPr>
      <w:r>
        <w:rPr>
          <w:color w:val="auto"/>
          <w:sz w:val="24"/>
        </w:rPr>
        <w:t>《中华人民共和国产品质量法》第二十七条 产品或者其包装上的标识必须真实，并符合下列要求：</w:t>
      </w:r>
    </w:p>
    <w:p>
      <w:pPr>
        <w:pStyle w:val="4"/>
        <w:spacing w:before="2" w:line="391" w:lineRule="auto"/>
        <w:ind w:right="268" w:firstLine="470"/>
        <w:rPr>
          <w:color w:val="auto"/>
        </w:rPr>
      </w:pPr>
      <w:r>
        <w:rPr>
          <w:color w:val="auto"/>
        </w:rPr>
        <w:t>（四</w:t>
      </w:r>
      <w:r>
        <w:rPr>
          <w:color w:val="auto"/>
          <w:spacing w:val="-15"/>
        </w:rPr>
        <w:t>）</w:t>
      </w:r>
      <w:r>
        <w:rPr>
          <w:color w:val="auto"/>
          <w:spacing w:val="-3"/>
        </w:rPr>
        <w:t>限期使用的产品，应当在显著位置清晰地标明生产日期和安全使用期或者</w:t>
      </w:r>
      <w:r>
        <w:rPr>
          <w:color w:val="auto"/>
        </w:rPr>
        <w:t>失效日期。</w:t>
      </w:r>
    </w:p>
    <w:p>
      <w:pPr>
        <w:spacing w:before="0" w:line="388" w:lineRule="auto"/>
        <w:ind w:left="591" w:right="6948" w:firstLine="0"/>
        <w:jc w:val="left"/>
        <w:rPr>
          <w:b/>
          <w:color w:val="auto"/>
          <w:sz w:val="24"/>
        </w:rPr>
      </w:pPr>
      <w:r>
        <w:rPr>
          <w:b/>
          <w:color w:val="auto"/>
          <w:sz w:val="24"/>
        </w:rPr>
        <w:t>（二）裁量标准</w:t>
      </w:r>
    </w:p>
    <w:p>
      <w:pPr>
        <w:spacing w:before="0" w:line="388" w:lineRule="auto"/>
        <w:ind w:left="591" w:right="6948" w:firstLine="0"/>
        <w:jc w:val="left"/>
        <w:rPr>
          <w:rFonts w:hint="default" w:eastAsia="宋体"/>
          <w:b/>
          <w:color w:val="auto"/>
          <w:sz w:val="24"/>
          <w:lang w:val="en-US" w:eastAsia="zh-CN"/>
        </w:rPr>
      </w:pPr>
      <w:r>
        <w:rPr>
          <w:rFonts w:hint="eastAsia"/>
          <w:b/>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不属于《产品质量法》第二十七条第（四）（五）项情形；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5</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没有违法所得 </w:t>
      </w:r>
    </w:p>
    <w:p>
      <w:pPr>
        <w:spacing w:before="0" w:line="388"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13"/>
        <w:numPr>
          <w:ilvl w:val="0"/>
          <w:numId w:val="249"/>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1" w:line="388" w:lineRule="auto"/>
        <w:ind w:right="269" w:firstLine="480"/>
        <w:rPr>
          <w:color w:val="auto"/>
        </w:rPr>
      </w:pPr>
      <w:r>
        <w:rPr>
          <w:color w:val="auto"/>
        </w:rPr>
        <w:t>有下列情形之一的：1、未在显著位置标明生产日期和安全使用期或者失效日期的；2、标注不清晰的生产日期和安全使用期或者失效日期的。</w:t>
      </w:r>
    </w:p>
    <w:p>
      <w:pPr>
        <w:pStyle w:val="13"/>
        <w:numPr>
          <w:ilvl w:val="0"/>
          <w:numId w:val="249"/>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6232"/>
        <w:rPr>
          <w:color w:val="auto"/>
        </w:rPr>
      </w:pPr>
      <w:r>
        <w:rPr>
          <w:color w:val="auto"/>
        </w:rPr>
        <w:t>责令改正，不予处罚。</w:t>
      </w:r>
      <w:r>
        <w:rPr>
          <w:rFonts w:hint="eastAsia"/>
          <w:color w:val="auto"/>
          <w:lang w:val="en-US" w:eastAsia="zh-CN"/>
        </w:rPr>
        <w:t>3</w:t>
      </w:r>
      <w:r>
        <w:rPr>
          <w:color w:val="auto"/>
        </w:rPr>
        <w:t>、【一般】</w:t>
      </w:r>
    </w:p>
    <w:p>
      <w:pPr>
        <w:pStyle w:val="13"/>
        <w:numPr>
          <w:ilvl w:val="0"/>
          <w:numId w:val="250"/>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有下列情形之一的：1、限期使用的产品仅标注生产日期但未标注安全使用期或者失效日期的；2、产品售出但未造成危害后果的。</w:t>
      </w:r>
    </w:p>
    <w:p>
      <w:pPr>
        <w:pStyle w:val="13"/>
        <w:numPr>
          <w:ilvl w:val="0"/>
          <w:numId w:val="25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465"/>
        <w:rPr>
          <w:color w:val="auto"/>
        </w:rPr>
      </w:pPr>
      <w:r>
        <w:rPr>
          <w:color w:val="auto"/>
        </w:rPr>
        <w:t>责令改正，处违法产品货值金额 5%以下的罚款。</w:t>
      </w:r>
      <w:r>
        <w:rPr>
          <w:rFonts w:hint="eastAsia"/>
          <w:color w:val="auto"/>
          <w:lang w:val="en-US" w:eastAsia="zh-CN"/>
        </w:rPr>
        <w:t>4</w:t>
      </w:r>
      <w:r>
        <w:rPr>
          <w:color w:val="auto"/>
        </w:rPr>
        <w:t>、【较重】</w:t>
      </w:r>
    </w:p>
    <w:p>
      <w:pPr>
        <w:pStyle w:val="13"/>
        <w:numPr>
          <w:ilvl w:val="0"/>
          <w:numId w:val="251"/>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69" w:firstLine="480"/>
        <w:jc w:val="both"/>
        <w:rPr>
          <w:color w:val="auto"/>
        </w:rPr>
      </w:pPr>
      <w:r>
        <w:rPr>
          <w:color w:val="auto"/>
        </w:rPr>
        <w:t>有下列情形之一的：1、未标注生产日期和安全使用期或者失效日期，且该产品安全使用期或者失效日期较短的；2、产品已经销售，企业积极追回已售出产品的， 未造成实际损害的。</w:t>
      </w:r>
    </w:p>
    <w:p>
      <w:pPr>
        <w:pStyle w:val="13"/>
        <w:numPr>
          <w:ilvl w:val="0"/>
          <w:numId w:val="251"/>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left="591" w:right="2632"/>
        <w:rPr>
          <w:color w:val="auto"/>
        </w:rPr>
      </w:pPr>
      <w:r>
        <w:rPr>
          <w:color w:val="auto"/>
          <w:spacing w:val="-4"/>
        </w:rPr>
        <w:t xml:space="preserve">责令改正，处违法产品货值金额 </w:t>
      </w:r>
      <w:r>
        <w:rPr>
          <w:color w:val="auto"/>
        </w:rPr>
        <w:t>5%</w:t>
      </w:r>
      <w:r>
        <w:rPr>
          <w:color w:val="auto"/>
          <w:spacing w:val="-20"/>
        </w:rPr>
        <w:t xml:space="preserve">以上 </w:t>
      </w:r>
      <w:r>
        <w:rPr>
          <w:color w:val="auto"/>
        </w:rPr>
        <w:t>10%</w:t>
      </w:r>
      <w:r>
        <w:rPr>
          <w:color w:val="auto"/>
          <w:spacing w:val="-3"/>
        </w:rPr>
        <w:t>以下的罚款。</w:t>
      </w:r>
      <w:r>
        <w:rPr>
          <w:rFonts w:hint="eastAsia"/>
          <w:color w:val="auto"/>
          <w:lang w:val="en-US" w:eastAsia="zh-CN"/>
        </w:rPr>
        <w:t>5</w:t>
      </w:r>
      <w:r>
        <w:rPr>
          <w:color w:val="auto"/>
          <w:spacing w:val="-24"/>
        </w:rPr>
        <w:t>、【严重】</w:t>
      </w:r>
    </w:p>
    <w:p>
      <w:pPr>
        <w:pStyle w:val="13"/>
        <w:numPr>
          <w:ilvl w:val="0"/>
          <w:numId w:val="25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产品已经销售，售出的产品已无法追回的。</w:t>
      </w:r>
    </w:p>
    <w:p>
      <w:pPr>
        <w:pStyle w:val="13"/>
        <w:numPr>
          <w:ilvl w:val="0"/>
          <w:numId w:val="252"/>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13" w:firstLine="480"/>
        <w:rPr>
          <w:color w:val="auto"/>
        </w:rPr>
      </w:pPr>
      <w:r>
        <w:rPr>
          <w:color w:val="auto"/>
        </w:rPr>
        <w:t>责令停止生产、销售，并处产品货值金额 10%以上 20%以下的罚款；有违法所得的，并处没收违法所得。</w:t>
      </w:r>
    </w:p>
    <w:p>
      <w:pPr>
        <w:pStyle w:val="4"/>
        <w:spacing w:before="2"/>
        <w:ind w:left="591"/>
        <w:rPr>
          <w:color w:val="auto"/>
        </w:rPr>
      </w:pPr>
      <w:r>
        <w:rPr>
          <w:rFonts w:hint="eastAsia"/>
          <w:color w:val="auto"/>
          <w:lang w:val="en-US" w:eastAsia="zh-CN"/>
        </w:rPr>
        <w:t>6</w:t>
      </w:r>
      <w:r>
        <w:rPr>
          <w:color w:val="auto"/>
        </w:rPr>
        <w:t>、【特别严重】</w:t>
      </w:r>
    </w:p>
    <w:p>
      <w:pPr>
        <w:pStyle w:val="13"/>
        <w:numPr>
          <w:ilvl w:val="0"/>
          <w:numId w:val="25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rPr>
        <w:t>有下列情形之一的：1、产品已销售，且拒不追回；</w:t>
      </w:r>
      <w:r>
        <w:rPr>
          <w:color w:val="auto"/>
          <w:spacing w:val="3"/>
        </w:rPr>
        <w:t>2</w:t>
      </w:r>
      <w:r>
        <w:rPr>
          <w:color w:val="auto"/>
        </w:rPr>
        <w:t>、屡次被查处的；3、给消费者造成较严重利益损害的。</w:t>
      </w:r>
    </w:p>
    <w:p>
      <w:pPr>
        <w:pStyle w:val="13"/>
        <w:numPr>
          <w:ilvl w:val="0"/>
          <w:numId w:val="253"/>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13" w:firstLine="480"/>
        <w:rPr>
          <w:color w:val="auto"/>
        </w:rPr>
      </w:pPr>
      <w:r>
        <w:rPr>
          <w:color w:val="auto"/>
        </w:rPr>
        <w:t>责令停止生产、销售，并处产品货值金额 20%以上 30%以下的罚款；有违法所得的，并处没收违法所得。</w:t>
      </w:r>
    </w:p>
    <w:p>
      <w:pPr>
        <w:pStyle w:val="2"/>
        <w:spacing w:before="4" w:line="388" w:lineRule="auto"/>
        <w:ind w:left="111" w:right="240" w:firstLine="480"/>
        <w:rPr>
          <w:color w:val="auto"/>
        </w:rPr>
      </w:pPr>
      <w:bookmarkStart w:id="605" w:name="_bookmark302"/>
      <w:bookmarkEnd w:id="605"/>
      <w:bookmarkStart w:id="606" w:name="二百九十四、使用不当，容易造成产品本身损害或者可能危及人身，财产安全的产品，没有"/>
      <w:bookmarkEnd w:id="606"/>
      <w:r>
        <w:rPr>
          <w:color w:val="auto"/>
          <w:spacing w:val="-7"/>
        </w:rPr>
        <w:t>二百九十四、使用不当，容易造成产品本身损害或者可能危及人身，财产安全的产品，没有警示标志或者中文警示说明</w:t>
      </w:r>
    </w:p>
    <w:p>
      <w:pPr>
        <w:spacing w:before="2"/>
        <w:ind w:left="591" w:right="0" w:firstLine="0"/>
        <w:jc w:val="left"/>
        <w:rPr>
          <w:b/>
          <w:color w:val="auto"/>
          <w:sz w:val="24"/>
        </w:rPr>
      </w:pPr>
      <w:r>
        <w:rPr>
          <w:b/>
          <w:color w:val="auto"/>
          <w:sz w:val="24"/>
        </w:rPr>
        <w:t>（一）处罚依据</w:t>
      </w:r>
    </w:p>
    <w:p>
      <w:pPr>
        <w:pStyle w:val="4"/>
        <w:spacing w:before="194" w:line="391" w:lineRule="auto"/>
        <w:ind w:right="265" w:firstLine="470"/>
        <w:jc w:val="both"/>
        <w:rPr>
          <w:color w:val="auto"/>
        </w:rPr>
      </w:pPr>
      <w:r>
        <w:rPr>
          <w:color w:val="auto"/>
          <w:spacing w:val="-4"/>
        </w:rPr>
        <w:t>《中华人民共和国产品质量法》第五十四条“产品标识不符合本法第二十七条规定的，责令改正；有包装的产品标识不符合本法第二十七条第</w:t>
      </w:r>
      <w:r>
        <w:rPr>
          <w:color w:val="auto"/>
        </w:rPr>
        <w:t>（四</w:t>
      </w:r>
      <w:r>
        <w:rPr>
          <w:color w:val="auto"/>
          <w:spacing w:val="-5"/>
        </w:rPr>
        <w:t>）</w:t>
      </w:r>
      <w:r>
        <w:rPr>
          <w:color w:val="auto"/>
          <w:spacing w:val="-4"/>
        </w:rPr>
        <w:t>项、第</w:t>
      </w:r>
      <w:r>
        <w:rPr>
          <w:color w:val="auto"/>
        </w:rPr>
        <w:t>（五</w:t>
      </w:r>
      <w:r>
        <w:rPr>
          <w:color w:val="auto"/>
          <w:spacing w:val="-5"/>
        </w:rPr>
        <w:t>）</w:t>
      </w:r>
      <w:r>
        <w:rPr>
          <w:color w:val="auto"/>
          <w:spacing w:val="-17"/>
        </w:rPr>
        <w:t>项</w:t>
      </w:r>
      <w:r>
        <w:rPr>
          <w:color w:val="auto"/>
          <w:spacing w:val="-8"/>
        </w:rPr>
        <w:t>规定，情节严重的，责令停止生产、销售，并处违法生产、销售产品货值金额百分之</w:t>
      </w:r>
      <w:r>
        <w:rPr>
          <w:color w:val="auto"/>
        </w:rPr>
        <w:t>三十以下的罚款；有违法所得的，并处没收违法所得。”</w:t>
      </w:r>
    </w:p>
    <w:p>
      <w:pPr>
        <w:pStyle w:val="4"/>
        <w:spacing w:line="388" w:lineRule="auto"/>
        <w:ind w:right="268" w:firstLine="470"/>
        <w:jc w:val="both"/>
        <w:rPr>
          <w:color w:val="auto"/>
        </w:rPr>
      </w:pPr>
      <w:r>
        <w:rPr>
          <w:color w:val="auto"/>
        </w:rPr>
        <w:t>2.《中华人民共和国产品质量法》第二十七条 产品或者其包装上的标识必须真实，并符合下列要求：</w:t>
      </w:r>
    </w:p>
    <w:p>
      <w:pPr>
        <w:pStyle w:val="4"/>
        <w:spacing w:line="388" w:lineRule="auto"/>
        <w:ind w:right="242" w:firstLine="470"/>
        <w:rPr>
          <w:color w:val="auto"/>
        </w:rPr>
      </w:pPr>
      <w:r>
        <w:rPr>
          <w:color w:val="auto"/>
        </w:rPr>
        <w:t>（五）使用不当，容易造成产品本身损坏或者可能危及人身、财产安全的产品， 应当有警示标志或者中文警示说明。</w:t>
      </w:r>
    </w:p>
    <w:p>
      <w:pPr>
        <w:spacing w:before="1"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5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32" w:firstLine="480"/>
        <w:rPr>
          <w:color w:val="auto"/>
        </w:rPr>
      </w:pPr>
      <w:r>
        <w:rPr>
          <w:color w:val="auto"/>
        </w:rPr>
        <w:t>有下列情形之一的：1、初次没有标注，且产品尚未销售的；2、初次没有标注， 没有造成危害结果的。</w:t>
      </w:r>
    </w:p>
    <w:p>
      <w:pPr>
        <w:pStyle w:val="13"/>
        <w:numPr>
          <w:ilvl w:val="0"/>
          <w:numId w:val="25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责令改正，处违法产品货值金额 5%以下罚款。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2、【一般】</w:t>
      </w:r>
    </w:p>
    <w:p>
      <w:pPr>
        <w:pStyle w:val="13"/>
        <w:numPr>
          <w:ilvl w:val="0"/>
          <w:numId w:val="255"/>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产品已经销售，企业积极追回已售出产品的，未造成实际损害的。</w:t>
      </w:r>
    </w:p>
    <w:p>
      <w:pPr>
        <w:pStyle w:val="13"/>
        <w:numPr>
          <w:ilvl w:val="0"/>
          <w:numId w:val="25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632"/>
        <w:rPr>
          <w:color w:val="auto"/>
        </w:rPr>
      </w:pPr>
      <w:r>
        <w:rPr>
          <w:color w:val="auto"/>
          <w:spacing w:val="-4"/>
        </w:rPr>
        <w:t xml:space="preserve">责令改正，处违法产品货值金额 </w:t>
      </w:r>
      <w:r>
        <w:rPr>
          <w:color w:val="auto"/>
        </w:rPr>
        <w:t>5%</w:t>
      </w:r>
      <w:r>
        <w:rPr>
          <w:color w:val="auto"/>
          <w:spacing w:val="-20"/>
        </w:rPr>
        <w:t xml:space="preserve">以上 </w:t>
      </w:r>
      <w:r>
        <w:rPr>
          <w:color w:val="auto"/>
        </w:rPr>
        <w:t>10%</w:t>
      </w:r>
      <w:r>
        <w:rPr>
          <w:color w:val="auto"/>
          <w:spacing w:val="-3"/>
        </w:rPr>
        <w:t>以下的罚款。</w:t>
      </w:r>
      <w:r>
        <w:rPr>
          <w:color w:val="auto"/>
        </w:rPr>
        <w:t>3</w:t>
      </w:r>
      <w:r>
        <w:rPr>
          <w:color w:val="auto"/>
          <w:spacing w:val="-24"/>
        </w:rPr>
        <w:t>、【较重】</w:t>
      </w:r>
    </w:p>
    <w:p>
      <w:pPr>
        <w:pStyle w:val="13"/>
        <w:numPr>
          <w:ilvl w:val="0"/>
          <w:numId w:val="25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145" w:firstLine="480"/>
        <w:rPr>
          <w:color w:val="auto"/>
        </w:rPr>
      </w:pPr>
      <w:r>
        <w:rPr>
          <w:color w:val="auto"/>
          <w:spacing w:val="-2"/>
        </w:rPr>
        <w:t>有下列情形之一的：</w:t>
      </w:r>
      <w:r>
        <w:rPr>
          <w:color w:val="auto"/>
          <w:spacing w:val="-16"/>
        </w:rPr>
        <w:t>1</w:t>
      </w:r>
      <w:r>
        <w:rPr>
          <w:color w:val="auto"/>
          <w:spacing w:val="-9"/>
        </w:rPr>
        <w:t>、产品已经销售，售出的产品无法追回的；</w:t>
      </w:r>
      <w:r>
        <w:rPr>
          <w:color w:val="auto"/>
          <w:spacing w:val="-16"/>
        </w:rPr>
        <w:t>2</w:t>
      </w:r>
      <w:r>
        <w:rPr>
          <w:color w:val="auto"/>
          <w:spacing w:val="-9"/>
        </w:rPr>
        <w:t xml:space="preserve">、因主观原因， </w:t>
      </w:r>
      <w:r>
        <w:rPr>
          <w:color w:val="auto"/>
        </w:rPr>
        <w:t>故意不标注的。</w:t>
      </w:r>
    </w:p>
    <w:p>
      <w:pPr>
        <w:pStyle w:val="13"/>
        <w:numPr>
          <w:ilvl w:val="0"/>
          <w:numId w:val="25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line="388" w:lineRule="auto"/>
        <w:ind w:right="213" w:firstLine="480"/>
        <w:rPr>
          <w:color w:val="auto"/>
        </w:rPr>
      </w:pPr>
      <w:r>
        <w:rPr>
          <w:color w:val="auto"/>
        </w:rPr>
        <w:t>责令停止生产、销售，并处产品货值金额 10%以上 15%以下的罚款；有违法所得的，并处没收违法所得。</w:t>
      </w:r>
    </w:p>
    <w:p>
      <w:pPr>
        <w:pStyle w:val="4"/>
        <w:spacing w:before="2"/>
        <w:ind w:left="591"/>
        <w:rPr>
          <w:color w:val="auto"/>
        </w:rPr>
      </w:pPr>
      <w:r>
        <w:rPr>
          <w:color w:val="auto"/>
        </w:rPr>
        <w:t>4、【严重】</w:t>
      </w:r>
    </w:p>
    <w:p>
      <w:pPr>
        <w:pStyle w:val="13"/>
        <w:numPr>
          <w:ilvl w:val="0"/>
          <w:numId w:val="25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spacing w:val="-2"/>
        </w:rPr>
        <w:t>有下列情形之一的：</w:t>
      </w:r>
      <w:r>
        <w:rPr>
          <w:color w:val="auto"/>
          <w:spacing w:val="-16"/>
        </w:rPr>
        <w:t>1</w:t>
      </w:r>
      <w:r>
        <w:rPr>
          <w:color w:val="auto"/>
          <w:spacing w:val="-7"/>
        </w:rPr>
        <w:t>、产品已经销售且拒不追回的；</w:t>
      </w:r>
      <w:r>
        <w:rPr>
          <w:color w:val="auto"/>
          <w:spacing w:val="-16"/>
        </w:rPr>
        <w:t>2</w:t>
      </w:r>
      <w:r>
        <w:rPr>
          <w:color w:val="auto"/>
          <w:spacing w:val="-9"/>
        </w:rPr>
        <w:t>、经查处后，再次违法的。</w:t>
      </w:r>
    </w:p>
    <w:p>
      <w:pPr>
        <w:pStyle w:val="13"/>
        <w:numPr>
          <w:ilvl w:val="0"/>
          <w:numId w:val="25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13" w:firstLine="480"/>
        <w:rPr>
          <w:color w:val="auto"/>
        </w:rPr>
      </w:pPr>
      <w:r>
        <w:rPr>
          <w:color w:val="auto"/>
        </w:rPr>
        <w:t>责令停止生产、销售，并处产品货值金额 15%以上 25%以下的罚款；有违法所得的，并处没收违法所得。</w:t>
      </w:r>
    </w:p>
    <w:p>
      <w:pPr>
        <w:pStyle w:val="4"/>
        <w:spacing w:before="2"/>
        <w:ind w:left="591"/>
        <w:rPr>
          <w:color w:val="auto"/>
        </w:rPr>
      </w:pPr>
      <w:r>
        <w:rPr>
          <w:color w:val="auto"/>
        </w:rPr>
        <w:t>5、【特别严重】</w:t>
      </w:r>
    </w:p>
    <w:p>
      <w:pPr>
        <w:pStyle w:val="13"/>
        <w:numPr>
          <w:ilvl w:val="0"/>
          <w:numId w:val="25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有下列情形之一的：1、屡次被查处的；2、给消费者造成较严重利益损害的。</w:t>
      </w:r>
    </w:p>
    <w:p>
      <w:pPr>
        <w:pStyle w:val="13"/>
        <w:numPr>
          <w:ilvl w:val="0"/>
          <w:numId w:val="25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13" w:firstLine="480"/>
        <w:rPr>
          <w:color w:val="auto"/>
        </w:rPr>
      </w:pPr>
      <w:r>
        <w:rPr>
          <w:color w:val="auto"/>
        </w:rPr>
        <w:t>责令停止生产、销售，并处产品货值金额 25%以上 30%以下的罚款；有违法所得的，并处没收违法所得。</w:t>
      </w:r>
    </w:p>
    <w:p>
      <w:pPr>
        <w:pStyle w:val="2"/>
        <w:spacing w:before="2"/>
        <w:rPr>
          <w:color w:val="auto"/>
        </w:rPr>
      </w:pPr>
      <w:bookmarkStart w:id="607" w:name="_bookmark303"/>
      <w:bookmarkEnd w:id="607"/>
      <w:bookmarkStart w:id="608" w:name="二百九十五、拒绝接受依法进行的产品质量监督检查"/>
      <w:bookmarkEnd w:id="608"/>
      <w:r>
        <w:rPr>
          <w:color w:val="auto"/>
        </w:rPr>
        <w:t>二百九十五、拒绝接受依法进行的产品质量监督检查</w:t>
      </w:r>
    </w:p>
    <w:p>
      <w:pPr>
        <w:spacing w:before="194"/>
        <w:ind w:left="591" w:right="0" w:firstLine="0"/>
        <w:jc w:val="left"/>
        <w:rPr>
          <w:b/>
          <w:color w:val="auto"/>
          <w:sz w:val="24"/>
        </w:rPr>
      </w:pPr>
      <w:r>
        <w:rPr>
          <w:b/>
          <w:color w:val="auto"/>
          <w:sz w:val="24"/>
        </w:rPr>
        <w:t>（一）处罚依据</w:t>
      </w:r>
    </w:p>
    <w:p>
      <w:pPr>
        <w:pStyle w:val="4"/>
        <w:spacing w:before="192" w:line="388" w:lineRule="auto"/>
        <w:ind w:right="232" w:firstLine="470"/>
        <w:rPr>
          <w:color w:val="auto"/>
        </w:rPr>
      </w:pPr>
      <w:r>
        <w:rPr>
          <w:color w:val="auto"/>
        </w:rPr>
        <w:t>1、《中华人民共和国产品质量法》第五十六条“拒绝接受依法进行的产品质量监督检查的，给予警告，责令改正；拒不改正的，责令停业整顿；情节特别严重的，</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吊销营业执照。”</w:t>
      </w:r>
    </w:p>
    <w:p>
      <w:pPr>
        <w:pStyle w:val="4"/>
        <w:spacing w:before="195" w:line="388" w:lineRule="auto"/>
        <w:ind w:right="268" w:firstLine="470"/>
        <w:jc w:val="both"/>
        <w:rPr>
          <w:color w:val="auto"/>
        </w:rPr>
      </w:pPr>
      <w:r>
        <w:rPr>
          <w:color w:val="auto"/>
        </w:rPr>
        <w:t>2、《山东省实施〈中华人民共和国产品质量法〉办法》第三十条“违反本办法</w:t>
      </w:r>
      <w:r>
        <w:rPr>
          <w:color w:val="auto"/>
          <w:spacing w:val="-7"/>
        </w:rPr>
        <w:t>第十七条规定，拒绝、干扰依法检查的，给予警告，责令改正；拒不改正的，责令停</w:t>
      </w:r>
      <w:r>
        <w:rPr>
          <w:color w:val="auto"/>
        </w:rPr>
        <w:t>业整顿；情节特别严重的，吊销营业执照。”</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25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首次不配合查处或不如实提供有关情况和资料的。</w:t>
      </w:r>
    </w:p>
    <w:p>
      <w:pPr>
        <w:pStyle w:val="13"/>
        <w:numPr>
          <w:ilvl w:val="0"/>
          <w:numId w:val="25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6232"/>
        <w:rPr>
          <w:color w:val="auto"/>
        </w:rPr>
      </w:pPr>
      <w:r>
        <w:rPr>
          <w:color w:val="auto"/>
        </w:rPr>
        <w:t>给予警告并责令改正。2、【较重】</w:t>
      </w:r>
    </w:p>
    <w:p>
      <w:pPr>
        <w:pStyle w:val="13"/>
        <w:numPr>
          <w:ilvl w:val="0"/>
          <w:numId w:val="26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两次不配合查处或不如实提供有关情况和资料的（事后已纠正的</w:t>
      </w:r>
      <w:r>
        <w:rPr>
          <w:color w:val="auto"/>
          <w:spacing w:val="-120"/>
        </w:rPr>
        <w:t>）</w:t>
      </w:r>
      <w:r>
        <w:rPr>
          <w:color w:val="auto"/>
        </w:rPr>
        <w:t>。</w:t>
      </w:r>
    </w:p>
    <w:p>
      <w:pPr>
        <w:pStyle w:val="13"/>
        <w:numPr>
          <w:ilvl w:val="0"/>
          <w:numId w:val="260"/>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6232"/>
        <w:rPr>
          <w:color w:val="auto"/>
        </w:rPr>
      </w:pPr>
      <w:r>
        <w:rPr>
          <w:color w:val="auto"/>
        </w:rPr>
        <w:t>给予警告并责令改正。3、【严重】</w:t>
      </w:r>
    </w:p>
    <w:p>
      <w:pPr>
        <w:pStyle w:val="13"/>
        <w:numPr>
          <w:ilvl w:val="0"/>
          <w:numId w:val="26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拒不改正，干扰、阻碍检查导致依法检查难以进行的。</w:t>
      </w:r>
    </w:p>
    <w:p>
      <w:pPr>
        <w:pStyle w:val="13"/>
        <w:numPr>
          <w:ilvl w:val="0"/>
          <w:numId w:val="261"/>
        </w:numPr>
        <w:tabs>
          <w:tab w:val="left" w:pos="1193"/>
        </w:tabs>
        <w:spacing w:before="192" w:after="0" w:line="391" w:lineRule="auto"/>
        <w:ind w:left="591" w:right="6952" w:firstLine="0"/>
        <w:jc w:val="left"/>
        <w:rPr>
          <w:color w:val="auto"/>
          <w:sz w:val="24"/>
        </w:rPr>
      </w:pPr>
      <w:r>
        <w:rPr>
          <w:color w:val="auto"/>
          <w:sz w:val="24"/>
        </w:rPr>
        <w:t>处罚标准</w:t>
      </w:r>
      <w:r>
        <w:rPr>
          <w:color w:val="auto"/>
          <w:spacing w:val="-3"/>
          <w:sz w:val="24"/>
        </w:rPr>
        <w:t>责令停业整顿。</w:t>
      </w:r>
      <w:r>
        <w:rPr>
          <w:color w:val="auto"/>
          <w:sz w:val="24"/>
        </w:rPr>
        <w:t>4</w:t>
      </w:r>
      <w:r>
        <w:rPr>
          <w:color w:val="auto"/>
          <w:spacing w:val="-20"/>
          <w:sz w:val="24"/>
        </w:rPr>
        <w:t>、【特别严重】</w:t>
      </w:r>
    </w:p>
    <w:p>
      <w:pPr>
        <w:pStyle w:val="13"/>
        <w:numPr>
          <w:ilvl w:val="0"/>
          <w:numId w:val="262"/>
        </w:numPr>
        <w:tabs>
          <w:tab w:val="left" w:pos="1193"/>
        </w:tabs>
        <w:spacing w:before="0" w:after="0" w:line="304" w:lineRule="exact"/>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3"/>
        </w:rPr>
        <w:t>有下列情形之一的：</w:t>
      </w:r>
      <w:r>
        <w:rPr>
          <w:color w:val="auto"/>
          <w:spacing w:val="-20"/>
        </w:rPr>
        <w:t>1</w:t>
      </w:r>
      <w:r>
        <w:rPr>
          <w:color w:val="auto"/>
          <w:spacing w:val="-9"/>
        </w:rPr>
        <w:t>、威胁或者利诱执法人员；</w:t>
      </w:r>
      <w:r>
        <w:rPr>
          <w:color w:val="auto"/>
          <w:spacing w:val="-20"/>
        </w:rPr>
        <w:t>2</w:t>
      </w:r>
      <w:r>
        <w:rPr>
          <w:color w:val="auto"/>
          <w:spacing w:val="-8"/>
        </w:rPr>
        <w:t xml:space="preserve">、用暴力方式阻碍执法检查的； </w:t>
      </w:r>
      <w:r>
        <w:rPr>
          <w:color w:val="auto"/>
        </w:rPr>
        <w:t>3、拒不改正、未履行停业整顿的。</w:t>
      </w:r>
    </w:p>
    <w:p>
      <w:pPr>
        <w:pStyle w:val="13"/>
        <w:numPr>
          <w:ilvl w:val="0"/>
          <w:numId w:val="262"/>
        </w:numPr>
        <w:tabs>
          <w:tab w:val="left" w:pos="1193"/>
        </w:tabs>
        <w:spacing w:before="2" w:after="0" w:line="391" w:lineRule="auto"/>
        <w:ind w:left="591" w:right="6952" w:firstLine="0"/>
        <w:jc w:val="left"/>
        <w:rPr>
          <w:color w:val="auto"/>
          <w:sz w:val="24"/>
        </w:rPr>
      </w:pPr>
      <w:r>
        <w:rPr>
          <w:color w:val="auto"/>
          <w:sz w:val="24"/>
        </w:rPr>
        <w:t>处罚标准</w:t>
      </w:r>
      <w:r>
        <w:rPr>
          <w:color w:val="auto"/>
          <w:spacing w:val="-3"/>
          <w:sz w:val="24"/>
        </w:rPr>
        <w:t>吊销营业执照。</w:t>
      </w:r>
    </w:p>
    <w:p>
      <w:pPr>
        <w:pStyle w:val="2"/>
        <w:spacing w:line="306" w:lineRule="exact"/>
        <w:rPr>
          <w:color w:val="auto"/>
        </w:rPr>
      </w:pPr>
      <w:bookmarkStart w:id="609" w:name="二百九十六、产品质量检验机构、认证机构伪造检验结果或者出具虚假证明"/>
      <w:bookmarkEnd w:id="609"/>
      <w:bookmarkStart w:id="610" w:name="_bookmark304"/>
      <w:bookmarkEnd w:id="610"/>
      <w:r>
        <w:rPr>
          <w:color w:val="auto"/>
        </w:rPr>
        <w:t>二百九十六、产品质量检验机构、认证机构伪造检验结果或者出具虚假证明</w:t>
      </w:r>
    </w:p>
    <w:p>
      <w:pPr>
        <w:spacing w:before="192"/>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32" w:firstLine="470"/>
        <w:jc w:val="both"/>
        <w:rPr>
          <w:color w:val="auto"/>
        </w:rPr>
      </w:pPr>
      <w:r>
        <w:rPr>
          <w:color w:val="auto"/>
        </w:rPr>
        <w:t>《中华人民共和国产品质量法》第五十七条第一款“产品质量检验机构、认证机构伪造检验结果或者出具虚假证明的，责令改正，对单位处五万元以上十万元以下的罚款，对直接负责的主管人员和其他直接责任人员处一万元以上五万元以下的罚款； 有违法所得的，并处没收违法所得；情节严重的，取消其检验资格、认证资格；构成犯罪的，依法追究刑事责任。”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6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初次违法且情节轻微的。</w:t>
      </w:r>
    </w:p>
    <w:p>
      <w:pPr>
        <w:pStyle w:val="13"/>
        <w:numPr>
          <w:ilvl w:val="0"/>
          <w:numId w:val="26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10"/>
        </w:rPr>
        <w:t xml:space="preserve">责令改正，对单位处 </w:t>
      </w:r>
      <w:r>
        <w:rPr>
          <w:color w:val="auto"/>
        </w:rPr>
        <w:t>5</w:t>
      </w:r>
      <w:r>
        <w:rPr>
          <w:color w:val="auto"/>
          <w:spacing w:val="-20"/>
        </w:rPr>
        <w:t xml:space="preserve"> 万元以上 </w:t>
      </w:r>
      <w:r>
        <w:rPr>
          <w:color w:val="auto"/>
        </w:rPr>
        <w:t>6</w:t>
      </w:r>
      <w:r>
        <w:rPr>
          <w:color w:val="auto"/>
          <w:spacing w:val="-9"/>
        </w:rPr>
        <w:t xml:space="preserve"> 万元以下的罚款，对直接负责的主管人员和其</w:t>
      </w:r>
    </w:p>
    <w:p>
      <w:pPr>
        <w:pStyle w:val="4"/>
        <w:spacing w:before="192" w:line="388" w:lineRule="auto"/>
        <w:ind w:left="591" w:right="148" w:hanging="480"/>
        <w:rPr>
          <w:color w:val="auto"/>
        </w:rPr>
      </w:pPr>
      <w:r>
        <w:rPr>
          <w:color w:val="auto"/>
          <w:spacing w:val="-7"/>
        </w:rPr>
        <w:t xml:space="preserve">他直接责任人员处 </w:t>
      </w:r>
      <w:r>
        <w:rPr>
          <w:color w:val="auto"/>
        </w:rPr>
        <w:t>1</w:t>
      </w:r>
      <w:r>
        <w:rPr>
          <w:color w:val="auto"/>
          <w:spacing w:val="-20"/>
        </w:rPr>
        <w:t xml:space="preserve"> 万元以上 </w:t>
      </w:r>
      <w:r>
        <w:rPr>
          <w:color w:val="auto"/>
        </w:rPr>
        <w:t>2</w:t>
      </w:r>
      <w:r>
        <w:rPr>
          <w:color w:val="auto"/>
          <w:spacing w:val="-16"/>
        </w:rPr>
        <w:t xml:space="preserve"> 万元以下的罚款；有违法所得的，并处没收违法所得。</w:t>
      </w:r>
      <w:r>
        <w:rPr>
          <w:color w:val="auto"/>
        </w:rPr>
        <w:t>2</w:t>
      </w:r>
      <w:r>
        <w:rPr>
          <w:color w:val="auto"/>
          <w:spacing w:val="-24"/>
        </w:rPr>
        <w:t>、【一般】</w:t>
      </w:r>
    </w:p>
    <w:p>
      <w:pPr>
        <w:pStyle w:val="13"/>
        <w:numPr>
          <w:ilvl w:val="0"/>
          <w:numId w:val="26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初次违法且尚未造成严重后果或社会影响的。</w:t>
      </w:r>
    </w:p>
    <w:p>
      <w:pPr>
        <w:pStyle w:val="13"/>
        <w:numPr>
          <w:ilvl w:val="0"/>
          <w:numId w:val="26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12"/>
        </w:rPr>
        <w:t xml:space="preserve">对单位处 </w:t>
      </w:r>
      <w:r>
        <w:rPr>
          <w:color w:val="auto"/>
        </w:rPr>
        <w:t>6</w:t>
      </w:r>
      <w:r>
        <w:rPr>
          <w:color w:val="auto"/>
          <w:spacing w:val="-20"/>
        </w:rPr>
        <w:t xml:space="preserve"> 万元以上 </w:t>
      </w:r>
      <w:r>
        <w:rPr>
          <w:color w:val="auto"/>
        </w:rPr>
        <w:t>8</w:t>
      </w:r>
      <w:r>
        <w:rPr>
          <w:color w:val="auto"/>
          <w:spacing w:val="-10"/>
        </w:rPr>
        <w:t xml:space="preserve"> 万元以下的罚款，对对直接负责的主管人员和其他直接责</w:t>
      </w:r>
    </w:p>
    <w:p>
      <w:pPr>
        <w:pStyle w:val="4"/>
        <w:spacing w:before="192" w:line="388" w:lineRule="auto"/>
        <w:ind w:left="591" w:right="4792" w:hanging="480"/>
        <w:rPr>
          <w:color w:val="auto"/>
        </w:rPr>
      </w:pPr>
      <w:r>
        <w:rPr>
          <w:color w:val="auto"/>
          <w:spacing w:val="-12"/>
        </w:rPr>
        <w:t xml:space="preserve">任人员处 </w:t>
      </w:r>
      <w:r>
        <w:rPr>
          <w:color w:val="auto"/>
        </w:rPr>
        <w:t>2</w:t>
      </w:r>
      <w:r>
        <w:rPr>
          <w:color w:val="auto"/>
          <w:spacing w:val="-20"/>
        </w:rPr>
        <w:t xml:space="preserve"> 万元以上 </w:t>
      </w:r>
      <w:r>
        <w:rPr>
          <w:color w:val="auto"/>
        </w:rPr>
        <w:t>3</w:t>
      </w:r>
      <w:r>
        <w:rPr>
          <w:color w:val="auto"/>
          <w:spacing w:val="-9"/>
        </w:rPr>
        <w:t xml:space="preserve"> 万元以下的罚款。</w:t>
      </w:r>
      <w:r>
        <w:rPr>
          <w:color w:val="auto"/>
        </w:rPr>
        <w:t>3</w:t>
      </w:r>
      <w:r>
        <w:rPr>
          <w:color w:val="auto"/>
          <w:spacing w:val="-24"/>
        </w:rPr>
        <w:t>、【严重】</w:t>
      </w:r>
    </w:p>
    <w:p>
      <w:pPr>
        <w:pStyle w:val="13"/>
        <w:numPr>
          <w:ilvl w:val="0"/>
          <w:numId w:val="26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2" w:firstLine="480"/>
        <w:rPr>
          <w:color w:val="auto"/>
        </w:rPr>
      </w:pPr>
      <w:r>
        <w:rPr>
          <w:color w:val="auto"/>
        </w:rPr>
        <w:t>有下列情形之一的：1、屡教不改，经查后再犯的；2、造成严重后果或严重负面社会影响的；3、具有其他严重情形的。</w:t>
      </w:r>
    </w:p>
    <w:p>
      <w:pPr>
        <w:pStyle w:val="13"/>
        <w:numPr>
          <w:ilvl w:val="0"/>
          <w:numId w:val="265"/>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对单位处 8 万以上 10 万元以下的罚款，对直接负责的主管人员和其他直接责任</w:t>
      </w:r>
    </w:p>
    <w:p>
      <w:pPr>
        <w:pStyle w:val="4"/>
        <w:spacing w:before="192"/>
        <w:rPr>
          <w:color w:val="auto"/>
        </w:rPr>
      </w:pPr>
      <w:r>
        <w:rPr>
          <w:color w:val="auto"/>
        </w:rPr>
        <w:t>人员处 3 万元以上 5 万元以下的罚款；取消检验资格、认证资格。</w:t>
      </w:r>
    </w:p>
    <w:p>
      <w:pPr>
        <w:pStyle w:val="2"/>
        <w:spacing w:before="194" w:line="388" w:lineRule="auto"/>
        <w:ind w:left="111" w:right="240" w:firstLine="480"/>
        <w:rPr>
          <w:color w:val="auto"/>
        </w:rPr>
      </w:pPr>
      <w:bookmarkStart w:id="611" w:name="二百九十七、产品质量检验机构、认证机构出具的检验结果或者证明不实，造成损失"/>
      <w:bookmarkEnd w:id="611"/>
      <w:bookmarkStart w:id="612" w:name="_bookmark305"/>
      <w:bookmarkEnd w:id="612"/>
      <w:r>
        <w:rPr>
          <w:color w:val="auto"/>
          <w:spacing w:val="-7"/>
        </w:rPr>
        <w:t>二百九十七、产品质量检验机构、认证机构出具的检验结果或者证明不实，造成损失</w:t>
      </w:r>
    </w:p>
    <w:p>
      <w:pPr>
        <w:spacing w:before="2"/>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68" w:firstLine="470"/>
        <w:jc w:val="both"/>
        <w:rPr>
          <w:color w:val="auto"/>
        </w:rPr>
      </w:pPr>
      <w:r>
        <w:rPr>
          <w:color w:val="auto"/>
          <w:spacing w:val="-4"/>
        </w:rPr>
        <w:t>《中华人民共和国产品质量法》第五十七条第二款“产品质量检验机构、认证机构出具的检验结果或者证明不实，造成损失的，应当承担相应的赔偿责任；造成重大</w:t>
      </w:r>
      <w:r>
        <w:rPr>
          <w:color w:val="auto"/>
        </w:rPr>
        <w:t>损失的，撤销其检验资格、认证资格。”</w:t>
      </w:r>
    </w:p>
    <w:p>
      <w:pPr>
        <w:pStyle w:val="2"/>
        <w:spacing w:line="304" w:lineRule="exact"/>
        <w:rPr>
          <w:color w:val="auto"/>
        </w:rPr>
      </w:pPr>
      <w:r>
        <w:rPr>
          <w:color w:val="auto"/>
        </w:rPr>
        <w:t>（二）裁量标准</w:t>
      </w:r>
    </w:p>
    <w:p>
      <w:pPr>
        <w:pStyle w:val="4"/>
        <w:spacing w:before="195"/>
        <w:ind w:left="591"/>
        <w:rPr>
          <w:color w:val="auto"/>
        </w:rPr>
      </w:pPr>
      <w:r>
        <w:rPr>
          <w:color w:val="auto"/>
        </w:rPr>
        <w:t>【严重】</w:t>
      </w:r>
    </w:p>
    <w:p>
      <w:pPr>
        <w:pStyle w:val="13"/>
        <w:numPr>
          <w:ilvl w:val="0"/>
          <w:numId w:val="266"/>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有下列情形之一的：1、造成重大财产损失的；2、造成严重负面社会影响的。</w:t>
      </w:r>
    </w:p>
    <w:p>
      <w:pPr>
        <w:pStyle w:val="13"/>
        <w:numPr>
          <w:ilvl w:val="0"/>
          <w:numId w:val="26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撤销其检验资格、认证资格。</w:t>
      </w:r>
    </w:p>
    <w:p>
      <w:pPr>
        <w:pStyle w:val="2"/>
        <w:spacing w:before="191" w:line="391" w:lineRule="auto"/>
        <w:ind w:left="111" w:right="237" w:firstLine="480"/>
        <w:rPr>
          <w:color w:val="auto"/>
        </w:rPr>
      </w:pPr>
      <w:bookmarkStart w:id="613" w:name="二百九十八、产品质量认证机构违反规定，对不符合认证标准而使用认证标志的产品，未依"/>
      <w:bookmarkEnd w:id="613"/>
      <w:bookmarkStart w:id="614" w:name="_bookmark306"/>
      <w:bookmarkEnd w:id="614"/>
      <w:r>
        <w:rPr>
          <w:color w:val="auto"/>
          <w:spacing w:val="-8"/>
        </w:rPr>
        <w:t>二百九十八、产品质量认证机构违反规定，对不符合认证标准而使用认证标志的产品，未依法要求其改正或者取消其使用认证标志资格</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1、《中华人民共和国产品质量法》第五十七条第三款“产品质量认证机构违反</w:t>
      </w:r>
      <w:r>
        <w:rPr>
          <w:color w:val="auto"/>
          <w:spacing w:val="-4"/>
        </w:rPr>
        <w:t>本法第二十一条第二款的规定，对不符合认证标准而使用认证标志的产品，未依法要</w:t>
      </w:r>
      <w:r>
        <w:rPr>
          <w:color w:val="auto"/>
          <w:spacing w:val="-3"/>
        </w:rPr>
        <w:t>求其改正或者取消其使用认证标志资格的，对因产品不符合认证标准给消费者造成的</w:t>
      </w:r>
      <w:r>
        <w:rPr>
          <w:color w:val="auto"/>
        </w:rPr>
        <w:fldChar w:fldCharType="begin"/>
      </w:r>
      <w:r>
        <w:rPr>
          <w:color w:val="auto"/>
        </w:rPr>
        <w:instrText xml:space="preserve"> HYPERLINK "http://baike.baidu.com/view/278880.htm" \h </w:instrText>
      </w:r>
      <w:r>
        <w:rPr>
          <w:color w:val="auto"/>
        </w:rPr>
        <w:fldChar w:fldCharType="separate"/>
      </w:r>
      <w:r>
        <w:rPr>
          <w:color w:val="auto"/>
        </w:rPr>
        <w:t>损失，与产品的生产者、销售者承担连带责任</w:t>
      </w:r>
      <w:r>
        <w:rPr>
          <w:color w:val="auto"/>
        </w:rPr>
        <w:fldChar w:fldCharType="end"/>
      </w:r>
      <w:r>
        <w:rPr>
          <w:color w:val="auto"/>
        </w:rPr>
        <w:t>；情节严重的，撤销其认证资格。”</w:t>
      </w:r>
    </w:p>
    <w:p>
      <w:pPr>
        <w:pStyle w:val="4"/>
        <w:spacing w:line="388" w:lineRule="auto"/>
        <w:ind w:right="268" w:firstLine="480"/>
        <w:jc w:val="both"/>
        <w:rPr>
          <w:color w:val="auto"/>
        </w:rPr>
      </w:pPr>
      <w:r>
        <w:rPr>
          <w:color w:val="auto"/>
        </w:rPr>
        <w:t>2、《中华人民共和国产品质量法》第二十一条第二款“产品质量认证机构应当</w:t>
      </w:r>
      <w:r>
        <w:rPr>
          <w:color w:val="auto"/>
          <w:spacing w:val="-3"/>
        </w:rPr>
        <w:t>依照国家规定对准许使用认证标志的产品进行认证后的跟踪检查；对不符合认证标准</w:t>
      </w:r>
      <w:r>
        <w:rPr>
          <w:color w:val="auto"/>
        </w:rPr>
        <w:t>而使用认证标志的，要求其改正；情节严重的，取消其使用认证标志的资格。”</w:t>
      </w:r>
    </w:p>
    <w:p>
      <w:pPr>
        <w:pStyle w:val="2"/>
        <w:spacing w:before="2"/>
        <w:rPr>
          <w:color w:val="auto"/>
        </w:rPr>
      </w:pPr>
      <w:r>
        <w:rPr>
          <w:color w:val="auto"/>
        </w:rPr>
        <w:t>（二）裁量标准</w:t>
      </w:r>
    </w:p>
    <w:p>
      <w:pPr>
        <w:pStyle w:val="4"/>
        <w:spacing w:before="192"/>
        <w:ind w:left="591"/>
        <w:rPr>
          <w:color w:val="auto"/>
        </w:rPr>
      </w:pPr>
      <w:r>
        <w:rPr>
          <w:color w:val="auto"/>
        </w:rPr>
        <w:t>【严重】</w:t>
      </w:r>
    </w:p>
    <w:p>
      <w:pPr>
        <w:pStyle w:val="13"/>
        <w:numPr>
          <w:ilvl w:val="0"/>
          <w:numId w:val="26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有下列情形之一的：1、给有关单位造成重大损失或重大影响等严重后果的；2、屡次违法或拒不改正的。</w:t>
      </w:r>
    </w:p>
    <w:p>
      <w:pPr>
        <w:pStyle w:val="13"/>
        <w:numPr>
          <w:ilvl w:val="0"/>
          <w:numId w:val="26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取消其使用认证标志资格。</w:t>
      </w:r>
    </w:p>
    <w:p>
      <w:pPr>
        <w:pStyle w:val="2"/>
        <w:spacing w:before="192" w:line="388" w:lineRule="auto"/>
        <w:ind w:left="111" w:right="237" w:firstLine="480"/>
        <w:rPr>
          <w:color w:val="auto"/>
        </w:rPr>
      </w:pPr>
      <w:bookmarkStart w:id="615" w:name="_bookmark307"/>
      <w:bookmarkEnd w:id="615"/>
      <w:bookmarkStart w:id="616" w:name="二百九十九、知道或者应当知道产品质量法规定禁止生产、销售的产品而为其提供运输、保"/>
      <w:bookmarkEnd w:id="616"/>
      <w:r>
        <w:rPr>
          <w:color w:val="auto"/>
          <w:spacing w:val="-7"/>
        </w:rPr>
        <w:t>二百九十九、知道或者应当知道产品质量法规定禁止生产、销售的产品而为其提供运输、保管、仓储等便利条件，或者为以假充真的产品提供制假生产技术</w:t>
      </w:r>
    </w:p>
    <w:p>
      <w:pPr>
        <w:spacing w:after="0" w:line="388" w:lineRule="auto"/>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91" w:lineRule="auto"/>
        <w:ind w:right="268" w:firstLine="470"/>
        <w:jc w:val="both"/>
        <w:rPr>
          <w:color w:val="auto"/>
        </w:rPr>
      </w:pPr>
      <w:r>
        <w:rPr>
          <w:color w:val="auto"/>
        </w:rPr>
        <w:t>1、《中华人民共和国产品质量法》第六十一条“知道或者应当知道属于本法规</w:t>
      </w:r>
      <w:r>
        <w:rPr>
          <w:color w:val="auto"/>
          <w:spacing w:val="-6"/>
        </w:rPr>
        <w:t>定禁止生产、销售的产品而为其提供运输、保管、仓储等便利条件的，或者为以假充</w:t>
      </w:r>
      <w:r>
        <w:rPr>
          <w:color w:val="auto"/>
          <w:spacing w:val="-4"/>
        </w:rPr>
        <w:t>真的产品提供制假生产技术的，没收全部运输、保管、仓储或者提供制假生产技术的</w:t>
      </w:r>
      <w:r>
        <w:rPr>
          <w:color w:val="auto"/>
          <w:spacing w:val="-6"/>
        </w:rPr>
        <w:t>收入，并处违法收入百分之五十以上三倍以下的罚款；构成犯罪的，依法追究刑事责</w:t>
      </w:r>
      <w:r>
        <w:rPr>
          <w:color w:val="auto"/>
        </w:rPr>
        <w:t>任。</w:t>
      </w:r>
    </w:p>
    <w:p>
      <w:pPr>
        <w:pStyle w:val="4"/>
        <w:spacing w:line="391" w:lineRule="auto"/>
        <w:ind w:right="266" w:firstLine="470"/>
        <w:jc w:val="both"/>
        <w:rPr>
          <w:color w:val="auto"/>
        </w:rPr>
      </w:pPr>
      <w:r>
        <w:rPr>
          <w:color w:val="auto"/>
        </w:rPr>
        <w:t>2</w:t>
      </w:r>
      <w:r>
        <w:rPr>
          <w:color w:val="auto"/>
          <w:spacing w:val="-6"/>
        </w:rPr>
        <w:t>、《山东省实施&lt;中华人民共和国产品质量法〉办法》第三十二条“违反本办法</w:t>
      </w:r>
      <w:r>
        <w:rPr>
          <w:color w:val="auto"/>
          <w:spacing w:val="-1"/>
        </w:rPr>
        <w:t>第二十七条第二款第</w:t>
      </w:r>
      <w:r>
        <w:rPr>
          <w:color w:val="auto"/>
        </w:rPr>
        <w:t>（一</w:t>
      </w:r>
      <w:r>
        <w:rPr>
          <w:color w:val="auto"/>
          <w:spacing w:val="-3"/>
        </w:rPr>
        <w:t>）</w:t>
      </w:r>
      <w:r>
        <w:rPr>
          <w:color w:val="auto"/>
          <w:spacing w:val="-10"/>
        </w:rPr>
        <w:t>、</w:t>
      </w:r>
      <w:r>
        <w:rPr>
          <w:color w:val="auto"/>
        </w:rPr>
        <w:t>（二</w:t>
      </w:r>
      <w:r>
        <w:rPr>
          <w:color w:val="auto"/>
          <w:spacing w:val="-5"/>
        </w:rPr>
        <w:t>）</w:t>
      </w:r>
      <w:r>
        <w:rPr>
          <w:color w:val="auto"/>
          <w:spacing w:val="-4"/>
        </w:rPr>
        <w:t>项规定的，责令改正，没收违法所得，并处违法</w:t>
      </w:r>
      <w:r>
        <w:rPr>
          <w:color w:val="auto"/>
        </w:rPr>
        <w:t>所得百分之五十以上三倍以下的罚款。</w:t>
      </w:r>
    </w:p>
    <w:p>
      <w:pPr>
        <w:pStyle w:val="4"/>
        <w:spacing w:line="391" w:lineRule="auto"/>
        <w:ind w:right="266" w:firstLine="470"/>
        <w:jc w:val="both"/>
        <w:rPr>
          <w:color w:val="auto"/>
        </w:rPr>
      </w:pPr>
      <w:r>
        <w:rPr>
          <w:color w:val="auto"/>
          <w:spacing w:val="-1"/>
        </w:rPr>
        <w:t>违反本办法第二十七条第二款第</w:t>
      </w:r>
      <w:r>
        <w:rPr>
          <w:color w:val="auto"/>
        </w:rPr>
        <w:t>（三</w:t>
      </w:r>
      <w:r>
        <w:rPr>
          <w:color w:val="auto"/>
          <w:spacing w:val="-5"/>
        </w:rPr>
        <w:t>）</w:t>
      </w:r>
      <w:r>
        <w:rPr>
          <w:color w:val="auto"/>
          <w:spacing w:val="-4"/>
        </w:rPr>
        <w:t>项规定的，责令改正，没收违法标识、包装物及专门用于制作违法标识、包装物的生产工具、原辅材料及半成品，处以违法标</w:t>
      </w:r>
      <w:r>
        <w:rPr>
          <w:color w:val="auto"/>
          <w:spacing w:val="-6"/>
        </w:rPr>
        <w:t>识、包装物货值金额百分之五十以上三倍以下的罚款；有违法所得的，并处没收违法</w:t>
      </w:r>
      <w:r>
        <w:rPr>
          <w:color w:val="auto"/>
        </w:rPr>
        <w:t>所得”。</w:t>
      </w:r>
    </w:p>
    <w:p>
      <w:pPr>
        <w:pStyle w:val="4"/>
        <w:spacing w:line="388" w:lineRule="auto"/>
        <w:ind w:right="266" w:firstLine="470"/>
        <w:jc w:val="both"/>
        <w:rPr>
          <w:color w:val="auto"/>
        </w:rPr>
      </w:pPr>
      <w:r>
        <w:rPr>
          <w:color w:val="auto"/>
        </w:rPr>
        <w:t>3</w:t>
      </w:r>
      <w:r>
        <w:rPr>
          <w:color w:val="auto"/>
          <w:spacing w:val="-6"/>
        </w:rPr>
        <w:t>、《山东省实施&lt;中华人民共和国产品质量法〉办法》第二十七条第二款“知道</w:t>
      </w:r>
      <w:r>
        <w:rPr>
          <w:color w:val="auto"/>
          <w:spacing w:val="-5"/>
        </w:rPr>
        <w:t>或者应当知道他人生产、销售国家禁止生产、销售的产品，并有下列情形之一的，属</w:t>
      </w:r>
      <w:r>
        <w:rPr>
          <w:color w:val="auto"/>
        </w:rPr>
        <w:t>于为其提供便利条件：</w:t>
      </w:r>
    </w:p>
    <w:p>
      <w:pPr>
        <w:pStyle w:val="4"/>
        <w:ind w:left="581"/>
        <w:rPr>
          <w:color w:val="auto"/>
        </w:rPr>
      </w:pPr>
      <w:r>
        <w:rPr>
          <w:color w:val="auto"/>
        </w:rPr>
        <w:t>（一）提供场地、设备或者仓储、保管及运输等服务的；</w:t>
      </w:r>
    </w:p>
    <w:p>
      <w:pPr>
        <w:pStyle w:val="4"/>
        <w:spacing w:before="182"/>
        <w:ind w:left="581"/>
        <w:rPr>
          <w:color w:val="auto"/>
        </w:rPr>
      </w:pPr>
      <w:r>
        <w:rPr>
          <w:color w:val="auto"/>
        </w:rPr>
        <w:t>（二）提供票据、帐号、虚假证明或者代签合同的；</w:t>
      </w:r>
    </w:p>
    <w:p>
      <w:pPr>
        <w:pStyle w:val="4"/>
        <w:spacing w:before="192"/>
        <w:ind w:left="581"/>
        <w:rPr>
          <w:color w:val="auto"/>
        </w:rPr>
      </w:pPr>
      <w:r>
        <w:rPr>
          <w:color w:val="auto"/>
        </w:rPr>
        <w:t>（三）制作、销售或者提供标识、包装物的；</w:t>
      </w:r>
    </w:p>
    <w:p>
      <w:pPr>
        <w:pStyle w:val="4"/>
        <w:spacing w:before="194"/>
        <w:ind w:left="581"/>
        <w:rPr>
          <w:color w:val="auto"/>
        </w:rPr>
      </w:pPr>
      <w:r>
        <w:rPr>
          <w:color w:val="auto"/>
        </w:rPr>
        <w:t>（四）提供其他便利条件的”。</w:t>
      </w:r>
    </w:p>
    <w:p>
      <w:pPr>
        <w:spacing w:before="192"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68"/>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71" w:firstLine="480"/>
        <w:jc w:val="both"/>
        <w:rPr>
          <w:color w:val="auto"/>
        </w:rPr>
      </w:pPr>
      <w:r>
        <w:rPr>
          <w:color w:val="auto"/>
        </w:rPr>
        <w:t>有下列情形之一的：1、虽已经提供了运输、保管、仓储服务，但被提供人尚未使用的；2、积极配合检查并提供相关资料，主动交出运输、保管、仓储的产品，并主动消除或减轻违法行为危害结果的。</w:t>
      </w:r>
    </w:p>
    <w:p>
      <w:pPr>
        <w:pStyle w:val="13"/>
        <w:numPr>
          <w:ilvl w:val="0"/>
          <w:numId w:val="268"/>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没收全部运输、保管、仓储或者提供制假生产技术的收入，并处违法收入 50%以</w:t>
      </w:r>
    </w:p>
    <w:p>
      <w:pPr>
        <w:spacing w:after="0"/>
        <w:rPr>
          <w:color w:val="auto"/>
        </w:rPr>
        <w:sectPr>
          <w:pgSz w:w="11910" w:h="16840"/>
          <w:pgMar w:top="1520" w:right="1260" w:bottom="1220" w:left="1420" w:header="0" w:footer="1034" w:gutter="0"/>
        </w:sectPr>
      </w:pPr>
    </w:p>
    <w:p>
      <w:pPr>
        <w:pStyle w:val="4"/>
        <w:spacing w:before="39" w:line="391" w:lineRule="auto"/>
        <w:ind w:left="591" w:right="6952" w:hanging="480"/>
        <w:rPr>
          <w:color w:val="auto"/>
        </w:rPr>
      </w:pPr>
      <w:r>
        <w:rPr>
          <w:color w:val="auto"/>
          <w:spacing w:val="-30"/>
        </w:rPr>
        <w:t xml:space="preserve">上 </w:t>
      </w:r>
      <w:r>
        <w:rPr>
          <w:color w:val="auto"/>
        </w:rPr>
        <w:t>1</w:t>
      </w:r>
      <w:r>
        <w:rPr>
          <w:color w:val="auto"/>
          <w:spacing w:val="-10"/>
        </w:rPr>
        <w:t xml:space="preserve"> 倍以下的罚款。</w:t>
      </w:r>
      <w:r>
        <w:rPr>
          <w:color w:val="auto"/>
        </w:rPr>
        <w:t>2</w:t>
      </w:r>
      <w:r>
        <w:rPr>
          <w:color w:val="auto"/>
          <w:spacing w:val="-24"/>
        </w:rPr>
        <w:t>、【一般】</w:t>
      </w:r>
    </w:p>
    <w:p>
      <w:pPr>
        <w:pStyle w:val="13"/>
        <w:numPr>
          <w:ilvl w:val="0"/>
          <w:numId w:val="26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有下列情形之一的：1、两次为《产品质量法》第五十条至第五十四条所规定的禁止生产、销售的产品提供运输、保管、仓储等便利条件的；2、两次为冒充同类产品提供制假生产技术的。</w:t>
      </w:r>
    </w:p>
    <w:p>
      <w:pPr>
        <w:pStyle w:val="13"/>
        <w:numPr>
          <w:ilvl w:val="0"/>
          <w:numId w:val="269"/>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ind w:left="591"/>
        <w:rPr>
          <w:color w:val="auto"/>
        </w:rPr>
      </w:pPr>
      <w:r>
        <w:rPr>
          <w:color w:val="auto"/>
        </w:rPr>
        <w:t>没收全部运输、保管、仓储或者提供制假生产技术的收入，并处违法收入 1 倍以</w:t>
      </w:r>
    </w:p>
    <w:p>
      <w:pPr>
        <w:pStyle w:val="4"/>
        <w:spacing w:before="192" w:line="388" w:lineRule="auto"/>
        <w:ind w:left="591" w:right="6712" w:hanging="480"/>
        <w:rPr>
          <w:color w:val="auto"/>
        </w:rPr>
      </w:pPr>
      <w:r>
        <w:rPr>
          <w:color w:val="auto"/>
          <w:spacing w:val="-30"/>
        </w:rPr>
        <w:t xml:space="preserve">上 </w:t>
      </w:r>
      <w:r>
        <w:rPr>
          <w:color w:val="auto"/>
        </w:rPr>
        <w:t>1.5</w:t>
      </w:r>
      <w:r>
        <w:rPr>
          <w:color w:val="auto"/>
          <w:spacing w:val="-10"/>
        </w:rPr>
        <w:t xml:space="preserve"> 倍以下的罚款。</w:t>
      </w:r>
      <w:r>
        <w:rPr>
          <w:color w:val="auto"/>
        </w:rPr>
        <w:t>3</w:t>
      </w:r>
      <w:r>
        <w:rPr>
          <w:color w:val="auto"/>
          <w:spacing w:val="-24"/>
        </w:rPr>
        <w:t>、【较重】</w:t>
      </w:r>
    </w:p>
    <w:p>
      <w:pPr>
        <w:pStyle w:val="13"/>
        <w:numPr>
          <w:ilvl w:val="0"/>
          <w:numId w:val="27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有下列情形之一的：1、多次为禁止生产、销售的产品提供运输、保管、仓储等便利条件的；2、多次为冒充同类产品提供制假生产技术的。</w:t>
      </w:r>
    </w:p>
    <w:p>
      <w:pPr>
        <w:pStyle w:val="13"/>
        <w:numPr>
          <w:ilvl w:val="0"/>
          <w:numId w:val="270"/>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没收全部运输、保管、仓储或者提供制假生产技术的收入，并处违法收入 1.5 倍</w:t>
      </w:r>
    </w:p>
    <w:p>
      <w:pPr>
        <w:pStyle w:val="4"/>
        <w:spacing w:before="192" w:line="391" w:lineRule="auto"/>
        <w:ind w:left="591" w:right="6712" w:hanging="480"/>
        <w:rPr>
          <w:color w:val="auto"/>
        </w:rPr>
      </w:pPr>
      <w:r>
        <w:rPr>
          <w:color w:val="auto"/>
          <w:spacing w:val="-20"/>
        </w:rPr>
        <w:t xml:space="preserve">以上 </w:t>
      </w:r>
      <w:r>
        <w:rPr>
          <w:color w:val="auto"/>
        </w:rPr>
        <w:t>2</w:t>
      </w:r>
      <w:r>
        <w:rPr>
          <w:color w:val="auto"/>
          <w:spacing w:val="-10"/>
        </w:rPr>
        <w:t xml:space="preserve"> 倍以下的罚款。</w:t>
      </w:r>
      <w:r>
        <w:rPr>
          <w:color w:val="auto"/>
        </w:rPr>
        <w:t>4</w:t>
      </w:r>
      <w:r>
        <w:rPr>
          <w:color w:val="auto"/>
          <w:spacing w:val="-24"/>
        </w:rPr>
        <w:t>、【严重】</w:t>
      </w:r>
    </w:p>
    <w:p>
      <w:pPr>
        <w:pStyle w:val="13"/>
        <w:numPr>
          <w:ilvl w:val="0"/>
          <w:numId w:val="27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rPr>
        <w:t>有下列情形之一的：1、为《产品质量法》第四十九条所规定的禁止生产、销售的产品提供运输、保管、仓储等便利条件，且有关产品已经流出的；2、为以此产品</w:t>
      </w:r>
      <w:r>
        <w:rPr>
          <w:color w:val="auto"/>
          <w:spacing w:val="-6"/>
        </w:rPr>
        <w:t>冒充彼产品，或以普通产品冒充名牌产品、地理标志保护产品等名优产品提供制假生</w:t>
      </w:r>
      <w:r>
        <w:rPr>
          <w:color w:val="auto"/>
          <w:spacing w:val="-1"/>
        </w:rPr>
        <w:t>产技术的；</w:t>
      </w:r>
      <w:r>
        <w:rPr>
          <w:color w:val="auto"/>
          <w:spacing w:val="-4"/>
        </w:rPr>
        <w:t>3、不配合检查、阻碍执法或造成一定影响和危害后果的；4</w:t>
      </w:r>
      <w:r>
        <w:rPr>
          <w:color w:val="auto"/>
          <w:spacing w:val="-5"/>
        </w:rPr>
        <w:t>、经查处后再</w:t>
      </w:r>
      <w:r>
        <w:rPr>
          <w:color w:val="auto"/>
        </w:rPr>
        <w:t>犯的。</w:t>
      </w:r>
    </w:p>
    <w:p>
      <w:pPr>
        <w:pStyle w:val="13"/>
        <w:numPr>
          <w:ilvl w:val="0"/>
          <w:numId w:val="271"/>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没收全部运输、保管、仓储或者提供制假生产技术的收入，并处违法收入 2 倍以</w:t>
      </w:r>
    </w:p>
    <w:p>
      <w:pPr>
        <w:pStyle w:val="4"/>
        <w:spacing w:before="195" w:line="388" w:lineRule="auto"/>
        <w:ind w:left="591" w:right="6712" w:hanging="480"/>
        <w:rPr>
          <w:color w:val="auto"/>
        </w:rPr>
      </w:pPr>
      <w:r>
        <w:rPr>
          <w:color w:val="auto"/>
          <w:spacing w:val="-30"/>
        </w:rPr>
        <w:t xml:space="preserve">上 </w:t>
      </w:r>
      <w:r>
        <w:rPr>
          <w:color w:val="auto"/>
        </w:rPr>
        <w:t>2.5</w:t>
      </w:r>
      <w:r>
        <w:rPr>
          <w:color w:val="auto"/>
          <w:spacing w:val="-10"/>
        </w:rPr>
        <w:t xml:space="preserve"> 倍以下的罚款。</w:t>
      </w:r>
      <w:r>
        <w:rPr>
          <w:color w:val="auto"/>
        </w:rPr>
        <w:t>5</w:t>
      </w:r>
      <w:r>
        <w:rPr>
          <w:color w:val="auto"/>
          <w:spacing w:val="-18"/>
        </w:rPr>
        <w:t>、【特别严重】</w:t>
      </w:r>
    </w:p>
    <w:p>
      <w:pPr>
        <w:pStyle w:val="13"/>
        <w:numPr>
          <w:ilvl w:val="0"/>
          <w:numId w:val="272"/>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有下列情形之一的：1、造成重大社会影响和危害后果的；2、多次被查处的。</w:t>
      </w:r>
    </w:p>
    <w:p>
      <w:pPr>
        <w:pStyle w:val="13"/>
        <w:numPr>
          <w:ilvl w:val="0"/>
          <w:numId w:val="272"/>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没收全部运输、保管、仓储或者提供制假生产技术的收入，并处违法收入 2.5 倍</w:t>
      </w:r>
    </w:p>
    <w:p>
      <w:pPr>
        <w:pStyle w:val="4"/>
        <w:spacing w:before="192"/>
        <w:rPr>
          <w:color w:val="auto"/>
        </w:rPr>
      </w:pPr>
      <w:r>
        <w:rPr>
          <w:color w:val="auto"/>
        </w:rPr>
        <w:t>以上 3 倍以下的罚款。</w:t>
      </w:r>
    </w:p>
    <w:p>
      <w:pPr>
        <w:pStyle w:val="2"/>
        <w:spacing w:before="194" w:line="388" w:lineRule="auto"/>
        <w:ind w:left="111" w:right="241" w:firstLine="480"/>
        <w:rPr>
          <w:color w:val="auto"/>
        </w:rPr>
      </w:pPr>
      <w:bookmarkStart w:id="617" w:name="三百、服务业的经营者对知道或者应当知道所使用的产品属于《产品质量法》规定禁止销售"/>
      <w:bookmarkEnd w:id="617"/>
      <w:bookmarkStart w:id="618" w:name="_bookmark308"/>
      <w:bookmarkEnd w:id="618"/>
      <w:r>
        <w:rPr>
          <w:color w:val="auto"/>
          <w:spacing w:val="-7"/>
        </w:rPr>
        <w:t>三百、服务业的经营者对知道或者应当知道所使用的产品属于《产品质量法》规定禁止销售的产品用于经营性服务</w:t>
      </w:r>
    </w:p>
    <w:p>
      <w:pPr>
        <w:spacing w:before="2"/>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spacing w:val="-4"/>
        </w:rPr>
        <w:t>《中华人民共和国产品质量法》第六十二条“服务业的经营者将本法第四十九条</w:t>
      </w:r>
      <w:r>
        <w:rPr>
          <w:color w:val="auto"/>
          <w:spacing w:val="-3"/>
        </w:rPr>
        <w:t>至第五十二条规定禁止销售的产品用于经营性服务的，责令停止使用；对知道或者应</w:t>
      </w:r>
      <w:r>
        <w:rPr>
          <w:color w:val="auto"/>
          <w:spacing w:val="-2"/>
        </w:rPr>
        <w:t>当知道所使用的产品属于本法规定禁止销售的产品的，按照违法使用的产品</w:t>
      </w:r>
      <w:r>
        <w:rPr>
          <w:color w:val="auto"/>
        </w:rPr>
        <w:t>（</w:t>
      </w:r>
      <w:r>
        <w:rPr>
          <w:color w:val="auto"/>
          <w:spacing w:val="-6"/>
        </w:rPr>
        <w:t>包括已</w:t>
      </w:r>
      <w:r>
        <w:rPr>
          <w:color w:val="auto"/>
        </w:rPr>
        <w:t>使用和尚未使用的产品）的货值金额，依照本法对销售者的处罚规定处罚。”</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7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有证据证明是初次违法，没有造成危害结果的。</w:t>
      </w:r>
    </w:p>
    <w:p>
      <w:pPr>
        <w:pStyle w:val="13"/>
        <w:numPr>
          <w:ilvl w:val="0"/>
          <w:numId w:val="27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right="213" w:firstLine="480"/>
        <w:rPr>
          <w:color w:val="auto"/>
        </w:rPr>
      </w:pPr>
      <w:r>
        <w:rPr>
          <w:color w:val="auto"/>
        </w:rPr>
        <w:t>责令停止提供、使用，没收违法生产、销售的产品，并处货值金额 50%的罚款； 有违法所得的，并处没收违法所得。</w:t>
      </w:r>
    </w:p>
    <w:p>
      <w:pPr>
        <w:pStyle w:val="4"/>
        <w:spacing w:before="2"/>
        <w:ind w:left="591"/>
        <w:rPr>
          <w:color w:val="auto"/>
        </w:rPr>
      </w:pPr>
      <w:r>
        <w:rPr>
          <w:color w:val="auto"/>
        </w:rPr>
        <w:t>2、【一般】</w:t>
      </w:r>
    </w:p>
    <w:p>
      <w:pPr>
        <w:pStyle w:val="13"/>
        <w:numPr>
          <w:ilvl w:val="0"/>
          <w:numId w:val="27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产品已经售出，但对用户要求的赔偿能及时赔偿或采取其它补救措施的。</w:t>
      </w:r>
    </w:p>
    <w:p>
      <w:pPr>
        <w:pStyle w:val="13"/>
        <w:numPr>
          <w:ilvl w:val="0"/>
          <w:numId w:val="27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71" w:firstLine="480"/>
        <w:rPr>
          <w:color w:val="auto"/>
        </w:rPr>
      </w:pPr>
      <w:r>
        <w:rPr>
          <w:color w:val="auto"/>
          <w:spacing w:val="-2"/>
        </w:rPr>
        <w:t xml:space="preserve">责令停止提供、使用，没收违法生产、销售的产品，并处货值金额 </w:t>
      </w:r>
      <w:r>
        <w:rPr>
          <w:color w:val="auto"/>
        </w:rPr>
        <w:t>50%</w:t>
      </w:r>
      <w:r>
        <w:rPr>
          <w:color w:val="auto"/>
          <w:spacing w:val="-19"/>
        </w:rPr>
        <w:t xml:space="preserve">以上 </w:t>
      </w:r>
      <w:r>
        <w:rPr>
          <w:color w:val="auto"/>
        </w:rPr>
        <w:t>1</w:t>
      </w:r>
      <w:r>
        <w:rPr>
          <w:color w:val="auto"/>
          <w:spacing w:val="-35"/>
        </w:rPr>
        <w:t xml:space="preserve"> 倍</w:t>
      </w:r>
      <w:r>
        <w:rPr>
          <w:color w:val="auto"/>
        </w:rPr>
        <w:t>以下的罚款；有违法所得的，并处没收违法所得。</w:t>
      </w:r>
    </w:p>
    <w:p>
      <w:pPr>
        <w:pStyle w:val="4"/>
        <w:spacing w:before="2"/>
        <w:ind w:left="591"/>
        <w:rPr>
          <w:color w:val="auto"/>
        </w:rPr>
      </w:pPr>
      <w:r>
        <w:rPr>
          <w:color w:val="auto"/>
        </w:rPr>
        <w:t>3、【较重】</w:t>
      </w:r>
    </w:p>
    <w:p>
      <w:pPr>
        <w:pStyle w:val="13"/>
        <w:numPr>
          <w:ilvl w:val="0"/>
          <w:numId w:val="275"/>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产品已无法追回或采取其他补救措施的。</w:t>
      </w:r>
    </w:p>
    <w:p>
      <w:pPr>
        <w:pStyle w:val="13"/>
        <w:numPr>
          <w:ilvl w:val="0"/>
          <w:numId w:val="275"/>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footerReference r:id="rId55" w:type="default"/>
          <w:footerReference r:id="rId56" w:type="even"/>
          <w:pgSz w:w="11910" w:h="16840"/>
          <w:pgMar w:top="1520" w:right="1260" w:bottom="1220" w:left="1420" w:header="0" w:footer="1034" w:gutter="0"/>
          <w:pgNumType w:start="260"/>
        </w:sectPr>
      </w:pPr>
    </w:p>
    <w:p>
      <w:pPr>
        <w:pStyle w:val="4"/>
        <w:spacing w:before="39" w:line="391" w:lineRule="auto"/>
        <w:ind w:right="268" w:firstLine="480"/>
        <w:rPr>
          <w:color w:val="auto"/>
        </w:rPr>
      </w:pPr>
      <w:r>
        <w:rPr>
          <w:color w:val="auto"/>
          <w:spacing w:val="-7"/>
        </w:rPr>
        <w:t xml:space="preserve">责令停止提供、使用，没收违法生产、销售的产品，并处货值金额 </w:t>
      </w:r>
      <w:r>
        <w:rPr>
          <w:color w:val="auto"/>
        </w:rPr>
        <w:t>1</w:t>
      </w:r>
      <w:r>
        <w:rPr>
          <w:color w:val="auto"/>
          <w:spacing w:val="-24"/>
        </w:rPr>
        <w:t xml:space="preserve"> 倍以上 </w:t>
      </w:r>
      <w:r>
        <w:rPr>
          <w:color w:val="auto"/>
        </w:rPr>
        <w:t>2</w:t>
      </w:r>
      <w:r>
        <w:rPr>
          <w:color w:val="auto"/>
          <w:spacing w:val="-38"/>
        </w:rPr>
        <w:t xml:space="preserve"> 倍</w:t>
      </w:r>
      <w:r>
        <w:rPr>
          <w:color w:val="auto"/>
        </w:rPr>
        <w:t>以下的罚款；有违法所得的，并处没收违法所得。</w:t>
      </w:r>
    </w:p>
    <w:p>
      <w:pPr>
        <w:pStyle w:val="4"/>
        <w:spacing w:line="306" w:lineRule="exact"/>
        <w:ind w:left="591"/>
        <w:rPr>
          <w:color w:val="auto"/>
        </w:rPr>
      </w:pPr>
      <w:r>
        <w:rPr>
          <w:color w:val="auto"/>
        </w:rPr>
        <w:t>4、【严重】</w:t>
      </w:r>
    </w:p>
    <w:p>
      <w:pPr>
        <w:pStyle w:val="13"/>
        <w:numPr>
          <w:ilvl w:val="0"/>
          <w:numId w:val="27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经查处后，再次违法的。</w:t>
      </w:r>
    </w:p>
    <w:p>
      <w:pPr>
        <w:pStyle w:val="13"/>
        <w:numPr>
          <w:ilvl w:val="0"/>
          <w:numId w:val="27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责令停止提供、使用，没收违法生产、销售的产品，并处货值金额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倍以下的罚款；有违法所得的，并处没收违法所得；通报营业执照发证部门。</w:t>
      </w:r>
    </w:p>
    <w:p>
      <w:pPr>
        <w:pStyle w:val="4"/>
        <w:spacing w:line="306" w:lineRule="exact"/>
        <w:ind w:left="591"/>
        <w:rPr>
          <w:color w:val="auto"/>
        </w:rPr>
      </w:pPr>
      <w:r>
        <w:rPr>
          <w:color w:val="auto"/>
        </w:rPr>
        <w:t>5、【特别严重】</w:t>
      </w:r>
    </w:p>
    <w:p>
      <w:pPr>
        <w:pStyle w:val="13"/>
        <w:numPr>
          <w:ilvl w:val="0"/>
          <w:numId w:val="277"/>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有下列情形之一的：1、拒不改正的；2、屡次查处的；3、造成严重危害后果的。</w:t>
      </w:r>
    </w:p>
    <w:p>
      <w:pPr>
        <w:pStyle w:val="13"/>
        <w:numPr>
          <w:ilvl w:val="0"/>
          <w:numId w:val="27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责令停止提供、使用，没收违法生产、销售的产品，并处货值金额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倍以下的罚款；有违法所得的，并处没收违法所得；吊销营业执照。</w:t>
      </w:r>
    </w:p>
    <w:p>
      <w:pPr>
        <w:pStyle w:val="2"/>
        <w:spacing w:line="306" w:lineRule="exact"/>
        <w:rPr>
          <w:color w:val="auto"/>
        </w:rPr>
      </w:pPr>
      <w:bookmarkStart w:id="619" w:name="_bookmark309"/>
      <w:bookmarkEnd w:id="619"/>
      <w:bookmarkStart w:id="620" w:name="三百零一、隐匿、转移、变卖、损毁被市场监督管理部门查封、扣押的物品"/>
      <w:bookmarkEnd w:id="620"/>
      <w:r>
        <w:rPr>
          <w:color w:val="auto"/>
        </w:rPr>
        <w:t>三百零一、隐匿、转移、变卖、损毁被市场监督管理部门查封、扣押的物品</w:t>
      </w:r>
    </w:p>
    <w:p>
      <w:pPr>
        <w:spacing w:before="192"/>
        <w:ind w:left="591" w:right="0" w:firstLine="0"/>
        <w:jc w:val="left"/>
        <w:rPr>
          <w:b/>
          <w:color w:val="auto"/>
          <w:sz w:val="24"/>
        </w:rPr>
      </w:pPr>
      <w:r>
        <w:rPr>
          <w:b/>
          <w:color w:val="auto"/>
          <w:sz w:val="24"/>
        </w:rPr>
        <w:t>（一）处罚依据</w:t>
      </w:r>
    </w:p>
    <w:p>
      <w:pPr>
        <w:pStyle w:val="4"/>
        <w:spacing w:before="194" w:line="388" w:lineRule="auto"/>
        <w:ind w:right="266" w:firstLine="470"/>
        <w:jc w:val="both"/>
        <w:rPr>
          <w:color w:val="auto"/>
        </w:rPr>
      </w:pPr>
      <w:r>
        <w:rPr>
          <w:color w:val="auto"/>
          <w:spacing w:val="-6"/>
        </w:rPr>
        <w:t>《中华人民共和国产品质量法》第六十三条“隐匿、转移、变卖、损毁被市场监督管理部门查封、扣押的物品的，处被隐匿、转移、变卖、损毁物品货值金额等值以</w:t>
      </w:r>
      <w:r>
        <w:rPr>
          <w:color w:val="auto"/>
        </w:rPr>
        <w:t>上三倍以下的罚款；有违法所得的，并处没收违法所得。”</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7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93" w:firstLine="480"/>
        <w:rPr>
          <w:color w:val="auto"/>
        </w:rPr>
      </w:pPr>
      <w:r>
        <w:rPr>
          <w:color w:val="auto"/>
        </w:rPr>
        <w:t>有下列情形之一的：1、主动将被隐匿、转移、变卖、损毁物品恢复原状的；2、经执法部门教育督促，能及时采取措施恢复原状或追回产品的；3、少量隐匿、转移、损毁被查封、扣押的物品，没有造成危害后果的。</w:t>
      </w:r>
    </w:p>
    <w:p>
      <w:pPr>
        <w:pStyle w:val="13"/>
        <w:numPr>
          <w:ilvl w:val="0"/>
          <w:numId w:val="278"/>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2" w:line="388" w:lineRule="auto"/>
        <w:ind w:left="591" w:right="2152"/>
        <w:rPr>
          <w:color w:val="auto"/>
        </w:rPr>
      </w:pPr>
      <w:r>
        <w:rPr>
          <w:color w:val="auto"/>
        </w:rPr>
        <w:t>处货值金额等值的罚款；有违法所得的，并处没收违法所得。2、【一般】</w:t>
      </w:r>
    </w:p>
    <w:p>
      <w:pPr>
        <w:spacing w:after="0" w:line="388" w:lineRule="auto"/>
        <w:rPr>
          <w:color w:val="auto"/>
        </w:rPr>
        <w:sectPr>
          <w:pgSz w:w="11910" w:h="16840"/>
          <w:pgMar w:top="1520" w:right="1260" w:bottom="1220" w:left="1420" w:header="0" w:footer="1034" w:gutter="0"/>
        </w:sectPr>
      </w:pPr>
    </w:p>
    <w:p>
      <w:pPr>
        <w:pStyle w:val="13"/>
        <w:numPr>
          <w:ilvl w:val="0"/>
          <w:numId w:val="279"/>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被隐匿、转移、变卖、损毁物品不能恢复原状，且未造成危害后果的。</w:t>
      </w:r>
    </w:p>
    <w:p>
      <w:pPr>
        <w:pStyle w:val="13"/>
        <w:numPr>
          <w:ilvl w:val="0"/>
          <w:numId w:val="27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spacing w:val="-6"/>
        </w:rPr>
        <w:t xml:space="preserve">处货值金额等值以上 </w:t>
      </w:r>
      <w:r>
        <w:rPr>
          <w:color w:val="auto"/>
        </w:rPr>
        <w:t>1.5</w:t>
      </w:r>
      <w:r>
        <w:rPr>
          <w:color w:val="auto"/>
          <w:spacing w:val="-9"/>
        </w:rPr>
        <w:t xml:space="preserve"> 倍以下的罚款；有违法所得的，并处没收违法所得。</w:t>
      </w:r>
      <w:r>
        <w:rPr>
          <w:color w:val="auto"/>
        </w:rPr>
        <w:t>3</w:t>
      </w:r>
      <w:r>
        <w:rPr>
          <w:color w:val="auto"/>
          <w:spacing w:val="-24"/>
        </w:rPr>
        <w:t>、【较重】</w:t>
      </w:r>
    </w:p>
    <w:p>
      <w:pPr>
        <w:pStyle w:val="13"/>
        <w:numPr>
          <w:ilvl w:val="0"/>
          <w:numId w:val="28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拒不将或不能将被隐匿、转移、变卖、损毁物品恢复原状，造成危害后果的。</w:t>
      </w:r>
    </w:p>
    <w:p>
      <w:pPr>
        <w:pStyle w:val="13"/>
        <w:numPr>
          <w:ilvl w:val="0"/>
          <w:numId w:val="28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472"/>
        <w:rPr>
          <w:color w:val="auto"/>
        </w:rPr>
      </w:pPr>
      <w:r>
        <w:rPr>
          <w:color w:val="auto"/>
          <w:spacing w:val="-10"/>
        </w:rPr>
        <w:t xml:space="preserve">处货值金额 </w:t>
      </w:r>
      <w:r>
        <w:rPr>
          <w:color w:val="auto"/>
        </w:rPr>
        <w:t>1.5</w:t>
      </w:r>
      <w:r>
        <w:rPr>
          <w:color w:val="auto"/>
          <w:spacing w:val="-24"/>
        </w:rPr>
        <w:t xml:space="preserve"> 倍以上 </w:t>
      </w:r>
      <w:r>
        <w:rPr>
          <w:color w:val="auto"/>
        </w:rPr>
        <w:t>2</w:t>
      </w:r>
      <w:r>
        <w:rPr>
          <w:color w:val="auto"/>
          <w:spacing w:val="-9"/>
        </w:rPr>
        <w:t xml:space="preserve"> 倍以下的罚款；有违法所得的，并处没收违法所得。</w:t>
      </w:r>
      <w:r>
        <w:rPr>
          <w:color w:val="auto"/>
        </w:rPr>
        <w:t>4</w:t>
      </w:r>
      <w:r>
        <w:rPr>
          <w:color w:val="auto"/>
          <w:spacing w:val="-24"/>
        </w:rPr>
        <w:t>、【严重】</w:t>
      </w:r>
    </w:p>
    <w:p>
      <w:pPr>
        <w:pStyle w:val="13"/>
        <w:numPr>
          <w:ilvl w:val="0"/>
          <w:numId w:val="28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96" w:firstLine="480"/>
        <w:rPr>
          <w:color w:val="auto"/>
        </w:rPr>
      </w:pPr>
      <w:r>
        <w:rPr>
          <w:color w:val="auto"/>
        </w:rPr>
        <w:t>有下列情形之一的：1、拒不或不能将被隐匿、转移、变卖、损毁物品恢复原状， 物品转移、变卖或使用后造成进一步危害后果的；2、造成案件中断无法继续的。</w:t>
      </w:r>
    </w:p>
    <w:p>
      <w:pPr>
        <w:pStyle w:val="13"/>
        <w:numPr>
          <w:ilvl w:val="0"/>
          <w:numId w:val="281"/>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472"/>
        <w:rPr>
          <w:color w:val="auto"/>
        </w:rPr>
      </w:pPr>
      <w:r>
        <w:rPr>
          <w:color w:val="auto"/>
          <w:spacing w:val="-10"/>
        </w:rPr>
        <w:t xml:space="preserve">处货值金额 </w:t>
      </w:r>
      <w:r>
        <w:rPr>
          <w:color w:val="auto"/>
        </w:rPr>
        <w:t>2</w:t>
      </w:r>
      <w:r>
        <w:rPr>
          <w:color w:val="auto"/>
          <w:spacing w:val="-24"/>
        </w:rPr>
        <w:t xml:space="preserve"> 倍以上 </w:t>
      </w:r>
      <w:r>
        <w:rPr>
          <w:color w:val="auto"/>
        </w:rPr>
        <w:t>2.5</w:t>
      </w:r>
      <w:r>
        <w:rPr>
          <w:color w:val="auto"/>
          <w:spacing w:val="-9"/>
        </w:rPr>
        <w:t xml:space="preserve"> 倍以下的罚款；有违法所得的，并处没收违法所得。</w:t>
      </w:r>
      <w:r>
        <w:rPr>
          <w:color w:val="auto"/>
        </w:rPr>
        <w:t>5</w:t>
      </w:r>
      <w:r>
        <w:rPr>
          <w:color w:val="auto"/>
          <w:spacing w:val="-18"/>
        </w:rPr>
        <w:t>、【特别严重】</w:t>
      </w:r>
    </w:p>
    <w:p>
      <w:pPr>
        <w:pStyle w:val="13"/>
        <w:numPr>
          <w:ilvl w:val="0"/>
          <w:numId w:val="282"/>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92" w:firstLine="480"/>
        <w:rPr>
          <w:color w:val="auto"/>
        </w:rPr>
      </w:pPr>
      <w:r>
        <w:rPr>
          <w:color w:val="auto"/>
        </w:rPr>
        <w:t>有下列情形之一的：1、威胁或者利诱执法人员；2、用暴力方式阻碍执法的；3、物品转移、变卖或使用后造成严重后果或较大负面影响的。</w:t>
      </w:r>
    </w:p>
    <w:p>
      <w:pPr>
        <w:pStyle w:val="13"/>
        <w:numPr>
          <w:ilvl w:val="0"/>
          <w:numId w:val="282"/>
        </w:numPr>
        <w:tabs>
          <w:tab w:val="left" w:pos="1193"/>
        </w:tabs>
        <w:spacing w:before="5" w:after="0" w:line="240" w:lineRule="auto"/>
        <w:ind w:left="1192" w:right="0" w:hanging="602"/>
        <w:jc w:val="left"/>
        <w:rPr>
          <w:color w:val="auto"/>
          <w:sz w:val="24"/>
        </w:rPr>
      </w:pPr>
      <w:r>
        <w:rPr>
          <w:color w:val="auto"/>
          <w:sz w:val="24"/>
        </w:rPr>
        <w:t>处罚标准</w:t>
      </w:r>
    </w:p>
    <w:p>
      <w:pPr>
        <w:spacing w:before="191" w:line="388" w:lineRule="auto"/>
        <w:ind w:left="591" w:right="240" w:firstLine="0"/>
        <w:jc w:val="left"/>
        <w:rPr>
          <w:b/>
          <w:color w:val="auto"/>
          <w:sz w:val="24"/>
        </w:rPr>
      </w:pPr>
      <w:r>
        <w:rPr>
          <w:color w:val="auto"/>
          <w:spacing w:val="-10"/>
          <w:sz w:val="24"/>
        </w:rPr>
        <w:t xml:space="preserve">处货值金额 </w:t>
      </w:r>
      <w:r>
        <w:rPr>
          <w:color w:val="auto"/>
          <w:sz w:val="24"/>
        </w:rPr>
        <w:t>2.5</w:t>
      </w:r>
      <w:r>
        <w:rPr>
          <w:color w:val="auto"/>
          <w:spacing w:val="-24"/>
          <w:sz w:val="24"/>
        </w:rPr>
        <w:t xml:space="preserve"> 倍以上 </w:t>
      </w:r>
      <w:r>
        <w:rPr>
          <w:color w:val="auto"/>
          <w:sz w:val="24"/>
        </w:rPr>
        <w:t>3</w:t>
      </w:r>
      <w:r>
        <w:rPr>
          <w:color w:val="auto"/>
          <w:spacing w:val="-8"/>
          <w:sz w:val="24"/>
        </w:rPr>
        <w:t xml:space="preserve"> 倍以下的罚款；有违法所得的，并处没收违法所得。</w:t>
      </w:r>
      <w:bookmarkStart w:id="621" w:name="三百零二、产品质量检验机构向社会推荐生产者的产品或者以监制、监销等方式参与产品经"/>
      <w:bookmarkEnd w:id="621"/>
      <w:bookmarkStart w:id="622" w:name="_bookmark310"/>
      <w:bookmarkEnd w:id="622"/>
      <w:r>
        <w:rPr>
          <w:b/>
          <w:color w:val="auto"/>
          <w:spacing w:val="-10"/>
          <w:sz w:val="24"/>
        </w:rPr>
        <w:t>三百零二、产品质量检验机构向社会推荐生产者的产品或者以监制、监销等方式</w:t>
      </w:r>
    </w:p>
    <w:p>
      <w:pPr>
        <w:pStyle w:val="2"/>
        <w:spacing w:before="5"/>
        <w:ind w:left="111"/>
        <w:rPr>
          <w:color w:val="auto"/>
        </w:rPr>
      </w:pPr>
      <w:r>
        <w:rPr>
          <w:color w:val="auto"/>
        </w:rPr>
        <w:t>参与产品经营活动</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《中华人民共和国产品质量法》第六十七条“向社会推荐生产者的产品或者以监</w:t>
      </w:r>
      <w:r>
        <w:rPr>
          <w:color w:val="auto"/>
          <w:spacing w:val="-7"/>
        </w:rPr>
        <w:t>制、监销等方式参与产品经营活动的，市场监督管理部门或者其他国家机关违反本法</w:t>
      </w:r>
      <w:r>
        <w:rPr>
          <w:color w:val="auto"/>
          <w:spacing w:val="-5"/>
        </w:rPr>
        <w:t>第二十五条的规定，由其上级机关或者监察机关责令改正，消除影响，有违法收入的</w:t>
      </w:r>
      <w:r>
        <w:rPr>
          <w:color w:val="auto"/>
          <w:spacing w:val="-7"/>
        </w:rPr>
        <w:t>予以没收；情节严重的，对直接负责的主管人员和其他直接责任人员依法给予行政处</w:t>
      </w:r>
    </w:p>
    <w:p>
      <w:pPr>
        <w:spacing w:after="0" w:line="391"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分。</w:t>
      </w:r>
    </w:p>
    <w:p>
      <w:pPr>
        <w:pStyle w:val="4"/>
        <w:ind w:left="0"/>
        <w:rPr>
          <w:color w:val="auto"/>
          <w:sz w:val="10"/>
        </w:rPr>
      </w:pPr>
    </w:p>
    <w:p>
      <w:pPr>
        <w:pStyle w:val="4"/>
        <w:spacing w:before="66" w:line="388" w:lineRule="auto"/>
        <w:ind w:right="232" w:firstLine="590"/>
        <w:jc w:val="both"/>
        <w:rPr>
          <w:color w:val="auto"/>
        </w:rPr>
      </w:pPr>
      <w:r>
        <w:rPr>
          <w:color w:val="auto"/>
        </w:rPr>
        <w:t>产品质量检验机构有前款所列违法行为的，由市场监督管理部门责令改正，消除影响，有违法收入的予以没收，可以并处违法收入一倍以下的罚款；情节严重的， 撤销其质量检验资格。”</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8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rPr>
        <w:t>有下列情形之一的：1、主动消除影响的；2、初次监制、监销、监检的；3、监制、监销、监检的产品尚未进入市场的；4、监制、监销、监检的产品不涉及安全、健康指标的。</w:t>
      </w:r>
    </w:p>
    <w:p>
      <w:pPr>
        <w:pStyle w:val="13"/>
        <w:numPr>
          <w:ilvl w:val="0"/>
          <w:numId w:val="283"/>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1" w:line="388" w:lineRule="auto"/>
        <w:ind w:left="591" w:right="3592"/>
        <w:rPr>
          <w:color w:val="auto"/>
        </w:rPr>
      </w:pPr>
      <w:r>
        <w:rPr>
          <w:color w:val="auto"/>
        </w:rPr>
        <w:t>责令改正，消除影响，有违法收入的予以没收。2、【一般】</w:t>
      </w:r>
    </w:p>
    <w:p>
      <w:pPr>
        <w:pStyle w:val="13"/>
        <w:numPr>
          <w:ilvl w:val="0"/>
          <w:numId w:val="284"/>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rPr>
        <w:t xml:space="preserve">有下列情形之一的：1、向社会推荐监制、监销、监检的产品本身为合格产品， </w:t>
      </w:r>
      <w:r>
        <w:rPr>
          <w:color w:val="auto"/>
          <w:spacing w:val="-3"/>
        </w:rPr>
        <w:t>并具有产品宣传的相应特性或功效、功用的；</w:t>
      </w:r>
      <w:r>
        <w:rPr>
          <w:color w:val="auto"/>
          <w:spacing w:val="-4"/>
        </w:rPr>
        <w:t>2</w:t>
      </w:r>
      <w:r>
        <w:rPr>
          <w:color w:val="auto"/>
          <w:spacing w:val="-3"/>
        </w:rPr>
        <w:t>、未产生危害后果的；</w:t>
      </w:r>
      <w:r>
        <w:rPr>
          <w:color w:val="auto"/>
          <w:spacing w:val="-4"/>
        </w:rPr>
        <w:t>3</w:t>
      </w:r>
      <w:r>
        <w:rPr>
          <w:color w:val="auto"/>
          <w:spacing w:val="-5"/>
        </w:rPr>
        <w:t>、主动追回已</w:t>
      </w:r>
      <w:r>
        <w:rPr>
          <w:color w:val="auto"/>
        </w:rPr>
        <w:t>售出的产品的。</w:t>
      </w:r>
    </w:p>
    <w:p>
      <w:pPr>
        <w:pStyle w:val="13"/>
        <w:numPr>
          <w:ilvl w:val="0"/>
          <w:numId w:val="284"/>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line="391" w:lineRule="auto"/>
        <w:ind w:left="591" w:right="711"/>
        <w:rPr>
          <w:color w:val="auto"/>
        </w:rPr>
      </w:pPr>
      <w:r>
        <w:rPr>
          <w:color w:val="auto"/>
        </w:rPr>
        <w:t>责令改正，消除影响，有违法收入的予以没收，并处违法收入 50%的罚款。3、【较重】</w:t>
      </w:r>
    </w:p>
    <w:p>
      <w:pPr>
        <w:pStyle w:val="13"/>
        <w:numPr>
          <w:ilvl w:val="0"/>
          <w:numId w:val="28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5" w:firstLine="480"/>
        <w:jc w:val="both"/>
        <w:rPr>
          <w:color w:val="auto"/>
        </w:rPr>
      </w:pPr>
      <w:r>
        <w:rPr>
          <w:color w:val="auto"/>
          <w:spacing w:val="-1"/>
        </w:rPr>
        <w:t>有下列情形之一的：</w:t>
      </w:r>
      <w:r>
        <w:rPr>
          <w:color w:val="auto"/>
          <w:spacing w:val="-3"/>
        </w:rPr>
        <w:t>1</w:t>
      </w:r>
      <w:r>
        <w:rPr>
          <w:color w:val="auto"/>
          <w:spacing w:val="-4"/>
        </w:rPr>
        <w:t>、多次监制、监销、监检的；</w:t>
      </w:r>
      <w:r>
        <w:rPr>
          <w:color w:val="auto"/>
          <w:spacing w:val="-3"/>
        </w:rPr>
        <w:t>2</w:t>
      </w:r>
      <w:r>
        <w:rPr>
          <w:color w:val="auto"/>
          <w:spacing w:val="-5"/>
        </w:rPr>
        <w:t>、向社会推荐或者监制、监</w:t>
      </w:r>
      <w:r>
        <w:rPr>
          <w:color w:val="auto"/>
        </w:rPr>
        <w:t>销、监检的产品本身为伪劣产品，欺诈消费者的；3、向社会推荐或者监制、监检的不合格产品造成较大社会影响，难以在短时间内消除的。</w:t>
      </w:r>
    </w:p>
    <w:p>
      <w:pPr>
        <w:pStyle w:val="13"/>
        <w:numPr>
          <w:ilvl w:val="0"/>
          <w:numId w:val="285"/>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right="213" w:firstLine="480"/>
        <w:rPr>
          <w:color w:val="auto"/>
        </w:rPr>
      </w:pPr>
      <w:r>
        <w:rPr>
          <w:color w:val="auto"/>
        </w:rPr>
        <w:t>责令改正，消除影响，有违法收入的予以没收，并处违法收入 50%以上 80%以下的罚款。</w:t>
      </w:r>
    </w:p>
    <w:p>
      <w:pPr>
        <w:pStyle w:val="4"/>
        <w:spacing w:before="2"/>
        <w:ind w:left="591"/>
        <w:rPr>
          <w:color w:val="auto"/>
        </w:rPr>
      </w:pPr>
      <w:r>
        <w:rPr>
          <w:color w:val="auto"/>
        </w:rPr>
        <w:t>4、【严重】</w:t>
      </w:r>
    </w:p>
    <w:p>
      <w:pPr>
        <w:spacing w:after="0"/>
        <w:rPr>
          <w:color w:val="auto"/>
        </w:rPr>
        <w:sectPr>
          <w:pgSz w:w="11910" w:h="16840"/>
          <w:pgMar w:top="1520" w:right="1260" w:bottom="1220" w:left="1420" w:header="0" w:footer="1034" w:gutter="0"/>
        </w:sectPr>
      </w:pPr>
    </w:p>
    <w:p>
      <w:pPr>
        <w:pStyle w:val="13"/>
        <w:numPr>
          <w:ilvl w:val="0"/>
          <w:numId w:val="286"/>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9" w:firstLine="480"/>
        <w:rPr>
          <w:color w:val="auto"/>
        </w:rPr>
      </w:pPr>
      <w:r>
        <w:rPr>
          <w:color w:val="auto"/>
        </w:rPr>
        <w:t>有下列情形之一的：1、监制、监销、监检产品造成消费者人身、财产安全事故等危害后果的；2、造成重大社会负面影响的。</w:t>
      </w:r>
    </w:p>
    <w:p>
      <w:pPr>
        <w:pStyle w:val="13"/>
        <w:numPr>
          <w:ilvl w:val="0"/>
          <w:numId w:val="28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jc w:val="both"/>
        <w:rPr>
          <w:color w:val="auto"/>
        </w:rPr>
      </w:pPr>
      <w:r>
        <w:rPr>
          <w:color w:val="auto"/>
          <w:spacing w:val="-2"/>
        </w:rPr>
        <w:t xml:space="preserve">责令改正，消除影响，有违法收入的予以没收，并处违法收入 </w:t>
      </w:r>
      <w:r>
        <w:rPr>
          <w:color w:val="auto"/>
        </w:rPr>
        <w:t>80%</w:t>
      </w:r>
      <w:r>
        <w:rPr>
          <w:color w:val="auto"/>
          <w:spacing w:val="-18"/>
        </w:rPr>
        <w:t xml:space="preserve">以上 </w:t>
      </w:r>
      <w:r>
        <w:rPr>
          <w:color w:val="auto"/>
        </w:rPr>
        <w:t>1</w:t>
      </w:r>
      <w:r>
        <w:rPr>
          <w:color w:val="auto"/>
          <w:spacing w:val="-18"/>
        </w:rPr>
        <w:t xml:space="preserve"> 倍以下</w:t>
      </w:r>
      <w:r>
        <w:rPr>
          <w:color w:val="auto"/>
        </w:rPr>
        <w:t>的罚款；撤销其质量检验资格。</w:t>
      </w:r>
    </w:p>
    <w:p>
      <w:pPr>
        <w:pStyle w:val="2"/>
        <w:spacing w:before="2" w:line="391" w:lineRule="auto"/>
        <w:ind w:left="111" w:right="235" w:firstLine="480"/>
        <w:jc w:val="both"/>
        <w:rPr>
          <w:color w:val="auto"/>
        </w:rPr>
      </w:pPr>
      <w:bookmarkStart w:id="623" w:name="三百零三、生产大型机电设备、机动运输工具以及国务院经济贸易行政主管部门指定的其他"/>
      <w:bookmarkEnd w:id="623"/>
      <w:bookmarkStart w:id="624" w:name="_bookmark311"/>
      <w:bookmarkEnd w:id="624"/>
      <w:r>
        <w:rPr>
          <w:color w:val="auto"/>
          <w:spacing w:val="-8"/>
        </w:rPr>
        <w:t>三百零三、生产大型机电设备、机动运输工具以及国务院经济贸易行政主管部门</w:t>
      </w:r>
      <w:r>
        <w:rPr>
          <w:color w:val="auto"/>
          <w:spacing w:val="-12"/>
        </w:rPr>
        <w:t>指定的其他产品的企业，没有按照国务院标准化行政主管部门或者其授权机构制定的</w:t>
      </w:r>
      <w:r>
        <w:rPr>
          <w:color w:val="auto"/>
          <w:spacing w:val="-11"/>
        </w:rPr>
        <w:t>技术规范，在产品的主体构件上注明材料成分的标准牌号，未标注产品材料的成分或者不如实标注</w:t>
      </w:r>
    </w:p>
    <w:p>
      <w:pPr>
        <w:spacing w:before="0" w:line="304"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《中华人民共和国清洁生产促进法》第三十七条“违反本法第二十一条规定，未</w:t>
      </w:r>
      <w:r>
        <w:rPr>
          <w:color w:val="auto"/>
          <w:spacing w:val="-3"/>
        </w:rPr>
        <w:t>标注产品材料的成分或者不如实标注的，由县级以上地方人民政府质量技术监督行政</w:t>
      </w:r>
      <w:r>
        <w:rPr>
          <w:color w:val="auto"/>
        </w:rPr>
        <w:t>主管部门责令限期改正；拒不改正的，处以五万元以下的罚款。”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87"/>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2" w:line="388" w:lineRule="auto"/>
        <w:ind w:right="212" w:firstLine="480"/>
        <w:rPr>
          <w:color w:val="auto"/>
        </w:rPr>
      </w:pPr>
      <w:r>
        <w:rPr>
          <w:color w:val="auto"/>
        </w:rPr>
        <w:t>有下列情形之一的：1、拒不改正，货值金额较小的；2、产品未销售但拒不改正的；3、产品未造成危害后果但拒不改正的。</w:t>
      </w:r>
    </w:p>
    <w:p>
      <w:pPr>
        <w:pStyle w:val="13"/>
        <w:numPr>
          <w:ilvl w:val="0"/>
          <w:numId w:val="287"/>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1 万元以下罚款。</w:t>
      </w:r>
    </w:p>
    <w:p>
      <w:pPr>
        <w:pStyle w:val="4"/>
        <w:spacing w:before="192"/>
        <w:ind w:left="591"/>
        <w:rPr>
          <w:color w:val="auto"/>
        </w:rPr>
      </w:pPr>
      <w:r>
        <w:rPr>
          <w:color w:val="auto"/>
        </w:rPr>
        <w:t>2、【一般】</w:t>
      </w:r>
    </w:p>
    <w:p>
      <w:pPr>
        <w:pStyle w:val="13"/>
        <w:numPr>
          <w:ilvl w:val="0"/>
          <w:numId w:val="28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2" w:firstLine="480"/>
        <w:rPr>
          <w:color w:val="auto"/>
        </w:rPr>
      </w:pPr>
      <w:r>
        <w:rPr>
          <w:color w:val="auto"/>
        </w:rPr>
        <w:t>有下列情形之一的：1、拒不改正，不如实标注内容具有一定欺诈性的；2、产品已销售不能改正标注，但能追回大部分产品的。</w:t>
      </w:r>
    </w:p>
    <w:p>
      <w:pPr>
        <w:pStyle w:val="13"/>
        <w:numPr>
          <w:ilvl w:val="0"/>
          <w:numId w:val="28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9"/>
        </w:rPr>
        <w:t xml:space="preserve"> 万元以下的罚款。</w:t>
      </w:r>
      <w:r>
        <w:rPr>
          <w:color w:val="auto"/>
        </w:rPr>
        <w:t>3</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289"/>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有下列情形之一的：1、拒不改正，货值金额较大的；2、产品已售出，但不能追回产品的。</w:t>
      </w:r>
    </w:p>
    <w:p>
      <w:pPr>
        <w:pStyle w:val="13"/>
        <w:numPr>
          <w:ilvl w:val="0"/>
          <w:numId w:val="28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24"/>
        </w:rPr>
        <w:t>、【严重】</w:t>
      </w:r>
    </w:p>
    <w:p>
      <w:pPr>
        <w:pStyle w:val="13"/>
        <w:numPr>
          <w:ilvl w:val="0"/>
          <w:numId w:val="29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有下列情形之一的：1、拒不改正，货值金额巨大的；2、拒不追回销售产品的； 3、经查处后，再次违法的。</w:t>
      </w:r>
    </w:p>
    <w:p>
      <w:pPr>
        <w:pStyle w:val="13"/>
        <w:numPr>
          <w:ilvl w:val="0"/>
          <w:numId w:val="29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3</w:t>
      </w:r>
      <w:r>
        <w:rPr>
          <w:color w:val="auto"/>
          <w:spacing w:val="-20"/>
        </w:rPr>
        <w:t xml:space="preserve"> 万元以上 </w:t>
      </w:r>
      <w:r>
        <w:rPr>
          <w:color w:val="auto"/>
        </w:rPr>
        <w:t>4</w:t>
      </w:r>
      <w:r>
        <w:rPr>
          <w:color w:val="auto"/>
          <w:spacing w:val="-9"/>
        </w:rPr>
        <w:t xml:space="preserve"> 万元以下的罚款。</w:t>
      </w:r>
      <w:r>
        <w:rPr>
          <w:color w:val="auto"/>
        </w:rPr>
        <w:t>5</w:t>
      </w:r>
      <w:r>
        <w:rPr>
          <w:color w:val="auto"/>
          <w:spacing w:val="-18"/>
        </w:rPr>
        <w:t>、【特别严重】</w:t>
      </w:r>
    </w:p>
    <w:p>
      <w:pPr>
        <w:pStyle w:val="13"/>
        <w:numPr>
          <w:ilvl w:val="0"/>
          <w:numId w:val="29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jc w:val="both"/>
        <w:rPr>
          <w:color w:val="auto"/>
        </w:rPr>
      </w:pPr>
      <w:r>
        <w:rPr>
          <w:color w:val="auto"/>
        </w:rPr>
        <w:t>1</w:t>
      </w:r>
      <w:r>
        <w:rPr>
          <w:color w:val="auto"/>
          <w:spacing w:val="-5"/>
        </w:rPr>
        <w:t>、拒不改正，货值金额巨大，不如实标注内容故意欺诈的；</w:t>
      </w:r>
      <w:r>
        <w:rPr>
          <w:color w:val="auto"/>
          <w:spacing w:val="-4"/>
        </w:rPr>
        <w:t>2</w:t>
      </w:r>
      <w:r>
        <w:rPr>
          <w:color w:val="auto"/>
          <w:spacing w:val="-5"/>
        </w:rPr>
        <w:t>、拒不改正或无法</w:t>
      </w:r>
      <w:r>
        <w:rPr>
          <w:color w:val="auto"/>
        </w:rPr>
        <w:t>改正，产品造成人身、财产损害或者造成较大社会影响等严重危害后果的；3、屡次违法的。</w:t>
      </w:r>
    </w:p>
    <w:p>
      <w:pPr>
        <w:pStyle w:val="13"/>
        <w:numPr>
          <w:ilvl w:val="0"/>
          <w:numId w:val="291"/>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4 万元以上 5 万元以下的罚款。</w:t>
      </w:r>
    </w:p>
    <w:p>
      <w:pPr>
        <w:pStyle w:val="2"/>
        <w:spacing w:before="191"/>
        <w:rPr>
          <w:color w:val="auto"/>
        </w:rPr>
      </w:pPr>
      <w:bookmarkStart w:id="625" w:name="三百零四、生产、销售和使用有毒、有害物质超过国家标准的建筑和装修材料"/>
      <w:bookmarkEnd w:id="625"/>
      <w:bookmarkStart w:id="626" w:name="_bookmark312"/>
      <w:bookmarkEnd w:id="626"/>
      <w:r>
        <w:rPr>
          <w:color w:val="auto"/>
        </w:rPr>
        <w:t>三百零四、生产、销售和使用有毒、有害物质超过国家标准的建筑和装修材料</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1、《中华人民共和国清洁生产促进法》第三十八条“违反本法第二十四条第二</w:t>
      </w:r>
      <w:r>
        <w:rPr>
          <w:color w:val="auto"/>
          <w:spacing w:val="-7"/>
        </w:rPr>
        <w:t>款规定，生产、销售有毒、有害物质超过国家标准的建筑和装修材料的，依照产品质</w:t>
      </w:r>
      <w:r>
        <w:rPr>
          <w:color w:val="auto"/>
        </w:rPr>
        <w:t>量法和有关民事、刑事法律的规定，追究行政、民事、刑事法律责任。”</w:t>
      </w:r>
    </w:p>
    <w:p>
      <w:pPr>
        <w:pStyle w:val="4"/>
        <w:spacing w:line="391" w:lineRule="auto"/>
        <w:ind w:right="145" w:firstLine="470"/>
        <w:rPr>
          <w:color w:val="auto"/>
        </w:rPr>
      </w:pPr>
      <w:r>
        <w:rPr>
          <w:color w:val="auto"/>
        </w:rPr>
        <w:t>2、《中华人民共和国产品质量法》第四十九条“生产不符合保障人体健康和人</w:t>
      </w:r>
      <w:r>
        <w:rPr>
          <w:color w:val="auto"/>
          <w:spacing w:val="-13"/>
        </w:rPr>
        <w:t>身、财产安全的国家标准、行业标准的产品的，责令停止生产、销售，没收违法生产、</w:t>
      </w:r>
      <w:r>
        <w:rPr>
          <w:color w:val="auto"/>
          <w:spacing w:val="-4"/>
        </w:rPr>
        <w:t>销售的产品，并处违法生产、销售产品</w:t>
      </w:r>
      <w:r>
        <w:rPr>
          <w:color w:val="auto"/>
        </w:rPr>
        <w:t>（</w:t>
      </w:r>
      <w:r>
        <w:rPr>
          <w:color w:val="auto"/>
          <w:spacing w:val="-2"/>
        </w:rPr>
        <w:t>包括已售出和未售出的产品，下同</w:t>
      </w:r>
      <w:r>
        <w:rPr>
          <w:color w:val="auto"/>
          <w:spacing w:val="-8"/>
        </w:rPr>
        <w:t>）</w:t>
      </w:r>
      <w:r>
        <w:rPr>
          <w:color w:val="auto"/>
        </w:rPr>
        <w:t>货值金</w:t>
      </w:r>
      <w:r>
        <w:rPr>
          <w:color w:val="auto"/>
          <w:spacing w:val="-3"/>
        </w:rPr>
        <w:t>额等值以上三倍以下的罚款；有违法所得的，并处没收违法所得；情节严重的吊销营业执照；构成犯罪的，依法追究刑事责任。”</w:t>
      </w:r>
    </w:p>
    <w:p>
      <w:pPr>
        <w:spacing w:after="0" w:line="391" w:lineRule="auto"/>
        <w:rPr>
          <w:color w:val="auto"/>
        </w:rPr>
        <w:sectPr>
          <w:pgSz w:w="11910" w:h="16840"/>
          <w:pgMar w:top="1520" w:right="1260" w:bottom="1220" w:left="1420" w:header="0" w:footer="1034" w:gutter="0"/>
        </w:sectPr>
      </w:pPr>
    </w:p>
    <w:p>
      <w:pPr>
        <w:spacing w:before="39"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9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2" w:firstLine="480"/>
        <w:rPr>
          <w:color w:val="auto"/>
        </w:rPr>
      </w:pPr>
      <w:r>
        <w:rPr>
          <w:color w:val="auto"/>
        </w:rPr>
        <w:t>有下列情形之一的：1、有证据证明该产品是初次生产，且尚未销售的；2、有证据证明该产品是初次生产，没有造成危害结果的。</w:t>
      </w:r>
    </w:p>
    <w:p>
      <w:pPr>
        <w:pStyle w:val="13"/>
        <w:numPr>
          <w:ilvl w:val="0"/>
          <w:numId w:val="29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6" w:firstLine="480"/>
        <w:rPr>
          <w:color w:val="auto"/>
        </w:rPr>
      </w:pPr>
      <w:r>
        <w:rPr>
          <w:color w:val="auto"/>
          <w:spacing w:val="-7"/>
        </w:rPr>
        <w:t>责令停止生产、销售，没收违法生产、销售的产品，并处货值金额等值罚款；有</w:t>
      </w:r>
      <w:r>
        <w:rPr>
          <w:color w:val="auto"/>
        </w:rPr>
        <w:t>违法所得的，并处没收违法所得。</w:t>
      </w:r>
    </w:p>
    <w:p>
      <w:pPr>
        <w:pStyle w:val="4"/>
        <w:spacing w:line="306" w:lineRule="exact"/>
        <w:ind w:left="591"/>
        <w:rPr>
          <w:color w:val="auto"/>
        </w:rPr>
      </w:pPr>
      <w:r>
        <w:rPr>
          <w:color w:val="auto"/>
        </w:rPr>
        <w:t>2、【一般】</w:t>
      </w:r>
    </w:p>
    <w:p>
      <w:pPr>
        <w:pStyle w:val="13"/>
        <w:numPr>
          <w:ilvl w:val="0"/>
          <w:numId w:val="29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有下列情形之一的：1、检验结论为不合格且主动追回已售出的产品的；2、检验结论为不合格且售出产品未造成危害后果的。</w:t>
      </w:r>
    </w:p>
    <w:p>
      <w:pPr>
        <w:pStyle w:val="13"/>
        <w:numPr>
          <w:ilvl w:val="0"/>
          <w:numId w:val="29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25" w:firstLine="480"/>
        <w:rPr>
          <w:color w:val="auto"/>
        </w:rPr>
      </w:pPr>
      <w:r>
        <w:rPr>
          <w:color w:val="auto"/>
        </w:rPr>
        <w:t>责令停止生产、销售，没收违法生产、销售的产品，并处货值金额等值以上 1.5 倍以下罚款；有违法所得的，并处没收违法所得。</w:t>
      </w:r>
    </w:p>
    <w:p>
      <w:pPr>
        <w:pStyle w:val="4"/>
        <w:spacing w:before="2"/>
        <w:ind w:left="591"/>
        <w:rPr>
          <w:color w:val="auto"/>
        </w:rPr>
      </w:pPr>
      <w:r>
        <w:rPr>
          <w:color w:val="auto"/>
        </w:rPr>
        <w:t>3、【较重】</w:t>
      </w:r>
    </w:p>
    <w:p>
      <w:pPr>
        <w:pStyle w:val="13"/>
        <w:numPr>
          <w:ilvl w:val="0"/>
          <w:numId w:val="29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检验结论为不合格且产品半数以下售出且无法追回的。</w:t>
      </w:r>
    </w:p>
    <w:p>
      <w:pPr>
        <w:pStyle w:val="13"/>
        <w:numPr>
          <w:ilvl w:val="0"/>
          <w:numId w:val="29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right="292" w:firstLine="480"/>
        <w:rPr>
          <w:color w:val="auto"/>
        </w:rPr>
      </w:pPr>
      <w:r>
        <w:rPr>
          <w:color w:val="auto"/>
          <w:spacing w:val="-2"/>
        </w:rPr>
        <w:t xml:space="preserve">责令停止生产、销售，没收违法生产、销售的产品，并处货值金额 </w:t>
      </w:r>
      <w:r>
        <w:rPr>
          <w:color w:val="auto"/>
        </w:rPr>
        <w:t>1.5</w:t>
      </w:r>
      <w:r>
        <w:rPr>
          <w:color w:val="auto"/>
          <w:spacing w:val="-24"/>
        </w:rPr>
        <w:t xml:space="preserve"> 倍以上 </w:t>
      </w:r>
      <w:r>
        <w:rPr>
          <w:color w:val="auto"/>
          <w:spacing w:val="-17"/>
        </w:rPr>
        <w:t xml:space="preserve">2 </w:t>
      </w:r>
      <w:r>
        <w:rPr>
          <w:color w:val="auto"/>
        </w:rPr>
        <w:t>倍以下罚款；有违法所得的，并处没收违法所得；通报营业执照发证部门。</w:t>
      </w:r>
    </w:p>
    <w:p>
      <w:pPr>
        <w:pStyle w:val="4"/>
        <w:spacing w:before="2"/>
        <w:ind w:left="591"/>
        <w:rPr>
          <w:color w:val="auto"/>
        </w:rPr>
      </w:pPr>
      <w:r>
        <w:rPr>
          <w:color w:val="auto"/>
        </w:rPr>
        <w:t>4、【严重】</w:t>
      </w:r>
    </w:p>
    <w:p>
      <w:pPr>
        <w:pStyle w:val="13"/>
        <w:numPr>
          <w:ilvl w:val="0"/>
          <w:numId w:val="295"/>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32" w:firstLine="480"/>
        <w:rPr>
          <w:color w:val="auto"/>
        </w:rPr>
      </w:pPr>
      <w:r>
        <w:rPr>
          <w:color w:val="auto"/>
        </w:rPr>
        <w:t>有下列情形之一的：1、检验结论为严重不合格的；2、产品全部或大部分销售， 无法追回的。</w:t>
      </w:r>
    </w:p>
    <w:p>
      <w:pPr>
        <w:pStyle w:val="13"/>
        <w:numPr>
          <w:ilvl w:val="0"/>
          <w:numId w:val="295"/>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倍以下罚款；有违法所得的，并处没收违法所得；吊销营业执照。</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5、【特别严重】</w:t>
      </w:r>
    </w:p>
    <w:p>
      <w:pPr>
        <w:pStyle w:val="13"/>
        <w:numPr>
          <w:ilvl w:val="0"/>
          <w:numId w:val="296"/>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91" w:lineRule="auto"/>
        <w:ind w:right="266" w:firstLine="480"/>
        <w:jc w:val="both"/>
        <w:rPr>
          <w:color w:val="auto"/>
        </w:rPr>
      </w:pPr>
      <w:r>
        <w:rPr>
          <w:color w:val="auto"/>
          <w:spacing w:val="-1"/>
        </w:rPr>
        <w:t>有下列情形之一的：</w:t>
      </w:r>
      <w:r>
        <w:rPr>
          <w:color w:val="auto"/>
          <w:spacing w:val="-4"/>
        </w:rPr>
        <w:t>1、产品全部或大部分销售，且拒不追回的；2</w:t>
      </w:r>
      <w:r>
        <w:rPr>
          <w:color w:val="auto"/>
          <w:spacing w:val="-5"/>
        </w:rPr>
        <w:t>、不执行责令</w:t>
      </w:r>
      <w:r>
        <w:rPr>
          <w:color w:val="auto"/>
        </w:rPr>
        <w:t>停止生产、销售，继续实施违法行为的；3、生产的产品造成人身、财产损害或者造成较大社会影响等严重危害后果的；4、其他符合特别严重违法情节的。</w:t>
      </w:r>
    </w:p>
    <w:p>
      <w:pPr>
        <w:pStyle w:val="13"/>
        <w:numPr>
          <w:ilvl w:val="0"/>
          <w:numId w:val="29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倍以下罚款；有违法所得的，并处没收违法所得；吊销营业执照。</w:t>
      </w:r>
    </w:p>
    <w:p>
      <w:pPr>
        <w:pStyle w:val="2"/>
        <w:spacing w:line="306" w:lineRule="exact"/>
        <w:rPr>
          <w:color w:val="auto"/>
        </w:rPr>
      </w:pPr>
      <w:bookmarkStart w:id="627" w:name="_bookmark313"/>
      <w:bookmarkEnd w:id="627"/>
      <w:bookmarkStart w:id="628" w:name="三百零五、生产不合格消防产品或者国家明令淘汰的消防产品"/>
      <w:bookmarkEnd w:id="628"/>
      <w:r>
        <w:rPr>
          <w:color w:val="auto"/>
          <w:w w:val="95"/>
        </w:rPr>
        <w:t>三百零五、生产不合格消防产品或者国家明令淘汰的消防产品</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rPr>
        <w:t>1、《中华人民共和国消防法》第六十五条“违反本法规定，生产、销售不合格</w:t>
      </w:r>
      <w:r>
        <w:rPr>
          <w:color w:val="auto"/>
          <w:spacing w:val="-3"/>
        </w:rPr>
        <w:t>的消防产品或者国家明令淘汰的消防产品的，由产品质量监督部门或者工商行政管理</w:t>
      </w:r>
      <w:r>
        <w:rPr>
          <w:color w:val="auto"/>
        </w:rPr>
        <w:t>部门依照《中华人民共和国产品质量法》的规定从重处罚。”</w:t>
      </w:r>
    </w:p>
    <w:p>
      <w:pPr>
        <w:pStyle w:val="4"/>
        <w:spacing w:before="5" w:line="391" w:lineRule="auto"/>
        <w:ind w:right="145" w:firstLine="470"/>
        <w:rPr>
          <w:color w:val="auto"/>
        </w:rPr>
      </w:pPr>
      <w:r>
        <w:rPr>
          <w:color w:val="auto"/>
        </w:rPr>
        <w:t>2、《中华人民共和国产品质量法》第四十九条“生产不符合保障人体健康和人</w:t>
      </w:r>
      <w:r>
        <w:rPr>
          <w:color w:val="auto"/>
          <w:spacing w:val="-13"/>
        </w:rPr>
        <w:t>身、财产安全的国家标准、行业标准的产品的，责令停止生产、销售，没收违法生产、</w:t>
      </w:r>
      <w:r>
        <w:rPr>
          <w:color w:val="auto"/>
          <w:spacing w:val="-4"/>
        </w:rPr>
        <w:t>销售的产品，并处违法生产、销售产品</w:t>
      </w:r>
      <w:r>
        <w:rPr>
          <w:color w:val="auto"/>
        </w:rPr>
        <w:t>（</w:t>
      </w:r>
      <w:r>
        <w:rPr>
          <w:color w:val="auto"/>
          <w:spacing w:val="-2"/>
        </w:rPr>
        <w:t>包括已售出和未售出的产品，下同</w:t>
      </w:r>
      <w:r>
        <w:rPr>
          <w:color w:val="auto"/>
          <w:spacing w:val="-8"/>
        </w:rPr>
        <w:t>）</w:t>
      </w:r>
      <w:r>
        <w:rPr>
          <w:color w:val="auto"/>
        </w:rPr>
        <w:t>货值金</w:t>
      </w:r>
      <w:r>
        <w:rPr>
          <w:color w:val="auto"/>
          <w:spacing w:val="-3"/>
        </w:rPr>
        <w:t>额等值以上三倍以下的罚款；有违法所得的，并处没收违法所得；情节严重的吊销营业执照；构成犯罪的，依法追究刑事责任。”</w:t>
      </w:r>
    </w:p>
    <w:p>
      <w:pPr>
        <w:pStyle w:val="4"/>
        <w:spacing w:line="391" w:lineRule="auto"/>
        <w:ind w:right="268" w:firstLine="470"/>
        <w:jc w:val="both"/>
        <w:rPr>
          <w:color w:val="auto"/>
        </w:rPr>
      </w:pPr>
      <w:r>
        <w:rPr>
          <w:color w:val="auto"/>
        </w:rPr>
        <w:t xml:space="preserve">3、《中华人民共和国产品质量法》第五十一条“生产国家明令淘汰的产品的， </w:t>
      </w:r>
      <w:r>
        <w:rPr>
          <w:color w:val="auto"/>
          <w:spacing w:val="-5"/>
        </w:rPr>
        <w:t>销售国家明令淘汰并停止销售的产品的，责令停止生产、销售，没收违法生产、销售</w:t>
      </w:r>
      <w:r>
        <w:rPr>
          <w:color w:val="auto"/>
          <w:spacing w:val="-7"/>
        </w:rPr>
        <w:t>的产品，并处违法生产、销售产品货值金额等值以下的罚款；有违法所得的，并处没</w:t>
      </w:r>
      <w:r>
        <w:rPr>
          <w:color w:val="auto"/>
        </w:rPr>
        <w:t>收违法所得；情节严重的，吊销营业执照。”</w:t>
      </w:r>
    </w:p>
    <w:p>
      <w:pPr>
        <w:pStyle w:val="2"/>
        <w:spacing w:line="304" w:lineRule="exact"/>
        <w:rPr>
          <w:color w:val="auto"/>
        </w:rPr>
      </w:pPr>
      <w:r>
        <w:rPr>
          <w:color w:val="auto"/>
        </w:rPr>
        <w:t>（二）裁量标准</w:t>
      </w:r>
    </w:p>
    <w:p>
      <w:pPr>
        <w:pStyle w:val="4"/>
        <w:spacing w:before="184" w:line="388" w:lineRule="auto"/>
        <w:ind w:right="362" w:firstLine="470"/>
        <w:rPr>
          <w:color w:val="auto"/>
        </w:rPr>
      </w:pPr>
      <w:r>
        <w:rPr>
          <w:color w:val="auto"/>
        </w:rPr>
        <w:t>按照本基准《中华人民共和国产品质量法》相关条款 “裁量标准”中“较重、严重、特别严重”的有关规定处理。</w:t>
      </w:r>
    </w:p>
    <w:p>
      <w:pPr>
        <w:pStyle w:val="2"/>
        <w:spacing w:before="5" w:line="388" w:lineRule="auto"/>
        <w:ind w:left="111" w:right="235" w:firstLine="480"/>
        <w:jc w:val="both"/>
        <w:rPr>
          <w:color w:val="auto"/>
        </w:rPr>
      </w:pPr>
      <w:bookmarkStart w:id="629" w:name="三百零六、机动车生产企业经国家机动车产品主管部门许可生产的机动车型，不执行机动车"/>
      <w:bookmarkEnd w:id="629"/>
      <w:bookmarkStart w:id="630" w:name="_bookmark314"/>
      <w:bookmarkEnd w:id="630"/>
      <w:r>
        <w:rPr>
          <w:color w:val="auto"/>
          <w:spacing w:val="-7"/>
        </w:rPr>
        <w:t>三百零六、机动车生产企业经国家机动车产品主管部门许可生产的机动车型，不</w:t>
      </w:r>
      <w:r>
        <w:rPr>
          <w:color w:val="auto"/>
          <w:spacing w:val="-10"/>
        </w:rPr>
        <w:t>执行机动车国家安全技术标准或者不严格进行机动车成品质量检验，致使质量不合格的机动车出厂销售</w:t>
      </w:r>
    </w:p>
    <w:p>
      <w:pPr>
        <w:spacing w:after="0" w:line="388" w:lineRule="auto"/>
        <w:jc w:val="both"/>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91" w:lineRule="auto"/>
        <w:ind w:right="268" w:firstLine="470"/>
        <w:jc w:val="both"/>
        <w:rPr>
          <w:color w:val="auto"/>
        </w:rPr>
      </w:pPr>
      <w:r>
        <w:rPr>
          <w:color w:val="auto"/>
        </w:rPr>
        <w:t>1、《中华人民共和国道路交通安全法》第一百零三条第二款“机动车生产企业</w:t>
      </w:r>
      <w:r>
        <w:rPr>
          <w:color w:val="auto"/>
          <w:spacing w:val="-3"/>
        </w:rPr>
        <w:t>经国家机动车产品主管部门许可生产的机动车型，不执行机动车国家安全技术标准或</w:t>
      </w:r>
      <w:r>
        <w:rPr>
          <w:color w:val="auto"/>
          <w:spacing w:val="-4"/>
        </w:rPr>
        <w:t>者不严格进行机动车成品质量检验，致使质量不合格的机动车出厂销售的，由质量技</w:t>
      </w:r>
      <w:r>
        <w:rPr>
          <w:color w:val="auto"/>
        </w:rPr>
        <w:t>术监督部门依照《中华人民共和国产品质量法》的有关规定给予处罚。”</w:t>
      </w:r>
    </w:p>
    <w:p>
      <w:pPr>
        <w:pStyle w:val="4"/>
        <w:spacing w:line="391" w:lineRule="auto"/>
        <w:ind w:right="145" w:firstLine="470"/>
        <w:rPr>
          <w:color w:val="auto"/>
        </w:rPr>
      </w:pPr>
      <w:r>
        <w:rPr>
          <w:color w:val="auto"/>
        </w:rPr>
        <w:t>2、《中华人民共和国产品质量法》第四十九条“生产不符合保障人体健康和人</w:t>
      </w:r>
      <w:r>
        <w:rPr>
          <w:color w:val="auto"/>
          <w:spacing w:val="-13"/>
        </w:rPr>
        <w:t>身、财产安全的国家标准、行业标准的产品的，责令停止生产、销售，没收违法生产、</w:t>
      </w:r>
      <w:r>
        <w:rPr>
          <w:color w:val="auto"/>
          <w:spacing w:val="-4"/>
        </w:rPr>
        <w:t>销售的产品，并处违法生产、销售产品</w:t>
      </w:r>
      <w:r>
        <w:rPr>
          <w:color w:val="auto"/>
        </w:rPr>
        <w:t>（</w:t>
      </w:r>
      <w:r>
        <w:rPr>
          <w:color w:val="auto"/>
          <w:spacing w:val="-2"/>
        </w:rPr>
        <w:t>包括已售出和未售出的产品，下同</w:t>
      </w:r>
      <w:r>
        <w:rPr>
          <w:color w:val="auto"/>
          <w:spacing w:val="-8"/>
        </w:rPr>
        <w:t>）</w:t>
      </w:r>
      <w:r>
        <w:rPr>
          <w:color w:val="auto"/>
        </w:rPr>
        <w:t>货值金</w:t>
      </w:r>
      <w:r>
        <w:rPr>
          <w:color w:val="auto"/>
          <w:spacing w:val="-3"/>
        </w:rPr>
        <w:t>额等值以上三倍以下的罚款；有违法所得的，并处没收违法所得；情节严重的吊销营业执照；构成犯罪的，依法追究刑事责任。”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297"/>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5" w:line="388" w:lineRule="auto"/>
        <w:ind w:right="212" w:firstLine="480"/>
        <w:rPr>
          <w:color w:val="auto"/>
        </w:rPr>
      </w:pPr>
      <w:r>
        <w:rPr>
          <w:color w:val="auto"/>
        </w:rPr>
        <w:t>有下列情形之一的：1、有证据证明该产品是初次生产，且尚未销售的；2、有证据证明该产品是初次生产，没有造成危害结果的。</w:t>
      </w:r>
    </w:p>
    <w:p>
      <w:pPr>
        <w:pStyle w:val="13"/>
        <w:numPr>
          <w:ilvl w:val="0"/>
          <w:numId w:val="29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6" w:firstLine="480"/>
        <w:rPr>
          <w:color w:val="auto"/>
        </w:rPr>
      </w:pPr>
      <w:r>
        <w:rPr>
          <w:color w:val="auto"/>
          <w:spacing w:val="-7"/>
        </w:rPr>
        <w:t>责令停止生产、销售，没收违法生产、销售的产品，并处货值金额等值罚款；有</w:t>
      </w:r>
      <w:r>
        <w:rPr>
          <w:color w:val="auto"/>
        </w:rPr>
        <w:t>违法所得的，并处没收违法所得。</w:t>
      </w:r>
    </w:p>
    <w:p>
      <w:pPr>
        <w:pStyle w:val="4"/>
        <w:spacing w:before="2"/>
        <w:ind w:left="591"/>
        <w:rPr>
          <w:color w:val="auto"/>
        </w:rPr>
      </w:pPr>
      <w:r>
        <w:rPr>
          <w:color w:val="auto"/>
        </w:rPr>
        <w:t>2、【一般】</w:t>
      </w:r>
    </w:p>
    <w:p>
      <w:pPr>
        <w:pStyle w:val="13"/>
        <w:numPr>
          <w:ilvl w:val="0"/>
          <w:numId w:val="29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有下列情形之一的：1、检验结论为不合格且主动追回已售出的产品的；2、检验结论为不合格且售出产品未造成危害后果的。</w:t>
      </w:r>
    </w:p>
    <w:p>
      <w:pPr>
        <w:pStyle w:val="13"/>
        <w:numPr>
          <w:ilvl w:val="0"/>
          <w:numId w:val="29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25" w:firstLine="480"/>
        <w:rPr>
          <w:color w:val="auto"/>
        </w:rPr>
      </w:pPr>
      <w:r>
        <w:rPr>
          <w:color w:val="auto"/>
        </w:rPr>
        <w:t>责令停止生产、销售，没收违法生产、销售的产品，并处货值金额等值以上 1.5 倍以下罚款；有违法所得的，并处没收违法所得。</w:t>
      </w:r>
    </w:p>
    <w:p>
      <w:pPr>
        <w:pStyle w:val="4"/>
        <w:spacing w:before="5"/>
        <w:ind w:left="591"/>
        <w:rPr>
          <w:color w:val="auto"/>
        </w:rPr>
      </w:pPr>
      <w:r>
        <w:rPr>
          <w:color w:val="auto"/>
        </w:rPr>
        <w:t>3、【较重】</w:t>
      </w:r>
    </w:p>
    <w:p>
      <w:pPr>
        <w:pStyle w:val="13"/>
        <w:numPr>
          <w:ilvl w:val="0"/>
          <w:numId w:val="299"/>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有下列情形之一的：检验结论为不合格且产品半数以下售出且无法追回的。</w:t>
      </w:r>
    </w:p>
    <w:p>
      <w:pPr>
        <w:spacing w:after="0"/>
        <w:rPr>
          <w:color w:val="auto"/>
        </w:rPr>
        <w:sectPr>
          <w:pgSz w:w="11910" w:h="16840"/>
          <w:pgMar w:top="1520" w:right="1260" w:bottom="1220" w:left="1420" w:header="0" w:footer="1034" w:gutter="0"/>
        </w:sectPr>
      </w:pPr>
    </w:p>
    <w:p>
      <w:pPr>
        <w:pStyle w:val="13"/>
        <w:numPr>
          <w:ilvl w:val="0"/>
          <w:numId w:val="299"/>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92" w:firstLine="480"/>
        <w:rPr>
          <w:color w:val="auto"/>
        </w:rPr>
      </w:pPr>
      <w:r>
        <w:rPr>
          <w:color w:val="auto"/>
          <w:spacing w:val="-2"/>
        </w:rPr>
        <w:t xml:space="preserve">责令停止生产、销售，没收违法生产、销售的产品，并处货值金额 </w:t>
      </w:r>
      <w:r>
        <w:rPr>
          <w:color w:val="auto"/>
        </w:rPr>
        <w:t>1.5</w:t>
      </w:r>
      <w:r>
        <w:rPr>
          <w:color w:val="auto"/>
          <w:spacing w:val="-24"/>
        </w:rPr>
        <w:t xml:space="preserve"> 倍以上 </w:t>
      </w:r>
      <w:r>
        <w:rPr>
          <w:color w:val="auto"/>
          <w:spacing w:val="-17"/>
        </w:rPr>
        <w:t xml:space="preserve">2 </w:t>
      </w:r>
      <w:r>
        <w:rPr>
          <w:color w:val="auto"/>
        </w:rPr>
        <w:t>倍以下罚款；有违法所得的，并处没收违法所得；通报营业执照发证部门。</w:t>
      </w:r>
    </w:p>
    <w:p>
      <w:pPr>
        <w:pStyle w:val="4"/>
        <w:spacing w:before="2"/>
        <w:ind w:left="591"/>
        <w:rPr>
          <w:color w:val="auto"/>
        </w:rPr>
      </w:pPr>
      <w:r>
        <w:rPr>
          <w:color w:val="auto"/>
        </w:rPr>
        <w:t>4、【严重】</w:t>
      </w:r>
    </w:p>
    <w:p>
      <w:pPr>
        <w:pStyle w:val="13"/>
        <w:numPr>
          <w:ilvl w:val="0"/>
          <w:numId w:val="300"/>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有下列情形之一的：1、检验结论为严重不合格的；2、产品全部或大部分销售， 无法追回的。</w:t>
      </w:r>
    </w:p>
    <w:p>
      <w:pPr>
        <w:pStyle w:val="13"/>
        <w:numPr>
          <w:ilvl w:val="0"/>
          <w:numId w:val="30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倍以下罚款；有违法所得的，并处没收违法所得；吊销营业执照。</w:t>
      </w:r>
    </w:p>
    <w:p>
      <w:pPr>
        <w:pStyle w:val="4"/>
        <w:spacing w:before="4"/>
        <w:ind w:left="591"/>
        <w:rPr>
          <w:color w:val="auto"/>
        </w:rPr>
      </w:pPr>
      <w:r>
        <w:rPr>
          <w:color w:val="auto"/>
        </w:rPr>
        <w:t>5、【特别严重】</w:t>
      </w:r>
    </w:p>
    <w:p>
      <w:pPr>
        <w:pStyle w:val="13"/>
        <w:numPr>
          <w:ilvl w:val="0"/>
          <w:numId w:val="30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spacing w:val="-1"/>
        </w:rPr>
        <w:t>有下列情形之一的：</w:t>
      </w:r>
      <w:r>
        <w:rPr>
          <w:color w:val="auto"/>
          <w:spacing w:val="-4"/>
        </w:rPr>
        <w:t>1、产品全部或大部分销售，且拒不追回的；2</w:t>
      </w:r>
      <w:r>
        <w:rPr>
          <w:color w:val="auto"/>
          <w:spacing w:val="-5"/>
        </w:rPr>
        <w:t>、不执行责令</w:t>
      </w:r>
      <w:r>
        <w:rPr>
          <w:color w:val="auto"/>
        </w:rPr>
        <w:t>停止生产、销售，继续实施违法行为的；3、生产的产品造成人身、财产损害或者造成较大社会影响等严重危害后果的；4.其他符合特别严重违法情节的。</w:t>
      </w:r>
    </w:p>
    <w:p>
      <w:pPr>
        <w:pStyle w:val="13"/>
        <w:numPr>
          <w:ilvl w:val="0"/>
          <w:numId w:val="301"/>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right="292" w:firstLine="480"/>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倍以下罚款；有违法所得的，并处没收违法所得；吊销营业执照。</w:t>
      </w:r>
    </w:p>
    <w:p>
      <w:pPr>
        <w:pStyle w:val="2"/>
        <w:spacing w:before="2"/>
        <w:rPr>
          <w:color w:val="auto"/>
        </w:rPr>
      </w:pPr>
      <w:bookmarkStart w:id="631" w:name="三百零七、企业未依照规定申请取得生产许可证而擅自生产列入目录产品"/>
      <w:bookmarkEnd w:id="631"/>
      <w:bookmarkStart w:id="632" w:name="_bookmark315"/>
      <w:bookmarkEnd w:id="632"/>
      <w:r>
        <w:rPr>
          <w:color w:val="auto"/>
        </w:rPr>
        <w:t>三百零七、企业未依照规定申请取得生产许可证而擅自生产列入目录产品</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3"/>
        </w:rPr>
        <w:t>《中华人民共和国工业产品生产许可证管理条例》第四十五条“企业未依照本条例规定申请取得生产许可证而擅自生产列入目录产品的，由工业产品生产许可证主管</w:t>
      </w:r>
      <w:r>
        <w:rPr>
          <w:color w:val="auto"/>
          <w:spacing w:val="-6"/>
        </w:rPr>
        <w:t xml:space="preserve">部门责令停止生产，没收违法生产的产品，处违法生产产品货值金额等值以上 </w:t>
      </w:r>
      <w:r>
        <w:rPr>
          <w:color w:val="auto"/>
        </w:rPr>
        <w:t>3</w:t>
      </w:r>
      <w:r>
        <w:rPr>
          <w:color w:val="auto"/>
          <w:spacing w:val="-26"/>
        </w:rPr>
        <w:t xml:space="preserve"> 倍以</w:t>
      </w:r>
      <w:r>
        <w:rPr>
          <w:color w:val="auto"/>
        </w:rPr>
        <w:t>下的罚款；有违法所得的，没收违法所得；构成犯罪的，依法追究刑事责任。”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0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有下列情形之一的：1、初次违法生产，尚未销售，货值金额较小的；2、初次生</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产，销售货值较小，且全部追回未造成社会危害的。</w:t>
      </w:r>
    </w:p>
    <w:p>
      <w:pPr>
        <w:pStyle w:val="13"/>
        <w:numPr>
          <w:ilvl w:val="0"/>
          <w:numId w:val="302"/>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13" w:firstLine="480"/>
        <w:rPr>
          <w:color w:val="auto"/>
        </w:rPr>
      </w:pPr>
      <w:r>
        <w:rPr>
          <w:color w:val="auto"/>
        </w:rPr>
        <w:t>责令停止生产，没收违法生产的产品，处违法生产产品货值金额等值罚款；有违法所得的，没收违法所得。</w:t>
      </w:r>
    </w:p>
    <w:p>
      <w:pPr>
        <w:pStyle w:val="4"/>
        <w:spacing w:before="5"/>
        <w:ind w:left="591"/>
        <w:rPr>
          <w:color w:val="auto"/>
        </w:rPr>
      </w:pPr>
      <w:r>
        <w:rPr>
          <w:color w:val="auto"/>
        </w:rPr>
        <w:t>2、【一般】</w:t>
      </w:r>
    </w:p>
    <w:p>
      <w:pPr>
        <w:pStyle w:val="13"/>
        <w:numPr>
          <w:ilvl w:val="0"/>
          <w:numId w:val="30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有下列情形之一的：1、初次违法生产，产品货值金额不大，尚未销售；2、产品经检验合格的；3、初次生产，销售货值较小，但不能全部追回产品的。</w:t>
      </w:r>
    </w:p>
    <w:p>
      <w:pPr>
        <w:pStyle w:val="13"/>
        <w:numPr>
          <w:ilvl w:val="0"/>
          <w:numId w:val="30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6"/>
        </w:rPr>
        <w:t xml:space="preserve">责令停止生产，没收违法生产的产品，处违法生产产品货值金额等值以上 </w:t>
      </w:r>
      <w:r>
        <w:rPr>
          <w:color w:val="auto"/>
        </w:rPr>
        <w:t>1.5</w:t>
      </w:r>
      <w:r>
        <w:rPr>
          <w:color w:val="auto"/>
          <w:spacing w:val="-38"/>
        </w:rPr>
        <w:t xml:space="preserve"> 倍</w:t>
      </w:r>
      <w:r>
        <w:rPr>
          <w:color w:val="auto"/>
        </w:rPr>
        <w:t>以下罚款；有违法所得的，没收违法所得。</w:t>
      </w:r>
    </w:p>
    <w:p>
      <w:pPr>
        <w:pStyle w:val="4"/>
        <w:spacing w:line="306" w:lineRule="exact"/>
        <w:ind w:left="591"/>
        <w:rPr>
          <w:color w:val="auto"/>
        </w:rPr>
      </w:pPr>
      <w:r>
        <w:rPr>
          <w:color w:val="auto"/>
        </w:rPr>
        <w:t>3、【较重】</w:t>
      </w:r>
    </w:p>
    <w:p>
      <w:pPr>
        <w:pStyle w:val="13"/>
        <w:numPr>
          <w:ilvl w:val="0"/>
          <w:numId w:val="30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jc w:val="both"/>
        <w:rPr>
          <w:color w:val="auto"/>
        </w:rPr>
      </w:pPr>
      <w:r>
        <w:rPr>
          <w:color w:val="auto"/>
          <w:spacing w:val="-1"/>
        </w:rPr>
        <w:t>有下列情形之一的：</w:t>
      </w:r>
      <w:r>
        <w:rPr>
          <w:color w:val="auto"/>
          <w:spacing w:val="-4"/>
        </w:rPr>
        <w:t>1、货值不大，但已经全部或大部分售出的；2</w:t>
      </w:r>
      <w:r>
        <w:rPr>
          <w:color w:val="auto"/>
          <w:spacing w:val="-5"/>
        </w:rPr>
        <w:t>、产品已经售</w:t>
      </w:r>
      <w:r>
        <w:rPr>
          <w:color w:val="auto"/>
        </w:rPr>
        <w:t>出，大部分无法召回，但未造成危害后果的；3、产品已售出，虽能大部分召回，但产生了一定危害后果的。</w:t>
      </w:r>
    </w:p>
    <w:p>
      <w:pPr>
        <w:pStyle w:val="13"/>
        <w:numPr>
          <w:ilvl w:val="0"/>
          <w:numId w:val="304"/>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6"/>
        </w:rPr>
        <w:t xml:space="preserve">责令停止生产，没收违法生产的产品，处违法生产产品货值金额 </w:t>
      </w:r>
      <w:r>
        <w:rPr>
          <w:color w:val="auto"/>
        </w:rPr>
        <w:t>1.5</w:t>
      </w:r>
      <w:r>
        <w:rPr>
          <w:color w:val="auto"/>
          <w:spacing w:val="-24"/>
        </w:rPr>
        <w:t xml:space="preserve"> 倍以上 </w:t>
      </w:r>
      <w:r>
        <w:rPr>
          <w:color w:val="auto"/>
        </w:rPr>
        <w:t>2</w:t>
      </w:r>
      <w:r>
        <w:rPr>
          <w:color w:val="auto"/>
          <w:spacing w:val="-38"/>
        </w:rPr>
        <w:t xml:space="preserve"> 倍</w:t>
      </w:r>
      <w:r>
        <w:rPr>
          <w:color w:val="auto"/>
        </w:rPr>
        <w:t>以下罚款，没收违法所得。</w:t>
      </w:r>
    </w:p>
    <w:p>
      <w:pPr>
        <w:pStyle w:val="4"/>
        <w:spacing w:before="4"/>
        <w:ind w:left="591"/>
        <w:rPr>
          <w:color w:val="auto"/>
        </w:rPr>
      </w:pPr>
      <w:r>
        <w:rPr>
          <w:color w:val="auto"/>
        </w:rPr>
        <w:t>4、【严重】</w:t>
      </w:r>
    </w:p>
    <w:p>
      <w:pPr>
        <w:pStyle w:val="13"/>
        <w:numPr>
          <w:ilvl w:val="0"/>
          <w:numId w:val="30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2" w:firstLine="480"/>
        <w:rPr>
          <w:color w:val="auto"/>
        </w:rPr>
      </w:pPr>
      <w:r>
        <w:rPr>
          <w:color w:val="auto"/>
        </w:rPr>
        <w:t>有下列情形之一的：1、产品货值金额较大，有销售行为的；2、拒不召回违法生产产品的；3、造成比较重的危害后果的。</w:t>
      </w:r>
    </w:p>
    <w:p>
      <w:pPr>
        <w:pStyle w:val="13"/>
        <w:numPr>
          <w:ilvl w:val="0"/>
          <w:numId w:val="30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6"/>
        </w:rPr>
        <w:t xml:space="preserve">责令停止生产，没收违法生产的产品，处违法生产产品货值金额 </w:t>
      </w:r>
      <w:r>
        <w:rPr>
          <w:color w:val="auto"/>
        </w:rPr>
        <w:t>2</w:t>
      </w:r>
      <w:r>
        <w:rPr>
          <w:color w:val="auto"/>
          <w:spacing w:val="-24"/>
        </w:rPr>
        <w:t xml:space="preserve"> 倍以上 </w:t>
      </w:r>
      <w:r>
        <w:rPr>
          <w:color w:val="auto"/>
        </w:rPr>
        <w:t>2.5</w:t>
      </w:r>
      <w:r>
        <w:rPr>
          <w:color w:val="auto"/>
          <w:spacing w:val="-38"/>
        </w:rPr>
        <w:t xml:space="preserve"> 倍</w:t>
      </w:r>
      <w:r>
        <w:rPr>
          <w:color w:val="auto"/>
        </w:rPr>
        <w:t>以下罚款，没收违法所得</w:t>
      </w:r>
    </w:p>
    <w:p>
      <w:pPr>
        <w:pStyle w:val="4"/>
        <w:spacing w:line="306" w:lineRule="exact"/>
        <w:ind w:left="591"/>
        <w:rPr>
          <w:color w:val="auto"/>
        </w:rPr>
      </w:pPr>
      <w:r>
        <w:rPr>
          <w:color w:val="auto"/>
        </w:rPr>
        <w:t>5、【特别严重】</w:t>
      </w:r>
    </w:p>
    <w:p>
      <w:pPr>
        <w:pStyle w:val="13"/>
        <w:numPr>
          <w:ilvl w:val="0"/>
          <w:numId w:val="306"/>
        </w:numPr>
        <w:tabs>
          <w:tab w:val="left" w:pos="1193"/>
        </w:tabs>
        <w:spacing w:before="191"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footerReference r:id="rId57" w:type="default"/>
          <w:footerReference r:id="rId58" w:type="even"/>
          <w:pgSz w:w="11910" w:h="16840"/>
          <w:pgMar w:top="1520" w:right="1260" w:bottom="1220" w:left="1420" w:header="0" w:footer="1034" w:gutter="0"/>
          <w:pgNumType w:start="270"/>
        </w:sectPr>
      </w:pPr>
    </w:p>
    <w:p>
      <w:pPr>
        <w:pStyle w:val="4"/>
        <w:spacing w:before="39" w:line="391" w:lineRule="auto"/>
        <w:ind w:right="268" w:firstLine="480"/>
        <w:jc w:val="both"/>
        <w:rPr>
          <w:color w:val="auto"/>
        </w:rPr>
      </w:pPr>
      <w:r>
        <w:rPr>
          <w:color w:val="auto"/>
          <w:spacing w:val="-6"/>
        </w:rPr>
        <w:t>有下列情形之一的：</w:t>
      </w:r>
      <w:r>
        <w:rPr>
          <w:color w:val="auto"/>
          <w:spacing w:val="-46"/>
        </w:rPr>
        <w:t>1</w:t>
      </w:r>
      <w:r>
        <w:rPr>
          <w:color w:val="auto"/>
          <w:spacing w:val="-15"/>
        </w:rPr>
        <w:t>、未取得生产许可正擅自生产的产品造成人身、财产损害 或</w:t>
      </w:r>
      <w:r>
        <w:rPr>
          <w:color w:val="auto"/>
          <w:spacing w:val="-1"/>
        </w:rPr>
        <w:t>者造成较大社会影响等严重危害后果的；</w:t>
      </w:r>
      <w:r>
        <w:rPr>
          <w:color w:val="auto"/>
          <w:spacing w:val="-16"/>
        </w:rPr>
        <w:t>2</w:t>
      </w:r>
      <w:r>
        <w:rPr>
          <w:color w:val="auto"/>
          <w:spacing w:val="-7"/>
        </w:rPr>
        <w:t>、无证生产被查处拒不改正的；</w:t>
      </w:r>
      <w:r>
        <w:rPr>
          <w:color w:val="auto"/>
          <w:spacing w:val="-16"/>
        </w:rPr>
        <w:t>3</w:t>
      </w:r>
      <w:r>
        <w:rPr>
          <w:color w:val="auto"/>
          <w:spacing w:val="-15"/>
        </w:rPr>
        <w:t xml:space="preserve"> 许可证被</w:t>
      </w:r>
      <w:r>
        <w:rPr>
          <w:color w:val="auto"/>
        </w:rPr>
        <w:t>撤回、撤销、吊销或者注销后，继续从事生产的；4、屡次违法的。</w:t>
      </w:r>
    </w:p>
    <w:p>
      <w:pPr>
        <w:pStyle w:val="13"/>
        <w:numPr>
          <w:ilvl w:val="0"/>
          <w:numId w:val="30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5" w:line="388" w:lineRule="auto"/>
        <w:ind w:right="268" w:firstLine="480"/>
        <w:rPr>
          <w:color w:val="auto"/>
        </w:rPr>
      </w:pPr>
      <w:r>
        <w:rPr>
          <w:color w:val="auto"/>
          <w:spacing w:val="-6"/>
        </w:rPr>
        <w:t xml:space="preserve">责令停止生产，没收违法生产的产品，处违法生产产品货值金额 </w:t>
      </w:r>
      <w:r>
        <w:rPr>
          <w:color w:val="auto"/>
        </w:rPr>
        <w:t>2.5</w:t>
      </w:r>
      <w:r>
        <w:rPr>
          <w:color w:val="auto"/>
          <w:spacing w:val="-30"/>
        </w:rPr>
        <w:t xml:space="preserve"> 以上 </w:t>
      </w:r>
      <w:r>
        <w:rPr>
          <w:color w:val="auto"/>
        </w:rPr>
        <w:t>3</w:t>
      </w:r>
      <w:r>
        <w:rPr>
          <w:color w:val="auto"/>
          <w:spacing w:val="-26"/>
        </w:rPr>
        <w:t xml:space="preserve"> 倍以</w:t>
      </w:r>
      <w:r>
        <w:rPr>
          <w:color w:val="auto"/>
        </w:rPr>
        <w:t>下罚款，没收违法所得。</w:t>
      </w:r>
    </w:p>
    <w:p>
      <w:pPr>
        <w:pStyle w:val="2"/>
        <w:spacing w:before="2" w:line="391" w:lineRule="auto"/>
        <w:ind w:left="111" w:right="240" w:firstLine="480"/>
        <w:rPr>
          <w:color w:val="auto"/>
        </w:rPr>
      </w:pPr>
      <w:bookmarkStart w:id="633" w:name="_bookmark316"/>
      <w:bookmarkEnd w:id="633"/>
      <w:bookmarkStart w:id="634" w:name="三百零八、取得生产许可证的企业生产条件、检验手段、生产技术或者工艺发生变化，未依"/>
      <w:bookmarkEnd w:id="634"/>
      <w:r>
        <w:rPr>
          <w:color w:val="auto"/>
          <w:spacing w:val="-7"/>
        </w:rPr>
        <w:t>三百零八、取得生产许可证的企业生产条件、检验手段、生产技术或者工艺发生变化，未依照规定办理重新审查手续</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148" w:firstLine="470"/>
        <w:rPr>
          <w:color w:val="auto"/>
        </w:rPr>
      </w:pPr>
      <w:r>
        <w:rPr>
          <w:color w:val="auto"/>
          <w:spacing w:val="-2"/>
        </w:rPr>
        <w:t>《中华人民共和国工业产品生产许可证管理条例》第四十六条第一款“取得生产</w:t>
      </w:r>
      <w:r>
        <w:rPr>
          <w:color w:val="auto"/>
          <w:spacing w:val="-5"/>
        </w:rPr>
        <w:t>许可证的企业生产条件、检验手段、生产技术或者工艺发生变化，未依照本条例规定</w:t>
      </w:r>
      <w:r>
        <w:rPr>
          <w:color w:val="auto"/>
          <w:spacing w:val="-8"/>
        </w:rPr>
        <w:t>办理重新审查手续的，责令停止生产、销售，没收违法生产、销售的产品，并限期办</w:t>
      </w:r>
      <w:r>
        <w:rPr>
          <w:color w:val="auto"/>
          <w:spacing w:val="-16"/>
        </w:rPr>
        <w:t>理相关手续；逾期仍未办理的，处违法生产、销售产品</w:t>
      </w:r>
      <w:r>
        <w:rPr>
          <w:color w:val="auto"/>
        </w:rPr>
        <w:t>（</w:t>
      </w:r>
      <w:r>
        <w:rPr>
          <w:color w:val="auto"/>
          <w:spacing w:val="-2"/>
        </w:rPr>
        <w:t xml:space="preserve">包括已售出和未售出的产品， </w:t>
      </w:r>
      <w:r>
        <w:rPr>
          <w:color w:val="auto"/>
        </w:rPr>
        <w:t>下同</w:t>
      </w:r>
      <w:r>
        <w:rPr>
          <w:color w:val="auto"/>
          <w:spacing w:val="-8"/>
        </w:rPr>
        <w:t>）</w:t>
      </w:r>
      <w:r>
        <w:rPr>
          <w:color w:val="auto"/>
          <w:spacing w:val="-12"/>
        </w:rPr>
        <w:t xml:space="preserve">货值金额 </w:t>
      </w:r>
      <w:r>
        <w:rPr>
          <w:color w:val="auto"/>
        </w:rPr>
        <w:t>3</w:t>
      </w:r>
      <w:r>
        <w:rPr>
          <w:color w:val="auto"/>
          <w:spacing w:val="-8"/>
        </w:rPr>
        <w:t xml:space="preserve"> 倍以下的罚款；有违法所得的，没收违法所得；构成犯罪的，依法追究刑事责任。”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0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5"/>
        <w:ind w:left="591"/>
        <w:rPr>
          <w:color w:val="auto"/>
        </w:rPr>
      </w:pPr>
      <w:r>
        <w:rPr>
          <w:color w:val="auto"/>
        </w:rPr>
        <w:t>发生变化后，未依照规定办理重新审查手续。</w:t>
      </w:r>
    </w:p>
    <w:p>
      <w:pPr>
        <w:pStyle w:val="13"/>
        <w:numPr>
          <w:ilvl w:val="0"/>
          <w:numId w:val="30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712"/>
        <w:rPr>
          <w:color w:val="auto"/>
        </w:rPr>
      </w:pPr>
      <w:r>
        <w:rPr>
          <w:color w:val="auto"/>
        </w:rPr>
        <w:t>责令停止生产、销售，没收违法生产、销售的产品，并限期办理相关手续。2、【一般】</w:t>
      </w:r>
    </w:p>
    <w:p>
      <w:pPr>
        <w:pStyle w:val="13"/>
        <w:numPr>
          <w:ilvl w:val="0"/>
          <w:numId w:val="308"/>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rPr>
        <w:t>逾期未改正，有下列情形之一的：1、取得生产许可证，有一项内容发生变化， 未办理重新审查手续；2、产品经检验合格，未造成危害后果的。</w:t>
      </w:r>
    </w:p>
    <w:p>
      <w:pPr>
        <w:pStyle w:val="13"/>
        <w:numPr>
          <w:ilvl w:val="0"/>
          <w:numId w:val="30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4312"/>
        <w:rPr>
          <w:color w:val="auto"/>
        </w:rPr>
      </w:pPr>
      <w:r>
        <w:rPr>
          <w:color w:val="auto"/>
          <w:spacing w:val="-5"/>
        </w:rPr>
        <w:t xml:space="preserve">处违法生产产品货值金额 </w:t>
      </w:r>
      <w:r>
        <w:rPr>
          <w:color w:val="auto"/>
        </w:rPr>
        <w:t>1</w:t>
      </w:r>
      <w:r>
        <w:rPr>
          <w:color w:val="auto"/>
          <w:spacing w:val="-11"/>
        </w:rPr>
        <w:t xml:space="preserve"> 倍以下罚款。</w:t>
      </w:r>
      <w:r>
        <w:rPr>
          <w:color w:val="auto"/>
        </w:rPr>
        <w:t>3</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309"/>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rPr>
          <w:color w:val="auto"/>
        </w:rPr>
      </w:pPr>
      <w:r>
        <w:rPr>
          <w:color w:val="auto"/>
        </w:rPr>
        <w:t>逾期未改正，有下列情形之一的：1、取得生产许可证，有两项内容发生变化， 未办理重新审查手续；2、产品已经销售，但已追回大部分产品的。</w:t>
      </w:r>
    </w:p>
    <w:p>
      <w:pPr>
        <w:pStyle w:val="13"/>
        <w:numPr>
          <w:ilvl w:val="0"/>
          <w:numId w:val="30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6"/>
        </w:rPr>
        <w:t xml:space="preserve">处违法生产、销售产品货值金额 </w:t>
      </w:r>
      <w:r>
        <w:rPr>
          <w:color w:val="auto"/>
        </w:rPr>
        <w:t>1</w:t>
      </w:r>
      <w:r>
        <w:rPr>
          <w:color w:val="auto"/>
          <w:spacing w:val="-24"/>
        </w:rPr>
        <w:t xml:space="preserve"> 倍以上 </w:t>
      </w:r>
      <w:r>
        <w:rPr>
          <w:color w:val="auto"/>
        </w:rPr>
        <w:t>1.5</w:t>
      </w:r>
      <w:r>
        <w:rPr>
          <w:color w:val="auto"/>
          <w:spacing w:val="-11"/>
        </w:rPr>
        <w:t xml:space="preserve"> 倍以下的罚款，有违法所得的，没</w:t>
      </w:r>
      <w:r>
        <w:rPr>
          <w:color w:val="auto"/>
        </w:rPr>
        <w:t>收违法所得。</w:t>
      </w:r>
    </w:p>
    <w:p>
      <w:pPr>
        <w:pStyle w:val="4"/>
        <w:spacing w:before="2"/>
        <w:ind w:left="591"/>
        <w:rPr>
          <w:color w:val="auto"/>
        </w:rPr>
      </w:pPr>
      <w:r>
        <w:rPr>
          <w:color w:val="auto"/>
        </w:rPr>
        <w:t>4、【严重】</w:t>
      </w:r>
    </w:p>
    <w:p>
      <w:pPr>
        <w:pStyle w:val="13"/>
        <w:numPr>
          <w:ilvl w:val="0"/>
          <w:numId w:val="310"/>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逾期未改正，有下列情形之一的：1、取得生产许可证，有三项内容发生变化， 未办理重新审查手续；2、产品已销售，无法追回；3、拒不追回违法产品的；4、经查处后，再次违法的。</w:t>
      </w:r>
    </w:p>
    <w:p>
      <w:pPr>
        <w:pStyle w:val="13"/>
        <w:numPr>
          <w:ilvl w:val="0"/>
          <w:numId w:val="310"/>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line="391" w:lineRule="auto"/>
        <w:ind w:right="268" w:firstLine="480"/>
        <w:rPr>
          <w:color w:val="auto"/>
        </w:rPr>
      </w:pPr>
      <w:r>
        <w:rPr>
          <w:color w:val="auto"/>
          <w:spacing w:val="-5"/>
        </w:rPr>
        <w:t xml:space="preserve">处违法生产产品货值金额 </w:t>
      </w:r>
      <w:r>
        <w:rPr>
          <w:color w:val="auto"/>
        </w:rPr>
        <w:t>1.5</w:t>
      </w:r>
      <w:r>
        <w:rPr>
          <w:color w:val="auto"/>
          <w:spacing w:val="-24"/>
        </w:rPr>
        <w:t xml:space="preserve"> 倍以上 </w:t>
      </w:r>
      <w:r>
        <w:rPr>
          <w:color w:val="auto"/>
        </w:rPr>
        <w:t>2</w:t>
      </w:r>
      <w:r>
        <w:rPr>
          <w:color w:val="auto"/>
          <w:spacing w:val="-11"/>
        </w:rPr>
        <w:t xml:space="preserve"> 倍以下的罚款，有违法所得的，没收违法</w:t>
      </w:r>
      <w:r>
        <w:rPr>
          <w:color w:val="auto"/>
        </w:rPr>
        <w:t>所得。</w:t>
      </w:r>
    </w:p>
    <w:p>
      <w:pPr>
        <w:pStyle w:val="4"/>
        <w:spacing w:line="306" w:lineRule="exact"/>
        <w:ind w:left="591"/>
        <w:rPr>
          <w:color w:val="auto"/>
        </w:rPr>
      </w:pPr>
      <w:r>
        <w:rPr>
          <w:color w:val="auto"/>
        </w:rPr>
        <w:t>5、【特别严重】</w:t>
      </w:r>
    </w:p>
    <w:p>
      <w:pPr>
        <w:pStyle w:val="13"/>
        <w:numPr>
          <w:ilvl w:val="0"/>
          <w:numId w:val="31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逾期未改正，有下列情形之一的：1、擅自生产的产品造成人身、财产损害，或者造成较大社会影响等严重危害后果的；2、屡次查处，拒不改正违法行为的。</w:t>
      </w:r>
    </w:p>
    <w:p>
      <w:pPr>
        <w:pStyle w:val="13"/>
        <w:numPr>
          <w:ilvl w:val="0"/>
          <w:numId w:val="311"/>
        </w:numPr>
        <w:tabs>
          <w:tab w:val="left" w:pos="1193"/>
        </w:tabs>
        <w:spacing w:before="2" w:after="0" w:line="240" w:lineRule="auto"/>
        <w:ind w:left="1192" w:right="0" w:hanging="602"/>
        <w:jc w:val="left"/>
        <w:rPr>
          <w:color w:val="auto"/>
          <w:sz w:val="24"/>
        </w:rPr>
      </w:pPr>
      <w:r>
        <w:rPr>
          <w:color w:val="auto"/>
          <w:sz w:val="24"/>
        </w:rPr>
        <w:t>处罚标准</w:t>
      </w:r>
    </w:p>
    <w:p>
      <w:pPr>
        <w:spacing w:before="194" w:line="388" w:lineRule="auto"/>
        <w:ind w:left="591" w:right="148" w:firstLine="0"/>
        <w:jc w:val="left"/>
        <w:rPr>
          <w:b/>
          <w:color w:val="auto"/>
          <w:sz w:val="24"/>
        </w:rPr>
      </w:pPr>
      <w:r>
        <w:rPr>
          <w:color w:val="auto"/>
          <w:spacing w:val="-5"/>
          <w:sz w:val="24"/>
        </w:rPr>
        <w:t xml:space="preserve">处违法生产产品货值金额 </w:t>
      </w:r>
      <w:r>
        <w:rPr>
          <w:color w:val="auto"/>
          <w:sz w:val="24"/>
        </w:rPr>
        <w:t>2</w:t>
      </w:r>
      <w:r>
        <w:rPr>
          <w:color w:val="auto"/>
          <w:spacing w:val="-24"/>
          <w:sz w:val="24"/>
        </w:rPr>
        <w:t xml:space="preserve"> 倍以上 </w:t>
      </w:r>
      <w:r>
        <w:rPr>
          <w:color w:val="auto"/>
          <w:sz w:val="24"/>
        </w:rPr>
        <w:t>3</w:t>
      </w:r>
      <w:r>
        <w:rPr>
          <w:color w:val="auto"/>
          <w:spacing w:val="-16"/>
          <w:sz w:val="24"/>
        </w:rPr>
        <w:t xml:space="preserve"> 倍以下罚款，有违法所得的，没收违法所得。</w:t>
      </w:r>
      <w:bookmarkStart w:id="635" w:name="三百零九、取得生产许可证的企业名称发生变化，未依照规定办理变更手续"/>
      <w:bookmarkEnd w:id="635"/>
      <w:bookmarkStart w:id="636" w:name="_bookmark317"/>
      <w:bookmarkEnd w:id="636"/>
      <w:r>
        <w:rPr>
          <w:b/>
          <w:color w:val="auto"/>
          <w:sz w:val="24"/>
        </w:rPr>
        <w:t>三百零九、取得生产许可证的企业名称发生变化，未依照规定办理变更手续</w:t>
      </w:r>
    </w:p>
    <w:p>
      <w:pPr>
        <w:pStyle w:val="2"/>
        <w:spacing w:before="3"/>
        <w:rPr>
          <w:color w:val="auto"/>
        </w:rPr>
      </w:pPr>
      <w:r>
        <w:rPr>
          <w:color w:val="auto"/>
        </w:rPr>
        <w:t>（一）处罚依据</w:t>
      </w:r>
    </w:p>
    <w:p>
      <w:pPr>
        <w:pStyle w:val="4"/>
        <w:spacing w:before="194" w:line="391" w:lineRule="auto"/>
        <w:ind w:right="268" w:firstLine="470"/>
        <w:jc w:val="both"/>
        <w:rPr>
          <w:color w:val="auto"/>
        </w:rPr>
      </w:pPr>
      <w:r>
        <w:rPr>
          <w:color w:val="auto"/>
          <w:spacing w:val="-3"/>
        </w:rPr>
        <w:t>《中华人民共和国工业产品生产许可证管理条例》第四十六条第二款“取得生产</w:t>
      </w:r>
      <w:r>
        <w:rPr>
          <w:color w:val="auto"/>
          <w:spacing w:val="-4"/>
        </w:rPr>
        <w:t>许可证的企业名称发生变化，未依照本条例规定办理变更手续的，责令限期办理变更</w:t>
      </w:r>
      <w:r>
        <w:rPr>
          <w:color w:val="auto"/>
          <w:spacing w:val="-7"/>
        </w:rPr>
        <w:t>手续；逾期仍未办理的，责令停止生产、销售，没收违法生产、销售的产品，并处违</w:t>
      </w:r>
      <w:r>
        <w:rPr>
          <w:color w:val="auto"/>
        </w:rPr>
        <w:t>法生产、销售产品货值金额等值以下的罚款；有违法所得的，没收违法所得。”</w:t>
      </w:r>
    </w:p>
    <w:p>
      <w:pPr>
        <w:numPr>
          <w:ilvl w:val="0"/>
          <w:numId w:val="180"/>
        </w:numPr>
        <w:spacing w:before="0" w:line="388" w:lineRule="auto"/>
        <w:ind w:left="591" w:leftChars="0" w:right="6948" w:firstLine="0" w:firstLineChars="0"/>
        <w:jc w:val="left"/>
        <w:rPr>
          <w:b/>
          <w:color w:val="auto"/>
          <w:sz w:val="24"/>
        </w:rPr>
      </w:pPr>
      <w:r>
        <w:rPr>
          <w:b/>
          <w:color w:val="auto"/>
          <w:sz w:val="24"/>
        </w:rPr>
        <w:t>裁量标准</w:t>
      </w:r>
    </w:p>
    <w:p>
      <w:pPr>
        <w:numPr>
          <w:ilvl w:val="0"/>
          <w:numId w:val="0"/>
        </w:numPr>
        <w:spacing w:before="0" w:line="388" w:lineRule="auto"/>
        <w:ind w:left="591" w:leftChars="0" w:right="6948" w:rightChars="0"/>
        <w:jc w:val="left"/>
        <w:rPr>
          <w:rFonts w:hint="default" w:eastAsia="宋体"/>
          <w:color w:val="auto"/>
          <w:sz w:val="24"/>
          <w:lang w:val="en-US" w:eastAsia="zh-CN"/>
        </w:rPr>
      </w:pPr>
      <w:r>
        <w:rPr>
          <w:rFonts w:hint="eastAsia"/>
          <w:color w:val="auto"/>
          <w:sz w:val="24"/>
          <w:lang w:val="en-US" w:eastAsia="zh-CN"/>
        </w:rPr>
        <w:t>1.【不予处罚】</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keepNext w:val="0"/>
        <w:keepLines w:val="0"/>
        <w:widowControl/>
        <w:suppressLineNumbers w:val="0"/>
        <w:ind w:firstLine="480" w:firstLineChars="2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没有违法所得 </w:t>
      </w:r>
    </w:p>
    <w:p>
      <w:pPr>
        <w:numPr>
          <w:ilvl w:val="0"/>
          <w:numId w:val="0"/>
        </w:numPr>
        <w:spacing w:before="0"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13"/>
        <w:numPr>
          <w:ilvl w:val="0"/>
          <w:numId w:val="312"/>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发生变化后，未依照规定办理变更手续。</w:t>
      </w:r>
    </w:p>
    <w:p>
      <w:pPr>
        <w:pStyle w:val="13"/>
        <w:numPr>
          <w:ilvl w:val="0"/>
          <w:numId w:val="312"/>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992"/>
        <w:rPr>
          <w:color w:val="auto"/>
        </w:rPr>
      </w:pPr>
      <w:r>
        <w:rPr>
          <w:color w:val="auto"/>
        </w:rPr>
        <w:t>责令限期办理变更手续。</w:t>
      </w:r>
      <w:r>
        <w:rPr>
          <w:rFonts w:hint="eastAsia"/>
          <w:color w:val="auto"/>
          <w:lang w:val="en-US" w:eastAsia="zh-CN"/>
        </w:rPr>
        <w:t>3</w:t>
      </w:r>
      <w:r>
        <w:rPr>
          <w:color w:val="auto"/>
        </w:rPr>
        <w:t>、【一般】</w:t>
      </w:r>
    </w:p>
    <w:p>
      <w:pPr>
        <w:pStyle w:val="13"/>
        <w:numPr>
          <w:ilvl w:val="0"/>
          <w:numId w:val="31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逾期未改正，有下列情形之一的：1、仍未办理，产品未销售的；2、没有造成危害后果的。</w:t>
      </w:r>
    </w:p>
    <w:p>
      <w:pPr>
        <w:pStyle w:val="13"/>
        <w:numPr>
          <w:ilvl w:val="0"/>
          <w:numId w:val="31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68" w:firstLine="480"/>
        <w:rPr>
          <w:color w:val="auto"/>
        </w:rPr>
      </w:pPr>
      <w:r>
        <w:rPr>
          <w:color w:val="auto"/>
          <w:spacing w:val="-6"/>
        </w:rPr>
        <w:t>责令停止生产、销售，没收违法生产、销售的产品，并处违法生产产品货值金额</w:t>
      </w:r>
      <w:r>
        <w:rPr>
          <w:color w:val="auto"/>
        </w:rPr>
        <w:t>30%以下的罚款。</w:t>
      </w:r>
    </w:p>
    <w:p>
      <w:pPr>
        <w:pStyle w:val="4"/>
        <w:spacing w:line="306" w:lineRule="exact"/>
        <w:ind w:left="591"/>
        <w:rPr>
          <w:color w:val="auto"/>
        </w:rPr>
      </w:pPr>
      <w:r>
        <w:rPr>
          <w:rFonts w:hint="eastAsia"/>
          <w:color w:val="auto"/>
          <w:lang w:val="en-US" w:eastAsia="zh-CN"/>
        </w:rPr>
        <w:t>4</w:t>
      </w:r>
      <w:r>
        <w:rPr>
          <w:color w:val="auto"/>
          <w:spacing w:val="-24"/>
        </w:rPr>
        <w:t>、【较重】</w:t>
      </w:r>
    </w:p>
    <w:p>
      <w:pPr>
        <w:pStyle w:val="13"/>
        <w:numPr>
          <w:ilvl w:val="0"/>
          <w:numId w:val="31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逾期仍未办理，产品已经销售，能追回大部分产品的。</w:t>
      </w:r>
    </w:p>
    <w:p>
      <w:pPr>
        <w:pStyle w:val="13"/>
        <w:numPr>
          <w:ilvl w:val="0"/>
          <w:numId w:val="31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6" w:firstLine="480"/>
        <w:rPr>
          <w:color w:val="auto"/>
        </w:rPr>
      </w:pPr>
      <w:r>
        <w:rPr>
          <w:color w:val="auto"/>
          <w:spacing w:val="-7"/>
        </w:rPr>
        <w:t>责令停止生产、销售，没收违法生产、销售的产品，并处违法生产、销售产品货</w:t>
      </w:r>
      <w:r>
        <w:rPr>
          <w:color w:val="auto"/>
          <w:spacing w:val="-15"/>
        </w:rPr>
        <w:t xml:space="preserve">值金额 </w:t>
      </w:r>
      <w:r>
        <w:rPr>
          <w:color w:val="auto"/>
        </w:rPr>
        <w:t>30%</w:t>
      </w:r>
      <w:r>
        <w:rPr>
          <w:color w:val="auto"/>
          <w:spacing w:val="-20"/>
        </w:rPr>
        <w:t xml:space="preserve">以上 </w:t>
      </w:r>
      <w:r>
        <w:rPr>
          <w:color w:val="auto"/>
        </w:rPr>
        <w:t>50%以下的罚款，有违法所得的，没收违法所得。</w:t>
      </w:r>
    </w:p>
    <w:p>
      <w:pPr>
        <w:pStyle w:val="4"/>
        <w:spacing w:line="306" w:lineRule="exact"/>
        <w:ind w:left="591"/>
        <w:rPr>
          <w:color w:val="auto"/>
        </w:rPr>
      </w:pPr>
      <w:r>
        <w:rPr>
          <w:rFonts w:hint="eastAsia"/>
          <w:color w:val="auto"/>
          <w:lang w:val="en-US" w:eastAsia="zh-CN"/>
        </w:rPr>
        <w:t>5</w:t>
      </w:r>
      <w:r>
        <w:rPr>
          <w:color w:val="auto"/>
        </w:rPr>
        <w:t>、【严重】</w:t>
      </w:r>
    </w:p>
    <w:p>
      <w:pPr>
        <w:pStyle w:val="13"/>
        <w:numPr>
          <w:ilvl w:val="0"/>
          <w:numId w:val="315"/>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逾期未改正，有下列情形之一的：1、仍未办理， 产品已经销售，拒不追回产品的；2、经查处后，拒不改正违法行为的。</w:t>
      </w:r>
    </w:p>
    <w:p>
      <w:pPr>
        <w:pStyle w:val="13"/>
        <w:numPr>
          <w:ilvl w:val="0"/>
          <w:numId w:val="31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line="388" w:lineRule="auto"/>
        <w:ind w:right="266" w:firstLine="480"/>
        <w:rPr>
          <w:color w:val="auto"/>
        </w:rPr>
      </w:pPr>
      <w:r>
        <w:rPr>
          <w:color w:val="auto"/>
          <w:spacing w:val="-7"/>
        </w:rPr>
        <w:t>责令停止生产、销售，没收违法生产、销售的产品，并处违法生产、销售产品货</w:t>
      </w:r>
      <w:r>
        <w:rPr>
          <w:color w:val="auto"/>
          <w:spacing w:val="-15"/>
        </w:rPr>
        <w:t xml:space="preserve">值金额 </w:t>
      </w:r>
      <w:r>
        <w:rPr>
          <w:color w:val="auto"/>
        </w:rPr>
        <w:t>50%</w:t>
      </w:r>
      <w:r>
        <w:rPr>
          <w:color w:val="auto"/>
          <w:spacing w:val="-20"/>
        </w:rPr>
        <w:t xml:space="preserve">以上 </w:t>
      </w:r>
      <w:r>
        <w:rPr>
          <w:color w:val="auto"/>
        </w:rPr>
        <w:t>80%以下的罚款，有违法所得的，没收违法所得。</w:t>
      </w:r>
    </w:p>
    <w:p>
      <w:pPr>
        <w:pStyle w:val="4"/>
        <w:spacing w:before="2"/>
        <w:ind w:left="591"/>
        <w:rPr>
          <w:color w:val="auto"/>
        </w:rPr>
      </w:pPr>
      <w:r>
        <w:rPr>
          <w:rFonts w:hint="eastAsia"/>
          <w:color w:val="auto"/>
          <w:lang w:val="en-US" w:eastAsia="zh-CN"/>
        </w:rPr>
        <w:t>6</w:t>
      </w:r>
      <w:r>
        <w:rPr>
          <w:color w:val="auto"/>
        </w:rPr>
        <w:t>、【特别严重】</w:t>
      </w:r>
    </w:p>
    <w:p>
      <w:pPr>
        <w:pStyle w:val="13"/>
        <w:numPr>
          <w:ilvl w:val="0"/>
          <w:numId w:val="316"/>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68" w:firstLine="480"/>
        <w:rPr>
          <w:color w:val="auto"/>
        </w:rPr>
      </w:pPr>
      <w:r>
        <w:rPr>
          <w:color w:val="auto"/>
        </w:rPr>
        <w:t>逾期未改正，有下列情形之一的：1、造成人身、财产损害，或者造成较大社会影响等严重危害后果的；2、屡次查处，拒不改正违法行为的。</w:t>
      </w:r>
    </w:p>
    <w:p>
      <w:pPr>
        <w:pStyle w:val="13"/>
        <w:numPr>
          <w:ilvl w:val="0"/>
          <w:numId w:val="316"/>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66" w:firstLine="480"/>
        <w:rPr>
          <w:color w:val="auto"/>
        </w:rPr>
      </w:pPr>
      <w:r>
        <w:rPr>
          <w:color w:val="auto"/>
          <w:spacing w:val="-7"/>
        </w:rPr>
        <w:t>责令停止生产、销售，没收违法生产、销售的产品，并处违法生产、销售产品货</w:t>
      </w:r>
      <w:r>
        <w:rPr>
          <w:color w:val="auto"/>
          <w:spacing w:val="-15"/>
        </w:rPr>
        <w:t xml:space="preserve">值金额 </w:t>
      </w:r>
      <w:r>
        <w:rPr>
          <w:color w:val="auto"/>
        </w:rPr>
        <w:t>80%以上等值以下的罚款，有违法所得的，没收违法所得。</w:t>
      </w:r>
    </w:p>
    <w:p>
      <w:pPr>
        <w:pStyle w:val="2"/>
        <w:spacing w:before="2" w:line="391" w:lineRule="auto"/>
        <w:ind w:left="111" w:right="237" w:firstLine="480"/>
        <w:rPr>
          <w:color w:val="auto"/>
        </w:rPr>
      </w:pPr>
      <w:bookmarkStart w:id="637" w:name="_bookmark318"/>
      <w:bookmarkEnd w:id="637"/>
      <w:bookmarkStart w:id="638" w:name="三百一十、取得生产许可证的企业未依照规定在产品、包装或者说明书上标注生产许可证标"/>
      <w:bookmarkEnd w:id="638"/>
      <w:r>
        <w:rPr>
          <w:color w:val="auto"/>
          <w:spacing w:val="-8"/>
        </w:rPr>
        <w:t>三百一十、取得生产许可证的企业未依照规定在产品、包装或者说明书上标注生产许可证标志和编号</w:t>
      </w:r>
    </w:p>
    <w:p>
      <w:pPr>
        <w:spacing w:before="0" w:line="306" w:lineRule="exact"/>
        <w:ind w:left="591" w:right="0" w:firstLine="0"/>
        <w:jc w:val="left"/>
        <w:rPr>
          <w:b/>
          <w:color w:val="auto"/>
          <w:sz w:val="24"/>
        </w:rPr>
      </w:pPr>
      <w:r>
        <w:rPr>
          <w:b/>
          <w:color w:val="auto"/>
          <w:w w:val="95"/>
          <w:sz w:val="24"/>
        </w:rPr>
        <w:t>（一）处罚依据</w:t>
      </w:r>
    </w:p>
    <w:p>
      <w:pPr>
        <w:pStyle w:val="4"/>
        <w:spacing w:before="191" w:line="391" w:lineRule="auto"/>
        <w:ind w:right="232" w:firstLine="470"/>
        <w:jc w:val="both"/>
        <w:rPr>
          <w:color w:val="auto"/>
        </w:rPr>
      </w:pPr>
      <w:r>
        <w:rPr>
          <w:color w:val="auto"/>
        </w:rPr>
        <w:t>《中华人民共和国工业产品生产许可证管理条例》第四十七条“取得生产许可证的企业未依照本条例规定在产品、包装或者说明书上标注生产许可证标志和编号的， 责令限期改正；逾期仍未改正的，处违法生产、销售产品货值金额 30%以下的罚款； 有违法所得的，没收违法所得；情节严重的，吊销生产许可证。”</w:t>
      </w:r>
    </w:p>
    <w:p>
      <w:pPr>
        <w:numPr>
          <w:ilvl w:val="0"/>
          <w:numId w:val="317"/>
        </w:numPr>
        <w:spacing w:before="0" w:line="388" w:lineRule="auto"/>
        <w:ind w:left="591" w:right="6948" w:firstLine="0"/>
        <w:jc w:val="left"/>
        <w:rPr>
          <w:color w:val="auto"/>
          <w:sz w:val="24"/>
        </w:rPr>
      </w:pPr>
      <w:r>
        <w:rPr>
          <w:b/>
          <w:color w:val="auto"/>
          <w:sz w:val="24"/>
        </w:rPr>
        <w:t>裁量标准</w:t>
      </w:r>
    </w:p>
    <w:p>
      <w:pPr>
        <w:numPr>
          <w:ilvl w:val="0"/>
          <w:numId w:val="0"/>
        </w:numPr>
        <w:spacing w:before="0" w:line="388" w:lineRule="auto"/>
        <w:ind w:left="591" w:leftChars="0" w:right="6948" w:rightChars="0"/>
        <w:jc w:val="left"/>
        <w:rPr>
          <w:rFonts w:hint="default" w:eastAsia="宋体"/>
          <w:b/>
          <w:color w:val="auto"/>
          <w:sz w:val="24"/>
          <w:lang w:val="en-US" w:eastAsia="zh-CN"/>
        </w:rPr>
      </w:pPr>
      <w:r>
        <w:rPr>
          <w:rFonts w:hint="eastAsia"/>
          <w:b/>
          <w:color w:val="auto"/>
          <w:sz w:val="24"/>
          <w:lang w:val="en-US" w:eastAsia="zh-CN"/>
        </w:rPr>
        <w:t>1.【不予处罚】</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keepNext w:val="0"/>
        <w:keepLines w:val="0"/>
        <w:widowControl/>
        <w:suppressLineNumbers w:val="0"/>
        <w:ind w:firstLine="480" w:firstLineChars="2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没有违法所得 </w:t>
      </w:r>
    </w:p>
    <w:p>
      <w:pPr>
        <w:numPr>
          <w:ilvl w:val="0"/>
          <w:numId w:val="0"/>
        </w:numPr>
        <w:spacing w:before="0"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13"/>
        <w:numPr>
          <w:ilvl w:val="0"/>
          <w:numId w:val="31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逾期未改正，有下列情形之一的：1、产品未销售的；2、产品经检验合格的。</w:t>
      </w:r>
    </w:p>
    <w:p>
      <w:pPr>
        <w:pStyle w:val="13"/>
        <w:numPr>
          <w:ilvl w:val="0"/>
          <w:numId w:val="31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2505"/>
        <w:rPr>
          <w:color w:val="auto"/>
        </w:rPr>
      </w:pPr>
      <w:r>
        <w:rPr>
          <w:color w:val="auto"/>
        </w:rPr>
        <w:t>处违法生产产品货值金额 5%以下的罚款，没收违法所得。</w:t>
      </w:r>
      <w:r>
        <w:rPr>
          <w:rFonts w:hint="eastAsia"/>
          <w:color w:val="auto"/>
          <w:lang w:val="en-US" w:eastAsia="zh-CN"/>
        </w:rPr>
        <w:t>3</w:t>
      </w:r>
      <w:r>
        <w:rPr>
          <w:color w:val="auto"/>
        </w:rPr>
        <w:t>、【一般】</w:t>
      </w:r>
    </w:p>
    <w:p>
      <w:pPr>
        <w:pStyle w:val="13"/>
        <w:numPr>
          <w:ilvl w:val="0"/>
          <w:numId w:val="31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8" w:firstLine="480"/>
        <w:rPr>
          <w:color w:val="auto"/>
        </w:rPr>
      </w:pPr>
      <w:r>
        <w:rPr>
          <w:color w:val="auto"/>
        </w:rPr>
        <w:t>逾期未改正，有下列情形之一的：1、在产品、包装或者说明书上，生产许可证标志和编号均未标注；2、产品已经售出，能追回大部分产品的。</w:t>
      </w:r>
    </w:p>
    <w:p>
      <w:pPr>
        <w:pStyle w:val="13"/>
        <w:numPr>
          <w:ilvl w:val="0"/>
          <w:numId w:val="31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6"/>
        </w:rPr>
        <w:t xml:space="preserve">处违法生产、销售产品货值金额 </w:t>
      </w:r>
      <w:r>
        <w:rPr>
          <w:color w:val="auto"/>
        </w:rPr>
        <w:t>6%</w:t>
      </w:r>
      <w:r>
        <w:rPr>
          <w:color w:val="auto"/>
          <w:spacing w:val="-20"/>
        </w:rPr>
        <w:t xml:space="preserve">以上 </w:t>
      </w:r>
      <w:r>
        <w:rPr>
          <w:color w:val="auto"/>
        </w:rPr>
        <w:t>12%</w:t>
      </w:r>
      <w:r>
        <w:rPr>
          <w:color w:val="auto"/>
          <w:spacing w:val="-4"/>
        </w:rPr>
        <w:t>以下的罚款；有违法所得的，没收违</w:t>
      </w:r>
      <w:r>
        <w:rPr>
          <w:color w:val="auto"/>
        </w:rPr>
        <w:t>法所得。</w:t>
      </w:r>
    </w:p>
    <w:p>
      <w:pPr>
        <w:pStyle w:val="4"/>
        <w:spacing w:line="306" w:lineRule="exact"/>
        <w:ind w:left="591"/>
        <w:rPr>
          <w:color w:val="auto"/>
        </w:rPr>
      </w:pPr>
      <w:r>
        <w:rPr>
          <w:rFonts w:hint="eastAsia"/>
          <w:color w:val="auto"/>
          <w:lang w:val="en-US" w:eastAsia="zh-CN"/>
        </w:rPr>
        <w:t>4</w:t>
      </w:r>
      <w:r>
        <w:rPr>
          <w:color w:val="auto"/>
        </w:rPr>
        <w:t>、【较重】</w:t>
      </w:r>
    </w:p>
    <w:p>
      <w:pPr>
        <w:pStyle w:val="13"/>
        <w:numPr>
          <w:ilvl w:val="0"/>
          <w:numId w:val="32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24" w:firstLine="480"/>
        <w:rPr>
          <w:color w:val="auto"/>
        </w:rPr>
      </w:pPr>
      <w:r>
        <w:rPr>
          <w:color w:val="auto"/>
        </w:rPr>
        <w:t>逾期未改正，经督促，仍未改正，产品已经销售，企业实施追回但不能全部追回的。</w:t>
      </w:r>
    </w:p>
    <w:p>
      <w:pPr>
        <w:pStyle w:val="13"/>
        <w:numPr>
          <w:ilvl w:val="0"/>
          <w:numId w:val="320"/>
        </w:numPr>
        <w:tabs>
          <w:tab w:val="left" w:pos="1193"/>
        </w:tabs>
        <w:spacing w:before="2" w:after="0" w:line="240" w:lineRule="auto"/>
        <w:ind w:left="1192" w:right="0" w:hanging="602"/>
        <w:jc w:val="left"/>
        <w:rPr>
          <w:color w:val="auto"/>
        </w:rPr>
      </w:pPr>
      <w:r>
        <w:rPr>
          <w:color w:val="auto"/>
          <w:sz w:val="24"/>
        </w:rPr>
        <w:t>处罚标准</w:t>
      </w:r>
    </w:p>
    <w:p>
      <w:pPr>
        <w:pStyle w:val="13"/>
        <w:numPr>
          <w:ilvl w:val="0"/>
          <w:numId w:val="0"/>
        </w:numPr>
        <w:tabs>
          <w:tab w:val="left" w:pos="1193"/>
        </w:tabs>
        <w:spacing w:before="2" w:after="0" w:line="240" w:lineRule="auto"/>
        <w:ind w:left="590" w:leftChars="0" w:right="0" w:rightChars="0"/>
        <w:jc w:val="left"/>
        <w:rPr>
          <w:color w:val="auto"/>
        </w:rPr>
      </w:pPr>
      <w:r>
        <w:rPr>
          <w:color w:val="auto"/>
          <w:spacing w:val="-10"/>
        </w:rPr>
        <w:t xml:space="preserve">处违法生产、销售产品货值金额 </w:t>
      </w:r>
      <w:r>
        <w:rPr>
          <w:color w:val="auto"/>
        </w:rPr>
        <w:t>12</w:t>
      </w:r>
      <w:r>
        <w:rPr>
          <w:color w:val="auto"/>
          <w:spacing w:val="-30"/>
        </w:rPr>
        <w:t xml:space="preserve"> 以上 </w:t>
      </w:r>
      <w:r>
        <w:rPr>
          <w:color w:val="auto"/>
        </w:rPr>
        <w:t>18%</w:t>
      </w:r>
      <w:r>
        <w:rPr>
          <w:color w:val="auto"/>
          <w:spacing w:val="-9"/>
        </w:rPr>
        <w:t>以下的罚款；有违法所得的，没收违</w:t>
      </w:r>
      <w:r>
        <w:rPr>
          <w:color w:val="auto"/>
        </w:rPr>
        <w:t>法所得。</w:t>
      </w:r>
    </w:p>
    <w:p>
      <w:pPr>
        <w:pStyle w:val="4"/>
        <w:spacing w:line="306" w:lineRule="exact"/>
        <w:ind w:left="591"/>
        <w:rPr>
          <w:color w:val="auto"/>
        </w:rPr>
      </w:pPr>
      <w:r>
        <w:rPr>
          <w:rFonts w:hint="eastAsia"/>
          <w:color w:val="auto"/>
          <w:lang w:val="en-US" w:eastAsia="zh-CN"/>
        </w:rPr>
        <w:t>5</w:t>
      </w:r>
      <w:r>
        <w:rPr>
          <w:color w:val="auto"/>
        </w:rPr>
        <w:t>、【严重】</w:t>
      </w:r>
    </w:p>
    <w:p>
      <w:pPr>
        <w:pStyle w:val="13"/>
        <w:numPr>
          <w:ilvl w:val="0"/>
          <w:numId w:val="32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6"/>
        </w:rPr>
        <w:t>逾期未改正，有下列情形之一的：</w:t>
      </w:r>
      <w:r>
        <w:rPr>
          <w:color w:val="auto"/>
          <w:spacing w:val="-14"/>
        </w:rPr>
        <w:t>1</w:t>
      </w:r>
      <w:r>
        <w:rPr>
          <w:color w:val="auto"/>
          <w:spacing w:val="-9"/>
        </w:rPr>
        <w:t>、仍未改正，拒不追回产品的；</w:t>
      </w:r>
      <w:r>
        <w:rPr>
          <w:color w:val="auto"/>
          <w:spacing w:val="-14"/>
        </w:rPr>
        <w:t>2</w:t>
      </w:r>
      <w:r>
        <w:rPr>
          <w:color w:val="auto"/>
          <w:spacing w:val="-9"/>
        </w:rPr>
        <w:t xml:space="preserve">、经查处后， </w:t>
      </w:r>
      <w:r>
        <w:rPr>
          <w:color w:val="auto"/>
        </w:rPr>
        <w:t>拒不改正违法行为的。</w:t>
      </w:r>
    </w:p>
    <w:p>
      <w:pPr>
        <w:pStyle w:val="13"/>
        <w:numPr>
          <w:ilvl w:val="0"/>
          <w:numId w:val="32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71" w:firstLine="480"/>
        <w:rPr>
          <w:color w:val="auto"/>
        </w:rPr>
      </w:pPr>
      <w:r>
        <w:rPr>
          <w:color w:val="auto"/>
          <w:spacing w:val="-3"/>
        </w:rPr>
        <w:t xml:space="preserve">处违法生产、销售产品货值金额 </w:t>
      </w:r>
      <w:r>
        <w:rPr>
          <w:color w:val="auto"/>
        </w:rPr>
        <w:t>18</w:t>
      </w:r>
      <w:r>
        <w:rPr>
          <w:color w:val="auto"/>
          <w:spacing w:val="-9"/>
        </w:rPr>
        <w:t xml:space="preserve">%以上 </w:t>
      </w:r>
      <w:r>
        <w:rPr>
          <w:color w:val="auto"/>
        </w:rPr>
        <w:t>24%以下的罚款；有违法所得的，没收违法所得；吊销生产许可证。</w:t>
      </w:r>
    </w:p>
    <w:p>
      <w:pPr>
        <w:pStyle w:val="4"/>
        <w:spacing w:before="3"/>
        <w:ind w:left="591"/>
        <w:rPr>
          <w:color w:val="auto"/>
        </w:rPr>
      </w:pPr>
      <w:r>
        <w:rPr>
          <w:rFonts w:hint="eastAsia"/>
          <w:color w:val="auto"/>
          <w:lang w:val="en-US" w:eastAsia="zh-CN"/>
        </w:rPr>
        <w:t>6</w:t>
      </w:r>
      <w:r>
        <w:rPr>
          <w:color w:val="auto"/>
        </w:rPr>
        <w:t>、【特别严重】</w:t>
      </w:r>
    </w:p>
    <w:p>
      <w:pPr>
        <w:pStyle w:val="13"/>
        <w:numPr>
          <w:ilvl w:val="0"/>
          <w:numId w:val="32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68" w:firstLine="480"/>
        <w:rPr>
          <w:color w:val="auto"/>
        </w:rPr>
      </w:pPr>
      <w:r>
        <w:rPr>
          <w:color w:val="auto"/>
        </w:rPr>
        <w:t>逾期未改正，有下列情形之一的：1、造成较大危害后果或者造成较大社会影响的；2、屡次查处，拒不改正违法行为的；3、故意欺诈消费者的。</w:t>
      </w:r>
    </w:p>
    <w:p>
      <w:pPr>
        <w:pStyle w:val="13"/>
        <w:numPr>
          <w:ilvl w:val="0"/>
          <w:numId w:val="322"/>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71" w:firstLine="480"/>
        <w:rPr>
          <w:color w:val="auto"/>
        </w:rPr>
      </w:pPr>
      <w:r>
        <w:rPr>
          <w:color w:val="auto"/>
          <w:spacing w:val="-3"/>
        </w:rPr>
        <w:t xml:space="preserve">处违法生产、销售产品货值金额 </w:t>
      </w:r>
      <w:r>
        <w:rPr>
          <w:color w:val="auto"/>
        </w:rPr>
        <w:t>24</w:t>
      </w:r>
      <w:r>
        <w:rPr>
          <w:color w:val="auto"/>
          <w:spacing w:val="-9"/>
        </w:rPr>
        <w:t xml:space="preserve">%以上 </w:t>
      </w:r>
      <w:r>
        <w:rPr>
          <w:color w:val="auto"/>
        </w:rPr>
        <w:t>30%以下的罚款；有违法所得的，没收违法所得；吊销生产许可证。</w:t>
      </w:r>
    </w:p>
    <w:p>
      <w:pPr>
        <w:pStyle w:val="2"/>
        <w:spacing w:before="4"/>
        <w:rPr>
          <w:color w:val="auto"/>
        </w:rPr>
      </w:pPr>
      <w:bookmarkStart w:id="639" w:name="三百一十一、销售或者在经营活动中使用未取得生产许可证的列入目录产品"/>
      <w:bookmarkEnd w:id="639"/>
      <w:bookmarkStart w:id="640" w:name="_bookmark319"/>
      <w:bookmarkEnd w:id="640"/>
      <w:r>
        <w:rPr>
          <w:color w:val="auto"/>
        </w:rPr>
        <w:t>三百一十一、销售或者在经营活动中使用未取得生产许可证的列入目录产品</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spacing w:val="-3"/>
        </w:rPr>
        <w:t>《中华人民共和国工业产品生产许可证管理条例》第四十八条“销售或者在经营</w:t>
      </w:r>
      <w:r>
        <w:rPr>
          <w:color w:val="auto"/>
          <w:spacing w:val="-2"/>
        </w:rPr>
        <w:t xml:space="preserve">活动中使用未取得生产许可证的列入目录产品的，责令改正，处 </w:t>
      </w:r>
      <w:r>
        <w:rPr>
          <w:color w:val="auto"/>
        </w:rPr>
        <w:t>5</w:t>
      </w:r>
      <w:r>
        <w:rPr>
          <w:color w:val="auto"/>
          <w:spacing w:val="-16"/>
        </w:rPr>
        <w:t xml:space="preserve"> 万元以上 </w:t>
      </w:r>
      <w:r>
        <w:rPr>
          <w:color w:val="auto"/>
        </w:rPr>
        <w:t>20</w:t>
      </w:r>
      <w:r>
        <w:rPr>
          <w:color w:val="auto"/>
          <w:spacing w:val="-15"/>
        </w:rPr>
        <w:t xml:space="preserve"> 万元以下的罚款；有违法所得的，没收违法所得；构成犯罪的，依法追究刑事责任。”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2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line="391" w:lineRule="auto"/>
        <w:ind w:right="148" w:firstLine="480"/>
        <w:rPr>
          <w:color w:val="auto"/>
        </w:rPr>
      </w:pPr>
      <w:r>
        <w:rPr>
          <w:color w:val="auto"/>
          <w:spacing w:val="-4"/>
        </w:rPr>
        <w:t>有下列情形之一的：</w:t>
      </w:r>
      <w:r>
        <w:rPr>
          <w:color w:val="auto"/>
          <w:spacing w:val="-27"/>
        </w:rPr>
        <w:t>1</w:t>
      </w:r>
      <w:r>
        <w:rPr>
          <w:color w:val="auto"/>
          <w:spacing w:val="-9"/>
        </w:rPr>
        <w:t>、违法销售或在经营活动中使用的产品货值金额较小的；</w:t>
      </w:r>
      <w:r>
        <w:rPr>
          <w:color w:val="auto"/>
          <w:spacing w:val="-27"/>
        </w:rPr>
        <w:t>2</w:t>
      </w:r>
      <w:r>
        <w:rPr>
          <w:color w:val="auto"/>
          <w:spacing w:val="-16"/>
        </w:rPr>
        <w:t>、</w:t>
      </w:r>
      <w:r>
        <w:rPr>
          <w:color w:val="auto"/>
        </w:rPr>
        <w:t>主动追回全部或大部分产品的。</w:t>
      </w:r>
    </w:p>
    <w:p>
      <w:pPr>
        <w:pStyle w:val="13"/>
        <w:numPr>
          <w:ilvl w:val="0"/>
          <w:numId w:val="32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责令改正，处 5 万元罚款，有违法所得的，没收违法所得。</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2、【一般】</w:t>
      </w:r>
    </w:p>
    <w:p>
      <w:pPr>
        <w:pStyle w:val="13"/>
        <w:numPr>
          <w:ilvl w:val="0"/>
          <w:numId w:val="324"/>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69" w:firstLine="480"/>
        <w:rPr>
          <w:color w:val="auto"/>
        </w:rPr>
      </w:pPr>
      <w:r>
        <w:rPr>
          <w:color w:val="auto"/>
        </w:rPr>
        <w:t>有下列情形之一的：1、违法销售或在经营活动中使用的产品货值金额不大，且没有产生危害后果的；2、售出的产品不能追回的。</w:t>
      </w:r>
    </w:p>
    <w:p>
      <w:pPr>
        <w:pStyle w:val="13"/>
        <w:numPr>
          <w:ilvl w:val="0"/>
          <w:numId w:val="324"/>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472"/>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9"/>
        </w:rPr>
        <w:t xml:space="preserve"> 万元以下的罚款，有违法所得的，没收违法所得。</w:t>
      </w:r>
      <w:r>
        <w:rPr>
          <w:color w:val="auto"/>
        </w:rPr>
        <w:t>3</w:t>
      </w:r>
      <w:r>
        <w:rPr>
          <w:color w:val="auto"/>
          <w:spacing w:val="-24"/>
        </w:rPr>
        <w:t>、【较重】</w:t>
      </w:r>
    </w:p>
    <w:p>
      <w:pPr>
        <w:pStyle w:val="13"/>
        <w:numPr>
          <w:ilvl w:val="0"/>
          <w:numId w:val="32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148" w:firstLine="480"/>
        <w:rPr>
          <w:color w:val="auto"/>
        </w:rPr>
      </w:pPr>
      <w:r>
        <w:rPr>
          <w:color w:val="auto"/>
          <w:spacing w:val="-4"/>
        </w:rPr>
        <w:t>有下列情形之一的：</w:t>
      </w:r>
      <w:r>
        <w:rPr>
          <w:color w:val="auto"/>
          <w:spacing w:val="-27"/>
        </w:rPr>
        <w:t>1</w:t>
      </w:r>
      <w:r>
        <w:rPr>
          <w:color w:val="auto"/>
          <w:spacing w:val="-9"/>
        </w:rPr>
        <w:t>、违法销售或在经营活动中使用的产品货值金额较大的；</w:t>
      </w:r>
      <w:r>
        <w:rPr>
          <w:color w:val="auto"/>
          <w:spacing w:val="-27"/>
        </w:rPr>
        <w:t>2</w:t>
      </w:r>
      <w:r>
        <w:rPr>
          <w:color w:val="auto"/>
          <w:spacing w:val="-16"/>
        </w:rPr>
        <w:t>、</w:t>
      </w:r>
      <w:r>
        <w:rPr>
          <w:color w:val="auto"/>
        </w:rPr>
        <w:t>拒绝追回售出产品的。</w:t>
      </w:r>
    </w:p>
    <w:p>
      <w:pPr>
        <w:pStyle w:val="13"/>
        <w:numPr>
          <w:ilvl w:val="0"/>
          <w:numId w:val="325"/>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592"/>
        <w:rPr>
          <w:color w:val="auto"/>
        </w:rPr>
      </w:pPr>
      <w:r>
        <w:rPr>
          <w:color w:val="auto"/>
          <w:spacing w:val="-9"/>
        </w:rPr>
        <w:t xml:space="preserve">责令改正，处 </w:t>
      </w:r>
      <w:r>
        <w:rPr>
          <w:color w:val="auto"/>
        </w:rPr>
        <w:t>8</w:t>
      </w:r>
      <w:r>
        <w:rPr>
          <w:color w:val="auto"/>
          <w:spacing w:val="-20"/>
        </w:rPr>
        <w:t xml:space="preserve"> 万元以上 </w:t>
      </w:r>
      <w:r>
        <w:rPr>
          <w:color w:val="auto"/>
        </w:rPr>
        <w:t>10</w:t>
      </w:r>
      <w:r>
        <w:rPr>
          <w:color w:val="auto"/>
          <w:spacing w:val="-9"/>
        </w:rPr>
        <w:t xml:space="preserve"> 万元以下罚款，有违法所得的，没收违法所得。</w:t>
      </w:r>
      <w:r>
        <w:rPr>
          <w:color w:val="auto"/>
        </w:rPr>
        <w:t>4</w:t>
      </w:r>
      <w:r>
        <w:rPr>
          <w:color w:val="auto"/>
          <w:spacing w:val="-24"/>
        </w:rPr>
        <w:t>、【严重】</w:t>
      </w:r>
    </w:p>
    <w:p>
      <w:pPr>
        <w:pStyle w:val="13"/>
        <w:numPr>
          <w:ilvl w:val="0"/>
          <w:numId w:val="32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有下列情形之一的：1、违法销售或在经营活动中使用的产品货值金额较大，造</w:t>
      </w:r>
      <w:r>
        <w:rPr>
          <w:color w:val="auto"/>
          <w:spacing w:val="-1"/>
        </w:rPr>
        <w:t>成一定后果的；</w:t>
      </w:r>
      <w:r>
        <w:rPr>
          <w:color w:val="auto"/>
          <w:spacing w:val="-5"/>
        </w:rPr>
        <w:t>2</w:t>
      </w:r>
      <w:r>
        <w:rPr>
          <w:color w:val="auto"/>
          <w:spacing w:val="-8"/>
        </w:rPr>
        <w:t xml:space="preserve">、销售或在经营活动中使用 </w:t>
      </w:r>
      <w:r>
        <w:rPr>
          <w:color w:val="auto"/>
        </w:rPr>
        <w:t>3</w:t>
      </w:r>
      <w:r>
        <w:rPr>
          <w:color w:val="auto"/>
          <w:spacing w:val="-8"/>
        </w:rPr>
        <w:t xml:space="preserve"> 种以上无证产品的；</w:t>
      </w:r>
      <w:r>
        <w:rPr>
          <w:color w:val="auto"/>
          <w:spacing w:val="-4"/>
        </w:rPr>
        <w:t>3</w:t>
      </w:r>
      <w:r>
        <w:rPr>
          <w:color w:val="auto"/>
          <w:spacing w:val="-5"/>
        </w:rPr>
        <w:t>、明知产品无证</w:t>
      </w:r>
      <w:r>
        <w:rPr>
          <w:color w:val="auto"/>
        </w:rPr>
        <w:t>故意销售的。</w:t>
      </w:r>
    </w:p>
    <w:p>
      <w:pPr>
        <w:pStyle w:val="13"/>
        <w:numPr>
          <w:ilvl w:val="0"/>
          <w:numId w:val="32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spacing w:val="-9"/>
        </w:rPr>
        <w:t xml:space="preserve">责令改正，处 </w:t>
      </w:r>
      <w:r>
        <w:rPr>
          <w:color w:val="auto"/>
        </w:rPr>
        <w:t>10</w:t>
      </w:r>
      <w:r>
        <w:rPr>
          <w:color w:val="auto"/>
          <w:spacing w:val="-24"/>
        </w:rPr>
        <w:t xml:space="preserve"> 万以上 </w:t>
      </w:r>
      <w:r>
        <w:rPr>
          <w:color w:val="auto"/>
        </w:rPr>
        <w:t>15</w:t>
      </w:r>
      <w:r>
        <w:rPr>
          <w:color w:val="auto"/>
          <w:spacing w:val="-9"/>
        </w:rPr>
        <w:t xml:space="preserve"> 万元以下的罚款，有违法所得的，没收违法所得。</w:t>
      </w:r>
      <w:r>
        <w:rPr>
          <w:color w:val="auto"/>
        </w:rPr>
        <w:t>5</w:t>
      </w:r>
      <w:r>
        <w:rPr>
          <w:color w:val="auto"/>
          <w:spacing w:val="-18"/>
        </w:rPr>
        <w:t>、【特别严重】</w:t>
      </w:r>
    </w:p>
    <w:p>
      <w:pPr>
        <w:pStyle w:val="13"/>
        <w:numPr>
          <w:ilvl w:val="0"/>
          <w:numId w:val="32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93" w:firstLine="480"/>
        <w:rPr>
          <w:color w:val="auto"/>
        </w:rPr>
      </w:pPr>
      <w:r>
        <w:rPr>
          <w:color w:val="auto"/>
        </w:rPr>
        <w:t>有下列情形之一的：1、违法销售或在经营活动中使用的产品货值金额巨大；2、屡查屡犯的；3、产品造成人身、财产损害或者造成较大社会影响等严重危害后果的。</w:t>
      </w:r>
    </w:p>
    <w:p>
      <w:pPr>
        <w:pStyle w:val="13"/>
        <w:numPr>
          <w:ilvl w:val="0"/>
          <w:numId w:val="327"/>
        </w:numPr>
        <w:tabs>
          <w:tab w:val="left" w:pos="1193"/>
        </w:tabs>
        <w:spacing w:before="0" w:after="0" w:line="306" w:lineRule="exact"/>
        <w:ind w:left="1192" w:right="0" w:hanging="602"/>
        <w:jc w:val="left"/>
        <w:rPr>
          <w:color w:val="auto"/>
          <w:sz w:val="24"/>
        </w:rPr>
      </w:pPr>
      <w:r>
        <w:rPr>
          <w:color w:val="auto"/>
          <w:sz w:val="24"/>
        </w:rPr>
        <w:t>处罚标准</w:t>
      </w:r>
    </w:p>
    <w:p>
      <w:pPr>
        <w:spacing w:before="192" w:line="391" w:lineRule="auto"/>
        <w:ind w:left="591" w:right="232" w:firstLine="0"/>
        <w:jc w:val="left"/>
        <w:rPr>
          <w:b/>
          <w:color w:val="auto"/>
          <w:sz w:val="24"/>
        </w:rPr>
      </w:pPr>
      <w:r>
        <w:rPr>
          <w:color w:val="auto"/>
          <w:spacing w:val="-9"/>
          <w:sz w:val="24"/>
        </w:rPr>
        <w:t xml:space="preserve">责令改正，处 </w:t>
      </w:r>
      <w:r>
        <w:rPr>
          <w:color w:val="auto"/>
          <w:sz w:val="24"/>
        </w:rPr>
        <w:t>10</w:t>
      </w:r>
      <w:r>
        <w:rPr>
          <w:color w:val="auto"/>
          <w:spacing w:val="-20"/>
          <w:sz w:val="24"/>
        </w:rPr>
        <w:t xml:space="preserve"> 万元以上 </w:t>
      </w:r>
      <w:r>
        <w:rPr>
          <w:color w:val="auto"/>
          <w:sz w:val="24"/>
        </w:rPr>
        <w:t>20</w:t>
      </w:r>
      <w:r>
        <w:rPr>
          <w:color w:val="auto"/>
          <w:spacing w:val="-9"/>
          <w:sz w:val="24"/>
        </w:rPr>
        <w:t xml:space="preserve"> 万元以下的罚款，有违法所得的，没收违法所得。</w:t>
      </w:r>
      <w:bookmarkStart w:id="641" w:name="三百一十二、取得生产许可证的企业出租、出借或者转让生产许可证证书、生产许可证标志"/>
      <w:bookmarkEnd w:id="641"/>
      <w:bookmarkStart w:id="642" w:name="_bookmark320"/>
      <w:bookmarkEnd w:id="642"/>
      <w:r>
        <w:rPr>
          <w:b/>
          <w:color w:val="auto"/>
          <w:spacing w:val="-6"/>
          <w:sz w:val="24"/>
        </w:rPr>
        <w:t>三百一十二、取得生产许可证的企业出租、出借或者转让生产许可证证书、生产</w:t>
      </w:r>
    </w:p>
    <w:p>
      <w:pPr>
        <w:pStyle w:val="2"/>
        <w:spacing w:line="306" w:lineRule="exact"/>
        <w:ind w:left="111"/>
        <w:rPr>
          <w:color w:val="auto"/>
        </w:rPr>
      </w:pPr>
      <w:r>
        <w:rPr>
          <w:color w:val="auto"/>
        </w:rPr>
        <w:t>许可证标志和编号</w:t>
      </w:r>
    </w:p>
    <w:p>
      <w:pPr>
        <w:spacing w:before="192"/>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68" w:firstLine="470"/>
        <w:jc w:val="both"/>
        <w:rPr>
          <w:color w:val="auto"/>
        </w:rPr>
      </w:pPr>
      <w:r>
        <w:rPr>
          <w:color w:val="auto"/>
          <w:spacing w:val="-3"/>
        </w:rPr>
        <w:t>《中华人民共和国工业产品生产许可证管理条例》第四十九条“取得生产许可证</w:t>
      </w:r>
      <w:r>
        <w:rPr>
          <w:color w:val="auto"/>
          <w:spacing w:val="-5"/>
        </w:rPr>
        <w:t>的企业出租、出借或者转让生产许可证证书、生产许可证标志和编号的，责令限期改</w:t>
      </w:r>
      <w:r>
        <w:rPr>
          <w:color w:val="auto"/>
          <w:spacing w:val="-12"/>
        </w:rPr>
        <w:t xml:space="preserve">正，处以 </w:t>
      </w:r>
      <w:r>
        <w:rPr>
          <w:color w:val="auto"/>
        </w:rPr>
        <w:t>20</w:t>
      </w:r>
      <w:r>
        <w:rPr>
          <w:color w:val="auto"/>
          <w:spacing w:val="-8"/>
        </w:rPr>
        <w:t xml:space="preserve"> 万元以下的罚款；情节严重的，吊销生产许可证。”</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2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line="391" w:lineRule="auto"/>
        <w:ind w:right="232" w:firstLine="480"/>
        <w:rPr>
          <w:color w:val="auto"/>
        </w:rPr>
      </w:pPr>
      <w:r>
        <w:rPr>
          <w:color w:val="auto"/>
        </w:rPr>
        <w:t>有下列情形之一的：1、首次出租、出借或转让许可证证书、标志和编号的；2、有证据证明租借或受让方产品未销售和流出，没有造成危害后果的。</w:t>
      </w:r>
    </w:p>
    <w:p>
      <w:pPr>
        <w:pStyle w:val="13"/>
        <w:numPr>
          <w:ilvl w:val="0"/>
          <w:numId w:val="32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5752"/>
        <w:rPr>
          <w:color w:val="auto"/>
        </w:rPr>
      </w:pPr>
      <w:r>
        <w:rPr>
          <w:color w:val="auto"/>
          <w:spacing w:val="-9"/>
        </w:rPr>
        <w:t xml:space="preserve">责令改正，处 </w:t>
      </w:r>
      <w:r>
        <w:rPr>
          <w:color w:val="auto"/>
        </w:rPr>
        <w:t>5</w:t>
      </w:r>
      <w:r>
        <w:rPr>
          <w:color w:val="auto"/>
          <w:spacing w:val="-13"/>
        </w:rPr>
        <w:t xml:space="preserve"> 万元罚款。</w:t>
      </w:r>
      <w:r>
        <w:rPr>
          <w:color w:val="auto"/>
        </w:rPr>
        <w:t>2</w:t>
      </w:r>
      <w:r>
        <w:rPr>
          <w:color w:val="auto"/>
          <w:spacing w:val="-24"/>
        </w:rPr>
        <w:t>、【一般】</w:t>
      </w:r>
    </w:p>
    <w:p>
      <w:pPr>
        <w:pStyle w:val="13"/>
        <w:numPr>
          <w:ilvl w:val="0"/>
          <w:numId w:val="32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出租、出借或转让许可证证书、标志和编号两次，持续时间 30 天以内的。</w:t>
      </w:r>
    </w:p>
    <w:p>
      <w:pPr>
        <w:pStyle w:val="13"/>
        <w:numPr>
          <w:ilvl w:val="0"/>
          <w:numId w:val="32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71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万元以下的罚款。</w:t>
      </w:r>
      <w:r>
        <w:rPr>
          <w:color w:val="auto"/>
        </w:rPr>
        <w:t>3</w:t>
      </w:r>
      <w:r>
        <w:rPr>
          <w:color w:val="auto"/>
          <w:spacing w:val="-24"/>
        </w:rPr>
        <w:t>、【较重】</w:t>
      </w:r>
    </w:p>
    <w:p>
      <w:pPr>
        <w:pStyle w:val="13"/>
        <w:numPr>
          <w:ilvl w:val="0"/>
          <w:numId w:val="33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spacing w:val="-7"/>
        </w:rPr>
        <w:t xml:space="preserve">出租、出借或转让许可证证书、标志和编号三次以上，持续时间 </w:t>
      </w:r>
      <w:r>
        <w:rPr>
          <w:color w:val="auto"/>
        </w:rPr>
        <w:t>30</w:t>
      </w:r>
      <w:r>
        <w:rPr>
          <w:color w:val="auto"/>
          <w:spacing w:val="-24"/>
        </w:rPr>
        <w:t xml:space="preserve"> 天以上 </w:t>
      </w:r>
      <w:r>
        <w:rPr>
          <w:color w:val="auto"/>
        </w:rPr>
        <w:t>60</w:t>
      </w:r>
      <w:r>
        <w:rPr>
          <w:color w:val="auto"/>
          <w:spacing w:val="-39"/>
        </w:rPr>
        <w:t xml:space="preserve"> 天</w:t>
      </w:r>
      <w:r>
        <w:rPr>
          <w:color w:val="auto"/>
        </w:rPr>
        <w:t>以内的。</w:t>
      </w:r>
    </w:p>
    <w:p>
      <w:pPr>
        <w:pStyle w:val="13"/>
        <w:numPr>
          <w:ilvl w:val="0"/>
          <w:numId w:val="33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59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万元以下的罚款。</w:t>
      </w:r>
      <w:r>
        <w:rPr>
          <w:color w:val="auto"/>
        </w:rPr>
        <w:t>4</w:t>
      </w:r>
      <w:r>
        <w:rPr>
          <w:color w:val="auto"/>
          <w:spacing w:val="-24"/>
        </w:rPr>
        <w:t>、【严重】</w:t>
      </w:r>
    </w:p>
    <w:p>
      <w:pPr>
        <w:pStyle w:val="13"/>
        <w:numPr>
          <w:ilvl w:val="0"/>
          <w:numId w:val="33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148" w:firstLine="480"/>
        <w:rPr>
          <w:color w:val="auto"/>
        </w:rPr>
      </w:pPr>
      <w:r>
        <w:rPr>
          <w:color w:val="auto"/>
        </w:rPr>
        <w:t>有下列情形之一的：1、被查处后，再次出租、出借、转让许可证证书、标志和</w:t>
      </w:r>
      <w:r>
        <w:rPr>
          <w:color w:val="auto"/>
          <w:spacing w:val="-13"/>
        </w:rPr>
        <w:t xml:space="preserve">编号，持续时间 </w:t>
      </w:r>
      <w:r>
        <w:rPr>
          <w:color w:val="auto"/>
        </w:rPr>
        <w:t>60</w:t>
      </w:r>
      <w:r>
        <w:rPr>
          <w:color w:val="auto"/>
          <w:spacing w:val="-14"/>
        </w:rPr>
        <w:t xml:space="preserve"> 天以上的；</w:t>
      </w:r>
      <w:r>
        <w:rPr>
          <w:color w:val="auto"/>
          <w:spacing w:val="-21"/>
        </w:rPr>
        <w:t>2</w:t>
      </w:r>
      <w:r>
        <w:rPr>
          <w:color w:val="auto"/>
          <w:spacing w:val="-10"/>
        </w:rPr>
        <w:t>、租借或受让方产品销售或流出后，造成危害后果的。</w:t>
      </w:r>
    </w:p>
    <w:p>
      <w:pPr>
        <w:pStyle w:val="13"/>
        <w:numPr>
          <w:ilvl w:val="0"/>
          <w:numId w:val="331"/>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1912"/>
        <w:rPr>
          <w:color w:val="auto"/>
        </w:rPr>
      </w:pPr>
      <w:r>
        <w:rPr>
          <w:color w:val="auto"/>
          <w:spacing w:val="-9"/>
        </w:rPr>
        <w:t xml:space="preserve">责令改正，处 </w:t>
      </w:r>
      <w:r>
        <w:rPr>
          <w:color w:val="auto"/>
        </w:rPr>
        <w:t>15</w:t>
      </w:r>
      <w:r>
        <w:rPr>
          <w:color w:val="auto"/>
          <w:spacing w:val="-20"/>
        </w:rPr>
        <w:t xml:space="preserve"> 万元以上 </w:t>
      </w:r>
      <w:r>
        <w:rPr>
          <w:color w:val="auto"/>
        </w:rPr>
        <w:t>18</w:t>
      </w:r>
      <w:r>
        <w:rPr>
          <w:color w:val="auto"/>
          <w:spacing w:val="-9"/>
        </w:rPr>
        <w:t xml:space="preserve"> 万元以下的罚款；吊销生产许可证</w:t>
      </w:r>
      <w:r>
        <w:rPr>
          <w:color w:val="auto"/>
        </w:rPr>
        <w:t>5</w:t>
      </w:r>
      <w:r>
        <w:rPr>
          <w:color w:val="auto"/>
          <w:spacing w:val="-18"/>
        </w:rPr>
        <w:t>、【特别严重】</w:t>
      </w:r>
    </w:p>
    <w:p>
      <w:pPr>
        <w:spacing w:after="0" w:line="388" w:lineRule="auto"/>
        <w:rPr>
          <w:color w:val="auto"/>
        </w:rPr>
        <w:sectPr>
          <w:pgSz w:w="11910" w:h="16840"/>
          <w:pgMar w:top="1520" w:right="1260" w:bottom="1220" w:left="1420" w:header="0" w:footer="1034" w:gutter="0"/>
        </w:sectPr>
      </w:pPr>
    </w:p>
    <w:p>
      <w:pPr>
        <w:pStyle w:val="13"/>
        <w:numPr>
          <w:ilvl w:val="0"/>
          <w:numId w:val="332"/>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9" w:firstLine="480"/>
        <w:rPr>
          <w:color w:val="auto"/>
        </w:rPr>
      </w:pPr>
      <w:r>
        <w:rPr>
          <w:color w:val="auto"/>
        </w:rPr>
        <w:t>有下列情形之一的：1、出租、出借、转让证书、标志、编号造成严重危害后果或重大负面影响的；2、屡次查处，拒不改正违法行为的。</w:t>
      </w:r>
    </w:p>
    <w:p>
      <w:pPr>
        <w:pStyle w:val="13"/>
        <w:numPr>
          <w:ilvl w:val="0"/>
          <w:numId w:val="33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责令改正，处 18 万以上 20 万元以下的罚款；吊销生产许可证</w:t>
      </w:r>
    </w:p>
    <w:p>
      <w:pPr>
        <w:pStyle w:val="2"/>
        <w:spacing w:before="192"/>
        <w:rPr>
          <w:color w:val="auto"/>
        </w:rPr>
      </w:pPr>
      <w:bookmarkStart w:id="643" w:name="三百一十三、违法接受并使用他人提供的生产许可证证书、生产许可证标志和编号"/>
      <w:bookmarkEnd w:id="643"/>
      <w:bookmarkStart w:id="644" w:name="_bookmark321"/>
      <w:bookmarkEnd w:id="644"/>
      <w:r>
        <w:rPr>
          <w:color w:val="auto"/>
        </w:rPr>
        <w:t>三百一十三、违法接受并使用他人提供的生产许可证证书、生产许可证标志和编</w:t>
      </w:r>
    </w:p>
    <w:p>
      <w:pPr>
        <w:spacing w:before="191"/>
        <w:ind w:left="111" w:right="0" w:firstLine="0"/>
        <w:jc w:val="left"/>
        <w:rPr>
          <w:b/>
          <w:color w:val="auto"/>
          <w:sz w:val="24"/>
        </w:rPr>
      </w:pPr>
      <w:r>
        <w:rPr>
          <w:b/>
          <w:color w:val="auto"/>
          <w:w w:val="99"/>
          <w:sz w:val="24"/>
        </w:rPr>
        <w:t>号</w:t>
      </w:r>
    </w:p>
    <w:p>
      <w:pPr>
        <w:spacing w:before="194"/>
        <w:ind w:left="591" w:right="0" w:firstLine="0"/>
        <w:jc w:val="left"/>
        <w:rPr>
          <w:b/>
          <w:color w:val="auto"/>
          <w:sz w:val="24"/>
        </w:rPr>
      </w:pPr>
      <w:r>
        <w:rPr>
          <w:b/>
          <w:color w:val="auto"/>
          <w:sz w:val="24"/>
        </w:rPr>
        <w:t>（一）处罚依据</w:t>
      </w:r>
    </w:p>
    <w:p>
      <w:pPr>
        <w:pStyle w:val="4"/>
        <w:spacing w:before="192" w:line="391" w:lineRule="auto"/>
        <w:ind w:right="232" w:firstLine="470"/>
        <w:jc w:val="both"/>
        <w:rPr>
          <w:color w:val="auto"/>
        </w:rPr>
      </w:pPr>
      <w:r>
        <w:rPr>
          <w:color w:val="auto"/>
          <w:spacing w:val="-2"/>
        </w:rPr>
        <w:t>《中华人民共和国工业产品生产许可证管理条例》第四十九条“违法接受并使用</w:t>
      </w:r>
      <w:r>
        <w:rPr>
          <w:color w:val="auto"/>
          <w:spacing w:val="-6"/>
        </w:rPr>
        <w:t>他人提供的生产许可证证书、生产许可证标志和编号的，责令停止生产、销售，没收</w:t>
      </w:r>
      <w:r>
        <w:rPr>
          <w:color w:val="auto"/>
          <w:spacing w:val="-8"/>
        </w:rPr>
        <w:t xml:space="preserve">违法生产、销售的产品，处违法生产、销售产品货值金额等值以上 </w:t>
      </w:r>
      <w:r>
        <w:rPr>
          <w:color w:val="auto"/>
        </w:rPr>
        <w:t>3</w:t>
      </w:r>
      <w:r>
        <w:rPr>
          <w:color w:val="auto"/>
          <w:spacing w:val="-10"/>
        </w:rPr>
        <w:t xml:space="preserve"> 倍以下的罚款； </w:t>
      </w:r>
      <w:r>
        <w:rPr>
          <w:color w:val="auto"/>
        </w:rPr>
        <w:t>有违法所得的，没收违法所得；构成犯罪的，依法追究刑事责任。”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3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line="391" w:lineRule="auto"/>
        <w:ind w:right="269" w:firstLine="480"/>
        <w:rPr>
          <w:color w:val="auto"/>
        </w:rPr>
      </w:pPr>
      <w:r>
        <w:rPr>
          <w:color w:val="auto"/>
        </w:rPr>
        <w:t>有下列情形之一的：1、案件查处前已经依法取得相关生产许可证，货值金额较小；2、产品未销售；3、未造成危害后果。</w:t>
      </w:r>
    </w:p>
    <w:p>
      <w:pPr>
        <w:pStyle w:val="13"/>
        <w:numPr>
          <w:ilvl w:val="0"/>
          <w:numId w:val="33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6" w:firstLine="480"/>
        <w:rPr>
          <w:color w:val="auto"/>
        </w:rPr>
      </w:pPr>
      <w:r>
        <w:rPr>
          <w:color w:val="auto"/>
          <w:spacing w:val="-7"/>
        </w:rPr>
        <w:t>责令停止生产、销售，没收违法生产、销售的产品，处违法生产、销售产品货值</w:t>
      </w:r>
      <w:r>
        <w:rPr>
          <w:color w:val="auto"/>
        </w:rPr>
        <w:t>金额等值的罚款；有违法所得的，没收违法所得。</w:t>
      </w:r>
    </w:p>
    <w:p>
      <w:pPr>
        <w:pStyle w:val="4"/>
        <w:spacing w:line="306" w:lineRule="exact"/>
        <w:ind w:left="591"/>
        <w:rPr>
          <w:color w:val="auto"/>
        </w:rPr>
      </w:pPr>
      <w:r>
        <w:rPr>
          <w:color w:val="auto"/>
        </w:rPr>
        <w:t>2、【一般】</w:t>
      </w:r>
    </w:p>
    <w:p>
      <w:pPr>
        <w:pStyle w:val="13"/>
        <w:numPr>
          <w:ilvl w:val="0"/>
          <w:numId w:val="334"/>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有下列情形之一的：1、案件查处前已经依法取得相关生产许可证，货值金额不大的；2、产品已销售 ，但能追回大部分产品。</w:t>
      </w:r>
    </w:p>
    <w:p>
      <w:pPr>
        <w:pStyle w:val="13"/>
        <w:numPr>
          <w:ilvl w:val="0"/>
          <w:numId w:val="334"/>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right="266" w:firstLine="480"/>
        <w:rPr>
          <w:color w:val="auto"/>
        </w:rPr>
      </w:pPr>
      <w:r>
        <w:rPr>
          <w:color w:val="auto"/>
          <w:spacing w:val="-7"/>
        </w:rPr>
        <w:t>责令停止生产、销售，没收违法生产、销售的产品，处违法生产、销售产品货值</w:t>
      </w:r>
      <w:r>
        <w:rPr>
          <w:color w:val="auto"/>
          <w:spacing w:val="-9"/>
        </w:rPr>
        <w:t xml:space="preserve">金额等值以上 </w:t>
      </w:r>
      <w:r>
        <w:rPr>
          <w:color w:val="auto"/>
        </w:rPr>
        <w:t>1.5</w:t>
      </w:r>
      <w:r>
        <w:rPr>
          <w:color w:val="auto"/>
          <w:spacing w:val="-8"/>
        </w:rPr>
        <w:t xml:space="preserve"> 倍以下的罚款；有违法所得的，没收违法所得。</w:t>
      </w:r>
    </w:p>
    <w:p>
      <w:pPr>
        <w:pStyle w:val="4"/>
        <w:spacing w:before="2"/>
        <w:ind w:left="591"/>
        <w:rPr>
          <w:color w:val="auto"/>
        </w:rPr>
      </w:pPr>
      <w:r>
        <w:rPr>
          <w:color w:val="auto"/>
        </w:rPr>
        <w:t>3、【较重】</w:t>
      </w:r>
    </w:p>
    <w:p>
      <w:pPr>
        <w:spacing w:after="0"/>
        <w:rPr>
          <w:color w:val="auto"/>
        </w:rPr>
        <w:sectPr>
          <w:pgSz w:w="11910" w:h="16840"/>
          <w:pgMar w:top="1520" w:right="1260" w:bottom="1220" w:left="1420" w:header="0" w:footer="1034" w:gutter="0"/>
        </w:sectPr>
      </w:pPr>
    </w:p>
    <w:p>
      <w:pPr>
        <w:pStyle w:val="13"/>
        <w:numPr>
          <w:ilvl w:val="0"/>
          <w:numId w:val="335"/>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9" w:firstLine="480"/>
        <w:rPr>
          <w:color w:val="auto"/>
        </w:rPr>
      </w:pPr>
      <w:r>
        <w:rPr>
          <w:color w:val="auto"/>
        </w:rPr>
        <w:t>有下列情形之一的：1、案件查处前已经依法取得相关生产许可证，货值金额较大的；2、产品已销售，无法追回产品,造成危害后果的。</w:t>
      </w:r>
    </w:p>
    <w:p>
      <w:pPr>
        <w:pStyle w:val="13"/>
        <w:numPr>
          <w:ilvl w:val="0"/>
          <w:numId w:val="33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6" w:firstLine="480"/>
        <w:rPr>
          <w:color w:val="auto"/>
        </w:rPr>
      </w:pPr>
      <w:r>
        <w:rPr>
          <w:color w:val="auto"/>
          <w:spacing w:val="-7"/>
        </w:rPr>
        <w:t>责令停止生产、销售，没收违法生产、销售的产品，处违法生产、销售产品货值</w:t>
      </w:r>
      <w:r>
        <w:rPr>
          <w:color w:val="auto"/>
          <w:spacing w:val="-20"/>
        </w:rPr>
        <w:t xml:space="preserve">金额 </w:t>
      </w:r>
      <w:r>
        <w:rPr>
          <w:color w:val="auto"/>
        </w:rPr>
        <w:t>1.5</w:t>
      </w:r>
      <w:r>
        <w:rPr>
          <w:color w:val="auto"/>
          <w:spacing w:val="-24"/>
        </w:rPr>
        <w:t xml:space="preserve"> 倍以上 </w:t>
      </w:r>
      <w:r>
        <w:rPr>
          <w:color w:val="auto"/>
        </w:rPr>
        <w:t>2</w:t>
      </w:r>
      <w:r>
        <w:rPr>
          <w:color w:val="auto"/>
          <w:spacing w:val="-8"/>
        </w:rPr>
        <w:t xml:space="preserve"> 倍以下的罚款；有违法所得的，没收违法所得。</w:t>
      </w:r>
    </w:p>
    <w:p>
      <w:pPr>
        <w:pStyle w:val="4"/>
        <w:spacing w:before="2"/>
        <w:ind w:left="591"/>
        <w:rPr>
          <w:color w:val="auto"/>
        </w:rPr>
      </w:pPr>
      <w:r>
        <w:rPr>
          <w:color w:val="auto"/>
        </w:rPr>
        <w:t>4、【严重】</w:t>
      </w:r>
    </w:p>
    <w:p>
      <w:pPr>
        <w:pStyle w:val="13"/>
        <w:numPr>
          <w:ilvl w:val="0"/>
          <w:numId w:val="336"/>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2" w:firstLine="480"/>
        <w:rPr>
          <w:color w:val="auto"/>
        </w:rPr>
      </w:pPr>
      <w:r>
        <w:rPr>
          <w:color w:val="auto"/>
        </w:rPr>
        <w:t>有下列情形之一的：1、案件查处前尚未取得生产许可证；2、产品已销售，拒不追回销售产品的；3、经查处后，再次违法的。</w:t>
      </w:r>
    </w:p>
    <w:p>
      <w:pPr>
        <w:pStyle w:val="13"/>
        <w:numPr>
          <w:ilvl w:val="0"/>
          <w:numId w:val="336"/>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66" w:firstLine="480"/>
        <w:rPr>
          <w:color w:val="auto"/>
        </w:rPr>
      </w:pPr>
      <w:r>
        <w:rPr>
          <w:color w:val="auto"/>
          <w:spacing w:val="-7"/>
        </w:rPr>
        <w:t>责令停止生产、销售，没收违法生产、销售的产品，处违法生产、销售产品货值</w:t>
      </w:r>
      <w:r>
        <w:rPr>
          <w:color w:val="auto"/>
          <w:spacing w:val="-20"/>
        </w:rPr>
        <w:t xml:space="preserve">金额 </w:t>
      </w:r>
      <w:r>
        <w:rPr>
          <w:color w:val="auto"/>
        </w:rPr>
        <w:t>2</w:t>
      </w:r>
      <w:r>
        <w:rPr>
          <w:color w:val="auto"/>
          <w:spacing w:val="-24"/>
        </w:rPr>
        <w:t xml:space="preserve"> 倍以上 </w:t>
      </w:r>
      <w:r>
        <w:rPr>
          <w:color w:val="auto"/>
        </w:rPr>
        <w:t>2.5</w:t>
      </w:r>
      <w:r>
        <w:rPr>
          <w:color w:val="auto"/>
          <w:spacing w:val="-8"/>
        </w:rPr>
        <w:t xml:space="preserve"> 倍以下的罚款；有违法所得的，没收违法所得。</w:t>
      </w:r>
    </w:p>
    <w:p>
      <w:pPr>
        <w:pStyle w:val="4"/>
        <w:spacing w:before="4"/>
        <w:ind w:left="591"/>
        <w:rPr>
          <w:color w:val="auto"/>
        </w:rPr>
      </w:pPr>
      <w:r>
        <w:rPr>
          <w:color w:val="auto"/>
        </w:rPr>
        <w:t>5、【特别严重】</w:t>
      </w:r>
    </w:p>
    <w:p>
      <w:pPr>
        <w:pStyle w:val="13"/>
        <w:numPr>
          <w:ilvl w:val="0"/>
          <w:numId w:val="33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有下列情形之一的：1、货值金额巨大的；2、造成人身、财产损害，或者造成较大社会影响等严重危害后果的；3、屡次查处，拒不改正违法行为的。</w:t>
      </w:r>
    </w:p>
    <w:p>
      <w:pPr>
        <w:pStyle w:val="13"/>
        <w:numPr>
          <w:ilvl w:val="0"/>
          <w:numId w:val="33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66" w:firstLine="480"/>
        <w:rPr>
          <w:color w:val="auto"/>
        </w:rPr>
      </w:pPr>
      <w:r>
        <w:rPr>
          <w:color w:val="auto"/>
          <w:spacing w:val="-7"/>
        </w:rPr>
        <w:t>责令停止生产、销售，没收违法生产、销售的产品，处违法生产、销售产品货值</w:t>
      </w:r>
      <w:r>
        <w:rPr>
          <w:color w:val="auto"/>
          <w:spacing w:val="-20"/>
        </w:rPr>
        <w:t xml:space="preserve">金额 </w:t>
      </w:r>
      <w:r>
        <w:rPr>
          <w:color w:val="auto"/>
        </w:rPr>
        <w:t>2.5</w:t>
      </w:r>
      <w:r>
        <w:rPr>
          <w:color w:val="auto"/>
          <w:spacing w:val="-24"/>
        </w:rPr>
        <w:t xml:space="preserve"> 倍以上 </w:t>
      </w:r>
      <w:r>
        <w:rPr>
          <w:color w:val="auto"/>
        </w:rPr>
        <w:t>3</w:t>
      </w:r>
      <w:r>
        <w:rPr>
          <w:color w:val="auto"/>
          <w:spacing w:val="-8"/>
        </w:rPr>
        <w:t xml:space="preserve"> 倍以下的罚款；有违法所得的，没收违法所得。</w:t>
      </w:r>
    </w:p>
    <w:p>
      <w:pPr>
        <w:pStyle w:val="2"/>
        <w:spacing w:line="306" w:lineRule="exact"/>
        <w:rPr>
          <w:color w:val="auto"/>
        </w:rPr>
      </w:pPr>
      <w:bookmarkStart w:id="645" w:name="_bookmark322"/>
      <w:bookmarkEnd w:id="645"/>
      <w:bookmarkStart w:id="646" w:name="三百一十四、擅自动用、调换、转移、损坏被查封、扣押财物"/>
      <w:bookmarkEnd w:id="646"/>
      <w:r>
        <w:rPr>
          <w:color w:val="auto"/>
          <w:w w:val="95"/>
        </w:rPr>
        <w:t>三百一十四、擅自动用、调换、转移、损坏被查封、扣押财物</w:t>
      </w:r>
    </w:p>
    <w:p>
      <w:pPr>
        <w:spacing w:before="192"/>
        <w:ind w:left="591" w:right="0" w:firstLine="0"/>
        <w:jc w:val="left"/>
        <w:rPr>
          <w:b/>
          <w:color w:val="auto"/>
          <w:sz w:val="24"/>
        </w:rPr>
      </w:pPr>
      <w:r>
        <w:rPr>
          <w:b/>
          <w:color w:val="auto"/>
          <w:sz w:val="24"/>
        </w:rPr>
        <w:t>（一）处罚依据</w:t>
      </w:r>
    </w:p>
    <w:p>
      <w:pPr>
        <w:pStyle w:val="4"/>
        <w:spacing w:before="194" w:line="391" w:lineRule="auto"/>
        <w:ind w:right="242" w:firstLine="470"/>
        <w:jc w:val="both"/>
        <w:rPr>
          <w:color w:val="auto"/>
        </w:rPr>
      </w:pPr>
      <w:r>
        <w:rPr>
          <w:color w:val="auto"/>
          <w:spacing w:val="-1"/>
        </w:rPr>
        <w:t>《中华人民共和国工业产品生产许可证管理条例》第五十条“擅自动用、调换、</w:t>
      </w:r>
      <w:r>
        <w:rPr>
          <w:color w:val="auto"/>
          <w:spacing w:val="-5"/>
        </w:rPr>
        <w:t>转移、损坏被查封、扣押财物的，责令改正，处被动用、调换、转移、损坏财物价值5%</w:t>
      </w:r>
      <w:r>
        <w:rPr>
          <w:color w:val="auto"/>
          <w:spacing w:val="-22"/>
        </w:rPr>
        <w:t xml:space="preserve">以上 </w:t>
      </w:r>
      <w:r>
        <w:rPr>
          <w:color w:val="auto"/>
        </w:rPr>
        <w:t>20%</w:t>
      </w:r>
      <w:r>
        <w:rPr>
          <w:color w:val="auto"/>
          <w:spacing w:val="-2"/>
        </w:rPr>
        <w:t xml:space="preserve">以下的罚款；拒不改正的，处被动用、调换、转移、损坏财物价值 </w:t>
      </w:r>
      <w:r>
        <w:rPr>
          <w:color w:val="auto"/>
        </w:rPr>
        <w:t>1</w:t>
      </w:r>
      <w:r>
        <w:rPr>
          <w:color w:val="auto"/>
          <w:spacing w:val="-19"/>
        </w:rPr>
        <w:t xml:space="preserve"> 倍以</w:t>
      </w:r>
      <w:r>
        <w:rPr>
          <w:color w:val="auto"/>
          <w:spacing w:val="-40"/>
        </w:rPr>
        <w:t xml:space="preserve">上 </w:t>
      </w:r>
      <w:r>
        <w:rPr>
          <w:color w:val="auto"/>
        </w:rPr>
        <w:t>3</w:t>
      </w:r>
      <w:r>
        <w:rPr>
          <w:color w:val="auto"/>
          <w:spacing w:val="-8"/>
        </w:rPr>
        <w:t xml:space="preserve"> 倍以下的罚款。”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338"/>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32" w:firstLine="480"/>
        <w:jc w:val="both"/>
        <w:rPr>
          <w:color w:val="auto"/>
        </w:rPr>
      </w:pPr>
      <w:r>
        <w:rPr>
          <w:color w:val="auto"/>
        </w:rPr>
        <w:t>有下列情形之一的：1、主动将被隐匿、转移、变卖、损毁物品恢复原状的；2、经执法部门责令改正，当事人能及时采取措施恢复原状的；3、少量隐匿、转移、损毁被查封、扣押的物品，且未造成危害后果的。</w:t>
      </w:r>
    </w:p>
    <w:p>
      <w:pPr>
        <w:pStyle w:val="13"/>
        <w:numPr>
          <w:ilvl w:val="0"/>
          <w:numId w:val="33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3945"/>
        <w:rPr>
          <w:color w:val="auto"/>
        </w:rPr>
      </w:pPr>
      <w:r>
        <w:rPr>
          <w:color w:val="auto"/>
        </w:rPr>
        <w:t>处被动用、调换、转移、财物价值 5%罚款。2、【一般】</w:t>
      </w:r>
    </w:p>
    <w:p>
      <w:pPr>
        <w:pStyle w:val="13"/>
        <w:numPr>
          <w:ilvl w:val="0"/>
          <w:numId w:val="33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被隐匿、转移、变卖、损毁物品不能恢复原状，且未造成危害后果的。</w:t>
      </w:r>
    </w:p>
    <w:p>
      <w:pPr>
        <w:pStyle w:val="13"/>
        <w:numPr>
          <w:ilvl w:val="0"/>
          <w:numId w:val="33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392"/>
        <w:rPr>
          <w:color w:val="auto"/>
        </w:rPr>
      </w:pPr>
      <w:r>
        <w:rPr>
          <w:color w:val="auto"/>
          <w:spacing w:val="-4"/>
        </w:rPr>
        <w:t xml:space="preserve">处被动用、调换、转移、财物价值 </w:t>
      </w:r>
      <w:r>
        <w:rPr>
          <w:color w:val="auto"/>
        </w:rPr>
        <w:t>5%</w:t>
      </w:r>
      <w:r>
        <w:rPr>
          <w:color w:val="auto"/>
          <w:spacing w:val="-20"/>
        </w:rPr>
        <w:t xml:space="preserve">以上 </w:t>
      </w:r>
      <w:r>
        <w:rPr>
          <w:color w:val="auto"/>
        </w:rPr>
        <w:t>20%</w:t>
      </w:r>
      <w:r>
        <w:rPr>
          <w:color w:val="auto"/>
          <w:spacing w:val="-3"/>
        </w:rPr>
        <w:t>以下的罚款。</w:t>
      </w:r>
      <w:r>
        <w:rPr>
          <w:color w:val="auto"/>
        </w:rPr>
        <w:t>3</w:t>
      </w:r>
      <w:r>
        <w:rPr>
          <w:color w:val="auto"/>
          <w:spacing w:val="-24"/>
        </w:rPr>
        <w:t>、【较重】</w:t>
      </w:r>
    </w:p>
    <w:p>
      <w:pPr>
        <w:pStyle w:val="13"/>
        <w:numPr>
          <w:ilvl w:val="0"/>
          <w:numId w:val="34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拒不将或不能将被隐匿、转移、变卖、损毁物品恢复原状，造成危害后果的。</w:t>
      </w:r>
    </w:p>
    <w:p>
      <w:pPr>
        <w:pStyle w:val="13"/>
        <w:numPr>
          <w:ilvl w:val="0"/>
          <w:numId w:val="34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352"/>
        <w:rPr>
          <w:color w:val="auto"/>
        </w:rPr>
      </w:pPr>
      <w:r>
        <w:rPr>
          <w:color w:val="auto"/>
          <w:spacing w:val="-4"/>
        </w:rPr>
        <w:t xml:space="preserve">处被动用、调换、转移、损毁财物价值 </w:t>
      </w:r>
      <w:r>
        <w:rPr>
          <w:color w:val="auto"/>
        </w:rPr>
        <w:t>1</w:t>
      </w:r>
      <w:r>
        <w:rPr>
          <w:color w:val="auto"/>
          <w:spacing w:val="-16"/>
        </w:rPr>
        <w:t xml:space="preserve"> 倍罚款。</w:t>
      </w:r>
      <w:r>
        <w:rPr>
          <w:color w:val="auto"/>
        </w:rPr>
        <w:t>4</w:t>
      </w:r>
      <w:r>
        <w:rPr>
          <w:color w:val="auto"/>
          <w:spacing w:val="-24"/>
        </w:rPr>
        <w:t>、【严重】</w:t>
      </w:r>
    </w:p>
    <w:p>
      <w:pPr>
        <w:pStyle w:val="13"/>
        <w:numPr>
          <w:ilvl w:val="0"/>
          <w:numId w:val="34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96" w:firstLine="480"/>
        <w:rPr>
          <w:color w:val="auto"/>
        </w:rPr>
      </w:pPr>
      <w:r>
        <w:rPr>
          <w:color w:val="auto"/>
        </w:rPr>
        <w:t>有下列情形之一的：1、拒不或不能将被隐匿、转移、变卖、损毁物品恢复原状， 物品转移、变卖或使用后造成进一步危害后果的；2、造成案件中断无法继续的。</w:t>
      </w:r>
    </w:p>
    <w:p>
      <w:pPr>
        <w:pStyle w:val="13"/>
        <w:numPr>
          <w:ilvl w:val="0"/>
          <w:numId w:val="34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1672"/>
        <w:rPr>
          <w:color w:val="auto"/>
        </w:rPr>
      </w:pPr>
      <w:r>
        <w:rPr>
          <w:color w:val="auto"/>
          <w:spacing w:val="-4"/>
        </w:rPr>
        <w:t xml:space="preserve">处被动用、调换、转移、损毁财物价值 </w:t>
      </w:r>
      <w:r>
        <w:rPr>
          <w:color w:val="auto"/>
        </w:rPr>
        <w:t>1</w:t>
      </w:r>
      <w:r>
        <w:rPr>
          <w:color w:val="auto"/>
          <w:spacing w:val="-24"/>
        </w:rPr>
        <w:t xml:space="preserve"> 倍以上 </w:t>
      </w:r>
      <w:r>
        <w:rPr>
          <w:color w:val="auto"/>
        </w:rPr>
        <w:t>2</w:t>
      </w:r>
      <w:r>
        <w:rPr>
          <w:color w:val="auto"/>
          <w:spacing w:val="-10"/>
        </w:rPr>
        <w:t xml:space="preserve"> 倍以下的罚款。</w:t>
      </w:r>
      <w:r>
        <w:rPr>
          <w:color w:val="auto"/>
        </w:rPr>
        <w:t>5</w:t>
      </w:r>
      <w:r>
        <w:rPr>
          <w:color w:val="auto"/>
          <w:spacing w:val="-18"/>
        </w:rPr>
        <w:t>、【特别严重】</w:t>
      </w:r>
    </w:p>
    <w:p>
      <w:pPr>
        <w:pStyle w:val="13"/>
        <w:numPr>
          <w:ilvl w:val="0"/>
          <w:numId w:val="34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92" w:firstLine="480"/>
        <w:rPr>
          <w:color w:val="auto"/>
        </w:rPr>
      </w:pPr>
      <w:r>
        <w:rPr>
          <w:color w:val="auto"/>
        </w:rPr>
        <w:t>有下列情形之一的：1、威胁或者利诱执法人员；2、用暴力方式阻碍执法的；3、物品转移、变卖或使用后造成严重危害后果或重大负面影响的。</w:t>
      </w:r>
    </w:p>
    <w:p>
      <w:pPr>
        <w:pStyle w:val="13"/>
        <w:numPr>
          <w:ilvl w:val="0"/>
          <w:numId w:val="34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处被动用、调换、转移、损毁财物价值 2 倍以上 3 倍以下的罚款。</w:t>
      </w:r>
    </w:p>
    <w:p>
      <w:pPr>
        <w:spacing w:after="0"/>
        <w:rPr>
          <w:color w:val="auto"/>
        </w:rPr>
        <w:sectPr>
          <w:footerReference r:id="rId59" w:type="default"/>
          <w:footerReference r:id="rId60" w:type="even"/>
          <w:pgSz w:w="11910" w:h="16840"/>
          <w:pgMar w:top="1520" w:right="1260" w:bottom="1220" w:left="1420" w:header="0" w:footer="1034" w:gutter="0"/>
          <w:pgNumType w:start="280"/>
        </w:sectPr>
      </w:pPr>
    </w:p>
    <w:p>
      <w:pPr>
        <w:pStyle w:val="2"/>
        <w:spacing w:before="39"/>
        <w:rPr>
          <w:color w:val="auto"/>
        </w:rPr>
      </w:pPr>
      <w:bookmarkStart w:id="647" w:name="三百一十五、伪造、变造许可证证书、生产许可证标志和编号"/>
      <w:bookmarkEnd w:id="647"/>
      <w:bookmarkStart w:id="648" w:name="_bookmark323"/>
      <w:bookmarkEnd w:id="648"/>
      <w:r>
        <w:rPr>
          <w:color w:val="auto"/>
        </w:rPr>
        <w:t>三百一十五、伪造、变造许可证证书、生产许可证标志和编号</w:t>
      </w:r>
    </w:p>
    <w:p>
      <w:pPr>
        <w:spacing w:before="195"/>
        <w:ind w:left="591" w:right="0" w:firstLine="0"/>
        <w:jc w:val="left"/>
        <w:rPr>
          <w:b/>
          <w:color w:val="auto"/>
          <w:sz w:val="24"/>
        </w:rPr>
      </w:pPr>
      <w:r>
        <w:rPr>
          <w:b/>
          <w:color w:val="auto"/>
          <w:sz w:val="24"/>
        </w:rPr>
        <w:t>（一）处罚依据</w:t>
      </w:r>
    </w:p>
    <w:p>
      <w:pPr>
        <w:pStyle w:val="4"/>
        <w:spacing w:before="191" w:line="391" w:lineRule="auto"/>
        <w:ind w:right="148" w:firstLine="470"/>
        <w:rPr>
          <w:color w:val="auto"/>
        </w:rPr>
      </w:pPr>
      <w:r>
        <w:rPr>
          <w:color w:val="auto"/>
          <w:spacing w:val="-3"/>
        </w:rPr>
        <w:t>《中华人民共和国工业产品生产许可证管理条例》第五十一条“伪造、变造许可</w:t>
      </w:r>
      <w:r>
        <w:rPr>
          <w:color w:val="auto"/>
          <w:spacing w:val="-7"/>
        </w:rPr>
        <w:t>证证书、生产许可证标志和编号的，责令改正，没收违法生产、销售的产品，并处违</w:t>
      </w:r>
      <w:r>
        <w:rPr>
          <w:color w:val="auto"/>
          <w:spacing w:val="-12"/>
        </w:rPr>
        <w:t xml:space="preserve">法生产、销售产品货值金额等值以上 </w:t>
      </w:r>
      <w:r>
        <w:rPr>
          <w:color w:val="auto"/>
        </w:rPr>
        <w:t>3</w:t>
      </w:r>
      <w:r>
        <w:rPr>
          <w:color w:val="auto"/>
          <w:spacing w:val="-15"/>
        </w:rPr>
        <w:t xml:space="preserve"> 倍以下的罚款；有违法所得的，没收违法所得； </w:t>
      </w:r>
      <w:r>
        <w:rPr>
          <w:color w:val="auto"/>
        </w:rPr>
        <w:t>构成犯罪的，依法追究刑事责任。”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4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line="391" w:lineRule="auto"/>
        <w:ind w:right="269" w:firstLine="480"/>
        <w:rPr>
          <w:color w:val="auto"/>
        </w:rPr>
      </w:pPr>
      <w:r>
        <w:rPr>
          <w:color w:val="auto"/>
        </w:rPr>
        <w:t>有下列情形之一的：1、伪造、变造许可证证书、生产许可证标志和编号，货值金额较小的；2、初次违法，产品未销售；3、初次违法，未造成危害后果的。</w:t>
      </w:r>
    </w:p>
    <w:p>
      <w:pPr>
        <w:pStyle w:val="13"/>
        <w:numPr>
          <w:ilvl w:val="0"/>
          <w:numId w:val="34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7"/>
        </w:rPr>
        <w:t xml:space="preserve">责令改正，没收违法生产、销售的产品，并处违法生产、销售产品货值金额 </w:t>
      </w:r>
      <w:r>
        <w:rPr>
          <w:color w:val="auto"/>
        </w:rPr>
        <w:t>1</w:t>
      </w:r>
      <w:r>
        <w:rPr>
          <w:color w:val="auto"/>
          <w:spacing w:val="-38"/>
        </w:rPr>
        <w:t xml:space="preserve"> 倍</w:t>
      </w:r>
      <w:r>
        <w:rPr>
          <w:color w:val="auto"/>
        </w:rPr>
        <w:t>以下的罚款；有违法所得的，没收违法所得。</w:t>
      </w:r>
    </w:p>
    <w:p>
      <w:pPr>
        <w:pStyle w:val="4"/>
        <w:spacing w:line="306" w:lineRule="exact"/>
        <w:ind w:left="591"/>
        <w:rPr>
          <w:color w:val="auto"/>
        </w:rPr>
      </w:pPr>
      <w:r>
        <w:rPr>
          <w:color w:val="auto"/>
        </w:rPr>
        <w:t>2、【一般】</w:t>
      </w:r>
    </w:p>
    <w:p>
      <w:pPr>
        <w:pStyle w:val="13"/>
        <w:numPr>
          <w:ilvl w:val="0"/>
          <w:numId w:val="34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有下列情形之一的：1、伪造、变造许可证证书、生产许可证标志和编号，货值金额不大的；2、产品已销售 ，但能追回大部分产品的。</w:t>
      </w:r>
    </w:p>
    <w:p>
      <w:pPr>
        <w:pStyle w:val="13"/>
        <w:numPr>
          <w:ilvl w:val="0"/>
          <w:numId w:val="34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责令改正，没收违法生产、销售的产品，并处违法生产、销售产品货值金额 1 倍</w:t>
      </w:r>
    </w:p>
    <w:p>
      <w:pPr>
        <w:pStyle w:val="4"/>
        <w:spacing w:before="192" w:line="388" w:lineRule="auto"/>
        <w:ind w:left="591" w:right="3112" w:hanging="480"/>
        <w:rPr>
          <w:color w:val="auto"/>
        </w:rPr>
      </w:pPr>
      <w:r>
        <w:rPr>
          <w:color w:val="auto"/>
          <w:spacing w:val="-20"/>
        </w:rPr>
        <w:t xml:space="preserve">以上 </w:t>
      </w:r>
      <w:r>
        <w:rPr>
          <w:color w:val="auto"/>
        </w:rPr>
        <w:t>1.5</w:t>
      </w:r>
      <w:r>
        <w:rPr>
          <w:color w:val="auto"/>
          <w:spacing w:val="-9"/>
        </w:rPr>
        <w:t xml:space="preserve"> 倍以下的罚款；有违法所得的，没收违法所得。</w:t>
      </w:r>
      <w:r>
        <w:rPr>
          <w:color w:val="auto"/>
        </w:rPr>
        <w:t>3</w:t>
      </w:r>
      <w:r>
        <w:rPr>
          <w:color w:val="auto"/>
          <w:spacing w:val="-24"/>
        </w:rPr>
        <w:t>、【较重】</w:t>
      </w:r>
    </w:p>
    <w:p>
      <w:pPr>
        <w:pStyle w:val="13"/>
        <w:numPr>
          <w:ilvl w:val="0"/>
          <w:numId w:val="34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65" w:firstLine="480"/>
        <w:jc w:val="both"/>
        <w:rPr>
          <w:color w:val="auto"/>
        </w:rPr>
      </w:pPr>
      <w:r>
        <w:rPr>
          <w:color w:val="auto"/>
        </w:rPr>
        <w:t>有下列情形之一的：1、伪造、变造许可证证书、生产许可证标志和编号，金额</w:t>
      </w:r>
      <w:r>
        <w:rPr>
          <w:color w:val="auto"/>
          <w:spacing w:val="-1"/>
        </w:rPr>
        <w:t>较大的；</w:t>
      </w:r>
      <w:r>
        <w:rPr>
          <w:color w:val="auto"/>
          <w:spacing w:val="-3"/>
        </w:rPr>
        <w:t>2、产品已销售，拒不追回销售产品的；3</w:t>
      </w:r>
      <w:r>
        <w:rPr>
          <w:color w:val="auto"/>
          <w:spacing w:val="-6"/>
        </w:rPr>
        <w:t>、伪造、变造、冒用品牌产品、地</w:t>
      </w:r>
      <w:r>
        <w:rPr>
          <w:color w:val="auto"/>
        </w:rPr>
        <w:t>理标志保护产品企业的许可证证书、生产许可证标志和编号的。</w:t>
      </w:r>
    </w:p>
    <w:p>
      <w:pPr>
        <w:pStyle w:val="13"/>
        <w:numPr>
          <w:ilvl w:val="0"/>
          <w:numId w:val="345"/>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责令改正，没收违法生产、销售的产品，并处违法生产、销售产品货值金额 1.5</w:t>
      </w:r>
    </w:p>
    <w:p>
      <w:pPr>
        <w:spacing w:after="0"/>
        <w:rPr>
          <w:color w:val="auto"/>
        </w:rPr>
        <w:sectPr>
          <w:pgSz w:w="11910" w:h="16840"/>
          <w:pgMar w:top="1520" w:right="1260" w:bottom="1220" w:left="1420" w:header="0" w:footer="1034" w:gutter="0"/>
        </w:sectPr>
      </w:pPr>
    </w:p>
    <w:p>
      <w:pPr>
        <w:pStyle w:val="4"/>
        <w:spacing w:before="39" w:line="391" w:lineRule="auto"/>
        <w:ind w:left="591" w:right="3112" w:hanging="480"/>
        <w:rPr>
          <w:color w:val="auto"/>
        </w:rPr>
      </w:pPr>
      <w:r>
        <w:rPr>
          <w:color w:val="auto"/>
          <w:spacing w:val="-15"/>
        </w:rPr>
        <w:t xml:space="preserve">倍以上 </w:t>
      </w:r>
      <w:r>
        <w:rPr>
          <w:color w:val="auto"/>
        </w:rPr>
        <w:t>2</w:t>
      </w:r>
      <w:r>
        <w:rPr>
          <w:color w:val="auto"/>
          <w:spacing w:val="-9"/>
        </w:rPr>
        <w:t xml:space="preserve"> 倍以下的罚款；有违法所得的，没收违法所得。</w:t>
      </w:r>
      <w:r>
        <w:rPr>
          <w:color w:val="auto"/>
        </w:rPr>
        <w:t>4</w:t>
      </w:r>
      <w:r>
        <w:rPr>
          <w:color w:val="auto"/>
          <w:spacing w:val="-24"/>
        </w:rPr>
        <w:t>、【严重】</w:t>
      </w:r>
    </w:p>
    <w:p>
      <w:pPr>
        <w:pStyle w:val="13"/>
        <w:numPr>
          <w:ilvl w:val="0"/>
          <w:numId w:val="34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148" w:firstLine="480"/>
        <w:rPr>
          <w:color w:val="auto"/>
        </w:rPr>
      </w:pPr>
      <w:r>
        <w:rPr>
          <w:color w:val="auto"/>
        </w:rPr>
        <w:t>有下列情形之一的：1、伪造、变造许可证证书、生产许可证标志和编号，金额</w:t>
      </w:r>
      <w:r>
        <w:rPr>
          <w:color w:val="auto"/>
          <w:spacing w:val="-6"/>
        </w:rPr>
        <w:t>较大，无法追回售出产品的；</w:t>
      </w:r>
      <w:r>
        <w:rPr>
          <w:color w:val="auto"/>
          <w:spacing w:val="-11"/>
        </w:rPr>
        <w:t>2</w:t>
      </w:r>
      <w:r>
        <w:rPr>
          <w:color w:val="auto"/>
          <w:spacing w:val="-9"/>
        </w:rPr>
        <w:t>、在两种产品伪造、变造的；</w:t>
      </w:r>
      <w:r>
        <w:rPr>
          <w:color w:val="auto"/>
          <w:spacing w:val="-11"/>
        </w:rPr>
        <w:t>3</w:t>
      </w:r>
      <w:r>
        <w:rPr>
          <w:color w:val="auto"/>
          <w:spacing w:val="-8"/>
        </w:rPr>
        <w:t>、经查处，再次违法的。</w:t>
      </w:r>
    </w:p>
    <w:p>
      <w:pPr>
        <w:pStyle w:val="13"/>
        <w:numPr>
          <w:ilvl w:val="0"/>
          <w:numId w:val="34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责令改正，没收违法生产、销售的产品，并处违法生产、销售产品货值金额 2 倍</w:t>
      </w:r>
    </w:p>
    <w:p>
      <w:pPr>
        <w:pStyle w:val="4"/>
        <w:spacing w:before="194" w:line="388" w:lineRule="auto"/>
        <w:ind w:left="591" w:right="3112" w:hanging="480"/>
        <w:rPr>
          <w:color w:val="auto"/>
        </w:rPr>
      </w:pPr>
      <w:r>
        <w:rPr>
          <w:color w:val="auto"/>
          <w:spacing w:val="-20"/>
        </w:rPr>
        <w:t xml:space="preserve">以上 </w:t>
      </w:r>
      <w:r>
        <w:rPr>
          <w:color w:val="auto"/>
        </w:rPr>
        <w:t>2.5</w:t>
      </w:r>
      <w:r>
        <w:rPr>
          <w:color w:val="auto"/>
          <w:spacing w:val="-9"/>
        </w:rPr>
        <w:t xml:space="preserve"> 倍以内的罚款；有违法所得的，没收违法所得。</w:t>
      </w:r>
      <w:r>
        <w:rPr>
          <w:color w:val="auto"/>
        </w:rPr>
        <w:t>5</w:t>
      </w:r>
      <w:r>
        <w:rPr>
          <w:color w:val="auto"/>
          <w:spacing w:val="-18"/>
        </w:rPr>
        <w:t>、【特别严重】</w:t>
      </w:r>
    </w:p>
    <w:p>
      <w:pPr>
        <w:pStyle w:val="13"/>
        <w:numPr>
          <w:ilvl w:val="0"/>
          <w:numId w:val="34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5" w:firstLine="480"/>
        <w:jc w:val="both"/>
        <w:rPr>
          <w:color w:val="auto"/>
        </w:rPr>
      </w:pPr>
      <w:r>
        <w:rPr>
          <w:color w:val="auto"/>
        </w:rPr>
        <w:t>有下列情形之一的：1、伪造、变造许可证证书、生产许可证标志和编号，货值</w:t>
      </w:r>
      <w:r>
        <w:rPr>
          <w:color w:val="auto"/>
          <w:spacing w:val="-1"/>
        </w:rPr>
        <w:t>金额巨大的；</w:t>
      </w:r>
      <w:r>
        <w:rPr>
          <w:color w:val="auto"/>
          <w:spacing w:val="-3"/>
        </w:rPr>
        <w:t>2、在两种以上产品伪造、变造的；</w:t>
      </w:r>
      <w:r>
        <w:rPr>
          <w:color w:val="auto"/>
        </w:rPr>
        <w:t>3</w:t>
      </w:r>
      <w:r>
        <w:rPr>
          <w:color w:val="auto"/>
          <w:spacing w:val="-5"/>
        </w:rPr>
        <w:t>、造成人身、财产损害，或者造成</w:t>
      </w:r>
      <w:r>
        <w:rPr>
          <w:color w:val="auto"/>
        </w:rPr>
        <w:t>较大社会影响等严重危害后果的；4、屡次查处，拒不改正违法行为的。</w:t>
      </w:r>
    </w:p>
    <w:p>
      <w:pPr>
        <w:pStyle w:val="13"/>
        <w:numPr>
          <w:ilvl w:val="0"/>
          <w:numId w:val="347"/>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责令改正，没收违法生产、销售的产品，并处违法生产、销售产品货值金额 2.5</w:t>
      </w:r>
    </w:p>
    <w:p>
      <w:pPr>
        <w:pStyle w:val="4"/>
        <w:spacing w:before="192"/>
        <w:rPr>
          <w:color w:val="auto"/>
        </w:rPr>
      </w:pPr>
      <w:r>
        <w:rPr>
          <w:color w:val="auto"/>
        </w:rPr>
        <w:t>倍以上 3 倍以下的罚款；有违法所得的，没收违法所得。</w:t>
      </w:r>
    </w:p>
    <w:p>
      <w:pPr>
        <w:pStyle w:val="2"/>
        <w:spacing w:before="194"/>
        <w:rPr>
          <w:color w:val="auto"/>
        </w:rPr>
      </w:pPr>
      <w:bookmarkStart w:id="649" w:name="三百一十六、企业用欺骗、贿赂等不正当手段取得生产许可证"/>
      <w:bookmarkEnd w:id="649"/>
      <w:bookmarkStart w:id="650" w:name="_bookmark324"/>
      <w:bookmarkEnd w:id="650"/>
      <w:r>
        <w:rPr>
          <w:color w:val="auto"/>
        </w:rPr>
        <w:t>三百一十六、企业用欺骗、贿赂等不正当手段取得生产许可证</w:t>
      </w:r>
    </w:p>
    <w:p>
      <w:pPr>
        <w:spacing w:before="192"/>
        <w:ind w:left="591" w:right="0" w:firstLine="0"/>
        <w:jc w:val="left"/>
        <w:rPr>
          <w:b/>
          <w:color w:val="auto"/>
          <w:sz w:val="24"/>
        </w:rPr>
      </w:pPr>
      <w:r>
        <w:rPr>
          <w:b/>
          <w:color w:val="auto"/>
          <w:sz w:val="24"/>
        </w:rPr>
        <w:t>（一）处罚依据</w:t>
      </w:r>
    </w:p>
    <w:p>
      <w:pPr>
        <w:pStyle w:val="4"/>
        <w:spacing w:before="192" w:line="391" w:lineRule="auto"/>
        <w:ind w:right="271" w:firstLine="470"/>
        <w:jc w:val="both"/>
        <w:rPr>
          <w:color w:val="auto"/>
        </w:rPr>
      </w:pPr>
      <w:r>
        <w:rPr>
          <w:color w:val="auto"/>
        </w:rPr>
        <w:t>1、《中华人民共和国工业产品生产许可证管理条例》第五十二条规定“企业用欺骗、贿赂等不正当手段取得生产许可证的，由工业产品生产许可证主管部门处 20 万元以下的罚款，并依照《中华人民共和国行政许可法》的有关规定作出处理。”</w:t>
      </w:r>
    </w:p>
    <w:p>
      <w:pPr>
        <w:pStyle w:val="4"/>
        <w:spacing w:line="391" w:lineRule="auto"/>
        <w:ind w:right="268" w:firstLine="480"/>
        <w:jc w:val="both"/>
        <w:rPr>
          <w:color w:val="auto"/>
        </w:rPr>
      </w:pPr>
      <w:r>
        <w:rPr>
          <w:color w:val="auto"/>
        </w:rPr>
        <w:t>2、《中华人民共和国行政许可法》第七十九条规定“被许可人以欺骗、贿赂等</w:t>
      </w:r>
      <w:r>
        <w:rPr>
          <w:color w:val="auto"/>
          <w:spacing w:val="-4"/>
        </w:rPr>
        <w:t>不正当手段取得行政许可的，行政机关应当依法给予行政处罚；取得的行政许可属于</w:t>
      </w:r>
      <w:r>
        <w:rPr>
          <w:color w:val="auto"/>
          <w:spacing w:val="-5"/>
        </w:rPr>
        <w:t>直接关系公共安全、人身健康、生命财产安全事项的，申请人在三年内不得再次申请</w:t>
      </w:r>
      <w:r>
        <w:rPr>
          <w:color w:val="auto"/>
          <w:spacing w:val="-6"/>
        </w:rPr>
        <w:t>行政许可；构成犯罪的，依法追究刑事责任。”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48"/>
        </w:numPr>
        <w:tabs>
          <w:tab w:val="left" w:pos="1193"/>
        </w:tabs>
        <w:spacing w:before="0"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违法获证后尚未生产的。</w:t>
      </w:r>
    </w:p>
    <w:p>
      <w:pPr>
        <w:pStyle w:val="13"/>
        <w:numPr>
          <w:ilvl w:val="0"/>
          <w:numId w:val="348"/>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2032"/>
        <w:rPr>
          <w:color w:val="auto"/>
        </w:rPr>
      </w:pPr>
      <w:r>
        <w:rPr>
          <w:color w:val="auto"/>
          <w:spacing w:val="-30"/>
        </w:rPr>
        <w:t xml:space="preserve">处 </w:t>
      </w:r>
      <w:r>
        <w:rPr>
          <w:color w:val="auto"/>
        </w:rPr>
        <w:t>5</w:t>
      </w:r>
      <w:r>
        <w:rPr>
          <w:color w:val="auto"/>
          <w:spacing w:val="-9"/>
        </w:rPr>
        <w:t xml:space="preserve"> 万元以下的罚款;提请准予生产许可的质监部门撤销许可。</w:t>
      </w:r>
      <w:r>
        <w:rPr>
          <w:color w:val="auto"/>
        </w:rPr>
        <w:t>2</w:t>
      </w:r>
      <w:r>
        <w:rPr>
          <w:color w:val="auto"/>
          <w:spacing w:val="-24"/>
        </w:rPr>
        <w:t>、【一般】</w:t>
      </w:r>
    </w:p>
    <w:p>
      <w:pPr>
        <w:pStyle w:val="13"/>
        <w:numPr>
          <w:ilvl w:val="0"/>
          <w:numId w:val="34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spacing w:val="-1"/>
        </w:rPr>
        <w:t>有下列情形之一的：</w:t>
      </w:r>
      <w:r>
        <w:rPr>
          <w:color w:val="auto"/>
          <w:spacing w:val="-5"/>
        </w:rPr>
        <w:t>1</w:t>
      </w:r>
      <w:r>
        <w:rPr>
          <w:color w:val="auto"/>
          <w:spacing w:val="-7"/>
        </w:rPr>
        <w:t xml:space="preserve">、违法获证后生产的产品货值金额 </w:t>
      </w:r>
      <w:r>
        <w:rPr>
          <w:color w:val="auto"/>
        </w:rPr>
        <w:t>10000</w:t>
      </w:r>
      <w:r>
        <w:rPr>
          <w:color w:val="auto"/>
          <w:spacing w:val="-11"/>
        </w:rPr>
        <w:t xml:space="preserve"> 元以下的；</w:t>
      </w:r>
      <w:r>
        <w:rPr>
          <w:color w:val="auto"/>
          <w:spacing w:val="-4"/>
        </w:rPr>
        <w:t>2</w:t>
      </w:r>
      <w:r>
        <w:rPr>
          <w:color w:val="auto"/>
          <w:spacing w:val="-13"/>
        </w:rPr>
        <w:t>、产</w:t>
      </w:r>
      <w:r>
        <w:rPr>
          <w:color w:val="auto"/>
        </w:rPr>
        <w:t>品已经售出，不能追回的。</w:t>
      </w:r>
    </w:p>
    <w:p>
      <w:pPr>
        <w:pStyle w:val="13"/>
        <w:numPr>
          <w:ilvl w:val="0"/>
          <w:numId w:val="349"/>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1072"/>
        <w:rPr>
          <w:color w:val="auto"/>
        </w:rPr>
      </w:pPr>
      <w:r>
        <w:rPr>
          <w:color w:val="auto"/>
          <w:spacing w:val="-30"/>
        </w:rPr>
        <w:t xml:space="preserve">处 </w:t>
      </w:r>
      <w:r>
        <w:rPr>
          <w:color w:val="auto"/>
        </w:rPr>
        <w:t>5</w:t>
      </w:r>
      <w:r>
        <w:rPr>
          <w:color w:val="auto"/>
          <w:spacing w:val="-20"/>
        </w:rPr>
        <w:t xml:space="preserve"> 万元以上 </w:t>
      </w:r>
      <w:r>
        <w:rPr>
          <w:color w:val="auto"/>
        </w:rPr>
        <w:t>8</w:t>
      </w:r>
      <w:r>
        <w:rPr>
          <w:color w:val="auto"/>
          <w:spacing w:val="-9"/>
        </w:rPr>
        <w:t xml:space="preserve"> 万元以下罚款;提请准予生产许可的质监部门撤销许可。</w:t>
      </w:r>
      <w:r>
        <w:rPr>
          <w:color w:val="auto"/>
        </w:rPr>
        <w:t>3</w:t>
      </w:r>
      <w:r>
        <w:rPr>
          <w:color w:val="auto"/>
          <w:spacing w:val="-24"/>
        </w:rPr>
        <w:t>、【较重】</w:t>
      </w:r>
    </w:p>
    <w:p>
      <w:pPr>
        <w:pStyle w:val="13"/>
        <w:numPr>
          <w:ilvl w:val="0"/>
          <w:numId w:val="35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71" w:firstLine="480"/>
        <w:rPr>
          <w:color w:val="auto"/>
        </w:rPr>
      </w:pPr>
      <w:r>
        <w:rPr>
          <w:color w:val="auto"/>
        </w:rPr>
        <w:t>有下列情形之一的：</w:t>
      </w:r>
      <w:r>
        <w:rPr>
          <w:color w:val="auto"/>
          <w:spacing w:val="3"/>
        </w:rPr>
        <w:t>1</w:t>
      </w:r>
      <w:r>
        <w:rPr>
          <w:color w:val="auto"/>
          <w:spacing w:val="-4"/>
        </w:rPr>
        <w:t xml:space="preserve">、违法获证后生产的产品货值金额 </w:t>
      </w:r>
      <w:r>
        <w:rPr>
          <w:color w:val="auto"/>
        </w:rPr>
        <w:t>10000</w:t>
      </w:r>
      <w:r>
        <w:rPr>
          <w:color w:val="auto"/>
          <w:spacing w:val="-19"/>
        </w:rPr>
        <w:t xml:space="preserve"> 元以上 </w:t>
      </w:r>
      <w:r>
        <w:rPr>
          <w:color w:val="auto"/>
        </w:rPr>
        <w:t>30000</w:t>
      </w:r>
      <w:r>
        <w:rPr>
          <w:color w:val="auto"/>
          <w:spacing w:val="-26"/>
        </w:rPr>
        <w:t xml:space="preserve"> 元以下的；2</w:t>
      </w:r>
      <w:r>
        <w:rPr>
          <w:color w:val="auto"/>
          <w:spacing w:val="-8"/>
        </w:rPr>
        <w:t xml:space="preserve"> 拒绝追回售出产品的。</w:t>
      </w:r>
    </w:p>
    <w:p>
      <w:pPr>
        <w:pStyle w:val="13"/>
        <w:numPr>
          <w:ilvl w:val="0"/>
          <w:numId w:val="35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952"/>
        <w:rPr>
          <w:color w:val="auto"/>
        </w:rPr>
      </w:pPr>
      <w:r>
        <w:rPr>
          <w:color w:val="auto"/>
          <w:spacing w:val="-30"/>
        </w:rPr>
        <w:t xml:space="preserve">处 </w:t>
      </w:r>
      <w:r>
        <w:rPr>
          <w:color w:val="auto"/>
        </w:rPr>
        <w:t>8</w:t>
      </w:r>
      <w:r>
        <w:rPr>
          <w:color w:val="auto"/>
          <w:spacing w:val="-20"/>
        </w:rPr>
        <w:t xml:space="preserve"> 万元以上 </w:t>
      </w:r>
      <w:r>
        <w:rPr>
          <w:color w:val="auto"/>
        </w:rPr>
        <w:t>10</w:t>
      </w:r>
      <w:r>
        <w:rPr>
          <w:color w:val="auto"/>
          <w:spacing w:val="-9"/>
        </w:rPr>
        <w:t xml:space="preserve"> 万元以下罚款;提请准予生产许可的质监部门撤销许可。</w:t>
      </w:r>
      <w:r>
        <w:rPr>
          <w:color w:val="auto"/>
        </w:rPr>
        <w:t>4</w:t>
      </w:r>
      <w:r>
        <w:rPr>
          <w:color w:val="auto"/>
          <w:spacing w:val="-24"/>
        </w:rPr>
        <w:t>、【严重】</w:t>
      </w:r>
    </w:p>
    <w:p>
      <w:pPr>
        <w:pStyle w:val="13"/>
        <w:numPr>
          <w:ilvl w:val="0"/>
          <w:numId w:val="35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271" w:firstLine="480"/>
        <w:rPr>
          <w:color w:val="auto"/>
        </w:rPr>
      </w:pPr>
      <w:r>
        <w:rPr>
          <w:color w:val="auto"/>
        </w:rPr>
        <w:t>有下列情形之一的：</w:t>
      </w:r>
      <w:r>
        <w:rPr>
          <w:color w:val="auto"/>
          <w:spacing w:val="3"/>
        </w:rPr>
        <w:t>1</w:t>
      </w:r>
      <w:r>
        <w:rPr>
          <w:color w:val="auto"/>
          <w:spacing w:val="-4"/>
        </w:rPr>
        <w:t xml:space="preserve">、违法获证后生产的产品货值金额 </w:t>
      </w:r>
      <w:r>
        <w:rPr>
          <w:color w:val="auto"/>
        </w:rPr>
        <w:t>30000</w:t>
      </w:r>
      <w:r>
        <w:rPr>
          <w:color w:val="auto"/>
          <w:spacing w:val="-19"/>
        </w:rPr>
        <w:t xml:space="preserve"> 元以上 </w:t>
      </w:r>
      <w:r>
        <w:rPr>
          <w:color w:val="auto"/>
        </w:rPr>
        <w:t>50000</w:t>
      </w:r>
      <w:r>
        <w:rPr>
          <w:color w:val="auto"/>
          <w:spacing w:val="-26"/>
        </w:rPr>
        <w:t xml:space="preserve"> 元以下的；2、售出产品造成一定社会危害但能配合消除的。</w:t>
      </w:r>
    </w:p>
    <w:p>
      <w:pPr>
        <w:pStyle w:val="13"/>
        <w:numPr>
          <w:ilvl w:val="0"/>
          <w:numId w:val="351"/>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832"/>
        <w:rPr>
          <w:color w:val="auto"/>
        </w:rPr>
      </w:pPr>
      <w:r>
        <w:rPr>
          <w:color w:val="auto"/>
          <w:spacing w:val="-30"/>
        </w:rPr>
        <w:t xml:space="preserve">处 </w:t>
      </w:r>
      <w:r>
        <w:rPr>
          <w:color w:val="auto"/>
        </w:rPr>
        <w:t>10</w:t>
      </w:r>
      <w:r>
        <w:rPr>
          <w:color w:val="auto"/>
          <w:spacing w:val="-20"/>
        </w:rPr>
        <w:t xml:space="preserve"> 万元以上 </w:t>
      </w:r>
      <w:r>
        <w:rPr>
          <w:color w:val="auto"/>
        </w:rPr>
        <w:t>15</w:t>
      </w:r>
      <w:r>
        <w:rPr>
          <w:color w:val="auto"/>
          <w:spacing w:val="-9"/>
        </w:rPr>
        <w:t xml:space="preserve"> 万元以下罚款;提请准予生产许可的质监部门撤销许可。</w:t>
      </w:r>
      <w:r>
        <w:rPr>
          <w:color w:val="auto"/>
        </w:rPr>
        <w:t>5</w:t>
      </w:r>
      <w:r>
        <w:rPr>
          <w:color w:val="auto"/>
          <w:spacing w:val="-18"/>
        </w:rPr>
        <w:t>、【特别严重】</w:t>
      </w:r>
    </w:p>
    <w:p>
      <w:pPr>
        <w:pStyle w:val="13"/>
        <w:numPr>
          <w:ilvl w:val="0"/>
          <w:numId w:val="352"/>
        </w:numPr>
        <w:tabs>
          <w:tab w:val="left" w:pos="1183"/>
        </w:tabs>
        <w:spacing w:before="5" w:after="0" w:line="240" w:lineRule="auto"/>
        <w:ind w:left="1182" w:right="0" w:hanging="602"/>
        <w:jc w:val="left"/>
        <w:rPr>
          <w:color w:val="auto"/>
          <w:sz w:val="24"/>
        </w:rPr>
      </w:pPr>
      <w:r>
        <w:rPr>
          <w:color w:val="auto"/>
          <w:sz w:val="24"/>
        </w:rPr>
        <w:t>违法情形</w:t>
      </w:r>
    </w:p>
    <w:p>
      <w:pPr>
        <w:pStyle w:val="4"/>
        <w:spacing w:before="192" w:line="391" w:lineRule="auto"/>
        <w:ind w:right="268" w:firstLine="470"/>
        <w:jc w:val="both"/>
        <w:rPr>
          <w:color w:val="auto"/>
        </w:rPr>
      </w:pPr>
      <w:r>
        <w:rPr>
          <w:color w:val="auto"/>
        </w:rPr>
        <w:t>有下列情形之一的：1</w:t>
      </w:r>
      <w:r>
        <w:rPr>
          <w:color w:val="auto"/>
          <w:spacing w:val="-3"/>
        </w:rPr>
        <w:t xml:space="preserve">、违法获证后生产的产品货值金额 </w:t>
      </w:r>
      <w:r>
        <w:rPr>
          <w:color w:val="auto"/>
        </w:rPr>
        <w:t>50000</w:t>
      </w:r>
      <w:r>
        <w:rPr>
          <w:color w:val="auto"/>
          <w:spacing w:val="-6"/>
        </w:rPr>
        <w:t xml:space="preserve"> 元以上，大部分</w:t>
      </w:r>
      <w:r>
        <w:rPr>
          <w:color w:val="auto"/>
          <w:spacing w:val="-8"/>
        </w:rPr>
        <w:t>不能追回的；</w:t>
      </w:r>
      <w:r>
        <w:rPr>
          <w:color w:val="auto"/>
          <w:spacing w:val="-12"/>
        </w:rPr>
        <w:t>2</w:t>
      </w:r>
      <w:r>
        <w:rPr>
          <w:color w:val="auto"/>
          <w:spacing w:val="-6"/>
        </w:rPr>
        <w:t>、拒不改正违法行为的；</w:t>
      </w:r>
      <w:r>
        <w:rPr>
          <w:color w:val="auto"/>
          <w:spacing w:val="-12"/>
        </w:rPr>
        <w:t>3</w:t>
      </w:r>
      <w:r>
        <w:rPr>
          <w:color w:val="auto"/>
          <w:spacing w:val="-11"/>
        </w:rPr>
        <w:t xml:space="preserve"> 违法生产的产品造成人身、财产损害或者造</w:t>
      </w:r>
      <w:r>
        <w:rPr>
          <w:color w:val="auto"/>
        </w:rPr>
        <w:t>成严重社会影响的。</w:t>
      </w:r>
    </w:p>
    <w:p>
      <w:pPr>
        <w:pStyle w:val="13"/>
        <w:numPr>
          <w:ilvl w:val="0"/>
          <w:numId w:val="352"/>
        </w:numPr>
        <w:tabs>
          <w:tab w:val="left" w:pos="1183"/>
        </w:tabs>
        <w:spacing w:before="0" w:after="0" w:line="304" w:lineRule="exact"/>
        <w:ind w:left="1182" w:right="0" w:hanging="602"/>
        <w:jc w:val="left"/>
        <w:rPr>
          <w:color w:val="auto"/>
          <w:sz w:val="24"/>
        </w:rPr>
      </w:pPr>
      <w:r>
        <w:rPr>
          <w:color w:val="auto"/>
          <w:sz w:val="24"/>
        </w:rPr>
        <w:t>处罚标准</w:t>
      </w:r>
    </w:p>
    <w:p>
      <w:pPr>
        <w:pStyle w:val="4"/>
        <w:spacing w:before="191"/>
        <w:ind w:left="581"/>
        <w:rPr>
          <w:color w:val="auto"/>
        </w:rPr>
      </w:pPr>
      <w:r>
        <w:rPr>
          <w:color w:val="auto"/>
        </w:rPr>
        <w:t>处 15 万元以上 20 万元以下罚款;提请准予生产许可的质监部门撤销许可。</w:t>
      </w:r>
    </w:p>
    <w:p>
      <w:pPr>
        <w:spacing w:after="0"/>
        <w:rPr>
          <w:color w:val="auto"/>
        </w:rPr>
        <w:sectPr>
          <w:pgSz w:w="11910" w:h="16840"/>
          <w:pgMar w:top="1520" w:right="1260" w:bottom="1220" w:left="1420" w:header="0" w:footer="1034" w:gutter="0"/>
        </w:sectPr>
      </w:pPr>
    </w:p>
    <w:p>
      <w:pPr>
        <w:pStyle w:val="2"/>
        <w:spacing w:before="39" w:line="391" w:lineRule="auto"/>
        <w:ind w:left="111" w:right="237" w:firstLine="480"/>
        <w:rPr>
          <w:color w:val="auto"/>
        </w:rPr>
      </w:pPr>
      <w:bookmarkStart w:id="651" w:name="三百一十七、取得生产许可证的产品经产品质量国家监督抽查或者省级监督抽查不合格"/>
      <w:bookmarkEnd w:id="651"/>
      <w:bookmarkStart w:id="652" w:name="_bookmark325"/>
      <w:bookmarkEnd w:id="652"/>
      <w:r>
        <w:rPr>
          <w:color w:val="auto"/>
          <w:spacing w:val="-9"/>
        </w:rPr>
        <w:t>三百一十七、取得生产许可证的产品经产品质量国家监督抽查或者省级监督抽查不合格</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3"/>
        </w:rPr>
        <w:t>《中华人民共和国工业产品生产许可证管理条例》第五十四条“取得生产许可证的产品经产品质量国家监督抽查或者省级监督抽查不合格的，由工业产品生产许可证</w:t>
      </w:r>
      <w:r>
        <w:rPr>
          <w:color w:val="auto"/>
        </w:rPr>
        <w:t>主管部门责令限期改正；到期复查仍不合格的，吊销生产许可证。”</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35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到期复查仍不合格的。</w:t>
      </w:r>
    </w:p>
    <w:p>
      <w:pPr>
        <w:pStyle w:val="13"/>
        <w:numPr>
          <w:ilvl w:val="0"/>
          <w:numId w:val="35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吊销生产许可证。</w:t>
      </w:r>
    </w:p>
    <w:p>
      <w:pPr>
        <w:pStyle w:val="2"/>
        <w:spacing w:before="192"/>
        <w:rPr>
          <w:color w:val="auto"/>
        </w:rPr>
      </w:pPr>
      <w:bookmarkStart w:id="653" w:name="_bookmark326"/>
      <w:bookmarkEnd w:id="653"/>
      <w:bookmarkStart w:id="654" w:name="三百一十八、承担发证产品检验工作的检验机构伪造检验结论或者出具虚假证明"/>
      <w:bookmarkEnd w:id="654"/>
      <w:r>
        <w:rPr>
          <w:color w:val="auto"/>
        </w:rPr>
        <w:t>三百一十八、承担发证产品检验工作的检验机构伪造检验结论或者出具虚假证明</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3"/>
        </w:rPr>
        <w:t>《中华人民共和国工业产品生产许可证管理条例》第五十六条“承担发证产品检验工作的检验机构伪造检验结论或者出具虚假证明的，由工业产品生产许可证主管部</w:t>
      </w:r>
      <w:r>
        <w:rPr>
          <w:color w:val="auto"/>
          <w:spacing w:val="-5"/>
        </w:rPr>
        <w:t xml:space="preserve">门责令改正，对单位处 </w:t>
      </w:r>
      <w:r>
        <w:rPr>
          <w:color w:val="auto"/>
        </w:rPr>
        <w:t>5</w:t>
      </w:r>
      <w:r>
        <w:rPr>
          <w:color w:val="auto"/>
          <w:spacing w:val="-16"/>
        </w:rPr>
        <w:t xml:space="preserve"> 万元以上 </w:t>
      </w:r>
      <w:r>
        <w:rPr>
          <w:color w:val="auto"/>
        </w:rPr>
        <w:t>20</w:t>
      </w:r>
      <w:r>
        <w:rPr>
          <w:color w:val="auto"/>
          <w:spacing w:val="-7"/>
        </w:rPr>
        <w:t xml:space="preserve"> 万元以下的罚款，对直接负责的主管人员和其</w:t>
      </w:r>
    </w:p>
    <w:p>
      <w:pPr>
        <w:pStyle w:val="4"/>
        <w:spacing w:line="388" w:lineRule="auto"/>
        <w:ind w:right="268"/>
        <w:jc w:val="both"/>
        <w:rPr>
          <w:color w:val="auto"/>
        </w:rPr>
      </w:pPr>
      <w:r>
        <w:rPr>
          <w:color w:val="auto"/>
          <w:spacing w:val="-8"/>
        </w:rPr>
        <w:t xml:space="preserve">他直接责任人处 </w:t>
      </w:r>
      <w:r>
        <w:rPr>
          <w:color w:val="auto"/>
        </w:rPr>
        <w:t>1</w:t>
      </w:r>
      <w:r>
        <w:rPr>
          <w:color w:val="auto"/>
          <w:spacing w:val="-20"/>
        </w:rPr>
        <w:t xml:space="preserve"> 万元以上 </w:t>
      </w:r>
      <w:r>
        <w:rPr>
          <w:color w:val="auto"/>
        </w:rPr>
        <w:t>5</w:t>
      </w:r>
      <w:r>
        <w:rPr>
          <w:color w:val="auto"/>
          <w:spacing w:val="-12"/>
        </w:rPr>
        <w:t xml:space="preserve"> 万元以下的罚款；有违法所得的，没收违法所得；情节</w:t>
      </w:r>
      <w:r>
        <w:rPr>
          <w:color w:val="auto"/>
        </w:rPr>
        <w:t>严重的，撤消其检验资格；构成犯罪的，依法追究刑事责任。”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5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初次违法且情节轻微的。</w:t>
      </w:r>
    </w:p>
    <w:p>
      <w:pPr>
        <w:pStyle w:val="13"/>
        <w:numPr>
          <w:ilvl w:val="0"/>
          <w:numId w:val="35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责令改正，对单位处 5 万元以上 10 万元以下的罚款，对直接负责的主管人员和</w:t>
      </w:r>
    </w:p>
    <w:p>
      <w:pPr>
        <w:pStyle w:val="4"/>
        <w:spacing w:before="194" w:line="388" w:lineRule="auto"/>
        <w:ind w:right="268"/>
        <w:rPr>
          <w:color w:val="auto"/>
        </w:rPr>
      </w:pPr>
      <w:r>
        <w:rPr>
          <w:color w:val="auto"/>
          <w:spacing w:val="-6"/>
        </w:rPr>
        <w:t xml:space="preserve">其他直接责任人员处 </w:t>
      </w:r>
      <w:r>
        <w:rPr>
          <w:color w:val="auto"/>
        </w:rPr>
        <w:t>1</w:t>
      </w:r>
      <w:r>
        <w:rPr>
          <w:color w:val="auto"/>
          <w:spacing w:val="-20"/>
        </w:rPr>
        <w:t xml:space="preserve"> 万元以上 </w:t>
      </w:r>
      <w:r>
        <w:rPr>
          <w:color w:val="auto"/>
        </w:rPr>
        <w:t>2</w:t>
      </w:r>
      <w:r>
        <w:rPr>
          <w:color w:val="auto"/>
          <w:spacing w:val="-11"/>
        </w:rPr>
        <w:t xml:space="preserve"> 万元以下的罚款；有违法所得的，并处没收违法所</w:t>
      </w:r>
      <w:r>
        <w:rPr>
          <w:color w:val="auto"/>
        </w:rPr>
        <w:t>得。</w:t>
      </w:r>
    </w:p>
    <w:p>
      <w:pPr>
        <w:pStyle w:val="4"/>
        <w:spacing w:before="2"/>
        <w:ind w:left="591"/>
        <w:rPr>
          <w:color w:val="auto"/>
        </w:rPr>
      </w:pPr>
      <w:r>
        <w:rPr>
          <w:color w:val="auto"/>
        </w:rPr>
        <w:t>2、【一般】</w:t>
      </w:r>
    </w:p>
    <w:p>
      <w:pPr>
        <w:spacing w:after="0"/>
        <w:rPr>
          <w:color w:val="auto"/>
        </w:rPr>
        <w:sectPr>
          <w:pgSz w:w="11910" w:h="16840"/>
          <w:pgMar w:top="1520" w:right="1260" w:bottom="1220" w:left="1420" w:header="0" w:footer="1034" w:gutter="0"/>
        </w:sectPr>
      </w:pPr>
    </w:p>
    <w:p>
      <w:pPr>
        <w:pStyle w:val="13"/>
        <w:numPr>
          <w:ilvl w:val="0"/>
          <w:numId w:val="355"/>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初次违法且尚未造成严重后果的。</w:t>
      </w:r>
    </w:p>
    <w:p>
      <w:pPr>
        <w:pStyle w:val="13"/>
        <w:numPr>
          <w:ilvl w:val="0"/>
          <w:numId w:val="35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2"/>
        </w:rPr>
        <w:t xml:space="preserve">对单位处 </w:t>
      </w:r>
      <w:r>
        <w:rPr>
          <w:color w:val="auto"/>
        </w:rPr>
        <w:t>10</w:t>
      </w:r>
      <w:r>
        <w:rPr>
          <w:color w:val="auto"/>
          <w:spacing w:val="-20"/>
        </w:rPr>
        <w:t xml:space="preserve"> 万元以上 </w:t>
      </w:r>
      <w:r>
        <w:rPr>
          <w:color w:val="auto"/>
        </w:rPr>
        <w:t>15</w:t>
      </w:r>
      <w:r>
        <w:rPr>
          <w:color w:val="auto"/>
          <w:spacing w:val="-10"/>
        </w:rPr>
        <w:t xml:space="preserve"> 万元以下的罚款，对对直接负责的主管人员和其他直接</w:t>
      </w:r>
    </w:p>
    <w:p>
      <w:pPr>
        <w:pStyle w:val="4"/>
        <w:spacing w:before="194" w:line="388" w:lineRule="auto"/>
        <w:ind w:left="591" w:right="712" w:hanging="480"/>
        <w:rPr>
          <w:color w:val="auto"/>
        </w:rPr>
      </w:pPr>
      <w:r>
        <w:rPr>
          <w:color w:val="auto"/>
          <w:spacing w:val="-10"/>
        </w:rPr>
        <w:t xml:space="preserve">责任人员处 </w:t>
      </w:r>
      <w:r>
        <w:rPr>
          <w:color w:val="auto"/>
        </w:rPr>
        <w:t>2</w:t>
      </w:r>
      <w:r>
        <w:rPr>
          <w:color w:val="auto"/>
          <w:spacing w:val="-20"/>
        </w:rPr>
        <w:t xml:space="preserve"> 万元以上 </w:t>
      </w:r>
      <w:r>
        <w:rPr>
          <w:color w:val="auto"/>
        </w:rPr>
        <w:t>3</w:t>
      </w:r>
      <w:r>
        <w:rPr>
          <w:color w:val="auto"/>
          <w:spacing w:val="-9"/>
        </w:rPr>
        <w:t xml:space="preserve"> 万元以下的罚款；有违法所得的，并处没收违法所得。</w:t>
      </w:r>
      <w:r>
        <w:rPr>
          <w:color w:val="auto"/>
        </w:rPr>
        <w:t>3</w:t>
      </w:r>
      <w:r>
        <w:rPr>
          <w:color w:val="auto"/>
          <w:spacing w:val="-24"/>
        </w:rPr>
        <w:t>、【严重】</w:t>
      </w:r>
    </w:p>
    <w:p>
      <w:pPr>
        <w:pStyle w:val="13"/>
        <w:numPr>
          <w:ilvl w:val="0"/>
          <w:numId w:val="35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有下列情形之一的：1、屡教不改，经查后再犯的；2、造成严重后果或严重负面社会影响的；3、具有其他严重情形的。</w:t>
      </w:r>
    </w:p>
    <w:p>
      <w:pPr>
        <w:pStyle w:val="13"/>
        <w:numPr>
          <w:ilvl w:val="0"/>
          <w:numId w:val="35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spacing w:val="-12"/>
        </w:rPr>
        <w:t xml:space="preserve">对单位处 </w:t>
      </w:r>
      <w:r>
        <w:rPr>
          <w:color w:val="auto"/>
        </w:rPr>
        <w:t>15</w:t>
      </w:r>
      <w:r>
        <w:rPr>
          <w:color w:val="auto"/>
          <w:spacing w:val="-24"/>
        </w:rPr>
        <w:t xml:space="preserve"> 万以上 </w:t>
      </w:r>
      <w:r>
        <w:rPr>
          <w:color w:val="auto"/>
        </w:rPr>
        <w:t>20</w:t>
      </w:r>
      <w:r>
        <w:rPr>
          <w:color w:val="auto"/>
          <w:spacing w:val="-10"/>
        </w:rPr>
        <w:t xml:space="preserve"> 万元以下的罚款，对直接负责的主管人员和其他直接责任</w:t>
      </w:r>
    </w:p>
    <w:p>
      <w:pPr>
        <w:pStyle w:val="4"/>
        <w:spacing w:before="191" w:line="388" w:lineRule="auto"/>
        <w:ind w:right="268"/>
        <w:rPr>
          <w:color w:val="auto"/>
        </w:rPr>
      </w:pPr>
      <w:r>
        <w:rPr>
          <w:color w:val="auto"/>
          <w:spacing w:val="-15"/>
        </w:rPr>
        <w:t xml:space="preserve">人员处 </w:t>
      </w:r>
      <w:r>
        <w:rPr>
          <w:color w:val="auto"/>
        </w:rPr>
        <w:t>3</w:t>
      </w:r>
      <w:r>
        <w:rPr>
          <w:color w:val="auto"/>
          <w:spacing w:val="-20"/>
        </w:rPr>
        <w:t xml:space="preserve"> 万元以上 </w:t>
      </w:r>
      <w:r>
        <w:rPr>
          <w:color w:val="auto"/>
        </w:rPr>
        <w:t>5</w:t>
      </w:r>
      <w:r>
        <w:rPr>
          <w:color w:val="auto"/>
          <w:spacing w:val="-12"/>
        </w:rPr>
        <w:t xml:space="preserve"> 万元以下的罚款；撤消其检验资格；有违法所得的，并处没收违</w:t>
      </w:r>
      <w:r>
        <w:rPr>
          <w:color w:val="auto"/>
        </w:rPr>
        <w:t>法所得。</w:t>
      </w:r>
    </w:p>
    <w:p>
      <w:pPr>
        <w:pStyle w:val="2"/>
        <w:spacing w:before="5" w:line="388" w:lineRule="auto"/>
        <w:ind w:left="111" w:right="237" w:firstLine="480"/>
        <w:rPr>
          <w:color w:val="auto"/>
        </w:rPr>
      </w:pPr>
      <w:bookmarkStart w:id="655" w:name="_bookmark327"/>
      <w:bookmarkEnd w:id="655"/>
      <w:bookmarkStart w:id="656" w:name="三百一十九、检验机构和检验人员从事与其检验的列入目录产品相关的生产、销售活动，或"/>
      <w:bookmarkEnd w:id="656"/>
      <w:r>
        <w:rPr>
          <w:color w:val="auto"/>
          <w:spacing w:val="-7"/>
        </w:rPr>
        <w:t>三百一十九、检验机构和检验人员从事与其检验的列入目录产品相关的生产、销售活动，或者以其名义推荐或者监制、监销其检验的列入目录产品</w:t>
      </w:r>
    </w:p>
    <w:p>
      <w:pPr>
        <w:spacing w:before="2"/>
        <w:ind w:left="59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spacing w:val="-2"/>
        </w:rPr>
        <w:t>《中华人民共和国工业产品生产许可证管理条例》第五十七条“检验机构和检验</w:t>
      </w:r>
      <w:r>
        <w:rPr>
          <w:color w:val="auto"/>
          <w:spacing w:val="-4"/>
        </w:rPr>
        <w:t>人员从事与其检验的列入目录产品相关的生产、销售活动，或者以其名义推荐或者监</w:t>
      </w:r>
      <w:r>
        <w:rPr>
          <w:color w:val="auto"/>
          <w:spacing w:val="-13"/>
        </w:rPr>
        <w:t xml:space="preserve">制、监销其检验的列入目录产品的，由工业产品生产许可证主管部门处 </w:t>
      </w:r>
      <w:r>
        <w:rPr>
          <w:color w:val="auto"/>
        </w:rPr>
        <w:t>2</w:t>
      </w:r>
      <w:r>
        <w:rPr>
          <w:color w:val="auto"/>
          <w:spacing w:val="-20"/>
        </w:rPr>
        <w:t xml:space="preserve"> 万元以上 </w:t>
      </w:r>
      <w:r>
        <w:rPr>
          <w:color w:val="auto"/>
        </w:rPr>
        <w:t xml:space="preserve">10 </w:t>
      </w:r>
      <w:r>
        <w:rPr>
          <w:color w:val="auto"/>
          <w:spacing w:val="-1"/>
        </w:rPr>
        <w:t>万元以下的罚款；有违法所得的，没收违法所得；情节严重的，撤销其检验资格。”</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57"/>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line="388" w:lineRule="auto"/>
        <w:ind w:right="268" w:firstLine="480"/>
        <w:rPr>
          <w:color w:val="auto"/>
        </w:rPr>
      </w:pPr>
      <w:r>
        <w:rPr>
          <w:color w:val="auto"/>
        </w:rPr>
        <w:t>有下列情形之一的：1、主动消除影响的；2、初次监制、监销、监检的；3、监制、监销、监检的产品尚未进入市场的。</w:t>
      </w:r>
    </w:p>
    <w:p>
      <w:pPr>
        <w:pStyle w:val="13"/>
        <w:numPr>
          <w:ilvl w:val="0"/>
          <w:numId w:val="357"/>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3592"/>
        <w:rPr>
          <w:color w:val="auto"/>
        </w:rPr>
      </w:pPr>
      <w:r>
        <w:rPr>
          <w:color w:val="auto"/>
          <w:spacing w:val="-30"/>
        </w:rPr>
        <w:t xml:space="preserve">处 </w:t>
      </w:r>
      <w:r>
        <w:rPr>
          <w:color w:val="auto"/>
        </w:rPr>
        <w:t>2</w:t>
      </w:r>
      <w:r>
        <w:rPr>
          <w:color w:val="auto"/>
          <w:spacing w:val="-9"/>
        </w:rPr>
        <w:t xml:space="preserve"> 万元罚款；有违法所得的，没收违法所得。</w:t>
      </w:r>
      <w:r>
        <w:rPr>
          <w:color w:val="auto"/>
        </w:rPr>
        <w:t>2</w:t>
      </w:r>
      <w:r>
        <w:rPr>
          <w:color w:val="auto"/>
          <w:spacing w:val="-24"/>
        </w:rPr>
        <w:t>、【一般】</w:t>
      </w:r>
    </w:p>
    <w:p>
      <w:pPr>
        <w:spacing w:after="0" w:line="388" w:lineRule="auto"/>
        <w:rPr>
          <w:color w:val="auto"/>
        </w:rPr>
        <w:sectPr>
          <w:pgSz w:w="11910" w:h="16840"/>
          <w:pgMar w:top="1520" w:right="1260" w:bottom="1220" w:left="1420" w:header="0" w:footer="1034" w:gutter="0"/>
        </w:sectPr>
      </w:pPr>
    </w:p>
    <w:p>
      <w:pPr>
        <w:pStyle w:val="13"/>
        <w:numPr>
          <w:ilvl w:val="0"/>
          <w:numId w:val="358"/>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jc w:val="both"/>
        <w:rPr>
          <w:color w:val="auto"/>
        </w:rPr>
      </w:pPr>
      <w:r>
        <w:rPr>
          <w:color w:val="auto"/>
          <w:spacing w:val="-1"/>
        </w:rPr>
        <w:t>有下列情形之一的：</w:t>
      </w:r>
      <w:r>
        <w:rPr>
          <w:color w:val="auto"/>
          <w:spacing w:val="-4"/>
        </w:rPr>
        <w:t>1</w:t>
      </w:r>
      <w:r>
        <w:rPr>
          <w:color w:val="auto"/>
          <w:spacing w:val="-5"/>
        </w:rPr>
        <w:t>、监制、监销的产品进入市场，但货值金额不大的；</w:t>
      </w:r>
      <w:r>
        <w:rPr>
          <w:color w:val="auto"/>
          <w:spacing w:val="-4"/>
        </w:rPr>
        <w:t>2</w:t>
      </w:r>
      <w:r>
        <w:rPr>
          <w:color w:val="auto"/>
          <w:spacing w:val="-10"/>
        </w:rPr>
        <w:t>、监</w:t>
      </w:r>
      <w:r>
        <w:rPr>
          <w:color w:val="auto"/>
        </w:rPr>
        <w:t>制、监销、监检的产品不涉及安全、健康指标的；3、向社会推荐监制、监销、监检的产品本身为合格产品，并具有产品宣传的相应特性或功效、功用的。</w:t>
      </w:r>
    </w:p>
    <w:p>
      <w:pPr>
        <w:pStyle w:val="13"/>
        <w:numPr>
          <w:ilvl w:val="0"/>
          <w:numId w:val="35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16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9"/>
        </w:rPr>
        <w:t xml:space="preserve"> 万元以下的罚款；有违法所得的，没收违法所得。</w:t>
      </w:r>
      <w:r>
        <w:rPr>
          <w:color w:val="auto"/>
        </w:rPr>
        <w:t>3</w:t>
      </w:r>
      <w:r>
        <w:rPr>
          <w:color w:val="auto"/>
          <w:spacing w:val="-24"/>
        </w:rPr>
        <w:t>、【较重】</w:t>
      </w:r>
    </w:p>
    <w:p>
      <w:pPr>
        <w:pStyle w:val="13"/>
        <w:numPr>
          <w:ilvl w:val="0"/>
          <w:numId w:val="35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32" w:firstLine="480"/>
        <w:jc w:val="both"/>
        <w:rPr>
          <w:color w:val="auto"/>
        </w:rPr>
      </w:pPr>
      <w:r>
        <w:rPr>
          <w:color w:val="auto"/>
        </w:rPr>
        <w:t>有下列情形之一的：1、监制、监销产品货值金额较大的；2、多次监制、监销、监检的；3、向社会推荐或者监制、监销、监检的产品本身为伪劣产品，欺诈消费者的。</w:t>
      </w:r>
    </w:p>
    <w:p>
      <w:pPr>
        <w:pStyle w:val="13"/>
        <w:numPr>
          <w:ilvl w:val="0"/>
          <w:numId w:val="359"/>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left="591" w:right="1912"/>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9"/>
        </w:rPr>
        <w:t xml:space="preserve"> 万元以下罚款；有违法所得的，没收违法所得。</w:t>
      </w:r>
      <w:r>
        <w:rPr>
          <w:color w:val="auto"/>
        </w:rPr>
        <w:t>4</w:t>
      </w:r>
      <w:r>
        <w:rPr>
          <w:color w:val="auto"/>
          <w:spacing w:val="-24"/>
        </w:rPr>
        <w:t>、【严重】</w:t>
      </w:r>
    </w:p>
    <w:p>
      <w:pPr>
        <w:pStyle w:val="13"/>
        <w:numPr>
          <w:ilvl w:val="0"/>
          <w:numId w:val="36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145" w:firstLine="480"/>
        <w:rPr>
          <w:color w:val="auto"/>
        </w:rPr>
      </w:pPr>
      <w:r>
        <w:rPr>
          <w:color w:val="auto"/>
          <w:spacing w:val="-2"/>
        </w:rPr>
        <w:t>有下列情形之一的：</w:t>
      </w:r>
      <w:r>
        <w:rPr>
          <w:color w:val="auto"/>
          <w:spacing w:val="-16"/>
        </w:rPr>
        <w:t>1</w:t>
      </w:r>
      <w:r>
        <w:rPr>
          <w:color w:val="auto"/>
          <w:spacing w:val="-12"/>
        </w:rPr>
        <w:t>、监制、监销产品货值金额巨大，但未造成危害后果的；</w:t>
      </w:r>
      <w:r>
        <w:rPr>
          <w:color w:val="auto"/>
          <w:spacing w:val="-15"/>
        </w:rPr>
        <w:t>2</w:t>
      </w:r>
      <w:r>
        <w:rPr>
          <w:color w:val="auto"/>
          <w:spacing w:val="-14"/>
        </w:rPr>
        <w:t>、</w:t>
      </w:r>
      <w:r>
        <w:rPr>
          <w:color w:val="auto"/>
          <w:spacing w:val="-3"/>
        </w:rPr>
        <w:t>向社会推荐或者监制、监检的不合格产品造成重大社会影响，或给消费者造成较大损失，难以在短时间内消除的。</w:t>
      </w:r>
    </w:p>
    <w:p>
      <w:pPr>
        <w:pStyle w:val="13"/>
        <w:numPr>
          <w:ilvl w:val="0"/>
          <w:numId w:val="360"/>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5" w:line="388" w:lineRule="auto"/>
        <w:ind w:left="591" w:right="1912"/>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9"/>
        </w:rPr>
        <w:t xml:space="preserve"> 万元以下罚款，有违法所得的，没收违法所得。</w:t>
      </w:r>
      <w:r>
        <w:rPr>
          <w:color w:val="auto"/>
        </w:rPr>
        <w:t>5</w:t>
      </w:r>
      <w:r>
        <w:rPr>
          <w:color w:val="auto"/>
          <w:spacing w:val="-18"/>
        </w:rPr>
        <w:t>、【特别严重】</w:t>
      </w:r>
    </w:p>
    <w:p>
      <w:pPr>
        <w:pStyle w:val="13"/>
        <w:numPr>
          <w:ilvl w:val="0"/>
          <w:numId w:val="36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有下列情形之一的：1、监制、监销产品造成消费者人身、财产安全事故等危害后果的；2、拒不改正违法行为的；3、经查处后，再次监制、监销。</w:t>
      </w:r>
    </w:p>
    <w:p>
      <w:pPr>
        <w:pStyle w:val="13"/>
        <w:numPr>
          <w:ilvl w:val="0"/>
          <w:numId w:val="36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8 万元以上 10 万元以下罚款；有违法所得的，没收违法所得。</w:t>
      </w:r>
    </w:p>
    <w:p>
      <w:pPr>
        <w:pStyle w:val="2"/>
        <w:spacing w:before="192"/>
        <w:rPr>
          <w:color w:val="auto"/>
        </w:rPr>
      </w:pPr>
      <w:bookmarkStart w:id="657" w:name="_bookmark328"/>
      <w:bookmarkEnd w:id="657"/>
      <w:bookmarkStart w:id="658" w:name="三百二十、未取得危险化学品生产许可证，擅自开工生产危险化学品"/>
      <w:bookmarkEnd w:id="658"/>
      <w:r>
        <w:rPr>
          <w:color w:val="auto"/>
        </w:rPr>
        <w:t>三百二十、未取得危险化学品生产许可证，擅自开工生产危险化学品</w:t>
      </w:r>
    </w:p>
    <w:p>
      <w:pPr>
        <w:spacing w:before="191"/>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rPr>
        <w:t>1</w:t>
      </w:r>
      <w:r>
        <w:rPr>
          <w:color w:val="auto"/>
          <w:spacing w:val="-13"/>
        </w:rPr>
        <w:t>、《危险化学品安全管理条例》第七十七条“未依法取得危险化学品安全生产许</w:t>
      </w:r>
      <w:r>
        <w:rPr>
          <w:color w:val="auto"/>
          <w:spacing w:val="-5"/>
        </w:rPr>
        <w:t>可证从事危险化学品生产，或者未依法取得工业产品生产许可证从事危险化学品及其</w:t>
      </w:r>
      <w:r>
        <w:rPr>
          <w:color w:val="auto"/>
          <w:spacing w:val="-15"/>
        </w:rPr>
        <w:t>包装物、容器生产的，分别依照《安全生产许可证条例》、《中华人民共和国工业产品</w:t>
      </w:r>
      <w:r>
        <w:rPr>
          <w:color w:val="auto"/>
          <w:spacing w:val="-8"/>
        </w:rPr>
        <w:t>生产许可证管理条例》的规定处罚。”</w:t>
      </w:r>
    </w:p>
    <w:p>
      <w:pPr>
        <w:pStyle w:val="4"/>
        <w:spacing w:line="391" w:lineRule="auto"/>
        <w:ind w:right="268" w:firstLine="480"/>
        <w:jc w:val="both"/>
        <w:rPr>
          <w:color w:val="auto"/>
        </w:rPr>
      </w:pPr>
      <w:r>
        <w:rPr>
          <w:color w:val="auto"/>
        </w:rPr>
        <w:t>2</w:t>
      </w:r>
      <w:r>
        <w:rPr>
          <w:color w:val="auto"/>
          <w:spacing w:val="-13"/>
        </w:rPr>
        <w:t>、《中华人民共和国工业产品生产许可证管理条例》第四十五条“企业未依照本</w:t>
      </w:r>
      <w:r>
        <w:rPr>
          <w:color w:val="auto"/>
          <w:spacing w:val="-3"/>
        </w:rPr>
        <w:t>条例规定申请取得许可证而擅自生产列入目录产品的，由工业产品生产许可主管部门</w:t>
      </w:r>
      <w:r>
        <w:rPr>
          <w:color w:val="auto"/>
          <w:spacing w:val="-6"/>
        </w:rPr>
        <w:t xml:space="preserve">责令停止生产，没收违法生产的产品，处违法生产产品货值金额等值以上 </w:t>
      </w:r>
      <w:r>
        <w:rPr>
          <w:color w:val="auto"/>
        </w:rPr>
        <w:t>3</w:t>
      </w:r>
      <w:r>
        <w:rPr>
          <w:color w:val="auto"/>
          <w:spacing w:val="-16"/>
        </w:rPr>
        <w:t xml:space="preserve"> 倍以下的</w:t>
      </w:r>
      <w:r>
        <w:rPr>
          <w:color w:val="auto"/>
          <w:spacing w:val="-4"/>
        </w:rPr>
        <w:t>罚款；有违法所得的，没收违法所得；构成犯罪的，依法追究刑事责任。”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62"/>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8" w:line="388" w:lineRule="auto"/>
        <w:ind w:right="213" w:firstLine="480"/>
        <w:rPr>
          <w:color w:val="auto"/>
        </w:rPr>
      </w:pPr>
      <w:r>
        <w:rPr>
          <w:color w:val="auto"/>
        </w:rPr>
        <w:t>有下列情形之一的：1、初次违法生产，尚未销售，货值金额较小的；2、初次生产，销售货值较小，且全部追回未造成社会危害的。</w:t>
      </w:r>
    </w:p>
    <w:p>
      <w:pPr>
        <w:pStyle w:val="13"/>
        <w:numPr>
          <w:ilvl w:val="0"/>
          <w:numId w:val="362"/>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5"/>
        </w:rPr>
        <w:t xml:space="preserve">责令停止生产，没收违法生产的产品，处违法生产产品货值金额 </w:t>
      </w:r>
      <w:r>
        <w:rPr>
          <w:color w:val="auto"/>
        </w:rPr>
        <w:t>1</w:t>
      </w:r>
      <w:r>
        <w:rPr>
          <w:color w:val="auto"/>
          <w:spacing w:val="-14"/>
        </w:rPr>
        <w:t xml:space="preserve"> 倍罚款；有违</w:t>
      </w:r>
      <w:r>
        <w:rPr>
          <w:color w:val="auto"/>
        </w:rPr>
        <w:t>法所得的，没收违法所得。</w:t>
      </w:r>
    </w:p>
    <w:p>
      <w:pPr>
        <w:pStyle w:val="4"/>
        <w:spacing w:before="4"/>
        <w:ind w:left="591"/>
        <w:rPr>
          <w:color w:val="auto"/>
        </w:rPr>
      </w:pPr>
      <w:r>
        <w:rPr>
          <w:color w:val="auto"/>
        </w:rPr>
        <w:t>2、【一般】</w:t>
      </w:r>
    </w:p>
    <w:p>
      <w:pPr>
        <w:pStyle w:val="13"/>
        <w:numPr>
          <w:ilvl w:val="0"/>
          <w:numId w:val="36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有下列情形之一的：1、初次违法生产，产品货值金额不大，尚未销售；2、产品经检验合格的；3、初次生产，销售货值较小，但不能全部追回产品的。</w:t>
      </w:r>
    </w:p>
    <w:p>
      <w:pPr>
        <w:pStyle w:val="13"/>
        <w:numPr>
          <w:ilvl w:val="0"/>
          <w:numId w:val="36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68" w:firstLine="480"/>
        <w:rPr>
          <w:color w:val="auto"/>
        </w:rPr>
      </w:pPr>
      <w:r>
        <w:rPr>
          <w:color w:val="auto"/>
          <w:spacing w:val="-6"/>
        </w:rPr>
        <w:t xml:space="preserve">责令停止生产，没收违法生产的产品，处违法生产产品货值金额 </w:t>
      </w:r>
      <w:r>
        <w:rPr>
          <w:color w:val="auto"/>
        </w:rPr>
        <w:t>1</w:t>
      </w:r>
      <w:r>
        <w:rPr>
          <w:color w:val="auto"/>
          <w:spacing w:val="-24"/>
        </w:rPr>
        <w:t xml:space="preserve"> 倍以上 </w:t>
      </w:r>
      <w:r>
        <w:rPr>
          <w:color w:val="auto"/>
        </w:rPr>
        <w:t>1.5</w:t>
      </w:r>
      <w:r>
        <w:rPr>
          <w:color w:val="auto"/>
          <w:spacing w:val="-38"/>
        </w:rPr>
        <w:t xml:space="preserve"> 倍</w:t>
      </w:r>
      <w:r>
        <w:rPr>
          <w:color w:val="auto"/>
        </w:rPr>
        <w:t>以下罚款；有违法所得的，没收违法所得。</w:t>
      </w:r>
    </w:p>
    <w:p>
      <w:pPr>
        <w:pStyle w:val="4"/>
        <w:spacing w:line="306" w:lineRule="exact"/>
        <w:ind w:left="591"/>
        <w:rPr>
          <w:color w:val="auto"/>
        </w:rPr>
      </w:pPr>
      <w:r>
        <w:rPr>
          <w:color w:val="auto"/>
        </w:rPr>
        <w:t>3、【较重】</w:t>
      </w:r>
    </w:p>
    <w:p>
      <w:pPr>
        <w:pStyle w:val="13"/>
        <w:numPr>
          <w:ilvl w:val="0"/>
          <w:numId w:val="36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jc w:val="both"/>
        <w:rPr>
          <w:color w:val="auto"/>
        </w:rPr>
      </w:pPr>
      <w:r>
        <w:rPr>
          <w:color w:val="auto"/>
          <w:spacing w:val="-1"/>
        </w:rPr>
        <w:t>有下列情形之一的：</w:t>
      </w:r>
      <w:r>
        <w:rPr>
          <w:color w:val="auto"/>
          <w:spacing w:val="-4"/>
        </w:rPr>
        <w:t>1、货值不大，但已经全部或大部分售出的；2</w:t>
      </w:r>
      <w:r>
        <w:rPr>
          <w:color w:val="auto"/>
          <w:spacing w:val="-5"/>
        </w:rPr>
        <w:t>、产品已经售</w:t>
      </w:r>
      <w:r>
        <w:rPr>
          <w:color w:val="auto"/>
        </w:rPr>
        <w:t>出，大部分无法召回，但未造成危害后果的；3、产品已售出，虽能大部分召回，但产生了一定危害后果的。</w:t>
      </w:r>
    </w:p>
    <w:p>
      <w:pPr>
        <w:spacing w:after="0" w:line="388" w:lineRule="auto"/>
        <w:jc w:val="both"/>
        <w:rPr>
          <w:color w:val="auto"/>
        </w:rPr>
        <w:sectPr>
          <w:pgSz w:w="11910" w:h="16840"/>
          <w:pgMar w:top="1520" w:right="1260" w:bottom="1220" w:left="1420" w:header="0" w:footer="1034" w:gutter="0"/>
        </w:sectPr>
      </w:pPr>
    </w:p>
    <w:p>
      <w:pPr>
        <w:pStyle w:val="13"/>
        <w:numPr>
          <w:ilvl w:val="0"/>
          <w:numId w:val="364"/>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68" w:firstLine="480"/>
        <w:rPr>
          <w:color w:val="auto"/>
        </w:rPr>
      </w:pPr>
      <w:r>
        <w:rPr>
          <w:color w:val="auto"/>
          <w:spacing w:val="-6"/>
        </w:rPr>
        <w:t xml:space="preserve">责令停止生产，没收违法生产的产品，处违法生产产品货值金额 </w:t>
      </w:r>
      <w:r>
        <w:rPr>
          <w:color w:val="auto"/>
        </w:rPr>
        <w:t>1.5</w:t>
      </w:r>
      <w:r>
        <w:rPr>
          <w:color w:val="auto"/>
          <w:spacing w:val="-24"/>
        </w:rPr>
        <w:t xml:space="preserve"> 倍以上 </w:t>
      </w:r>
      <w:r>
        <w:rPr>
          <w:color w:val="auto"/>
        </w:rPr>
        <w:t>2</w:t>
      </w:r>
      <w:r>
        <w:rPr>
          <w:color w:val="auto"/>
          <w:spacing w:val="-38"/>
        </w:rPr>
        <w:t xml:space="preserve"> 倍</w:t>
      </w:r>
      <w:r>
        <w:rPr>
          <w:color w:val="auto"/>
        </w:rPr>
        <w:t>以下罚款，没收违法所得。</w:t>
      </w:r>
    </w:p>
    <w:p>
      <w:pPr>
        <w:pStyle w:val="4"/>
        <w:spacing w:before="2"/>
        <w:ind w:left="591"/>
        <w:rPr>
          <w:color w:val="auto"/>
        </w:rPr>
      </w:pPr>
      <w:r>
        <w:rPr>
          <w:color w:val="auto"/>
        </w:rPr>
        <w:t>4、【严重】</w:t>
      </w:r>
    </w:p>
    <w:p>
      <w:pPr>
        <w:pStyle w:val="13"/>
        <w:numPr>
          <w:ilvl w:val="0"/>
          <w:numId w:val="365"/>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2" w:firstLine="480"/>
        <w:rPr>
          <w:color w:val="auto"/>
        </w:rPr>
      </w:pPr>
      <w:r>
        <w:rPr>
          <w:color w:val="auto"/>
        </w:rPr>
        <w:t>有下列情形之一的：1、产品货值金额较大，有销售行为的；2、拒不召回违法生产产品的；3、造成比较重的危害后果的。</w:t>
      </w:r>
    </w:p>
    <w:p>
      <w:pPr>
        <w:pStyle w:val="13"/>
        <w:numPr>
          <w:ilvl w:val="0"/>
          <w:numId w:val="365"/>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6"/>
        </w:rPr>
        <w:t xml:space="preserve">责令停止生产，没收违法生产的产品，处违法生产产品货值金额 </w:t>
      </w:r>
      <w:r>
        <w:rPr>
          <w:color w:val="auto"/>
        </w:rPr>
        <w:t>2</w:t>
      </w:r>
      <w:r>
        <w:rPr>
          <w:color w:val="auto"/>
          <w:spacing w:val="-24"/>
        </w:rPr>
        <w:t xml:space="preserve"> 倍以上 </w:t>
      </w:r>
      <w:r>
        <w:rPr>
          <w:color w:val="auto"/>
        </w:rPr>
        <w:t>2.5</w:t>
      </w:r>
      <w:r>
        <w:rPr>
          <w:color w:val="auto"/>
          <w:spacing w:val="-38"/>
        </w:rPr>
        <w:t xml:space="preserve"> 倍</w:t>
      </w:r>
      <w:r>
        <w:rPr>
          <w:color w:val="auto"/>
        </w:rPr>
        <w:t>以下罚款，没收违法所得。</w:t>
      </w:r>
    </w:p>
    <w:p>
      <w:pPr>
        <w:pStyle w:val="4"/>
        <w:spacing w:before="4"/>
        <w:ind w:left="591"/>
        <w:rPr>
          <w:color w:val="auto"/>
        </w:rPr>
      </w:pPr>
      <w:r>
        <w:rPr>
          <w:color w:val="auto"/>
        </w:rPr>
        <w:t>5、【特别严重】</w:t>
      </w:r>
    </w:p>
    <w:p>
      <w:pPr>
        <w:pStyle w:val="13"/>
        <w:numPr>
          <w:ilvl w:val="0"/>
          <w:numId w:val="36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6"/>
        </w:rPr>
        <w:t>有下列情形之一的：</w:t>
      </w:r>
      <w:r>
        <w:rPr>
          <w:color w:val="auto"/>
          <w:spacing w:val="-46"/>
        </w:rPr>
        <w:t>1</w:t>
      </w:r>
      <w:r>
        <w:rPr>
          <w:color w:val="auto"/>
          <w:spacing w:val="-15"/>
        </w:rPr>
        <w:t>、未取得生产许可证擅自生产的产品造成人身、财产损害 或</w:t>
      </w:r>
      <w:r>
        <w:rPr>
          <w:color w:val="auto"/>
          <w:spacing w:val="-1"/>
        </w:rPr>
        <w:t>者造成较大社会影响等严重危害后果的；</w:t>
      </w:r>
      <w:r>
        <w:rPr>
          <w:color w:val="auto"/>
          <w:spacing w:val="-16"/>
        </w:rPr>
        <w:t>2</w:t>
      </w:r>
      <w:r>
        <w:rPr>
          <w:color w:val="auto"/>
          <w:spacing w:val="-7"/>
        </w:rPr>
        <w:t>、无证生产被查处拒不改正的；</w:t>
      </w:r>
      <w:r>
        <w:rPr>
          <w:color w:val="auto"/>
          <w:spacing w:val="-16"/>
        </w:rPr>
        <w:t>3</w:t>
      </w:r>
      <w:r>
        <w:rPr>
          <w:color w:val="auto"/>
          <w:spacing w:val="-15"/>
        </w:rPr>
        <w:t xml:space="preserve"> 许可证被</w:t>
      </w:r>
      <w:r>
        <w:rPr>
          <w:color w:val="auto"/>
        </w:rPr>
        <w:t>撤回、撤销、吊销或者注销后，继续从事生产的；4、屡次违法的。</w:t>
      </w:r>
    </w:p>
    <w:p>
      <w:pPr>
        <w:pStyle w:val="13"/>
        <w:numPr>
          <w:ilvl w:val="0"/>
          <w:numId w:val="36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6"/>
        </w:rPr>
        <w:t xml:space="preserve">责令停止生产，没收违法生产的产品，处违法生产产品货值金额 </w:t>
      </w:r>
      <w:r>
        <w:rPr>
          <w:color w:val="auto"/>
        </w:rPr>
        <w:t>2.5</w:t>
      </w:r>
      <w:r>
        <w:rPr>
          <w:color w:val="auto"/>
          <w:spacing w:val="-30"/>
        </w:rPr>
        <w:t xml:space="preserve"> 以上 </w:t>
      </w:r>
      <w:r>
        <w:rPr>
          <w:color w:val="auto"/>
        </w:rPr>
        <w:t>3</w:t>
      </w:r>
      <w:r>
        <w:rPr>
          <w:color w:val="auto"/>
          <w:spacing w:val="-26"/>
        </w:rPr>
        <w:t xml:space="preserve"> 倍以</w:t>
      </w:r>
      <w:r>
        <w:rPr>
          <w:color w:val="auto"/>
        </w:rPr>
        <w:t>下罚款，没收违法所得。</w:t>
      </w:r>
    </w:p>
    <w:p>
      <w:pPr>
        <w:pStyle w:val="2"/>
        <w:spacing w:before="2"/>
        <w:rPr>
          <w:color w:val="auto"/>
        </w:rPr>
      </w:pPr>
      <w:bookmarkStart w:id="659" w:name="_bookmark329"/>
      <w:bookmarkEnd w:id="659"/>
      <w:bookmarkStart w:id="660" w:name="三百二十一、销售未经检验或者经检验不合格的危险化学品包装物、容器"/>
      <w:bookmarkEnd w:id="660"/>
      <w:r>
        <w:rPr>
          <w:color w:val="auto"/>
        </w:rPr>
        <w:t>三百二十一、销售未经检验或者经检验不合格的危险化学品包装物、容器</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4"/>
        </w:rPr>
        <w:t>《危险化学品安全管理条例》第七十九条“危险化学品包装物、容器生产企业销</w:t>
      </w:r>
      <w:r>
        <w:rPr>
          <w:color w:val="auto"/>
          <w:spacing w:val="-3"/>
        </w:rPr>
        <w:t>售未经检验或者经检验不合格的危险化学品包装物、容器的，由质量监督检验检疫部</w:t>
      </w:r>
      <w:r>
        <w:rPr>
          <w:color w:val="auto"/>
          <w:spacing w:val="-10"/>
        </w:rPr>
        <w:t xml:space="preserve">门责令改正，处 </w:t>
      </w:r>
      <w:r>
        <w:rPr>
          <w:color w:val="auto"/>
        </w:rPr>
        <w:t>10</w:t>
      </w:r>
      <w:r>
        <w:rPr>
          <w:color w:val="auto"/>
          <w:spacing w:val="-20"/>
        </w:rPr>
        <w:t xml:space="preserve"> 万元以上 </w:t>
      </w:r>
      <w:r>
        <w:rPr>
          <w:color w:val="auto"/>
        </w:rPr>
        <w:t>20</w:t>
      </w:r>
      <w:r>
        <w:rPr>
          <w:color w:val="auto"/>
          <w:spacing w:val="-11"/>
        </w:rPr>
        <w:t xml:space="preserve"> 万元以下的罚款，有违法所得的，没收违法所得；拒</w:t>
      </w:r>
      <w:r>
        <w:rPr>
          <w:color w:val="auto"/>
          <w:spacing w:val="-5"/>
        </w:rPr>
        <w:t>不改正的，责令停产停业整顿；构成犯罪的，依法追究刑事责任。”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6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有下列情形之一的：1、有证据证明该产品是初次生产；2、有证据证明该产品是</w:t>
      </w:r>
    </w:p>
    <w:p>
      <w:pPr>
        <w:spacing w:after="0"/>
        <w:rPr>
          <w:color w:val="auto"/>
        </w:rPr>
        <w:sectPr>
          <w:pgSz w:w="11910" w:h="16840"/>
          <w:pgMar w:top="1520" w:right="1260" w:bottom="1220" w:left="1420" w:header="0" w:footer="1034" w:gutter="0"/>
        </w:sectPr>
      </w:pPr>
    </w:p>
    <w:p>
      <w:pPr>
        <w:pStyle w:val="4"/>
        <w:spacing w:before="39" w:line="391" w:lineRule="auto"/>
        <w:ind w:right="271"/>
        <w:rPr>
          <w:color w:val="auto"/>
        </w:rPr>
      </w:pPr>
      <w:r>
        <w:rPr>
          <w:color w:val="auto"/>
        </w:rPr>
        <w:t>初次生产，没有造成危害结果的；3、经检验不合格程度轻微，有证据表明不会造成危害后果的。</w:t>
      </w:r>
    </w:p>
    <w:p>
      <w:pPr>
        <w:pStyle w:val="13"/>
        <w:numPr>
          <w:ilvl w:val="0"/>
          <w:numId w:val="36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2032"/>
        <w:rPr>
          <w:color w:val="auto"/>
        </w:rPr>
      </w:pPr>
      <w:r>
        <w:rPr>
          <w:color w:val="auto"/>
          <w:spacing w:val="-9"/>
        </w:rPr>
        <w:t xml:space="preserve">责令改正，处 </w:t>
      </w:r>
      <w:r>
        <w:rPr>
          <w:color w:val="auto"/>
        </w:rPr>
        <w:t>10</w:t>
      </w:r>
      <w:r>
        <w:rPr>
          <w:color w:val="auto"/>
          <w:spacing w:val="-9"/>
        </w:rPr>
        <w:t xml:space="preserve"> 万元的罚款，有违法所得的，没收违法所得。</w:t>
      </w:r>
      <w:r>
        <w:rPr>
          <w:color w:val="auto"/>
        </w:rPr>
        <w:t>2</w:t>
      </w:r>
      <w:r>
        <w:rPr>
          <w:color w:val="auto"/>
          <w:spacing w:val="-24"/>
        </w:rPr>
        <w:t>、【一般】</w:t>
      </w:r>
    </w:p>
    <w:p>
      <w:pPr>
        <w:pStyle w:val="13"/>
        <w:numPr>
          <w:ilvl w:val="0"/>
          <w:numId w:val="36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92" w:firstLine="480"/>
        <w:rPr>
          <w:color w:val="auto"/>
        </w:rPr>
      </w:pPr>
      <w:r>
        <w:rPr>
          <w:color w:val="auto"/>
        </w:rPr>
        <w:t>有下列情形之一的：1、生产或销售货值不大的；2、主动追回已售出产品的；3、对用户要求的赔偿能及时赔偿或采取其它补救措施的。</w:t>
      </w:r>
    </w:p>
    <w:p>
      <w:pPr>
        <w:pStyle w:val="13"/>
        <w:numPr>
          <w:ilvl w:val="0"/>
          <w:numId w:val="36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232"/>
        <w:rPr>
          <w:color w:val="auto"/>
        </w:rPr>
      </w:pPr>
      <w:r>
        <w:rPr>
          <w:color w:val="auto"/>
          <w:spacing w:val="-9"/>
        </w:rPr>
        <w:t xml:space="preserve">责令改正，处 </w:t>
      </w:r>
      <w:r>
        <w:rPr>
          <w:color w:val="auto"/>
        </w:rPr>
        <w:t>10</w:t>
      </w:r>
      <w:r>
        <w:rPr>
          <w:color w:val="auto"/>
          <w:spacing w:val="-20"/>
        </w:rPr>
        <w:t xml:space="preserve"> 万元以上 </w:t>
      </w:r>
      <w:r>
        <w:rPr>
          <w:color w:val="auto"/>
        </w:rPr>
        <w:t>12</w:t>
      </w:r>
      <w:r>
        <w:rPr>
          <w:color w:val="auto"/>
          <w:spacing w:val="-9"/>
        </w:rPr>
        <w:t xml:space="preserve"> 万元以下的罚款，有违法所得的，没收违法所得。</w:t>
      </w:r>
      <w:r>
        <w:rPr>
          <w:color w:val="auto"/>
        </w:rPr>
        <w:t>3</w:t>
      </w:r>
      <w:r>
        <w:rPr>
          <w:color w:val="auto"/>
          <w:spacing w:val="-24"/>
        </w:rPr>
        <w:t>、【较重】</w:t>
      </w:r>
    </w:p>
    <w:p>
      <w:pPr>
        <w:pStyle w:val="13"/>
        <w:numPr>
          <w:ilvl w:val="0"/>
          <w:numId w:val="36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有下列情形之一的：1、生产或销售产品货值较大的；2、产品半数以下售出且无法追回的。</w:t>
      </w:r>
    </w:p>
    <w:p>
      <w:pPr>
        <w:pStyle w:val="13"/>
        <w:numPr>
          <w:ilvl w:val="0"/>
          <w:numId w:val="36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232"/>
        <w:rPr>
          <w:color w:val="auto"/>
        </w:rPr>
      </w:pPr>
      <w:r>
        <w:rPr>
          <w:color w:val="auto"/>
          <w:spacing w:val="-9"/>
        </w:rPr>
        <w:t xml:space="preserve">责令改正，处 </w:t>
      </w:r>
      <w:r>
        <w:rPr>
          <w:color w:val="auto"/>
        </w:rPr>
        <w:t>12</w:t>
      </w:r>
      <w:r>
        <w:rPr>
          <w:color w:val="auto"/>
          <w:spacing w:val="-20"/>
        </w:rPr>
        <w:t xml:space="preserve"> 万元以上 </w:t>
      </w:r>
      <w:r>
        <w:rPr>
          <w:color w:val="auto"/>
        </w:rPr>
        <w:t>15</w:t>
      </w:r>
      <w:r>
        <w:rPr>
          <w:color w:val="auto"/>
          <w:spacing w:val="-9"/>
        </w:rPr>
        <w:t xml:space="preserve"> 万元以下的罚款，有违法所得的，没收违法所得。</w:t>
      </w:r>
      <w:r>
        <w:rPr>
          <w:color w:val="auto"/>
        </w:rPr>
        <w:t>4</w:t>
      </w:r>
      <w:r>
        <w:rPr>
          <w:color w:val="auto"/>
          <w:spacing w:val="-24"/>
        </w:rPr>
        <w:t>、【严重】</w:t>
      </w:r>
    </w:p>
    <w:p>
      <w:pPr>
        <w:pStyle w:val="13"/>
        <w:numPr>
          <w:ilvl w:val="0"/>
          <w:numId w:val="37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rPr>
        <w:t>有下列情形之一的：1、生产或销售产品货值巨大，但有证据证明不会和没有造</w:t>
      </w:r>
      <w:r>
        <w:rPr>
          <w:color w:val="auto"/>
          <w:spacing w:val="-1"/>
        </w:rPr>
        <w:t>成危害后果的；</w:t>
      </w:r>
      <w:r>
        <w:rPr>
          <w:color w:val="auto"/>
          <w:spacing w:val="-4"/>
        </w:rPr>
        <w:t>2、产品全部或大部分已被销售，无法追回的；3</w:t>
      </w:r>
      <w:r>
        <w:rPr>
          <w:color w:val="auto"/>
          <w:spacing w:val="-5"/>
        </w:rPr>
        <w:t>、不合格项目致使产</w:t>
      </w:r>
      <w:r>
        <w:rPr>
          <w:color w:val="auto"/>
        </w:rPr>
        <w:t>品失去部分使用功能的；4、经查处后再犯的。</w:t>
      </w:r>
    </w:p>
    <w:p>
      <w:pPr>
        <w:pStyle w:val="13"/>
        <w:numPr>
          <w:ilvl w:val="0"/>
          <w:numId w:val="370"/>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472"/>
        <w:rPr>
          <w:color w:val="auto"/>
        </w:rPr>
      </w:pPr>
      <w:r>
        <w:rPr>
          <w:color w:val="auto"/>
          <w:spacing w:val="-9"/>
        </w:rPr>
        <w:t xml:space="preserve">责令改正，处 </w:t>
      </w:r>
      <w:r>
        <w:rPr>
          <w:color w:val="auto"/>
        </w:rPr>
        <w:t>15</w:t>
      </w:r>
      <w:r>
        <w:rPr>
          <w:color w:val="auto"/>
          <w:spacing w:val="-20"/>
        </w:rPr>
        <w:t xml:space="preserve"> 万元以上 </w:t>
      </w:r>
      <w:r>
        <w:rPr>
          <w:color w:val="auto"/>
        </w:rPr>
        <w:t>18</w:t>
      </w:r>
      <w:r>
        <w:rPr>
          <w:color w:val="auto"/>
          <w:spacing w:val="-9"/>
        </w:rPr>
        <w:t xml:space="preserve"> 万元以下的罚款，有违法所得的，没收违法所得</w:t>
      </w:r>
      <w:r>
        <w:rPr>
          <w:color w:val="auto"/>
        </w:rPr>
        <w:t>5</w:t>
      </w:r>
      <w:r>
        <w:rPr>
          <w:color w:val="auto"/>
          <w:spacing w:val="-18"/>
        </w:rPr>
        <w:t>、【特别严重】</w:t>
      </w:r>
    </w:p>
    <w:p>
      <w:pPr>
        <w:pStyle w:val="13"/>
        <w:numPr>
          <w:ilvl w:val="0"/>
          <w:numId w:val="37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1"/>
        </w:rPr>
        <w:t>有下列情形之一的：</w:t>
      </w:r>
      <w:r>
        <w:rPr>
          <w:color w:val="auto"/>
          <w:spacing w:val="-6"/>
        </w:rPr>
        <w:t>1</w:t>
      </w:r>
      <w:r>
        <w:rPr>
          <w:color w:val="auto"/>
          <w:spacing w:val="-5"/>
        </w:rPr>
        <w:t xml:space="preserve">、生产或销售产品货值巨大，产品全部或大部分已被销售， </w:t>
      </w:r>
      <w:r>
        <w:rPr>
          <w:color w:val="auto"/>
          <w:spacing w:val="-1"/>
        </w:rPr>
        <w:t>不能追回的；</w:t>
      </w:r>
      <w:r>
        <w:rPr>
          <w:color w:val="auto"/>
          <w:spacing w:val="-4"/>
        </w:rPr>
        <w:t>2</w:t>
      </w:r>
      <w:r>
        <w:rPr>
          <w:color w:val="auto"/>
          <w:spacing w:val="-3"/>
        </w:rPr>
        <w:t>、继续实施违法行为，拒不改正的；3</w:t>
      </w:r>
      <w:r>
        <w:rPr>
          <w:color w:val="auto"/>
          <w:spacing w:val="-4"/>
        </w:rPr>
        <w:t>、造成人身、财产损害或者造成较大社会影响等严重危害后果的。</w:t>
      </w:r>
    </w:p>
    <w:p>
      <w:pPr>
        <w:spacing w:after="0" w:line="388" w:lineRule="auto"/>
        <w:rPr>
          <w:color w:val="auto"/>
        </w:rPr>
        <w:sectPr>
          <w:pgSz w:w="11910" w:h="16840"/>
          <w:pgMar w:top="1520" w:right="1260" w:bottom="1220" w:left="1420" w:header="0" w:footer="1034" w:gutter="0"/>
        </w:sectPr>
      </w:pPr>
    </w:p>
    <w:p>
      <w:pPr>
        <w:pStyle w:val="13"/>
        <w:numPr>
          <w:ilvl w:val="0"/>
          <w:numId w:val="371"/>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32" w:firstLine="480"/>
        <w:rPr>
          <w:color w:val="auto"/>
        </w:rPr>
      </w:pPr>
      <w:r>
        <w:rPr>
          <w:color w:val="auto"/>
          <w:spacing w:val="-9"/>
        </w:rPr>
        <w:t xml:space="preserve">责令改正，处 </w:t>
      </w:r>
      <w:r>
        <w:rPr>
          <w:color w:val="auto"/>
        </w:rPr>
        <w:t>18</w:t>
      </w:r>
      <w:r>
        <w:rPr>
          <w:color w:val="auto"/>
          <w:spacing w:val="-20"/>
        </w:rPr>
        <w:t xml:space="preserve"> 万元以上 </w:t>
      </w:r>
      <w:r>
        <w:rPr>
          <w:color w:val="auto"/>
        </w:rPr>
        <w:t>20</w:t>
      </w:r>
      <w:r>
        <w:rPr>
          <w:color w:val="auto"/>
          <w:spacing w:val="-9"/>
        </w:rPr>
        <w:t xml:space="preserve"> 万元以下的罚款，有违法所得的，没收违法所得； </w:t>
      </w:r>
      <w:r>
        <w:rPr>
          <w:color w:val="auto"/>
        </w:rPr>
        <w:t>责令停产停业整顿。</w:t>
      </w:r>
    </w:p>
    <w:p>
      <w:pPr>
        <w:pStyle w:val="2"/>
        <w:spacing w:before="2"/>
        <w:rPr>
          <w:color w:val="auto"/>
        </w:rPr>
      </w:pPr>
      <w:bookmarkStart w:id="661" w:name="三百二十二、伪造、变造或者出租、出借、转让工业产品生产许可证"/>
      <w:bookmarkEnd w:id="661"/>
      <w:bookmarkStart w:id="662" w:name="_bookmark330"/>
      <w:bookmarkEnd w:id="662"/>
      <w:r>
        <w:rPr>
          <w:color w:val="auto"/>
        </w:rPr>
        <w:t>三百二十二、伪造、变造或者出租、出借、转让工业产品生产许可证</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13"/>
        </w:rPr>
        <w:t>、《危险化学品安全管理条例》第九十三条“伪造、变造或者出租、出借、转让</w:t>
      </w:r>
      <w:r>
        <w:rPr>
          <w:color w:val="auto"/>
          <w:spacing w:val="-4"/>
        </w:rPr>
        <w:t>危险化学品安全生产许可证、工业产品生产许可证，或者使用伪造、变造的危险化学</w:t>
      </w:r>
      <w:r>
        <w:rPr>
          <w:color w:val="auto"/>
          <w:spacing w:val="-13"/>
        </w:rPr>
        <w:t>品安全生产许可证、工业产品生产许可证的，分别依照《安全生产许可证条例》、《中</w:t>
      </w:r>
      <w:r>
        <w:rPr>
          <w:color w:val="auto"/>
          <w:spacing w:val="-5"/>
        </w:rPr>
        <w:t>华人民共和国工业产品生产许可证管理条例》的规定处罚。”</w:t>
      </w:r>
    </w:p>
    <w:p>
      <w:pPr>
        <w:pStyle w:val="4"/>
        <w:spacing w:line="391" w:lineRule="auto"/>
        <w:ind w:right="266" w:firstLine="480"/>
        <w:jc w:val="both"/>
        <w:rPr>
          <w:color w:val="auto"/>
        </w:rPr>
      </w:pPr>
      <w:r>
        <w:rPr>
          <w:color w:val="auto"/>
        </w:rPr>
        <w:t>2</w:t>
      </w:r>
      <w:r>
        <w:rPr>
          <w:color w:val="auto"/>
          <w:spacing w:val="-13"/>
        </w:rPr>
        <w:t>、《中华人民共和国工业产品生产许可证管理条例》第五十一条“伪造、变造许</w:t>
      </w:r>
      <w:r>
        <w:rPr>
          <w:color w:val="auto"/>
          <w:spacing w:val="-7"/>
        </w:rPr>
        <w:t xml:space="preserve">可证证书、生产许可证标志和编号的，责令改正，没收违法生产、销售的产品，并处违法生产、销售产品货值金额等值以上 </w:t>
      </w:r>
      <w:r>
        <w:rPr>
          <w:color w:val="auto"/>
        </w:rPr>
        <w:t>3</w:t>
      </w:r>
      <w:r>
        <w:rPr>
          <w:color w:val="auto"/>
          <w:spacing w:val="-11"/>
        </w:rPr>
        <w:t xml:space="preserve"> 倍以下的罚款；有违法所得的，没收违法所</w:t>
      </w:r>
      <w:r>
        <w:rPr>
          <w:color w:val="auto"/>
          <w:spacing w:val="-8"/>
        </w:rPr>
        <w:t>得；构成犯罪的，依法追究刑事责任。”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72"/>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7" w:line="388" w:lineRule="auto"/>
        <w:ind w:right="269" w:firstLine="480"/>
        <w:rPr>
          <w:color w:val="auto"/>
        </w:rPr>
      </w:pPr>
      <w:r>
        <w:rPr>
          <w:color w:val="auto"/>
        </w:rPr>
        <w:t>有下列情形之一的：1、伪造、变造许可证证书、生产许可证标志和编号，货值金额较小的；2、初次违法，产品未销售；3、初次违法，未造成危害后果的。</w:t>
      </w:r>
    </w:p>
    <w:p>
      <w:pPr>
        <w:pStyle w:val="13"/>
        <w:numPr>
          <w:ilvl w:val="0"/>
          <w:numId w:val="37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7"/>
        </w:rPr>
        <w:t xml:space="preserve">责令改正，没收违法生产、销售的产品，并处违法生产、销售产品货值金额 </w:t>
      </w:r>
      <w:r>
        <w:rPr>
          <w:color w:val="auto"/>
        </w:rPr>
        <w:t>1</w:t>
      </w:r>
      <w:r>
        <w:rPr>
          <w:color w:val="auto"/>
          <w:spacing w:val="-38"/>
        </w:rPr>
        <w:t xml:space="preserve"> 倍</w:t>
      </w:r>
      <w:r>
        <w:rPr>
          <w:color w:val="auto"/>
        </w:rPr>
        <w:t>以下的罚款；有违法所得的，没收违法所得 。</w:t>
      </w:r>
    </w:p>
    <w:p>
      <w:pPr>
        <w:pStyle w:val="4"/>
        <w:spacing w:before="2"/>
        <w:ind w:left="591"/>
        <w:rPr>
          <w:color w:val="auto"/>
        </w:rPr>
      </w:pPr>
      <w:r>
        <w:rPr>
          <w:color w:val="auto"/>
        </w:rPr>
        <w:t>2、【一般】</w:t>
      </w:r>
    </w:p>
    <w:p>
      <w:pPr>
        <w:pStyle w:val="13"/>
        <w:numPr>
          <w:ilvl w:val="0"/>
          <w:numId w:val="37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有下列情形之一的：1、伪造、变造许可证证书、生产许可证标志和编号，货值金额不大的；2、产品已销售 ，但能追回大部分产品的。</w:t>
      </w:r>
    </w:p>
    <w:p>
      <w:pPr>
        <w:pStyle w:val="13"/>
        <w:numPr>
          <w:ilvl w:val="0"/>
          <w:numId w:val="373"/>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责令改正，没收违法生产、销售的产品，并处违法生产、销售产品货值金额 1 倍</w:t>
      </w:r>
    </w:p>
    <w:p>
      <w:pPr>
        <w:pStyle w:val="4"/>
        <w:spacing w:before="192"/>
        <w:rPr>
          <w:color w:val="auto"/>
        </w:rPr>
      </w:pPr>
      <w:r>
        <w:rPr>
          <w:color w:val="auto"/>
        </w:rPr>
        <w:t>以上 1.5 倍以下的罚款；有违法所得的，没收违法所得。</w:t>
      </w:r>
    </w:p>
    <w:p>
      <w:pPr>
        <w:spacing w:after="0"/>
        <w:rPr>
          <w:color w:val="auto"/>
        </w:rPr>
        <w:sectPr>
          <w:footerReference r:id="rId61" w:type="default"/>
          <w:footerReference r:id="rId62" w:type="even"/>
          <w:pgSz w:w="11910" w:h="16840"/>
          <w:pgMar w:top="1520" w:right="1260" w:bottom="1220" w:left="1420" w:header="0" w:footer="1034" w:gutter="0"/>
          <w:pgNumType w:start="290"/>
        </w:sectPr>
      </w:pPr>
    </w:p>
    <w:p>
      <w:pPr>
        <w:pStyle w:val="4"/>
        <w:spacing w:before="39"/>
        <w:ind w:left="591"/>
        <w:rPr>
          <w:color w:val="auto"/>
        </w:rPr>
      </w:pPr>
      <w:r>
        <w:rPr>
          <w:color w:val="auto"/>
        </w:rPr>
        <w:t>3、【较重】</w:t>
      </w:r>
    </w:p>
    <w:p>
      <w:pPr>
        <w:pStyle w:val="13"/>
        <w:numPr>
          <w:ilvl w:val="0"/>
          <w:numId w:val="374"/>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91" w:lineRule="auto"/>
        <w:ind w:right="265" w:firstLine="480"/>
        <w:jc w:val="both"/>
        <w:rPr>
          <w:color w:val="auto"/>
        </w:rPr>
      </w:pPr>
      <w:r>
        <w:rPr>
          <w:color w:val="auto"/>
        </w:rPr>
        <w:t>有下列情形之一的：1、伪造、变造许可证证书、生产许可证标志和编号，金额</w:t>
      </w:r>
      <w:r>
        <w:rPr>
          <w:color w:val="auto"/>
          <w:spacing w:val="-1"/>
        </w:rPr>
        <w:t>较大的；</w:t>
      </w:r>
      <w:r>
        <w:rPr>
          <w:color w:val="auto"/>
          <w:spacing w:val="-3"/>
        </w:rPr>
        <w:t>2、产品已销售，拒不追回销售产品的；3</w:t>
      </w:r>
      <w:r>
        <w:rPr>
          <w:color w:val="auto"/>
          <w:spacing w:val="-6"/>
        </w:rPr>
        <w:t>、伪造、变造、冒用品牌产品、地</w:t>
      </w:r>
      <w:r>
        <w:rPr>
          <w:color w:val="auto"/>
        </w:rPr>
        <w:t>理标志保护产品企业的许可证证书、生产许可证标志和编号的。</w:t>
      </w:r>
    </w:p>
    <w:p>
      <w:pPr>
        <w:pStyle w:val="13"/>
        <w:numPr>
          <w:ilvl w:val="0"/>
          <w:numId w:val="374"/>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责令改正，没收违法生产、销售的产品，并处违法生产、销售产品货值金额 1.5</w:t>
      </w:r>
    </w:p>
    <w:p>
      <w:pPr>
        <w:pStyle w:val="4"/>
        <w:spacing w:before="194" w:line="388" w:lineRule="auto"/>
        <w:ind w:left="591" w:right="3112" w:hanging="480"/>
        <w:rPr>
          <w:color w:val="auto"/>
        </w:rPr>
      </w:pPr>
      <w:r>
        <w:rPr>
          <w:color w:val="auto"/>
          <w:spacing w:val="-15"/>
        </w:rPr>
        <w:t xml:space="preserve">倍以上 </w:t>
      </w:r>
      <w:r>
        <w:rPr>
          <w:color w:val="auto"/>
        </w:rPr>
        <w:t>2</w:t>
      </w:r>
      <w:r>
        <w:rPr>
          <w:color w:val="auto"/>
          <w:spacing w:val="-9"/>
        </w:rPr>
        <w:t xml:space="preserve"> 倍以下的罚款；有违法所得的，没收违法所得。</w:t>
      </w:r>
      <w:r>
        <w:rPr>
          <w:color w:val="auto"/>
        </w:rPr>
        <w:t>4</w:t>
      </w:r>
      <w:r>
        <w:rPr>
          <w:color w:val="auto"/>
          <w:spacing w:val="-24"/>
        </w:rPr>
        <w:t>、【严重】</w:t>
      </w:r>
    </w:p>
    <w:p>
      <w:pPr>
        <w:pStyle w:val="13"/>
        <w:numPr>
          <w:ilvl w:val="0"/>
          <w:numId w:val="37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rPr>
        <w:t>有下列情形之一的：1、伪造、变造许可证证书、生产许可证标志和编号，金额</w:t>
      </w:r>
      <w:r>
        <w:rPr>
          <w:color w:val="auto"/>
          <w:spacing w:val="-6"/>
        </w:rPr>
        <w:t>较大，无法追回售出产品的；</w:t>
      </w:r>
      <w:r>
        <w:rPr>
          <w:color w:val="auto"/>
          <w:spacing w:val="-11"/>
        </w:rPr>
        <w:t>2</w:t>
      </w:r>
      <w:r>
        <w:rPr>
          <w:color w:val="auto"/>
          <w:spacing w:val="-9"/>
        </w:rPr>
        <w:t>、在两种产品伪造、变造的，</w:t>
      </w:r>
      <w:r>
        <w:rPr>
          <w:color w:val="auto"/>
          <w:spacing w:val="-11"/>
        </w:rPr>
        <w:t>3</w:t>
      </w:r>
      <w:r>
        <w:rPr>
          <w:color w:val="auto"/>
          <w:spacing w:val="-8"/>
        </w:rPr>
        <w:t>、经查处，再次违法的。</w:t>
      </w:r>
    </w:p>
    <w:p>
      <w:pPr>
        <w:pStyle w:val="13"/>
        <w:numPr>
          <w:ilvl w:val="0"/>
          <w:numId w:val="37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责令改正，没收违法生产、销售的产品，并处违法生产、销售产品货值金额 2 倍</w:t>
      </w:r>
    </w:p>
    <w:p>
      <w:pPr>
        <w:pStyle w:val="4"/>
        <w:spacing w:before="192" w:line="388" w:lineRule="auto"/>
        <w:ind w:left="591" w:right="3112" w:hanging="480"/>
        <w:rPr>
          <w:color w:val="auto"/>
        </w:rPr>
      </w:pPr>
      <w:r>
        <w:rPr>
          <w:color w:val="auto"/>
          <w:spacing w:val="-20"/>
        </w:rPr>
        <w:t xml:space="preserve">以上 </w:t>
      </w:r>
      <w:r>
        <w:rPr>
          <w:color w:val="auto"/>
        </w:rPr>
        <w:t>2.5</w:t>
      </w:r>
      <w:r>
        <w:rPr>
          <w:color w:val="auto"/>
          <w:spacing w:val="-9"/>
        </w:rPr>
        <w:t xml:space="preserve"> 倍以下的罚款；有违法所得的，没收违法所得。</w:t>
      </w:r>
      <w:r>
        <w:rPr>
          <w:color w:val="auto"/>
        </w:rPr>
        <w:t>5</w:t>
      </w:r>
      <w:r>
        <w:rPr>
          <w:color w:val="auto"/>
          <w:spacing w:val="-18"/>
        </w:rPr>
        <w:t>、【特别严重】</w:t>
      </w:r>
    </w:p>
    <w:p>
      <w:pPr>
        <w:pStyle w:val="13"/>
        <w:numPr>
          <w:ilvl w:val="0"/>
          <w:numId w:val="37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91" w:lineRule="auto"/>
        <w:ind w:right="265" w:firstLine="480"/>
        <w:jc w:val="both"/>
        <w:rPr>
          <w:color w:val="auto"/>
        </w:rPr>
      </w:pPr>
      <w:r>
        <w:rPr>
          <w:color w:val="auto"/>
        </w:rPr>
        <w:t>有下列情形之一的：1、伪造、变造许可证证书、生产许可证标志和编号，货值</w:t>
      </w:r>
      <w:r>
        <w:rPr>
          <w:color w:val="auto"/>
          <w:spacing w:val="-1"/>
        </w:rPr>
        <w:t>金额巨大的；</w:t>
      </w:r>
      <w:r>
        <w:rPr>
          <w:color w:val="auto"/>
          <w:spacing w:val="-3"/>
        </w:rPr>
        <w:t>2、在两种以上产品伪造、变造的；</w:t>
      </w:r>
      <w:r>
        <w:rPr>
          <w:color w:val="auto"/>
        </w:rPr>
        <w:t>3</w:t>
      </w:r>
      <w:r>
        <w:rPr>
          <w:color w:val="auto"/>
          <w:spacing w:val="-5"/>
        </w:rPr>
        <w:t>、造成人身、财产损害，或者造成</w:t>
      </w:r>
      <w:r>
        <w:rPr>
          <w:color w:val="auto"/>
        </w:rPr>
        <w:t>较大社会影响等严重危害后果的；4、屡次查处，拒不改正违法行为的。</w:t>
      </w:r>
    </w:p>
    <w:p>
      <w:pPr>
        <w:pStyle w:val="13"/>
        <w:numPr>
          <w:ilvl w:val="0"/>
          <w:numId w:val="37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责令改正，没收违法生产、销售的产品，并处违法生产、销售产品货值金额 2.5</w:t>
      </w:r>
    </w:p>
    <w:p>
      <w:pPr>
        <w:pStyle w:val="4"/>
        <w:spacing w:before="194"/>
        <w:rPr>
          <w:color w:val="auto"/>
        </w:rPr>
      </w:pPr>
      <w:r>
        <w:rPr>
          <w:color w:val="auto"/>
        </w:rPr>
        <w:t>倍以上 3 倍以下的罚款；有违法所得的，没收违法所得。</w:t>
      </w:r>
    </w:p>
    <w:p>
      <w:pPr>
        <w:pStyle w:val="2"/>
        <w:spacing w:before="192" w:line="388" w:lineRule="auto"/>
        <w:ind w:left="111" w:right="240" w:firstLine="480"/>
        <w:rPr>
          <w:color w:val="auto"/>
        </w:rPr>
      </w:pPr>
      <w:bookmarkStart w:id="663" w:name="_bookmark331"/>
      <w:bookmarkEnd w:id="663"/>
      <w:bookmarkStart w:id="664" w:name="三百二十三、生产者伪造、篡改或者冒用产品质量检验机构的检验结论以及其他质量证明用"/>
      <w:bookmarkEnd w:id="664"/>
      <w:r>
        <w:rPr>
          <w:color w:val="auto"/>
          <w:spacing w:val="-9"/>
        </w:rPr>
        <w:t>三百二十三、生产者伪造、篡改或者冒用产品质量检验机构的检验结论以及其他质量证明用以推销产品</w:t>
      </w:r>
    </w:p>
    <w:p>
      <w:pPr>
        <w:spacing w:before="4"/>
        <w:ind w:left="591" w:right="0" w:firstLine="0"/>
        <w:jc w:val="left"/>
        <w:rPr>
          <w:b/>
          <w:color w:val="auto"/>
          <w:sz w:val="24"/>
        </w:rPr>
      </w:pPr>
      <w:r>
        <w:rPr>
          <w:b/>
          <w:color w:val="auto"/>
          <w:sz w:val="24"/>
        </w:rPr>
        <w:t>（一）处罚依据</w:t>
      </w:r>
    </w:p>
    <w:p>
      <w:pPr>
        <w:pStyle w:val="4"/>
        <w:spacing w:before="192" w:line="388" w:lineRule="auto"/>
        <w:ind w:right="232" w:firstLine="480"/>
        <w:rPr>
          <w:color w:val="auto"/>
        </w:rPr>
      </w:pPr>
      <w:r>
        <w:rPr>
          <w:color w:val="auto"/>
        </w:rPr>
        <w:t>1</w:t>
      </w:r>
      <w:r>
        <w:rPr>
          <w:color w:val="auto"/>
          <w:spacing w:val="-12"/>
        </w:rPr>
        <w:t>、《山东省实施&lt;中华人民共和国产品质量法&gt;办法》第三十一条“生产者、销售</w:t>
      </w:r>
      <w:r>
        <w:rPr>
          <w:color w:val="auto"/>
          <w:spacing w:val="-13"/>
        </w:rPr>
        <w:t>者违反本办法第二十五条第一款规定的，处违法销售产品货值金额等值以下的罚款；</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情节严重的，吊销营业执照；构成犯罪的，依法追究刑事责任。”</w:t>
      </w:r>
    </w:p>
    <w:p>
      <w:pPr>
        <w:pStyle w:val="4"/>
        <w:spacing w:before="195" w:line="388" w:lineRule="auto"/>
        <w:ind w:right="148" w:firstLine="480"/>
        <w:rPr>
          <w:color w:val="auto"/>
        </w:rPr>
      </w:pPr>
      <w:r>
        <w:rPr>
          <w:color w:val="auto"/>
        </w:rPr>
        <w:t>2</w:t>
      </w:r>
      <w:r>
        <w:rPr>
          <w:color w:val="auto"/>
          <w:spacing w:val="-18"/>
        </w:rPr>
        <w:t>、《山东省实施&lt;中华人民共和国产品质量法&gt;办法》第二十五条第一款“生产者、</w:t>
      </w:r>
      <w:r>
        <w:rPr>
          <w:color w:val="auto"/>
          <w:spacing w:val="-5"/>
        </w:rPr>
        <w:t>销售者不得伪造、篡改或者冒用产品质量检验机构的检验结论以及其他质量证明用以</w:t>
      </w:r>
      <w:r>
        <w:rPr>
          <w:color w:val="auto"/>
          <w:spacing w:val="-24"/>
        </w:rPr>
        <w:t>推销产品。”</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7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jc w:val="both"/>
        <w:rPr>
          <w:color w:val="auto"/>
        </w:rPr>
      </w:pPr>
      <w:r>
        <w:rPr>
          <w:color w:val="auto"/>
          <w:spacing w:val="-1"/>
        </w:rPr>
        <w:t>有下列情形之一的：</w:t>
      </w:r>
      <w:r>
        <w:rPr>
          <w:color w:val="auto"/>
          <w:spacing w:val="-4"/>
        </w:rPr>
        <w:t>1、初次违法且违法产品尚未销售的；2</w:t>
      </w:r>
      <w:r>
        <w:rPr>
          <w:color w:val="auto"/>
          <w:spacing w:val="-5"/>
        </w:rPr>
        <w:t>、伪造、篡改或者冒</w:t>
      </w:r>
      <w:r>
        <w:rPr>
          <w:color w:val="auto"/>
          <w:spacing w:val="-3"/>
        </w:rPr>
        <w:t xml:space="preserve">用产品质量检验机构的检验结论以及其他质量证明 </w:t>
      </w:r>
      <w:r>
        <w:rPr>
          <w:color w:val="auto"/>
        </w:rPr>
        <w:t>1</w:t>
      </w:r>
      <w:r>
        <w:rPr>
          <w:color w:val="auto"/>
          <w:spacing w:val="-28"/>
        </w:rPr>
        <w:t xml:space="preserve"> 份</w:t>
      </w:r>
      <w:r>
        <w:rPr>
          <w:color w:val="auto"/>
          <w:spacing w:val="2"/>
        </w:rPr>
        <w:t>（次</w:t>
      </w:r>
      <w:r>
        <w:rPr>
          <w:color w:val="auto"/>
          <w:spacing w:val="-118"/>
        </w:rPr>
        <w:t>）</w:t>
      </w:r>
      <w:r>
        <w:rPr>
          <w:color w:val="auto"/>
          <w:spacing w:val="1"/>
        </w:rPr>
        <w:t>，且违法产品货值金额较小的。</w:t>
      </w:r>
    </w:p>
    <w:p>
      <w:pPr>
        <w:pStyle w:val="13"/>
        <w:numPr>
          <w:ilvl w:val="0"/>
          <w:numId w:val="377"/>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2" w:line="388" w:lineRule="auto"/>
        <w:ind w:left="591" w:right="5505"/>
        <w:rPr>
          <w:color w:val="auto"/>
        </w:rPr>
      </w:pPr>
      <w:r>
        <w:rPr>
          <w:color w:val="auto"/>
        </w:rPr>
        <w:t>处货值金额 20%以下的罚款。2、【一般】</w:t>
      </w:r>
    </w:p>
    <w:p>
      <w:pPr>
        <w:pStyle w:val="13"/>
        <w:numPr>
          <w:ilvl w:val="0"/>
          <w:numId w:val="378"/>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spacing w:val="-1"/>
        </w:rPr>
        <w:t>有下列情形之一的：</w:t>
      </w:r>
      <w:r>
        <w:rPr>
          <w:color w:val="auto"/>
          <w:spacing w:val="-4"/>
        </w:rPr>
        <w:t>1、初次违法且违法产品货值金额不大的；2</w:t>
      </w:r>
      <w:r>
        <w:rPr>
          <w:color w:val="auto"/>
          <w:spacing w:val="-6"/>
        </w:rPr>
        <w:t>、伪造、篡改或</w:t>
      </w:r>
      <w:r>
        <w:rPr>
          <w:color w:val="auto"/>
          <w:spacing w:val="-3"/>
        </w:rPr>
        <w:t xml:space="preserve">者冒用产品质量检验机构的检验结论以及其他质量证明 </w:t>
      </w:r>
      <w:r>
        <w:rPr>
          <w:color w:val="auto"/>
        </w:rPr>
        <w:t>1</w:t>
      </w:r>
      <w:r>
        <w:rPr>
          <w:color w:val="auto"/>
          <w:spacing w:val="-28"/>
        </w:rPr>
        <w:t xml:space="preserve"> 份</w:t>
      </w:r>
      <w:r>
        <w:rPr>
          <w:color w:val="auto"/>
          <w:spacing w:val="2"/>
        </w:rPr>
        <w:t>（次</w:t>
      </w:r>
      <w:r>
        <w:rPr>
          <w:color w:val="auto"/>
          <w:spacing w:val="-118"/>
        </w:rPr>
        <w:t>）</w:t>
      </w:r>
      <w:r>
        <w:rPr>
          <w:color w:val="auto"/>
          <w:spacing w:val="1"/>
        </w:rPr>
        <w:t>，违法产品能够召回或大部分召回的。</w:t>
      </w:r>
    </w:p>
    <w:p>
      <w:pPr>
        <w:pStyle w:val="13"/>
        <w:numPr>
          <w:ilvl w:val="0"/>
          <w:numId w:val="378"/>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line="391" w:lineRule="auto"/>
        <w:ind w:left="591" w:right="4912"/>
        <w:rPr>
          <w:color w:val="auto"/>
        </w:rPr>
      </w:pPr>
      <w:r>
        <w:rPr>
          <w:color w:val="auto"/>
          <w:spacing w:val="-10"/>
        </w:rPr>
        <w:t xml:space="preserve">处货值金额 </w:t>
      </w:r>
      <w:r>
        <w:rPr>
          <w:color w:val="auto"/>
        </w:rPr>
        <w:t>20%</w:t>
      </w:r>
      <w:r>
        <w:rPr>
          <w:color w:val="auto"/>
          <w:spacing w:val="-20"/>
        </w:rPr>
        <w:t xml:space="preserve">以上 </w:t>
      </w:r>
      <w:r>
        <w:rPr>
          <w:color w:val="auto"/>
        </w:rPr>
        <w:t>50%</w:t>
      </w:r>
      <w:r>
        <w:rPr>
          <w:color w:val="auto"/>
          <w:spacing w:val="-4"/>
        </w:rPr>
        <w:t>以下罚款。</w:t>
      </w:r>
      <w:r>
        <w:rPr>
          <w:color w:val="auto"/>
        </w:rPr>
        <w:t>3</w:t>
      </w:r>
      <w:r>
        <w:rPr>
          <w:color w:val="auto"/>
          <w:spacing w:val="-24"/>
        </w:rPr>
        <w:t>、【较重】</w:t>
      </w:r>
    </w:p>
    <w:p>
      <w:pPr>
        <w:pStyle w:val="13"/>
        <w:numPr>
          <w:ilvl w:val="0"/>
          <w:numId w:val="37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spacing w:val="-1"/>
        </w:rPr>
        <w:t>有下列情形之一的：</w:t>
      </w:r>
      <w:r>
        <w:rPr>
          <w:color w:val="auto"/>
          <w:spacing w:val="-4"/>
        </w:rPr>
        <w:t>1、初次违法且违法产品货值金额较大的；2</w:t>
      </w:r>
      <w:r>
        <w:rPr>
          <w:color w:val="auto"/>
          <w:spacing w:val="-6"/>
        </w:rPr>
        <w:t>、初次违法，但</w:t>
      </w:r>
      <w:r>
        <w:rPr>
          <w:color w:val="auto"/>
        </w:rPr>
        <w:t>违法产品无法召回或大部分无法召回的；3、伪造、篡改或者冒用产品质量检验机构</w:t>
      </w:r>
      <w:r>
        <w:rPr>
          <w:color w:val="auto"/>
          <w:spacing w:val="-5"/>
        </w:rPr>
        <w:t xml:space="preserve">的检验结论以及其他质量证明 </w:t>
      </w:r>
      <w:r>
        <w:rPr>
          <w:color w:val="auto"/>
        </w:rPr>
        <w:t>2</w:t>
      </w:r>
      <w:r>
        <w:rPr>
          <w:color w:val="auto"/>
          <w:spacing w:val="-30"/>
        </w:rPr>
        <w:t xml:space="preserve"> 份</w:t>
      </w:r>
      <w:r>
        <w:rPr>
          <w:color w:val="auto"/>
        </w:rPr>
        <w:t>（次）的。</w:t>
      </w:r>
    </w:p>
    <w:p>
      <w:pPr>
        <w:pStyle w:val="13"/>
        <w:numPr>
          <w:ilvl w:val="0"/>
          <w:numId w:val="379"/>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4672"/>
        <w:rPr>
          <w:color w:val="auto"/>
        </w:rPr>
      </w:pPr>
      <w:r>
        <w:rPr>
          <w:color w:val="auto"/>
          <w:spacing w:val="-10"/>
        </w:rPr>
        <w:t xml:space="preserve">处货值金额 </w:t>
      </w:r>
      <w:r>
        <w:rPr>
          <w:color w:val="auto"/>
        </w:rPr>
        <w:t>50%</w:t>
      </w:r>
      <w:r>
        <w:rPr>
          <w:color w:val="auto"/>
          <w:spacing w:val="-20"/>
        </w:rPr>
        <w:t xml:space="preserve">以上 </w:t>
      </w:r>
      <w:r>
        <w:rPr>
          <w:color w:val="auto"/>
        </w:rPr>
        <w:t>80%</w:t>
      </w:r>
      <w:r>
        <w:rPr>
          <w:color w:val="auto"/>
          <w:spacing w:val="-3"/>
        </w:rPr>
        <w:t>以下的罚款。</w:t>
      </w:r>
      <w:r>
        <w:rPr>
          <w:color w:val="auto"/>
        </w:rPr>
        <w:t>4</w:t>
      </w:r>
      <w:r>
        <w:rPr>
          <w:color w:val="auto"/>
          <w:spacing w:val="-24"/>
        </w:rPr>
        <w:t>、【严重】</w:t>
      </w:r>
    </w:p>
    <w:p>
      <w:pPr>
        <w:pStyle w:val="13"/>
        <w:numPr>
          <w:ilvl w:val="0"/>
          <w:numId w:val="380"/>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rPr>
        <w:t>有下列情形之一的：1、初次违法，违法产品货值金额巨大的，但没有造成危害后果的；2、伪造、篡改或者冒用产品质量检验机构的检验结论以及其他质量证明 2</w:t>
      </w:r>
    </w:p>
    <w:p>
      <w:pPr>
        <w:pStyle w:val="4"/>
        <w:spacing w:line="306" w:lineRule="exact"/>
        <w:rPr>
          <w:color w:val="auto"/>
        </w:rPr>
      </w:pPr>
      <w:r>
        <w:rPr>
          <w:color w:val="auto"/>
        </w:rPr>
        <w:t>份（次）以上 3 次以下的。</w:t>
      </w:r>
    </w:p>
    <w:p>
      <w:pPr>
        <w:pStyle w:val="13"/>
        <w:numPr>
          <w:ilvl w:val="0"/>
          <w:numId w:val="38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105"/>
        <w:rPr>
          <w:color w:val="auto"/>
        </w:rPr>
      </w:pPr>
      <w:r>
        <w:rPr>
          <w:color w:val="auto"/>
        </w:rPr>
        <w:t>处货值金额 80%以上等值以下罚款；吊销营业执照。5、【特别严重】</w:t>
      </w:r>
    </w:p>
    <w:p>
      <w:pPr>
        <w:pStyle w:val="13"/>
        <w:numPr>
          <w:ilvl w:val="0"/>
          <w:numId w:val="38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jc w:val="both"/>
        <w:rPr>
          <w:color w:val="auto"/>
        </w:rPr>
      </w:pPr>
      <w:r>
        <w:rPr>
          <w:color w:val="auto"/>
        </w:rPr>
        <w:t>有下列情形之一的：1、屡次违法且违法产品货值金额较大的；2、拒绝、阻碍、妨害执法工作的；3、伪造、篡改或者冒用产品质量检验机构的检验结论以及其他质量证明 4 份（次）以上的；4、造成严重后果或社会影响的。</w:t>
      </w:r>
    </w:p>
    <w:p>
      <w:pPr>
        <w:pStyle w:val="13"/>
        <w:numPr>
          <w:ilvl w:val="0"/>
          <w:numId w:val="381"/>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处货值金额等值罚款，吊销营业执照。</w:t>
      </w:r>
    </w:p>
    <w:p>
      <w:pPr>
        <w:pStyle w:val="2"/>
        <w:spacing w:before="191" w:line="391" w:lineRule="auto"/>
        <w:ind w:left="111" w:right="193" w:firstLine="480"/>
        <w:rPr>
          <w:color w:val="auto"/>
        </w:rPr>
      </w:pPr>
      <w:bookmarkStart w:id="665" w:name="_bookmark332"/>
      <w:bookmarkEnd w:id="665"/>
      <w:bookmarkStart w:id="666" w:name="三百二十四、知道或者应当知道他人生产、销售国家禁止生产、销售的产品而提供票据、帐"/>
      <w:bookmarkEnd w:id="666"/>
      <w:r>
        <w:rPr>
          <w:color w:val="auto"/>
        </w:rPr>
        <w:t>三百二十四、知道或者应当知道他人生产、销售国家禁止生产、销售的产品而提供票据、帐号、虚假证明或者代签合同</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13"/>
        </w:rPr>
        <w:t>、《山东省实施&lt;中华人民共和国产品质量法&gt;办法》第三十二条第一款“违反本</w:t>
      </w:r>
      <w:r>
        <w:rPr>
          <w:color w:val="auto"/>
          <w:spacing w:val="-1"/>
        </w:rPr>
        <w:t>办法第二十七条第二款第</w:t>
      </w:r>
      <w:r>
        <w:rPr>
          <w:color w:val="auto"/>
        </w:rPr>
        <w:t>（一</w:t>
      </w:r>
      <w:r>
        <w:rPr>
          <w:color w:val="auto"/>
          <w:spacing w:val="-120"/>
        </w:rPr>
        <w:t>）</w:t>
      </w:r>
      <w:r>
        <w:rPr>
          <w:color w:val="auto"/>
          <w:spacing w:val="-125"/>
        </w:rPr>
        <w:t>、</w:t>
      </w:r>
      <w:r>
        <w:rPr>
          <w:color w:val="auto"/>
        </w:rPr>
        <w:t>（二</w:t>
      </w:r>
      <w:r>
        <w:rPr>
          <w:color w:val="auto"/>
          <w:spacing w:val="-8"/>
        </w:rPr>
        <w:t>）</w:t>
      </w:r>
      <w:r>
        <w:rPr>
          <w:color w:val="auto"/>
          <w:spacing w:val="-4"/>
        </w:rPr>
        <w:t>项规定的，责令改正，没收违法所得，并处违</w:t>
      </w:r>
      <w:r>
        <w:rPr>
          <w:color w:val="auto"/>
          <w:spacing w:val="-7"/>
        </w:rPr>
        <w:t>法所得百分之五十以上三倍以下的罚款。”</w:t>
      </w:r>
    </w:p>
    <w:p>
      <w:pPr>
        <w:pStyle w:val="4"/>
        <w:spacing w:line="391" w:lineRule="auto"/>
        <w:ind w:right="232" w:firstLine="480"/>
        <w:jc w:val="both"/>
        <w:rPr>
          <w:color w:val="auto"/>
        </w:rPr>
      </w:pPr>
      <w:r>
        <w:rPr>
          <w:color w:val="auto"/>
        </w:rPr>
        <w:t>2</w:t>
      </w:r>
      <w:r>
        <w:rPr>
          <w:color w:val="auto"/>
          <w:spacing w:val="-12"/>
        </w:rPr>
        <w:t>、《山东省实施&lt;中华人民共和国产品质量法&gt;办法》第二十七条第二款第</w:t>
      </w:r>
      <w:r>
        <w:rPr>
          <w:color w:val="auto"/>
        </w:rPr>
        <w:t>（二</w:t>
      </w:r>
      <w:r>
        <w:rPr>
          <w:color w:val="auto"/>
          <w:spacing w:val="-17"/>
        </w:rPr>
        <w:t xml:space="preserve">） </w:t>
      </w:r>
      <w:r>
        <w:rPr>
          <w:color w:val="auto"/>
          <w:spacing w:val="-6"/>
        </w:rPr>
        <w:t>项“知道或者应当知道他人生产、销售国家禁止生产、销售的产品，并有下列情形之</w:t>
      </w:r>
      <w:r>
        <w:rPr>
          <w:color w:val="auto"/>
          <w:spacing w:val="-15"/>
        </w:rPr>
        <w:t>一的，属于为其提供便利条件：</w:t>
      </w:r>
      <w:r>
        <w:rPr>
          <w:color w:val="auto"/>
        </w:rPr>
        <w:t>（二）提供票据、帐号、虚假证明或者代签合同的</w:t>
      </w:r>
      <w:r>
        <w:rPr>
          <w:color w:val="auto"/>
          <w:spacing w:val="-69"/>
        </w:rPr>
        <w:t>；”</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8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line="391" w:lineRule="auto"/>
        <w:ind w:right="269" w:firstLine="480"/>
        <w:rPr>
          <w:color w:val="auto"/>
        </w:rPr>
      </w:pPr>
      <w:r>
        <w:rPr>
          <w:color w:val="auto"/>
        </w:rPr>
        <w:t>有下列情形之一的：1、积极配合检查并提供相关资料，并主动消除或减轻违法行为危害结果的；2、有证据证明获供方产品未出售或者流出的。</w:t>
      </w:r>
    </w:p>
    <w:p>
      <w:pPr>
        <w:pStyle w:val="13"/>
        <w:numPr>
          <w:ilvl w:val="0"/>
          <w:numId w:val="38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没收违法所得，处违法所得 50%以上 1 倍以下的罚款。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2、【一般】</w:t>
      </w:r>
    </w:p>
    <w:p>
      <w:pPr>
        <w:pStyle w:val="13"/>
        <w:numPr>
          <w:ilvl w:val="0"/>
          <w:numId w:val="383"/>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68" w:firstLine="480"/>
        <w:rPr>
          <w:color w:val="auto"/>
        </w:rPr>
      </w:pPr>
      <w:r>
        <w:rPr>
          <w:color w:val="auto"/>
          <w:spacing w:val="-7"/>
        </w:rPr>
        <w:t>为《产品质量法》第五十条至第五十四条所规定的禁止生产、销售的产品提供票</w:t>
      </w:r>
      <w:r>
        <w:rPr>
          <w:color w:val="auto"/>
        </w:rPr>
        <w:t>据、帐号、虚假证明或者代签合同的。</w:t>
      </w:r>
    </w:p>
    <w:p>
      <w:pPr>
        <w:pStyle w:val="13"/>
        <w:numPr>
          <w:ilvl w:val="0"/>
          <w:numId w:val="38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2632"/>
        <w:rPr>
          <w:color w:val="auto"/>
        </w:rPr>
      </w:pPr>
      <w:r>
        <w:rPr>
          <w:color w:val="auto"/>
          <w:spacing w:val="-5"/>
        </w:rPr>
        <w:t xml:space="preserve">没收违法所得，处违法所得 </w:t>
      </w:r>
      <w:r>
        <w:rPr>
          <w:color w:val="auto"/>
        </w:rPr>
        <w:t>1</w:t>
      </w:r>
      <w:r>
        <w:rPr>
          <w:color w:val="auto"/>
          <w:spacing w:val="-24"/>
        </w:rPr>
        <w:t xml:space="preserve"> 倍以上 </w:t>
      </w:r>
      <w:r>
        <w:rPr>
          <w:color w:val="auto"/>
        </w:rPr>
        <w:t>1.5</w:t>
      </w:r>
      <w:r>
        <w:rPr>
          <w:color w:val="auto"/>
          <w:spacing w:val="-10"/>
        </w:rPr>
        <w:t xml:space="preserve"> 倍以下的罚款。</w:t>
      </w:r>
      <w:r>
        <w:rPr>
          <w:color w:val="auto"/>
        </w:rPr>
        <w:t>3</w:t>
      </w:r>
      <w:r>
        <w:rPr>
          <w:color w:val="auto"/>
          <w:spacing w:val="-24"/>
        </w:rPr>
        <w:t>、【较重】</w:t>
      </w:r>
    </w:p>
    <w:p>
      <w:pPr>
        <w:pStyle w:val="13"/>
        <w:numPr>
          <w:ilvl w:val="0"/>
          <w:numId w:val="38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145" w:firstLine="480"/>
        <w:rPr>
          <w:color w:val="auto"/>
        </w:rPr>
      </w:pPr>
      <w:r>
        <w:rPr>
          <w:color w:val="auto"/>
          <w:spacing w:val="-2"/>
        </w:rPr>
        <w:t>有下列情形之一的：</w:t>
      </w:r>
      <w:r>
        <w:rPr>
          <w:color w:val="auto"/>
          <w:spacing w:val="-16"/>
        </w:rPr>
        <w:t>1</w:t>
      </w:r>
      <w:r>
        <w:rPr>
          <w:color w:val="auto"/>
          <w:spacing w:val="-9"/>
        </w:rPr>
        <w:t>、再次违法的；</w:t>
      </w:r>
      <w:r>
        <w:rPr>
          <w:color w:val="auto"/>
          <w:spacing w:val="-15"/>
        </w:rPr>
        <w:t>2</w:t>
      </w:r>
      <w:r>
        <w:rPr>
          <w:color w:val="auto"/>
          <w:spacing w:val="-10"/>
        </w:rPr>
        <w:t>、两次为禁止生产、销售的产品提供票据、</w:t>
      </w:r>
      <w:r>
        <w:rPr>
          <w:color w:val="auto"/>
        </w:rPr>
        <w:t>帐号、虚假证明或者代签合同的。</w:t>
      </w:r>
    </w:p>
    <w:p>
      <w:pPr>
        <w:pStyle w:val="13"/>
        <w:numPr>
          <w:ilvl w:val="0"/>
          <w:numId w:val="384"/>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2632"/>
        <w:rPr>
          <w:color w:val="auto"/>
        </w:rPr>
      </w:pPr>
      <w:r>
        <w:rPr>
          <w:color w:val="auto"/>
          <w:spacing w:val="-5"/>
        </w:rPr>
        <w:t xml:space="preserve">没收违法所得，处违法所得 </w:t>
      </w:r>
      <w:r>
        <w:rPr>
          <w:color w:val="auto"/>
        </w:rPr>
        <w:t>1.5</w:t>
      </w:r>
      <w:r>
        <w:rPr>
          <w:color w:val="auto"/>
          <w:spacing w:val="-24"/>
        </w:rPr>
        <w:t xml:space="preserve"> 倍以上 </w:t>
      </w:r>
      <w:r>
        <w:rPr>
          <w:color w:val="auto"/>
        </w:rPr>
        <w:t>2</w:t>
      </w:r>
      <w:r>
        <w:rPr>
          <w:color w:val="auto"/>
          <w:spacing w:val="-10"/>
        </w:rPr>
        <w:t xml:space="preserve"> 倍以下的罚款。</w:t>
      </w:r>
      <w:r>
        <w:rPr>
          <w:color w:val="auto"/>
        </w:rPr>
        <w:t>4</w:t>
      </w:r>
      <w:r>
        <w:rPr>
          <w:color w:val="auto"/>
          <w:spacing w:val="-24"/>
        </w:rPr>
        <w:t>、【严重】</w:t>
      </w:r>
    </w:p>
    <w:p>
      <w:pPr>
        <w:pStyle w:val="13"/>
        <w:numPr>
          <w:ilvl w:val="0"/>
          <w:numId w:val="38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rPr>
        <w:t>有下列情形之一的：1、为《产品质量法》第四十九条所规定的禁止生产、销售的产品提供票据、帐号、虚假证明或者代签合同的；2、为以此产品冒充彼产品，或</w:t>
      </w:r>
      <w:r>
        <w:rPr>
          <w:color w:val="auto"/>
          <w:spacing w:val="-4"/>
        </w:rPr>
        <w:t>以普通产品冒充名牌产品、地理标志保护产品等名优产品提供票据、帐号、虚假证明</w:t>
      </w:r>
      <w:r>
        <w:rPr>
          <w:color w:val="auto"/>
          <w:spacing w:val="-1"/>
        </w:rPr>
        <w:t>或者代签合同的；</w:t>
      </w:r>
      <w:r>
        <w:rPr>
          <w:color w:val="auto"/>
          <w:spacing w:val="-4"/>
        </w:rPr>
        <w:t>3、不配合检查、阻碍执法或造成一定影响和危害后果的；4</w:t>
      </w:r>
      <w:r>
        <w:rPr>
          <w:color w:val="auto"/>
          <w:spacing w:val="-7"/>
        </w:rPr>
        <w:t>、经查</w:t>
      </w:r>
      <w:r>
        <w:rPr>
          <w:color w:val="auto"/>
        </w:rPr>
        <w:t>处后再犯的。</w:t>
      </w:r>
    </w:p>
    <w:p>
      <w:pPr>
        <w:pStyle w:val="13"/>
        <w:numPr>
          <w:ilvl w:val="0"/>
          <w:numId w:val="385"/>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2" w:line="388" w:lineRule="auto"/>
        <w:ind w:left="591" w:right="2632"/>
        <w:rPr>
          <w:color w:val="auto"/>
        </w:rPr>
      </w:pPr>
      <w:r>
        <w:rPr>
          <w:color w:val="auto"/>
          <w:spacing w:val="-5"/>
        </w:rPr>
        <w:t xml:space="preserve">没收违法所得，处违法所得 </w:t>
      </w:r>
      <w:r>
        <w:rPr>
          <w:color w:val="auto"/>
        </w:rPr>
        <w:t>2</w:t>
      </w:r>
      <w:r>
        <w:rPr>
          <w:color w:val="auto"/>
          <w:spacing w:val="-24"/>
        </w:rPr>
        <w:t xml:space="preserve"> 倍以上 </w:t>
      </w:r>
      <w:r>
        <w:rPr>
          <w:color w:val="auto"/>
        </w:rPr>
        <w:t>2.5</w:t>
      </w:r>
      <w:r>
        <w:rPr>
          <w:color w:val="auto"/>
          <w:spacing w:val="-10"/>
        </w:rPr>
        <w:t xml:space="preserve"> 倍以下的罚款。</w:t>
      </w:r>
      <w:r>
        <w:rPr>
          <w:color w:val="auto"/>
        </w:rPr>
        <w:t>5</w:t>
      </w:r>
      <w:r>
        <w:rPr>
          <w:color w:val="auto"/>
          <w:spacing w:val="-18"/>
        </w:rPr>
        <w:t>、【特别严重】</w:t>
      </w:r>
    </w:p>
    <w:p>
      <w:pPr>
        <w:pStyle w:val="13"/>
        <w:numPr>
          <w:ilvl w:val="0"/>
          <w:numId w:val="38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rPr>
        <w:t>有下列情形之一的：1、造成重大社会影响和危害后果的；2、屡次查处的；3、三次以上为禁止生产、销售的产品提供票据、帐号、虚假证明或者代签合同的。</w:t>
      </w:r>
    </w:p>
    <w:p>
      <w:pPr>
        <w:pStyle w:val="13"/>
        <w:numPr>
          <w:ilvl w:val="0"/>
          <w:numId w:val="386"/>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没收违法所得，处违法所得 2.5 倍以上 3 倍以下的罚款。</w:t>
      </w:r>
    </w:p>
    <w:p>
      <w:pPr>
        <w:pStyle w:val="2"/>
        <w:spacing w:before="192"/>
        <w:rPr>
          <w:color w:val="auto"/>
        </w:rPr>
      </w:pPr>
      <w:bookmarkStart w:id="667" w:name="三百二十五、知道或者应当知道他人生产、销售国家禁止生产、销售的产品，制作、销售或"/>
      <w:bookmarkEnd w:id="667"/>
      <w:bookmarkStart w:id="668" w:name="_bookmark333"/>
      <w:bookmarkEnd w:id="668"/>
      <w:r>
        <w:rPr>
          <w:color w:val="auto"/>
        </w:rPr>
        <w:t>三百二十五、知道或者应当知道他人生产、销售国家禁止生产、销售的产品，制</w:t>
      </w:r>
    </w:p>
    <w:p>
      <w:pPr>
        <w:spacing w:after="0"/>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作、销售或者提供标识、包装物</w:t>
      </w:r>
    </w:p>
    <w:p>
      <w:pPr>
        <w:spacing w:before="195"/>
        <w:ind w:left="591" w:right="0" w:firstLine="0"/>
        <w:jc w:val="left"/>
        <w:rPr>
          <w:b/>
          <w:color w:val="auto"/>
          <w:sz w:val="24"/>
        </w:rPr>
      </w:pPr>
      <w:r>
        <w:rPr>
          <w:b/>
          <w:color w:val="auto"/>
          <w:sz w:val="24"/>
        </w:rPr>
        <w:t>（一）处罚依据</w:t>
      </w:r>
    </w:p>
    <w:p>
      <w:pPr>
        <w:pStyle w:val="4"/>
        <w:spacing w:before="191" w:line="391" w:lineRule="auto"/>
        <w:ind w:right="266" w:firstLine="480"/>
        <w:jc w:val="both"/>
        <w:rPr>
          <w:color w:val="auto"/>
        </w:rPr>
      </w:pPr>
      <w:r>
        <w:rPr>
          <w:color w:val="auto"/>
        </w:rPr>
        <w:t>1</w:t>
      </w:r>
      <w:r>
        <w:rPr>
          <w:color w:val="auto"/>
          <w:spacing w:val="-13"/>
        </w:rPr>
        <w:t>、《山东省实施&lt;中华人民共和国产品质量法&gt;办法》第三十二条第二款“违反本</w:t>
      </w:r>
      <w:r>
        <w:rPr>
          <w:color w:val="auto"/>
          <w:spacing w:val="-1"/>
        </w:rPr>
        <w:t>办法第二十七条第二款第</w:t>
      </w:r>
      <w:r>
        <w:rPr>
          <w:color w:val="auto"/>
        </w:rPr>
        <w:t>（三</w:t>
      </w:r>
      <w:r>
        <w:rPr>
          <w:color w:val="auto"/>
          <w:spacing w:val="-8"/>
        </w:rPr>
        <w:t>）</w:t>
      </w:r>
      <w:r>
        <w:rPr>
          <w:color w:val="auto"/>
          <w:spacing w:val="-4"/>
        </w:rPr>
        <w:t>项规定的，责令改正，没收违法标识、包装物及专门</w:t>
      </w:r>
      <w:r>
        <w:rPr>
          <w:color w:val="auto"/>
          <w:spacing w:val="-6"/>
        </w:rPr>
        <w:t>用于制作违法标识、包装物的生产工具、原辅材料及半成品，处以违法标识、包装物</w:t>
      </w:r>
      <w:r>
        <w:rPr>
          <w:color w:val="auto"/>
          <w:spacing w:val="-4"/>
        </w:rPr>
        <w:t>货值金额百分之五十以上三倍以下的罚款；有违法所得的，并处没收违法所得。”</w:t>
      </w:r>
    </w:p>
    <w:p>
      <w:pPr>
        <w:pStyle w:val="4"/>
        <w:spacing w:line="391" w:lineRule="auto"/>
        <w:ind w:right="232" w:firstLine="480"/>
        <w:jc w:val="both"/>
        <w:rPr>
          <w:color w:val="auto"/>
        </w:rPr>
      </w:pPr>
      <w:r>
        <w:rPr>
          <w:color w:val="auto"/>
        </w:rPr>
        <w:t>2</w:t>
      </w:r>
      <w:r>
        <w:rPr>
          <w:color w:val="auto"/>
          <w:spacing w:val="-12"/>
        </w:rPr>
        <w:t>、《山东省实施&lt;中华人民共和国产品质量法&gt;办法》第二十七条第二款第</w:t>
      </w:r>
      <w:r>
        <w:rPr>
          <w:color w:val="auto"/>
        </w:rPr>
        <w:t>（三</w:t>
      </w:r>
      <w:r>
        <w:rPr>
          <w:color w:val="auto"/>
          <w:spacing w:val="-17"/>
        </w:rPr>
        <w:t xml:space="preserve">） </w:t>
      </w:r>
      <w:r>
        <w:rPr>
          <w:color w:val="auto"/>
          <w:spacing w:val="-6"/>
        </w:rPr>
        <w:t>项“知道或者应当知道他人生产、销售国家禁止生产、销售的产品，并有下列情形之</w:t>
      </w:r>
      <w:r>
        <w:rPr>
          <w:color w:val="auto"/>
          <w:spacing w:val="-15"/>
        </w:rPr>
        <w:t>一的，属于为其提供便利条件：</w:t>
      </w:r>
      <w:r>
        <w:rPr>
          <w:color w:val="auto"/>
        </w:rPr>
        <w:t>（三）</w:t>
      </w:r>
      <w:r>
        <w:rPr>
          <w:color w:val="auto"/>
          <w:spacing w:val="-8"/>
        </w:rPr>
        <w:t>制作、销售或者提供标识、包装物的；”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8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3" w:line="391" w:lineRule="auto"/>
        <w:ind w:right="269" w:firstLine="480"/>
        <w:rPr>
          <w:color w:val="auto"/>
        </w:rPr>
      </w:pPr>
      <w:r>
        <w:rPr>
          <w:color w:val="auto"/>
        </w:rPr>
        <w:t>有下列情形之一的：1、积极配合检查并提供相关资料，并主动消除或减轻违法行为危害结果的；2、有证据证明获供方产品未出售或者流出的。</w:t>
      </w:r>
    </w:p>
    <w:p>
      <w:pPr>
        <w:pStyle w:val="13"/>
        <w:numPr>
          <w:ilvl w:val="0"/>
          <w:numId w:val="38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148" w:firstLine="480"/>
        <w:rPr>
          <w:color w:val="auto"/>
        </w:rPr>
      </w:pPr>
      <w:r>
        <w:rPr>
          <w:color w:val="auto"/>
          <w:spacing w:val="-4"/>
        </w:rPr>
        <w:t>没收违法标识、包装物及专门用于制作违法标识、包装物的生产工具、原辅材料</w:t>
      </w:r>
      <w:r>
        <w:rPr>
          <w:color w:val="auto"/>
          <w:spacing w:val="-13"/>
        </w:rPr>
        <w:t xml:space="preserve">及半成品，处以违法标识、包装物货值金额 </w:t>
      </w:r>
      <w:r>
        <w:rPr>
          <w:color w:val="auto"/>
        </w:rPr>
        <w:t>50%</w:t>
      </w:r>
      <w:r>
        <w:rPr>
          <w:color w:val="auto"/>
          <w:spacing w:val="-20"/>
        </w:rPr>
        <w:t xml:space="preserve">以上 </w:t>
      </w:r>
      <w:r>
        <w:rPr>
          <w:color w:val="auto"/>
        </w:rPr>
        <w:t>1</w:t>
      </w:r>
      <w:r>
        <w:rPr>
          <w:color w:val="auto"/>
          <w:spacing w:val="-11"/>
        </w:rPr>
        <w:t xml:space="preserve"> 倍以下的罚款；有违法所得的， </w:t>
      </w:r>
      <w:r>
        <w:rPr>
          <w:color w:val="auto"/>
        </w:rPr>
        <w:t>并处没收违法所得。</w:t>
      </w:r>
    </w:p>
    <w:p>
      <w:pPr>
        <w:pStyle w:val="4"/>
        <w:spacing w:line="304" w:lineRule="exact"/>
        <w:ind w:left="591"/>
        <w:rPr>
          <w:color w:val="auto"/>
        </w:rPr>
      </w:pPr>
      <w:r>
        <w:rPr>
          <w:color w:val="auto"/>
        </w:rPr>
        <w:t>2、【一般】</w:t>
      </w:r>
    </w:p>
    <w:p>
      <w:pPr>
        <w:pStyle w:val="13"/>
        <w:numPr>
          <w:ilvl w:val="0"/>
          <w:numId w:val="38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为《产品质量法》第五十条至第五十四条所规定的禁止生产、销售的产品制作、销售或者提供标识、包装物的。</w:t>
      </w:r>
    </w:p>
    <w:p>
      <w:pPr>
        <w:pStyle w:val="13"/>
        <w:numPr>
          <w:ilvl w:val="0"/>
          <w:numId w:val="38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91" w:lineRule="auto"/>
        <w:ind w:right="268" w:firstLine="480"/>
        <w:jc w:val="both"/>
        <w:rPr>
          <w:color w:val="auto"/>
        </w:rPr>
      </w:pPr>
      <w:r>
        <w:rPr>
          <w:color w:val="auto"/>
          <w:spacing w:val="-5"/>
        </w:rPr>
        <w:t>没收违法标识、包装物及专门用于制作违法标识、包装物的生产工具、原辅材料</w:t>
      </w:r>
      <w:r>
        <w:rPr>
          <w:color w:val="auto"/>
          <w:spacing w:val="-7"/>
        </w:rPr>
        <w:t xml:space="preserve">及半成品，处以违法标识、包装物货值金额 </w:t>
      </w:r>
      <w:r>
        <w:rPr>
          <w:color w:val="auto"/>
        </w:rPr>
        <w:t>1</w:t>
      </w:r>
      <w:r>
        <w:rPr>
          <w:color w:val="auto"/>
          <w:spacing w:val="-24"/>
        </w:rPr>
        <w:t xml:space="preserve"> 倍以上 </w:t>
      </w:r>
      <w:r>
        <w:rPr>
          <w:color w:val="auto"/>
        </w:rPr>
        <w:t>1.5</w:t>
      </w:r>
      <w:r>
        <w:rPr>
          <w:color w:val="auto"/>
          <w:spacing w:val="-10"/>
        </w:rPr>
        <w:t xml:space="preserve"> 倍以下的罚款；有违法所得</w:t>
      </w:r>
      <w:r>
        <w:rPr>
          <w:color w:val="auto"/>
        </w:rPr>
        <w:t>的，并处没收违法所得。</w:t>
      </w:r>
    </w:p>
    <w:p>
      <w:pPr>
        <w:pStyle w:val="4"/>
        <w:spacing w:line="304" w:lineRule="exact"/>
        <w:ind w:left="591"/>
        <w:rPr>
          <w:color w:val="auto"/>
        </w:rPr>
      </w:pPr>
      <w:r>
        <w:rPr>
          <w:color w:val="auto"/>
        </w:rPr>
        <w:t>3、【较重】</w:t>
      </w:r>
    </w:p>
    <w:p>
      <w:pPr>
        <w:pStyle w:val="13"/>
        <w:numPr>
          <w:ilvl w:val="0"/>
          <w:numId w:val="389"/>
        </w:numPr>
        <w:tabs>
          <w:tab w:val="left" w:pos="1193"/>
        </w:tabs>
        <w:spacing w:before="19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有下列情形之一的：1、经查处后，再次违法的；2、两次为造假者制作、销售或者提供标识、包装物的。</w:t>
      </w:r>
    </w:p>
    <w:p>
      <w:pPr>
        <w:pStyle w:val="13"/>
        <w:numPr>
          <w:ilvl w:val="0"/>
          <w:numId w:val="38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5"/>
        </w:rPr>
        <w:t>没收违法标识、包装物及专门用于制作违法标识、包装物的生产工具、原辅材料</w:t>
      </w:r>
      <w:r>
        <w:rPr>
          <w:color w:val="auto"/>
          <w:spacing w:val="-7"/>
        </w:rPr>
        <w:t xml:space="preserve">及半成品，处以违法标识、包装物货值金额 </w:t>
      </w:r>
      <w:r>
        <w:rPr>
          <w:color w:val="auto"/>
        </w:rPr>
        <w:t>1.5</w:t>
      </w:r>
      <w:r>
        <w:rPr>
          <w:color w:val="auto"/>
          <w:spacing w:val="-24"/>
        </w:rPr>
        <w:t xml:space="preserve"> 倍以上 </w:t>
      </w:r>
      <w:r>
        <w:rPr>
          <w:color w:val="auto"/>
        </w:rPr>
        <w:t>2</w:t>
      </w:r>
      <w:r>
        <w:rPr>
          <w:color w:val="auto"/>
          <w:spacing w:val="-10"/>
        </w:rPr>
        <w:t xml:space="preserve"> 倍以下的罚款；有违法所得</w:t>
      </w:r>
      <w:r>
        <w:rPr>
          <w:color w:val="auto"/>
        </w:rPr>
        <w:t>的，并处没收违法所得。</w:t>
      </w:r>
    </w:p>
    <w:p>
      <w:pPr>
        <w:pStyle w:val="4"/>
        <w:spacing w:line="304" w:lineRule="exact"/>
        <w:ind w:left="591"/>
        <w:rPr>
          <w:color w:val="auto"/>
        </w:rPr>
      </w:pPr>
      <w:r>
        <w:rPr>
          <w:color w:val="auto"/>
        </w:rPr>
        <w:t>4、【严重】</w:t>
      </w:r>
    </w:p>
    <w:p>
      <w:pPr>
        <w:pStyle w:val="13"/>
        <w:numPr>
          <w:ilvl w:val="0"/>
          <w:numId w:val="390"/>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32" w:firstLine="480"/>
        <w:jc w:val="both"/>
        <w:rPr>
          <w:color w:val="auto"/>
        </w:rPr>
      </w:pPr>
      <w:r>
        <w:rPr>
          <w:color w:val="auto"/>
        </w:rPr>
        <w:t>有下列情形之一的：1、为《产品质量法》第四十九条所规定的禁止生产、销售的产品制作、销售或者提供标识、包装物的；2、为以此产品冒充彼产品，或以普通产品冒充名牌产品、地理标志保护产品等名优产品制作、销售或者提供标识、包装物的；3、不配合检查、阻碍执法或造成一定影响和危害后果的；4、经查处后再犯的。</w:t>
      </w:r>
    </w:p>
    <w:p>
      <w:pPr>
        <w:pStyle w:val="13"/>
        <w:numPr>
          <w:ilvl w:val="0"/>
          <w:numId w:val="390"/>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4" w:line="388" w:lineRule="auto"/>
        <w:ind w:right="268" w:firstLine="480"/>
        <w:jc w:val="both"/>
        <w:rPr>
          <w:color w:val="auto"/>
        </w:rPr>
      </w:pPr>
      <w:r>
        <w:rPr>
          <w:color w:val="auto"/>
          <w:spacing w:val="-5"/>
        </w:rPr>
        <w:t>没收违法标识、包装物及专门用于制作违法标识、包装物的生产工具、原辅材料</w:t>
      </w:r>
      <w:r>
        <w:rPr>
          <w:color w:val="auto"/>
          <w:spacing w:val="-7"/>
        </w:rPr>
        <w:t xml:space="preserve">及半成品，处以违法标识、包装物货值金额 </w:t>
      </w:r>
      <w:r>
        <w:rPr>
          <w:color w:val="auto"/>
        </w:rPr>
        <w:t>2</w:t>
      </w:r>
      <w:r>
        <w:rPr>
          <w:color w:val="auto"/>
          <w:spacing w:val="-24"/>
        </w:rPr>
        <w:t xml:space="preserve"> 倍以上 </w:t>
      </w:r>
      <w:r>
        <w:rPr>
          <w:color w:val="auto"/>
        </w:rPr>
        <w:t>2.5</w:t>
      </w:r>
      <w:r>
        <w:rPr>
          <w:color w:val="auto"/>
          <w:spacing w:val="-10"/>
        </w:rPr>
        <w:t xml:space="preserve"> 倍以下的罚款；有违法所得</w:t>
      </w:r>
      <w:r>
        <w:rPr>
          <w:color w:val="auto"/>
        </w:rPr>
        <w:t>的，并处没收违法所得。</w:t>
      </w:r>
    </w:p>
    <w:p>
      <w:pPr>
        <w:pStyle w:val="4"/>
        <w:spacing w:before="6"/>
        <w:ind w:left="591"/>
        <w:rPr>
          <w:color w:val="auto"/>
        </w:rPr>
      </w:pPr>
      <w:r>
        <w:rPr>
          <w:color w:val="auto"/>
        </w:rPr>
        <w:t>5、【特别严重】</w:t>
      </w:r>
    </w:p>
    <w:p>
      <w:pPr>
        <w:pStyle w:val="13"/>
        <w:numPr>
          <w:ilvl w:val="0"/>
          <w:numId w:val="39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rPr>
        <w:t>有下列情形之一的：1、造成重大社会影响和危害后果的；2、屡次查处的；3、三次以上为造假者制作、销售或者提供标识、包装物的。</w:t>
      </w:r>
    </w:p>
    <w:p>
      <w:pPr>
        <w:pStyle w:val="13"/>
        <w:numPr>
          <w:ilvl w:val="0"/>
          <w:numId w:val="39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5"/>
        </w:rPr>
        <w:t>没收违法标识、包装物及专门用于制作违法标识、包装物的生产工具、原辅材料</w:t>
      </w:r>
      <w:r>
        <w:rPr>
          <w:color w:val="auto"/>
          <w:spacing w:val="-7"/>
        </w:rPr>
        <w:t xml:space="preserve">及半成品，处以违法标识、包装物货值金额 </w:t>
      </w:r>
      <w:r>
        <w:rPr>
          <w:color w:val="auto"/>
        </w:rPr>
        <w:t>2.5</w:t>
      </w:r>
      <w:r>
        <w:rPr>
          <w:color w:val="auto"/>
          <w:spacing w:val="-24"/>
        </w:rPr>
        <w:t xml:space="preserve"> 倍以上 </w:t>
      </w:r>
      <w:r>
        <w:rPr>
          <w:color w:val="auto"/>
        </w:rPr>
        <w:t>3</w:t>
      </w:r>
      <w:r>
        <w:rPr>
          <w:color w:val="auto"/>
          <w:spacing w:val="-10"/>
        </w:rPr>
        <w:t xml:space="preserve"> 倍以下的罚款；有违法所得</w:t>
      </w:r>
      <w:r>
        <w:rPr>
          <w:color w:val="auto"/>
        </w:rPr>
        <w:t>的，并处没收违法所得。</w:t>
      </w:r>
    </w:p>
    <w:p>
      <w:pPr>
        <w:pStyle w:val="2"/>
        <w:spacing w:line="391" w:lineRule="auto"/>
        <w:ind w:left="111" w:right="117" w:firstLine="480"/>
        <w:rPr>
          <w:color w:val="auto"/>
        </w:rPr>
      </w:pPr>
      <w:bookmarkStart w:id="669" w:name="_bookmark334"/>
      <w:bookmarkEnd w:id="669"/>
      <w:bookmarkStart w:id="670" w:name="三百二十六、企业名称、住所或者生产地址名称发生变化（生产条件、检验手段、生产技术"/>
      <w:bookmarkEnd w:id="670"/>
      <w:r>
        <w:rPr>
          <w:color w:val="auto"/>
          <w:spacing w:val="-12"/>
        </w:rPr>
        <w:t>三百二十六、企业名称、住所或者生产地址名称发生变化</w:t>
      </w:r>
      <w:r>
        <w:rPr>
          <w:color w:val="auto"/>
        </w:rPr>
        <w:t>（</w:t>
      </w:r>
      <w:r>
        <w:rPr>
          <w:color w:val="auto"/>
          <w:spacing w:val="-7"/>
        </w:rPr>
        <w:t>生产条件、检验手段、</w:t>
      </w:r>
      <w:r>
        <w:rPr>
          <w:color w:val="auto"/>
          <w:spacing w:val="2"/>
          <w:w w:val="99"/>
        </w:rPr>
        <w:t>生产技术或者工艺未发生变化</w:t>
      </w:r>
      <w:r>
        <w:rPr>
          <w:color w:val="auto"/>
          <w:spacing w:val="-116"/>
          <w:w w:val="99"/>
        </w:rPr>
        <w:t>）</w:t>
      </w:r>
      <w:r>
        <w:rPr>
          <w:color w:val="auto"/>
          <w:spacing w:val="2"/>
          <w:w w:val="99"/>
        </w:rPr>
        <w:t>，未在</w:t>
      </w:r>
      <w:r>
        <w:rPr>
          <w:color w:val="auto"/>
          <w:spacing w:val="-59"/>
        </w:rPr>
        <w:t xml:space="preserve"> </w:t>
      </w:r>
      <w:r>
        <w:rPr>
          <w:color w:val="auto"/>
          <w:w w:val="99"/>
        </w:rPr>
        <w:t>1</w:t>
      </w:r>
      <w:r>
        <w:rPr>
          <w:color w:val="auto"/>
          <w:spacing w:val="-59"/>
        </w:rPr>
        <w:t xml:space="preserve"> </w:t>
      </w:r>
      <w:r>
        <w:rPr>
          <w:color w:val="auto"/>
          <w:spacing w:val="1"/>
          <w:w w:val="99"/>
        </w:rPr>
        <w:t>个月内向所在地省级市场监督管理局提出变</w:t>
      </w:r>
      <w:r>
        <w:rPr>
          <w:color w:val="auto"/>
          <w:spacing w:val="1"/>
        </w:rPr>
        <w:t>更申请</w:t>
      </w:r>
    </w:p>
    <w:p>
      <w:pPr>
        <w:spacing w:before="0" w:line="304" w:lineRule="exact"/>
        <w:ind w:left="591" w:right="0" w:firstLine="0"/>
        <w:jc w:val="left"/>
        <w:rPr>
          <w:b/>
          <w:color w:val="auto"/>
          <w:sz w:val="24"/>
        </w:rPr>
      </w:pPr>
      <w:r>
        <w:rPr>
          <w:b/>
          <w:color w:val="auto"/>
          <w:sz w:val="24"/>
        </w:rPr>
        <w:t>（一）处罚依据</w:t>
      </w:r>
    </w:p>
    <w:p>
      <w:pPr>
        <w:spacing w:after="0" w:line="304" w:lineRule="exact"/>
        <w:jc w:val="left"/>
        <w:rPr>
          <w:color w:val="auto"/>
          <w:sz w:val="24"/>
        </w:rPr>
        <w:sectPr>
          <w:pgSz w:w="11910" w:h="16840"/>
          <w:pgMar w:top="1520" w:right="1260" w:bottom="1220" w:left="1420" w:header="0" w:footer="1034" w:gutter="0"/>
        </w:sectPr>
      </w:pPr>
    </w:p>
    <w:p>
      <w:pPr>
        <w:pStyle w:val="4"/>
        <w:spacing w:before="39" w:line="391" w:lineRule="auto"/>
        <w:ind w:right="268" w:firstLine="554"/>
        <w:jc w:val="both"/>
        <w:rPr>
          <w:color w:val="auto"/>
        </w:rPr>
      </w:pPr>
      <w:r>
        <w:rPr>
          <w:color w:val="auto"/>
        </w:rPr>
        <w:t>1、《中华人民共和国工业产品生产许可证管理条例实施办法》第四十九条“违</w:t>
      </w:r>
      <w:r>
        <w:rPr>
          <w:color w:val="auto"/>
          <w:spacing w:val="-6"/>
        </w:rPr>
        <w:t xml:space="preserve">反本办法第三十条规定，企业未在规定期限内提出变更申请的，责令改正，处 </w:t>
      </w:r>
      <w:r>
        <w:rPr>
          <w:color w:val="auto"/>
        </w:rPr>
        <w:t>2</w:t>
      </w:r>
      <w:r>
        <w:rPr>
          <w:color w:val="auto"/>
          <w:spacing w:val="-26"/>
        </w:rPr>
        <w:t xml:space="preserve"> 万元</w:t>
      </w:r>
      <w:r>
        <w:rPr>
          <w:color w:val="auto"/>
        </w:rPr>
        <w:t>以下罚款。”</w:t>
      </w:r>
    </w:p>
    <w:p>
      <w:pPr>
        <w:pStyle w:val="4"/>
        <w:spacing w:line="391" w:lineRule="auto"/>
        <w:ind w:right="268" w:firstLine="501"/>
        <w:jc w:val="both"/>
        <w:rPr>
          <w:color w:val="auto"/>
        </w:rPr>
      </w:pPr>
      <w:r>
        <w:rPr>
          <w:color w:val="auto"/>
          <w:spacing w:val="9"/>
        </w:rPr>
        <w:t>2</w:t>
      </w:r>
      <w:r>
        <w:rPr>
          <w:color w:val="auto"/>
        </w:rPr>
        <w:t>、《中华人民共和国工业产品生产许可证管理条例实施办法》第三十条“在生</w:t>
      </w:r>
      <w:r>
        <w:rPr>
          <w:color w:val="auto"/>
          <w:spacing w:val="-5"/>
        </w:rPr>
        <w:t>产许可证有效期内，企业名称、住所或者生产地址名称发生变化而企业生产条件、检</w:t>
      </w:r>
      <w:r>
        <w:rPr>
          <w:color w:val="auto"/>
          <w:spacing w:val="-7"/>
        </w:rPr>
        <w:t xml:space="preserve">验手段、生产技术或者工艺未发生变化的，企业应当自变化事项发生后 </w:t>
      </w:r>
      <w:r>
        <w:rPr>
          <w:color w:val="auto"/>
        </w:rPr>
        <w:t>1</w:t>
      </w:r>
      <w:r>
        <w:rPr>
          <w:color w:val="auto"/>
          <w:spacing w:val="-13"/>
        </w:rPr>
        <w:t xml:space="preserve"> 个月内向企</w:t>
      </w:r>
      <w:r>
        <w:rPr>
          <w:color w:val="auto"/>
        </w:rPr>
        <w:t>业所在地省级质量技术监督局提出变更申请。变更后的生产许可证有效期不变。”</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92"/>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line="388" w:lineRule="auto"/>
        <w:ind w:right="268" w:firstLine="480"/>
        <w:rPr>
          <w:color w:val="auto"/>
        </w:rPr>
      </w:pPr>
      <w:r>
        <w:rPr>
          <w:color w:val="auto"/>
          <w:spacing w:val="-1"/>
        </w:rPr>
        <w:t>有下列情形之一的：</w:t>
      </w:r>
      <w:r>
        <w:rPr>
          <w:color w:val="auto"/>
          <w:spacing w:val="-5"/>
        </w:rPr>
        <w:t>1</w:t>
      </w:r>
      <w:r>
        <w:rPr>
          <w:color w:val="auto"/>
          <w:spacing w:val="-7"/>
        </w:rPr>
        <w:t xml:space="preserve">、不存在主观故意且变更申请逾期 </w:t>
      </w:r>
      <w:r>
        <w:rPr>
          <w:color w:val="auto"/>
        </w:rPr>
        <w:t>1</w:t>
      </w:r>
      <w:r>
        <w:rPr>
          <w:color w:val="auto"/>
          <w:spacing w:val="-11"/>
        </w:rPr>
        <w:t xml:space="preserve"> 个月内的；</w:t>
      </w:r>
      <w:r>
        <w:rPr>
          <w:color w:val="auto"/>
          <w:spacing w:val="-4"/>
        </w:rPr>
        <w:t>2</w:t>
      </w:r>
      <w:r>
        <w:rPr>
          <w:color w:val="auto"/>
          <w:spacing w:val="-7"/>
        </w:rPr>
        <w:t>、产品尚</w:t>
      </w:r>
      <w:r>
        <w:rPr>
          <w:color w:val="auto"/>
        </w:rPr>
        <w:t>未销售的。</w:t>
      </w:r>
    </w:p>
    <w:p>
      <w:pPr>
        <w:pStyle w:val="13"/>
        <w:numPr>
          <w:ilvl w:val="0"/>
          <w:numId w:val="39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4912"/>
        <w:rPr>
          <w:color w:val="auto"/>
        </w:rPr>
      </w:pPr>
      <w:r>
        <w:rPr>
          <w:color w:val="auto"/>
          <w:spacing w:val="-8"/>
        </w:rPr>
        <w:t xml:space="preserve">责令改正，并处 </w:t>
      </w:r>
      <w:r>
        <w:rPr>
          <w:color w:val="auto"/>
        </w:rPr>
        <w:t>5000</w:t>
      </w:r>
      <w:r>
        <w:rPr>
          <w:color w:val="auto"/>
          <w:spacing w:val="-11"/>
        </w:rPr>
        <w:t xml:space="preserve"> 元以下罚款。</w:t>
      </w:r>
      <w:r>
        <w:rPr>
          <w:color w:val="auto"/>
        </w:rPr>
        <w:t>2</w:t>
      </w:r>
      <w:r>
        <w:rPr>
          <w:color w:val="auto"/>
          <w:spacing w:val="-24"/>
        </w:rPr>
        <w:t>、【一般】</w:t>
      </w:r>
    </w:p>
    <w:p>
      <w:pPr>
        <w:pStyle w:val="13"/>
        <w:numPr>
          <w:ilvl w:val="0"/>
          <w:numId w:val="39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有下列情形之一的：1</w:t>
      </w:r>
      <w:r>
        <w:rPr>
          <w:color w:val="auto"/>
          <w:spacing w:val="-3"/>
        </w:rPr>
        <w:t xml:space="preserve">、不存在主观故意且变更申请逾期 </w:t>
      </w:r>
      <w:r>
        <w:rPr>
          <w:color w:val="auto"/>
        </w:rPr>
        <w:t>1</w:t>
      </w:r>
      <w:r>
        <w:rPr>
          <w:color w:val="auto"/>
          <w:spacing w:val="-15"/>
        </w:rPr>
        <w:t xml:space="preserve"> 个月以上 </w:t>
      </w:r>
      <w:r>
        <w:rPr>
          <w:color w:val="auto"/>
        </w:rPr>
        <w:t>3</w:t>
      </w:r>
      <w:r>
        <w:rPr>
          <w:color w:val="auto"/>
          <w:spacing w:val="-10"/>
        </w:rPr>
        <w:t xml:space="preserve"> 个月以内的；2、产品已销售，但未造成危害后果的。</w:t>
      </w:r>
    </w:p>
    <w:p>
      <w:pPr>
        <w:pStyle w:val="13"/>
        <w:numPr>
          <w:ilvl w:val="0"/>
          <w:numId w:val="39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472"/>
        <w:rPr>
          <w:color w:val="auto"/>
        </w:rPr>
      </w:pPr>
      <w:r>
        <w:rPr>
          <w:color w:val="auto"/>
          <w:spacing w:val="-8"/>
        </w:rPr>
        <w:t xml:space="preserve">责令改正，并处 </w:t>
      </w:r>
      <w:r>
        <w:rPr>
          <w:color w:val="auto"/>
        </w:rPr>
        <w:t>5000</w:t>
      </w:r>
      <w:r>
        <w:rPr>
          <w:color w:val="auto"/>
          <w:spacing w:val="-24"/>
        </w:rPr>
        <w:t xml:space="preserve"> 元以上 </w:t>
      </w:r>
      <w:r>
        <w:rPr>
          <w:color w:val="auto"/>
        </w:rPr>
        <w:t>1</w:t>
      </w:r>
      <w:r>
        <w:rPr>
          <w:color w:val="auto"/>
          <w:spacing w:val="-9"/>
        </w:rPr>
        <w:t xml:space="preserve"> 万元以下的罚款。</w:t>
      </w:r>
      <w:r>
        <w:rPr>
          <w:color w:val="auto"/>
        </w:rPr>
        <w:t>3</w:t>
      </w:r>
      <w:r>
        <w:rPr>
          <w:color w:val="auto"/>
          <w:spacing w:val="-24"/>
        </w:rPr>
        <w:t>、【较重】</w:t>
      </w:r>
    </w:p>
    <w:p>
      <w:pPr>
        <w:pStyle w:val="13"/>
        <w:numPr>
          <w:ilvl w:val="0"/>
          <w:numId w:val="39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有下列情形之一的：1、存在主观故意且变更申请逾期 3 个月内的；2、不存在主</w:t>
      </w:r>
    </w:p>
    <w:p>
      <w:pPr>
        <w:pStyle w:val="4"/>
        <w:spacing w:before="191" w:line="388" w:lineRule="auto"/>
        <w:ind w:right="268"/>
        <w:rPr>
          <w:color w:val="auto"/>
        </w:rPr>
      </w:pPr>
      <w:r>
        <w:rPr>
          <w:color w:val="auto"/>
          <w:spacing w:val="-5"/>
        </w:rPr>
        <w:t xml:space="preserve">观故意且变更申请逾期 </w:t>
      </w:r>
      <w:r>
        <w:rPr>
          <w:color w:val="auto"/>
        </w:rPr>
        <w:t>3</w:t>
      </w:r>
      <w:r>
        <w:rPr>
          <w:color w:val="auto"/>
          <w:spacing w:val="-16"/>
        </w:rPr>
        <w:t xml:space="preserve"> 个月以上 </w:t>
      </w:r>
      <w:r>
        <w:rPr>
          <w:color w:val="auto"/>
        </w:rPr>
        <w:t>6</w:t>
      </w:r>
      <w:r>
        <w:rPr>
          <w:color w:val="auto"/>
          <w:spacing w:val="-9"/>
        </w:rPr>
        <w:t xml:space="preserve"> 个月以内的</w:t>
      </w:r>
      <w:r>
        <w:rPr>
          <w:color w:val="auto"/>
        </w:rPr>
        <w:t>；3、产品已销售且造成一定危害后果的。</w:t>
      </w:r>
    </w:p>
    <w:p>
      <w:pPr>
        <w:pStyle w:val="13"/>
        <w:numPr>
          <w:ilvl w:val="0"/>
          <w:numId w:val="394"/>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3352"/>
        <w:rPr>
          <w:color w:val="auto"/>
        </w:rPr>
      </w:pPr>
      <w:r>
        <w:rPr>
          <w:color w:val="auto"/>
          <w:spacing w:val="-8"/>
        </w:rPr>
        <w:t xml:space="preserve">责令改正，并处 </w:t>
      </w:r>
      <w:r>
        <w:rPr>
          <w:color w:val="auto"/>
        </w:rPr>
        <w:t>1</w:t>
      </w:r>
      <w:r>
        <w:rPr>
          <w:color w:val="auto"/>
          <w:spacing w:val="-20"/>
        </w:rPr>
        <w:t xml:space="preserve"> 万元以上 </w:t>
      </w:r>
      <w:r>
        <w:rPr>
          <w:color w:val="auto"/>
        </w:rPr>
        <w:t>1.5</w:t>
      </w:r>
      <w:r>
        <w:rPr>
          <w:color w:val="auto"/>
          <w:spacing w:val="-9"/>
        </w:rPr>
        <w:t xml:space="preserve"> 万元以下的罚款。</w:t>
      </w:r>
      <w:r>
        <w:rPr>
          <w:color w:val="auto"/>
        </w:rPr>
        <w:t>4</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395"/>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有下列情形之一的：1、存在主观故意且变更申请逾期超过 3 个月的；2、不存在</w:t>
      </w:r>
    </w:p>
    <w:p>
      <w:pPr>
        <w:pStyle w:val="4"/>
        <w:spacing w:before="191"/>
        <w:ind w:left="0" w:right="148"/>
        <w:jc w:val="right"/>
        <w:rPr>
          <w:color w:val="auto"/>
        </w:rPr>
      </w:pPr>
      <w:r>
        <w:rPr>
          <w:color w:val="auto"/>
          <w:spacing w:val="-5"/>
        </w:rPr>
        <w:t xml:space="preserve">主观故意且变更申请逾期 </w:t>
      </w:r>
      <w:r>
        <w:rPr>
          <w:color w:val="auto"/>
        </w:rPr>
        <w:t>6</w:t>
      </w:r>
      <w:r>
        <w:rPr>
          <w:color w:val="auto"/>
          <w:spacing w:val="-10"/>
        </w:rPr>
        <w:t xml:space="preserve"> 个月以上的；3</w:t>
      </w:r>
      <w:r>
        <w:rPr>
          <w:color w:val="auto"/>
          <w:spacing w:val="-4"/>
        </w:rPr>
        <w:t>、产品已销售且造成严重不良社会影响的。</w:t>
      </w:r>
    </w:p>
    <w:p>
      <w:pPr>
        <w:pStyle w:val="13"/>
        <w:numPr>
          <w:ilvl w:val="0"/>
          <w:numId w:val="39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责令改正，并处 1.5 万元以上 2 万元以下的罚款。</w:t>
      </w:r>
    </w:p>
    <w:p>
      <w:pPr>
        <w:pStyle w:val="2"/>
        <w:spacing w:before="192" w:line="388" w:lineRule="auto"/>
        <w:ind w:left="111" w:right="237" w:firstLine="480"/>
        <w:rPr>
          <w:color w:val="auto"/>
        </w:rPr>
      </w:pPr>
      <w:bookmarkStart w:id="671" w:name="_bookmark335"/>
      <w:bookmarkEnd w:id="671"/>
      <w:bookmarkStart w:id="672" w:name="三百二十七、采取委托方式加工生产列入目录产品，未按规定要求标注相关企业的名称、住"/>
      <w:bookmarkEnd w:id="672"/>
      <w:r>
        <w:rPr>
          <w:color w:val="auto"/>
          <w:spacing w:val="-8"/>
        </w:rPr>
        <w:t>三百二十七、采取委托方式加工生产列入目录产品，未按规定要求标注相关企业的名称、住所、生产许可证标志和编号</w:t>
      </w:r>
    </w:p>
    <w:p>
      <w:pPr>
        <w:spacing w:before="4"/>
        <w:ind w:left="591" w:right="0" w:firstLine="0"/>
        <w:jc w:val="left"/>
        <w:rPr>
          <w:b/>
          <w:color w:val="auto"/>
          <w:sz w:val="24"/>
        </w:rPr>
      </w:pPr>
      <w:r>
        <w:rPr>
          <w:b/>
          <w:color w:val="auto"/>
          <w:sz w:val="24"/>
        </w:rPr>
        <w:t>（一）处罚依据</w:t>
      </w:r>
    </w:p>
    <w:p>
      <w:pPr>
        <w:pStyle w:val="4"/>
        <w:spacing w:before="192" w:line="391" w:lineRule="auto"/>
        <w:ind w:right="268" w:firstLine="554"/>
        <w:jc w:val="both"/>
        <w:rPr>
          <w:color w:val="auto"/>
        </w:rPr>
      </w:pPr>
      <w:r>
        <w:rPr>
          <w:color w:val="auto"/>
        </w:rPr>
        <w:t>1、《中华人民共和国工业产品生产许可证管理条例实施办法》第五十条“违反</w:t>
      </w:r>
      <w:r>
        <w:rPr>
          <w:color w:val="auto"/>
          <w:spacing w:val="-6"/>
        </w:rPr>
        <w:t xml:space="preserve">本办法第四十条规定，企业未按照规定要求进行标注的，责令改正，处 </w:t>
      </w:r>
      <w:r>
        <w:rPr>
          <w:color w:val="auto"/>
        </w:rPr>
        <w:t>3</w:t>
      </w:r>
      <w:r>
        <w:rPr>
          <w:color w:val="auto"/>
          <w:spacing w:val="-13"/>
        </w:rPr>
        <w:t xml:space="preserve"> 万元以下罚</w:t>
      </w:r>
      <w:r>
        <w:rPr>
          <w:color w:val="auto"/>
        </w:rPr>
        <w:t>款。”</w:t>
      </w:r>
    </w:p>
    <w:p>
      <w:pPr>
        <w:pStyle w:val="4"/>
        <w:spacing w:line="391" w:lineRule="auto"/>
        <w:ind w:right="232" w:firstLine="554"/>
        <w:jc w:val="both"/>
        <w:rPr>
          <w:color w:val="auto"/>
        </w:rPr>
      </w:pPr>
      <w:r>
        <w:rPr>
          <w:color w:val="auto"/>
        </w:rPr>
        <w:t>2、《中华人民共和国工业产品生产许可证管理条例实施办法》第四十条第二款“采取委托方式加工生产列入目录产品的，企业应当在产品或者其包装、说明书上标注委托企业的名称、住所，以及被委托企业的名称、住所、生产许可证标志和编号。委托企业具有其委托加工的产品生产许可证的，还应当标注委托企业的生产许可证标志和编号。”</w:t>
      </w:r>
    </w:p>
    <w:p>
      <w:pPr>
        <w:spacing w:before="0" w:line="388" w:lineRule="auto"/>
        <w:ind w:left="591" w:right="6948" w:firstLine="0"/>
        <w:jc w:val="left"/>
        <w:rPr>
          <w:b/>
          <w:color w:val="auto"/>
          <w:sz w:val="24"/>
        </w:rPr>
      </w:pPr>
      <w:r>
        <w:rPr>
          <w:b/>
          <w:color w:val="auto"/>
          <w:sz w:val="24"/>
        </w:rPr>
        <w:t>（二）裁量标准</w:t>
      </w:r>
    </w:p>
    <w:p>
      <w:pPr>
        <w:keepNext w:val="0"/>
        <w:keepLines w:val="0"/>
        <w:widowControl/>
        <w:suppressLineNumbers w:val="0"/>
        <w:ind w:firstLine="723" w:firstLineChars="300"/>
        <w:jc w:val="left"/>
        <w:rPr>
          <w:rFonts w:hint="eastAsia"/>
          <w:b/>
          <w:color w:val="auto"/>
          <w:sz w:val="24"/>
          <w:lang w:val="en-US" w:eastAsia="zh-CN"/>
        </w:rPr>
      </w:pPr>
      <w:r>
        <w:rPr>
          <w:rFonts w:hint="eastAsia"/>
          <w:b/>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被委托企业已经取得工业产品生产许可证；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720" w:firstLineChars="300"/>
        <w:jc w:val="left"/>
        <w:rPr>
          <w:rFonts w:hint="default" w:eastAsia="宋体"/>
          <w:b/>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未造成危害后果</w:t>
      </w:r>
    </w:p>
    <w:p>
      <w:pPr>
        <w:spacing w:before="0" w:line="388"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13"/>
        <w:numPr>
          <w:ilvl w:val="0"/>
          <w:numId w:val="396"/>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7"/>
        <w:ind w:left="0" w:right="232"/>
        <w:jc w:val="right"/>
        <w:rPr>
          <w:color w:val="auto"/>
        </w:rPr>
      </w:pPr>
      <w:r>
        <w:rPr>
          <w:color w:val="auto"/>
        </w:rPr>
        <w:t>同时具备以下情形的：1、产品尚未销售的；2、产品质量符合相关标准要求的。</w:t>
      </w:r>
    </w:p>
    <w:p>
      <w:pPr>
        <w:pStyle w:val="13"/>
        <w:numPr>
          <w:ilvl w:val="0"/>
          <w:numId w:val="39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rFonts w:hint="eastAsia"/>
          <w:color w:val="auto"/>
          <w:lang w:val="en-US" w:eastAsia="zh-CN"/>
        </w:rPr>
        <w:t>3</w:t>
      </w:r>
      <w:r>
        <w:rPr>
          <w:color w:val="auto"/>
          <w:spacing w:val="-24"/>
        </w:rPr>
        <w:t>、【一般】</w:t>
      </w:r>
    </w:p>
    <w:p>
      <w:pPr>
        <w:pStyle w:val="13"/>
        <w:numPr>
          <w:ilvl w:val="0"/>
          <w:numId w:val="39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6" w:firstLine="480"/>
        <w:rPr>
          <w:color w:val="auto"/>
        </w:rPr>
      </w:pPr>
      <w:r>
        <w:rPr>
          <w:color w:val="auto"/>
          <w:spacing w:val="-1"/>
        </w:rPr>
        <w:t>同时具备以下情形的：</w:t>
      </w:r>
      <w:r>
        <w:rPr>
          <w:color w:val="auto"/>
          <w:spacing w:val="-4"/>
        </w:rPr>
        <w:t>1</w:t>
      </w:r>
      <w:r>
        <w:rPr>
          <w:color w:val="auto"/>
          <w:spacing w:val="-9"/>
        </w:rPr>
        <w:t xml:space="preserve">、产品已经销售，涉案货值 </w:t>
      </w:r>
      <w:r>
        <w:rPr>
          <w:color w:val="auto"/>
        </w:rPr>
        <w:t>5</w:t>
      </w:r>
      <w:r>
        <w:rPr>
          <w:color w:val="auto"/>
          <w:spacing w:val="-10"/>
        </w:rPr>
        <w:t xml:space="preserve"> 万元以下的；</w:t>
      </w:r>
      <w:r>
        <w:rPr>
          <w:color w:val="auto"/>
          <w:spacing w:val="-4"/>
        </w:rPr>
        <w:t>2</w:t>
      </w:r>
      <w:r>
        <w:rPr>
          <w:color w:val="auto"/>
          <w:spacing w:val="-6"/>
        </w:rPr>
        <w:t>、产品质量</w:t>
      </w:r>
      <w:r>
        <w:rPr>
          <w:color w:val="auto"/>
        </w:rPr>
        <w:t>符合相关标准要求的。</w:t>
      </w:r>
    </w:p>
    <w:p>
      <w:pPr>
        <w:pStyle w:val="13"/>
        <w:numPr>
          <w:ilvl w:val="0"/>
          <w:numId w:val="39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1 万元以上 2 万元以下的罚款。</w:t>
      </w:r>
    </w:p>
    <w:p>
      <w:pPr>
        <w:pStyle w:val="4"/>
        <w:spacing w:before="39"/>
        <w:ind w:left="591"/>
        <w:rPr>
          <w:color w:val="auto"/>
        </w:rPr>
      </w:pPr>
      <w:r>
        <w:rPr>
          <w:rFonts w:hint="eastAsia"/>
          <w:color w:val="auto"/>
          <w:lang w:val="en-US" w:eastAsia="zh-CN"/>
        </w:rPr>
        <w:t>4</w:t>
      </w:r>
      <w:r>
        <w:rPr>
          <w:color w:val="auto"/>
        </w:rPr>
        <w:t>、【严重】</w:t>
      </w:r>
    </w:p>
    <w:p>
      <w:pPr>
        <w:pStyle w:val="13"/>
        <w:numPr>
          <w:ilvl w:val="0"/>
          <w:numId w:val="398"/>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15" w:firstLine="480"/>
        <w:rPr>
          <w:color w:val="auto"/>
        </w:rPr>
      </w:pPr>
      <w:r>
        <w:rPr>
          <w:color w:val="auto"/>
        </w:rPr>
        <w:t>具备以下情形之一的：1、产品涉案货值 5 万元以上且产品质量符合相关标准要求的；2、情节严重或造成其他不良影响的。</w:t>
      </w:r>
    </w:p>
    <w:p>
      <w:pPr>
        <w:pStyle w:val="13"/>
        <w:numPr>
          <w:ilvl w:val="0"/>
          <w:numId w:val="39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2 万元以上 3 万元以下的罚款。</w:t>
      </w:r>
    </w:p>
    <w:p>
      <w:pPr>
        <w:pStyle w:val="2"/>
        <w:spacing w:before="191"/>
        <w:rPr>
          <w:color w:val="auto"/>
        </w:rPr>
      </w:pPr>
      <w:bookmarkStart w:id="673" w:name="_bookmark336"/>
      <w:bookmarkEnd w:id="673"/>
      <w:bookmarkStart w:id="674" w:name="三百二十八、冒用他人的生产许可证证书、生产许可证标志和编号"/>
      <w:bookmarkEnd w:id="674"/>
      <w:r>
        <w:rPr>
          <w:color w:val="auto"/>
        </w:rPr>
        <w:t>三百二十八、冒用他人的生产许可证证书、生产许可证标志和编号</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554"/>
        <w:jc w:val="both"/>
        <w:rPr>
          <w:color w:val="auto"/>
        </w:rPr>
      </w:pPr>
      <w:r>
        <w:rPr>
          <w:color w:val="auto"/>
        </w:rPr>
        <w:t>1、《中华人民共和国工业产品生产许可证管理条例实施办法》第五十一条“违</w:t>
      </w:r>
      <w:r>
        <w:rPr>
          <w:color w:val="auto"/>
          <w:spacing w:val="-4"/>
        </w:rPr>
        <w:t>反本办法第四十二条第二款规定，企业冒用他人的生产许可证证书、生产许可证标志</w:t>
      </w:r>
      <w:r>
        <w:rPr>
          <w:color w:val="auto"/>
          <w:spacing w:val="-5"/>
        </w:rPr>
        <w:t xml:space="preserve">和编号的，责令改正，处 </w:t>
      </w:r>
      <w:r>
        <w:rPr>
          <w:color w:val="auto"/>
        </w:rPr>
        <w:t>3</w:t>
      </w:r>
      <w:r>
        <w:rPr>
          <w:color w:val="auto"/>
          <w:spacing w:val="-8"/>
        </w:rPr>
        <w:t xml:space="preserve"> 万元以下罚款。”</w:t>
      </w:r>
    </w:p>
    <w:p>
      <w:pPr>
        <w:pStyle w:val="4"/>
        <w:spacing w:line="388" w:lineRule="auto"/>
        <w:ind w:right="268" w:firstLine="554"/>
        <w:rPr>
          <w:color w:val="auto"/>
        </w:rPr>
      </w:pPr>
      <w:r>
        <w:rPr>
          <w:color w:val="auto"/>
        </w:rPr>
        <w:t>2、《中华人民共和国工业产品生产许可证管理条例实施办法》第四十二条第二款“任何单位和个人不得冒用他人的生产许可证证书、生产许可证标志和编号。”</w:t>
      </w:r>
    </w:p>
    <w:p>
      <w:pPr>
        <w:spacing w:before="1"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39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同时具备以下情形的：1、产品尚未销售的；2、产品质量符合相关标准要求的； 3、未造成危害后果的。</w:t>
      </w:r>
    </w:p>
    <w:p>
      <w:pPr>
        <w:pStyle w:val="13"/>
        <w:numPr>
          <w:ilvl w:val="0"/>
          <w:numId w:val="39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40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rPr>
          <w:color w:val="auto"/>
        </w:rPr>
      </w:pPr>
      <w:r>
        <w:rPr>
          <w:color w:val="auto"/>
          <w:spacing w:val="-1"/>
        </w:rPr>
        <w:t>同时具备以下情形的：</w:t>
      </w:r>
      <w:r>
        <w:rPr>
          <w:color w:val="auto"/>
          <w:spacing w:val="-4"/>
        </w:rPr>
        <w:t>1</w:t>
      </w:r>
      <w:r>
        <w:rPr>
          <w:color w:val="auto"/>
          <w:spacing w:val="-9"/>
        </w:rPr>
        <w:t xml:space="preserve">、产品已经销售，涉案货值 </w:t>
      </w:r>
      <w:r>
        <w:rPr>
          <w:color w:val="auto"/>
        </w:rPr>
        <w:t>5</w:t>
      </w:r>
      <w:r>
        <w:rPr>
          <w:color w:val="auto"/>
          <w:spacing w:val="-10"/>
        </w:rPr>
        <w:t xml:space="preserve"> 万元以下的；</w:t>
      </w:r>
      <w:r>
        <w:rPr>
          <w:color w:val="auto"/>
          <w:spacing w:val="-4"/>
        </w:rPr>
        <w:t>2</w:t>
      </w:r>
      <w:r>
        <w:rPr>
          <w:color w:val="auto"/>
          <w:spacing w:val="-6"/>
        </w:rPr>
        <w:t>、产品质量</w:t>
      </w:r>
      <w:r>
        <w:rPr>
          <w:color w:val="auto"/>
        </w:rPr>
        <w:t>符合相关标准要求的。</w:t>
      </w:r>
    </w:p>
    <w:p>
      <w:pPr>
        <w:pStyle w:val="13"/>
        <w:numPr>
          <w:ilvl w:val="0"/>
          <w:numId w:val="400"/>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left="591" w:right="359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9"/>
        </w:rPr>
        <w:t xml:space="preserve"> 万元以下的罚款。</w:t>
      </w:r>
      <w:r>
        <w:rPr>
          <w:color w:val="auto"/>
        </w:rPr>
        <w:t>3</w:t>
      </w:r>
      <w:r>
        <w:rPr>
          <w:color w:val="auto"/>
          <w:spacing w:val="-24"/>
        </w:rPr>
        <w:t>、【严重】</w:t>
      </w:r>
    </w:p>
    <w:p>
      <w:pPr>
        <w:pStyle w:val="13"/>
        <w:numPr>
          <w:ilvl w:val="0"/>
          <w:numId w:val="401"/>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5" w:firstLine="480"/>
        <w:rPr>
          <w:color w:val="auto"/>
        </w:rPr>
      </w:pPr>
      <w:r>
        <w:rPr>
          <w:color w:val="auto"/>
        </w:rPr>
        <w:t>具备以下情形之一的：1、产品涉案货值 5 万元以上且产品质量符合相关标准要求的；2、情节严重或造成其他不良影响的。</w:t>
      </w:r>
    </w:p>
    <w:p>
      <w:pPr>
        <w:pStyle w:val="13"/>
        <w:numPr>
          <w:ilvl w:val="0"/>
          <w:numId w:val="40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2 万元以上 3 万元以下的罚款。</w:t>
      </w:r>
    </w:p>
    <w:p>
      <w:pPr>
        <w:pStyle w:val="2"/>
        <w:spacing w:before="194" w:line="388" w:lineRule="auto"/>
        <w:ind w:left="111" w:right="240" w:firstLine="480"/>
        <w:rPr>
          <w:color w:val="auto"/>
        </w:rPr>
      </w:pPr>
      <w:bookmarkStart w:id="675" w:name="三百二十九、试生产的产品未经出厂检验合格或者未在产品或者包装、说明书标明“试制品"/>
      <w:bookmarkEnd w:id="675"/>
      <w:bookmarkStart w:id="676" w:name="_bookmark337"/>
      <w:bookmarkEnd w:id="676"/>
      <w:r>
        <w:rPr>
          <w:color w:val="auto"/>
          <w:spacing w:val="-7"/>
        </w:rPr>
        <w:t>三百二十九、试生产的产品未经出厂检验合格或者未在产品或者包装、说明书标明“试制品”即销售</w:t>
      </w:r>
    </w:p>
    <w:p>
      <w:pPr>
        <w:spacing w:before="2"/>
        <w:ind w:left="591" w:right="0" w:firstLine="0"/>
        <w:jc w:val="left"/>
        <w:rPr>
          <w:b/>
          <w:color w:val="auto"/>
          <w:sz w:val="24"/>
        </w:rPr>
      </w:pPr>
      <w:r>
        <w:rPr>
          <w:b/>
          <w:color w:val="auto"/>
          <w:w w:val="95"/>
          <w:sz w:val="24"/>
        </w:rPr>
        <w:t>（一）处罚依据</w:t>
      </w:r>
    </w:p>
    <w:p>
      <w:pPr>
        <w:pStyle w:val="4"/>
        <w:spacing w:before="194" w:line="388" w:lineRule="auto"/>
        <w:ind w:right="213" w:firstLine="480"/>
        <w:rPr>
          <w:color w:val="auto"/>
        </w:rPr>
      </w:pPr>
      <w:r>
        <w:rPr>
          <w:color w:val="auto"/>
        </w:rPr>
        <w:t>1、《中华人民共和国工业产品生产许可证管理条例实施办法》第五十二条“违反本办法第四十五条第二款规定，企业试生产的产品未经出厂检验合格或者未在产品或者包装、说明书标明“试制品”即销售的，责令改正，处 3 万元以下罚款。”</w:t>
      </w:r>
    </w:p>
    <w:p>
      <w:pPr>
        <w:pStyle w:val="4"/>
        <w:spacing w:before="6" w:line="388" w:lineRule="auto"/>
        <w:ind w:right="268" w:firstLine="554"/>
        <w:jc w:val="both"/>
        <w:rPr>
          <w:color w:val="auto"/>
        </w:rPr>
      </w:pPr>
      <w:r>
        <w:rPr>
          <w:color w:val="auto"/>
          <w:spacing w:val="7"/>
        </w:rPr>
        <w:t>2</w:t>
      </w:r>
      <w:r>
        <w:rPr>
          <w:color w:val="auto"/>
          <w:spacing w:val="-2"/>
        </w:rPr>
        <w:t>、《中华人民共和国工业产品生产许可证管理条例实施办法》第四十五条第二</w:t>
      </w:r>
      <w:r>
        <w:rPr>
          <w:color w:val="auto"/>
          <w:spacing w:val="-17"/>
        </w:rPr>
        <w:t>款“企业试生产的产品应当经出厂检验合格，并在产品或者其包装、说明书上标明“试</w:t>
      </w:r>
      <w:r>
        <w:rPr>
          <w:color w:val="auto"/>
        </w:rPr>
        <w:t>制品”后，方可销售。”</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0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1"/>
        </w:rPr>
        <w:t>同时具备以下情形的：</w:t>
      </w:r>
      <w:r>
        <w:rPr>
          <w:color w:val="auto"/>
          <w:spacing w:val="-5"/>
        </w:rPr>
        <w:t>1</w:t>
      </w:r>
      <w:r>
        <w:rPr>
          <w:color w:val="auto"/>
          <w:spacing w:val="-9"/>
        </w:rPr>
        <w:t xml:space="preserve">、产品销售货值低于 </w:t>
      </w:r>
      <w:r>
        <w:rPr>
          <w:color w:val="auto"/>
        </w:rPr>
        <w:t>1</w:t>
      </w:r>
      <w:r>
        <w:rPr>
          <w:color w:val="auto"/>
          <w:spacing w:val="-13"/>
        </w:rPr>
        <w:t xml:space="preserve"> 万元的；</w:t>
      </w:r>
      <w:r>
        <w:rPr>
          <w:color w:val="auto"/>
          <w:spacing w:val="-4"/>
        </w:rPr>
        <w:t>2</w:t>
      </w:r>
      <w:r>
        <w:rPr>
          <w:color w:val="auto"/>
          <w:spacing w:val="-5"/>
        </w:rPr>
        <w:t>、产品质量符合相关标</w:t>
      </w:r>
      <w:r>
        <w:rPr>
          <w:color w:val="auto"/>
        </w:rPr>
        <w:t>准要求的；3、未造成危害后果的。</w:t>
      </w:r>
    </w:p>
    <w:p>
      <w:pPr>
        <w:pStyle w:val="13"/>
        <w:numPr>
          <w:ilvl w:val="0"/>
          <w:numId w:val="40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40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1"/>
        </w:rPr>
        <w:t>同时具备以下情形的：</w:t>
      </w:r>
      <w:r>
        <w:rPr>
          <w:color w:val="auto"/>
          <w:spacing w:val="-5"/>
        </w:rPr>
        <w:t>1</w:t>
      </w:r>
      <w:r>
        <w:rPr>
          <w:color w:val="auto"/>
          <w:spacing w:val="-11"/>
        </w:rPr>
        <w:t xml:space="preserve">、涉案货值高于 </w:t>
      </w:r>
      <w:r>
        <w:rPr>
          <w:color w:val="auto"/>
        </w:rPr>
        <w:t>1</w:t>
      </w:r>
      <w:r>
        <w:rPr>
          <w:color w:val="auto"/>
          <w:spacing w:val="-20"/>
        </w:rPr>
        <w:t xml:space="preserve"> 万元低于 </w:t>
      </w:r>
      <w:r>
        <w:rPr>
          <w:color w:val="auto"/>
        </w:rPr>
        <w:t>5</w:t>
      </w:r>
      <w:r>
        <w:rPr>
          <w:color w:val="auto"/>
          <w:spacing w:val="-13"/>
        </w:rPr>
        <w:t xml:space="preserve"> 万元的；</w:t>
      </w:r>
      <w:r>
        <w:rPr>
          <w:color w:val="auto"/>
          <w:spacing w:val="-4"/>
        </w:rPr>
        <w:t>2</w:t>
      </w:r>
      <w:r>
        <w:rPr>
          <w:color w:val="auto"/>
          <w:spacing w:val="-5"/>
        </w:rPr>
        <w:t>、未造成危害后</w:t>
      </w:r>
      <w:r>
        <w:rPr>
          <w:color w:val="auto"/>
        </w:rPr>
        <w:t>果的。</w:t>
      </w:r>
    </w:p>
    <w:p>
      <w:pPr>
        <w:pStyle w:val="13"/>
        <w:numPr>
          <w:ilvl w:val="0"/>
          <w:numId w:val="40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59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9"/>
        </w:rPr>
        <w:t xml:space="preserve"> 万元以下的罚款。</w:t>
      </w:r>
      <w:r>
        <w:rPr>
          <w:color w:val="auto"/>
        </w:rPr>
        <w:t>3</w:t>
      </w:r>
      <w:r>
        <w:rPr>
          <w:color w:val="auto"/>
          <w:spacing w:val="-24"/>
        </w:rPr>
        <w:t>、【严重】</w:t>
      </w:r>
    </w:p>
    <w:p>
      <w:pPr>
        <w:pStyle w:val="13"/>
        <w:numPr>
          <w:ilvl w:val="0"/>
          <w:numId w:val="404"/>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footerReference r:id="rId63" w:type="default"/>
          <w:footerReference r:id="rId64" w:type="even"/>
          <w:pgSz w:w="11910" w:h="16840"/>
          <w:pgMar w:top="1520" w:right="1260" w:bottom="1220" w:left="1420" w:header="0" w:footer="1034" w:gutter="0"/>
          <w:pgNumType w:start="300"/>
        </w:sectPr>
      </w:pPr>
    </w:p>
    <w:p>
      <w:pPr>
        <w:pStyle w:val="4"/>
        <w:spacing w:before="39" w:line="391" w:lineRule="auto"/>
        <w:ind w:right="268" w:firstLine="480"/>
        <w:rPr>
          <w:color w:val="auto"/>
        </w:rPr>
      </w:pPr>
      <w:r>
        <w:rPr>
          <w:color w:val="auto"/>
          <w:spacing w:val="-1"/>
        </w:rPr>
        <w:t>有下列情形之一的：</w:t>
      </w:r>
      <w:r>
        <w:rPr>
          <w:color w:val="auto"/>
          <w:spacing w:val="-5"/>
        </w:rPr>
        <w:t>1</w:t>
      </w:r>
      <w:r>
        <w:rPr>
          <w:color w:val="auto"/>
          <w:spacing w:val="-11"/>
        </w:rPr>
        <w:t xml:space="preserve">、涉案货值高于 </w:t>
      </w:r>
      <w:r>
        <w:rPr>
          <w:color w:val="auto"/>
        </w:rPr>
        <w:t>5</w:t>
      </w:r>
      <w:r>
        <w:rPr>
          <w:color w:val="auto"/>
          <w:spacing w:val="-13"/>
        </w:rPr>
        <w:t xml:space="preserve"> 万元的；</w:t>
      </w:r>
      <w:r>
        <w:rPr>
          <w:color w:val="auto"/>
          <w:spacing w:val="-4"/>
        </w:rPr>
        <w:t>2、已造成一定危害后果的或其</w:t>
      </w:r>
      <w:r>
        <w:rPr>
          <w:color w:val="auto"/>
        </w:rPr>
        <w:t>他社会影响的。</w:t>
      </w:r>
    </w:p>
    <w:p>
      <w:pPr>
        <w:pStyle w:val="13"/>
        <w:numPr>
          <w:ilvl w:val="0"/>
          <w:numId w:val="40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2 万元以上 3 万元以下的罚款。</w:t>
      </w:r>
    </w:p>
    <w:p>
      <w:pPr>
        <w:pStyle w:val="2"/>
        <w:spacing w:before="194"/>
        <w:rPr>
          <w:color w:val="auto"/>
        </w:rPr>
      </w:pPr>
      <w:bookmarkStart w:id="677" w:name="_bookmark338"/>
      <w:bookmarkEnd w:id="677"/>
      <w:bookmarkStart w:id="678" w:name="三百三十、取得生产许可的企业未能持续保持取得生产许可的规定条件"/>
      <w:bookmarkEnd w:id="678"/>
      <w:r>
        <w:rPr>
          <w:color w:val="auto"/>
        </w:rPr>
        <w:t>三百三十、取得生产许可的企业未能持续保持取得生产许可的规定条件</w:t>
      </w:r>
    </w:p>
    <w:p>
      <w:pPr>
        <w:spacing w:before="192"/>
        <w:ind w:left="591" w:right="0" w:firstLine="0"/>
        <w:jc w:val="left"/>
        <w:rPr>
          <w:b/>
          <w:color w:val="auto"/>
          <w:sz w:val="24"/>
        </w:rPr>
      </w:pPr>
      <w:r>
        <w:rPr>
          <w:b/>
          <w:color w:val="auto"/>
          <w:sz w:val="24"/>
        </w:rPr>
        <w:t>（一）处罚依据</w:t>
      </w:r>
    </w:p>
    <w:p>
      <w:pPr>
        <w:pStyle w:val="4"/>
        <w:spacing w:before="192" w:line="391" w:lineRule="auto"/>
        <w:ind w:right="214" w:firstLine="480"/>
        <w:rPr>
          <w:color w:val="auto"/>
        </w:rPr>
      </w:pPr>
      <w:r>
        <w:rPr>
          <w:color w:val="auto"/>
        </w:rPr>
        <w:t>1、《中华人民共和国工业产品生产许可证管理条例实施办法》第五十三条“违反本办法第四十六条规定，取得生产许可的企业未能持续保持取得生产许可的规定条件的，责令改正，处 1 万元以上 3 万元以下罚款。”</w:t>
      </w:r>
    </w:p>
    <w:p>
      <w:pPr>
        <w:pStyle w:val="4"/>
        <w:spacing w:line="391" w:lineRule="auto"/>
        <w:ind w:right="268" w:firstLine="554"/>
        <w:rPr>
          <w:color w:val="auto"/>
        </w:rPr>
      </w:pPr>
      <w:r>
        <w:rPr>
          <w:color w:val="auto"/>
        </w:rPr>
        <w:t>2、《中华人民共和国工业产品生产许可证管理条例实施办法》第四十六条“取得生产许可的企业应当保证产品质量稳定合格，并持续保持取得生产许可的规定条件。”</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0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spacing w:val="-2"/>
        </w:rPr>
        <w:t>同时具备以下情形的：</w:t>
      </w:r>
      <w:r>
        <w:rPr>
          <w:color w:val="auto"/>
          <w:spacing w:val="-20"/>
        </w:rPr>
        <w:t>1</w:t>
      </w:r>
      <w:r>
        <w:rPr>
          <w:color w:val="auto"/>
          <w:spacing w:val="-8"/>
        </w:rPr>
        <w:t>、产品质量符合相关标准要求的；</w:t>
      </w:r>
      <w:r>
        <w:rPr>
          <w:color w:val="auto"/>
          <w:spacing w:val="-20"/>
        </w:rPr>
        <w:t>2</w:t>
      </w:r>
      <w:r>
        <w:rPr>
          <w:color w:val="auto"/>
          <w:spacing w:val="-7"/>
        </w:rPr>
        <w:t>、未造成危害后果的。</w:t>
      </w:r>
    </w:p>
    <w:p>
      <w:pPr>
        <w:pStyle w:val="13"/>
        <w:numPr>
          <w:ilvl w:val="0"/>
          <w:numId w:val="40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592"/>
        <w:rPr>
          <w:color w:val="auto"/>
        </w:rPr>
      </w:pPr>
      <w:r>
        <w:rPr>
          <w:color w:val="auto"/>
          <w:spacing w:val="-8"/>
        </w:rPr>
        <w:t xml:space="preserve">责令改正，并处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、【一般】</w:t>
      </w:r>
    </w:p>
    <w:p>
      <w:pPr>
        <w:pStyle w:val="13"/>
        <w:numPr>
          <w:ilvl w:val="0"/>
          <w:numId w:val="40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同时具备以下情形的：1、有二项内容不符合生产许可的规定条件的；2、未造成危害后果。</w:t>
      </w:r>
    </w:p>
    <w:p>
      <w:pPr>
        <w:pStyle w:val="13"/>
        <w:numPr>
          <w:ilvl w:val="0"/>
          <w:numId w:val="406"/>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3352"/>
        <w:rPr>
          <w:color w:val="auto"/>
        </w:rPr>
      </w:pPr>
      <w:r>
        <w:rPr>
          <w:color w:val="auto"/>
          <w:spacing w:val="-8"/>
        </w:rPr>
        <w:t xml:space="preserve">责令改正，并处 </w:t>
      </w:r>
      <w:r>
        <w:rPr>
          <w:color w:val="auto"/>
        </w:rPr>
        <w:t>1.5</w:t>
      </w:r>
      <w:r>
        <w:rPr>
          <w:color w:val="auto"/>
          <w:spacing w:val="-20"/>
        </w:rPr>
        <w:t xml:space="preserve"> 万元以上 </w:t>
      </w:r>
      <w:r>
        <w:rPr>
          <w:color w:val="auto"/>
        </w:rPr>
        <w:t>2</w:t>
      </w:r>
      <w:r>
        <w:rPr>
          <w:color w:val="auto"/>
          <w:spacing w:val="-9"/>
        </w:rPr>
        <w:t xml:space="preserve"> 万元以下的罚款。</w:t>
      </w:r>
      <w:r>
        <w:rPr>
          <w:color w:val="auto"/>
        </w:rPr>
        <w:t>3</w:t>
      </w:r>
      <w:r>
        <w:rPr>
          <w:color w:val="auto"/>
          <w:spacing w:val="-24"/>
        </w:rPr>
        <w:t>、【严重】</w:t>
      </w:r>
    </w:p>
    <w:p>
      <w:pPr>
        <w:pStyle w:val="13"/>
        <w:numPr>
          <w:ilvl w:val="0"/>
          <w:numId w:val="40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268" w:firstLine="480"/>
        <w:rPr>
          <w:color w:val="auto"/>
        </w:rPr>
      </w:pPr>
      <w:r>
        <w:rPr>
          <w:color w:val="auto"/>
          <w:spacing w:val="-1"/>
        </w:rPr>
        <w:t>有下列情形之一的：</w:t>
      </w:r>
      <w:r>
        <w:rPr>
          <w:color w:val="auto"/>
          <w:spacing w:val="-5"/>
        </w:rPr>
        <w:t>1</w:t>
      </w:r>
      <w:r>
        <w:rPr>
          <w:color w:val="auto"/>
          <w:spacing w:val="-4"/>
        </w:rPr>
        <w:t>、有三项以上内容不符合生产许可的规定条件；2</w:t>
      </w:r>
      <w:r>
        <w:rPr>
          <w:color w:val="auto"/>
          <w:spacing w:val="-7"/>
        </w:rPr>
        <w:t>、已造成</w:t>
      </w:r>
      <w:r>
        <w:rPr>
          <w:color w:val="auto"/>
        </w:rPr>
        <w:t>一定危害后果或社会影响的。</w:t>
      </w:r>
    </w:p>
    <w:p>
      <w:pPr>
        <w:spacing w:after="0" w:line="388" w:lineRule="auto"/>
        <w:rPr>
          <w:color w:val="auto"/>
        </w:rPr>
        <w:sectPr>
          <w:pgSz w:w="11910" w:h="16840"/>
          <w:pgMar w:top="1520" w:right="1260" w:bottom="1220" w:left="1420" w:header="0" w:footer="1034" w:gutter="0"/>
        </w:sectPr>
      </w:pPr>
    </w:p>
    <w:p>
      <w:pPr>
        <w:pStyle w:val="13"/>
        <w:numPr>
          <w:ilvl w:val="0"/>
          <w:numId w:val="40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责令改正，并处 2 万元以上 3 万元以下的罚款。</w:t>
      </w:r>
    </w:p>
    <w:p>
      <w:pPr>
        <w:pStyle w:val="2"/>
        <w:spacing w:before="191"/>
        <w:rPr>
          <w:color w:val="auto"/>
        </w:rPr>
      </w:pPr>
      <w:bookmarkStart w:id="679" w:name="_bookmark339"/>
      <w:bookmarkEnd w:id="679"/>
      <w:bookmarkStart w:id="680" w:name="三百三十一、委托未取得与委托加工产品相应的生产许可的企业生产列入目录产品"/>
      <w:bookmarkEnd w:id="680"/>
      <w:r>
        <w:rPr>
          <w:color w:val="auto"/>
        </w:rPr>
        <w:t>三百三十一、委托未取得与委托加工产品相应的生产许可的企业生产列入目录产</w:t>
      </w:r>
    </w:p>
    <w:p>
      <w:pPr>
        <w:pStyle w:val="4"/>
        <w:spacing w:before="10"/>
        <w:ind w:left="0"/>
        <w:rPr>
          <w:b/>
          <w:color w:val="auto"/>
          <w:sz w:val="9"/>
        </w:rPr>
      </w:pPr>
    </w:p>
    <w:p>
      <w:pPr>
        <w:spacing w:before="67"/>
        <w:ind w:left="111" w:right="0" w:firstLine="0"/>
        <w:jc w:val="left"/>
        <w:rPr>
          <w:b/>
          <w:color w:val="auto"/>
          <w:sz w:val="24"/>
        </w:rPr>
      </w:pPr>
      <w:r>
        <w:rPr>
          <w:b/>
          <w:color w:val="auto"/>
          <w:w w:val="99"/>
          <w:sz w:val="24"/>
        </w:rPr>
        <w:t>品</w:t>
      </w:r>
    </w:p>
    <w:p>
      <w:pPr>
        <w:pStyle w:val="4"/>
        <w:spacing w:before="12"/>
        <w:ind w:left="0"/>
        <w:rPr>
          <w:b/>
          <w:color w:val="auto"/>
          <w:sz w:val="9"/>
        </w:rPr>
      </w:pPr>
    </w:p>
    <w:p>
      <w:pPr>
        <w:spacing w:before="66"/>
        <w:ind w:left="591" w:right="0" w:firstLine="0"/>
        <w:jc w:val="left"/>
        <w:rPr>
          <w:b/>
          <w:color w:val="auto"/>
          <w:sz w:val="24"/>
        </w:rPr>
      </w:pPr>
      <w:r>
        <w:rPr>
          <w:b/>
          <w:color w:val="auto"/>
          <w:sz w:val="24"/>
        </w:rPr>
        <w:t>（一）处罚依据</w:t>
      </w:r>
    </w:p>
    <w:p>
      <w:pPr>
        <w:pStyle w:val="4"/>
        <w:spacing w:before="192" w:line="391" w:lineRule="auto"/>
        <w:ind w:right="213" w:firstLine="480"/>
        <w:rPr>
          <w:color w:val="auto"/>
        </w:rPr>
      </w:pPr>
      <w:r>
        <w:rPr>
          <w:color w:val="auto"/>
        </w:rPr>
        <w:t>1、《中华人民共和国工业产品生产许可证管理条例实施办法》第五十四条“违反本办法第四十七条规定，企业委托未取得与委托加工产品相应的生产许可的企业生产列入目录产品的，责令改正，处 3 万元以下罚款。”</w:t>
      </w:r>
    </w:p>
    <w:p>
      <w:pPr>
        <w:pStyle w:val="4"/>
        <w:spacing w:line="391" w:lineRule="auto"/>
        <w:ind w:right="268" w:firstLine="554"/>
        <w:jc w:val="both"/>
        <w:rPr>
          <w:color w:val="auto"/>
        </w:rPr>
      </w:pPr>
      <w:r>
        <w:rPr>
          <w:color w:val="auto"/>
          <w:spacing w:val="7"/>
        </w:rPr>
        <w:t>2</w:t>
      </w:r>
      <w:r>
        <w:rPr>
          <w:color w:val="auto"/>
          <w:spacing w:val="-3"/>
        </w:rPr>
        <w:t>、《中华人民共和国工业产品生产许可证管理条例实施办法》第四十七条“采</w:t>
      </w:r>
      <w:r>
        <w:rPr>
          <w:color w:val="auto"/>
          <w:spacing w:val="-4"/>
        </w:rPr>
        <w:t>用委托加工方式生产列入目录产品的，被委托企业应当取得与委托加工产品相应的生</w:t>
      </w:r>
      <w:r>
        <w:rPr>
          <w:color w:val="auto"/>
        </w:rPr>
        <w:t>产许可。”</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0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9"/>
        <w:ind w:left="591"/>
        <w:rPr>
          <w:color w:val="auto"/>
        </w:rPr>
      </w:pPr>
      <w:r>
        <w:rPr>
          <w:color w:val="auto"/>
        </w:rPr>
        <w:t>同时具备以下情形的：1、产品尚未销售的；2、未造成危害后果的。</w:t>
      </w:r>
    </w:p>
    <w:p>
      <w:pPr>
        <w:pStyle w:val="13"/>
        <w:numPr>
          <w:ilvl w:val="0"/>
          <w:numId w:val="40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40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rPr>
          <w:color w:val="auto"/>
        </w:rPr>
      </w:pPr>
      <w:r>
        <w:rPr>
          <w:color w:val="auto"/>
          <w:spacing w:val="-1"/>
        </w:rPr>
        <w:t>同时具备以下情形的：</w:t>
      </w:r>
      <w:r>
        <w:rPr>
          <w:color w:val="auto"/>
          <w:spacing w:val="-4"/>
        </w:rPr>
        <w:t>1</w:t>
      </w:r>
      <w:r>
        <w:rPr>
          <w:color w:val="auto"/>
          <w:spacing w:val="-9"/>
        </w:rPr>
        <w:t xml:space="preserve">、产品已经销售，涉案货值 </w:t>
      </w:r>
      <w:r>
        <w:rPr>
          <w:color w:val="auto"/>
        </w:rPr>
        <w:t>5</w:t>
      </w:r>
      <w:r>
        <w:rPr>
          <w:color w:val="auto"/>
          <w:spacing w:val="-10"/>
        </w:rPr>
        <w:t xml:space="preserve"> 万元以下的；</w:t>
      </w:r>
      <w:r>
        <w:rPr>
          <w:color w:val="auto"/>
          <w:spacing w:val="-4"/>
        </w:rPr>
        <w:t>2</w:t>
      </w:r>
      <w:r>
        <w:rPr>
          <w:color w:val="auto"/>
          <w:spacing w:val="-6"/>
        </w:rPr>
        <w:t>、未造成危</w:t>
      </w:r>
      <w:r>
        <w:rPr>
          <w:color w:val="auto"/>
        </w:rPr>
        <w:t>害后果的。</w:t>
      </w:r>
    </w:p>
    <w:p>
      <w:pPr>
        <w:pStyle w:val="13"/>
        <w:numPr>
          <w:ilvl w:val="0"/>
          <w:numId w:val="40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59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9"/>
        </w:rPr>
        <w:t xml:space="preserve"> 万元以下的罚款。</w:t>
      </w:r>
      <w:r>
        <w:rPr>
          <w:color w:val="auto"/>
        </w:rPr>
        <w:t>3</w:t>
      </w:r>
      <w:r>
        <w:rPr>
          <w:color w:val="auto"/>
          <w:spacing w:val="-24"/>
        </w:rPr>
        <w:t>、【严重】</w:t>
      </w:r>
    </w:p>
    <w:p>
      <w:pPr>
        <w:pStyle w:val="13"/>
        <w:numPr>
          <w:ilvl w:val="0"/>
          <w:numId w:val="41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rPr>
          <w:color w:val="auto"/>
        </w:rPr>
      </w:pPr>
      <w:r>
        <w:rPr>
          <w:color w:val="auto"/>
          <w:spacing w:val="-1"/>
        </w:rPr>
        <w:t>有下列情形之一的：</w:t>
      </w:r>
      <w:r>
        <w:rPr>
          <w:color w:val="auto"/>
          <w:spacing w:val="-4"/>
        </w:rPr>
        <w:t>1</w:t>
      </w:r>
      <w:r>
        <w:rPr>
          <w:color w:val="auto"/>
          <w:spacing w:val="-9"/>
        </w:rPr>
        <w:t xml:space="preserve">、产品已经销售，涉案货值 </w:t>
      </w:r>
      <w:r>
        <w:rPr>
          <w:color w:val="auto"/>
        </w:rPr>
        <w:t>5</w:t>
      </w:r>
      <w:r>
        <w:rPr>
          <w:color w:val="auto"/>
          <w:spacing w:val="-10"/>
        </w:rPr>
        <w:t xml:space="preserve"> 万元以上的；</w:t>
      </w:r>
      <w:r>
        <w:rPr>
          <w:color w:val="auto"/>
          <w:spacing w:val="-4"/>
        </w:rPr>
        <w:t>2</w:t>
      </w:r>
      <w:r>
        <w:rPr>
          <w:color w:val="auto"/>
          <w:spacing w:val="-5"/>
        </w:rPr>
        <w:t>、已造成一定</w:t>
      </w:r>
      <w:r>
        <w:rPr>
          <w:color w:val="auto"/>
        </w:rPr>
        <w:t>危害后果的。</w:t>
      </w:r>
    </w:p>
    <w:p>
      <w:pPr>
        <w:pStyle w:val="13"/>
        <w:numPr>
          <w:ilvl w:val="0"/>
          <w:numId w:val="410"/>
        </w:numPr>
        <w:tabs>
          <w:tab w:val="left" w:pos="1193"/>
        </w:tabs>
        <w:spacing w:before="3"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责令改正，并处 2 万元以上 3 万元以下的罚款。</w:t>
      </w:r>
    </w:p>
    <w:p>
      <w:pPr>
        <w:pStyle w:val="2"/>
        <w:spacing w:before="195" w:line="388" w:lineRule="auto"/>
        <w:ind w:left="111" w:right="237" w:firstLine="480"/>
        <w:rPr>
          <w:color w:val="auto"/>
        </w:rPr>
      </w:pPr>
      <w:bookmarkStart w:id="681" w:name="三百三十二、未向省级市场监督管理局或者其委托的市县级市场监督管理局提交自查报告"/>
      <w:bookmarkEnd w:id="681"/>
      <w:bookmarkStart w:id="682" w:name="_bookmark340"/>
      <w:bookmarkEnd w:id="682"/>
      <w:r>
        <w:rPr>
          <w:color w:val="auto"/>
          <w:spacing w:val="-9"/>
        </w:rPr>
        <w:t>三百三十二、未向省级市场监督管理局或者其委托的市县级市场监督管理局提交自查报告</w:t>
      </w:r>
    </w:p>
    <w:p>
      <w:pPr>
        <w:spacing w:before="2"/>
        <w:ind w:left="591" w:right="0" w:firstLine="0"/>
        <w:jc w:val="left"/>
        <w:rPr>
          <w:b/>
          <w:color w:val="auto"/>
          <w:sz w:val="24"/>
        </w:rPr>
      </w:pPr>
      <w:r>
        <w:rPr>
          <w:b/>
          <w:color w:val="auto"/>
          <w:sz w:val="24"/>
        </w:rPr>
        <w:t>（一）处罚依据</w:t>
      </w:r>
    </w:p>
    <w:p>
      <w:pPr>
        <w:pStyle w:val="4"/>
        <w:spacing w:before="194" w:line="388" w:lineRule="auto"/>
        <w:ind w:right="213" w:firstLine="480"/>
        <w:rPr>
          <w:color w:val="auto"/>
        </w:rPr>
      </w:pPr>
      <w:r>
        <w:rPr>
          <w:color w:val="auto"/>
        </w:rPr>
        <w:t>1、《中华人民共和国工业产品生产许可证管理条例实施办法》第五十五条“违反本办法第四十八条规定，企业未向省级质量技术监督局或者其委托的市县级质量技术监督局提交自查报告的，责令改正，处 1 万元以下罚款。”</w:t>
      </w:r>
    </w:p>
    <w:p>
      <w:pPr>
        <w:pStyle w:val="4"/>
        <w:spacing w:before="5" w:line="391" w:lineRule="auto"/>
        <w:ind w:right="268" w:firstLine="554"/>
        <w:jc w:val="both"/>
        <w:rPr>
          <w:color w:val="auto"/>
        </w:rPr>
      </w:pPr>
      <w:r>
        <w:rPr>
          <w:color w:val="auto"/>
          <w:spacing w:val="7"/>
        </w:rPr>
        <w:t>2</w:t>
      </w:r>
      <w:r>
        <w:rPr>
          <w:color w:val="auto"/>
          <w:spacing w:val="-2"/>
        </w:rPr>
        <w:t>、《中华人民共和国工业产品生产许可证管理条例实施办法》第四十八条第一</w:t>
      </w:r>
      <w:r>
        <w:rPr>
          <w:color w:val="auto"/>
          <w:spacing w:val="-7"/>
        </w:rPr>
        <w:t>款“自取得生产许可之日起，企业应当按年度向省级质量技术监督局或者其委托的市</w:t>
      </w:r>
      <w:r>
        <w:rPr>
          <w:color w:val="auto"/>
          <w:spacing w:val="-4"/>
        </w:rPr>
        <w:t>县级质量技术监督局提交自查报告。获证未满一年的企业，可以于下一年度提交自查</w:t>
      </w:r>
      <w:r>
        <w:rPr>
          <w:color w:val="auto"/>
        </w:rPr>
        <w:t>报告。”</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1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不存在主观故意且提交自查报告逾期 1 个月内的。</w:t>
      </w:r>
    </w:p>
    <w:p>
      <w:pPr>
        <w:pStyle w:val="13"/>
        <w:numPr>
          <w:ilvl w:val="0"/>
          <w:numId w:val="41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912"/>
        <w:rPr>
          <w:color w:val="auto"/>
        </w:rPr>
      </w:pPr>
      <w:r>
        <w:rPr>
          <w:color w:val="auto"/>
          <w:spacing w:val="-8"/>
        </w:rPr>
        <w:t xml:space="preserve">责令改正，并处 </w:t>
      </w:r>
      <w:r>
        <w:rPr>
          <w:color w:val="auto"/>
        </w:rPr>
        <w:t>2000</w:t>
      </w:r>
      <w:r>
        <w:rPr>
          <w:color w:val="auto"/>
          <w:spacing w:val="-11"/>
        </w:rPr>
        <w:t xml:space="preserve"> 元以下罚款。</w:t>
      </w:r>
      <w:r>
        <w:rPr>
          <w:color w:val="auto"/>
        </w:rPr>
        <w:t>2</w:t>
      </w:r>
      <w:r>
        <w:rPr>
          <w:color w:val="auto"/>
          <w:spacing w:val="-24"/>
        </w:rPr>
        <w:t>、【一般】</w:t>
      </w:r>
    </w:p>
    <w:p>
      <w:pPr>
        <w:pStyle w:val="13"/>
        <w:numPr>
          <w:ilvl w:val="0"/>
          <w:numId w:val="41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不存在主观故意且提交自查报告逾期 1 个月以上 2 个月以内的。</w:t>
      </w:r>
    </w:p>
    <w:p>
      <w:pPr>
        <w:pStyle w:val="13"/>
        <w:numPr>
          <w:ilvl w:val="0"/>
          <w:numId w:val="41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352"/>
        <w:rPr>
          <w:color w:val="auto"/>
        </w:rPr>
      </w:pPr>
      <w:r>
        <w:rPr>
          <w:color w:val="auto"/>
          <w:spacing w:val="-8"/>
        </w:rPr>
        <w:t xml:space="preserve">责令改正，并处 </w:t>
      </w:r>
      <w:r>
        <w:rPr>
          <w:color w:val="auto"/>
        </w:rPr>
        <w:t>2000</w:t>
      </w:r>
      <w:r>
        <w:rPr>
          <w:color w:val="auto"/>
          <w:spacing w:val="-24"/>
        </w:rPr>
        <w:t xml:space="preserve"> 元以上 </w:t>
      </w:r>
      <w:r>
        <w:rPr>
          <w:color w:val="auto"/>
        </w:rPr>
        <w:t>5000</w:t>
      </w:r>
      <w:r>
        <w:rPr>
          <w:color w:val="auto"/>
          <w:spacing w:val="-10"/>
        </w:rPr>
        <w:t xml:space="preserve"> 元以下的罚款。</w:t>
      </w:r>
      <w:r>
        <w:rPr>
          <w:color w:val="auto"/>
        </w:rPr>
        <w:t>3</w:t>
      </w:r>
      <w:r>
        <w:rPr>
          <w:color w:val="auto"/>
          <w:spacing w:val="-24"/>
        </w:rPr>
        <w:t>、【严重】</w:t>
      </w:r>
    </w:p>
    <w:p>
      <w:pPr>
        <w:pStyle w:val="13"/>
        <w:numPr>
          <w:ilvl w:val="0"/>
          <w:numId w:val="41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有下列情形之一的：1、存在主观故意且提交自查报告逾期 2 个月内的；2、不存</w:t>
      </w:r>
    </w:p>
    <w:p>
      <w:pPr>
        <w:pStyle w:val="4"/>
        <w:spacing w:before="194"/>
        <w:rPr>
          <w:color w:val="auto"/>
        </w:rPr>
      </w:pPr>
      <w:r>
        <w:rPr>
          <w:color w:val="auto"/>
        </w:rPr>
        <w:t>在主观故意且提交自查报告逾期 2 个月以上的。</w:t>
      </w:r>
    </w:p>
    <w:p>
      <w:pPr>
        <w:pStyle w:val="13"/>
        <w:numPr>
          <w:ilvl w:val="0"/>
          <w:numId w:val="41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81"/>
        <w:rPr>
          <w:color w:val="auto"/>
        </w:rPr>
      </w:pPr>
      <w:r>
        <w:rPr>
          <w:color w:val="auto"/>
        </w:rPr>
        <w:t>责令改正，并处 5000 元以上 1 万元以下的罚款。</w:t>
      </w:r>
    </w:p>
    <w:p>
      <w:pPr>
        <w:spacing w:after="0"/>
        <w:rPr>
          <w:color w:val="auto"/>
        </w:rPr>
        <w:sectPr>
          <w:pgSz w:w="11910" w:h="16840"/>
          <w:pgMar w:top="1520" w:right="1260" w:bottom="1220" w:left="1420" w:header="0" w:footer="1034" w:gutter="0"/>
        </w:sectPr>
      </w:pPr>
    </w:p>
    <w:p>
      <w:pPr>
        <w:pStyle w:val="2"/>
        <w:spacing w:before="39"/>
        <w:rPr>
          <w:color w:val="auto"/>
        </w:rPr>
      </w:pPr>
      <w:bookmarkStart w:id="683" w:name="三百三十三、生产者未按规定要求进行相关信息备案"/>
      <w:bookmarkEnd w:id="683"/>
      <w:bookmarkStart w:id="684" w:name="_bookmark341"/>
      <w:bookmarkEnd w:id="684"/>
      <w:r>
        <w:rPr>
          <w:color w:val="auto"/>
        </w:rPr>
        <w:t>三百三十三、生产者未按规定要求进行相关信息备案</w:t>
      </w:r>
    </w:p>
    <w:p>
      <w:pPr>
        <w:spacing w:before="195"/>
        <w:ind w:left="591" w:right="0" w:firstLine="0"/>
        <w:jc w:val="left"/>
        <w:rPr>
          <w:b/>
          <w:color w:val="auto"/>
          <w:sz w:val="24"/>
        </w:rPr>
      </w:pPr>
      <w:r>
        <w:rPr>
          <w:b/>
          <w:color w:val="auto"/>
          <w:sz w:val="24"/>
        </w:rPr>
        <w:t>（一）处罚依据</w:t>
      </w:r>
    </w:p>
    <w:p>
      <w:pPr>
        <w:pStyle w:val="4"/>
        <w:spacing w:before="191" w:line="391" w:lineRule="auto"/>
        <w:ind w:right="148" w:firstLine="470"/>
        <w:rPr>
          <w:color w:val="auto"/>
        </w:rPr>
      </w:pPr>
      <w:r>
        <w:rPr>
          <w:color w:val="auto"/>
          <w:spacing w:val="-2"/>
        </w:rPr>
        <w:t>《儿童玩具召回管理规定》第三十五条第</w:t>
      </w:r>
      <w:r>
        <w:rPr>
          <w:color w:val="auto"/>
        </w:rPr>
        <w:t>（一</w:t>
      </w:r>
      <w:r>
        <w:rPr>
          <w:color w:val="auto"/>
          <w:spacing w:val="-5"/>
        </w:rPr>
        <w:t>）</w:t>
      </w:r>
      <w:r>
        <w:rPr>
          <w:color w:val="auto"/>
          <w:spacing w:val="-3"/>
        </w:rPr>
        <w:t>项“生产者违反本规定，有下列</w:t>
      </w:r>
      <w:r>
        <w:rPr>
          <w:color w:val="auto"/>
          <w:spacing w:val="-13"/>
        </w:rPr>
        <w:t xml:space="preserve">情形之一的，予以警告，责令限期改正；逾期未改正的，处以 </w:t>
      </w:r>
      <w:r>
        <w:rPr>
          <w:color w:val="auto"/>
        </w:rPr>
        <w:t>1</w:t>
      </w:r>
      <w:r>
        <w:rPr>
          <w:color w:val="auto"/>
          <w:spacing w:val="-12"/>
        </w:rPr>
        <w:t xml:space="preserve"> 万元以下罚款：</w:t>
      </w:r>
      <w:r>
        <w:rPr>
          <w:color w:val="auto"/>
          <w:spacing w:val="-27"/>
        </w:rPr>
        <w:t>（</w:t>
      </w:r>
      <w:r>
        <w:rPr>
          <w:color w:val="auto"/>
        </w:rPr>
        <w:t>一</w:t>
      </w:r>
      <w:r>
        <w:rPr>
          <w:color w:val="auto"/>
          <w:spacing w:val="-15"/>
        </w:rPr>
        <w:t xml:space="preserve">） </w:t>
      </w:r>
      <w:r>
        <w:rPr>
          <w:color w:val="auto"/>
        </w:rPr>
        <w:t>未按规定要求进行相关信息备案的；”</w:t>
      </w:r>
    </w:p>
    <w:p>
      <w:pPr>
        <w:pStyle w:val="2"/>
        <w:spacing w:line="304" w:lineRule="exact"/>
        <w:rPr>
          <w:color w:val="auto"/>
        </w:rPr>
      </w:pPr>
      <w:r>
        <w:rPr>
          <w:color w:val="auto"/>
        </w:rPr>
        <w:t>（二）裁量标准</w:t>
      </w:r>
    </w:p>
    <w:p>
      <w:pPr>
        <w:pStyle w:val="4"/>
        <w:spacing w:before="192"/>
        <w:ind w:left="591"/>
        <w:rPr>
          <w:color w:val="auto"/>
        </w:rPr>
      </w:pPr>
      <w:r>
        <w:rPr>
          <w:color w:val="auto"/>
        </w:rPr>
        <w:t>1、【不予财产罚】</w:t>
      </w:r>
    </w:p>
    <w:p>
      <w:pPr>
        <w:pStyle w:val="13"/>
        <w:numPr>
          <w:ilvl w:val="0"/>
          <w:numId w:val="41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违法行为在规定期限改正的。</w:t>
      </w:r>
    </w:p>
    <w:p>
      <w:pPr>
        <w:pStyle w:val="13"/>
        <w:numPr>
          <w:ilvl w:val="0"/>
          <w:numId w:val="41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left="591" w:right="6232"/>
        <w:rPr>
          <w:color w:val="auto"/>
        </w:rPr>
      </w:pPr>
      <w:r>
        <w:rPr>
          <w:color w:val="auto"/>
        </w:rPr>
        <w:t>警告，责令限期改正。2、【较轻】</w:t>
      </w:r>
    </w:p>
    <w:p>
      <w:pPr>
        <w:pStyle w:val="13"/>
        <w:numPr>
          <w:ilvl w:val="0"/>
          <w:numId w:val="41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初次违法未造成严重后果的，逾期 15 天未改正的。</w:t>
      </w:r>
    </w:p>
    <w:p>
      <w:pPr>
        <w:pStyle w:val="13"/>
        <w:numPr>
          <w:ilvl w:val="0"/>
          <w:numId w:val="41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6592"/>
        <w:rPr>
          <w:color w:val="auto"/>
        </w:rPr>
      </w:pPr>
      <w:r>
        <w:rPr>
          <w:color w:val="auto"/>
          <w:spacing w:val="-30"/>
        </w:rPr>
        <w:t xml:space="preserve">处 </w:t>
      </w:r>
      <w:r>
        <w:rPr>
          <w:color w:val="auto"/>
        </w:rPr>
        <w:t>2000</w:t>
      </w:r>
      <w:r>
        <w:rPr>
          <w:color w:val="auto"/>
          <w:spacing w:val="-13"/>
        </w:rPr>
        <w:t xml:space="preserve"> 元以下罚款</w:t>
      </w:r>
      <w:r>
        <w:rPr>
          <w:color w:val="auto"/>
        </w:rPr>
        <w:t>3</w:t>
      </w:r>
      <w:r>
        <w:rPr>
          <w:color w:val="auto"/>
          <w:spacing w:val="-24"/>
        </w:rPr>
        <w:t>、【一般】</w:t>
      </w:r>
    </w:p>
    <w:p>
      <w:pPr>
        <w:pStyle w:val="13"/>
        <w:numPr>
          <w:ilvl w:val="0"/>
          <w:numId w:val="41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spacing w:val="-1"/>
        </w:rPr>
        <w:t>有下列情形之一的：</w:t>
      </w:r>
      <w:r>
        <w:rPr>
          <w:color w:val="auto"/>
          <w:spacing w:val="-4"/>
        </w:rPr>
        <w:t>1、违规未备案时间半年以内，逾期未改正的；2</w:t>
      </w:r>
      <w:r>
        <w:rPr>
          <w:color w:val="auto"/>
          <w:spacing w:val="-5"/>
        </w:rPr>
        <w:t>、违法生产</w:t>
      </w:r>
      <w:r>
        <w:rPr>
          <w:color w:val="auto"/>
          <w:spacing w:val="-11"/>
        </w:rPr>
        <w:t xml:space="preserve">产品货值 </w:t>
      </w:r>
      <w:r>
        <w:rPr>
          <w:color w:val="auto"/>
        </w:rPr>
        <w:t>1</w:t>
      </w:r>
      <w:r>
        <w:rPr>
          <w:color w:val="auto"/>
          <w:spacing w:val="-8"/>
        </w:rPr>
        <w:t xml:space="preserve"> 万元以下，逾期未改正的</w:t>
      </w:r>
      <w:r>
        <w:rPr>
          <w:color w:val="auto"/>
        </w:rPr>
        <w:t>；3</w:t>
      </w:r>
      <w:r>
        <w:rPr>
          <w:color w:val="auto"/>
          <w:spacing w:val="-8"/>
        </w:rPr>
        <w:t xml:space="preserve"> 能主动追回大部分已销售产品的，但逾期未改正的；4</w:t>
      </w:r>
      <w:r>
        <w:rPr>
          <w:color w:val="auto"/>
          <w:spacing w:val="-21"/>
        </w:rPr>
        <w:t xml:space="preserve">、逾期 </w:t>
      </w:r>
      <w:r>
        <w:rPr>
          <w:color w:val="auto"/>
        </w:rPr>
        <w:t>30</w:t>
      </w:r>
      <w:r>
        <w:rPr>
          <w:color w:val="auto"/>
          <w:spacing w:val="-9"/>
        </w:rPr>
        <w:t xml:space="preserve"> 日未改正的。</w:t>
      </w:r>
    </w:p>
    <w:p>
      <w:pPr>
        <w:pStyle w:val="13"/>
        <w:numPr>
          <w:ilvl w:val="0"/>
          <w:numId w:val="41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2000</w:t>
      </w:r>
      <w:r>
        <w:rPr>
          <w:color w:val="auto"/>
          <w:spacing w:val="-24"/>
        </w:rPr>
        <w:t xml:space="preserve"> 元以上 </w:t>
      </w:r>
      <w:r>
        <w:rPr>
          <w:color w:val="auto"/>
        </w:rPr>
        <w:t>4000</w:t>
      </w:r>
      <w:r>
        <w:rPr>
          <w:color w:val="auto"/>
          <w:spacing w:val="-11"/>
        </w:rPr>
        <w:t xml:space="preserve"> 元以下罚款。</w:t>
      </w:r>
      <w:r>
        <w:rPr>
          <w:color w:val="auto"/>
        </w:rPr>
        <w:t>4</w:t>
      </w:r>
      <w:r>
        <w:rPr>
          <w:color w:val="auto"/>
          <w:spacing w:val="-24"/>
        </w:rPr>
        <w:t>、【较重】</w:t>
      </w:r>
    </w:p>
    <w:p>
      <w:pPr>
        <w:pStyle w:val="13"/>
        <w:numPr>
          <w:ilvl w:val="0"/>
          <w:numId w:val="41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jc w:val="both"/>
        <w:rPr>
          <w:color w:val="auto"/>
        </w:rPr>
      </w:pPr>
      <w:r>
        <w:rPr>
          <w:color w:val="auto"/>
          <w:spacing w:val="-1"/>
        </w:rPr>
        <w:t>有下列情形之一的：</w:t>
      </w:r>
      <w:r>
        <w:rPr>
          <w:color w:val="auto"/>
          <w:spacing w:val="-4"/>
        </w:rPr>
        <w:t>1</w:t>
      </w:r>
      <w:r>
        <w:rPr>
          <w:color w:val="auto"/>
          <w:spacing w:val="-10"/>
        </w:rPr>
        <w:t xml:space="preserve">、违规未备案时间 </w:t>
      </w:r>
      <w:r>
        <w:rPr>
          <w:color w:val="auto"/>
        </w:rPr>
        <w:t>1</w:t>
      </w:r>
      <w:r>
        <w:rPr>
          <w:color w:val="auto"/>
          <w:spacing w:val="-9"/>
        </w:rPr>
        <w:t xml:space="preserve"> 年以内，逾期未改正的；</w:t>
      </w:r>
      <w:r>
        <w:rPr>
          <w:color w:val="auto"/>
          <w:spacing w:val="-4"/>
        </w:rPr>
        <w:t>2</w:t>
      </w:r>
      <w:r>
        <w:rPr>
          <w:color w:val="auto"/>
          <w:spacing w:val="-5"/>
        </w:rPr>
        <w:t>、违法生产</w:t>
      </w:r>
      <w:r>
        <w:rPr>
          <w:color w:val="auto"/>
          <w:spacing w:val="-12"/>
        </w:rPr>
        <w:t xml:space="preserve">产品货值 </w:t>
      </w:r>
      <w:r>
        <w:rPr>
          <w:color w:val="auto"/>
        </w:rPr>
        <w:t>1</w:t>
      </w:r>
      <w:r>
        <w:rPr>
          <w:color w:val="auto"/>
          <w:spacing w:val="-10"/>
        </w:rPr>
        <w:t xml:space="preserve"> 万元以上、</w:t>
      </w:r>
      <w:r>
        <w:rPr>
          <w:color w:val="auto"/>
        </w:rPr>
        <w:t>10</w:t>
      </w:r>
      <w:r>
        <w:rPr>
          <w:color w:val="auto"/>
          <w:spacing w:val="-8"/>
        </w:rPr>
        <w:t xml:space="preserve"> 万元以下，逾期未改正的</w:t>
      </w:r>
      <w:r>
        <w:rPr>
          <w:color w:val="auto"/>
        </w:rPr>
        <w:t>；3、无法追回大部分已销售产品的，且逾期未改正的；4</w:t>
      </w:r>
      <w:r>
        <w:rPr>
          <w:color w:val="auto"/>
          <w:spacing w:val="-15"/>
        </w:rPr>
        <w:t xml:space="preserve">、逾期 </w:t>
      </w:r>
      <w:r>
        <w:rPr>
          <w:color w:val="auto"/>
        </w:rPr>
        <w:t>45</w:t>
      </w:r>
      <w:r>
        <w:rPr>
          <w:color w:val="auto"/>
          <w:spacing w:val="-9"/>
        </w:rPr>
        <w:t xml:space="preserve"> 日未改正的。</w:t>
      </w:r>
    </w:p>
    <w:p>
      <w:pPr>
        <w:spacing w:after="0" w:line="388" w:lineRule="auto"/>
        <w:jc w:val="both"/>
        <w:rPr>
          <w:color w:val="auto"/>
        </w:rPr>
        <w:sectPr>
          <w:pgSz w:w="11910" w:h="16840"/>
          <w:pgMar w:top="1520" w:right="1260" w:bottom="1220" w:left="1420" w:header="0" w:footer="1034" w:gutter="0"/>
        </w:sectPr>
      </w:pPr>
    </w:p>
    <w:p>
      <w:pPr>
        <w:pStyle w:val="13"/>
        <w:numPr>
          <w:ilvl w:val="0"/>
          <w:numId w:val="41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032"/>
        <w:rPr>
          <w:color w:val="auto"/>
        </w:rPr>
      </w:pPr>
      <w:r>
        <w:rPr>
          <w:color w:val="auto"/>
          <w:spacing w:val="-30"/>
        </w:rPr>
        <w:t xml:space="preserve">处 </w:t>
      </w:r>
      <w:r>
        <w:rPr>
          <w:color w:val="auto"/>
        </w:rPr>
        <w:t>4000</w:t>
      </w:r>
      <w:r>
        <w:rPr>
          <w:color w:val="auto"/>
          <w:spacing w:val="-24"/>
        </w:rPr>
        <w:t xml:space="preserve"> 元以上 </w:t>
      </w:r>
      <w:r>
        <w:rPr>
          <w:color w:val="auto"/>
        </w:rPr>
        <w:t>6000</w:t>
      </w:r>
      <w:r>
        <w:rPr>
          <w:color w:val="auto"/>
          <w:spacing w:val="-11"/>
        </w:rPr>
        <w:t xml:space="preserve"> 元以下罚款。</w:t>
      </w:r>
      <w:r>
        <w:rPr>
          <w:color w:val="auto"/>
        </w:rPr>
        <w:t>5</w:t>
      </w:r>
      <w:r>
        <w:rPr>
          <w:color w:val="auto"/>
          <w:spacing w:val="-24"/>
        </w:rPr>
        <w:t>、【严重】</w:t>
      </w:r>
    </w:p>
    <w:p>
      <w:pPr>
        <w:pStyle w:val="13"/>
        <w:numPr>
          <w:ilvl w:val="0"/>
          <w:numId w:val="41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1"/>
        </w:rPr>
        <w:t>有下列情形之一的：</w:t>
      </w:r>
      <w:r>
        <w:rPr>
          <w:color w:val="auto"/>
          <w:spacing w:val="-4"/>
        </w:rPr>
        <w:t>1、违规未备案时间一年以上，逾期未改正的；2</w:t>
      </w:r>
      <w:r>
        <w:rPr>
          <w:color w:val="auto"/>
          <w:spacing w:val="-3"/>
        </w:rPr>
        <w:t>、生产产品</w:t>
      </w:r>
      <w:r>
        <w:rPr>
          <w:color w:val="auto"/>
          <w:spacing w:val="-5"/>
        </w:rPr>
        <w:t xml:space="preserve">货值金额十万元以上，逾期未改正的；3、拒不追回违法生产产品，且逾期未改正的； </w:t>
      </w:r>
      <w:r>
        <w:rPr>
          <w:color w:val="auto"/>
        </w:rPr>
        <w:t>4、拒不改正违法行为；5、经查处后，再次违法。</w:t>
      </w:r>
    </w:p>
    <w:p>
      <w:pPr>
        <w:pStyle w:val="13"/>
        <w:numPr>
          <w:ilvl w:val="0"/>
          <w:numId w:val="41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4792"/>
        <w:rPr>
          <w:color w:val="auto"/>
        </w:rPr>
      </w:pPr>
      <w:r>
        <w:rPr>
          <w:color w:val="auto"/>
          <w:spacing w:val="-30"/>
        </w:rPr>
        <w:t xml:space="preserve">处 </w:t>
      </w:r>
      <w:r>
        <w:rPr>
          <w:color w:val="auto"/>
        </w:rPr>
        <w:t>6000</w:t>
      </w:r>
      <w:r>
        <w:rPr>
          <w:color w:val="auto"/>
          <w:spacing w:val="-24"/>
        </w:rPr>
        <w:t xml:space="preserve"> 元以上 </w:t>
      </w:r>
      <w:r>
        <w:rPr>
          <w:color w:val="auto"/>
        </w:rPr>
        <w:t>8000</w:t>
      </w:r>
      <w:r>
        <w:rPr>
          <w:color w:val="auto"/>
          <w:spacing w:val="-10"/>
        </w:rPr>
        <w:t xml:space="preserve"> 元以下的罚款。</w:t>
      </w:r>
      <w:r>
        <w:rPr>
          <w:color w:val="auto"/>
        </w:rPr>
        <w:t>6</w:t>
      </w:r>
      <w:r>
        <w:rPr>
          <w:color w:val="auto"/>
          <w:spacing w:val="-18"/>
        </w:rPr>
        <w:t>、【特别严重】</w:t>
      </w:r>
    </w:p>
    <w:p>
      <w:pPr>
        <w:pStyle w:val="13"/>
        <w:numPr>
          <w:ilvl w:val="0"/>
          <w:numId w:val="41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269" w:firstLine="480"/>
        <w:rPr>
          <w:color w:val="auto"/>
        </w:rPr>
      </w:pPr>
      <w:r>
        <w:rPr>
          <w:color w:val="auto"/>
        </w:rPr>
        <w:t>有下列情形之一的：1、未经备案生产的产品造成人身、财产损害或者造成较大社会影响等严重危害后果，逾期未改正的；2、经查处后，屡次违法的。</w:t>
      </w:r>
    </w:p>
    <w:p>
      <w:pPr>
        <w:pStyle w:val="13"/>
        <w:numPr>
          <w:ilvl w:val="0"/>
          <w:numId w:val="419"/>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8000 元以上 1 万元以下罚款。</w:t>
      </w:r>
    </w:p>
    <w:p>
      <w:pPr>
        <w:pStyle w:val="2"/>
        <w:spacing w:before="192"/>
        <w:rPr>
          <w:color w:val="auto"/>
        </w:rPr>
      </w:pPr>
      <w:bookmarkStart w:id="685" w:name="三百三十四、生产者未按规定要求建立健全信息档案"/>
      <w:bookmarkEnd w:id="685"/>
      <w:bookmarkStart w:id="686" w:name="_bookmark342"/>
      <w:bookmarkEnd w:id="686"/>
      <w:r>
        <w:rPr>
          <w:color w:val="auto"/>
        </w:rPr>
        <w:t>三百三十四、生产者未按规定要求建立健全信息档案</w:t>
      </w:r>
    </w:p>
    <w:p>
      <w:pPr>
        <w:spacing w:before="194"/>
        <w:ind w:left="591" w:right="0" w:firstLine="0"/>
        <w:jc w:val="left"/>
        <w:rPr>
          <w:b/>
          <w:color w:val="auto"/>
          <w:sz w:val="24"/>
        </w:rPr>
      </w:pPr>
      <w:r>
        <w:rPr>
          <w:b/>
          <w:color w:val="auto"/>
          <w:sz w:val="24"/>
        </w:rPr>
        <w:t>（一）处罚依据</w:t>
      </w:r>
    </w:p>
    <w:p>
      <w:pPr>
        <w:pStyle w:val="4"/>
        <w:spacing w:before="192" w:line="391" w:lineRule="auto"/>
        <w:ind w:right="148" w:firstLine="470"/>
        <w:rPr>
          <w:color w:val="auto"/>
        </w:rPr>
      </w:pPr>
      <w:r>
        <w:rPr>
          <w:color w:val="auto"/>
          <w:spacing w:val="-2"/>
        </w:rPr>
        <w:t>《儿童玩具召回管理规定》第三十五条第</w:t>
      </w:r>
      <w:r>
        <w:rPr>
          <w:color w:val="auto"/>
        </w:rPr>
        <w:t>（二</w:t>
      </w:r>
      <w:r>
        <w:rPr>
          <w:color w:val="auto"/>
          <w:spacing w:val="-5"/>
        </w:rPr>
        <w:t>）</w:t>
      </w:r>
      <w:r>
        <w:rPr>
          <w:color w:val="auto"/>
          <w:spacing w:val="-3"/>
        </w:rPr>
        <w:t>项“生产者违反本规定，有下列</w:t>
      </w:r>
      <w:r>
        <w:rPr>
          <w:color w:val="auto"/>
          <w:spacing w:val="-13"/>
        </w:rPr>
        <w:t xml:space="preserve">情形之一的，予以警告，责令限期改正；逾期未改正的，处以 </w:t>
      </w:r>
      <w:r>
        <w:rPr>
          <w:color w:val="auto"/>
        </w:rPr>
        <w:t>1</w:t>
      </w:r>
      <w:r>
        <w:rPr>
          <w:color w:val="auto"/>
          <w:spacing w:val="-12"/>
        </w:rPr>
        <w:t xml:space="preserve"> 万元以下罚款：</w:t>
      </w:r>
      <w:r>
        <w:rPr>
          <w:color w:val="auto"/>
          <w:spacing w:val="-27"/>
        </w:rPr>
        <w:t>（</w:t>
      </w:r>
      <w:r>
        <w:rPr>
          <w:color w:val="auto"/>
        </w:rPr>
        <w:t>二</w:t>
      </w:r>
      <w:r>
        <w:rPr>
          <w:color w:val="auto"/>
          <w:spacing w:val="-15"/>
        </w:rPr>
        <w:t xml:space="preserve">） </w:t>
      </w:r>
      <w:r>
        <w:rPr>
          <w:color w:val="auto"/>
        </w:rPr>
        <w:t>未按规定要求建立健全信息档案的。”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20"/>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违法行为在规定期限改正的。</w:t>
      </w:r>
    </w:p>
    <w:p>
      <w:pPr>
        <w:pStyle w:val="13"/>
        <w:numPr>
          <w:ilvl w:val="0"/>
          <w:numId w:val="42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6232"/>
        <w:rPr>
          <w:color w:val="auto"/>
        </w:rPr>
      </w:pPr>
      <w:r>
        <w:rPr>
          <w:color w:val="auto"/>
        </w:rPr>
        <w:t>警告，责令限期改正。2、【一般】</w:t>
      </w:r>
    </w:p>
    <w:p>
      <w:pPr>
        <w:spacing w:after="0" w:line="388" w:lineRule="auto"/>
        <w:rPr>
          <w:color w:val="auto"/>
        </w:rPr>
        <w:sectPr>
          <w:footerReference r:id="rId65" w:type="default"/>
          <w:footerReference r:id="rId66" w:type="even"/>
          <w:pgSz w:w="11910" w:h="16840"/>
          <w:pgMar w:top="1520" w:right="1260" w:bottom="1720" w:left="1420" w:header="0" w:footer="1526" w:gutter="0"/>
          <w:pgNumType w:start="305"/>
        </w:sectPr>
      </w:pPr>
    </w:p>
    <w:p>
      <w:pPr>
        <w:pStyle w:val="4"/>
        <w:spacing w:before="39" w:line="391" w:lineRule="auto"/>
        <w:ind w:right="148" w:firstLine="480"/>
        <w:rPr>
          <w:color w:val="auto"/>
        </w:rPr>
      </w:pPr>
      <w:r>
        <w:rPr>
          <w:color w:val="auto"/>
          <w:spacing w:val="-3"/>
        </w:rPr>
        <w:t>逾期未改正，具有以下情形之一的：</w:t>
      </w:r>
      <w:r>
        <w:rPr>
          <w:color w:val="auto"/>
          <w:spacing w:val="-5"/>
        </w:rPr>
        <w:t xml:space="preserve">1、违法生产产品已经售出，未造成后果的； </w:t>
      </w:r>
      <w:r>
        <w:rPr>
          <w:color w:val="auto"/>
        </w:rPr>
        <w:t>2</w:t>
      </w:r>
      <w:r>
        <w:rPr>
          <w:color w:val="auto"/>
          <w:spacing w:val="-4"/>
        </w:rPr>
        <w:t>、违法生产产品货值较大，但能主动追回大部分已销售产品的；3、逾期后，经督促</w:t>
      </w:r>
    </w:p>
    <w:p>
      <w:pPr>
        <w:pStyle w:val="4"/>
        <w:spacing w:line="306" w:lineRule="exact"/>
        <w:rPr>
          <w:color w:val="auto"/>
        </w:rPr>
      </w:pPr>
      <w:r>
        <w:rPr>
          <w:color w:val="auto"/>
        </w:rPr>
        <w:t>1 次改正的。</w:t>
      </w:r>
    </w:p>
    <w:p>
      <w:pPr>
        <w:pStyle w:val="4"/>
        <w:spacing w:before="192"/>
        <w:ind w:left="591"/>
        <w:rPr>
          <w:color w:val="auto"/>
        </w:rPr>
      </w:pPr>
      <w:r>
        <w:rPr>
          <w:color w:val="auto"/>
        </w:rPr>
        <w:t>（2）处罚标准</w:t>
      </w:r>
    </w:p>
    <w:p>
      <w:pPr>
        <w:pStyle w:val="4"/>
        <w:spacing w:before="194" w:line="388" w:lineRule="auto"/>
        <w:ind w:left="591" w:right="6352"/>
        <w:rPr>
          <w:color w:val="auto"/>
        </w:rPr>
      </w:pPr>
      <w:r>
        <w:rPr>
          <w:color w:val="auto"/>
          <w:spacing w:val="-30"/>
        </w:rPr>
        <w:t xml:space="preserve">处 </w:t>
      </w:r>
      <w:r>
        <w:rPr>
          <w:color w:val="auto"/>
        </w:rPr>
        <w:t>4000</w:t>
      </w:r>
      <w:r>
        <w:rPr>
          <w:color w:val="auto"/>
          <w:spacing w:val="-11"/>
        </w:rPr>
        <w:t xml:space="preserve"> 元以下罚款。</w:t>
      </w:r>
      <w:r>
        <w:rPr>
          <w:color w:val="auto"/>
        </w:rPr>
        <w:t>3</w:t>
      </w:r>
      <w:r>
        <w:rPr>
          <w:color w:val="auto"/>
          <w:spacing w:val="-24"/>
        </w:rPr>
        <w:t>、【较重】</w:t>
      </w:r>
    </w:p>
    <w:p>
      <w:pPr>
        <w:pStyle w:val="13"/>
        <w:numPr>
          <w:ilvl w:val="0"/>
          <w:numId w:val="42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71" w:firstLine="480"/>
        <w:rPr>
          <w:color w:val="auto"/>
        </w:rPr>
      </w:pPr>
      <w:r>
        <w:rPr>
          <w:color w:val="auto"/>
        </w:rPr>
        <w:t>逾期未改正，具有以下情形之一的：1、违法生产产品货值较大，售出未造成危害后果的；2、无法追回大部分已销售产品的；3、逾期后经 2 次督促改正的。</w:t>
      </w:r>
    </w:p>
    <w:p>
      <w:pPr>
        <w:pStyle w:val="13"/>
        <w:numPr>
          <w:ilvl w:val="0"/>
          <w:numId w:val="421"/>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4000</w:t>
      </w:r>
      <w:r>
        <w:rPr>
          <w:color w:val="auto"/>
          <w:spacing w:val="-24"/>
        </w:rPr>
        <w:t xml:space="preserve"> 元以上 </w:t>
      </w:r>
      <w:r>
        <w:rPr>
          <w:color w:val="auto"/>
        </w:rPr>
        <w:t>6000</w:t>
      </w:r>
      <w:r>
        <w:rPr>
          <w:color w:val="auto"/>
          <w:spacing w:val="-11"/>
        </w:rPr>
        <w:t xml:space="preserve"> 元以下罚款。</w:t>
      </w:r>
      <w:r>
        <w:rPr>
          <w:color w:val="auto"/>
        </w:rPr>
        <w:t>4</w:t>
      </w:r>
      <w:r>
        <w:rPr>
          <w:color w:val="auto"/>
          <w:spacing w:val="-24"/>
        </w:rPr>
        <w:t>、【严重】</w:t>
      </w:r>
    </w:p>
    <w:p>
      <w:pPr>
        <w:pStyle w:val="13"/>
        <w:numPr>
          <w:ilvl w:val="0"/>
          <w:numId w:val="42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5" w:firstLine="480"/>
        <w:jc w:val="both"/>
        <w:rPr>
          <w:color w:val="auto"/>
        </w:rPr>
      </w:pPr>
      <w:r>
        <w:rPr>
          <w:color w:val="auto"/>
        </w:rPr>
        <w:t>逾期未改正，具有以下情形之一的：1、生产产品货值金额巨大，无法追回产品</w:t>
      </w:r>
      <w:r>
        <w:rPr>
          <w:color w:val="auto"/>
          <w:spacing w:val="-2"/>
        </w:rPr>
        <w:t>的；</w:t>
      </w:r>
      <w:r>
        <w:rPr>
          <w:color w:val="auto"/>
          <w:spacing w:val="-3"/>
        </w:rPr>
        <w:t xml:space="preserve">2、拒不追回违法生产产品的； </w:t>
      </w:r>
      <w:r>
        <w:rPr>
          <w:color w:val="auto"/>
        </w:rPr>
        <w:t>3</w:t>
      </w:r>
      <w:r>
        <w:rPr>
          <w:color w:val="auto"/>
          <w:spacing w:val="-3"/>
        </w:rPr>
        <w:t>、拒不改正违法行为的；4</w:t>
      </w:r>
      <w:r>
        <w:rPr>
          <w:color w:val="auto"/>
          <w:spacing w:val="-5"/>
        </w:rPr>
        <w:t>、被查处后，再次违</w:t>
      </w:r>
      <w:r>
        <w:rPr>
          <w:color w:val="auto"/>
        </w:rPr>
        <w:t>法的。</w:t>
      </w:r>
    </w:p>
    <w:p>
      <w:pPr>
        <w:pStyle w:val="13"/>
        <w:numPr>
          <w:ilvl w:val="0"/>
          <w:numId w:val="422"/>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4792"/>
        <w:rPr>
          <w:color w:val="auto"/>
        </w:rPr>
      </w:pPr>
      <w:r>
        <w:rPr>
          <w:color w:val="auto"/>
          <w:spacing w:val="-30"/>
        </w:rPr>
        <w:t xml:space="preserve">处 </w:t>
      </w:r>
      <w:r>
        <w:rPr>
          <w:color w:val="auto"/>
        </w:rPr>
        <w:t>6000</w:t>
      </w:r>
      <w:r>
        <w:rPr>
          <w:color w:val="auto"/>
          <w:spacing w:val="-24"/>
        </w:rPr>
        <w:t xml:space="preserve"> 元以上 </w:t>
      </w:r>
      <w:r>
        <w:rPr>
          <w:color w:val="auto"/>
        </w:rPr>
        <w:t>8000</w:t>
      </w:r>
      <w:r>
        <w:rPr>
          <w:color w:val="auto"/>
          <w:spacing w:val="-10"/>
        </w:rPr>
        <w:t xml:space="preserve"> 元以下的罚款。</w:t>
      </w:r>
      <w:r>
        <w:rPr>
          <w:color w:val="auto"/>
        </w:rPr>
        <w:t>5</w:t>
      </w:r>
      <w:r>
        <w:rPr>
          <w:color w:val="auto"/>
          <w:spacing w:val="-18"/>
        </w:rPr>
        <w:t>、【特别严重】</w:t>
      </w:r>
    </w:p>
    <w:p>
      <w:pPr>
        <w:pStyle w:val="13"/>
        <w:numPr>
          <w:ilvl w:val="0"/>
          <w:numId w:val="42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271" w:firstLine="480"/>
        <w:rPr>
          <w:color w:val="auto"/>
        </w:rPr>
      </w:pPr>
      <w:r>
        <w:rPr>
          <w:color w:val="auto"/>
        </w:rPr>
        <w:t>逾期未改正，具有以下情形之一的：1、未按照规定建立健全信息的产品造成人身、财产损害 或者造成较大社会影响等严重危害后果的；2、屡次违法的。</w:t>
      </w:r>
    </w:p>
    <w:p>
      <w:pPr>
        <w:pStyle w:val="13"/>
        <w:numPr>
          <w:ilvl w:val="0"/>
          <w:numId w:val="42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8000 元以上 1 万元以下罚款。</w:t>
      </w:r>
    </w:p>
    <w:p>
      <w:pPr>
        <w:pStyle w:val="2"/>
        <w:spacing w:before="191" w:line="391" w:lineRule="auto"/>
        <w:ind w:left="111" w:right="240" w:firstLine="480"/>
        <w:rPr>
          <w:color w:val="auto"/>
        </w:rPr>
      </w:pPr>
      <w:bookmarkStart w:id="687" w:name="三百三十五、生产者接到省级以上市场监督管理部门缺陷调查通知，但未及时进行缺陷调查"/>
      <w:bookmarkEnd w:id="687"/>
      <w:bookmarkStart w:id="688" w:name="_bookmark343"/>
      <w:bookmarkEnd w:id="688"/>
      <w:r>
        <w:rPr>
          <w:color w:val="auto"/>
          <w:spacing w:val="-7"/>
        </w:rPr>
        <w:t>三百三十五、生产者接到省级以上市场监督管理部门缺陷调查通知，但未及时进行缺陷调查</w:t>
      </w:r>
    </w:p>
    <w:p>
      <w:pPr>
        <w:spacing w:before="0" w:line="306" w:lineRule="exact"/>
        <w:ind w:left="591" w:right="0" w:firstLine="0"/>
        <w:jc w:val="left"/>
        <w:rPr>
          <w:b/>
          <w:color w:val="auto"/>
          <w:sz w:val="24"/>
        </w:rPr>
      </w:pPr>
      <w:r>
        <w:rPr>
          <w:b/>
          <w:color w:val="auto"/>
          <w:sz w:val="24"/>
        </w:rPr>
        <w:t>（一）处罚依据</w:t>
      </w:r>
    </w:p>
    <w:p>
      <w:pPr>
        <w:pStyle w:val="4"/>
        <w:spacing w:before="192"/>
        <w:ind w:left="581"/>
        <w:rPr>
          <w:color w:val="auto"/>
        </w:rPr>
      </w:pPr>
      <w:r>
        <w:rPr>
          <w:color w:val="auto"/>
        </w:rPr>
        <w:t>《儿童玩具召回管理规定》第三十六条第（一）项“生产者违反本规定，有下列</w:t>
      </w:r>
    </w:p>
    <w:p>
      <w:pPr>
        <w:spacing w:after="0"/>
        <w:rPr>
          <w:color w:val="auto"/>
        </w:rPr>
        <w:sectPr>
          <w:pgSz w:w="11910" w:h="16840"/>
          <w:pgMar w:top="1520" w:right="1260" w:bottom="1220" w:left="1420" w:header="0" w:footer="1034" w:gutter="0"/>
        </w:sectPr>
      </w:pPr>
    </w:p>
    <w:p>
      <w:pPr>
        <w:pStyle w:val="4"/>
        <w:spacing w:before="39" w:line="391" w:lineRule="auto"/>
        <w:ind w:right="148"/>
        <w:rPr>
          <w:color w:val="auto"/>
        </w:rPr>
      </w:pPr>
      <w:r>
        <w:rPr>
          <w:color w:val="auto"/>
          <w:spacing w:val="-12"/>
        </w:rPr>
        <w:t xml:space="preserve">情况之一的，予以警告，责令限期改正；逾期未改正的，处以 </w:t>
      </w:r>
      <w:r>
        <w:rPr>
          <w:color w:val="auto"/>
        </w:rPr>
        <w:t>2</w:t>
      </w:r>
      <w:r>
        <w:rPr>
          <w:color w:val="auto"/>
          <w:spacing w:val="-12"/>
        </w:rPr>
        <w:t xml:space="preserve"> 万元以下罚款：</w:t>
      </w:r>
      <w:r>
        <w:rPr>
          <w:color w:val="auto"/>
          <w:spacing w:val="-27"/>
        </w:rPr>
        <w:t>（</w:t>
      </w:r>
      <w:r>
        <w:rPr>
          <w:color w:val="auto"/>
        </w:rPr>
        <w:t>一</w:t>
      </w:r>
      <w:r>
        <w:rPr>
          <w:color w:val="auto"/>
          <w:spacing w:val="-15"/>
        </w:rPr>
        <w:t xml:space="preserve">） </w:t>
      </w:r>
      <w:r>
        <w:rPr>
          <w:color w:val="auto"/>
        </w:rPr>
        <w:t>接到省级以上质量技术监督部门缺陷调查通知，但未及时进行缺陷调查的；”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24"/>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首次违法，在规定的时间改正的</w:t>
      </w:r>
    </w:p>
    <w:p>
      <w:pPr>
        <w:pStyle w:val="13"/>
        <w:numPr>
          <w:ilvl w:val="0"/>
          <w:numId w:val="42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6472"/>
        <w:rPr>
          <w:color w:val="auto"/>
        </w:rPr>
      </w:pPr>
      <w:r>
        <w:rPr>
          <w:color w:val="auto"/>
        </w:rPr>
        <w:t>警告、责令限期改正2、【一般】</w:t>
      </w:r>
    </w:p>
    <w:p>
      <w:pPr>
        <w:pStyle w:val="13"/>
        <w:numPr>
          <w:ilvl w:val="0"/>
          <w:numId w:val="42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71" w:firstLine="480"/>
        <w:rPr>
          <w:color w:val="auto"/>
        </w:rPr>
      </w:pPr>
      <w:r>
        <w:rPr>
          <w:color w:val="auto"/>
        </w:rPr>
        <w:t>逾期未改正，具有以下情形之一的：1、货值较大，产品无法追回，但未造成危害的；2、责令限期整改后，逾期未改正，但经 1 次督促后改正的。</w:t>
      </w:r>
    </w:p>
    <w:p>
      <w:pPr>
        <w:pStyle w:val="13"/>
        <w:numPr>
          <w:ilvl w:val="0"/>
          <w:numId w:val="42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42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rPr>
          <w:color w:val="auto"/>
        </w:rPr>
      </w:pPr>
      <w:r>
        <w:rPr>
          <w:color w:val="auto"/>
          <w:spacing w:val="-3"/>
        </w:rPr>
        <w:t>逾期未改正，具有以下情形之一的：</w:t>
      </w:r>
      <w:r>
        <w:rPr>
          <w:color w:val="auto"/>
          <w:spacing w:val="-4"/>
        </w:rPr>
        <w:t>1</w:t>
      </w:r>
      <w:r>
        <w:rPr>
          <w:color w:val="auto"/>
          <w:spacing w:val="-22"/>
        </w:rPr>
        <w:t xml:space="preserve">、经 </w:t>
      </w:r>
      <w:r>
        <w:rPr>
          <w:color w:val="auto"/>
        </w:rPr>
        <w:t>2</w:t>
      </w:r>
      <w:r>
        <w:rPr>
          <w:color w:val="auto"/>
          <w:spacing w:val="-8"/>
        </w:rPr>
        <w:t xml:space="preserve"> 次督促后方能改正的；</w:t>
      </w:r>
      <w:r>
        <w:rPr>
          <w:color w:val="auto"/>
          <w:spacing w:val="-4"/>
        </w:rPr>
        <w:t>2</w:t>
      </w:r>
      <w:r>
        <w:rPr>
          <w:color w:val="auto"/>
          <w:spacing w:val="-6"/>
        </w:rPr>
        <w:t>、产品货值</w:t>
      </w:r>
      <w:r>
        <w:rPr>
          <w:color w:val="auto"/>
        </w:rPr>
        <w:t>较大，售出无法追回，并造成一定危害后果的。</w:t>
      </w:r>
    </w:p>
    <w:p>
      <w:pPr>
        <w:pStyle w:val="13"/>
        <w:numPr>
          <w:ilvl w:val="0"/>
          <w:numId w:val="426"/>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left="591" w:right="4912"/>
        <w:rPr>
          <w:color w:val="auto"/>
        </w:rPr>
      </w:pPr>
      <w:r>
        <w:rPr>
          <w:color w:val="auto"/>
          <w:spacing w:val="-30"/>
        </w:rPr>
        <w:t xml:space="preserve">处 </w:t>
      </w:r>
      <w:r>
        <w:rPr>
          <w:color w:val="auto"/>
        </w:rPr>
        <w:t>5000</w:t>
      </w:r>
      <w:r>
        <w:rPr>
          <w:color w:val="auto"/>
          <w:spacing w:val="-24"/>
        </w:rPr>
        <w:t xml:space="preserve"> 元以上 </w:t>
      </w:r>
      <w:r>
        <w:rPr>
          <w:color w:val="auto"/>
        </w:rPr>
        <w:t>1</w:t>
      </w:r>
      <w:r>
        <w:rPr>
          <w:color w:val="auto"/>
          <w:spacing w:val="-9"/>
        </w:rPr>
        <w:t xml:space="preserve"> 万元以下的罚款。</w:t>
      </w:r>
      <w:r>
        <w:rPr>
          <w:color w:val="auto"/>
        </w:rPr>
        <w:t>4</w:t>
      </w:r>
      <w:r>
        <w:rPr>
          <w:color w:val="auto"/>
          <w:spacing w:val="-24"/>
        </w:rPr>
        <w:t>、【严重】</w:t>
      </w:r>
    </w:p>
    <w:p>
      <w:pPr>
        <w:pStyle w:val="13"/>
        <w:numPr>
          <w:ilvl w:val="0"/>
          <w:numId w:val="42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逾期未改正，具有以下情形之一的：1、再次违法的；2、产品货值巨大，售出无法追回，并造成一定危害后果的。</w:t>
      </w:r>
    </w:p>
    <w:p>
      <w:pPr>
        <w:pStyle w:val="13"/>
        <w:numPr>
          <w:ilvl w:val="0"/>
          <w:numId w:val="42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5</w:t>
      </w:r>
      <w:r>
        <w:rPr>
          <w:color w:val="auto"/>
          <w:spacing w:val="-18"/>
        </w:rPr>
        <w:t>、【特别严重】</w:t>
      </w:r>
    </w:p>
    <w:p>
      <w:pPr>
        <w:spacing w:after="0" w:line="388" w:lineRule="auto"/>
        <w:rPr>
          <w:color w:val="auto"/>
        </w:rPr>
        <w:sectPr>
          <w:pgSz w:w="11910" w:h="16840"/>
          <w:pgMar w:top="1520" w:right="1260" w:bottom="1720" w:left="1420" w:header="0" w:footer="1526" w:gutter="0"/>
        </w:sectPr>
      </w:pPr>
    </w:p>
    <w:p>
      <w:pPr>
        <w:pStyle w:val="4"/>
        <w:spacing w:before="39" w:line="391" w:lineRule="auto"/>
        <w:ind w:right="271" w:firstLine="480"/>
        <w:rPr>
          <w:color w:val="auto"/>
        </w:rPr>
      </w:pPr>
      <w:r>
        <w:rPr>
          <w:color w:val="auto"/>
        </w:rPr>
        <w:t>逾期未改正，具有以下情形之一的：1、造成人身、财产损害，或者造成较大社会影响等严重危害后果的；2、屡查屡犯的。</w:t>
      </w:r>
    </w:p>
    <w:p>
      <w:pPr>
        <w:pStyle w:val="4"/>
        <w:spacing w:line="306" w:lineRule="exact"/>
        <w:ind w:left="591"/>
        <w:rPr>
          <w:color w:val="auto"/>
        </w:rPr>
      </w:pPr>
      <w:r>
        <w:rPr>
          <w:color w:val="auto"/>
        </w:rPr>
        <w:t>（2）处罚标准</w:t>
      </w:r>
    </w:p>
    <w:p>
      <w:pPr>
        <w:pStyle w:val="4"/>
        <w:spacing w:before="192"/>
        <w:ind w:left="591"/>
        <w:rPr>
          <w:color w:val="auto"/>
        </w:rPr>
      </w:pPr>
      <w:r>
        <w:rPr>
          <w:color w:val="auto"/>
        </w:rPr>
        <w:t>处 1.5 万元以上 2 万元以下罚款。</w:t>
      </w:r>
    </w:p>
    <w:p>
      <w:pPr>
        <w:pStyle w:val="2"/>
        <w:spacing w:before="194"/>
        <w:rPr>
          <w:color w:val="auto"/>
        </w:rPr>
      </w:pPr>
      <w:bookmarkStart w:id="689" w:name="三百三十六、生产者拒绝配合省级以上市场监督管理部门进行缺陷调查"/>
      <w:bookmarkEnd w:id="689"/>
      <w:bookmarkStart w:id="690" w:name="_bookmark344"/>
      <w:bookmarkEnd w:id="690"/>
      <w:r>
        <w:rPr>
          <w:color w:val="auto"/>
        </w:rPr>
        <w:t>三百三十六、生产者拒绝配合省级以上市场监督管理部门进行缺陷调查</w:t>
      </w:r>
    </w:p>
    <w:p>
      <w:pPr>
        <w:spacing w:before="192"/>
        <w:ind w:left="591" w:right="0" w:firstLine="0"/>
        <w:jc w:val="left"/>
        <w:rPr>
          <w:b/>
          <w:color w:val="auto"/>
          <w:sz w:val="24"/>
        </w:rPr>
      </w:pPr>
      <w:r>
        <w:rPr>
          <w:b/>
          <w:color w:val="auto"/>
          <w:sz w:val="24"/>
        </w:rPr>
        <w:t>（一）处罚依据</w:t>
      </w:r>
    </w:p>
    <w:p>
      <w:pPr>
        <w:pStyle w:val="4"/>
        <w:spacing w:before="192" w:line="391" w:lineRule="auto"/>
        <w:ind w:right="242" w:firstLine="470"/>
        <w:jc w:val="both"/>
        <w:rPr>
          <w:color w:val="auto"/>
        </w:rPr>
      </w:pPr>
      <w:r>
        <w:rPr>
          <w:color w:val="auto"/>
        </w:rPr>
        <w:t>《儿童玩具召回管理规定》第三十六条第（二）</w:t>
      </w:r>
      <w:r>
        <w:rPr>
          <w:color w:val="auto"/>
          <w:spacing w:val="-2"/>
        </w:rPr>
        <w:t>项“《儿童玩具召回管理规定》</w:t>
      </w:r>
      <w:r>
        <w:rPr>
          <w:color w:val="auto"/>
          <w:spacing w:val="-5"/>
        </w:rPr>
        <w:t>第三十六条：生产者违反本规定，有下列情况之一的，予以警告，责令限期改正；逾</w:t>
      </w:r>
      <w:r>
        <w:rPr>
          <w:color w:val="auto"/>
          <w:spacing w:val="-12"/>
        </w:rPr>
        <w:t xml:space="preserve">期未改正的，处以 </w:t>
      </w:r>
      <w:r>
        <w:rPr>
          <w:color w:val="auto"/>
        </w:rPr>
        <w:t>2</w:t>
      </w:r>
      <w:r>
        <w:rPr>
          <w:color w:val="auto"/>
          <w:spacing w:val="-9"/>
        </w:rPr>
        <w:t xml:space="preserve"> 万元以下罚款：（</w:t>
      </w:r>
      <w:r>
        <w:rPr>
          <w:color w:val="auto"/>
        </w:rPr>
        <w:t>二</w:t>
      </w:r>
      <w:r>
        <w:rPr>
          <w:color w:val="auto"/>
          <w:spacing w:val="-10"/>
        </w:rPr>
        <w:t>）</w:t>
      </w:r>
      <w:r>
        <w:rPr>
          <w:color w:val="auto"/>
        </w:rPr>
        <w:t>拒绝配合省级以上质量技术监督部门进行缺陷调查的；”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2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违法行为在规定期限改正的。</w:t>
      </w:r>
    </w:p>
    <w:p>
      <w:pPr>
        <w:pStyle w:val="13"/>
        <w:numPr>
          <w:ilvl w:val="0"/>
          <w:numId w:val="42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6232"/>
        <w:rPr>
          <w:color w:val="auto"/>
        </w:rPr>
      </w:pPr>
      <w:r>
        <w:rPr>
          <w:color w:val="auto"/>
        </w:rPr>
        <w:t>警告，责令限期改正。2、【一般】</w:t>
      </w:r>
    </w:p>
    <w:p>
      <w:pPr>
        <w:pStyle w:val="13"/>
        <w:numPr>
          <w:ilvl w:val="0"/>
          <w:numId w:val="42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148" w:firstLine="480"/>
        <w:rPr>
          <w:color w:val="auto"/>
        </w:rPr>
      </w:pPr>
      <w:r>
        <w:rPr>
          <w:color w:val="auto"/>
        </w:rPr>
        <w:t>逾期未改正，具有以下情形之一的：1、两次以下拒不配合，或不如实提供有关</w:t>
      </w:r>
      <w:r>
        <w:rPr>
          <w:color w:val="auto"/>
          <w:spacing w:val="-4"/>
        </w:rPr>
        <w:t>资料的；</w:t>
      </w:r>
      <w:r>
        <w:rPr>
          <w:color w:val="auto"/>
          <w:spacing w:val="-16"/>
        </w:rPr>
        <w:t>2</w:t>
      </w:r>
      <w:r>
        <w:rPr>
          <w:color w:val="auto"/>
          <w:spacing w:val="-10"/>
        </w:rPr>
        <w:t>、违法产品货值金额较大，售出无法追回的；</w:t>
      </w:r>
      <w:r>
        <w:rPr>
          <w:color w:val="auto"/>
          <w:spacing w:val="-16"/>
        </w:rPr>
        <w:t>3</w:t>
      </w:r>
      <w:r>
        <w:rPr>
          <w:color w:val="auto"/>
          <w:spacing w:val="-19"/>
        </w:rPr>
        <w:t xml:space="preserve">、经督促 </w:t>
      </w:r>
      <w:r>
        <w:rPr>
          <w:color w:val="auto"/>
        </w:rPr>
        <w:t>1</w:t>
      </w:r>
      <w:r>
        <w:rPr>
          <w:color w:val="auto"/>
          <w:spacing w:val="-9"/>
        </w:rPr>
        <w:t xml:space="preserve"> 次后仍不改正的。</w:t>
      </w:r>
    </w:p>
    <w:p>
      <w:pPr>
        <w:pStyle w:val="13"/>
        <w:numPr>
          <w:ilvl w:val="0"/>
          <w:numId w:val="42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43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71" w:firstLine="480"/>
        <w:rPr>
          <w:color w:val="auto"/>
        </w:rPr>
      </w:pPr>
      <w:r>
        <w:rPr>
          <w:color w:val="auto"/>
        </w:rPr>
        <w:t>逾期未改正，具有以下情形之一的：1、多次拒不配合，构成有关法律法规规定的违法行为；2、违法产品货值金额较大，造成损失进一步扩大等危害后果的。</w:t>
      </w:r>
    </w:p>
    <w:p>
      <w:pPr>
        <w:pStyle w:val="13"/>
        <w:numPr>
          <w:ilvl w:val="0"/>
          <w:numId w:val="43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处 5000 元以上 1 万元以下罚款。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4、【严重】</w:t>
      </w:r>
    </w:p>
    <w:p>
      <w:pPr>
        <w:pStyle w:val="13"/>
        <w:numPr>
          <w:ilvl w:val="0"/>
          <w:numId w:val="431"/>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148" w:firstLine="480"/>
        <w:rPr>
          <w:color w:val="auto"/>
        </w:rPr>
      </w:pPr>
      <w:r>
        <w:rPr>
          <w:color w:val="auto"/>
        </w:rPr>
        <w:t>逾期未改正，具有以下情形之一的：1、拒不改正，干扰、阻碍检查导致依法调</w:t>
      </w:r>
      <w:r>
        <w:rPr>
          <w:color w:val="auto"/>
          <w:spacing w:val="-2"/>
        </w:rPr>
        <w:t>查难以进行的；</w:t>
      </w:r>
      <w:r>
        <w:rPr>
          <w:color w:val="auto"/>
          <w:spacing w:val="-14"/>
        </w:rPr>
        <w:t>2</w:t>
      </w:r>
      <w:r>
        <w:rPr>
          <w:color w:val="auto"/>
          <w:spacing w:val="-10"/>
        </w:rPr>
        <w:t>、产品存在较大缺陷，危及财产安全的；</w:t>
      </w:r>
      <w:r>
        <w:rPr>
          <w:color w:val="auto"/>
          <w:spacing w:val="-12"/>
        </w:rPr>
        <w:t>3</w:t>
      </w:r>
      <w:r>
        <w:rPr>
          <w:color w:val="auto"/>
          <w:spacing w:val="-9"/>
        </w:rPr>
        <w:t>、经查处后，再次违法的。</w:t>
      </w:r>
    </w:p>
    <w:p>
      <w:pPr>
        <w:pStyle w:val="13"/>
        <w:numPr>
          <w:ilvl w:val="0"/>
          <w:numId w:val="431"/>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5</w:t>
      </w:r>
      <w:r>
        <w:rPr>
          <w:color w:val="auto"/>
          <w:spacing w:val="-18"/>
        </w:rPr>
        <w:t>、【特别严重】</w:t>
      </w:r>
    </w:p>
    <w:p>
      <w:pPr>
        <w:pStyle w:val="13"/>
        <w:numPr>
          <w:ilvl w:val="0"/>
          <w:numId w:val="432"/>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spacing w:val="-3"/>
        </w:rPr>
        <w:t>逾期未改正，具有以下情形之一的：</w:t>
      </w:r>
      <w:r>
        <w:rPr>
          <w:color w:val="auto"/>
          <w:spacing w:val="-4"/>
        </w:rPr>
        <w:t>1</w:t>
      </w:r>
      <w:r>
        <w:rPr>
          <w:color w:val="auto"/>
          <w:spacing w:val="-3"/>
        </w:rPr>
        <w:t>、威胁或者利诱执法人员；</w:t>
      </w:r>
      <w:r>
        <w:rPr>
          <w:color w:val="auto"/>
          <w:spacing w:val="-4"/>
        </w:rPr>
        <w:t>2</w:t>
      </w:r>
      <w:r>
        <w:rPr>
          <w:color w:val="auto"/>
          <w:spacing w:val="-5"/>
        </w:rPr>
        <w:t>、用暴力方式</w:t>
      </w:r>
      <w:r>
        <w:rPr>
          <w:color w:val="auto"/>
        </w:rPr>
        <w:t>阻碍调查的；3、产品存在严重缺陷，造成人身、财产损害或造成较大社会影响等较大危害后果的；4、屡查屡犯的。</w:t>
      </w:r>
    </w:p>
    <w:p>
      <w:pPr>
        <w:pStyle w:val="13"/>
        <w:numPr>
          <w:ilvl w:val="0"/>
          <w:numId w:val="432"/>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处 1.5 万元以上 2 万元以下罚款。</w:t>
      </w:r>
    </w:p>
    <w:p>
      <w:pPr>
        <w:pStyle w:val="2"/>
        <w:spacing w:before="194"/>
        <w:rPr>
          <w:color w:val="auto"/>
        </w:rPr>
      </w:pPr>
      <w:bookmarkStart w:id="691" w:name="_bookmark345"/>
      <w:bookmarkEnd w:id="691"/>
      <w:bookmarkStart w:id="692" w:name="三百三十七、生产者未及时将缺陷调查结果报告省级以上市场监督管理部门"/>
      <w:bookmarkEnd w:id="692"/>
      <w:r>
        <w:rPr>
          <w:color w:val="auto"/>
        </w:rPr>
        <w:t>三百三十七、生产者未及时将缺陷调查结果报告省级以上市场监督管理部门</w:t>
      </w:r>
    </w:p>
    <w:p>
      <w:pPr>
        <w:spacing w:before="192"/>
        <w:ind w:left="591" w:right="0" w:firstLine="0"/>
        <w:jc w:val="left"/>
        <w:rPr>
          <w:b/>
          <w:color w:val="auto"/>
          <w:sz w:val="24"/>
        </w:rPr>
      </w:pPr>
      <w:r>
        <w:rPr>
          <w:b/>
          <w:color w:val="auto"/>
          <w:sz w:val="24"/>
        </w:rPr>
        <w:t>（一）处罚依据</w:t>
      </w:r>
    </w:p>
    <w:p>
      <w:pPr>
        <w:pStyle w:val="4"/>
        <w:spacing w:before="192" w:line="391" w:lineRule="auto"/>
        <w:ind w:right="148" w:firstLine="470"/>
        <w:rPr>
          <w:color w:val="auto"/>
        </w:rPr>
      </w:pPr>
      <w:r>
        <w:rPr>
          <w:color w:val="auto"/>
          <w:spacing w:val="-2"/>
        </w:rPr>
        <w:t>《儿童玩具召回管理规定》第三十六条第</w:t>
      </w:r>
      <w:r>
        <w:rPr>
          <w:color w:val="auto"/>
        </w:rPr>
        <w:t>（三</w:t>
      </w:r>
      <w:r>
        <w:rPr>
          <w:color w:val="auto"/>
          <w:spacing w:val="-5"/>
        </w:rPr>
        <w:t>）</w:t>
      </w:r>
      <w:r>
        <w:rPr>
          <w:color w:val="auto"/>
          <w:spacing w:val="-3"/>
        </w:rPr>
        <w:t>项“生产者违反本规定，有下列</w:t>
      </w:r>
      <w:r>
        <w:rPr>
          <w:color w:val="auto"/>
          <w:spacing w:val="-13"/>
        </w:rPr>
        <w:t xml:space="preserve">情况之一的，予以警告，责令限期改正；逾期未改正的，处以 </w:t>
      </w:r>
      <w:r>
        <w:rPr>
          <w:color w:val="auto"/>
        </w:rPr>
        <w:t>2</w:t>
      </w:r>
      <w:r>
        <w:rPr>
          <w:color w:val="auto"/>
          <w:spacing w:val="-12"/>
        </w:rPr>
        <w:t xml:space="preserve"> 万元以下罚款：</w:t>
      </w:r>
      <w:r>
        <w:rPr>
          <w:color w:val="auto"/>
          <w:spacing w:val="-27"/>
        </w:rPr>
        <w:t>（</w:t>
      </w:r>
      <w:r>
        <w:rPr>
          <w:color w:val="auto"/>
        </w:rPr>
        <w:t>三</w:t>
      </w:r>
      <w:r>
        <w:rPr>
          <w:color w:val="auto"/>
          <w:spacing w:val="-15"/>
        </w:rPr>
        <w:t xml:space="preserve">） </w:t>
      </w:r>
      <w:r>
        <w:rPr>
          <w:color w:val="auto"/>
        </w:rPr>
        <w:t>未及时将缺陷调查结果报告省级以上质量技术监督部门的。”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3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违法行为在规定期限改正的。</w:t>
      </w:r>
    </w:p>
    <w:p>
      <w:pPr>
        <w:pStyle w:val="13"/>
        <w:numPr>
          <w:ilvl w:val="0"/>
          <w:numId w:val="43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6232"/>
        <w:rPr>
          <w:color w:val="auto"/>
        </w:rPr>
      </w:pPr>
      <w:r>
        <w:rPr>
          <w:color w:val="auto"/>
        </w:rPr>
        <w:t>警告，责令限期改正。2、【一般】</w:t>
      </w:r>
    </w:p>
    <w:p>
      <w:pPr>
        <w:pStyle w:val="13"/>
        <w:numPr>
          <w:ilvl w:val="0"/>
          <w:numId w:val="43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148" w:firstLine="480"/>
        <w:rPr>
          <w:color w:val="auto"/>
        </w:rPr>
      </w:pPr>
      <w:r>
        <w:rPr>
          <w:color w:val="auto"/>
        </w:rPr>
        <w:t>逾期未改正，具有以下情形之一的：1、二次以下拒不报告，或不如实提供有关</w:t>
      </w:r>
      <w:r>
        <w:rPr>
          <w:color w:val="auto"/>
          <w:spacing w:val="-4"/>
        </w:rPr>
        <w:t>资料的；</w:t>
      </w:r>
      <w:r>
        <w:rPr>
          <w:color w:val="auto"/>
          <w:spacing w:val="-16"/>
        </w:rPr>
        <w:t>2</w:t>
      </w:r>
      <w:r>
        <w:rPr>
          <w:color w:val="auto"/>
          <w:spacing w:val="-10"/>
        </w:rPr>
        <w:t>、违法产品货值金额较大，售出无法追回的；</w:t>
      </w:r>
      <w:r>
        <w:rPr>
          <w:color w:val="auto"/>
          <w:spacing w:val="-16"/>
        </w:rPr>
        <w:t>3</w:t>
      </w:r>
      <w:r>
        <w:rPr>
          <w:color w:val="auto"/>
          <w:spacing w:val="-19"/>
        </w:rPr>
        <w:t xml:space="preserve">、经督促 </w:t>
      </w:r>
      <w:r>
        <w:rPr>
          <w:color w:val="auto"/>
        </w:rPr>
        <w:t>1</w:t>
      </w:r>
      <w:r>
        <w:rPr>
          <w:color w:val="auto"/>
          <w:spacing w:val="-9"/>
        </w:rPr>
        <w:t xml:space="preserve"> 次后仍不改正的。</w:t>
      </w:r>
    </w:p>
    <w:p>
      <w:pPr>
        <w:spacing w:after="0" w:line="388" w:lineRule="auto"/>
        <w:rPr>
          <w:color w:val="auto"/>
        </w:rPr>
        <w:sectPr>
          <w:footerReference r:id="rId67" w:type="default"/>
          <w:footerReference r:id="rId68" w:type="even"/>
          <w:pgSz w:w="11910" w:h="16840"/>
          <w:pgMar w:top="1520" w:right="1260" w:bottom="1220" w:left="1420" w:header="0" w:footer="1034" w:gutter="0"/>
          <w:pgNumType w:start="309"/>
        </w:sectPr>
      </w:pPr>
    </w:p>
    <w:p>
      <w:pPr>
        <w:pStyle w:val="13"/>
        <w:numPr>
          <w:ilvl w:val="0"/>
          <w:numId w:val="434"/>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43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逾期未改正，具有以下情形之一的：1、多次拒不报告的；2、违法产品货值金额较大，造成损失进一步扩大等危害后果的。</w:t>
      </w:r>
    </w:p>
    <w:p>
      <w:pPr>
        <w:pStyle w:val="13"/>
        <w:numPr>
          <w:ilvl w:val="0"/>
          <w:numId w:val="43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152"/>
        <w:rPr>
          <w:color w:val="auto"/>
        </w:rPr>
      </w:pPr>
      <w:r>
        <w:rPr>
          <w:color w:val="auto"/>
          <w:spacing w:val="-30"/>
        </w:rPr>
        <w:t xml:space="preserve">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pStyle w:val="13"/>
        <w:numPr>
          <w:ilvl w:val="0"/>
          <w:numId w:val="43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rPr>
        <w:t>逾期未改正，具有以下情形之一的：1、拒不改正，干扰、阻碍检查导致依法调</w:t>
      </w:r>
      <w:r>
        <w:rPr>
          <w:color w:val="auto"/>
          <w:spacing w:val="-2"/>
        </w:rPr>
        <w:t>查难以进行的；</w:t>
      </w:r>
      <w:r>
        <w:rPr>
          <w:color w:val="auto"/>
          <w:spacing w:val="-14"/>
        </w:rPr>
        <w:t>2</w:t>
      </w:r>
      <w:r>
        <w:rPr>
          <w:color w:val="auto"/>
          <w:spacing w:val="-10"/>
        </w:rPr>
        <w:t>、产品存在较大缺陷，危及财产安全的；</w:t>
      </w:r>
      <w:r>
        <w:rPr>
          <w:color w:val="auto"/>
          <w:spacing w:val="-12"/>
        </w:rPr>
        <w:t>3</w:t>
      </w:r>
      <w:r>
        <w:rPr>
          <w:color w:val="auto"/>
          <w:spacing w:val="-9"/>
        </w:rPr>
        <w:t>、经查处后，再次违法的。</w:t>
      </w:r>
    </w:p>
    <w:p>
      <w:pPr>
        <w:pStyle w:val="13"/>
        <w:numPr>
          <w:ilvl w:val="0"/>
          <w:numId w:val="43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5</w:t>
      </w:r>
      <w:r>
        <w:rPr>
          <w:color w:val="auto"/>
          <w:spacing w:val="-18"/>
        </w:rPr>
        <w:t>、【特别严重】</w:t>
      </w:r>
    </w:p>
    <w:p>
      <w:pPr>
        <w:pStyle w:val="13"/>
        <w:numPr>
          <w:ilvl w:val="0"/>
          <w:numId w:val="43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266" w:firstLine="480"/>
        <w:jc w:val="both"/>
        <w:rPr>
          <w:color w:val="auto"/>
        </w:rPr>
      </w:pPr>
      <w:r>
        <w:rPr>
          <w:color w:val="auto"/>
          <w:spacing w:val="-3"/>
        </w:rPr>
        <w:t>逾期未改正，具有以下情形之一的：</w:t>
      </w:r>
      <w:r>
        <w:rPr>
          <w:color w:val="auto"/>
          <w:spacing w:val="-4"/>
        </w:rPr>
        <w:t>1</w:t>
      </w:r>
      <w:r>
        <w:rPr>
          <w:color w:val="auto"/>
          <w:spacing w:val="-3"/>
        </w:rPr>
        <w:t>、威胁或者利诱执法人员；</w:t>
      </w:r>
      <w:r>
        <w:rPr>
          <w:color w:val="auto"/>
          <w:spacing w:val="-4"/>
        </w:rPr>
        <w:t>2</w:t>
      </w:r>
      <w:r>
        <w:rPr>
          <w:color w:val="auto"/>
          <w:spacing w:val="-5"/>
        </w:rPr>
        <w:t>、用暴力方式</w:t>
      </w:r>
      <w:r>
        <w:rPr>
          <w:color w:val="auto"/>
        </w:rPr>
        <w:t>阻碍调查的；3、产品存在严重缺陷，造成人身、财产损害或造成较大社会影响等较大危害后果的；4、屡查屡犯的。</w:t>
      </w:r>
    </w:p>
    <w:p>
      <w:pPr>
        <w:pStyle w:val="13"/>
        <w:numPr>
          <w:ilvl w:val="0"/>
          <w:numId w:val="437"/>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1.5 万元以上 2 万元以下罚款。</w:t>
      </w:r>
    </w:p>
    <w:p>
      <w:pPr>
        <w:pStyle w:val="2"/>
        <w:spacing w:before="192"/>
        <w:rPr>
          <w:color w:val="auto"/>
        </w:rPr>
      </w:pPr>
      <w:bookmarkStart w:id="693" w:name="三百三十八、生产者确认儿童玩具存在缺陷，未停止生产销售存在缺陷的儿童玩具"/>
      <w:bookmarkEnd w:id="693"/>
      <w:bookmarkStart w:id="694" w:name="_bookmark346"/>
      <w:bookmarkEnd w:id="694"/>
      <w:r>
        <w:rPr>
          <w:color w:val="auto"/>
        </w:rPr>
        <w:t>三百三十八、生产者确认儿童玩具存在缺陷，未停止生产销售存在缺陷的儿童玩</w:t>
      </w:r>
    </w:p>
    <w:p>
      <w:pPr>
        <w:spacing w:before="194"/>
        <w:ind w:left="111" w:right="0" w:firstLine="0"/>
        <w:jc w:val="left"/>
        <w:rPr>
          <w:b/>
          <w:color w:val="auto"/>
          <w:sz w:val="24"/>
        </w:rPr>
      </w:pPr>
      <w:r>
        <w:rPr>
          <w:b/>
          <w:color w:val="auto"/>
          <w:w w:val="99"/>
          <w:sz w:val="24"/>
        </w:rPr>
        <w:t>具</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14"/>
        </w:rPr>
        <w:t>、《儿童玩具召回管理规定》第三十七条“生产者违反本规定第二十一条、第二</w:t>
      </w:r>
      <w:r>
        <w:rPr>
          <w:color w:val="auto"/>
          <w:spacing w:val="-6"/>
        </w:rPr>
        <w:t xml:space="preserve">十八条规定，未停止生产销售存在缺陷的儿童玩具的，处以 </w:t>
      </w:r>
      <w:r>
        <w:rPr>
          <w:color w:val="auto"/>
        </w:rPr>
        <w:t>3</w:t>
      </w:r>
      <w:r>
        <w:rPr>
          <w:color w:val="auto"/>
          <w:spacing w:val="-10"/>
        </w:rPr>
        <w:t xml:space="preserve"> 万元以下罚款；违反有</w:t>
      </w:r>
      <w:r>
        <w:rPr>
          <w:color w:val="auto"/>
          <w:spacing w:val="-6"/>
        </w:rPr>
        <w:t>关法律法规规定的，依照有关法律法规规定处理。”</w:t>
      </w:r>
    </w:p>
    <w:p>
      <w:pPr>
        <w:pStyle w:val="4"/>
        <w:spacing w:line="304" w:lineRule="exact"/>
        <w:ind w:left="591"/>
        <w:rPr>
          <w:color w:val="auto"/>
        </w:rPr>
      </w:pPr>
      <w:r>
        <w:rPr>
          <w:color w:val="auto"/>
        </w:rPr>
        <w:t>2、《儿童玩具召回管理规定》第二十一条“确认儿童玩具存在缺陷的，生产者应</w:t>
      </w:r>
    </w:p>
    <w:p>
      <w:pPr>
        <w:spacing w:after="0" w:line="304" w:lineRule="exact"/>
        <w:rPr>
          <w:color w:val="auto"/>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3"/>
        </w:rPr>
        <w:t>当立即停止生产销售存在缺陷的儿童玩具，依法向社会公布有关儿童玩具缺陷等信</w:t>
      </w:r>
      <w:r>
        <w:rPr>
          <w:color w:val="auto"/>
          <w:spacing w:val="-6"/>
        </w:rPr>
        <w:t>息，通知销售者停止销售存在缺陷的儿童玩具，通知消费者停止消费存在缺陷的儿童</w:t>
      </w:r>
      <w:r>
        <w:rPr>
          <w:color w:val="auto"/>
        </w:rPr>
        <w:fldChar w:fldCharType="begin"/>
      </w:r>
      <w:r>
        <w:rPr>
          <w:color w:val="auto"/>
        </w:rPr>
        <w:instrText xml:space="preserve"> HYPERLINK "http://baike.baidu.com/view/2336359.htm" \h </w:instrText>
      </w:r>
      <w:r>
        <w:rPr>
          <w:color w:val="auto"/>
        </w:rPr>
        <w:fldChar w:fldCharType="separate"/>
      </w:r>
      <w:r>
        <w:rPr>
          <w:color w:val="auto"/>
        </w:rPr>
        <w:t>玩具，并及时实施主动召回</w:t>
      </w:r>
      <w:r>
        <w:rPr>
          <w:color w:val="auto"/>
        </w:rPr>
        <w:fldChar w:fldCharType="end"/>
      </w:r>
      <w:r>
        <w:rPr>
          <w:color w:val="auto"/>
          <w:spacing w:val="-60"/>
        </w:rPr>
        <w:t>。”</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3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line="391" w:lineRule="auto"/>
        <w:ind w:right="269" w:firstLine="480"/>
        <w:rPr>
          <w:color w:val="auto"/>
        </w:rPr>
      </w:pPr>
      <w:r>
        <w:rPr>
          <w:color w:val="auto"/>
        </w:rPr>
        <w:t>具有以下情形之一的：1、有证据证明该产品是初次生产，虽未停止生产但尚未销售的；2、有证据证明该产品是初次生产，虽未停止生产但没有造成危害结果的。</w:t>
      </w:r>
    </w:p>
    <w:p>
      <w:pPr>
        <w:pStyle w:val="13"/>
        <w:numPr>
          <w:ilvl w:val="0"/>
          <w:numId w:val="43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、【一般】</w:t>
      </w:r>
    </w:p>
    <w:p>
      <w:pPr>
        <w:pStyle w:val="13"/>
        <w:numPr>
          <w:ilvl w:val="0"/>
          <w:numId w:val="43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具有以下情形之一的：1、生产销售存在缺陷的产品货值较小的；2、检验结论为不合格且主动追回已售出的产品的。</w:t>
      </w:r>
    </w:p>
    <w:p>
      <w:pPr>
        <w:pStyle w:val="13"/>
        <w:numPr>
          <w:ilvl w:val="0"/>
          <w:numId w:val="43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30"/>
        </w:rPr>
        <w:t xml:space="preserve">处 </w:t>
      </w:r>
      <w:r>
        <w:rPr>
          <w:color w:val="auto"/>
        </w:rPr>
        <w:t>5000</w:t>
      </w:r>
      <w:r>
        <w:rPr>
          <w:color w:val="auto"/>
          <w:spacing w:val="-24"/>
        </w:rPr>
        <w:t xml:space="preserve"> 元以上 </w:t>
      </w:r>
      <w:r>
        <w:rPr>
          <w:color w:val="auto"/>
        </w:rPr>
        <w:t>8000</w:t>
      </w:r>
      <w:r>
        <w:rPr>
          <w:color w:val="auto"/>
          <w:spacing w:val="-11"/>
        </w:rPr>
        <w:t xml:space="preserve"> 元以下罚款。</w:t>
      </w:r>
      <w:r>
        <w:rPr>
          <w:color w:val="auto"/>
        </w:rPr>
        <w:t>3</w:t>
      </w:r>
      <w:r>
        <w:rPr>
          <w:color w:val="auto"/>
          <w:spacing w:val="-24"/>
        </w:rPr>
        <w:t>、【较重】</w:t>
      </w:r>
    </w:p>
    <w:p>
      <w:pPr>
        <w:pStyle w:val="13"/>
        <w:numPr>
          <w:ilvl w:val="0"/>
          <w:numId w:val="44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具有以下情形之一的：1、生产销售存在缺陷的产品货值金额较大的；2、检验结论为不合格且产品半数以下售出，无法追回的。</w:t>
      </w:r>
    </w:p>
    <w:p>
      <w:pPr>
        <w:pStyle w:val="13"/>
        <w:numPr>
          <w:ilvl w:val="0"/>
          <w:numId w:val="44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912"/>
        <w:rPr>
          <w:color w:val="auto"/>
        </w:rPr>
      </w:pPr>
      <w:r>
        <w:rPr>
          <w:color w:val="auto"/>
          <w:spacing w:val="-30"/>
        </w:rPr>
        <w:t xml:space="preserve">处 </w:t>
      </w:r>
      <w:r>
        <w:rPr>
          <w:color w:val="auto"/>
        </w:rPr>
        <w:t>8000</w:t>
      </w:r>
      <w:r>
        <w:rPr>
          <w:color w:val="auto"/>
          <w:spacing w:val="-24"/>
        </w:rPr>
        <w:t xml:space="preserve"> 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44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9" w:firstLine="480"/>
        <w:rPr>
          <w:color w:val="auto"/>
        </w:rPr>
      </w:pPr>
      <w:r>
        <w:rPr>
          <w:color w:val="auto"/>
        </w:rPr>
        <w:t>具有以下情形之一的：1、生产销售存在缺陷的产品货值金额较大，售出产品无法追回的；2、检验结论为不合格且产品全部或大部分销售、无法追回的。</w:t>
      </w:r>
    </w:p>
    <w:p>
      <w:pPr>
        <w:pStyle w:val="13"/>
        <w:numPr>
          <w:ilvl w:val="0"/>
          <w:numId w:val="44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处 1.5 万元以上 2 万元以下罚款。</w:t>
      </w:r>
    </w:p>
    <w:p>
      <w:pPr>
        <w:spacing w:after="0"/>
        <w:rPr>
          <w:color w:val="auto"/>
        </w:rPr>
        <w:sectPr>
          <w:footerReference r:id="rId69" w:type="default"/>
          <w:footerReference r:id="rId70" w:type="even"/>
          <w:pgSz w:w="11910" w:h="16840"/>
          <w:pgMar w:top="1520" w:right="1260" w:bottom="1220" w:left="1420" w:header="0" w:footer="1034" w:gutter="0"/>
          <w:pgNumType w:start="311"/>
        </w:sectPr>
      </w:pPr>
    </w:p>
    <w:p>
      <w:pPr>
        <w:pStyle w:val="4"/>
        <w:spacing w:before="39"/>
        <w:ind w:left="591"/>
        <w:rPr>
          <w:color w:val="auto"/>
        </w:rPr>
      </w:pPr>
      <w:r>
        <w:rPr>
          <w:color w:val="auto"/>
        </w:rPr>
        <w:t>5、【特别严重】</w:t>
      </w:r>
    </w:p>
    <w:p>
      <w:pPr>
        <w:pStyle w:val="13"/>
        <w:numPr>
          <w:ilvl w:val="0"/>
          <w:numId w:val="442"/>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91" w:lineRule="auto"/>
        <w:ind w:right="268" w:firstLine="480"/>
        <w:jc w:val="both"/>
        <w:rPr>
          <w:color w:val="auto"/>
        </w:rPr>
      </w:pPr>
      <w:r>
        <w:rPr>
          <w:color w:val="auto"/>
          <w:spacing w:val="-1"/>
        </w:rPr>
        <w:t>具有以下情形之一的：</w:t>
      </w:r>
      <w:r>
        <w:rPr>
          <w:color w:val="auto"/>
          <w:spacing w:val="-5"/>
        </w:rPr>
        <w:t>1</w:t>
      </w:r>
      <w:r>
        <w:rPr>
          <w:color w:val="auto"/>
          <w:spacing w:val="-4"/>
        </w:rPr>
        <w:t>、生产销售存在缺陷的产品货值巨大的；2</w:t>
      </w:r>
      <w:r>
        <w:rPr>
          <w:color w:val="auto"/>
          <w:spacing w:val="-5"/>
        </w:rPr>
        <w:t>、检验结论为</w:t>
      </w:r>
      <w:r>
        <w:rPr>
          <w:color w:val="auto"/>
        </w:rPr>
        <w:t xml:space="preserve">不合格，产品全部或大部分销售，且拒不追回的；3、不执行责令停止生产、销售， </w:t>
      </w:r>
      <w:r>
        <w:rPr>
          <w:color w:val="auto"/>
          <w:spacing w:val="-1"/>
        </w:rPr>
        <w:t>继续实施违法行为的；</w:t>
      </w:r>
      <w:r>
        <w:rPr>
          <w:color w:val="auto"/>
          <w:spacing w:val="-6"/>
        </w:rPr>
        <w:t>4</w:t>
      </w:r>
      <w:r>
        <w:rPr>
          <w:color w:val="auto"/>
          <w:spacing w:val="-5"/>
        </w:rPr>
        <w:t>、缺陷产品造成人身、财产损害 或者造成较大社会影响的等</w:t>
      </w:r>
      <w:r>
        <w:rPr>
          <w:color w:val="auto"/>
        </w:rPr>
        <w:t>严重危害后果的。</w:t>
      </w:r>
    </w:p>
    <w:p>
      <w:pPr>
        <w:pStyle w:val="13"/>
        <w:numPr>
          <w:ilvl w:val="0"/>
          <w:numId w:val="442"/>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4"/>
        <w:ind w:left="591"/>
        <w:rPr>
          <w:color w:val="auto"/>
        </w:rPr>
      </w:pPr>
      <w:r>
        <w:rPr>
          <w:color w:val="auto"/>
        </w:rPr>
        <w:t>处 2 万元以上 3 万元以下罚款。</w:t>
      </w:r>
    </w:p>
    <w:p>
      <w:pPr>
        <w:pStyle w:val="2"/>
        <w:spacing w:before="192" w:line="388" w:lineRule="auto"/>
        <w:ind w:left="111" w:right="237" w:firstLine="480"/>
        <w:rPr>
          <w:color w:val="auto"/>
        </w:rPr>
      </w:pPr>
      <w:bookmarkStart w:id="695" w:name="三百三十九、生产者在收到国家质检总局发出的责令召回通告后，未停止生产销售存在缺陷"/>
      <w:bookmarkEnd w:id="695"/>
      <w:bookmarkStart w:id="696" w:name="_bookmark347"/>
      <w:bookmarkEnd w:id="696"/>
      <w:r>
        <w:rPr>
          <w:color w:val="auto"/>
          <w:spacing w:val="-7"/>
        </w:rPr>
        <w:t>三百三十九、生产者在收到国家质检总局发出的责令召回通告后，未停止生产销售存在缺陷的儿童玩具</w:t>
      </w:r>
    </w:p>
    <w:p>
      <w:pPr>
        <w:spacing w:before="5"/>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rPr>
        <w:t>1、《儿童玩具召回管理规定》第三十七条“生产者违反本规定第二十一条、第</w:t>
      </w:r>
      <w:r>
        <w:rPr>
          <w:color w:val="auto"/>
          <w:spacing w:val="-6"/>
        </w:rPr>
        <w:t xml:space="preserve">二十八条规定，未停止生产销售存在缺陷的儿童玩具的，处以 </w:t>
      </w:r>
      <w:r>
        <w:rPr>
          <w:color w:val="auto"/>
        </w:rPr>
        <w:t>3</w:t>
      </w:r>
      <w:r>
        <w:rPr>
          <w:color w:val="auto"/>
          <w:spacing w:val="-10"/>
        </w:rPr>
        <w:t xml:space="preserve"> 万元以下罚款；违反</w:t>
      </w:r>
      <w:r>
        <w:rPr>
          <w:color w:val="auto"/>
        </w:rPr>
        <w:t>有关法律法规规定的，依照有关法律法规规定处理。”</w:t>
      </w:r>
    </w:p>
    <w:p>
      <w:pPr>
        <w:pStyle w:val="4"/>
        <w:spacing w:line="388" w:lineRule="auto"/>
        <w:ind w:right="268" w:firstLine="470"/>
        <w:rPr>
          <w:color w:val="auto"/>
        </w:rPr>
      </w:pPr>
      <w:r>
        <w:rPr>
          <w:color w:val="auto"/>
        </w:rPr>
        <w:t>2、《儿童玩具召回管理规定》第二十八条“生产者在收到国家质检总局发出的责令召回通告后，应当立即停止生产销售所涉及的儿童玩具。”</w:t>
      </w:r>
    </w:p>
    <w:p>
      <w:pPr>
        <w:spacing w:before="1"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4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具有以下情形之一的：1、有证据证明该产品是初次生产，虽未停止生产但尚未销售的；2、有证据证明该产品是初次生产，虽未停止生产但没有造成危害结果的。</w:t>
      </w:r>
    </w:p>
    <w:p>
      <w:pPr>
        <w:pStyle w:val="13"/>
        <w:numPr>
          <w:ilvl w:val="0"/>
          <w:numId w:val="443"/>
        </w:numPr>
        <w:tabs>
          <w:tab w:val="left" w:pos="1193"/>
        </w:tabs>
        <w:spacing w:before="2" w:after="0" w:line="391" w:lineRule="auto"/>
        <w:ind w:left="591" w:right="6832" w:firstLine="0"/>
        <w:jc w:val="left"/>
        <w:rPr>
          <w:color w:val="auto"/>
          <w:sz w:val="24"/>
        </w:rPr>
      </w:pPr>
      <w:r>
        <w:rPr>
          <w:color w:val="auto"/>
          <w:sz w:val="24"/>
        </w:rPr>
        <w:t xml:space="preserve">处罚标准 </w:t>
      </w:r>
      <w:r>
        <w:rPr>
          <w:color w:val="auto"/>
          <w:spacing w:val="-30"/>
          <w:sz w:val="24"/>
        </w:rPr>
        <w:t xml:space="preserve">处 </w:t>
      </w:r>
      <w:r>
        <w:rPr>
          <w:color w:val="auto"/>
          <w:sz w:val="24"/>
        </w:rPr>
        <w:t>5000</w:t>
      </w:r>
      <w:r>
        <w:rPr>
          <w:color w:val="auto"/>
          <w:spacing w:val="-16"/>
          <w:sz w:val="24"/>
        </w:rPr>
        <w:t xml:space="preserve"> 元罚款。</w:t>
      </w:r>
      <w:r>
        <w:rPr>
          <w:color w:val="auto"/>
          <w:sz w:val="24"/>
        </w:rPr>
        <w:t>2</w:t>
      </w:r>
      <w:r>
        <w:rPr>
          <w:color w:val="auto"/>
          <w:spacing w:val="-24"/>
          <w:sz w:val="24"/>
        </w:rPr>
        <w:t>、【一般】</w:t>
      </w:r>
    </w:p>
    <w:p>
      <w:pPr>
        <w:pStyle w:val="13"/>
        <w:numPr>
          <w:ilvl w:val="0"/>
          <w:numId w:val="444"/>
        </w:numPr>
        <w:tabs>
          <w:tab w:val="left" w:pos="1193"/>
        </w:tabs>
        <w:spacing w:before="0" w:after="0" w:line="304" w:lineRule="exact"/>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具有以下情形之一的：1、生产销售存在缺陷的产品货值金额较小的；2、检验结论为不合格且主动追回已售出的产品的。</w:t>
      </w:r>
    </w:p>
    <w:p>
      <w:pPr>
        <w:pStyle w:val="13"/>
        <w:numPr>
          <w:ilvl w:val="0"/>
          <w:numId w:val="444"/>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5152"/>
        <w:rPr>
          <w:color w:val="auto"/>
        </w:rPr>
      </w:pPr>
      <w:r>
        <w:rPr>
          <w:color w:val="auto"/>
          <w:spacing w:val="-30"/>
        </w:rPr>
        <w:t xml:space="preserve">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44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具有以下情形之一的：1、生产销售存在缺陷的产品货值金额较大的；2、检验结论为不合格且产品半数以下售出，无法追回的。</w:t>
      </w:r>
    </w:p>
    <w:p>
      <w:pPr>
        <w:pStyle w:val="13"/>
        <w:numPr>
          <w:ilvl w:val="0"/>
          <w:numId w:val="44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44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148" w:firstLine="480"/>
        <w:rPr>
          <w:color w:val="auto"/>
        </w:rPr>
      </w:pPr>
      <w:r>
        <w:rPr>
          <w:color w:val="auto"/>
          <w:spacing w:val="-1"/>
        </w:rPr>
        <w:t>具有以下情形之一的：</w:t>
      </w:r>
      <w:r>
        <w:rPr>
          <w:color w:val="auto"/>
          <w:spacing w:val="-6"/>
        </w:rPr>
        <w:t>1</w:t>
      </w:r>
      <w:r>
        <w:rPr>
          <w:color w:val="auto"/>
          <w:spacing w:val="-5"/>
        </w:rPr>
        <w:t xml:space="preserve">、生产销售存在缺陷的产品货值金额较大，拒不追回的； </w:t>
      </w:r>
      <w:r>
        <w:rPr>
          <w:color w:val="auto"/>
        </w:rPr>
        <w:t>2</w:t>
      </w:r>
      <w:r>
        <w:rPr>
          <w:color w:val="auto"/>
          <w:spacing w:val="-4"/>
        </w:rPr>
        <w:t>、检验结论为不合格且产品全部或大部分销售、无法追回的；3、经查处后，再次违法的。</w:t>
      </w:r>
    </w:p>
    <w:p>
      <w:pPr>
        <w:pStyle w:val="13"/>
        <w:numPr>
          <w:ilvl w:val="0"/>
          <w:numId w:val="44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4792"/>
        <w:rPr>
          <w:color w:val="auto"/>
        </w:rPr>
      </w:pPr>
      <w:r>
        <w:rPr>
          <w:color w:val="auto"/>
          <w:spacing w:val="-30"/>
        </w:rPr>
        <w:t xml:space="preserve">处 </w:t>
      </w:r>
      <w:r>
        <w:rPr>
          <w:color w:val="auto"/>
        </w:rPr>
        <w:t>1.5</w:t>
      </w:r>
      <w:r>
        <w:rPr>
          <w:color w:val="auto"/>
          <w:spacing w:val="-20"/>
        </w:rPr>
        <w:t xml:space="preserve"> 万元以上 </w:t>
      </w:r>
      <w:r>
        <w:rPr>
          <w:color w:val="auto"/>
        </w:rPr>
        <w:t>2.5</w:t>
      </w:r>
      <w:r>
        <w:rPr>
          <w:color w:val="auto"/>
          <w:spacing w:val="-10"/>
        </w:rPr>
        <w:t xml:space="preserve"> 万元以下罚款。</w:t>
      </w:r>
      <w:r>
        <w:rPr>
          <w:color w:val="auto"/>
        </w:rPr>
        <w:t>5</w:t>
      </w:r>
      <w:r>
        <w:rPr>
          <w:color w:val="auto"/>
          <w:spacing w:val="-18"/>
        </w:rPr>
        <w:t>、【特别严重】</w:t>
      </w:r>
    </w:p>
    <w:p>
      <w:pPr>
        <w:pStyle w:val="13"/>
        <w:numPr>
          <w:ilvl w:val="0"/>
          <w:numId w:val="44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91" w:lineRule="auto"/>
        <w:ind w:right="145" w:firstLine="480"/>
        <w:rPr>
          <w:color w:val="auto"/>
        </w:rPr>
      </w:pPr>
      <w:r>
        <w:rPr>
          <w:color w:val="auto"/>
          <w:spacing w:val="-1"/>
        </w:rPr>
        <w:t>具有以下情形之一的：</w:t>
      </w:r>
      <w:r>
        <w:rPr>
          <w:color w:val="auto"/>
          <w:spacing w:val="-5"/>
        </w:rPr>
        <w:t>1</w:t>
      </w:r>
      <w:r>
        <w:rPr>
          <w:color w:val="auto"/>
          <w:spacing w:val="-4"/>
        </w:rPr>
        <w:t>、生产销售存在缺陷的产品货值巨大的；2</w:t>
      </w:r>
      <w:r>
        <w:rPr>
          <w:color w:val="auto"/>
          <w:spacing w:val="-3"/>
        </w:rPr>
        <w:t>、检验结论为</w:t>
      </w:r>
      <w:r>
        <w:rPr>
          <w:color w:val="auto"/>
          <w:spacing w:val="-5"/>
        </w:rPr>
        <w:t>不合格的，产品全部或大部分销售，且拒不追回的；</w:t>
      </w:r>
      <w:r>
        <w:rPr>
          <w:color w:val="auto"/>
          <w:spacing w:val="-3"/>
        </w:rPr>
        <w:t>3</w:t>
      </w:r>
      <w:r>
        <w:rPr>
          <w:color w:val="auto"/>
          <w:spacing w:val="-5"/>
        </w:rPr>
        <w:t xml:space="preserve">、不执行责令停止生产、销售， </w:t>
      </w:r>
      <w:r>
        <w:rPr>
          <w:color w:val="auto"/>
          <w:spacing w:val="-1"/>
        </w:rPr>
        <w:t>继续实施违法行为的；</w:t>
      </w:r>
      <w:r>
        <w:rPr>
          <w:color w:val="auto"/>
          <w:spacing w:val="-6"/>
        </w:rPr>
        <w:t>4</w:t>
      </w:r>
      <w:r>
        <w:rPr>
          <w:color w:val="auto"/>
          <w:spacing w:val="-4"/>
        </w:rPr>
        <w:t>、缺陷产品造成人身、财产损害 或者造成较大社会影响的等严重危害后果的；5、屡查屡犯的。</w:t>
      </w:r>
    </w:p>
    <w:p>
      <w:pPr>
        <w:pStyle w:val="13"/>
        <w:numPr>
          <w:ilvl w:val="0"/>
          <w:numId w:val="447"/>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处 2.5 万元以上 3 万元以下罚款。</w:t>
      </w:r>
    </w:p>
    <w:p>
      <w:pPr>
        <w:pStyle w:val="2"/>
        <w:spacing w:before="194" w:line="388" w:lineRule="auto"/>
        <w:ind w:left="111" w:right="237" w:firstLine="480"/>
        <w:jc w:val="both"/>
        <w:rPr>
          <w:color w:val="auto"/>
        </w:rPr>
      </w:pPr>
      <w:bookmarkStart w:id="697" w:name="_bookmark348"/>
      <w:bookmarkEnd w:id="697"/>
      <w:bookmarkStart w:id="698" w:name="三百四十、确认儿童玩具存在缺陷的，生产者未依法向社会公布有关儿童玩具缺陷等信息、"/>
      <w:bookmarkEnd w:id="698"/>
      <w:r>
        <w:rPr>
          <w:color w:val="auto"/>
          <w:spacing w:val="-8"/>
        </w:rPr>
        <w:t>三百四十、确认儿童玩具存在缺陷的，生产者未依法向社会公布有关儿童玩具缺</w:t>
      </w:r>
      <w:r>
        <w:rPr>
          <w:color w:val="auto"/>
          <w:spacing w:val="-11"/>
        </w:rPr>
        <w:t>陷等信息、通知销售者停止销售存在缺陷的儿童玩具、通知消费者停止消费存在缺陷的儿童玩具，未实施主动召回</w:t>
      </w:r>
    </w:p>
    <w:p>
      <w:pPr>
        <w:spacing w:before="5"/>
        <w:ind w:left="591" w:right="0" w:firstLine="0"/>
        <w:jc w:val="left"/>
        <w:rPr>
          <w:b/>
          <w:color w:val="auto"/>
          <w:sz w:val="24"/>
        </w:rPr>
      </w:pPr>
      <w:r>
        <w:rPr>
          <w:b/>
          <w:color w:val="auto"/>
          <w:sz w:val="24"/>
        </w:rPr>
        <w:t>（一）处罚依据</w:t>
      </w:r>
    </w:p>
    <w:p>
      <w:pPr>
        <w:pStyle w:val="4"/>
        <w:spacing w:before="192" w:line="388" w:lineRule="auto"/>
        <w:ind w:right="213" w:firstLine="470"/>
        <w:rPr>
          <w:color w:val="auto"/>
        </w:rPr>
      </w:pPr>
      <w:r>
        <w:rPr>
          <w:color w:val="auto"/>
        </w:rPr>
        <w:t>1、《儿童玩具召回管理规定》第三十八条“生产者违反本规定第二十一条、第二十二条规定，未依法向社会公布有关儿童玩具缺陷等信息、通知销售者停止销售存</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32"/>
        <w:jc w:val="both"/>
        <w:rPr>
          <w:color w:val="auto"/>
        </w:rPr>
      </w:pPr>
      <w:r>
        <w:rPr>
          <w:color w:val="auto"/>
          <w:spacing w:val="-1"/>
        </w:rPr>
        <w:t xml:space="preserve">在缺陷的儿童玩具、通知消费者停止消费存在缺陷的儿童玩具，未实施主动召回的， </w:t>
      </w:r>
      <w:r>
        <w:rPr>
          <w:color w:val="auto"/>
          <w:spacing w:val="-7"/>
        </w:rPr>
        <w:t xml:space="preserve">予以警告，责令限期改正；逾期未改正的，处以 </w:t>
      </w:r>
      <w:r>
        <w:rPr>
          <w:color w:val="auto"/>
        </w:rPr>
        <w:t>3</w:t>
      </w:r>
      <w:r>
        <w:rPr>
          <w:color w:val="auto"/>
          <w:spacing w:val="-9"/>
        </w:rPr>
        <w:t xml:space="preserve"> 万元以下罚款；违反有关法律法规规定的，依照有关法律法规规定处理。”</w:t>
      </w:r>
    </w:p>
    <w:p>
      <w:pPr>
        <w:pStyle w:val="4"/>
        <w:spacing w:line="391" w:lineRule="auto"/>
        <w:ind w:right="268" w:firstLine="480"/>
        <w:jc w:val="both"/>
        <w:rPr>
          <w:color w:val="auto"/>
        </w:rPr>
      </w:pPr>
      <w:r>
        <w:rPr>
          <w:color w:val="auto"/>
        </w:rPr>
        <w:t>2</w:t>
      </w:r>
      <w:r>
        <w:rPr>
          <w:color w:val="auto"/>
          <w:spacing w:val="-14"/>
        </w:rPr>
        <w:t>、《儿童玩具召回管理规定》第二十一条“确认儿童玩具存在缺陷的，生产者应</w:t>
      </w:r>
      <w:r>
        <w:rPr>
          <w:color w:val="auto"/>
          <w:spacing w:val="3"/>
        </w:rPr>
        <w:t>当立即停止生产销售存在缺陷的儿童玩具，依法向社会公布有关儿童玩具缺陷等信</w:t>
      </w:r>
      <w:r>
        <w:rPr>
          <w:color w:val="auto"/>
          <w:spacing w:val="-6"/>
        </w:rPr>
        <w:t>息，通知销售者停止销售存在缺陷的儿童玩具，通知消费者停止消费存在缺陷的儿童</w:t>
      </w:r>
      <w:r>
        <w:rPr>
          <w:color w:val="auto"/>
        </w:rPr>
        <w:fldChar w:fldCharType="begin"/>
      </w:r>
      <w:r>
        <w:rPr>
          <w:color w:val="auto"/>
        </w:rPr>
        <w:instrText xml:space="preserve"> HYPERLINK "http://baike.baidu.com/view/2336359.htm" \h </w:instrText>
      </w:r>
      <w:r>
        <w:rPr>
          <w:color w:val="auto"/>
        </w:rPr>
        <w:fldChar w:fldCharType="separate"/>
      </w:r>
      <w:r>
        <w:rPr>
          <w:color w:val="auto"/>
        </w:rPr>
        <w:t>玩具，并及时实施主动召回</w:t>
      </w:r>
      <w:r>
        <w:rPr>
          <w:color w:val="auto"/>
        </w:rPr>
        <w:fldChar w:fldCharType="end"/>
      </w:r>
      <w:r>
        <w:rPr>
          <w:color w:val="auto"/>
          <w:spacing w:val="-60"/>
        </w:rPr>
        <w:t>。”</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4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违法行为在规定期限改正的。</w:t>
      </w:r>
    </w:p>
    <w:p>
      <w:pPr>
        <w:pStyle w:val="13"/>
        <w:numPr>
          <w:ilvl w:val="0"/>
          <w:numId w:val="44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6232"/>
        <w:rPr>
          <w:color w:val="auto"/>
        </w:rPr>
      </w:pPr>
      <w:r>
        <w:rPr>
          <w:color w:val="auto"/>
        </w:rPr>
        <w:t>警告，责令限期改正。2、【一般】</w:t>
      </w:r>
    </w:p>
    <w:p>
      <w:pPr>
        <w:pStyle w:val="13"/>
        <w:numPr>
          <w:ilvl w:val="0"/>
          <w:numId w:val="44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2" w:firstLine="480"/>
        <w:rPr>
          <w:color w:val="auto"/>
        </w:rPr>
      </w:pPr>
      <w:r>
        <w:rPr>
          <w:color w:val="auto"/>
        </w:rPr>
        <w:t>逾期未改正，具有以下情形之一的：1、货值金额较小的；2、检验结论为不合格且经警告后主动追回已售出的产品的。</w:t>
      </w:r>
    </w:p>
    <w:p>
      <w:pPr>
        <w:pStyle w:val="13"/>
        <w:numPr>
          <w:ilvl w:val="0"/>
          <w:numId w:val="44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6472"/>
        <w:rPr>
          <w:color w:val="auto"/>
        </w:rPr>
      </w:pPr>
      <w:r>
        <w:rPr>
          <w:color w:val="auto"/>
          <w:spacing w:val="-30"/>
        </w:rPr>
        <w:t xml:space="preserve">处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45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71" w:firstLine="480"/>
        <w:rPr>
          <w:color w:val="auto"/>
        </w:rPr>
      </w:pPr>
      <w:r>
        <w:rPr>
          <w:color w:val="auto"/>
        </w:rPr>
        <w:t>逾期未改正，具有以下情形之一的：1、生产销售存在缺陷的产品货值金额较大的；2、检验结论为不合格的，且产品半数以下售出。</w:t>
      </w:r>
    </w:p>
    <w:p>
      <w:pPr>
        <w:pStyle w:val="13"/>
        <w:numPr>
          <w:ilvl w:val="0"/>
          <w:numId w:val="45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45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spacing w:val="-7"/>
        </w:rPr>
        <w:t>逾期未改正，具有以下情形之一的：</w:t>
      </w:r>
      <w:r>
        <w:rPr>
          <w:color w:val="auto"/>
          <w:spacing w:val="-21"/>
        </w:rPr>
        <w:t>1</w:t>
      </w:r>
      <w:r>
        <w:rPr>
          <w:color w:val="auto"/>
          <w:spacing w:val="-8"/>
        </w:rPr>
        <w:t>、生产销售存在缺陷的产品货值巨大的；</w:t>
      </w:r>
      <w:r>
        <w:rPr>
          <w:color w:val="auto"/>
          <w:spacing w:val="-20"/>
        </w:rPr>
        <w:t>2</w:t>
      </w:r>
      <w:r>
        <w:rPr>
          <w:color w:val="auto"/>
        </w:rPr>
        <w:t>、</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检验结论为不合格的，且产品全部或大部分销售的；3、经查处后，再次违法的。</w:t>
      </w:r>
    </w:p>
    <w:p>
      <w:pPr>
        <w:pStyle w:val="13"/>
        <w:numPr>
          <w:ilvl w:val="0"/>
          <w:numId w:val="451"/>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4792"/>
        <w:rPr>
          <w:color w:val="auto"/>
        </w:rPr>
      </w:pPr>
      <w:r>
        <w:rPr>
          <w:color w:val="auto"/>
          <w:spacing w:val="-30"/>
        </w:rPr>
        <w:t xml:space="preserve">处 </w:t>
      </w:r>
      <w:r>
        <w:rPr>
          <w:color w:val="auto"/>
        </w:rPr>
        <w:t>1.5</w:t>
      </w:r>
      <w:r>
        <w:rPr>
          <w:color w:val="auto"/>
          <w:spacing w:val="-20"/>
        </w:rPr>
        <w:t xml:space="preserve"> 万元以上 </w:t>
      </w:r>
      <w:r>
        <w:rPr>
          <w:color w:val="auto"/>
        </w:rPr>
        <w:t>2.5</w:t>
      </w:r>
      <w:r>
        <w:rPr>
          <w:color w:val="auto"/>
          <w:spacing w:val="-10"/>
        </w:rPr>
        <w:t xml:space="preserve"> 万元以下罚款。</w:t>
      </w:r>
      <w:r>
        <w:rPr>
          <w:color w:val="auto"/>
        </w:rPr>
        <w:t>5</w:t>
      </w:r>
      <w:r>
        <w:rPr>
          <w:color w:val="auto"/>
          <w:spacing w:val="-18"/>
        </w:rPr>
        <w:t>、【特别严重】</w:t>
      </w:r>
    </w:p>
    <w:p>
      <w:pPr>
        <w:pStyle w:val="13"/>
        <w:numPr>
          <w:ilvl w:val="0"/>
          <w:numId w:val="452"/>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91" w:lineRule="auto"/>
        <w:ind w:right="264" w:firstLine="480"/>
        <w:jc w:val="both"/>
        <w:rPr>
          <w:color w:val="auto"/>
        </w:rPr>
      </w:pPr>
      <w:r>
        <w:rPr>
          <w:color w:val="auto"/>
        </w:rPr>
        <w:t>逾期未改正，具有以下情形之一的：1、生产销售存在缺陷的产品货值巨大且拒</w:t>
      </w:r>
      <w:r>
        <w:rPr>
          <w:color w:val="auto"/>
          <w:spacing w:val="-1"/>
        </w:rPr>
        <w:t>不追回的；</w:t>
      </w:r>
      <w:r>
        <w:rPr>
          <w:color w:val="auto"/>
          <w:spacing w:val="-4"/>
        </w:rPr>
        <w:t>2、屡查屡犯的；3</w:t>
      </w:r>
      <w:r>
        <w:rPr>
          <w:color w:val="auto"/>
          <w:spacing w:val="-5"/>
        </w:rPr>
        <w:t>、缺陷产品造成人身、财产损害或者造成较大社会影响</w:t>
      </w:r>
      <w:r>
        <w:rPr>
          <w:color w:val="auto"/>
        </w:rPr>
        <w:t>的等严重危害后果的。</w:t>
      </w:r>
    </w:p>
    <w:p>
      <w:pPr>
        <w:pStyle w:val="13"/>
        <w:numPr>
          <w:ilvl w:val="0"/>
          <w:numId w:val="452"/>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处 2.5 万元以上 3 万元以下罚款。</w:t>
      </w:r>
    </w:p>
    <w:p>
      <w:pPr>
        <w:pStyle w:val="2"/>
        <w:spacing w:before="194" w:line="388" w:lineRule="auto"/>
        <w:ind w:left="111" w:right="237" w:firstLine="480"/>
        <w:rPr>
          <w:color w:val="auto"/>
        </w:rPr>
      </w:pPr>
      <w:bookmarkStart w:id="699" w:name="三百四十一、生产者召回儿童玩具，未及时将主动召回计划提交所在地的省级市场监督管理"/>
      <w:bookmarkEnd w:id="699"/>
      <w:bookmarkStart w:id="700" w:name="_bookmark349"/>
      <w:bookmarkEnd w:id="700"/>
      <w:r>
        <w:rPr>
          <w:color w:val="auto"/>
          <w:spacing w:val="-8"/>
        </w:rPr>
        <w:t>三百四十一、生产者召回儿童玩具，未及时将主动召回计划提交所在地的省级市场监督管理部门备案</w:t>
      </w:r>
    </w:p>
    <w:p>
      <w:pPr>
        <w:spacing w:before="2"/>
        <w:ind w:left="591" w:right="0" w:firstLine="0"/>
        <w:jc w:val="left"/>
        <w:rPr>
          <w:b/>
          <w:color w:val="auto"/>
          <w:sz w:val="24"/>
        </w:rPr>
      </w:pPr>
      <w:r>
        <w:rPr>
          <w:b/>
          <w:color w:val="auto"/>
          <w:w w:val="95"/>
          <w:sz w:val="24"/>
        </w:rPr>
        <w:t>（一）处罚依据</w:t>
      </w:r>
    </w:p>
    <w:p>
      <w:pPr>
        <w:pStyle w:val="4"/>
        <w:spacing w:before="194" w:line="388" w:lineRule="auto"/>
        <w:ind w:right="232" w:firstLine="470"/>
        <w:jc w:val="both"/>
        <w:rPr>
          <w:color w:val="auto"/>
        </w:rPr>
      </w:pPr>
      <w:r>
        <w:rPr>
          <w:color w:val="auto"/>
        </w:rPr>
        <w:t>1、《儿童玩具召回管理规定》第三十九条“生产者违反本规定第二十三条、第</w:t>
      </w:r>
      <w:r>
        <w:rPr>
          <w:color w:val="auto"/>
          <w:spacing w:val="-2"/>
        </w:rPr>
        <w:t xml:space="preserve">二十九条规定的，予以警告，责令限期改正；逾期未改正的，处以 </w:t>
      </w:r>
      <w:r>
        <w:rPr>
          <w:color w:val="auto"/>
        </w:rPr>
        <w:t>3</w:t>
      </w:r>
      <w:r>
        <w:rPr>
          <w:color w:val="auto"/>
          <w:spacing w:val="-10"/>
        </w:rPr>
        <w:t xml:space="preserve"> 万元以下罚款； </w:t>
      </w:r>
      <w:r>
        <w:rPr>
          <w:color w:val="auto"/>
        </w:rPr>
        <w:t>违反有关法律法规规定的，依照有关法律法规规定处理。”</w:t>
      </w:r>
    </w:p>
    <w:p>
      <w:pPr>
        <w:pStyle w:val="4"/>
        <w:spacing w:before="6" w:line="388" w:lineRule="auto"/>
        <w:ind w:right="268" w:firstLine="470"/>
        <w:rPr>
          <w:color w:val="auto"/>
        </w:rPr>
      </w:pPr>
      <w:r>
        <w:rPr>
          <w:color w:val="auto"/>
        </w:rPr>
        <w:t>2、《儿童玩具召回管理规定》第二十三条“生产者召回儿童玩具的，应当及时将主动召回计划提交所在地的省级质量技术监督部门备案。</w:t>
      </w:r>
    </w:p>
    <w:p>
      <w:pPr>
        <w:pStyle w:val="4"/>
        <w:spacing w:before="2" w:line="391" w:lineRule="auto"/>
        <w:ind w:right="232" w:firstLine="470"/>
        <w:jc w:val="both"/>
        <w:rPr>
          <w:color w:val="auto"/>
        </w:rPr>
      </w:pPr>
      <w:r>
        <w:rPr>
          <w:color w:val="auto"/>
        </w:rPr>
        <w:t>生产者提交的主动召回计划应当包括以下内容：（一）停止生产销售存在缺陷的儿童玩具的情况；（二）通知销售者停止销售存在缺陷的儿童玩具的情况；（三）通知消费者停止消费存在缺陷的儿童玩具的情况；（四）向社会公布有关信息的情况；</w:t>
      </w:r>
    </w:p>
    <w:p>
      <w:pPr>
        <w:pStyle w:val="4"/>
        <w:spacing w:line="391" w:lineRule="auto"/>
        <w:ind w:right="265"/>
        <w:jc w:val="both"/>
        <w:rPr>
          <w:color w:val="auto"/>
        </w:rPr>
      </w:pPr>
      <w:r>
        <w:rPr>
          <w:color w:val="auto"/>
        </w:rPr>
        <w:t>（五</w:t>
      </w:r>
      <w:r>
        <w:rPr>
          <w:color w:val="auto"/>
          <w:spacing w:val="-5"/>
        </w:rPr>
        <w:t>）</w:t>
      </w:r>
      <w:r>
        <w:rPr>
          <w:color w:val="auto"/>
          <w:spacing w:val="-3"/>
        </w:rPr>
        <w:t>召回的实施组织、联系方法、范围和时限等；</w:t>
      </w:r>
      <w:r>
        <w:rPr>
          <w:color w:val="auto"/>
          <w:spacing w:val="-5"/>
        </w:rPr>
        <w:t>（</w:t>
      </w:r>
      <w:r>
        <w:rPr>
          <w:color w:val="auto"/>
        </w:rPr>
        <w:t>六</w:t>
      </w:r>
      <w:r>
        <w:rPr>
          <w:color w:val="auto"/>
          <w:spacing w:val="-5"/>
        </w:rPr>
        <w:t>）</w:t>
      </w:r>
      <w:r>
        <w:rPr>
          <w:color w:val="auto"/>
          <w:spacing w:val="-3"/>
        </w:rPr>
        <w:t>召回的具体措施，包括补</w:t>
      </w:r>
      <w:r>
        <w:rPr>
          <w:color w:val="auto"/>
          <w:spacing w:val="-4"/>
        </w:rPr>
        <w:t>充或修正消费说明、退货、换货、修理等；（</w:t>
      </w:r>
      <w:r>
        <w:rPr>
          <w:color w:val="auto"/>
        </w:rPr>
        <w:t>七</w:t>
      </w:r>
      <w:r>
        <w:rPr>
          <w:color w:val="auto"/>
          <w:spacing w:val="-5"/>
        </w:rPr>
        <w:t>）</w:t>
      </w:r>
      <w:r>
        <w:rPr>
          <w:color w:val="auto"/>
          <w:spacing w:val="-1"/>
        </w:rPr>
        <w:t>召回的预期效果；</w:t>
      </w:r>
      <w:r>
        <w:rPr>
          <w:color w:val="auto"/>
          <w:spacing w:val="-4"/>
        </w:rPr>
        <w:t>（</w:t>
      </w:r>
      <w:r>
        <w:rPr>
          <w:color w:val="auto"/>
        </w:rPr>
        <w:t>八</w:t>
      </w:r>
      <w:r>
        <w:rPr>
          <w:color w:val="auto"/>
          <w:spacing w:val="-5"/>
        </w:rPr>
        <w:t>）</w:t>
      </w:r>
      <w:r>
        <w:rPr>
          <w:color w:val="auto"/>
          <w:spacing w:val="-3"/>
        </w:rPr>
        <w:t>存在缺陷</w:t>
      </w:r>
      <w:r>
        <w:rPr>
          <w:color w:val="auto"/>
        </w:rPr>
        <w:t>的儿童玩具退换后的无害化处理措施；（九）其他有关内容。</w:t>
      </w:r>
    </w:p>
    <w:p>
      <w:pPr>
        <w:pStyle w:val="4"/>
        <w:spacing w:line="391" w:lineRule="auto"/>
        <w:ind w:right="218" w:firstLine="470"/>
        <w:rPr>
          <w:color w:val="auto"/>
        </w:rPr>
      </w:pPr>
      <w:r>
        <w:rPr>
          <w:color w:val="auto"/>
        </w:rPr>
        <w:t>生产者在召回过程中对召回计划有变更的，应当及时向所在地的省级质量技术监督部门说明。”</w:t>
      </w:r>
    </w:p>
    <w:p>
      <w:pPr>
        <w:pStyle w:val="2"/>
        <w:spacing w:line="388" w:lineRule="auto"/>
        <w:ind w:right="6948"/>
        <w:rPr>
          <w:color w:val="auto"/>
        </w:rPr>
      </w:pPr>
      <w:r>
        <w:rPr>
          <w:color w:val="auto"/>
        </w:rPr>
        <w:t>（二）裁量标准1、【较轻】</w:t>
      </w:r>
    </w:p>
    <w:p>
      <w:pPr>
        <w:spacing w:after="0" w:line="388" w:lineRule="auto"/>
        <w:rPr>
          <w:color w:val="auto"/>
        </w:rPr>
        <w:sectPr>
          <w:pgSz w:w="11910" w:h="16840"/>
          <w:pgMar w:top="1520" w:right="1260" w:bottom="1220" w:left="1420" w:header="0" w:footer="1034" w:gutter="0"/>
        </w:sectPr>
      </w:pPr>
    </w:p>
    <w:p>
      <w:pPr>
        <w:pStyle w:val="13"/>
        <w:numPr>
          <w:ilvl w:val="0"/>
          <w:numId w:val="453"/>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违法行为在规定期限改正的。</w:t>
      </w:r>
    </w:p>
    <w:p>
      <w:pPr>
        <w:pStyle w:val="13"/>
        <w:numPr>
          <w:ilvl w:val="0"/>
          <w:numId w:val="45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6232"/>
        <w:rPr>
          <w:color w:val="auto"/>
        </w:rPr>
      </w:pPr>
      <w:r>
        <w:rPr>
          <w:color w:val="auto"/>
        </w:rPr>
        <w:t>警告，责令限期改正。2、【一般】</w:t>
      </w:r>
    </w:p>
    <w:p>
      <w:pPr>
        <w:pStyle w:val="13"/>
        <w:numPr>
          <w:ilvl w:val="0"/>
          <w:numId w:val="45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逾期未改正，具有以下情形之一的：1 违法生产产品货值不大，或大部分已经追回的；2、经督促 1 次以上改正的。</w:t>
      </w:r>
    </w:p>
    <w:p>
      <w:pPr>
        <w:pStyle w:val="13"/>
        <w:numPr>
          <w:ilvl w:val="0"/>
          <w:numId w:val="45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6472"/>
        <w:rPr>
          <w:color w:val="auto"/>
        </w:rPr>
      </w:pPr>
      <w:r>
        <w:rPr>
          <w:color w:val="auto"/>
          <w:spacing w:val="-30"/>
        </w:rPr>
        <w:t xml:space="preserve">处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45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6" w:firstLine="480"/>
        <w:rPr>
          <w:color w:val="auto"/>
        </w:rPr>
      </w:pPr>
      <w:r>
        <w:rPr>
          <w:color w:val="auto"/>
          <w:spacing w:val="-3"/>
        </w:rPr>
        <w:t>逾期未改正，具有以下情形之一的：</w:t>
      </w:r>
      <w:r>
        <w:rPr>
          <w:color w:val="auto"/>
          <w:spacing w:val="-4"/>
        </w:rPr>
        <w:t>1</w:t>
      </w:r>
      <w:r>
        <w:rPr>
          <w:color w:val="auto"/>
          <w:spacing w:val="-3"/>
        </w:rPr>
        <w:t>、违法生产产品货值较大的；</w:t>
      </w:r>
      <w:r>
        <w:rPr>
          <w:color w:val="auto"/>
          <w:spacing w:val="-4"/>
        </w:rPr>
        <w:t>2</w:t>
      </w:r>
      <w:r>
        <w:rPr>
          <w:color w:val="auto"/>
          <w:spacing w:val="-6"/>
        </w:rPr>
        <w:t>、逾期后经</w:t>
      </w:r>
      <w:r>
        <w:rPr>
          <w:color w:val="auto"/>
        </w:rPr>
        <w:t>2</w:t>
      </w:r>
      <w:r>
        <w:rPr>
          <w:color w:val="auto"/>
          <w:spacing w:val="-8"/>
        </w:rPr>
        <w:t xml:space="preserve"> 次督促方改正的。</w:t>
      </w:r>
    </w:p>
    <w:p>
      <w:pPr>
        <w:pStyle w:val="13"/>
        <w:numPr>
          <w:ilvl w:val="0"/>
          <w:numId w:val="45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45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145" w:firstLine="480"/>
        <w:rPr>
          <w:color w:val="auto"/>
        </w:rPr>
      </w:pPr>
      <w:r>
        <w:rPr>
          <w:color w:val="auto"/>
          <w:spacing w:val="-7"/>
        </w:rPr>
        <w:t>逾期未改正，具有以下情形之一的：</w:t>
      </w:r>
      <w:r>
        <w:rPr>
          <w:color w:val="auto"/>
          <w:spacing w:val="-16"/>
        </w:rPr>
        <w:t>1</w:t>
      </w:r>
      <w:r>
        <w:rPr>
          <w:color w:val="auto"/>
          <w:spacing w:val="-7"/>
        </w:rPr>
        <w:t>、生产产品货值金额巨大的；</w:t>
      </w:r>
      <w:r>
        <w:rPr>
          <w:color w:val="auto"/>
          <w:spacing w:val="-16"/>
        </w:rPr>
        <w:t>2</w:t>
      </w:r>
      <w:r>
        <w:rPr>
          <w:color w:val="auto"/>
          <w:spacing w:val="-10"/>
        </w:rPr>
        <w:t xml:space="preserve">、经查处后， </w:t>
      </w:r>
      <w:r>
        <w:rPr>
          <w:color w:val="auto"/>
        </w:rPr>
        <w:t>再次违法的；3、拒不改正违法行为的。</w:t>
      </w:r>
    </w:p>
    <w:p>
      <w:pPr>
        <w:pStyle w:val="13"/>
        <w:numPr>
          <w:ilvl w:val="0"/>
          <w:numId w:val="45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792"/>
        <w:rPr>
          <w:color w:val="auto"/>
        </w:rPr>
      </w:pPr>
      <w:r>
        <w:rPr>
          <w:color w:val="auto"/>
          <w:spacing w:val="-30"/>
        </w:rPr>
        <w:t xml:space="preserve">处 </w:t>
      </w:r>
      <w:r>
        <w:rPr>
          <w:color w:val="auto"/>
        </w:rPr>
        <w:t>1.5</w:t>
      </w:r>
      <w:r>
        <w:rPr>
          <w:color w:val="auto"/>
          <w:spacing w:val="-20"/>
        </w:rPr>
        <w:t xml:space="preserve"> 万元以上 </w:t>
      </w:r>
      <w:r>
        <w:rPr>
          <w:color w:val="auto"/>
        </w:rPr>
        <w:t>2</w:t>
      </w:r>
      <w:r>
        <w:rPr>
          <w:color w:val="auto"/>
          <w:spacing w:val="-9"/>
        </w:rPr>
        <w:t xml:space="preserve"> 万元以下的罚款。</w:t>
      </w:r>
      <w:r>
        <w:rPr>
          <w:color w:val="auto"/>
        </w:rPr>
        <w:t>5</w:t>
      </w:r>
      <w:r>
        <w:rPr>
          <w:color w:val="auto"/>
          <w:spacing w:val="-18"/>
        </w:rPr>
        <w:t>、【特别严重】</w:t>
      </w:r>
    </w:p>
    <w:p>
      <w:pPr>
        <w:pStyle w:val="13"/>
        <w:numPr>
          <w:ilvl w:val="0"/>
          <w:numId w:val="45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逾期未改正，具有以下情形之一的：1、造成严重负面影响的；2、屡次违法的。</w:t>
      </w:r>
    </w:p>
    <w:p>
      <w:pPr>
        <w:pStyle w:val="13"/>
        <w:numPr>
          <w:ilvl w:val="0"/>
          <w:numId w:val="45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2 万元以上 3 万元以下罚款。</w:t>
      </w:r>
    </w:p>
    <w:p>
      <w:pPr>
        <w:pStyle w:val="2"/>
        <w:spacing w:before="191"/>
        <w:rPr>
          <w:color w:val="auto"/>
        </w:rPr>
      </w:pPr>
      <w:bookmarkStart w:id="701" w:name="_bookmark350"/>
      <w:bookmarkEnd w:id="701"/>
      <w:bookmarkStart w:id="702" w:name="三百四十二、儿童玩具生产者在接到国家市场监管总局责令召回通告5个工作日内，未向国"/>
      <w:bookmarkEnd w:id="702"/>
      <w:r>
        <w:rPr>
          <w:color w:val="auto"/>
        </w:rPr>
        <w:t>三百四十二、儿童玩具生产者在接到国家市场监管总局责令召回通告 5 个工作日</w:t>
      </w:r>
    </w:p>
    <w:p>
      <w:pPr>
        <w:spacing w:after="0"/>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内，未向国家市场监管总局提交召回报告</w:t>
      </w:r>
    </w:p>
    <w:p>
      <w:pPr>
        <w:spacing w:before="195"/>
        <w:ind w:left="591" w:right="0" w:firstLine="0"/>
        <w:jc w:val="left"/>
        <w:rPr>
          <w:b/>
          <w:color w:val="auto"/>
          <w:sz w:val="24"/>
        </w:rPr>
      </w:pPr>
      <w:r>
        <w:rPr>
          <w:b/>
          <w:color w:val="auto"/>
          <w:sz w:val="24"/>
        </w:rPr>
        <w:t>（一）处罚依据</w:t>
      </w:r>
    </w:p>
    <w:p>
      <w:pPr>
        <w:pStyle w:val="4"/>
        <w:spacing w:before="191" w:line="391" w:lineRule="auto"/>
        <w:ind w:right="232" w:firstLine="470"/>
        <w:jc w:val="both"/>
        <w:rPr>
          <w:color w:val="auto"/>
        </w:rPr>
      </w:pPr>
      <w:r>
        <w:rPr>
          <w:color w:val="auto"/>
        </w:rPr>
        <w:t>1、《儿童玩具召回管理规定》第三十九条“生产者违反本规定第二十三条、第</w:t>
      </w:r>
      <w:r>
        <w:rPr>
          <w:color w:val="auto"/>
          <w:spacing w:val="-2"/>
        </w:rPr>
        <w:t xml:space="preserve">二十九条规定的，予以警告，责令限期改正；逾期未改正的，处以 </w:t>
      </w:r>
      <w:r>
        <w:rPr>
          <w:color w:val="auto"/>
        </w:rPr>
        <w:t>3</w:t>
      </w:r>
      <w:r>
        <w:rPr>
          <w:color w:val="auto"/>
          <w:spacing w:val="-10"/>
        </w:rPr>
        <w:t xml:space="preserve"> 万元以下罚款； </w:t>
      </w:r>
      <w:r>
        <w:rPr>
          <w:color w:val="auto"/>
        </w:rPr>
        <w:t>违反有关法律法规规定的，依照有关法律法规规定处理。”</w:t>
      </w:r>
    </w:p>
    <w:p>
      <w:pPr>
        <w:pStyle w:val="4"/>
        <w:spacing w:line="388" w:lineRule="auto"/>
        <w:ind w:right="268" w:firstLine="470"/>
        <w:jc w:val="both"/>
        <w:rPr>
          <w:color w:val="auto"/>
        </w:rPr>
      </w:pPr>
      <w:r>
        <w:rPr>
          <w:color w:val="auto"/>
        </w:rPr>
        <w:t>2、《儿童玩具召回管理规定》第二十九条“生产者应当在接到国家质检总局责</w:t>
      </w:r>
      <w:r>
        <w:rPr>
          <w:color w:val="auto"/>
          <w:spacing w:val="-10"/>
        </w:rPr>
        <w:t xml:space="preserve">令召回通告 </w:t>
      </w:r>
      <w:r>
        <w:rPr>
          <w:color w:val="auto"/>
        </w:rPr>
        <w:t>5</w:t>
      </w:r>
      <w:r>
        <w:rPr>
          <w:color w:val="auto"/>
          <w:spacing w:val="-8"/>
        </w:rPr>
        <w:t xml:space="preserve"> 个工作日内，向国家质检总局提交召回报告。</w:t>
      </w:r>
    </w:p>
    <w:p>
      <w:pPr>
        <w:pStyle w:val="4"/>
        <w:spacing w:before="1"/>
        <w:ind w:left="581"/>
        <w:rPr>
          <w:color w:val="auto"/>
        </w:rPr>
      </w:pPr>
      <w:r>
        <w:rPr>
          <w:color w:val="auto"/>
        </w:rPr>
        <w:t>召回报告应当符合本规定第二十三条第二款规定的有关内容要求。”</w:t>
      </w:r>
    </w:p>
    <w:p>
      <w:pPr>
        <w:spacing w:before="192"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58"/>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违法行为在规定期限改正的。</w:t>
      </w:r>
    </w:p>
    <w:p>
      <w:pPr>
        <w:pStyle w:val="13"/>
        <w:numPr>
          <w:ilvl w:val="0"/>
          <w:numId w:val="45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6232"/>
        <w:rPr>
          <w:color w:val="auto"/>
        </w:rPr>
      </w:pPr>
      <w:r>
        <w:rPr>
          <w:color w:val="auto"/>
        </w:rPr>
        <w:t>警告，责令限期改正。2、【一般】</w:t>
      </w:r>
    </w:p>
    <w:p>
      <w:pPr>
        <w:pStyle w:val="13"/>
        <w:numPr>
          <w:ilvl w:val="0"/>
          <w:numId w:val="45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71" w:firstLine="480"/>
        <w:rPr>
          <w:color w:val="auto"/>
        </w:rPr>
      </w:pPr>
      <w:r>
        <w:rPr>
          <w:color w:val="auto"/>
        </w:rPr>
        <w:t>逾期未改正，具有以下情形之一的：1、违法生产产品货值不大，或大部分已经追回的；2、经督促 1 次以上改正的。</w:t>
      </w:r>
    </w:p>
    <w:p>
      <w:pPr>
        <w:pStyle w:val="13"/>
        <w:numPr>
          <w:ilvl w:val="0"/>
          <w:numId w:val="45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6472"/>
        <w:rPr>
          <w:color w:val="auto"/>
        </w:rPr>
      </w:pPr>
      <w:r>
        <w:rPr>
          <w:color w:val="auto"/>
          <w:spacing w:val="-30"/>
        </w:rPr>
        <w:t xml:space="preserve">处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46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rPr>
          <w:color w:val="auto"/>
        </w:rPr>
      </w:pPr>
      <w:r>
        <w:rPr>
          <w:color w:val="auto"/>
          <w:spacing w:val="-3"/>
        </w:rPr>
        <w:t>逾期未改正，具有以下情形之一的：</w:t>
      </w:r>
      <w:r>
        <w:rPr>
          <w:color w:val="auto"/>
          <w:spacing w:val="-4"/>
        </w:rPr>
        <w:t>1</w:t>
      </w:r>
      <w:r>
        <w:rPr>
          <w:color w:val="auto"/>
          <w:spacing w:val="-3"/>
        </w:rPr>
        <w:t>、违法生产产品货值较大的；</w:t>
      </w:r>
      <w:r>
        <w:rPr>
          <w:color w:val="auto"/>
          <w:spacing w:val="-4"/>
        </w:rPr>
        <w:t>2</w:t>
      </w:r>
      <w:r>
        <w:rPr>
          <w:color w:val="auto"/>
          <w:spacing w:val="-6"/>
        </w:rPr>
        <w:t>、逾期后经</w:t>
      </w:r>
      <w:r>
        <w:rPr>
          <w:color w:val="auto"/>
        </w:rPr>
        <w:t>2</w:t>
      </w:r>
      <w:r>
        <w:rPr>
          <w:color w:val="auto"/>
          <w:spacing w:val="-8"/>
        </w:rPr>
        <w:t xml:space="preserve"> 次督促方改正的。</w:t>
      </w:r>
    </w:p>
    <w:p>
      <w:pPr>
        <w:pStyle w:val="13"/>
        <w:numPr>
          <w:ilvl w:val="0"/>
          <w:numId w:val="460"/>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461"/>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145" w:firstLine="480"/>
        <w:rPr>
          <w:color w:val="auto"/>
        </w:rPr>
      </w:pPr>
      <w:r>
        <w:rPr>
          <w:color w:val="auto"/>
          <w:spacing w:val="-7"/>
        </w:rPr>
        <w:t>逾期未改正，具有以下情形之一的：</w:t>
      </w:r>
      <w:r>
        <w:rPr>
          <w:color w:val="auto"/>
          <w:spacing w:val="-16"/>
        </w:rPr>
        <w:t>1</w:t>
      </w:r>
      <w:r>
        <w:rPr>
          <w:color w:val="auto"/>
          <w:spacing w:val="-7"/>
        </w:rPr>
        <w:t>、生产产品货值金额巨大的；</w:t>
      </w:r>
      <w:r>
        <w:rPr>
          <w:color w:val="auto"/>
          <w:spacing w:val="-16"/>
        </w:rPr>
        <w:t>2</w:t>
      </w:r>
      <w:r>
        <w:rPr>
          <w:color w:val="auto"/>
          <w:spacing w:val="-10"/>
        </w:rPr>
        <w:t xml:space="preserve">、经查处后， </w:t>
      </w:r>
      <w:r>
        <w:rPr>
          <w:color w:val="auto"/>
        </w:rPr>
        <w:t>再次违法的；3、拒不改正违法行为的。</w:t>
      </w:r>
    </w:p>
    <w:p>
      <w:pPr>
        <w:pStyle w:val="13"/>
        <w:numPr>
          <w:ilvl w:val="0"/>
          <w:numId w:val="46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792"/>
        <w:rPr>
          <w:color w:val="auto"/>
        </w:rPr>
      </w:pPr>
      <w:r>
        <w:rPr>
          <w:color w:val="auto"/>
          <w:spacing w:val="-30"/>
        </w:rPr>
        <w:t xml:space="preserve">处 </w:t>
      </w:r>
      <w:r>
        <w:rPr>
          <w:color w:val="auto"/>
        </w:rPr>
        <w:t>1.5</w:t>
      </w:r>
      <w:r>
        <w:rPr>
          <w:color w:val="auto"/>
          <w:spacing w:val="-20"/>
        </w:rPr>
        <w:t xml:space="preserve"> 万元以上 </w:t>
      </w:r>
      <w:r>
        <w:rPr>
          <w:color w:val="auto"/>
        </w:rPr>
        <w:t>2</w:t>
      </w:r>
      <w:r>
        <w:rPr>
          <w:color w:val="auto"/>
          <w:spacing w:val="-9"/>
        </w:rPr>
        <w:t xml:space="preserve"> 万元以下的罚款。</w:t>
      </w:r>
      <w:r>
        <w:rPr>
          <w:color w:val="auto"/>
        </w:rPr>
        <w:t>5</w:t>
      </w:r>
      <w:r>
        <w:rPr>
          <w:color w:val="auto"/>
          <w:spacing w:val="-18"/>
        </w:rPr>
        <w:t>、【特别严重】</w:t>
      </w:r>
    </w:p>
    <w:p>
      <w:pPr>
        <w:pStyle w:val="13"/>
        <w:numPr>
          <w:ilvl w:val="0"/>
          <w:numId w:val="46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逾期未改正，具有以下情形之一的：1、造成严重负面影响的；2、屡次违法的。</w:t>
      </w:r>
    </w:p>
    <w:p>
      <w:pPr>
        <w:pStyle w:val="13"/>
        <w:numPr>
          <w:ilvl w:val="0"/>
          <w:numId w:val="46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处 2 万元以上 3 万元以下罚款。</w:t>
      </w:r>
    </w:p>
    <w:p>
      <w:pPr>
        <w:pStyle w:val="2"/>
        <w:spacing w:before="191" w:line="391" w:lineRule="auto"/>
        <w:ind w:left="111" w:right="235" w:firstLine="480"/>
        <w:jc w:val="both"/>
        <w:rPr>
          <w:color w:val="auto"/>
        </w:rPr>
      </w:pPr>
      <w:bookmarkStart w:id="703" w:name="_bookmark351"/>
      <w:bookmarkEnd w:id="703"/>
      <w:bookmarkStart w:id="704" w:name="三百四十三、儿童玩具生产者在召回报告确定的召回完成时限期满后15个工作日内，未向"/>
      <w:bookmarkEnd w:id="704"/>
      <w:r>
        <w:rPr>
          <w:color w:val="auto"/>
          <w:spacing w:val="-2"/>
        </w:rPr>
        <w:t xml:space="preserve">三百四十三、儿童玩具生产者在召回报告确定的召回完成时限期满后 </w:t>
      </w:r>
      <w:r>
        <w:rPr>
          <w:color w:val="auto"/>
        </w:rPr>
        <w:t>15</w:t>
      </w:r>
      <w:r>
        <w:rPr>
          <w:color w:val="auto"/>
          <w:spacing w:val="-14"/>
        </w:rPr>
        <w:t xml:space="preserve"> 个工作</w:t>
      </w:r>
      <w:r>
        <w:rPr>
          <w:color w:val="auto"/>
          <w:spacing w:val="-8"/>
        </w:rPr>
        <w:t>日内，未向所在地的省级市场监督管理部门提交主动召回总结；在责令召回实施过程</w:t>
      </w:r>
      <w:r>
        <w:rPr>
          <w:color w:val="auto"/>
          <w:spacing w:val="-11"/>
        </w:rPr>
        <w:t>中未按照国家市场监管总局的要求提交阶段性召回总结；或未制作并保存完整的责令召回记录，并及时向国家市场监管总局提交召回总结</w:t>
      </w:r>
    </w:p>
    <w:p>
      <w:pPr>
        <w:spacing w:before="0" w:line="304" w:lineRule="exact"/>
        <w:ind w:left="591" w:right="0" w:firstLine="0"/>
        <w:jc w:val="left"/>
        <w:rPr>
          <w:b/>
          <w:color w:val="auto"/>
          <w:sz w:val="24"/>
        </w:rPr>
      </w:pPr>
      <w:r>
        <w:rPr>
          <w:b/>
          <w:color w:val="auto"/>
          <w:sz w:val="24"/>
        </w:rPr>
        <w:t>（一）处罚依据</w:t>
      </w:r>
    </w:p>
    <w:p>
      <w:pPr>
        <w:pStyle w:val="4"/>
        <w:spacing w:before="192" w:line="391" w:lineRule="auto"/>
        <w:ind w:right="146" w:firstLine="470"/>
        <w:rPr>
          <w:color w:val="auto"/>
        </w:rPr>
      </w:pPr>
      <w:r>
        <w:rPr>
          <w:color w:val="auto"/>
        </w:rPr>
        <w:t>1</w:t>
      </w:r>
      <w:r>
        <w:rPr>
          <w:color w:val="auto"/>
          <w:spacing w:val="-7"/>
        </w:rPr>
        <w:t>、《儿童玩具召回管理规定》第四十条“生产者违反本规定第二十六条第一款、</w:t>
      </w:r>
      <w:r>
        <w:rPr>
          <w:color w:val="auto"/>
        </w:rPr>
        <w:t xml:space="preserve">第三十二条或第三十四条第一款规定的，予以警告，责令限期改正；逾期未改正的， </w:t>
      </w:r>
      <w:r>
        <w:rPr>
          <w:color w:val="auto"/>
          <w:spacing w:val="-20"/>
        </w:rPr>
        <w:t xml:space="preserve">处以 </w:t>
      </w:r>
      <w:r>
        <w:rPr>
          <w:color w:val="auto"/>
        </w:rPr>
        <w:t>3</w:t>
      </w:r>
      <w:r>
        <w:rPr>
          <w:color w:val="auto"/>
          <w:spacing w:val="-8"/>
        </w:rPr>
        <w:t xml:space="preserve"> 万元以下罚款。”</w:t>
      </w:r>
    </w:p>
    <w:p>
      <w:pPr>
        <w:pStyle w:val="4"/>
        <w:spacing w:line="391" w:lineRule="auto"/>
        <w:ind w:right="268" w:firstLine="470"/>
        <w:jc w:val="both"/>
        <w:rPr>
          <w:color w:val="auto"/>
        </w:rPr>
      </w:pPr>
      <w:r>
        <w:rPr>
          <w:color w:val="auto"/>
        </w:rPr>
        <w:t>2、《儿童玩具召回管理规定》第二十六条第一款“生产者应当在主动召回报告</w:t>
      </w:r>
      <w:r>
        <w:rPr>
          <w:color w:val="auto"/>
          <w:spacing w:val="-3"/>
        </w:rPr>
        <w:t xml:space="preserve">确定的召回完成时限期满后 </w:t>
      </w:r>
      <w:r>
        <w:rPr>
          <w:color w:val="auto"/>
        </w:rPr>
        <w:t>15</w:t>
      </w:r>
      <w:r>
        <w:rPr>
          <w:color w:val="auto"/>
          <w:spacing w:val="-6"/>
        </w:rPr>
        <w:t xml:space="preserve"> 个工作日内，向所在地的省级质量技术监督部门提交主动召回总结。”</w:t>
      </w:r>
    </w:p>
    <w:p>
      <w:pPr>
        <w:pStyle w:val="4"/>
        <w:spacing w:line="388" w:lineRule="auto"/>
        <w:ind w:right="268" w:firstLine="470"/>
        <w:rPr>
          <w:color w:val="auto"/>
        </w:rPr>
      </w:pPr>
      <w:r>
        <w:rPr>
          <w:color w:val="auto"/>
        </w:rPr>
        <w:t>3、《儿童玩具召回管理规定》第三十二条“在责令召回实施过程中，生产者应当按照国家质检总局的要求，提交阶段性召回总结。”</w:t>
      </w:r>
    </w:p>
    <w:p>
      <w:pPr>
        <w:pStyle w:val="4"/>
        <w:spacing w:line="388" w:lineRule="auto"/>
        <w:ind w:right="268" w:firstLine="470"/>
        <w:jc w:val="both"/>
        <w:rPr>
          <w:color w:val="auto"/>
        </w:rPr>
      </w:pPr>
      <w:r>
        <w:rPr>
          <w:color w:val="auto"/>
        </w:rPr>
        <w:t>4、《儿童玩具召回管理规定》第三十四条第一款“生产者应当制作并保存完整</w:t>
      </w:r>
      <w:r>
        <w:rPr>
          <w:color w:val="auto"/>
          <w:spacing w:val="-2"/>
        </w:rPr>
        <w:t xml:space="preserve">的责令召回记录；并在召回完成时限期满后 </w:t>
      </w:r>
      <w:r>
        <w:rPr>
          <w:color w:val="auto"/>
        </w:rPr>
        <w:t>15</w:t>
      </w:r>
      <w:r>
        <w:rPr>
          <w:color w:val="auto"/>
          <w:spacing w:val="-6"/>
        </w:rPr>
        <w:t xml:space="preserve"> 个工作日内，向国家质检总局提交召回总结。”</w:t>
      </w:r>
    </w:p>
    <w:p>
      <w:pPr>
        <w:spacing w:before="3"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63"/>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违法行为在规定期限改正的。</w:t>
      </w:r>
    </w:p>
    <w:p>
      <w:pPr>
        <w:pStyle w:val="13"/>
        <w:numPr>
          <w:ilvl w:val="0"/>
          <w:numId w:val="463"/>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6232"/>
        <w:rPr>
          <w:color w:val="auto"/>
        </w:rPr>
      </w:pPr>
      <w:r>
        <w:rPr>
          <w:color w:val="auto"/>
        </w:rPr>
        <w:t>警告，责令限期改正。2、【一般】</w:t>
      </w:r>
    </w:p>
    <w:p>
      <w:pPr>
        <w:pStyle w:val="13"/>
        <w:numPr>
          <w:ilvl w:val="0"/>
          <w:numId w:val="464"/>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逾期未改正，具有以下情形之一的：1 违法生产产品货值不大，或大部分已经追回的；2、经督促 1 次以上改正的。</w:t>
      </w:r>
    </w:p>
    <w:p>
      <w:pPr>
        <w:pStyle w:val="13"/>
        <w:numPr>
          <w:ilvl w:val="0"/>
          <w:numId w:val="464"/>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6472"/>
        <w:rPr>
          <w:color w:val="auto"/>
        </w:rPr>
      </w:pPr>
      <w:r>
        <w:rPr>
          <w:color w:val="auto"/>
          <w:spacing w:val="-30"/>
        </w:rPr>
        <w:t xml:space="preserve">处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46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6" w:firstLine="480"/>
        <w:rPr>
          <w:color w:val="auto"/>
        </w:rPr>
      </w:pPr>
      <w:r>
        <w:rPr>
          <w:color w:val="auto"/>
          <w:spacing w:val="-3"/>
        </w:rPr>
        <w:t>逾期未改正，具有以下情形之一的：</w:t>
      </w:r>
      <w:r>
        <w:rPr>
          <w:color w:val="auto"/>
          <w:spacing w:val="-4"/>
        </w:rPr>
        <w:t>1</w:t>
      </w:r>
      <w:r>
        <w:rPr>
          <w:color w:val="auto"/>
          <w:spacing w:val="-3"/>
        </w:rPr>
        <w:t>、违法生产产品货值较大的；</w:t>
      </w:r>
      <w:r>
        <w:rPr>
          <w:color w:val="auto"/>
          <w:spacing w:val="-4"/>
        </w:rPr>
        <w:t>2</w:t>
      </w:r>
      <w:r>
        <w:rPr>
          <w:color w:val="auto"/>
          <w:spacing w:val="-6"/>
        </w:rPr>
        <w:t>、逾期后经</w:t>
      </w:r>
      <w:r>
        <w:rPr>
          <w:color w:val="auto"/>
        </w:rPr>
        <w:t>2</w:t>
      </w:r>
      <w:r>
        <w:rPr>
          <w:color w:val="auto"/>
          <w:spacing w:val="-8"/>
        </w:rPr>
        <w:t xml:space="preserve"> 次督促方改正的。</w:t>
      </w:r>
    </w:p>
    <w:p>
      <w:pPr>
        <w:pStyle w:val="13"/>
        <w:numPr>
          <w:ilvl w:val="0"/>
          <w:numId w:val="465"/>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46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145" w:firstLine="480"/>
        <w:rPr>
          <w:color w:val="auto"/>
        </w:rPr>
      </w:pPr>
      <w:r>
        <w:rPr>
          <w:color w:val="auto"/>
          <w:spacing w:val="-7"/>
        </w:rPr>
        <w:t>逾期未改正，具有以下情形之一的：</w:t>
      </w:r>
      <w:r>
        <w:rPr>
          <w:color w:val="auto"/>
          <w:spacing w:val="-16"/>
        </w:rPr>
        <w:t>1</w:t>
      </w:r>
      <w:r>
        <w:rPr>
          <w:color w:val="auto"/>
          <w:spacing w:val="-7"/>
        </w:rPr>
        <w:t>、生产产品货值金额巨大的；</w:t>
      </w:r>
      <w:r>
        <w:rPr>
          <w:color w:val="auto"/>
          <w:spacing w:val="-16"/>
        </w:rPr>
        <w:t>2</w:t>
      </w:r>
      <w:r>
        <w:rPr>
          <w:color w:val="auto"/>
          <w:spacing w:val="-10"/>
        </w:rPr>
        <w:t xml:space="preserve">、经查处后， </w:t>
      </w:r>
      <w:r>
        <w:rPr>
          <w:color w:val="auto"/>
        </w:rPr>
        <w:t>再次违法的；3、拒不改正违法行为的。</w:t>
      </w:r>
    </w:p>
    <w:p>
      <w:pPr>
        <w:pStyle w:val="13"/>
        <w:numPr>
          <w:ilvl w:val="0"/>
          <w:numId w:val="466"/>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4792"/>
        <w:rPr>
          <w:color w:val="auto"/>
        </w:rPr>
      </w:pPr>
      <w:r>
        <w:rPr>
          <w:color w:val="auto"/>
          <w:spacing w:val="-30"/>
        </w:rPr>
        <w:t xml:space="preserve">处 </w:t>
      </w:r>
      <w:r>
        <w:rPr>
          <w:color w:val="auto"/>
        </w:rPr>
        <w:t>1.5</w:t>
      </w:r>
      <w:r>
        <w:rPr>
          <w:color w:val="auto"/>
          <w:spacing w:val="-20"/>
        </w:rPr>
        <w:t xml:space="preserve"> 万元以上 </w:t>
      </w:r>
      <w:r>
        <w:rPr>
          <w:color w:val="auto"/>
        </w:rPr>
        <w:t>2</w:t>
      </w:r>
      <w:r>
        <w:rPr>
          <w:color w:val="auto"/>
          <w:spacing w:val="-9"/>
        </w:rPr>
        <w:t xml:space="preserve"> 万元以下的罚款。</w:t>
      </w:r>
      <w:r>
        <w:rPr>
          <w:color w:val="auto"/>
        </w:rPr>
        <w:t>5</w:t>
      </w:r>
      <w:r>
        <w:rPr>
          <w:color w:val="auto"/>
          <w:spacing w:val="-18"/>
        </w:rPr>
        <w:t>、【特别严重】</w:t>
      </w:r>
    </w:p>
    <w:p>
      <w:pPr>
        <w:pStyle w:val="13"/>
        <w:numPr>
          <w:ilvl w:val="0"/>
          <w:numId w:val="46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逾期未改正，具有以下情形之一的：1、造成严重负面影响的；2、屡次违法的。</w:t>
      </w:r>
    </w:p>
    <w:p>
      <w:pPr>
        <w:pStyle w:val="13"/>
        <w:numPr>
          <w:ilvl w:val="0"/>
          <w:numId w:val="46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2 万元以上 3 万元以下罚款。</w:t>
      </w:r>
    </w:p>
    <w:p>
      <w:pPr>
        <w:pStyle w:val="2"/>
        <w:spacing w:before="192" w:line="388" w:lineRule="auto"/>
        <w:ind w:left="111" w:right="237" w:firstLine="480"/>
        <w:rPr>
          <w:color w:val="auto"/>
        </w:rPr>
      </w:pPr>
      <w:bookmarkStart w:id="705" w:name="_bookmark352"/>
      <w:bookmarkEnd w:id="705"/>
      <w:bookmarkStart w:id="706" w:name="三百四十四、儿童玩具生产者未按已经国家市场监管总局审查批准的召回报告或国家市场监"/>
      <w:bookmarkEnd w:id="706"/>
      <w:r>
        <w:rPr>
          <w:color w:val="auto"/>
          <w:spacing w:val="-9"/>
        </w:rPr>
        <w:t>三百四十四、儿童玩具生产者未按已经国家市场监管总局审查批准的召回报告或国家市场监管总局提出的召回要求实施召回</w:t>
      </w:r>
    </w:p>
    <w:p>
      <w:pPr>
        <w:spacing w:after="0" w:line="388" w:lineRule="auto"/>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88" w:lineRule="auto"/>
        <w:ind w:right="268" w:firstLine="470"/>
        <w:rPr>
          <w:color w:val="auto"/>
        </w:rPr>
      </w:pPr>
      <w:r>
        <w:rPr>
          <w:color w:val="auto"/>
        </w:rPr>
        <w:t>1、《儿童玩具召回管理规定》第四十一条“生产者违反本规定第三十一条规定的，处以 3 万元以下罚款。”</w:t>
      </w:r>
    </w:p>
    <w:p>
      <w:pPr>
        <w:pStyle w:val="4"/>
        <w:spacing w:before="2" w:line="391" w:lineRule="auto"/>
        <w:ind w:right="268" w:firstLine="470"/>
        <w:rPr>
          <w:color w:val="auto"/>
        </w:rPr>
      </w:pPr>
      <w:r>
        <w:rPr>
          <w:color w:val="auto"/>
        </w:rPr>
        <w:t>2、《儿童玩具召回管理规定》第三十一条“召回报告经国家质检总局审查批准的，生产者应当按照召回报告及时实施召回。</w:t>
      </w:r>
    </w:p>
    <w:p>
      <w:pPr>
        <w:pStyle w:val="4"/>
        <w:spacing w:line="388" w:lineRule="auto"/>
        <w:ind w:right="268" w:firstLine="470"/>
        <w:rPr>
          <w:color w:val="auto"/>
        </w:rPr>
      </w:pPr>
      <w:r>
        <w:rPr>
          <w:color w:val="auto"/>
          <w:spacing w:val="-3"/>
        </w:rPr>
        <w:t>召回报告未获国家质检总局批准的，生产者应当按照国家质检总局提出的召回要</w:t>
      </w:r>
      <w:r>
        <w:rPr>
          <w:color w:val="auto"/>
        </w:rPr>
        <w:t>求实施召回。”</w:t>
      </w:r>
    </w:p>
    <w:p>
      <w:pPr>
        <w:spacing w:before="3"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w:t>
      </w:r>
      <w:r>
        <w:rPr>
          <w:color w:val="auto"/>
          <w:spacing w:val="-24"/>
          <w:sz w:val="24"/>
        </w:rPr>
        <w:t>、【较轻】</w:t>
      </w:r>
    </w:p>
    <w:p>
      <w:pPr>
        <w:pStyle w:val="13"/>
        <w:numPr>
          <w:ilvl w:val="0"/>
          <w:numId w:val="46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spacing w:val="-1"/>
        </w:rPr>
        <w:t>具有以下情形之一的：</w:t>
      </w:r>
      <w:r>
        <w:rPr>
          <w:color w:val="auto"/>
        </w:rPr>
        <w:t>1</w:t>
      </w:r>
      <w:r>
        <w:rPr>
          <w:color w:val="auto"/>
          <w:spacing w:val="-4"/>
        </w:rPr>
        <w:t>、未按照要求及时实施召回</w:t>
      </w:r>
      <w:r>
        <w:rPr>
          <w:color w:val="auto"/>
        </w:rPr>
        <w:t>（但实施了召回</w:t>
      </w:r>
      <w:r>
        <w:rPr>
          <w:color w:val="auto"/>
          <w:spacing w:val="-120"/>
        </w:rPr>
        <w:t>）</w:t>
      </w:r>
      <w:r>
        <w:rPr>
          <w:color w:val="auto"/>
          <w:spacing w:val="-6"/>
        </w:rPr>
        <w:t>，没有造成</w:t>
      </w:r>
      <w:r>
        <w:rPr>
          <w:color w:val="auto"/>
        </w:rPr>
        <w:t>危害后果的；2、召回的产品数量不符合要求，召回总数量在批准报告范围三分之二以上的。</w:t>
      </w:r>
    </w:p>
    <w:p>
      <w:pPr>
        <w:pStyle w:val="13"/>
        <w:numPr>
          <w:ilvl w:val="0"/>
          <w:numId w:val="468"/>
        </w:numPr>
        <w:tabs>
          <w:tab w:val="left" w:pos="1193"/>
        </w:tabs>
        <w:spacing w:before="5" w:after="0" w:line="388" w:lineRule="auto"/>
        <w:ind w:left="591" w:right="6652" w:firstLine="0"/>
        <w:jc w:val="left"/>
        <w:rPr>
          <w:color w:val="auto"/>
          <w:sz w:val="24"/>
        </w:rPr>
      </w:pPr>
      <w:r>
        <w:rPr>
          <w:color w:val="auto"/>
          <w:sz w:val="24"/>
        </w:rPr>
        <w:t>处罚标准5000</w:t>
      </w:r>
      <w:r>
        <w:rPr>
          <w:color w:val="auto"/>
          <w:spacing w:val="-11"/>
          <w:sz w:val="24"/>
        </w:rPr>
        <w:t xml:space="preserve"> 元以下罚款。</w:t>
      </w:r>
    </w:p>
    <w:p>
      <w:pPr>
        <w:pStyle w:val="4"/>
        <w:spacing w:before="2"/>
        <w:ind w:left="591"/>
        <w:rPr>
          <w:color w:val="auto"/>
        </w:rPr>
      </w:pPr>
      <w:r>
        <w:rPr>
          <w:color w:val="auto"/>
        </w:rPr>
        <w:t>2、【一般】</w:t>
      </w:r>
    </w:p>
    <w:p>
      <w:pPr>
        <w:pStyle w:val="13"/>
        <w:numPr>
          <w:ilvl w:val="0"/>
          <w:numId w:val="469"/>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1"/>
        </w:rPr>
        <w:t>具有以下情形之一的：</w:t>
      </w:r>
      <w:r>
        <w:rPr>
          <w:color w:val="auto"/>
          <w:spacing w:val="-4"/>
        </w:rPr>
        <w:t>1、虽实施了召回，但弄虚作假，经批评后改正的；2</w:t>
      </w:r>
      <w:r>
        <w:rPr>
          <w:color w:val="auto"/>
          <w:spacing w:val="-10"/>
        </w:rPr>
        <w:t>、召</w:t>
      </w:r>
      <w:r>
        <w:rPr>
          <w:color w:val="auto"/>
          <w:spacing w:val="-4"/>
        </w:rPr>
        <w:t>回的产品数量不符合要求，召回总数量在批准报告范围三分之一以上、三分之二以下</w:t>
      </w:r>
      <w:r>
        <w:rPr>
          <w:color w:val="auto"/>
        </w:rPr>
        <w:t>的。</w:t>
      </w:r>
    </w:p>
    <w:p>
      <w:pPr>
        <w:pStyle w:val="13"/>
        <w:numPr>
          <w:ilvl w:val="0"/>
          <w:numId w:val="469"/>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left="591" w:right="4912"/>
        <w:rPr>
          <w:color w:val="auto"/>
        </w:rPr>
      </w:pPr>
      <w:r>
        <w:rPr>
          <w:color w:val="auto"/>
          <w:spacing w:val="-30"/>
        </w:rPr>
        <w:t xml:space="preserve">处 </w:t>
      </w:r>
      <w:r>
        <w:rPr>
          <w:color w:val="auto"/>
        </w:rPr>
        <w:t>5000</w:t>
      </w:r>
      <w:r>
        <w:rPr>
          <w:color w:val="auto"/>
          <w:spacing w:val="-24"/>
        </w:rPr>
        <w:t xml:space="preserve"> 元以上 </w:t>
      </w:r>
      <w:r>
        <w:rPr>
          <w:color w:val="auto"/>
        </w:rPr>
        <w:t>1</w:t>
      </w:r>
      <w:r>
        <w:rPr>
          <w:color w:val="auto"/>
          <w:spacing w:val="-9"/>
        </w:rPr>
        <w:t xml:space="preserve"> 万元以下的罚款。</w:t>
      </w:r>
      <w:r>
        <w:rPr>
          <w:color w:val="auto"/>
        </w:rPr>
        <w:t>3</w:t>
      </w:r>
      <w:r>
        <w:rPr>
          <w:color w:val="auto"/>
          <w:spacing w:val="-24"/>
        </w:rPr>
        <w:t>、【较重】</w:t>
      </w:r>
    </w:p>
    <w:p>
      <w:pPr>
        <w:pStyle w:val="13"/>
        <w:numPr>
          <w:ilvl w:val="0"/>
          <w:numId w:val="47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rPr>
        <w:t>具有以下情形之一的：1、召回报告未获总局批准，但自行召回的数量、范围等</w:t>
      </w:r>
      <w:r>
        <w:rPr>
          <w:color w:val="auto"/>
          <w:spacing w:val="-1"/>
        </w:rPr>
        <w:t>关键环节符合相关规定的；</w:t>
      </w:r>
      <w:r>
        <w:rPr>
          <w:color w:val="auto"/>
          <w:spacing w:val="-4"/>
        </w:rPr>
        <w:t>2、在召回过程中弄虚作假、延缓推诿的；3</w:t>
      </w:r>
      <w:r>
        <w:rPr>
          <w:color w:val="auto"/>
          <w:spacing w:val="-5"/>
        </w:rPr>
        <w:t>、召回的产品</w:t>
      </w:r>
      <w:r>
        <w:rPr>
          <w:color w:val="auto"/>
        </w:rPr>
        <w:t>数量不符合要求，召回总数量不足批准报告范围三分之一的。</w:t>
      </w:r>
    </w:p>
    <w:p>
      <w:pPr>
        <w:pStyle w:val="13"/>
        <w:numPr>
          <w:ilvl w:val="0"/>
          <w:numId w:val="470"/>
        </w:numPr>
        <w:tabs>
          <w:tab w:val="left" w:pos="1193"/>
        </w:tabs>
        <w:spacing w:before="0" w:after="0" w:line="304" w:lineRule="exact"/>
        <w:ind w:left="1192" w:right="0" w:hanging="602"/>
        <w:jc w:val="left"/>
        <w:rPr>
          <w:color w:val="auto"/>
          <w:sz w:val="24"/>
        </w:rPr>
      </w:pPr>
      <w:r>
        <w:rPr>
          <w:color w:val="auto"/>
          <w:sz w:val="24"/>
        </w:rPr>
        <w:t>处罚标准</w:t>
      </w:r>
    </w:p>
    <w:p>
      <w:pPr>
        <w:spacing w:after="0" w:line="304" w:lineRule="exact"/>
        <w:jc w:val="left"/>
        <w:rPr>
          <w:color w:val="auto"/>
          <w:sz w:val="24"/>
        </w:rPr>
        <w:sectPr>
          <w:footerReference r:id="rId71" w:type="default"/>
          <w:footerReference r:id="rId72" w:type="even"/>
          <w:pgSz w:w="11910" w:h="16840"/>
          <w:pgMar w:top="1520" w:right="1260" w:bottom="1220" w:left="1420" w:header="0" w:footer="1034" w:gutter="0"/>
          <w:pgNumType w:start="320"/>
        </w:sectPr>
      </w:pPr>
    </w:p>
    <w:p>
      <w:pPr>
        <w:pStyle w:val="4"/>
        <w:spacing w:before="39" w:line="391"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9"/>
        </w:rPr>
        <w:t xml:space="preserve"> 万元以下的罚款。</w:t>
      </w:r>
      <w:r>
        <w:rPr>
          <w:color w:val="auto"/>
        </w:rPr>
        <w:t>4</w:t>
      </w:r>
      <w:r>
        <w:rPr>
          <w:color w:val="auto"/>
          <w:spacing w:val="-24"/>
        </w:rPr>
        <w:t>、【严重】</w:t>
      </w:r>
    </w:p>
    <w:p>
      <w:pPr>
        <w:pStyle w:val="13"/>
        <w:numPr>
          <w:ilvl w:val="0"/>
          <w:numId w:val="47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148" w:firstLine="480"/>
        <w:rPr>
          <w:color w:val="auto"/>
        </w:rPr>
      </w:pPr>
      <w:r>
        <w:rPr>
          <w:color w:val="auto"/>
        </w:rPr>
        <w:t xml:space="preserve">具有以下情形之一的：1、召回报告未获总局批准或未按照总局要求实施召回， </w:t>
      </w:r>
      <w:r>
        <w:rPr>
          <w:color w:val="auto"/>
          <w:spacing w:val="-3"/>
        </w:rPr>
        <w:t>自行召回的数量、范围等关键环节于实际有较大出入的；</w:t>
      </w:r>
      <w:r>
        <w:rPr>
          <w:color w:val="auto"/>
          <w:spacing w:val="-5"/>
        </w:rPr>
        <w:t>2</w:t>
      </w:r>
      <w:r>
        <w:rPr>
          <w:color w:val="auto"/>
          <w:spacing w:val="-6"/>
        </w:rPr>
        <w:t xml:space="preserve">、经查处后，再次违法的； </w:t>
      </w:r>
      <w:r>
        <w:rPr>
          <w:color w:val="auto"/>
        </w:rPr>
        <w:t>3、在召回过程中弄虚作假、延缓推诿，造成不良影响的。</w:t>
      </w:r>
    </w:p>
    <w:p>
      <w:pPr>
        <w:pStyle w:val="13"/>
        <w:numPr>
          <w:ilvl w:val="0"/>
          <w:numId w:val="471"/>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4792"/>
        <w:rPr>
          <w:color w:val="auto"/>
        </w:rPr>
      </w:pPr>
      <w:r>
        <w:rPr>
          <w:color w:val="auto"/>
          <w:spacing w:val="-30"/>
        </w:rPr>
        <w:t xml:space="preserve">处 </w:t>
      </w:r>
      <w:r>
        <w:rPr>
          <w:color w:val="auto"/>
        </w:rPr>
        <w:t>2</w:t>
      </w:r>
      <w:r>
        <w:rPr>
          <w:color w:val="auto"/>
          <w:spacing w:val="-20"/>
        </w:rPr>
        <w:t xml:space="preserve"> 万元以上 </w:t>
      </w:r>
      <w:r>
        <w:rPr>
          <w:color w:val="auto"/>
        </w:rPr>
        <w:t>2.5</w:t>
      </w:r>
      <w:r>
        <w:rPr>
          <w:color w:val="auto"/>
          <w:spacing w:val="-9"/>
        </w:rPr>
        <w:t xml:space="preserve"> 万元以下的罚款。</w:t>
      </w:r>
      <w:r>
        <w:rPr>
          <w:color w:val="auto"/>
        </w:rPr>
        <w:t>5</w:t>
      </w:r>
      <w:r>
        <w:rPr>
          <w:color w:val="auto"/>
          <w:spacing w:val="-18"/>
        </w:rPr>
        <w:t>、【特别严重】</w:t>
      </w:r>
    </w:p>
    <w:p>
      <w:pPr>
        <w:pStyle w:val="13"/>
        <w:numPr>
          <w:ilvl w:val="0"/>
          <w:numId w:val="47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spacing w:val="-1"/>
        </w:rPr>
        <w:t>具有以下情形之一的：</w:t>
      </w:r>
      <w:r>
        <w:rPr>
          <w:color w:val="auto"/>
          <w:spacing w:val="-5"/>
        </w:rPr>
        <w:t>1</w:t>
      </w:r>
      <w:r>
        <w:rPr>
          <w:color w:val="auto"/>
          <w:spacing w:val="-4"/>
        </w:rPr>
        <w:t>、受到总局通报批评的；2、召回报告未获总局批准未按</w:t>
      </w:r>
      <w:r>
        <w:rPr>
          <w:color w:val="auto"/>
        </w:rPr>
        <w:t>照总局要求实施召回，自行召回的数量、范围等关键环节于实际严重不符的；3、在媒体被曝光造成负面影响的；4、屡查屡犯的。</w:t>
      </w:r>
    </w:p>
    <w:p>
      <w:pPr>
        <w:pStyle w:val="13"/>
        <w:numPr>
          <w:ilvl w:val="0"/>
          <w:numId w:val="472"/>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处 2.5 万元以上 3 万元以下的罚款。</w:t>
      </w:r>
    </w:p>
    <w:p>
      <w:pPr>
        <w:pStyle w:val="2"/>
        <w:spacing w:before="191" w:line="391" w:lineRule="auto"/>
        <w:ind w:left="111" w:right="237" w:firstLine="480"/>
        <w:jc w:val="both"/>
        <w:rPr>
          <w:color w:val="auto"/>
        </w:rPr>
      </w:pPr>
      <w:bookmarkStart w:id="707" w:name="三百四十五、未按《产品防伪监督管理办法》取得生产许可证而擅自生产销售防伪技术产品"/>
      <w:bookmarkEnd w:id="707"/>
      <w:bookmarkStart w:id="708" w:name="_bookmark353"/>
      <w:bookmarkEnd w:id="708"/>
      <w:r>
        <w:rPr>
          <w:color w:val="auto"/>
          <w:spacing w:val="-7"/>
        </w:rPr>
        <w:t>三百四十五、未按《产品防伪监督管理办法》取得生产许可证而擅自生产销售防</w:t>
      </w:r>
      <w:r>
        <w:rPr>
          <w:color w:val="auto"/>
          <w:spacing w:val="-11"/>
        </w:rPr>
        <w:t>伪技术产品，以及已获得防伪技术产品生产许可证，而超出规定范围生产防伪技术产品</w:t>
      </w:r>
    </w:p>
    <w:p>
      <w:pPr>
        <w:spacing w:before="0" w:line="304" w:lineRule="exact"/>
        <w:ind w:left="591" w:right="0" w:firstLine="0"/>
        <w:jc w:val="left"/>
        <w:rPr>
          <w:b/>
          <w:color w:val="auto"/>
          <w:sz w:val="24"/>
        </w:rPr>
      </w:pPr>
      <w:r>
        <w:rPr>
          <w:b/>
          <w:color w:val="auto"/>
          <w:sz w:val="24"/>
        </w:rPr>
        <w:t>（一）处罚依据</w:t>
      </w:r>
    </w:p>
    <w:p>
      <w:pPr>
        <w:pStyle w:val="4"/>
        <w:spacing w:before="195" w:line="391" w:lineRule="auto"/>
        <w:ind w:right="148" w:firstLine="470"/>
        <w:jc w:val="both"/>
        <w:rPr>
          <w:color w:val="auto"/>
        </w:rPr>
      </w:pPr>
      <w:r>
        <w:rPr>
          <w:color w:val="auto"/>
          <w:spacing w:val="-3"/>
        </w:rPr>
        <w:t>《产品防伪监督管理办法》第二十七条“未按本办法取得生产许可证而擅自生产</w:t>
      </w:r>
      <w:r>
        <w:rPr>
          <w:color w:val="auto"/>
          <w:spacing w:val="-6"/>
        </w:rPr>
        <w:t>销售防伪技术产品，以及已获得防伪技术产品生产许可证，而超出规定范围生产防伪</w:t>
      </w:r>
      <w:r>
        <w:rPr>
          <w:color w:val="auto"/>
          <w:spacing w:val="-9"/>
        </w:rPr>
        <w:t>技术产品的，由质量技术监督部门责令其停止生产销售、限期取得生产许可证；没收</w:t>
      </w:r>
      <w:r>
        <w:rPr>
          <w:color w:val="auto"/>
          <w:spacing w:val="-10"/>
        </w:rPr>
        <w:t>违法生产的产品，有违法所得的，没收违法所得，并处违法生产销售产品</w:t>
      </w:r>
      <w:r>
        <w:rPr>
          <w:color w:val="auto"/>
        </w:rPr>
        <w:t>（包括已售出和未售出的产品</w:t>
      </w:r>
      <w:r>
        <w:rPr>
          <w:color w:val="auto"/>
          <w:spacing w:val="-53"/>
        </w:rPr>
        <w:t>）</w:t>
      </w:r>
      <w:r>
        <w:rPr>
          <w:color w:val="auto"/>
          <w:spacing w:val="-12"/>
        </w:rPr>
        <w:t xml:space="preserve">货值金额 </w:t>
      </w:r>
      <w:r>
        <w:rPr>
          <w:color w:val="auto"/>
        </w:rPr>
        <w:t>15％</w:t>
      </w:r>
      <w:r>
        <w:rPr>
          <w:color w:val="auto"/>
          <w:spacing w:val="-30"/>
        </w:rPr>
        <w:t xml:space="preserve">至 </w:t>
      </w:r>
      <w:r>
        <w:rPr>
          <w:color w:val="auto"/>
        </w:rPr>
        <w:t>20％</w:t>
      </w:r>
      <w:r>
        <w:rPr>
          <w:color w:val="auto"/>
          <w:spacing w:val="-17"/>
        </w:rPr>
        <w:t>的罚款；造成损失的，依法承担赔偿责任。”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7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具有以下情形之一的：1、新成立的企业，未取得生产许可证首次生产防伪技术</w:t>
      </w:r>
    </w:p>
    <w:p>
      <w:pPr>
        <w:spacing w:after="0"/>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产品，产品未销售的；2、首次违法，检查后及时停止违法行为的；3、未造成危害后果的。</w:t>
      </w:r>
    </w:p>
    <w:p>
      <w:pPr>
        <w:pStyle w:val="13"/>
        <w:numPr>
          <w:ilvl w:val="0"/>
          <w:numId w:val="47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13" w:firstLine="480"/>
        <w:rPr>
          <w:color w:val="auto"/>
        </w:rPr>
      </w:pPr>
      <w:r>
        <w:rPr>
          <w:color w:val="auto"/>
        </w:rPr>
        <w:t>责令其停止生产销售、限期取得生产许可证；没收违法生产的产品，有违法所得的，没收违法所得，并处违法生产销售产品货值金额 15％的罚款。</w:t>
      </w:r>
    </w:p>
    <w:p>
      <w:pPr>
        <w:pStyle w:val="4"/>
        <w:spacing w:line="306" w:lineRule="exact"/>
        <w:ind w:left="591"/>
        <w:rPr>
          <w:color w:val="auto"/>
        </w:rPr>
      </w:pPr>
      <w:r>
        <w:rPr>
          <w:color w:val="auto"/>
        </w:rPr>
        <w:t>2、【一般】</w:t>
      </w:r>
    </w:p>
    <w:p>
      <w:pPr>
        <w:pStyle w:val="13"/>
        <w:numPr>
          <w:ilvl w:val="0"/>
          <w:numId w:val="47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jc w:val="both"/>
        <w:rPr>
          <w:color w:val="auto"/>
        </w:rPr>
      </w:pPr>
      <w:r>
        <w:rPr>
          <w:color w:val="auto"/>
        </w:rPr>
        <w:t>具有以下情形之一的：1、无证生产销售防伪技术产品，经检验防伪产品质量符合相关标准要求的；2、超规定范围生产防伪技术产品的，经检验防伪产品质量符合相关标准要求的。</w:t>
      </w:r>
    </w:p>
    <w:p>
      <w:pPr>
        <w:pStyle w:val="13"/>
        <w:numPr>
          <w:ilvl w:val="0"/>
          <w:numId w:val="474"/>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1" w:line="388" w:lineRule="auto"/>
        <w:ind w:right="213" w:firstLine="480"/>
        <w:rPr>
          <w:color w:val="auto"/>
        </w:rPr>
      </w:pPr>
      <w:r>
        <w:rPr>
          <w:color w:val="auto"/>
        </w:rPr>
        <w:t>责令其停止生产销售、限期取得生产许可证；没收违法生产的产品，有违法所得的，没收违法所得，并处违法生产销售产品货值金额 15%以上 16％以下的罚款。</w:t>
      </w:r>
    </w:p>
    <w:p>
      <w:pPr>
        <w:pStyle w:val="4"/>
        <w:spacing w:before="5"/>
        <w:ind w:left="591"/>
        <w:rPr>
          <w:color w:val="auto"/>
        </w:rPr>
      </w:pPr>
      <w:r>
        <w:rPr>
          <w:color w:val="auto"/>
        </w:rPr>
        <w:t>3、【较重】</w:t>
      </w:r>
    </w:p>
    <w:p>
      <w:pPr>
        <w:pStyle w:val="13"/>
        <w:numPr>
          <w:ilvl w:val="0"/>
          <w:numId w:val="475"/>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69" w:firstLine="480"/>
        <w:jc w:val="both"/>
        <w:rPr>
          <w:color w:val="auto"/>
        </w:rPr>
      </w:pPr>
      <w:r>
        <w:rPr>
          <w:color w:val="auto"/>
        </w:rPr>
        <w:t>具有以下情形之一的：1、无证生产销售防伪技术产品，经检验防伪产品质量不符合相关标准要求的；2、超规定范围生产防伪技术产品的，经检验防伪产品质量不符合相关标准要求的。</w:t>
      </w:r>
    </w:p>
    <w:p>
      <w:pPr>
        <w:pStyle w:val="13"/>
        <w:numPr>
          <w:ilvl w:val="0"/>
          <w:numId w:val="475"/>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right="213" w:firstLine="480"/>
        <w:rPr>
          <w:color w:val="auto"/>
        </w:rPr>
      </w:pPr>
      <w:r>
        <w:rPr>
          <w:color w:val="auto"/>
        </w:rPr>
        <w:t>责令其停止生产销售、限期取得生产许可证；没收违法生产的产品，有违法所得的，没收违法所得，并处违法生产销售产品货值金额 16%以上 17％以下的罚款。</w:t>
      </w:r>
    </w:p>
    <w:p>
      <w:pPr>
        <w:pStyle w:val="4"/>
        <w:spacing w:before="2"/>
        <w:ind w:left="591"/>
        <w:rPr>
          <w:color w:val="auto"/>
        </w:rPr>
      </w:pPr>
      <w:r>
        <w:rPr>
          <w:color w:val="auto"/>
        </w:rPr>
        <w:t>4、【严重】</w:t>
      </w:r>
    </w:p>
    <w:p>
      <w:pPr>
        <w:pStyle w:val="13"/>
        <w:numPr>
          <w:ilvl w:val="0"/>
          <w:numId w:val="476"/>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具有以下情形之一的：1、无证生产销售防伪技术产品违法行为持续半年以上以上未申请许可的；2、经查处后，再次违法的。</w:t>
      </w:r>
    </w:p>
    <w:p>
      <w:pPr>
        <w:pStyle w:val="13"/>
        <w:numPr>
          <w:ilvl w:val="0"/>
          <w:numId w:val="476"/>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5"/>
        </w:rPr>
        <w:t>责令其停止生产销售、限期取得生产许可证；没收违法生产的产品，有违法所得</w:t>
      </w:r>
      <w:r>
        <w:rPr>
          <w:color w:val="auto"/>
          <w:spacing w:val="-7"/>
        </w:rPr>
        <w:t xml:space="preserve">的，没收违法所得，并处违法生产销售产品货值金额 </w:t>
      </w:r>
      <w:r>
        <w:rPr>
          <w:color w:val="auto"/>
        </w:rPr>
        <w:t>17%</w:t>
      </w:r>
      <w:r>
        <w:rPr>
          <w:color w:val="auto"/>
          <w:spacing w:val="-20"/>
        </w:rPr>
        <w:t xml:space="preserve">以上 </w:t>
      </w:r>
      <w:r>
        <w:rPr>
          <w:color w:val="auto"/>
        </w:rPr>
        <w:t>18％</w:t>
      </w:r>
      <w:r>
        <w:rPr>
          <w:color w:val="auto"/>
          <w:spacing w:val="-4"/>
        </w:rPr>
        <w:t>以下的罚款；造成</w:t>
      </w:r>
    </w:p>
    <w:p>
      <w:pPr>
        <w:spacing w:after="0" w:line="388" w:lineRule="auto"/>
        <w:rPr>
          <w:color w:val="auto"/>
        </w:rPr>
        <w:sectPr>
          <w:pgSz w:w="11910" w:h="16840"/>
          <w:pgMar w:top="1520" w:right="1260" w:bottom="1220" w:left="1420" w:header="0" w:footer="1034" w:gutter="0"/>
        </w:sectPr>
      </w:pPr>
    </w:p>
    <w:p>
      <w:pPr>
        <w:pStyle w:val="4"/>
        <w:spacing w:before="39" w:line="391" w:lineRule="auto"/>
        <w:ind w:left="591" w:right="5992" w:hanging="480"/>
        <w:rPr>
          <w:color w:val="auto"/>
        </w:rPr>
      </w:pPr>
      <w:r>
        <w:rPr>
          <w:color w:val="auto"/>
        </w:rPr>
        <w:t>损失的，依法承担赔偿责任。5、【特别严重】</w:t>
      </w:r>
    </w:p>
    <w:p>
      <w:pPr>
        <w:pStyle w:val="13"/>
        <w:numPr>
          <w:ilvl w:val="0"/>
          <w:numId w:val="47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9" w:firstLine="480"/>
        <w:rPr>
          <w:color w:val="auto"/>
        </w:rPr>
      </w:pPr>
      <w:r>
        <w:rPr>
          <w:color w:val="auto"/>
        </w:rPr>
        <w:t>具有以下情形之一的：1、属屡犯，两年内发生过两次以上（含两次）同一违法行为被查处，拒不整改的；2、造成较大损失或严重社会影响的。</w:t>
      </w:r>
    </w:p>
    <w:p>
      <w:pPr>
        <w:pStyle w:val="13"/>
        <w:numPr>
          <w:ilvl w:val="0"/>
          <w:numId w:val="47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5"/>
        </w:rPr>
        <w:t>责令其停止生产销售、限期取得生产许可证；没收违法生产的产品，有违法所得</w:t>
      </w:r>
      <w:r>
        <w:rPr>
          <w:color w:val="auto"/>
          <w:spacing w:val="-7"/>
        </w:rPr>
        <w:t xml:space="preserve">的，没收违法所得，并处违法生产销售产品货值金额 </w:t>
      </w:r>
      <w:r>
        <w:rPr>
          <w:color w:val="auto"/>
        </w:rPr>
        <w:t>18%</w:t>
      </w:r>
      <w:r>
        <w:rPr>
          <w:color w:val="auto"/>
          <w:spacing w:val="-20"/>
        </w:rPr>
        <w:t xml:space="preserve">以上 </w:t>
      </w:r>
      <w:r>
        <w:rPr>
          <w:color w:val="auto"/>
        </w:rPr>
        <w:t>20％</w:t>
      </w:r>
      <w:r>
        <w:rPr>
          <w:color w:val="auto"/>
          <w:spacing w:val="-4"/>
        </w:rPr>
        <w:t>以下的罚款；造成</w:t>
      </w:r>
      <w:r>
        <w:rPr>
          <w:color w:val="auto"/>
        </w:rPr>
        <w:t>损失的，依法承担赔偿责任。</w:t>
      </w:r>
    </w:p>
    <w:p>
      <w:pPr>
        <w:pStyle w:val="2"/>
        <w:spacing w:line="304" w:lineRule="exact"/>
        <w:rPr>
          <w:color w:val="auto"/>
        </w:rPr>
      </w:pPr>
      <w:bookmarkStart w:id="709" w:name="_bookmark354"/>
      <w:bookmarkEnd w:id="709"/>
      <w:bookmarkStart w:id="710" w:name="三百四十六、生产不符合有关强制性标准的防伪技术产品"/>
      <w:bookmarkEnd w:id="710"/>
      <w:r>
        <w:rPr>
          <w:color w:val="auto"/>
        </w:rPr>
        <w:t>三百四十六、生产不符合有关强制性标准的防伪技术产品</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1、《产品防伪监督管理办法》第二十八条第（一）项“防伪技术产品的生产企</w:t>
      </w:r>
      <w:r>
        <w:rPr>
          <w:color w:val="auto"/>
          <w:spacing w:val="-2"/>
        </w:rPr>
        <w:t>业有下列行为之一的，应当分别予以处罚：</w:t>
      </w:r>
      <w:r>
        <w:rPr>
          <w:color w:val="auto"/>
          <w:spacing w:val="-9"/>
        </w:rPr>
        <w:t>（</w:t>
      </w:r>
      <w:r>
        <w:rPr>
          <w:color w:val="auto"/>
        </w:rPr>
        <w:t>一</w:t>
      </w:r>
      <w:r>
        <w:rPr>
          <w:color w:val="auto"/>
          <w:spacing w:val="-10"/>
        </w:rPr>
        <w:t>）</w:t>
      </w:r>
      <w:r>
        <w:rPr>
          <w:color w:val="auto"/>
          <w:spacing w:val="-2"/>
        </w:rPr>
        <w:t>生产不符合有关强制性标准的防伪</w:t>
      </w:r>
      <w:r>
        <w:rPr>
          <w:color w:val="auto"/>
          <w:spacing w:val="-7"/>
        </w:rPr>
        <w:t>技术产品的，责令停止生产、销售，并按照《中华人民共和国产品质量法》和《中华</w:t>
      </w:r>
      <w:r>
        <w:rPr>
          <w:color w:val="auto"/>
        </w:rPr>
        <w:t>人民共和国标准化法》的有关规定处罚。”</w:t>
      </w:r>
    </w:p>
    <w:p>
      <w:pPr>
        <w:pStyle w:val="4"/>
        <w:spacing w:line="391" w:lineRule="auto"/>
        <w:ind w:right="145" w:firstLine="470"/>
        <w:rPr>
          <w:color w:val="auto"/>
        </w:rPr>
      </w:pPr>
      <w:r>
        <w:rPr>
          <w:color w:val="auto"/>
        </w:rPr>
        <w:t>2、《中华人民共和国产品质量法》第四十九条“生产不符合保障人体健康和人</w:t>
      </w:r>
      <w:r>
        <w:rPr>
          <w:color w:val="auto"/>
          <w:spacing w:val="-13"/>
        </w:rPr>
        <w:t>身、财产安全的国家标准、行业标准的产品的，责令停止生产、销售，没收违法生产、</w:t>
      </w:r>
      <w:r>
        <w:rPr>
          <w:color w:val="auto"/>
          <w:spacing w:val="-4"/>
        </w:rPr>
        <w:t>销售的产品，并处违法生产、销售产品</w:t>
      </w:r>
      <w:r>
        <w:rPr>
          <w:color w:val="auto"/>
        </w:rPr>
        <w:t>（</w:t>
      </w:r>
      <w:r>
        <w:rPr>
          <w:color w:val="auto"/>
          <w:spacing w:val="-2"/>
        </w:rPr>
        <w:t>包括已售出和未售出的产品，下同</w:t>
      </w:r>
      <w:r>
        <w:rPr>
          <w:color w:val="auto"/>
          <w:spacing w:val="-8"/>
        </w:rPr>
        <w:t>）</w:t>
      </w:r>
      <w:r>
        <w:rPr>
          <w:color w:val="auto"/>
        </w:rPr>
        <w:t>货值金</w:t>
      </w:r>
      <w:r>
        <w:rPr>
          <w:color w:val="auto"/>
          <w:spacing w:val="-3"/>
        </w:rPr>
        <w:t>额等值以上三倍以下的罚款；有违法所得的，并处没收违法所得；情节严重的吊销营业执照；构成犯罪的，依法追究刑事责任。”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7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5" w:line="388" w:lineRule="auto"/>
        <w:ind w:right="212" w:firstLine="480"/>
        <w:rPr>
          <w:color w:val="auto"/>
        </w:rPr>
      </w:pPr>
      <w:r>
        <w:rPr>
          <w:color w:val="auto"/>
        </w:rPr>
        <w:t>有下列情形之一的：1、有证据证明该产品是初次生产，且尚未销售的；2、有证据证明该产品是初次生产，没有造成危害结果的。</w:t>
      </w:r>
    </w:p>
    <w:p>
      <w:pPr>
        <w:pStyle w:val="13"/>
        <w:numPr>
          <w:ilvl w:val="0"/>
          <w:numId w:val="47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66" w:firstLine="480"/>
        <w:rPr>
          <w:color w:val="auto"/>
        </w:rPr>
      </w:pPr>
      <w:r>
        <w:rPr>
          <w:color w:val="auto"/>
          <w:spacing w:val="-7"/>
        </w:rPr>
        <w:t>责令停止生产、销售，没收违法生产、销售的产品，并处货值金额等值罚款；有</w:t>
      </w:r>
      <w:r>
        <w:rPr>
          <w:color w:val="auto"/>
        </w:rPr>
        <w:t>违法所得的，并处没收违法所得。</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2、【一般】</w:t>
      </w:r>
    </w:p>
    <w:p>
      <w:pPr>
        <w:pStyle w:val="13"/>
        <w:numPr>
          <w:ilvl w:val="0"/>
          <w:numId w:val="479"/>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32" w:firstLine="480"/>
        <w:rPr>
          <w:color w:val="auto"/>
        </w:rPr>
      </w:pPr>
      <w:r>
        <w:rPr>
          <w:color w:val="auto"/>
        </w:rPr>
        <w:t>有下列情形之一的：1、检验结论为一般不合格的；2、主动追回已售出的产品， 或售出产品未造成危害后果的。</w:t>
      </w:r>
    </w:p>
    <w:p>
      <w:pPr>
        <w:pStyle w:val="13"/>
        <w:numPr>
          <w:ilvl w:val="0"/>
          <w:numId w:val="479"/>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25" w:firstLine="480"/>
        <w:rPr>
          <w:color w:val="auto"/>
        </w:rPr>
      </w:pPr>
      <w:r>
        <w:rPr>
          <w:color w:val="auto"/>
        </w:rPr>
        <w:t>责令停止生产、销售，没收违法生产、销售的产品，并处货值金额等值以上 1.5 倍以下罚款；有违法所得的，并处没收违法所得。</w:t>
      </w:r>
    </w:p>
    <w:p>
      <w:pPr>
        <w:pStyle w:val="4"/>
        <w:spacing w:before="4"/>
        <w:ind w:left="591"/>
        <w:rPr>
          <w:color w:val="auto"/>
        </w:rPr>
      </w:pPr>
      <w:r>
        <w:rPr>
          <w:color w:val="auto"/>
        </w:rPr>
        <w:t>3、【较重】</w:t>
      </w:r>
    </w:p>
    <w:p>
      <w:pPr>
        <w:pStyle w:val="13"/>
        <w:numPr>
          <w:ilvl w:val="0"/>
          <w:numId w:val="48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有下列情形之一的：1、检验结论为较重不合格的；2、产品半数以下售出且无法追回的。</w:t>
      </w:r>
    </w:p>
    <w:p>
      <w:pPr>
        <w:pStyle w:val="13"/>
        <w:numPr>
          <w:ilvl w:val="0"/>
          <w:numId w:val="48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1.5</w:t>
      </w:r>
      <w:r>
        <w:rPr>
          <w:color w:val="auto"/>
          <w:spacing w:val="-24"/>
        </w:rPr>
        <w:t xml:space="preserve"> 倍以上 </w:t>
      </w:r>
      <w:r>
        <w:rPr>
          <w:color w:val="auto"/>
          <w:spacing w:val="-17"/>
        </w:rPr>
        <w:t xml:space="preserve">2 </w:t>
      </w:r>
      <w:r>
        <w:rPr>
          <w:color w:val="auto"/>
        </w:rPr>
        <w:t>倍以下罚款；有违法所得的，并处没收违法所得；通报营业执照发证部门。</w:t>
      </w:r>
    </w:p>
    <w:p>
      <w:pPr>
        <w:pStyle w:val="4"/>
        <w:spacing w:line="306" w:lineRule="exact"/>
        <w:ind w:left="591"/>
        <w:rPr>
          <w:color w:val="auto"/>
        </w:rPr>
      </w:pPr>
      <w:r>
        <w:rPr>
          <w:color w:val="auto"/>
        </w:rPr>
        <w:t>4、【严重】</w:t>
      </w:r>
    </w:p>
    <w:p>
      <w:pPr>
        <w:pStyle w:val="13"/>
        <w:numPr>
          <w:ilvl w:val="0"/>
          <w:numId w:val="48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有下列情形之一的：1、检验结论为严重不合格的；2、产品全部或大部分销售， 无法追回的。</w:t>
      </w:r>
    </w:p>
    <w:p>
      <w:pPr>
        <w:pStyle w:val="13"/>
        <w:numPr>
          <w:ilvl w:val="0"/>
          <w:numId w:val="48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倍以下罚款；有违法所得的，并处没收违法所得；吊销营业执照。</w:t>
      </w:r>
    </w:p>
    <w:p>
      <w:pPr>
        <w:pStyle w:val="4"/>
        <w:spacing w:before="2"/>
        <w:ind w:left="591"/>
        <w:rPr>
          <w:color w:val="auto"/>
        </w:rPr>
      </w:pPr>
      <w:r>
        <w:rPr>
          <w:color w:val="auto"/>
        </w:rPr>
        <w:t>5、【特别严重】</w:t>
      </w:r>
    </w:p>
    <w:p>
      <w:pPr>
        <w:pStyle w:val="13"/>
        <w:numPr>
          <w:ilvl w:val="0"/>
          <w:numId w:val="48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spacing w:val="-1"/>
        </w:rPr>
        <w:t>有下列情形之一的：</w:t>
      </w:r>
      <w:r>
        <w:rPr>
          <w:color w:val="auto"/>
          <w:spacing w:val="-4"/>
        </w:rPr>
        <w:t>1、产品全部或大部分销售，且拒不追回的；2</w:t>
      </w:r>
      <w:r>
        <w:rPr>
          <w:color w:val="auto"/>
          <w:spacing w:val="-5"/>
        </w:rPr>
        <w:t>、不执行责令</w:t>
      </w:r>
      <w:r>
        <w:rPr>
          <w:color w:val="auto"/>
        </w:rPr>
        <w:t>停止生产、销售，继续实施违法行为的；3、生产的产品造成人身、财产损害或者造成较大社会影响等严重危害后果的；4.其他符合特别严重违法情节的。</w:t>
      </w:r>
    </w:p>
    <w:p>
      <w:pPr>
        <w:pStyle w:val="13"/>
        <w:numPr>
          <w:ilvl w:val="0"/>
          <w:numId w:val="482"/>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责令停止生产、销售，没收违法生产、销售的产品，并处货值金额 2.5 倍以上 3</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倍以下罚款；有违法所得的，并处没收违法所得；吊销营业执照。</w:t>
      </w:r>
    </w:p>
    <w:p>
      <w:pPr>
        <w:pStyle w:val="2"/>
        <w:spacing w:before="195" w:line="388" w:lineRule="auto"/>
        <w:ind w:left="111" w:right="237" w:firstLine="480"/>
        <w:jc w:val="both"/>
        <w:rPr>
          <w:color w:val="auto"/>
        </w:rPr>
      </w:pPr>
      <w:bookmarkStart w:id="711" w:name="三百四十七、生产假冒他人的防伪技术产品，为第三方生产相同或者近似的防伪技术产品，"/>
      <w:bookmarkEnd w:id="711"/>
      <w:bookmarkStart w:id="712" w:name="_bookmark355"/>
      <w:bookmarkEnd w:id="712"/>
      <w:r>
        <w:rPr>
          <w:color w:val="auto"/>
          <w:spacing w:val="-8"/>
        </w:rPr>
        <w:t>三百四十七、生产假冒他人的防伪技术产品，为第三方生产相同或者近似的防伪</w:t>
      </w:r>
      <w:r>
        <w:rPr>
          <w:color w:val="auto"/>
          <w:spacing w:val="-11"/>
        </w:rPr>
        <w:t>技术产品，以及未订立合同或者违背合同非法生产、买卖防伪技术产品或者含有防伪技术产品的包装物、标签</w:t>
      </w:r>
    </w:p>
    <w:p>
      <w:pPr>
        <w:spacing w:before="5"/>
        <w:ind w:left="591" w:right="0" w:firstLine="0"/>
        <w:jc w:val="left"/>
        <w:rPr>
          <w:b/>
          <w:color w:val="auto"/>
          <w:sz w:val="24"/>
        </w:rPr>
      </w:pPr>
      <w:r>
        <w:rPr>
          <w:b/>
          <w:color w:val="auto"/>
          <w:sz w:val="24"/>
        </w:rPr>
        <w:t>（一）处罚依据</w:t>
      </w:r>
    </w:p>
    <w:p>
      <w:pPr>
        <w:pStyle w:val="4"/>
        <w:spacing w:before="192" w:line="391" w:lineRule="auto"/>
        <w:ind w:right="232" w:firstLine="470"/>
        <w:jc w:val="both"/>
        <w:rPr>
          <w:color w:val="auto"/>
        </w:rPr>
      </w:pPr>
      <w:r>
        <w:rPr>
          <w:color w:val="auto"/>
          <w:spacing w:val="-2"/>
        </w:rPr>
        <w:t>《产品防伪监督管理办法》第二十八条第</w:t>
      </w:r>
      <w:r>
        <w:rPr>
          <w:color w:val="auto"/>
        </w:rPr>
        <w:t>（二</w:t>
      </w:r>
      <w:r>
        <w:rPr>
          <w:color w:val="auto"/>
          <w:spacing w:val="-8"/>
        </w:rPr>
        <w:t>）</w:t>
      </w:r>
      <w:r>
        <w:rPr>
          <w:color w:val="auto"/>
          <w:spacing w:val="-3"/>
        </w:rPr>
        <w:t>项“防伪技术产品的生产企业有</w:t>
      </w:r>
      <w:r>
        <w:rPr>
          <w:color w:val="auto"/>
          <w:spacing w:val="-7"/>
        </w:rPr>
        <w:t>下列行为之一的，应当分别予以处罚：生产假冒他人的防伪技术产品，为第三方生产</w:t>
      </w:r>
      <w:r>
        <w:rPr>
          <w:color w:val="auto"/>
          <w:spacing w:val="-9"/>
        </w:rPr>
        <w:t>相同或者近似的防伪技术产品，以及未订立合同或者违背合同非法生产、买卖防伪技</w:t>
      </w:r>
      <w:r>
        <w:rPr>
          <w:color w:val="auto"/>
          <w:spacing w:val="-10"/>
        </w:rPr>
        <w:t xml:space="preserve">术产品或者含有防伪技术产品的包装物、标签的，责令停止生产、销售，没收产品， </w:t>
      </w:r>
      <w:r>
        <w:rPr>
          <w:color w:val="auto"/>
          <w:spacing w:val="-5"/>
        </w:rPr>
        <w:t xml:space="preserve">监督销毁或做必要技术处理，有违法所得的，没收违法所得；并处 </w:t>
      </w:r>
      <w:r>
        <w:rPr>
          <w:color w:val="auto"/>
        </w:rPr>
        <w:t>2</w:t>
      </w:r>
      <w:r>
        <w:rPr>
          <w:color w:val="auto"/>
          <w:spacing w:val="-20"/>
        </w:rPr>
        <w:t xml:space="preserve"> 万元以上 </w:t>
      </w:r>
      <w:r>
        <w:rPr>
          <w:color w:val="auto"/>
        </w:rPr>
        <w:t>3</w:t>
      </w:r>
      <w:r>
        <w:rPr>
          <w:color w:val="auto"/>
          <w:spacing w:val="-20"/>
        </w:rPr>
        <w:t xml:space="preserve"> 万元以下的罚款；情节严重的，吊销生产许可证。”</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8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9" w:line="388" w:lineRule="auto"/>
        <w:ind w:right="212" w:firstLine="480"/>
        <w:rPr>
          <w:color w:val="auto"/>
        </w:rPr>
      </w:pPr>
      <w:r>
        <w:rPr>
          <w:color w:val="auto"/>
        </w:rPr>
        <w:t>有下列情形之一的：1、属初次违法，检查后及时停止违法行为的；2、违法货值金额较小的；3、未造成危害后果的。</w:t>
      </w:r>
    </w:p>
    <w:p>
      <w:pPr>
        <w:pStyle w:val="13"/>
        <w:numPr>
          <w:ilvl w:val="0"/>
          <w:numId w:val="483"/>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32" w:firstLine="480"/>
        <w:rPr>
          <w:color w:val="auto"/>
        </w:rPr>
      </w:pPr>
      <w:r>
        <w:rPr>
          <w:color w:val="auto"/>
        </w:rPr>
        <w:t>责令停止生产、销售，没收产品，监督销毁或做必要技术处理，有违法所得的， 没收违法所得；并处 2 万元罚款。</w:t>
      </w:r>
    </w:p>
    <w:p>
      <w:pPr>
        <w:pStyle w:val="4"/>
        <w:spacing w:before="4"/>
        <w:ind w:left="591"/>
        <w:rPr>
          <w:color w:val="auto"/>
        </w:rPr>
      </w:pPr>
      <w:r>
        <w:rPr>
          <w:color w:val="auto"/>
        </w:rPr>
        <w:t>2、【一般】</w:t>
      </w:r>
    </w:p>
    <w:p>
      <w:pPr>
        <w:pStyle w:val="13"/>
        <w:numPr>
          <w:ilvl w:val="0"/>
          <w:numId w:val="48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2" w:firstLine="480"/>
        <w:rPr>
          <w:color w:val="auto"/>
        </w:rPr>
      </w:pPr>
      <w:r>
        <w:rPr>
          <w:color w:val="auto"/>
        </w:rPr>
        <w:t>有下列情形之一的：1、违法货值金额较大，但未造成危害后果的；2、违法产品已经出售且大部分无法追回的。</w:t>
      </w:r>
    </w:p>
    <w:p>
      <w:pPr>
        <w:pStyle w:val="13"/>
        <w:numPr>
          <w:ilvl w:val="0"/>
          <w:numId w:val="48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32" w:firstLine="480"/>
        <w:rPr>
          <w:color w:val="auto"/>
        </w:rPr>
      </w:pPr>
      <w:r>
        <w:rPr>
          <w:color w:val="auto"/>
        </w:rPr>
        <w:t>责令停止生产、销售，没收产品，监督销毁或做必要技术处理，有违法所得的， 没收违法所得；并处 2 万以上 2.3 万元以下罚款。</w:t>
      </w:r>
    </w:p>
    <w:p>
      <w:pPr>
        <w:pStyle w:val="4"/>
        <w:spacing w:line="306" w:lineRule="exact"/>
        <w:ind w:left="591"/>
        <w:rPr>
          <w:color w:val="auto"/>
        </w:rPr>
      </w:pPr>
      <w:r>
        <w:rPr>
          <w:color w:val="auto"/>
        </w:rPr>
        <w:t>3、【较重】</w:t>
      </w:r>
    </w:p>
    <w:p>
      <w:pPr>
        <w:pStyle w:val="13"/>
        <w:numPr>
          <w:ilvl w:val="0"/>
          <w:numId w:val="485"/>
        </w:numPr>
        <w:tabs>
          <w:tab w:val="left" w:pos="1193"/>
        </w:tabs>
        <w:spacing w:before="191"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2" w:firstLine="480"/>
        <w:rPr>
          <w:color w:val="auto"/>
        </w:rPr>
      </w:pPr>
      <w:r>
        <w:rPr>
          <w:color w:val="auto"/>
        </w:rPr>
        <w:t>有下列情形之一的：1、涉案货值较大，拒不追回已经售出产品的；2、为生产假冒名牌产品、地理标志保护产品等名优产品提供防伪技术的。</w:t>
      </w:r>
    </w:p>
    <w:p>
      <w:pPr>
        <w:pStyle w:val="13"/>
        <w:numPr>
          <w:ilvl w:val="0"/>
          <w:numId w:val="48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32" w:firstLine="480"/>
        <w:rPr>
          <w:color w:val="auto"/>
        </w:rPr>
      </w:pPr>
      <w:r>
        <w:rPr>
          <w:color w:val="auto"/>
        </w:rPr>
        <w:t>责令停止生产、销售，没收产品，监督销毁或做必要技术处理，有违法所得的， 没收违法所得；并处 2.3 万元以上 2.5 万元以下的罚款。</w:t>
      </w:r>
    </w:p>
    <w:p>
      <w:pPr>
        <w:pStyle w:val="4"/>
        <w:spacing w:line="306" w:lineRule="exact"/>
        <w:ind w:left="591"/>
        <w:rPr>
          <w:color w:val="auto"/>
        </w:rPr>
      </w:pPr>
      <w:r>
        <w:rPr>
          <w:color w:val="auto"/>
        </w:rPr>
        <w:t>4、【严重】</w:t>
      </w:r>
    </w:p>
    <w:p>
      <w:pPr>
        <w:pStyle w:val="13"/>
        <w:numPr>
          <w:ilvl w:val="0"/>
          <w:numId w:val="48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有下列情形之一的：1、涉案货值金额巨大的；2、经查处后，再次违法的。</w:t>
      </w:r>
    </w:p>
    <w:p>
      <w:pPr>
        <w:pStyle w:val="13"/>
        <w:numPr>
          <w:ilvl w:val="0"/>
          <w:numId w:val="48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32" w:firstLine="480"/>
        <w:rPr>
          <w:color w:val="auto"/>
        </w:rPr>
      </w:pPr>
      <w:r>
        <w:rPr>
          <w:color w:val="auto"/>
        </w:rPr>
        <w:t>责令停止生产、销售，没收产品，监督销毁或做必要技术处理，有违法所得的， 没收违法所得；并处 2.5 万元以上 2.8 万元以下罚款；吊销生产许可证。</w:t>
      </w:r>
    </w:p>
    <w:p>
      <w:pPr>
        <w:pStyle w:val="4"/>
        <w:spacing w:line="306" w:lineRule="exact"/>
        <w:ind w:left="591"/>
        <w:rPr>
          <w:color w:val="auto"/>
        </w:rPr>
      </w:pPr>
      <w:r>
        <w:rPr>
          <w:color w:val="auto"/>
        </w:rPr>
        <w:t>5、【特别严重】</w:t>
      </w:r>
    </w:p>
    <w:p>
      <w:pPr>
        <w:pStyle w:val="13"/>
        <w:numPr>
          <w:ilvl w:val="0"/>
          <w:numId w:val="48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有下列情形之一的：1、被处罚后再次违法，涉案货值金额巨大的；2、屡次违法的；3、造成社会影响较大等严重危害后果的。</w:t>
      </w:r>
    </w:p>
    <w:p>
      <w:pPr>
        <w:pStyle w:val="13"/>
        <w:numPr>
          <w:ilvl w:val="0"/>
          <w:numId w:val="48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32" w:firstLine="480"/>
        <w:rPr>
          <w:color w:val="auto"/>
        </w:rPr>
      </w:pPr>
      <w:r>
        <w:rPr>
          <w:color w:val="auto"/>
        </w:rPr>
        <w:t>责令停止生产、销售，没收产品，监督销毁或做必要技术处理，有违法所得的， 没收违法所得；并处 2.8 万元以上 3 万元以下罚款；吊销生产许可证。</w:t>
      </w:r>
    </w:p>
    <w:p>
      <w:pPr>
        <w:pStyle w:val="2"/>
        <w:spacing w:before="2"/>
        <w:rPr>
          <w:color w:val="auto"/>
        </w:rPr>
      </w:pPr>
      <w:bookmarkStart w:id="713" w:name="_bookmark356"/>
      <w:bookmarkEnd w:id="713"/>
      <w:bookmarkStart w:id="714" w:name="三百四十八、选用未获得生产许可证的防伪技术产品生产企业生产的防伪技术产品"/>
      <w:bookmarkEnd w:id="714"/>
      <w:r>
        <w:rPr>
          <w:color w:val="auto"/>
        </w:rPr>
        <w:t>三百四十八、选用未获得生产许可证的防伪技术产品生产企业生产的防伪技术产</w:t>
      </w:r>
    </w:p>
    <w:p>
      <w:pPr>
        <w:spacing w:before="195"/>
        <w:ind w:left="111" w:right="0" w:firstLine="0"/>
        <w:jc w:val="left"/>
        <w:rPr>
          <w:b/>
          <w:color w:val="auto"/>
          <w:sz w:val="24"/>
        </w:rPr>
      </w:pPr>
      <w:r>
        <w:rPr>
          <w:b/>
          <w:color w:val="auto"/>
          <w:w w:val="99"/>
          <w:sz w:val="24"/>
        </w:rPr>
        <w:t>品</w:t>
      </w:r>
    </w:p>
    <w:p>
      <w:pPr>
        <w:spacing w:before="191"/>
        <w:ind w:left="591" w:right="0" w:firstLine="0"/>
        <w:jc w:val="left"/>
        <w:rPr>
          <w:b/>
          <w:color w:val="auto"/>
          <w:sz w:val="24"/>
        </w:rPr>
      </w:pPr>
      <w:r>
        <w:rPr>
          <w:b/>
          <w:color w:val="auto"/>
          <w:sz w:val="24"/>
        </w:rPr>
        <w:t>（一）处罚依据</w:t>
      </w:r>
    </w:p>
    <w:p>
      <w:pPr>
        <w:pStyle w:val="4"/>
        <w:spacing w:before="192" w:line="391" w:lineRule="auto"/>
        <w:ind w:right="266" w:firstLine="470"/>
        <w:jc w:val="both"/>
        <w:rPr>
          <w:color w:val="auto"/>
        </w:rPr>
      </w:pPr>
      <w:r>
        <w:rPr>
          <w:color w:val="auto"/>
          <w:spacing w:val="-2"/>
        </w:rPr>
        <w:t>《产品防伪监督管理办法》第二十九条第</w:t>
      </w:r>
      <w:r>
        <w:rPr>
          <w:color w:val="auto"/>
        </w:rPr>
        <w:t>（一</w:t>
      </w:r>
      <w:r>
        <w:rPr>
          <w:color w:val="auto"/>
          <w:spacing w:val="-8"/>
        </w:rPr>
        <w:t>）</w:t>
      </w:r>
      <w:r>
        <w:rPr>
          <w:color w:val="auto"/>
          <w:spacing w:val="-4"/>
        </w:rPr>
        <w:t>项“防伪技术产品的使用者有以</w:t>
      </w:r>
      <w:r>
        <w:rPr>
          <w:color w:val="auto"/>
          <w:spacing w:val="-7"/>
        </w:rPr>
        <w:t xml:space="preserve">下行为之一的，责令改正，并处 </w:t>
      </w:r>
      <w:r>
        <w:rPr>
          <w:color w:val="auto"/>
        </w:rPr>
        <w:t>1</w:t>
      </w:r>
      <w:r>
        <w:rPr>
          <w:color w:val="auto"/>
          <w:spacing w:val="-20"/>
        </w:rPr>
        <w:t xml:space="preserve"> 万元以上 </w:t>
      </w:r>
      <w:r>
        <w:rPr>
          <w:color w:val="auto"/>
        </w:rPr>
        <w:t>3</w:t>
      </w:r>
      <w:r>
        <w:rPr>
          <w:color w:val="auto"/>
          <w:spacing w:val="-8"/>
        </w:rPr>
        <w:t xml:space="preserve"> 万元以下的罚款：（</w:t>
      </w:r>
      <w:r>
        <w:rPr>
          <w:color w:val="auto"/>
        </w:rPr>
        <w:t>一</w:t>
      </w:r>
      <w:r>
        <w:rPr>
          <w:color w:val="auto"/>
          <w:spacing w:val="-8"/>
        </w:rPr>
        <w:t>）</w:t>
      </w:r>
      <w:r>
        <w:rPr>
          <w:color w:val="auto"/>
          <w:spacing w:val="-3"/>
        </w:rPr>
        <w:t>选用未获得生</w:t>
      </w:r>
      <w:r>
        <w:rPr>
          <w:color w:val="auto"/>
        </w:rPr>
        <w:t>产许可证的防伪技术产品生产企业生产的防伪技术产品的；”</w:t>
      </w:r>
    </w:p>
    <w:p>
      <w:pPr>
        <w:spacing w:before="0" w:line="391" w:lineRule="auto"/>
        <w:ind w:left="591" w:right="6828" w:firstLine="120"/>
        <w:jc w:val="left"/>
        <w:rPr>
          <w:color w:val="auto"/>
          <w:sz w:val="24"/>
        </w:rPr>
      </w:pPr>
      <w:r>
        <w:rPr>
          <w:b/>
          <w:color w:val="auto"/>
          <w:sz w:val="24"/>
        </w:rPr>
        <w:t>（二）裁量标准</w:t>
      </w:r>
      <w:r>
        <w:rPr>
          <w:color w:val="auto"/>
          <w:sz w:val="24"/>
        </w:rPr>
        <w:t>1、【较轻】</w:t>
      </w:r>
    </w:p>
    <w:p>
      <w:pPr>
        <w:pStyle w:val="13"/>
        <w:numPr>
          <w:ilvl w:val="0"/>
          <w:numId w:val="48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有下列情形之一的：1、违法行为属首次被查处，检查后及时停止的；2、使用违</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法产品时间较短、货值金额较小的。</w:t>
      </w:r>
    </w:p>
    <w:p>
      <w:pPr>
        <w:pStyle w:val="13"/>
        <w:numPr>
          <w:ilvl w:val="0"/>
          <w:numId w:val="488"/>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5512"/>
        <w:rPr>
          <w:color w:val="auto"/>
        </w:rPr>
      </w:pPr>
      <w:r>
        <w:rPr>
          <w:color w:val="auto"/>
          <w:spacing w:val="-8"/>
        </w:rPr>
        <w:t xml:space="preserve">责令改正，并处 </w:t>
      </w:r>
      <w:r>
        <w:rPr>
          <w:color w:val="auto"/>
        </w:rPr>
        <w:t>1</w:t>
      </w:r>
      <w:r>
        <w:rPr>
          <w:color w:val="auto"/>
          <w:spacing w:val="-13"/>
        </w:rPr>
        <w:t xml:space="preserve"> 万元罚款。</w:t>
      </w:r>
      <w:r>
        <w:rPr>
          <w:color w:val="auto"/>
        </w:rPr>
        <w:t>2</w:t>
      </w:r>
      <w:r>
        <w:rPr>
          <w:color w:val="auto"/>
          <w:spacing w:val="-24"/>
        </w:rPr>
        <w:t>、【一般】</w:t>
      </w:r>
    </w:p>
    <w:p>
      <w:pPr>
        <w:pStyle w:val="13"/>
        <w:numPr>
          <w:ilvl w:val="0"/>
          <w:numId w:val="48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有下列情形之一的：1、使用违法产品货值较大的；2、选用未获得生产许可证的防伪技术产品生产的产品已经售出、且无法追回的。</w:t>
      </w:r>
    </w:p>
    <w:p>
      <w:pPr>
        <w:pStyle w:val="13"/>
        <w:numPr>
          <w:ilvl w:val="0"/>
          <w:numId w:val="489"/>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59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9"/>
        </w:rPr>
        <w:t xml:space="preserve"> 万元以下的罚款。</w:t>
      </w:r>
      <w:r>
        <w:rPr>
          <w:color w:val="auto"/>
        </w:rPr>
        <w:t>3</w:t>
      </w:r>
      <w:r>
        <w:rPr>
          <w:color w:val="auto"/>
          <w:spacing w:val="-24"/>
        </w:rPr>
        <w:t>、【较重】</w:t>
      </w:r>
    </w:p>
    <w:p>
      <w:pPr>
        <w:pStyle w:val="13"/>
        <w:numPr>
          <w:ilvl w:val="0"/>
          <w:numId w:val="49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有下列情形之一的：1、违法行为持续时间较长的；2、在假冒产品上使用防伪技术产品的；3、经查处后，再次违法的。</w:t>
      </w:r>
    </w:p>
    <w:p>
      <w:pPr>
        <w:pStyle w:val="13"/>
        <w:numPr>
          <w:ilvl w:val="0"/>
          <w:numId w:val="49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352"/>
        <w:rPr>
          <w:color w:val="auto"/>
        </w:rPr>
      </w:pPr>
      <w:r>
        <w:rPr>
          <w:color w:val="auto"/>
          <w:spacing w:val="-8"/>
        </w:rPr>
        <w:t xml:space="preserve">责令改正，并处 </w:t>
      </w:r>
      <w:r>
        <w:rPr>
          <w:color w:val="auto"/>
        </w:rPr>
        <w:t>2</w:t>
      </w:r>
      <w:r>
        <w:rPr>
          <w:color w:val="auto"/>
          <w:spacing w:val="-20"/>
        </w:rPr>
        <w:t xml:space="preserve"> 万元以上 </w:t>
      </w:r>
      <w:r>
        <w:rPr>
          <w:color w:val="auto"/>
        </w:rPr>
        <w:t>2.5</w:t>
      </w:r>
      <w:r>
        <w:rPr>
          <w:color w:val="auto"/>
          <w:spacing w:val="-9"/>
        </w:rPr>
        <w:t xml:space="preserve"> 万元以下的罚款。</w:t>
      </w:r>
      <w:r>
        <w:rPr>
          <w:color w:val="auto"/>
        </w:rPr>
        <w:t>4</w:t>
      </w:r>
      <w:r>
        <w:rPr>
          <w:color w:val="auto"/>
          <w:spacing w:val="-24"/>
        </w:rPr>
        <w:t>、【严重】</w:t>
      </w:r>
    </w:p>
    <w:p>
      <w:pPr>
        <w:pStyle w:val="13"/>
        <w:numPr>
          <w:ilvl w:val="0"/>
          <w:numId w:val="49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145" w:firstLine="480"/>
        <w:rPr>
          <w:color w:val="auto"/>
        </w:rPr>
      </w:pPr>
      <w:r>
        <w:rPr>
          <w:color w:val="auto"/>
          <w:spacing w:val="-2"/>
        </w:rPr>
        <w:t>有下列情形之一的：</w:t>
      </w:r>
      <w:r>
        <w:rPr>
          <w:color w:val="auto"/>
          <w:spacing w:val="-16"/>
        </w:rPr>
        <w:t>1</w:t>
      </w:r>
      <w:r>
        <w:rPr>
          <w:color w:val="auto"/>
          <w:spacing w:val="-11"/>
        </w:rPr>
        <w:t>、属屡犯，两年内违法行为多次被处罚的，拒不整改的；</w:t>
      </w:r>
      <w:r>
        <w:rPr>
          <w:color w:val="auto"/>
          <w:spacing w:val="-15"/>
        </w:rPr>
        <w:t>2</w:t>
      </w:r>
      <w:r>
        <w:rPr>
          <w:color w:val="auto"/>
          <w:spacing w:val="-14"/>
        </w:rPr>
        <w:t>、</w:t>
      </w:r>
      <w:r>
        <w:rPr>
          <w:color w:val="auto"/>
        </w:rPr>
        <w:t>危害后果和社会影响较大的。</w:t>
      </w:r>
    </w:p>
    <w:p>
      <w:pPr>
        <w:pStyle w:val="13"/>
        <w:numPr>
          <w:ilvl w:val="0"/>
          <w:numId w:val="491"/>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责令改正，并处 2.5 万元以上 3 万元以下罚款。</w:t>
      </w:r>
    </w:p>
    <w:p>
      <w:pPr>
        <w:pStyle w:val="2"/>
        <w:spacing w:before="192"/>
        <w:rPr>
          <w:color w:val="auto"/>
        </w:rPr>
      </w:pPr>
      <w:bookmarkStart w:id="715" w:name="三百四十九、选用未获得防伪注册登记的境外防伪技术产品"/>
      <w:bookmarkEnd w:id="715"/>
      <w:bookmarkStart w:id="716" w:name="_bookmark357"/>
      <w:bookmarkEnd w:id="716"/>
      <w:r>
        <w:rPr>
          <w:color w:val="auto"/>
        </w:rPr>
        <w:t>三百四十九、选用未获得防伪注册登记的境外防伪技术产品</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2"/>
        </w:rPr>
        <w:t>《产品防伪监督管理办法》第二十九条第</w:t>
      </w:r>
      <w:r>
        <w:rPr>
          <w:color w:val="auto"/>
        </w:rPr>
        <w:t>（二</w:t>
      </w:r>
      <w:r>
        <w:rPr>
          <w:color w:val="auto"/>
          <w:spacing w:val="-8"/>
        </w:rPr>
        <w:t>）</w:t>
      </w:r>
      <w:r>
        <w:rPr>
          <w:color w:val="auto"/>
          <w:spacing w:val="-4"/>
        </w:rPr>
        <w:t xml:space="preserve">项“防伪技术产品的使用者有以下行为之一的，责令改正，并处 </w:t>
      </w:r>
      <w:r>
        <w:rPr>
          <w:color w:val="auto"/>
        </w:rPr>
        <w:t>1</w:t>
      </w:r>
      <w:r>
        <w:rPr>
          <w:color w:val="auto"/>
          <w:spacing w:val="-18"/>
        </w:rPr>
        <w:t xml:space="preserve"> 万元以上 </w:t>
      </w:r>
      <w:r>
        <w:rPr>
          <w:color w:val="auto"/>
        </w:rPr>
        <w:t>3</w:t>
      </w:r>
      <w:r>
        <w:rPr>
          <w:color w:val="auto"/>
          <w:spacing w:val="-8"/>
        </w:rPr>
        <w:t xml:space="preserve"> 万元以下的罚款</w:t>
      </w:r>
      <w:r>
        <w:rPr>
          <w:color w:val="auto"/>
        </w:rPr>
        <w:t>：（二）</w:t>
      </w:r>
      <w:r>
        <w:rPr>
          <w:color w:val="auto"/>
          <w:spacing w:val="3"/>
        </w:rPr>
        <w:t xml:space="preserve"> 选用未获得防伪注册登记的境外防伪技术产品的；”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492"/>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148" w:firstLine="480"/>
        <w:rPr>
          <w:color w:val="auto"/>
        </w:rPr>
      </w:pPr>
      <w:r>
        <w:rPr>
          <w:color w:val="auto"/>
          <w:spacing w:val="-4"/>
        </w:rPr>
        <w:t>有下列情形之一的：</w:t>
      </w:r>
      <w:r>
        <w:rPr>
          <w:color w:val="auto"/>
          <w:spacing w:val="-27"/>
        </w:rPr>
        <w:t>1</w:t>
      </w:r>
      <w:r>
        <w:rPr>
          <w:color w:val="auto"/>
          <w:spacing w:val="-11"/>
        </w:rPr>
        <w:t xml:space="preserve">、选用未获得防伪注册登记的境外防伪技术产品 </w:t>
      </w:r>
      <w:r>
        <w:rPr>
          <w:color w:val="auto"/>
        </w:rPr>
        <w:t>1</w:t>
      </w:r>
      <w:r>
        <w:rPr>
          <w:color w:val="auto"/>
          <w:spacing w:val="-22"/>
        </w:rPr>
        <w:t xml:space="preserve"> 次的；</w:t>
      </w:r>
      <w:r>
        <w:rPr>
          <w:color w:val="auto"/>
          <w:spacing w:val="-27"/>
        </w:rPr>
        <w:t>2</w:t>
      </w:r>
      <w:r>
        <w:rPr>
          <w:color w:val="auto"/>
          <w:spacing w:val="-16"/>
        </w:rPr>
        <w:t>、</w:t>
      </w:r>
      <w:r>
        <w:rPr>
          <w:color w:val="auto"/>
        </w:rPr>
        <w:t>违法行为属首次被查处，检查后及时停止违法行为的；3、虽选用了未获得防伪注册登记的境外防伪技术产品，但产品未销售，且及时更换选用了合法产品的。</w:t>
      </w:r>
    </w:p>
    <w:p>
      <w:pPr>
        <w:pStyle w:val="13"/>
        <w:numPr>
          <w:ilvl w:val="0"/>
          <w:numId w:val="492"/>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5512"/>
        <w:rPr>
          <w:color w:val="auto"/>
        </w:rPr>
      </w:pPr>
      <w:r>
        <w:rPr>
          <w:color w:val="auto"/>
          <w:spacing w:val="-8"/>
        </w:rPr>
        <w:t xml:space="preserve">责令改正，并处 </w:t>
      </w:r>
      <w:r>
        <w:rPr>
          <w:color w:val="auto"/>
        </w:rPr>
        <w:t>1</w:t>
      </w:r>
      <w:r>
        <w:rPr>
          <w:color w:val="auto"/>
          <w:spacing w:val="-13"/>
        </w:rPr>
        <w:t xml:space="preserve"> 万元罚款。</w:t>
      </w:r>
      <w:r>
        <w:rPr>
          <w:color w:val="auto"/>
        </w:rPr>
        <w:t>2</w:t>
      </w:r>
      <w:r>
        <w:rPr>
          <w:color w:val="auto"/>
          <w:spacing w:val="-24"/>
        </w:rPr>
        <w:t>、【一般】</w:t>
      </w:r>
    </w:p>
    <w:p>
      <w:pPr>
        <w:pStyle w:val="4"/>
        <w:spacing w:before="4"/>
        <w:ind w:left="591"/>
        <w:rPr>
          <w:color w:val="auto"/>
        </w:rPr>
      </w:pPr>
      <w:r>
        <w:rPr>
          <w:color w:val="auto"/>
        </w:rPr>
        <w:t>（1）违法情形</w:t>
      </w:r>
    </w:p>
    <w:p>
      <w:pPr>
        <w:pStyle w:val="4"/>
        <w:spacing w:before="192" w:line="388" w:lineRule="auto"/>
        <w:ind w:right="148" w:firstLine="480"/>
        <w:rPr>
          <w:color w:val="auto"/>
        </w:rPr>
      </w:pPr>
      <w:r>
        <w:rPr>
          <w:color w:val="auto"/>
          <w:spacing w:val="-4"/>
        </w:rPr>
        <w:t>有下列情形之一的：</w:t>
      </w:r>
      <w:r>
        <w:rPr>
          <w:color w:val="auto"/>
          <w:spacing w:val="-27"/>
        </w:rPr>
        <w:t>1</w:t>
      </w:r>
      <w:r>
        <w:rPr>
          <w:color w:val="auto"/>
          <w:spacing w:val="-11"/>
        </w:rPr>
        <w:t xml:space="preserve">、选用未获得防伪注册登记的境外防伪技术产品 </w:t>
      </w:r>
      <w:r>
        <w:rPr>
          <w:color w:val="auto"/>
        </w:rPr>
        <w:t>2</w:t>
      </w:r>
      <w:r>
        <w:rPr>
          <w:color w:val="auto"/>
          <w:spacing w:val="-22"/>
        </w:rPr>
        <w:t xml:space="preserve"> 次的；</w:t>
      </w:r>
      <w:r>
        <w:rPr>
          <w:color w:val="auto"/>
          <w:spacing w:val="-27"/>
        </w:rPr>
        <w:t>2</w:t>
      </w:r>
      <w:r>
        <w:rPr>
          <w:color w:val="auto"/>
          <w:spacing w:val="-16"/>
        </w:rPr>
        <w:t>、</w:t>
      </w:r>
      <w:r>
        <w:rPr>
          <w:color w:val="auto"/>
        </w:rPr>
        <w:t>虽选用了未获得防伪注册登记的境外防伪技术产品，但能追回大部分产品的。</w:t>
      </w:r>
    </w:p>
    <w:p>
      <w:pPr>
        <w:pStyle w:val="13"/>
        <w:numPr>
          <w:ilvl w:val="0"/>
          <w:numId w:val="493"/>
        </w:numPr>
        <w:tabs>
          <w:tab w:val="left" w:pos="1073"/>
        </w:tabs>
        <w:spacing w:before="5" w:after="0" w:line="240" w:lineRule="auto"/>
        <w:ind w:left="1072" w:right="0" w:hanging="602"/>
        <w:jc w:val="left"/>
        <w:rPr>
          <w:color w:val="auto"/>
          <w:sz w:val="24"/>
        </w:rPr>
      </w:pPr>
      <w:r>
        <w:rPr>
          <w:color w:val="auto"/>
          <w:sz w:val="24"/>
        </w:rPr>
        <w:t>处罚标准</w:t>
      </w:r>
    </w:p>
    <w:p>
      <w:pPr>
        <w:pStyle w:val="4"/>
        <w:spacing w:before="191" w:line="388" w:lineRule="auto"/>
        <w:ind w:left="591" w:right="3352"/>
        <w:rPr>
          <w:color w:val="auto"/>
        </w:rPr>
      </w:pPr>
      <w:r>
        <w:rPr>
          <w:color w:val="auto"/>
          <w:spacing w:val="-8"/>
        </w:rPr>
        <w:t xml:space="preserve">责令改正，并处 </w:t>
      </w:r>
      <w:r>
        <w:rPr>
          <w:color w:val="auto"/>
        </w:rPr>
        <w:t>1</w:t>
      </w:r>
      <w:r>
        <w:rPr>
          <w:color w:val="auto"/>
          <w:spacing w:val="-20"/>
        </w:rPr>
        <w:t xml:space="preserve"> 万元以上 </w:t>
      </w:r>
      <w:r>
        <w:rPr>
          <w:color w:val="auto"/>
        </w:rPr>
        <w:t>1.5</w:t>
      </w:r>
      <w:r>
        <w:rPr>
          <w:color w:val="auto"/>
          <w:spacing w:val="-9"/>
        </w:rPr>
        <w:t xml:space="preserve"> 万元以下的罚款。</w:t>
      </w:r>
      <w:r>
        <w:rPr>
          <w:color w:val="auto"/>
        </w:rPr>
        <w:t>3</w:t>
      </w:r>
      <w:r>
        <w:rPr>
          <w:color w:val="auto"/>
          <w:spacing w:val="-24"/>
        </w:rPr>
        <w:t>、【较重】</w:t>
      </w:r>
    </w:p>
    <w:p>
      <w:pPr>
        <w:pStyle w:val="13"/>
        <w:numPr>
          <w:ilvl w:val="1"/>
          <w:numId w:val="49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91" w:lineRule="auto"/>
        <w:ind w:right="266" w:firstLine="480"/>
        <w:jc w:val="both"/>
        <w:rPr>
          <w:color w:val="auto"/>
        </w:rPr>
      </w:pPr>
      <w:r>
        <w:rPr>
          <w:color w:val="auto"/>
        </w:rPr>
        <w:t>有下列情形之一的：1</w:t>
      </w:r>
      <w:r>
        <w:rPr>
          <w:color w:val="auto"/>
          <w:spacing w:val="-2"/>
        </w:rPr>
        <w:t xml:space="preserve">、选用未获得防伪注册登记的境外防伪技术产品 </w:t>
      </w:r>
      <w:r>
        <w:rPr>
          <w:color w:val="auto"/>
        </w:rPr>
        <w:t>2</w:t>
      </w:r>
      <w:r>
        <w:rPr>
          <w:color w:val="auto"/>
          <w:spacing w:val="-9"/>
        </w:rPr>
        <w:t xml:space="preserve"> 次以上</w:t>
      </w:r>
      <w:r>
        <w:rPr>
          <w:color w:val="auto"/>
          <w:spacing w:val="-7"/>
        </w:rPr>
        <w:t>的；</w:t>
      </w:r>
      <w:r>
        <w:rPr>
          <w:color w:val="auto"/>
          <w:spacing w:val="-4"/>
        </w:rPr>
        <w:t>2、违法行为被查处后仍继续使用，但经教育后能够纠正的；3</w:t>
      </w:r>
      <w:r>
        <w:rPr>
          <w:color w:val="auto"/>
          <w:spacing w:val="-5"/>
        </w:rPr>
        <w:t>、选用了未获得防</w:t>
      </w:r>
      <w:r>
        <w:rPr>
          <w:color w:val="auto"/>
        </w:rPr>
        <w:t>伪注册登记的境外防伪技术产品，且销售产品不能追回的。</w:t>
      </w:r>
    </w:p>
    <w:p>
      <w:pPr>
        <w:pStyle w:val="13"/>
        <w:numPr>
          <w:ilvl w:val="1"/>
          <w:numId w:val="493"/>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left="591" w:right="3352"/>
        <w:rPr>
          <w:color w:val="auto"/>
        </w:rPr>
      </w:pPr>
      <w:r>
        <w:rPr>
          <w:color w:val="auto"/>
          <w:spacing w:val="-8"/>
        </w:rPr>
        <w:t xml:space="preserve">责令改正，并处 </w:t>
      </w:r>
      <w:r>
        <w:rPr>
          <w:color w:val="auto"/>
        </w:rPr>
        <w:t>1.5</w:t>
      </w:r>
      <w:r>
        <w:rPr>
          <w:color w:val="auto"/>
          <w:spacing w:val="-20"/>
        </w:rPr>
        <w:t xml:space="preserve"> 万元以上 </w:t>
      </w:r>
      <w:r>
        <w:rPr>
          <w:color w:val="auto"/>
        </w:rPr>
        <w:t>2</w:t>
      </w:r>
      <w:r>
        <w:rPr>
          <w:color w:val="auto"/>
          <w:spacing w:val="-9"/>
        </w:rPr>
        <w:t xml:space="preserve"> 万元以下的罚款。</w:t>
      </w:r>
      <w:r>
        <w:rPr>
          <w:color w:val="auto"/>
        </w:rPr>
        <w:t>4</w:t>
      </w:r>
      <w:r>
        <w:rPr>
          <w:color w:val="auto"/>
          <w:spacing w:val="-24"/>
        </w:rPr>
        <w:t>、【严重】</w:t>
      </w:r>
    </w:p>
    <w:p>
      <w:pPr>
        <w:pStyle w:val="13"/>
        <w:numPr>
          <w:ilvl w:val="0"/>
          <w:numId w:val="49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9" w:firstLine="480"/>
        <w:jc w:val="both"/>
        <w:rPr>
          <w:color w:val="auto"/>
        </w:rPr>
      </w:pPr>
      <w:r>
        <w:rPr>
          <w:color w:val="auto"/>
        </w:rPr>
        <w:t>有下列情形之一的：1、选用了未获得防伪注册登记的境外防伪技术产品，拒绝追回已销售产品的；2、检查后较长时间不改正，或者造成严重经济损失等危害后果的。</w:t>
      </w:r>
    </w:p>
    <w:p>
      <w:pPr>
        <w:pStyle w:val="13"/>
        <w:numPr>
          <w:ilvl w:val="0"/>
          <w:numId w:val="494"/>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3592"/>
        <w:rPr>
          <w:color w:val="auto"/>
        </w:rPr>
      </w:pPr>
      <w:r>
        <w:rPr>
          <w:color w:val="auto"/>
          <w:spacing w:val="-8"/>
        </w:rPr>
        <w:t xml:space="preserve">责令改正，并处 </w:t>
      </w:r>
      <w:r>
        <w:rPr>
          <w:color w:val="auto"/>
        </w:rPr>
        <w:t>2</w:t>
      </w:r>
      <w:r>
        <w:rPr>
          <w:color w:val="auto"/>
          <w:spacing w:val="-20"/>
        </w:rPr>
        <w:t xml:space="preserve"> 万元以上 </w:t>
      </w:r>
      <w:r>
        <w:rPr>
          <w:color w:val="auto"/>
        </w:rPr>
        <w:t>2.5</w:t>
      </w:r>
      <w:r>
        <w:rPr>
          <w:color w:val="auto"/>
          <w:spacing w:val="-10"/>
        </w:rPr>
        <w:t xml:space="preserve"> 万元以下罚款。</w:t>
      </w:r>
      <w:r>
        <w:rPr>
          <w:color w:val="auto"/>
        </w:rPr>
        <w:t>5</w:t>
      </w:r>
      <w:r>
        <w:rPr>
          <w:color w:val="auto"/>
          <w:spacing w:val="-18"/>
        </w:rPr>
        <w:t>、【特别严重】</w:t>
      </w:r>
    </w:p>
    <w:p>
      <w:pPr>
        <w:pStyle w:val="13"/>
        <w:numPr>
          <w:ilvl w:val="0"/>
          <w:numId w:val="495"/>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145" w:firstLine="480"/>
        <w:rPr>
          <w:color w:val="auto"/>
        </w:rPr>
      </w:pPr>
      <w:r>
        <w:rPr>
          <w:color w:val="auto"/>
          <w:spacing w:val="-2"/>
        </w:rPr>
        <w:t>有下列情形之一的：</w:t>
      </w:r>
      <w:r>
        <w:rPr>
          <w:color w:val="auto"/>
          <w:spacing w:val="-16"/>
        </w:rPr>
        <w:t>1</w:t>
      </w:r>
      <w:r>
        <w:rPr>
          <w:color w:val="auto"/>
          <w:spacing w:val="-11"/>
        </w:rPr>
        <w:t>、属屡犯，两年内违法行为多次被处罚的，拒不整改的；</w:t>
      </w:r>
      <w:r>
        <w:rPr>
          <w:color w:val="auto"/>
          <w:spacing w:val="-15"/>
        </w:rPr>
        <w:t>2</w:t>
      </w:r>
      <w:r>
        <w:rPr>
          <w:color w:val="auto"/>
          <w:spacing w:val="-14"/>
        </w:rPr>
        <w:t>、</w:t>
      </w:r>
      <w:r>
        <w:rPr>
          <w:color w:val="auto"/>
        </w:rPr>
        <w:t>造成较大社会负面影响的。</w:t>
      </w:r>
    </w:p>
    <w:p>
      <w:pPr>
        <w:pStyle w:val="13"/>
        <w:numPr>
          <w:ilvl w:val="0"/>
          <w:numId w:val="495"/>
        </w:numPr>
        <w:tabs>
          <w:tab w:val="left" w:pos="1193"/>
        </w:tabs>
        <w:spacing w:before="0" w:after="0" w:line="306" w:lineRule="exact"/>
        <w:ind w:left="1192" w:right="0" w:hanging="602"/>
        <w:jc w:val="left"/>
        <w:rPr>
          <w:color w:val="auto"/>
          <w:sz w:val="24"/>
        </w:rPr>
      </w:pPr>
      <w:r>
        <w:rPr>
          <w:color w:val="auto"/>
          <w:sz w:val="24"/>
        </w:rPr>
        <w:t>处罚标准</w:t>
      </w:r>
    </w:p>
    <w:p>
      <w:pPr>
        <w:spacing w:before="192" w:line="391" w:lineRule="auto"/>
        <w:ind w:left="591" w:right="3352" w:firstLine="0"/>
        <w:jc w:val="left"/>
        <w:rPr>
          <w:b/>
          <w:color w:val="auto"/>
          <w:sz w:val="24"/>
        </w:rPr>
      </w:pPr>
      <w:r>
        <w:rPr>
          <w:color w:val="auto"/>
          <w:spacing w:val="-8"/>
          <w:sz w:val="24"/>
        </w:rPr>
        <w:t xml:space="preserve">责令改正，并处 </w:t>
      </w:r>
      <w:r>
        <w:rPr>
          <w:color w:val="auto"/>
          <w:sz w:val="24"/>
        </w:rPr>
        <w:t>2.5</w:t>
      </w:r>
      <w:r>
        <w:rPr>
          <w:color w:val="auto"/>
          <w:spacing w:val="-20"/>
          <w:sz w:val="24"/>
        </w:rPr>
        <w:t xml:space="preserve"> 万元以上 </w:t>
      </w:r>
      <w:r>
        <w:rPr>
          <w:color w:val="auto"/>
          <w:sz w:val="24"/>
        </w:rPr>
        <w:t>3</w:t>
      </w:r>
      <w:r>
        <w:rPr>
          <w:color w:val="auto"/>
          <w:spacing w:val="-9"/>
          <w:sz w:val="24"/>
        </w:rPr>
        <w:t xml:space="preserve"> 万元以下的罚款。</w:t>
      </w:r>
      <w:bookmarkStart w:id="717" w:name="三百五十、在假冒产品上使用防伪技术产品"/>
      <w:bookmarkEnd w:id="717"/>
      <w:bookmarkStart w:id="718" w:name="_bookmark358"/>
      <w:bookmarkEnd w:id="718"/>
      <w:r>
        <w:rPr>
          <w:b/>
          <w:color w:val="auto"/>
          <w:sz w:val="24"/>
        </w:rPr>
        <w:t>三百五十、在假冒产品上使用防伪技术产品</w:t>
      </w:r>
    </w:p>
    <w:p>
      <w:pPr>
        <w:pStyle w:val="2"/>
        <w:spacing w:line="306" w:lineRule="exact"/>
        <w:rPr>
          <w:color w:val="auto"/>
        </w:rPr>
      </w:pPr>
      <w:r>
        <w:rPr>
          <w:color w:val="auto"/>
        </w:rPr>
        <w:t>（一）处罚依据</w:t>
      </w:r>
    </w:p>
    <w:p>
      <w:pPr>
        <w:pStyle w:val="4"/>
        <w:spacing w:before="192" w:line="391" w:lineRule="auto"/>
        <w:ind w:right="266" w:firstLine="470"/>
        <w:jc w:val="both"/>
        <w:rPr>
          <w:color w:val="auto"/>
        </w:rPr>
      </w:pPr>
      <w:r>
        <w:rPr>
          <w:color w:val="auto"/>
          <w:spacing w:val="-2"/>
        </w:rPr>
        <w:t>《产品防伪监督管理办法》第二十九条第</w:t>
      </w:r>
      <w:r>
        <w:rPr>
          <w:color w:val="auto"/>
        </w:rPr>
        <w:t>（三</w:t>
      </w:r>
      <w:r>
        <w:rPr>
          <w:color w:val="auto"/>
          <w:spacing w:val="-8"/>
        </w:rPr>
        <w:t>）</w:t>
      </w:r>
      <w:r>
        <w:rPr>
          <w:color w:val="auto"/>
          <w:spacing w:val="-4"/>
        </w:rPr>
        <w:t>项“防伪技术产品的使用者有以</w:t>
      </w:r>
      <w:r>
        <w:rPr>
          <w:color w:val="auto"/>
          <w:spacing w:val="-7"/>
        </w:rPr>
        <w:t xml:space="preserve">下行为之一的，责令改正，并处 </w:t>
      </w:r>
      <w:r>
        <w:rPr>
          <w:color w:val="auto"/>
        </w:rPr>
        <w:t>1</w:t>
      </w:r>
      <w:r>
        <w:rPr>
          <w:color w:val="auto"/>
          <w:spacing w:val="-20"/>
        </w:rPr>
        <w:t xml:space="preserve"> 万元以上 </w:t>
      </w:r>
      <w:r>
        <w:rPr>
          <w:color w:val="auto"/>
        </w:rPr>
        <w:t>3</w:t>
      </w:r>
      <w:r>
        <w:rPr>
          <w:color w:val="auto"/>
          <w:spacing w:val="-8"/>
        </w:rPr>
        <w:t xml:space="preserve"> 万元以下的罚款：（</w:t>
      </w:r>
      <w:r>
        <w:rPr>
          <w:color w:val="auto"/>
        </w:rPr>
        <w:t>三</w:t>
      </w:r>
      <w:r>
        <w:rPr>
          <w:color w:val="auto"/>
          <w:spacing w:val="-8"/>
        </w:rPr>
        <w:t>）</w:t>
      </w:r>
      <w:r>
        <w:rPr>
          <w:color w:val="auto"/>
          <w:spacing w:val="-3"/>
        </w:rPr>
        <w:t>在假冒产品上</w:t>
      </w:r>
      <w:r>
        <w:rPr>
          <w:color w:val="auto"/>
        </w:rPr>
        <w:t>使用防伪技术产品的。”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49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违法行为属首次被查处，检查后及时停止违法行为的。</w:t>
      </w:r>
    </w:p>
    <w:p>
      <w:pPr>
        <w:pStyle w:val="13"/>
        <w:numPr>
          <w:ilvl w:val="0"/>
          <w:numId w:val="49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512"/>
        <w:rPr>
          <w:color w:val="auto"/>
        </w:rPr>
      </w:pPr>
      <w:r>
        <w:rPr>
          <w:color w:val="auto"/>
          <w:spacing w:val="-8"/>
        </w:rPr>
        <w:t xml:space="preserve">责令改正，并处 </w:t>
      </w:r>
      <w:r>
        <w:rPr>
          <w:color w:val="auto"/>
        </w:rPr>
        <w:t>1</w:t>
      </w:r>
      <w:r>
        <w:rPr>
          <w:color w:val="auto"/>
          <w:spacing w:val="-13"/>
        </w:rPr>
        <w:t xml:space="preserve"> 万元罚款。</w:t>
      </w:r>
      <w:r>
        <w:rPr>
          <w:color w:val="auto"/>
        </w:rPr>
        <w:t>2</w:t>
      </w:r>
      <w:r>
        <w:rPr>
          <w:color w:val="auto"/>
          <w:spacing w:val="-24"/>
        </w:rPr>
        <w:t>、【一般】</w:t>
      </w:r>
    </w:p>
    <w:p>
      <w:pPr>
        <w:pStyle w:val="13"/>
        <w:numPr>
          <w:ilvl w:val="0"/>
          <w:numId w:val="497"/>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有下列情形之一的：1、首次违法，产品尚未销售或流出，未造成危害的；2、产品虽已经销售，但主动追回全部或大部分产品的。</w:t>
      </w:r>
    </w:p>
    <w:p>
      <w:pPr>
        <w:pStyle w:val="13"/>
        <w:numPr>
          <w:ilvl w:val="0"/>
          <w:numId w:val="497"/>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352"/>
        <w:rPr>
          <w:color w:val="auto"/>
        </w:rPr>
      </w:pPr>
      <w:r>
        <w:rPr>
          <w:color w:val="auto"/>
          <w:spacing w:val="-8"/>
        </w:rPr>
        <w:t xml:space="preserve">责令改正，并处 </w:t>
      </w:r>
      <w:r>
        <w:rPr>
          <w:color w:val="auto"/>
        </w:rPr>
        <w:t>1</w:t>
      </w:r>
      <w:r>
        <w:rPr>
          <w:color w:val="auto"/>
          <w:spacing w:val="-20"/>
        </w:rPr>
        <w:t xml:space="preserve"> 万元以上 </w:t>
      </w:r>
      <w:r>
        <w:rPr>
          <w:color w:val="auto"/>
        </w:rPr>
        <w:t>1.5</w:t>
      </w:r>
      <w:r>
        <w:rPr>
          <w:color w:val="auto"/>
          <w:spacing w:val="-9"/>
        </w:rPr>
        <w:t xml:space="preserve"> 万元以下的罚款。</w:t>
      </w:r>
      <w:r>
        <w:rPr>
          <w:color w:val="auto"/>
        </w:rPr>
        <w:t>3</w:t>
      </w:r>
      <w:r>
        <w:rPr>
          <w:color w:val="auto"/>
          <w:spacing w:val="-24"/>
        </w:rPr>
        <w:t>、【较重】</w:t>
      </w:r>
    </w:p>
    <w:p>
      <w:pPr>
        <w:pStyle w:val="13"/>
        <w:numPr>
          <w:ilvl w:val="0"/>
          <w:numId w:val="49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212" w:firstLine="480"/>
        <w:rPr>
          <w:color w:val="auto"/>
        </w:rPr>
      </w:pPr>
      <w:r>
        <w:rPr>
          <w:color w:val="auto"/>
        </w:rPr>
        <w:t>有下列情形之一的：1、产品已经售出，且大部分无法追回的；2、使用假冒技术对消费者造成欺诈及实际损失的。</w:t>
      </w:r>
    </w:p>
    <w:p>
      <w:pPr>
        <w:pStyle w:val="13"/>
        <w:numPr>
          <w:ilvl w:val="0"/>
          <w:numId w:val="49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3352"/>
        <w:rPr>
          <w:color w:val="auto"/>
        </w:rPr>
      </w:pPr>
      <w:r>
        <w:rPr>
          <w:color w:val="auto"/>
          <w:spacing w:val="-8"/>
        </w:rPr>
        <w:t xml:space="preserve">责令改正，并处 </w:t>
      </w:r>
      <w:r>
        <w:rPr>
          <w:color w:val="auto"/>
        </w:rPr>
        <w:t>1.5</w:t>
      </w:r>
      <w:r>
        <w:rPr>
          <w:color w:val="auto"/>
          <w:spacing w:val="-20"/>
        </w:rPr>
        <w:t xml:space="preserve"> 万元以上 </w:t>
      </w:r>
      <w:r>
        <w:rPr>
          <w:color w:val="auto"/>
        </w:rPr>
        <w:t>2</w:t>
      </w:r>
      <w:r>
        <w:rPr>
          <w:color w:val="auto"/>
          <w:spacing w:val="-9"/>
        </w:rPr>
        <w:t xml:space="preserve"> 万元以下的罚款。</w:t>
      </w:r>
      <w:r>
        <w:rPr>
          <w:color w:val="auto"/>
        </w:rPr>
        <w:t>4</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499"/>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32" w:firstLine="480"/>
        <w:rPr>
          <w:color w:val="auto"/>
        </w:rPr>
      </w:pPr>
      <w:r>
        <w:rPr>
          <w:color w:val="auto"/>
        </w:rPr>
        <w:t>有下列情形之一的：1、拒绝追回产品的；2、经检查后，继续使用违法产品的； 3、经查处后，再次违法的。</w:t>
      </w:r>
    </w:p>
    <w:p>
      <w:pPr>
        <w:pStyle w:val="13"/>
        <w:numPr>
          <w:ilvl w:val="0"/>
          <w:numId w:val="49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592"/>
        <w:rPr>
          <w:color w:val="auto"/>
        </w:rPr>
      </w:pPr>
      <w:r>
        <w:rPr>
          <w:color w:val="auto"/>
          <w:spacing w:val="-8"/>
        </w:rPr>
        <w:t xml:space="preserve">责令改正，并处 </w:t>
      </w:r>
      <w:r>
        <w:rPr>
          <w:color w:val="auto"/>
        </w:rPr>
        <w:t>2</w:t>
      </w:r>
      <w:r>
        <w:rPr>
          <w:color w:val="auto"/>
          <w:spacing w:val="-20"/>
        </w:rPr>
        <w:t xml:space="preserve"> 万元以上 </w:t>
      </w:r>
      <w:r>
        <w:rPr>
          <w:color w:val="auto"/>
        </w:rPr>
        <w:t>2.5</w:t>
      </w:r>
      <w:r>
        <w:rPr>
          <w:color w:val="auto"/>
          <w:spacing w:val="-10"/>
        </w:rPr>
        <w:t xml:space="preserve"> 万元以下罚款。</w:t>
      </w:r>
      <w:r>
        <w:rPr>
          <w:color w:val="auto"/>
        </w:rPr>
        <w:t>5</w:t>
      </w:r>
      <w:r>
        <w:rPr>
          <w:color w:val="auto"/>
          <w:spacing w:val="-18"/>
        </w:rPr>
        <w:t>、【特别严重】</w:t>
      </w:r>
    </w:p>
    <w:p>
      <w:pPr>
        <w:pStyle w:val="13"/>
        <w:numPr>
          <w:ilvl w:val="0"/>
          <w:numId w:val="50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有下列情形之一的：1、属屡犯，两年内违法行为多次被处罚，拒不整改的；2、造成较大社会影响的。</w:t>
      </w:r>
    </w:p>
    <w:p>
      <w:pPr>
        <w:pStyle w:val="13"/>
        <w:numPr>
          <w:ilvl w:val="0"/>
          <w:numId w:val="50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责令改正，并处 2.5 万元以上 3 万元以下罚款。</w:t>
      </w:r>
    </w:p>
    <w:p>
      <w:pPr>
        <w:pStyle w:val="2"/>
        <w:spacing w:before="192" w:line="388" w:lineRule="auto"/>
        <w:ind w:left="111" w:right="237" w:firstLine="480"/>
        <w:rPr>
          <w:color w:val="auto"/>
        </w:rPr>
      </w:pPr>
      <w:bookmarkStart w:id="719" w:name="三百五十一、伪造或者冒用防伪技术评审、防伪技术产品生产许可及防伪注册登记等证书"/>
      <w:bookmarkEnd w:id="719"/>
      <w:bookmarkStart w:id="720" w:name="_bookmark359"/>
      <w:bookmarkEnd w:id="720"/>
      <w:r>
        <w:rPr>
          <w:color w:val="auto"/>
          <w:spacing w:val="-8"/>
        </w:rPr>
        <w:t>三百五十一、伪造或者冒用防伪技术评审、防伪技术产品生产许可及防伪注册登记等证书</w:t>
      </w:r>
    </w:p>
    <w:p>
      <w:pPr>
        <w:spacing w:before="4"/>
        <w:ind w:left="591" w:right="0" w:firstLine="0"/>
        <w:jc w:val="left"/>
        <w:rPr>
          <w:b/>
          <w:color w:val="auto"/>
          <w:sz w:val="24"/>
        </w:rPr>
      </w:pPr>
      <w:r>
        <w:rPr>
          <w:b/>
          <w:color w:val="auto"/>
          <w:sz w:val="24"/>
        </w:rPr>
        <w:t>（一）处罚依据</w:t>
      </w:r>
    </w:p>
    <w:p>
      <w:pPr>
        <w:pStyle w:val="4"/>
        <w:spacing w:before="192" w:line="388" w:lineRule="auto"/>
        <w:ind w:right="268" w:firstLine="470"/>
        <w:rPr>
          <w:color w:val="auto"/>
        </w:rPr>
      </w:pPr>
      <w:r>
        <w:rPr>
          <w:color w:val="auto"/>
        </w:rPr>
        <w:t>1、《产品防伪监督管理办法》第三十条“伪造或者冒用防伪技术评审、防伪技术产品生产许可及防伪注册登记等证书的， 由质量技术监督部门责令改正，并按照</w:t>
      </w:r>
    </w:p>
    <w:p>
      <w:pPr>
        <w:pStyle w:val="4"/>
        <w:spacing w:before="5"/>
        <w:rPr>
          <w:color w:val="auto"/>
        </w:rPr>
      </w:pPr>
      <w:r>
        <w:rPr>
          <w:color w:val="auto"/>
        </w:rPr>
        <w:t>《中华人民共和国产品质量法》第五十三条的规定处罚。”</w:t>
      </w:r>
    </w:p>
    <w:p>
      <w:pPr>
        <w:pStyle w:val="4"/>
        <w:spacing w:before="191" w:line="391" w:lineRule="auto"/>
        <w:ind w:right="148" w:firstLine="470"/>
        <w:rPr>
          <w:color w:val="auto"/>
        </w:rPr>
      </w:pPr>
      <w:r>
        <w:rPr>
          <w:color w:val="auto"/>
        </w:rPr>
        <w:t>2、《中华人民共和国产品质量法》第五十三条“伪造产品产地的，伪造或者冒</w:t>
      </w:r>
      <w:r>
        <w:rPr>
          <w:color w:val="auto"/>
          <w:spacing w:val="-5"/>
        </w:rPr>
        <w:t>用他人厂名、厂址的，伪造或者冒用认证标志等质量标志的，责令改正，没收违法生</w:t>
      </w:r>
      <w:r>
        <w:rPr>
          <w:color w:val="auto"/>
          <w:spacing w:val="-14"/>
        </w:rPr>
        <w:t xml:space="preserve">产、销售的产品，并处违法生产、销售产品货值金额等值以下的罚款；有违法所得的， </w:t>
      </w:r>
      <w:r>
        <w:rPr>
          <w:color w:val="auto"/>
        </w:rPr>
        <w:t>并处没收违法所得；情节严重的，吊销营业执照。”</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0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line="391" w:lineRule="auto"/>
        <w:ind w:right="93" w:firstLine="480"/>
        <w:rPr>
          <w:color w:val="auto"/>
        </w:rPr>
      </w:pPr>
      <w:r>
        <w:rPr>
          <w:color w:val="auto"/>
        </w:rPr>
        <w:t>有下列情形之一的：1、初次违法，未造成危害后果的；2、产品尚未销售的；3、积极配合查处并有悔改表现的；4、主动追回产品的。</w:t>
      </w:r>
    </w:p>
    <w:p>
      <w:pPr>
        <w:pStyle w:val="13"/>
        <w:numPr>
          <w:ilvl w:val="0"/>
          <w:numId w:val="50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责令改正，没收违法生产、销售的产品，并处违法生产产品货值金额 20%以下的</w:t>
      </w:r>
    </w:p>
    <w:p>
      <w:pPr>
        <w:spacing w:after="0"/>
        <w:rPr>
          <w:color w:val="auto"/>
        </w:rPr>
        <w:sectPr>
          <w:footerReference r:id="rId73" w:type="default"/>
          <w:footerReference r:id="rId74" w:type="even"/>
          <w:pgSz w:w="11910" w:h="16840"/>
          <w:pgMar w:top="1520" w:right="1260" w:bottom="1220" w:left="1420" w:header="0" w:footer="1034" w:gutter="0"/>
          <w:pgNumType w:start="330"/>
        </w:sectPr>
      </w:pPr>
    </w:p>
    <w:p>
      <w:pPr>
        <w:pStyle w:val="4"/>
        <w:spacing w:before="39" w:line="391" w:lineRule="auto"/>
        <w:ind w:left="591" w:right="4552" w:hanging="480"/>
        <w:rPr>
          <w:color w:val="auto"/>
        </w:rPr>
      </w:pPr>
      <w:r>
        <w:rPr>
          <w:color w:val="auto"/>
        </w:rPr>
        <w:t>罚款；有违法所得的，并处没收违法所得。2、【一般】</w:t>
      </w:r>
    </w:p>
    <w:p>
      <w:pPr>
        <w:pStyle w:val="13"/>
        <w:numPr>
          <w:ilvl w:val="0"/>
          <w:numId w:val="50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9" w:firstLine="480"/>
        <w:rPr>
          <w:color w:val="auto"/>
        </w:rPr>
      </w:pPr>
      <w:r>
        <w:rPr>
          <w:color w:val="auto"/>
        </w:rPr>
        <w:t>有下列情形之一的：1、伪造或者冒用防伪技术评审、防伪技术产品生产许可及防伪注册登记等证书，但不属于名牌产品的；2、产品已销售，货值较小的。</w:t>
      </w:r>
    </w:p>
    <w:p>
      <w:pPr>
        <w:pStyle w:val="13"/>
        <w:numPr>
          <w:ilvl w:val="0"/>
          <w:numId w:val="50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15" w:firstLine="480"/>
        <w:rPr>
          <w:color w:val="auto"/>
        </w:rPr>
      </w:pPr>
      <w:r>
        <w:rPr>
          <w:color w:val="auto"/>
        </w:rPr>
        <w:t>责令改正，没收违法生产、销售的产品，并处违法生产、销售产品货值金额 20% 以上 40%以下的罚款；有违法所得的，并处没收违法所得。</w:t>
      </w:r>
    </w:p>
    <w:p>
      <w:pPr>
        <w:pStyle w:val="4"/>
        <w:spacing w:line="306" w:lineRule="exact"/>
        <w:ind w:left="591"/>
        <w:rPr>
          <w:color w:val="auto"/>
        </w:rPr>
      </w:pPr>
      <w:r>
        <w:rPr>
          <w:color w:val="auto"/>
        </w:rPr>
        <w:t>3、【较重】</w:t>
      </w:r>
    </w:p>
    <w:p>
      <w:pPr>
        <w:pStyle w:val="13"/>
        <w:numPr>
          <w:ilvl w:val="0"/>
          <w:numId w:val="50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有下列情形之一的：1、同时具有两种本条所列违法行为的；2、产品已经出售且大部分无法追回的。</w:t>
      </w:r>
    </w:p>
    <w:p>
      <w:pPr>
        <w:pStyle w:val="13"/>
        <w:numPr>
          <w:ilvl w:val="0"/>
          <w:numId w:val="50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15" w:firstLine="480"/>
        <w:rPr>
          <w:color w:val="auto"/>
        </w:rPr>
      </w:pPr>
      <w:r>
        <w:rPr>
          <w:color w:val="auto"/>
        </w:rPr>
        <w:t>责令改正，没收违法生产、销售的产品，并处违法生产、销售产品货值金额 40% 以上 60%以下的罚款；有违法所得的，并处没收违法所得；通报营业执照发证部门。</w:t>
      </w:r>
    </w:p>
    <w:p>
      <w:pPr>
        <w:pStyle w:val="4"/>
        <w:spacing w:before="2"/>
        <w:ind w:left="591"/>
        <w:rPr>
          <w:color w:val="auto"/>
        </w:rPr>
      </w:pPr>
      <w:r>
        <w:rPr>
          <w:color w:val="auto"/>
        </w:rPr>
        <w:t>4、【严重】</w:t>
      </w:r>
    </w:p>
    <w:p>
      <w:pPr>
        <w:pStyle w:val="13"/>
        <w:numPr>
          <w:ilvl w:val="0"/>
          <w:numId w:val="50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1"/>
        </w:rPr>
        <w:t>有下列情形之一的：</w:t>
      </w:r>
      <w:r>
        <w:rPr>
          <w:color w:val="auto"/>
          <w:spacing w:val="-5"/>
        </w:rPr>
        <w:t>1</w:t>
      </w:r>
      <w:r>
        <w:rPr>
          <w:color w:val="auto"/>
          <w:spacing w:val="-4"/>
        </w:rPr>
        <w:t>、同时具有两种以上本条所列违法行为的；2</w:t>
      </w:r>
      <w:r>
        <w:rPr>
          <w:color w:val="auto"/>
          <w:spacing w:val="-5"/>
        </w:rPr>
        <w:t>、伪造或者冒用防伪技术评审、防伪技术产品生产许可及防伪注册登记等证书，侵害名牌企业、质</w:t>
      </w:r>
      <w:r>
        <w:rPr>
          <w:color w:val="auto"/>
        </w:rPr>
        <w:t>量标志和地理标志保护产品权益的；3、经查处后，再次违法的。</w:t>
      </w:r>
    </w:p>
    <w:p>
      <w:pPr>
        <w:pStyle w:val="13"/>
        <w:numPr>
          <w:ilvl w:val="0"/>
          <w:numId w:val="504"/>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line="391" w:lineRule="auto"/>
        <w:ind w:right="215" w:firstLine="480"/>
        <w:rPr>
          <w:color w:val="auto"/>
        </w:rPr>
      </w:pPr>
      <w:r>
        <w:rPr>
          <w:color w:val="auto"/>
        </w:rPr>
        <w:t>责令改正，没收违法生产、销售的产品，并处违法生产、销售产品货值金额 60% 以上 80%以下的罚款；有违法所得的，并处没收违法所得；吊销营业执照。</w:t>
      </w:r>
    </w:p>
    <w:p>
      <w:pPr>
        <w:pStyle w:val="4"/>
        <w:spacing w:line="306" w:lineRule="exact"/>
        <w:ind w:left="591"/>
        <w:rPr>
          <w:color w:val="auto"/>
        </w:rPr>
      </w:pPr>
      <w:r>
        <w:rPr>
          <w:color w:val="auto"/>
        </w:rPr>
        <w:t>5、【特别严重】</w:t>
      </w:r>
    </w:p>
    <w:p>
      <w:pPr>
        <w:pStyle w:val="13"/>
        <w:numPr>
          <w:ilvl w:val="0"/>
          <w:numId w:val="50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3"/>
        </w:rPr>
        <w:t>有下列情形之一的：</w:t>
      </w:r>
      <w:r>
        <w:rPr>
          <w:color w:val="auto"/>
          <w:spacing w:val="-20"/>
        </w:rPr>
        <w:t>1</w:t>
      </w:r>
      <w:r>
        <w:rPr>
          <w:color w:val="auto"/>
          <w:spacing w:val="-10"/>
        </w:rPr>
        <w:t>、多次以上实施同一或相近违法行为，屡次查处不改的；</w:t>
      </w:r>
      <w:r>
        <w:rPr>
          <w:color w:val="auto"/>
          <w:spacing w:val="-20"/>
        </w:rPr>
        <w:t>2</w:t>
      </w:r>
      <w:r>
        <w:rPr>
          <w:color w:val="auto"/>
          <w:spacing w:val="-15"/>
        </w:rPr>
        <w:t>、</w:t>
      </w:r>
      <w:r>
        <w:rPr>
          <w:color w:val="auto"/>
        </w:rPr>
        <w:t>造成较大社会影响等严重危害后果的。</w:t>
      </w:r>
    </w:p>
    <w:p>
      <w:pPr>
        <w:pStyle w:val="13"/>
        <w:numPr>
          <w:ilvl w:val="0"/>
          <w:numId w:val="505"/>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spacing w:val="-2"/>
        </w:rPr>
        <w:t xml:space="preserve">没收违法生产、销售的产品，并处违法生产、销售产品货值金额 </w:t>
      </w:r>
      <w:r>
        <w:rPr>
          <w:color w:val="auto"/>
        </w:rPr>
        <w:t>80</w:t>
      </w:r>
      <w:r>
        <w:rPr>
          <w:color w:val="auto"/>
          <w:spacing w:val="-3"/>
        </w:rPr>
        <w:t>%以上等值以</w:t>
      </w:r>
      <w:r>
        <w:rPr>
          <w:color w:val="auto"/>
        </w:rPr>
        <w:t>下的罚款；有违法所得的，并处没收违法所得；吊销营业执照。</w:t>
      </w:r>
    </w:p>
    <w:p>
      <w:pPr>
        <w:pStyle w:val="2"/>
        <w:spacing w:line="391" w:lineRule="auto"/>
        <w:ind w:left="111" w:right="235" w:firstLine="480"/>
        <w:jc w:val="both"/>
        <w:rPr>
          <w:color w:val="auto"/>
        </w:rPr>
      </w:pPr>
      <w:bookmarkStart w:id="721" w:name="三百五十二、电器电子产品生产者所采用的材料、技术和工艺违反电器电子产品有害物质限"/>
      <w:bookmarkEnd w:id="721"/>
      <w:bookmarkStart w:id="722" w:name="_bookmark360"/>
      <w:bookmarkEnd w:id="722"/>
      <w:r>
        <w:rPr>
          <w:color w:val="auto"/>
          <w:spacing w:val="-8"/>
        </w:rPr>
        <w:t>三百五十二、电器电子产品生产者所采用的材料、技术和工艺违反电器电子产品</w:t>
      </w:r>
      <w:r>
        <w:rPr>
          <w:color w:val="auto"/>
          <w:spacing w:val="-11"/>
        </w:rPr>
        <w:t>有害物质限制使用国家标准或行业标准，以及将不符合要求的电器电子产品出厂、销售</w:t>
      </w:r>
    </w:p>
    <w:p>
      <w:pPr>
        <w:spacing w:before="0" w:line="304" w:lineRule="exact"/>
        <w:ind w:left="591" w:right="0" w:firstLine="0"/>
        <w:jc w:val="left"/>
        <w:rPr>
          <w:b/>
          <w:color w:val="auto"/>
          <w:sz w:val="24"/>
        </w:rPr>
      </w:pPr>
      <w:r>
        <w:rPr>
          <w:b/>
          <w:color w:val="auto"/>
          <w:sz w:val="24"/>
        </w:rPr>
        <w:t>（一）处罚依据</w:t>
      </w:r>
    </w:p>
    <w:p>
      <w:pPr>
        <w:pStyle w:val="4"/>
        <w:spacing w:before="191" w:line="391" w:lineRule="auto"/>
        <w:ind w:right="146" w:firstLine="470"/>
        <w:rPr>
          <w:color w:val="auto"/>
        </w:rPr>
      </w:pPr>
      <w:r>
        <w:rPr>
          <w:color w:val="auto"/>
          <w:spacing w:val="-4"/>
        </w:rPr>
        <w:t>《电器电子产品有害物质限制使用管理办法》第十九条第</w:t>
      </w:r>
      <w:r>
        <w:rPr>
          <w:color w:val="auto"/>
        </w:rPr>
        <w:t>（一</w:t>
      </w:r>
      <w:r>
        <w:rPr>
          <w:color w:val="auto"/>
          <w:spacing w:val="-36"/>
        </w:rPr>
        <w:t>）</w:t>
      </w:r>
      <w:r>
        <w:rPr>
          <w:color w:val="auto"/>
          <w:spacing w:val="-9"/>
        </w:rPr>
        <w:t xml:space="preserve">项“违反本办法， </w:t>
      </w:r>
      <w:r>
        <w:rPr>
          <w:color w:val="auto"/>
        </w:rPr>
        <w:t>有下列情形之一的，由商务、海关、质检等部门在各自的职责范围内依法予以处罚：</w:t>
      </w:r>
    </w:p>
    <w:p>
      <w:pPr>
        <w:pStyle w:val="4"/>
        <w:spacing w:line="391" w:lineRule="auto"/>
        <w:ind w:right="268"/>
        <w:jc w:val="both"/>
        <w:rPr>
          <w:color w:val="auto"/>
        </w:rPr>
      </w:pPr>
      <w:r>
        <w:rPr>
          <w:color w:val="auto"/>
        </w:rPr>
        <w:t>（一</w:t>
      </w:r>
      <w:r>
        <w:rPr>
          <w:color w:val="auto"/>
          <w:spacing w:val="-12"/>
        </w:rPr>
        <w:t>）</w:t>
      </w:r>
      <w:r>
        <w:rPr>
          <w:color w:val="auto"/>
          <w:spacing w:val="-3"/>
        </w:rPr>
        <w:t>电器电子产品生产者违反本办法第十条的规定，所采用的材料、技术和工艺违反电器电子产品有害物质限制使用国家标准或行业标准的，以及将不符合本办法要求</w:t>
      </w:r>
      <w:r>
        <w:rPr>
          <w:color w:val="auto"/>
        </w:rPr>
        <w:t>的电器电子产品出厂、销售的；”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06"/>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line="388" w:lineRule="auto"/>
        <w:ind w:right="212" w:firstLine="480"/>
        <w:rPr>
          <w:color w:val="auto"/>
        </w:rPr>
      </w:pPr>
      <w:r>
        <w:rPr>
          <w:color w:val="auto"/>
        </w:rPr>
        <w:t>有下列情形之一的：1、有证据证明该产品是初次生产，且尚未销售的；2、有证据证明该产品是初次生产，没有造成危害结果的。</w:t>
      </w:r>
    </w:p>
    <w:p>
      <w:pPr>
        <w:pStyle w:val="13"/>
        <w:numPr>
          <w:ilvl w:val="0"/>
          <w:numId w:val="506"/>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66" w:firstLine="480"/>
        <w:rPr>
          <w:color w:val="auto"/>
        </w:rPr>
      </w:pPr>
      <w:r>
        <w:rPr>
          <w:color w:val="auto"/>
          <w:spacing w:val="-7"/>
        </w:rPr>
        <w:t>责令停止生产、销售，没收违法生产、销售的产品，并处货值金额等值罚款；有</w:t>
      </w:r>
      <w:r>
        <w:rPr>
          <w:color w:val="auto"/>
        </w:rPr>
        <w:t>违法所得的，并处没收违法所得。</w:t>
      </w:r>
    </w:p>
    <w:p>
      <w:pPr>
        <w:pStyle w:val="4"/>
        <w:spacing w:before="4"/>
        <w:ind w:left="591"/>
        <w:rPr>
          <w:color w:val="auto"/>
        </w:rPr>
      </w:pPr>
      <w:r>
        <w:rPr>
          <w:color w:val="auto"/>
        </w:rPr>
        <w:t>2、【一般】</w:t>
      </w:r>
    </w:p>
    <w:p>
      <w:pPr>
        <w:pStyle w:val="13"/>
        <w:numPr>
          <w:ilvl w:val="0"/>
          <w:numId w:val="50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有下列情形之一的：1、检验结论为不合格且主动追回已售出的产品的；2、检验结论为不合格且售出产品未造成危害后果的。</w:t>
      </w:r>
    </w:p>
    <w:p>
      <w:pPr>
        <w:pStyle w:val="13"/>
        <w:numPr>
          <w:ilvl w:val="0"/>
          <w:numId w:val="50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25" w:firstLine="480"/>
        <w:rPr>
          <w:color w:val="auto"/>
        </w:rPr>
      </w:pPr>
      <w:r>
        <w:rPr>
          <w:color w:val="auto"/>
        </w:rPr>
        <w:t>责令停止生产、销售，没收违法生产、销售的产品，并处货值金额等值以上 1.5 倍以下罚款；有违法所得的，并处没收违法所得。</w:t>
      </w:r>
    </w:p>
    <w:p>
      <w:pPr>
        <w:pStyle w:val="4"/>
        <w:spacing w:line="306" w:lineRule="exact"/>
        <w:ind w:left="591"/>
        <w:rPr>
          <w:color w:val="auto"/>
        </w:rPr>
      </w:pPr>
      <w:r>
        <w:rPr>
          <w:color w:val="auto"/>
        </w:rPr>
        <w:t>3、【较重】</w:t>
      </w:r>
    </w:p>
    <w:p>
      <w:pPr>
        <w:pStyle w:val="13"/>
        <w:numPr>
          <w:ilvl w:val="0"/>
          <w:numId w:val="508"/>
        </w:numPr>
        <w:tabs>
          <w:tab w:val="left" w:pos="1193"/>
        </w:tabs>
        <w:spacing w:before="19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检验结论为不合格，产品半数以下售出且无法追回的。</w:t>
      </w:r>
    </w:p>
    <w:p>
      <w:pPr>
        <w:pStyle w:val="13"/>
        <w:numPr>
          <w:ilvl w:val="0"/>
          <w:numId w:val="508"/>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92" w:firstLine="480"/>
        <w:rPr>
          <w:color w:val="auto"/>
        </w:rPr>
      </w:pPr>
      <w:r>
        <w:rPr>
          <w:color w:val="auto"/>
          <w:spacing w:val="-2"/>
        </w:rPr>
        <w:t xml:space="preserve">责令停止生产、销售，没收违法生产、销售的产品，并处货值金额 </w:t>
      </w:r>
      <w:r>
        <w:rPr>
          <w:color w:val="auto"/>
        </w:rPr>
        <w:t>1.5</w:t>
      </w:r>
      <w:r>
        <w:rPr>
          <w:color w:val="auto"/>
          <w:spacing w:val="-24"/>
        </w:rPr>
        <w:t xml:space="preserve"> 倍以上 </w:t>
      </w:r>
      <w:r>
        <w:rPr>
          <w:color w:val="auto"/>
          <w:spacing w:val="-17"/>
        </w:rPr>
        <w:t xml:space="preserve">2 </w:t>
      </w:r>
      <w:r>
        <w:rPr>
          <w:color w:val="auto"/>
        </w:rPr>
        <w:t>倍以下罚款；有违法所得的，并处没收违法所得。</w:t>
      </w:r>
    </w:p>
    <w:p>
      <w:pPr>
        <w:pStyle w:val="4"/>
        <w:spacing w:before="5"/>
        <w:ind w:left="591"/>
        <w:rPr>
          <w:color w:val="auto"/>
        </w:rPr>
      </w:pPr>
      <w:r>
        <w:rPr>
          <w:color w:val="auto"/>
        </w:rPr>
        <w:t>4、【严重】</w:t>
      </w:r>
    </w:p>
    <w:p>
      <w:pPr>
        <w:pStyle w:val="13"/>
        <w:numPr>
          <w:ilvl w:val="0"/>
          <w:numId w:val="50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32" w:firstLine="480"/>
        <w:rPr>
          <w:color w:val="auto"/>
        </w:rPr>
      </w:pPr>
      <w:r>
        <w:rPr>
          <w:color w:val="auto"/>
        </w:rPr>
        <w:t>有下列情形之一的：1、检验结论为严重不合格的；2、产品全部或大部分销售， 无法追回的。</w:t>
      </w:r>
    </w:p>
    <w:p>
      <w:pPr>
        <w:pStyle w:val="13"/>
        <w:numPr>
          <w:ilvl w:val="0"/>
          <w:numId w:val="50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倍以下罚款；有违法所得的，并处没收违法所得。</w:t>
      </w:r>
    </w:p>
    <w:p>
      <w:pPr>
        <w:pStyle w:val="4"/>
        <w:spacing w:line="306" w:lineRule="exact"/>
        <w:ind w:left="591"/>
        <w:rPr>
          <w:color w:val="auto"/>
        </w:rPr>
      </w:pPr>
      <w:r>
        <w:rPr>
          <w:color w:val="auto"/>
        </w:rPr>
        <w:t>5、【特别严重】</w:t>
      </w:r>
    </w:p>
    <w:p>
      <w:pPr>
        <w:pStyle w:val="13"/>
        <w:numPr>
          <w:ilvl w:val="0"/>
          <w:numId w:val="51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6" w:firstLine="480"/>
        <w:jc w:val="both"/>
        <w:rPr>
          <w:color w:val="auto"/>
        </w:rPr>
      </w:pPr>
      <w:r>
        <w:rPr>
          <w:color w:val="auto"/>
          <w:spacing w:val="-1"/>
        </w:rPr>
        <w:t>有下列情形之一的：</w:t>
      </w:r>
      <w:r>
        <w:rPr>
          <w:color w:val="auto"/>
          <w:spacing w:val="-4"/>
        </w:rPr>
        <w:t>1、产品全部或大部分销售，且拒不追回的；2</w:t>
      </w:r>
      <w:r>
        <w:rPr>
          <w:color w:val="auto"/>
          <w:spacing w:val="-5"/>
        </w:rPr>
        <w:t>、不执行责令</w:t>
      </w:r>
      <w:r>
        <w:rPr>
          <w:color w:val="auto"/>
        </w:rPr>
        <w:t>停止生产、销售，继续实施违法行为的；3、生产的产品造成人身、财产损害或者造成较大社会影响等严重危害后果的；4.其他符合特别严重违法情节的。</w:t>
      </w:r>
    </w:p>
    <w:p>
      <w:pPr>
        <w:pStyle w:val="13"/>
        <w:numPr>
          <w:ilvl w:val="0"/>
          <w:numId w:val="510"/>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302" w:firstLine="470"/>
        <w:jc w:val="both"/>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倍以下罚款；有违法所得的，并处没收违法所得；吊销营业执照。</w:t>
      </w:r>
    </w:p>
    <w:p>
      <w:pPr>
        <w:pStyle w:val="2"/>
        <w:spacing w:before="4" w:line="388" w:lineRule="auto"/>
        <w:ind w:left="111" w:right="240" w:firstLine="480"/>
        <w:jc w:val="both"/>
        <w:rPr>
          <w:color w:val="auto"/>
        </w:rPr>
      </w:pPr>
      <w:bookmarkStart w:id="723" w:name="_bookmark361"/>
      <w:bookmarkEnd w:id="723"/>
      <w:bookmarkStart w:id="724" w:name="三百五十三、未向国家市场监管总局备案生产者基本信息、车型信息、约定的销售和修理网"/>
      <w:bookmarkEnd w:id="724"/>
      <w:r>
        <w:rPr>
          <w:color w:val="auto"/>
          <w:spacing w:val="-6"/>
        </w:rPr>
        <w:t>三百五十三、未向国家市场监管总局备案生产者基本信息、车型信息、约定的销</w:t>
      </w:r>
      <w:r>
        <w:rPr>
          <w:color w:val="auto"/>
          <w:spacing w:val="-11"/>
        </w:rPr>
        <w:t>售和修理网点资料、产品使用说明书、三包凭证、维修保养手册、三包责任争议处理和退换车信息等家用汽车产品三包有关信息，并在信息发生变化时及时更新备案</w:t>
      </w:r>
    </w:p>
    <w:p>
      <w:pPr>
        <w:spacing w:before="6"/>
        <w:ind w:left="591" w:right="0" w:firstLine="0"/>
        <w:jc w:val="left"/>
        <w:rPr>
          <w:b/>
          <w:color w:val="auto"/>
          <w:sz w:val="24"/>
        </w:rPr>
      </w:pPr>
      <w:r>
        <w:rPr>
          <w:b/>
          <w:color w:val="auto"/>
          <w:sz w:val="24"/>
        </w:rPr>
        <w:t>（一）处罚依据</w:t>
      </w:r>
    </w:p>
    <w:p>
      <w:pPr>
        <w:pStyle w:val="4"/>
        <w:spacing w:before="192" w:line="388" w:lineRule="auto"/>
        <w:ind w:right="266" w:firstLine="480"/>
        <w:rPr>
          <w:color w:val="auto"/>
        </w:rPr>
      </w:pPr>
      <w:r>
        <w:rPr>
          <w:color w:val="auto"/>
        </w:rPr>
        <w:t>1</w:t>
      </w:r>
      <w:r>
        <w:rPr>
          <w:color w:val="auto"/>
          <w:spacing w:val="-14"/>
        </w:rPr>
        <w:t>、《家用汽车产品修理、更换、退货责任规定》第三十七条“违反本规定第九条</w:t>
      </w:r>
      <w:r>
        <w:rPr>
          <w:color w:val="auto"/>
          <w:spacing w:val="-4"/>
        </w:rPr>
        <w:t xml:space="preserve">规定的，予以警告，责令限期改正，处 </w:t>
      </w:r>
      <w:r>
        <w:rPr>
          <w:color w:val="auto"/>
        </w:rPr>
        <w:t>1</w:t>
      </w:r>
      <w:r>
        <w:rPr>
          <w:color w:val="auto"/>
          <w:spacing w:val="-20"/>
        </w:rPr>
        <w:t xml:space="preserve"> 万元以上 </w:t>
      </w:r>
      <w:r>
        <w:rPr>
          <w:color w:val="auto"/>
        </w:rPr>
        <w:t>3</w:t>
      </w:r>
      <w:r>
        <w:rPr>
          <w:color w:val="auto"/>
          <w:spacing w:val="-21"/>
        </w:rPr>
        <w:t xml:space="preserve"> 万元以下罚款。”</w:t>
      </w:r>
    </w:p>
    <w:p>
      <w:pPr>
        <w:pStyle w:val="4"/>
        <w:spacing w:before="4" w:line="388" w:lineRule="auto"/>
        <w:ind w:right="148" w:firstLine="480"/>
        <w:rPr>
          <w:color w:val="auto"/>
        </w:rPr>
      </w:pPr>
      <w:r>
        <w:rPr>
          <w:color w:val="auto"/>
        </w:rPr>
        <w:t>2</w:t>
      </w:r>
      <w:r>
        <w:rPr>
          <w:color w:val="auto"/>
          <w:spacing w:val="-13"/>
        </w:rPr>
        <w:t>、《家用汽车产品修理、更换、退货责任规定》第九条“生产者应当向国家质检</w:t>
      </w:r>
      <w:r>
        <w:rPr>
          <w:color w:val="auto"/>
          <w:spacing w:val="-19"/>
        </w:rPr>
        <w:t>总局备案生产者基本信息、车型信息、约定的销售和修理网点资料、产品使用说明书、</w:t>
      </w:r>
      <w:r>
        <w:rPr>
          <w:color w:val="auto"/>
          <w:spacing w:val="-6"/>
        </w:rPr>
        <w:t>三包凭证、维修保养手册、三包责任争议处理和退换车信息等家用汽车产品三包有关</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信息，并在信息发生变化时及时更新备案。”</w:t>
      </w:r>
    </w:p>
    <w:p>
      <w:pPr>
        <w:spacing w:before="195" w:line="388" w:lineRule="auto"/>
        <w:ind w:left="591" w:right="6957" w:hanging="10"/>
        <w:jc w:val="left"/>
        <w:rPr>
          <w:color w:val="auto"/>
          <w:sz w:val="24"/>
        </w:rPr>
      </w:pPr>
      <w:r>
        <w:rPr>
          <w:b/>
          <w:color w:val="auto"/>
          <w:sz w:val="24"/>
        </w:rPr>
        <w:t>（二）裁量标准</w:t>
      </w:r>
      <w:r>
        <w:rPr>
          <w:color w:val="auto"/>
          <w:sz w:val="24"/>
        </w:rPr>
        <w:t>1、【较轻】</w:t>
      </w:r>
    </w:p>
    <w:p>
      <w:pPr>
        <w:pStyle w:val="13"/>
        <w:numPr>
          <w:ilvl w:val="0"/>
          <w:numId w:val="51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未及时备案，经行政机关催促，开始备案的。</w:t>
      </w:r>
    </w:p>
    <w:p>
      <w:pPr>
        <w:pStyle w:val="13"/>
        <w:numPr>
          <w:ilvl w:val="0"/>
          <w:numId w:val="51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992"/>
        <w:rPr>
          <w:color w:val="auto"/>
        </w:rPr>
      </w:pPr>
      <w:r>
        <w:rPr>
          <w:color w:val="auto"/>
        </w:rPr>
        <w:t>予以警告，责令限期改正2、【一般】</w:t>
      </w:r>
    </w:p>
    <w:p>
      <w:pPr>
        <w:pStyle w:val="13"/>
        <w:numPr>
          <w:ilvl w:val="0"/>
          <w:numId w:val="51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未及时备案，行政机关责令改正仍备案不完整的。</w:t>
      </w:r>
    </w:p>
    <w:p>
      <w:pPr>
        <w:pStyle w:val="13"/>
        <w:numPr>
          <w:ilvl w:val="0"/>
          <w:numId w:val="51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6472"/>
        <w:rPr>
          <w:color w:val="auto"/>
        </w:rPr>
      </w:pPr>
      <w:r>
        <w:rPr>
          <w:color w:val="auto"/>
          <w:spacing w:val="-30"/>
        </w:rPr>
        <w:t xml:space="preserve">处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51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未及时备案，行政机关责令改正后仍未开展备案工作的。</w:t>
      </w:r>
    </w:p>
    <w:p>
      <w:pPr>
        <w:pStyle w:val="13"/>
        <w:numPr>
          <w:ilvl w:val="0"/>
          <w:numId w:val="51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7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4</w:t>
      </w:r>
      <w:r>
        <w:rPr>
          <w:color w:val="auto"/>
          <w:spacing w:val="-24"/>
        </w:rPr>
        <w:t>、【严重】</w:t>
      </w:r>
    </w:p>
    <w:p>
      <w:pPr>
        <w:pStyle w:val="13"/>
        <w:numPr>
          <w:ilvl w:val="0"/>
          <w:numId w:val="51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未及时备案，行政机关责令改正后拒不开展备案工作的。</w:t>
      </w:r>
    </w:p>
    <w:p>
      <w:pPr>
        <w:pStyle w:val="13"/>
        <w:numPr>
          <w:ilvl w:val="0"/>
          <w:numId w:val="51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2 万元以上 3 万元以下罚款。</w:t>
      </w:r>
    </w:p>
    <w:p>
      <w:pPr>
        <w:pStyle w:val="2"/>
        <w:spacing w:before="194" w:line="388" w:lineRule="auto"/>
        <w:ind w:left="111" w:right="237" w:firstLine="480"/>
        <w:rPr>
          <w:color w:val="auto"/>
        </w:rPr>
      </w:pPr>
      <w:bookmarkStart w:id="725" w:name="三百五十四、家用汽车产品未具有中文的产品合格证或相关证明以及产品使用说明书、三包"/>
      <w:bookmarkEnd w:id="725"/>
      <w:bookmarkStart w:id="726" w:name="_bookmark362"/>
      <w:bookmarkEnd w:id="726"/>
      <w:r>
        <w:rPr>
          <w:color w:val="auto"/>
          <w:spacing w:val="-9"/>
        </w:rPr>
        <w:t>三百五十四、家用汽车产品未具有中文的产品合格证或相关证明以及产品使用说明书、三包凭证、维修保养手册等随车文件</w:t>
      </w:r>
    </w:p>
    <w:p>
      <w:pPr>
        <w:spacing w:before="2"/>
        <w:ind w:left="591" w:right="0" w:firstLine="0"/>
        <w:jc w:val="left"/>
        <w:rPr>
          <w:b/>
          <w:color w:val="auto"/>
          <w:sz w:val="24"/>
        </w:rPr>
      </w:pPr>
      <w:r>
        <w:rPr>
          <w:b/>
          <w:color w:val="auto"/>
          <w:sz w:val="24"/>
        </w:rPr>
        <w:t>（一）处罚依据</w:t>
      </w:r>
    </w:p>
    <w:p>
      <w:pPr>
        <w:pStyle w:val="4"/>
        <w:spacing w:before="195" w:line="388" w:lineRule="auto"/>
        <w:ind w:right="266" w:firstLine="480"/>
        <w:jc w:val="both"/>
        <w:rPr>
          <w:color w:val="auto"/>
        </w:rPr>
      </w:pPr>
      <w:r>
        <w:rPr>
          <w:color w:val="auto"/>
        </w:rPr>
        <w:t>1</w:t>
      </w:r>
      <w:r>
        <w:rPr>
          <w:color w:val="auto"/>
          <w:spacing w:val="-14"/>
        </w:rPr>
        <w:t>、《家用汽车产品修理、更换、退货责任规定》第三十八条“违反本规定第十条</w:t>
      </w:r>
      <w:r>
        <w:rPr>
          <w:color w:val="auto"/>
          <w:spacing w:val="-6"/>
        </w:rPr>
        <w:t>规定，构成有关法律法规规定的违法行为的，依法予以处罚；未构成有关法律法规规</w:t>
      </w:r>
      <w:r>
        <w:rPr>
          <w:color w:val="auto"/>
          <w:spacing w:val="-7"/>
        </w:rPr>
        <w:t xml:space="preserve">定的违法行为的，予以警告，责令限期改正；情节严重的，处 </w:t>
      </w:r>
      <w:r>
        <w:rPr>
          <w:color w:val="auto"/>
        </w:rPr>
        <w:t>1</w:t>
      </w:r>
      <w:r>
        <w:rPr>
          <w:color w:val="auto"/>
          <w:spacing w:val="-20"/>
        </w:rPr>
        <w:t xml:space="preserve"> 万元以上 </w:t>
      </w:r>
      <w:r>
        <w:rPr>
          <w:color w:val="auto"/>
        </w:rPr>
        <w:t>3</w:t>
      </w:r>
      <w:r>
        <w:rPr>
          <w:color w:val="auto"/>
          <w:spacing w:val="-15"/>
        </w:rPr>
        <w:t xml:space="preserve"> 万元以下</w:t>
      </w:r>
    </w:p>
    <w:p>
      <w:pPr>
        <w:spacing w:after="0" w:line="388"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罚款。”</w:t>
      </w:r>
    </w:p>
    <w:p>
      <w:pPr>
        <w:pStyle w:val="4"/>
        <w:spacing w:before="195" w:line="388" w:lineRule="auto"/>
        <w:ind w:right="266" w:firstLine="480"/>
        <w:jc w:val="both"/>
        <w:rPr>
          <w:color w:val="auto"/>
        </w:rPr>
      </w:pPr>
      <w:r>
        <w:rPr>
          <w:color w:val="auto"/>
        </w:rPr>
        <w:t>2</w:t>
      </w:r>
      <w:r>
        <w:rPr>
          <w:color w:val="auto"/>
          <w:spacing w:val="-14"/>
        </w:rPr>
        <w:t>、《家用汽车产品修理、更换、退货责任规定》第十条“家用汽车产品应当具有</w:t>
      </w:r>
      <w:r>
        <w:rPr>
          <w:color w:val="auto"/>
          <w:spacing w:val="-3"/>
        </w:rPr>
        <w:t>中文的产品合格证或相关证明以及产品使用说明书、三包凭证、维修保养手册等随车</w:t>
      </w:r>
      <w:r>
        <w:rPr>
          <w:color w:val="auto"/>
        </w:rPr>
        <w:t>文件。</w:t>
      </w:r>
    </w:p>
    <w:p>
      <w:pPr>
        <w:pStyle w:val="4"/>
        <w:spacing w:before="5" w:line="388" w:lineRule="auto"/>
        <w:ind w:right="268" w:firstLine="480"/>
        <w:jc w:val="both"/>
        <w:rPr>
          <w:color w:val="auto"/>
        </w:rPr>
      </w:pPr>
      <w:r>
        <w:rPr>
          <w:color w:val="auto"/>
          <w:spacing w:val="-3"/>
        </w:rPr>
        <w:t>产品使用说明书应当符合消费品使用说明等国家标准规定的要求。家用汽车产品</w:t>
      </w:r>
      <w:r>
        <w:rPr>
          <w:color w:val="auto"/>
          <w:spacing w:val="-6"/>
        </w:rPr>
        <w:t>所具有的使用性能、安全性能在相关标准中没有规定的，其性能指标、工作条件、工</w:t>
      </w:r>
      <w:r>
        <w:rPr>
          <w:color w:val="auto"/>
        </w:rPr>
        <w:t>作环境等要求应当在产品使用说明书中明示。</w:t>
      </w:r>
    </w:p>
    <w:p>
      <w:pPr>
        <w:pStyle w:val="4"/>
        <w:spacing w:before="6"/>
        <w:ind w:left="591"/>
        <w:rPr>
          <w:color w:val="auto"/>
        </w:rPr>
      </w:pPr>
      <w:r>
        <w:rPr>
          <w:color w:val="auto"/>
        </w:rPr>
        <w:t>三包凭证应当包括以下内容：产品品牌、型号、车辆类型规格、车辆识别代号</w:t>
      </w:r>
    </w:p>
    <w:p>
      <w:pPr>
        <w:pStyle w:val="4"/>
        <w:spacing w:before="191" w:line="391" w:lineRule="auto"/>
        <w:ind w:right="232"/>
        <w:jc w:val="both"/>
        <w:rPr>
          <w:color w:val="auto"/>
        </w:rPr>
      </w:pPr>
      <w:r>
        <w:rPr>
          <w:color w:val="auto"/>
        </w:rPr>
        <w:t>（VIN</w:t>
      </w:r>
      <w:r>
        <w:rPr>
          <w:color w:val="auto"/>
          <w:spacing w:val="-120"/>
        </w:rPr>
        <w:t>）</w:t>
      </w:r>
      <w:r>
        <w:rPr>
          <w:color w:val="auto"/>
          <w:spacing w:val="-1"/>
        </w:rPr>
        <w:t>、生产日期；生产者名称、地址、邮政编码、客服电话；销售者名称、地址、</w:t>
      </w:r>
      <w:r>
        <w:rPr>
          <w:color w:val="auto"/>
          <w:spacing w:val="-6"/>
        </w:rPr>
        <w:t>邮政编码、电话等销售网点资料、销售日期；修理者名称、地址、邮政编码、电话等</w:t>
      </w:r>
      <w:r>
        <w:rPr>
          <w:color w:val="auto"/>
          <w:spacing w:val="-8"/>
        </w:rPr>
        <w:t>修理网点资料或者相关查询方式；家用汽车产品三包条款、包修期和三包有效期以及按照规定要求应当明示的其他内容。</w:t>
      </w:r>
    </w:p>
    <w:p>
      <w:pPr>
        <w:pStyle w:val="4"/>
        <w:spacing w:line="302" w:lineRule="exact"/>
        <w:ind w:left="591"/>
        <w:rPr>
          <w:color w:val="auto"/>
        </w:rPr>
      </w:pPr>
      <w:r>
        <w:rPr>
          <w:color w:val="auto"/>
        </w:rPr>
        <w:t>维修保养手册应当格式规范、内容实用。</w:t>
      </w:r>
    </w:p>
    <w:p>
      <w:pPr>
        <w:pStyle w:val="4"/>
        <w:spacing w:before="194"/>
        <w:ind w:left="591"/>
        <w:rPr>
          <w:color w:val="auto"/>
        </w:rPr>
      </w:pPr>
      <w:r>
        <w:rPr>
          <w:color w:val="auto"/>
        </w:rPr>
        <w:t>随车提供工具、备件等物品的，应附有随车物品清单。”</w:t>
      </w:r>
    </w:p>
    <w:p>
      <w:pPr>
        <w:pStyle w:val="4"/>
        <w:spacing w:before="192" w:line="388" w:lineRule="auto"/>
        <w:ind w:left="591" w:right="6952"/>
        <w:rPr>
          <w:color w:val="auto"/>
        </w:rPr>
      </w:pPr>
      <w:r>
        <w:rPr>
          <w:color w:val="auto"/>
        </w:rPr>
        <w:t>（二）裁量标准1、【较轻】</w:t>
      </w:r>
    </w:p>
    <w:p>
      <w:pPr>
        <w:pStyle w:val="13"/>
        <w:numPr>
          <w:ilvl w:val="0"/>
          <w:numId w:val="515"/>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未构成有关法律法规规定的违法行为的。</w:t>
      </w:r>
    </w:p>
    <w:p>
      <w:pPr>
        <w:pStyle w:val="13"/>
        <w:numPr>
          <w:ilvl w:val="0"/>
          <w:numId w:val="51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752"/>
        <w:rPr>
          <w:color w:val="auto"/>
        </w:rPr>
      </w:pPr>
      <w:r>
        <w:rPr>
          <w:color w:val="auto"/>
        </w:rPr>
        <w:t>予以警告，责令限期改正。2、【严重】</w:t>
      </w:r>
    </w:p>
    <w:p>
      <w:pPr>
        <w:pStyle w:val="13"/>
        <w:numPr>
          <w:ilvl w:val="0"/>
          <w:numId w:val="51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行政机关责令改正后，相关文件仍未整改的。</w:t>
      </w:r>
    </w:p>
    <w:p>
      <w:pPr>
        <w:pStyle w:val="13"/>
        <w:numPr>
          <w:ilvl w:val="0"/>
          <w:numId w:val="51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18"/>
        </w:rPr>
        <w:t>、【特别严重】</w:t>
      </w:r>
    </w:p>
    <w:p>
      <w:pPr>
        <w:pStyle w:val="13"/>
        <w:numPr>
          <w:ilvl w:val="0"/>
          <w:numId w:val="51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行政机关责令改正后，拒不整改相关文件内容，或造成严重危害后果的。</w:t>
      </w:r>
    </w:p>
    <w:p>
      <w:pPr>
        <w:spacing w:after="0"/>
        <w:rPr>
          <w:color w:val="auto"/>
        </w:rPr>
        <w:sectPr>
          <w:pgSz w:w="11910" w:h="16840"/>
          <w:pgMar w:top="1520" w:right="1260" w:bottom="1220" w:left="1420" w:header="0" w:footer="1034" w:gutter="0"/>
        </w:sectPr>
      </w:pPr>
    </w:p>
    <w:p>
      <w:pPr>
        <w:pStyle w:val="13"/>
        <w:numPr>
          <w:ilvl w:val="0"/>
          <w:numId w:val="51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处 2 万元以上 3 万元以下罚款。</w:t>
      </w:r>
    </w:p>
    <w:p>
      <w:pPr>
        <w:pStyle w:val="2"/>
        <w:spacing w:before="191"/>
        <w:rPr>
          <w:color w:val="auto"/>
        </w:rPr>
      </w:pPr>
      <w:bookmarkStart w:id="727" w:name="_bookmark363"/>
      <w:bookmarkEnd w:id="727"/>
      <w:bookmarkStart w:id="728" w:name="三百五十五、销售者销售家用汽车产品不符合要求"/>
      <w:bookmarkEnd w:id="728"/>
      <w:r>
        <w:rPr>
          <w:color w:val="auto"/>
        </w:rPr>
        <w:t>三百五十五、销售者销售家用汽车产品不符合要求</w:t>
      </w:r>
    </w:p>
    <w:p>
      <w:pPr>
        <w:spacing w:before="192"/>
        <w:ind w:left="591" w:right="0" w:firstLine="0"/>
        <w:jc w:val="left"/>
        <w:rPr>
          <w:b/>
          <w:color w:val="auto"/>
          <w:sz w:val="24"/>
        </w:rPr>
      </w:pPr>
      <w:r>
        <w:rPr>
          <w:b/>
          <w:color w:val="auto"/>
          <w:sz w:val="24"/>
        </w:rPr>
        <w:t>（一）处罚依据</w:t>
      </w:r>
    </w:p>
    <w:p>
      <w:pPr>
        <w:pStyle w:val="4"/>
        <w:spacing w:before="194" w:line="388" w:lineRule="auto"/>
        <w:ind w:right="266" w:firstLine="480"/>
        <w:jc w:val="both"/>
        <w:rPr>
          <w:color w:val="auto"/>
        </w:rPr>
      </w:pPr>
      <w:r>
        <w:rPr>
          <w:color w:val="auto"/>
        </w:rPr>
        <w:t>1</w:t>
      </w:r>
      <w:r>
        <w:rPr>
          <w:color w:val="auto"/>
          <w:spacing w:val="-14"/>
        </w:rPr>
        <w:t>、《家用汽车产品修理、更换、退货责任规定》第三十九条“违反本法第十二条</w:t>
      </w:r>
      <w:r>
        <w:rPr>
          <w:color w:val="auto"/>
          <w:spacing w:val="-6"/>
        </w:rPr>
        <w:t>规定，构成有关法律法规规定的违法行为的，依法予以处罚；未构成有关法律法规规</w:t>
      </w:r>
      <w:r>
        <w:rPr>
          <w:color w:val="auto"/>
          <w:spacing w:val="-3"/>
        </w:rPr>
        <w:t xml:space="preserve">定的违法行为的，予以警告，责令限期改正；情节严重的，处 </w:t>
      </w:r>
      <w:r>
        <w:rPr>
          <w:color w:val="auto"/>
        </w:rPr>
        <w:t>3</w:t>
      </w:r>
      <w:r>
        <w:rPr>
          <w:color w:val="auto"/>
          <w:spacing w:val="-8"/>
        </w:rPr>
        <w:t xml:space="preserve"> 万元以下罚款。”</w:t>
      </w:r>
    </w:p>
    <w:p>
      <w:pPr>
        <w:pStyle w:val="4"/>
        <w:spacing w:before="6" w:line="391" w:lineRule="auto"/>
        <w:ind w:right="148" w:firstLine="480"/>
        <w:rPr>
          <w:color w:val="auto"/>
        </w:rPr>
      </w:pPr>
      <w:r>
        <w:rPr>
          <w:color w:val="auto"/>
          <w:spacing w:val="2"/>
        </w:rPr>
        <w:t>2</w:t>
      </w:r>
      <w:r>
        <w:rPr>
          <w:color w:val="auto"/>
          <w:spacing w:val="-15"/>
        </w:rPr>
        <w:t>、《家用汽车产品修理、更换、退货责任规定》第十二条：“销售者销售家用汽</w:t>
      </w:r>
      <w:r>
        <w:rPr>
          <w:color w:val="auto"/>
          <w:spacing w:val="-10"/>
        </w:rPr>
        <w:t>车产品，应当符合下列要求</w:t>
      </w:r>
      <w:r>
        <w:rPr>
          <w:color w:val="auto"/>
          <w:spacing w:val="-159"/>
        </w:rPr>
        <w:t>：</w:t>
      </w:r>
      <w:r>
        <w:rPr>
          <w:color w:val="auto"/>
          <w:spacing w:val="-3"/>
        </w:rPr>
        <w:t>（</w:t>
      </w:r>
      <w:r>
        <w:rPr>
          <w:color w:val="auto"/>
        </w:rPr>
        <w:t>一</w:t>
      </w:r>
      <w:r>
        <w:rPr>
          <w:color w:val="auto"/>
          <w:spacing w:val="-39"/>
        </w:rPr>
        <w:t>）</w:t>
      </w:r>
      <w:r>
        <w:rPr>
          <w:color w:val="auto"/>
        </w:rPr>
        <w:t>向消费者交付合格的家用汽车产品以及发票</w:t>
      </w:r>
      <w:r>
        <w:rPr>
          <w:color w:val="auto"/>
          <w:spacing w:val="-159"/>
        </w:rPr>
        <w:t>；</w:t>
      </w:r>
      <w:r>
        <w:rPr>
          <w:color w:val="auto"/>
        </w:rPr>
        <w:t>（二</w:t>
      </w:r>
      <w:r>
        <w:rPr>
          <w:color w:val="auto"/>
          <w:spacing w:val="-14"/>
        </w:rPr>
        <w:t>）</w:t>
      </w:r>
      <w:r>
        <w:rPr>
          <w:color w:val="auto"/>
          <w:spacing w:val="-3"/>
        </w:rPr>
        <w:t>按照随车物品清单等随车文件向消费者交付随车工具、备件等物品；</w:t>
      </w:r>
      <w:r>
        <w:rPr>
          <w:color w:val="auto"/>
          <w:spacing w:val="2"/>
        </w:rPr>
        <w:t>（三）</w:t>
      </w:r>
      <w:r>
        <w:rPr>
          <w:color w:val="auto"/>
          <w:spacing w:val="1"/>
        </w:rPr>
        <w:t>当面查验</w:t>
      </w:r>
      <w:r>
        <w:rPr>
          <w:color w:val="auto"/>
          <w:spacing w:val="-4"/>
        </w:rPr>
        <w:t>家用汽车产品的外观、内饰等现场可查验的质量状况；</w:t>
      </w:r>
      <w:r>
        <w:rPr>
          <w:color w:val="auto"/>
          <w:spacing w:val="2"/>
        </w:rPr>
        <w:t>（四）</w:t>
      </w:r>
      <w:r>
        <w:rPr>
          <w:color w:val="auto"/>
          <w:spacing w:val="1"/>
        </w:rPr>
        <w:t>明示并交付产品使用说</w:t>
      </w:r>
      <w:r>
        <w:rPr>
          <w:color w:val="auto"/>
          <w:spacing w:val="-5"/>
        </w:rPr>
        <w:t>明书、三包凭证、维修保养手册等随车文件；</w:t>
      </w:r>
      <w:r>
        <w:rPr>
          <w:color w:val="auto"/>
          <w:spacing w:val="2"/>
        </w:rPr>
        <w:t>（五）</w:t>
      </w:r>
      <w:r>
        <w:rPr>
          <w:color w:val="auto"/>
          <w:spacing w:val="1"/>
        </w:rPr>
        <w:t>明示家用汽车产品三包条款、包</w:t>
      </w:r>
      <w:r>
        <w:rPr>
          <w:color w:val="auto"/>
          <w:spacing w:val="-13"/>
        </w:rPr>
        <w:t>修期和三包有效期；</w:t>
      </w:r>
      <w:r>
        <w:rPr>
          <w:color w:val="auto"/>
          <w:spacing w:val="2"/>
        </w:rPr>
        <w:t>（六）</w:t>
      </w:r>
      <w:r>
        <w:rPr>
          <w:color w:val="auto"/>
        </w:rPr>
        <w:t>明示由生产者约定的修理者名称、地址和联系电话等修理</w:t>
      </w:r>
      <w:r>
        <w:rPr>
          <w:color w:val="auto"/>
          <w:spacing w:val="-4"/>
        </w:rPr>
        <w:t>网点资料，但不得限制消费者在上述修理网点中自主选择修理者；</w:t>
      </w:r>
      <w:r>
        <w:rPr>
          <w:color w:val="auto"/>
          <w:spacing w:val="2"/>
        </w:rPr>
        <w:t>（七）</w:t>
      </w:r>
      <w:r>
        <w:rPr>
          <w:color w:val="auto"/>
          <w:spacing w:val="1"/>
        </w:rPr>
        <w:t>在三包凭证</w:t>
      </w:r>
      <w:r>
        <w:rPr>
          <w:color w:val="auto"/>
          <w:spacing w:val="-11"/>
        </w:rPr>
        <w:t>上填写有关销售信息；</w:t>
      </w:r>
      <w:r>
        <w:rPr>
          <w:color w:val="auto"/>
          <w:spacing w:val="2"/>
        </w:rPr>
        <w:t>（八）</w:t>
      </w:r>
      <w:r>
        <w:rPr>
          <w:color w:val="auto"/>
        </w:rPr>
        <w:t>提醒消费者阅读安全注意事项、按产品使用说明书的要求进行使用和维护保养。</w:t>
      </w:r>
    </w:p>
    <w:p>
      <w:pPr>
        <w:pStyle w:val="4"/>
        <w:spacing w:line="388" w:lineRule="auto"/>
        <w:ind w:right="213" w:firstLine="480"/>
        <w:rPr>
          <w:color w:val="auto"/>
        </w:rPr>
      </w:pPr>
      <w:r>
        <w:rPr>
          <w:color w:val="auto"/>
        </w:rPr>
        <w:t>对于进口家用汽车产品，销售者还应当明示并交付海关出具的货物进口证明和出入境检验检疫机构出具的进口机动车辆检验证明等资料。”</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1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2"/>
        <w:ind w:left="591"/>
        <w:rPr>
          <w:color w:val="auto"/>
        </w:rPr>
      </w:pPr>
      <w:r>
        <w:rPr>
          <w:color w:val="auto"/>
        </w:rPr>
        <w:t>未构成有关法律法规规定的违法行为的。</w:t>
      </w:r>
    </w:p>
    <w:p>
      <w:pPr>
        <w:pStyle w:val="13"/>
        <w:numPr>
          <w:ilvl w:val="0"/>
          <w:numId w:val="518"/>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5752"/>
        <w:rPr>
          <w:color w:val="auto"/>
        </w:rPr>
      </w:pPr>
      <w:r>
        <w:rPr>
          <w:color w:val="auto"/>
        </w:rPr>
        <w:t>予以警告，责令限期改正。2、【严重】</w:t>
      </w:r>
    </w:p>
    <w:p>
      <w:pPr>
        <w:pStyle w:val="13"/>
        <w:numPr>
          <w:ilvl w:val="0"/>
          <w:numId w:val="51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行政机关责令改正后，未进行整改的。</w:t>
      </w:r>
    </w:p>
    <w:p>
      <w:pPr>
        <w:pStyle w:val="13"/>
        <w:numPr>
          <w:ilvl w:val="0"/>
          <w:numId w:val="519"/>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6472"/>
        <w:rPr>
          <w:color w:val="auto"/>
        </w:rPr>
      </w:pPr>
      <w:r>
        <w:rPr>
          <w:color w:val="auto"/>
          <w:spacing w:val="-30"/>
        </w:rPr>
        <w:t xml:space="preserve">处 </w:t>
      </w:r>
      <w:r>
        <w:rPr>
          <w:color w:val="auto"/>
        </w:rPr>
        <w:t>2</w:t>
      </w:r>
      <w:r>
        <w:rPr>
          <w:color w:val="auto"/>
          <w:spacing w:val="-10"/>
        </w:rPr>
        <w:t xml:space="preserve"> 万元以下罚款。</w:t>
      </w:r>
      <w:r>
        <w:rPr>
          <w:color w:val="auto"/>
        </w:rPr>
        <w:t>3</w:t>
      </w:r>
      <w:r>
        <w:rPr>
          <w:color w:val="auto"/>
          <w:spacing w:val="-18"/>
        </w:rPr>
        <w:t>、【特别严重】</w:t>
      </w:r>
    </w:p>
    <w:p>
      <w:pPr>
        <w:pStyle w:val="13"/>
        <w:numPr>
          <w:ilvl w:val="0"/>
          <w:numId w:val="52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行政机关责令改正后，拒不整改的。</w:t>
      </w:r>
    </w:p>
    <w:p>
      <w:pPr>
        <w:pStyle w:val="13"/>
        <w:numPr>
          <w:ilvl w:val="0"/>
          <w:numId w:val="52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2 万元以上 3 万元以下罚款。</w:t>
      </w:r>
    </w:p>
    <w:p>
      <w:pPr>
        <w:pStyle w:val="2"/>
        <w:spacing w:before="192"/>
        <w:rPr>
          <w:color w:val="auto"/>
        </w:rPr>
      </w:pPr>
      <w:bookmarkStart w:id="729" w:name="_bookmark364"/>
      <w:bookmarkEnd w:id="729"/>
      <w:bookmarkStart w:id="730" w:name="三百五十六、修理者未按照规定修理"/>
      <w:bookmarkEnd w:id="730"/>
      <w:r>
        <w:rPr>
          <w:color w:val="auto"/>
        </w:rPr>
        <w:t>三百五十六、修理者未按照规定修理</w:t>
      </w:r>
    </w:p>
    <w:p>
      <w:pPr>
        <w:spacing w:before="194"/>
        <w:ind w:left="591" w:right="0" w:firstLine="0"/>
        <w:jc w:val="left"/>
        <w:rPr>
          <w:b/>
          <w:color w:val="auto"/>
          <w:sz w:val="24"/>
        </w:rPr>
      </w:pPr>
      <w:r>
        <w:rPr>
          <w:b/>
          <w:color w:val="auto"/>
          <w:sz w:val="24"/>
        </w:rPr>
        <w:t>（一）处罚依据</w:t>
      </w:r>
    </w:p>
    <w:p>
      <w:pPr>
        <w:pStyle w:val="4"/>
        <w:spacing w:before="191" w:line="391" w:lineRule="auto"/>
        <w:ind w:right="145" w:firstLine="480"/>
        <w:rPr>
          <w:color w:val="auto"/>
        </w:rPr>
      </w:pPr>
      <w:r>
        <w:rPr>
          <w:color w:val="auto"/>
        </w:rPr>
        <w:t>1</w:t>
      </w:r>
      <w:r>
        <w:rPr>
          <w:color w:val="auto"/>
          <w:spacing w:val="-18"/>
        </w:rPr>
        <w:t>、《家用汽车产品修理、更换、退货责任规定》第四十条“违反本规定第十三条、</w:t>
      </w:r>
      <w:r>
        <w:rPr>
          <w:color w:val="auto"/>
          <w:spacing w:val="-6"/>
        </w:rPr>
        <w:t>第十四条、第十五条或第十六条规定的，予以警告，责令限期改正；情节严重的，处 3</w:t>
      </w:r>
      <w:r>
        <w:rPr>
          <w:color w:val="auto"/>
          <w:spacing w:val="-8"/>
        </w:rPr>
        <w:t xml:space="preserve"> 万元以下罚款。”</w:t>
      </w:r>
    </w:p>
    <w:p>
      <w:pPr>
        <w:pStyle w:val="4"/>
        <w:spacing w:line="391" w:lineRule="auto"/>
        <w:ind w:right="232" w:firstLine="480"/>
        <w:jc w:val="right"/>
        <w:rPr>
          <w:color w:val="auto"/>
        </w:rPr>
      </w:pPr>
      <w:r>
        <w:rPr>
          <w:color w:val="auto"/>
        </w:rPr>
        <w:t>2</w:t>
      </w:r>
      <w:r>
        <w:rPr>
          <w:color w:val="auto"/>
          <w:spacing w:val="-13"/>
        </w:rPr>
        <w:t>、《家用汽车产品修理、更换、退货责任规定》第十三条“修理者应当建立并执</w:t>
      </w:r>
      <w:r>
        <w:rPr>
          <w:color w:val="auto"/>
          <w:spacing w:val="-14"/>
        </w:rPr>
        <w:t>行修理记录存档制度。书面修理记录应当一式两份，一份存档，一份提供给消费者。</w:t>
      </w:r>
      <w:r>
        <w:rPr>
          <w:color w:val="auto"/>
        </w:rPr>
        <w:t>修理记录内容应当包括送修时间、行驶里程、送修问题、检查结果、修理项目、</w:t>
      </w:r>
    </w:p>
    <w:p>
      <w:pPr>
        <w:pStyle w:val="4"/>
        <w:spacing w:line="388" w:lineRule="auto"/>
        <w:ind w:right="213"/>
        <w:rPr>
          <w:color w:val="auto"/>
        </w:rPr>
      </w:pPr>
      <w:r>
        <w:rPr>
          <w:color w:val="auto"/>
        </w:rPr>
        <w:t>更换的零部件名称和编号、材料费、工时和工时费、拖运费、提供备用车的信息或者交通费用补偿金额、交车时间、修理者和消费者签名或盖章等。</w:t>
      </w:r>
    </w:p>
    <w:p>
      <w:pPr>
        <w:pStyle w:val="4"/>
        <w:ind w:left="591"/>
        <w:rPr>
          <w:color w:val="auto"/>
        </w:rPr>
      </w:pPr>
      <w:r>
        <w:rPr>
          <w:color w:val="auto"/>
        </w:rPr>
        <w:t>修理记录应当便于消费者查阅或复制。”</w:t>
      </w:r>
    </w:p>
    <w:p>
      <w:pPr>
        <w:pStyle w:val="4"/>
        <w:spacing w:before="189" w:line="391" w:lineRule="auto"/>
        <w:ind w:right="266" w:firstLine="480"/>
        <w:jc w:val="both"/>
        <w:rPr>
          <w:color w:val="auto"/>
        </w:rPr>
      </w:pPr>
      <w:r>
        <w:rPr>
          <w:color w:val="auto"/>
        </w:rPr>
        <w:t>3</w:t>
      </w:r>
      <w:r>
        <w:rPr>
          <w:color w:val="auto"/>
          <w:spacing w:val="-14"/>
        </w:rPr>
        <w:t>、《家用汽车产品修理、更换、退货责任规定》第十四条“修理者应当保持修理</w:t>
      </w:r>
      <w:r>
        <w:rPr>
          <w:color w:val="auto"/>
          <w:spacing w:val="-4"/>
        </w:rPr>
        <w:t>所需要的零部件的合理储备，确保修理工作的正常进行，避免因缺少零部件而延误修</w:t>
      </w:r>
      <w:r>
        <w:rPr>
          <w:color w:val="auto"/>
        </w:rPr>
        <w:t>理时间。”</w:t>
      </w:r>
    </w:p>
    <w:p>
      <w:pPr>
        <w:pStyle w:val="4"/>
        <w:spacing w:line="391" w:lineRule="auto"/>
        <w:ind w:right="266" w:firstLine="480"/>
        <w:jc w:val="both"/>
        <w:rPr>
          <w:color w:val="auto"/>
        </w:rPr>
      </w:pPr>
      <w:r>
        <w:rPr>
          <w:color w:val="auto"/>
        </w:rPr>
        <w:t>4</w:t>
      </w:r>
      <w:r>
        <w:rPr>
          <w:color w:val="auto"/>
          <w:spacing w:val="-14"/>
        </w:rPr>
        <w:t>、《家用汽车产品修理、更换、退货责任规定》第十五条“用于家用汽车产品修</w:t>
      </w:r>
      <w:r>
        <w:rPr>
          <w:color w:val="auto"/>
          <w:spacing w:val="-3"/>
        </w:rPr>
        <w:t>理的零部件应当是生产者提供或者认可的合格零部件，且其质量不低于家用汽车产品</w:t>
      </w:r>
      <w:r>
        <w:rPr>
          <w:color w:val="auto"/>
        </w:rPr>
        <w:t>生产装配线上的产品。”</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2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9"/>
        <w:ind w:left="591"/>
        <w:rPr>
          <w:color w:val="auto"/>
        </w:rPr>
      </w:pPr>
      <w:r>
        <w:rPr>
          <w:color w:val="auto"/>
        </w:rPr>
        <w:t>未构成有关法律法规规定的违法行为的。</w:t>
      </w:r>
    </w:p>
    <w:p>
      <w:pPr>
        <w:pStyle w:val="13"/>
        <w:numPr>
          <w:ilvl w:val="0"/>
          <w:numId w:val="521"/>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5752"/>
        <w:rPr>
          <w:color w:val="auto"/>
        </w:rPr>
      </w:pPr>
      <w:r>
        <w:rPr>
          <w:color w:val="auto"/>
        </w:rPr>
        <w:t>予以警告，责令限期改正。2、【严重】</w:t>
      </w:r>
    </w:p>
    <w:p>
      <w:pPr>
        <w:pStyle w:val="13"/>
        <w:numPr>
          <w:ilvl w:val="0"/>
          <w:numId w:val="52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行政机关责令改正后，修理者未对提供的修理服务进行整改的。</w:t>
      </w:r>
    </w:p>
    <w:p>
      <w:pPr>
        <w:pStyle w:val="13"/>
        <w:numPr>
          <w:ilvl w:val="0"/>
          <w:numId w:val="52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6472"/>
        <w:rPr>
          <w:color w:val="auto"/>
        </w:rPr>
      </w:pPr>
      <w:r>
        <w:rPr>
          <w:color w:val="auto"/>
          <w:spacing w:val="-30"/>
        </w:rPr>
        <w:t xml:space="preserve">处 </w:t>
      </w:r>
      <w:r>
        <w:rPr>
          <w:color w:val="auto"/>
        </w:rPr>
        <w:t>2</w:t>
      </w:r>
      <w:r>
        <w:rPr>
          <w:color w:val="auto"/>
          <w:spacing w:val="-10"/>
        </w:rPr>
        <w:t xml:space="preserve"> 万元以下罚款。</w:t>
      </w:r>
      <w:r>
        <w:rPr>
          <w:color w:val="auto"/>
        </w:rPr>
        <w:t>3</w:t>
      </w:r>
      <w:r>
        <w:rPr>
          <w:color w:val="auto"/>
          <w:spacing w:val="-18"/>
        </w:rPr>
        <w:t>、【特别严重】</w:t>
      </w:r>
    </w:p>
    <w:p>
      <w:pPr>
        <w:pStyle w:val="13"/>
        <w:numPr>
          <w:ilvl w:val="0"/>
          <w:numId w:val="52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行政机关责令改正后，修理者拒不对提供的修理服务进行整改。</w:t>
      </w:r>
    </w:p>
    <w:p>
      <w:pPr>
        <w:pStyle w:val="13"/>
        <w:numPr>
          <w:ilvl w:val="0"/>
          <w:numId w:val="52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2 万元以上 3 万元以下罚款。</w:t>
      </w:r>
    </w:p>
    <w:p>
      <w:pPr>
        <w:pStyle w:val="2"/>
        <w:spacing w:before="192" w:line="388" w:lineRule="auto"/>
        <w:ind w:left="111" w:right="170" w:firstLine="480"/>
        <w:rPr>
          <w:color w:val="auto"/>
        </w:rPr>
      </w:pPr>
      <w:bookmarkStart w:id="731" w:name="_bookmark365"/>
      <w:bookmarkEnd w:id="731"/>
      <w:bookmarkStart w:id="732" w:name="三百五十七、未按照规定保存有关汽车产品、车主的信息记录、备案有关信息、召回计划、"/>
      <w:bookmarkEnd w:id="732"/>
      <w:r>
        <w:rPr>
          <w:color w:val="auto"/>
        </w:rPr>
        <w:t>三百五十七、未按照规定保存有关汽车产品、车主的信息记录、备案有关信息、召回计划、提交有关召回报告</w:t>
      </w:r>
    </w:p>
    <w:p>
      <w:pPr>
        <w:spacing w:before="4"/>
        <w:ind w:left="591" w:right="0" w:firstLine="0"/>
        <w:jc w:val="left"/>
        <w:rPr>
          <w:b/>
          <w:color w:val="auto"/>
          <w:sz w:val="24"/>
        </w:rPr>
      </w:pPr>
      <w:r>
        <w:rPr>
          <w:b/>
          <w:color w:val="auto"/>
          <w:sz w:val="24"/>
        </w:rPr>
        <w:t>（一）处罚依据</w:t>
      </w:r>
    </w:p>
    <w:p>
      <w:pPr>
        <w:pStyle w:val="4"/>
        <w:spacing w:before="192" w:line="391" w:lineRule="auto"/>
        <w:ind w:right="266" w:firstLine="480"/>
        <w:jc w:val="both"/>
        <w:rPr>
          <w:color w:val="auto"/>
        </w:rPr>
      </w:pPr>
      <w:r>
        <w:rPr>
          <w:color w:val="auto"/>
          <w:spacing w:val="-4"/>
        </w:rPr>
        <w:t>《缺陷汽车产品召回管理条例》第二十二条“生产者违反本条例规定，有下列情</w:t>
      </w:r>
      <w:r>
        <w:rPr>
          <w:color w:val="auto"/>
          <w:spacing w:val="-2"/>
        </w:rPr>
        <w:t xml:space="preserve">形之一的，由产品质量监督部门责令改正；拒不改正的，处 </w:t>
      </w:r>
      <w:r>
        <w:rPr>
          <w:color w:val="auto"/>
        </w:rPr>
        <w:t>5</w:t>
      </w:r>
      <w:r>
        <w:rPr>
          <w:color w:val="auto"/>
          <w:spacing w:val="-16"/>
        </w:rPr>
        <w:t xml:space="preserve"> 万元以上 </w:t>
      </w:r>
      <w:r>
        <w:rPr>
          <w:color w:val="auto"/>
        </w:rPr>
        <w:t>20</w:t>
      </w:r>
      <w:r>
        <w:rPr>
          <w:color w:val="auto"/>
          <w:spacing w:val="-10"/>
        </w:rPr>
        <w:t xml:space="preserve"> 万元以下</w:t>
      </w:r>
      <w:r>
        <w:rPr>
          <w:color w:val="auto"/>
          <w:spacing w:val="-40"/>
        </w:rPr>
        <w:t>的罚款：</w:t>
      </w:r>
      <w:r>
        <w:rPr>
          <w:color w:val="auto"/>
        </w:rPr>
        <w:t>（一</w:t>
      </w:r>
      <w:r>
        <w:rPr>
          <w:color w:val="auto"/>
          <w:spacing w:val="-8"/>
        </w:rPr>
        <w:t>）</w:t>
      </w:r>
      <w:r>
        <w:rPr>
          <w:color w:val="auto"/>
          <w:spacing w:val="-2"/>
        </w:rPr>
        <w:t>未按照规定保存有关汽车产品、车主的信息记录</w:t>
      </w:r>
      <w:r>
        <w:rPr>
          <w:color w:val="auto"/>
          <w:spacing w:val="-128"/>
        </w:rPr>
        <w:t>；</w:t>
      </w:r>
      <w:r>
        <w:rPr>
          <w:color w:val="auto"/>
        </w:rPr>
        <w:t>（二</w:t>
      </w:r>
      <w:r>
        <w:rPr>
          <w:color w:val="auto"/>
          <w:spacing w:val="-8"/>
        </w:rPr>
        <w:t>）</w:t>
      </w:r>
      <w:r>
        <w:rPr>
          <w:color w:val="auto"/>
          <w:spacing w:val="-3"/>
        </w:rPr>
        <w:t>未按照规定备</w:t>
      </w:r>
      <w:r>
        <w:rPr>
          <w:color w:val="auto"/>
          <w:spacing w:val="-11"/>
        </w:rPr>
        <w:t>案有关信息、召回计划；</w:t>
      </w:r>
      <w:r>
        <w:rPr>
          <w:color w:val="auto"/>
        </w:rPr>
        <w:t>（三）</w:t>
      </w:r>
      <w:r>
        <w:rPr>
          <w:color w:val="auto"/>
          <w:spacing w:val="-9"/>
        </w:rPr>
        <w:t>未按照规定提交有关召回报告。”</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2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line="391" w:lineRule="auto"/>
        <w:ind w:right="213" w:firstLine="480"/>
        <w:rPr>
          <w:color w:val="auto"/>
        </w:rPr>
      </w:pPr>
      <w:r>
        <w:rPr>
          <w:color w:val="auto"/>
        </w:rPr>
        <w:t>生产者保存的有关汽车产品、车主的信息记录、备案的有关信息、召回计划、提交的有关召回报告不符合本条例规定，经行政机关责令改正，及时改正的。</w:t>
      </w:r>
    </w:p>
    <w:p>
      <w:pPr>
        <w:pStyle w:val="13"/>
        <w:numPr>
          <w:ilvl w:val="0"/>
          <w:numId w:val="524"/>
        </w:numPr>
        <w:tabs>
          <w:tab w:val="left" w:pos="1193"/>
        </w:tabs>
        <w:spacing w:before="0" w:after="0" w:line="388" w:lineRule="auto"/>
        <w:ind w:left="591" w:right="7072" w:firstLine="0"/>
        <w:jc w:val="left"/>
        <w:rPr>
          <w:color w:val="auto"/>
          <w:sz w:val="24"/>
        </w:rPr>
      </w:pPr>
      <w:r>
        <w:rPr>
          <w:color w:val="auto"/>
          <w:spacing w:val="-5"/>
          <w:sz w:val="24"/>
        </w:rPr>
        <w:t>处罚标准</w:t>
      </w:r>
      <w:r>
        <w:rPr>
          <w:color w:val="auto"/>
          <w:sz w:val="24"/>
        </w:rPr>
        <w:t>不予处罚。</w:t>
      </w:r>
    </w:p>
    <w:p>
      <w:pPr>
        <w:pStyle w:val="4"/>
        <w:spacing w:before="3"/>
        <w:ind w:left="591"/>
        <w:rPr>
          <w:color w:val="auto"/>
        </w:rPr>
      </w:pPr>
      <w:r>
        <w:rPr>
          <w:color w:val="auto"/>
        </w:rPr>
        <w:t>2</w:t>
      </w:r>
      <w:r>
        <w:rPr>
          <w:color w:val="auto"/>
          <w:spacing w:val="-24"/>
        </w:rPr>
        <w:t>、【一般】</w:t>
      </w:r>
    </w:p>
    <w:p>
      <w:pPr>
        <w:pStyle w:val="13"/>
        <w:numPr>
          <w:ilvl w:val="0"/>
          <w:numId w:val="525"/>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生产者保存的有关汽车产品、车主的信息记录、备案的有关信息、召回计划、提</w:t>
      </w:r>
    </w:p>
    <w:p>
      <w:pPr>
        <w:spacing w:after="0"/>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交的有关召回报告不符合本条例规定，经行政机关责令改正，进行了整改工作，但因企业主观原因，相关内容仍不符合要求的。</w:t>
      </w:r>
    </w:p>
    <w:p>
      <w:pPr>
        <w:pStyle w:val="13"/>
        <w:numPr>
          <w:ilvl w:val="0"/>
          <w:numId w:val="52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5</w:t>
      </w:r>
      <w:r>
        <w:rPr>
          <w:color w:val="auto"/>
          <w:spacing w:val="-20"/>
        </w:rPr>
        <w:t xml:space="preserve"> 万元以上 </w:t>
      </w:r>
      <w:r>
        <w:rPr>
          <w:color w:val="auto"/>
        </w:rPr>
        <w:t>8</w:t>
      </w:r>
      <w:r>
        <w:rPr>
          <w:color w:val="auto"/>
          <w:spacing w:val="-10"/>
        </w:rPr>
        <w:t xml:space="preserve"> 万元以下罚款。</w:t>
      </w:r>
      <w:r>
        <w:rPr>
          <w:color w:val="auto"/>
        </w:rPr>
        <w:t>3</w:t>
      </w:r>
      <w:r>
        <w:rPr>
          <w:color w:val="auto"/>
          <w:spacing w:val="-24"/>
        </w:rPr>
        <w:t>、【较重】</w:t>
      </w:r>
    </w:p>
    <w:p>
      <w:pPr>
        <w:pStyle w:val="13"/>
        <w:numPr>
          <w:ilvl w:val="0"/>
          <w:numId w:val="52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生产者保存的有关汽车产品、车主的信息记录、备案的有关信息、召回计划、提交的有关召回报告不符合本条例规定，经行政机关责令改正，生产者拒不改正。</w:t>
      </w:r>
    </w:p>
    <w:p>
      <w:pPr>
        <w:pStyle w:val="13"/>
        <w:numPr>
          <w:ilvl w:val="0"/>
          <w:numId w:val="52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152"/>
        <w:rPr>
          <w:color w:val="auto"/>
        </w:rPr>
      </w:pPr>
      <w:r>
        <w:rPr>
          <w:color w:val="auto"/>
          <w:spacing w:val="-30"/>
        </w:rPr>
        <w:t xml:space="preserve">处 </w:t>
      </w:r>
      <w:r>
        <w:rPr>
          <w:color w:val="auto"/>
        </w:rPr>
        <w:t>8</w:t>
      </w:r>
      <w:r>
        <w:rPr>
          <w:color w:val="auto"/>
          <w:spacing w:val="-20"/>
        </w:rPr>
        <w:t xml:space="preserve"> 万元以上 </w:t>
      </w:r>
      <w:r>
        <w:rPr>
          <w:color w:val="auto"/>
        </w:rPr>
        <w:t>10</w:t>
      </w:r>
      <w:r>
        <w:rPr>
          <w:color w:val="auto"/>
          <w:spacing w:val="-10"/>
        </w:rPr>
        <w:t xml:space="preserve"> 万元以下罚款。</w:t>
      </w:r>
      <w:r>
        <w:rPr>
          <w:color w:val="auto"/>
        </w:rPr>
        <w:t>4</w:t>
      </w:r>
      <w:r>
        <w:rPr>
          <w:color w:val="auto"/>
          <w:spacing w:val="-24"/>
        </w:rPr>
        <w:t>、【严重】</w:t>
      </w:r>
    </w:p>
    <w:p>
      <w:pPr>
        <w:pStyle w:val="13"/>
        <w:numPr>
          <w:ilvl w:val="0"/>
          <w:numId w:val="52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8" w:firstLine="480"/>
        <w:jc w:val="both"/>
        <w:rPr>
          <w:color w:val="auto"/>
        </w:rPr>
      </w:pPr>
      <w:r>
        <w:rPr>
          <w:color w:val="auto"/>
          <w:spacing w:val="-4"/>
        </w:rPr>
        <w:t>生产者保存的有关汽车产品、车主的信息记录严重缺失、备案的有关信息、召回</w:t>
      </w:r>
      <w:r>
        <w:rPr>
          <w:color w:val="auto"/>
          <w:spacing w:val="-5"/>
        </w:rPr>
        <w:t>计划严重不规范、提交的有关召回报告严重不规范，经行政机关责令改正，生产者拒</w:t>
      </w:r>
      <w:r>
        <w:rPr>
          <w:color w:val="auto"/>
        </w:rPr>
        <w:t>不改正。</w:t>
      </w:r>
    </w:p>
    <w:p>
      <w:pPr>
        <w:pStyle w:val="13"/>
        <w:numPr>
          <w:ilvl w:val="0"/>
          <w:numId w:val="527"/>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12</w:t>
      </w:r>
      <w:r>
        <w:rPr>
          <w:color w:val="auto"/>
          <w:spacing w:val="-20"/>
        </w:rPr>
        <w:t xml:space="preserve"> 万元以上 </w:t>
      </w:r>
      <w:r>
        <w:rPr>
          <w:color w:val="auto"/>
        </w:rPr>
        <w:t>15</w:t>
      </w:r>
      <w:r>
        <w:rPr>
          <w:color w:val="auto"/>
          <w:spacing w:val="-10"/>
        </w:rPr>
        <w:t xml:space="preserve"> 万元以下罚款。</w:t>
      </w:r>
      <w:r>
        <w:rPr>
          <w:color w:val="auto"/>
        </w:rPr>
        <w:t>5</w:t>
      </w:r>
      <w:r>
        <w:rPr>
          <w:color w:val="auto"/>
          <w:spacing w:val="-18"/>
        </w:rPr>
        <w:t>、【特别严重】</w:t>
      </w:r>
    </w:p>
    <w:p>
      <w:pPr>
        <w:pStyle w:val="13"/>
        <w:numPr>
          <w:ilvl w:val="0"/>
          <w:numId w:val="52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148" w:firstLine="480"/>
        <w:rPr>
          <w:color w:val="auto"/>
        </w:rPr>
      </w:pPr>
      <w:r>
        <w:rPr>
          <w:color w:val="auto"/>
          <w:spacing w:val="-10"/>
        </w:rPr>
        <w:t>生产者拒不保存有关汽车产品、车主的信息记录、拒不备案有关信息、召回计划、</w:t>
      </w:r>
      <w:r>
        <w:rPr>
          <w:color w:val="auto"/>
        </w:rPr>
        <w:t>拒不提交有关召回报告，经行政机关责令改正，生产者拒不改正。</w:t>
      </w:r>
    </w:p>
    <w:p>
      <w:pPr>
        <w:pStyle w:val="13"/>
        <w:numPr>
          <w:ilvl w:val="0"/>
          <w:numId w:val="528"/>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15 万元以上 20 万元以下罚款。</w:t>
      </w:r>
    </w:p>
    <w:p>
      <w:pPr>
        <w:pStyle w:val="2"/>
        <w:spacing w:before="191" w:line="388" w:lineRule="auto"/>
        <w:ind w:left="111" w:right="240" w:firstLine="480"/>
        <w:rPr>
          <w:color w:val="auto"/>
        </w:rPr>
      </w:pPr>
      <w:bookmarkStart w:id="733" w:name="三百五十八、生产者、经营者不配合市场监督管理部门缺陷调查、生产者未按照已备案的召"/>
      <w:bookmarkEnd w:id="733"/>
      <w:bookmarkStart w:id="734" w:name="_bookmark366"/>
      <w:bookmarkEnd w:id="734"/>
      <w:r>
        <w:rPr>
          <w:color w:val="auto"/>
          <w:spacing w:val="-7"/>
        </w:rPr>
        <w:t>三百五十八、生产者、经营者不配合市场监督管理部门缺陷调查、生产者未按照已备案的召回计划实施召回、生产者未将召回计划通报销售者</w:t>
      </w:r>
    </w:p>
    <w:p>
      <w:pPr>
        <w:spacing w:before="5"/>
        <w:ind w:left="591" w:right="0" w:firstLine="0"/>
        <w:jc w:val="left"/>
        <w:rPr>
          <w:b/>
          <w:color w:val="auto"/>
          <w:sz w:val="24"/>
        </w:rPr>
      </w:pPr>
      <w:r>
        <w:rPr>
          <w:b/>
          <w:color w:val="auto"/>
          <w:sz w:val="24"/>
        </w:rPr>
        <w:t>（一）处罚依据</w:t>
      </w:r>
    </w:p>
    <w:p>
      <w:pPr>
        <w:pStyle w:val="4"/>
        <w:spacing w:before="192" w:line="388" w:lineRule="auto"/>
        <w:ind w:right="268" w:firstLine="480"/>
        <w:rPr>
          <w:color w:val="auto"/>
        </w:rPr>
      </w:pPr>
      <w:r>
        <w:rPr>
          <w:color w:val="auto"/>
          <w:spacing w:val="-4"/>
        </w:rPr>
        <w:t>《缺陷汽车产品召回管理条例》第二十三条“违反本条例规定，有下列情形之一</w:t>
      </w:r>
      <w:r>
        <w:rPr>
          <w:color w:val="auto"/>
          <w:spacing w:val="-2"/>
        </w:rPr>
        <w:t xml:space="preserve">的，由产品质量监督部门责令改正；拒不改正的，处 </w:t>
      </w:r>
      <w:r>
        <w:rPr>
          <w:color w:val="auto"/>
        </w:rPr>
        <w:t>50</w:t>
      </w:r>
      <w:r>
        <w:rPr>
          <w:color w:val="auto"/>
          <w:spacing w:val="-16"/>
        </w:rPr>
        <w:t xml:space="preserve"> 万元以上 </w:t>
      </w:r>
      <w:r>
        <w:rPr>
          <w:color w:val="auto"/>
        </w:rPr>
        <w:t>100</w:t>
      </w:r>
      <w:r>
        <w:rPr>
          <w:color w:val="auto"/>
          <w:spacing w:val="-8"/>
        </w:rPr>
        <w:t xml:space="preserve"> 万元以下的罚</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145"/>
        <w:rPr>
          <w:color w:val="auto"/>
        </w:rPr>
      </w:pPr>
      <w:r>
        <w:rPr>
          <w:color w:val="auto"/>
          <w:spacing w:val="-16"/>
        </w:rPr>
        <w:t>款；有违法所得的，并处没收违法所得；情节严重的，由许可机关吊销有关许可</w:t>
      </w:r>
      <w:r>
        <w:rPr>
          <w:color w:val="auto"/>
          <w:spacing w:val="-176"/>
        </w:rPr>
        <w:t>：</w:t>
      </w:r>
      <w:r>
        <w:rPr>
          <w:color w:val="auto"/>
        </w:rPr>
        <w:t>（</w:t>
      </w:r>
      <w:r>
        <w:rPr>
          <w:color w:val="auto"/>
          <w:spacing w:val="2"/>
        </w:rPr>
        <w:t>一</w:t>
      </w:r>
      <w:r>
        <w:rPr>
          <w:color w:val="auto"/>
          <w:spacing w:val="-15"/>
        </w:rPr>
        <w:t>）</w:t>
      </w:r>
      <w:r>
        <w:rPr>
          <w:color w:val="auto"/>
          <w:spacing w:val="-5"/>
        </w:rPr>
        <w:t>生产者、经营者不配合产品质量监督部门缺陷调查；</w:t>
      </w:r>
      <w:r>
        <w:rPr>
          <w:color w:val="auto"/>
          <w:spacing w:val="2"/>
        </w:rPr>
        <w:t>（二）</w:t>
      </w:r>
      <w:r>
        <w:rPr>
          <w:color w:val="auto"/>
          <w:spacing w:val="1"/>
        </w:rPr>
        <w:t>生产者未按照已备案的召</w:t>
      </w:r>
      <w:r>
        <w:rPr>
          <w:color w:val="auto"/>
          <w:spacing w:val="-15"/>
        </w:rPr>
        <w:t>回计划实施召回；</w:t>
      </w:r>
      <w:r>
        <w:rPr>
          <w:color w:val="auto"/>
        </w:rPr>
        <w:t>（三）</w:t>
      </w:r>
      <w:r>
        <w:rPr>
          <w:color w:val="auto"/>
          <w:spacing w:val="-8"/>
        </w:rPr>
        <w:t>生产者未将召回计划通报销售者。”</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2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line="391" w:lineRule="auto"/>
        <w:ind w:right="148" w:firstLine="480"/>
        <w:rPr>
          <w:color w:val="auto"/>
        </w:rPr>
      </w:pPr>
      <w:r>
        <w:rPr>
          <w:color w:val="auto"/>
          <w:spacing w:val="-5"/>
        </w:rPr>
        <w:t>生产者、经营者不配合市场监督管理部门缺陷调查、生产者未按照已备案的召回</w:t>
      </w:r>
      <w:r>
        <w:rPr>
          <w:color w:val="auto"/>
          <w:spacing w:val="-14"/>
        </w:rPr>
        <w:t>计划实施召回、生产者未将召回计划通报销售者，经行政机关责令改正，及时改正的。</w:t>
      </w:r>
    </w:p>
    <w:p>
      <w:pPr>
        <w:pStyle w:val="13"/>
        <w:numPr>
          <w:ilvl w:val="0"/>
          <w:numId w:val="529"/>
        </w:numPr>
        <w:tabs>
          <w:tab w:val="left" w:pos="1193"/>
        </w:tabs>
        <w:spacing w:before="0" w:after="0" w:line="388" w:lineRule="auto"/>
        <w:ind w:left="591" w:right="7072" w:firstLine="0"/>
        <w:jc w:val="left"/>
        <w:rPr>
          <w:color w:val="auto"/>
          <w:sz w:val="24"/>
        </w:rPr>
      </w:pPr>
      <w:r>
        <w:rPr>
          <w:color w:val="auto"/>
          <w:spacing w:val="-5"/>
          <w:sz w:val="24"/>
        </w:rPr>
        <w:t>处罚标准</w:t>
      </w:r>
      <w:r>
        <w:rPr>
          <w:color w:val="auto"/>
          <w:sz w:val="24"/>
        </w:rPr>
        <w:t>不予处罚。</w:t>
      </w:r>
    </w:p>
    <w:p>
      <w:pPr>
        <w:pStyle w:val="4"/>
        <w:spacing w:before="2"/>
        <w:ind w:left="591"/>
        <w:rPr>
          <w:color w:val="auto"/>
        </w:rPr>
      </w:pPr>
      <w:r>
        <w:rPr>
          <w:color w:val="auto"/>
        </w:rPr>
        <w:t>2</w:t>
      </w:r>
      <w:r>
        <w:rPr>
          <w:color w:val="auto"/>
          <w:spacing w:val="-24"/>
        </w:rPr>
        <w:t>、【一般】</w:t>
      </w:r>
    </w:p>
    <w:p>
      <w:pPr>
        <w:pStyle w:val="13"/>
        <w:numPr>
          <w:ilvl w:val="0"/>
          <w:numId w:val="53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6"/>
        </w:rPr>
        <w:t>生产者、经营者不配合市场监督管理部门缺陷调查、生产者未按照已备案的召回</w:t>
      </w:r>
      <w:r>
        <w:rPr>
          <w:color w:val="auto"/>
          <w:spacing w:val="-5"/>
        </w:rPr>
        <w:t>计划实施召回、生产者未将召回计划通报销售者，经行政机关责令改正，进行了整改</w:t>
      </w:r>
      <w:r>
        <w:rPr>
          <w:color w:val="auto"/>
        </w:rPr>
        <w:t>工作，但因企业主观原因，相关问题仍未整改到位的。</w:t>
      </w:r>
    </w:p>
    <w:p>
      <w:pPr>
        <w:pStyle w:val="13"/>
        <w:numPr>
          <w:ilvl w:val="0"/>
          <w:numId w:val="530"/>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1192"/>
        <w:rPr>
          <w:color w:val="auto"/>
        </w:rPr>
      </w:pPr>
      <w:r>
        <w:rPr>
          <w:color w:val="auto"/>
          <w:spacing w:val="-30"/>
        </w:rPr>
        <w:t xml:space="preserve">处 </w:t>
      </w:r>
      <w:r>
        <w:rPr>
          <w:color w:val="auto"/>
        </w:rPr>
        <w:t>50</w:t>
      </w:r>
      <w:r>
        <w:rPr>
          <w:color w:val="auto"/>
          <w:spacing w:val="-20"/>
        </w:rPr>
        <w:t xml:space="preserve"> 万元以上 </w:t>
      </w:r>
      <w:r>
        <w:rPr>
          <w:color w:val="auto"/>
        </w:rPr>
        <w:t>60</w:t>
      </w:r>
      <w:r>
        <w:rPr>
          <w:color w:val="auto"/>
          <w:spacing w:val="-9"/>
        </w:rPr>
        <w:t xml:space="preserve"> 万元以下罚款，有违法所得的，并处没收违法所得。</w:t>
      </w:r>
      <w:r>
        <w:rPr>
          <w:color w:val="auto"/>
        </w:rPr>
        <w:t>3</w:t>
      </w:r>
      <w:r>
        <w:rPr>
          <w:color w:val="auto"/>
          <w:spacing w:val="-24"/>
        </w:rPr>
        <w:t>、【较重】</w:t>
      </w:r>
    </w:p>
    <w:p>
      <w:pPr>
        <w:pStyle w:val="13"/>
        <w:numPr>
          <w:ilvl w:val="0"/>
          <w:numId w:val="53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spacing w:val="-6"/>
        </w:rPr>
        <w:t>生产者、经营者不配合市场监督管理部门缺陷调查、生产者未按照已备案的召回</w:t>
      </w:r>
      <w:r>
        <w:rPr>
          <w:color w:val="auto"/>
          <w:spacing w:val="-5"/>
        </w:rPr>
        <w:t>计划实施召回、生产者未将召回计划通报销售者，经行政机关责令改正，生产者未进</w:t>
      </w:r>
      <w:r>
        <w:rPr>
          <w:color w:val="auto"/>
        </w:rPr>
        <w:t>行改正的。</w:t>
      </w:r>
    </w:p>
    <w:p>
      <w:pPr>
        <w:pStyle w:val="13"/>
        <w:numPr>
          <w:ilvl w:val="0"/>
          <w:numId w:val="531"/>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1" w:line="388" w:lineRule="auto"/>
        <w:ind w:left="591" w:right="1192"/>
        <w:rPr>
          <w:color w:val="auto"/>
        </w:rPr>
      </w:pPr>
      <w:r>
        <w:rPr>
          <w:color w:val="auto"/>
          <w:spacing w:val="-30"/>
        </w:rPr>
        <w:t xml:space="preserve">处 </w:t>
      </w:r>
      <w:r>
        <w:rPr>
          <w:color w:val="auto"/>
        </w:rPr>
        <w:t>60</w:t>
      </w:r>
      <w:r>
        <w:rPr>
          <w:color w:val="auto"/>
          <w:spacing w:val="-20"/>
        </w:rPr>
        <w:t xml:space="preserve"> 万元以上 </w:t>
      </w:r>
      <w:r>
        <w:rPr>
          <w:color w:val="auto"/>
        </w:rPr>
        <w:t>70</w:t>
      </w:r>
      <w:r>
        <w:rPr>
          <w:color w:val="auto"/>
          <w:spacing w:val="-9"/>
        </w:rPr>
        <w:t xml:space="preserve"> 万元以下罚款，有违法所得的，并处没收违法所得。</w:t>
      </w:r>
      <w:r>
        <w:rPr>
          <w:color w:val="auto"/>
        </w:rPr>
        <w:t>4</w:t>
      </w:r>
      <w:r>
        <w:rPr>
          <w:color w:val="auto"/>
          <w:spacing w:val="-24"/>
        </w:rPr>
        <w:t>、【严重】</w:t>
      </w:r>
    </w:p>
    <w:p>
      <w:pPr>
        <w:pStyle w:val="13"/>
        <w:numPr>
          <w:ilvl w:val="0"/>
          <w:numId w:val="532"/>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26" w:firstLine="480"/>
        <w:rPr>
          <w:color w:val="auto"/>
        </w:rPr>
      </w:pPr>
      <w:r>
        <w:rPr>
          <w:color w:val="auto"/>
        </w:rPr>
        <w:t>生产者、经营者不配合市场监督管理部门缺陷调查，生产者未按照已备案的召回计划实施召回、生产者未将召回计划通报销售者，经行政机关责令改正，生产者拒不</w:t>
      </w:r>
    </w:p>
    <w:p>
      <w:pPr>
        <w:spacing w:after="0" w:line="388" w:lineRule="auto"/>
        <w:rPr>
          <w:color w:val="auto"/>
        </w:rPr>
        <w:sectPr>
          <w:footerReference r:id="rId75" w:type="default"/>
          <w:footerReference r:id="rId76" w:type="even"/>
          <w:pgSz w:w="11910" w:h="16840"/>
          <w:pgMar w:top="1520" w:right="1260" w:bottom="1220" w:left="1420" w:header="0" w:footer="1034" w:gutter="0"/>
          <w:pgNumType w:start="340"/>
        </w:sectPr>
      </w:pPr>
    </w:p>
    <w:p>
      <w:pPr>
        <w:pStyle w:val="4"/>
        <w:spacing w:before="39"/>
        <w:rPr>
          <w:color w:val="auto"/>
        </w:rPr>
      </w:pPr>
      <w:r>
        <w:rPr>
          <w:color w:val="auto"/>
        </w:rPr>
        <w:t>改正，并存在弄虚作假行为的。</w:t>
      </w:r>
    </w:p>
    <w:p>
      <w:pPr>
        <w:pStyle w:val="13"/>
        <w:numPr>
          <w:ilvl w:val="0"/>
          <w:numId w:val="532"/>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30"/>
        </w:rPr>
        <w:t xml:space="preserve">处 </w:t>
      </w:r>
      <w:r>
        <w:rPr>
          <w:color w:val="auto"/>
        </w:rPr>
        <w:t>70</w:t>
      </w:r>
      <w:r>
        <w:rPr>
          <w:color w:val="auto"/>
          <w:spacing w:val="-20"/>
        </w:rPr>
        <w:t xml:space="preserve"> 万元以上 </w:t>
      </w:r>
      <w:r>
        <w:rPr>
          <w:color w:val="auto"/>
        </w:rPr>
        <w:t>80</w:t>
      </w:r>
      <w:r>
        <w:rPr>
          <w:color w:val="auto"/>
          <w:spacing w:val="-12"/>
        </w:rPr>
        <w:t xml:space="preserve"> 万元以下罚款，有违法所得的，并处没收违法所得，由许可机</w:t>
      </w:r>
      <w:r>
        <w:rPr>
          <w:color w:val="auto"/>
        </w:rPr>
        <w:t>关吊销有关许可。</w:t>
      </w:r>
    </w:p>
    <w:p>
      <w:pPr>
        <w:pStyle w:val="4"/>
        <w:spacing w:before="5"/>
        <w:ind w:left="591"/>
        <w:rPr>
          <w:color w:val="auto"/>
        </w:rPr>
      </w:pPr>
      <w:r>
        <w:rPr>
          <w:color w:val="auto"/>
        </w:rPr>
        <w:t>5、【特别严重】</w:t>
      </w:r>
    </w:p>
    <w:p>
      <w:pPr>
        <w:pStyle w:val="13"/>
        <w:numPr>
          <w:ilvl w:val="0"/>
          <w:numId w:val="53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68" w:firstLine="480"/>
        <w:jc w:val="both"/>
        <w:rPr>
          <w:color w:val="auto"/>
        </w:rPr>
      </w:pPr>
      <w:r>
        <w:rPr>
          <w:color w:val="auto"/>
          <w:spacing w:val="-6"/>
        </w:rPr>
        <w:t>生产者、经营者不配合市场监督管理部门缺陷调查，生产者未按照已备案的召回</w:t>
      </w:r>
      <w:r>
        <w:rPr>
          <w:color w:val="auto"/>
          <w:spacing w:val="-5"/>
        </w:rPr>
        <w:t>计划实施召回、生产者未将召回计划通报销售者，经行政机关责令改正，生产者拒不</w:t>
      </w:r>
      <w:r>
        <w:rPr>
          <w:color w:val="auto"/>
        </w:rPr>
        <w:t>改正，并存在暴力抗法行为的。</w:t>
      </w:r>
    </w:p>
    <w:p>
      <w:pPr>
        <w:pStyle w:val="13"/>
        <w:numPr>
          <w:ilvl w:val="0"/>
          <w:numId w:val="533"/>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right="271" w:firstLine="480"/>
        <w:rPr>
          <w:color w:val="auto"/>
        </w:rPr>
      </w:pPr>
      <w:r>
        <w:rPr>
          <w:color w:val="auto"/>
          <w:spacing w:val="-23"/>
        </w:rPr>
        <w:t xml:space="preserve">处 </w:t>
      </w:r>
      <w:r>
        <w:rPr>
          <w:color w:val="auto"/>
        </w:rPr>
        <w:t>80</w:t>
      </w:r>
      <w:r>
        <w:rPr>
          <w:color w:val="auto"/>
          <w:spacing w:val="-16"/>
        </w:rPr>
        <w:t xml:space="preserve"> 万元以上 </w:t>
      </w:r>
      <w:r>
        <w:rPr>
          <w:color w:val="auto"/>
        </w:rPr>
        <w:t>100</w:t>
      </w:r>
      <w:r>
        <w:rPr>
          <w:color w:val="auto"/>
          <w:spacing w:val="-7"/>
        </w:rPr>
        <w:t xml:space="preserve"> 万元以下罚款，有违法所得的，并处没收违法所得，由许可机关吊销有关许可。</w:t>
      </w:r>
    </w:p>
    <w:p>
      <w:pPr>
        <w:pStyle w:val="2"/>
        <w:spacing w:before="2" w:line="391" w:lineRule="auto"/>
        <w:ind w:left="111" w:right="170" w:firstLine="480"/>
        <w:rPr>
          <w:color w:val="auto"/>
        </w:rPr>
      </w:pPr>
      <w:bookmarkStart w:id="735" w:name="三百五十九、生产者未停止生产、销售或者进口缺陷汽车产品，隐瞒缺陷情况，经责令召回"/>
      <w:bookmarkEnd w:id="735"/>
      <w:bookmarkStart w:id="736" w:name="_bookmark367"/>
      <w:bookmarkEnd w:id="736"/>
      <w:r>
        <w:rPr>
          <w:color w:val="auto"/>
        </w:rPr>
        <w:t>三百五十九、生产者未停止生产、销售或者进口缺陷汽车产品，隐瞒缺陷情况， 经责令召回拒不召回</w:t>
      </w:r>
    </w:p>
    <w:p>
      <w:pPr>
        <w:spacing w:before="0" w:line="306" w:lineRule="exact"/>
        <w:ind w:left="591" w:right="0" w:firstLine="0"/>
        <w:jc w:val="left"/>
        <w:rPr>
          <w:b/>
          <w:color w:val="auto"/>
          <w:sz w:val="24"/>
        </w:rPr>
      </w:pPr>
      <w:r>
        <w:rPr>
          <w:b/>
          <w:color w:val="auto"/>
          <w:w w:val="95"/>
          <w:sz w:val="24"/>
        </w:rPr>
        <w:t>（一）处罚依据</w:t>
      </w:r>
    </w:p>
    <w:p>
      <w:pPr>
        <w:pStyle w:val="4"/>
        <w:spacing w:before="192" w:line="391" w:lineRule="auto"/>
        <w:ind w:right="148" w:firstLine="480"/>
        <w:jc w:val="both"/>
        <w:rPr>
          <w:color w:val="auto"/>
        </w:rPr>
      </w:pPr>
      <w:r>
        <w:rPr>
          <w:color w:val="auto"/>
          <w:spacing w:val="-3"/>
        </w:rPr>
        <w:t>《缺陷汽车产品召回管理条例》第二十四条“生产者违反本条例规定，有下列情</w:t>
      </w:r>
      <w:r>
        <w:rPr>
          <w:color w:val="auto"/>
          <w:spacing w:val="-9"/>
        </w:rPr>
        <w:t xml:space="preserve">形之一的，由产品质量监督部门责令改正，处缺陷汽车产品货值金额 </w:t>
      </w:r>
      <w:r>
        <w:rPr>
          <w:color w:val="auto"/>
        </w:rPr>
        <w:t>1%</w:t>
      </w:r>
      <w:r>
        <w:rPr>
          <w:color w:val="auto"/>
          <w:spacing w:val="-20"/>
        </w:rPr>
        <w:t xml:space="preserve">以上 </w:t>
      </w:r>
      <w:r>
        <w:rPr>
          <w:color w:val="auto"/>
        </w:rPr>
        <w:t>10%以下</w:t>
      </w:r>
      <w:r>
        <w:rPr>
          <w:color w:val="auto"/>
          <w:spacing w:val="-15"/>
        </w:rPr>
        <w:t>的罚款；有违法所得的，并处没收违法所得；情节严重的，由许可机关吊销有关许可：</w:t>
      </w:r>
    </w:p>
    <w:p>
      <w:pPr>
        <w:pStyle w:val="4"/>
        <w:spacing w:line="391" w:lineRule="auto"/>
        <w:ind w:right="268"/>
        <w:rPr>
          <w:color w:val="auto"/>
        </w:rPr>
      </w:pPr>
      <w:r>
        <w:rPr>
          <w:color w:val="auto"/>
        </w:rPr>
        <w:t>（一</w:t>
      </w:r>
      <w:r>
        <w:rPr>
          <w:color w:val="auto"/>
          <w:spacing w:val="-8"/>
        </w:rPr>
        <w:t>）</w:t>
      </w:r>
      <w:r>
        <w:rPr>
          <w:color w:val="auto"/>
          <w:spacing w:val="-1"/>
        </w:rPr>
        <w:t>未停止生产、销售或者进口缺陷汽车产品</w:t>
      </w:r>
      <w:r>
        <w:rPr>
          <w:color w:val="auto"/>
          <w:spacing w:val="-128"/>
        </w:rPr>
        <w:t>；</w:t>
      </w:r>
      <w:r>
        <w:rPr>
          <w:color w:val="auto"/>
        </w:rPr>
        <w:t>（二</w:t>
      </w:r>
      <w:r>
        <w:rPr>
          <w:color w:val="auto"/>
          <w:spacing w:val="-5"/>
        </w:rPr>
        <w:t>）</w:t>
      </w:r>
      <w:r>
        <w:rPr>
          <w:color w:val="auto"/>
          <w:spacing w:val="-19"/>
        </w:rPr>
        <w:t>隐瞒缺陷情况；</w:t>
      </w:r>
      <w:r>
        <w:rPr>
          <w:color w:val="auto"/>
        </w:rPr>
        <w:t>（三</w:t>
      </w:r>
      <w:r>
        <w:rPr>
          <w:color w:val="auto"/>
          <w:spacing w:val="-5"/>
        </w:rPr>
        <w:t>）经责令</w:t>
      </w:r>
      <w:r>
        <w:rPr>
          <w:color w:val="auto"/>
          <w:spacing w:val="-16"/>
        </w:rPr>
        <w:t>召回拒不召回。”</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34"/>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line="388" w:lineRule="auto"/>
        <w:ind w:right="213" w:firstLine="480"/>
        <w:rPr>
          <w:color w:val="auto"/>
        </w:rPr>
      </w:pPr>
      <w:r>
        <w:rPr>
          <w:color w:val="auto"/>
        </w:rPr>
        <w:t>生产者未及时停止生产、销售缺陷汽车产品、隐瞒缺陷情况，但在行政机关责令改正后，及时完全纠正的。</w:t>
      </w:r>
    </w:p>
    <w:p>
      <w:pPr>
        <w:pStyle w:val="13"/>
        <w:numPr>
          <w:ilvl w:val="0"/>
          <w:numId w:val="534"/>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705"/>
        <w:rPr>
          <w:color w:val="auto"/>
        </w:rPr>
      </w:pPr>
      <w:r>
        <w:rPr>
          <w:color w:val="auto"/>
        </w:rPr>
        <w:t>处缺陷汽车产品货值金额 1%-2%罚款，有违法所得的，并处没收违法所得。2、【一般】</w:t>
      </w:r>
    </w:p>
    <w:p>
      <w:pPr>
        <w:spacing w:after="0" w:line="388" w:lineRule="auto"/>
        <w:rPr>
          <w:color w:val="auto"/>
        </w:rPr>
        <w:sectPr>
          <w:pgSz w:w="11910" w:h="16840"/>
          <w:pgMar w:top="1520" w:right="1260" w:bottom="1220" w:left="1420" w:header="0" w:footer="1034" w:gutter="0"/>
        </w:sectPr>
      </w:pPr>
    </w:p>
    <w:p>
      <w:pPr>
        <w:pStyle w:val="13"/>
        <w:numPr>
          <w:ilvl w:val="0"/>
          <w:numId w:val="535"/>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生产者未及时停止生产、销售缺陷汽车产品、隐瞒缺陷情况，在行政机关责令改正后，仍未完全纠正的。</w:t>
      </w:r>
    </w:p>
    <w:p>
      <w:pPr>
        <w:pStyle w:val="13"/>
        <w:numPr>
          <w:ilvl w:val="0"/>
          <w:numId w:val="53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705"/>
        <w:rPr>
          <w:color w:val="auto"/>
        </w:rPr>
      </w:pPr>
      <w:r>
        <w:rPr>
          <w:color w:val="auto"/>
        </w:rPr>
        <w:t>处缺陷汽车产品货值金额 2%-4%罚款，有违法所得的，并处没收违法所得。3、【较重】</w:t>
      </w:r>
    </w:p>
    <w:p>
      <w:pPr>
        <w:pStyle w:val="13"/>
        <w:numPr>
          <w:ilvl w:val="0"/>
          <w:numId w:val="53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生产者未及时停止生产、销售缺陷汽车产品、隐瞒缺陷情况，在行政机关责令改正后，仍在生产、销售缺陷汽车或继续隐瞒缺陷情况的。</w:t>
      </w:r>
    </w:p>
    <w:p>
      <w:pPr>
        <w:pStyle w:val="13"/>
        <w:numPr>
          <w:ilvl w:val="0"/>
          <w:numId w:val="53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705"/>
        <w:rPr>
          <w:color w:val="auto"/>
        </w:rPr>
      </w:pPr>
      <w:r>
        <w:rPr>
          <w:color w:val="auto"/>
        </w:rPr>
        <w:t>处缺陷汽车产品货值金额 5%-6%罚款，有违法所得的，并处没收违法所得。4、【严重】</w:t>
      </w:r>
    </w:p>
    <w:p>
      <w:pPr>
        <w:pStyle w:val="13"/>
        <w:numPr>
          <w:ilvl w:val="0"/>
          <w:numId w:val="53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生产者未停止生产、销售或者进口缺陷汽车产品、隐瞒缺陷情况，经行政机关责令改正，生产者拒不改正，并存在弄虚作假行为，或责令召回拒不召回的。</w:t>
      </w:r>
    </w:p>
    <w:p>
      <w:pPr>
        <w:pStyle w:val="13"/>
        <w:numPr>
          <w:ilvl w:val="0"/>
          <w:numId w:val="53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line="388" w:lineRule="auto"/>
        <w:ind w:right="213" w:firstLine="480"/>
        <w:rPr>
          <w:color w:val="auto"/>
        </w:rPr>
      </w:pPr>
      <w:r>
        <w:rPr>
          <w:color w:val="auto"/>
        </w:rPr>
        <w:t>处缺陷汽车产品货值金额 7%-8%罚款，有违法所得的，并处没收违法所得，由许可机关吊销有关许可。</w:t>
      </w:r>
    </w:p>
    <w:p>
      <w:pPr>
        <w:pStyle w:val="4"/>
        <w:spacing w:before="2"/>
        <w:ind w:left="591"/>
        <w:rPr>
          <w:color w:val="auto"/>
        </w:rPr>
      </w:pPr>
      <w:r>
        <w:rPr>
          <w:color w:val="auto"/>
        </w:rPr>
        <w:t>5、【特别严重】</w:t>
      </w:r>
    </w:p>
    <w:p>
      <w:pPr>
        <w:pStyle w:val="13"/>
        <w:numPr>
          <w:ilvl w:val="0"/>
          <w:numId w:val="53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91" w:lineRule="auto"/>
        <w:ind w:right="268" w:firstLine="480"/>
        <w:jc w:val="both"/>
        <w:rPr>
          <w:color w:val="auto"/>
        </w:rPr>
      </w:pPr>
      <w:r>
        <w:rPr>
          <w:color w:val="auto"/>
          <w:spacing w:val="-5"/>
        </w:rPr>
        <w:t>生产者未停止生产、销售或者进口缺陷汽车产品、隐瞒缺陷情况，经行政机关责</w:t>
      </w:r>
      <w:r>
        <w:rPr>
          <w:color w:val="auto"/>
          <w:spacing w:val="-6"/>
        </w:rPr>
        <w:t>令改正，生产者拒不改正，并存在暴力抗法行为的，或责令召回拒不召回的情节严重</w:t>
      </w:r>
      <w:r>
        <w:rPr>
          <w:color w:val="auto"/>
        </w:rPr>
        <w:t>的。</w:t>
      </w:r>
    </w:p>
    <w:p>
      <w:pPr>
        <w:pStyle w:val="13"/>
        <w:numPr>
          <w:ilvl w:val="0"/>
          <w:numId w:val="538"/>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6"/>
        </w:rPr>
        <w:t xml:space="preserve">处缺陷汽车产品货值金额 </w:t>
      </w:r>
      <w:r>
        <w:rPr>
          <w:color w:val="auto"/>
        </w:rPr>
        <w:t>9%-10%</w:t>
      </w:r>
      <w:r>
        <w:rPr>
          <w:color w:val="auto"/>
          <w:spacing w:val="-12"/>
        </w:rPr>
        <w:t>罚款，有违法所得的，并处没收违法所得，由许</w:t>
      </w:r>
      <w:r>
        <w:rPr>
          <w:color w:val="auto"/>
        </w:rPr>
        <w:t>可机关吊销有关许可。</w:t>
      </w:r>
    </w:p>
    <w:p>
      <w:pPr>
        <w:pStyle w:val="2"/>
        <w:spacing w:line="388" w:lineRule="auto"/>
        <w:ind w:left="111" w:right="237" w:firstLine="480"/>
        <w:rPr>
          <w:color w:val="auto"/>
        </w:rPr>
      </w:pPr>
      <w:bookmarkStart w:id="737" w:name="三百六十、拒不接受负有大气环境保护监督管理职责的部门的监督检查，或者在接受监督检"/>
      <w:bookmarkEnd w:id="737"/>
      <w:bookmarkStart w:id="738" w:name="_bookmark368"/>
      <w:bookmarkEnd w:id="738"/>
      <w:r>
        <w:rPr>
          <w:color w:val="auto"/>
          <w:spacing w:val="-7"/>
        </w:rPr>
        <w:t>三百六十、拒不接受负有大气环境保护监督管理职责的部门的监督检查，或者在接受监督检查时弄虚作假</w:t>
      </w:r>
    </w:p>
    <w:p>
      <w:pPr>
        <w:spacing w:after="0" w:line="388" w:lineRule="auto"/>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91" w:lineRule="auto"/>
        <w:ind w:right="268" w:firstLine="640"/>
        <w:jc w:val="both"/>
        <w:rPr>
          <w:color w:val="auto"/>
        </w:rPr>
      </w:pPr>
      <w:r>
        <w:rPr>
          <w:color w:val="auto"/>
        </w:rPr>
        <w:t>《大气污染防治法》第九十八条“违反本法规定，以拒绝进入现场等方式拒不</w:t>
      </w:r>
      <w:r>
        <w:rPr>
          <w:color w:val="auto"/>
          <w:spacing w:val="3"/>
        </w:rPr>
        <w:t>接受生态环境主管部门及其环境执法机构或者其他负有大气环境保护监督管理职责</w:t>
      </w:r>
      <w:r>
        <w:rPr>
          <w:color w:val="auto"/>
          <w:spacing w:val="-2"/>
        </w:rPr>
        <w:t>的部门的监督检查，或者在接受监督检查时弄虚作假的，由县级以上人民政府生态环</w:t>
      </w:r>
      <w:r>
        <w:rPr>
          <w:color w:val="auto"/>
          <w:spacing w:val="-3"/>
        </w:rPr>
        <w:t>境主管部门或者其他负有大气环境保护监督管理职责的部门责令改正，处二万元以上</w:t>
      </w:r>
      <w:r>
        <w:rPr>
          <w:color w:val="auto"/>
          <w:spacing w:val="-4"/>
        </w:rPr>
        <w:t>二十万元以下的罚款；构成违反治安管理行为的，由公安机关依法予以处罚。”</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53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不配合开展工作或不如实提供有关情况和资料，尚未造成不良社会影响的。</w:t>
      </w:r>
    </w:p>
    <w:p>
      <w:pPr>
        <w:pStyle w:val="13"/>
        <w:numPr>
          <w:ilvl w:val="0"/>
          <w:numId w:val="53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3832"/>
        <w:rPr>
          <w:color w:val="auto"/>
        </w:rPr>
      </w:pPr>
      <w:r>
        <w:rPr>
          <w:color w:val="auto"/>
        </w:rPr>
        <w:t>责令改正，处二万元以上五万元以下的罚款。2、【较重】</w:t>
      </w:r>
    </w:p>
    <w:p>
      <w:pPr>
        <w:pStyle w:val="13"/>
        <w:numPr>
          <w:ilvl w:val="0"/>
          <w:numId w:val="540"/>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有下列情形之一的：1、损坏、毁灭有关证据，致使有关公务活动长时间停滞不前的；2、造成一定不良社会影响的。</w:t>
      </w:r>
    </w:p>
    <w:p>
      <w:pPr>
        <w:pStyle w:val="13"/>
        <w:numPr>
          <w:ilvl w:val="0"/>
          <w:numId w:val="54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712"/>
        <w:rPr>
          <w:color w:val="auto"/>
        </w:rPr>
      </w:pPr>
      <w:r>
        <w:rPr>
          <w:color w:val="auto"/>
        </w:rPr>
        <w:t>责令改正，处五万元以上十二万元以下的罚款。可根据情况通报公安机关。3、【严重】</w:t>
      </w:r>
    </w:p>
    <w:p>
      <w:pPr>
        <w:pStyle w:val="13"/>
        <w:numPr>
          <w:ilvl w:val="0"/>
          <w:numId w:val="541"/>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有下列情形之一的：1、采取暴力方式拒绝、阻挠、干涉有关公务活动的；2、围攻公务人员，造成恶性治安事件的；3、造成其他严重不良社会影响的。</w:t>
      </w:r>
    </w:p>
    <w:p>
      <w:pPr>
        <w:pStyle w:val="13"/>
        <w:numPr>
          <w:ilvl w:val="0"/>
          <w:numId w:val="541"/>
        </w:numPr>
        <w:tabs>
          <w:tab w:val="left" w:pos="1193"/>
        </w:tabs>
        <w:spacing w:before="4" w:after="0" w:line="240" w:lineRule="auto"/>
        <w:ind w:left="1192" w:right="0" w:hanging="602"/>
        <w:jc w:val="left"/>
        <w:rPr>
          <w:color w:val="auto"/>
          <w:sz w:val="24"/>
        </w:rPr>
      </w:pPr>
      <w:r>
        <w:rPr>
          <w:color w:val="auto"/>
          <w:sz w:val="24"/>
        </w:rPr>
        <w:t>处罚标准</w:t>
      </w:r>
    </w:p>
    <w:p>
      <w:pPr>
        <w:spacing w:before="192" w:line="388" w:lineRule="auto"/>
        <w:ind w:left="591" w:right="237" w:firstLine="0"/>
        <w:jc w:val="left"/>
        <w:rPr>
          <w:b/>
          <w:color w:val="auto"/>
          <w:sz w:val="24"/>
        </w:rPr>
      </w:pPr>
      <w:r>
        <w:rPr>
          <w:color w:val="auto"/>
          <w:sz w:val="24"/>
        </w:rPr>
        <w:t>责令改正，处十二万元以上二十万元以下的罚款。可根据情况通报公安机关。</w:t>
      </w:r>
      <w:bookmarkStart w:id="739" w:name="三百六十一、销售不符合质量标准的煤炭、石油焦，生产、销售挥发性有机物含量不符合质"/>
      <w:bookmarkEnd w:id="739"/>
      <w:bookmarkStart w:id="740" w:name="_bookmark369"/>
      <w:bookmarkEnd w:id="740"/>
      <w:r>
        <w:rPr>
          <w:color w:val="auto"/>
          <w:sz w:val="24"/>
        </w:rPr>
        <w:t xml:space="preserve"> </w:t>
      </w:r>
      <w:r>
        <w:rPr>
          <w:b/>
          <w:color w:val="auto"/>
          <w:spacing w:val="-6"/>
          <w:sz w:val="24"/>
        </w:rPr>
        <w:t>三百六十一、销售不符合质量标准的煤炭、石油焦，生产、销售挥发性有机物含</w:t>
      </w:r>
    </w:p>
    <w:p>
      <w:pPr>
        <w:pStyle w:val="2"/>
        <w:spacing w:before="5" w:line="388" w:lineRule="auto"/>
        <w:ind w:left="111" w:right="237"/>
        <w:jc w:val="both"/>
        <w:rPr>
          <w:color w:val="auto"/>
        </w:rPr>
      </w:pPr>
      <w:r>
        <w:rPr>
          <w:color w:val="auto"/>
          <w:spacing w:val="-4"/>
        </w:rPr>
        <w:t>量不符合质量标准或者要求的原材料和产品，生产、销售不符合标准的机动车船和非</w:t>
      </w:r>
      <w:r>
        <w:rPr>
          <w:color w:val="auto"/>
          <w:spacing w:val="-9"/>
        </w:rPr>
        <w:t>道路移动机械用燃料、发动机油、氮氧化物还原剂、燃料和润滑油添加剂以及其他添加剂，及在禁燃区内销售高污染燃料</w:t>
      </w:r>
    </w:p>
    <w:p>
      <w:pPr>
        <w:spacing w:after="0" w:line="388" w:lineRule="auto"/>
        <w:jc w:val="both"/>
        <w:rPr>
          <w:color w:val="auto"/>
        </w:rPr>
        <w:sectPr>
          <w:pgSz w:w="11910" w:h="16840"/>
          <w:pgMar w:top="1520" w:right="1260" w:bottom="1220" w:left="1420" w:header="0" w:footer="1034" w:gutter="0"/>
        </w:sectPr>
      </w:pPr>
    </w:p>
    <w:p>
      <w:pPr>
        <w:spacing w:before="39"/>
        <w:ind w:left="351" w:right="0" w:firstLine="0"/>
        <w:jc w:val="left"/>
        <w:rPr>
          <w:b/>
          <w:color w:val="auto"/>
          <w:sz w:val="24"/>
        </w:rPr>
      </w:pPr>
      <w:r>
        <w:rPr>
          <w:b/>
          <w:color w:val="auto"/>
          <w:sz w:val="24"/>
        </w:rPr>
        <w:t>（一）处罚依据</w:t>
      </w:r>
    </w:p>
    <w:p>
      <w:pPr>
        <w:pStyle w:val="4"/>
        <w:spacing w:before="195" w:line="388" w:lineRule="auto"/>
        <w:ind w:right="268" w:firstLine="640"/>
        <w:jc w:val="both"/>
        <w:rPr>
          <w:color w:val="auto"/>
        </w:rPr>
      </w:pPr>
      <w:r>
        <w:rPr>
          <w:color w:val="auto"/>
        </w:rPr>
        <w:t>《大气污染防治法》第一百零三条“违反本法规定，有下列行为之一的，由县</w:t>
      </w:r>
      <w:r>
        <w:rPr>
          <w:color w:val="auto"/>
          <w:spacing w:val="-4"/>
        </w:rPr>
        <w:t>级以上地方人民政府市场监督管理部门责令改正，没收原材料、产品和违法所得，并</w:t>
      </w:r>
      <w:r>
        <w:rPr>
          <w:color w:val="auto"/>
        </w:rPr>
        <w:t>处货值金额一倍以上三倍以下的罚款：</w:t>
      </w:r>
    </w:p>
    <w:p>
      <w:pPr>
        <w:pStyle w:val="4"/>
        <w:spacing w:before="5"/>
        <w:ind w:left="751"/>
        <w:rPr>
          <w:color w:val="auto"/>
        </w:rPr>
      </w:pPr>
      <w:r>
        <w:rPr>
          <w:color w:val="auto"/>
        </w:rPr>
        <w:t>（一）销售不符合质量标准的煤炭、石油焦的；</w:t>
      </w:r>
    </w:p>
    <w:p>
      <w:pPr>
        <w:pStyle w:val="4"/>
        <w:spacing w:before="192"/>
        <w:ind w:left="751"/>
        <w:rPr>
          <w:color w:val="auto"/>
        </w:rPr>
      </w:pPr>
      <w:r>
        <w:rPr>
          <w:color w:val="auto"/>
        </w:rPr>
        <w:t>（二）生产、销售挥发性有机物含量不符合质量标准或者要求的原材料和产品</w:t>
      </w:r>
    </w:p>
    <w:p>
      <w:pPr>
        <w:pStyle w:val="4"/>
        <w:spacing w:before="192"/>
        <w:rPr>
          <w:color w:val="auto"/>
        </w:rPr>
      </w:pPr>
      <w:r>
        <w:rPr>
          <w:color w:val="auto"/>
        </w:rPr>
        <w:t>的；</w:t>
      </w:r>
    </w:p>
    <w:p>
      <w:pPr>
        <w:pStyle w:val="4"/>
        <w:spacing w:before="194" w:line="388" w:lineRule="auto"/>
        <w:ind w:right="148" w:firstLine="640"/>
        <w:rPr>
          <w:color w:val="auto"/>
        </w:rPr>
      </w:pPr>
      <w:r>
        <w:rPr>
          <w:color w:val="auto"/>
        </w:rPr>
        <w:t>（三</w:t>
      </w:r>
      <w:r>
        <w:rPr>
          <w:color w:val="auto"/>
          <w:spacing w:val="-27"/>
        </w:rPr>
        <w:t>）</w:t>
      </w:r>
      <w:r>
        <w:rPr>
          <w:color w:val="auto"/>
          <w:spacing w:val="-7"/>
        </w:rPr>
        <w:t>生产、销售不符合标准的机动车船和非道路移动机械用燃料、发动机油、</w:t>
      </w:r>
      <w:r>
        <w:rPr>
          <w:color w:val="auto"/>
        </w:rPr>
        <w:t>氮氧化物还原剂、燃料和润滑油添加剂以及其他添加剂的；</w:t>
      </w:r>
    </w:p>
    <w:p>
      <w:pPr>
        <w:pStyle w:val="4"/>
        <w:spacing w:before="2"/>
        <w:ind w:left="751"/>
        <w:rPr>
          <w:color w:val="auto"/>
        </w:rPr>
      </w:pPr>
      <w:r>
        <w:rPr>
          <w:color w:val="auto"/>
        </w:rPr>
        <w:t>（四）在禁燃区内销售高污染燃料的”。</w:t>
      </w:r>
    </w:p>
    <w:p>
      <w:pPr>
        <w:spacing w:before="194"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4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有下列情形之一的：1.有证据证明该产品是初次生产，且尚未销售的；2.有证据证明该产品是初次生产，没有造成危害结果的；3.销售货值三万元以下的。</w:t>
      </w:r>
    </w:p>
    <w:p>
      <w:pPr>
        <w:pStyle w:val="13"/>
        <w:numPr>
          <w:ilvl w:val="0"/>
          <w:numId w:val="54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1192"/>
        <w:rPr>
          <w:color w:val="auto"/>
        </w:rPr>
      </w:pPr>
      <w:r>
        <w:rPr>
          <w:color w:val="auto"/>
        </w:rPr>
        <w:t>责令改正，没收原材料、产品和违法所得，并处货值金额一倍的罚款。2、【一般】</w:t>
      </w:r>
    </w:p>
    <w:p>
      <w:pPr>
        <w:pStyle w:val="13"/>
        <w:numPr>
          <w:ilvl w:val="0"/>
          <w:numId w:val="54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有下列情形之一的：1、检验结论为不合格且主动追回已售出的产品的；2、检验结论为不合格且售出产品未造成危害后果的；3.销售货值三万元以上五万元以下的。</w:t>
      </w:r>
    </w:p>
    <w:p>
      <w:pPr>
        <w:pStyle w:val="13"/>
        <w:numPr>
          <w:ilvl w:val="0"/>
          <w:numId w:val="543"/>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7"/>
        </w:rPr>
        <w:t xml:space="preserve">责令改正，没收原材料、产品和违法所得，并处货值金额一倍以上 </w:t>
      </w:r>
      <w:r>
        <w:rPr>
          <w:color w:val="auto"/>
        </w:rPr>
        <w:t>1.5</w:t>
      </w:r>
      <w:r>
        <w:rPr>
          <w:color w:val="auto"/>
          <w:spacing w:val="-16"/>
        </w:rPr>
        <w:t xml:space="preserve"> 倍以下的</w:t>
      </w:r>
      <w:r>
        <w:rPr>
          <w:color w:val="auto"/>
        </w:rPr>
        <w:t>罚款。</w:t>
      </w:r>
    </w:p>
    <w:p>
      <w:pPr>
        <w:pStyle w:val="4"/>
        <w:spacing w:before="2"/>
        <w:ind w:left="591"/>
        <w:rPr>
          <w:color w:val="auto"/>
        </w:rPr>
      </w:pPr>
      <w:r>
        <w:rPr>
          <w:color w:val="auto"/>
        </w:rPr>
        <w:t>3、【较重】</w:t>
      </w:r>
    </w:p>
    <w:p>
      <w:pPr>
        <w:pStyle w:val="13"/>
        <w:numPr>
          <w:ilvl w:val="0"/>
          <w:numId w:val="54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有下列情形之一的：1.检验结论为不合格且产品半数以下售出、无法追回的；2. 销售货值五万元以上十万元以下的。</w:t>
      </w:r>
    </w:p>
    <w:p>
      <w:pPr>
        <w:spacing w:after="0" w:line="388" w:lineRule="auto"/>
        <w:rPr>
          <w:color w:val="auto"/>
        </w:rPr>
        <w:sectPr>
          <w:pgSz w:w="11910" w:h="16840"/>
          <w:pgMar w:top="1520" w:right="1260" w:bottom="1220" w:left="1420" w:header="0" w:footer="1034" w:gutter="0"/>
        </w:sectPr>
      </w:pPr>
    </w:p>
    <w:p>
      <w:pPr>
        <w:pStyle w:val="13"/>
        <w:numPr>
          <w:ilvl w:val="0"/>
          <w:numId w:val="544"/>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68" w:firstLine="480"/>
        <w:rPr>
          <w:color w:val="auto"/>
        </w:rPr>
      </w:pPr>
      <w:r>
        <w:rPr>
          <w:color w:val="auto"/>
          <w:spacing w:val="-8"/>
        </w:rPr>
        <w:t xml:space="preserve">责令改正，没收原材料、产品和违法所得，并处货值金额 </w:t>
      </w:r>
      <w:r>
        <w:rPr>
          <w:color w:val="auto"/>
        </w:rPr>
        <w:t>1.5</w:t>
      </w:r>
      <w:r>
        <w:rPr>
          <w:color w:val="auto"/>
          <w:spacing w:val="-24"/>
        </w:rPr>
        <w:t xml:space="preserve"> 倍以上 </w:t>
      </w:r>
      <w:r>
        <w:rPr>
          <w:color w:val="auto"/>
        </w:rPr>
        <w:t>2</w:t>
      </w:r>
      <w:r>
        <w:rPr>
          <w:color w:val="auto"/>
          <w:spacing w:val="-16"/>
        </w:rPr>
        <w:t xml:space="preserve"> 倍以下的</w:t>
      </w:r>
      <w:r>
        <w:rPr>
          <w:color w:val="auto"/>
        </w:rPr>
        <w:t>罚款。</w:t>
      </w:r>
    </w:p>
    <w:p>
      <w:pPr>
        <w:pStyle w:val="4"/>
        <w:spacing w:before="2"/>
        <w:ind w:left="591"/>
        <w:rPr>
          <w:color w:val="auto"/>
        </w:rPr>
      </w:pPr>
      <w:r>
        <w:rPr>
          <w:color w:val="auto"/>
        </w:rPr>
        <w:t>4、【严重】</w:t>
      </w:r>
    </w:p>
    <w:p>
      <w:pPr>
        <w:pStyle w:val="13"/>
        <w:numPr>
          <w:ilvl w:val="0"/>
          <w:numId w:val="545"/>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有下列情形之一的：1.检验结论为不合格的，且产品全部或大部分销售、无法追回的；2.销售货值十万元以上十五万元以下的。</w:t>
      </w:r>
    </w:p>
    <w:p>
      <w:pPr>
        <w:pStyle w:val="13"/>
        <w:numPr>
          <w:ilvl w:val="0"/>
          <w:numId w:val="545"/>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8"/>
        </w:rPr>
        <w:t xml:space="preserve">责令改正，没收原材料、产品和违法所得，并处货值金额 </w:t>
      </w:r>
      <w:r>
        <w:rPr>
          <w:color w:val="auto"/>
        </w:rPr>
        <w:t>2</w:t>
      </w:r>
      <w:r>
        <w:rPr>
          <w:color w:val="auto"/>
          <w:spacing w:val="-24"/>
        </w:rPr>
        <w:t xml:space="preserve"> 倍以上 </w:t>
      </w:r>
      <w:r>
        <w:rPr>
          <w:color w:val="auto"/>
        </w:rPr>
        <w:t>2.5</w:t>
      </w:r>
      <w:r>
        <w:rPr>
          <w:color w:val="auto"/>
          <w:spacing w:val="-16"/>
        </w:rPr>
        <w:t xml:space="preserve"> 倍以下的</w:t>
      </w:r>
      <w:r>
        <w:rPr>
          <w:color w:val="auto"/>
        </w:rPr>
        <w:t>罚款。</w:t>
      </w:r>
    </w:p>
    <w:p>
      <w:pPr>
        <w:pStyle w:val="4"/>
        <w:spacing w:before="4"/>
        <w:ind w:left="591"/>
        <w:rPr>
          <w:color w:val="auto"/>
        </w:rPr>
      </w:pPr>
      <w:r>
        <w:rPr>
          <w:color w:val="auto"/>
        </w:rPr>
        <w:t>5、【特别严重】</w:t>
      </w:r>
    </w:p>
    <w:p>
      <w:pPr>
        <w:pStyle w:val="13"/>
        <w:numPr>
          <w:ilvl w:val="0"/>
          <w:numId w:val="54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1"/>
        </w:rPr>
        <w:t>有下列情形之一的：</w:t>
      </w:r>
      <w:r>
        <w:rPr>
          <w:color w:val="auto"/>
          <w:spacing w:val="-4"/>
        </w:rPr>
        <w:t>1.</w:t>
      </w:r>
      <w:r>
        <w:rPr>
          <w:color w:val="auto"/>
          <w:spacing w:val="-3"/>
        </w:rPr>
        <w:t>产品全部或大部分销售，且拒不追回的；</w:t>
      </w:r>
      <w:r>
        <w:rPr>
          <w:color w:val="auto"/>
          <w:spacing w:val="-4"/>
        </w:rPr>
        <w:t>2.</w:t>
      </w:r>
      <w:r>
        <w:rPr>
          <w:color w:val="auto"/>
          <w:spacing w:val="-3"/>
        </w:rPr>
        <w:t>不执行责令停</w:t>
      </w:r>
      <w:r>
        <w:rPr>
          <w:color w:val="auto"/>
          <w:spacing w:val="-4"/>
        </w:rPr>
        <w:t>止生产、销售，继续实施违法行为的；</w:t>
      </w:r>
      <w:r>
        <w:rPr>
          <w:color w:val="auto"/>
          <w:spacing w:val="-3"/>
        </w:rPr>
        <w:t>3.</w:t>
      </w:r>
      <w:r>
        <w:rPr>
          <w:color w:val="auto"/>
          <w:spacing w:val="-2"/>
        </w:rPr>
        <w:t>生产的产品造成人身、财产损害或者造成较</w:t>
      </w:r>
      <w:r>
        <w:rPr>
          <w:color w:val="auto"/>
          <w:spacing w:val="-1"/>
        </w:rPr>
        <w:t>大社会影响等严重危害后果的；</w:t>
      </w:r>
      <w:r>
        <w:rPr>
          <w:color w:val="auto"/>
          <w:spacing w:val="-7"/>
        </w:rPr>
        <w:t>4.</w:t>
      </w:r>
      <w:r>
        <w:rPr>
          <w:color w:val="auto"/>
          <w:spacing w:val="-1"/>
        </w:rPr>
        <w:t>销售货值十五万元以上的；</w:t>
      </w:r>
      <w:r>
        <w:rPr>
          <w:color w:val="auto"/>
          <w:spacing w:val="-6"/>
        </w:rPr>
        <w:t>5.</w:t>
      </w:r>
      <w:r>
        <w:rPr>
          <w:color w:val="auto"/>
          <w:spacing w:val="-2"/>
        </w:rPr>
        <w:t>其他符合特别严重违</w:t>
      </w:r>
      <w:r>
        <w:rPr>
          <w:color w:val="auto"/>
        </w:rPr>
        <w:t>法情节的。</w:t>
      </w:r>
    </w:p>
    <w:p>
      <w:pPr>
        <w:pStyle w:val="13"/>
        <w:numPr>
          <w:ilvl w:val="0"/>
          <w:numId w:val="54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8"/>
        </w:rPr>
        <w:t xml:space="preserve">责令改正，没收原材料、产品和违法所得，并处货值金额 </w:t>
      </w:r>
      <w:r>
        <w:rPr>
          <w:color w:val="auto"/>
        </w:rPr>
        <w:t>2.5</w:t>
      </w:r>
      <w:r>
        <w:rPr>
          <w:color w:val="auto"/>
          <w:spacing w:val="-24"/>
        </w:rPr>
        <w:t xml:space="preserve"> 倍以上 </w:t>
      </w:r>
      <w:r>
        <w:rPr>
          <w:color w:val="auto"/>
        </w:rPr>
        <w:t>3</w:t>
      </w:r>
      <w:r>
        <w:rPr>
          <w:color w:val="auto"/>
          <w:spacing w:val="-16"/>
        </w:rPr>
        <w:t xml:space="preserve"> 倍以下的</w:t>
      </w:r>
      <w:r>
        <w:rPr>
          <w:color w:val="auto"/>
        </w:rPr>
        <w:t>罚款。</w:t>
      </w:r>
    </w:p>
    <w:p>
      <w:pPr>
        <w:pStyle w:val="2"/>
        <w:spacing w:before="5"/>
        <w:rPr>
          <w:color w:val="auto"/>
        </w:rPr>
      </w:pPr>
      <w:bookmarkStart w:id="741" w:name="三百六十二、生产、销售或者使用不符合规定标准或者要求的锅炉"/>
      <w:bookmarkEnd w:id="741"/>
      <w:bookmarkStart w:id="742" w:name="_bookmark370"/>
      <w:bookmarkEnd w:id="742"/>
      <w:r>
        <w:rPr>
          <w:color w:val="auto"/>
        </w:rPr>
        <w:t>三百六十二、生产、销售或者使用不符合规定标准或者要求的锅炉</w:t>
      </w:r>
    </w:p>
    <w:p>
      <w:pPr>
        <w:spacing w:before="192"/>
        <w:ind w:left="351" w:right="0" w:firstLine="0"/>
        <w:jc w:val="left"/>
        <w:rPr>
          <w:b/>
          <w:color w:val="auto"/>
          <w:sz w:val="24"/>
        </w:rPr>
      </w:pPr>
      <w:r>
        <w:rPr>
          <w:b/>
          <w:color w:val="auto"/>
          <w:sz w:val="24"/>
        </w:rPr>
        <w:t>（一）处罚依据</w:t>
      </w:r>
    </w:p>
    <w:p>
      <w:pPr>
        <w:pStyle w:val="4"/>
        <w:spacing w:before="191" w:line="391" w:lineRule="auto"/>
        <w:ind w:right="268" w:firstLine="640"/>
        <w:jc w:val="both"/>
        <w:rPr>
          <w:color w:val="auto"/>
        </w:rPr>
      </w:pPr>
      <w:r>
        <w:rPr>
          <w:color w:val="auto"/>
        </w:rPr>
        <w:t>《大气污染防治法》第一百零七条第二款“违反本法规定，生产、进口、销售</w:t>
      </w:r>
      <w:r>
        <w:rPr>
          <w:color w:val="auto"/>
          <w:spacing w:val="-4"/>
        </w:rPr>
        <w:t>或者使用不符合规定标准或者要求的锅炉，由县级以上人民政府市场监督管理、生态环境主管部门责令改正，没收违法所得，并处二万元以上二十万元以下的罚款。”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4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属初次违法的且违法行为持续时间较短或所涉锅炉数量较少的。</w:t>
      </w:r>
    </w:p>
    <w:p>
      <w:pPr>
        <w:spacing w:after="0"/>
        <w:rPr>
          <w:color w:val="auto"/>
        </w:rPr>
        <w:sectPr>
          <w:pgSz w:w="11910" w:h="16840"/>
          <w:pgMar w:top="1520" w:right="1260" w:bottom="1220" w:left="1420" w:header="0" w:footer="1034" w:gutter="0"/>
        </w:sectPr>
      </w:pPr>
    </w:p>
    <w:p>
      <w:pPr>
        <w:pStyle w:val="13"/>
        <w:numPr>
          <w:ilvl w:val="0"/>
          <w:numId w:val="54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2152"/>
        <w:rPr>
          <w:color w:val="auto"/>
        </w:rPr>
      </w:pPr>
      <w:r>
        <w:rPr>
          <w:color w:val="auto"/>
        </w:rPr>
        <w:t>责令改正，没收违法所得，并处二万元以上四万元以下罚款。2、【一般】</w:t>
      </w:r>
    </w:p>
    <w:p>
      <w:pPr>
        <w:pStyle w:val="13"/>
        <w:numPr>
          <w:ilvl w:val="0"/>
          <w:numId w:val="54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违法行为持续时间较短和所涉锅炉数量较少的。</w:t>
      </w:r>
    </w:p>
    <w:p>
      <w:pPr>
        <w:pStyle w:val="13"/>
        <w:numPr>
          <w:ilvl w:val="0"/>
          <w:numId w:val="54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2152"/>
        <w:rPr>
          <w:color w:val="auto"/>
        </w:rPr>
      </w:pPr>
      <w:r>
        <w:rPr>
          <w:color w:val="auto"/>
        </w:rPr>
        <w:t>责令改正，没收违法所得，并处四万元以上八万元以下罚款。3、【较重】</w:t>
      </w:r>
    </w:p>
    <w:p>
      <w:pPr>
        <w:pStyle w:val="13"/>
        <w:numPr>
          <w:ilvl w:val="0"/>
          <w:numId w:val="54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违法行为持续时间较长或所涉锅炉数量较多的。</w:t>
      </w:r>
    </w:p>
    <w:p>
      <w:pPr>
        <w:pStyle w:val="13"/>
        <w:numPr>
          <w:ilvl w:val="0"/>
          <w:numId w:val="54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1912"/>
        <w:rPr>
          <w:color w:val="auto"/>
        </w:rPr>
      </w:pPr>
      <w:r>
        <w:rPr>
          <w:color w:val="auto"/>
        </w:rPr>
        <w:t>责令改正，没收违法所得，并处八万元以上十二万元以下罚款。4、【严重】</w:t>
      </w:r>
    </w:p>
    <w:p>
      <w:pPr>
        <w:pStyle w:val="13"/>
        <w:numPr>
          <w:ilvl w:val="0"/>
          <w:numId w:val="55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违法行为持续时间较长且所涉锅炉数量较多的。</w:t>
      </w:r>
    </w:p>
    <w:p>
      <w:pPr>
        <w:pStyle w:val="13"/>
        <w:numPr>
          <w:ilvl w:val="0"/>
          <w:numId w:val="55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1672"/>
        <w:rPr>
          <w:color w:val="auto"/>
        </w:rPr>
      </w:pPr>
      <w:r>
        <w:rPr>
          <w:color w:val="auto"/>
        </w:rPr>
        <w:t>责令改正，没收违法所得，并处十二万元以上十六万元以下罚款。5、【特别严重】</w:t>
      </w:r>
    </w:p>
    <w:p>
      <w:pPr>
        <w:pStyle w:val="13"/>
        <w:numPr>
          <w:ilvl w:val="0"/>
          <w:numId w:val="55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已造成不良后果的。</w:t>
      </w:r>
    </w:p>
    <w:p>
      <w:pPr>
        <w:pStyle w:val="13"/>
        <w:numPr>
          <w:ilvl w:val="0"/>
          <w:numId w:val="55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751"/>
        <w:rPr>
          <w:color w:val="auto"/>
        </w:rPr>
      </w:pPr>
      <w:r>
        <w:rPr>
          <w:color w:val="auto"/>
        </w:rPr>
        <w:t>责令改正，没收违法所得，并处十六万元以上二十万元以下罚款。</w:t>
      </w:r>
    </w:p>
    <w:p>
      <w:pPr>
        <w:pStyle w:val="2"/>
        <w:spacing w:before="194" w:line="388" w:lineRule="auto"/>
        <w:ind w:left="111" w:right="240" w:firstLine="480"/>
        <w:rPr>
          <w:color w:val="auto"/>
        </w:rPr>
      </w:pPr>
      <w:bookmarkStart w:id="743" w:name="_bookmark371"/>
      <w:bookmarkEnd w:id="743"/>
      <w:bookmarkStart w:id="744" w:name="三百六十三、伪造机动车、非道路移动机械排放检验结果或者出具虚假排放检验报告"/>
      <w:bookmarkEnd w:id="744"/>
      <w:r>
        <w:rPr>
          <w:color w:val="auto"/>
          <w:spacing w:val="-9"/>
        </w:rPr>
        <w:t>三百六十三、伪造机动车、非道路移动机械排放检验结果或者出具虚假排放检验报告</w:t>
      </w:r>
    </w:p>
    <w:p>
      <w:pPr>
        <w:spacing w:before="2"/>
        <w:ind w:left="351" w:right="0" w:firstLine="0"/>
        <w:jc w:val="left"/>
        <w:rPr>
          <w:b/>
          <w:color w:val="auto"/>
          <w:sz w:val="24"/>
        </w:rPr>
      </w:pPr>
      <w:r>
        <w:rPr>
          <w:b/>
          <w:color w:val="auto"/>
          <w:sz w:val="24"/>
        </w:rPr>
        <w:t>（一）处罚依据</w:t>
      </w:r>
    </w:p>
    <w:p>
      <w:pPr>
        <w:pStyle w:val="4"/>
        <w:spacing w:before="195" w:line="388" w:lineRule="auto"/>
        <w:ind w:right="268" w:firstLine="640"/>
        <w:jc w:val="both"/>
        <w:rPr>
          <w:color w:val="auto"/>
        </w:rPr>
      </w:pPr>
      <w:r>
        <w:rPr>
          <w:color w:val="auto"/>
        </w:rPr>
        <w:t>《大气污染防治法》第一百一十二条“违反本法规定，伪造机动车、非道路移</w:t>
      </w:r>
      <w:r>
        <w:rPr>
          <w:color w:val="auto"/>
          <w:spacing w:val="-3"/>
        </w:rPr>
        <w:t>动机械排放检验结果或者出具虚假排放检验报告的，由县级以上人民政府环境保护主</w:t>
      </w:r>
      <w:r>
        <w:rPr>
          <w:color w:val="auto"/>
          <w:spacing w:val="-5"/>
        </w:rPr>
        <w:t>管部门没收违法所得，并处十万元以上五十万元以下的罚款；情节严重的，由负责资</w:t>
      </w:r>
    </w:p>
    <w:p>
      <w:pPr>
        <w:spacing w:after="0" w:line="388"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质认定的部门取消其检验资格。”</w:t>
      </w:r>
    </w:p>
    <w:p>
      <w:pPr>
        <w:spacing w:before="195" w:line="388" w:lineRule="auto"/>
        <w:ind w:left="591" w:right="6948" w:firstLine="0"/>
        <w:jc w:val="left"/>
        <w:rPr>
          <w:color w:val="auto"/>
          <w:sz w:val="24"/>
        </w:rPr>
      </w:pPr>
      <w:r>
        <w:rPr>
          <w:b/>
          <w:color w:val="auto"/>
          <w:sz w:val="24"/>
        </w:rPr>
        <w:t>（二）裁量标准</w:t>
      </w:r>
      <w:r>
        <w:rPr>
          <w:color w:val="auto"/>
          <w:sz w:val="24"/>
        </w:rPr>
        <w:t>1、【严重】</w:t>
      </w:r>
    </w:p>
    <w:p>
      <w:pPr>
        <w:pStyle w:val="13"/>
        <w:numPr>
          <w:ilvl w:val="0"/>
          <w:numId w:val="552"/>
        </w:numPr>
        <w:tabs>
          <w:tab w:val="left" w:pos="1193"/>
        </w:tabs>
        <w:spacing w:before="2" w:after="0" w:line="391" w:lineRule="auto"/>
        <w:ind w:left="591" w:right="7072" w:firstLine="0"/>
        <w:jc w:val="left"/>
        <w:rPr>
          <w:color w:val="auto"/>
          <w:sz w:val="24"/>
        </w:rPr>
      </w:pPr>
      <w:r>
        <w:rPr>
          <w:color w:val="auto"/>
          <w:spacing w:val="-5"/>
          <w:sz w:val="24"/>
        </w:rPr>
        <w:t>违法情形</w:t>
      </w:r>
      <w:r>
        <w:rPr>
          <w:color w:val="auto"/>
          <w:sz w:val="24"/>
        </w:rPr>
        <w:t>情节严重的。</w:t>
      </w:r>
    </w:p>
    <w:p>
      <w:pPr>
        <w:pStyle w:val="13"/>
        <w:numPr>
          <w:ilvl w:val="0"/>
          <w:numId w:val="55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取消其检验资格。</w:t>
      </w:r>
    </w:p>
    <w:p>
      <w:pPr>
        <w:pStyle w:val="2"/>
        <w:spacing w:before="194" w:line="388" w:lineRule="auto"/>
        <w:ind w:left="111" w:right="237" w:firstLine="480"/>
        <w:rPr>
          <w:color w:val="auto"/>
        </w:rPr>
      </w:pPr>
      <w:bookmarkStart w:id="745" w:name="_bookmark372"/>
      <w:bookmarkEnd w:id="745"/>
      <w:bookmarkStart w:id="746" w:name="三百六十四、在拆解或者处置过程中可能造成环境污染的电器电子等产品，设计使用列入国"/>
      <w:bookmarkEnd w:id="746"/>
      <w:r>
        <w:rPr>
          <w:color w:val="auto"/>
          <w:spacing w:val="-7"/>
        </w:rPr>
        <w:t>三百六十四、在拆解或者处置过程中可能造成环境污染的电器电子等产品，设计使用列入国家禁止使用名录的有毒有害物质，逾期不改正</w:t>
      </w:r>
    </w:p>
    <w:p>
      <w:pPr>
        <w:spacing w:before="3"/>
        <w:ind w:left="351" w:right="0" w:firstLine="0"/>
        <w:jc w:val="left"/>
        <w:rPr>
          <w:b/>
          <w:color w:val="auto"/>
          <w:sz w:val="24"/>
        </w:rPr>
      </w:pPr>
      <w:r>
        <w:rPr>
          <w:b/>
          <w:color w:val="auto"/>
          <w:sz w:val="24"/>
        </w:rPr>
        <w:t>（一）处罚依据</w:t>
      </w:r>
    </w:p>
    <w:p>
      <w:pPr>
        <w:pStyle w:val="4"/>
        <w:spacing w:before="194" w:line="391" w:lineRule="auto"/>
        <w:ind w:right="268" w:firstLine="480"/>
        <w:rPr>
          <w:color w:val="auto"/>
        </w:rPr>
      </w:pPr>
      <w:r>
        <w:rPr>
          <w:color w:val="auto"/>
          <w:spacing w:val="-5"/>
        </w:rPr>
        <w:t>《循环经济促进法》第五十一条“违反本法规定，对在拆解或者处置过程中可能</w:t>
      </w:r>
      <w:r>
        <w:rPr>
          <w:color w:val="auto"/>
        </w:rPr>
        <w:t>造成环境污染的电器电子等产品，设计使用列入国家禁止使用名录的有毒有害物质</w:t>
      </w:r>
      <w:r>
        <w:rPr>
          <w:color w:val="auto"/>
          <w:spacing w:val="-6"/>
        </w:rPr>
        <w:t>的，由县级以上地方人民政府市场监督管理部门责令限期改正；逾期不改正的，处二</w:t>
      </w:r>
      <w:r>
        <w:rPr>
          <w:color w:val="auto"/>
          <w:spacing w:val="-5"/>
        </w:rPr>
        <w:t>万元以上二十万元以下的罚款；情节严重的，依法吊销营业执照。”</w:t>
      </w:r>
    </w:p>
    <w:p>
      <w:pPr>
        <w:spacing w:before="0" w:line="388" w:lineRule="auto"/>
        <w:ind w:left="471" w:right="6948" w:firstLine="120"/>
        <w:jc w:val="left"/>
        <w:rPr>
          <w:color w:val="auto"/>
          <w:sz w:val="24"/>
        </w:rPr>
      </w:pPr>
      <w:r>
        <w:rPr>
          <w:b/>
          <w:color w:val="auto"/>
          <w:sz w:val="24"/>
        </w:rPr>
        <w:t>（二）裁量标准</w:t>
      </w:r>
      <w:r>
        <w:rPr>
          <w:color w:val="auto"/>
          <w:sz w:val="24"/>
        </w:rPr>
        <w:t>1、【较轻】</w:t>
      </w:r>
    </w:p>
    <w:p>
      <w:pPr>
        <w:pStyle w:val="13"/>
        <w:numPr>
          <w:ilvl w:val="0"/>
          <w:numId w:val="55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逾期后，七日内自行改正完毕并提供证明材料的。</w:t>
      </w:r>
    </w:p>
    <w:p>
      <w:pPr>
        <w:pStyle w:val="13"/>
        <w:numPr>
          <w:ilvl w:val="0"/>
          <w:numId w:val="55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5</w:t>
      </w:r>
      <w:r>
        <w:rPr>
          <w:color w:val="auto"/>
          <w:spacing w:val="-10"/>
        </w:rPr>
        <w:t xml:space="preserve"> 万元以下罚款。</w:t>
      </w:r>
      <w:r>
        <w:rPr>
          <w:color w:val="auto"/>
        </w:rPr>
        <w:t>2</w:t>
      </w:r>
      <w:r>
        <w:rPr>
          <w:color w:val="auto"/>
          <w:spacing w:val="-24"/>
        </w:rPr>
        <w:t>、【一般】</w:t>
      </w:r>
    </w:p>
    <w:p>
      <w:pPr>
        <w:pStyle w:val="13"/>
        <w:numPr>
          <w:ilvl w:val="0"/>
          <w:numId w:val="55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逾期后，七日以上十四日以内自行改正完毕并提供证明材料的。</w:t>
      </w:r>
    </w:p>
    <w:p>
      <w:pPr>
        <w:pStyle w:val="13"/>
        <w:numPr>
          <w:ilvl w:val="0"/>
          <w:numId w:val="55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162" w:hanging="10"/>
        <w:rPr>
          <w:color w:val="auto"/>
        </w:rPr>
      </w:pPr>
      <w:r>
        <w:rPr>
          <w:color w:val="auto"/>
          <w:spacing w:val="-30"/>
        </w:rPr>
        <w:t xml:space="preserve">处 </w:t>
      </w:r>
      <w:r>
        <w:rPr>
          <w:color w:val="auto"/>
        </w:rPr>
        <w:t>5</w:t>
      </w:r>
      <w:r>
        <w:rPr>
          <w:color w:val="auto"/>
          <w:spacing w:val="-20"/>
        </w:rPr>
        <w:t xml:space="preserve"> 万元以上 </w:t>
      </w:r>
      <w:r>
        <w:rPr>
          <w:color w:val="auto"/>
        </w:rPr>
        <w:t>10</w:t>
      </w:r>
      <w:r>
        <w:rPr>
          <w:color w:val="auto"/>
          <w:spacing w:val="-10"/>
        </w:rPr>
        <w:t xml:space="preserve"> 万元以下罚款。</w:t>
      </w:r>
      <w:r>
        <w:rPr>
          <w:color w:val="auto"/>
        </w:rPr>
        <w:t>3</w:t>
      </w:r>
      <w:r>
        <w:rPr>
          <w:color w:val="auto"/>
          <w:spacing w:val="-24"/>
        </w:rPr>
        <w:t>、【较重】</w:t>
      </w:r>
    </w:p>
    <w:p>
      <w:pPr>
        <w:pStyle w:val="13"/>
        <w:numPr>
          <w:ilvl w:val="0"/>
          <w:numId w:val="55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逾期后，十四日以上三十日以内自行改正完毕并提供证明材料的。</w:t>
      </w:r>
    </w:p>
    <w:p>
      <w:pPr>
        <w:spacing w:after="0"/>
        <w:rPr>
          <w:color w:val="auto"/>
        </w:rPr>
        <w:sectPr>
          <w:pgSz w:w="11910" w:h="16840"/>
          <w:pgMar w:top="1520" w:right="1260" w:bottom="1220" w:left="1420" w:header="0" w:footer="1034" w:gutter="0"/>
        </w:sectPr>
      </w:pPr>
    </w:p>
    <w:p>
      <w:pPr>
        <w:pStyle w:val="13"/>
        <w:numPr>
          <w:ilvl w:val="0"/>
          <w:numId w:val="555"/>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042" w:hanging="10"/>
        <w:rPr>
          <w:color w:val="auto"/>
        </w:rPr>
      </w:pPr>
      <w:r>
        <w:rPr>
          <w:color w:val="auto"/>
          <w:spacing w:val="-30"/>
        </w:rPr>
        <w:t xml:space="preserve">处 </w:t>
      </w:r>
      <w:r>
        <w:rPr>
          <w:color w:val="auto"/>
        </w:rPr>
        <w:t>10</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55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逾期后，拒不改正或者超过三十日未自行改正完毕的。</w:t>
      </w:r>
    </w:p>
    <w:p>
      <w:pPr>
        <w:pStyle w:val="13"/>
        <w:numPr>
          <w:ilvl w:val="0"/>
          <w:numId w:val="55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71" w:firstLine="640"/>
        <w:rPr>
          <w:color w:val="auto"/>
        </w:rPr>
      </w:pPr>
      <w:r>
        <w:rPr>
          <w:color w:val="auto"/>
          <w:spacing w:val="-27"/>
        </w:rPr>
        <w:t xml:space="preserve">处 </w:t>
      </w:r>
      <w:r>
        <w:rPr>
          <w:color w:val="auto"/>
        </w:rPr>
        <w:t>15</w:t>
      </w:r>
      <w:r>
        <w:rPr>
          <w:color w:val="auto"/>
          <w:spacing w:val="-19"/>
        </w:rPr>
        <w:t xml:space="preserve"> 万元以上 </w:t>
      </w:r>
      <w:r>
        <w:rPr>
          <w:color w:val="auto"/>
        </w:rPr>
        <w:t>20</w:t>
      </w:r>
      <w:r>
        <w:rPr>
          <w:color w:val="auto"/>
          <w:spacing w:val="-9"/>
        </w:rPr>
        <w:t xml:space="preserve"> 万元以下罚款，并向本级工商行政管理部门通报有关情况， </w:t>
      </w:r>
      <w:r>
        <w:rPr>
          <w:color w:val="auto"/>
        </w:rPr>
        <w:t>由工商行政管理部门依法吊销营业执照。</w:t>
      </w:r>
    </w:p>
    <w:p>
      <w:pPr>
        <w:pStyle w:val="2"/>
        <w:spacing w:line="391" w:lineRule="auto"/>
        <w:ind w:left="111" w:right="235" w:firstLine="480"/>
        <w:jc w:val="both"/>
        <w:rPr>
          <w:color w:val="auto"/>
        </w:rPr>
      </w:pPr>
      <w:bookmarkStart w:id="747" w:name="三百六十五、电器电子产品生产者、进口电器电子产品的收货人或者其代理人生产、进口的"/>
      <w:bookmarkEnd w:id="747"/>
      <w:bookmarkStart w:id="748" w:name="_bookmark373"/>
      <w:bookmarkEnd w:id="748"/>
      <w:r>
        <w:rPr>
          <w:color w:val="auto"/>
          <w:spacing w:val="-8"/>
        </w:rPr>
        <w:t>三百六十五、电器电子产品生产者、进口电器电子产品的收货人或者其代理人生</w:t>
      </w:r>
      <w:r>
        <w:rPr>
          <w:color w:val="auto"/>
          <w:spacing w:val="3"/>
          <w:w w:val="95"/>
        </w:rPr>
        <w:t xml:space="preserve">产、进口的电器电子产品上或者产品说明书中未按照规定提供有关有毒有害物质含  </w:t>
      </w:r>
      <w:r>
        <w:rPr>
          <w:color w:val="auto"/>
          <w:spacing w:val="3"/>
        </w:rPr>
        <w:t>量、回收处理提示性说明等信息</w:t>
      </w:r>
    </w:p>
    <w:p>
      <w:pPr>
        <w:spacing w:before="0" w:line="304" w:lineRule="exact"/>
        <w:ind w:left="351" w:right="0" w:firstLine="0"/>
        <w:jc w:val="left"/>
        <w:rPr>
          <w:b/>
          <w:color w:val="auto"/>
          <w:sz w:val="24"/>
        </w:rPr>
      </w:pPr>
      <w:r>
        <w:rPr>
          <w:b/>
          <w:color w:val="auto"/>
          <w:sz w:val="24"/>
        </w:rPr>
        <w:t>（一）处罚依据</w:t>
      </w:r>
    </w:p>
    <w:p>
      <w:pPr>
        <w:pStyle w:val="4"/>
        <w:spacing w:before="190" w:line="391" w:lineRule="auto"/>
        <w:ind w:right="268" w:firstLine="480"/>
        <w:jc w:val="both"/>
        <w:rPr>
          <w:color w:val="auto"/>
        </w:rPr>
      </w:pPr>
      <w:r>
        <w:rPr>
          <w:color w:val="auto"/>
          <w:spacing w:val="-4"/>
        </w:rPr>
        <w:t>《废弃电器电子产品回收处理管理条例》第二十七条“违反本条例规定，电器电</w:t>
      </w:r>
      <w:r>
        <w:rPr>
          <w:color w:val="auto"/>
          <w:spacing w:val="-5"/>
        </w:rPr>
        <w:t>子产品生产者、进口电器电子产品的收货人或者其代理人生产、进口的电器电子产品</w:t>
      </w:r>
      <w:r>
        <w:rPr>
          <w:color w:val="auto"/>
          <w:spacing w:val="-3"/>
        </w:rPr>
        <w:t>上或者产品说明书中未按照规定提供有关有毒有害物质含量、回收处理提示性说明等</w:t>
      </w:r>
      <w:r>
        <w:rPr>
          <w:color w:val="auto"/>
          <w:spacing w:val="-7"/>
        </w:rPr>
        <w:t xml:space="preserve">信息的，由县级以上地方人民政府市场监督管理部门责令限期改正，处 </w:t>
      </w:r>
      <w:r>
        <w:rPr>
          <w:color w:val="auto"/>
        </w:rPr>
        <w:t>5</w:t>
      </w:r>
      <w:r>
        <w:rPr>
          <w:color w:val="auto"/>
          <w:spacing w:val="-13"/>
        </w:rPr>
        <w:t xml:space="preserve"> 万元以下的</w:t>
      </w:r>
      <w:r>
        <w:rPr>
          <w:color w:val="auto"/>
          <w:spacing w:val="-30"/>
        </w:rPr>
        <w:t>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57"/>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81"/>
        <w:rPr>
          <w:color w:val="auto"/>
        </w:rPr>
      </w:pPr>
      <w:r>
        <w:rPr>
          <w:color w:val="auto"/>
        </w:rPr>
        <w:t>初次违法，且涉案产品数量较少的。</w:t>
      </w:r>
    </w:p>
    <w:p>
      <w:pPr>
        <w:pStyle w:val="13"/>
        <w:numPr>
          <w:ilvl w:val="0"/>
          <w:numId w:val="55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55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涉案产品数量较多的。</w:t>
      </w:r>
    </w:p>
    <w:p>
      <w:pPr>
        <w:pStyle w:val="13"/>
        <w:numPr>
          <w:ilvl w:val="0"/>
          <w:numId w:val="55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处 2 万元以上 3 万元以下罚款。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3、【较重】</w:t>
      </w:r>
    </w:p>
    <w:p>
      <w:pPr>
        <w:pStyle w:val="13"/>
        <w:numPr>
          <w:ilvl w:val="0"/>
          <w:numId w:val="559"/>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81"/>
        <w:rPr>
          <w:color w:val="auto"/>
        </w:rPr>
      </w:pPr>
      <w:r>
        <w:rPr>
          <w:color w:val="auto"/>
        </w:rPr>
        <w:t>未按照要求改正的。</w:t>
      </w:r>
    </w:p>
    <w:p>
      <w:pPr>
        <w:pStyle w:val="13"/>
        <w:numPr>
          <w:ilvl w:val="0"/>
          <w:numId w:val="55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3</w:t>
      </w:r>
      <w:r>
        <w:rPr>
          <w:color w:val="auto"/>
          <w:spacing w:val="-20"/>
        </w:rPr>
        <w:t xml:space="preserve"> 万元以上 </w:t>
      </w:r>
      <w:r>
        <w:rPr>
          <w:color w:val="auto"/>
        </w:rPr>
        <w:t>4</w:t>
      </w:r>
      <w:r>
        <w:rPr>
          <w:color w:val="auto"/>
          <w:spacing w:val="-10"/>
        </w:rPr>
        <w:t xml:space="preserve"> 万元以下罚款。</w:t>
      </w:r>
      <w:r>
        <w:rPr>
          <w:color w:val="auto"/>
        </w:rPr>
        <w:t>4</w:t>
      </w:r>
      <w:r>
        <w:rPr>
          <w:color w:val="auto"/>
          <w:spacing w:val="-24"/>
        </w:rPr>
        <w:t>、【严重】</w:t>
      </w:r>
    </w:p>
    <w:p>
      <w:pPr>
        <w:pStyle w:val="13"/>
        <w:numPr>
          <w:ilvl w:val="0"/>
          <w:numId w:val="56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有下列情形之一的：1、拒不改正的；2、造成较严重以上危害后果的。</w:t>
      </w:r>
    </w:p>
    <w:p>
      <w:pPr>
        <w:pStyle w:val="13"/>
        <w:numPr>
          <w:ilvl w:val="0"/>
          <w:numId w:val="56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处 4 万元以上 5 万元以下罚款。</w:t>
      </w:r>
    </w:p>
    <w:p>
      <w:pPr>
        <w:pStyle w:val="2"/>
        <w:spacing w:before="194"/>
        <w:rPr>
          <w:color w:val="auto"/>
        </w:rPr>
      </w:pPr>
      <w:bookmarkStart w:id="749" w:name="三百六十六、食品检验机构、食品检验人员出具虚假检验报告"/>
      <w:bookmarkEnd w:id="749"/>
      <w:bookmarkStart w:id="750" w:name="_bookmark374"/>
      <w:bookmarkEnd w:id="750"/>
      <w:r>
        <w:rPr>
          <w:color w:val="auto"/>
        </w:rPr>
        <w:t>三百六十六、食品检验机构、食品检验人员出具虚假检验报告</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4"/>
        </w:rPr>
        <w:t>《中华人民共和国食品安全法》第一百三十八条第一款“违反本法规定，食品检</w:t>
      </w:r>
      <w:r>
        <w:rPr>
          <w:color w:val="auto"/>
          <w:spacing w:val="-6"/>
        </w:rPr>
        <w:t>验机构、食品检验人员出具虚假检验报告的，由授予其资质的主管部门或者机构撤销</w:t>
      </w:r>
      <w:r>
        <w:rPr>
          <w:color w:val="auto"/>
          <w:spacing w:val="-4"/>
        </w:rPr>
        <w:t>该食品检验机构的检验资质，没收所收取的检验费用，并处检验费用五倍以上十倍以下罚款，检验费用不足一万元的，并处五万元以上十万元以下罚款。”</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56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未造成不良社会影响的。</w:t>
      </w:r>
    </w:p>
    <w:p>
      <w:pPr>
        <w:pStyle w:val="13"/>
        <w:numPr>
          <w:ilvl w:val="0"/>
          <w:numId w:val="56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5"/>
        </w:rPr>
        <w:t xml:space="preserve">撤销检验资质，没收所收取的检验费用，并处检验费用 </w:t>
      </w:r>
      <w:r>
        <w:rPr>
          <w:color w:val="auto"/>
        </w:rPr>
        <w:t>5</w:t>
      </w:r>
      <w:r>
        <w:rPr>
          <w:color w:val="auto"/>
          <w:spacing w:val="-24"/>
        </w:rPr>
        <w:t xml:space="preserve"> 倍以上 </w:t>
      </w:r>
      <w:r>
        <w:rPr>
          <w:color w:val="auto"/>
        </w:rPr>
        <w:t>7</w:t>
      </w:r>
      <w:r>
        <w:rPr>
          <w:color w:val="auto"/>
          <w:spacing w:val="-8"/>
        </w:rPr>
        <w:t xml:space="preserve"> 倍以下的罚款；</w:t>
      </w:r>
    </w:p>
    <w:p>
      <w:pPr>
        <w:pStyle w:val="4"/>
        <w:spacing w:before="194" w:line="388" w:lineRule="auto"/>
        <w:ind w:left="591" w:right="2872" w:hanging="480"/>
        <w:rPr>
          <w:color w:val="auto"/>
        </w:rPr>
      </w:pPr>
      <w:r>
        <w:rPr>
          <w:color w:val="auto"/>
          <w:spacing w:val="-9"/>
        </w:rPr>
        <w:t xml:space="preserve">检验费用不足 </w:t>
      </w:r>
      <w:r>
        <w:rPr>
          <w:color w:val="auto"/>
        </w:rPr>
        <w:t>1</w:t>
      </w:r>
      <w:r>
        <w:rPr>
          <w:color w:val="auto"/>
          <w:spacing w:val="-16"/>
        </w:rPr>
        <w:t xml:space="preserve"> 万元的，并处 </w:t>
      </w:r>
      <w:r>
        <w:rPr>
          <w:color w:val="auto"/>
        </w:rPr>
        <w:t>5</w:t>
      </w:r>
      <w:r>
        <w:rPr>
          <w:color w:val="auto"/>
          <w:spacing w:val="-20"/>
        </w:rPr>
        <w:t xml:space="preserve"> 万元以上 </w:t>
      </w:r>
      <w:r>
        <w:rPr>
          <w:color w:val="auto"/>
        </w:rPr>
        <w:t>7</w:t>
      </w:r>
      <w:r>
        <w:rPr>
          <w:color w:val="auto"/>
          <w:spacing w:val="-10"/>
        </w:rPr>
        <w:t xml:space="preserve"> 万元以下罚款。</w:t>
      </w:r>
      <w:r>
        <w:rPr>
          <w:color w:val="auto"/>
        </w:rPr>
        <w:t>2</w:t>
      </w:r>
      <w:r>
        <w:rPr>
          <w:color w:val="auto"/>
          <w:spacing w:val="-24"/>
        </w:rPr>
        <w:t>、【较重】</w:t>
      </w:r>
    </w:p>
    <w:p>
      <w:pPr>
        <w:pStyle w:val="13"/>
        <w:numPr>
          <w:ilvl w:val="0"/>
          <w:numId w:val="56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造成一定不良社会影响的。</w:t>
      </w:r>
    </w:p>
    <w:p>
      <w:pPr>
        <w:pStyle w:val="13"/>
        <w:numPr>
          <w:ilvl w:val="0"/>
          <w:numId w:val="562"/>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5"/>
        </w:rPr>
        <w:t xml:space="preserve">撤销检验资质，没收所收取的检验费用，并处检验费用 </w:t>
      </w:r>
      <w:r>
        <w:rPr>
          <w:color w:val="auto"/>
        </w:rPr>
        <w:t>7</w:t>
      </w:r>
      <w:r>
        <w:rPr>
          <w:color w:val="auto"/>
          <w:spacing w:val="-24"/>
        </w:rPr>
        <w:t xml:space="preserve"> 倍以上 </w:t>
      </w:r>
      <w:r>
        <w:rPr>
          <w:color w:val="auto"/>
        </w:rPr>
        <w:t>9</w:t>
      </w:r>
      <w:r>
        <w:rPr>
          <w:color w:val="auto"/>
          <w:spacing w:val="-8"/>
        </w:rPr>
        <w:t xml:space="preserve"> 倍以下的罚款；</w:t>
      </w:r>
    </w:p>
    <w:p>
      <w:pPr>
        <w:spacing w:after="0"/>
        <w:rPr>
          <w:color w:val="auto"/>
        </w:rPr>
        <w:sectPr>
          <w:pgSz w:w="11910" w:h="16840"/>
          <w:pgMar w:top="1520" w:right="1260" w:bottom="1220" w:left="1420" w:header="0" w:footer="1034" w:gutter="0"/>
        </w:sectPr>
      </w:pPr>
    </w:p>
    <w:p>
      <w:pPr>
        <w:pStyle w:val="4"/>
        <w:spacing w:before="39" w:line="391" w:lineRule="auto"/>
        <w:ind w:left="591" w:right="2872" w:hanging="480"/>
        <w:rPr>
          <w:color w:val="auto"/>
        </w:rPr>
      </w:pPr>
      <w:r>
        <w:rPr>
          <w:color w:val="auto"/>
          <w:spacing w:val="-9"/>
        </w:rPr>
        <w:t xml:space="preserve">检验费用不足 </w:t>
      </w:r>
      <w:r>
        <w:rPr>
          <w:color w:val="auto"/>
        </w:rPr>
        <w:t>1</w:t>
      </w:r>
      <w:r>
        <w:rPr>
          <w:color w:val="auto"/>
          <w:spacing w:val="-16"/>
        </w:rPr>
        <w:t xml:space="preserve"> 万元的，并处 </w:t>
      </w:r>
      <w:r>
        <w:rPr>
          <w:color w:val="auto"/>
        </w:rPr>
        <w:t>7</w:t>
      </w:r>
      <w:r>
        <w:rPr>
          <w:color w:val="auto"/>
          <w:spacing w:val="-20"/>
        </w:rPr>
        <w:t xml:space="preserve"> 万元以上 </w:t>
      </w:r>
      <w:r>
        <w:rPr>
          <w:color w:val="auto"/>
        </w:rPr>
        <w:t>9</w:t>
      </w:r>
      <w:r>
        <w:rPr>
          <w:color w:val="auto"/>
          <w:spacing w:val="-10"/>
        </w:rPr>
        <w:t xml:space="preserve"> 万元以下罚款。</w:t>
      </w:r>
      <w:r>
        <w:rPr>
          <w:color w:val="auto"/>
        </w:rPr>
        <w:t>3</w:t>
      </w:r>
      <w:r>
        <w:rPr>
          <w:color w:val="auto"/>
          <w:spacing w:val="-24"/>
        </w:rPr>
        <w:t>、【严重】</w:t>
      </w:r>
    </w:p>
    <w:p>
      <w:pPr>
        <w:pStyle w:val="13"/>
        <w:numPr>
          <w:ilvl w:val="0"/>
          <w:numId w:val="56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造成严重不良社会影响的。</w:t>
      </w:r>
    </w:p>
    <w:p>
      <w:pPr>
        <w:pStyle w:val="13"/>
        <w:numPr>
          <w:ilvl w:val="0"/>
          <w:numId w:val="56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撤销检验资质，没收所收取的检验费用，并处检验费用 9 倍以上 10 倍以下的罚</w:t>
      </w:r>
    </w:p>
    <w:p>
      <w:pPr>
        <w:spacing w:before="192" w:line="391" w:lineRule="auto"/>
        <w:ind w:left="591" w:right="2272" w:hanging="480"/>
        <w:jc w:val="left"/>
        <w:rPr>
          <w:b/>
          <w:color w:val="auto"/>
          <w:sz w:val="24"/>
        </w:rPr>
      </w:pPr>
      <w:r>
        <w:rPr>
          <w:color w:val="auto"/>
          <w:spacing w:val="-7"/>
          <w:sz w:val="24"/>
        </w:rPr>
        <w:t xml:space="preserve">款；检验费用不足 </w:t>
      </w:r>
      <w:r>
        <w:rPr>
          <w:color w:val="auto"/>
          <w:sz w:val="24"/>
        </w:rPr>
        <w:t>1</w:t>
      </w:r>
      <w:r>
        <w:rPr>
          <w:color w:val="auto"/>
          <w:spacing w:val="-16"/>
          <w:sz w:val="24"/>
        </w:rPr>
        <w:t xml:space="preserve"> 万元的，并处 </w:t>
      </w:r>
      <w:r>
        <w:rPr>
          <w:color w:val="auto"/>
          <w:sz w:val="24"/>
        </w:rPr>
        <w:t>9</w:t>
      </w:r>
      <w:r>
        <w:rPr>
          <w:color w:val="auto"/>
          <w:spacing w:val="-20"/>
          <w:sz w:val="24"/>
        </w:rPr>
        <w:t xml:space="preserve"> 万元以上 </w:t>
      </w:r>
      <w:r>
        <w:rPr>
          <w:color w:val="auto"/>
          <w:sz w:val="24"/>
        </w:rPr>
        <w:t>10</w:t>
      </w:r>
      <w:r>
        <w:rPr>
          <w:color w:val="auto"/>
          <w:spacing w:val="-10"/>
          <w:sz w:val="24"/>
        </w:rPr>
        <w:t xml:space="preserve"> 万元以下罚款。</w:t>
      </w:r>
      <w:bookmarkStart w:id="751" w:name="三百六十七、认证机构出具虚假认证结论"/>
      <w:bookmarkEnd w:id="751"/>
      <w:bookmarkStart w:id="752" w:name="_bookmark375"/>
      <w:bookmarkEnd w:id="752"/>
      <w:r>
        <w:rPr>
          <w:b/>
          <w:color w:val="auto"/>
          <w:sz w:val="24"/>
        </w:rPr>
        <w:t>三百六十七、认证机构出具虚假认证结论</w:t>
      </w:r>
    </w:p>
    <w:p>
      <w:pPr>
        <w:pStyle w:val="2"/>
        <w:spacing w:line="306" w:lineRule="exact"/>
        <w:rPr>
          <w:color w:val="auto"/>
        </w:rPr>
      </w:pPr>
      <w:r>
        <w:rPr>
          <w:color w:val="auto"/>
        </w:rPr>
        <w:t>（一）处罚依据</w:t>
      </w:r>
    </w:p>
    <w:p>
      <w:pPr>
        <w:pStyle w:val="4"/>
        <w:spacing w:before="191" w:line="391" w:lineRule="auto"/>
        <w:ind w:right="148" w:firstLine="480"/>
        <w:rPr>
          <w:color w:val="auto"/>
        </w:rPr>
      </w:pPr>
      <w:r>
        <w:rPr>
          <w:color w:val="auto"/>
          <w:spacing w:val="-3"/>
        </w:rPr>
        <w:t>《中华人民共和国食品安全法》第一百三十九条第一款“违反本法规定，认证机</w:t>
      </w:r>
      <w:r>
        <w:rPr>
          <w:color w:val="auto"/>
          <w:spacing w:val="-6"/>
        </w:rPr>
        <w:t>构出具虚假认证结论，由认证认可监督管理部门没收所收取的认证费用，并处认证费</w:t>
      </w:r>
      <w:r>
        <w:rPr>
          <w:color w:val="auto"/>
          <w:spacing w:val="-16"/>
        </w:rPr>
        <w:t xml:space="preserve">用五倍以上十倍以下罚款，认证费用不足一万元的，并处五万元以上十万元以下罚款； </w:t>
      </w:r>
      <w:r>
        <w:rPr>
          <w:color w:val="auto"/>
          <w:spacing w:val="-5"/>
        </w:rPr>
        <w:t>情节严重的，责令停业，直至撤销认证机构批准文件，并向社会公布；对直接负责的</w:t>
      </w:r>
      <w:r>
        <w:rPr>
          <w:color w:val="auto"/>
          <w:spacing w:val="-10"/>
        </w:rPr>
        <w:t>主管人员和负有直接责任的认证人员，撤销其执业资格。”</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564"/>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认证费用不足一万元，且未造成危害后果或不良社会影响的。</w:t>
      </w:r>
    </w:p>
    <w:p>
      <w:pPr>
        <w:pStyle w:val="13"/>
        <w:numPr>
          <w:ilvl w:val="0"/>
          <w:numId w:val="56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7"/>
        </w:rPr>
        <w:t xml:space="preserve">责令改正，没收所收取的认证费用，并处认证费用 </w:t>
      </w:r>
      <w:r>
        <w:rPr>
          <w:color w:val="auto"/>
        </w:rPr>
        <w:t>5</w:t>
      </w:r>
      <w:r>
        <w:rPr>
          <w:color w:val="auto"/>
          <w:spacing w:val="-24"/>
        </w:rPr>
        <w:t xml:space="preserve"> 倍以上 </w:t>
      </w:r>
      <w:r>
        <w:rPr>
          <w:color w:val="auto"/>
        </w:rPr>
        <w:t>7</w:t>
      </w:r>
      <w:r>
        <w:rPr>
          <w:color w:val="auto"/>
          <w:spacing w:val="-11"/>
        </w:rPr>
        <w:t xml:space="preserve"> 倍以下的罚款</w:t>
      </w:r>
      <w:r>
        <w:rPr>
          <w:color w:val="auto"/>
        </w:rPr>
        <w:t>（认</w:t>
      </w:r>
    </w:p>
    <w:p>
      <w:pPr>
        <w:pStyle w:val="4"/>
        <w:spacing w:before="192" w:line="388" w:lineRule="auto"/>
        <w:ind w:left="591" w:right="2992" w:hanging="480"/>
        <w:rPr>
          <w:color w:val="auto"/>
        </w:rPr>
      </w:pPr>
      <w:r>
        <w:rPr>
          <w:color w:val="auto"/>
          <w:spacing w:val="-10"/>
        </w:rPr>
        <w:t xml:space="preserve">证费用不足 </w:t>
      </w:r>
      <w:r>
        <w:rPr>
          <w:color w:val="auto"/>
        </w:rPr>
        <w:t>1</w:t>
      </w:r>
      <w:r>
        <w:rPr>
          <w:color w:val="auto"/>
          <w:spacing w:val="-16"/>
        </w:rPr>
        <w:t xml:space="preserve"> 万元的，并处 </w:t>
      </w:r>
      <w:r>
        <w:rPr>
          <w:color w:val="auto"/>
        </w:rPr>
        <w:t>5</w:t>
      </w:r>
      <w:r>
        <w:rPr>
          <w:color w:val="auto"/>
          <w:spacing w:val="-20"/>
        </w:rPr>
        <w:t xml:space="preserve"> 万元以上 </w:t>
      </w:r>
      <w:r>
        <w:rPr>
          <w:color w:val="auto"/>
        </w:rPr>
        <w:t>7</w:t>
      </w:r>
      <w:r>
        <w:rPr>
          <w:color w:val="auto"/>
          <w:spacing w:val="-9"/>
        </w:rPr>
        <w:t xml:space="preserve"> 万元以下罚款</w:t>
      </w:r>
      <w:r>
        <w:rPr>
          <w:color w:val="auto"/>
          <w:spacing w:val="-120"/>
        </w:rPr>
        <w:t>）</w:t>
      </w:r>
      <w:r>
        <w:rPr>
          <w:color w:val="auto"/>
          <w:spacing w:val="-17"/>
        </w:rPr>
        <w:t>。</w:t>
      </w:r>
      <w:r>
        <w:rPr>
          <w:color w:val="auto"/>
        </w:rPr>
        <w:t>2</w:t>
      </w:r>
      <w:r>
        <w:rPr>
          <w:color w:val="auto"/>
          <w:spacing w:val="-24"/>
        </w:rPr>
        <w:t>、【较重】</w:t>
      </w:r>
    </w:p>
    <w:p>
      <w:pPr>
        <w:pStyle w:val="13"/>
        <w:numPr>
          <w:ilvl w:val="0"/>
          <w:numId w:val="56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认证费用不足一万元，且造成一定危害后果或不良社会影响的。</w:t>
      </w:r>
    </w:p>
    <w:p>
      <w:pPr>
        <w:pStyle w:val="13"/>
        <w:numPr>
          <w:ilvl w:val="0"/>
          <w:numId w:val="56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7"/>
        </w:rPr>
        <w:t xml:space="preserve">责令改正，没收所收取的认证费用，并处认证费用 </w:t>
      </w:r>
      <w:r>
        <w:rPr>
          <w:color w:val="auto"/>
        </w:rPr>
        <w:t>7</w:t>
      </w:r>
      <w:r>
        <w:rPr>
          <w:color w:val="auto"/>
          <w:spacing w:val="-24"/>
        </w:rPr>
        <w:t xml:space="preserve"> 倍以上 </w:t>
      </w:r>
      <w:r>
        <w:rPr>
          <w:color w:val="auto"/>
        </w:rPr>
        <w:t>9</w:t>
      </w:r>
      <w:r>
        <w:rPr>
          <w:color w:val="auto"/>
          <w:spacing w:val="-11"/>
        </w:rPr>
        <w:t xml:space="preserve"> 倍以下的罚款</w:t>
      </w:r>
      <w:r>
        <w:rPr>
          <w:color w:val="auto"/>
        </w:rPr>
        <w:t>（认</w:t>
      </w:r>
    </w:p>
    <w:p>
      <w:pPr>
        <w:pStyle w:val="4"/>
        <w:spacing w:before="191" w:line="388" w:lineRule="auto"/>
        <w:ind w:left="591" w:right="2992" w:hanging="480"/>
        <w:rPr>
          <w:color w:val="auto"/>
        </w:rPr>
      </w:pPr>
      <w:r>
        <w:rPr>
          <w:color w:val="auto"/>
          <w:spacing w:val="-10"/>
        </w:rPr>
        <w:t xml:space="preserve">证费用不足 </w:t>
      </w:r>
      <w:r>
        <w:rPr>
          <w:color w:val="auto"/>
        </w:rPr>
        <w:t>1</w:t>
      </w:r>
      <w:r>
        <w:rPr>
          <w:color w:val="auto"/>
          <w:spacing w:val="-16"/>
        </w:rPr>
        <w:t xml:space="preserve"> 万元的，并处 </w:t>
      </w:r>
      <w:r>
        <w:rPr>
          <w:color w:val="auto"/>
        </w:rPr>
        <w:t>7</w:t>
      </w:r>
      <w:r>
        <w:rPr>
          <w:color w:val="auto"/>
          <w:spacing w:val="-20"/>
        </w:rPr>
        <w:t xml:space="preserve"> 万元以上 </w:t>
      </w:r>
      <w:r>
        <w:rPr>
          <w:color w:val="auto"/>
        </w:rPr>
        <w:t>9</w:t>
      </w:r>
      <w:r>
        <w:rPr>
          <w:color w:val="auto"/>
          <w:spacing w:val="-9"/>
        </w:rPr>
        <w:t xml:space="preserve"> 万元以下罚款</w:t>
      </w:r>
      <w:r>
        <w:rPr>
          <w:color w:val="auto"/>
          <w:spacing w:val="-120"/>
        </w:rPr>
        <w:t>）</w:t>
      </w:r>
      <w:r>
        <w:rPr>
          <w:color w:val="auto"/>
          <w:spacing w:val="-17"/>
        </w:rPr>
        <w:t>。</w:t>
      </w:r>
      <w:r>
        <w:rPr>
          <w:color w:val="auto"/>
        </w:rPr>
        <w:t>3</w:t>
      </w:r>
      <w:r>
        <w:rPr>
          <w:color w:val="auto"/>
          <w:spacing w:val="-24"/>
        </w:rPr>
        <w:t>、【严重】</w:t>
      </w:r>
    </w:p>
    <w:p>
      <w:pPr>
        <w:spacing w:after="0" w:line="388" w:lineRule="auto"/>
        <w:rPr>
          <w:color w:val="auto"/>
        </w:rPr>
        <w:sectPr>
          <w:footerReference r:id="rId77" w:type="default"/>
          <w:footerReference r:id="rId78" w:type="even"/>
          <w:pgSz w:w="11910" w:h="16840"/>
          <w:pgMar w:top="1520" w:right="1260" w:bottom="1220" w:left="1420" w:header="0" w:footer="1034" w:gutter="0"/>
          <w:pgNumType w:start="350"/>
        </w:sectPr>
      </w:pPr>
    </w:p>
    <w:p>
      <w:pPr>
        <w:pStyle w:val="13"/>
        <w:numPr>
          <w:ilvl w:val="0"/>
          <w:numId w:val="566"/>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12" w:firstLine="480"/>
        <w:rPr>
          <w:color w:val="auto"/>
        </w:rPr>
      </w:pPr>
      <w:r>
        <w:rPr>
          <w:color w:val="auto"/>
        </w:rPr>
        <w:t>有下列情形之一的：1、造成严重危害后果或不良影响；2、长期地、批量地出具虚假认证结论，严重影响正常认证秩序的；3、具备其他严重情形的。</w:t>
      </w:r>
    </w:p>
    <w:p>
      <w:pPr>
        <w:pStyle w:val="13"/>
        <w:numPr>
          <w:ilvl w:val="0"/>
          <w:numId w:val="56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没收所收取的认证费用，并处认证费用 10 倍的罚款（认证费用不足 1 万元的，</w:t>
      </w:r>
    </w:p>
    <w:p>
      <w:pPr>
        <w:pStyle w:val="4"/>
        <w:spacing w:before="192"/>
        <w:rPr>
          <w:color w:val="auto"/>
        </w:rPr>
      </w:pPr>
      <w:r>
        <w:rPr>
          <w:color w:val="auto"/>
          <w:spacing w:val="-20"/>
        </w:rPr>
        <w:t xml:space="preserve">并处 </w:t>
      </w:r>
      <w:r>
        <w:rPr>
          <w:color w:val="auto"/>
        </w:rPr>
        <w:t>10</w:t>
      </w:r>
      <w:r>
        <w:rPr>
          <w:color w:val="auto"/>
          <w:spacing w:val="-12"/>
        </w:rPr>
        <w:t xml:space="preserve"> 万元罚款</w:t>
      </w:r>
      <w:r>
        <w:rPr>
          <w:color w:val="auto"/>
          <w:spacing w:val="-120"/>
        </w:rPr>
        <w:t>）</w:t>
      </w:r>
      <w:r>
        <w:rPr>
          <w:color w:val="auto"/>
        </w:rPr>
        <w:t>；通报批准机关。</w:t>
      </w:r>
    </w:p>
    <w:p>
      <w:pPr>
        <w:pStyle w:val="2"/>
        <w:spacing w:before="191" w:line="391" w:lineRule="auto"/>
        <w:ind w:left="111" w:right="170" w:firstLine="480"/>
        <w:rPr>
          <w:color w:val="auto"/>
        </w:rPr>
      </w:pPr>
      <w:bookmarkStart w:id="753" w:name="三百六十八、生产、销售利用残次零配件或者报废农业机械的发动机、方向机、变速器、车"/>
      <w:bookmarkEnd w:id="753"/>
      <w:bookmarkStart w:id="754" w:name="_bookmark376"/>
      <w:bookmarkEnd w:id="754"/>
      <w:r>
        <w:rPr>
          <w:color w:val="auto"/>
        </w:rPr>
        <w:t>三百六十八、生产、销售利用残次零配件或者报废农业机械的发动机、方向机、变速器、车架等部件拼装的农业机械</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《农业机械安全监督管理条例》第四十六条第一款 “生产、销售利用残次零配</w:t>
      </w:r>
      <w:r>
        <w:rPr>
          <w:color w:val="auto"/>
          <w:spacing w:val="-4"/>
        </w:rPr>
        <w:t>件或者报废农业机械的发动机、方向机、变速器、车架等部件拼装的农业机械的，由</w:t>
      </w:r>
      <w:r>
        <w:rPr>
          <w:color w:val="auto"/>
          <w:spacing w:val="-12"/>
        </w:rPr>
        <w:t>县级以上人民政府市场监督管理部门责令停止生产、销售，没收违法所得和违法生产、</w:t>
      </w:r>
      <w:r>
        <w:rPr>
          <w:color w:val="auto"/>
          <w:spacing w:val="-6"/>
        </w:rPr>
        <w:t xml:space="preserve">销售的农业机械，并处违法产品货值金额 </w:t>
      </w:r>
      <w:r>
        <w:rPr>
          <w:color w:val="auto"/>
        </w:rPr>
        <w:t>1</w:t>
      </w:r>
      <w:r>
        <w:rPr>
          <w:color w:val="auto"/>
          <w:spacing w:val="-24"/>
        </w:rPr>
        <w:t xml:space="preserve"> 倍以上 </w:t>
      </w:r>
      <w:r>
        <w:rPr>
          <w:color w:val="auto"/>
        </w:rPr>
        <w:t>3</w:t>
      </w:r>
      <w:r>
        <w:rPr>
          <w:color w:val="auto"/>
          <w:spacing w:val="-10"/>
        </w:rPr>
        <w:t xml:space="preserve"> 倍以下罚款；情节严重的，吊销</w:t>
      </w:r>
      <w:r>
        <w:rPr>
          <w:color w:val="auto"/>
          <w:spacing w:val="-27"/>
        </w:rPr>
        <w:t>营业执照。”</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67"/>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初次生产，产品货值低于 3 万元，且尚未销售。</w:t>
      </w:r>
    </w:p>
    <w:p>
      <w:pPr>
        <w:pStyle w:val="13"/>
        <w:numPr>
          <w:ilvl w:val="0"/>
          <w:numId w:val="56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right="229" w:firstLine="480"/>
        <w:rPr>
          <w:color w:val="auto"/>
        </w:rPr>
      </w:pPr>
      <w:r>
        <w:rPr>
          <w:color w:val="auto"/>
        </w:rPr>
        <w:t>责令停止生产、销售，没收违法所得和违法生产、销售的农业机械，并处违法产品货值金额 1 倍以上 1.5 倍以下罚款。</w:t>
      </w:r>
    </w:p>
    <w:p>
      <w:pPr>
        <w:pStyle w:val="4"/>
        <w:spacing w:before="2"/>
        <w:ind w:left="591"/>
        <w:rPr>
          <w:color w:val="auto"/>
        </w:rPr>
      </w:pPr>
      <w:r>
        <w:rPr>
          <w:color w:val="auto"/>
        </w:rPr>
        <w:t>2、【一般】</w:t>
      </w:r>
    </w:p>
    <w:p>
      <w:pPr>
        <w:pStyle w:val="13"/>
        <w:numPr>
          <w:ilvl w:val="0"/>
          <w:numId w:val="56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148" w:firstLine="480"/>
        <w:rPr>
          <w:color w:val="auto"/>
        </w:rPr>
      </w:pPr>
      <w:r>
        <w:rPr>
          <w:color w:val="auto"/>
          <w:spacing w:val="-5"/>
        </w:rPr>
        <w:t xml:space="preserve">违法销售的农业机械货值金额低于 </w:t>
      </w:r>
      <w:r>
        <w:rPr>
          <w:color w:val="auto"/>
        </w:rPr>
        <w:t>3</w:t>
      </w:r>
      <w:r>
        <w:rPr>
          <w:color w:val="auto"/>
          <w:spacing w:val="-23"/>
        </w:rPr>
        <w:t xml:space="preserve"> 万元，或者生产货值高于 </w:t>
      </w:r>
      <w:r>
        <w:rPr>
          <w:color w:val="auto"/>
        </w:rPr>
        <w:t>3</w:t>
      </w:r>
      <w:r>
        <w:rPr>
          <w:color w:val="auto"/>
          <w:spacing w:val="-23"/>
        </w:rPr>
        <w:t xml:space="preserve"> 万元低于 </w:t>
      </w:r>
      <w:r>
        <w:rPr>
          <w:color w:val="auto"/>
        </w:rPr>
        <w:t>9</w:t>
      </w:r>
      <w:r>
        <w:rPr>
          <w:color w:val="auto"/>
          <w:spacing w:val="-20"/>
        </w:rPr>
        <w:t xml:space="preserve"> 万元， </w:t>
      </w:r>
      <w:r>
        <w:rPr>
          <w:color w:val="auto"/>
        </w:rPr>
        <w:t>且未造成危害后果的。</w:t>
      </w:r>
    </w:p>
    <w:p>
      <w:pPr>
        <w:pStyle w:val="13"/>
        <w:numPr>
          <w:ilvl w:val="0"/>
          <w:numId w:val="56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29" w:firstLine="480"/>
        <w:rPr>
          <w:color w:val="auto"/>
        </w:rPr>
      </w:pPr>
      <w:r>
        <w:rPr>
          <w:color w:val="auto"/>
        </w:rPr>
        <w:t>责令停止生产、销售，没收违法所得和违法生产、销售的农业机械，并处违法产品货值金额 1.5 倍以上 2 倍以下罚款。通报营业执照发证部门。</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3、【较重】</w:t>
      </w:r>
    </w:p>
    <w:p>
      <w:pPr>
        <w:pStyle w:val="13"/>
        <w:numPr>
          <w:ilvl w:val="0"/>
          <w:numId w:val="569"/>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w:t>
      </w:r>
      <w:r>
        <w:rPr>
          <w:color w:val="auto"/>
          <w:spacing w:val="-3"/>
        </w:rPr>
        <w:t xml:space="preserve">、违法销售的农业机械货值金额高于 </w:t>
      </w:r>
      <w:r>
        <w:rPr>
          <w:color w:val="auto"/>
        </w:rPr>
        <w:t>3</w:t>
      </w:r>
      <w:r>
        <w:rPr>
          <w:color w:val="auto"/>
          <w:spacing w:val="-15"/>
        </w:rPr>
        <w:t xml:space="preserve"> 万元低于 </w:t>
      </w:r>
      <w:r>
        <w:rPr>
          <w:color w:val="auto"/>
        </w:rPr>
        <w:t>5</w:t>
      </w:r>
      <w:r>
        <w:rPr>
          <w:color w:val="auto"/>
          <w:spacing w:val="-12"/>
        </w:rPr>
        <w:t xml:space="preserve"> 万元，</w:t>
      </w:r>
    </w:p>
    <w:p>
      <w:pPr>
        <w:pStyle w:val="4"/>
        <w:spacing w:before="192" w:line="391" w:lineRule="auto"/>
        <w:ind w:right="232"/>
        <w:rPr>
          <w:color w:val="auto"/>
        </w:rPr>
      </w:pPr>
      <w:r>
        <w:rPr>
          <w:color w:val="auto"/>
          <w:spacing w:val="-7"/>
        </w:rPr>
        <w:t xml:space="preserve">或者生产货值高于 </w:t>
      </w:r>
      <w:r>
        <w:rPr>
          <w:color w:val="auto"/>
        </w:rPr>
        <w:t>9</w:t>
      </w:r>
      <w:r>
        <w:rPr>
          <w:color w:val="auto"/>
          <w:spacing w:val="-20"/>
        </w:rPr>
        <w:t xml:space="preserve"> 万元低于 </w:t>
      </w:r>
      <w:r>
        <w:rPr>
          <w:color w:val="auto"/>
        </w:rPr>
        <w:t>15</w:t>
      </w:r>
      <w:r>
        <w:rPr>
          <w:color w:val="auto"/>
          <w:spacing w:val="-9"/>
        </w:rPr>
        <w:t xml:space="preserve"> 万元，且未造成危害后果的；</w:t>
      </w:r>
      <w:r>
        <w:rPr>
          <w:color w:val="auto"/>
          <w:spacing w:val="-5"/>
        </w:rPr>
        <w:t>2、违法生产、销售的</w:t>
      </w:r>
      <w:r>
        <w:rPr>
          <w:color w:val="auto"/>
          <w:spacing w:val="-6"/>
        </w:rPr>
        <w:t>农业机械存在危及人体健康和人身、财产安全的致命隐患，但尚未造成危害后果的。</w:t>
      </w:r>
    </w:p>
    <w:p>
      <w:pPr>
        <w:pStyle w:val="13"/>
        <w:numPr>
          <w:ilvl w:val="0"/>
          <w:numId w:val="56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29" w:firstLine="480"/>
        <w:rPr>
          <w:color w:val="auto"/>
        </w:rPr>
      </w:pPr>
      <w:r>
        <w:rPr>
          <w:color w:val="auto"/>
        </w:rPr>
        <w:t>责令停止生产、销售，没收违法所得和违法生产、销售的农业机械，并处违法产品货值金额 2 倍以上 2.5 倍以下罚款。通报营业执照发证部门。</w:t>
      </w:r>
    </w:p>
    <w:p>
      <w:pPr>
        <w:pStyle w:val="4"/>
        <w:spacing w:line="306" w:lineRule="exact"/>
        <w:ind w:left="591"/>
        <w:rPr>
          <w:color w:val="auto"/>
        </w:rPr>
      </w:pPr>
      <w:r>
        <w:rPr>
          <w:color w:val="auto"/>
        </w:rPr>
        <w:t>4、【严重】</w:t>
      </w:r>
    </w:p>
    <w:p>
      <w:pPr>
        <w:pStyle w:val="13"/>
        <w:numPr>
          <w:ilvl w:val="0"/>
          <w:numId w:val="570"/>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有下列情形之一的：1、违法销售的农业机械货值金额高于 5 万元，或者生产货</w:t>
      </w:r>
    </w:p>
    <w:p>
      <w:pPr>
        <w:pStyle w:val="4"/>
        <w:spacing w:before="192" w:line="388" w:lineRule="auto"/>
        <w:ind w:right="213"/>
        <w:rPr>
          <w:color w:val="auto"/>
        </w:rPr>
      </w:pPr>
      <w:r>
        <w:rPr>
          <w:color w:val="auto"/>
        </w:rPr>
        <w:t>值高于 15 万元的；2、造成消费者人体健康和人身、财产损害的；3、造成严重不良社会影响。</w:t>
      </w:r>
    </w:p>
    <w:p>
      <w:pPr>
        <w:pStyle w:val="13"/>
        <w:numPr>
          <w:ilvl w:val="0"/>
          <w:numId w:val="570"/>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没收违法所得和违法生产、销售的农业机械，并处违法产品货值金额 2.5 倍以上</w:t>
      </w:r>
    </w:p>
    <w:p>
      <w:pPr>
        <w:pStyle w:val="4"/>
        <w:spacing w:before="192"/>
        <w:rPr>
          <w:color w:val="auto"/>
        </w:rPr>
      </w:pPr>
      <w:r>
        <w:rPr>
          <w:color w:val="auto"/>
        </w:rPr>
        <w:t>3 倍以下罚款。吊销营业执照。</w:t>
      </w:r>
    </w:p>
    <w:p>
      <w:pPr>
        <w:pStyle w:val="2"/>
        <w:spacing w:before="194" w:line="388" w:lineRule="auto"/>
        <w:ind w:left="111" w:right="184" w:firstLine="480"/>
        <w:rPr>
          <w:color w:val="auto"/>
        </w:rPr>
      </w:pPr>
      <w:bookmarkStart w:id="755" w:name="_bookmark377"/>
      <w:bookmarkEnd w:id="755"/>
      <w:bookmarkStart w:id="756" w:name="三百六十九、生产、进口、销售（含网络商品经营）应当标注水效标识而未标注的产品"/>
      <w:bookmarkEnd w:id="756"/>
      <w:r>
        <w:rPr>
          <w:color w:val="auto"/>
        </w:rPr>
        <w:t>三百六十九、生产、进口、销售（含网络商品经营）应当标注水效标识而未标注的产品</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4"/>
        </w:rPr>
        <w:t>《水效标识管理办法》第二十七条“生产者或者进口商未办理水效标识备案，或</w:t>
      </w:r>
      <w:r>
        <w:rPr>
          <w:color w:val="auto"/>
          <w:spacing w:val="-5"/>
        </w:rPr>
        <w:t>者应当办理变更手续而未办理的，予以通报；有下列情形之一的，予以通报，并处一</w:t>
      </w:r>
      <w:r>
        <w:rPr>
          <w:color w:val="auto"/>
        </w:rPr>
        <w:t>万元以上三万元以下罚款：（一）应当标注水效标识而未标注的。”</w:t>
      </w:r>
    </w:p>
    <w:p>
      <w:pPr>
        <w:pStyle w:val="4"/>
        <w:spacing w:before="6" w:line="388" w:lineRule="auto"/>
        <w:ind w:right="268" w:firstLine="470"/>
        <w:jc w:val="both"/>
        <w:rPr>
          <w:color w:val="auto"/>
        </w:rPr>
      </w:pPr>
      <w:r>
        <w:rPr>
          <w:color w:val="auto"/>
          <w:spacing w:val="-5"/>
        </w:rPr>
        <w:t>《水效标识管理办法》第二十八条“违反本办法规定，销售者</w:t>
      </w:r>
      <w:r>
        <w:rPr>
          <w:color w:val="auto"/>
          <w:spacing w:val="-3"/>
        </w:rPr>
        <w:t>（</w:t>
      </w:r>
      <w:r>
        <w:rPr>
          <w:color w:val="auto"/>
          <w:spacing w:val="-2"/>
        </w:rPr>
        <w:t>含网络商品经营</w:t>
      </w:r>
      <w:r>
        <w:rPr>
          <w:color w:val="auto"/>
        </w:rPr>
        <w:t>者</w:t>
      </w:r>
      <w:r>
        <w:rPr>
          <w:color w:val="auto"/>
          <w:spacing w:val="-8"/>
        </w:rPr>
        <w:t>）</w:t>
      </w:r>
      <w:r>
        <w:rPr>
          <w:color w:val="auto"/>
          <w:spacing w:val="-3"/>
        </w:rPr>
        <w:t>有下列情形之一的，予以通报，并处一万元以上三万元以下罚款：</w:t>
      </w:r>
      <w:r>
        <w:rPr>
          <w:color w:val="auto"/>
          <w:spacing w:val="-6"/>
        </w:rPr>
        <w:t>（</w:t>
      </w:r>
      <w:r>
        <w:rPr>
          <w:color w:val="auto"/>
        </w:rPr>
        <w:t>一</w:t>
      </w:r>
      <w:r>
        <w:rPr>
          <w:color w:val="auto"/>
          <w:spacing w:val="-5"/>
        </w:rPr>
        <w:t>）销售应</w:t>
      </w:r>
      <w:r>
        <w:rPr>
          <w:color w:val="auto"/>
        </w:rPr>
        <w:t>当标注但未标注水效标识的产品的。”</w:t>
      </w:r>
    </w:p>
    <w:p>
      <w:pPr>
        <w:spacing w:after="0" w:line="388" w:lineRule="auto"/>
        <w:jc w:val="both"/>
        <w:rPr>
          <w:color w:val="auto"/>
        </w:rPr>
        <w:sectPr>
          <w:footerReference r:id="rId79" w:type="default"/>
          <w:footerReference r:id="rId80" w:type="even"/>
          <w:pgSz w:w="11910" w:h="16840"/>
          <w:pgMar w:top="1520" w:right="1260" w:bottom="2720" w:left="1420" w:header="0" w:footer="2525" w:gutter="0"/>
          <w:pgNumType w:start="352"/>
        </w:sectPr>
      </w:pPr>
    </w:p>
    <w:p>
      <w:pPr>
        <w:pStyle w:val="4"/>
        <w:spacing w:before="39" w:line="391" w:lineRule="auto"/>
        <w:ind w:right="268" w:firstLine="480"/>
        <w:rPr>
          <w:color w:val="auto"/>
        </w:rPr>
      </w:pPr>
      <w:r>
        <w:rPr>
          <w:color w:val="auto"/>
          <w:spacing w:val="-1"/>
        </w:rPr>
        <w:t>有下列情形之一的：</w:t>
      </w:r>
      <w:r>
        <w:rPr>
          <w:color w:val="auto"/>
          <w:spacing w:val="-5"/>
        </w:rPr>
        <w:t>1</w:t>
      </w:r>
      <w:r>
        <w:rPr>
          <w:color w:val="auto"/>
          <w:spacing w:val="-4"/>
        </w:rPr>
        <w:t>、违法产品为一种型号规格的；2</w:t>
      </w:r>
      <w:r>
        <w:rPr>
          <w:color w:val="auto"/>
          <w:spacing w:val="-10"/>
        </w:rPr>
        <w:t xml:space="preserve">、违法产品货值在 </w:t>
      </w:r>
      <w:r>
        <w:rPr>
          <w:color w:val="auto"/>
        </w:rPr>
        <w:t>1</w:t>
      </w:r>
      <w:r>
        <w:rPr>
          <w:color w:val="auto"/>
          <w:spacing w:val="-25"/>
        </w:rPr>
        <w:t xml:space="preserve"> 万元</w:t>
      </w:r>
      <w:r>
        <w:rPr>
          <w:color w:val="auto"/>
        </w:rPr>
        <w:t>以下的。</w:t>
      </w:r>
    </w:p>
    <w:p>
      <w:pPr>
        <w:pStyle w:val="4"/>
        <w:spacing w:line="306" w:lineRule="exact"/>
        <w:ind w:left="591"/>
        <w:rPr>
          <w:color w:val="auto"/>
        </w:rPr>
      </w:pPr>
      <w:r>
        <w:rPr>
          <w:color w:val="auto"/>
        </w:rPr>
        <w:t>（2）处罚标准</w:t>
      </w:r>
    </w:p>
    <w:p>
      <w:pPr>
        <w:pStyle w:val="4"/>
        <w:spacing w:before="192" w:line="391" w:lineRule="auto"/>
        <w:ind w:left="591" w:right="5752"/>
        <w:rPr>
          <w:color w:val="auto"/>
        </w:rPr>
      </w:pPr>
      <w:r>
        <w:rPr>
          <w:color w:val="auto"/>
          <w:spacing w:val="-9"/>
        </w:rPr>
        <w:t xml:space="preserve">予以通报，处 </w:t>
      </w:r>
      <w:r>
        <w:rPr>
          <w:color w:val="auto"/>
        </w:rPr>
        <w:t>1</w:t>
      </w:r>
      <w:r>
        <w:rPr>
          <w:color w:val="auto"/>
          <w:spacing w:val="-13"/>
        </w:rPr>
        <w:t xml:space="preserve"> 万元罚款。</w:t>
      </w:r>
      <w:r>
        <w:rPr>
          <w:color w:val="auto"/>
        </w:rPr>
        <w:t>2</w:t>
      </w:r>
      <w:r>
        <w:rPr>
          <w:color w:val="auto"/>
          <w:spacing w:val="-24"/>
        </w:rPr>
        <w:t>、【一般】</w:t>
      </w:r>
    </w:p>
    <w:p>
      <w:pPr>
        <w:pStyle w:val="13"/>
        <w:numPr>
          <w:ilvl w:val="0"/>
          <w:numId w:val="57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spacing w:val="-1"/>
        </w:rPr>
        <w:t>有下列情形之一的：</w:t>
      </w:r>
      <w:r>
        <w:rPr>
          <w:color w:val="auto"/>
          <w:spacing w:val="-5"/>
        </w:rPr>
        <w:t>1</w:t>
      </w:r>
      <w:r>
        <w:rPr>
          <w:color w:val="auto"/>
          <w:spacing w:val="-4"/>
        </w:rPr>
        <w:t>、违法产品为二种或三种型号规格的；2</w:t>
      </w:r>
      <w:r>
        <w:rPr>
          <w:color w:val="auto"/>
          <w:spacing w:val="-5"/>
        </w:rPr>
        <w:t>、违法产品货值在</w:t>
      </w:r>
      <w:r>
        <w:rPr>
          <w:color w:val="auto"/>
        </w:rPr>
        <w:t>1</w:t>
      </w:r>
      <w:r>
        <w:rPr>
          <w:color w:val="auto"/>
          <w:spacing w:val="-20"/>
        </w:rPr>
        <w:t xml:space="preserve"> 万元以上 </w:t>
      </w:r>
      <w:r>
        <w:rPr>
          <w:color w:val="auto"/>
        </w:rPr>
        <w:t>3</w:t>
      </w:r>
      <w:r>
        <w:rPr>
          <w:color w:val="auto"/>
          <w:spacing w:val="-9"/>
        </w:rPr>
        <w:t xml:space="preserve"> 万元以下的。</w:t>
      </w:r>
    </w:p>
    <w:p>
      <w:pPr>
        <w:pStyle w:val="13"/>
        <w:numPr>
          <w:ilvl w:val="0"/>
          <w:numId w:val="57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072"/>
        <w:rPr>
          <w:color w:val="auto"/>
        </w:rPr>
      </w:pPr>
      <w:r>
        <w:rPr>
          <w:color w:val="auto"/>
          <w:spacing w:val="-9"/>
        </w:rPr>
        <w:t xml:space="preserve">予以通报，处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57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25" w:firstLine="480"/>
        <w:rPr>
          <w:color w:val="auto"/>
        </w:rPr>
      </w:pPr>
      <w:r>
        <w:rPr>
          <w:color w:val="auto"/>
        </w:rPr>
        <w:t>有下列情形之一的：1、违法产品为四种以上型号规格的；2、违法产品货值在 3 万元以上的。</w:t>
      </w:r>
    </w:p>
    <w:p>
      <w:pPr>
        <w:pStyle w:val="13"/>
        <w:numPr>
          <w:ilvl w:val="0"/>
          <w:numId w:val="57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予以通报，处 2 万元以上 3 万元以下罚款。</w:t>
      </w:r>
    </w:p>
    <w:p>
      <w:pPr>
        <w:pStyle w:val="2"/>
        <w:spacing w:before="194" w:line="388" w:lineRule="auto"/>
        <w:ind w:left="111" w:right="184" w:firstLine="480"/>
        <w:rPr>
          <w:color w:val="auto"/>
        </w:rPr>
      </w:pPr>
      <w:bookmarkStart w:id="757" w:name="_bookmark378"/>
      <w:bookmarkEnd w:id="757"/>
      <w:bookmarkStart w:id="758" w:name="三百七十、生产、进口、销售（含网络商品经营）使用不符合规定的水效标识的产品"/>
      <w:bookmarkEnd w:id="758"/>
      <w:r>
        <w:rPr>
          <w:color w:val="auto"/>
        </w:rPr>
        <w:t>三百七十、生产、进口、销售（含网络商品经营）使用不符合规定的水效标识的产品</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4"/>
        </w:rPr>
        <w:t>《水效标识管理办法》第二十七条“生产者或者进口商未办理水效标识备案，或</w:t>
      </w:r>
      <w:r>
        <w:rPr>
          <w:color w:val="auto"/>
          <w:spacing w:val="-5"/>
        </w:rPr>
        <w:t>者应当办理变更手续而未办理的，予以通报；有下列情形之一的，予以通报，并处一</w:t>
      </w:r>
      <w:r>
        <w:rPr>
          <w:color w:val="auto"/>
        </w:rPr>
        <w:t>万元以上三万元以下罚款：（二）使用不符合规定的水效标识的。”</w:t>
      </w:r>
    </w:p>
    <w:p>
      <w:pPr>
        <w:pStyle w:val="4"/>
        <w:spacing w:before="6" w:line="388" w:lineRule="auto"/>
        <w:ind w:right="268" w:firstLine="470"/>
        <w:jc w:val="both"/>
        <w:rPr>
          <w:color w:val="auto"/>
        </w:rPr>
      </w:pPr>
      <w:r>
        <w:rPr>
          <w:color w:val="auto"/>
          <w:spacing w:val="-5"/>
        </w:rPr>
        <w:t>《水效标识管理办法》第二十八条“违反本办法规定，销售者</w:t>
      </w:r>
      <w:r>
        <w:rPr>
          <w:color w:val="auto"/>
          <w:spacing w:val="-3"/>
        </w:rPr>
        <w:t>（</w:t>
      </w:r>
      <w:r>
        <w:rPr>
          <w:color w:val="auto"/>
          <w:spacing w:val="-2"/>
        </w:rPr>
        <w:t>含网络商品经营</w:t>
      </w:r>
      <w:r>
        <w:rPr>
          <w:color w:val="auto"/>
        </w:rPr>
        <w:t>者</w:t>
      </w:r>
      <w:r>
        <w:rPr>
          <w:color w:val="auto"/>
          <w:spacing w:val="-8"/>
        </w:rPr>
        <w:t>）</w:t>
      </w:r>
      <w:r>
        <w:rPr>
          <w:color w:val="auto"/>
          <w:spacing w:val="-3"/>
        </w:rPr>
        <w:t>有下列情形之一的，予以通报，并处一万元以上三万元以下罚款：</w:t>
      </w:r>
      <w:r>
        <w:rPr>
          <w:color w:val="auto"/>
          <w:spacing w:val="-6"/>
        </w:rPr>
        <w:t>（</w:t>
      </w:r>
      <w:r>
        <w:rPr>
          <w:color w:val="auto"/>
        </w:rPr>
        <w:t>二</w:t>
      </w:r>
      <w:r>
        <w:rPr>
          <w:color w:val="auto"/>
          <w:spacing w:val="-5"/>
        </w:rPr>
        <w:t>）销售使</w:t>
      </w:r>
      <w:r>
        <w:rPr>
          <w:color w:val="auto"/>
        </w:rPr>
        <w:t>用不符合规定的水效标识的产品的。”</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73"/>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8" w:firstLine="480"/>
        <w:rPr>
          <w:color w:val="auto"/>
        </w:rPr>
      </w:pPr>
      <w:r>
        <w:rPr>
          <w:color w:val="auto"/>
          <w:spacing w:val="-1"/>
        </w:rPr>
        <w:t>有下列情形之一的：</w:t>
      </w:r>
      <w:r>
        <w:rPr>
          <w:color w:val="auto"/>
          <w:spacing w:val="-5"/>
        </w:rPr>
        <w:t>1</w:t>
      </w:r>
      <w:r>
        <w:rPr>
          <w:color w:val="auto"/>
          <w:spacing w:val="-4"/>
        </w:rPr>
        <w:t>、违法产品为一种型号规格的；2</w:t>
      </w:r>
      <w:r>
        <w:rPr>
          <w:color w:val="auto"/>
          <w:spacing w:val="-10"/>
        </w:rPr>
        <w:t xml:space="preserve">、违法产品货值在 </w:t>
      </w:r>
      <w:r>
        <w:rPr>
          <w:color w:val="auto"/>
        </w:rPr>
        <w:t>1</w:t>
      </w:r>
      <w:r>
        <w:rPr>
          <w:color w:val="auto"/>
          <w:spacing w:val="-25"/>
        </w:rPr>
        <w:t xml:space="preserve"> 万元</w:t>
      </w:r>
      <w:r>
        <w:rPr>
          <w:color w:val="auto"/>
        </w:rPr>
        <w:t>以下的。</w:t>
      </w:r>
    </w:p>
    <w:p>
      <w:pPr>
        <w:pStyle w:val="13"/>
        <w:numPr>
          <w:ilvl w:val="0"/>
          <w:numId w:val="57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752"/>
        <w:rPr>
          <w:color w:val="auto"/>
        </w:rPr>
      </w:pPr>
      <w:r>
        <w:rPr>
          <w:color w:val="auto"/>
          <w:spacing w:val="-9"/>
        </w:rPr>
        <w:t xml:space="preserve">予以通报，处 </w:t>
      </w:r>
      <w:r>
        <w:rPr>
          <w:color w:val="auto"/>
        </w:rPr>
        <w:t>1</w:t>
      </w:r>
      <w:r>
        <w:rPr>
          <w:color w:val="auto"/>
          <w:spacing w:val="-13"/>
        </w:rPr>
        <w:t xml:space="preserve"> 万元罚款。</w:t>
      </w:r>
      <w:r>
        <w:rPr>
          <w:color w:val="auto"/>
        </w:rPr>
        <w:t>2、【一般】</w:t>
      </w:r>
    </w:p>
    <w:p>
      <w:pPr>
        <w:pStyle w:val="13"/>
        <w:numPr>
          <w:ilvl w:val="0"/>
          <w:numId w:val="57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spacing w:val="-1"/>
        </w:rPr>
        <w:t>有下列情形之一的：</w:t>
      </w:r>
      <w:r>
        <w:rPr>
          <w:color w:val="auto"/>
          <w:spacing w:val="-5"/>
        </w:rPr>
        <w:t>1</w:t>
      </w:r>
      <w:r>
        <w:rPr>
          <w:color w:val="auto"/>
          <w:spacing w:val="-4"/>
        </w:rPr>
        <w:t>、违法产品为二种或三种型号规格的；2</w:t>
      </w:r>
      <w:r>
        <w:rPr>
          <w:color w:val="auto"/>
          <w:spacing w:val="-5"/>
        </w:rPr>
        <w:t>、违法产品货值在</w:t>
      </w:r>
      <w:r>
        <w:rPr>
          <w:color w:val="auto"/>
        </w:rPr>
        <w:t>1</w:t>
      </w:r>
      <w:r>
        <w:rPr>
          <w:color w:val="auto"/>
          <w:spacing w:val="-20"/>
        </w:rPr>
        <w:t xml:space="preserve"> 万元以上 </w:t>
      </w:r>
      <w:r>
        <w:rPr>
          <w:color w:val="auto"/>
        </w:rPr>
        <w:t>3</w:t>
      </w:r>
      <w:r>
        <w:rPr>
          <w:color w:val="auto"/>
          <w:spacing w:val="-9"/>
        </w:rPr>
        <w:t xml:space="preserve"> 万元以下的。</w:t>
      </w:r>
    </w:p>
    <w:p>
      <w:pPr>
        <w:pStyle w:val="13"/>
        <w:numPr>
          <w:ilvl w:val="0"/>
          <w:numId w:val="57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072"/>
        <w:rPr>
          <w:color w:val="auto"/>
        </w:rPr>
      </w:pPr>
      <w:r>
        <w:rPr>
          <w:color w:val="auto"/>
          <w:spacing w:val="-9"/>
        </w:rPr>
        <w:t xml:space="preserve">予以通报，处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3、【严重】</w:t>
      </w:r>
    </w:p>
    <w:p>
      <w:pPr>
        <w:pStyle w:val="13"/>
        <w:numPr>
          <w:ilvl w:val="0"/>
          <w:numId w:val="57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25" w:firstLine="480"/>
        <w:rPr>
          <w:color w:val="auto"/>
        </w:rPr>
      </w:pPr>
      <w:r>
        <w:rPr>
          <w:color w:val="auto"/>
        </w:rPr>
        <w:t>有下列情形之一的：1、违法产品为四种以上型号规格的；2、违法产品货值在 3 万元以上的。</w:t>
      </w:r>
    </w:p>
    <w:p>
      <w:pPr>
        <w:pStyle w:val="13"/>
        <w:numPr>
          <w:ilvl w:val="0"/>
          <w:numId w:val="57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予以通报，处 2 万元以上 3 万元以下罚款。</w:t>
      </w:r>
    </w:p>
    <w:p>
      <w:pPr>
        <w:pStyle w:val="2"/>
        <w:spacing w:before="194"/>
        <w:rPr>
          <w:color w:val="auto"/>
        </w:rPr>
      </w:pPr>
      <w:bookmarkStart w:id="759" w:name="三百七十一、生产者、进口商、销售者（含网络商品经营者）伪造、冒用水效标识"/>
      <w:bookmarkEnd w:id="759"/>
      <w:bookmarkStart w:id="760" w:name="_bookmark379"/>
      <w:bookmarkEnd w:id="760"/>
      <w:r>
        <w:rPr>
          <w:color w:val="auto"/>
        </w:rPr>
        <w:t>三百七十一、生产者、进口商、销售者（含网络商品经营者）伪造、冒用水效标</w:t>
      </w:r>
    </w:p>
    <w:p>
      <w:pPr>
        <w:spacing w:before="192"/>
        <w:ind w:left="111" w:right="0" w:firstLine="0"/>
        <w:jc w:val="left"/>
        <w:rPr>
          <w:b/>
          <w:color w:val="auto"/>
          <w:sz w:val="24"/>
        </w:rPr>
      </w:pPr>
      <w:r>
        <w:rPr>
          <w:b/>
          <w:color w:val="auto"/>
          <w:w w:val="99"/>
          <w:sz w:val="24"/>
        </w:rPr>
        <w:t>识</w:t>
      </w:r>
    </w:p>
    <w:p>
      <w:pPr>
        <w:spacing w:before="191"/>
        <w:ind w:left="591" w:right="0" w:firstLine="0"/>
        <w:jc w:val="left"/>
        <w:rPr>
          <w:b/>
          <w:color w:val="auto"/>
          <w:sz w:val="24"/>
        </w:rPr>
      </w:pPr>
      <w:r>
        <w:rPr>
          <w:b/>
          <w:color w:val="auto"/>
          <w:sz w:val="24"/>
        </w:rPr>
        <w:t>（一）处罚依据</w:t>
      </w:r>
    </w:p>
    <w:p>
      <w:pPr>
        <w:pStyle w:val="4"/>
        <w:spacing w:before="195" w:line="388" w:lineRule="auto"/>
        <w:ind w:right="268" w:firstLine="480"/>
        <w:jc w:val="both"/>
        <w:rPr>
          <w:color w:val="auto"/>
        </w:rPr>
      </w:pPr>
      <w:r>
        <w:rPr>
          <w:color w:val="auto"/>
          <w:spacing w:val="-5"/>
        </w:rPr>
        <w:t>《水效标识管理办法》第二十七条“生产者或者进口商未办理水效标识备案，或者应当办理变更手续而未办理的，予以通报；有下列情形之一的，予以通报，并处一</w:t>
      </w:r>
      <w:r>
        <w:rPr>
          <w:color w:val="auto"/>
        </w:rPr>
        <w:t>万元以上三万元以下罚款：（三）伪造、冒用水效标识的。”</w:t>
      </w:r>
    </w:p>
    <w:p>
      <w:pPr>
        <w:pStyle w:val="4"/>
        <w:spacing w:before="5" w:line="388" w:lineRule="auto"/>
        <w:ind w:right="232" w:firstLine="480"/>
        <w:jc w:val="both"/>
        <w:rPr>
          <w:color w:val="auto"/>
        </w:rPr>
      </w:pPr>
      <w:r>
        <w:rPr>
          <w:color w:val="auto"/>
        </w:rPr>
        <w:t>《水效标识管理办法》第二十八条“违反本办法规定，销售者（含网络商品经营者）有下列情形之一的，予以通报，并处一万元以上三万元以下罚款：（四）伪造、冒用水效标识的。”</w:t>
      </w:r>
    </w:p>
    <w:p>
      <w:pPr>
        <w:spacing w:after="0" w:line="388" w:lineRule="auto"/>
        <w:jc w:val="both"/>
        <w:rPr>
          <w:color w:val="auto"/>
        </w:rPr>
        <w:sectPr>
          <w:pgSz w:w="11910" w:h="16840"/>
          <w:pgMar w:top="1520" w:right="1260" w:bottom="2720" w:left="1420" w:header="0" w:footer="2525" w:gutter="0"/>
        </w:sectPr>
      </w:pPr>
    </w:p>
    <w:p>
      <w:pPr>
        <w:pStyle w:val="4"/>
        <w:spacing w:before="39" w:line="391" w:lineRule="auto"/>
        <w:ind w:right="268" w:firstLine="480"/>
        <w:rPr>
          <w:color w:val="auto"/>
        </w:rPr>
      </w:pPr>
      <w:r>
        <w:rPr>
          <w:color w:val="auto"/>
          <w:spacing w:val="-1"/>
        </w:rPr>
        <w:t>有下列情形之一的：</w:t>
      </w:r>
      <w:r>
        <w:rPr>
          <w:color w:val="auto"/>
          <w:spacing w:val="-5"/>
        </w:rPr>
        <w:t>1</w:t>
      </w:r>
      <w:r>
        <w:rPr>
          <w:color w:val="auto"/>
          <w:spacing w:val="-4"/>
        </w:rPr>
        <w:t>、违法产品为一种型号规格的；2</w:t>
      </w:r>
      <w:r>
        <w:rPr>
          <w:color w:val="auto"/>
          <w:spacing w:val="-10"/>
        </w:rPr>
        <w:t xml:space="preserve">、违法产品货值在 </w:t>
      </w:r>
      <w:r>
        <w:rPr>
          <w:color w:val="auto"/>
        </w:rPr>
        <w:t>1</w:t>
      </w:r>
      <w:r>
        <w:rPr>
          <w:color w:val="auto"/>
          <w:spacing w:val="-25"/>
        </w:rPr>
        <w:t xml:space="preserve"> 万元</w:t>
      </w:r>
      <w:r>
        <w:rPr>
          <w:color w:val="auto"/>
        </w:rPr>
        <w:t>以下的。</w:t>
      </w:r>
    </w:p>
    <w:p>
      <w:pPr>
        <w:pStyle w:val="4"/>
        <w:spacing w:line="306" w:lineRule="exact"/>
        <w:ind w:left="591"/>
        <w:rPr>
          <w:color w:val="auto"/>
        </w:rPr>
      </w:pPr>
      <w:r>
        <w:rPr>
          <w:color w:val="auto"/>
        </w:rPr>
        <w:t>（2）处罚标准</w:t>
      </w:r>
    </w:p>
    <w:p>
      <w:pPr>
        <w:pStyle w:val="4"/>
        <w:spacing w:before="192" w:line="391" w:lineRule="auto"/>
        <w:ind w:left="591" w:right="5752"/>
        <w:rPr>
          <w:color w:val="auto"/>
        </w:rPr>
      </w:pPr>
      <w:r>
        <w:rPr>
          <w:color w:val="auto"/>
          <w:spacing w:val="-9"/>
        </w:rPr>
        <w:t xml:space="preserve">予以通报，处 </w:t>
      </w:r>
      <w:r>
        <w:rPr>
          <w:color w:val="auto"/>
        </w:rPr>
        <w:t>1</w:t>
      </w:r>
      <w:r>
        <w:rPr>
          <w:color w:val="auto"/>
          <w:spacing w:val="-13"/>
        </w:rPr>
        <w:t xml:space="preserve"> 万元罚款。</w:t>
      </w:r>
      <w:r>
        <w:rPr>
          <w:color w:val="auto"/>
        </w:rPr>
        <w:t>2、【一般】</w:t>
      </w:r>
    </w:p>
    <w:p>
      <w:pPr>
        <w:pStyle w:val="13"/>
        <w:numPr>
          <w:ilvl w:val="0"/>
          <w:numId w:val="57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spacing w:val="-1"/>
        </w:rPr>
        <w:t>有下列情形之一的：</w:t>
      </w:r>
      <w:r>
        <w:rPr>
          <w:color w:val="auto"/>
          <w:spacing w:val="-5"/>
        </w:rPr>
        <w:t>1</w:t>
      </w:r>
      <w:r>
        <w:rPr>
          <w:color w:val="auto"/>
          <w:spacing w:val="-4"/>
        </w:rPr>
        <w:t>、违法产品为二种或三种型号规格的；2</w:t>
      </w:r>
      <w:r>
        <w:rPr>
          <w:color w:val="auto"/>
          <w:spacing w:val="-5"/>
        </w:rPr>
        <w:t>、违法产品货值在</w:t>
      </w:r>
      <w:r>
        <w:rPr>
          <w:color w:val="auto"/>
        </w:rPr>
        <w:t>1</w:t>
      </w:r>
      <w:r>
        <w:rPr>
          <w:color w:val="auto"/>
          <w:spacing w:val="-20"/>
        </w:rPr>
        <w:t xml:space="preserve"> 万元以上 </w:t>
      </w:r>
      <w:r>
        <w:rPr>
          <w:color w:val="auto"/>
        </w:rPr>
        <w:t>3</w:t>
      </w:r>
      <w:r>
        <w:rPr>
          <w:color w:val="auto"/>
          <w:spacing w:val="-9"/>
        </w:rPr>
        <w:t xml:space="preserve"> 万元以下的。</w:t>
      </w:r>
    </w:p>
    <w:p>
      <w:pPr>
        <w:pStyle w:val="13"/>
        <w:numPr>
          <w:ilvl w:val="0"/>
          <w:numId w:val="57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072"/>
        <w:rPr>
          <w:color w:val="auto"/>
        </w:rPr>
      </w:pPr>
      <w:r>
        <w:rPr>
          <w:color w:val="auto"/>
          <w:spacing w:val="-9"/>
        </w:rPr>
        <w:t xml:space="preserve">予以通报，处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3、【严重】</w:t>
      </w:r>
    </w:p>
    <w:p>
      <w:pPr>
        <w:pStyle w:val="13"/>
        <w:numPr>
          <w:ilvl w:val="0"/>
          <w:numId w:val="57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25" w:firstLine="480"/>
        <w:rPr>
          <w:color w:val="auto"/>
        </w:rPr>
      </w:pPr>
      <w:r>
        <w:rPr>
          <w:color w:val="auto"/>
        </w:rPr>
        <w:t>有下列情形之一的：1、违法产品为四种以上型号规格的；2、违法产品货值在 3 万元以上的。</w:t>
      </w:r>
    </w:p>
    <w:p>
      <w:pPr>
        <w:pStyle w:val="13"/>
        <w:numPr>
          <w:ilvl w:val="0"/>
          <w:numId w:val="57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予以通报，处 2 万元以上 3 万元以下罚款。</w:t>
      </w:r>
    </w:p>
    <w:p>
      <w:pPr>
        <w:pStyle w:val="2"/>
        <w:spacing w:before="194" w:line="388" w:lineRule="auto"/>
        <w:ind w:left="111" w:right="184" w:firstLine="480"/>
        <w:rPr>
          <w:color w:val="auto"/>
        </w:rPr>
      </w:pPr>
      <w:bookmarkStart w:id="761" w:name="_bookmark380"/>
      <w:bookmarkEnd w:id="761"/>
      <w:bookmarkStart w:id="762" w:name="三百七十二、销售者（含网络商品经营者）在网络交易产品信息主页面展示的水效标识不符"/>
      <w:bookmarkEnd w:id="762"/>
      <w:r>
        <w:rPr>
          <w:color w:val="auto"/>
        </w:rPr>
        <w:t>三百七十二、销售者（含网络商品经营者）在网络交易产品信息主页面展示的水效标识不符合规定</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spacing w:val="-4"/>
        </w:rPr>
        <w:t>《水效标识管理办法》第二十八条“违反本办法规定，销售者</w:t>
      </w:r>
      <w:r>
        <w:rPr>
          <w:color w:val="auto"/>
        </w:rPr>
        <w:t>（</w:t>
      </w:r>
      <w:r>
        <w:rPr>
          <w:color w:val="auto"/>
          <w:spacing w:val="-3"/>
        </w:rPr>
        <w:t>含网络商品经营</w:t>
      </w:r>
      <w:r>
        <w:rPr>
          <w:color w:val="auto"/>
        </w:rPr>
        <w:t>者</w:t>
      </w:r>
      <w:r>
        <w:rPr>
          <w:color w:val="auto"/>
          <w:spacing w:val="-8"/>
        </w:rPr>
        <w:t>）</w:t>
      </w:r>
      <w:r>
        <w:rPr>
          <w:color w:val="auto"/>
          <w:spacing w:val="-3"/>
        </w:rPr>
        <w:t>有下列情形之一的，予以通报，并处一万元以上三万元以下罚款：</w:t>
      </w:r>
      <w:r>
        <w:rPr>
          <w:color w:val="auto"/>
          <w:spacing w:val="-6"/>
        </w:rPr>
        <w:t>（</w:t>
      </w:r>
      <w:r>
        <w:rPr>
          <w:color w:val="auto"/>
        </w:rPr>
        <w:t>三</w:t>
      </w:r>
      <w:r>
        <w:rPr>
          <w:color w:val="auto"/>
          <w:spacing w:val="-5"/>
        </w:rPr>
        <w:t>）在网络</w:t>
      </w:r>
      <w:r>
        <w:rPr>
          <w:color w:val="auto"/>
        </w:rPr>
        <w:t>交易产品信息主页面展示的水效标识不符合规定的。”</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7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在网络交易产品信息主页面展示的水效标识不符合规定，经行政机关责令改正， 及时改正的。</w:t>
      </w:r>
    </w:p>
    <w:p>
      <w:pPr>
        <w:pStyle w:val="13"/>
        <w:numPr>
          <w:ilvl w:val="0"/>
          <w:numId w:val="578"/>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5752"/>
        <w:rPr>
          <w:color w:val="auto"/>
        </w:rPr>
      </w:pPr>
      <w:r>
        <w:rPr>
          <w:color w:val="auto"/>
          <w:spacing w:val="-9"/>
        </w:rPr>
        <w:t xml:space="preserve">予以通报，处 </w:t>
      </w:r>
      <w:r>
        <w:rPr>
          <w:color w:val="auto"/>
        </w:rPr>
        <w:t>1</w:t>
      </w:r>
      <w:r>
        <w:rPr>
          <w:color w:val="auto"/>
          <w:spacing w:val="-13"/>
        </w:rPr>
        <w:t xml:space="preserve"> 万元罚款。</w:t>
      </w:r>
      <w:r>
        <w:rPr>
          <w:color w:val="auto"/>
        </w:rPr>
        <w:t>2、【一般】</w:t>
      </w:r>
    </w:p>
    <w:p>
      <w:pPr>
        <w:pStyle w:val="13"/>
        <w:numPr>
          <w:ilvl w:val="0"/>
          <w:numId w:val="57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32" w:firstLine="480"/>
        <w:rPr>
          <w:color w:val="auto"/>
        </w:rPr>
      </w:pPr>
      <w:r>
        <w:rPr>
          <w:color w:val="auto"/>
        </w:rPr>
        <w:t>在网络交易产品信息主页面展示的水效标识不符合规定，经行政机关责令改正， 进行了整改工作，但未整改到位的。</w:t>
      </w:r>
    </w:p>
    <w:p>
      <w:pPr>
        <w:pStyle w:val="13"/>
        <w:numPr>
          <w:ilvl w:val="0"/>
          <w:numId w:val="57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072"/>
        <w:rPr>
          <w:color w:val="auto"/>
        </w:rPr>
      </w:pPr>
      <w:r>
        <w:rPr>
          <w:color w:val="auto"/>
          <w:spacing w:val="-9"/>
        </w:rPr>
        <w:t xml:space="preserve">予以通报，处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3、【严重】</w:t>
      </w:r>
    </w:p>
    <w:p>
      <w:pPr>
        <w:pStyle w:val="13"/>
        <w:numPr>
          <w:ilvl w:val="0"/>
          <w:numId w:val="58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rPr>
        <w:t>在网络交易产品信息主页面展示的水效标识不符合规定，经行政机关责令改正, 拒不改正的。</w:t>
      </w:r>
    </w:p>
    <w:p>
      <w:pPr>
        <w:pStyle w:val="13"/>
        <w:numPr>
          <w:ilvl w:val="0"/>
          <w:numId w:val="58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予以通报，处 2 万元以上 3 万元以下罚款。</w:t>
      </w:r>
    </w:p>
    <w:p>
      <w:pPr>
        <w:pStyle w:val="2"/>
        <w:spacing w:before="194"/>
        <w:rPr>
          <w:color w:val="auto"/>
        </w:rPr>
      </w:pPr>
      <w:bookmarkStart w:id="763" w:name="_bookmark381"/>
      <w:bookmarkEnd w:id="763"/>
      <w:bookmarkStart w:id="764" w:name="三百七十三、被抽查企业擅自更换、隐匿、处理已抽查封存的样品"/>
      <w:bookmarkEnd w:id="764"/>
      <w:r>
        <w:rPr>
          <w:color w:val="auto"/>
        </w:rPr>
        <w:t>三百七十三、被抽查企业擅自更换、隐匿、处理已抽查封存的样品</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660"/>
        <w:jc w:val="both"/>
        <w:rPr>
          <w:color w:val="auto"/>
        </w:rPr>
      </w:pPr>
      <w:r>
        <w:rPr>
          <w:color w:val="auto"/>
          <w:spacing w:val="-1"/>
        </w:rPr>
        <w:t>《产品质量监督抽查管理办法》第四十八条“被抽查企业违反本办法第二十三</w:t>
      </w:r>
      <w:r>
        <w:rPr>
          <w:color w:val="auto"/>
          <w:spacing w:val="-7"/>
        </w:rPr>
        <w:t>条规定，擅自更换、隐匿、处理已抽查封存的样品的，由所在地质量技术监督部门处</w:t>
      </w:r>
      <w:r>
        <w:rPr>
          <w:color w:val="auto"/>
          <w:spacing w:val="-30"/>
        </w:rPr>
        <w:t xml:space="preserve">以 </w:t>
      </w:r>
      <w:r>
        <w:rPr>
          <w:color w:val="auto"/>
        </w:rPr>
        <w:t>3</w:t>
      </w:r>
      <w:r>
        <w:rPr>
          <w:color w:val="auto"/>
          <w:spacing w:val="-21"/>
        </w:rPr>
        <w:t xml:space="preserve"> 万元以下罚款。”</w:t>
      </w:r>
    </w:p>
    <w:p>
      <w:pPr>
        <w:pStyle w:val="4"/>
        <w:spacing w:line="391" w:lineRule="auto"/>
        <w:ind w:right="148" w:firstLine="660"/>
        <w:rPr>
          <w:color w:val="auto"/>
        </w:rPr>
      </w:pPr>
      <w:r>
        <w:rPr>
          <w:color w:val="auto"/>
        </w:rPr>
        <w:t>《产品质量监督抽查管理办法》第二十三条“抽取的样品需送至承担检验工作</w:t>
      </w:r>
      <w:r>
        <w:rPr>
          <w:color w:val="auto"/>
          <w:spacing w:val="-5"/>
        </w:rPr>
        <w:t>的检验机构的，应当由抽样人员负责携带或者寄送。需要企业协助寄、送样品时，所</w:t>
      </w:r>
      <w:r>
        <w:rPr>
          <w:color w:val="auto"/>
          <w:spacing w:val="-15"/>
        </w:rPr>
        <w:t xml:space="preserve">需费用纳入监督抽查经费。对于易碎品、危险化学品、有特殊贮存条件等要求的样品， </w:t>
      </w:r>
      <w:r>
        <w:rPr>
          <w:color w:val="auto"/>
        </w:rPr>
        <w:t>抽样人员应当采取措施，保证样品运输过程中状态不发生变化。</w:t>
      </w:r>
    </w:p>
    <w:p>
      <w:pPr>
        <w:pStyle w:val="4"/>
        <w:spacing w:line="388" w:lineRule="auto"/>
        <w:ind w:right="268" w:firstLine="660"/>
        <w:rPr>
          <w:color w:val="auto"/>
        </w:rPr>
      </w:pPr>
      <w:r>
        <w:rPr>
          <w:color w:val="auto"/>
        </w:rPr>
        <w:t>抽取的样品需要封存在企业的，由被检企业妥善保管。企业不得擅自更换、隐匿、处理已抽查封存的样品。”</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58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7"/>
        <w:ind w:left="591"/>
        <w:rPr>
          <w:color w:val="auto"/>
        </w:rPr>
      </w:pPr>
      <w:r>
        <w:rPr>
          <w:color w:val="auto"/>
        </w:rPr>
        <w:t>有下列情形之一的：1、主动将更换、隐匿、处理已抽查封存的样品恢复原状的；</w:t>
      </w:r>
    </w:p>
    <w:p>
      <w:pPr>
        <w:spacing w:after="0"/>
        <w:rPr>
          <w:color w:val="auto"/>
        </w:rPr>
        <w:sectPr>
          <w:footerReference r:id="rId81" w:type="default"/>
          <w:footerReference r:id="rId82" w:type="even"/>
          <w:pgSz w:w="11910" w:h="16840"/>
          <w:pgMar w:top="1520" w:right="1260" w:bottom="1220" w:left="1420" w:header="0" w:footer="1034" w:gutter="0"/>
          <w:pgNumType w:start="356"/>
        </w:sectPr>
      </w:pPr>
    </w:p>
    <w:p>
      <w:pPr>
        <w:pStyle w:val="4"/>
        <w:spacing w:before="39" w:line="391" w:lineRule="auto"/>
        <w:ind w:right="213"/>
        <w:rPr>
          <w:color w:val="auto"/>
        </w:rPr>
      </w:pPr>
      <w:r>
        <w:rPr>
          <w:color w:val="auto"/>
        </w:rPr>
        <w:t>2、经教育督促，能及时采取措施恢复原状或追回产品的；3、少量更换、隐匿、处理已抽查封存的样品，没有造成危害后果的。</w:t>
      </w:r>
    </w:p>
    <w:p>
      <w:pPr>
        <w:pStyle w:val="13"/>
        <w:numPr>
          <w:ilvl w:val="0"/>
          <w:numId w:val="58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6472"/>
        <w:rPr>
          <w:color w:val="auto"/>
        </w:rPr>
      </w:pPr>
      <w:r>
        <w:rPr>
          <w:color w:val="auto"/>
          <w:spacing w:val="-30"/>
        </w:rPr>
        <w:t xml:space="preserve">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58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更换、隐匿、处理已抽查封存的样品不能恢复原状，但未造成危害后果的。</w:t>
      </w:r>
    </w:p>
    <w:p>
      <w:pPr>
        <w:pStyle w:val="13"/>
        <w:numPr>
          <w:ilvl w:val="0"/>
          <w:numId w:val="58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7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58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有下列情形之一的：1、拒不或不能将更换、隐匿、处理已抽查封存的样品恢复原状，物品转移、变卖或使用后造成进一步危害后果的；2、造成无法复检或者继续处理的。</w:t>
      </w:r>
    </w:p>
    <w:p>
      <w:pPr>
        <w:pStyle w:val="13"/>
        <w:numPr>
          <w:ilvl w:val="0"/>
          <w:numId w:val="583"/>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处 2 万元以上 3 万元以下罚款。</w:t>
      </w:r>
    </w:p>
    <w:p>
      <w:pPr>
        <w:pStyle w:val="2"/>
        <w:spacing w:before="194" w:line="388" w:lineRule="auto"/>
        <w:ind w:left="111" w:right="237" w:firstLine="480"/>
        <w:jc w:val="both"/>
        <w:rPr>
          <w:color w:val="auto"/>
        </w:rPr>
      </w:pPr>
      <w:bookmarkStart w:id="765" w:name="三百七十四、检验机构违规分包检验任务，或者未经组织监督抽查部门批准，租借他人检测"/>
      <w:bookmarkEnd w:id="765"/>
      <w:bookmarkStart w:id="766" w:name="_bookmark382"/>
      <w:bookmarkEnd w:id="766"/>
      <w:r>
        <w:rPr>
          <w:color w:val="auto"/>
          <w:spacing w:val="-6"/>
        </w:rPr>
        <w:t>三百七十四、检验机构违规分包检验任务，或者未经组织监督抽查部门批准，租</w:t>
      </w:r>
      <w:r>
        <w:rPr>
          <w:color w:val="auto"/>
          <w:spacing w:val="-10"/>
        </w:rPr>
        <w:t>借他人检测设备，或者未按规定及时报送检验报告及有关情况和复检结果，且情节严重拒不改正</w:t>
      </w:r>
    </w:p>
    <w:p>
      <w:pPr>
        <w:spacing w:before="5"/>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4"/>
        </w:rPr>
        <w:t>《产品质量监督抽查管理办法》第五十二条“检验机构违反本办法第十二条、第三十二条和第三十八条规定，分包检验任务的，或者未经组织监督抽查部门批准，租</w:t>
      </w:r>
      <w:r>
        <w:rPr>
          <w:color w:val="auto"/>
          <w:spacing w:val="-5"/>
        </w:rPr>
        <w:t>借他人检测设备的，或者未按规定及时报送检验报告及有关情况和复检结果的，由组</w:t>
      </w:r>
      <w:r>
        <w:rPr>
          <w:color w:val="auto"/>
          <w:spacing w:val="-4"/>
        </w:rPr>
        <w:t>织监督抽查的部门责令改正；情节严重或者拒不改正的，由所在地质量技术监督部门</w:t>
      </w:r>
      <w:r>
        <w:rPr>
          <w:color w:val="auto"/>
          <w:spacing w:val="-30"/>
        </w:rPr>
        <w:t xml:space="preserve">处 </w:t>
      </w:r>
      <w:r>
        <w:rPr>
          <w:color w:val="auto"/>
        </w:rPr>
        <w:t>3</w:t>
      </w:r>
      <w:r>
        <w:rPr>
          <w:color w:val="auto"/>
          <w:spacing w:val="-21"/>
        </w:rPr>
        <w:t xml:space="preserve"> 万元以下罚款。”</w:t>
      </w:r>
    </w:p>
    <w:p>
      <w:pPr>
        <w:pStyle w:val="4"/>
        <w:spacing w:line="388" w:lineRule="auto"/>
        <w:ind w:right="268" w:firstLine="660"/>
        <w:jc w:val="both"/>
        <w:rPr>
          <w:color w:val="auto"/>
        </w:rPr>
      </w:pPr>
      <w:r>
        <w:rPr>
          <w:color w:val="auto"/>
          <w:spacing w:val="-1"/>
        </w:rPr>
        <w:t>《产品质量监督抽查管理办法》第十二条“组织监督抽查的部门应当依据法律</w:t>
      </w:r>
      <w:r>
        <w:rPr>
          <w:color w:val="auto"/>
          <w:spacing w:val="-5"/>
        </w:rPr>
        <w:t>法规的规定，指定有关部门或者委托具有法定资质的产品质量检验机构</w:t>
      </w:r>
      <w:r>
        <w:rPr>
          <w:color w:val="auto"/>
        </w:rPr>
        <w:t>（</w:t>
      </w:r>
      <w:r>
        <w:rPr>
          <w:color w:val="auto"/>
          <w:spacing w:val="-4"/>
        </w:rPr>
        <w:t>以下简称检</w:t>
      </w:r>
      <w:r>
        <w:rPr>
          <w:color w:val="auto"/>
        </w:rPr>
        <w:t>验机构）承担监督抽查相关工作。</w:t>
      </w:r>
    </w:p>
    <w:p>
      <w:pPr>
        <w:spacing w:after="0" w:line="388" w:lineRule="auto"/>
        <w:jc w:val="both"/>
        <w:rPr>
          <w:color w:val="auto"/>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委托检验机构承担监督抽查相关工作的，组织监督抽查的部门应当与被委托的检验机构签订行政委托协议书，明确双方的权利、义务、违约责任等内容。</w:t>
      </w:r>
    </w:p>
    <w:p>
      <w:pPr>
        <w:pStyle w:val="4"/>
        <w:spacing w:line="391" w:lineRule="auto"/>
        <w:ind w:right="268" w:firstLine="480"/>
        <w:jc w:val="both"/>
        <w:rPr>
          <w:color w:val="auto"/>
        </w:rPr>
      </w:pPr>
      <w:r>
        <w:rPr>
          <w:color w:val="auto"/>
          <w:spacing w:val="-4"/>
        </w:rPr>
        <w:t>被委托的检验机构应当保证所承担监督抽查相关工作的科学、公正、准确，如实上报检验结果和检验结论，并对检验工作负责，不得分包检验任务，未经组织监督抽</w:t>
      </w:r>
      <w:r>
        <w:rPr>
          <w:color w:val="auto"/>
        </w:rPr>
        <w:t>查的部门批准，不得租赁或者借用他人检测设备。</w:t>
      </w:r>
    </w:p>
    <w:p>
      <w:pPr>
        <w:pStyle w:val="4"/>
        <w:spacing w:line="391" w:lineRule="auto"/>
        <w:ind w:right="268" w:firstLine="480"/>
        <w:jc w:val="both"/>
        <w:rPr>
          <w:color w:val="auto"/>
        </w:rPr>
      </w:pPr>
      <w:r>
        <w:rPr>
          <w:color w:val="auto"/>
          <w:spacing w:val="-3"/>
        </w:rPr>
        <w:t>组织监督抽查的部门应当加强对抽样人员和检验机构的监督管理，制定相应的考</w:t>
      </w:r>
      <w:r>
        <w:rPr>
          <w:color w:val="auto"/>
          <w:spacing w:val="-6"/>
        </w:rPr>
        <w:t>核办法，对监督抽查实施过程及相关机构和人员开展监督检查。对存在违反本办法相</w:t>
      </w:r>
      <w:r>
        <w:rPr>
          <w:color w:val="auto"/>
          <w:spacing w:val="-7"/>
        </w:rPr>
        <w:t xml:space="preserve">关规定的检验机构，必要时可暂停其 </w:t>
      </w:r>
      <w:r>
        <w:rPr>
          <w:color w:val="auto"/>
        </w:rPr>
        <w:t>3</w:t>
      </w:r>
      <w:r>
        <w:rPr>
          <w:color w:val="auto"/>
          <w:spacing w:val="-10"/>
        </w:rPr>
        <w:t xml:space="preserve"> 年承担监督抽查任务资格，并按照第四章的有</w:t>
      </w:r>
      <w:r>
        <w:rPr>
          <w:color w:val="auto"/>
          <w:spacing w:val="-18"/>
        </w:rPr>
        <w:t>关规定处罚。”</w:t>
      </w:r>
    </w:p>
    <w:p>
      <w:pPr>
        <w:pStyle w:val="4"/>
        <w:spacing w:line="391" w:lineRule="auto"/>
        <w:ind w:right="268" w:firstLine="480"/>
        <w:jc w:val="both"/>
        <w:rPr>
          <w:color w:val="auto"/>
        </w:rPr>
      </w:pPr>
      <w:r>
        <w:rPr>
          <w:color w:val="auto"/>
          <w:spacing w:val="-4"/>
        </w:rPr>
        <w:t>《产品质量监督抽查管理办法》第三十二条“检验工作结束后，检验机构应当在</w:t>
      </w:r>
      <w:r>
        <w:rPr>
          <w:color w:val="auto"/>
          <w:spacing w:val="-3"/>
        </w:rPr>
        <w:t>规定的时间内将检验报告及有关情况报送组织监督抽查的部门。国家监督抽查同时抄</w:t>
      </w:r>
      <w:r>
        <w:rPr>
          <w:color w:val="auto"/>
          <w:spacing w:val="-6"/>
        </w:rPr>
        <w:t>送生产企业所在地的省级质量技术监督部门。”</w:t>
      </w:r>
    </w:p>
    <w:p>
      <w:pPr>
        <w:pStyle w:val="4"/>
        <w:spacing w:line="391" w:lineRule="auto"/>
        <w:ind w:right="213" w:firstLine="480"/>
        <w:rPr>
          <w:color w:val="auto"/>
        </w:rPr>
      </w:pPr>
      <w:r>
        <w:rPr>
          <w:color w:val="auto"/>
        </w:rPr>
        <w:t>《产品质量监督抽查管理办法》第三十八条“检验机构应当将复检结果及时报送组织监督抽查的部门。国家监督抽查应当同时抄报企业所在地省级质量技术监督部门。”</w:t>
      </w:r>
    </w:p>
    <w:p>
      <w:pPr>
        <w:spacing w:before="0" w:line="391" w:lineRule="auto"/>
        <w:ind w:left="591" w:right="6948" w:firstLine="0"/>
        <w:jc w:val="left"/>
        <w:rPr>
          <w:color w:val="auto"/>
          <w:sz w:val="24"/>
        </w:rPr>
      </w:pPr>
      <w:r>
        <w:rPr>
          <w:b/>
          <w:color w:val="auto"/>
          <w:sz w:val="24"/>
        </w:rPr>
        <w:t>（二）裁量标准</w:t>
      </w:r>
      <w:r>
        <w:rPr>
          <w:color w:val="auto"/>
          <w:sz w:val="24"/>
        </w:rPr>
        <w:t>1、【较重】</w:t>
      </w:r>
    </w:p>
    <w:p>
      <w:pPr>
        <w:pStyle w:val="13"/>
        <w:numPr>
          <w:ilvl w:val="0"/>
          <w:numId w:val="58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74"/>
        <w:ind w:left="771"/>
        <w:rPr>
          <w:color w:val="auto"/>
        </w:rPr>
      </w:pPr>
      <w:r>
        <w:rPr>
          <w:color w:val="auto"/>
        </w:rPr>
        <w:t>造成一定危害后果或不良社会影响的。</w:t>
      </w:r>
    </w:p>
    <w:p>
      <w:pPr>
        <w:pStyle w:val="13"/>
        <w:numPr>
          <w:ilvl w:val="0"/>
          <w:numId w:val="58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6472"/>
        <w:rPr>
          <w:color w:val="auto"/>
        </w:rPr>
      </w:pPr>
      <w:r>
        <w:rPr>
          <w:color w:val="auto"/>
          <w:spacing w:val="-30"/>
        </w:rPr>
        <w:t xml:space="preserve">处 </w:t>
      </w:r>
      <w:r>
        <w:rPr>
          <w:color w:val="auto"/>
        </w:rPr>
        <w:t>2</w:t>
      </w:r>
      <w:r>
        <w:rPr>
          <w:color w:val="auto"/>
          <w:spacing w:val="-10"/>
        </w:rPr>
        <w:t xml:space="preserve"> 万元以下罚款。</w:t>
      </w:r>
      <w:r>
        <w:rPr>
          <w:color w:val="auto"/>
        </w:rPr>
        <w:t>2</w:t>
      </w:r>
      <w:r>
        <w:rPr>
          <w:color w:val="auto"/>
          <w:spacing w:val="-24"/>
        </w:rPr>
        <w:t>、【严重】</w:t>
      </w:r>
    </w:p>
    <w:p>
      <w:pPr>
        <w:pStyle w:val="13"/>
        <w:numPr>
          <w:ilvl w:val="0"/>
          <w:numId w:val="58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造成严重危害后果或不良社会影响的。</w:t>
      </w:r>
    </w:p>
    <w:p>
      <w:pPr>
        <w:pStyle w:val="13"/>
        <w:numPr>
          <w:ilvl w:val="0"/>
          <w:numId w:val="58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2 万元以上 3 万元以下罚款。</w:t>
      </w:r>
    </w:p>
    <w:p>
      <w:pPr>
        <w:pStyle w:val="2"/>
        <w:spacing w:before="191"/>
        <w:rPr>
          <w:color w:val="auto"/>
        </w:rPr>
      </w:pPr>
      <w:bookmarkStart w:id="767" w:name="_bookmark383"/>
      <w:bookmarkEnd w:id="767"/>
      <w:bookmarkStart w:id="768" w:name="三百七十五、检验机构违规抽样且情节严重拒不改正"/>
      <w:bookmarkEnd w:id="768"/>
      <w:r>
        <w:rPr>
          <w:color w:val="auto"/>
        </w:rPr>
        <w:t>三百七十五、检验机构违规抽样且情节严重拒不改正</w:t>
      </w:r>
    </w:p>
    <w:p>
      <w:pPr>
        <w:spacing w:before="192"/>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spacing w:val="-4"/>
        </w:rPr>
        <w:t>《产品质量监督抽查管理办法》第五十五条“组织监督抽查的部门违反第十五条</w:t>
      </w:r>
      <w:r>
        <w:rPr>
          <w:color w:val="auto"/>
          <w:spacing w:val="-5"/>
        </w:rPr>
        <w:t>至二十五条规定，违规抽样的，由上级主管部门或者监察机关责令改正；情节严重或</w:t>
      </w:r>
      <w:r>
        <w:rPr>
          <w:color w:val="auto"/>
        </w:rPr>
        <w:t>者拒不改正的，对直接负责的主管人员和其他直接责任人员依法给予行政处分。</w:t>
      </w:r>
    </w:p>
    <w:p>
      <w:pPr>
        <w:pStyle w:val="4"/>
        <w:spacing w:line="391" w:lineRule="auto"/>
        <w:ind w:right="268" w:firstLine="480"/>
        <w:jc w:val="both"/>
        <w:rPr>
          <w:color w:val="auto"/>
        </w:rPr>
      </w:pPr>
      <w:r>
        <w:rPr>
          <w:color w:val="auto"/>
          <w:spacing w:val="-4"/>
        </w:rPr>
        <w:t xml:space="preserve">检验机构有前款所列行为的，由组织监督抽查的部门责令改正；情节严重或者拒不改正的，由所在地质量技术监督部门处 </w:t>
      </w:r>
      <w:r>
        <w:rPr>
          <w:color w:val="auto"/>
        </w:rPr>
        <w:t>3</w:t>
      </w:r>
      <w:r>
        <w:rPr>
          <w:color w:val="auto"/>
          <w:spacing w:val="-21"/>
        </w:rPr>
        <w:t xml:space="preserve"> 万元以下罚款。”</w:t>
      </w:r>
    </w:p>
    <w:p>
      <w:pPr>
        <w:spacing w:before="0" w:line="388" w:lineRule="auto"/>
        <w:ind w:left="591" w:right="6948" w:firstLine="0"/>
        <w:jc w:val="left"/>
        <w:rPr>
          <w:color w:val="auto"/>
          <w:sz w:val="24"/>
        </w:rPr>
      </w:pPr>
      <w:r>
        <w:rPr>
          <w:b/>
          <w:color w:val="auto"/>
          <w:sz w:val="24"/>
        </w:rPr>
        <w:t>（二）裁量标准</w:t>
      </w:r>
      <w:r>
        <w:rPr>
          <w:color w:val="auto"/>
          <w:sz w:val="24"/>
        </w:rPr>
        <w:t>1、【较重】</w:t>
      </w:r>
    </w:p>
    <w:p>
      <w:pPr>
        <w:pStyle w:val="13"/>
        <w:numPr>
          <w:ilvl w:val="0"/>
          <w:numId w:val="586"/>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771"/>
        <w:rPr>
          <w:color w:val="auto"/>
        </w:rPr>
      </w:pPr>
      <w:r>
        <w:rPr>
          <w:color w:val="auto"/>
        </w:rPr>
        <w:t>造成一定危害后果或不良社会影响的。</w:t>
      </w:r>
    </w:p>
    <w:p>
      <w:pPr>
        <w:pStyle w:val="13"/>
        <w:numPr>
          <w:ilvl w:val="0"/>
          <w:numId w:val="58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6472"/>
        <w:rPr>
          <w:color w:val="auto"/>
        </w:rPr>
      </w:pPr>
      <w:r>
        <w:rPr>
          <w:color w:val="auto"/>
          <w:spacing w:val="-30"/>
        </w:rPr>
        <w:t xml:space="preserve">处 </w:t>
      </w:r>
      <w:r>
        <w:rPr>
          <w:color w:val="auto"/>
        </w:rPr>
        <w:t>2</w:t>
      </w:r>
      <w:r>
        <w:rPr>
          <w:color w:val="auto"/>
          <w:spacing w:val="-10"/>
        </w:rPr>
        <w:t xml:space="preserve"> 万元以下罚款。</w:t>
      </w:r>
      <w:r>
        <w:rPr>
          <w:color w:val="auto"/>
        </w:rPr>
        <w:t>2</w:t>
      </w:r>
      <w:r>
        <w:rPr>
          <w:color w:val="auto"/>
          <w:spacing w:val="-24"/>
        </w:rPr>
        <w:t>、【严重】</w:t>
      </w:r>
    </w:p>
    <w:p>
      <w:pPr>
        <w:pStyle w:val="13"/>
        <w:numPr>
          <w:ilvl w:val="0"/>
          <w:numId w:val="58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造成严重危害后果或不良社会影响的。</w:t>
      </w:r>
    </w:p>
    <w:p>
      <w:pPr>
        <w:pStyle w:val="13"/>
        <w:numPr>
          <w:ilvl w:val="0"/>
          <w:numId w:val="58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2 万元以上 3 万元以下罚款。</w:t>
      </w:r>
    </w:p>
    <w:p>
      <w:pPr>
        <w:pStyle w:val="2"/>
        <w:spacing w:before="194" w:line="388" w:lineRule="auto"/>
        <w:ind w:left="111" w:right="237" w:firstLine="480"/>
        <w:rPr>
          <w:color w:val="auto"/>
        </w:rPr>
      </w:pPr>
      <w:bookmarkStart w:id="769" w:name="_bookmark384"/>
      <w:bookmarkEnd w:id="769"/>
      <w:bookmarkStart w:id="770" w:name="三百七十六、检验机构向被抽查企业收取费用或者超过规定的数量索取样品，情节严重且拒"/>
      <w:bookmarkEnd w:id="770"/>
      <w:r>
        <w:rPr>
          <w:color w:val="auto"/>
          <w:spacing w:val="-7"/>
        </w:rPr>
        <w:t>三百七十六、检验机构向被抽查企业收取费用或者超过规定的数量索取样品，情节严重且拒不改正</w:t>
      </w:r>
    </w:p>
    <w:p>
      <w:pPr>
        <w:spacing w:before="2"/>
        <w:ind w:left="591" w:right="0" w:firstLine="0"/>
        <w:jc w:val="left"/>
        <w:rPr>
          <w:b/>
          <w:color w:val="auto"/>
          <w:sz w:val="24"/>
        </w:rPr>
      </w:pPr>
      <w:r>
        <w:rPr>
          <w:b/>
          <w:color w:val="auto"/>
          <w:sz w:val="24"/>
        </w:rPr>
        <w:t>（一）处罚依据</w:t>
      </w:r>
    </w:p>
    <w:p>
      <w:pPr>
        <w:pStyle w:val="4"/>
        <w:spacing w:before="194" w:line="388" w:lineRule="auto"/>
        <w:ind w:right="148" w:firstLine="645"/>
        <w:jc w:val="both"/>
        <w:rPr>
          <w:color w:val="auto"/>
        </w:rPr>
      </w:pPr>
      <w:r>
        <w:rPr>
          <w:color w:val="auto"/>
        </w:rPr>
        <w:t>《产品质量监督抽查管理办法》第五十六条“组织监督抽查的部门违反本办法</w:t>
      </w:r>
      <w:r>
        <w:rPr>
          <w:color w:val="auto"/>
          <w:spacing w:val="-3"/>
        </w:rPr>
        <w:t>第七条和第十七条规定，向被抽查企业收取费用或者超过规定的数量索取样品的，由</w:t>
      </w:r>
      <w:r>
        <w:rPr>
          <w:color w:val="auto"/>
          <w:spacing w:val="-13"/>
        </w:rPr>
        <w:t>上级主管部门或者监察机关按照《中华人民共和国产品质量法》第六十六条规定处理。</w:t>
      </w:r>
    </w:p>
    <w:p>
      <w:pPr>
        <w:pStyle w:val="4"/>
        <w:spacing w:before="6" w:line="388" w:lineRule="auto"/>
        <w:ind w:right="268" w:firstLine="480"/>
        <w:jc w:val="both"/>
        <w:rPr>
          <w:color w:val="auto"/>
        </w:rPr>
      </w:pPr>
      <w:r>
        <w:rPr>
          <w:color w:val="auto"/>
          <w:spacing w:val="-4"/>
        </w:rPr>
        <w:t>检验机构有前款所列行为的，由组织监督抽查的部门责令改正；情节严重或者拒</w:t>
      </w:r>
      <w:r>
        <w:rPr>
          <w:color w:val="auto"/>
          <w:spacing w:val="-6"/>
        </w:rPr>
        <w:t xml:space="preserve">不改正的，由所在地质量技术监督部门处 </w:t>
      </w:r>
      <w:r>
        <w:rPr>
          <w:color w:val="auto"/>
        </w:rPr>
        <w:t>3</w:t>
      </w:r>
      <w:r>
        <w:rPr>
          <w:color w:val="auto"/>
          <w:spacing w:val="-11"/>
        </w:rPr>
        <w:t xml:space="preserve"> 万元以下罚款；涉嫌犯罪的，移交司法机</w:t>
      </w:r>
      <w:r>
        <w:rPr>
          <w:color w:val="auto"/>
          <w:spacing w:val="-24"/>
        </w:rPr>
        <w:t>关处理。”</w:t>
      </w:r>
    </w:p>
    <w:p>
      <w:pPr>
        <w:pStyle w:val="4"/>
        <w:spacing w:before="5" w:line="388" w:lineRule="auto"/>
        <w:ind w:right="215" w:firstLine="645"/>
        <w:rPr>
          <w:color w:val="auto"/>
        </w:rPr>
      </w:pPr>
      <w:r>
        <w:rPr>
          <w:color w:val="auto"/>
        </w:rPr>
        <w:t>《产品质量监督抽查管理办法》第七条“监督抽查不得向被抽查企业收取检验费用。国家监督抽查和地方监督抽查所需费用由同级财政部门安排专项经费解决。”</w:t>
      </w:r>
    </w:p>
    <w:p>
      <w:pPr>
        <w:pStyle w:val="4"/>
        <w:spacing w:before="2"/>
        <w:ind w:left="579"/>
        <w:rPr>
          <w:color w:val="auto"/>
        </w:rPr>
      </w:pPr>
      <w:r>
        <w:rPr>
          <w:color w:val="auto"/>
        </w:rPr>
        <w:t>《产品质量监督抽查管理办法》第十七条“监督抽查的样品应当由抽样人员在市</w:t>
      </w:r>
    </w:p>
    <w:p>
      <w:pPr>
        <w:spacing w:after="0"/>
        <w:rPr>
          <w:color w:val="auto"/>
        </w:rPr>
        <w:sectPr>
          <w:pgSz w:w="11910" w:h="16840"/>
          <w:pgMar w:top="1520" w:right="1260" w:bottom="1220" w:left="1420" w:header="0" w:footer="1034" w:gutter="0"/>
        </w:sectPr>
      </w:pPr>
    </w:p>
    <w:p>
      <w:pPr>
        <w:pStyle w:val="4"/>
        <w:spacing w:before="39" w:line="391" w:lineRule="auto"/>
        <w:ind w:right="268"/>
        <w:rPr>
          <w:color w:val="auto"/>
        </w:rPr>
      </w:pPr>
      <w:r>
        <w:rPr>
          <w:color w:val="auto"/>
          <w:spacing w:val="-3"/>
        </w:rPr>
        <w:t>场上或者企业成品仓库内待销的产品中随机抽取，不得由企业抽样。抽取的样品应当</w:t>
      </w:r>
      <w:r>
        <w:rPr>
          <w:color w:val="auto"/>
        </w:rPr>
        <w:t>是有产品质量检验合格证明或者以其他形式表明合格的产品。</w:t>
      </w:r>
    </w:p>
    <w:p>
      <w:pPr>
        <w:pStyle w:val="4"/>
        <w:spacing w:line="388" w:lineRule="auto"/>
        <w:ind w:right="232" w:firstLine="480"/>
        <w:rPr>
          <w:color w:val="auto"/>
        </w:rPr>
      </w:pPr>
      <w:r>
        <w:rPr>
          <w:color w:val="auto"/>
          <w:spacing w:val="-1"/>
        </w:rPr>
        <w:t xml:space="preserve">监督抽查的样品由被抽查企业无偿提供，抽取样品应当按有关规定的数量抽取， </w:t>
      </w:r>
      <w:r>
        <w:rPr>
          <w:color w:val="auto"/>
          <w:spacing w:val="-5"/>
        </w:rPr>
        <w:t>没有具体数量规定的，抽取样品不得超过检验的合理需要。”</w:t>
      </w:r>
    </w:p>
    <w:p>
      <w:pPr>
        <w:spacing w:before="3" w:line="388" w:lineRule="auto"/>
        <w:ind w:left="591" w:right="7428" w:hanging="480"/>
        <w:jc w:val="left"/>
        <w:rPr>
          <w:color w:val="auto"/>
          <w:sz w:val="24"/>
        </w:rPr>
      </w:pPr>
      <w:r>
        <w:rPr>
          <w:b/>
          <w:color w:val="auto"/>
          <w:sz w:val="24"/>
        </w:rPr>
        <w:t>（二）</w:t>
      </w:r>
      <w:r>
        <w:rPr>
          <w:b/>
          <w:color w:val="auto"/>
          <w:spacing w:val="-5"/>
          <w:sz w:val="24"/>
        </w:rPr>
        <w:t>裁量标准</w:t>
      </w:r>
      <w:r>
        <w:rPr>
          <w:color w:val="auto"/>
          <w:sz w:val="24"/>
        </w:rPr>
        <w:t>1</w:t>
      </w:r>
      <w:r>
        <w:rPr>
          <w:color w:val="auto"/>
          <w:spacing w:val="-27"/>
          <w:sz w:val="24"/>
        </w:rPr>
        <w:t>、【较重】</w:t>
      </w:r>
    </w:p>
    <w:p>
      <w:pPr>
        <w:pStyle w:val="13"/>
        <w:numPr>
          <w:ilvl w:val="0"/>
          <w:numId w:val="58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771"/>
        <w:rPr>
          <w:color w:val="auto"/>
        </w:rPr>
      </w:pPr>
      <w:r>
        <w:rPr>
          <w:color w:val="auto"/>
        </w:rPr>
        <w:t>造成一定危害后果或不良社会影响的。</w:t>
      </w:r>
    </w:p>
    <w:p>
      <w:pPr>
        <w:pStyle w:val="13"/>
        <w:numPr>
          <w:ilvl w:val="0"/>
          <w:numId w:val="58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6472"/>
        <w:rPr>
          <w:color w:val="auto"/>
        </w:rPr>
      </w:pPr>
      <w:r>
        <w:rPr>
          <w:color w:val="auto"/>
          <w:spacing w:val="-30"/>
        </w:rPr>
        <w:t xml:space="preserve">处 </w:t>
      </w:r>
      <w:r>
        <w:rPr>
          <w:color w:val="auto"/>
        </w:rPr>
        <w:t>2</w:t>
      </w:r>
      <w:r>
        <w:rPr>
          <w:color w:val="auto"/>
          <w:spacing w:val="-10"/>
        </w:rPr>
        <w:t xml:space="preserve"> 万元以下罚款。</w:t>
      </w:r>
      <w:r>
        <w:rPr>
          <w:color w:val="auto"/>
        </w:rPr>
        <w:t>2</w:t>
      </w:r>
      <w:r>
        <w:rPr>
          <w:color w:val="auto"/>
          <w:spacing w:val="-24"/>
        </w:rPr>
        <w:t>、【严重】</w:t>
      </w:r>
    </w:p>
    <w:p>
      <w:pPr>
        <w:pStyle w:val="13"/>
        <w:numPr>
          <w:ilvl w:val="0"/>
          <w:numId w:val="58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造成严重危害后果或不良社会影响的。</w:t>
      </w:r>
    </w:p>
    <w:p>
      <w:pPr>
        <w:pStyle w:val="13"/>
        <w:numPr>
          <w:ilvl w:val="0"/>
          <w:numId w:val="58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jc w:val="both"/>
        <w:rPr>
          <w:color w:val="auto"/>
        </w:rPr>
      </w:pPr>
      <w:r>
        <w:rPr>
          <w:color w:val="auto"/>
        </w:rPr>
        <w:t>处 2 万元以上 3 万元以下罚款；涉嫌犯罪的，移交司法机关处理。</w:t>
      </w:r>
    </w:p>
    <w:p>
      <w:pPr>
        <w:pStyle w:val="2"/>
        <w:spacing w:before="192" w:line="391" w:lineRule="auto"/>
        <w:ind w:left="111" w:right="237" w:firstLine="480"/>
        <w:jc w:val="both"/>
        <w:rPr>
          <w:color w:val="auto"/>
        </w:rPr>
      </w:pPr>
      <w:bookmarkStart w:id="771" w:name="三百七十七、生产者未按规定更新备案信息、未按规定提交调查分析结果、未按规定保存汽"/>
      <w:bookmarkEnd w:id="771"/>
      <w:bookmarkStart w:id="772" w:name="_bookmark385"/>
      <w:bookmarkEnd w:id="772"/>
      <w:r>
        <w:rPr>
          <w:color w:val="auto"/>
          <w:spacing w:val="-6"/>
        </w:rPr>
        <w:t>三百七十七、生产者未按规定更新备案信息、未按规定提交调查分析结果、未按</w:t>
      </w:r>
      <w:r>
        <w:rPr>
          <w:color w:val="auto"/>
          <w:spacing w:val="-10"/>
        </w:rPr>
        <w:t>规定保存汽车产品召回记录、未按规定发布缺陷汽车产品信息和召回信息，且逾期未改</w:t>
      </w:r>
    </w:p>
    <w:p>
      <w:pPr>
        <w:spacing w:before="0" w:line="304" w:lineRule="exact"/>
        <w:ind w:left="591" w:right="0" w:firstLine="0"/>
        <w:jc w:val="left"/>
        <w:rPr>
          <w:b/>
          <w:color w:val="auto"/>
          <w:sz w:val="24"/>
        </w:rPr>
      </w:pPr>
      <w:r>
        <w:rPr>
          <w:b/>
          <w:color w:val="auto"/>
          <w:sz w:val="24"/>
        </w:rPr>
        <w:t>（一）处罚依据</w:t>
      </w:r>
    </w:p>
    <w:p>
      <w:pPr>
        <w:pStyle w:val="4"/>
        <w:spacing w:before="194" w:line="388" w:lineRule="auto"/>
        <w:ind w:right="148" w:firstLine="480"/>
        <w:rPr>
          <w:color w:val="auto"/>
        </w:rPr>
      </w:pPr>
      <w:r>
        <w:rPr>
          <w:color w:val="auto"/>
        </w:rPr>
        <w:t xml:space="preserve">《缺陷汽车产品召回管理条例实施办法》第三十五条“生产者违反本办法规定， </w:t>
      </w:r>
      <w:r>
        <w:rPr>
          <w:color w:val="auto"/>
          <w:spacing w:val="-13"/>
        </w:rPr>
        <w:t xml:space="preserve">有下列行为之一的，责令限期改正；逾期未改正的，处以 </w:t>
      </w:r>
      <w:r>
        <w:rPr>
          <w:color w:val="auto"/>
        </w:rPr>
        <w:t>1</w:t>
      </w:r>
      <w:r>
        <w:rPr>
          <w:color w:val="auto"/>
          <w:spacing w:val="-20"/>
        </w:rPr>
        <w:t xml:space="preserve"> 万元以上 </w:t>
      </w:r>
      <w:r>
        <w:rPr>
          <w:color w:val="auto"/>
        </w:rPr>
        <w:t>3</w:t>
      </w:r>
      <w:r>
        <w:rPr>
          <w:color w:val="auto"/>
          <w:spacing w:val="-10"/>
        </w:rPr>
        <w:t xml:space="preserve"> 万元以下罚款：</w:t>
      </w:r>
    </w:p>
    <w:p>
      <w:pPr>
        <w:pStyle w:val="4"/>
        <w:spacing w:before="2" w:line="391" w:lineRule="auto"/>
        <w:ind w:right="232"/>
        <w:rPr>
          <w:color w:val="auto"/>
        </w:rPr>
      </w:pPr>
      <w:r>
        <w:rPr>
          <w:color w:val="auto"/>
        </w:rPr>
        <w:t>（一</w:t>
      </w:r>
      <w:r>
        <w:rPr>
          <w:color w:val="auto"/>
          <w:spacing w:val="-8"/>
        </w:rPr>
        <w:t>）</w:t>
      </w:r>
      <w:r>
        <w:rPr>
          <w:color w:val="auto"/>
          <w:spacing w:val="-11"/>
        </w:rPr>
        <w:t>未按规定更新备案信息的；</w:t>
      </w:r>
      <w:r>
        <w:rPr>
          <w:color w:val="auto"/>
        </w:rPr>
        <w:t>（二</w:t>
      </w:r>
      <w:r>
        <w:rPr>
          <w:color w:val="auto"/>
          <w:spacing w:val="-5"/>
        </w:rPr>
        <w:t>）</w:t>
      </w:r>
      <w:r>
        <w:rPr>
          <w:color w:val="auto"/>
          <w:spacing w:val="-11"/>
        </w:rPr>
        <w:t>未按规定提交调查分析结果的；</w:t>
      </w:r>
      <w:r>
        <w:rPr>
          <w:color w:val="auto"/>
        </w:rPr>
        <w:t>（三</w:t>
      </w:r>
      <w:r>
        <w:rPr>
          <w:color w:val="auto"/>
          <w:spacing w:val="-8"/>
        </w:rPr>
        <w:t>）</w:t>
      </w:r>
      <w:r>
        <w:rPr>
          <w:color w:val="auto"/>
        </w:rPr>
        <w:t>未按规</w:t>
      </w:r>
      <w:r>
        <w:rPr>
          <w:color w:val="auto"/>
          <w:spacing w:val="-10"/>
        </w:rPr>
        <w:t>定保存汽车产品召回记录的；</w:t>
      </w:r>
      <w:r>
        <w:rPr>
          <w:color w:val="auto"/>
        </w:rPr>
        <w:t>（四）</w:t>
      </w:r>
      <w:r>
        <w:rPr>
          <w:color w:val="auto"/>
          <w:spacing w:val="-7"/>
        </w:rPr>
        <w:t>未按规定发布缺陷汽车产品信息和召回信息的。”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590"/>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ind w:left="591"/>
        <w:jc w:val="both"/>
        <w:rPr>
          <w:color w:val="auto"/>
        </w:rPr>
      </w:pPr>
      <w:r>
        <w:rPr>
          <w:color w:val="auto"/>
        </w:rPr>
        <w:t>生产者在 1 个月以内未按规定及时改正的。</w:t>
      </w:r>
    </w:p>
    <w:p>
      <w:pPr>
        <w:pStyle w:val="13"/>
        <w:numPr>
          <w:ilvl w:val="0"/>
          <w:numId w:val="590"/>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footerReference r:id="rId83" w:type="default"/>
          <w:footerReference r:id="rId84" w:type="even"/>
          <w:pgSz w:w="11910" w:h="16840"/>
          <w:pgMar w:top="1520" w:right="1260" w:bottom="1220" w:left="1420" w:header="0" w:footer="1034" w:gutter="0"/>
          <w:pgNumType w:start="360"/>
        </w:sectPr>
      </w:pPr>
    </w:p>
    <w:p>
      <w:pPr>
        <w:pStyle w:val="4"/>
        <w:spacing w:before="39" w:line="391" w:lineRule="auto"/>
        <w:ind w:left="591" w:right="6712"/>
        <w:rPr>
          <w:color w:val="auto"/>
        </w:rPr>
      </w:pPr>
      <w:r>
        <w:rPr>
          <w:color w:val="auto"/>
          <w:spacing w:val="-30"/>
        </w:rPr>
        <w:t xml:space="preserve">处 </w:t>
      </w:r>
      <w:r>
        <w:rPr>
          <w:color w:val="auto"/>
        </w:rPr>
        <w:t>1</w:t>
      </w:r>
      <w:r>
        <w:rPr>
          <w:color w:val="auto"/>
          <w:spacing w:val="-11"/>
        </w:rPr>
        <w:t xml:space="preserve"> 万以下罚款。</w:t>
      </w:r>
      <w:r>
        <w:rPr>
          <w:color w:val="auto"/>
        </w:rPr>
        <w:t>2</w:t>
      </w:r>
      <w:r>
        <w:rPr>
          <w:color w:val="auto"/>
          <w:spacing w:val="-24"/>
        </w:rPr>
        <w:t>、【较重】</w:t>
      </w:r>
    </w:p>
    <w:p>
      <w:pPr>
        <w:pStyle w:val="13"/>
        <w:numPr>
          <w:ilvl w:val="0"/>
          <w:numId w:val="59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生产者在 2 个月以内未按规定及时改正的。</w:t>
      </w:r>
    </w:p>
    <w:p>
      <w:pPr>
        <w:pStyle w:val="13"/>
        <w:numPr>
          <w:ilvl w:val="0"/>
          <w:numId w:val="59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7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592"/>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生产者在 2 个月以上未按规定及时改正或拒不改正的。</w:t>
      </w:r>
    </w:p>
    <w:p>
      <w:pPr>
        <w:pStyle w:val="13"/>
        <w:numPr>
          <w:ilvl w:val="0"/>
          <w:numId w:val="59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2 万元以上 3 万元以下罚款。</w:t>
      </w:r>
    </w:p>
    <w:p>
      <w:pPr>
        <w:pStyle w:val="2"/>
        <w:spacing w:before="192"/>
        <w:rPr>
          <w:color w:val="auto"/>
        </w:rPr>
      </w:pPr>
      <w:bookmarkStart w:id="773" w:name="_bookmark386"/>
      <w:bookmarkEnd w:id="773"/>
      <w:bookmarkStart w:id="774" w:name="三百七十八、零部件生产者不配合缺陷调查"/>
      <w:bookmarkEnd w:id="774"/>
      <w:r>
        <w:rPr>
          <w:color w:val="auto"/>
        </w:rPr>
        <w:t>三百七十八、零部件生产者不配合缺陷调查</w:t>
      </w:r>
    </w:p>
    <w:p>
      <w:pPr>
        <w:spacing w:before="191"/>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spacing w:val="-4"/>
        </w:rPr>
        <w:t>《缺陷汽车产品召回管理条例实施办法》第三十六条“零部件生产者违反本办法</w:t>
      </w:r>
      <w:r>
        <w:rPr>
          <w:color w:val="auto"/>
          <w:spacing w:val="-6"/>
        </w:rPr>
        <w:t xml:space="preserve">规定不配合缺陷调查的，责令限期改正；逾期未改正的，处以 </w:t>
      </w:r>
      <w:r>
        <w:rPr>
          <w:color w:val="auto"/>
        </w:rPr>
        <w:t>1</w:t>
      </w:r>
      <w:r>
        <w:rPr>
          <w:color w:val="auto"/>
          <w:spacing w:val="-20"/>
        </w:rPr>
        <w:t xml:space="preserve"> 万元以上 </w:t>
      </w:r>
      <w:r>
        <w:rPr>
          <w:color w:val="auto"/>
        </w:rPr>
        <w:t>3</w:t>
      </w:r>
      <w:r>
        <w:rPr>
          <w:color w:val="auto"/>
          <w:spacing w:val="-16"/>
        </w:rPr>
        <w:t xml:space="preserve"> 万元以下</w:t>
      </w:r>
      <w:r>
        <w:rPr>
          <w:color w:val="auto"/>
          <w:spacing w:val="-30"/>
        </w:rPr>
        <w:t>罚款。”</w:t>
      </w:r>
    </w:p>
    <w:p>
      <w:pPr>
        <w:spacing w:before="6"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59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零部件生产者不如实提供有关材料，尚未造成不良社会影响的。</w:t>
      </w:r>
    </w:p>
    <w:p>
      <w:pPr>
        <w:pStyle w:val="13"/>
        <w:numPr>
          <w:ilvl w:val="0"/>
          <w:numId w:val="59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、【较重】</w:t>
      </w:r>
    </w:p>
    <w:p>
      <w:pPr>
        <w:pStyle w:val="13"/>
        <w:numPr>
          <w:ilvl w:val="0"/>
          <w:numId w:val="59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145" w:firstLine="480"/>
        <w:rPr>
          <w:color w:val="auto"/>
        </w:rPr>
      </w:pPr>
      <w:r>
        <w:rPr>
          <w:color w:val="auto"/>
          <w:spacing w:val="-2"/>
        </w:rPr>
        <w:t>有下列情形之一的：</w:t>
      </w:r>
      <w:r>
        <w:rPr>
          <w:color w:val="auto"/>
          <w:spacing w:val="-16"/>
        </w:rPr>
        <w:t>1</w:t>
      </w:r>
      <w:r>
        <w:rPr>
          <w:color w:val="auto"/>
          <w:spacing w:val="-12"/>
        </w:rPr>
        <w:t>、损坏、毁灭有关证据，致使缺陷调查工作停滞不前的；</w:t>
      </w:r>
      <w:r>
        <w:rPr>
          <w:color w:val="auto"/>
          <w:spacing w:val="-15"/>
        </w:rPr>
        <w:t>2</w:t>
      </w:r>
      <w:r>
        <w:rPr>
          <w:color w:val="auto"/>
          <w:spacing w:val="-13"/>
        </w:rPr>
        <w:t>、</w:t>
      </w:r>
      <w:r>
        <w:rPr>
          <w:color w:val="auto"/>
        </w:rPr>
        <w:t>造成一定不良社会影响的。</w:t>
      </w:r>
    </w:p>
    <w:p>
      <w:pPr>
        <w:pStyle w:val="13"/>
        <w:numPr>
          <w:ilvl w:val="0"/>
          <w:numId w:val="59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处 2 万元以上 2.5 万元以下罚款。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3、【严重】</w:t>
      </w:r>
    </w:p>
    <w:p>
      <w:pPr>
        <w:pStyle w:val="13"/>
        <w:numPr>
          <w:ilvl w:val="0"/>
          <w:numId w:val="595"/>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12" w:firstLine="480"/>
        <w:rPr>
          <w:color w:val="auto"/>
        </w:rPr>
      </w:pPr>
      <w:r>
        <w:rPr>
          <w:color w:val="auto"/>
        </w:rPr>
        <w:t>有下列情形之一的：1、采取暴力方式拒绝、阻挠缺陷调查工作的；2、造成严重不良社会影响的。</w:t>
      </w:r>
    </w:p>
    <w:p>
      <w:pPr>
        <w:pStyle w:val="13"/>
        <w:numPr>
          <w:ilvl w:val="0"/>
          <w:numId w:val="595"/>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2.5 万元以上 3 万元以下罚款。</w:t>
      </w:r>
    </w:p>
    <w:p>
      <w:pPr>
        <w:pStyle w:val="4"/>
        <w:ind w:left="0"/>
        <w:rPr>
          <w:color w:val="auto"/>
        </w:rPr>
      </w:pPr>
    </w:p>
    <w:p>
      <w:pPr>
        <w:pStyle w:val="4"/>
        <w:spacing w:before="1"/>
        <w:ind w:left="0"/>
        <w:rPr>
          <w:color w:val="auto"/>
          <w:sz w:val="30"/>
        </w:rPr>
      </w:pPr>
    </w:p>
    <w:p>
      <w:pPr>
        <w:pStyle w:val="4"/>
        <w:tabs>
          <w:tab w:val="left" w:pos="1071"/>
        </w:tabs>
        <w:rPr>
          <w:rFonts w:hint="eastAsia" w:ascii="黑体" w:eastAsia="黑体"/>
          <w:color w:val="auto"/>
        </w:rPr>
      </w:pPr>
      <w:bookmarkStart w:id="775" w:name="_bookmark387"/>
      <w:bookmarkEnd w:id="775"/>
      <w:bookmarkStart w:id="776" w:name="第十章  标准化监管"/>
      <w:bookmarkEnd w:id="776"/>
      <w:r>
        <w:rPr>
          <w:rFonts w:hint="eastAsia" w:ascii="黑体" w:eastAsia="黑体"/>
          <w:color w:val="auto"/>
        </w:rPr>
        <w:t>第十章</w:t>
      </w:r>
      <w:r>
        <w:rPr>
          <w:rFonts w:hint="eastAsia" w:ascii="黑体" w:eastAsia="黑体"/>
          <w:color w:val="auto"/>
        </w:rPr>
        <w:tab/>
      </w:r>
      <w:r>
        <w:rPr>
          <w:rFonts w:hint="eastAsia" w:ascii="黑体" w:eastAsia="黑体"/>
          <w:color w:val="auto"/>
        </w:rPr>
        <w:t>标准化监管</w:t>
      </w:r>
    </w:p>
    <w:p>
      <w:pPr>
        <w:pStyle w:val="4"/>
        <w:ind w:left="0"/>
        <w:rPr>
          <w:rFonts w:ascii="黑体"/>
          <w:color w:val="auto"/>
        </w:rPr>
      </w:pPr>
    </w:p>
    <w:p>
      <w:pPr>
        <w:pStyle w:val="4"/>
        <w:spacing w:before="12"/>
        <w:ind w:left="0"/>
        <w:rPr>
          <w:rFonts w:ascii="黑体"/>
          <w:color w:val="auto"/>
          <w:sz w:val="29"/>
        </w:rPr>
      </w:pPr>
    </w:p>
    <w:p>
      <w:pPr>
        <w:pStyle w:val="2"/>
        <w:rPr>
          <w:color w:val="auto"/>
        </w:rPr>
      </w:pPr>
      <w:bookmarkStart w:id="777" w:name="三百七十九、生产不符合强制性标准的产品"/>
      <w:bookmarkEnd w:id="777"/>
      <w:bookmarkStart w:id="778" w:name="_bookmark388"/>
      <w:bookmarkEnd w:id="778"/>
      <w:r>
        <w:rPr>
          <w:color w:val="auto"/>
        </w:rPr>
        <w:t>三百七十九、生产不符合强制性标准的产品</w:t>
      </w:r>
    </w:p>
    <w:p>
      <w:pPr>
        <w:spacing w:before="194"/>
        <w:ind w:left="591" w:right="0" w:firstLine="0"/>
        <w:jc w:val="left"/>
        <w:rPr>
          <w:b/>
          <w:color w:val="auto"/>
          <w:sz w:val="24"/>
        </w:rPr>
      </w:pPr>
      <w:r>
        <w:rPr>
          <w:b/>
          <w:color w:val="auto"/>
          <w:sz w:val="24"/>
        </w:rPr>
        <w:t>（一）处罚依据</w:t>
      </w:r>
    </w:p>
    <w:p>
      <w:pPr>
        <w:pStyle w:val="4"/>
        <w:spacing w:before="192" w:line="391" w:lineRule="auto"/>
        <w:ind w:right="232" w:firstLine="470"/>
        <w:jc w:val="both"/>
        <w:rPr>
          <w:color w:val="auto"/>
        </w:rPr>
      </w:pPr>
      <w:r>
        <w:rPr>
          <w:color w:val="auto"/>
        </w:rPr>
        <w:t>1、《中华人民共和国标准化法实施条例》第三十三条第一款“生产不符合强制性标准的产品的，应当责令其停止生产，并没收产品，监督销毁或作必要技术处理； 处以该批产品货值金额百分之二十至百分之五十的罚款；对有关责任者处以五千元以下罚款。”</w:t>
      </w:r>
    </w:p>
    <w:p>
      <w:pPr>
        <w:pStyle w:val="4"/>
        <w:spacing w:line="391" w:lineRule="auto"/>
        <w:ind w:right="265" w:firstLine="470"/>
        <w:jc w:val="both"/>
        <w:rPr>
          <w:color w:val="auto"/>
        </w:rPr>
      </w:pPr>
      <w:r>
        <w:rPr>
          <w:color w:val="auto"/>
        </w:rPr>
        <w:t>2、《中华人民共和国标准化法》第三十七条生产、销售、进口产品或者提供服</w:t>
      </w:r>
      <w:r>
        <w:rPr>
          <w:color w:val="auto"/>
          <w:spacing w:val="-5"/>
        </w:rPr>
        <w:t>务不符合强制性标准的，依照《中华人民共和国产品质量法》、《中华人民共和国进</w:t>
      </w:r>
      <w:r>
        <w:rPr>
          <w:color w:val="auto"/>
          <w:spacing w:val="-6"/>
        </w:rPr>
        <w:t>出口商品检验法》、《中华人民共和国消费者权益保护法》等法律、行政法规的规定</w:t>
      </w:r>
      <w:r>
        <w:rPr>
          <w:color w:val="auto"/>
          <w:spacing w:val="-7"/>
        </w:rPr>
        <w:t>查处，记入信用记录，并依照有关法律、行政法规的规定予以公示；构成犯罪的，依</w:t>
      </w:r>
      <w:r>
        <w:rPr>
          <w:color w:val="auto"/>
        </w:rPr>
        <w:t>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596"/>
        </w:numPr>
        <w:tabs>
          <w:tab w:val="left" w:pos="1193"/>
        </w:tabs>
        <w:spacing w:before="0" w:after="0" w:line="388" w:lineRule="auto"/>
        <w:ind w:left="591" w:right="7072" w:firstLine="0"/>
        <w:jc w:val="left"/>
        <w:rPr>
          <w:color w:val="auto"/>
          <w:sz w:val="24"/>
        </w:rPr>
      </w:pPr>
      <w:r>
        <w:rPr>
          <w:color w:val="auto"/>
          <w:spacing w:val="-5"/>
          <w:sz w:val="24"/>
        </w:rPr>
        <w:t>违法情形</w:t>
      </w:r>
      <w:r>
        <w:rPr>
          <w:color w:val="auto"/>
          <w:sz w:val="24"/>
        </w:rPr>
        <w:t>产品未出厂。</w:t>
      </w:r>
    </w:p>
    <w:p>
      <w:pPr>
        <w:pStyle w:val="13"/>
        <w:numPr>
          <w:ilvl w:val="0"/>
          <w:numId w:val="596"/>
        </w:numPr>
        <w:tabs>
          <w:tab w:val="left" w:pos="1193"/>
        </w:tabs>
        <w:spacing w:before="0" w:after="0" w:line="240" w:lineRule="auto"/>
        <w:ind w:left="1192" w:right="0" w:hanging="602"/>
        <w:jc w:val="left"/>
        <w:rPr>
          <w:color w:val="auto"/>
          <w:sz w:val="24"/>
        </w:rPr>
      </w:pPr>
      <w:r>
        <w:rPr>
          <w:color w:val="auto"/>
          <w:sz w:val="24"/>
        </w:rPr>
        <w:t>处罚标准</w:t>
      </w:r>
    </w:p>
    <w:p>
      <w:pPr>
        <w:pStyle w:val="4"/>
        <w:spacing w:before="189" w:line="388" w:lineRule="auto"/>
        <w:ind w:right="216" w:firstLine="480"/>
        <w:rPr>
          <w:color w:val="auto"/>
        </w:rPr>
      </w:pPr>
      <w:r>
        <w:rPr>
          <w:color w:val="auto"/>
        </w:rPr>
        <w:t>责令其停止生产，并没收产品，监督销毁或作必要技术处理；处以生产产品货值金额 20%以上 25%以下的罚款，对有关责任者处以 1000 元以下罚款。</w:t>
      </w:r>
    </w:p>
    <w:p>
      <w:pPr>
        <w:pStyle w:val="4"/>
        <w:spacing w:before="2"/>
        <w:ind w:left="591"/>
        <w:rPr>
          <w:color w:val="auto"/>
        </w:rPr>
      </w:pPr>
      <w:r>
        <w:rPr>
          <w:color w:val="auto"/>
        </w:rPr>
        <w:t>2、【一般】</w:t>
      </w:r>
    </w:p>
    <w:p>
      <w:pPr>
        <w:spacing w:after="0"/>
        <w:rPr>
          <w:color w:val="auto"/>
        </w:rPr>
        <w:sectPr>
          <w:pgSz w:w="11910" w:h="16840"/>
          <w:pgMar w:top="1520" w:right="1260" w:bottom="1220" w:left="1420" w:header="0" w:footer="1034" w:gutter="0"/>
        </w:sectPr>
      </w:pPr>
    </w:p>
    <w:p>
      <w:pPr>
        <w:pStyle w:val="13"/>
        <w:numPr>
          <w:ilvl w:val="0"/>
          <w:numId w:val="597"/>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产品已销售，但主动追回已销售的产品。</w:t>
      </w:r>
    </w:p>
    <w:p>
      <w:pPr>
        <w:pStyle w:val="13"/>
        <w:numPr>
          <w:ilvl w:val="0"/>
          <w:numId w:val="59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16" w:firstLine="480"/>
        <w:rPr>
          <w:color w:val="auto"/>
        </w:rPr>
      </w:pPr>
      <w:r>
        <w:rPr>
          <w:color w:val="auto"/>
        </w:rPr>
        <w:t>责令其停止生产，并没收产品，监督销毁或作必要技术处理；处以生产产品货值金额 25%以上 30%以下的罚款；对有关责任者处以 1000 元以上 2000 元以下罚款。</w:t>
      </w:r>
    </w:p>
    <w:p>
      <w:pPr>
        <w:pStyle w:val="4"/>
        <w:spacing w:line="306" w:lineRule="exact"/>
        <w:ind w:left="591"/>
        <w:rPr>
          <w:color w:val="auto"/>
        </w:rPr>
      </w:pPr>
      <w:r>
        <w:rPr>
          <w:color w:val="auto"/>
        </w:rPr>
        <w:t>3、【较重】</w:t>
      </w:r>
    </w:p>
    <w:p>
      <w:pPr>
        <w:pStyle w:val="13"/>
        <w:numPr>
          <w:ilvl w:val="0"/>
          <w:numId w:val="59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产品已销售，但主动追回已销售的部分产品。</w:t>
      </w:r>
    </w:p>
    <w:p>
      <w:pPr>
        <w:pStyle w:val="13"/>
        <w:numPr>
          <w:ilvl w:val="0"/>
          <w:numId w:val="59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16" w:firstLine="480"/>
        <w:rPr>
          <w:color w:val="auto"/>
        </w:rPr>
      </w:pPr>
      <w:r>
        <w:rPr>
          <w:color w:val="auto"/>
        </w:rPr>
        <w:t>责令其停止生产，并没收产品，监督销毁或作必要技术处理；处以生产产品货值金额 30%以上 35%以下的罚款；对有关责任者处以 2000 元以上 3000 元以下罚款。</w:t>
      </w:r>
    </w:p>
    <w:p>
      <w:pPr>
        <w:pStyle w:val="4"/>
        <w:spacing w:line="306" w:lineRule="exact"/>
        <w:ind w:left="591"/>
        <w:rPr>
          <w:color w:val="auto"/>
        </w:rPr>
      </w:pPr>
      <w:r>
        <w:rPr>
          <w:color w:val="auto"/>
        </w:rPr>
        <w:t>4、【严重】</w:t>
      </w:r>
    </w:p>
    <w:p>
      <w:pPr>
        <w:pStyle w:val="13"/>
        <w:numPr>
          <w:ilvl w:val="0"/>
          <w:numId w:val="59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产品已全部销售，无法追回但是没有造成严重后果的。</w:t>
      </w:r>
    </w:p>
    <w:p>
      <w:pPr>
        <w:pStyle w:val="13"/>
        <w:numPr>
          <w:ilvl w:val="0"/>
          <w:numId w:val="59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16" w:firstLine="480"/>
        <w:rPr>
          <w:color w:val="auto"/>
        </w:rPr>
      </w:pPr>
      <w:r>
        <w:rPr>
          <w:color w:val="auto"/>
        </w:rPr>
        <w:t>责令其停止生产，并没收产品，监督销毁或作必要技术处理；处以生产产品货值金额 35%以上 40%以下的罚款；对有关责任者处以 3000 元以上 4000 元以下罚款。</w:t>
      </w:r>
    </w:p>
    <w:p>
      <w:pPr>
        <w:pStyle w:val="4"/>
        <w:spacing w:line="306" w:lineRule="exact"/>
        <w:ind w:left="591"/>
        <w:rPr>
          <w:color w:val="auto"/>
        </w:rPr>
      </w:pPr>
      <w:r>
        <w:rPr>
          <w:color w:val="auto"/>
        </w:rPr>
        <w:t>5、【特别严重】</w:t>
      </w:r>
    </w:p>
    <w:p>
      <w:pPr>
        <w:pStyle w:val="13"/>
        <w:numPr>
          <w:ilvl w:val="0"/>
          <w:numId w:val="60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产品已全部销售，无法召回而且拒不召回已销售的产品，造成严重后果的。</w:t>
      </w:r>
    </w:p>
    <w:p>
      <w:pPr>
        <w:pStyle w:val="13"/>
        <w:numPr>
          <w:ilvl w:val="0"/>
          <w:numId w:val="60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16" w:firstLine="480"/>
        <w:rPr>
          <w:color w:val="auto"/>
        </w:rPr>
      </w:pPr>
      <w:r>
        <w:rPr>
          <w:color w:val="auto"/>
        </w:rPr>
        <w:t>责令其停止生产，并没收产品，监督销毁或作必要技术处理；处以生产产品货值金额 40%以上 50%以下的罚款；对有关责任者处以 4000 元以上 5000 元以下罚款。</w:t>
      </w:r>
    </w:p>
    <w:p>
      <w:pPr>
        <w:pStyle w:val="2"/>
        <w:spacing w:line="306" w:lineRule="exact"/>
        <w:rPr>
          <w:color w:val="auto"/>
        </w:rPr>
      </w:pPr>
      <w:bookmarkStart w:id="779" w:name="三百八十、销售不符合强制性标准的商品"/>
      <w:bookmarkEnd w:id="779"/>
      <w:bookmarkStart w:id="780" w:name="_bookmark389"/>
      <w:bookmarkEnd w:id="780"/>
      <w:r>
        <w:rPr>
          <w:color w:val="auto"/>
        </w:rPr>
        <w:t>三百八十、销售不符合强制性标准的商品</w:t>
      </w:r>
    </w:p>
    <w:p>
      <w:pPr>
        <w:spacing w:before="191"/>
        <w:ind w:left="591" w:right="0" w:firstLine="0"/>
        <w:jc w:val="left"/>
        <w:rPr>
          <w:b/>
          <w:color w:val="auto"/>
          <w:sz w:val="24"/>
        </w:rPr>
      </w:pPr>
      <w:r>
        <w:rPr>
          <w:b/>
          <w:color w:val="auto"/>
          <w:sz w:val="24"/>
        </w:rPr>
        <w:t>（一）处罚依据</w:t>
      </w:r>
    </w:p>
    <w:p>
      <w:pPr>
        <w:pStyle w:val="4"/>
        <w:spacing w:before="194" w:line="388" w:lineRule="auto"/>
        <w:ind w:right="232" w:firstLine="470"/>
        <w:jc w:val="both"/>
        <w:rPr>
          <w:color w:val="auto"/>
        </w:rPr>
      </w:pPr>
      <w:r>
        <w:rPr>
          <w:color w:val="auto"/>
        </w:rPr>
        <w:t>1、《中华人民共和国标准化法实施条例》第三十三条第二款“销售不符合强制性标准的商品的，应当责令其停止销售，并限期追回已售出的商品，监督销毁或作必要技术处理；没收违法所得；处以该批商品货值金额百分之十至百分之二十的罚款；</w:t>
      </w:r>
    </w:p>
    <w:p>
      <w:pPr>
        <w:spacing w:after="0" w:line="388"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对有关责任者处以五千元以下的罚款。”</w:t>
      </w:r>
    </w:p>
    <w:p>
      <w:pPr>
        <w:pStyle w:val="4"/>
        <w:spacing w:before="195" w:line="391" w:lineRule="auto"/>
        <w:ind w:right="265" w:firstLine="470"/>
        <w:jc w:val="both"/>
        <w:rPr>
          <w:color w:val="auto"/>
        </w:rPr>
      </w:pPr>
      <w:r>
        <w:rPr>
          <w:color w:val="auto"/>
        </w:rPr>
        <w:t>2、《中华人民共和国标准化法》第三十七条生产、销售、进口产品或者提供服</w:t>
      </w:r>
      <w:r>
        <w:rPr>
          <w:color w:val="auto"/>
          <w:spacing w:val="-5"/>
        </w:rPr>
        <w:t>务不符合强制性标准的，依照《中华人民共和国产品质量法》、《中华人民共和国进</w:t>
      </w:r>
      <w:r>
        <w:rPr>
          <w:color w:val="auto"/>
          <w:spacing w:val="-6"/>
        </w:rPr>
        <w:t>出口商品检验法》、《中华人民共和国消费者权益保护法》等法律、行政法规的规定</w:t>
      </w:r>
      <w:r>
        <w:rPr>
          <w:color w:val="auto"/>
          <w:spacing w:val="-7"/>
        </w:rPr>
        <w:t>查处，记入信用记录，并依照有关法律、行政法规的规定予以公示；构成犯罪的，依</w:t>
      </w:r>
      <w:r>
        <w:rPr>
          <w:color w:val="auto"/>
        </w:rPr>
        <w:t>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01"/>
        </w:numPr>
        <w:tabs>
          <w:tab w:val="left" w:pos="1193"/>
        </w:tabs>
        <w:spacing w:before="0" w:after="0" w:line="388" w:lineRule="auto"/>
        <w:ind w:left="591" w:right="7072" w:firstLine="0"/>
        <w:jc w:val="left"/>
        <w:rPr>
          <w:color w:val="auto"/>
          <w:sz w:val="24"/>
        </w:rPr>
      </w:pPr>
      <w:r>
        <w:rPr>
          <w:color w:val="auto"/>
          <w:spacing w:val="-5"/>
          <w:sz w:val="24"/>
        </w:rPr>
        <w:t>违法情形</w:t>
      </w:r>
      <w:r>
        <w:rPr>
          <w:color w:val="auto"/>
          <w:sz w:val="24"/>
        </w:rPr>
        <w:t>产品未售出。</w:t>
      </w:r>
    </w:p>
    <w:p>
      <w:pPr>
        <w:pStyle w:val="13"/>
        <w:numPr>
          <w:ilvl w:val="0"/>
          <w:numId w:val="601"/>
        </w:numPr>
        <w:tabs>
          <w:tab w:val="left" w:pos="1193"/>
        </w:tabs>
        <w:spacing w:before="0" w:after="0" w:line="240" w:lineRule="auto"/>
        <w:ind w:left="1192" w:right="0" w:hanging="602"/>
        <w:jc w:val="left"/>
        <w:rPr>
          <w:color w:val="auto"/>
          <w:sz w:val="24"/>
        </w:rPr>
      </w:pPr>
      <w:r>
        <w:rPr>
          <w:color w:val="auto"/>
          <w:sz w:val="24"/>
        </w:rPr>
        <w:t>处罚标准</w:t>
      </w:r>
    </w:p>
    <w:p>
      <w:pPr>
        <w:pStyle w:val="4"/>
        <w:spacing w:before="186" w:line="391" w:lineRule="auto"/>
        <w:ind w:right="268" w:firstLine="480"/>
        <w:jc w:val="both"/>
        <w:rPr>
          <w:color w:val="auto"/>
        </w:rPr>
      </w:pPr>
      <w:r>
        <w:rPr>
          <w:color w:val="auto"/>
          <w:spacing w:val="-5"/>
        </w:rPr>
        <w:t>责令其停止销售，并限期追回已售出的商品，监督销毁或作必要技术处理；没收</w:t>
      </w:r>
      <w:r>
        <w:rPr>
          <w:color w:val="auto"/>
          <w:spacing w:val="-8"/>
        </w:rPr>
        <w:t xml:space="preserve">违法所得；处以销售货值金额 </w:t>
      </w:r>
      <w:r>
        <w:rPr>
          <w:color w:val="auto"/>
        </w:rPr>
        <w:t>10%</w:t>
      </w:r>
      <w:r>
        <w:rPr>
          <w:color w:val="auto"/>
          <w:spacing w:val="-20"/>
        </w:rPr>
        <w:t xml:space="preserve">以上 </w:t>
      </w:r>
      <w:r>
        <w:rPr>
          <w:color w:val="auto"/>
        </w:rPr>
        <w:t>12%</w:t>
      </w:r>
      <w:r>
        <w:rPr>
          <w:color w:val="auto"/>
          <w:spacing w:val="-7"/>
        </w:rPr>
        <w:t xml:space="preserve">以下的罚款，对有关责任者处以 </w:t>
      </w:r>
      <w:r>
        <w:rPr>
          <w:color w:val="auto"/>
        </w:rPr>
        <w:t>1000</w:t>
      </w:r>
      <w:r>
        <w:rPr>
          <w:color w:val="auto"/>
          <w:spacing w:val="-26"/>
        </w:rPr>
        <w:t xml:space="preserve"> 元以</w:t>
      </w:r>
      <w:r>
        <w:rPr>
          <w:color w:val="auto"/>
        </w:rPr>
        <w:t>下罚款。</w:t>
      </w:r>
    </w:p>
    <w:p>
      <w:pPr>
        <w:pStyle w:val="4"/>
        <w:spacing w:line="304" w:lineRule="exact"/>
        <w:ind w:left="591"/>
        <w:rPr>
          <w:color w:val="auto"/>
        </w:rPr>
      </w:pPr>
      <w:r>
        <w:rPr>
          <w:color w:val="auto"/>
        </w:rPr>
        <w:t>2、【一般】</w:t>
      </w:r>
    </w:p>
    <w:p>
      <w:pPr>
        <w:pStyle w:val="13"/>
        <w:numPr>
          <w:ilvl w:val="0"/>
          <w:numId w:val="60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产品已部分销售，但主动追回已销售的部分产品，未对社会造成危害。</w:t>
      </w:r>
    </w:p>
    <w:p>
      <w:pPr>
        <w:pStyle w:val="13"/>
        <w:numPr>
          <w:ilvl w:val="0"/>
          <w:numId w:val="60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5"/>
        </w:rPr>
        <w:t>责令其停止销售，并限期追回已售出的商品，监督销毁或作必要技术处理；没收</w:t>
      </w:r>
      <w:r>
        <w:rPr>
          <w:color w:val="auto"/>
          <w:spacing w:val="-8"/>
        </w:rPr>
        <w:t xml:space="preserve">违法所得；处以销售货值金额 </w:t>
      </w:r>
      <w:r>
        <w:rPr>
          <w:color w:val="auto"/>
        </w:rPr>
        <w:t>12%</w:t>
      </w:r>
      <w:r>
        <w:rPr>
          <w:color w:val="auto"/>
          <w:spacing w:val="-20"/>
        </w:rPr>
        <w:t xml:space="preserve">以上 </w:t>
      </w:r>
      <w:r>
        <w:rPr>
          <w:color w:val="auto"/>
        </w:rPr>
        <w:t>14%</w:t>
      </w:r>
      <w:r>
        <w:rPr>
          <w:color w:val="auto"/>
          <w:spacing w:val="-7"/>
        </w:rPr>
        <w:t xml:space="preserve">以下的罚款，对有关责任者处以 </w:t>
      </w:r>
      <w:r>
        <w:rPr>
          <w:color w:val="auto"/>
        </w:rPr>
        <w:t>1000</w:t>
      </w:r>
      <w:r>
        <w:rPr>
          <w:color w:val="auto"/>
          <w:spacing w:val="-26"/>
        </w:rPr>
        <w:t xml:space="preserve"> 元以</w:t>
      </w:r>
      <w:r>
        <w:rPr>
          <w:color w:val="auto"/>
          <w:spacing w:val="-30"/>
        </w:rPr>
        <w:t xml:space="preserve">上 </w:t>
      </w:r>
      <w:r>
        <w:rPr>
          <w:color w:val="auto"/>
        </w:rPr>
        <w:t>2000</w:t>
      </w:r>
      <w:r>
        <w:rPr>
          <w:color w:val="auto"/>
          <w:spacing w:val="-9"/>
        </w:rPr>
        <w:t xml:space="preserve"> 元以下罚款。</w:t>
      </w:r>
    </w:p>
    <w:p>
      <w:pPr>
        <w:pStyle w:val="4"/>
        <w:spacing w:line="304" w:lineRule="exact"/>
        <w:ind w:left="591"/>
        <w:rPr>
          <w:color w:val="auto"/>
        </w:rPr>
      </w:pPr>
      <w:r>
        <w:rPr>
          <w:color w:val="auto"/>
        </w:rPr>
        <w:t>3、【较重】</w:t>
      </w:r>
    </w:p>
    <w:p>
      <w:pPr>
        <w:pStyle w:val="13"/>
        <w:numPr>
          <w:ilvl w:val="0"/>
          <w:numId w:val="60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产品已全部销售，但主动追回已销售的部分产品。</w:t>
      </w:r>
    </w:p>
    <w:p>
      <w:pPr>
        <w:pStyle w:val="13"/>
        <w:numPr>
          <w:ilvl w:val="0"/>
          <w:numId w:val="60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jc w:val="both"/>
        <w:rPr>
          <w:color w:val="auto"/>
        </w:rPr>
      </w:pPr>
      <w:r>
        <w:rPr>
          <w:color w:val="auto"/>
          <w:spacing w:val="-5"/>
        </w:rPr>
        <w:t>责令其停止销售，并限期追回已售出的商品，监督销毁或作必要技术处理；没收</w:t>
      </w:r>
      <w:r>
        <w:rPr>
          <w:color w:val="auto"/>
          <w:spacing w:val="-8"/>
        </w:rPr>
        <w:t xml:space="preserve">违法所得；处以销售货值金额 </w:t>
      </w:r>
      <w:r>
        <w:rPr>
          <w:color w:val="auto"/>
        </w:rPr>
        <w:t>14%</w:t>
      </w:r>
      <w:r>
        <w:rPr>
          <w:color w:val="auto"/>
          <w:spacing w:val="-20"/>
        </w:rPr>
        <w:t xml:space="preserve">以上 </w:t>
      </w:r>
      <w:r>
        <w:rPr>
          <w:color w:val="auto"/>
        </w:rPr>
        <w:t>16%</w:t>
      </w:r>
      <w:r>
        <w:rPr>
          <w:color w:val="auto"/>
          <w:spacing w:val="-7"/>
        </w:rPr>
        <w:t xml:space="preserve">以下的罚款，对有关责任者处以 </w:t>
      </w:r>
      <w:r>
        <w:rPr>
          <w:color w:val="auto"/>
        </w:rPr>
        <w:t>2000</w:t>
      </w:r>
      <w:r>
        <w:rPr>
          <w:color w:val="auto"/>
          <w:spacing w:val="-26"/>
        </w:rPr>
        <w:t xml:space="preserve"> 元以</w:t>
      </w:r>
      <w:r>
        <w:rPr>
          <w:color w:val="auto"/>
          <w:spacing w:val="-30"/>
        </w:rPr>
        <w:t xml:space="preserve">上 </w:t>
      </w:r>
      <w:r>
        <w:rPr>
          <w:color w:val="auto"/>
        </w:rPr>
        <w:t>3000</w:t>
      </w:r>
      <w:r>
        <w:rPr>
          <w:color w:val="auto"/>
          <w:spacing w:val="-9"/>
        </w:rPr>
        <w:t xml:space="preserve"> 元以下罚款。</w:t>
      </w:r>
    </w:p>
    <w:p>
      <w:pPr>
        <w:spacing w:after="0" w:line="388" w:lineRule="auto"/>
        <w:jc w:val="both"/>
        <w:rPr>
          <w:color w:val="auto"/>
        </w:rPr>
        <w:sectPr>
          <w:pgSz w:w="11910" w:h="16840"/>
          <w:pgMar w:top="1520" w:right="1260" w:bottom="1220" w:left="1420" w:header="0" w:footer="1034" w:gutter="0"/>
        </w:sectPr>
      </w:pPr>
    </w:p>
    <w:p>
      <w:pPr>
        <w:pStyle w:val="4"/>
        <w:spacing w:before="39"/>
        <w:ind w:left="591"/>
        <w:rPr>
          <w:color w:val="auto"/>
        </w:rPr>
      </w:pPr>
      <w:r>
        <w:rPr>
          <w:color w:val="auto"/>
        </w:rPr>
        <w:t>4、【严重】</w:t>
      </w:r>
    </w:p>
    <w:p>
      <w:pPr>
        <w:pStyle w:val="13"/>
        <w:numPr>
          <w:ilvl w:val="0"/>
          <w:numId w:val="604"/>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产品已部分销售，已无法追回且拒不追回已销售的部分产品。</w:t>
      </w:r>
    </w:p>
    <w:p>
      <w:pPr>
        <w:pStyle w:val="13"/>
        <w:numPr>
          <w:ilvl w:val="0"/>
          <w:numId w:val="60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jc w:val="both"/>
        <w:rPr>
          <w:color w:val="auto"/>
        </w:rPr>
      </w:pPr>
      <w:r>
        <w:rPr>
          <w:color w:val="auto"/>
          <w:spacing w:val="-5"/>
        </w:rPr>
        <w:t>责令其停止销售，并限期追回已售出的商品，监督销毁或作必要技术处理；没收</w:t>
      </w:r>
      <w:r>
        <w:rPr>
          <w:color w:val="auto"/>
          <w:spacing w:val="-8"/>
        </w:rPr>
        <w:t xml:space="preserve">违法所得；处以销售货值金额 </w:t>
      </w:r>
      <w:r>
        <w:rPr>
          <w:color w:val="auto"/>
        </w:rPr>
        <w:t>16%</w:t>
      </w:r>
      <w:r>
        <w:rPr>
          <w:color w:val="auto"/>
          <w:spacing w:val="-20"/>
        </w:rPr>
        <w:t xml:space="preserve">以上 </w:t>
      </w:r>
      <w:r>
        <w:rPr>
          <w:color w:val="auto"/>
        </w:rPr>
        <w:t>18%</w:t>
      </w:r>
      <w:r>
        <w:rPr>
          <w:color w:val="auto"/>
          <w:spacing w:val="-7"/>
        </w:rPr>
        <w:t xml:space="preserve">以下的罚款，对有关责任者处以 </w:t>
      </w:r>
      <w:r>
        <w:rPr>
          <w:color w:val="auto"/>
        </w:rPr>
        <w:t>3000</w:t>
      </w:r>
      <w:r>
        <w:rPr>
          <w:color w:val="auto"/>
          <w:spacing w:val="-26"/>
        </w:rPr>
        <w:t xml:space="preserve"> 元以</w:t>
      </w:r>
      <w:r>
        <w:rPr>
          <w:color w:val="auto"/>
          <w:spacing w:val="-30"/>
        </w:rPr>
        <w:t xml:space="preserve">上 </w:t>
      </w:r>
      <w:r>
        <w:rPr>
          <w:color w:val="auto"/>
        </w:rPr>
        <w:t>4000</w:t>
      </w:r>
      <w:r>
        <w:rPr>
          <w:color w:val="auto"/>
          <w:spacing w:val="-9"/>
        </w:rPr>
        <w:t xml:space="preserve"> 元以下罚款。</w:t>
      </w:r>
    </w:p>
    <w:p>
      <w:pPr>
        <w:pStyle w:val="4"/>
        <w:spacing w:before="6"/>
        <w:ind w:left="591"/>
        <w:rPr>
          <w:color w:val="auto"/>
        </w:rPr>
      </w:pPr>
      <w:r>
        <w:rPr>
          <w:color w:val="auto"/>
        </w:rPr>
        <w:t>5、【特别严重】</w:t>
      </w:r>
    </w:p>
    <w:p>
      <w:pPr>
        <w:pStyle w:val="13"/>
        <w:numPr>
          <w:ilvl w:val="0"/>
          <w:numId w:val="605"/>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产品已全部销售，已无法追回且拒不追回已销售的产品。</w:t>
      </w:r>
    </w:p>
    <w:p>
      <w:pPr>
        <w:pStyle w:val="13"/>
        <w:numPr>
          <w:ilvl w:val="0"/>
          <w:numId w:val="60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5"/>
        </w:rPr>
        <w:t>责令其停止销售，并限期追回已售出的商品，监督销毁或作必要技术处理；没收</w:t>
      </w:r>
      <w:r>
        <w:rPr>
          <w:color w:val="auto"/>
          <w:spacing w:val="-8"/>
        </w:rPr>
        <w:t xml:space="preserve">违法所得；处以销售货值金额 </w:t>
      </w:r>
      <w:r>
        <w:rPr>
          <w:color w:val="auto"/>
        </w:rPr>
        <w:t>18%</w:t>
      </w:r>
      <w:r>
        <w:rPr>
          <w:color w:val="auto"/>
          <w:spacing w:val="-20"/>
        </w:rPr>
        <w:t xml:space="preserve">以上 </w:t>
      </w:r>
      <w:r>
        <w:rPr>
          <w:color w:val="auto"/>
        </w:rPr>
        <w:t>20%</w:t>
      </w:r>
      <w:r>
        <w:rPr>
          <w:color w:val="auto"/>
          <w:spacing w:val="-7"/>
        </w:rPr>
        <w:t xml:space="preserve">以下的罚款，对有关责任者处以 </w:t>
      </w:r>
      <w:r>
        <w:rPr>
          <w:color w:val="auto"/>
        </w:rPr>
        <w:t>4000</w:t>
      </w:r>
      <w:r>
        <w:rPr>
          <w:color w:val="auto"/>
          <w:spacing w:val="-26"/>
        </w:rPr>
        <w:t xml:space="preserve"> 元以</w:t>
      </w:r>
      <w:r>
        <w:rPr>
          <w:color w:val="auto"/>
          <w:spacing w:val="-30"/>
        </w:rPr>
        <w:t xml:space="preserve">上 </w:t>
      </w:r>
      <w:r>
        <w:rPr>
          <w:color w:val="auto"/>
        </w:rPr>
        <w:t>5000</w:t>
      </w:r>
      <w:r>
        <w:rPr>
          <w:color w:val="auto"/>
          <w:spacing w:val="-9"/>
        </w:rPr>
        <w:t xml:space="preserve"> 元以下罚款。</w:t>
      </w:r>
    </w:p>
    <w:p>
      <w:pPr>
        <w:pStyle w:val="2"/>
        <w:spacing w:line="304" w:lineRule="exact"/>
        <w:rPr>
          <w:color w:val="auto"/>
        </w:rPr>
      </w:pPr>
      <w:bookmarkStart w:id="781" w:name="三百八十一、进口不符合强制性标准的产品"/>
      <w:bookmarkEnd w:id="781"/>
      <w:bookmarkStart w:id="782" w:name="_bookmark390"/>
      <w:bookmarkEnd w:id="782"/>
      <w:r>
        <w:rPr>
          <w:color w:val="auto"/>
        </w:rPr>
        <w:t>三百八十一、进口不符合强制性标准的产品</w:t>
      </w:r>
    </w:p>
    <w:p>
      <w:pPr>
        <w:spacing w:before="192"/>
        <w:ind w:left="59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rPr>
        <w:t>1、《中华人民共和国标准化法》第三十七条“生产、销售、进口产品或者提供</w:t>
      </w:r>
      <w:r>
        <w:rPr>
          <w:color w:val="auto"/>
          <w:spacing w:val="-4"/>
        </w:rPr>
        <w:t>服务不符合强制性标准的，依照《中华人民共和国产品质量法》、《中华人民共和国</w:t>
      </w:r>
      <w:r>
        <w:rPr>
          <w:color w:val="auto"/>
          <w:spacing w:val="-8"/>
        </w:rPr>
        <w:t>进出口商品检验法》、《中华人民共和国消费者权益保护法》等法律、行政法规的规</w:t>
      </w:r>
      <w:r>
        <w:rPr>
          <w:color w:val="auto"/>
          <w:spacing w:val="-9"/>
        </w:rPr>
        <w:t xml:space="preserve">定查处，记入信用记录，并依照有关法律、行政法规的规定予以公示；构成犯罪的， </w:t>
      </w:r>
      <w:r>
        <w:rPr>
          <w:color w:val="auto"/>
        </w:rPr>
        <w:t>依法追究刑事责任。”</w:t>
      </w:r>
    </w:p>
    <w:p>
      <w:pPr>
        <w:pStyle w:val="4"/>
        <w:spacing w:line="391" w:lineRule="auto"/>
        <w:ind w:right="268" w:firstLine="470"/>
        <w:jc w:val="both"/>
        <w:rPr>
          <w:color w:val="auto"/>
        </w:rPr>
      </w:pPr>
      <w:r>
        <w:rPr>
          <w:color w:val="auto"/>
        </w:rPr>
        <w:t>2、《中华人民共和国标准化法实施条例》第三十三条第三款“进口不符合强制</w:t>
      </w:r>
      <w:r>
        <w:rPr>
          <w:color w:val="auto"/>
          <w:spacing w:val="-5"/>
        </w:rPr>
        <w:t>性标准的产品的，应当封存并没收该产品，监督销毁或作必要技术处理；处以进口产</w:t>
      </w:r>
      <w:r>
        <w:rPr>
          <w:color w:val="auto"/>
          <w:spacing w:val="-3"/>
        </w:rPr>
        <w:t>品货值金额百分之二十至百分之五十的罚款；对有关责任者给予行政处分，并可处以</w:t>
      </w:r>
      <w:r>
        <w:rPr>
          <w:color w:val="auto"/>
        </w:rPr>
        <w:t>五千元以下罚款。”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06"/>
        </w:numPr>
        <w:tabs>
          <w:tab w:val="left" w:pos="1193"/>
        </w:tabs>
        <w:spacing w:before="0"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产品未销售。</w:t>
      </w:r>
    </w:p>
    <w:p>
      <w:pPr>
        <w:pStyle w:val="13"/>
        <w:numPr>
          <w:ilvl w:val="0"/>
          <w:numId w:val="606"/>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15" w:firstLine="480"/>
        <w:rPr>
          <w:color w:val="auto"/>
        </w:rPr>
      </w:pPr>
      <w:r>
        <w:rPr>
          <w:color w:val="auto"/>
        </w:rPr>
        <w:t>封存并没收该产品，监督销毁或作必要技术处理；处以进口产品货值金额 20%以上 25%以下的罚款，对有关责任者处以 1000 元以下罚款。</w:t>
      </w:r>
    </w:p>
    <w:p>
      <w:pPr>
        <w:pStyle w:val="4"/>
        <w:spacing w:before="5"/>
        <w:ind w:left="591"/>
        <w:rPr>
          <w:color w:val="auto"/>
        </w:rPr>
      </w:pPr>
      <w:r>
        <w:rPr>
          <w:color w:val="auto"/>
        </w:rPr>
        <w:t>2、【一般】</w:t>
      </w:r>
    </w:p>
    <w:p>
      <w:pPr>
        <w:pStyle w:val="13"/>
        <w:numPr>
          <w:ilvl w:val="0"/>
          <w:numId w:val="60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产品已部分销售，且主动追回已销售部分产品的，</w:t>
      </w:r>
    </w:p>
    <w:p>
      <w:pPr>
        <w:pStyle w:val="13"/>
        <w:numPr>
          <w:ilvl w:val="0"/>
          <w:numId w:val="60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15" w:firstLine="480"/>
        <w:rPr>
          <w:color w:val="auto"/>
        </w:rPr>
      </w:pPr>
      <w:r>
        <w:rPr>
          <w:color w:val="auto"/>
        </w:rPr>
        <w:t>封存并没收该产品，监督销毁或作必要技术处理；处以进口产品货值金额 25%以上 30%以下的罚款；对有关责任者处以 1000 元以上 2000 元以下罚款。</w:t>
      </w:r>
    </w:p>
    <w:p>
      <w:pPr>
        <w:pStyle w:val="4"/>
        <w:spacing w:before="5"/>
        <w:ind w:left="591"/>
        <w:rPr>
          <w:color w:val="auto"/>
        </w:rPr>
      </w:pPr>
      <w:r>
        <w:rPr>
          <w:color w:val="auto"/>
        </w:rPr>
        <w:t>3、【较重】</w:t>
      </w:r>
    </w:p>
    <w:p>
      <w:pPr>
        <w:pStyle w:val="13"/>
        <w:numPr>
          <w:ilvl w:val="0"/>
          <w:numId w:val="608"/>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产品已部分销售，但无法追回已销售的部分产品。</w:t>
      </w:r>
    </w:p>
    <w:p>
      <w:pPr>
        <w:pStyle w:val="13"/>
        <w:numPr>
          <w:ilvl w:val="0"/>
          <w:numId w:val="60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15" w:firstLine="480"/>
        <w:rPr>
          <w:color w:val="auto"/>
        </w:rPr>
      </w:pPr>
      <w:r>
        <w:rPr>
          <w:color w:val="auto"/>
        </w:rPr>
        <w:t>封存并没收该产品，监督销毁或作必要技术处理；处以进口产品货值金额 30%以上 35%以下的罚款；对有关责任者处以 2000 元以上 3000 元以下罚款。</w:t>
      </w:r>
    </w:p>
    <w:p>
      <w:pPr>
        <w:pStyle w:val="4"/>
        <w:spacing w:before="4"/>
        <w:ind w:left="591"/>
        <w:rPr>
          <w:color w:val="auto"/>
        </w:rPr>
      </w:pPr>
      <w:r>
        <w:rPr>
          <w:color w:val="auto"/>
        </w:rPr>
        <w:t>4、【严重】</w:t>
      </w:r>
    </w:p>
    <w:p>
      <w:pPr>
        <w:pStyle w:val="13"/>
        <w:numPr>
          <w:ilvl w:val="0"/>
          <w:numId w:val="60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831"/>
        <w:rPr>
          <w:color w:val="auto"/>
        </w:rPr>
      </w:pPr>
      <w:r>
        <w:rPr>
          <w:color w:val="auto"/>
        </w:rPr>
        <w:t>产品已全部销售，已无法追回已销售的产品。</w:t>
      </w:r>
    </w:p>
    <w:p>
      <w:pPr>
        <w:pStyle w:val="13"/>
        <w:numPr>
          <w:ilvl w:val="0"/>
          <w:numId w:val="60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right="215" w:firstLine="480"/>
        <w:rPr>
          <w:color w:val="auto"/>
        </w:rPr>
      </w:pPr>
      <w:r>
        <w:rPr>
          <w:color w:val="auto"/>
        </w:rPr>
        <w:t>封存并没收该产品，监督销毁或作必要技术处理；处以进口产品货值金额 35%以上 40%以下的罚款；对有关责任者处以 3000 元以上 4000 元以下罚款。</w:t>
      </w:r>
    </w:p>
    <w:p>
      <w:pPr>
        <w:pStyle w:val="4"/>
        <w:spacing w:before="5"/>
        <w:ind w:left="591"/>
        <w:rPr>
          <w:color w:val="auto"/>
        </w:rPr>
      </w:pPr>
      <w:r>
        <w:rPr>
          <w:color w:val="auto"/>
        </w:rPr>
        <w:t>5、【特别严重】</w:t>
      </w:r>
    </w:p>
    <w:p>
      <w:pPr>
        <w:pStyle w:val="13"/>
        <w:numPr>
          <w:ilvl w:val="0"/>
          <w:numId w:val="61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831"/>
        <w:rPr>
          <w:color w:val="auto"/>
        </w:rPr>
      </w:pPr>
      <w:r>
        <w:rPr>
          <w:color w:val="auto"/>
        </w:rPr>
        <w:t>产品已全部销售，已无法追回且拒不追回已销售的产品，对社会产生不良影响</w:t>
      </w:r>
    </w:p>
    <w:p>
      <w:pPr>
        <w:pStyle w:val="4"/>
        <w:spacing w:before="194"/>
        <w:rPr>
          <w:color w:val="auto"/>
        </w:rPr>
      </w:pPr>
      <w:r>
        <w:rPr>
          <w:color w:val="auto"/>
        </w:rPr>
        <w:t>的。</w:t>
      </w:r>
    </w:p>
    <w:p>
      <w:pPr>
        <w:pStyle w:val="13"/>
        <w:numPr>
          <w:ilvl w:val="0"/>
          <w:numId w:val="61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封存并没收该产品，监督销毁或作必要技术处理；处以进口产品货值金额 40%以</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上 50%以下的罚款；对有关责任者处以 4000 元以上 5000 元以下罚款。</w:t>
      </w:r>
    </w:p>
    <w:p>
      <w:pPr>
        <w:pStyle w:val="2"/>
        <w:spacing w:before="195"/>
        <w:rPr>
          <w:color w:val="auto"/>
        </w:rPr>
      </w:pPr>
      <w:bookmarkStart w:id="783" w:name="_bookmark391"/>
      <w:bookmarkEnd w:id="783"/>
      <w:bookmarkStart w:id="784" w:name="三百八十二、获得认证证书的产品不符合认证标准而使用认证标志出厂销售"/>
      <w:bookmarkEnd w:id="784"/>
      <w:r>
        <w:rPr>
          <w:color w:val="auto"/>
        </w:rPr>
        <w:t>三百八十二、获得认证证书的产品不符合认证标准而使用认证标志出厂销售</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3"/>
        </w:rPr>
        <w:t>《中华人民共和国标准化法实施条例》第三十五条“获得认证证书的产品不符合</w:t>
      </w:r>
      <w:r>
        <w:rPr>
          <w:color w:val="auto"/>
          <w:spacing w:val="-4"/>
        </w:rPr>
        <w:t>认证标准而使用认证标志出厂销售的，由标准化行政主管部门责令其停止销售，并处</w:t>
      </w:r>
      <w:r>
        <w:rPr>
          <w:color w:val="auto"/>
        </w:rPr>
        <w:t>以违法所得二倍以下的罚款；情节严重的，由认证部门撤销其认证证书。”</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1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line="391" w:lineRule="auto"/>
        <w:ind w:right="269" w:firstLine="480"/>
        <w:rPr>
          <w:color w:val="auto"/>
        </w:rPr>
      </w:pPr>
      <w:r>
        <w:rPr>
          <w:color w:val="auto"/>
        </w:rPr>
        <w:t>有下列情形之一的：1、主动追回已出厂的全部产品，未对社会造成危害，并消除不良影响的；2、违法所得 1 万元以下的。</w:t>
      </w:r>
    </w:p>
    <w:p>
      <w:pPr>
        <w:pStyle w:val="13"/>
        <w:numPr>
          <w:ilvl w:val="0"/>
          <w:numId w:val="61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3105"/>
        <w:rPr>
          <w:color w:val="auto"/>
        </w:rPr>
      </w:pPr>
      <w:r>
        <w:rPr>
          <w:color w:val="auto"/>
        </w:rPr>
        <w:t>责令其停止销售，并处以违法所得 50%以下的罚款。2、【一般】</w:t>
      </w:r>
    </w:p>
    <w:p>
      <w:pPr>
        <w:pStyle w:val="13"/>
        <w:numPr>
          <w:ilvl w:val="0"/>
          <w:numId w:val="61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9" w:firstLine="480"/>
        <w:rPr>
          <w:color w:val="auto"/>
        </w:rPr>
      </w:pPr>
      <w:r>
        <w:rPr>
          <w:color w:val="auto"/>
        </w:rPr>
        <w:t>有下列情形之一的：1、产品已部分销售，但主动追回已销售的部分产品，积极消除不良影响的；2、违法所得 1 万元以上 2 万元以下的。</w:t>
      </w:r>
    </w:p>
    <w:p>
      <w:pPr>
        <w:pStyle w:val="13"/>
        <w:numPr>
          <w:ilvl w:val="0"/>
          <w:numId w:val="61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2212"/>
        <w:rPr>
          <w:color w:val="auto"/>
        </w:rPr>
      </w:pPr>
      <w:r>
        <w:rPr>
          <w:color w:val="auto"/>
          <w:spacing w:val="-4"/>
        </w:rPr>
        <w:t xml:space="preserve">责令其停止销售，并处以违法所得 </w:t>
      </w:r>
      <w:r>
        <w:rPr>
          <w:color w:val="auto"/>
        </w:rPr>
        <w:t>50%</w:t>
      </w:r>
      <w:r>
        <w:rPr>
          <w:color w:val="auto"/>
          <w:spacing w:val="-20"/>
        </w:rPr>
        <w:t xml:space="preserve">以上 </w:t>
      </w:r>
      <w:r>
        <w:rPr>
          <w:color w:val="auto"/>
        </w:rPr>
        <w:t>1</w:t>
      </w:r>
      <w:r>
        <w:rPr>
          <w:color w:val="auto"/>
          <w:spacing w:val="-10"/>
        </w:rPr>
        <w:t xml:space="preserve"> 倍以下的罚款。</w:t>
      </w:r>
      <w:r>
        <w:rPr>
          <w:color w:val="auto"/>
        </w:rPr>
        <w:t>3</w:t>
      </w:r>
      <w:r>
        <w:rPr>
          <w:color w:val="auto"/>
          <w:spacing w:val="-24"/>
        </w:rPr>
        <w:t>、【较重】</w:t>
      </w:r>
    </w:p>
    <w:p>
      <w:pPr>
        <w:pStyle w:val="13"/>
        <w:numPr>
          <w:ilvl w:val="0"/>
          <w:numId w:val="61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9" w:firstLine="480"/>
        <w:rPr>
          <w:color w:val="auto"/>
        </w:rPr>
      </w:pPr>
      <w:r>
        <w:rPr>
          <w:color w:val="auto"/>
        </w:rPr>
        <w:t>有下列情形之一的：1、产品已部分销售，无法追回已销售的部分产品，但积极消除不良影响的；2、违法所得 2 万元以上 3 万元以下的。</w:t>
      </w:r>
    </w:p>
    <w:p>
      <w:pPr>
        <w:pStyle w:val="13"/>
        <w:numPr>
          <w:ilvl w:val="0"/>
          <w:numId w:val="61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1912"/>
        <w:rPr>
          <w:color w:val="auto"/>
        </w:rPr>
      </w:pPr>
      <w:r>
        <w:rPr>
          <w:color w:val="auto"/>
          <w:spacing w:val="-4"/>
        </w:rPr>
        <w:t xml:space="preserve">责令其停止销售，并处以违法所得 </w:t>
      </w:r>
      <w:r>
        <w:rPr>
          <w:color w:val="auto"/>
        </w:rPr>
        <w:t>1</w:t>
      </w:r>
      <w:r>
        <w:rPr>
          <w:color w:val="auto"/>
          <w:spacing w:val="-24"/>
        </w:rPr>
        <w:t xml:space="preserve"> 倍以上 </w:t>
      </w:r>
      <w:r>
        <w:rPr>
          <w:color w:val="auto"/>
        </w:rPr>
        <w:t>1.5</w:t>
      </w:r>
      <w:r>
        <w:rPr>
          <w:color w:val="auto"/>
          <w:spacing w:val="-10"/>
        </w:rPr>
        <w:t xml:space="preserve"> 倍以下的罚款。</w:t>
      </w:r>
      <w:r>
        <w:rPr>
          <w:color w:val="auto"/>
        </w:rPr>
        <w:t>4</w:t>
      </w:r>
      <w:r>
        <w:rPr>
          <w:color w:val="auto"/>
          <w:spacing w:val="-24"/>
        </w:rPr>
        <w:t>、【严重】</w:t>
      </w:r>
    </w:p>
    <w:p>
      <w:pPr>
        <w:pStyle w:val="13"/>
        <w:numPr>
          <w:ilvl w:val="0"/>
          <w:numId w:val="61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有下列情形之一的：1、产品已全部销售，无法追回已销售的产品，给消费者带</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来损害的；2、违法所得 4 万元以上 5 万元以下的。</w:t>
      </w:r>
    </w:p>
    <w:p>
      <w:pPr>
        <w:pStyle w:val="13"/>
        <w:numPr>
          <w:ilvl w:val="0"/>
          <w:numId w:val="614"/>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1672"/>
        <w:rPr>
          <w:color w:val="auto"/>
        </w:rPr>
      </w:pPr>
      <w:r>
        <w:rPr>
          <w:color w:val="auto"/>
          <w:spacing w:val="-4"/>
        </w:rPr>
        <w:t xml:space="preserve">责令其停止销售，并处以违法所得 </w:t>
      </w:r>
      <w:r>
        <w:rPr>
          <w:color w:val="auto"/>
        </w:rPr>
        <w:t>1.5</w:t>
      </w:r>
      <w:r>
        <w:rPr>
          <w:color w:val="auto"/>
          <w:spacing w:val="-24"/>
        </w:rPr>
        <w:t xml:space="preserve"> 倍以上 </w:t>
      </w:r>
      <w:r>
        <w:rPr>
          <w:color w:val="auto"/>
        </w:rPr>
        <w:t>1.8</w:t>
      </w:r>
      <w:r>
        <w:rPr>
          <w:color w:val="auto"/>
          <w:spacing w:val="-10"/>
        </w:rPr>
        <w:t xml:space="preserve"> 倍以下的罚款。</w:t>
      </w:r>
      <w:r>
        <w:rPr>
          <w:color w:val="auto"/>
        </w:rPr>
        <w:t>5</w:t>
      </w:r>
      <w:r>
        <w:rPr>
          <w:color w:val="auto"/>
          <w:spacing w:val="-18"/>
        </w:rPr>
        <w:t>、【特别严重】</w:t>
      </w:r>
    </w:p>
    <w:p>
      <w:pPr>
        <w:pStyle w:val="13"/>
        <w:numPr>
          <w:ilvl w:val="0"/>
          <w:numId w:val="615"/>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93" w:firstLine="480"/>
        <w:rPr>
          <w:color w:val="auto"/>
        </w:rPr>
      </w:pPr>
      <w:r>
        <w:rPr>
          <w:color w:val="auto"/>
        </w:rPr>
        <w:t>有下列情形之一的：1、产品已全部销售，无法追回已销售的产品且拒不追回的， 给消费者带来严重损害的；2、违法所得 5 万元及以上的。</w:t>
      </w:r>
    </w:p>
    <w:p>
      <w:pPr>
        <w:pStyle w:val="13"/>
        <w:numPr>
          <w:ilvl w:val="0"/>
          <w:numId w:val="615"/>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7"/>
        </w:rPr>
        <w:t xml:space="preserve">责令其停止销售，并处以违法所得 </w:t>
      </w:r>
      <w:r>
        <w:rPr>
          <w:color w:val="auto"/>
        </w:rPr>
        <w:t>1.8</w:t>
      </w:r>
      <w:r>
        <w:rPr>
          <w:color w:val="auto"/>
          <w:spacing w:val="-24"/>
        </w:rPr>
        <w:t xml:space="preserve"> 倍以上 </w:t>
      </w:r>
      <w:r>
        <w:rPr>
          <w:color w:val="auto"/>
        </w:rPr>
        <w:t>2</w:t>
      </w:r>
      <w:r>
        <w:rPr>
          <w:color w:val="auto"/>
          <w:spacing w:val="-10"/>
        </w:rPr>
        <w:t xml:space="preserve"> 倍以下的罚款，并建议认证部门</w:t>
      </w:r>
      <w:r>
        <w:rPr>
          <w:color w:val="auto"/>
        </w:rPr>
        <w:t>撤销其认证证书。</w:t>
      </w:r>
    </w:p>
    <w:p>
      <w:pPr>
        <w:pStyle w:val="2"/>
        <w:spacing w:before="4"/>
        <w:rPr>
          <w:color w:val="auto"/>
        </w:rPr>
      </w:pPr>
      <w:bookmarkStart w:id="785" w:name="_bookmark392"/>
      <w:bookmarkEnd w:id="785"/>
      <w:bookmarkStart w:id="786" w:name="三百八十三、产品未经认证或者认证不合格而擅自使用认证标志出厂销售"/>
      <w:bookmarkEnd w:id="786"/>
      <w:r>
        <w:rPr>
          <w:color w:val="auto"/>
        </w:rPr>
        <w:t>三百八十三、产品未经认证或者认证不合格而擅自使用认证标志出厂销售</w:t>
      </w:r>
    </w:p>
    <w:p>
      <w:pPr>
        <w:spacing w:before="192"/>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3"/>
        </w:rPr>
        <w:t>《中华人民共和国标准化法实施条例》第三十六条“产品未经认证或者认证不合</w:t>
      </w:r>
      <w:r>
        <w:rPr>
          <w:color w:val="auto"/>
          <w:spacing w:val="-4"/>
        </w:rPr>
        <w:t>格而擅自使用认证标志出厂销售的，由标准化行政主管部门责令其停止销售，处以违</w:t>
      </w:r>
      <w:r>
        <w:rPr>
          <w:color w:val="auto"/>
        </w:rPr>
        <w:t>法所得三倍以下的罚款，并对单位负责人处以五千元以下罚款。”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1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line="391" w:lineRule="auto"/>
        <w:ind w:right="268" w:firstLine="480"/>
        <w:rPr>
          <w:color w:val="auto"/>
        </w:rPr>
      </w:pPr>
      <w:r>
        <w:rPr>
          <w:color w:val="auto"/>
          <w:spacing w:val="-1"/>
        </w:rPr>
        <w:t>有下列情形之一的：</w:t>
      </w:r>
      <w:r>
        <w:rPr>
          <w:color w:val="auto"/>
          <w:spacing w:val="-5"/>
        </w:rPr>
        <w:t>1</w:t>
      </w:r>
      <w:r>
        <w:rPr>
          <w:color w:val="auto"/>
          <w:spacing w:val="-4"/>
        </w:rPr>
        <w:t>、主动追回已出厂销售的全部产品；2</w:t>
      </w:r>
      <w:r>
        <w:rPr>
          <w:color w:val="auto"/>
          <w:spacing w:val="-13"/>
        </w:rPr>
        <w:t xml:space="preserve">、违法所得 </w:t>
      </w:r>
      <w:r>
        <w:rPr>
          <w:color w:val="auto"/>
        </w:rPr>
        <w:t>1</w:t>
      </w:r>
      <w:r>
        <w:rPr>
          <w:color w:val="auto"/>
          <w:spacing w:val="-19"/>
        </w:rPr>
        <w:t xml:space="preserve"> 万元以</w:t>
      </w:r>
      <w:r>
        <w:rPr>
          <w:color w:val="auto"/>
        </w:rPr>
        <w:t>下的。</w:t>
      </w:r>
    </w:p>
    <w:p>
      <w:pPr>
        <w:pStyle w:val="13"/>
        <w:numPr>
          <w:ilvl w:val="0"/>
          <w:numId w:val="61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68" w:firstLine="480"/>
        <w:rPr>
          <w:color w:val="auto"/>
        </w:rPr>
      </w:pPr>
      <w:r>
        <w:rPr>
          <w:color w:val="auto"/>
          <w:spacing w:val="-9"/>
        </w:rPr>
        <w:t xml:space="preserve">责令其停止出厂销售，处以违法所得 </w:t>
      </w:r>
      <w:r>
        <w:rPr>
          <w:color w:val="auto"/>
        </w:rPr>
        <w:t>1</w:t>
      </w:r>
      <w:r>
        <w:rPr>
          <w:color w:val="auto"/>
          <w:spacing w:val="-14"/>
        </w:rPr>
        <w:t xml:space="preserve"> 倍以下的罚款，并对单位负责人处以 </w:t>
      </w:r>
      <w:r>
        <w:rPr>
          <w:color w:val="auto"/>
          <w:spacing w:val="-5"/>
        </w:rPr>
        <w:t xml:space="preserve">1000 </w:t>
      </w:r>
      <w:r>
        <w:rPr>
          <w:color w:val="auto"/>
        </w:rPr>
        <w:t>元以下的罚款。</w:t>
      </w:r>
    </w:p>
    <w:p>
      <w:pPr>
        <w:pStyle w:val="4"/>
        <w:spacing w:line="306" w:lineRule="exact"/>
        <w:ind w:left="591"/>
        <w:rPr>
          <w:color w:val="auto"/>
        </w:rPr>
      </w:pPr>
      <w:r>
        <w:rPr>
          <w:color w:val="auto"/>
        </w:rPr>
        <w:t>2</w:t>
      </w:r>
      <w:r>
        <w:rPr>
          <w:color w:val="auto"/>
          <w:spacing w:val="-24"/>
        </w:rPr>
        <w:t>、【一般】</w:t>
      </w:r>
    </w:p>
    <w:p>
      <w:pPr>
        <w:pStyle w:val="4"/>
        <w:spacing w:before="192"/>
        <w:ind w:left="591"/>
        <w:rPr>
          <w:color w:val="auto"/>
        </w:rPr>
      </w:pPr>
      <w:r>
        <w:rPr>
          <w:color w:val="auto"/>
        </w:rPr>
        <w:t>（1）违法情形</w:t>
      </w:r>
    </w:p>
    <w:p>
      <w:pPr>
        <w:pStyle w:val="4"/>
        <w:spacing w:before="194" w:line="388" w:lineRule="auto"/>
        <w:ind w:right="269" w:firstLine="480"/>
        <w:rPr>
          <w:color w:val="auto"/>
        </w:rPr>
      </w:pPr>
      <w:r>
        <w:rPr>
          <w:color w:val="auto"/>
        </w:rPr>
        <w:t>有下列情形之一的：1、主动追回已出厂销售的部分产品，且积极消除不良影响的；2、违法所得 1 万元以上 2 万元以下的。</w:t>
      </w:r>
    </w:p>
    <w:p>
      <w:pPr>
        <w:spacing w:after="0" w:line="388" w:lineRule="auto"/>
        <w:rPr>
          <w:color w:val="auto"/>
        </w:rPr>
        <w:sectPr>
          <w:footerReference r:id="rId85" w:type="default"/>
          <w:footerReference r:id="rId86" w:type="even"/>
          <w:pgSz w:w="11910" w:h="16840"/>
          <w:pgMar w:top="1520" w:right="1260" w:bottom="1720" w:left="1420" w:header="0" w:footer="1526" w:gutter="0"/>
          <w:pgNumType w:start="368"/>
        </w:sectPr>
      </w:pPr>
    </w:p>
    <w:p>
      <w:pPr>
        <w:pStyle w:val="4"/>
        <w:spacing w:before="39"/>
        <w:ind w:left="591"/>
        <w:rPr>
          <w:color w:val="auto"/>
        </w:rPr>
      </w:pPr>
      <w:r>
        <w:rPr>
          <w:color w:val="auto"/>
          <w:spacing w:val="-6"/>
        </w:rPr>
        <w:t xml:space="preserve">责令其停止出厂销售，处以违法所得 </w:t>
      </w:r>
      <w:r>
        <w:rPr>
          <w:color w:val="auto"/>
        </w:rPr>
        <w:t>1</w:t>
      </w:r>
      <w:r>
        <w:rPr>
          <w:color w:val="auto"/>
          <w:spacing w:val="-24"/>
        </w:rPr>
        <w:t xml:space="preserve"> 倍以上 </w:t>
      </w:r>
      <w:r>
        <w:rPr>
          <w:color w:val="auto"/>
        </w:rPr>
        <w:t>1.5</w:t>
      </w:r>
      <w:r>
        <w:rPr>
          <w:color w:val="auto"/>
          <w:spacing w:val="-9"/>
        </w:rPr>
        <w:t xml:space="preserve"> 倍以下的罚款，并对单位负责</w:t>
      </w:r>
    </w:p>
    <w:p>
      <w:pPr>
        <w:pStyle w:val="4"/>
        <w:spacing w:before="195" w:line="388" w:lineRule="auto"/>
        <w:ind w:left="591" w:right="4792" w:hanging="480"/>
        <w:rPr>
          <w:color w:val="auto"/>
        </w:rPr>
      </w:pPr>
      <w:r>
        <w:rPr>
          <w:color w:val="auto"/>
          <w:spacing w:val="-15"/>
        </w:rPr>
        <w:t xml:space="preserve">人处以 </w:t>
      </w:r>
      <w:r>
        <w:rPr>
          <w:color w:val="auto"/>
        </w:rPr>
        <w:t>1000</w:t>
      </w:r>
      <w:r>
        <w:rPr>
          <w:color w:val="auto"/>
          <w:spacing w:val="-24"/>
        </w:rPr>
        <w:t xml:space="preserve"> 元以上 </w:t>
      </w:r>
      <w:r>
        <w:rPr>
          <w:color w:val="auto"/>
        </w:rPr>
        <w:t>2000</w:t>
      </w:r>
      <w:r>
        <w:rPr>
          <w:color w:val="auto"/>
          <w:spacing w:val="-10"/>
        </w:rPr>
        <w:t xml:space="preserve"> 元以下的罚款。</w:t>
      </w:r>
      <w:r>
        <w:rPr>
          <w:color w:val="auto"/>
        </w:rPr>
        <w:t>3</w:t>
      </w:r>
      <w:r>
        <w:rPr>
          <w:color w:val="auto"/>
          <w:spacing w:val="-24"/>
        </w:rPr>
        <w:t>、【较重】</w:t>
      </w:r>
    </w:p>
    <w:p>
      <w:pPr>
        <w:pStyle w:val="13"/>
        <w:numPr>
          <w:ilvl w:val="0"/>
          <w:numId w:val="61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有下列情形之一的：1、无法追回已销售的产品，且已产生不良影响的；2、违法所得 2 万元以上 3 万元以下的。</w:t>
      </w:r>
    </w:p>
    <w:p>
      <w:pPr>
        <w:pStyle w:val="13"/>
        <w:numPr>
          <w:ilvl w:val="0"/>
          <w:numId w:val="61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6"/>
        </w:rPr>
        <w:t xml:space="preserve">责令其停止销售，处以违法所得 </w:t>
      </w:r>
      <w:r>
        <w:rPr>
          <w:color w:val="auto"/>
        </w:rPr>
        <w:t>1.5</w:t>
      </w:r>
      <w:r>
        <w:rPr>
          <w:color w:val="auto"/>
          <w:spacing w:val="-24"/>
        </w:rPr>
        <w:t xml:space="preserve"> 倍以上 </w:t>
      </w:r>
      <w:r>
        <w:rPr>
          <w:color w:val="auto"/>
        </w:rPr>
        <w:t>2</w:t>
      </w:r>
      <w:r>
        <w:rPr>
          <w:color w:val="auto"/>
          <w:spacing w:val="-36"/>
        </w:rPr>
        <w:t xml:space="preserve"> 倍</w:t>
      </w:r>
      <w:r>
        <w:rPr>
          <w:color w:val="auto"/>
        </w:rPr>
        <w:t>（</w:t>
      </w:r>
      <w:r>
        <w:rPr>
          <w:color w:val="auto"/>
          <w:spacing w:val="-2"/>
        </w:rPr>
        <w:t>以下的罚款，并对单位负责人</w:t>
      </w:r>
    </w:p>
    <w:p>
      <w:pPr>
        <w:pStyle w:val="4"/>
        <w:spacing w:before="192" w:line="388" w:lineRule="auto"/>
        <w:ind w:left="591" w:right="5272" w:hanging="480"/>
        <w:rPr>
          <w:color w:val="auto"/>
        </w:rPr>
      </w:pPr>
      <w:r>
        <w:rPr>
          <w:color w:val="auto"/>
          <w:spacing w:val="-20"/>
        </w:rPr>
        <w:t xml:space="preserve">处以 </w:t>
      </w:r>
      <w:r>
        <w:rPr>
          <w:color w:val="auto"/>
        </w:rPr>
        <w:t>2000</w:t>
      </w:r>
      <w:r>
        <w:rPr>
          <w:color w:val="auto"/>
          <w:spacing w:val="-24"/>
        </w:rPr>
        <w:t xml:space="preserve"> 元以上 </w:t>
      </w:r>
      <w:r>
        <w:rPr>
          <w:color w:val="auto"/>
        </w:rPr>
        <w:t>3000</w:t>
      </w:r>
      <w:r>
        <w:rPr>
          <w:color w:val="auto"/>
          <w:spacing w:val="-11"/>
        </w:rPr>
        <w:t xml:space="preserve"> 以下的罚款。</w:t>
      </w:r>
      <w:r>
        <w:rPr>
          <w:color w:val="auto"/>
        </w:rPr>
        <w:t>4</w:t>
      </w:r>
      <w:r>
        <w:rPr>
          <w:color w:val="auto"/>
          <w:spacing w:val="-24"/>
        </w:rPr>
        <w:t>、【严重】</w:t>
      </w:r>
    </w:p>
    <w:p>
      <w:pPr>
        <w:pStyle w:val="13"/>
        <w:numPr>
          <w:ilvl w:val="0"/>
          <w:numId w:val="618"/>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2" w:firstLine="480"/>
        <w:rPr>
          <w:color w:val="auto"/>
        </w:rPr>
      </w:pPr>
      <w:r>
        <w:rPr>
          <w:color w:val="auto"/>
        </w:rPr>
        <w:t>有下列情形之一的：1、无法追回已销售的产品，且给消费者带来损害的；2、违法所得 3 万元以上 5 万元以下的。</w:t>
      </w:r>
    </w:p>
    <w:p>
      <w:pPr>
        <w:pStyle w:val="13"/>
        <w:numPr>
          <w:ilvl w:val="0"/>
          <w:numId w:val="61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7"/>
        </w:rPr>
        <w:t xml:space="preserve">责令其停止销售，处以违法所得 </w:t>
      </w:r>
      <w:r>
        <w:rPr>
          <w:color w:val="auto"/>
        </w:rPr>
        <w:t>2</w:t>
      </w:r>
      <w:r>
        <w:rPr>
          <w:color w:val="auto"/>
          <w:spacing w:val="-24"/>
        </w:rPr>
        <w:t xml:space="preserve"> 倍以上 </w:t>
      </w:r>
      <w:r>
        <w:rPr>
          <w:color w:val="auto"/>
        </w:rPr>
        <w:t>2.5</w:t>
      </w:r>
      <w:r>
        <w:rPr>
          <w:color w:val="auto"/>
          <w:spacing w:val="-9"/>
        </w:rPr>
        <w:t xml:space="preserve"> 倍以下的罚款，并对单位负责人处</w:t>
      </w:r>
    </w:p>
    <w:p>
      <w:pPr>
        <w:pStyle w:val="4"/>
        <w:spacing w:before="192" w:line="391" w:lineRule="auto"/>
        <w:ind w:left="591" w:right="5272" w:hanging="480"/>
        <w:rPr>
          <w:color w:val="auto"/>
        </w:rPr>
      </w:pPr>
      <w:r>
        <w:rPr>
          <w:color w:val="auto"/>
          <w:spacing w:val="-30"/>
        </w:rPr>
        <w:t xml:space="preserve">以 </w:t>
      </w:r>
      <w:r>
        <w:rPr>
          <w:color w:val="auto"/>
        </w:rPr>
        <w:t>3000</w:t>
      </w:r>
      <w:r>
        <w:rPr>
          <w:color w:val="auto"/>
          <w:spacing w:val="-24"/>
        </w:rPr>
        <w:t xml:space="preserve"> 元以上 </w:t>
      </w:r>
      <w:r>
        <w:rPr>
          <w:color w:val="auto"/>
        </w:rPr>
        <w:t>4000</w:t>
      </w:r>
      <w:r>
        <w:rPr>
          <w:color w:val="auto"/>
          <w:spacing w:val="-10"/>
        </w:rPr>
        <w:t xml:space="preserve"> 元以下的罚款。</w:t>
      </w:r>
      <w:r>
        <w:rPr>
          <w:color w:val="auto"/>
        </w:rPr>
        <w:t>5</w:t>
      </w:r>
      <w:r>
        <w:rPr>
          <w:color w:val="auto"/>
          <w:spacing w:val="-18"/>
        </w:rPr>
        <w:t>、【特别严重】</w:t>
      </w:r>
    </w:p>
    <w:p>
      <w:pPr>
        <w:pStyle w:val="13"/>
        <w:numPr>
          <w:ilvl w:val="0"/>
          <w:numId w:val="61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9" w:firstLine="480"/>
        <w:rPr>
          <w:color w:val="auto"/>
        </w:rPr>
      </w:pPr>
      <w:r>
        <w:rPr>
          <w:color w:val="auto"/>
        </w:rPr>
        <w:t>有下列情形之一的：1、无法追回或拒不追回已销售的产品，给消费者带来严重损害的，造成严重不良社会影响的；2、违法所得 5 万元及以上的。</w:t>
      </w:r>
    </w:p>
    <w:p>
      <w:pPr>
        <w:pStyle w:val="13"/>
        <w:numPr>
          <w:ilvl w:val="0"/>
          <w:numId w:val="61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spacing w:val="-7"/>
        </w:rPr>
        <w:t xml:space="preserve">责令其停止销售，处以违法所得 </w:t>
      </w:r>
      <w:r>
        <w:rPr>
          <w:color w:val="auto"/>
        </w:rPr>
        <w:t>2.5</w:t>
      </w:r>
      <w:r>
        <w:rPr>
          <w:color w:val="auto"/>
          <w:spacing w:val="-24"/>
        </w:rPr>
        <w:t xml:space="preserve"> 倍以上 </w:t>
      </w:r>
      <w:r>
        <w:rPr>
          <w:color w:val="auto"/>
        </w:rPr>
        <w:t>3</w:t>
      </w:r>
      <w:r>
        <w:rPr>
          <w:color w:val="auto"/>
          <w:spacing w:val="-9"/>
        </w:rPr>
        <w:t xml:space="preserve"> 倍以下的罚款，并对单位负责人处</w:t>
      </w:r>
    </w:p>
    <w:p>
      <w:pPr>
        <w:pStyle w:val="4"/>
        <w:spacing w:before="194"/>
        <w:rPr>
          <w:b/>
          <w:color w:val="auto"/>
        </w:rPr>
      </w:pPr>
      <w:r>
        <w:rPr>
          <w:color w:val="auto"/>
        </w:rPr>
        <w:t>以 4000 元以上 5000 元以下的罚款。</w:t>
      </w:r>
      <w:r>
        <w:rPr>
          <w:b/>
          <w:color w:val="auto"/>
        </w:rPr>
        <w:t>-</w:t>
      </w:r>
    </w:p>
    <w:p>
      <w:pPr>
        <w:pStyle w:val="2"/>
        <w:spacing w:before="192"/>
        <w:rPr>
          <w:color w:val="auto"/>
        </w:rPr>
      </w:pPr>
      <w:bookmarkStart w:id="787" w:name="三百八十四、生产、销售的产品，其标签、使用说明等标识不符合强制性标准规定"/>
      <w:bookmarkEnd w:id="787"/>
      <w:bookmarkStart w:id="788" w:name="_bookmark393"/>
      <w:bookmarkEnd w:id="788"/>
      <w:r>
        <w:rPr>
          <w:color w:val="auto"/>
        </w:rPr>
        <w:t>三百八十四、生产、销售的产品，其标签、使用说明等标识不符合强制性标准规</w:t>
      </w:r>
    </w:p>
    <w:p>
      <w:pPr>
        <w:spacing w:before="192"/>
        <w:ind w:left="111" w:right="0" w:firstLine="0"/>
        <w:jc w:val="left"/>
        <w:rPr>
          <w:b/>
          <w:color w:val="auto"/>
          <w:sz w:val="24"/>
        </w:rPr>
      </w:pPr>
      <w:r>
        <w:rPr>
          <w:b/>
          <w:color w:val="auto"/>
          <w:w w:val="99"/>
          <w:sz w:val="24"/>
        </w:rPr>
        <w:t>定</w:t>
      </w:r>
    </w:p>
    <w:p>
      <w:pPr>
        <w:spacing w:before="194"/>
        <w:ind w:left="591" w:right="0" w:firstLine="0"/>
        <w:jc w:val="left"/>
        <w:rPr>
          <w:b/>
          <w:color w:val="auto"/>
          <w:sz w:val="24"/>
        </w:rPr>
      </w:pPr>
      <w:r>
        <w:rPr>
          <w:b/>
          <w:color w:val="auto"/>
          <w:sz w:val="24"/>
        </w:rPr>
        <w:t>（一）处罚依据</w:t>
      </w:r>
    </w:p>
    <w:p>
      <w:pPr>
        <w:pStyle w:val="4"/>
        <w:spacing w:before="191" w:line="388" w:lineRule="auto"/>
        <w:ind w:right="232" w:firstLine="470"/>
        <w:rPr>
          <w:color w:val="auto"/>
        </w:rPr>
      </w:pPr>
      <w:r>
        <w:rPr>
          <w:color w:val="auto"/>
        </w:rPr>
        <w:t>《山东省实施〈中华人民共和国标准化法〉办法》第二十八条“生产、销售的产品，其标签、使用说明等标识不符合强制性标准规定的，由县级以上技术监督部门责</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30"/>
        <w:rPr>
          <w:color w:val="auto"/>
        </w:rPr>
      </w:pPr>
      <w:r>
        <w:rPr>
          <w:color w:val="auto"/>
        </w:rPr>
        <w:t>令停止生产、销售，限期改正，并根据情节可处该产品货值百分之十五至百分之二十的罚款，可处直接责任者五千元以下罚款。”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20"/>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spacing w:val="-1"/>
        </w:rPr>
        <w:t>有下列情形之一的：</w:t>
      </w:r>
      <w:r>
        <w:rPr>
          <w:color w:val="auto"/>
          <w:spacing w:val="-5"/>
        </w:rPr>
        <w:t>1</w:t>
      </w:r>
      <w:r>
        <w:rPr>
          <w:color w:val="auto"/>
          <w:spacing w:val="-4"/>
        </w:rPr>
        <w:t>、产品未销售的；2、已主动改正已销售产品标识或主动追</w:t>
      </w:r>
      <w:r>
        <w:rPr>
          <w:color w:val="auto"/>
        </w:rPr>
        <w:t>回全部产品的。</w:t>
      </w:r>
    </w:p>
    <w:p>
      <w:pPr>
        <w:pStyle w:val="13"/>
        <w:numPr>
          <w:ilvl w:val="0"/>
          <w:numId w:val="620"/>
        </w:numPr>
        <w:tabs>
          <w:tab w:val="left" w:pos="1193"/>
        </w:tabs>
        <w:spacing w:before="5" w:after="0" w:line="388" w:lineRule="auto"/>
        <w:ind w:left="591" w:right="7072" w:firstLine="0"/>
        <w:jc w:val="left"/>
        <w:rPr>
          <w:color w:val="auto"/>
          <w:sz w:val="24"/>
        </w:rPr>
      </w:pPr>
      <w:r>
        <w:rPr>
          <w:color w:val="auto"/>
          <w:spacing w:val="-5"/>
          <w:sz w:val="24"/>
        </w:rPr>
        <w:t>处罚标准</w:t>
      </w:r>
      <w:r>
        <w:rPr>
          <w:color w:val="auto"/>
          <w:sz w:val="24"/>
        </w:rPr>
        <w:t>限期改正。</w:t>
      </w:r>
    </w:p>
    <w:p>
      <w:pPr>
        <w:pStyle w:val="4"/>
        <w:spacing w:before="2"/>
        <w:ind w:left="591"/>
        <w:rPr>
          <w:color w:val="auto"/>
        </w:rPr>
      </w:pPr>
      <w:r>
        <w:rPr>
          <w:color w:val="auto"/>
        </w:rPr>
        <w:t>2</w:t>
      </w:r>
      <w:r>
        <w:rPr>
          <w:color w:val="auto"/>
          <w:spacing w:val="-24"/>
        </w:rPr>
        <w:t>、【一般】</w:t>
      </w:r>
    </w:p>
    <w:p>
      <w:pPr>
        <w:pStyle w:val="13"/>
        <w:numPr>
          <w:ilvl w:val="0"/>
          <w:numId w:val="621"/>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32" w:firstLine="480"/>
        <w:rPr>
          <w:color w:val="auto"/>
        </w:rPr>
      </w:pPr>
      <w:r>
        <w:rPr>
          <w:color w:val="auto"/>
        </w:rPr>
        <w:t>有下列情形之一的：1、主动改正部分已销售产品标识或主动追回部分产品；2、产品货值 1 万元以下的。</w:t>
      </w:r>
    </w:p>
    <w:p>
      <w:pPr>
        <w:pStyle w:val="13"/>
        <w:numPr>
          <w:ilvl w:val="0"/>
          <w:numId w:val="621"/>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9"/>
        </w:rPr>
        <w:t xml:space="preserve">限期改正；处该产品货值 </w:t>
      </w:r>
      <w:r>
        <w:rPr>
          <w:color w:val="auto"/>
        </w:rPr>
        <w:t>15%</w:t>
      </w:r>
      <w:r>
        <w:rPr>
          <w:color w:val="auto"/>
          <w:spacing w:val="-20"/>
        </w:rPr>
        <w:t xml:space="preserve">以上 </w:t>
      </w:r>
      <w:r>
        <w:rPr>
          <w:color w:val="auto"/>
        </w:rPr>
        <w:t>16%</w:t>
      </w:r>
      <w:r>
        <w:rPr>
          <w:color w:val="auto"/>
          <w:spacing w:val="-8"/>
        </w:rPr>
        <w:t xml:space="preserve">以下的罚款，处直接责任者 </w:t>
      </w:r>
      <w:r>
        <w:rPr>
          <w:color w:val="auto"/>
        </w:rPr>
        <w:t>1000</w:t>
      </w:r>
      <w:r>
        <w:rPr>
          <w:color w:val="auto"/>
          <w:spacing w:val="-16"/>
        </w:rPr>
        <w:t xml:space="preserve"> 以下的罚</w:t>
      </w:r>
      <w:r>
        <w:rPr>
          <w:color w:val="auto"/>
        </w:rPr>
        <w:t>款。</w:t>
      </w:r>
    </w:p>
    <w:p>
      <w:pPr>
        <w:pStyle w:val="4"/>
        <w:spacing w:before="4"/>
        <w:ind w:left="591"/>
        <w:rPr>
          <w:color w:val="auto"/>
        </w:rPr>
      </w:pPr>
      <w:r>
        <w:rPr>
          <w:color w:val="auto"/>
        </w:rPr>
        <w:t>3、【较重】</w:t>
      </w:r>
    </w:p>
    <w:p>
      <w:pPr>
        <w:pStyle w:val="13"/>
        <w:numPr>
          <w:ilvl w:val="0"/>
          <w:numId w:val="62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9" w:firstLine="480"/>
        <w:rPr>
          <w:color w:val="auto"/>
        </w:rPr>
      </w:pPr>
      <w:r>
        <w:rPr>
          <w:color w:val="auto"/>
        </w:rPr>
        <w:t>有下列情形之一的：1、无法改正已销售产品，或无法追回，没有造成不良影响的；2、产品货值 1 万元以上 2 万元以下的。</w:t>
      </w:r>
    </w:p>
    <w:p>
      <w:pPr>
        <w:pStyle w:val="13"/>
        <w:numPr>
          <w:ilvl w:val="0"/>
          <w:numId w:val="62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71" w:firstLine="480"/>
        <w:rPr>
          <w:color w:val="auto"/>
        </w:rPr>
      </w:pPr>
      <w:r>
        <w:rPr>
          <w:color w:val="auto"/>
          <w:spacing w:val="-8"/>
        </w:rPr>
        <w:t xml:space="preserve">处该产品货值 </w:t>
      </w:r>
      <w:r>
        <w:rPr>
          <w:color w:val="auto"/>
        </w:rPr>
        <w:t>16</w:t>
      </w:r>
      <w:r>
        <w:rPr>
          <w:color w:val="auto"/>
          <w:spacing w:val="-13"/>
        </w:rPr>
        <w:t xml:space="preserve">%以上 </w:t>
      </w:r>
      <w:r>
        <w:rPr>
          <w:color w:val="auto"/>
        </w:rPr>
        <w:t>17</w:t>
      </w:r>
      <w:r>
        <w:rPr>
          <w:color w:val="auto"/>
          <w:spacing w:val="-4"/>
        </w:rPr>
        <w:t xml:space="preserve">%以下的罚款，处直接责任者 </w:t>
      </w:r>
      <w:r>
        <w:rPr>
          <w:color w:val="auto"/>
        </w:rPr>
        <w:t>1000</w:t>
      </w:r>
      <w:r>
        <w:rPr>
          <w:color w:val="auto"/>
          <w:spacing w:val="-22"/>
        </w:rPr>
        <w:t xml:space="preserve"> 元以上 </w:t>
      </w:r>
      <w:r>
        <w:rPr>
          <w:color w:val="auto"/>
        </w:rPr>
        <w:t>2000</w:t>
      </w:r>
      <w:r>
        <w:rPr>
          <w:color w:val="auto"/>
          <w:spacing w:val="-14"/>
        </w:rPr>
        <w:t xml:space="preserve"> 元以下的罚款。</w:t>
      </w:r>
    </w:p>
    <w:p>
      <w:pPr>
        <w:pStyle w:val="4"/>
        <w:spacing w:line="306" w:lineRule="exact"/>
        <w:ind w:left="591"/>
        <w:rPr>
          <w:color w:val="auto"/>
        </w:rPr>
      </w:pPr>
      <w:r>
        <w:rPr>
          <w:color w:val="auto"/>
        </w:rPr>
        <w:t>4、【严重】</w:t>
      </w:r>
    </w:p>
    <w:p>
      <w:pPr>
        <w:pStyle w:val="4"/>
        <w:spacing w:before="192"/>
        <w:ind w:left="591"/>
        <w:rPr>
          <w:color w:val="auto"/>
        </w:rPr>
      </w:pPr>
      <w:r>
        <w:rPr>
          <w:color w:val="auto"/>
        </w:rPr>
        <w:t>（1）违法情形</w:t>
      </w:r>
    </w:p>
    <w:p>
      <w:pPr>
        <w:pStyle w:val="4"/>
        <w:spacing w:before="194" w:line="388" w:lineRule="auto"/>
        <w:ind w:right="269" w:firstLine="480"/>
        <w:rPr>
          <w:color w:val="auto"/>
        </w:rPr>
      </w:pPr>
      <w:r>
        <w:rPr>
          <w:color w:val="auto"/>
        </w:rPr>
        <w:t>有下列情形之一的：1、无法改正已销售产品，或无法追回，且已造成不良影响的；2、产品货值 2 万元以上 5 万元以下的。</w:t>
      </w:r>
    </w:p>
    <w:p>
      <w:pPr>
        <w:spacing w:after="0" w:line="388" w:lineRule="auto"/>
        <w:rPr>
          <w:color w:val="auto"/>
        </w:rPr>
        <w:sectPr>
          <w:footerReference r:id="rId87" w:type="default"/>
          <w:footerReference r:id="rId88" w:type="even"/>
          <w:pgSz w:w="11910" w:h="16840"/>
          <w:pgMar w:top="1520" w:right="1260" w:bottom="1720" w:left="1420" w:header="0" w:footer="1526" w:gutter="0"/>
          <w:pgNumType w:start="370"/>
        </w:sectPr>
      </w:pPr>
    </w:p>
    <w:p>
      <w:pPr>
        <w:pStyle w:val="4"/>
        <w:spacing w:before="39" w:line="391" w:lineRule="auto"/>
        <w:ind w:right="271" w:firstLine="480"/>
        <w:rPr>
          <w:color w:val="auto"/>
        </w:rPr>
      </w:pPr>
      <w:r>
        <w:rPr>
          <w:color w:val="auto"/>
          <w:spacing w:val="-8"/>
        </w:rPr>
        <w:t xml:space="preserve">处该产品货值 </w:t>
      </w:r>
      <w:r>
        <w:rPr>
          <w:color w:val="auto"/>
        </w:rPr>
        <w:t>17</w:t>
      </w:r>
      <w:r>
        <w:rPr>
          <w:color w:val="auto"/>
          <w:spacing w:val="-13"/>
        </w:rPr>
        <w:t xml:space="preserve">%以上 </w:t>
      </w:r>
      <w:r>
        <w:rPr>
          <w:color w:val="auto"/>
        </w:rPr>
        <w:t>18</w:t>
      </w:r>
      <w:r>
        <w:rPr>
          <w:color w:val="auto"/>
          <w:spacing w:val="-4"/>
        </w:rPr>
        <w:t xml:space="preserve">%以下的罚款，处直接责任者 </w:t>
      </w:r>
      <w:r>
        <w:rPr>
          <w:color w:val="auto"/>
        </w:rPr>
        <w:t>2000</w:t>
      </w:r>
      <w:r>
        <w:rPr>
          <w:color w:val="auto"/>
          <w:spacing w:val="-22"/>
        </w:rPr>
        <w:t xml:space="preserve"> 元以上 </w:t>
      </w:r>
      <w:r>
        <w:rPr>
          <w:color w:val="auto"/>
        </w:rPr>
        <w:t>4000</w:t>
      </w:r>
      <w:r>
        <w:rPr>
          <w:color w:val="auto"/>
          <w:spacing w:val="-14"/>
        </w:rPr>
        <w:t xml:space="preserve"> 元以下罚款。</w:t>
      </w:r>
    </w:p>
    <w:p>
      <w:pPr>
        <w:pStyle w:val="4"/>
        <w:spacing w:line="306" w:lineRule="exact"/>
        <w:ind w:left="591"/>
        <w:rPr>
          <w:color w:val="auto"/>
        </w:rPr>
      </w:pPr>
      <w:r>
        <w:rPr>
          <w:color w:val="auto"/>
        </w:rPr>
        <w:t>5、【特别严重】</w:t>
      </w:r>
    </w:p>
    <w:p>
      <w:pPr>
        <w:pStyle w:val="13"/>
        <w:numPr>
          <w:ilvl w:val="0"/>
          <w:numId w:val="62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有下列情形之一的：1、无法改正已销售产品，或拒不追回销售产品，造成严重不良影响的；2、产品货值 5 万元及以上的。</w:t>
      </w:r>
    </w:p>
    <w:p>
      <w:pPr>
        <w:pStyle w:val="13"/>
        <w:numPr>
          <w:ilvl w:val="0"/>
          <w:numId w:val="62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71" w:firstLine="480"/>
        <w:rPr>
          <w:color w:val="auto"/>
        </w:rPr>
      </w:pPr>
      <w:r>
        <w:rPr>
          <w:color w:val="auto"/>
          <w:spacing w:val="-8"/>
        </w:rPr>
        <w:t xml:space="preserve">处该产品货值 </w:t>
      </w:r>
      <w:r>
        <w:rPr>
          <w:color w:val="auto"/>
        </w:rPr>
        <w:t>18</w:t>
      </w:r>
      <w:r>
        <w:rPr>
          <w:color w:val="auto"/>
          <w:spacing w:val="-13"/>
        </w:rPr>
        <w:t xml:space="preserve">%以上 </w:t>
      </w:r>
      <w:r>
        <w:rPr>
          <w:color w:val="auto"/>
        </w:rPr>
        <w:t>20</w:t>
      </w:r>
      <w:r>
        <w:rPr>
          <w:color w:val="auto"/>
          <w:spacing w:val="-4"/>
        </w:rPr>
        <w:t xml:space="preserve">%以下的罚款，处直接责任者 </w:t>
      </w:r>
      <w:r>
        <w:rPr>
          <w:color w:val="auto"/>
        </w:rPr>
        <w:t>4000</w:t>
      </w:r>
      <w:r>
        <w:rPr>
          <w:color w:val="auto"/>
          <w:spacing w:val="-22"/>
        </w:rPr>
        <w:t xml:space="preserve"> 元以上 </w:t>
      </w:r>
      <w:r>
        <w:rPr>
          <w:color w:val="auto"/>
        </w:rPr>
        <w:t>5000</w:t>
      </w:r>
      <w:r>
        <w:rPr>
          <w:color w:val="auto"/>
          <w:spacing w:val="-14"/>
        </w:rPr>
        <w:t xml:space="preserve"> 元以下罚款。</w:t>
      </w:r>
    </w:p>
    <w:p>
      <w:pPr>
        <w:pStyle w:val="2"/>
        <w:spacing w:before="3"/>
        <w:rPr>
          <w:color w:val="auto"/>
        </w:rPr>
      </w:pPr>
      <w:bookmarkStart w:id="789" w:name="_bookmark394"/>
      <w:bookmarkEnd w:id="789"/>
      <w:bookmarkStart w:id="790" w:name="三百八十五、系统成员转让厂商识别代码和相应条码"/>
      <w:bookmarkEnd w:id="790"/>
      <w:r>
        <w:rPr>
          <w:color w:val="auto"/>
        </w:rPr>
        <w:t>三百八十五、系统成员转让厂商识别代码和相应条码</w:t>
      </w:r>
    </w:p>
    <w:p>
      <w:pPr>
        <w:spacing w:before="194"/>
        <w:ind w:left="591" w:right="0" w:firstLine="0"/>
        <w:jc w:val="left"/>
        <w:rPr>
          <w:b/>
          <w:color w:val="auto"/>
          <w:sz w:val="24"/>
        </w:rPr>
      </w:pPr>
      <w:r>
        <w:rPr>
          <w:b/>
          <w:color w:val="auto"/>
          <w:sz w:val="24"/>
        </w:rPr>
        <w:t>（一）处罚依据</w:t>
      </w:r>
    </w:p>
    <w:p>
      <w:pPr>
        <w:pStyle w:val="4"/>
        <w:spacing w:before="191" w:line="388" w:lineRule="auto"/>
        <w:ind w:right="242" w:firstLine="470"/>
        <w:rPr>
          <w:color w:val="auto"/>
        </w:rPr>
      </w:pPr>
      <w:r>
        <w:rPr>
          <w:color w:val="auto"/>
        </w:rPr>
        <w:t>《商品条码管理办法》第三十四条“系统成员转让厂商识别代码和相应条码的， 责令其改正，没收违法所得，处以 3000 元罚款。”</w:t>
      </w:r>
    </w:p>
    <w:p>
      <w:pPr>
        <w:pStyle w:val="2"/>
        <w:spacing w:before="5"/>
        <w:rPr>
          <w:color w:val="auto"/>
        </w:rPr>
      </w:pPr>
      <w:r>
        <w:rPr>
          <w:color w:val="auto"/>
        </w:rPr>
        <w:t>（二）裁量标准</w:t>
      </w:r>
    </w:p>
    <w:p>
      <w:pPr>
        <w:pStyle w:val="4"/>
        <w:spacing w:before="192"/>
        <w:ind w:left="591"/>
        <w:jc w:val="both"/>
        <w:rPr>
          <w:color w:val="auto"/>
        </w:rPr>
      </w:pPr>
      <w:r>
        <w:rPr>
          <w:color w:val="auto"/>
        </w:rPr>
        <w:t>责令改正，没收违法所得，处以 3000 元罚款。</w:t>
      </w:r>
    </w:p>
    <w:p>
      <w:pPr>
        <w:pStyle w:val="2"/>
        <w:spacing w:before="191" w:line="391" w:lineRule="auto"/>
        <w:ind w:left="111" w:right="237" w:firstLine="480"/>
        <w:jc w:val="both"/>
        <w:rPr>
          <w:color w:val="auto"/>
        </w:rPr>
      </w:pPr>
      <w:bookmarkStart w:id="791" w:name="三百八十六、未经核准注册使用厂商识别代码和相应商品条码，在商品包装上使用其它条码"/>
      <w:bookmarkEnd w:id="791"/>
      <w:bookmarkStart w:id="792" w:name="_bookmark395"/>
      <w:bookmarkEnd w:id="792"/>
      <w:r>
        <w:rPr>
          <w:color w:val="auto"/>
          <w:spacing w:val="-7"/>
        </w:rPr>
        <w:t>三百八十六、未经核准注册使用厂商识别代码和相应商品条码，在商品包装上使</w:t>
      </w:r>
      <w:r>
        <w:rPr>
          <w:color w:val="auto"/>
          <w:spacing w:val="-11"/>
        </w:rPr>
        <w:t>用其它条码冒充商品条码或伪造商品条码，或者使用已经注销的厂商识别代码和相应商品条码</w:t>
      </w:r>
    </w:p>
    <w:p>
      <w:pPr>
        <w:spacing w:before="0" w:line="304" w:lineRule="exact"/>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spacing w:val="-4"/>
        </w:rPr>
        <w:t>《商品条码管理办法》第三十五条“未经核准注册使用厂商识别代码和相应商品</w:t>
      </w:r>
      <w:r>
        <w:rPr>
          <w:color w:val="auto"/>
          <w:spacing w:val="-6"/>
        </w:rPr>
        <w:t>条码的，在商品包装上使用其他条码冒充商品条码或伪造商品条码的，或者使用已经</w:t>
      </w:r>
      <w:r>
        <w:rPr>
          <w:color w:val="auto"/>
          <w:spacing w:val="-3"/>
        </w:rPr>
        <w:t xml:space="preserve">注销的厂商识别代码和相应商品条码的，责令其改正，处以 </w:t>
      </w:r>
      <w:r>
        <w:rPr>
          <w:color w:val="auto"/>
        </w:rPr>
        <w:t>30000</w:t>
      </w:r>
      <w:r>
        <w:rPr>
          <w:color w:val="auto"/>
          <w:spacing w:val="-23"/>
        </w:rPr>
        <w:t xml:space="preserve"> 元以下罚款。”</w:t>
      </w:r>
    </w:p>
    <w:p>
      <w:pPr>
        <w:spacing w:before="6"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2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使用不当，经查处后及时整改的。</w:t>
      </w:r>
    </w:p>
    <w:p>
      <w:pPr>
        <w:pStyle w:val="13"/>
        <w:numPr>
          <w:ilvl w:val="0"/>
          <w:numId w:val="62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责令改正，处 2000 元以下罚款。</w:t>
      </w:r>
    </w:p>
    <w:p>
      <w:pPr>
        <w:spacing w:after="0"/>
        <w:jc w:val="both"/>
        <w:rPr>
          <w:color w:val="auto"/>
        </w:rPr>
        <w:sectPr>
          <w:pgSz w:w="11910" w:h="16840"/>
          <w:pgMar w:top="1520" w:right="1260" w:bottom="1220" w:left="1420" w:header="0" w:footer="1034" w:gutter="0"/>
        </w:sectPr>
      </w:pPr>
    </w:p>
    <w:p>
      <w:pPr>
        <w:pStyle w:val="4"/>
        <w:spacing w:before="39"/>
        <w:ind w:left="591"/>
        <w:rPr>
          <w:color w:val="auto"/>
        </w:rPr>
      </w:pPr>
      <w:r>
        <w:rPr>
          <w:color w:val="auto"/>
        </w:rPr>
        <w:t>2、【一般】</w:t>
      </w:r>
    </w:p>
    <w:p>
      <w:pPr>
        <w:pStyle w:val="13"/>
        <w:numPr>
          <w:ilvl w:val="0"/>
          <w:numId w:val="625"/>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不属于故意行为，能主动配合检查，经查处后及时整改的。</w:t>
      </w:r>
    </w:p>
    <w:p>
      <w:pPr>
        <w:pStyle w:val="13"/>
        <w:numPr>
          <w:ilvl w:val="0"/>
          <w:numId w:val="62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9"/>
        </w:rPr>
        <w:t xml:space="preserve">责令改正，处 </w:t>
      </w:r>
      <w:r>
        <w:rPr>
          <w:color w:val="auto"/>
        </w:rPr>
        <w:t>2000</w:t>
      </w:r>
      <w:r>
        <w:rPr>
          <w:color w:val="auto"/>
          <w:spacing w:val="-24"/>
        </w:rPr>
        <w:t xml:space="preserve"> 元以上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62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故意行为情节较轻，能主动配合检查，查处后能及时整改的。</w:t>
      </w:r>
    </w:p>
    <w:p>
      <w:pPr>
        <w:pStyle w:val="13"/>
        <w:numPr>
          <w:ilvl w:val="0"/>
          <w:numId w:val="62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3952"/>
        <w:rPr>
          <w:color w:val="auto"/>
        </w:rPr>
      </w:pPr>
      <w:r>
        <w:rPr>
          <w:color w:val="auto"/>
          <w:spacing w:val="-9"/>
        </w:rPr>
        <w:t xml:space="preserve">责令改正，处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pStyle w:val="13"/>
        <w:numPr>
          <w:ilvl w:val="0"/>
          <w:numId w:val="62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存在故意行为，能配合检查，查处后整改不及时的。</w:t>
      </w:r>
    </w:p>
    <w:p>
      <w:pPr>
        <w:pStyle w:val="13"/>
        <w:numPr>
          <w:ilvl w:val="0"/>
          <w:numId w:val="62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072"/>
        <w:rPr>
          <w:color w:val="auto"/>
        </w:rPr>
      </w:pPr>
      <w:r>
        <w:rPr>
          <w:color w:val="auto"/>
          <w:spacing w:val="-9"/>
        </w:rPr>
        <w:t xml:space="preserve">责令改正，处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5</w:t>
      </w:r>
      <w:r>
        <w:rPr>
          <w:color w:val="auto"/>
          <w:spacing w:val="-18"/>
        </w:rPr>
        <w:t>、【特别严重】</w:t>
      </w:r>
    </w:p>
    <w:p>
      <w:pPr>
        <w:pStyle w:val="13"/>
        <w:numPr>
          <w:ilvl w:val="0"/>
          <w:numId w:val="62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拒不配合检查 经查处后仍拒不整改的。</w:t>
      </w:r>
    </w:p>
    <w:p>
      <w:pPr>
        <w:pStyle w:val="13"/>
        <w:numPr>
          <w:ilvl w:val="0"/>
          <w:numId w:val="62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责令改正，处 2 万元以上 3 万元以下罚款。</w:t>
      </w:r>
    </w:p>
    <w:p>
      <w:pPr>
        <w:pStyle w:val="2"/>
        <w:spacing w:before="192"/>
        <w:rPr>
          <w:color w:val="auto"/>
        </w:rPr>
      </w:pPr>
      <w:bookmarkStart w:id="793" w:name="_bookmark396"/>
      <w:bookmarkEnd w:id="793"/>
      <w:bookmarkStart w:id="794" w:name="三百八十七、经销的商品印有未经核准注册、备案或者伪造的商品条码"/>
      <w:bookmarkEnd w:id="794"/>
      <w:r>
        <w:rPr>
          <w:color w:val="auto"/>
        </w:rPr>
        <w:t>三百八十七、经销的商品印有未经核准注册、备案或者伪造的商品条码</w:t>
      </w:r>
    </w:p>
    <w:p>
      <w:pPr>
        <w:spacing w:before="192"/>
        <w:ind w:left="591" w:right="0" w:firstLine="0"/>
        <w:jc w:val="left"/>
        <w:rPr>
          <w:b/>
          <w:color w:val="auto"/>
          <w:sz w:val="24"/>
        </w:rPr>
      </w:pPr>
      <w:r>
        <w:rPr>
          <w:b/>
          <w:color w:val="auto"/>
          <w:sz w:val="24"/>
        </w:rPr>
        <w:t>（一）处罚依据</w:t>
      </w:r>
    </w:p>
    <w:p>
      <w:pPr>
        <w:pStyle w:val="4"/>
        <w:spacing w:before="194" w:line="388" w:lineRule="auto"/>
        <w:ind w:right="213" w:firstLine="480"/>
        <w:rPr>
          <w:color w:val="auto"/>
        </w:rPr>
      </w:pPr>
      <w:r>
        <w:rPr>
          <w:color w:val="auto"/>
        </w:rPr>
        <w:t>《商品条码管理办法》第三十六条“经销的商品印有未经核准注册、备案或者伪造的商品条码的，责令其改正，处以 10000 元以下罚款。”</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2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经销的商品有商品条码，属使用不当，经查处后及时整改的。</w:t>
      </w:r>
    </w:p>
    <w:p>
      <w:pPr>
        <w:spacing w:after="0"/>
        <w:rPr>
          <w:color w:val="auto"/>
        </w:rPr>
        <w:sectPr>
          <w:footerReference r:id="rId89" w:type="default"/>
          <w:footerReference r:id="rId90" w:type="even"/>
          <w:pgSz w:w="11910" w:h="16840"/>
          <w:pgMar w:top="1520" w:right="1260" w:bottom="1220" w:left="1420" w:header="0" w:footer="1034" w:gutter="0"/>
          <w:pgNumType w:start="372"/>
        </w:sectPr>
      </w:pPr>
    </w:p>
    <w:p>
      <w:pPr>
        <w:pStyle w:val="13"/>
        <w:numPr>
          <w:ilvl w:val="0"/>
          <w:numId w:val="629"/>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152"/>
        <w:rPr>
          <w:color w:val="auto"/>
        </w:rPr>
      </w:pPr>
      <w:r>
        <w:rPr>
          <w:color w:val="auto"/>
          <w:spacing w:val="-9"/>
        </w:rPr>
        <w:t xml:space="preserve">责令改正，处 </w:t>
      </w:r>
      <w:r>
        <w:rPr>
          <w:color w:val="auto"/>
        </w:rPr>
        <w:t>1000</w:t>
      </w:r>
      <w:r>
        <w:rPr>
          <w:color w:val="auto"/>
          <w:spacing w:val="-11"/>
        </w:rPr>
        <w:t xml:space="preserve"> 元以下罚款。</w:t>
      </w:r>
      <w:r>
        <w:rPr>
          <w:color w:val="auto"/>
        </w:rPr>
        <w:t>2</w:t>
      </w:r>
      <w:r>
        <w:rPr>
          <w:color w:val="auto"/>
          <w:spacing w:val="-24"/>
        </w:rPr>
        <w:t>、【一般】</w:t>
      </w:r>
    </w:p>
    <w:p>
      <w:pPr>
        <w:pStyle w:val="13"/>
        <w:numPr>
          <w:ilvl w:val="0"/>
          <w:numId w:val="63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不属于故意行为，能主动配合检查，经查处后及时整改的。</w:t>
      </w:r>
    </w:p>
    <w:p>
      <w:pPr>
        <w:pStyle w:val="13"/>
        <w:numPr>
          <w:ilvl w:val="0"/>
          <w:numId w:val="63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832"/>
        <w:rPr>
          <w:color w:val="auto"/>
        </w:rPr>
      </w:pPr>
      <w:r>
        <w:rPr>
          <w:color w:val="auto"/>
          <w:spacing w:val="-9"/>
        </w:rPr>
        <w:t xml:space="preserve">责令改正，处 </w:t>
      </w:r>
      <w:r>
        <w:rPr>
          <w:color w:val="auto"/>
        </w:rPr>
        <w:t>1000</w:t>
      </w:r>
      <w:r>
        <w:rPr>
          <w:color w:val="auto"/>
          <w:spacing w:val="-24"/>
        </w:rPr>
        <w:t xml:space="preserve"> 元以上 </w:t>
      </w:r>
      <w:r>
        <w:rPr>
          <w:color w:val="auto"/>
        </w:rPr>
        <w:t>3000</w:t>
      </w:r>
      <w:r>
        <w:rPr>
          <w:color w:val="auto"/>
          <w:spacing w:val="-11"/>
        </w:rPr>
        <w:t xml:space="preserve"> 元以下罚款。</w:t>
      </w:r>
      <w:r>
        <w:rPr>
          <w:color w:val="auto"/>
        </w:rPr>
        <w:t>3</w:t>
      </w:r>
      <w:r>
        <w:rPr>
          <w:color w:val="auto"/>
          <w:spacing w:val="-24"/>
        </w:rPr>
        <w:t>、【较重】</w:t>
      </w:r>
    </w:p>
    <w:p>
      <w:pPr>
        <w:pStyle w:val="13"/>
        <w:numPr>
          <w:ilvl w:val="0"/>
          <w:numId w:val="63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故意行为情节较轻，能主动配合检查，查处后能及时整改的。</w:t>
      </w:r>
    </w:p>
    <w:p>
      <w:pPr>
        <w:pStyle w:val="13"/>
        <w:numPr>
          <w:ilvl w:val="0"/>
          <w:numId w:val="63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832"/>
        <w:rPr>
          <w:color w:val="auto"/>
        </w:rPr>
      </w:pPr>
      <w:r>
        <w:rPr>
          <w:color w:val="auto"/>
          <w:spacing w:val="-9"/>
        </w:rPr>
        <w:t xml:space="preserve">责令改正，处 </w:t>
      </w:r>
      <w:r>
        <w:rPr>
          <w:color w:val="auto"/>
        </w:rPr>
        <w:t>3000</w:t>
      </w:r>
      <w:r>
        <w:rPr>
          <w:color w:val="auto"/>
          <w:spacing w:val="-24"/>
        </w:rPr>
        <w:t xml:space="preserve"> 元以上 </w:t>
      </w:r>
      <w:r>
        <w:rPr>
          <w:color w:val="auto"/>
        </w:rPr>
        <w:t>5000</w:t>
      </w:r>
      <w:r>
        <w:rPr>
          <w:color w:val="auto"/>
          <w:spacing w:val="-11"/>
        </w:rPr>
        <w:t xml:space="preserve"> 元以下罚款。</w:t>
      </w:r>
      <w:r>
        <w:rPr>
          <w:color w:val="auto"/>
        </w:rPr>
        <w:t>4</w:t>
      </w:r>
      <w:r>
        <w:rPr>
          <w:color w:val="auto"/>
          <w:spacing w:val="-24"/>
        </w:rPr>
        <w:t>、【严重】</w:t>
      </w:r>
    </w:p>
    <w:p>
      <w:pPr>
        <w:pStyle w:val="13"/>
        <w:numPr>
          <w:ilvl w:val="0"/>
          <w:numId w:val="632"/>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存在故意行为，能配合检查，查处后整改不及时的。</w:t>
      </w:r>
    </w:p>
    <w:p>
      <w:pPr>
        <w:pStyle w:val="13"/>
        <w:numPr>
          <w:ilvl w:val="0"/>
          <w:numId w:val="63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952"/>
        <w:rPr>
          <w:color w:val="auto"/>
        </w:rPr>
      </w:pPr>
      <w:r>
        <w:rPr>
          <w:color w:val="auto"/>
          <w:spacing w:val="-9"/>
        </w:rPr>
        <w:t xml:space="preserve">责令改正，处 </w:t>
      </w:r>
      <w:r>
        <w:rPr>
          <w:color w:val="auto"/>
        </w:rPr>
        <w:t>5000</w:t>
      </w:r>
      <w:r>
        <w:rPr>
          <w:color w:val="auto"/>
          <w:spacing w:val="-24"/>
        </w:rPr>
        <w:t xml:space="preserve"> 元以上 </w:t>
      </w:r>
      <w:r>
        <w:rPr>
          <w:color w:val="auto"/>
        </w:rPr>
        <w:t>8000</w:t>
      </w:r>
      <w:r>
        <w:rPr>
          <w:color w:val="auto"/>
          <w:spacing w:val="-11"/>
        </w:rPr>
        <w:t xml:space="preserve"> 元以下罚款. </w:t>
      </w:r>
      <w:r>
        <w:rPr>
          <w:color w:val="auto"/>
        </w:rPr>
        <w:t>5</w:t>
      </w:r>
      <w:r>
        <w:rPr>
          <w:color w:val="auto"/>
          <w:spacing w:val="-18"/>
        </w:rPr>
        <w:t>、【特别严重】</w:t>
      </w:r>
    </w:p>
    <w:p>
      <w:pPr>
        <w:pStyle w:val="13"/>
        <w:numPr>
          <w:ilvl w:val="0"/>
          <w:numId w:val="63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有故意行为，拒不配合检查 经查处后仍拒不整改的。</w:t>
      </w:r>
    </w:p>
    <w:p>
      <w:pPr>
        <w:pStyle w:val="13"/>
        <w:numPr>
          <w:ilvl w:val="0"/>
          <w:numId w:val="63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责令改正，处 8000 元以上 1 万元以下罚款。</w:t>
      </w:r>
    </w:p>
    <w:p>
      <w:pPr>
        <w:pStyle w:val="4"/>
        <w:ind w:left="0"/>
        <w:rPr>
          <w:color w:val="auto"/>
        </w:rPr>
      </w:pPr>
    </w:p>
    <w:p>
      <w:pPr>
        <w:pStyle w:val="4"/>
        <w:spacing w:before="2"/>
        <w:ind w:left="0"/>
        <w:rPr>
          <w:color w:val="auto"/>
          <w:sz w:val="30"/>
        </w:rPr>
      </w:pPr>
    </w:p>
    <w:p>
      <w:pPr>
        <w:pStyle w:val="4"/>
        <w:tabs>
          <w:tab w:val="left" w:pos="4116"/>
        </w:tabs>
        <w:ind w:left="2916"/>
        <w:rPr>
          <w:rFonts w:hint="eastAsia" w:ascii="黑体" w:eastAsia="黑体"/>
          <w:color w:val="auto"/>
        </w:rPr>
      </w:pPr>
      <w:bookmarkStart w:id="795" w:name="_bookmark397"/>
      <w:bookmarkEnd w:id="795"/>
      <w:bookmarkStart w:id="796" w:name="第十一章  计量监管"/>
      <w:bookmarkEnd w:id="796"/>
      <w:r>
        <w:rPr>
          <w:rFonts w:hint="eastAsia" w:ascii="黑体" w:eastAsia="黑体"/>
          <w:color w:val="auto"/>
        </w:rPr>
        <w:t>第十一章</w:t>
      </w:r>
      <w:r>
        <w:rPr>
          <w:rFonts w:hint="eastAsia" w:ascii="黑体" w:eastAsia="黑体"/>
          <w:color w:val="auto"/>
        </w:rPr>
        <w:tab/>
      </w:r>
      <w:r>
        <w:rPr>
          <w:rFonts w:hint="eastAsia" w:ascii="黑体" w:eastAsia="黑体"/>
          <w:color w:val="auto"/>
        </w:rPr>
        <w:t>计量监管</w:t>
      </w:r>
    </w:p>
    <w:p>
      <w:pPr>
        <w:pStyle w:val="4"/>
        <w:ind w:left="0"/>
        <w:rPr>
          <w:rFonts w:ascii="黑体"/>
          <w:color w:val="auto"/>
        </w:rPr>
      </w:pPr>
    </w:p>
    <w:p>
      <w:pPr>
        <w:pStyle w:val="4"/>
        <w:spacing w:before="1"/>
        <w:ind w:left="0"/>
        <w:rPr>
          <w:rFonts w:ascii="黑体"/>
          <w:color w:val="auto"/>
          <w:sz w:val="30"/>
        </w:rPr>
      </w:pPr>
    </w:p>
    <w:p>
      <w:pPr>
        <w:pStyle w:val="2"/>
        <w:rPr>
          <w:color w:val="auto"/>
        </w:rPr>
      </w:pPr>
      <w:bookmarkStart w:id="797" w:name="三百八十八、生产、进口、销售国家明令淘汰的用能产品、设备"/>
      <w:bookmarkEnd w:id="797"/>
      <w:bookmarkStart w:id="798" w:name="_bookmark398"/>
      <w:bookmarkEnd w:id="798"/>
      <w:r>
        <w:rPr>
          <w:color w:val="auto"/>
        </w:rPr>
        <w:t>三百八十八、生产、进口、销售国家明令淘汰的用能产品、设备</w:t>
      </w:r>
    </w:p>
    <w:p>
      <w:pPr>
        <w:spacing w:before="192"/>
        <w:ind w:left="591" w:right="0" w:firstLine="0"/>
        <w:jc w:val="left"/>
        <w:rPr>
          <w:b/>
          <w:color w:val="auto"/>
          <w:sz w:val="24"/>
        </w:rPr>
      </w:pPr>
      <w:r>
        <w:rPr>
          <w:b/>
          <w:color w:val="auto"/>
          <w:sz w:val="24"/>
        </w:rPr>
        <w:t>（一）处罚依据</w:t>
      </w:r>
    </w:p>
    <w:p>
      <w:pPr>
        <w:pStyle w:val="4"/>
        <w:spacing w:before="192"/>
        <w:ind w:left="581"/>
        <w:rPr>
          <w:color w:val="auto"/>
        </w:rPr>
      </w:pPr>
      <w:r>
        <w:rPr>
          <w:color w:val="auto"/>
        </w:rPr>
        <w:t>1、《中华人民共和国节约能源法》第六十九条“生产、进口、销售国家明令淘</w:t>
      </w:r>
    </w:p>
    <w:p>
      <w:pPr>
        <w:spacing w:after="0"/>
        <w:rPr>
          <w:color w:val="auto"/>
        </w:rPr>
        <w:sectPr>
          <w:pgSz w:w="11910" w:h="16840"/>
          <w:pgMar w:top="1520" w:right="1260" w:bottom="1220" w:left="1420" w:header="0" w:footer="1034" w:gutter="0"/>
        </w:sectPr>
      </w:pPr>
    </w:p>
    <w:p>
      <w:pPr>
        <w:pStyle w:val="4"/>
        <w:spacing w:before="39" w:line="391" w:lineRule="auto"/>
        <w:ind w:right="148"/>
        <w:rPr>
          <w:color w:val="auto"/>
        </w:rPr>
      </w:pPr>
      <w:r>
        <w:rPr>
          <w:color w:val="auto"/>
          <w:spacing w:val="-14"/>
        </w:rPr>
        <w:t xml:space="preserve">汰的用能产品、设备的，使用伪造的节能产品认证标志或者冒用节能产品认证标志的， </w:t>
      </w:r>
      <w:r>
        <w:rPr>
          <w:color w:val="auto"/>
        </w:rPr>
        <w:t>依照《中华人民共和国产品质量法》的规定处罚。”</w:t>
      </w:r>
    </w:p>
    <w:p>
      <w:pPr>
        <w:pStyle w:val="4"/>
        <w:spacing w:line="391" w:lineRule="auto"/>
        <w:ind w:right="268" w:firstLine="470"/>
        <w:jc w:val="both"/>
        <w:rPr>
          <w:color w:val="auto"/>
        </w:rPr>
      </w:pPr>
      <w:r>
        <w:rPr>
          <w:color w:val="auto"/>
        </w:rPr>
        <w:t xml:space="preserve">2、《中华人民共和国产品质量法》第五十一条“生产国家明令淘汰的产品的， </w:t>
      </w:r>
      <w:r>
        <w:rPr>
          <w:color w:val="auto"/>
          <w:spacing w:val="-5"/>
        </w:rPr>
        <w:t>销售国家明令淘汰并停止销售的产品的，责令停止生产、销售，没收违法生产、销售</w:t>
      </w:r>
      <w:r>
        <w:rPr>
          <w:color w:val="auto"/>
          <w:spacing w:val="-7"/>
        </w:rPr>
        <w:t>的产品，并处违法生产、销售产品货值金额等值以下的罚款；有违法所得的，并处没</w:t>
      </w:r>
      <w:r>
        <w:rPr>
          <w:color w:val="auto"/>
        </w:rPr>
        <w:t>收违法所得；情节严重的，吊销营业执照。”</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3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5"/>
        <w:ind w:left="591"/>
        <w:rPr>
          <w:color w:val="auto"/>
        </w:rPr>
      </w:pPr>
      <w:r>
        <w:rPr>
          <w:color w:val="auto"/>
        </w:rPr>
        <w:t>有证据证明该产品是初次生产且产品尚未销售的。</w:t>
      </w:r>
    </w:p>
    <w:p>
      <w:pPr>
        <w:pStyle w:val="13"/>
        <w:numPr>
          <w:ilvl w:val="0"/>
          <w:numId w:val="63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66" w:firstLine="480"/>
        <w:rPr>
          <w:color w:val="auto"/>
        </w:rPr>
      </w:pPr>
      <w:r>
        <w:rPr>
          <w:color w:val="auto"/>
          <w:spacing w:val="-7"/>
        </w:rPr>
        <w:t>责令停止生产、销售，没收违法生产、销售的产品，并处违法生产、销售产品货</w:t>
      </w:r>
      <w:r>
        <w:rPr>
          <w:color w:val="auto"/>
          <w:spacing w:val="-15"/>
        </w:rPr>
        <w:t xml:space="preserve">值金额 </w:t>
      </w:r>
      <w:r>
        <w:rPr>
          <w:color w:val="auto"/>
        </w:rPr>
        <w:t>20%罚款；有违法所得的，并处没收违法所得。</w:t>
      </w:r>
    </w:p>
    <w:p>
      <w:pPr>
        <w:pStyle w:val="4"/>
        <w:spacing w:before="4"/>
        <w:ind w:left="591"/>
        <w:rPr>
          <w:color w:val="auto"/>
        </w:rPr>
      </w:pPr>
      <w:r>
        <w:rPr>
          <w:color w:val="auto"/>
        </w:rPr>
        <w:t>2、【一般】</w:t>
      </w:r>
    </w:p>
    <w:p>
      <w:pPr>
        <w:pStyle w:val="13"/>
        <w:numPr>
          <w:ilvl w:val="0"/>
          <w:numId w:val="63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spacing w:val="-3"/>
        </w:rPr>
        <w:t>有证据证明该产品是初次生产且产品部分销售，企业主动组织召回的或未造成环</w:t>
      </w:r>
      <w:r>
        <w:rPr>
          <w:color w:val="auto"/>
        </w:rPr>
        <w:t>境污染、生态破坏等后果的。</w:t>
      </w:r>
    </w:p>
    <w:p>
      <w:pPr>
        <w:pStyle w:val="13"/>
        <w:numPr>
          <w:ilvl w:val="0"/>
          <w:numId w:val="63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66" w:firstLine="480"/>
        <w:rPr>
          <w:color w:val="auto"/>
        </w:rPr>
      </w:pPr>
      <w:r>
        <w:rPr>
          <w:color w:val="auto"/>
          <w:spacing w:val="-7"/>
        </w:rPr>
        <w:t>责令停止生产、销售，没收违法生产、销售的产品，并处违法生产、销售产品货</w:t>
      </w:r>
      <w:r>
        <w:rPr>
          <w:color w:val="auto"/>
          <w:spacing w:val="-15"/>
        </w:rPr>
        <w:t xml:space="preserve">值金额 </w:t>
      </w:r>
      <w:r>
        <w:rPr>
          <w:color w:val="auto"/>
        </w:rPr>
        <w:t>20%</w:t>
      </w:r>
      <w:r>
        <w:rPr>
          <w:color w:val="auto"/>
          <w:spacing w:val="-20"/>
        </w:rPr>
        <w:t xml:space="preserve">以上 </w:t>
      </w:r>
      <w:r>
        <w:rPr>
          <w:color w:val="auto"/>
        </w:rPr>
        <w:t>40%以下的罚款；有违法所得的，并处没收违法所得。</w:t>
      </w:r>
    </w:p>
    <w:p>
      <w:pPr>
        <w:pStyle w:val="4"/>
        <w:spacing w:line="306" w:lineRule="exact"/>
        <w:ind w:left="591"/>
        <w:rPr>
          <w:color w:val="auto"/>
        </w:rPr>
      </w:pPr>
      <w:r>
        <w:rPr>
          <w:color w:val="auto"/>
        </w:rPr>
        <w:t>3、【较重】</w:t>
      </w:r>
    </w:p>
    <w:p>
      <w:pPr>
        <w:pStyle w:val="13"/>
        <w:numPr>
          <w:ilvl w:val="0"/>
          <w:numId w:val="63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产品已销售，且无法召回或造成环境污染、生态破坏等后果的。</w:t>
      </w:r>
    </w:p>
    <w:p>
      <w:pPr>
        <w:pStyle w:val="13"/>
        <w:numPr>
          <w:ilvl w:val="0"/>
          <w:numId w:val="63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66" w:firstLine="480"/>
        <w:jc w:val="both"/>
        <w:rPr>
          <w:color w:val="auto"/>
        </w:rPr>
      </w:pPr>
      <w:r>
        <w:rPr>
          <w:color w:val="auto"/>
          <w:spacing w:val="-7"/>
        </w:rPr>
        <w:t>责令停止生产、销售，没收违法生产、销售的产品，并处违法生产、销售产品货</w:t>
      </w:r>
      <w:r>
        <w:rPr>
          <w:color w:val="auto"/>
          <w:spacing w:val="-8"/>
        </w:rPr>
        <w:t xml:space="preserve">值金额 </w:t>
      </w:r>
      <w:r>
        <w:rPr>
          <w:color w:val="auto"/>
        </w:rPr>
        <w:t>40</w:t>
      </w:r>
      <w:r>
        <w:rPr>
          <w:color w:val="auto"/>
          <w:spacing w:val="-8"/>
        </w:rPr>
        <w:t xml:space="preserve">%以上 </w:t>
      </w:r>
      <w:r>
        <w:rPr>
          <w:color w:val="auto"/>
        </w:rPr>
        <w:t>60%以下的罚款；有违法所得的，并处没收违法所得；通报营业执照发证部门。</w:t>
      </w:r>
    </w:p>
    <w:p>
      <w:pPr>
        <w:pStyle w:val="4"/>
        <w:spacing w:line="304" w:lineRule="exact"/>
        <w:ind w:left="591"/>
        <w:rPr>
          <w:color w:val="auto"/>
        </w:rPr>
      </w:pPr>
      <w:r>
        <w:rPr>
          <w:color w:val="auto"/>
        </w:rPr>
        <w:t>4、【严重】</w:t>
      </w:r>
    </w:p>
    <w:p>
      <w:pPr>
        <w:spacing w:after="0" w:line="304" w:lineRule="exact"/>
        <w:rPr>
          <w:color w:val="auto"/>
        </w:rPr>
        <w:sectPr>
          <w:pgSz w:w="11910" w:h="16840"/>
          <w:pgMar w:top="1520" w:right="1260" w:bottom="1220" w:left="1420" w:header="0" w:footer="1034" w:gutter="0"/>
        </w:sectPr>
      </w:pPr>
    </w:p>
    <w:p>
      <w:pPr>
        <w:pStyle w:val="13"/>
        <w:numPr>
          <w:ilvl w:val="0"/>
          <w:numId w:val="637"/>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jc w:val="both"/>
        <w:rPr>
          <w:color w:val="auto"/>
        </w:rPr>
      </w:pPr>
      <w:r>
        <w:rPr>
          <w:color w:val="auto"/>
          <w:spacing w:val="-6"/>
        </w:rPr>
        <w:t>产品已销售，且企业不能主动召回或无法召回的或造成环境污染、生态破坏等后</w:t>
      </w:r>
      <w:r>
        <w:rPr>
          <w:color w:val="auto"/>
          <w:spacing w:val="-3"/>
        </w:rPr>
        <w:t>果的或属于高耗能的或不执行责令停止生产、销售，继续实施违法行为的或经查处后</w:t>
      </w:r>
      <w:r>
        <w:rPr>
          <w:color w:val="auto"/>
        </w:rPr>
        <w:t>再犯的。</w:t>
      </w:r>
    </w:p>
    <w:p>
      <w:pPr>
        <w:pStyle w:val="13"/>
        <w:numPr>
          <w:ilvl w:val="0"/>
          <w:numId w:val="637"/>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148" w:firstLine="480"/>
        <w:rPr>
          <w:color w:val="auto"/>
        </w:rPr>
      </w:pPr>
      <w:r>
        <w:rPr>
          <w:color w:val="auto"/>
          <w:spacing w:val="-6"/>
        </w:rPr>
        <w:t>责令停止生产、销售，没收违法生产、销售的产品，并处违法生产、销售产品货</w:t>
      </w:r>
      <w:r>
        <w:rPr>
          <w:color w:val="auto"/>
          <w:spacing w:val="-20"/>
        </w:rPr>
        <w:t xml:space="preserve">值金额 </w:t>
      </w:r>
      <w:r>
        <w:rPr>
          <w:color w:val="auto"/>
        </w:rPr>
        <w:t>60%</w:t>
      </w:r>
      <w:r>
        <w:rPr>
          <w:color w:val="auto"/>
          <w:spacing w:val="-20"/>
        </w:rPr>
        <w:t xml:space="preserve">以上 </w:t>
      </w:r>
      <w:r>
        <w:rPr>
          <w:color w:val="auto"/>
        </w:rPr>
        <w:t>80%</w:t>
      </w:r>
      <w:r>
        <w:rPr>
          <w:color w:val="auto"/>
          <w:spacing w:val="-5"/>
        </w:rPr>
        <w:t>以下的罚款；有违法所得的，并处没收违法所得；吊销营业执照。</w:t>
      </w:r>
    </w:p>
    <w:p>
      <w:pPr>
        <w:pStyle w:val="4"/>
        <w:spacing w:before="4"/>
        <w:ind w:left="591"/>
        <w:rPr>
          <w:color w:val="auto"/>
        </w:rPr>
      </w:pPr>
      <w:r>
        <w:rPr>
          <w:color w:val="auto"/>
        </w:rPr>
        <w:t>5、【特别严重】</w:t>
      </w:r>
    </w:p>
    <w:p>
      <w:pPr>
        <w:pStyle w:val="13"/>
        <w:numPr>
          <w:ilvl w:val="0"/>
          <w:numId w:val="63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24" w:firstLine="480"/>
        <w:rPr>
          <w:color w:val="auto"/>
        </w:rPr>
      </w:pPr>
      <w:r>
        <w:rPr>
          <w:color w:val="auto"/>
        </w:rPr>
        <w:t>产品已销售，且拒不追回或无法追回的或造成环境污染、生态破坏等后果的或屡次查处的或造成严重危害后果的。</w:t>
      </w:r>
    </w:p>
    <w:p>
      <w:pPr>
        <w:pStyle w:val="13"/>
        <w:numPr>
          <w:ilvl w:val="0"/>
          <w:numId w:val="63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148" w:firstLine="480"/>
        <w:rPr>
          <w:color w:val="auto"/>
        </w:rPr>
      </w:pPr>
      <w:r>
        <w:rPr>
          <w:color w:val="auto"/>
          <w:spacing w:val="-6"/>
        </w:rPr>
        <w:t>责令停止生产、销售，没收违法生产、销售的产品，并处违法生产、销售产品货</w:t>
      </w:r>
      <w:r>
        <w:rPr>
          <w:color w:val="auto"/>
          <w:spacing w:val="-20"/>
        </w:rPr>
        <w:t xml:space="preserve">值金额 </w:t>
      </w:r>
      <w:r>
        <w:rPr>
          <w:color w:val="auto"/>
        </w:rPr>
        <w:t>80%</w:t>
      </w:r>
      <w:r>
        <w:rPr>
          <w:color w:val="auto"/>
          <w:spacing w:val="-8"/>
        </w:rPr>
        <w:t>以上等值以下的罚款；有违法所得的，并处没收违法所得；吊销营业执照。</w:t>
      </w:r>
    </w:p>
    <w:p>
      <w:pPr>
        <w:pStyle w:val="2"/>
        <w:spacing w:line="306" w:lineRule="exact"/>
        <w:rPr>
          <w:color w:val="auto"/>
        </w:rPr>
      </w:pPr>
      <w:bookmarkStart w:id="799" w:name="三百八十九、使用伪造的节能产品认证标志或者冒用节能产品认证标志"/>
      <w:bookmarkEnd w:id="799"/>
      <w:bookmarkStart w:id="800" w:name="_bookmark399"/>
      <w:bookmarkEnd w:id="800"/>
      <w:r>
        <w:rPr>
          <w:color w:val="auto"/>
        </w:rPr>
        <w:t>三百八十九、使用伪造的节能产品认证标志或者冒用节能产品认证标志</w:t>
      </w:r>
    </w:p>
    <w:p>
      <w:pPr>
        <w:spacing w:before="192"/>
        <w:ind w:left="591" w:right="0" w:firstLine="0"/>
        <w:jc w:val="left"/>
        <w:rPr>
          <w:b/>
          <w:color w:val="auto"/>
          <w:sz w:val="24"/>
        </w:rPr>
      </w:pPr>
      <w:r>
        <w:rPr>
          <w:b/>
          <w:color w:val="auto"/>
          <w:sz w:val="24"/>
        </w:rPr>
        <w:t>（一）处罚依据</w:t>
      </w:r>
    </w:p>
    <w:p>
      <w:pPr>
        <w:pStyle w:val="4"/>
        <w:spacing w:before="194" w:line="388" w:lineRule="auto"/>
        <w:ind w:right="148" w:firstLine="470"/>
        <w:rPr>
          <w:color w:val="auto"/>
        </w:rPr>
      </w:pPr>
      <w:r>
        <w:rPr>
          <w:color w:val="auto"/>
        </w:rPr>
        <w:t>1、《中华人民共和国节约能源法》第六十九条“生产、进口、销售国家明令淘</w:t>
      </w:r>
      <w:r>
        <w:rPr>
          <w:color w:val="auto"/>
          <w:spacing w:val="-14"/>
        </w:rPr>
        <w:t xml:space="preserve">汰的用能产品、设备的，使用伪造的节能产品认证标志或者冒用节能产品认证标志的， </w:t>
      </w:r>
      <w:r>
        <w:rPr>
          <w:color w:val="auto"/>
        </w:rPr>
        <w:t>依照《中华人民共和国产品质量法》的规定处罚。”</w:t>
      </w:r>
    </w:p>
    <w:p>
      <w:pPr>
        <w:pStyle w:val="4"/>
        <w:spacing w:before="6" w:line="391" w:lineRule="auto"/>
        <w:ind w:right="148" w:firstLine="470"/>
        <w:rPr>
          <w:color w:val="auto"/>
        </w:rPr>
      </w:pPr>
      <w:r>
        <w:rPr>
          <w:color w:val="auto"/>
        </w:rPr>
        <w:t>2、《中华人民共和国产品质量法》第五十三条“伪造产品产地的，伪造或者冒</w:t>
      </w:r>
      <w:r>
        <w:rPr>
          <w:color w:val="auto"/>
          <w:spacing w:val="-5"/>
        </w:rPr>
        <w:t>用他人厂名、厂址的，伪造或者冒用认证标志等质量标志的，责令改正，没收违法生</w:t>
      </w:r>
      <w:r>
        <w:rPr>
          <w:color w:val="auto"/>
          <w:spacing w:val="-14"/>
        </w:rPr>
        <w:t xml:space="preserve">产、销售的产品，并处违法生产、销售产品货值金额等值以下的罚款；有违法所得的， </w:t>
      </w:r>
      <w:r>
        <w:rPr>
          <w:color w:val="auto"/>
        </w:rPr>
        <w:t>并处没收违法所得；情节严重的，吊销营业执照。”</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39"/>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初次违法，且产品尚未销售或积极配合查处并有悔改表现的。</w:t>
      </w:r>
    </w:p>
    <w:p>
      <w:pPr>
        <w:pStyle w:val="13"/>
        <w:numPr>
          <w:ilvl w:val="0"/>
          <w:numId w:val="639"/>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责令改正，没收违法生产、销售的产品，并处违法生产产品货值金额 20%以下的罚款；有违法所得的，并处没收违法所得。</w:t>
      </w:r>
    </w:p>
    <w:p>
      <w:pPr>
        <w:pStyle w:val="4"/>
        <w:spacing w:line="306" w:lineRule="exact"/>
        <w:ind w:left="591"/>
        <w:rPr>
          <w:color w:val="auto"/>
        </w:rPr>
      </w:pPr>
      <w:r>
        <w:rPr>
          <w:color w:val="auto"/>
        </w:rPr>
        <w:t>2、【一般】</w:t>
      </w:r>
    </w:p>
    <w:p>
      <w:pPr>
        <w:pStyle w:val="13"/>
        <w:numPr>
          <w:ilvl w:val="0"/>
          <w:numId w:val="64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产品已售出，货值较小的。</w:t>
      </w:r>
    </w:p>
    <w:p>
      <w:pPr>
        <w:pStyle w:val="13"/>
        <w:numPr>
          <w:ilvl w:val="0"/>
          <w:numId w:val="64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15" w:firstLine="480"/>
        <w:rPr>
          <w:color w:val="auto"/>
        </w:rPr>
      </w:pPr>
      <w:r>
        <w:rPr>
          <w:color w:val="auto"/>
        </w:rPr>
        <w:t>责令改正，没收违法生产、销售的产品，并处违法生产、销售产品货值金额 20% 以上 40%以下的罚款；有违法所得的，并处没收违法所得。</w:t>
      </w:r>
    </w:p>
    <w:p>
      <w:pPr>
        <w:pStyle w:val="4"/>
        <w:spacing w:line="306" w:lineRule="exact"/>
        <w:ind w:left="591"/>
        <w:rPr>
          <w:color w:val="auto"/>
        </w:rPr>
      </w:pPr>
      <w:r>
        <w:rPr>
          <w:color w:val="auto"/>
        </w:rPr>
        <w:t>3、【较重】</w:t>
      </w:r>
    </w:p>
    <w:p>
      <w:pPr>
        <w:pStyle w:val="13"/>
        <w:numPr>
          <w:ilvl w:val="0"/>
          <w:numId w:val="64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产品货值较大或具有其他较重情节的。</w:t>
      </w:r>
    </w:p>
    <w:p>
      <w:pPr>
        <w:pStyle w:val="13"/>
        <w:numPr>
          <w:ilvl w:val="0"/>
          <w:numId w:val="64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600"/>
        <w:rPr>
          <w:color w:val="auto"/>
        </w:rPr>
      </w:pPr>
      <w:r>
        <w:rPr>
          <w:color w:val="auto"/>
          <w:spacing w:val="-11"/>
        </w:rPr>
        <w:t xml:space="preserve">责令改正，没收违法生产、销售的产品，并处违法生产、销售产品货值金额 </w:t>
      </w:r>
      <w:r>
        <w:rPr>
          <w:color w:val="auto"/>
          <w:spacing w:val="-6"/>
        </w:rPr>
        <w:t xml:space="preserve">40% </w:t>
      </w:r>
      <w:r>
        <w:rPr>
          <w:color w:val="auto"/>
          <w:spacing w:val="-20"/>
        </w:rPr>
        <w:t xml:space="preserve">以上 </w:t>
      </w:r>
      <w:r>
        <w:rPr>
          <w:color w:val="auto"/>
        </w:rPr>
        <w:t>60%以下的罚款；有违法所得的，并处没收违法所得；通报营业执照发证部门。</w:t>
      </w:r>
    </w:p>
    <w:p>
      <w:pPr>
        <w:pStyle w:val="4"/>
        <w:spacing w:line="306" w:lineRule="exact"/>
        <w:ind w:left="591"/>
        <w:rPr>
          <w:color w:val="auto"/>
        </w:rPr>
      </w:pPr>
      <w:r>
        <w:rPr>
          <w:color w:val="auto"/>
        </w:rPr>
        <w:t>4、【严重】</w:t>
      </w:r>
    </w:p>
    <w:p>
      <w:pPr>
        <w:pStyle w:val="13"/>
        <w:numPr>
          <w:ilvl w:val="0"/>
          <w:numId w:val="64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有下列情形之一的：1、产品货值巨大；2、具有其他严重情节的。</w:t>
      </w:r>
    </w:p>
    <w:p>
      <w:pPr>
        <w:pStyle w:val="13"/>
        <w:numPr>
          <w:ilvl w:val="0"/>
          <w:numId w:val="642"/>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15" w:firstLine="480"/>
        <w:rPr>
          <w:color w:val="auto"/>
        </w:rPr>
      </w:pPr>
      <w:r>
        <w:rPr>
          <w:color w:val="auto"/>
        </w:rPr>
        <w:t>责令改正，没收违法生产、销售的产品，并处违法生产、销售产品货值金额 60% 以上 80%以下的罚款；有违法所得的，并处没收违法所得；吊销营业执照。</w:t>
      </w:r>
    </w:p>
    <w:p>
      <w:pPr>
        <w:pStyle w:val="4"/>
        <w:spacing w:line="306" w:lineRule="exact"/>
        <w:ind w:left="591"/>
        <w:rPr>
          <w:color w:val="auto"/>
        </w:rPr>
      </w:pPr>
      <w:r>
        <w:rPr>
          <w:color w:val="auto"/>
        </w:rPr>
        <w:t>5、【特别严重】</w:t>
      </w:r>
    </w:p>
    <w:p>
      <w:pPr>
        <w:pStyle w:val="13"/>
        <w:numPr>
          <w:ilvl w:val="0"/>
          <w:numId w:val="64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有下列情形之一的：1、多次违法，屡次查处不改的；2、造成较大社会影响或其他严重危害后果的。</w:t>
      </w:r>
    </w:p>
    <w:p>
      <w:pPr>
        <w:pStyle w:val="13"/>
        <w:numPr>
          <w:ilvl w:val="0"/>
          <w:numId w:val="64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13" w:firstLine="480"/>
        <w:rPr>
          <w:color w:val="auto"/>
        </w:rPr>
      </w:pPr>
      <w:r>
        <w:rPr>
          <w:color w:val="auto"/>
        </w:rPr>
        <w:t>没收违法生产、销售的产品，并处违法生产、销售产品货值金额 80%以上等值以下的罚款；有违法所得的，并处没收违法所得；吊销营业执照。</w:t>
      </w:r>
    </w:p>
    <w:p>
      <w:pPr>
        <w:pStyle w:val="2"/>
        <w:spacing w:before="2"/>
        <w:rPr>
          <w:color w:val="auto"/>
        </w:rPr>
      </w:pPr>
      <w:bookmarkStart w:id="801" w:name="三百九十、生产、进口、销售不符合强制性能源效率标准的用能产品、设备"/>
      <w:bookmarkEnd w:id="801"/>
      <w:bookmarkStart w:id="802" w:name="_bookmark400"/>
      <w:bookmarkEnd w:id="802"/>
      <w:r>
        <w:rPr>
          <w:color w:val="auto"/>
        </w:rPr>
        <w:t>三百九十、生产、进口、销售不符合强制性能源效率标准的用能产品、设备</w:t>
      </w:r>
    </w:p>
    <w:p>
      <w:pPr>
        <w:spacing w:after="0"/>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91" w:lineRule="auto"/>
        <w:ind w:right="148" w:firstLine="470"/>
        <w:rPr>
          <w:color w:val="auto"/>
        </w:rPr>
      </w:pPr>
      <w:r>
        <w:rPr>
          <w:color w:val="auto"/>
        </w:rPr>
        <w:t>1、《中华人民共和国节约能源法》第七十条“生产、进口、销售不符合强制性</w:t>
      </w:r>
      <w:r>
        <w:rPr>
          <w:color w:val="auto"/>
          <w:spacing w:val="-10"/>
        </w:rPr>
        <w:t xml:space="preserve">能源效率标准的用能产品、设备的，由市场监督管理部门责令停止生产、进口、销售， </w:t>
      </w:r>
      <w:r>
        <w:rPr>
          <w:color w:val="auto"/>
          <w:spacing w:val="-5"/>
        </w:rPr>
        <w:t>没收违法生产、进口、销售的用能产品、设备和违法所得，并处违法所得一倍以上五倍以下罚款；情节严重的，吊销营业执照。”</w:t>
      </w:r>
    </w:p>
    <w:p>
      <w:pPr>
        <w:pStyle w:val="4"/>
        <w:spacing w:line="388" w:lineRule="auto"/>
        <w:ind w:right="232" w:firstLine="470"/>
        <w:rPr>
          <w:color w:val="auto"/>
        </w:rPr>
      </w:pPr>
      <w:r>
        <w:rPr>
          <w:color w:val="auto"/>
        </w:rPr>
        <w:t>2、《能源效率标识管理办法》第二十五条 生产、进口、销售不符合能源效率强制性国家标准的用能产品，依据《中华人民共和国节约能源法》第七十条予以处罚。</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44"/>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违法产品、设备尚未销售的。</w:t>
      </w:r>
    </w:p>
    <w:p>
      <w:pPr>
        <w:pStyle w:val="13"/>
        <w:numPr>
          <w:ilvl w:val="0"/>
          <w:numId w:val="64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rPr>
        <w:t>责令停止生产、进口、销售，没收违法生产、进口、销售的用能产品、设备。2、【一般】</w:t>
      </w:r>
    </w:p>
    <w:p>
      <w:pPr>
        <w:pStyle w:val="13"/>
        <w:numPr>
          <w:ilvl w:val="0"/>
          <w:numId w:val="64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违法产品、设备已销售，尚未造成不良后果或影响的。</w:t>
      </w:r>
    </w:p>
    <w:p>
      <w:pPr>
        <w:pStyle w:val="13"/>
        <w:numPr>
          <w:ilvl w:val="0"/>
          <w:numId w:val="64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7"/>
        </w:rPr>
        <w:t>责令停止生产、进口、销售，没收违法生产、进口、销售的用能产品、设备和违</w:t>
      </w:r>
      <w:r>
        <w:rPr>
          <w:color w:val="auto"/>
          <w:spacing w:val="-6"/>
        </w:rPr>
        <w:t xml:space="preserve">法所得，并处违法所得 </w:t>
      </w:r>
      <w:r>
        <w:rPr>
          <w:color w:val="auto"/>
        </w:rPr>
        <w:t>1</w:t>
      </w:r>
      <w:r>
        <w:rPr>
          <w:color w:val="auto"/>
          <w:spacing w:val="-24"/>
        </w:rPr>
        <w:t xml:space="preserve"> 倍以上 </w:t>
      </w:r>
      <w:r>
        <w:rPr>
          <w:color w:val="auto"/>
        </w:rPr>
        <w:t>2</w:t>
      </w:r>
      <w:r>
        <w:rPr>
          <w:color w:val="auto"/>
          <w:spacing w:val="-8"/>
        </w:rPr>
        <w:t xml:space="preserve"> 倍以下的罚款。</w:t>
      </w:r>
    </w:p>
    <w:p>
      <w:pPr>
        <w:pStyle w:val="4"/>
        <w:spacing w:before="5"/>
        <w:ind w:left="591"/>
        <w:rPr>
          <w:color w:val="auto"/>
        </w:rPr>
      </w:pPr>
      <w:r>
        <w:rPr>
          <w:color w:val="auto"/>
        </w:rPr>
        <w:t>3、【较重】</w:t>
      </w:r>
    </w:p>
    <w:p>
      <w:pPr>
        <w:pStyle w:val="13"/>
        <w:numPr>
          <w:ilvl w:val="0"/>
          <w:numId w:val="64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违法产品、设备已销售，造成一定不良后果或后果的。</w:t>
      </w:r>
    </w:p>
    <w:p>
      <w:pPr>
        <w:pStyle w:val="13"/>
        <w:numPr>
          <w:ilvl w:val="0"/>
          <w:numId w:val="64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7"/>
        </w:rPr>
        <w:t>责令停止生产、进口、销售，没收违法生产、进口、销售的用能产品、设备和违</w:t>
      </w:r>
      <w:r>
        <w:rPr>
          <w:color w:val="auto"/>
          <w:spacing w:val="-6"/>
        </w:rPr>
        <w:t xml:space="preserve">法所得，并处违法所得 </w:t>
      </w:r>
      <w:r>
        <w:rPr>
          <w:color w:val="auto"/>
        </w:rPr>
        <w:t>2</w:t>
      </w:r>
      <w:r>
        <w:rPr>
          <w:color w:val="auto"/>
          <w:spacing w:val="-24"/>
        </w:rPr>
        <w:t xml:space="preserve"> 倍以上 </w:t>
      </w:r>
      <w:r>
        <w:rPr>
          <w:color w:val="auto"/>
        </w:rPr>
        <w:t>3</w:t>
      </w:r>
      <w:r>
        <w:rPr>
          <w:color w:val="auto"/>
          <w:spacing w:val="-8"/>
        </w:rPr>
        <w:t xml:space="preserve"> 倍以下的罚款。</w:t>
      </w:r>
    </w:p>
    <w:p>
      <w:pPr>
        <w:pStyle w:val="4"/>
        <w:spacing w:before="5"/>
        <w:ind w:left="591"/>
        <w:rPr>
          <w:color w:val="auto"/>
        </w:rPr>
      </w:pPr>
      <w:r>
        <w:rPr>
          <w:color w:val="auto"/>
        </w:rPr>
        <w:t>4、【严重】</w:t>
      </w:r>
    </w:p>
    <w:p>
      <w:pPr>
        <w:pStyle w:val="13"/>
        <w:numPr>
          <w:ilvl w:val="0"/>
          <w:numId w:val="647"/>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1、违法产品、设备已销售，造成严重后果的；2、2 次以上实施同一违法行为，</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屡次查处不改的。</w:t>
      </w:r>
    </w:p>
    <w:p>
      <w:pPr>
        <w:pStyle w:val="13"/>
        <w:numPr>
          <w:ilvl w:val="0"/>
          <w:numId w:val="647"/>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7"/>
        </w:rPr>
        <w:t>责令停止生产、进口、销售，没收违法生产、进口、销售的用能产品、设备和违</w:t>
      </w:r>
      <w:r>
        <w:rPr>
          <w:color w:val="auto"/>
          <w:spacing w:val="-6"/>
        </w:rPr>
        <w:t xml:space="preserve">法所得，并处违法所得 </w:t>
      </w:r>
      <w:r>
        <w:rPr>
          <w:color w:val="auto"/>
        </w:rPr>
        <w:t>3</w:t>
      </w:r>
      <w:r>
        <w:rPr>
          <w:color w:val="auto"/>
          <w:spacing w:val="-24"/>
        </w:rPr>
        <w:t xml:space="preserve"> 倍以上 </w:t>
      </w:r>
      <w:r>
        <w:rPr>
          <w:color w:val="auto"/>
        </w:rPr>
        <w:t>5</w:t>
      </w:r>
      <w:r>
        <w:rPr>
          <w:color w:val="auto"/>
          <w:spacing w:val="-8"/>
        </w:rPr>
        <w:t xml:space="preserve"> 倍以下的罚款；吊销营业执照。</w:t>
      </w:r>
    </w:p>
    <w:p>
      <w:pPr>
        <w:pStyle w:val="2"/>
        <w:spacing w:before="5"/>
        <w:rPr>
          <w:color w:val="auto"/>
        </w:rPr>
      </w:pPr>
      <w:bookmarkStart w:id="803" w:name="三百九十一、应当标注能源效率标识而未标注"/>
      <w:bookmarkEnd w:id="803"/>
      <w:bookmarkStart w:id="804" w:name="_bookmark401"/>
      <w:bookmarkEnd w:id="804"/>
      <w:r>
        <w:rPr>
          <w:color w:val="auto"/>
        </w:rPr>
        <w:t>三百九十一、应当标注能源效率标识而未标注</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rPr>
        <w:t>1、《中华人民共和国节约能源法》第七十三条第一款“违反本法规定，应当标</w:t>
      </w:r>
      <w:r>
        <w:rPr>
          <w:color w:val="auto"/>
          <w:spacing w:val="-4"/>
        </w:rPr>
        <w:t>注能源效率标识而未标注的，由市场监督管理部门责令改正，处三万元以上五万元以</w:t>
      </w:r>
      <w:r>
        <w:rPr>
          <w:color w:val="auto"/>
        </w:rPr>
        <w:t>下罚款。”</w:t>
      </w:r>
    </w:p>
    <w:p>
      <w:pPr>
        <w:pStyle w:val="4"/>
        <w:spacing w:line="391" w:lineRule="auto"/>
        <w:ind w:right="268" w:firstLine="470"/>
        <w:jc w:val="both"/>
        <w:rPr>
          <w:color w:val="auto"/>
        </w:rPr>
      </w:pPr>
      <w:r>
        <w:rPr>
          <w:color w:val="auto"/>
        </w:rPr>
        <w:t>2</w:t>
      </w:r>
      <w:r>
        <w:rPr>
          <w:color w:val="auto"/>
          <w:spacing w:val="-8"/>
        </w:rPr>
        <w:t>、《能源效率标识管理办法》第二十七条 违反本办法规定，应当标注能效标识</w:t>
      </w:r>
      <w:r>
        <w:rPr>
          <w:color w:val="auto"/>
          <w:spacing w:val="-10"/>
        </w:rPr>
        <w:t>而未标注的，未办理能效标识备案的，使用的能效标识不符合有关样式、规格等标注</w:t>
      </w:r>
      <w:r>
        <w:rPr>
          <w:color w:val="auto"/>
          <w:spacing w:val="2"/>
        </w:rPr>
        <w:t>规定的（</w:t>
      </w:r>
      <w:r>
        <w:rPr>
          <w:color w:val="auto"/>
          <w:spacing w:val="1"/>
        </w:rPr>
        <w:t>包括不符合网络交易产品能效标识展示要求的</w:t>
      </w:r>
      <w:r>
        <w:rPr>
          <w:color w:val="auto"/>
          <w:spacing w:val="-118"/>
        </w:rPr>
        <w:t>）</w:t>
      </w:r>
      <w:r>
        <w:rPr>
          <w:color w:val="auto"/>
          <w:spacing w:val="1"/>
        </w:rPr>
        <w:t>，伪造、冒用能效标识或者</w:t>
      </w:r>
      <w:r>
        <w:rPr>
          <w:color w:val="auto"/>
          <w:spacing w:val="-3"/>
        </w:rPr>
        <w:t>利用能效标识进行虚假宣传的，依据《中华人民共和国节约能源法》第七十三条予以</w:t>
      </w:r>
      <w:r>
        <w:rPr>
          <w:color w:val="auto"/>
        </w:rPr>
        <w:t>处罚。</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4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7" w:line="388" w:lineRule="auto"/>
        <w:ind w:right="268" w:firstLine="480"/>
        <w:rPr>
          <w:color w:val="auto"/>
        </w:rPr>
      </w:pPr>
      <w:r>
        <w:rPr>
          <w:color w:val="auto"/>
          <w:spacing w:val="-1"/>
        </w:rPr>
        <w:t>有下列情形之一的：</w:t>
      </w:r>
      <w:r>
        <w:rPr>
          <w:color w:val="auto"/>
          <w:spacing w:val="-6"/>
        </w:rPr>
        <w:t>1</w:t>
      </w:r>
      <w:r>
        <w:rPr>
          <w:color w:val="auto"/>
          <w:spacing w:val="-10"/>
        </w:rPr>
        <w:t xml:space="preserve">、违法产品货值在 </w:t>
      </w:r>
      <w:r>
        <w:rPr>
          <w:color w:val="auto"/>
        </w:rPr>
        <w:t>5000</w:t>
      </w:r>
      <w:r>
        <w:rPr>
          <w:color w:val="auto"/>
          <w:spacing w:val="-10"/>
        </w:rPr>
        <w:t xml:space="preserve"> 元以下，尚未造成不良后果和影响</w:t>
      </w:r>
      <w:r>
        <w:rPr>
          <w:color w:val="auto"/>
        </w:rPr>
        <w:t>的；2、违法产品数量较少，尚未造成不良后果和影响的。</w:t>
      </w:r>
    </w:p>
    <w:p>
      <w:pPr>
        <w:pStyle w:val="13"/>
        <w:numPr>
          <w:ilvl w:val="0"/>
          <w:numId w:val="64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5752"/>
        <w:rPr>
          <w:color w:val="auto"/>
        </w:rPr>
      </w:pPr>
      <w:r>
        <w:rPr>
          <w:color w:val="auto"/>
          <w:spacing w:val="-9"/>
        </w:rPr>
        <w:t xml:space="preserve">责令改正，处 </w:t>
      </w:r>
      <w:r>
        <w:rPr>
          <w:color w:val="auto"/>
        </w:rPr>
        <w:t>3</w:t>
      </w:r>
      <w:r>
        <w:rPr>
          <w:color w:val="auto"/>
          <w:spacing w:val="-13"/>
        </w:rPr>
        <w:t xml:space="preserve"> 万元罚款。</w:t>
      </w:r>
      <w:r>
        <w:rPr>
          <w:color w:val="auto"/>
        </w:rPr>
        <w:t>2</w:t>
      </w:r>
      <w:r>
        <w:rPr>
          <w:color w:val="auto"/>
          <w:spacing w:val="-24"/>
        </w:rPr>
        <w:t>、【一般】</w:t>
      </w:r>
    </w:p>
    <w:p>
      <w:pPr>
        <w:pStyle w:val="13"/>
        <w:numPr>
          <w:ilvl w:val="0"/>
          <w:numId w:val="64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spacing w:val="-1"/>
        </w:rPr>
        <w:t>有下列情形之一的：</w:t>
      </w:r>
      <w:r>
        <w:rPr>
          <w:color w:val="auto"/>
          <w:spacing w:val="-5"/>
        </w:rPr>
        <w:t>1</w:t>
      </w:r>
      <w:r>
        <w:rPr>
          <w:color w:val="auto"/>
          <w:spacing w:val="-10"/>
        </w:rPr>
        <w:t xml:space="preserve">、违法产品货值在 </w:t>
      </w:r>
      <w:r>
        <w:rPr>
          <w:color w:val="auto"/>
        </w:rPr>
        <w:t>10000</w:t>
      </w:r>
      <w:r>
        <w:rPr>
          <w:color w:val="auto"/>
          <w:spacing w:val="-11"/>
        </w:rPr>
        <w:t xml:space="preserve"> 元以下的；</w:t>
      </w:r>
      <w:r>
        <w:rPr>
          <w:color w:val="auto"/>
          <w:spacing w:val="-4"/>
        </w:rPr>
        <w:t>2</w:t>
      </w:r>
      <w:r>
        <w:rPr>
          <w:color w:val="auto"/>
          <w:spacing w:val="-5"/>
        </w:rPr>
        <w:t>、尚未造成不良后果</w:t>
      </w:r>
      <w:r>
        <w:rPr>
          <w:color w:val="auto"/>
        </w:rPr>
        <w:t>或影响的。</w:t>
      </w:r>
    </w:p>
    <w:p>
      <w:pPr>
        <w:pStyle w:val="13"/>
        <w:numPr>
          <w:ilvl w:val="0"/>
          <w:numId w:val="649"/>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832"/>
        <w:rPr>
          <w:color w:val="auto"/>
        </w:rPr>
      </w:pPr>
      <w:r>
        <w:rPr>
          <w:color w:val="auto"/>
          <w:spacing w:val="-9"/>
        </w:rPr>
        <w:t xml:space="preserve">责令改正，处 </w:t>
      </w:r>
      <w:r>
        <w:rPr>
          <w:color w:val="auto"/>
        </w:rPr>
        <w:t>3</w:t>
      </w:r>
      <w:r>
        <w:rPr>
          <w:color w:val="auto"/>
          <w:spacing w:val="-20"/>
        </w:rPr>
        <w:t xml:space="preserve"> 万元以上 </w:t>
      </w:r>
      <w:r>
        <w:rPr>
          <w:color w:val="auto"/>
        </w:rPr>
        <w:t>3.5</w:t>
      </w:r>
      <w:r>
        <w:rPr>
          <w:color w:val="auto"/>
          <w:spacing w:val="-10"/>
        </w:rPr>
        <w:t xml:space="preserve"> 万元以下罚款。</w:t>
      </w:r>
      <w:r>
        <w:rPr>
          <w:color w:val="auto"/>
        </w:rPr>
        <w:t>3</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650"/>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rPr>
          <w:color w:val="auto"/>
        </w:rPr>
      </w:pPr>
      <w:r>
        <w:rPr>
          <w:color w:val="auto"/>
          <w:spacing w:val="-1"/>
        </w:rPr>
        <w:t>有下列情形之一的：</w:t>
      </w:r>
      <w:r>
        <w:rPr>
          <w:color w:val="auto"/>
          <w:spacing w:val="-5"/>
        </w:rPr>
        <w:t>1</w:t>
      </w:r>
      <w:r>
        <w:rPr>
          <w:color w:val="auto"/>
          <w:spacing w:val="-10"/>
        </w:rPr>
        <w:t xml:space="preserve">、违法产品货值在 </w:t>
      </w:r>
      <w:r>
        <w:rPr>
          <w:color w:val="auto"/>
        </w:rPr>
        <w:t>15000</w:t>
      </w:r>
      <w:r>
        <w:rPr>
          <w:color w:val="auto"/>
          <w:spacing w:val="-11"/>
        </w:rPr>
        <w:t xml:space="preserve"> 元以下的；</w:t>
      </w:r>
      <w:r>
        <w:rPr>
          <w:color w:val="auto"/>
          <w:spacing w:val="-4"/>
        </w:rPr>
        <w:t>2</w:t>
      </w:r>
      <w:r>
        <w:rPr>
          <w:color w:val="auto"/>
          <w:spacing w:val="-5"/>
        </w:rPr>
        <w:t>、造成一定不良后果</w:t>
      </w:r>
      <w:r>
        <w:rPr>
          <w:color w:val="auto"/>
        </w:rPr>
        <w:t>或影响的。</w:t>
      </w:r>
    </w:p>
    <w:p>
      <w:pPr>
        <w:pStyle w:val="13"/>
        <w:numPr>
          <w:ilvl w:val="0"/>
          <w:numId w:val="65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9"/>
        </w:rPr>
        <w:t xml:space="preserve">责令改正，处 </w:t>
      </w:r>
      <w:r>
        <w:rPr>
          <w:color w:val="auto"/>
        </w:rPr>
        <w:t>3.5</w:t>
      </w:r>
      <w:r>
        <w:rPr>
          <w:color w:val="auto"/>
          <w:spacing w:val="-20"/>
        </w:rPr>
        <w:t xml:space="preserve"> 万元以上 </w:t>
      </w:r>
      <w:r>
        <w:rPr>
          <w:color w:val="auto"/>
        </w:rPr>
        <w:t>4</w:t>
      </w:r>
      <w:r>
        <w:rPr>
          <w:color w:val="auto"/>
          <w:spacing w:val="-10"/>
        </w:rPr>
        <w:t xml:space="preserve"> 万元以下罚款。</w:t>
      </w:r>
      <w:r>
        <w:rPr>
          <w:color w:val="auto"/>
        </w:rPr>
        <w:t>4</w:t>
      </w:r>
      <w:r>
        <w:rPr>
          <w:color w:val="auto"/>
          <w:spacing w:val="-24"/>
        </w:rPr>
        <w:t>、【严重】</w:t>
      </w:r>
    </w:p>
    <w:p>
      <w:pPr>
        <w:pStyle w:val="13"/>
        <w:numPr>
          <w:ilvl w:val="0"/>
          <w:numId w:val="65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1"/>
        </w:rPr>
        <w:t>有下列情形之一的：</w:t>
      </w:r>
      <w:r>
        <w:rPr>
          <w:color w:val="auto"/>
          <w:spacing w:val="-5"/>
        </w:rPr>
        <w:t>1</w:t>
      </w:r>
      <w:r>
        <w:rPr>
          <w:color w:val="auto"/>
          <w:spacing w:val="-10"/>
        </w:rPr>
        <w:t xml:space="preserve">、违法产品货值在 </w:t>
      </w:r>
      <w:r>
        <w:rPr>
          <w:color w:val="auto"/>
        </w:rPr>
        <w:t>20000</w:t>
      </w:r>
      <w:r>
        <w:rPr>
          <w:color w:val="auto"/>
          <w:spacing w:val="-11"/>
        </w:rPr>
        <w:t xml:space="preserve"> 元以下的；</w:t>
      </w:r>
      <w:r>
        <w:rPr>
          <w:color w:val="auto"/>
          <w:spacing w:val="-4"/>
        </w:rPr>
        <w:t>2</w:t>
      </w:r>
      <w:r>
        <w:rPr>
          <w:color w:val="auto"/>
          <w:spacing w:val="-5"/>
        </w:rPr>
        <w:t>、造成较重不良后果</w:t>
      </w:r>
      <w:r>
        <w:rPr>
          <w:color w:val="auto"/>
        </w:rPr>
        <w:t>或影响的。</w:t>
      </w:r>
    </w:p>
    <w:p>
      <w:pPr>
        <w:pStyle w:val="13"/>
        <w:numPr>
          <w:ilvl w:val="0"/>
          <w:numId w:val="65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9"/>
        </w:rPr>
        <w:t xml:space="preserve">责令改正，处 </w:t>
      </w:r>
      <w:r>
        <w:rPr>
          <w:color w:val="auto"/>
        </w:rPr>
        <w:t>4</w:t>
      </w:r>
      <w:r>
        <w:rPr>
          <w:color w:val="auto"/>
          <w:spacing w:val="-20"/>
        </w:rPr>
        <w:t xml:space="preserve"> 万元以上 </w:t>
      </w:r>
      <w:r>
        <w:rPr>
          <w:color w:val="auto"/>
        </w:rPr>
        <w:t>4.5</w:t>
      </w:r>
      <w:r>
        <w:rPr>
          <w:color w:val="auto"/>
          <w:spacing w:val="-10"/>
        </w:rPr>
        <w:t xml:space="preserve"> 万元以下罚款。</w:t>
      </w:r>
      <w:r>
        <w:rPr>
          <w:color w:val="auto"/>
        </w:rPr>
        <w:t>5</w:t>
      </w:r>
      <w:r>
        <w:rPr>
          <w:color w:val="auto"/>
          <w:spacing w:val="-18"/>
        </w:rPr>
        <w:t>、【特别严重】</w:t>
      </w:r>
    </w:p>
    <w:p>
      <w:pPr>
        <w:pStyle w:val="13"/>
        <w:numPr>
          <w:ilvl w:val="0"/>
          <w:numId w:val="65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1"/>
        </w:rPr>
        <w:t>有下列情形之一的：</w:t>
      </w:r>
      <w:r>
        <w:rPr>
          <w:color w:val="auto"/>
          <w:spacing w:val="-5"/>
        </w:rPr>
        <w:t>1</w:t>
      </w:r>
      <w:r>
        <w:rPr>
          <w:color w:val="auto"/>
          <w:spacing w:val="-10"/>
        </w:rPr>
        <w:t xml:space="preserve">、违法产品货值在 </w:t>
      </w:r>
      <w:r>
        <w:rPr>
          <w:color w:val="auto"/>
        </w:rPr>
        <w:t>20000</w:t>
      </w:r>
      <w:r>
        <w:rPr>
          <w:color w:val="auto"/>
          <w:spacing w:val="-11"/>
        </w:rPr>
        <w:t xml:space="preserve"> 元以上的；</w:t>
      </w:r>
      <w:r>
        <w:rPr>
          <w:color w:val="auto"/>
          <w:spacing w:val="-4"/>
        </w:rPr>
        <w:t>2</w:t>
      </w:r>
      <w:r>
        <w:rPr>
          <w:color w:val="auto"/>
          <w:spacing w:val="-5"/>
        </w:rPr>
        <w:t>、造成严重不良后果</w:t>
      </w:r>
      <w:r>
        <w:rPr>
          <w:color w:val="auto"/>
        </w:rPr>
        <w:t>或影响的。</w:t>
      </w:r>
    </w:p>
    <w:p>
      <w:pPr>
        <w:pStyle w:val="13"/>
        <w:numPr>
          <w:ilvl w:val="0"/>
          <w:numId w:val="65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责令改正，处 4.5 万元以上 5 万元以下罚款。</w:t>
      </w:r>
    </w:p>
    <w:p>
      <w:pPr>
        <w:pStyle w:val="2"/>
        <w:spacing w:before="191"/>
        <w:rPr>
          <w:color w:val="auto"/>
        </w:rPr>
      </w:pPr>
      <w:bookmarkStart w:id="805" w:name="_bookmark402"/>
      <w:bookmarkEnd w:id="805"/>
      <w:bookmarkStart w:id="806" w:name="三百九十二、未办理能源效率标识备案，或者使用的能源效率标识不符合规定"/>
      <w:bookmarkEnd w:id="806"/>
      <w:r>
        <w:rPr>
          <w:color w:val="auto"/>
        </w:rPr>
        <w:t>三百九十二、未办理能源效率标识备案，或者使用的能源效率标识不符合规定</w:t>
      </w:r>
    </w:p>
    <w:p>
      <w:pPr>
        <w:spacing w:before="192"/>
        <w:ind w:left="591" w:right="0" w:firstLine="0"/>
        <w:jc w:val="left"/>
        <w:rPr>
          <w:b/>
          <w:color w:val="auto"/>
          <w:sz w:val="24"/>
        </w:rPr>
      </w:pPr>
      <w:r>
        <w:rPr>
          <w:b/>
          <w:color w:val="auto"/>
          <w:sz w:val="24"/>
        </w:rPr>
        <w:t>（一）处罚依据</w:t>
      </w:r>
    </w:p>
    <w:p>
      <w:pPr>
        <w:pStyle w:val="4"/>
        <w:spacing w:before="194" w:line="388" w:lineRule="auto"/>
        <w:ind w:right="266" w:firstLine="470"/>
        <w:jc w:val="both"/>
        <w:rPr>
          <w:color w:val="auto"/>
        </w:rPr>
      </w:pPr>
      <w:r>
        <w:rPr>
          <w:color w:val="auto"/>
        </w:rPr>
        <w:t>1</w:t>
      </w:r>
      <w:r>
        <w:rPr>
          <w:color w:val="auto"/>
          <w:spacing w:val="-6"/>
        </w:rPr>
        <w:t>、《中华人民共和国节约能源法》第七十三条第二款 “违反本法规定，未办理</w:t>
      </w:r>
      <w:r>
        <w:rPr>
          <w:color w:val="auto"/>
          <w:spacing w:val="-5"/>
        </w:rPr>
        <w:t>能源效率标识备案，或者使用的能源效率标识不符合规定的，由市场监督管理部门责</w:t>
      </w:r>
      <w:r>
        <w:rPr>
          <w:color w:val="auto"/>
        </w:rPr>
        <w:t>令限期改正；逾期不改正的，处一万元以上三万元以下罚款。”</w:t>
      </w:r>
    </w:p>
    <w:p>
      <w:pPr>
        <w:pStyle w:val="4"/>
        <w:spacing w:before="6" w:line="391" w:lineRule="auto"/>
        <w:ind w:right="268" w:firstLine="470"/>
        <w:jc w:val="both"/>
        <w:rPr>
          <w:color w:val="auto"/>
        </w:rPr>
      </w:pPr>
      <w:r>
        <w:rPr>
          <w:color w:val="auto"/>
        </w:rPr>
        <w:t>2</w:t>
      </w:r>
      <w:r>
        <w:rPr>
          <w:color w:val="auto"/>
          <w:spacing w:val="-7"/>
        </w:rPr>
        <w:t>、《能源效率标识管理办法》第二十七条 违反本办法规定，应当标注能效标识</w:t>
      </w:r>
      <w:r>
        <w:rPr>
          <w:color w:val="auto"/>
          <w:spacing w:val="-5"/>
        </w:rPr>
        <w:t>而未标注的，未办理能效标识备案的，使用的能效标识不符合有关样式、规格等标注</w:t>
      </w:r>
      <w:r>
        <w:rPr>
          <w:color w:val="auto"/>
          <w:spacing w:val="2"/>
        </w:rPr>
        <w:t>规定的（</w:t>
      </w:r>
      <w:r>
        <w:rPr>
          <w:color w:val="auto"/>
          <w:spacing w:val="1"/>
        </w:rPr>
        <w:t>包括不符合网络交易产品能效标识展示要求的</w:t>
      </w:r>
      <w:r>
        <w:rPr>
          <w:color w:val="auto"/>
          <w:spacing w:val="-118"/>
        </w:rPr>
        <w:t>）</w:t>
      </w:r>
      <w:r>
        <w:rPr>
          <w:color w:val="auto"/>
          <w:spacing w:val="1"/>
        </w:rPr>
        <w:t>，伪造、冒用能效标识或者</w:t>
      </w:r>
      <w:r>
        <w:rPr>
          <w:color w:val="auto"/>
          <w:spacing w:val="-3"/>
        </w:rPr>
        <w:t>利用能效标识进行虚假宣传的，依据《中华人民共和国节约能源法》第七十三条予以</w:t>
      </w:r>
      <w:r>
        <w:rPr>
          <w:color w:val="auto"/>
        </w:rPr>
        <w:t>处罚。</w:t>
      </w:r>
    </w:p>
    <w:p>
      <w:pPr>
        <w:pStyle w:val="2"/>
        <w:spacing w:line="300" w:lineRule="exact"/>
        <w:rPr>
          <w:color w:val="auto"/>
        </w:rPr>
      </w:pPr>
      <w:r>
        <w:rPr>
          <w:color w:val="auto"/>
        </w:rPr>
        <w:t>（二）裁量标准</w:t>
      </w:r>
    </w:p>
    <w:p>
      <w:pPr>
        <w:spacing w:after="0" w:line="300" w:lineRule="exact"/>
        <w:rPr>
          <w:color w:val="auto"/>
        </w:rPr>
        <w:sectPr>
          <w:pgSz w:w="11910" w:h="16840"/>
          <w:pgMar w:top="1520" w:right="1260" w:bottom="1220" w:left="1420" w:header="0" w:footer="1034" w:gutter="0"/>
        </w:sectPr>
      </w:pPr>
    </w:p>
    <w:p>
      <w:pPr>
        <w:pStyle w:val="4"/>
        <w:spacing w:before="39"/>
        <w:ind w:left="591"/>
        <w:rPr>
          <w:color w:val="auto"/>
        </w:rPr>
      </w:pPr>
      <w:r>
        <w:rPr>
          <w:color w:val="auto"/>
        </w:rPr>
        <w:t>1、【较轻】</w:t>
      </w:r>
    </w:p>
    <w:p>
      <w:pPr>
        <w:pStyle w:val="13"/>
        <w:numPr>
          <w:ilvl w:val="0"/>
          <w:numId w:val="653"/>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违法行为逾期 10 天以下未改正，且违法产品数量较少的。</w:t>
      </w:r>
    </w:p>
    <w:p>
      <w:pPr>
        <w:pStyle w:val="13"/>
        <w:numPr>
          <w:ilvl w:val="0"/>
          <w:numId w:val="653"/>
        </w:numPr>
        <w:tabs>
          <w:tab w:val="left" w:pos="1193"/>
        </w:tabs>
        <w:spacing w:before="192" w:after="0" w:line="391" w:lineRule="auto"/>
        <w:ind w:left="591" w:right="6952" w:firstLine="0"/>
        <w:jc w:val="left"/>
        <w:rPr>
          <w:color w:val="auto"/>
          <w:sz w:val="24"/>
        </w:rPr>
      </w:pPr>
      <w:r>
        <w:rPr>
          <w:color w:val="auto"/>
          <w:sz w:val="24"/>
        </w:rPr>
        <w:t>处罚标准</w:t>
      </w:r>
      <w:r>
        <w:rPr>
          <w:color w:val="auto"/>
          <w:spacing w:val="-30"/>
          <w:sz w:val="24"/>
        </w:rPr>
        <w:t xml:space="preserve">处 </w:t>
      </w:r>
      <w:r>
        <w:rPr>
          <w:color w:val="auto"/>
          <w:sz w:val="24"/>
        </w:rPr>
        <w:t>1</w:t>
      </w:r>
      <w:r>
        <w:rPr>
          <w:color w:val="auto"/>
          <w:spacing w:val="-13"/>
          <w:sz w:val="24"/>
        </w:rPr>
        <w:t xml:space="preserve"> 万元罚款。</w:t>
      </w:r>
      <w:r>
        <w:rPr>
          <w:color w:val="auto"/>
          <w:sz w:val="24"/>
        </w:rPr>
        <w:t>2</w:t>
      </w:r>
      <w:r>
        <w:rPr>
          <w:color w:val="auto"/>
          <w:spacing w:val="-24"/>
          <w:sz w:val="24"/>
        </w:rPr>
        <w:t>、【一般】</w:t>
      </w:r>
    </w:p>
    <w:p>
      <w:pPr>
        <w:pStyle w:val="13"/>
        <w:numPr>
          <w:ilvl w:val="0"/>
          <w:numId w:val="654"/>
        </w:numPr>
        <w:tabs>
          <w:tab w:val="left" w:pos="1193"/>
        </w:tabs>
        <w:spacing w:before="0" w:after="0" w:line="304" w:lineRule="exact"/>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违法行为逾期 10 天以下未改正。</w:t>
      </w:r>
    </w:p>
    <w:p>
      <w:pPr>
        <w:pStyle w:val="13"/>
        <w:numPr>
          <w:ilvl w:val="0"/>
          <w:numId w:val="65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3</w:t>
      </w:r>
      <w:r>
        <w:rPr>
          <w:color w:val="auto"/>
          <w:spacing w:val="-24"/>
        </w:rPr>
        <w:t>、【较重】</w:t>
      </w:r>
    </w:p>
    <w:p>
      <w:pPr>
        <w:pStyle w:val="13"/>
        <w:numPr>
          <w:ilvl w:val="0"/>
          <w:numId w:val="65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违法行为逾期 10 天以上 20 天以下未改正。</w:t>
      </w:r>
    </w:p>
    <w:p>
      <w:pPr>
        <w:pStyle w:val="13"/>
        <w:numPr>
          <w:ilvl w:val="0"/>
          <w:numId w:val="65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30"/>
        </w:rPr>
        <w:t xml:space="preserve">处 </w:t>
      </w:r>
      <w:r>
        <w:rPr>
          <w:color w:val="auto"/>
        </w:rPr>
        <w:t>1.5</w:t>
      </w:r>
      <w:r>
        <w:rPr>
          <w:color w:val="auto"/>
          <w:spacing w:val="-20"/>
        </w:rPr>
        <w:t xml:space="preserve"> 万元以上 </w:t>
      </w:r>
      <w:r>
        <w:rPr>
          <w:color w:val="auto"/>
        </w:rPr>
        <w:t>2</w:t>
      </w:r>
      <w:r>
        <w:rPr>
          <w:color w:val="auto"/>
          <w:spacing w:val="-10"/>
        </w:rPr>
        <w:t xml:space="preserve"> 万元以下罚款。</w:t>
      </w:r>
      <w:r>
        <w:rPr>
          <w:color w:val="auto"/>
        </w:rPr>
        <w:t>4</w:t>
      </w:r>
      <w:r>
        <w:rPr>
          <w:color w:val="auto"/>
          <w:spacing w:val="-24"/>
        </w:rPr>
        <w:t>、【严重】</w:t>
      </w:r>
    </w:p>
    <w:p>
      <w:pPr>
        <w:pStyle w:val="13"/>
        <w:numPr>
          <w:ilvl w:val="0"/>
          <w:numId w:val="65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违法行为逾期 10 天以上 20 天以下未改正，且违法产品数量较多的。</w:t>
      </w:r>
    </w:p>
    <w:p>
      <w:pPr>
        <w:pStyle w:val="13"/>
        <w:numPr>
          <w:ilvl w:val="0"/>
          <w:numId w:val="65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2</w:t>
      </w:r>
      <w:r>
        <w:rPr>
          <w:color w:val="auto"/>
          <w:spacing w:val="-20"/>
        </w:rPr>
        <w:t xml:space="preserve"> 万元以上 </w:t>
      </w:r>
      <w:r>
        <w:rPr>
          <w:color w:val="auto"/>
        </w:rPr>
        <w:t>2.5</w:t>
      </w:r>
      <w:r>
        <w:rPr>
          <w:color w:val="auto"/>
          <w:spacing w:val="-10"/>
        </w:rPr>
        <w:t xml:space="preserve"> 万元以下罚款。</w:t>
      </w:r>
      <w:r>
        <w:rPr>
          <w:color w:val="auto"/>
        </w:rPr>
        <w:t>5</w:t>
      </w:r>
      <w:r>
        <w:rPr>
          <w:color w:val="auto"/>
          <w:spacing w:val="-18"/>
        </w:rPr>
        <w:t>、【特别严重】</w:t>
      </w:r>
    </w:p>
    <w:p>
      <w:pPr>
        <w:pStyle w:val="13"/>
        <w:numPr>
          <w:ilvl w:val="0"/>
          <w:numId w:val="65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违法行为逾期 20 天以上未改正的。</w:t>
      </w:r>
    </w:p>
    <w:p>
      <w:pPr>
        <w:pStyle w:val="13"/>
        <w:numPr>
          <w:ilvl w:val="0"/>
          <w:numId w:val="65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2.5 万元以上 3 万元以下罚款。</w:t>
      </w:r>
    </w:p>
    <w:p>
      <w:pPr>
        <w:pStyle w:val="2"/>
        <w:spacing w:before="194"/>
        <w:rPr>
          <w:color w:val="auto"/>
        </w:rPr>
      </w:pPr>
      <w:bookmarkStart w:id="807" w:name="_bookmark403"/>
      <w:bookmarkEnd w:id="807"/>
      <w:bookmarkStart w:id="808" w:name="三百九十三、伪造、冒用能源效率标识或者利用能源效率标识进行虚假宣传"/>
      <w:bookmarkEnd w:id="808"/>
      <w:r>
        <w:rPr>
          <w:color w:val="auto"/>
        </w:rPr>
        <w:t>三百九十三、伪造、冒用能源效率标识或者利用能源效率标识进行虚假宣传</w:t>
      </w:r>
    </w:p>
    <w:p>
      <w:pPr>
        <w:spacing w:before="191"/>
        <w:ind w:left="591" w:right="0" w:firstLine="0"/>
        <w:jc w:val="left"/>
        <w:rPr>
          <w:b/>
          <w:color w:val="auto"/>
          <w:sz w:val="24"/>
        </w:rPr>
      </w:pPr>
      <w:r>
        <w:rPr>
          <w:b/>
          <w:color w:val="auto"/>
          <w:sz w:val="24"/>
        </w:rPr>
        <w:t>（一）处罚依据</w:t>
      </w:r>
    </w:p>
    <w:p>
      <w:pPr>
        <w:pStyle w:val="4"/>
        <w:spacing w:before="192"/>
        <w:ind w:left="581"/>
        <w:rPr>
          <w:color w:val="auto"/>
        </w:rPr>
      </w:pPr>
      <w:r>
        <w:rPr>
          <w:color w:val="auto"/>
        </w:rPr>
        <w:t>1、《中华人民共和国节约能源法》第七十三条第三款“伪造、冒用能源效率标</w:t>
      </w:r>
    </w:p>
    <w:p>
      <w:pPr>
        <w:spacing w:after="0"/>
        <w:rPr>
          <w:color w:val="auto"/>
        </w:rPr>
        <w:sectPr>
          <w:footerReference r:id="rId91" w:type="default"/>
          <w:footerReference r:id="rId92" w:type="even"/>
          <w:pgSz w:w="11910" w:h="16840"/>
          <w:pgMar w:top="1520" w:right="1260" w:bottom="1220" w:left="1420" w:header="0" w:footer="1034" w:gutter="0"/>
          <w:pgNumType w:start="380"/>
        </w:sectPr>
      </w:pPr>
    </w:p>
    <w:p>
      <w:pPr>
        <w:pStyle w:val="4"/>
        <w:spacing w:before="39" w:line="391" w:lineRule="auto"/>
        <w:ind w:right="213"/>
        <w:rPr>
          <w:color w:val="auto"/>
        </w:rPr>
      </w:pPr>
      <w:r>
        <w:rPr>
          <w:color w:val="auto"/>
        </w:rPr>
        <w:t>识或者利用能源效率标识进行虚假宣传的，由市场监督管理部门责令改正，处五万元以上十万元以下罚款；情节严重的，吊销营业执照。”</w:t>
      </w:r>
    </w:p>
    <w:p>
      <w:pPr>
        <w:pStyle w:val="4"/>
        <w:spacing w:line="391" w:lineRule="auto"/>
        <w:ind w:right="268" w:firstLine="470"/>
        <w:jc w:val="both"/>
        <w:rPr>
          <w:color w:val="auto"/>
        </w:rPr>
      </w:pPr>
      <w:r>
        <w:rPr>
          <w:color w:val="auto"/>
        </w:rPr>
        <w:t>2</w:t>
      </w:r>
      <w:r>
        <w:rPr>
          <w:color w:val="auto"/>
          <w:spacing w:val="-7"/>
        </w:rPr>
        <w:t>、《能源效率标识管理办法》第二十七条 违反本办法规定，应当标注能效标识</w:t>
      </w:r>
      <w:r>
        <w:rPr>
          <w:color w:val="auto"/>
          <w:spacing w:val="-5"/>
        </w:rPr>
        <w:t>而未标注的，未办理能效标识备案的，使用的能效标识不符合有关样式、规格等标注</w:t>
      </w:r>
      <w:r>
        <w:rPr>
          <w:color w:val="auto"/>
          <w:spacing w:val="2"/>
        </w:rPr>
        <w:t>规定的（</w:t>
      </w:r>
      <w:r>
        <w:rPr>
          <w:color w:val="auto"/>
          <w:spacing w:val="1"/>
        </w:rPr>
        <w:t>包括不符合网络交易产品能效标识展示要求的</w:t>
      </w:r>
      <w:r>
        <w:rPr>
          <w:color w:val="auto"/>
          <w:spacing w:val="-118"/>
        </w:rPr>
        <w:t>）</w:t>
      </w:r>
      <w:r>
        <w:rPr>
          <w:color w:val="auto"/>
          <w:spacing w:val="1"/>
        </w:rPr>
        <w:t>，伪造、冒用能效标识或者</w:t>
      </w:r>
      <w:r>
        <w:rPr>
          <w:color w:val="auto"/>
          <w:spacing w:val="-3"/>
        </w:rPr>
        <w:t>利用能效标识进行虚假宣传的，依据《中华人民共和国节约能源法》第七十三条予以</w:t>
      </w:r>
      <w:r>
        <w:rPr>
          <w:color w:val="auto"/>
        </w:rPr>
        <w:t>处罚。</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5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违法产品型号规格少且货值较少的。</w:t>
      </w:r>
    </w:p>
    <w:p>
      <w:pPr>
        <w:pStyle w:val="13"/>
        <w:numPr>
          <w:ilvl w:val="0"/>
          <w:numId w:val="65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9"/>
        </w:rPr>
        <w:t xml:space="preserve">责令改正，处 </w:t>
      </w:r>
      <w:r>
        <w:rPr>
          <w:color w:val="auto"/>
        </w:rPr>
        <w:t>5</w:t>
      </w:r>
      <w:r>
        <w:rPr>
          <w:color w:val="auto"/>
          <w:spacing w:val="-10"/>
        </w:rPr>
        <w:t xml:space="preserve"> 万元以下罚款。</w:t>
      </w:r>
      <w:r>
        <w:rPr>
          <w:color w:val="auto"/>
        </w:rPr>
        <w:t>2</w:t>
      </w:r>
      <w:r>
        <w:rPr>
          <w:color w:val="auto"/>
          <w:spacing w:val="-24"/>
        </w:rPr>
        <w:t>、【一般】</w:t>
      </w:r>
    </w:p>
    <w:p>
      <w:pPr>
        <w:pStyle w:val="13"/>
        <w:numPr>
          <w:ilvl w:val="0"/>
          <w:numId w:val="65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违法产品型号规格较少，或者违法产品货值较少的。</w:t>
      </w:r>
    </w:p>
    <w:p>
      <w:pPr>
        <w:pStyle w:val="13"/>
        <w:numPr>
          <w:ilvl w:val="0"/>
          <w:numId w:val="65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072"/>
        <w:rPr>
          <w:color w:val="auto"/>
        </w:rPr>
      </w:pPr>
      <w:r>
        <w:rPr>
          <w:color w:val="auto"/>
          <w:spacing w:val="-9"/>
        </w:rPr>
        <w:t xml:space="preserve">责令改正，处 </w:t>
      </w:r>
      <w:r>
        <w:rPr>
          <w:color w:val="auto"/>
        </w:rPr>
        <w:t>5</w:t>
      </w:r>
      <w:r>
        <w:rPr>
          <w:color w:val="auto"/>
          <w:spacing w:val="-20"/>
        </w:rPr>
        <w:t xml:space="preserve"> 万元以上 </w:t>
      </w:r>
      <w:r>
        <w:rPr>
          <w:color w:val="auto"/>
        </w:rPr>
        <w:t>6</w:t>
      </w:r>
      <w:r>
        <w:rPr>
          <w:color w:val="auto"/>
          <w:spacing w:val="-10"/>
        </w:rPr>
        <w:t xml:space="preserve"> 万元以下罚款。</w:t>
      </w:r>
      <w:r>
        <w:rPr>
          <w:color w:val="auto"/>
        </w:rPr>
        <w:t>3</w:t>
      </w:r>
      <w:r>
        <w:rPr>
          <w:color w:val="auto"/>
          <w:spacing w:val="-24"/>
        </w:rPr>
        <w:t>、【较重】</w:t>
      </w:r>
    </w:p>
    <w:p>
      <w:pPr>
        <w:pStyle w:val="13"/>
        <w:numPr>
          <w:ilvl w:val="0"/>
          <w:numId w:val="66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有下列情形之一的：1、违法产品型号规格较多；2、违法产品货值较大的。</w:t>
      </w:r>
    </w:p>
    <w:p>
      <w:pPr>
        <w:pStyle w:val="13"/>
        <w:numPr>
          <w:ilvl w:val="0"/>
          <w:numId w:val="66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072"/>
        <w:rPr>
          <w:color w:val="auto"/>
        </w:rPr>
      </w:pPr>
      <w:r>
        <w:rPr>
          <w:color w:val="auto"/>
          <w:spacing w:val="-9"/>
        </w:rPr>
        <w:t xml:space="preserve">责令改正，处 </w:t>
      </w:r>
      <w:r>
        <w:rPr>
          <w:color w:val="auto"/>
        </w:rPr>
        <w:t>6</w:t>
      </w:r>
      <w:r>
        <w:rPr>
          <w:color w:val="auto"/>
          <w:spacing w:val="-20"/>
        </w:rPr>
        <w:t xml:space="preserve"> 万元以上 </w:t>
      </w:r>
      <w:r>
        <w:rPr>
          <w:color w:val="auto"/>
        </w:rPr>
        <w:t>7</w:t>
      </w:r>
      <w:r>
        <w:rPr>
          <w:color w:val="auto"/>
          <w:spacing w:val="-10"/>
        </w:rPr>
        <w:t xml:space="preserve"> 万元以下罚款。</w:t>
      </w:r>
      <w:r>
        <w:rPr>
          <w:color w:val="auto"/>
        </w:rPr>
        <w:t>4</w:t>
      </w:r>
      <w:r>
        <w:rPr>
          <w:color w:val="auto"/>
          <w:spacing w:val="-24"/>
        </w:rPr>
        <w:t>、【严重】</w:t>
      </w:r>
    </w:p>
    <w:p>
      <w:pPr>
        <w:pStyle w:val="13"/>
        <w:numPr>
          <w:ilvl w:val="0"/>
          <w:numId w:val="66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有下列情形之一的：1、违法产品型号规格较多且违法产品货值较大；2、造成较大社会影响的。</w:t>
      </w:r>
    </w:p>
    <w:p>
      <w:pPr>
        <w:pStyle w:val="13"/>
        <w:numPr>
          <w:ilvl w:val="0"/>
          <w:numId w:val="661"/>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2392"/>
        <w:rPr>
          <w:color w:val="auto"/>
        </w:rPr>
      </w:pPr>
      <w:r>
        <w:rPr>
          <w:color w:val="auto"/>
          <w:spacing w:val="-9"/>
        </w:rPr>
        <w:t xml:space="preserve">责令改正，处 </w:t>
      </w:r>
      <w:r>
        <w:rPr>
          <w:color w:val="auto"/>
        </w:rPr>
        <w:t>7</w:t>
      </w:r>
      <w:r>
        <w:rPr>
          <w:color w:val="auto"/>
          <w:spacing w:val="-20"/>
        </w:rPr>
        <w:t xml:space="preserve"> 万元以上 </w:t>
      </w:r>
      <w:r>
        <w:rPr>
          <w:color w:val="auto"/>
        </w:rPr>
        <w:t>8</w:t>
      </w:r>
      <w:r>
        <w:rPr>
          <w:color w:val="auto"/>
          <w:spacing w:val="-9"/>
        </w:rPr>
        <w:t xml:space="preserve"> 万元以下罚款；吊销营业执照。</w:t>
      </w:r>
      <w:r>
        <w:rPr>
          <w:color w:val="auto"/>
        </w:rPr>
        <w:t>5</w:t>
      </w:r>
      <w:r>
        <w:rPr>
          <w:color w:val="auto"/>
          <w:spacing w:val="-18"/>
        </w:rPr>
        <w:t>、【特别严重】</w:t>
      </w:r>
    </w:p>
    <w:p>
      <w:pPr>
        <w:pStyle w:val="13"/>
        <w:numPr>
          <w:ilvl w:val="0"/>
          <w:numId w:val="66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违法产品型号规格较多或者货值较大，且造成严重社会影响的。</w:t>
      </w:r>
    </w:p>
    <w:p>
      <w:pPr>
        <w:pStyle w:val="13"/>
        <w:numPr>
          <w:ilvl w:val="0"/>
          <w:numId w:val="662"/>
        </w:numPr>
        <w:tabs>
          <w:tab w:val="left" w:pos="1193"/>
        </w:tabs>
        <w:spacing w:before="194" w:after="0" w:line="240" w:lineRule="auto"/>
        <w:ind w:left="1192" w:right="0" w:hanging="602"/>
        <w:jc w:val="left"/>
        <w:rPr>
          <w:color w:val="auto"/>
          <w:sz w:val="24"/>
        </w:rPr>
      </w:pPr>
      <w:r>
        <w:rPr>
          <w:color w:val="auto"/>
          <w:sz w:val="24"/>
        </w:rPr>
        <w:t>处罚标准</w:t>
      </w:r>
    </w:p>
    <w:p>
      <w:pPr>
        <w:spacing w:before="192" w:line="388" w:lineRule="auto"/>
        <w:ind w:left="591" w:right="2272" w:firstLine="0"/>
        <w:jc w:val="left"/>
        <w:rPr>
          <w:b/>
          <w:color w:val="auto"/>
          <w:sz w:val="24"/>
        </w:rPr>
      </w:pPr>
      <w:r>
        <w:rPr>
          <w:color w:val="auto"/>
          <w:spacing w:val="-9"/>
          <w:sz w:val="24"/>
        </w:rPr>
        <w:t xml:space="preserve">责令改正，处 </w:t>
      </w:r>
      <w:r>
        <w:rPr>
          <w:color w:val="auto"/>
          <w:sz w:val="24"/>
        </w:rPr>
        <w:t>8</w:t>
      </w:r>
      <w:r>
        <w:rPr>
          <w:color w:val="auto"/>
          <w:spacing w:val="-20"/>
          <w:sz w:val="24"/>
        </w:rPr>
        <w:t xml:space="preserve"> 万元以上 </w:t>
      </w:r>
      <w:r>
        <w:rPr>
          <w:color w:val="auto"/>
          <w:sz w:val="24"/>
        </w:rPr>
        <w:t>10</w:t>
      </w:r>
      <w:r>
        <w:rPr>
          <w:color w:val="auto"/>
          <w:spacing w:val="-9"/>
          <w:sz w:val="24"/>
        </w:rPr>
        <w:t xml:space="preserve"> 万元以下罚款；吊销营业执照。</w:t>
      </w:r>
      <w:bookmarkStart w:id="809" w:name="_bookmark404"/>
      <w:bookmarkEnd w:id="809"/>
      <w:bookmarkStart w:id="810" w:name="三百九十四、用能单位未按照规定配备、使用能源计量器具"/>
      <w:bookmarkEnd w:id="810"/>
      <w:r>
        <w:rPr>
          <w:b/>
          <w:color w:val="auto"/>
          <w:sz w:val="24"/>
        </w:rPr>
        <w:t>三百九十四、用能单位未按照规定配备、使用能源计量器具</w:t>
      </w:r>
    </w:p>
    <w:p>
      <w:pPr>
        <w:pStyle w:val="2"/>
        <w:spacing w:before="4"/>
        <w:rPr>
          <w:color w:val="auto"/>
        </w:rPr>
      </w:pPr>
      <w:r>
        <w:rPr>
          <w:color w:val="auto"/>
        </w:rPr>
        <w:t>（一）处罚依据</w:t>
      </w:r>
    </w:p>
    <w:p>
      <w:pPr>
        <w:pStyle w:val="4"/>
        <w:spacing w:before="192" w:line="391" w:lineRule="auto"/>
        <w:ind w:right="268" w:firstLine="470"/>
        <w:jc w:val="both"/>
        <w:rPr>
          <w:color w:val="auto"/>
        </w:rPr>
      </w:pPr>
      <w:r>
        <w:rPr>
          <w:color w:val="auto"/>
          <w:spacing w:val="-4"/>
        </w:rPr>
        <w:t>《中华人民共和国节约能源法》第七十四条“用能单位未按照规定配备、使用能</w:t>
      </w:r>
      <w:r>
        <w:rPr>
          <w:color w:val="auto"/>
          <w:spacing w:val="-5"/>
        </w:rPr>
        <w:t>源计量器具的，由市场监督管理部门责令限期改正；逾期不改正的，处一万元以上五</w:t>
      </w:r>
      <w:r>
        <w:rPr>
          <w:color w:val="auto"/>
        </w:rPr>
        <w:t>万元以下罚款。”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63"/>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违法行为逾期 10 天以下未改正的。</w:t>
      </w:r>
    </w:p>
    <w:p>
      <w:pPr>
        <w:pStyle w:val="13"/>
        <w:numPr>
          <w:ilvl w:val="0"/>
          <w:numId w:val="66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left="591" w:right="527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66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违法行为逾期 10 天以上 15 以下未改正的。</w:t>
      </w:r>
    </w:p>
    <w:p>
      <w:pPr>
        <w:pStyle w:val="13"/>
        <w:numPr>
          <w:ilvl w:val="0"/>
          <w:numId w:val="66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3</w:t>
      </w:r>
      <w:r>
        <w:rPr>
          <w:color w:val="auto"/>
          <w:spacing w:val="-24"/>
        </w:rPr>
        <w:t>、【较重】</w:t>
      </w:r>
    </w:p>
    <w:p>
      <w:pPr>
        <w:pStyle w:val="13"/>
        <w:numPr>
          <w:ilvl w:val="0"/>
          <w:numId w:val="66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违法行为逾期 15 天以上未改正。</w:t>
      </w:r>
    </w:p>
    <w:p>
      <w:pPr>
        <w:pStyle w:val="13"/>
        <w:numPr>
          <w:ilvl w:val="0"/>
          <w:numId w:val="66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72"/>
        <w:rPr>
          <w:color w:val="auto"/>
        </w:rPr>
      </w:pPr>
      <w:r>
        <w:rPr>
          <w:color w:val="auto"/>
          <w:spacing w:val="-30"/>
        </w:rPr>
        <w:t xml:space="preserve">处 </w:t>
      </w:r>
      <w:r>
        <w:rPr>
          <w:color w:val="auto"/>
        </w:rPr>
        <w:t>3</w:t>
      </w:r>
      <w:r>
        <w:rPr>
          <w:color w:val="auto"/>
          <w:spacing w:val="-20"/>
        </w:rPr>
        <w:t xml:space="preserve"> 万元以上 </w:t>
      </w:r>
      <w:r>
        <w:rPr>
          <w:color w:val="auto"/>
        </w:rPr>
        <w:t>4</w:t>
      </w:r>
      <w:r>
        <w:rPr>
          <w:color w:val="auto"/>
          <w:spacing w:val="-10"/>
        </w:rPr>
        <w:t xml:space="preserve"> 万元以下罚款。</w:t>
      </w:r>
      <w:r>
        <w:rPr>
          <w:color w:val="auto"/>
        </w:rPr>
        <w:t>4</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666"/>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有下列情形之一的：1、违法行为经督促后仍未改正的；2、违法行为造成较大社会影响的。</w:t>
      </w:r>
    </w:p>
    <w:p>
      <w:pPr>
        <w:pStyle w:val="13"/>
        <w:numPr>
          <w:ilvl w:val="0"/>
          <w:numId w:val="666"/>
        </w:numPr>
        <w:tabs>
          <w:tab w:val="left" w:pos="1193"/>
        </w:tabs>
        <w:spacing w:before="2" w:after="0" w:line="240" w:lineRule="auto"/>
        <w:ind w:left="1192" w:right="0" w:hanging="602"/>
        <w:jc w:val="left"/>
        <w:rPr>
          <w:color w:val="auto"/>
          <w:sz w:val="24"/>
        </w:rPr>
      </w:pPr>
      <w:r>
        <w:rPr>
          <w:color w:val="auto"/>
          <w:sz w:val="24"/>
        </w:rPr>
        <w:t>处罚标准</w:t>
      </w:r>
    </w:p>
    <w:p>
      <w:pPr>
        <w:spacing w:before="194" w:line="388" w:lineRule="auto"/>
        <w:ind w:left="591" w:right="5020" w:firstLine="0"/>
        <w:jc w:val="left"/>
        <w:rPr>
          <w:b/>
          <w:color w:val="auto"/>
          <w:sz w:val="24"/>
        </w:rPr>
      </w:pPr>
      <w:r>
        <w:rPr>
          <w:color w:val="auto"/>
          <w:spacing w:val="-28"/>
          <w:sz w:val="24"/>
        </w:rPr>
        <w:t xml:space="preserve">处 </w:t>
      </w:r>
      <w:r>
        <w:rPr>
          <w:color w:val="auto"/>
          <w:sz w:val="24"/>
        </w:rPr>
        <w:t>4</w:t>
      </w:r>
      <w:r>
        <w:rPr>
          <w:color w:val="auto"/>
          <w:spacing w:val="-20"/>
          <w:sz w:val="24"/>
        </w:rPr>
        <w:t xml:space="preserve"> 万元以上 </w:t>
      </w:r>
      <w:r>
        <w:rPr>
          <w:color w:val="auto"/>
          <w:sz w:val="24"/>
        </w:rPr>
        <w:t>5</w:t>
      </w:r>
      <w:r>
        <w:rPr>
          <w:color w:val="auto"/>
          <w:spacing w:val="-8"/>
          <w:sz w:val="24"/>
        </w:rPr>
        <w:t xml:space="preserve"> 万元以下罚款。</w:t>
      </w:r>
      <w:bookmarkStart w:id="811" w:name="三百九十五、使用非法定计量单位"/>
      <w:bookmarkEnd w:id="811"/>
      <w:bookmarkStart w:id="812" w:name="_bookmark405"/>
      <w:bookmarkEnd w:id="812"/>
      <w:r>
        <w:rPr>
          <w:color w:val="auto"/>
          <w:spacing w:val="-8"/>
          <w:sz w:val="24"/>
        </w:rPr>
        <w:t xml:space="preserve"> </w:t>
      </w:r>
      <w:r>
        <w:rPr>
          <w:b/>
          <w:color w:val="auto"/>
          <w:spacing w:val="-9"/>
          <w:sz w:val="24"/>
        </w:rPr>
        <w:t>三百九十五、使用非法定计量单位</w:t>
      </w:r>
    </w:p>
    <w:p>
      <w:pPr>
        <w:pStyle w:val="2"/>
        <w:spacing w:before="2"/>
        <w:rPr>
          <w:color w:val="auto"/>
        </w:rPr>
      </w:pPr>
      <w:r>
        <w:rPr>
          <w:color w:val="auto"/>
        </w:rPr>
        <w:t>（一）处罚依据</w:t>
      </w:r>
    </w:p>
    <w:p>
      <w:pPr>
        <w:pStyle w:val="4"/>
        <w:spacing w:before="194" w:line="388" w:lineRule="auto"/>
        <w:ind w:right="268" w:firstLine="470"/>
        <w:jc w:val="both"/>
        <w:rPr>
          <w:color w:val="auto"/>
        </w:rPr>
      </w:pPr>
      <w:r>
        <w:rPr>
          <w:color w:val="auto"/>
          <w:spacing w:val="-4"/>
        </w:rPr>
        <w:t>《中华人民共和国计量法实施细则》第四十条“违反本细则第二条规定，使用非</w:t>
      </w:r>
      <w:r>
        <w:rPr>
          <w:color w:val="auto"/>
          <w:spacing w:val="-6"/>
        </w:rPr>
        <w:t>法定计量单位的，责令其改正；属出版物的，责令其停止销售，可并处一千元以下的</w:t>
      </w:r>
      <w:r>
        <w:rPr>
          <w:color w:val="auto"/>
        </w:rPr>
        <w:t>罚款。”</w:t>
      </w:r>
    </w:p>
    <w:p>
      <w:pPr>
        <w:numPr>
          <w:ilvl w:val="0"/>
          <w:numId w:val="317"/>
        </w:numPr>
        <w:spacing w:before="6" w:line="388" w:lineRule="auto"/>
        <w:ind w:left="591" w:leftChars="0" w:right="6948" w:firstLine="0" w:firstLineChars="0"/>
        <w:jc w:val="left"/>
        <w:rPr>
          <w:b/>
          <w:color w:val="auto"/>
          <w:sz w:val="24"/>
        </w:rPr>
      </w:pPr>
      <w:r>
        <w:rPr>
          <w:b/>
          <w:color w:val="auto"/>
          <w:sz w:val="24"/>
        </w:rPr>
        <w:t>裁量标准</w:t>
      </w:r>
    </w:p>
    <w:p>
      <w:pPr>
        <w:numPr>
          <w:ilvl w:val="0"/>
          <w:numId w:val="0"/>
        </w:numPr>
        <w:spacing w:before="6" w:line="388" w:lineRule="auto"/>
        <w:ind w:left="591" w:leftChars="0" w:right="6948" w:rightChars="0"/>
        <w:jc w:val="left"/>
        <w:rPr>
          <w:rFonts w:hint="default" w:eastAsia="宋体"/>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numPr>
          <w:ilvl w:val="0"/>
          <w:numId w:val="0"/>
        </w:numPr>
        <w:spacing w:before="6" w:line="388" w:lineRule="auto"/>
        <w:ind w:left="591" w:leftChars="0" w:right="6948" w:rightChars="0"/>
        <w:jc w:val="left"/>
        <w:rPr>
          <w:color w:val="auto"/>
          <w:sz w:val="24"/>
        </w:rPr>
      </w:pPr>
      <w:r>
        <w:rPr>
          <w:rFonts w:hint="eastAsia"/>
          <w:color w:val="auto"/>
          <w:sz w:val="24"/>
          <w:lang w:val="en-US" w:eastAsia="zh-CN"/>
        </w:rPr>
        <w:t>2</w:t>
      </w:r>
      <w:r>
        <w:rPr>
          <w:color w:val="auto"/>
          <w:sz w:val="24"/>
        </w:rPr>
        <w:t>、【一般】</w:t>
      </w:r>
    </w:p>
    <w:p>
      <w:pPr>
        <w:pStyle w:val="13"/>
        <w:numPr>
          <w:ilvl w:val="0"/>
          <w:numId w:val="66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属出版物的，使用非法定计量单位 10 处以下的。</w:t>
      </w:r>
    </w:p>
    <w:p>
      <w:pPr>
        <w:pStyle w:val="13"/>
        <w:numPr>
          <w:ilvl w:val="0"/>
          <w:numId w:val="66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4312"/>
        <w:rPr>
          <w:color w:val="auto"/>
        </w:rPr>
      </w:pPr>
      <w:r>
        <w:rPr>
          <w:color w:val="auto"/>
          <w:spacing w:val="-6"/>
        </w:rPr>
        <w:t xml:space="preserve">责令其停止销售，并处 </w:t>
      </w:r>
      <w:r>
        <w:rPr>
          <w:color w:val="auto"/>
        </w:rPr>
        <w:t>500</w:t>
      </w:r>
      <w:r>
        <w:rPr>
          <w:color w:val="auto"/>
          <w:spacing w:val="-11"/>
        </w:rPr>
        <w:t xml:space="preserve"> 元以下罚款。</w:t>
      </w:r>
      <w:r>
        <w:rPr>
          <w:rFonts w:hint="eastAsia"/>
          <w:color w:val="auto"/>
          <w:lang w:val="en-US" w:eastAsia="zh-CN"/>
        </w:rPr>
        <w:t>3</w:t>
      </w:r>
      <w:r>
        <w:rPr>
          <w:color w:val="auto"/>
          <w:spacing w:val="-24"/>
        </w:rPr>
        <w:t>、【较重】</w:t>
      </w:r>
    </w:p>
    <w:p>
      <w:pPr>
        <w:pStyle w:val="13"/>
        <w:numPr>
          <w:ilvl w:val="0"/>
          <w:numId w:val="66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属出版物的，使用非法定计量单位 10 处以上 15 处以下的。</w:t>
      </w:r>
    </w:p>
    <w:p>
      <w:pPr>
        <w:pStyle w:val="13"/>
        <w:numPr>
          <w:ilvl w:val="0"/>
          <w:numId w:val="66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112"/>
        <w:rPr>
          <w:color w:val="auto"/>
        </w:rPr>
      </w:pPr>
      <w:r>
        <w:rPr>
          <w:color w:val="auto"/>
          <w:spacing w:val="-6"/>
        </w:rPr>
        <w:t xml:space="preserve">责令其停止销售，并处 </w:t>
      </w:r>
      <w:r>
        <w:rPr>
          <w:color w:val="auto"/>
        </w:rPr>
        <w:t>500</w:t>
      </w:r>
      <w:r>
        <w:rPr>
          <w:color w:val="auto"/>
          <w:spacing w:val="-24"/>
        </w:rPr>
        <w:t xml:space="preserve"> 元以上 </w:t>
      </w:r>
      <w:r>
        <w:rPr>
          <w:color w:val="auto"/>
        </w:rPr>
        <w:t>800</w:t>
      </w:r>
      <w:r>
        <w:rPr>
          <w:color w:val="auto"/>
          <w:spacing w:val="-11"/>
        </w:rPr>
        <w:t xml:space="preserve"> 元以下罚款。</w:t>
      </w:r>
      <w:r>
        <w:rPr>
          <w:rFonts w:hint="eastAsia"/>
          <w:color w:val="auto"/>
          <w:lang w:val="en-US" w:eastAsia="zh-CN"/>
        </w:rPr>
        <w:t>4</w:t>
      </w:r>
      <w:r>
        <w:rPr>
          <w:color w:val="auto"/>
          <w:spacing w:val="-24"/>
        </w:rPr>
        <w:t>、【严重】</w:t>
      </w:r>
    </w:p>
    <w:p>
      <w:pPr>
        <w:pStyle w:val="13"/>
        <w:numPr>
          <w:ilvl w:val="0"/>
          <w:numId w:val="66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属出版物的，使用非法定计量单位 15 处以上的。</w:t>
      </w:r>
    </w:p>
    <w:p>
      <w:pPr>
        <w:pStyle w:val="13"/>
        <w:numPr>
          <w:ilvl w:val="0"/>
          <w:numId w:val="66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责令其停止销售，并处 800 元以上 1000 元以下的罚款。</w:t>
      </w:r>
    </w:p>
    <w:p>
      <w:pPr>
        <w:pStyle w:val="2"/>
        <w:spacing w:before="191"/>
        <w:rPr>
          <w:color w:val="auto"/>
        </w:rPr>
      </w:pPr>
      <w:bookmarkStart w:id="813" w:name="_bookmark406"/>
      <w:bookmarkEnd w:id="813"/>
      <w:bookmarkStart w:id="814" w:name="三百九十六、制造、销售和进口非法定计量单位的计量器具"/>
      <w:bookmarkEnd w:id="814"/>
      <w:r>
        <w:rPr>
          <w:color w:val="auto"/>
        </w:rPr>
        <w:t>三百九十六、制造、销售和进口非法定计量单位的计量器具</w:t>
      </w:r>
    </w:p>
    <w:p>
      <w:pPr>
        <w:spacing w:before="192"/>
        <w:ind w:left="591" w:right="0" w:firstLine="0"/>
        <w:jc w:val="left"/>
        <w:rPr>
          <w:b/>
          <w:color w:val="auto"/>
          <w:sz w:val="24"/>
        </w:rPr>
      </w:pPr>
      <w:r>
        <w:rPr>
          <w:b/>
          <w:color w:val="auto"/>
          <w:sz w:val="24"/>
        </w:rPr>
        <w:t>（一）处罚依据</w:t>
      </w:r>
    </w:p>
    <w:p>
      <w:pPr>
        <w:pStyle w:val="4"/>
        <w:spacing w:before="39" w:line="391" w:lineRule="auto"/>
        <w:ind w:right="268" w:firstLine="470"/>
        <w:jc w:val="both"/>
        <w:rPr>
          <w:color w:val="auto"/>
        </w:rPr>
      </w:pPr>
      <w:r>
        <w:rPr>
          <w:color w:val="auto"/>
        </w:rPr>
        <w:t>1、《中华人民共和国计量法实施细则》第四十一条“违反《中华人民共和国计</w:t>
      </w:r>
      <w:r>
        <w:rPr>
          <w:color w:val="auto"/>
          <w:spacing w:val="-7"/>
        </w:rPr>
        <w:t>量法》第十四条规定，制造、销售和进口非法定计量单位的计量器具的，责令其停止</w:t>
      </w:r>
      <w:r>
        <w:rPr>
          <w:color w:val="auto"/>
          <w:spacing w:val="-15"/>
        </w:rPr>
        <w:t xml:space="preserve">制造、销售和进口，没收计量器具和全部违法所得，可并处相当其违法所得 </w:t>
      </w:r>
      <w:r>
        <w:rPr>
          <w:color w:val="auto"/>
        </w:rPr>
        <w:t>10%</w:t>
      </w:r>
      <w:r>
        <w:rPr>
          <w:color w:val="auto"/>
          <w:spacing w:val="-30"/>
        </w:rPr>
        <w:t xml:space="preserve">至 </w:t>
      </w:r>
      <w:r>
        <w:rPr>
          <w:color w:val="auto"/>
          <w:spacing w:val="-6"/>
        </w:rPr>
        <w:t xml:space="preserve">50% </w:t>
      </w:r>
      <w:r>
        <w:rPr>
          <w:color w:val="auto"/>
        </w:rPr>
        <w:t>的罚款。”</w:t>
      </w:r>
    </w:p>
    <w:p>
      <w:pPr>
        <w:pStyle w:val="4"/>
        <w:spacing w:line="391" w:lineRule="auto"/>
        <w:ind w:right="268" w:firstLine="470"/>
        <w:jc w:val="both"/>
        <w:rPr>
          <w:color w:val="auto"/>
        </w:rPr>
      </w:pPr>
      <w:r>
        <w:rPr>
          <w:color w:val="auto"/>
        </w:rPr>
        <w:t>2、《中华人民共和国进口计量器具监督管理办法实施细则》第三十条“违反本</w:t>
      </w:r>
      <w:r>
        <w:rPr>
          <w:color w:val="auto"/>
          <w:spacing w:val="-7"/>
        </w:rPr>
        <w:t>实施细则规定，进口或者销售非法定计量单位的计量器具或者国务院禁止使用的其它</w:t>
      </w:r>
      <w:r>
        <w:rPr>
          <w:color w:val="auto"/>
          <w:spacing w:val="-6"/>
        </w:rPr>
        <w:t>计量器具的，由县级以上政府计量行政部门责令其停止进口或者销售，没收计量器具</w:t>
      </w:r>
      <w:r>
        <w:rPr>
          <w:color w:val="auto"/>
        </w:rPr>
        <w:t>和全部违法所得，可以并处相当其违法所得百分之十至百分之五十的罚款。”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670"/>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8"/>
        <w:ind w:left="591"/>
        <w:rPr>
          <w:color w:val="auto"/>
        </w:rPr>
      </w:pPr>
      <w:r>
        <w:rPr>
          <w:color w:val="auto"/>
        </w:rPr>
        <w:t>有下列情形之一的：1、违法所得在 5000 元以下的；2、违法制造、销售、进口</w:t>
      </w:r>
    </w:p>
    <w:p>
      <w:pPr>
        <w:pStyle w:val="4"/>
        <w:spacing w:before="191"/>
        <w:rPr>
          <w:color w:val="auto"/>
        </w:rPr>
      </w:pPr>
      <w:r>
        <w:rPr>
          <w:color w:val="auto"/>
          <w:spacing w:val="-8"/>
        </w:rPr>
        <w:t xml:space="preserve">计量器具台数为 </w:t>
      </w:r>
      <w:r>
        <w:rPr>
          <w:color w:val="auto"/>
        </w:rPr>
        <w:t>10</w:t>
      </w:r>
      <w:r>
        <w:rPr>
          <w:color w:val="auto"/>
          <w:spacing w:val="-10"/>
        </w:rPr>
        <w:t xml:space="preserve"> 台以下的。</w:t>
      </w:r>
    </w:p>
    <w:p>
      <w:pPr>
        <w:pStyle w:val="13"/>
        <w:numPr>
          <w:ilvl w:val="0"/>
          <w:numId w:val="67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16" w:firstLine="480"/>
        <w:rPr>
          <w:color w:val="auto"/>
        </w:rPr>
      </w:pPr>
      <w:r>
        <w:rPr>
          <w:color w:val="auto"/>
        </w:rPr>
        <w:t>责令其停止制造、销售和进口，没收计量器具和全部违法所得，并处相当其违法所得 10%的罚款。</w:t>
      </w:r>
    </w:p>
    <w:p>
      <w:pPr>
        <w:pStyle w:val="4"/>
        <w:spacing w:before="5"/>
        <w:ind w:left="591"/>
        <w:rPr>
          <w:color w:val="auto"/>
        </w:rPr>
      </w:pPr>
      <w:r>
        <w:rPr>
          <w:color w:val="auto"/>
        </w:rPr>
        <w:t>2、【一般】</w:t>
      </w:r>
    </w:p>
    <w:p>
      <w:pPr>
        <w:pStyle w:val="13"/>
        <w:numPr>
          <w:ilvl w:val="0"/>
          <w:numId w:val="67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有下列情形之一的：1、违法所得在 10000 元以下的；2、违法制造、销售、进口</w:t>
      </w:r>
    </w:p>
    <w:p>
      <w:pPr>
        <w:pStyle w:val="4"/>
        <w:spacing w:before="194"/>
        <w:rPr>
          <w:color w:val="auto"/>
        </w:rPr>
      </w:pPr>
      <w:r>
        <w:rPr>
          <w:color w:val="auto"/>
        </w:rPr>
        <w:t>计量器具台数为 10 台以上 20 台件以下的。</w:t>
      </w:r>
    </w:p>
    <w:p>
      <w:pPr>
        <w:pStyle w:val="13"/>
        <w:numPr>
          <w:ilvl w:val="0"/>
          <w:numId w:val="67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5"/>
        </w:rPr>
        <w:t>责令其停止制造、销售和进口，没收计量器具和全部违法所得，并处相当其违法</w:t>
      </w:r>
      <w:r>
        <w:rPr>
          <w:color w:val="auto"/>
          <w:spacing w:val="-20"/>
        </w:rPr>
        <w:t xml:space="preserve">所得 </w:t>
      </w:r>
      <w:r>
        <w:rPr>
          <w:color w:val="auto"/>
        </w:rPr>
        <w:t>10%</w:t>
      </w:r>
      <w:r>
        <w:rPr>
          <w:color w:val="auto"/>
          <w:spacing w:val="-20"/>
        </w:rPr>
        <w:t xml:space="preserve">以上 </w:t>
      </w:r>
      <w:r>
        <w:rPr>
          <w:color w:val="auto"/>
        </w:rPr>
        <w:t>20%以下的罚款。</w:t>
      </w:r>
    </w:p>
    <w:p>
      <w:pPr>
        <w:pStyle w:val="4"/>
        <w:spacing w:line="306" w:lineRule="exact"/>
        <w:ind w:left="591"/>
        <w:rPr>
          <w:color w:val="auto"/>
        </w:rPr>
      </w:pPr>
      <w:r>
        <w:rPr>
          <w:color w:val="auto"/>
        </w:rPr>
        <w:t>3、【较重】</w:t>
      </w:r>
    </w:p>
    <w:p>
      <w:pPr>
        <w:pStyle w:val="13"/>
        <w:numPr>
          <w:ilvl w:val="0"/>
          <w:numId w:val="672"/>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有下列情形之一的：1、违法所得在 15000 元以下的；2、违法制造、销售、进口</w:t>
      </w:r>
    </w:p>
    <w:p>
      <w:pPr>
        <w:pStyle w:val="4"/>
        <w:spacing w:before="192"/>
        <w:rPr>
          <w:color w:val="auto"/>
        </w:rPr>
      </w:pPr>
      <w:r>
        <w:rPr>
          <w:color w:val="auto"/>
        </w:rPr>
        <w:t>计量器具台数为 20 台以上 30 台件以下。</w:t>
      </w:r>
    </w:p>
    <w:p>
      <w:pPr>
        <w:pStyle w:val="13"/>
        <w:numPr>
          <w:ilvl w:val="0"/>
          <w:numId w:val="672"/>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4" w:firstLine="480"/>
        <w:rPr>
          <w:color w:val="auto"/>
        </w:rPr>
      </w:pPr>
      <w:r>
        <w:rPr>
          <w:color w:val="auto"/>
        </w:rPr>
        <w:t>责令其停止制造、销售和进口，没收计量器具和全部违法所得，可并处相当其违法所得 20%以上 30%以下罚款。</w:t>
      </w:r>
    </w:p>
    <w:p>
      <w:pPr>
        <w:pStyle w:val="4"/>
        <w:spacing w:line="306" w:lineRule="exact"/>
        <w:ind w:left="591"/>
        <w:rPr>
          <w:color w:val="auto"/>
        </w:rPr>
      </w:pPr>
      <w:r>
        <w:rPr>
          <w:color w:val="auto"/>
        </w:rPr>
        <w:t>4、【严重】</w:t>
      </w:r>
    </w:p>
    <w:p>
      <w:pPr>
        <w:pStyle w:val="13"/>
        <w:numPr>
          <w:ilvl w:val="0"/>
          <w:numId w:val="67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有下列情形之一的：1、违法所得在 20000 元以下的；2、违法制造、销售、进口</w:t>
      </w:r>
    </w:p>
    <w:p>
      <w:pPr>
        <w:pStyle w:val="4"/>
        <w:spacing w:before="192"/>
        <w:rPr>
          <w:color w:val="auto"/>
        </w:rPr>
      </w:pPr>
      <w:r>
        <w:rPr>
          <w:color w:val="auto"/>
        </w:rPr>
        <w:t>计量器具台数为 30 台以上 40 台件以下的；3、造成较大社会影响的。</w:t>
      </w:r>
    </w:p>
    <w:p>
      <w:pPr>
        <w:pStyle w:val="13"/>
        <w:numPr>
          <w:ilvl w:val="0"/>
          <w:numId w:val="67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14" w:firstLine="480"/>
        <w:rPr>
          <w:color w:val="auto"/>
        </w:rPr>
      </w:pPr>
      <w:r>
        <w:rPr>
          <w:color w:val="auto"/>
        </w:rPr>
        <w:t>责令其停止制造、销售和进口，没收计量器具和全部违法所得，可并处相当其违法所得 30%以上 40%以下的罚款。</w:t>
      </w:r>
    </w:p>
    <w:p>
      <w:pPr>
        <w:pStyle w:val="4"/>
        <w:spacing w:before="2"/>
        <w:ind w:left="591"/>
        <w:rPr>
          <w:color w:val="auto"/>
        </w:rPr>
      </w:pPr>
      <w:r>
        <w:rPr>
          <w:color w:val="auto"/>
        </w:rPr>
        <w:t>5、【特别严重】</w:t>
      </w:r>
    </w:p>
    <w:p>
      <w:pPr>
        <w:pStyle w:val="13"/>
        <w:numPr>
          <w:ilvl w:val="0"/>
          <w:numId w:val="67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有下列情形之一的：1、违法所得在 20000 元以上的；2、违法制造、销售、进口</w:t>
      </w:r>
    </w:p>
    <w:p>
      <w:pPr>
        <w:pStyle w:val="4"/>
        <w:spacing w:before="191"/>
        <w:rPr>
          <w:color w:val="auto"/>
        </w:rPr>
      </w:pPr>
      <w:r>
        <w:rPr>
          <w:color w:val="auto"/>
        </w:rPr>
        <w:t>计量器具台数为 40 台以上的；3、造成社会影响大的。</w:t>
      </w:r>
    </w:p>
    <w:p>
      <w:pPr>
        <w:pStyle w:val="13"/>
        <w:numPr>
          <w:ilvl w:val="0"/>
          <w:numId w:val="67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14" w:firstLine="480"/>
        <w:rPr>
          <w:color w:val="auto"/>
        </w:rPr>
      </w:pPr>
      <w:r>
        <w:rPr>
          <w:color w:val="auto"/>
        </w:rPr>
        <w:t>责令其停止制造、销售和进口，没收计量器具和全部违法所得，可并处相当其违法所得 40%以上 50%以下的罚款。</w:t>
      </w:r>
    </w:p>
    <w:p>
      <w:pPr>
        <w:pStyle w:val="2"/>
        <w:spacing w:before="5" w:line="388" w:lineRule="auto"/>
        <w:ind w:left="111" w:right="240" w:firstLine="480"/>
        <w:rPr>
          <w:color w:val="auto"/>
        </w:rPr>
      </w:pPr>
      <w:bookmarkStart w:id="815" w:name="三百九十七、部门和企业、事业单位的各项最高计量标准，未经有关人民政府计量行政部门"/>
      <w:bookmarkEnd w:id="815"/>
      <w:bookmarkStart w:id="816" w:name="_bookmark407"/>
      <w:bookmarkEnd w:id="816"/>
      <w:r>
        <w:rPr>
          <w:color w:val="auto"/>
          <w:spacing w:val="-7"/>
        </w:rPr>
        <w:t>三百九十七、部门和企业、事业单位的各项最高计量标准，未经有关人民政府计量行政部门考核合格而开展计量检定</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4"/>
        </w:rPr>
        <w:t>《中华人民共和国计量法实施细则》第四十二条“部门和企业、事业单位的各项</w:t>
      </w:r>
      <w:r>
        <w:rPr>
          <w:color w:val="auto"/>
          <w:spacing w:val="-5"/>
        </w:rPr>
        <w:t>最高计量标准，未经有关人民政府计量行政部门考核合格而开展计量检定的，责令其</w:t>
      </w:r>
      <w:r>
        <w:rPr>
          <w:color w:val="auto"/>
        </w:rPr>
        <w:t>停止使用，可并处一千元以下的罚款。”</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675"/>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未经有关人民政府计量行政部门考核合格而开展计量检定的计量标准为一项，且使用时间在 15 天以内的。</w:t>
      </w:r>
    </w:p>
    <w:p>
      <w:pPr>
        <w:pStyle w:val="13"/>
        <w:numPr>
          <w:ilvl w:val="0"/>
          <w:numId w:val="675"/>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5512"/>
        <w:rPr>
          <w:color w:val="auto"/>
        </w:rPr>
      </w:pPr>
      <w:r>
        <w:rPr>
          <w:color w:val="auto"/>
        </w:rPr>
        <w:t>责令其停止使用，不予处罚。2、【一般】</w:t>
      </w:r>
    </w:p>
    <w:p>
      <w:pPr>
        <w:pStyle w:val="13"/>
        <w:numPr>
          <w:ilvl w:val="0"/>
          <w:numId w:val="67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9" w:firstLine="480"/>
        <w:rPr>
          <w:color w:val="auto"/>
        </w:rPr>
      </w:pPr>
      <w:r>
        <w:rPr>
          <w:color w:val="auto"/>
        </w:rPr>
        <w:t>未经有关人民政府计量行政部门考核合格而开展计量检定的计量标准不超过两项，且使用时间在 15 天以上 30 天以内的。</w:t>
      </w:r>
    </w:p>
    <w:p>
      <w:pPr>
        <w:pStyle w:val="13"/>
        <w:numPr>
          <w:ilvl w:val="0"/>
          <w:numId w:val="67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072"/>
        <w:rPr>
          <w:color w:val="auto"/>
        </w:rPr>
      </w:pPr>
      <w:r>
        <w:rPr>
          <w:color w:val="auto"/>
          <w:spacing w:val="-6"/>
        </w:rPr>
        <w:t xml:space="preserve">责令其停止使用，并处 </w:t>
      </w:r>
      <w:r>
        <w:rPr>
          <w:color w:val="auto"/>
        </w:rPr>
        <w:t>500</w:t>
      </w:r>
      <w:r>
        <w:rPr>
          <w:color w:val="auto"/>
          <w:spacing w:val="-10"/>
        </w:rPr>
        <w:t xml:space="preserve"> 元以下的罚款。</w:t>
      </w:r>
      <w:r>
        <w:rPr>
          <w:color w:val="auto"/>
        </w:rPr>
        <w:t>3</w:t>
      </w:r>
      <w:r>
        <w:rPr>
          <w:color w:val="auto"/>
          <w:spacing w:val="-24"/>
        </w:rPr>
        <w:t>、【较重】</w:t>
      </w:r>
    </w:p>
    <w:p>
      <w:pPr>
        <w:pStyle w:val="13"/>
        <w:numPr>
          <w:ilvl w:val="0"/>
          <w:numId w:val="67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9" w:firstLine="480"/>
        <w:rPr>
          <w:color w:val="auto"/>
        </w:rPr>
      </w:pPr>
      <w:r>
        <w:rPr>
          <w:color w:val="auto"/>
        </w:rPr>
        <w:t>未经有关人民政府计量行政部门考核合格而开展计量检定的的计量标准为不超过两项，且使用时间在 30 天以上的。</w:t>
      </w:r>
    </w:p>
    <w:p>
      <w:pPr>
        <w:pStyle w:val="13"/>
        <w:numPr>
          <w:ilvl w:val="0"/>
          <w:numId w:val="67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2872"/>
        <w:rPr>
          <w:color w:val="auto"/>
        </w:rPr>
      </w:pPr>
      <w:r>
        <w:rPr>
          <w:color w:val="auto"/>
          <w:spacing w:val="-6"/>
        </w:rPr>
        <w:t xml:space="preserve">责令其停止使用，并处 </w:t>
      </w:r>
      <w:r>
        <w:rPr>
          <w:color w:val="auto"/>
        </w:rPr>
        <w:t>500</w:t>
      </w:r>
      <w:r>
        <w:rPr>
          <w:color w:val="auto"/>
          <w:spacing w:val="-24"/>
        </w:rPr>
        <w:t xml:space="preserve"> 元以上 </w:t>
      </w:r>
      <w:r>
        <w:rPr>
          <w:color w:val="auto"/>
        </w:rPr>
        <w:t>800</w:t>
      </w:r>
      <w:r>
        <w:rPr>
          <w:color w:val="auto"/>
          <w:spacing w:val="-10"/>
        </w:rPr>
        <w:t xml:space="preserve"> 元以下的罚款。</w:t>
      </w:r>
      <w:r>
        <w:rPr>
          <w:color w:val="auto"/>
        </w:rPr>
        <w:t>4</w:t>
      </w:r>
      <w:r>
        <w:rPr>
          <w:color w:val="auto"/>
          <w:spacing w:val="-24"/>
        </w:rPr>
        <w:t>、【严重】</w:t>
      </w:r>
    </w:p>
    <w:p>
      <w:pPr>
        <w:pStyle w:val="13"/>
        <w:numPr>
          <w:ilvl w:val="0"/>
          <w:numId w:val="67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9" w:firstLine="480"/>
        <w:rPr>
          <w:color w:val="auto"/>
        </w:rPr>
      </w:pPr>
      <w:r>
        <w:rPr>
          <w:color w:val="auto"/>
        </w:rPr>
        <w:t>未经有关人民政府计量行政部门考核合格而开展计量检定的计量标准为两项以上的。</w:t>
      </w:r>
    </w:p>
    <w:p>
      <w:pPr>
        <w:pStyle w:val="13"/>
        <w:numPr>
          <w:ilvl w:val="0"/>
          <w:numId w:val="67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责令其停止使用，并处 800 元以上 1000 元以下的罚款。</w:t>
      </w:r>
    </w:p>
    <w:p>
      <w:pPr>
        <w:pStyle w:val="2"/>
        <w:spacing w:before="194" w:line="388" w:lineRule="auto"/>
        <w:ind w:left="111" w:right="237" w:firstLine="480"/>
        <w:jc w:val="both"/>
        <w:rPr>
          <w:color w:val="auto"/>
        </w:rPr>
      </w:pPr>
      <w:bookmarkStart w:id="817" w:name="三百九十八、属于强制检定范围的计量器具未按规定申请检定或者检定不合格继续使用，属"/>
      <w:bookmarkEnd w:id="817"/>
      <w:bookmarkStart w:id="818" w:name="_bookmark408"/>
      <w:bookmarkEnd w:id="818"/>
      <w:r>
        <w:rPr>
          <w:color w:val="auto"/>
          <w:spacing w:val="-9"/>
        </w:rPr>
        <w:t>三百九十八、属于强制检定范围的计量器具未按规定申请检定或者检定不合格继</w:t>
      </w:r>
      <w:r>
        <w:rPr>
          <w:color w:val="auto"/>
          <w:spacing w:val="-11"/>
        </w:rPr>
        <w:t>续使用，属于非强制检定范围的计量器具未自行定期检定或者送其他计量检定机构定期检定或检定不合格继续使用</w:t>
      </w:r>
    </w:p>
    <w:p>
      <w:pPr>
        <w:spacing w:before="5"/>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3"/>
        </w:rPr>
        <w:t>《中华人民共和国计量法实施细则》第四十三条“属于强制检定范围的计量器具未按规定申请检定或者检定不合格继续使用；属于非强制检定范围的计量器具未自行定期检定或者送其他计量检定机构定期检定的或检定不合格继续使用的，责令其停止</w:t>
      </w:r>
      <w:r>
        <w:rPr>
          <w:color w:val="auto"/>
        </w:rPr>
        <w:t>使用，可并处一千元以下的罚款。”</w:t>
      </w:r>
    </w:p>
    <w:p>
      <w:pPr>
        <w:pStyle w:val="2"/>
        <w:spacing w:line="302" w:lineRule="exact"/>
        <w:rPr>
          <w:color w:val="auto"/>
        </w:rPr>
      </w:pPr>
      <w:r>
        <w:rPr>
          <w:color w:val="auto"/>
        </w:rPr>
        <w:t>（二）裁量标准</w:t>
      </w:r>
    </w:p>
    <w:p>
      <w:pPr>
        <w:spacing w:after="0" w:line="302" w:lineRule="exact"/>
        <w:rPr>
          <w:color w:val="auto"/>
        </w:rPr>
        <w:sectPr>
          <w:pgSz w:w="11910" w:h="16840"/>
          <w:pgMar w:top="1520" w:right="1260" w:bottom="1220" w:left="1420" w:header="0" w:footer="1034" w:gutter="0"/>
        </w:sectPr>
      </w:pPr>
    </w:p>
    <w:p>
      <w:pPr>
        <w:pStyle w:val="4"/>
        <w:spacing w:before="39"/>
        <w:ind w:left="591"/>
        <w:rPr>
          <w:color w:val="auto"/>
        </w:rPr>
      </w:pPr>
      <w:r>
        <w:rPr>
          <w:color w:val="auto"/>
        </w:rPr>
        <w:t>1、【一般】</w:t>
      </w:r>
    </w:p>
    <w:p>
      <w:pPr>
        <w:pStyle w:val="13"/>
        <w:numPr>
          <w:ilvl w:val="0"/>
          <w:numId w:val="679"/>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w:t>
      </w:r>
      <w:r>
        <w:rPr>
          <w:color w:val="auto"/>
          <w:spacing w:val="-2"/>
        </w:rPr>
        <w:t xml:space="preserve">、使用非法计量器具持续时间在 </w:t>
      </w:r>
      <w:r>
        <w:rPr>
          <w:color w:val="auto"/>
        </w:rPr>
        <w:t>15</w:t>
      </w:r>
      <w:r>
        <w:rPr>
          <w:color w:val="auto"/>
          <w:spacing w:val="-6"/>
        </w:rPr>
        <w:t xml:space="preserve"> 天以下的；</w:t>
      </w:r>
      <w:r>
        <w:rPr>
          <w:color w:val="auto"/>
          <w:spacing w:val="3"/>
        </w:rPr>
        <w:t>2</w:t>
      </w:r>
      <w:r>
        <w:rPr>
          <w:color w:val="auto"/>
        </w:rPr>
        <w:t>、违法使</w:t>
      </w:r>
    </w:p>
    <w:p>
      <w:pPr>
        <w:pStyle w:val="4"/>
        <w:spacing w:before="192"/>
        <w:rPr>
          <w:color w:val="auto"/>
        </w:rPr>
      </w:pPr>
      <w:r>
        <w:rPr>
          <w:color w:val="auto"/>
          <w:spacing w:val="-2"/>
        </w:rPr>
        <w:t xml:space="preserve">用的计量器具属于非强制检定范围的且在 </w:t>
      </w:r>
      <w:r>
        <w:rPr>
          <w:color w:val="auto"/>
        </w:rPr>
        <w:t>15</w:t>
      </w:r>
      <w:r>
        <w:rPr>
          <w:color w:val="auto"/>
          <w:spacing w:val="-5"/>
        </w:rPr>
        <w:t xml:space="preserve"> 台件以下，或者属于强制检定范围的且</w:t>
      </w:r>
    </w:p>
    <w:p>
      <w:pPr>
        <w:pStyle w:val="4"/>
        <w:spacing w:before="194"/>
        <w:rPr>
          <w:color w:val="auto"/>
        </w:rPr>
      </w:pPr>
      <w:r>
        <w:rPr>
          <w:color w:val="auto"/>
        </w:rPr>
        <w:t>在 5 台件以下的。</w:t>
      </w:r>
    </w:p>
    <w:p>
      <w:pPr>
        <w:pStyle w:val="13"/>
        <w:numPr>
          <w:ilvl w:val="0"/>
          <w:numId w:val="67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4072"/>
        <w:rPr>
          <w:color w:val="auto"/>
        </w:rPr>
      </w:pPr>
      <w:r>
        <w:rPr>
          <w:color w:val="auto"/>
          <w:spacing w:val="-6"/>
        </w:rPr>
        <w:t xml:space="preserve">责令其停止使用，并处 </w:t>
      </w:r>
      <w:r>
        <w:rPr>
          <w:color w:val="auto"/>
        </w:rPr>
        <w:t>500</w:t>
      </w:r>
      <w:r>
        <w:rPr>
          <w:color w:val="auto"/>
          <w:spacing w:val="-10"/>
        </w:rPr>
        <w:t xml:space="preserve"> 元以下的罚款。</w:t>
      </w:r>
      <w:r>
        <w:rPr>
          <w:color w:val="auto"/>
        </w:rPr>
        <w:t>2.【较重】</w:t>
      </w:r>
    </w:p>
    <w:p>
      <w:pPr>
        <w:pStyle w:val="13"/>
        <w:numPr>
          <w:ilvl w:val="0"/>
          <w:numId w:val="68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172" w:firstLine="480"/>
        <w:rPr>
          <w:color w:val="auto"/>
        </w:rPr>
      </w:pPr>
      <w:r>
        <w:rPr>
          <w:color w:val="auto"/>
        </w:rPr>
        <w:t>有下列情形之一的：1</w:t>
      </w:r>
      <w:r>
        <w:rPr>
          <w:color w:val="auto"/>
          <w:spacing w:val="-4"/>
        </w:rPr>
        <w:t xml:space="preserve">、使用非法计量器具持续时间在 </w:t>
      </w:r>
      <w:r>
        <w:rPr>
          <w:color w:val="auto"/>
        </w:rPr>
        <w:t>15</w:t>
      </w:r>
      <w:r>
        <w:rPr>
          <w:color w:val="auto"/>
          <w:spacing w:val="-12"/>
        </w:rPr>
        <w:t xml:space="preserve"> 天以上、</w:t>
      </w:r>
      <w:r>
        <w:rPr>
          <w:color w:val="auto"/>
        </w:rPr>
        <w:t>30</w:t>
      </w:r>
      <w:r>
        <w:rPr>
          <w:color w:val="auto"/>
          <w:spacing w:val="-13"/>
        </w:rPr>
        <w:t xml:space="preserve"> 天以下的； </w:t>
      </w:r>
      <w:r>
        <w:rPr>
          <w:color w:val="auto"/>
        </w:rPr>
        <w:t>2</w:t>
      </w:r>
      <w:r>
        <w:rPr>
          <w:color w:val="auto"/>
          <w:spacing w:val="-3"/>
        </w:rPr>
        <w:t xml:space="preserve">、违法使用的计量器具属于非强制检定范围的且在 </w:t>
      </w:r>
      <w:r>
        <w:rPr>
          <w:color w:val="auto"/>
        </w:rPr>
        <w:t>15</w:t>
      </w:r>
      <w:r>
        <w:rPr>
          <w:color w:val="auto"/>
          <w:spacing w:val="-17"/>
        </w:rPr>
        <w:t xml:space="preserve"> 台件以上 </w:t>
      </w:r>
      <w:r>
        <w:rPr>
          <w:color w:val="auto"/>
        </w:rPr>
        <w:t>20</w:t>
      </w:r>
      <w:r>
        <w:rPr>
          <w:color w:val="auto"/>
          <w:spacing w:val="-7"/>
        </w:rPr>
        <w:t xml:space="preserve"> 台件以下，或者</w:t>
      </w:r>
    </w:p>
    <w:p>
      <w:pPr>
        <w:pStyle w:val="4"/>
        <w:spacing w:line="306" w:lineRule="exact"/>
        <w:rPr>
          <w:color w:val="auto"/>
        </w:rPr>
      </w:pPr>
      <w:r>
        <w:rPr>
          <w:color w:val="auto"/>
        </w:rPr>
        <w:t>属于强制检定范围的且在 5 台件以上 10 台件以下的。</w:t>
      </w:r>
    </w:p>
    <w:p>
      <w:pPr>
        <w:pStyle w:val="13"/>
        <w:numPr>
          <w:ilvl w:val="0"/>
          <w:numId w:val="68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872"/>
        <w:rPr>
          <w:color w:val="auto"/>
        </w:rPr>
      </w:pPr>
      <w:r>
        <w:rPr>
          <w:color w:val="auto"/>
          <w:spacing w:val="-6"/>
        </w:rPr>
        <w:t xml:space="preserve">责令其停止使用，并处 </w:t>
      </w:r>
      <w:r>
        <w:rPr>
          <w:color w:val="auto"/>
        </w:rPr>
        <w:t>500</w:t>
      </w:r>
      <w:r>
        <w:rPr>
          <w:color w:val="auto"/>
          <w:spacing w:val="-24"/>
        </w:rPr>
        <w:t xml:space="preserve"> 元以上 </w:t>
      </w:r>
      <w:r>
        <w:rPr>
          <w:color w:val="auto"/>
        </w:rPr>
        <w:t>800</w:t>
      </w:r>
      <w:r>
        <w:rPr>
          <w:color w:val="auto"/>
          <w:spacing w:val="-10"/>
        </w:rPr>
        <w:t xml:space="preserve"> 元以下的罚款。</w:t>
      </w:r>
      <w:r>
        <w:rPr>
          <w:color w:val="auto"/>
        </w:rPr>
        <w:t>3</w:t>
      </w:r>
      <w:r>
        <w:rPr>
          <w:color w:val="auto"/>
          <w:spacing w:val="-24"/>
        </w:rPr>
        <w:t>、【严重】</w:t>
      </w:r>
    </w:p>
    <w:p>
      <w:pPr>
        <w:pStyle w:val="13"/>
        <w:numPr>
          <w:ilvl w:val="0"/>
          <w:numId w:val="68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w:t>
      </w:r>
      <w:r>
        <w:rPr>
          <w:color w:val="auto"/>
          <w:spacing w:val="-2"/>
        </w:rPr>
        <w:t xml:space="preserve">、使用非法计量器具持续时间在 </w:t>
      </w:r>
      <w:r>
        <w:rPr>
          <w:color w:val="auto"/>
        </w:rPr>
        <w:t>30</w:t>
      </w:r>
      <w:r>
        <w:rPr>
          <w:color w:val="auto"/>
          <w:spacing w:val="-6"/>
        </w:rPr>
        <w:t xml:space="preserve"> 天以上的；</w:t>
      </w:r>
      <w:r>
        <w:rPr>
          <w:color w:val="auto"/>
          <w:spacing w:val="3"/>
        </w:rPr>
        <w:t>2</w:t>
      </w:r>
      <w:r>
        <w:rPr>
          <w:color w:val="auto"/>
        </w:rPr>
        <w:t>、违法使</w:t>
      </w:r>
    </w:p>
    <w:p>
      <w:pPr>
        <w:pStyle w:val="4"/>
        <w:spacing w:before="192"/>
        <w:rPr>
          <w:color w:val="auto"/>
        </w:rPr>
      </w:pPr>
      <w:r>
        <w:rPr>
          <w:color w:val="auto"/>
          <w:spacing w:val="-2"/>
        </w:rPr>
        <w:t xml:space="preserve">用的计量器具属于非强制检定范围的且在 </w:t>
      </w:r>
      <w:r>
        <w:rPr>
          <w:color w:val="auto"/>
        </w:rPr>
        <w:t>20</w:t>
      </w:r>
      <w:r>
        <w:rPr>
          <w:color w:val="auto"/>
          <w:spacing w:val="-5"/>
        </w:rPr>
        <w:t xml:space="preserve"> 台件以上，或者属于强制检定范围的且</w:t>
      </w:r>
    </w:p>
    <w:p>
      <w:pPr>
        <w:pStyle w:val="4"/>
        <w:spacing w:before="192"/>
        <w:rPr>
          <w:color w:val="auto"/>
        </w:rPr>
      </w:pPr>
      <w:r>
        <w:rPr>
          <w:color w:val="auto"/>
        </w:rPr>
        <w:t>在 10 台件以上，或者经检定不合格后仍继续使用的。</w:t>
      </w:r>
    </w:p>
    <w:p>
      <w:pPr>
        <w:pStyle w:val="13"/>
        <w:numPr>
          <w:ilvl w:val="0"/>
          <w:numId w:val="68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责令其停止使用，并处 800 元以上 1000 元以下的罚款。</w:t>
      </w:r>
    </w:p>
    <w:p>
      <w:pPr>
        <w:pStyle w:val="2"/>
        <w:spacing w:before="192"/>
        <w:rPr>
          <w:color w:val="auto"/>
        </w:rPr>
      </w:pPr>
      <w:bookmarkStart w:id="819" w:name="三百九十九、制造、销售未经型式批准或样机试验合格的计量器具新产品"/>
      <w:bookmarkEnd w:id="819"/>
      <w:bookmarkStart w:id="820" w:name="_bookmark409"/>
      <w:bookmarkEnd w:id="820"/>
      <w:r>
        <w:rPr>
          <w:color w:val="auto"/>
        </w:rPr>
        <w:t>三百九十九、制造、销售未经型式批准或样机试验合格的计量器具新产品</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《中华人民共和国计量法实施细则》第四十四条“制造、销售未经型式批准或样</w:t>
      </w:r>
      <w:r>
        <w:rPr>
          <w:color w:val="auto"/>
          <w:spacing w:val="-5"/>
        </w:rPr>
        <w:t>机试验合格的计量器具新产品的，责令其停止制造、销售，封存该种新产品，没收全</w:t>
      </w:r>
      <w:r>
        <w:rPr>
          <w:color w:val="auto"/>
        </w:rPr>
        <w:t>部违法所得，可并处三千元以下的罚款。”</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682"/>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rPr>
          <w:color w:val="auto"/>
        </w:rPr>
      </w:pPr>
      <w:r>
        <w:rPr>
          <w:color w:val="auto"/>
          <w:spacing w:val="-3"/>
        </w:rPr>
        <w:t xml:space="preserve">制造未经型式批准或样机试验合格的计量器具新产品在 </w:t>
      </w:r>
      <w:r>
        <w:rPr>
          <w:color w:val="auto"/>
        </w:rPr>
        <w:t>5</w:t>
      </w:r>
      <w:r>
        <w:rPr>
          <w:color w:val="auto"/>
          <w:spacing w:val="-12"/>
        </w:rPr>
        <w:t xml:space="preserve"> 台件以下，或者销售未</w:t>
      </w:r>
      <w:r>
        <w:rPr>
          <w:color w:val="auto"/>
        </w:rPr>
        <w:t>经型式批准或样机试验合格的计量器具新产品，如实提供进货来源的。</w:t>
      </w:r>
    </w:p>
    <w:p>
      <w:pPr>
        <w:pStyle w:val="13"/>
        <w:numPr>
          <w:ilvl w:val="0"/>
          <w:numId w:val="68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1072"/>
        <w:rPr>
          <w:color w:val="auto"/>
        </w:rPr>
      </w:pPr>
      <w:r>
        <w:rPr>
          <w:color w:val="auto"/>
          <w:spacing w:val="-3"/>
        </w:rPr>
        <w:t xml:space="preserve">责令其停止制造、销售，没收全部违法所得，并处 </w:t>
      </w:r>
      <w:r>
        <w:rPr>
          <w:color w:val="auto"/>
        </w:rPr>
        <w:t>1000</w:t>
      </w:r>
      <w:r>
        <w:rPr>
          <w:color w:val="auto"/>
          <w:spacing w:val="-10"/>
        </w:rPr>
        <w:t xml:space="preserve"> 元以下的罚款。</w:t>
      </w:r>
      <w:r>
        <w:rPr>
          <w:color w:val="auto"/>
        </w:rPr>
        <w:t>2</w:t>
      </w:r>
      <w:r>
        <w:rPr>
          <w:color w:val="auto"/>
          <w:spacing w:val="-24"/>
        </w:rPr>
        <w:t>、【较重】</w:t>
      </w:r>
    </w:p>
    <w:p>
      <w:pPr>
        <w:pStyle w:val="13"/>
        <w:numPr>
          <w:ilvl w:val="0"/>
          <w:numId w:val="68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2"/>
        </w:rPr>
        <w:t xml:space="preserve">制造、销售未经型式批准或样机试验合格的计量器具新产品在 </w:t>
      </w:r>
      <w:r>
        <w:rPr>
          <w:color w:val="auto"/>
        </w:rPr>
        <w:t>5</w:t>
      </w:r>
      <w:r>
        <w:rPr>
          <w:color w:val="auto"/>
          <w:spacing w:val="-16"/>
        </w:rPr>
        <w:t xml:space="preserve"> 台件以上 </w:t>
      </w:r>
      <w:r>
        <w:rPr>
          <w:color w:val="auto"/>
        </w:rPr>
        <w:t>20</w:t>
      </w:r>
      <w:r>
        <w:rPr>
          <w:color w:val="auto"/>
          <w:spacing w:val="-23"/>
        </w:rPr>
        <w:t xml:space="preserve"> 台件以下的。</w:t>
      </w:r>
    </w:p>
    <w:p>
      <w:pPr>
        <w:pStyle w:val="13"/>
        <w:numPr>
          <w:ilvl w:val="0"/>
          <w:numId w:val="68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7"/>
        </w:rPr>
        <w:t xml:space="preserve">责令其停止制造、销售，没收全部违法所得，并处 </w:t>
      </w:r>
      <w:r>
        <w:rPr>
          <w:color w:val="auto"/>
        </w:rPr>
        <w:t>1000</w:t>
      </w:r>
      <w:r>
        <w:rPr>
          <w:color w:val="auto"/>
          <w:spacing w:val="-24"/>
        </w:rPr>
        <w:t xml:space="preserve"> 元以上 </w:t>
      </w:r>
      <w:r>
        <w:rPr>
          <w:color w:val="auto"/>
        </w:rPr>
        <w:t>2000</w:t>
      </w:r>
      <w:r>
        <w:rPr>
          <w:color w:val="auto"/>
          <w:spacing w:val="-13"/>
        </w:rPr>
        <w:t xml:space="preserve"> 元以下的罚</w:t>
      </w:r>
      <w:r>
        <w:rPr>
          <w:color w:val="auto"/>
        </w:rPr>
        <w:t>款。</w:t>
      </w:r>
    </w:p>
    <w:p>
      <w:pPr>
        <w:pStyle w:val="4"/>
        <w:spacing w:before="2"/>
        <w:ind w:left="591"/>
        <w:rPr>
          <w:color w:val="auto"/>
        </w:rPr>
      </w:pPr>
      <w:r>
        <w:rPr>
          <w:color w:val="auto"/>
        </w:rPr>
        <w:t>3、【严重】</w:t>
      </w:r>
    </w:p>
    <w:p>
      <w:pPr>
        <w:pStyle w:val="13"/>
        <w:numPr>
          <w:ilvl w:val="0"/>
          <w:numId w:val="68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5" w:firstLine="480"/>
        <w:rPr>
          <w:color w:val="auto"/>
        </w:rPr>
      </w:pPr>
      <w:r>
        <w:rPr>
          <w:color w:val="auto"/>
        </w:rPr>
        <w:t>制造、销售未经型式批准或样机试验合格的计量器具新产品在 20 台件以上的或产生严重后果的。</w:t>
      </w:r>
    </w:p>
    <w:p>
      <w:pPr>
        <w:pStyle w:val="13"/>
        <w:numPr>
          <w:ilvl w:val="0"/>
          <w:numId w:val="684"/>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7"/>
        </w:rPr>
        <w:t xml:space="preserve">责令其停止制造、销售，没收全部违法所得，并处 </w:t>
      </w:r>
      <w:r>
        <w:rPr>
          <w:color w:val="auto"/>
        </w:rPr>
        <w:t>2000</w:t>
      </w:r>
      <w:r>
        <w:rPr>
          <w:color w:val="auto"/>
          <w:spacing w:val="-24"/>
        </w:rPr>
        <w:t xml:space="preserve"> 元以上 </w:t>
      </w:r>
      <w:r>
        <w:rPr>
          <w:color w:val="auto"/>
        </w:rPr>
        <w:t>3000</w:t>
      </w:r>
      <w:r>
        <w:rPr>
          <w:color w:val="auto"/>
          <w:spacing w:val="-13"/>
        </w:rPr>
        <w:t xml:space="preserve"> 元以下的罚</w:t>
      </w:r>
      <w:r>
        <w:rPr>
          <w:color w:val="auto"/>
        </w:rPr>
        <w:t>款。</w:t>
      </w:r>
    </w:p>
    <w:p>
      <w:pPr>
        <w:pStyle w:val="2"/>
        <w:spacing w:before="5"/>
        <w:rPr>
          <w:color w:val="auto"/>
        </w:rPr>
      </w:pPr>
      <w:bookmarkStart w:id="821" w:name="_bookmark410"/>
      <w:bookmarkEnd w:id="821"/>
      <w:bookmarkStart w:id="822" w:name="四百、制造、修理的计量器具未经出厂检定或者经检定不合格而出厂"/>
      <w:bookmarkEnd w:id="822"/>
      <w:r>
        <w:rPr>
          <w:color w:val="auto"/>
        </w:rPr>
        <w:t>四百、制造、修理的计量器具未经出厂检定或者经检定不合格而出厂</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《中华人民共和国计量法实施细则》第四十五条“制造、修理的计量器具未经出厂检定或者经检定不合格而出厂的，责令其停止出厂，没收全部违法所得；情节严重</w:t>
      </w:r>
      <w:r>
        <w:rPr>
          <w:color w:val="auto"/>
        </w:rPr>
        <w:t>的，可并处三千元以下的罚款。”</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68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制造、修理的计量器具未经出厂检定或者经检定不合格而出厂，数量为 10 台以</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下的。</w:t>
      </w:r>
    </w:p>
    <w:p>
      <w:pPr>
        <w:pStyle w:val="13"/>
        <w:numPr>
          <w:ilvl w:val="0"/>
          <w:numId w:val="685"/>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1792"/>
        <w:rPr>
          <w:color w:val="auto"/>
        </w:rPr>
      </w:pPr>
      <w:r>
        <w:rPr>
          <w:color w:val="auto"/>
          <w:spacing w:val="-3"/>
        </w:rPr>
        <w:t xml:space="preserve">责令其停止出厂，没收全部违法所得，并处 </w:t>
      </w:r>
      <w:r>
        <w:rPr>
          <w:color w:val="auto"/>
        </w:rPr>
        <w:t>1000</w:t>
      </w:r>
      <w:r>
        <w:rPr>
          <w:color w:val="auto"/>
          <w:spacing w:val="-10"/>
        </w:rPr>
        <w:t xml:space="preserve"> 元以下的罚款。</w:t>
      </w:r>
      <w:r>
        <w:rPr>
          <w:color w:val="auto"/>
        </w:rPr>
        <w:t>2</w:t>
      </w:r>
      <w:r>
        <w:rPr>
          <w:color w:val="auto"/>
          <w:spacing w:val="-24"/>
        </w:rPr>
        <w:t>、【较重】</w:t>
      </w:r>
    </w:p>
    <w:p>
      <w:pPr>
        <w:pStyle w:val="13"/>
        <w:numPr>
          <w:ilvl w:val="0"/>
          <w:numId w:val="68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制造、修理的计量器具未经出厂检定或者经检定不合格而出厂，数量为 10 台以</w:t>
      </w:r>
    </w:p>
    <w:p>
      <w:pPr>
        <w:pStyle w:val="4"/>
        <w:spacing w:before="191"/>
        <w:rPr>
          <w:color w:val="auto"/>
        </w:rPr>
      </w:pPr>
      <w:r>
        <w:rPr>
          <w:color w:val="auto"/>
        </w:rPr>
        <w:t>上的 20 台以下的。</w:t>
      </w:r>
    </w:p>
    <w:p>
      <w:pPr>
        <w:pStyle w:val="13"/>
        <w:numPr>
          <w:ilvl w:val="0"/>
          <w:numId w:val="68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72"/>
        <w:rPr>
          <w:color w:val="auto"/>
        </w:rPr>
      </w:pPr>
      <w:r>
        <w:rPr>
          <w:color w:val="auto"/>
          <w:spacing w:val="-3"/>
        </w:rPr>
        <w:t xml:space="preserve">责令其停止出厂，没收全部违法所得，并处 </w:t>
      </w:r>
      <w:r>
        <w:rPr>
          <w:color w:val="auto"/>
        </w:rPr>
        <w:t>1000</w:t>
      </w:r>
      <w:r>
        <w:rPr>
          <w:color w:val="auto"/>
          <w:spacing w:val="-24"/>
        </w:rPr>
        <w:t xml:space="preserve"> 元以上 </w:t>
      </w:r>
      <w:r>
        <w:rPr>
          <w:color w:val="auto"/>
        </w:rPr>
        <w:t>2000</w:t>
      </w:r>
      <w:r>
        <w:rPr>
          <w:color w:val="auto"/>
          <w:spacing w:val="-10"/>
        </w:rPr>
        <w:t xml:space="preserve"> 元以下的罚款。</w:t>
      </w:r>
      <w:r>
        <w:rPr>
          <w:color w:val="auto"/>
        </w:rPr>
        <w:t>3</w:t>
      </w:r>
      <w:r>
        <w:rPr>
          <w:color w:val="auto"/>
          <w:spacing w:val="-24"/>
        </w:rPr>
        <w:t>、【严重】</w:t>
      </w:r>
    </w:p>
    <w:p>
      <w:pPr>
        <w:pStyle w:val="13"/>
        <w:numPr>
          <w:ilvl w:val="0"/>
          <w:numId w:val="68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213" w:firstLine="480"/>
        <w:rPr>
          <w:color w:val="auto"/>
        </w:rPr>
      </w:pPr>
      <w:r>
        <w:rPr>
          <w:color w:val="auto"/>
        </w:rPr>
        <w:t>制造、修理的计量器具未经出厂检定或者经检定不合格而出厂，数量为 20 台以上或产生严重后果的。</w:t>
      </w:r>
    </w:p>
    <w:p>
      <w:pPr>
        <w:pStyle w:val="13"/>
        <w:numPr>
          <w:ilvl w:val="0"/>
          <w:numId w:val="687"/>
        </w:numPr>
        <w:tabs>
          <w:tab w:val="left" w:pos="1193"/>
        </w:tabs>
        <w:spacing w:before="5" w:after="0" w:line="240" w:lineRule="auto"/>
        <w:ind w:left="1192" w:right="0" w:hanging="602"/>
        <w:jc w:val="left"/>
        <w:rPr>
          <w:color w:val="auto"/>
          <w:sz w:val="24"/>
        </w:rPr>
      </w:pPr>
      <w:r>
        <w:rPr>
          <w:color w:val="auto"/>
          <w:sz w:val="24"/>
        </w:rPr>
        <w:t>处罚标准</w:t>
      </w:r>
    </w:p>
    <w:p>
      <w:pPr>
        <w:spacing w:before="191" w:line="388" w:lineRule="auto"/>
        <w:ind w:left="591" w:right="240" w:firstLine="0"/>
        <w:jc w:val="left"/>
        <w:rPr>
          <w:b/>
          <w:color w:val="auto"/>
          <w:sz w:val="24"/>
        </w:rPr>
      </w:pPr>
      <w:r>
        <w:rPr>
          <w:color w:val="auto"/>
          <w:spacing w:val="-3"/>
          <w:sz w:val="24"/>
        </w:rPr>
        <w:t xml:space="preserve">责令其停止出厂，没收全部违法所得，并处 </w:t>
      </w:r>
      <w:r>
        <w:rPr>
          <w:color w:val="auto"/>
          <w:sz w:val="24"/>
        </w:rPr>
        <w:t>2000</w:t>
      </w:r>
      <w:r>
        <w:rPr>
          <w:color w:val="auto"/>
          <w:spacing w:val="-24"/>
          <w:sz w:val="24"/>
        </w:rPr>
        <w:t xml:space="preserve"> 元以上 </w:t>
      </w:r>
      <w:r>
        <w:rPr>
          <w:color w:val="auto"/>
          <w:sz w:val="24"/>
        </w:rPr>
        <w:t>3000</w:t>
      </w:r>
      <w:r>
        <w:rPr>
          <w:color w:val="auto"/>
          <w:spacing w:val="-8"/>
          <w:sz w:val="24"/>
        </w:rPr>
        <w:t xml:space="preserve"> 元以下的罚款。</w:t>
      </w:r>
      <w:bookmarkStart w:id="823" w:name="_bookmark411"/>
      <w:bookmarkEnd w:id="823"/>
      <w:bookmarkStart w:id="824" w:name="四百零一、使用不合格计量器具或者破坏计量器具准确度和伪造数据，给国家和消费者造成"/>
      <w:bookmarkEnd w:id="824"/>
      <w:r>
        <w:rPr>
          <w:b/>
          <w:color w:val="auto"/>
          <w:spacing w:val="-10"/>
          <w:sz w:val="24"/>
        </w:rPr>
        <w:t>四百零一、使用不合格计量器具或者破坏计量器具准确度和伪造数据，给国家和</w:t>
      </w:r>
    </w:p>
    <w:p>
      <w:pPr>
        <w:pStyle w:val="2"/>
        <w:spacing w:before="5"/>
        <w:ind w:left="111"/>
        <w:rPr>
          <w:color w:val="auto"/>
        </w:rPr>
      </w:pPr>
      <w:r>
        <w:rPr>
          <w:color w:val="auto"/>
        </w:rPr>
        <w:t>消费者造成损失</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spacing w:val="-3"/>
        </w:rPr>
        <w:t>《中华人民共和国计量法实施细则》第四十六条“使用不合格计量器具或者破坏</w:t>
      </w:r>
      <w:r>
        <w:rPr>
          <w:color w:val="auto"/>
          <w:spacing w:val="-4"/>
        </w:rPr>
        <w:t>计量器具准确度和伪造数据的，给国家和消费者造成损失的，责令其赔偿损失，没收</w:t>
      </w:r>
      <w:r>
        <w:rPr>
          <w:color w:val="auto"/>
        </w:rPr>
        <w:t>计量器具和全部违法所得，可并处二千元以下的罚款。”</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68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给国家和消费者造成损失 1000 元以下的。</w:t>
      </w:r>
    </w:p>
    <w:p>
      <w:pPr>
        <w:pStyle w:val="13"/>
        <w:numPr>
          <w:ilvl w:val="0"/>
          <w:numId w:val="68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92"/>
        <w:rPr>
          <w:color w:val="auto"/>
        </w:rPr>
      </w:pPr>
      <w:r>
        <w:rPr>
          <w:color w:val="auto"/>
          <w:spacing w:val="-3"/>
        </w:rPr>
        <w:t xml:space="preserve">责令其赔偿损失，没收计量器具和全部违法所得，并处 </w:t>
      </w:r>
      <w:r>
        <w:rPr>
          <w:color w:val="auto"/>
        </w:rPr>
        <w:t>1000</w:t>
      </w:r>
      <w:r>
        <w:rPr>
          <w:color w:val="auto"/>
          <w:spacing w:val="-10"/>
        </w:rPr>
        <w:t xml:space="preserve"> 元以下的罚款。</w:t>
      </w:r>
      <w:r>
        <w:rPr>
          <w:color w:val="auto"/>
        </w:rPr>
        <w:t>2</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689"/>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给国家和消费者造成损失 1000 元以上 5000 元以下的。</w:t>
      </w:r>
    </w:p>
    <w:p>
      <w:pPr>
        <w:pStyle w:val="13"/>
        <w:numPr>
          <w:ilvl w:val="0"/>
          <w:numId w:val="68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7"/>
        </w:rPr>
        <w:t xml:space="preserve">责令其赔偿损失，没收计量器具和全部违法所得，并处 </w:t>
      </w:r>
      <w:r>
        <w:rPr>
          <w:color w:val="auto"/>
        </w:rPr>
        <w:t>1000</w:t>
      </w:r>
      <w:r>
        <w:rPr>
          <w:color w:val="auto"/>
          <w:spacing w:val="-24"/>
        </w:rPr>
        <w:t xml:space="preserve"> 元以上 </w:t>
      </w:r>
      <w:r>
        <w:rPr>
          <w:color w:val="auto"/>
        </w:rPr>
        <w:t>1500</w:t>
      </w:r>
      <w:r>
        <w:rPr>
          <w:color w:val="auto"/>
          <w:spacing w:val="-19"/>
        </w:rPr>
        <w:t xml:space="preserve"> 元以下</w:t>
      </w:r>
      <w:r>
        <w:rPr>
          <w:color w:val="auto"/>
        </w:rPr>
        <w:t>的罚款。</w:t>
      </w:r>
    </w:p>
    <w:p>
      <w:pPr>
        <w:pStyle w:val="4"/>
        <w:spacing w:line="306" w:lineRule="exact"/>
        <w:ind w:left="591"/>
        <w:rPr>
          <w:color w:val="auto"/>
        </w:rPr>
      </w:pPr>
      <w:r>
        <w:rPr>
          <w:color w:val="auto"/>
        </w:rPr>
        <w:t>3、【严重】</w:t>
      </w:r>
    </w:p>
    <w:p>
      <w:pPr>
        <w:pStyle w:val="13"/>
        <w:numPr>
          <w:ilvl w:val="0"/>
          <w:numId w:val="69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给国家和消费者造成损失 5000 元以上。</w:t>
      </w:r>
    </w:p>
    <w:p>
      <w:pPr>
        <w:pStyle w:val="13"/>
        <w:numPr>
          <w:ilvl w:val="0"/>
          <w:numId w:val="69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7"/>
        </w:rPr>
        <w:t xml:space="preserve">责令其赔偿损失，没收计量器具和全部违法所得，并处 </w:t>
      </w:r>
      <w:r>
        <w:rPr>
          <w:color w:val="auto"/>
        </w:rPr>
        <w:t>1500</w:t>
      </w:r>
      <w:r>
        <w:rPr>
          <w:color w:val="auto"/>
          <w:spacing w:val="-24"/>
        </w:rPr>
        <w:t xml:space="preserve"> 元以上 </w:t>
      </w:r>
      <w:r>
        <w:rPr>
          <w:color w:val="auto"/>
        </w:rPr>
        <w:t>2000</w:t>
      </w:r>
      <w:r>
        <w:rPr>
          <w:color w:val="auto"/>
          <w:spacing w:val="-19"/>
        </w:rPr>
        <w:t xml:space="preserve"> 元以下</w:t>
      </w:r>
      <w:r>
        <w:rPr>
          <w:color w:val="auto"/>
        </w:rPr>
        <w:t>的罚款。</w:t>
      </w:r>
    </w:p>
    <w:p>
      <w:pPr>
        <w:pStyle w:val="2"/>
        <w:spacing w:line="306" w:lineRule="exact"/>
        <w:rPr>
          <w:color w:val="auto"/>
        </w:rPr>
      </w:pPr>
      <w:bookmarkStart w:id="825" w:name="_bookmark412"/>
      <w:bookmarkEnd w:id="825"/>
      <w:bookmarkStart w:id="826" w:name="四百零二、经营销售残次计量器具零配件"/>
      <w:bookmarkEnd w:id="826"/>
      <w:r>
        <w:rPr>
          <w:color w:val="auto"/>
        </w:rPr>
        <w:t>四百零二、经营销售残次计量器具零配件</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3"/>
        </w:rPr>
        <w:t>《中华人民共和国计量法实施细则》第四十七条“经营销售残次计量器具零配件</w:t>
      </w:r>
      <w:r>
        <w:rPr>
          <w:color w:val="auto"/>
          <w:spacing w:val="-6"/>
        </w:rPr>
        <w:t>的，责令其停止经营销售，没收残次计量器具零配件和全部违法所得，可并处二千元</w:t>
      </w:r>
      <w:r>
        <w:rPr>
          <w:color w:val="auto"/>
        </w:rPr>
        <w:t>以下的罚款；情节严重的，由工商行政管理部门吊销其营业执照。”</w:t>
      </w:r>
    </w:p>
    <w:p>
      <w:pPr>
        <w:spacing w:before="6"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69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有下列情形之一的：1、违法所得 5000 元以下的；2、经营销售残次计量器具零</w:t>
      </w:r>
    </w:p>
    <w:p>
      <w:pPr>
        <w:pStyle w:val="4"/>
        <w:spacing w:before="191"/>
        <w:rPr>
          <w:color w:val="auto"/>
        </w:rPr>
      </w:pPr>
      <w:r>
        <w:rPr>
          <w:color w:val="auto"/>
        </w:rPr>
        <w:t>配件数量在 100 台件以下的。</w:t>
      </w:r>
    </w:p>
    <w:p>
      <w:pPr>
        <w:pStyle w:val="13"/>
        <w:numPr>
          <w:ilvl w:val="0"/>
          <w:numId w:val="69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13" w:firstLine="480"/>
        <w:rPr>
          <w:color w:val="auto"/>
        </w:rPr>
      </w:pPr>
      <w:r>
        <w:rPr>
          <w:color w:val="auto"/>
        </w:rPr>
        <w:t>责令其停止经营销售，没收残次计量器具零配件和全部违法所得，并处 1000 元以下的罚款。</w:t>
      </w:r>
    </w:p>
    <w:p>
      <w:pPr>
        <w:pStyle w:val="4"/>
        <w:spacing w:before="2"/>
        <w:ind w:left="591"/>
        <w:rPr>
          <w:color w:val="auto"/>
        </w:rPr>
      </w:pPr>
      <w:r>
        <w:rPr>
          <w:color w:val="auto"/>
        </w:rPr>
        <w:t>2、【较重】</w:t>
      </w:r>
    </w:p>
    <w:p>
      <w:pPr>
        <w:pStyle w:val="13"/>
        <w:numPr>
          <w:ilvl w:val="0"/>
          <w:numId w:val="69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有下列情形之一的：2、违法所得在 10000 元以下的；2、经营销售残次计量器具</w:t>
      </w:r>
    </w:p>
    <w:p>
      <w:pPr>
        <w:pStyle w:val="4"/>
        <w:spacing w:before="192"/>
        <w:rPr>
          <w:color w:val="auto"/>
        </w:rPr>
      </w:pPr>
      <w:r>
        <w:rPr>
          <w:color w:val="auto"/>
        </w:rPr>
        <w:t>零配件数量在 100 件以上 500 台件以下的。</w:t>
      </w:r>
    </w:p>
    <w:p>
      <w:pPr>
        <w:spacing w:after="0"/>
        <w:rPr>
          <w:color w:val="auto"/>
        </w:rPr>
        <w:sectPr>
          <w:footerReference r:id="rId93" w:type="default"/>
          <w:footerReference r:id="rId94" w:type="even"/>
          <w:pgSz w:w="11910" w:h="16840"/>
          <w:pgMar w:top="1520" w:right="1260" w:bottom="1220" w:left="1420" w:header="0" w:footer="1034" w:gutter="0"/>
          <w:pgNumType w:start="390"/>
        </w:sectPr>
      </w:pPr>
    </w:p>
    <w:p>
      <w:pPr>
        <w:pStyle w:val="13"/>
        <w:numPr>
          <w:ilvl w:val="0"/>
          <w:numId w:val="692"/>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责令其停止经营销售，没收残次计量器具零配件和全部违法所得，可并处 1000</w:t>
      </w:r>
    </w:p>
    <w:p>
      <w:pPr>
        <w:pStyle w:val="4"/>
        <w:spacing w:before="191" w:line="388" w:lineRule="auto"/>
        <w:ind w:left="591" w:right="6112" w:hanging="480"/>
        <w:rPr>
          <w:color w:val="auto"/>
        </w:rPr>
      </w:pPr>
      <w:r>
        <w:rPr>
          <w:color w:val="auto"/>
          <w:spacing w:val="-15"/>
        </w:rPr>
        <w:t xml:space="preserve">元以上 </w:t>
      </w:r>
      <w:r>
        <w:rPr>
          <w:color w:val="auto"/>
        </w:rPr>
        <w:t>1500</w:t>
      </w:r>
      <w:r>
        <w:rPr>
          <w:color w:val="auto"/>
          <w:spacing w:val="-10"/>
        </w:rPr>
        <w:t xml:space="preserve"> 元以下的罚款。</w:t>
      </w:r>
      <w:r>
        <w:rPr>
          <w:color w:val="auto"/>
        </w:rPr>
        <w:t>3</w:t>
      </w:r>
      <w:r>
        <w:rPr>
          <w:color w:val="auto"/>
          <w:spacing w:val="-24"/>
        </w:rPr>
        <w:t>、【严重】</w:t>
      </w:r>
    </w:p>
    <w:p>
      <w:pPr>
        <w:pStyle w:val="13"/>
        <w:numPr>
          <w:ilvl w:val="0"/>
          <w:numId w:val="69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经营销售残次计量器具零配件数量在 500 件以上的。</w:t>
      </w:r>
    </w:p>
    <w:p>
      <w:pPr>
        <w:pStyle w:val="13"/>
        <w:numPr>
          <w:ilvl w:val="0"/>
          <w:numId w:val="69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责令其停止经营销售，没收残次计量器具零配件和全部违法所得，并处 1500 元</w:t>
      </w:r>
    </w:p>
    <w:p>
      <w:pPr>
        <w:pStyle w:val="4"/>
        <w:spacing w:before="192"/>
        <w:rPr>
          <w:color w:val="auto"/>
        </w:rPr>
      </w:pPr>
      <w:r>
        <w:rPr>
          <w:color w:val="auto"/>
        </w:rPr>
        <w:t>以上 2000 元以下的罚款；吊销营业执照。</w:t>
      </w:r>
    </w:p>
    <w:p>
      <w:pPr>
        <w:pStyle w:val="2"/>
        <w:spacing w:before="192"/>
        <w:rPr>
          <w:color w:val="auto"/>
        </w:rPr>
      </w:pPr>
      <w:bookmarkStart w:id="827" w:name="四百零三、制造、销售、使用、修理以欺骗消费者为目的的计量器具"/>
      <w:bookmarkEnd w:id="827"/>
      <w:bookmarkStart w:id="828" w:name="_bookmark413"/>
      <w:bookmarkEnd w:id="828"/>
      <w:r>
        <w:rPr>
          <w:color w:val="auto"/>
        </w:rPr>
        <w:t>四百零三、制造、销售、使用、修理以欺骗消费者为目的的计量器具</w:t>
      </w:r>
    </w:p>
    <w:p>
      <w:pPr>
        <w:spacing w:before="194"/>
        <w:ind w:left="591" w:right="0" w:firstLine="0"/>
        <w:jc w:val="left"/>
        <w:rPr>
          <w:b/>
          <w:color w:val="auto"/>
          <w:sz w:val="24"/>
        </w:rPr>
      </w:pPr>
      <w:r>
        <w:rPr>
          <w:b/>
          <w:color w:val="auto"/>
          <w:sz w:val="24"/>
        </w:rPr>
        <w:t>（一）处罚依据</w:t>
      </w:r>
    </w:p>
    <w:p>
      <w:pPr>
        <w:pStyle w:val="4"/>
        <w:spacing w:before="191" w:line="391" w:lineRule="auto"/>
        <w:ind w:right="266" w:firstLine="480"/>
        <w:jc w:val="both"/>
        <w:rPr>
          <w:color w:val="auto"/>
        </w:rPr>
      </w:pPr>
      <w:r>
        <w:rPr>
          <w:color w:val="auto"/>
        </w:rPr>
        <w:t>1</w:t>
      </w:r>
      <w:r>
        <w:rPr>
          <w:color w:val="auto"/>
          <w:spacing w:val="-14"/>
        </w:rPr>
        <w:t>、《中华人民共和国计量法》第二十七条“制造、销售、使用以欺骗消费者为目</w:t>
      </w:r>
      <w:r>
        <w:rPr>
          <w:color w:val="auto"/>
          <w:spacing w:val="-6"/>
        </w:rPr>
        <w:t>的的计量器具的，没收计量器具和违法所得，处以罚款；情节严重的，并对个人或者单位直接责任人员依照刑法有关规定追究刑事责任。”</w:t>
      </w:r>
    </w:p>
    <w:p>
      <w:pPr>
        <w:pStyle w:val="4"/>
        <w:spacing w:line="391" w:lineRule="auto"/>
        <w:ind w:right="266" w:firstLine="480"/>
        <w:jc w:val="both"/>
        <w:rPr>
          <w:color w:val="auto"/>
        </w:rPr>
      </w:pPr>
      <w:r>
        <w:rPr>
          <w:color w:val="auto"/>
        </w:rPr>
        <w:t>2</w:t>
      </w:r>
      <w:r>
        <w:rPr>
          <w:color w:val="auto"/>
          <w:spacing w:val="-13"/>
        </w:rPr>
        <w:t>、《中华人民共和国计量法实施细则》第四十八条“制造、销售、使用以欺骗消</w:t>
      </w:r>
      <w:r>
        <w:rPr>
          <w:color w:val="auto"/>
          <w:spacing w:val="-4"/>
        </w:rPr>
        <w:t>费者为目的的计量器具的单位和个人，没收其计量器具和全部违法所得，可并处二千元以下的罚款；构成犯罪的，对个人或者单位直接责任人员，依法追究刑事责任。”</w:t>
      </w:r>
    </w:p>
    <w:p>
      <w:pPr>
        <w:pStyle w:val="4"/>
        <w:spacing w:line="391" w:lineRule="auto"/>
        <w:ind w:right="148" w:firstLine="600"/>
        <w:rPr>
          <w:color w:val="auto"/>
        </w:rPr>
      </w:pPr>
      <w:r>
        <w:rPr>
          <w:color w:val="auto"/>
        </w:rPr>
        <w:t>3</w:t>
      </w:r>
      <w:r>
        <w:rPr>
          <w:color w:val="auto"/>
          <w:spacing w:val="-14"/>
        </w:rPr>
        <w:t>、《计量违法行为处罚细则》第十二条“使用计量器具违反计量法律、法规的， 按以下规定处罚：</w:t>
      </w:r>
      <w:r>
        <w:rPr>
          <w:color w:val="auto"/>
          <w:spacing w:val="2"/>
        </w:rPr>
        <w:t>（六）</w:t>
      </w:r>
      <w:r>
        <w:rPr>
          <w:color w:val="auto"/>
        </w:rPr>
        <w:t>使用以欺骗消费者为目的计量器具或者……，给国家或消费</w:t>
      </w:r>
      <w:r>
        <w:rPr>
          <w:color w:val="auto"/>
          <w:spacing w:val="-4"/>
        </w:rPr>
        <w:t>者造成损失的，责令赔偿损失，没收计量器具和全部违法所得，可并处二千元以下罚</w:t>
      </w:r>
      <w:r>
        <w:rPr>
          <w:color w:val="auto"/>
          <w:spacing w:val="-11"/>
        </w:rPr>
        <w:t>款；构成犯罪的，依法追究刑事责任。”</w:t>
      </w:r>
    </w:p>
    <w:p>
      <w:pPr>
        <w:pStyle w:val="4"/>
        <w:spacing w:line="391" w:lineRule="auto"/>
        <w:ind w:right="268" w:firstLine="600"/>
        <w:jc w:val="both"/>
        <w:rPr>
          <w:color w:val="auto"/>
        </w:rPr>
      </w:pPr>
      <w:r>
        <w:rPr>
          <w:color w:val="auto"/>
        </w:rPr>
        <w:t>4</w:t>
      </w:r>
      <w:r>
        <w:rPr>
          <w:color w:val="auto"/>
          <w:spacing w:val="-12"/>
        </w:rPr>
        <w:t>、《计量违法行为处罚细则》第十五条“制造、修理、销售以欺骗消费者为目</w:t>
      </w:r>
      <w:r>
        <w:rPr>
          <w:color w:val="auto"/>
          <w:spacing w:val="-13"/>
        </w:rPr>
        <w:t>的的计量器具的，没收计量器具和全部违法所得，可并处二千元以下罚款；构成犯罪</w:t>
      </w:r>
      <w:r>
        <w:rPr>
          <w:color w:val="auto"/>
          <w:spacing w:val="-5"/>
        </w:rPr>
        <w:t>的，对个人或单位直接责任人员，依法追究刑事责任。”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69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75"/>
        <w:ind w:left="591"/>
        <w:rPr>
          <w:color w:val="auto"/>
        </w:rPr>
      </w:pPr>
      <w:r>
        <w:rPr>
          <w:color w:val="auto"/>
        </w:rPr>
        <w:t>有下列情形之一的：1、使用、修理行为，违法所得在 1000 元以下的；2、销售</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行为，违法销售额在 1000 元以下的；3、制造行为，违法货值在 1000 元以下的。</w:t>
      </w:r>
    </w:p>
    <w:p>
      <w:pPr>
        <w:pStyle w:val="13"/>
        <w:numPr>
          <w:ilvl w:val="0"/>
          <w:numId w:val="694"/>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2272"/>
        <w:rPr>
          <w:color w:val="auto"/>
        </w:rPr>
      </w:pPr>
      <w:r>
        <w:rPr>
          <w:color w:val="auto"/>
          <w:spacing w:val="-4"/>
        </w:rPr>
        <w:t xml:space="preserve">没收其计量器具和全部违法所得，并处 </w:t>
      </w:r>
      <w:r>
        <w:rPr>
          <w:color w:val="auto"/>
        </w:rPr>
        <w:t>1000</w:t>
      </w:r>
      <w:r>
        <w:rPr>
          <w:color w:val="auto"/>
          <w:spacing w:val="-10"/>
        </w:rPr>
        <w:t xml:space="preserve"> 元以下的罚款。</w:t>
      </w:r>
      <w:r>
        <w:rPr>
          <w:color w:val="auto"/>
        </w:rPr>
        <w:t>2</w:t>
      </w:r>
      <w:r>
        <w:rPr>
          <w:color w:val="auto"/>
          <w:spacing w:val="-24"/>
        </w:rPr>
        <w:t>、【较重】</w:t>
      </w:r>
    </w:p>
    <w:p>
      <w:pPr>
        <w:pStyle w:val="13"/>
        <w:numPr>
          <w:ilvl w:val="0"/>
          <w:numId w:val="695"/>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w:t>
      </w:r>
      <w:r>
        <w:rPr>
          <w:color w:val="auto"/>
          <w:spacing w:val="-4"/>
        </w:rPr>
        <w:t xml:space="preserve">、使用、修理行为，违法所得在 </w:t>
      </w:r>
      <w:r>
        <w:rPr>
          <w:color w:val="auto"/>
        </w:rPr>
        <w:t>1000</w:t>
      </w:r>
      <w:r>
        <w:rPr>
          <w:color w:val="auto"/>
          <w:spacing w:val="-19"/>
        </w:rPr>
        <w:t xml:space="preserve"> 元以上 </w:t>
      </w:r>
      <w:r>
        <w:rPr>
          <w:color w:val="auto"/>
        </w:rPr>
        <w:t>5000</w:t>
      </w:r>
      <w:r>
        <w:rPr>
          <w:color w:val="auto"/>
          <w:spacing w:val="-12"/>
        </w:rPr>
        <w:t xml:space="preserve"> 元以下</w:t>
      </w:r>
    </w:p>
    <w:p>
      <w:pPr>
        <w:pStyle w:val="4"/>
        <w:spacing w:before="191"/>
        <w:rPr>
          <w:color w:val="auto"/>
        </w:rPr>
      </w:pPr>
      <w:r>
        <w:rPr>
          <w:color w:val="auto"/>
          <w:spacing w:val="-2"/>
        </w:rPr>
        <w:t>的；</w:t>
      </w:r>
      <w:r>
        <w:rPr>
          <w:color w:val="auto"/>
          <w:spacing w:val="-4"/>
        </w:rPr>
        <w:t>2</w:t>
      </w:r>
      <w:r>
        <w:rPr>
          <w:color w:val="auto"/>
          <w:spacing w:val="-8"/>
        </w:rPr>
        <w:t xml:space="preserve">、销售行为，违法销售在 </w:t>
      </w:r>
      <w:r>
        <w:rPr>
          <w:color w:val="auto"/>
        </w:rPr>
        <w:t>1000</w:t>
      </w:r>
      <w:r>
        <w:rPr>
          <w:color w:val="auto"/>
          <w:spacing w:val="-20"/>
        </w:rPr>
        <w:t xml:space="preserve"> 元以上的 </w:t>
      </w:r>
      <w:r>
        <w:rPr>
          <w:color w:val="auto"/>
        </w:rPr>
        <w:t>5000</w:t>
      </w:r>
      <w:r>
        <w:rPr>
          <w:color w:val="auto"/>
          <w:spacing w:val="-11"/>
        </w:rPr>
        <w:t xml:space="preserve"> 元以下的；</w:t>
      </w:r>
      <w:r>
        <w:rPr>
          <w:color w:val="auto"/>
          <w:spacing w:val="-3"/>
        </w:rPr>
        <w:t>3</w:t>
      </w:r>
      <w:r>
        <w:rPr>
          <w:color w:val="auto"/>
          <w:spacing w:val="-4"/>
        </w:rPr>
        <w:t>、制造行为，违法额</w:t>
      </w:r>
    </w:p>
    <w:p>
      <w:pPr>
        <w:pStyle w:val="4"/>
        <w:spacing w:before="194"/>
        <w:rPr>
          <w:color w:val="auto"/>
        </w:rPr>
      </w:pPr>
      <w:r>
        <w:rPr>
          <w:color w:val="auto"/>
        </w:rPr>
        <w:t>货值在 1000 元以上 5000 元以下的。</w:t>
      </w:r>
    </w:p>
    <w:p>
      <w:pPr>
        <w:pStyle w:val="13"/>
        <w:numPr>
          <w:ilvl w:val="0"/>
          <w:numId w:val="69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712"/>
        <w:rPr>
          <w:color w:val="auto"/>
        </w:rPr>
      </w:pPr>
      <w:r>
        <w:rPr>
          <w:color w:val="auto"/>
          <w:spacing w:val="-4"/>
        </w:rPr>
        <w:t xml:space="preserve">没收其计量器具和全部违法所得，可并处 </w:t>
      </w:r>
      <w:r>
        <w:rPr>
          <w:color w:val="auto"/>
        </w:rPr>
        <w:t>1000</w:t>
      </w:r>
      <w:r>
        <w:rPr>
          <w:color w:val="auto"/>
          <w:spacing w:val="-24"/>
        </w:rPr>
        <w:t xml:space="preserve"> 元以上 </w:t>
      </w:r>
      <w:r>
        <w:rPr>
          <w:color w:val="auto"/>
        </w:rPr>
        <w:t>1500</w:t>
      </w:r>
      <w:r>
        <w:rPr>
          <w:color w:val="auto"/>
          <w:spacing w:val="-10"/>
        </w:rPr>
        <w:t xml:space="preserve"> 元以下的罚款。</w:t>
      </w:r>
      <w:r>
        <w:rPr>
          <w:color w:val="auto"/>
        </w:rPr>
        <w:t>3</w:t>
      </w:r>
      <w:r>
        <w:rPr>
          <w:color w:val="auto"/>
          <w:spacing w:val="-24"/>
        </w:rPr>
        <w:t>、【严重】</w:t>
      </w:r>
    </w:p>
    <w:p>
      <w:pPr>
        <w:pStyle w:val="13"/>
        <w:numPr>
          <w:ilvl w:val="0"/>
          <w:numId w:val="69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有下列情形之一的：1、使用、修理行为，违法所得在 5000 元以上的；2、销售</w:t>
      </w:r>
    </w:p>
    <w:p>
      <w:pPr>
        <w:pStyle w:val="4"/>
        <w:spacing w:before="194"/>
        <w:rPr>
          <w:color w:val="auto"/>
        </w:rPr>
      </w:pPr>
      <w:r>
        <w:rPr>
          <w:color w:val="auto"/>
        </w:rPr>
        <w:t>行为，违法销售额在 5000 元以上的；3、制造行为，违法货值在 5000 元以上的。</w:t>
      </w:r>
    </w:p>
    <w:p>
      <w:pPr>
        <w:pStyle w:val="13"/>
        <w:numPr>
          <w:ilvl w:val="0"/>
          <w:numId w:val="69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没收其计量器具和全部违法所得，并处 1500 元以上 2000 元以下的罚款。</w:t>
      </w:r>
    </w:p>
    <w:p>
      <w:pPr>
        <w:pStyle w:val="2"/>
        <w:spacing w:before="194" w:line="388" w:lineRule="auto"/>
        <w:ind w:left="111" w:right="240" w:firstLine="480"/>
        <w:rPr>
          <w:color w:val="auto"/>
        </w:rPr>
      </w:pPr>
      <w:bookmarkStart w:id="829" w:name="_bookmark414"/>
      <w:bookmarkEnd w:id="829"/>
      <w:bookmarkStart w:id="830" w:name="四百零四、个体工商户制造、修理国家规定范围以外的计量器具或者不按照规定场所从事经"/>
      <w:bookmarkEnd w:id="830"/>
      <w:r>
        <w:rPr>
          <w:color w:val="auto"/>
          <w:spacing w:val="-9"/>
        </w:rPr>
        <w:t>四百零四、个体工商户制造、修理国家规定范围以外的计量器具或者不按照规定场所从事经营活动</w:t>
      </w:r>
    </w:p>
    <w:p>
      <w:pPr>
        <w:spacing w:before="2"/>
        <w:ind w:left="591" w:right="0" w:firstLine="0"/>
        <w:jc w:val="left"/>
        <w:rPr>
          <w:b/>
          <w:color w:val="auto"/>
          <w:sz w:val="24"/>
        </w:rPr>
      </w:pPr>
      <w:r>
        <w:rPr>
          <w:b/>
          <w:color w:val="auto"/>
          <w:sz w:val="24"/>
        </w:rPr>
        <w:t>（一）处罚依据</w:t>
      </w:r>
    </w:p>
    <w:p>
      <w:pPr>
        <w:pStyle w:val="4"/>
        <w:spacing w:before="194" w:line="388" w:lineRule="auto"/>
        <w:ind w:right="148" w:firstLine="470"/>
        <w:rPr>
          <w:color w:val="auto"/>
        </w:rPr>
      </w:pPr>
      <w:r>
        <w:rPr>
          <w:color w:val="auto"/>
          <w:spacing w:val="-3"/>
        </w:rPr>
        <w:t>《中华人民共和国计量法实施细则》第四十九条“个体工商户制造、修理国家规</w:t>
      </w:r>
      <w:r>
        <w:rPr>
          <w:color w:val="auto"/>
          <w:spacing w:val="-10"/>
        </w:rPr>
        <w:t xml:space="preserve">定范围以外的计量器具或者不按照规定场所从事经营活动的，责令其停止制造、修理， </w:t>
      </w:r>
      <w:r>
        <w:rPr>
          <w:color w:val="auto"/>
        </w:rPr>
        <w:t>没收全部违法所得，可并处以五百元以下的罚款。”</w:t>
      </w:r>
    </w:p>
    <w:p>
      <w:pPr>
        <w:spacing w:before="6"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69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有下列情形之一的：1、个体工商户修理国家规定范围以外的计量器具或者不按照规定场所从事经营活动，违法所得在 300 元以下的；2、个体工商户制造国家规定</w:t>
      </w:r>
    </w:p>
    <w:p>
      <w:pPr>
        <w:pStyle w:val="4"/>
        <w:spacing w:before="2"/>
        <w:rPr>
          <w:color w:val="auto"/>
        </w:rPr>
      </w:pPr>
      <w:r>
        <w:rPr>
          <w:color w:val="auto"/>
          <w:spacing w:val="-4"/>
        </w:rPr>
        <w:t>范围以外的计量器具或者不按照规定场所从事经营活动的，违法所得在</w:t>
      </w:r>
      <w:r>
        <w:rPr>
          <w:color w:val="auto"/>
        </w:rPr>
        <w:t>300</w:t>
      </w:r>
      <w:r>
        <w:rPr>
          <w:color w:val="auto"/>
          <w:spacing w:val="-14"/>
        </w:rPr>
        <w:t xml:space="preserve"> 元以下的。</w:t>
      </w:r>
    </w:p>
    <w:p>
      <w:pPr>
        <w:spacing w:after="0"/>
        <w:rPr>
          <w:color w:val="auto"/>
        </w:rPr>
        <w:sectPr>
          <w:pgSz w:w="11910" w:h="16840"/>
          <w:pgMar w:top="1520" w:right="1260" w:bottom="1220" w:left="1420" w:header="0" w:footer="1034" w:gutter="0"/>
        </w:sectPr>
      </w:pPr>
    </w:p>
    <w:p>
      <w:pPr>
        <w:pStyle w:val="13"/>
        <w:numPr>
          <w:ilvl w:val="0"/>
          <w:numId w:val="69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952"/>
        <w:rPr>
          <w:color w:val="auto"/>
        </w:rPr>
      </w:pPr>
      <w:r>
        <w:rPr>
          <w:color w:val="auto"/>
          <w:spacing w:val="-3"/>
        </w:rPr>
        <w:t xml:space="preserve">责令其停止制造、修理，没收全部违法所得，并处以 </w:t>
      </w:r>
      <w:r>
        <w:rPr>
          <w:color w:val="auto"/>
        </w:rPr>
        <w:t>200</w:t>
      </w:r>
      <w:r>
        <w:rPr>
          <w:color w:val="auto"/>
          <w:spacing w:val="-10"/>
        </w:rPr>
        <w:t xml:space="preserve"> 元以下的罚款。</w:t>
      </w:r>
      <w:r>
        <w:rPr>
          <w:color w:val="auto"/>
        </w:rPr>
        <w:t>2</w:t>
      </w:r>
      <w:r>
        <w:rPr>
          <w:color w:val="auto"/>
          <w:spacing w:val="-24"/>
        </w:rPr>
        <w:t>、【较重】</w:t>
      </w:r>
    </w:p>
    <w:p>
      <w:pPr>
        <w:pStyle w:val="13"/>
        <w:numPr>
          <w:ilvl w:val="0"/>
          <w:numId w:val="69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91" w:lineRule="auto"/>
        <w:ind w:right="268" w:firstLine="480"/>
        <w:jc w:val="both"/>
        <w:rPr>
          <w:color w:val="auto"/>
        </w:rPr>
      </w:pPr>
      <w:r>
        <w:rPr>
          <w:color w:val="auto"/>
        </w:rPr>
        <w:t>有下列情形之一的：1、个体工商户修理国家规定范围以外的计量器具或者不按</w:t>
      </w:r>
      <w:r>
        <w:rPr>
          <w:color w:val="auto"/>
          <w:spacing w:val="-3"/>
        </w:rPr>
        <w:t xml:space="preserve">照规定场所从事经营活动，违法所得在 </w:t>
      </w:r>
      <w:r>
        <w:rPr>
          <w:color w:val="auto"/>
        </w:rPr>
        <w:t>300</w:t>
      </w:r>
      <w:r>
        <w:rPr>
          <w:color w:val="auto"/>
          <w:spacing w:val="-19"/>
        </w:rPr>
        <w:t xml:space="preserve"> 元以上 </w:t>
      </w:r>
      <w:r>
        <w:rPr>
          <w:color w:val="auto"/>
        </w:rPr>
        <w:t>500</w:t>
      </w:r>
      <w:r>
        <w:rPr>
          <w:color w:val="auto"/>
          <w:spacing w:val="-8"/>
        </w:rPr>
        <w:t xml:space="preserve"> 元以下的；</w:t>
      </w:r>
      <w:r>
        <w:rPr>
          <w:color w:val="auto"/>
          <w:spacing w:val="3"/>
        </w:rPr>
        <w:t>2</w:t>
      </w:r>
      <w:r>
        <w:rPr>
          <w:color w:val="auto"/>
        </w:rPr>
        <w:t>、个体工商户制</w:t>
      </w:r>
      <w:r>
        <w:rPr>
          <w:color w:val="auto"/>
          <w:spacing w:val="2"/>
        </w:rPr>
        <w:t>造国家规定范围以外的计量器具或者不按照规定场所从事经营活动的，违法所得在300</w:t>
      </w:r>
      <w:r>
        <w:rPr>
          <w:color w:val="auto"/>
          <w:spacing w:val="-24"/>
        </w:rPr>
        <w:t xml:space="preserve"> 元以上 </w:t>
      </w:r>
      <w:r>
        <w:rPr>
          <w:color w:val="auto"/>
        </w:rPr>
        <w:t>500</w:t>
      </w:r>
      <w:r>
        <w:rPr>
          <w:color w:val="auto"/>
          <w:spacing w:val="-10"/>
        </w:rPr>
        <w:t xml:space="preserve"> 元以下的。</w:t>
      </w:r>
    </w:p>
    <w:p>
      <w:pPr>
        <w:pStyle w:val="13"/>
        <w:numPr>
          <w:ilvl w:val="0"/>
          <w:numId w:val="698"/>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1" w:line="391" w:lineRule="auto"/>
        <w:ind w:right="268" w:firstLine="480"/>
        <w:rPr>
          <w:color w:val="auto"/>
        </w:rPr>
      </w:pPr>
      <w:r>
        <w:rPr>
          <w:color w:val="auto"/>
          <w:spacing w:val="-7"/>
        </w:rPr>
        <w:t xml:space="preserve">责令其停止制造、修理，没收全部违法所得，并处以 </w:t>
      </w:r>
      <w:r>
        <w:rPr>
          <w:color w:val="auto"/>
        </w:rPr>
        <w:t>200</w:t>
      </w:r>
      <w:r>
        <w:rPr>
          <w:color w:val="auto"/>
          <w:spacing w:val="-24"/>
        </w:rPr>
        <w:t xml:space="preserve"> 元以上 </w:t>
      </w:r>
      <w:r>
        <w:rPr>
          <w:color w:val="auto"/>
        </w:rPr>
        <w:t>300</w:t>
      </w:r>
      <w:r>
        <w:rPr>
          <w:color w:val="auto"/>
          <w:spacing w:val="-13"/>
        </w:rPr>
        <w:t xml:space="preserve"> 元以下的罚</w:t>
      </w:r>
      <w:r>
        <w:rPr>
          <w:color w:val="auto"/>
        </w:rPr>
        <w:t>款。</w:t>
      </w:r>
    </w:p>
    <w:p>
      <w:pPr>
        <w:pStyle w:val="4"/>
        <w:spacing w:line="306" w:lineRule="exact"/>
        <w:ind w:left="591"/>
        <w:rPr>
          <w:color w:val="auto"/>
        </w:rPr>
      </w:pPr>
      <w:r>
        <w:rPr>
          <w:color w:val="auto"/>
        </w:rPr>
        <w:t>3、【严重】</w:t>
      </w:r>
    </w:p>
    <w:p>
      <w:pPr>
        <w:pStyle w:val="13"/>
        <w:numPr>
          <w:ilvl w:val="0"/>
          <w:numId w:val="69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有下列情形之一的：1、个体工商户修理国家规定范围以外的计量器具或者不按照规定场所从事经营活动，违法所得在 500 元以上的；2、个体工商户制造国家规定</w:t>
      </w:r>
    </w:p>
    <w:p>
      <w:pPr>
        <w:pStyle w:val="4"/>
        <w:spacing w:before="2"/>
        <w:rPr>
          <w:color w:val="auto"/>
        </w:rPr>
      </w:pPr>
      <w:r>
        <w:rPr>
          <w:color w:val="auto"/>
          <w:spacing w:val="-4"/>
        </w:rPr>
        <w:t>范围以外的计量器具或者不按照规定场所从事经营活动的，违法所得在</w:t>
      </w:r>
      <w:r>
        <w:rPr>
          <w:color w:val="auto"/>
        </w:rPr>
        <w:t>500</w:t>
      </w:r>
      <w:r>
        <w:rPr>
          <w:color w:val="auto"/>
          <w:spacing w:val="-14"/>
        </w:rPr>
        <w:t xml:space="preserve"> 元以上的。</w:t>
      </w:r>
    </w:p>
    <w:p>
      <w:pPr>
        <w:pStyle w:val="13"/>
        <w:numPr>
          <w:ilvl w:val="0"/>
          <w:numId w:val="69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7"/>
        </w:rPr>
        <w:t xml:space="preserve">责令其停止制造、修理，没收全部违法所得，并处以 </w:t>
      </w:r>
      <w:r>
        <w:rPr>
          <w:color w:val="auto"/>
        </w:rPr>
        <w:t>300</w:t>
      </w:r>
      <w:r>
        <w:rPr>
          <w:color w:val="auto"/>
          <w:spacing w:val="-24"/>
        </w:rPr>
        <w:t xml:space="preserve"> 元以上 </w:t>
      </w:r>
      <w:r>
        <w:rPr>
          <w:color w:val="auto"/>
        </w:rPr>
        <w:t>500</w:t>
      </w:r>
      <w:r>
        <w:rPr>
          <w:color w:val="auto"/>
          <w:spacing w:val="-13"/>
        </w:rPr>
        <w:t xml:space="preserve"> 元以下的罚</w:t>
      </w:r>
      <w:r>
        <w:rPr>
          <w:color w:val="auto"/>
        </w:rPr>
        <w:t>款。</w:t>
      </w:r>
    </w:p>
    <w:p>
      <w:pPr>
        <w:pStyle w:val="2"/>
        <w:spacing w:before="5"/>
        <w:rPr>
          <w:color w:val="auto"/>
        </w:rPr>
      </w:pPr>
      <w:bookmarkStart w:id="831" w:name="_bookmark415"/>
      <w:bookmarkEnd w:id="831"/>
      <w:bookmarkStart w:id="832" w:name="四百零五、未取得计量认证合格证书的产品质量检验机构，为社会提供公证数据"/>
      <w:bookmarkEnd w:id="832"/>
      <w:r>
        <w:rPr>
          <w:color w:val="auto"/>
        </w:rPr>
        <w:t>四百零五、未取得计量认证合格证书的产品质量检验机构，为社会提供公证数据</w:t>
      </w:r>
    </w:p>
    <w:p>
      <w:pPr>
        <w:spacing w:before="191"/>
        <w:ind w:left="591" w:right="0" w:firstLine="0"/>
        <w:jc w:val="left"/>
        <w:rPr>
          <w:b/>
          <w:color w:val="auto"/>
          <w:sz w:val="24"/>
        </w:rPr>
      </w:pPr>
      <w:r>
        <w:rPr>
          <w:b/>
          <w:color w:val="auto"/>
          <w:sz w:val="24"/>
        </w:rPr>
        <w:t>（一）处罚依据</w:t>
      </w:r>
    </w:p>
    <w:p>
      <w:pPr>
        <w:pStyle w:val="4"/>
        <w:spacing w:before="192" w:line="391" w:lineRule="auto"/>
        <w:ind w:right="148" w:firstLine="470"/>
        <w:rPr>
          <w:color w:val="auto"/>
        </w:rPr>
      </w:pPr>
      <w:r>
        <w:rPr>
          <w:color w:val="auto"/>
          <w:spacing w:val="-2"/>
        </w:rPr>
        <w:t>《中华人民共和国计量法实施细则》第五十条“未取得计量认证合格证书的产品</w:t>
      </w:r>
      <w:r>
        <w:rPr>
          <w:color w:val="auto"/>
          <w:spacing w:val="-22"/>
        </w:rPr>
        <w:t>质量检验机构，为社会提供公证数据的，责令其停止检验，可并处一千元以下的罚款。”</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700"/>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未取得计量认证合格证书的产品质量检验机构，为社会提供公证数据的，违法所得壹仟元以下的。</w:t>
      </w:r>
    </w:p>
    <w:p>
      <w:pPr>
        <w:spacing w:after="0" w:line="388" w:lineRule="auto"/>
        <w:rPr>
          <w:color w:val="auto"/>
        </w:rPr>
        <w:sectPr>
          <w:pgSz w:w="11910" w:h="16840"/>
          <w:pgMar w:top="1520" w:right="1260" w:bottom="1220" w:left="1420" w:header="0" w:footer="1034" w:gutter="0"/>
        </w:sectPr>
      </w:pPr>
    </w:p>
    <w:p>
      <w:pPr>
        <w:pStyle w:val="13"/>
        <w:numPr>
          <w:ilvl w:val="0"/>
          <w:numId w:val="700"/>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4072"/>
        <w:rPr>
          <w:color w:val="auto"/>
        </w:rPr>
      </w:pPr>
      <w:r>
        <w:rPr>
          <w:color w:val="auto"/>
          <w:spacing w:val="-6"/>
        </w:rPr>
        <w:t xml:space="preserve">责令其停止检验，并处 </w:t>
      </w:r>
      <w:r>
        <w:rPr>
          <w:color w:val="auto"/>
        </w:rPr>
        <w:t>500</w:t>
      </w:r>
      <w:r>
        <w:rPr>
          <w:color w:val="auto"/>
          <w:spacing w:val="-10"/>
        </w:rPr>
        <w:t xml:space="preserve"> 元以下的罚款。</w:t>
      </w:r>
      <w:r>
        <w:rPr>
          <w:color w:val="auto"/>
        </w:rPr>
        <w:t>2</w:t>
      </w:r>
      <w:r>
        <w:rPr>
          <w:color w:val="auto"/>
          <w:spacing w:val="-24"/>
        </w:rPr>
        <w:t>、【较重】</w:t>
      </w:r>
    </w:p>
    <w:p>
      <w:pPr>
        <w:pStyle w:val="13"/>
        <w:numPr>
          <w:ilvl w:val="0"/>
          <w:numId w:val="70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3"/>
        </w:rPr>
        <w:t>未取得计量认证合格证书的产品质量检验机构，为社会提供公证数据的，违法所</w:t>
      </w:r>
      <w:r>
        <w:rPr>
          <w:color w:val="auto"/>
        </w:rPr>
        <w:t>得壹仟元以上贰仟元以下的。</w:t>
      </w:r>
    </w:p>
    <w:p>
      <w:pPr>
        <w:pStyle w:val="13"/>
        <w:numPr>
          <w:ilvl w:val="0"/>
          <w:numId w:val="70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2872"/>
        <w:rPr>
          <w:color w:val="auto"/>
        </w:rPr>
      </w:pPr>
      <w:r>
        <w:rPr>
          <w:color w:val="auto"/>
          <w:spacing w:val="-6"/>
        </w:rPr>
        <w:t xml:space="preserve">责令其停止检验，并处 </w:t>
      </w:r>
      <w:r>
        <w:rPr>
          <w:color w:val="auto"/>
        </w:rPr>
        <w:t>500</w:t>
      </w:r>
      <w:r>
        <w:rPr>
          <w:color w:val="auto"/>
          <w:spacing w:val="-24"/>
        </w:rPr>
        <w:t xml:space="preserve"> 元以上 </w:t>
      </w:r>
      <w:r>
        <w:rPr>
          <w:color w:val="auto"/>
        </w:rPr>
        <w:t>800</w:t>
      </w:r>
      <w:r>
        <w:rPr>
          <w:color w:val="auto"/>
          <w:spacing w:val="-10"/>
        </w:rPr>
        <w:t xml:space="preserve"> 元以下的罚款。</w:t>
      </w:r>
      <w:r>
        <w:rPr>
          <w:color w:val="auto"/>
        </w:rPr>
        <w:t>3</w:t>
      </w:r>
      <w:r>
        <w:rPr>
          <w:color w:val="auto"/>
          <w:spacing w:val="-24"/>
        </w:rPr>
        <w:t>、【严重】</w:t>
      </w:r>
    </w:p>
    <w:p>
      <w:pPr>
        <w:pStyle w:val="13"/>
        <w:numPr>
          <w:ilvl w:val="0"/>
          <w:numId w:val="70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未取得计量认证合格证书的产品质量检验机构，为社会提供公证数据违法所得二千以上或造成严重后果的。</w:t>
      </w:r>
    </w:p>
    <w:p>
      <w:pPr>
        <w:pStyle w:val="13"/>
        <w:numPr>
          <w:ilvl w:val="0"/>
          <w:numId w:val="702"/>
        </w:numPr>
        <w:tabs>
          <w:tab w:val="left" w:pos="1193"/>
        </w:tabs>
        <w:spacing w:before="2" w:after="0" w:line="240" w:lineRule="auto"/>
        <w:ind w:left="1192" w:right="0" w:hanging="602"/>
        <w:jc w:val="left"/>
        <w:rPr>
          <w:color w:val="auto"/>
          <w:sz w:val="24"/>
        </w:rPr>
      </w:pPr>
      <w:r>
        <w:rPr>
          <w:color w:val="auto"/>
          <w:sz w:val="24"/>
        </w:rPr>
        <w:t>处罚标准</w:t>
      </w:r>
    </w:p>
    <w:p>
      <w:pPr>
        <w:spacing w:before="194" w:line="388" w:lineRule="auto"/>
        <w:ind w:left="591" w:right="2752" w:firstLine="0"/>
        <w:jc w:val="left"/>
        <w:rPr>
          <w:b/>
          <w:color w:val="auto"/>
          <w:sz w:val="24"/>
        </w:rPr>
      </w:pPr>
      <w:r>
        <w:rPr>
          <w:color w:val="auto"/>
          <w:spacing w:val="-6"/>
          <w:sz w:val="24"/>
        </w:rPr>
        <w:t xml:space="preserve">责令其停止检验，并处 </w:t>
      </w:r>
      <w:r>
        <w:rPr>
          <w:color w:val="auto"/>
          <w:sz w:val="24"/>
        </w:rPr>
        <w:t>800</w:t>
      </w:r>
      <w:r>
        <w:rPr>
          <w:color w:val="auto"/>
          <w:spacing w:val="-24"/>
          <w:sz w:val="24"/>
        </w:rPr>
        <w:t xml:space="preserve"> 元以上 </w:t>
      </w:r>
      <w:r>
        <w:rPr>
          <w:color w:val="auto"/>
          <w:sz w:val="24"/>
        </w:rPr>
        <w:t>1000</w:t>
      </w:r>
      <w:r>
        <w:rPr>
          <w:color w:val="auto"/>
          <w:spacing w:val="-10"/>
          <w:sz w:val="24"/>
        </w:rPr>
        <w:t xml:space="preserve"> 元以下的罚款。</w:t>
      </w:r>
      <w:bookmarkStart w:id="833" w:name="_bookmark416"/>
      <w:bookmarkEnd w:id="833"/>
      <w:bookmarkStart w:id="834" w:name="四百零六、伪造、盗用、倒卖强制检定印、证"/>
      <w:bookmarkEnd w:id="834"/>
      <w:r>
        <w:rPr>
          <w:b/>
          <w:color w:val="auto"/>
          <w:sz w:val="24"/>
        </w:rPr>
        <w:t>四百零六、伪造、盗用、倒卖强制检定印、证</w:t>
      </w:r>
    </w:p>
    <w:p>
      <w:pPr>
        <w:pStyle w:val="2"/>
        <w:spacing w:before="2"/>
        <w:rPr>
          <w:color w:val="auto"/>
        </w:rPr>
      </w:pPr>
      <w:r>
        <w:rPr>
          <w:color w:val="auto"/>
        </w:rPr>
        <w:t>（一）处罚依据</w:t>
      </w:r>
    </w:p>
    <w:p>
      <w:pPr>
        <w:pStyle w:val="4"/>
        <w:spacing w:before="195" w:line="388" w:lineRule="auto"/>
        <w:ind w:right="146" w:firstLine="470"/>
        <w:rPr>
          <w:color w:val="auto"/>
        </w:rPr>
      </w:pPr>
      <w:r>
        <w:rPr>
          <w:color w:val="auto"/>
          <w:spacing w:val="-10"/>
        </w:rPr>
        <w:t>《中华人民共和国计量法实施细则》第五十一条“伪造、盗用、倒卖强制检定印、</w:t>
      </w:r>
      <w:r>
        <w:rPr>
          <w:color w:val="auto"/>
          <w:spacing w:val="-6"/>
        </w:rPr>
        <w:t>证的，没收其非法检定印、证和全部违法所得，可并处二千元以下的罚款；构成犯罪的，依法追究刑事责任。”</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70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有下列情形之一的：1、违法所得在 1000 元以下的；2、伪造、盗用、倒卖强制</w:t>
      </w:r>
    </w:p>
    <w:p>
      <w:pPr>
        <w:pStyle w:val="4"/>
        <w:spacing w:before="192"/>
        <w:rPr>
          <w:color w:val="auto"/>
        </w:rPr>
      </w:pPr>
      <w:r>
        <w:rPr>
          <w:color w:val="auto"/>
        </w:rPr>
        <w:t>检定印、证在 10 件以下的。</w:t>
      </w:r>
    </w:p>
    <w:p>
      <w:pPr>
        <w:pStyle w:val="13"/>
        <w:numPr>
          <w:ilvl w:val="0"/>
          <w:numId w:val="70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1552"/>
        <w:rPr>
          <w:color w:val="auto"/>
        </w:rPr>
      </w:pPr>
      <w:r>
        <w:rPr>
          <w:color w:val="auto"/>
          <w:spacing w:val="-3"/>
        </w:rPr>
        <w:t xml:space="preserve">没收其非法检定印、证和全部违法所得，并处 </w:t>
      </w:r>
      <w:r>
        <w:rPr>
          <w:color w:val="auto"/>
        </w:rPr>
        <w:t>1000</w:t>
      </w:r>
      <w:r>
        <w:rPr>
          <w:color w:val="auto"/>
          <w:spacing w:val="-10"/>
        </w:rPr>
        <w:t xml:space="preserve"> 元以下的罚款。</w:t>
      </w:r>
      <w:r>
        <w:rPr>
          <w:color w:val="auto"/>
        </w:rPr>
        <w:t>2</w:t>
      </w:r>
      <w:r>
        <w:rPr>
          <w:color w:val="auto"/>
          <w:spacing w:val="-24"/>
        </w:rPr>
        <w:t>、【较重】</w:t>
      </w:r>
    </w:p>
    <w:p>
      <w:pPr>
        <w:pStyle w:val="13"/>
        <w:numPr>
          <w:ilvl w:val="0"/>
          <w:numId w:val="704"/>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有下列情形之一的：1、违法所得在 3000 元以下的；2、伪造、盗用、倒卖强制</w:t>
      </w:r>
    </w:p>
    <w:p>
      <w:pPr>
        <w:pStyle w:val="4"/>
        <w:spacing w:before="195"/>
        <w:rPr>
          <w:color w:val="auto"/>
        </w:rPr>
      </w:pPr>
      <w:r>
        <w:rPr>
          <w:color w:val="auto"/>
        </w:rPr>
        <w:t>检定印、证在 10 件以上 20 件以下的。</w:t>
      </w:r>
    </w:p>
    <w:p>
      <w:pPr>
        <w:pStyle w:val="13"/>
        <w:numPr>
          <w:ilvl w:val="0"/>
          <w:numId w:val="70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232"/>
        <w:rPr>
          <w:color w:val="auto"/>
        </w:rPr>
      </w:pPr>
      <w:r>
        <w:rPr>
          <w:color w:val="auto"/>
          <w:spacing w:val="-3"/>
        </w:rPr>
        <w:t xml:space="preserve">没收其非法检定印、证和全部违法所得，并处 </w:t>
      </w:r>
      <w:r>
        <w:rPr>
          <w:color w:val="auto"/>
        </w:rPr>
        <w:t>1000</w:t>
      </w:r>
      <w:r>
        <w:rPr>
          <w:color w:val="auto"/>
          <w:spacing w:val="-24"/>
        </w:rPr>
        <w:t xml:space="preserve"> 元以上 </w:t>
      </w:r>
      <w:r>
        <w:rPr>
          <w:color w:val="auto"/>
        </w:rPr>
        <w:t>1500</w:t>
      </w:r>
      <w:r>
        <w:rPr>
          <w:color w:val="auto"/>
          <w:spacing w:val="-10"/>
        </w:rPr>
        <w:t xml:space="preserve"> 元以下的罚款。</w:t>
      </w:r>
      <w:r>
        <w:rPr>
          <w:color w:val="auto"/>
        </w:rPr>
        <w:t>3</w:t>
      </w:r>
      <w:r>
        <w:rPr>
          <w:color w:val="auto"/>
          <w:spacing w:val="-24"/>
        </w:rPr>
        <w:t>、【严重】</w:t>
      </w:r>
    </w:p>
    <w:p>
      <w:pPr>
        <w:pStyle w:val="13"/>
        <w:numPr>
          <w:ilvl w:val="0"/>
          <w:numId w:val="70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有下列情形之一的：1、违法所得在 3000 元以上的；2、伪造、盗用、倒卖强制</w:t>
      </w:r>
    </w:p>
    <w:p>
      <w:pPr>
        <w:pStyle w:val="4"/>
        <w:spacing w:before="194"/>
        <w:rPr>
          <w:color w:val="auto"/>
        </w:rPr>
      </w:pPr>
      <w:r>
        <w:rPr>
          <w:color w:val="auto"/>
        </w:rPr>
        <w:t>检定印、证在 20 件以上；3、造成严重后果的。</w:t>
      </w:r>
    </w:p>
    <w:p>
      <w:pPr>
        <w:pStyle w:val="13"/>
        <w:numPr>
          <w:ilvl w:val="0"/>
          <w:numId w:val="705"/>
        </w:numPr>
        <w:tabs>
          <w:tab w:val="left" w:pos="1193"/>
        </w:tabs>
        <w:spacing w:before="191" w:after="0" w:line="240" w:lineRule="auto"/>
        <w:ind w:left="1192" w:right="0" w:hanging="602"/>
        <w:jc w:val="left"/>
        <w:rPr>
          <w:color w:val="auto"/>
          <w:sz w:val="24"/>
        </w:rPr>
      </w:pPr>
      <w:r>
        <w:rPr>
          <w:color w:val="auto"/>
          <w:sz w:val="24"/>
        </w:rPr>
        <w:t>处罚标准</w:t>
      </w:r>
    </w:p>
    <w:p>
      <w:pPr>
        <w:spacing w:before="192" w:line="391" w:lineRule="auto"/>
        <w:ind w:left="591" w:right="472" w:firstLine="0"/>
        <w:jc w:val="left"/>
        <w:rPr>
          <w:b/>
          <w:color w:val="auto"/>
          <w:sz w:val="24"/>
        </w:rPr>
      </w:pPr>
      <w:r>
        <w:rPr>
          <w:color w:val="auto"/>
          <w:spacing w:val="-3"/>
          <w:sz w:val="24"/>
        </w:rPr>
        <w:t xml:space="preserve">没收其非法检定印、证和全部违法所得，处 </w:t>
      </w:r>
      <w:r>
        <w:rPr>
          <w:color w:val="auto"/>
          <w:sz w:val="24"/>
        </w:rPr>
        <w:t>1500</w:t>
      </w:r>
      <w:r>
        <w:rPr>
          <w:color w:val="auto"/>
          <w:spacing w:val="-24"/>
          <w:sz w:val="24"/>
        </w:rPr>
        <w:t xml:space="preserve"> 元以上 </w:t>
      </w:r>
      <w:r>
        <w:rPr>
          <w:color w:val="auto"/>
          <w:sz w:val="24"/>
        </w:rPr>
        <w:t>2000</w:t>
      </w:r>
      <w:r>
        <w:rPr>
          <w:color w:val="auto"/>
          <w:spacing w:val="-10"/>
          <w:sz w:val="24"/>
        </w:rPr>
        <w:t xml:space="preserve"> 元以下的罚款。</w:t>
      </w:r>
      <w:bookmarkStart w:id="835" w:name="四百零七、进口或者销售未经国务院计量行政部门型式批准的计量器具"/>
      <w:bookmarkEnd w:id="835"/>
      <w:bookmarkStart w:id="836" w:name="_bookmark417"/>
      <w:bookmarkEnd w:id="836"/>
      <w:r>
        <w:rPr>
          <w:b/>
          <w:color w:val="auto"/>
          <w:sz w:val="24"/>
        </w:rPr>
        <w:t>四百零七、进口或者销售未经国务院计量行政部门型式批准的计量器具</w:t>
      </w:r>
    </w:p>
    <w:p>
      <w:pPr>
        <w:pStyle w:val="2"/>
        <w:spacing w:line="306" w:lineRule="exact"/>
        <w:rPr>
          <w:color w:val="auto"/>
        </w:rPr>
      </w:pPr>
      <w:r>
        <w:rPr>
          <w:color w:val="auto"/>
        </w:rPr>
        <w:t>（一）处罚依据</w:t>
      </w:r>
    </w:p>
    <w:p>
      <w:pPr>
        <w:pStyle w:val="13"/>
        <w:numPr>
          <w:ilvl w:val="0"/>
          <w:numId w:val="706"/>
        </w:numPr>
        <w:tabs>
          <w:tab w:val="left" w:pos="823"/>
        </w:tabs>
        <w:spacing w:before="192" w:after="0" w:line="391" w:lineRule="auto"/>
        <w:ind w:left="111" w:right="268" w:firstLine="470"/>
        <w:jc w:val="both"/>
        <w:rPr>
          <w:color w:val="auto"/>
          <w:sz w:val="24"/>
        </w:rPr>
      </w:pPr>
      <w:r>
        <w:rPr>
          <w:color w:val="auto"/>
          <w:spacing w:val="-3"/>
          <w:sz w:val="24"/>
        </w:rPr>
        <w:t>《中华人民共和国进口计量器具监督管理办法》第二十一条“违反本办法第四</w:t>
      </w:r>
      <w:r>
        <w:rPr>
          <w:color w:val="auto"/>
          <w:spacing w:val="-6"/>
          <w:sz w:val="24"/>
        </w:rPr>
        <w:t>条规定，进口或销售未经国务院计量行政部门型式批准的计量器具的，计量行政部门</w:t>
      </w:r>
      <w:r>
        <w:rPr>
          <w:color w:val="auto"/>
          <w:spacing w:val="-4"/>
          <w:sz w:val="24"/>
        </w:rPr>
        <w:t>有权封存其计量器具，责令其补办型式批准手续，并可处以相当于进口或销售额百分</w:t>
      </w:r>
      <w:r>
        <w:rPr>
          <w:color w:val="auto"/>
          <w:sz w:val="24"/>
        </w:rPr>
        <w:t>之三十以下的罚款。”</w:t>
      </w:r>
    </w:p>
    <w:p>
      <w:pPr>
        <w:pStyle w:val="13"/>
        <w:numPr>
          <w:ilvl w:val="0"/>
          <w:numId w:val="706"/>
        </w:numPr>
        <w:tabs>
          <w:tab w:val="left" w:pos="823"/>
        </w:tabs>
        <w:spacing w:before="0" w:after="0" w:line="391" w:lineRule="auto"/>
        <w:ind w:left="111" w:right="268" w:firstLine="470"/>
        <w:jc w:val="both"/>
        <w:rPr>
          <w:color w:val="auto"/>
          <w:sz w:val="24"/>
        </w:rPr>
      </w:pPr>
      <w:r>
        <w:rPr>
          <w:color w:val="auto"/>
          <w:spacing w:val="-3"/>
          <w:sz w:val="24"/>
        </w:rPr>
        <w:t>《中华人民共和国进口计量器具监督管理办法实施细则》第三十一条“进口或者销售未经国务院计量行政部门型式批准的计量器具的，由县级以上政府计量行政部</w:t>
      </w:r>
      <w:r>
        <w:rPr>
          <w:color w:val="auto"/>
          <w:spacing w:val="-5"/>
          <w:sz w:val="24"/>
        </w:rPr>
        <w:t>门封存其计量器具，责令外商或者其代理人补办型式批准手续，并可以处以相当于进</w:t>
      </w:r>
      <w:r>
        <w:rPr>
          <w:color w:val="auto"/>
          <w:sz w:val="24"/>
        </w:rPr>
        <w:t>口或者销售额百分之三十以下的罚款。”</w:t>
      </w:r>
    </w:p>
    <w:p>
      <w:pPr>
        <w:spacing w:before="0" w:line="388" w:lineRule="auto"/>
        <w:ind w:left="591" w:right="7068" w:hanging="120"/>
        <w:jc w:val="left"/>
        <w:rPr>
          <w:color w:val="auto"/>
          <w:sz w:val="24"/>
        </w:rPr>
      </w:pPr>
      <w:r>
        <w:rPr>
          <w:b/>
          <w:color w:val="auto"/>
          <w:sz w:val="24"/>
        </w:rPr>
        <w:t>（二）裁量标准</w:t>
      </w:r>
      <w:r>
        <w:rPr>
          <w:color w:val="auto"/>
          <w:sz w:val="24"/>
        </w:rPr>
        <w:t>1、【较轻】</w:t>
      </w:r>
    </w:p>
    <w:p>
      <w:pPr>
        <w:pStyle w:val="13"/>
        <w:numPr>
          <w:ilvl w:val="0"/>
          <w:numId w:val="707"/>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7"/>
        <w:ind w:left="591"/>
        <w:rPr>
          <w:color w:val="auto"/>
        </w:rPr>
      </w:pPr>
      <w:r>
        <w:rPr>
          <w:color w:val="auto"/>
        </w:rPr>
        <w:t>有下列情形之一的：1、货值在 5000 元以下的；2、进口或者销售未经国务院计</w:t>
      </w:r>
    </w:p>
    <w:p>
      <w:pPr>
        <w:pStyle w:val="4"/>
        <w:spacing w:before="192"/>
        <w:rPr>
          <w:color w:val="auto"/>
        </w:rPr>
      </w:pPr>
      <w:r>
        <w:rPr>
          <w:color w:val="auto"/>
        </w:rPr>
        <w:t>量行政部门型式批准的计量器具 5 台件以下的。</w:t>
      </w:r>
    </w:p>
    <w:p>
      <w:pPr>
        <w:pStyle w:val="13"/>
        <w:numPr>
          <w:ilvl w:val="0"/>
          <w:numId w:val="70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15" w:firstLine="480"/>
        <w:rPr>
          <w:color w:val="auto"/>
        </w:rPr>
      </w:pPr>
      <w:r>
        <w:rPr>
          <w:color w:val="auto"/>
        </w:rPr>
        <w:t>责令外商或者其代理人补办型式批准手续，并处以相当于进口或者销售额 10%以下的罚款。</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2、【一般】</w:t>
      </w:r>
    </w:p>
    <w:p>
      <w:pPr>
        <w:pStyle w:val="13"/>
        <w:numPr>
          <w:ilvl w:val="0"/>
          <w:numId w:val="708"/>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有下列情形之一的：1、货值在 10000 元以下的；2、进口或者销售未经国务院计</w:t>
      </w:r>
    </w:p>
    <w:p>
      <w:pPr>
        <w:pStyle w:val="4"/>
        <w:spacing w:before="192"/>
        <w:rPr>
          <w:color w:val="auto"/>
        </w:rPr>
      </w:pPr>
      <w:r>
        <w:rPr>
          <w:color w:val="auto"/>
        </w:rPr>
        <w:t>量行政部门型式批准的计量器具 5 台件以上 10 台件以下的。</w:t>
      </w:r>
    </w:p>
    <w:p>
      <w:pPr>
        <w:pStyle w:val="13"/>
        <w:numPr>
          <w:ilvl w:val="0"/>
          <w:numId w:val="70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71" w:firstLine="480"/>
        <w:rPr>
          <w:color w:val="auto"/>
        </w:rPr>
      </w:pPr>
      <w:r>
        <w:rPr>
          <w:color w:val="auto"/>
        </w:rPr>
        <w:t>责令外商或者其代理人补办型式批准手续，并可以处以相当于进口或者销售额10%以上 15%以下的罚款。</w:t>
      </w:r>
    </w:p>
    <w:p>
      <w:pPr>
        <w:pStyle w:val="4"/>
        <w:spacing w:before="4"/>
        <w:ind w:left="591"/>
        <w:rPr>
          <w:color w:val="auto"/>
        </w:rPr>
      </w:pPr>
      <w:r>
        <w:rPr>
          <w:color w:val="auto"/>
        </w:rPr>
        <w:t>3、【较重】</w:t>
      </w:r>
    </w:p>
    <w:p>
      <w:pPr>
        <w:pStyle w:val="13"/>
        <w:numPr>
          <w:ilvl w:val="0"/>
          <w:numId w:val="70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有下列情形之一的：1、货值在 15000 元以下的；2、进口或者销售未经国务院计</w:t>
      </w:r>
    </w:p>
    <w:p>
      <w:pPr>
        <w:pStyle w:val="4"/>
        <w:spacing w:before="194"/>
        <w:rPr>
          <w:color w:val="auto"/>
        </w:rPr>
      </w:pPr>
      <w:r>
        <w:rPr>
          <w:color w:val="auto"/>
        </w:rPr>
        <w:t>量行政部门型式批准的计量器具 10 台件以上 15 台件以下的。</w:t>
      </w:r>
    </w:p>
    <w:p>
      <w:pPr>
        <w:pStyle w:val="13"/>
        <w:numPr>
          <w:ilvl w:val="0"/>
          <w:numId w:val="70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71" w:firstLine="480"/>
        <w:rPr>
          <w:color w:val="auto"/>
        </w:rPr>
      </w:pPr>
      <w:r>
        <w:rPr>
          <w:color w:val="auto"/>
        </w:rPr>
        <w:t>责令外商或者其代理人补办型式批准手续，并可以处以相当于进口或者销售额15%以后 20%以下的罚款。</w:t>
      </w:r>
    </w:p>
    <w:p>
      <w:pPr>
        <w:pStyle w:val="4"/>
        <w:spacing w:line="306" w:lineRule="exact"/>
        <w:ind w:left="591"/>
        <w:rPr>
          <w:color w:val="auto"/>
        </w:rPr>
      </w:pPr>
      <w:r>
        <w:rPr>
          <w:color w:val="auto"/>
        </w:rPr>
        <w:t>4、【严重】</w:t>
      </w:r>
    </w:p>
    <w:p>
      <w:pPr>
        <w:pStyle w:val="13"/>
        <w:numPr>
          <w:ilvl w:val="0"/>
          <w:numId w:val="71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有下列情形之一的：1、货值在 20000 元以下的；2、进口或者销售未经国务院计</w:t>
      </w:r>
    </w:p>
    <w:p>
      <w:pPr>
        <w:pStyle w:val="4"/>
        <w:spacing w:before="192" w:line="388" w:lineRule="auto"/>
        <w:ind w:right="268"/>
        <w:rPr>
          <w:color w:val="auto"/>
        </w:rPr>
      </w:pPr>
      <w:r>
        <w:rPr>
          <w:color w:val="auto"/>
          <w:spacing w:val="-3"/>
        </w:rPr>
        <w:t xml:space="preserve">量行政部门型式批准的计量器具 </w:t>
      </w:r>
      <w:r>
        <w:rPr>
          <w:color w:val="auto"/>
        </w:rPr>
        <w:t>15</w:t>
      </w:r>
      <w:r>
        <w:rPr>
          <w:color w:val="auto"/>
          <w:spacing w:val="-16"/>
        </w:rPr>
        <w:t xml:space="preserve"> 台件以上 </w:t>
      </w:r>
      <w:r>
        <w:rPr>
          <w:color w:val="auto"/>
        </w:rPr>
        <w:t>20</w:t>
      </w:r>
      <w:r>
        <w:rPr>
          <w:color w:val="auto"/>
          <w:spacing w:val="-8"/>
        </w:rPr>
        <w:t xml:space="preserve"> 台件以下的；</w:t>
      </w:r>
      <w:r>
        <w:rPr>
          <w:color w:val="auto"/>
          <w:spacing w:val="3"/>
        </w:rPr>
        <w:t>3</w:t>
      </w:r>
      <w:r>
        <w:rPr>
          <w:color w:val="auto"/>
        </w:rPr>
        <w:t>、造成较大危害后果的。</w:t>
      </w:r>
    </w:p>
    <w:p>
      <w:pPr>
        <w:pStyle w:val="13"/>
        <w:numPr>
          <w:ilvl w:val="0"/>
          <w:numId w:val="71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71" w:firstLine="480"/>
        <w:rPr>
          <w:color w:val="auto"/>
        </w:rPr>
      </w:pPr>
      <w:r>
        <w:rPr>
          <w:color w:val="auto"/>
        </w:rPr>
        <w:t>责令外商或者其代理人补办型式批准手续，并可以处以相当于进口或者销售额20%以上 25%以下的罚款。</w:t>
      </w:r>
    </w:p>
    <w:p>
      <w:pPr>
        <w:pStyle w:val="4"/>
        <w:spacing w:before="4"/>
        <w:ind w:left="591"/>
        <w:rPr>
          <w:color w:val="auto"/>
        </w:rPr>
      </w:pPr>
      <w:r>
        <w:rPr>
          <w:color w:val="auto"/>
        </w:rPr>
        <w:t>5、【特别严重】</w:t>
      </w:r>
    </w:p>
    <w:p>
      <w:pPr>
        <w:pStyle w:val="13"/>
        <w:numPr>
          <w:ilvl w:val="0"/>
          <w:numId w:val="71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有下列情形之一的：1、货值在 20000 元以上的；2、进口或者销售未经国务院计</w:t>
      </w:r>
    </w:p>
    <w:p>
      <w:pPr>
        <w:pStyle w:val="4"/>
        <w:spacing w:before="194"/>
        <w:rPr>
          <w:color w:val="auto"/>
        </w:rPr>
      </w:pPr>
      <w:r>
        <w:rPr>
          <w:color w:val="auto"/>
        </w:rPr>
        <w:t>量行政部门型式批准的计量器具 20 台件以上的；3、造成严重危害后果的。</w:t>
      </w:r>
    </w:p>
    <w:p>
      <w:pPr>
        <w:pStyle w:val="13"/>
        <w:numPr>
          <w:ilvl w:val="0"/>
          <w:numId w:val="71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责令外商或者其代理人补办型式批准手续，并可以处以相当于进口或者销售额</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25%以上 30%以下的罚款。</w:t>
      </w:r>
    </w:p>
    <w:p>
      <w:pPr>
        <w:pStyle w:val="2"/>
        <w:spacing w:before="195"/>
        <w:rPr>
          <w:color w:val="auto"/>
        </w:rPr>
      </w:pPr>
      <w:bookmarkStart w:id="837" w:name="_bookmark418"/>
      <w:bookmarkEnd w:id="837"/>
      <w:bookmarkStart w:id="838" w:name="四百零八、制造、修理的计量器具，其计量性能不符合规定"/>
      <w:bookmarkEnd w:id="838"/>
      <w:r>
        <w:rPr>
          <w:color w:val="auto"/>
        </w:rPr>
        <w:t>四百零八、制造、修理的计量器具，其计量性能不符合规定</w:t>
      </w:r>
    </w:p>
    <w:p>
      <w:pPr>
        <w:spacing w:before="191"/>
        <w:ind w:left="471" w:right="0" w:firstLine="0"/>
        <w:jc w:val="left"/>
        <w:rPr>
          <w:b/>
          <w:color w:val="auto"/>
          <w:sz w:val="24"/>
        </w:rPr>
      </w:pPr>
      <w:r>
        <w:rPr>
          <w:b/>
          <w:color w:val="auto"/>
          <w:sz w:val="24"/>
        </w:rPr>
        <w:t>（一）处罚依据</w:t>
      </w:r>
    </w:p>
    <w:p>
      <w:pPr>
        <w:pStyle w:val="4"/>
        <w:spacing w:before="192" w:line="391" w:lineRule="auto"/>
        <w:ind w:right="266" w:firstLine="480"/>
        <w:jc w:val="both"/>
        <w:rPr>
          <w:color w:val="auto"/>
        </w:rPr>
      </w:pPr>
      <w:r>
        <w:rPr>
          <w:color w:val="auto"/>
          <w:spacing w:val="-2"/>
        </w:rPr>
        <w:t>《山东省计量条例》第三十九条第</w:t>
      </w:r>
      <w:r>
        <w:rPr>
          <w:color w:val="auto"/>
        </w:rPr>
        <w:t>（一</w:t>
      </w:r>
      <w:r>
        <w:rPr>
          <w:color w:val="auto"/>
          <w:spacing w:val="-5"/>
        </w:rPr>
        <w:t>）项“有下列情形之一的，由县级以上质量技术监督部门责令限期改正，情节严重的，没收违法制造、修理、销售的计量器具或者违法所得，并处三千元以上一万元以下罚款：</w:t>
      </w:r>
      <w:r>
        <w:rPr>
          <w:color w:val="auto"/>
          <w:spacing w:val="2"/>
        </w:rPr>
        <w:t>（一）</w:t>
      </w:r>
      <w:r>
        <w:rPr>
          <w:color w:val="auto"/>
          <w:spacing w:val="1"/>
        </w:rPr>
        <w:t>制造、修理的计量器具，其计量性能不符合本条例规定的；”</w:t>
      </w:r>
    </w:p>
    <w:p>
      <w:pPr>
        <w:spacing w:before="0" w:line="388" w:lineRule="auto"/>
        <w:ind w:left="591" w:right="7068" w:hanging="120"/>
        <w:jc w:val="left"/>
        <w:rPr>
          <w:color w:val="auto"/>
          <w:sz w:val="24"/>
        </w:rPr>
      </w:pPr>
      <w:r>
        <w:rPr>
          <w:b/>
          <w:color w:val="auto"/>
          <w:sz w:val="24"/>
        </w:rPr>
        <w:t>（二）裁量标准</w:t>
      </w:r>
      <w:r>
        <w:rPr>
          <w:color w:val="auto"/>
          <w:sz w:val="24"/>
        </w:rPr>
        <w:t>1、【较轻】</w:t>
      </w:r>
    </w:p>
    <w:p>
      <w:pPr>
        <w:pStyle w:val="13"/>
        <w:numPr>
          <w:ilvl w:val="0"/>
          <w:numId w:val="712"/>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违法制造、修理计量器具在 5 台件以下，并按照要求主动改正的。</w:t>
      </w:r>
    </w:p>
    <w:p>
      <w:pPr>
        <w:pStyle w:val="13"/>
        <w:numPr>
          <w:ilvl w:val="0"/>
          <w:numId w:val="712"/>
        </w:numPr>
        <w:tabs>
          <w:tab w:val="left" w:pos="1193"/>
        </w:tabs>
        <w:spacing w:before="192" w:after="0" w:line="391" w:lineRule="auto"/>
        <w:ind w:left="591" w:right="7072" w:firstLine="0"/>
        <w:jc w:val="left"/>
        <w:rPr>
          <w:color w:val="auto"/>
          <w:sz w:val="24"/>
        </w:rPr>
      </w:pPr>
      <w:r>
        <w:rPr>
          <w:color w:val="auto"/>
          <w:spacing w:val="-5"/>
          <w:sz w:val="24"/>
        </w:rPr>
        <w:t>处罚标准</w:t>
      </w:r>
      <w:r>
        <w:rPr>
          <w:color w:val="auto"/>
          <w:sz w:val="24"/>
        </w:rPr>
        <w:t>责令限期改正 2</w:t>
      </w:r>
      <w:r>
        <w:rPr>
          <w:color w:val="auto"/>
          <w:spacing w:val="-24"/>
          <w:sz w:val="24"/>
        </w:rPr>
        <w:t>、【一般】</w:t>
      </w:r>
    </w:p>
    <w:p>
      <w:pPr>
        <w:pStyle w:val="13"/>
        <w:numPr>
          <w:ilvl w:val="0"/>
          <w:numId w:val="713"/>
        </w:numPr>
        <w:tabs>
          <w:tab w:val="left" w:pos="1193"/>
        </w:tabs>
        <w:spacing w:before="0" w:after="0" w:line="304"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违法制造、修理计量器具在 5 台件以上 10 台件以下，并主动改正的。</w:t>
      </w:r>
    </w:p>
    <w:p>
      <w:pPr>
        <w:pStyle w:val="13"/>
        <w:numPr>
          <w:ilvl w:val="0"/>
          <w:numId w:val="71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232"/>
        <w:rPr>
          <w:color w:val="auto"/>
        </w:rPr>
      </w:pPr>
      <w:r>
        <w:rPr>
          <w:color w:val="auto"/>
          <w:spacing w:val="-4"/>
        </w:rPr>
        <w:t xml:space="preserve">责令限期改正，没收违法所得，并处 </w:t>
      </w:r>
      <w:r>
        <w:rPr>
          <w:color w:val="auto"/>
        </w:rPr>
        <w:t>3000</w:t>
      </w:r>
      <w:r>
        <w:rPr>
          <w:color w:val="auto"/>
          <w:spacing w:val="-16"/>
        </w:rPr>
        <w:t xml:space="preserve"> 元罚款。</w:t>
      </w:r>
      <w:r>
        <w:rPr>
          <w:color w:val="auto"/>
        </w:rPr>
        <w:t>3</w:t>
      </w:r>
      <w:r>
        <w:rPr>
          <w:color w:val="auto"/>
          <w:spacing w:val="-24"/>
        </w:rPr>
        <w:t>、【较重】</w:t>
      </w:r>
    </w:p>
    <w:p>
      <w:pPr>
        <w:pStyle w:val="13"/>
        <w:numPr>
          <w:ilvl w:val="0"/>
          <w:numId w:val="714"/>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违法制造、修理计量器具在 10 台件以上 15 台件以下，并主动改正的。</w:t>
      </w:r>
    </w:p>
    <w:p>
      <w:pPr>
        <w:pStyle w:val="13"/>
        <w:numPr>
          <w:ilvl w:val="0"/>
          <w:numId w:val="71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1432"/>
        <w:rPr>
          <w:color w:val="auto"/>
        </w:rPr>
      </w:pPr>
      <w:r>
        <w:rPr>
          <w:color w:val="auto"/>
          <w:spacing w:val="-4"/>
        </w:rPr>
        <w:t xml:space="preserve">责令限期改正，没收违法所得，并处 </w:t>
      </w:r>
      <w:r>
        <w:rPr>
          <w:color w:val="auto"/>
        </w:rPr>
        <w:t>3000</w:t>
      </w:r>
      <w:r>
        <w:rPr>
          <w:color w:val="auto"/>
          <w:spacing w:val="-24"/>
        </w:rPr>
        <w:t xml:space="preserve"> 元以上 </w:t>
      </w:r>
      <w:r>
        <w:rPr>
          <w:color w:val="auto"/>
        </w:rPr>
        <w:t>6000</w:t>
      </w:r>
      <w:r>
        <w:rPr>
          <w:color w:val="auto"/>
          <w:spacing w:val="-11"/>
        </w:rPr>
        <w:t xml:space="preserve"> 元以下罚款。</w:t>
      </w:r>
      <w:r>
        <w:rPr>
          <w:color w:val="auto"/>
        </w:rPr>
        <w:t>4</w:t>
      </w:r>
      <w:r>
        <w:rPr>
          <w:color w:val="auto"/>
          <w:spacing w:val="-24"/>
        </w:rPr>
        <w:t>、【严重】</w:t>
      </w:r>
    </w:p>
    <w:p>
      <w:pPr>
        <w:pStyle w:val="13"/>
        <w:numPr>
          <w:ilvl w:val="0"/>
          <w:numId w:val="71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违法制造、修理计量器具在 15 台件以上 20 台件以下或造成不良后果的。</w:t>
      </w:r>
    </w:p>
    <w:p>
      <w:pPr>
        <w:pStyle w:val="13"/>
        <w:numPr>
          <w:ilvl w:val="0"/>
          <w:numId w:val="71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责令限期改正，没收违法制造、修理的计量器具或者违法所得，并处 6000 元以</w:t>
      </w:r>
    </w:p>
    <w:p>
      <w:pPr>
        <w:spacing w:after="0"/>
        <w:rPr>
          <w:color w:val="auto"/>
        </w:rPr>
        <w:sectPr>
          <w:pgSz w:w="11910" w:h="16840"/>
          <w:pgMar w:top="1520" w:right="1260" w:bottom="1220" w:left="1420" w:header="0" w:footer="1034" w:gutter="0"/>
        </w:sectPr>
      </w:pPr>
    </w:p>
    <w:p>
      <w:pPr>
        <w:pStyle w:val="4"/>
        <w:spacing w:before="39" w:line="391" w:lineRule="auto"/>
        <w:ind w:left="591" w:right="6832" w:hanging="480"/>
        <w:rPr>
          <w:color w:val="auto"/>
        </w:rPr>
      </w:pPr>
      <w:r>
        <w:rPr>
          <w:color w:val="auto"/>
          <w:spacing w:val="-30"/>
        </w:rPr>
        <w:t xml:space="preserve">上 </w:t>
      </w:r>
      <w:r>
        <w:rPr>
          <w:color w:val="auto"/>
        </w:rPr>
        <w:t>8000</w:t>
      </w:r>
      <w:r>
        <w:rPr>
          <w:color w:val="auto"/>
          <w:spacing w:val="-11"/>
        </w:rPr>
        <w:t xml:space="preserve"> 元以下罚款。</w:t>
      </w:r>
      <w:r>
        <w:rPr>
          <w:color w:val="auto"/>
        </w:rPr>
        <w:t>5</w:t>
      </w:r>
      <w:r>
        <w:rPr>
          <w:color w:val="auto"/>
          <w:spacing w:val="-18"/>
        </w:rPr>
        <w:t>、【特别严重】</w:t>
      </w:r>
    </w:p>
    <w:p>
      <w:pPr>
        <w:pStyle w:val="13"/>
        <w:numPr>
          <w:ilvl w:val="0"/>
          <w:numId w:val="71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spacing w:val="-1"/>
        </w:rPr>
        <w:t>有下列情形之一的：</w:t>
      </w:r>
      <w:r>
        <w:rPr>
          <w:color w:val="auto"/>
          <w:spacing w:val="-6"/>
        </w:rPr>
        <w:t>1</w:t>
      </w:r>
      <w:r>
        <w:rPr>
          <w:color w:val="auto"/>
          <w:spacing w:val="-8"/>
        </w:rPr>
        <w:t xml:space="preserve">、制造、修理计量器具其计量性能不符合本条例规定 </w:t>
      </w:r>
      <w:r>
        <w:rPr>
          <w:color w:val="auto"/>
        </w:rPr>
        <w:t>20</w:t>
      </w:r>
      <w:r>
        <w:rPr>
          <w:color w:val="auto"/>
          <w:spacing w:val="-39"/>
        </w:rPr>
        <w:t xml:space="preserve"> 台</w:t>
      </w:r>
      <w:r>
        <w:rPr>
          <w:color w:val="auto"/>
        </w:rPr>
        <w:t>件以上；2、造成严重后果或拒不改正的</w:t>
      </w:r>
    </w:p>
    <w:p>
      <w:pPr>
        <w:pStyle w:val="13"/>
        <w:numPr>
          <w:ilvl w:val="0"/>
          <w:numId w:val="71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责令限期改正，没收违法制造、修理的计量器具或者违法所得，并处 8000 元以</w:t>
      </w:r>
    </w:p>
    <w:p>
      <w:pPr>
        <w:pStyle w:val="4"/>
        <w:spacing w:before="194"/>
        <w:rPr>
          <w:color w:val="auto"/>
        </w:rPr>
      </w:pPr>
      <w:r>
        <w:rPr>
          <w:color w:val="auto"/>
        </w:rPr>
        <w:t>上 1 万元以下罚款。</w:t>
      </w:r>
    </w:p>
    <w:p>
      <w:pPr>
        <w:pStyle w:val="2"/>
        <w:spacing w:before="192" w:line="388" w:lineRule="auto"/>
        <w:ind w:left="111" w:right="237" w:firstLine="480"/>
        <w:rPr>
          <w:color w:val="auto"/>
        </w:rPr>
      </w:pPr>
      <w:bookmarkStart w:id="839" w:name="_bookmark419"/>
      <w:bookmarkEnd w:id="839"/>
      <w:bookmarkStart w:id="840" w:name="四百零九、制造、修理、安装、改装计量器具过程中为计量器具增加作弊装置或者功能"/>
      <w:bookmarkEnd w:id="840"/>
      <w:r>
        <w:rPr>
          <w:color w:val="auto"/>
          <w:spacing w:val="-7"/>
        </w:rPr>
        <w:t>四百零九、制造、修理、安装、改装计量器具过程中为计量器具增加作弊装置或者功能</w:t>
      </w:r>
    </w:p>
    <w:p>
      <w:pPr>
        <w:spacing w:before="4"/>
        <w:ind w:left="471" w:right="0" w:firstLine="0"/>
        <w:jc w:val="left"/>
        <w:rPr>
          <w:b/>
          <w:color w:val="auto"/>
          <w:sz w:val="24"/>
        </w:rPr>
      </w:pPr>
      <w:r>
        <w:rPr>
          <w:b/>
          <w:color w:val="auto"/>
          <w:sz w:val="24"/>
        </w:rPr>
        <w:t>（一）处罚依据</w:t>
      </w:r>
    </w:p>
    <w:p>
      <w:pPr>
        <w:pStyle w:val="4"/>
        <w:spacing w:before="192" w:line="391" w:lineRule="auto"/>
        <w:ind w:right="232" w:firstLine="470"/>
        <w:jc w:val="both"/>
        <w:rPr>
          <w:color w:val="auto"/>
        </w:rPr>
      </w:pPr>
      <w:r>
        <w:rPr>
          <w:color w:val="auto"/>
          <w:spacing w:val="-5"/>
        </w:rPr>
        <w:t>《山东省计量条例》第四十一条“制造、修理、安装、改装计量器具过程中为计</w:t>
      </w:r>
      <w:r>
        <w:rPr>
          <w:color w:val="auto"/>
          <w:spacing w:val="-7"/>
        </w:rPr>
        <w:t>量器具增加作弊装置或者功能的，由县级以上质量技术监督部门责令改正，没收违法</w:t>
      </w:r>
      <w:r>
        <w:rPr>
          <w:color w:val="auto"/>
          <w:spacing w:val="-8"/>
        </w:rPr>
        <w:t xml:space="preserve">制造、修理、安装、改装的计量器具和违法所得，并处三万元以上五万元以下罚款； </w:t>
      </w:r>
      <w:r>
        <w:rPr>
          <w:color w:val="auto"/>
        </w:rPr>
        <w:t>情节严重的，吊销其制造、修理计量器具许可证。”</w:t>
      </w:r>
    </w:p>
    <w:p>
      <w:pPr>
        <w:spacing w:before="0" w:line="391" w:lineRule="auto"/>
        <w:ind w:left="591" w:right="7068" w:hanging="120"/>
        <w:jc w:val="left"/>
        <w:rPr>
          <w:color w:val="auto"/>
          <w:sz w:val="24"/>
        </w:rPr>
      </w:pPr>
      <w:r>
        <w:rPr>
          <w:b/>
          <w:color w:val="auto"/>
          <w:sz w:val="24"/>
        </w:rPr>
        <w:t>（二）裁量标准</w:t>
      </w:r>
      <w:r>
        <w:rPr>
          <w:color w:val="auto"/>
          <w:sz w:val="24"/>
        </w:rPr>
        <w:t>1、【较轻】</w:t>
      </w:r>
    </w:p>
    <w:p>
      <w:pPr>
        <w:pStyle w:val="13"/>
        <w:numPr>
          <w:ilvl w:val="0"/>
          <w:numId w:val="71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有下列情形之一的：1、违法所得在 5000 元以下的；2、制造、修理、安装、改</w:t>
      </w:r>
    </w:p>
    <w:p>
      <w:pPr>
        <w:pStyle w:val="4"/>
        <w:spacing w:before="194"/>
        <w:rPr>
          <w:color w:val="auto"/>
        </w:rPr>
      </w:pPr>
      <w:r>
        <w:rPr>
          <w:color w:val="auto"/>
        </w:rPr>
        <w:t>装计量器具过程中为计量器具增加作弊装置或者功能 5 台件以下的。</w:t>
      </w:r>
    </w:p>
    <w:p>
      <w:pPr>
        <w:pStyle w:val="13"/>
        <w:numPr>
          <w:ilvl w:val="0"/>
          <w:numId w:val="71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66" w:firstLine="480"/>
        <w:rPr>
          <w:color w:val="auto"/>
        </w:rPr>
      </w:pPr>
      <w:r>
        <w:rPr>
          <w:color w:val="auto"/>
          <w:spacing w:val="-8"/>
        </w:rPr>
        <w:t xml:space="preserve">责令改正，没收违法制造、修理、安装、改装的计量器具和违法所得，并处 </w:t>
      </w:r>
      <w:r>
        <w:rPr>
          <w:color w:val="auto"/>
        </w:rPr>
        <w:t>3</w:t>
      </w:r>
      <w:r>
        <w:rPr>
          <w:color w:val="auto"/>
          <w:spacing w:val="-36"/>
        </w:rPr>
        <w:t xml:space="preserve"> 万</w:t>
      </w:r>
      <w:r>
        <w:rPr>
          <w:color w:val="auto"/>
        </w:rPr>
        <w:t>元罚款。</w:t>
      </w:r>
    </w:p>
    <w:p>
      <w:pPr>
        <w:pStyle w:val="4"/>
        <w:spacing w:line="306" w:lineRule="exact"/>
        <w:ind w:left="591"/>
        <w:rPr>
          <w:color w:val="auto"/>
        </w:rPr>
      </w:pPr>
      <w:r>
        <w:rPr>
          <w:color w:val="auto"/>
        </w:rPr>
        <w:t>2、【一般】</w:t>
      </w:r>
    </w:p>
    <w:p>
      <w:pPr>
        <w:pStyle w:val="13"/>
        <w:numPr>
          <w:ilvl w:val="0"/>
          <w:numId w:val="71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spacing w:val="-1"/>
        </w:rPr>
        <w:t>有下列情形之一的：</w:t>
      </w:r>
      <w:r>
        <w:rPr>
          <w:color w:val="auto"/>
          <w:spacing w:val="-9"/>
        </w:rPr>
        <w:t>1</w:t>
      </w:r>
      <w:r>
        <w:rPr>
          <w:color w:val="auto"/>
          <w:spacing w:val="-12"/>
        </w:rPr>
        <w:t xml:space="preserve">、违法所得在 </w:t>
      </w:r>
      <w:r>
        <w:rPr>
          <w:color w:val="auto"/>
        </w:rPr>
        <w:t>5000</w:t>
      </w:r>
      <w:r>
        <w:rPr>
          <w:color w:val="auto"/>
          <w:spacing w:val="-16"/>
        </w:rPr>
        <w:t xml:space="preserve"> 元以上、</w:t>
      </w:r>
      <w:r>
        <w:rPr>
          <w:color w:val="auto"/>
        </w:rPr>
        <w:t>10000</w:t>
      </w:r>
      <w:r>
        <w:rPr>
          <w:color w:val="auto"/>
          <w:spacing w:val="-12"/>
        </w:rPr>
        <w:t xml:space="preserve"> 元以下的；</w:t>
      </w:r>
      <w:r>
        <w:rPr>
          <w:color w:val="auto"/>
          <w:spacing w:val="-9"/>
        </w:rPr>
        <w:t>2</w:t>
      </w:r>
      <w:r>
        <w:rPr>
          <w:color w:val="auto"/>
          <w:spacing w:val="-11"/>
        </w:rPr>
        <w:t>、制造、修</w:t>
      </w:r>
      <w:r>
        <w:rPr>
          <w:color w:val="auto"/>
          <w:spacing w:val="-2"/>
        </w:rPr>
        <w:t xml:space="preserve">理、安装、改装计量器具过程中为计量器具增加作弊装置或者功能 </w:t>
      </w:r>
      <w:r>
        <w:rPr>
          <w:color w:val="auto"/>
        </w:rPr>
        <w:t>5</w:t>
      </w:r>
      <w:r>
        <w:rPr>
          <w:color w:val="auto"/>
          <w:spacing w:val="-16"/>
        </w:rPr>
        <w:t xml:space="preserve"> 台件以上 </w:t>
      </w:r>
      <w:r>
        <w:rPr>
          <w:color w:val="auto"/>
        </w:rPr>
        <w:t>10</w:t>
      </w:r>
      <w:r>
        <w:rPr>
          <w:color w:val="auto"/>
          <w:spacing w:val="-22"/>
        </w:rPr>
        <w:t xml:space="preserve"> 台件以下的。</w:t>
      </w:r>
    </w:p>
    <w:p>
      <w:pPr>
        <w:spacing w:after="0" w:line="388" w:lineRule="auto"/>
        <w:jc w:val="both"/>
        <w:rPr>
          <w:color w:val="auto"/>
        </w:rPr>
        <w:sectPr>
          <w:pgSz w:w="11910" w:h="16840"/>
          <w:pgMar w:top="1520" w:right="1260" w:bottom="1220" w:left="1420" w:header="0" w:footer="1034" w:gutter="0"/>
        </w:sectPr>
      </w:pPr>
    </w:p>
    <w:p>
      <w:pPr>
        <w:pStyle w:val="13"/>
        <w:numPr>
          <w:ilvl w:val="0"/>
          <w:numId w:val="718"/>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责令改正，没收违法制造、修理、安装、改装的计量器具和违法所得，并处 3 万</w:t>
      </w:r>
    </w:p>
    <w:p>
      <w:pPr>
        <w:pStyle w:val="4"/>
        <w:spacing w:before="191" w:line="388" w:lineRule="auto"/>
        <w:ind w:left="591" w:right="6232" w:hanging="480"/>
        <w:rPr>
          <w:color w:val="auto"/>
        </w:rPr>
      </w:pPr>
      <w:r>
        <w:rPr>
          <w:color w:val="auto"/>
          <w:spacing w:val="-15"/>
        </w:rPr>
        <w:t xml:space="preserve">元以上 </w:t>
      </w:r>
      <w:r>
        <w:rPr>
          <w:color w:val="auto"/>
        </w:rPr>
        <w:t>3.5</w:t>
      </w:r>
      <w:r>
        <w:rPr>
          <w:color w:val="auto"/>
          <w:spacing w:val="-10"/>
        </w:rPr>
        <w:t xml:space="preserve"> 万元以下罚款。</w:t>
      </w:r>
      <w:r>
        <w:rPr>
          <w:color w:val="auto"/>
        </w:rPr>
        <w:t>3</w:t>
      </w:r>
      <w:r>
        <w:rPr>
          <w:color w:val="auto"/>
          <w:spacing w:val="-24"/>
        </w:rPr>
        <w:t>、【较重】</w:t>
      </w:r>
    </w:p>
    <w:p>
      <w:pPr>
        <w:pStyle w:val="13"/>
        <w:numPr>
          <w:ilvl w:val="0"/>
          <w:numId w:val="71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有下列情形之一的：1</w:t>
      </w:r>
      <w:r>
        <w:rPr>
          <w:color w:val="auto"/>
          <w:spacing w:val="-8"/>
        </w:rPr>
        <w:t xml:space="preserve">、违法所得在 </w:t>
      </w:r>
      <w:r>
        <w:rPr>
          <w:color w:val="auto"/>
        </w:rPr>
        <w:t>10000</w:t>
      </w:r>
      <w:r>
        <w:rPr>
          <w:color w:val="auto"/>
          <w:spacing w:val="-12"/>
        </w:rPr>
        <w:t xml:space="preserve"> 元以上、</w:t>
      </w:r>
      <w:r>
        <w:rPr>
          <w:color w:val="auto"/>
        </w:rPr>
        <w:t>15000</w:t>
      </w:r>
      <w:r>
        <w:rPr>
          <w:color w:val="auto"/>
          <w:spacing w:val="-10"/>
        </w:rPr>
        <w:t xml:space="preserve"> 元以下的；</w:t>
      </w:r>
      <w:r>
        <w:rPr>
          <w:color w:val="auto"/>
        </w:rPr>
        <w:t>2</w:t>
      </w:r>
      <w:r>
        <w:rPr>
          <w:color w:val="auto"/>
          <w:spacing w:val="-3"/>
        </w:rPr>
        <w:t>、制造、</w:t>
      </w:r>
      <w:r>
        <w:rPr>
          <w:color w:val="auto"/>
          <w:spacing w:val="-2"/>
        </w:rPr>
        <w:t xml:space="preserve">修理、安装、改装计量器具过程中为计量器具增加作弊装置或者功能 </w:t>
      </w:r>
      <w:r>
        <w:rPr>
          <w:color w:val="auto"/>
        </w:rPr>
        <w:t>10</w:t>
      </w:r>
      <w:r>
        <w:rPr>
          <w:color w:val="auto"/>
          <w:spacing w:val="-20"/>
        </w:rPr>
        <w:t xml:space="preserve"> 台件以上 </w:t>
      </w:r>
      <w:r>
        <w:rPr>
          <w:color w:val="auto"/>
        </w:rPr>
        <w:t>15 台件以下的。</w:t>
      </w:r>
    </w:p>
    <w:p>
      <w:pPr>
        <w:pStyle w:val="13"/>
        <w:numPr>
          <w:ilvl w:val="0"/>
          <w:numId w:val="719"/>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责令改正，没收违法制造、修理、安装、改装的计量器具和违法所得，并处 3.5</w:t>
      </w:r>
    </w:p>
    <w:p>
      <w:pPr>
        <w:pStyle w:val="4"/>
        <w:spacing w:before="194" w:line="388" w:lineRule="auto"/>
        <w:ind w:left="591" w:right="2392" w:hanging="480"/>
        <w:rPr>
          <w:color w:val="auto"/>
        </w:rPr>
      </w:pPr>
      <w:r>
        <w:rPr>
          <w:color w:val="auto"/>
          <w:spacing w:val="-12"/>
        </w:rPr>
        <w:t xml:space="preserve">万元以上 </w:t>
      </w:r>
      <w:r>
        <w:rPr>
          <w:color w:val="auto"/>
        </w:rPr>
        <w:t>4</w:t>
      </w:r>
      <w:r>
        <w:rPr>
          <w:color w:val="auto"/>
          <w:spacing w:val="-9"/>
        </w:rPr>
        <w:t xml:space="preserve"> 万元以下罚款；吊销其制造、修理计量器具许可证。</w:t>
      </w:r>
      <w:r>
        <w:rPr>
          <w:color w:val="auto"/>
        </w:rPr>
        <w:t>4</w:t>
      </w:r>
      <w:r>
        <w:rPr>
          <w:color w:val="auto"/>
          <w:spacing w:val="-24"/>
        </w:rPr>
        <w:t>、【严重】</w:t>
      </w:r>
    </w:p>
    <w:p>
      <w:pPr>
        <w:pStyle w:val="13"/>
        <w:numPr>
          <w:ilvl w:val="0"/>
          <w:numId w:val="72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rPr>
        <w:t>有下列情形之一的：1</w:t>
      </w:r>
      <w:r>
        <w:rPr>
          <w:color w:val="auto"/>
          <w:spacing w:val="-8"/>
        </w:rPr>
        <w:t xml:space="preserve">、违法所得在 </w:t>
      </w:r>
      <w:r>
        <w:rPr>
          <w:color w:val="auto"/>
        </w:rPr>
        <w:t>15000</w:t>
      </w:r>
      <w:r>
        <w:rPr>
          <w:color w:val="auto"/>
          <w:spacing w:val="-12"/>
        </w:rPr>
        <w:t xml:space="preserve"> 元以上、</w:t>
      </w:r>
      <w:r>
        <w:rPr>
          <w:color w:val="auto"/>
        </w:rPr>
        <w:t>20000</w:t>
      </w:r>
      <w:r>
        <w:rPr>
          <w:color w:val="auto"/>
          <w:spacing w:val="-10"/>
        </w:rPr>
        <w:t xml:space="preserve"> 元以下的；</w:t>
      </w:r>
      <w:r>
        <w:rPr>
          <w:color w:val="auto"/>
        </w:rPr>
        <w:t>2</w:t>
      </w:r>
      <w:r>
        <w:rPr>
          <w:color w:val="auto"/>
          <w:spacing w:val="-3"/>
        </w:rPr>
        <w:t>、制造、</w:t>
      </w:r>
      <w:r>
        <w:rPr>
          <w:color w:val="auto"/>
          <w:spacing w:val="-2"/>
        </w:rPr>
        <w:t xml:space="preserve">修理、安装、改装计量器具过程中为计量器具增加作弊装置或者功能 </w:t>
      </w:r>
      <w:r>
        <w:rPr>
          <w:color w:val="auto"/>
        </w:rPr>
        <w:t>15</w:t>
      </w:r>
      <w:r>
        <w:rPr>
          <w:color w:val="auto"/>
          <w:spacing w:val="-20"/>
        </w:rPr>
        <w:t xml:space="preserve"> 台件以上 </w:t>
      </w:r>
      <w:r>
        <w:rPr>
          <w:color w:val="auto"/>
        </w:rPr>
        <w:t>20 台件以下的。</w:t>
      </w:r>
    </w:p>
    <w:p>
      <w:pPr>
        <w:pStyle w:val="13"/>
        <w:numPr>
          <w:ilvl w:val="0"/>
          <w:numId w:val="720"/>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责令改正，没收违法制造、修理、安装、改装的计量器具和违法所得，并处 4 万</w:t>
      </w:r>
    </w:p>
    <w:p>
      <w:pPr>
        <w:pStyle w:val="4"/>
        <w:spacing w:before="191" w:line="391" w:lineRule="auto"/>
        <w:ind w:left="591" w:right="2392" w:hanging="480"/>
        <w:rPr>
          <w:color w:val="auto"/>
        </w:rPr>
      </w:pPr>
      <w:r>
        <w:rPr>
          <w:color w:val="auto"/>
          <w:spacing w:val="-15"/>
        </w:rPr>
        <w:t xml:space="preserve">元以上 </w:t>
      </w:r>
      <w:r>
        <w:rPr>
          <w:color w:val="auto"/>
        </w:rPr>
        <w:t>4.5</w:t>
      </w:r>
      <w:r>
        <w:rPr>
          <w:color w:val="auto"/>
          <w:spacing w:val="-9"/>
        </w:rPr>
        <w:t xml:space="preserve"> 万元以下罚款；吊销其制造、修理计量器具许可证。</w:t>
      </w:r>
      <w:r>
        <w:rPr>
          <w:color w:val="auto"/>
        </w:rPr>
        <w:t>5</w:t>
      </w:r>
      <w:r>
        <w:rPr>
          <w:color w:val="auto"/>
          <w:spacing w:val="-18"/>
        </w:rPr>
        <w:t>、【特别严重】</w:t>
      </w:r>
    </w:p>
    <w:p>
      <w:pPr>
        <w:pStyle w:val="13"/>
        <w:numPr>
          <w:ilvl w:val="0"/>
          <w:numId w:val="72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有下列情形之一的：1、违法所得在 20000 元以上的；2、制造、修理、安装、改</w:t>
      </w:r>
    </w:p>
    <w:p>
      <w:pPr>
        <w:pStyle w:val="4"/>
        <w:spacing w:before="194" w:line="388" w:lineRule="auto"/>
        <w:ind w:right="268"/>
        <w:rPr>
          <w:color w:val="auto"/>
        </w:rPr>
      </w:pPr>
      <w:r>
        <w:rPr>
          <w:color w:val="auto"/>
          <w:spacing w:val="-3"/>
        </w:rPr>
        <w:t xml:space="preserve">装计量器具过程中为计量器具增加作弊装置或者功能 </w:t>
      </w:r>
      <w:r>
        <w:rPr>
          <w:color w:val="auto"/>
        </w:rPr>
        <w:t>20</w:t>
      </w:r>
      <w:r>
        <w:rPr>
          <w:color w:val="auto"/>
          <w:spacing w:val="-10"/>
        </w:rPr>
        <w:t xml:space="preserve"> 台件以上的；3</w:t>
      </w:r>
      <w:r>
        <w:rPr>
          <w:color w:val="auto"/>
          <w:spacing w:val="-6"/>
        </w:rPr>
        <w:t>、造成较大社</w:t>
      </w:r>
      <w:r>
        <w:rPr>
          <w:color w:val="auto"/>
        </w:rPr>
        <w:t>会影响的。</w:t>
      </w:r>
    </w:p>
    <w:p>
      <w:pPr>
        <w:pStyle w:val="13"/>
        <w:numPr>
          <w:ilvl w:val="0"/>
          <w:numId w:val="72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责令改正，没收违法制造、修理、安装、改装的计量器具和违法所得，并处 4.5</w:t>
      </w:r>
    </w:p>
    <w:p>
      <w:pPr>
        <w:pStyle w:val="4"/>
        <w:spacing w:before="192"/>
        <w:rPr>
          <w:color w:val="auto"/>
        </w:rPr>
      </w:pPr>
      <w:r>
        <w:rPr>
          <w:color w:val="auto"/>
        </w:rPr>
        <w:t>万元以上 5 万元以下罚款；吊销其制造、修理计量器具许可证。</w:t>
      </w:r>
    </w:p>
    <w:p>
      <w:pPr>
        <w:pStyle w:val="2"/>
        <w:spacing w:before="192"/>
        <w:rPr>
          <w:color w:val="auto"/>
        </w:rPr>
      </w:pPr>
      <w:bookmarkStart w:id="841" w:name="四百一十、使用计量器具过程中为计量器具增加作弊装置或者功能"/>
      <w:bookmarkEnd w:id="841"/>
      <w:bookmarkStart w:id="842" w:name="_bookmark420"/>
      <w:bookmarkEnd w:id="842"/>
      <w:r>
        <w:rPr>
          <w:color w:val="auto"/>
        </w:rPr>
        <w:t>四百一十、使用计量器具过程中为计量器具增加作弊装置或者功能</w:t>
      </w:r>
    </w:p>
    <w:p>
      <w:pPr>
        <w:spacing w:after="0"/>
        <w:rPr>
          <w:color w:val="auto"/>
        </w:rPr>
        <w:sectPr>
          <w:pgSz w:w="11910" w:h="16840"/>
          <w:pgMar w:top="1520" w:right="1260" w:bottom="1220" w:left="1420" w:header="0" w:footer="1034" w:gutter="0"/>
        </w:sectPr>
      </w:pPr>
    </w:p>
    <w:p>
      <w:pPr>
        <w:spacing w:before="39"/>
        <w:ind w:left="471" w:right="0" w:firstLine="0"/>
        <w:jc w:val="left"/>
        <w:rPr>
          <w:b/>
          <w:color w:val="auto"/>
          <w:sz w:val="24"/>
        </w:rPr>
      </w:pPr>
      <w:r>
        <w:rPr>
          <w:b/>
          <w:color w:val="auto"/>
          <w:sz w:val="24"/>
        </w:rPr>
        <w:t>（一）处罚依据</w:t>
      </w:r>
    </w:p>
    <w:p>
      <w:pPr>
        <w:pStyle w:val="4"/>
        <w:spacing w:before="195" w:line="388" w:lineRule="auto"/>
        <w:ind w:right="268" w:firstLine="470"/>
        <w:jc w:val="both"/>
        <w:rPr>
          <w:color w:val="auto"/>
        </w:rPr>
      </w:pPr>
      <w:r>
        <w:rPr>
          <w:color w:val="auto"/>
          <w:spacing w:val="-4"/>
        </w:rPr>
        <w:t>《山东省计量条例》第四十二条“使用计量器具过程中为计量器具增加作弊装置</w:t>
      </w:r>
      <w:r>
        <w:rPr>
          <w:color w:val="auto"/>
          <w:spacing w:val="-6"/>
        </w:rPr>
        <w:t>或者功能的，由县级以上质量技术监督部门没收计量器具和违法所得，并处五百元以</w:t>
      </w:r>
      <w:r>
        <w:rPr>
          <w:color w:val="auto"/>
        </w:rPr>
        <w:t>上二万元以下罚款。”</w:t>
      </w:r>
    </w:p>
    <w:p>
      <w:pPr>
        <w:spacing w:before="5" w:line="388" w:lineRule="auto"/>
        <w:ind w:left="591" w:right="7068" w:hanging="120"/>
        <w:jc w:val="left"/>
        <w:rPr>
          <w:color w:val="auto"/>
          <w:sz w:val="24"/>
        </w:rPr>
      </w:pPr>
      <w:r>
        <w:rPr>
          <w:b/>
          <w:color w:val="auto"/>
          <w:sz w:val="24"/>
        </w:rPr>
        <w:t>（二）裁量标准</w:t>
      </w:r>
      <w:r>
        <w:rPr>
          <w:color w:val="auto"/>
          <w:sz w:val="24"/>
        </w:rPr>
        <w:t>1、【较轻】</w:t>
      </w:r>
    </w:p>
    <w:p>
      <w:pPr>
        <w:pStyle w:val="13"/>
        <w:numPr>
          <w:ilvl w:val="0"/>
          <w:numId w:val="72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使用计量器具过程中为计量器具增加作弊装置或者功能违法所得 1000 元以下的；。</w:t>
      </w:r>
    </w:p>
    <w:p>
      <w:pPr>
        <w:pStyle w:val="13"/>
        <w:numPr>
          <w:ilvl w:val="0"/>
          <w:numId w:val="72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line="388" w:lineRule="auto"/>
        <w:ind w:left="591" w:right="1792"/>
        <w:rPr>
          <w:color w:val="auto"/>
        </w:rPr>
      </w:pPr>
      <w:r>
        <w:rPr>
          <w:color w:val="auto"/>
          <w:spacing w:val="-4"/>
        </w:rPr>
        <w:t xml:space="preserve">没收计量器具和违法所得，并处 </w:t>
      </w:r>
      <w:r>
        <w:rPr>
          <w:color w:val="auto"/>
        </w:rPr>
        <w:t>500</w:t>
      </w:r>
      <w:r>
        <w:rPr>
          <w:color w:val="auto"/>
          <w:spacing w:val="-24"/>
        </w:rPr>
        <w:t xml:space="preserve"> 元以上 </w:t>
      </w:r>
      <w:r>
        <w:rPr>
          <w:color w:val="auto"/>
        </w:rPr>
        <w:t>5000</w:t>
      </w:r>
      <w:r>
        <w:rPr>
          <w:color w:val="auto"/>
          <w:spacing w:val="-10"/>
        </w:rPr>
        <w:t xml:space="preserve"> 元以下的罚款。</w:t>
      </w:r>
      <w:r>
        <w:rPr>
          <w:color w:val="auto"/>
        </w:rPr>
        <w:t>2</w:t>
      </w:r>
      <w:r>
        <w:rPr>
          <w:color w:val="auto"/>
          <w:spacing w:val="-24"/>
        </w:rPr>
        <w:t>、【一般】</w:t>
      </w:r>
    </w:p>
    <w:p>
      <w:pPr>
        <w:pStyle w:val="13"/>
        <w:numPr>
          <w:ilvl w:val="0"/>
          <w:numId w:val="72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使用计量器具过程中为计量器具增加作弊装置或者功能违法所得 1000 元以上</w:t>
      </w:r>
    </w:p>
    <w:p>
      <w:pPr>
        <w:pStyle w:val="4"/>
        <w:spacing w:before="191"/>
        <w:rPr>
          <w:color w:val="auto"/>
        </w:rPr>
      </w:pPr>
      <w:r>
        <w:rPr>
          <w:color w:val="auto"/>
        </w:rPr>
        <w:t>2000 元以下的。</w:t>
      </w:r>
    </w:p>
    <w:p>
      <w:pPr>
        <w:pStyle w:val="13"/>
        <w:numPr>
          <w:ilvl w:val="0"/>
          <w:numId w:val="72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032"/>
        <w:rPr>
          <w:color w:val="auto"/>
        </w:rPr>
      </w:pPr>
      <w:r>
        <w:rPr>
          <w:color w:val="auto"/>
          <w:spacing w:val="-4"/>
        </w:rPr>
        <w:t xml:space="preserve">没收计量器具和违法所得，并处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72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使用计量器具过程中为计量器具增加作弊装置或者功能违法所得 2000 元以上</w:t>
      </w:r>
    </w:p>
    <w:p>
      <w:pPr>
        <w:pStyle w:val="4"/>
        <w:spacing w:before="192"/>
        <w:rPr>
          <w:color w:val="auto"/>
        </w:rPr>
      </w:pPr>
      <w:r>
        <w:rPr>
          <w:color w:val="auto"/>
        </w:rPr>
        <w:t>3000 元以下的。</w:t>
      </w:r>
    </w:p>
    <w:p>
      <w:pPr>
        <w:pStyle w:val="13"/>
        <w:numPr>
          <w:ilvl w:val="0"/>
          <w:numId w:val="72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1912"/>
        <w:rPr>
          <w:color w:val="auto"/>
        </w:rPr>
      </w:pPr>
      <w:r>
        <w:rPr>
          <w:color w:val="auto"/>
          <w:spacing w:val="-4"/>
        </w:rPr>
        <w:t xml:space="preserve">没收计量器具和违法所得，并处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4"/>
        <w:spacing w:before="2"/>
        <w:ind w:left="591"/>
        <w:rPr>
          <w:color w:val="auto"/>
        </w:rPr>
      </w:pPr>
      <w:r>
        <w:rPr>
          <w:color w:val="auto"/>
        </w:rPr>
        <w:t>（1）违法情形</w:t>
      </w:r>
    </w:p>
    <w:p>
      <w:pPr>
        <w:pStyle w:val="4"/>
        <w:spacing w:before="194"/>
        <w:ind w:left="591"/>
        <w:rPr>
          <w:color w:val="auto"/>
        </w:rPr>
      </w:pPr>
      <w:r>
        <w:rPr>
          <w:color w:val="auto"/>
        </w:rPr>
        <w:t>使用计量器具过程中为计量器具增加作弊装置或者功能违法所得 3000 元以上</w:t>
      </w:r>
    </w:p>
    <w:p>
      <w:pPr>
        <w:pStyle w:val="4"/>
        <w:spacing w:before="192"/>
        <w:rPr>
          <w:color w:val="auto"/>
        </w:rPr>
      </w:pPr>
      <w:r>
        <w:rPr>
          <w:color w:val="auto"/>
        </w:rPr>
        <w:t>4000 元以下的。</w:t>
      </w:r>
    </w:p>
    <w:p>
      <w:pPr>
        <w:pStyle w:val="13"/>
        <w:numPr>
          <w:ilvl w:val="0"/>
          <w:numId w:val="725"/>
        </w:numPr>
        <w:tabs>
          <w:tab w:val="left" w:pos="1073"/>
        </w:tabs>
        <w:spacing w:before="192" w:after="0" w:line="240" w:lineRule="auto"/>
        <w:ind w:left="1072" w:right="0" w:hanging="602"/>
        <w:jc w:val="left"/>
        <w:rPr>
          <w:color w:val="auto"/>
          <w:sz w:val="24"/>
        </w:rPr>
      </w:pPr>
      <w:r>
        <w:rPr>
          <w:color w:val="auto"/>
          <w:sz w:val="24"/>
        </w:rPr>
        <w:t>处罚标准</w:t>
      </w:r>
    </w:p>
    <w:p>
      <w:pPr>
        <w:spacing w:after="0" w:line="240" w:lineRule="auto"/>
        <w:jc w:val="left"/>
        <w:rPr>
          <w:color w:val="auto"/>
          <w:sz w:val="24"/>
        </w:rPr>
        <w:sectPr>
          <w:footerReference r:id="rId95" w:type="default"/>
          <w:footerReference r:id="rId96" w:type="even"/>
          <w:pgSz w:w="11910" w:h="16840"/>
          <w:pgMar w:top="1520" w:right="1260" w:bottom="1220" w:left="1420" w:header="0" w:footer="1034" w:gutter="0"/>
          <w:pgNumType w:start="400"/>
        </w:sectPr>
      </w:pPr>
    </w:p>
    <w:p>
      <w:pPr>
        <w:pStyle w:val="4"/>
        <w:spacing w:before="39" w:line="391" w:lineRule="auto"/>
        <w:ind w:left="591" w:right="1672"/>
        <w:rPr>
          <w:color w:val="auto"/>
        </w:rPr>
      </w:pPr>
      <w:r>
        <w:rPr>
          <w:color w:val="auto"/>
          <w:spacing w:val="-4"/>
        </w:rPr>
        <w:t xml:space="preserve">没收计量器具和违法所得，并处 </w:t>
      </w:r>
      <w:r>
        <w:rPr>
          <w:color w:val="auto"/>
        </w:rPr>
        <w:t>1.5</w:t>
      </w:r>
      <w:r>
        <w:rPr>
          <w:color w:val="auto"/>
          <w:spacing w:val="-20"/>
        </w:rPr>
        <w:t xml:space="preserve"> 万元以上 </w:t>
      </w:r>
      <w:r>
        <w:rPr>
          <w:color w:val="auto"/>
        </w:rPr>
        <w:t>1.8</w:t>
      </w:r>
      <w:r>
        <w:rPr>
          <w:color w:val="auto"/>
          <w:spacing w:val="-10"/>
        </w:rPr>
        <w:t xml:space="preserve"> 万元以下罚款。</w:t>
      </w:r>
      <w:r>
        <w:rPr>
          <w:color w:val="auto"/>
        </w:rPr>
        <w:t>5</w:t>
      </w:r>
      <w:r>
        <w:rPr>
          <w:color w:val="auto"/>
          <w:spacing w:val="-18"/>
        </w:rPr>
        <w:t>、【特别严重】</w:t>
      </w:r>
    </w:p>
    <w:p>
      <w:pPr>
        <w:pStyle w:val="13"/>
        <w:numPr>
          <w:ilvl w:val="1"/>
          <w:numId w:val="72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6" w:firstLine="480"/>
        <w:jc w:val="both"/>
        <w:rPr>
          <w:color w:val="auto"/>
        </w:rPr>
      </w:pPr>
      <w:r>
        <w:rPr>
          <w:color w:val="auto"/>
        </w:rPr>
        <w:t>有下列情形之一的：1、使用计量器具过程中为计量器具增加作弊装置或者功能</w:t>
      </w:r>
      <w:r>
        <w:rPr>
          <w:color w:val="auto"/>
          <w:spacing w:val="-12"/>
        </w:rPr>
        <w:t xml:space="preserve">违法所得 </w:t>
      </w:r>
      <w:r>
        <w:rPr>
          <w:color w:val="auto"/>
        </w:rPr>
        <w:t>4000</w:t>
      </w:r>
      <w:r>
        <w:rPr>
          <w:color w:val="auto"/>
          <w:spacing w:val="-12"/>
        </w:rPr>
        <w:t xml:space="preserve"> 元以上的；</w:t>
      </w:r>
      <w:r>
        <w:rPr>
          <w:color w:val="auto"/>
          <w:spacing w:val="-10"/>
        </w:rPr>
        <w:t>2</w:t>
      </w:r>
      <w:r>
        <w:rPr>
          <w:color w:val="auto"/>
          <w:spacing w:val="-6"/>
        </w:rPr>
        <w:t>、造成较大社会影响的；</w:t>
      </w:r>
      <w:r>
        <w:rPr>
          <w:color w:val="auto"/>
          <w:spacing w:val="-9"/>
        </w:rPr>
        <w:t>3</w:t>
      </w:r>
      <w:r>
        <w:rPr>
          <w:color w:val="auto"/>
          <w:spacing w:val="-20"/>
        </w:rPr>
        <w:t>、</w:t>
      </w:r>
      <w:r>
        <w:rPr>
          <w:color w:val="auto"/>
        </w:rPr>
        <w:t>2</w:t>
      </w:r>
      <w:r>
        <w:rPr>
          <w:color w:val="auto"/>
          <w:spacing w:val="-10"/>
        </w:rPr>
        <w:t xml:space="preserve"> 次以上违法，或有其他严重</w:t>
      </w:r>
      <w:r>
        <w:rPr>
          <w:color w:val="auto"/>
        </w:rPr>
        <w:t>情节的。</w:t>
      </w:r>
    </w:p>
    <w:p>
      <w:pPr>
        <w:pStyle w:val="13"/>
        <w:numPr>
          <w:ilvl w:val="1"/>
          <w:numId w:val="725"/>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ind w:left="591"/>
        <w:rPr>
          <w:color w:val="auto"/>
        </w:rPr>
      </w:pPr>
      <w:r>
        <w:rPr>
          <w:color w:val="auto"/>
        </w:rPr>
        <w:t>没收计量器具和违法所得，并处 1.8 万元以上 2 万元以下罚款。</w:t>
      </w:r>
    </w:p>
    <w:p>
      <w:pPr>
        <w:pStyle w:val="2"/>
        <w:spacing w:before="192"/>
        <w:rPr>
          <w:color w:val="auto"/>
        </w:rPr>
      </w:pPr>
      <w:bookmarkStart w:id="843" w:name="_bookmark421"/>
      <w:bookmarkEnd w:id="843"/>
      <w:bookmarkStart w:id="844" w:name="四百一十一、私自开启计量器具检定封印、破坏检定封缄或者防作弊装置"/>
      <w:bookmarkEnd w:id="844"/>
      <w:r>
        <w:rPr>
          <w:color w:val="auto"/>
        </w:rPr>
        <w:t>四百一十一、私自开启计量器具检定封印、破坏检定封缄或者防作弊装置</w:t>
      </w:r>
    </w:p>
    <w:p>
      <w:pPr>
        <w:spacing w:before="192"/>
        <w:ind w:left="471" w:right="0" w:firstLine="0"/>
        <w:jc w:val="left"/>
        <w:rPr>
          <w:b/>
          <w:color w:val="auto"/>
          <w:sz w:val="24"/>
        </w:rPr>
      </w:pPr>
      <w:r>
        <w:rPr>
          <w:b/>
          <w:color w:val="auto"/>
          <w:sz w:val="24"/>
        </w:rPr>
        <w:t>（一）处罚依据</w:t>
      </w:r>
    </w:p>
    <w:p>
      <w:pPr>
        <w:pStyle w:val="4"/>
        <w:spacing w:before="194" w:line="388" w:lineRule="auto"/>
        <w:ind w:right="218" w:firstLine="470"/>
        <w:rPr>
          <w:color w:val="auto"/>
        </w:rPr>
      </w:pPr>
      <w:r>
        <w:rPr>
          <w:color w:val="auto"/>
        </w:rPr>
        <w:t>《山东省计量条例》第四十三条第二款“私自开启计量器具检定封印、破坏检定封缄或者防作弊装置的，责令改正，可并处五百元以上三千元以下罚款。”</w:t>
      </w:r>
    </w:p>
    <w:p>
      <w:pPr>
        <w:spacing w:before="2" w:line="391" w:lineRule="auto"/>
        <w:ind w:left="591" w:right="7068" w:hanging="120"/>
        <w:jc w:val="left"/>
        <w:rPr>
          <w:color w:val="auto"/>
          <w:sz w:val="24"/>
        </w:rPr>
      </w:pPr>
      <w:r>
        <w:rPr>
          <w:b/>
          <w:color w:val="auto"/>
          <w:sz w:val="24"/>
        </w:rPr>
        <w:t>（二）裁量标准</w:t>
      </w:r>
      <w:r>
        <w:rPr>
          <w:color w:val="auto"/>
          <w:sz w:val="24"/>
        </w:rPr>
        <w:t>1、【一般】</w:t>
      </w:r>
    </w:p>
    <w:p>
      <w:pPr>
        <w:pStyle w:val="13"/>
        <w:numPr>
          <w:ilvl w:val="0"/>
          <w:numId w:val="72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有下列情形之一的：1、违法时间在 10 天以下的；2、私自开启计量器具检定封</w:t>
      </w:r>
    </w:p>
    <w:p>
      <w:pPr>
        <w:pStyle w:val="4"/>
        <w:spacing w:before="194"/>
        <w:rPr>
          <w:color w:val="auto"/>
        </w:rPr>
      </w:pPr>
      <w:r>
        <w:rPr>
          <w:color w:val="auto"/>
        </w:rPr>
        <w:t>印、破坏检定封缄或者防作弊装置 2 台件以下的。</w:t>
      </w:r>
    </w:p>
    <w:p>
      <w:pPr>
        <w:pStyle w:val="13"/>
        <w:numPr>
          <w:ilvl w:val="0"/>
          <w:numId w:val="72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4912"/>
        <w:rPr>
          <w:color w:val="auto"/>
        </w:rPr>
      </w:pPr>
      <w:r>
        <w:rPr>
          <w:color w:val="auto"/>
          <w:spacing w:val="-8"/>
        </w:rPr>
        <w:t xml:space="preserve">责令改正，并处 </w:t>
      </w:r>
      <w:r>
        <w:rPr>
          <w:color w:val="auto"/>
        </w:rPr>
        <w:t>1000</w:t>
      </w:r>
      <w:r>
        <w:rPr>
          <w:color w:val="auto"/>
          <w:spacing w:val="-11"/>
        </w:rPr>
        <w:t xml:space="preserve"> 元以下罚款。</w:t>
      </w:r>
      <w:r>
        <w:rPr>
          <w:color w:val="auto"/>
        </w:rPr>
        <w:t>2</w:t>
      </w:r>
      <w:r>
        <w:rPr>
          <w:color w:val="auto"/>
          <w:spacing w:val="-24"/>
        </w:rPr>
        <w:t>、【较重】</w:t>
      </w:r>
    </w:p>
    <w:p>
      <w:pPr>
        <w:pStyle w:val="13"/>
        <w:numPr>
          <w:ilvl w:val="0"/>
          <w:numId w:val="72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有下列情形之一的：1、违法时间在 30 天以下的；2、私自开启计量器具检定封</w:t>
      </w:r>
    </w:p>
    <w:p>
      <w:pPr>
        <w:pStyle w:val="4"/>
        <w:spacing w:before="194"/>
        <w:rPr>
          <w:color w:val="auto"/>
        </w:rPr>
      </w:pPr>
      <w:r>
        <w:rPr>
          <w:color w:val="auto"/>
        </w:rPr>
        <w:t>印、破坏检定封缄或者防作弊装置 5 台件以下的。</w:t>
      </w:r>
    </w:p>
    <w:p>
      <w:pPr>
        <w:pStyle w:val="13"/>
        <w:numPr>
          <w:ilvl w:val="0"/>
          <w:numId w:val="72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592"/>
        <w:rPr>
          <w:color w:val="auto"/>
        </w:rPr>
      </w:pPr>
      <w:r>
        <w:rPr>
          <w:color w:val="auto"/>
          <w:spacing w:val="-8"/>
        </w:rPr>
        <w:t xml:space="preserve">责令改正，并处 </w:t>
      </w:r>
      <w:r>
        <w:rPr>
          <w:color w:val="auto"/>
        </w:rPr>
        <w:t>1000</w:t>
      </w:r>
      <w:r>
        <w:rPr>
          <w:color w:val="auto"/>
          <w:spacing w:val="-24"/>
        </w:rPr>
        <w:t xml:space="preserve"> 元以上 </w:t>
      </w:r>
      <w:r>
        <w:rPr>
          <w:color w:val="auto"/>
        </w:rPr>
        <w:t>2000</w:t>
      </w:r>
      <w:r>
        <w:rPr>
          <w:color w:val="auto"/>
          <w:spacing w:val="-11"/>
        </w:rPr>
        <w:t xml:space="preserve"> 元以下罚款。</w:t>
      </w:r>
      <w:r>
        <w:rPr>
          <w:color w:val="auto"/>
        </w:rPr>
        <w:t>3</w:t>
      </w:r>
      <w:r>
        <w:rPr>
          <w:color w:val="auto"/>
          <w:spacing w:val="-24"/>
        </w:rPr>
        <w:t>、【严重】</w:t>
      </w:r>
    </w:p>
    <w:p>
      <w:pPr>
        <w:pStyle w:val="13"/>
        <w:numPr>
          <w:ilvl w:val="0"/>
          <w:numId w:val="72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有下列情形之一的：1、私自开启计量器具检定封印、破坏检定封缄或者防作弊</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装置 5 台件以上；2、造成计量器具严重失准的。</w:t>
      </w:r>
    </w:p>
    <w:p>
      <w:pPr>
        <w:pStyle w:val="13"/>
        <w:numPr>
          <w:ilvl w:val="0"/>
          <w:numId w:val="728"/>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责令改正，并处 2000 元以上 3000 元以下罚款。</w:t>
      </w:r>
    </w:p>
    <w:p>
      <w:pPr>
        <w:pStyle w:val="2"/>
        <w:spacing w:before="192" w:line="391" w:lineRule="auto"/>
        <w:ind w:left="111" w:right="170" w:firstLine="480"/>
        <w:rPr>
          <w:color w:val="auto"/>
        </w:rPr>
      </w:pPr>
      <w:bookmarkStart w:id="845" w:name="_bookmark422"/>
      <w:bookmarkEnd w:id="845"/>
      <w:bookmarkStart w:id="846" w:name="四百一十二、建设单位安装未经首次强制检定或者经检定不合格的住宅用水表、电能表、燃"/>
      <w:bookmarkEnd w:id="846"/>
      <w:r>
        <w:rPr>
          <w:color w:val="auto"/>
        </w:rPr>
        <w:t>四百一十二、建设单位安装未经首次强制检定或者经检定不合格的住宅用水表、电能表、燃气表、热能表</w:t>
      </w:r>
    </w:p>
    <w:p>
      <w:pPr>
        <w:spacing w:before="0" w:line="306" w:lineRule="exact"/>
        <w:ind w:left="47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《山东省计量条例 》第四十四条“建设单位安装未经首次强制检定或者经检定</w:t>
      </w:r>
      <w:r>
        <w:rPr>
          <w:color w:val="auto"/>
          <w:spacing w:val="-5"/>
        </w:rPr>
        <w:t>不合格的住宅用水表、电能表、燃气表、热能表的，由县级以上质量技术监督部门责</w:t>
      </w:r>
      <w:r>
        <w:rPr>
          <w:color w:val="auto"/>
        </w:rPr>
        <w:t>令限期改正；逾期仍未改正的，处一万元以上二万元以下罚款。”</w:t>
      </w:r>
    </w:p>
    <w:p>
      <w:pPr>
        <w:spacing w:before="0" w:line="391" w:lineRule="auto"/>
        <w:ind w:left="591" w:right="7068" w:hanging="120"/>
        <w:jc w:val="left"/>
        <w:rPr>
          <w:color w:val="auto"/>
          <w:sz w:val="24"/>
        </w:rPr>
      </w:pPr>
      <w:r>
        <w:rPr>
          <w:b/>
          <w:color w:val="auto"/>
          <w:sz w:val="24"/>
        </w:rPr>
        <w:t>（二）裁量标准</w:t>
      </w:r>
      <w:r>
        <w:rPr>
          <w:color w:val="auto"/>
          <w:sz w:val="24"/>
        </w:rPr>
        <w:t>1、【较轻】</w:t>
      </w:r>
    </w:p>
    <w:p>
      <w:pPr>
        <w:pStyle w:val="13"/>
        <w:numPr>
          <w:ilvl w:val="0"/>
          <w:numId w:val="72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spacing w:val="-1"/>
        </w:rPr>
        <w:t>有下列情形之一的：</w:t>
      </w:r>
      <w:r>
        <w:rPr>
          <w:color w:val="auto"/>
          <w:spacing w:val="-4"/>
        </w:rPr>
        <w:t>1</w:t>
      </w:r>
      <w:r>
        <w:rPr>
          <w:color w:val="auto"/>
          <w:spacing w:val="-13"/>
        </w:rPr>
        <w:t xml:space="preserve">、违法货值 </w:t>
      </w:r>
      <w:r>
        <w:rPr>
          <w:color w:val="auto"/>
        </w:rPr>
        <w:t>5000</w:t>
      </w:r>
      <w:r>
        <w:rPr>
          <w:color w:val="auto"/>
          <w:spacing w:val="-11"/>
        </w:rPr>
        <w:t xml:space="preserve"> 元以下的；</w:t>
      </w:r>
      <w:r>
        <w:rPr>
          <w:color w:val="auto"/>
          <w:spacing w:val="-4"/>
        </w:rPr>
        <w:t>2</w:t>
      </w:r>
      <w:r>
        <w:rPr>
          <w:color w:val="auto"/>
          <w:spacing w:val="-10"/>
        </w:rPr>
        <w:t xml:space="preserve">、逾期未改正，数量在 </w:t>
      </w:r>
      <w:r>
        <w:rPr>
          <w:color w:val="auto"/>
        </w:rPr>
        <w:t>10</w:t>
      </w:r>
      <w:r>
        <w:rPr>
          <w:color w:val="auto"/>
          <w:spacing w:val="-30"/>
        </w:rPr>
        <w:t xml:space="preserve"> 台</w:t>
      </w:r>
    </w:p>
    <w:p>
      <w:pPr>
        <w:pStyle w:val="4"/>
        <w:spacing w:before="194"/>
        <w:rPr>
          <w:color w:val="auto"/>
        </w:rPr>
      </w:pPr>
      <w:r>
        <w:rPr>
          <w:color w:val="auto"/>
        </w:rPr>
        <w:t>（件）以下的。</w:t>
      </w:r>
    </w:p>
    <w:p>
      <w:pPr>
        <w:pStyle w:val="13"/>
        <w:numPr>
          <w:ilvl w:val="0"/>
          <w:numId w:val="729"/>
        </w:numPr>
        <w:tabs>
          <w:tab w:val="left" w:pos="1193"/>
        </w:tabs>
        <w:spacing w:before="192" w:after="0" w:line="391" w:lineRule="auto"/>
        <w:ind w:left="591" w:right="6952" w:firstLine="0"/>
        <w:jc w:val="left"/>
        <w:rPr>
          <w:color w:val="auto"/>
          <w:sz w:val="24"/>
        </w:rPr>
      </w:pPr>
      <w:r>
        <w:rPr>
          <w:color w:val="auto"/>
          <w:sz w:val="24"/>
        </w:rPr>
        <w:t>处罚标准</w:t>
      </w:r>
      <w:r>
        <w:rPr>
          <w:color w:val="auto"/>
          <w:spacing w:val="-30"/>
          <w:sz w:val="24"/>
        </w:rPr>
        <w:t xml:space="preserve">处 </w:t>
      </w:r>
      <w:r>
        <w:rPr>
          <w:color w:val="auto"/>
          <w:sz w:val="24"/>
        </w:rPr>
        <w:t>1</w:t>
      </w:r>
      <w:r>
        <w:rPr>
          <w:color w:val="auto"/>
          <w:spacing w:val="-13"/>
          <w:sz w:val="24"/>
        </w:rPr>
        <w:t xml:space="preserve"> 万元罚款。</w:t>
      </w:r>
      <w:r>
        <w:rPr>
          <w:color w:val="auto"/>
          <w:sz w:val="24"/>
        </w:rPr>
        <w:t>2</w:t>
      </w:r>
      <w:r>
        <w:rPr>
          <w:color w:val="auto"/>
          <w:spacing w:val="-24"/>
          <w:sz w:val="24"/>
        </w:rPr>
        <w:t>、【一般】</w:t>
      </w:r>
    </w:p>
    <w:p>
      <w:pPr>
        <w:pStyle w:val="13"/>
        <w:numPr>
          <w:ilvl w:val="0"/>
          <w:numId w:val="730"/>
        </w:numPr>
        <w:tabs>
          <w:tab w:val="left" w:pos="1193"/>
        </w:tabs>
        <w:spacing w:before="0" w:after="0" w:line="304"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有下列情形之一的：1、违法货值 10000 元以下的；2、逾期未改正，数量在 10</w:t>
      </w:r>
    </w:p>
    <w:p>
      <w:pPr>
        <w:pStyle w:val="4"/>
        <w:spacing w:before="194"/>
        <w:rPr>
          <w:color w:val="auto"/>
        </w:rPr>
      </w:pPr>
      <w:r>
        <w:rPr>
          <w:color w:val="auto"/>
        </w:rPr>
        <w:t>台（件）以上 20 台（件）以下的。</w:t>
      </w:r>
    </w:p>
    <w:p>
      <w:pPr>
        <w:pStyle w:val="13"/>
        <w:numPr>
          <w:ilvl w:val="0"/>
          <w:numId w:val="73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1.4</w:t>
      </w:r>
      <w:r>
        <w:rPr>
          <w:color w:val="auto"/>
          <w:spacing w:val="-10"/>
        </w:rPr>
        <w:t xml:space="preserve"> 万元以下罚款。</w:t>
      </w:r>
      <w:r>
        <w:rPr>
          <w:color w:val="auto"/>
        </w:rPr>
        <w:t>3</w:t>
      </w:r>
      <w:r>
        <w:rPr>
          <w:color w:val="auto"/>
          <w:spacing w:val="-24"/>
        </w:rPr>
        <w:t>、【较重】</w:t>
      </w:r>
    </w:p>
    <w:p>
      <w:pPr>
        <w:pStyle w:val="13"/>
        <w:numPr>
          <w:ilvl w:val="0"/>
          <w:numId w:val="73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有下列情形之一的：1、违法货值 15000 元以下的；2、逾期未改正，数量在 20</w:t>
      </w:r>
    </w:p>
    <w:p>
      <w:pPr>
        <w:pStyle w:val="4"/>
        <w:spacing w:before="195"/>
        <w:rPr>
          <w:color w:val="auto"/>
        </w:rPr>
      </w:pPr>
      <w:r>
        <w:rPr>
          <w:color w:val="auto"/>
        </w:rPr>
        <w:t>台（件）以上 30 台（件）以下的。</w:t>
      </w:r>
    </w:p>
    <w:p>
      <w:pPr>
        <w:pStyle w:val="13"/>
        <w:numPr>
          <w:ilvl w:val="0"/>
          <w:numId w:val="73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1.4 万元以上 1.6 万元以下罚款。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4、【严重】</w:t>
      </w:r>
    </w:p>
    <w:p>
      <w:pPr>
        <w:pStyle w:val="13"/>
        <w:numPr>
          <w:ilvl w:val="0"/>
          <w:numId w:val="732"/>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有下列情形之一的：1、违法货值 20000 元以下的；2、逾期未改正，数量在 30</w:t>
      </w:r>
    </w:p>
    <w:p>
      <w:pPr>
        <w:pStyle w:val="4"/>
        <w:spacing w:before="192"/>
        <w:rPr>
          <w:color w:val="auto"/>
        </w:rPr>
      </w:pPr>
      <w:r>
        <w:rPr>
          <w:color w:val="auto"/>
        </w:rPr>
        <w:t>台（件）以上 40 台（件）以下的。</w:t>
      </w:r>
    </w:p>
    <w:p>
      <w:pPr>
        <w:pStyle w:val="13"/>
        <w:numPr>
          <w:ilvl w:val="0"/>
          <w:numId w:val="73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792"/>
        <w:rPr>
          <w:color w:val="auto"/>
        </w:rPr>
      </w:pPr>
      <w:r>
        <w:rPr>
          <w:color w:val="auto"/>
          <w:spacing w:val="-30"/>
        </w:rPr>
        <w:t xml:space="preserve">处 </w:t>
      </w:r>
      <w:r>
        <w:rPr>
          <w:color w:val="auto"/>
        </w:rPr>
        <w:t>1.6</w:t>
      </w:r>
      <w:r>
        <w:rPr>
          <w:color w:val="auto"/>
          <w:spacing w:val="-20"/>
        </w:rPr>
        <w:t xml:space="preserve"> 万元以上 </w:t>
      </w:r>
      <w:r>
        <w:rPr>
          <w:color w:val="auto"/>
        </w:rPr>
        <w:t>1.8</w:t>
      </w:r>
      <w:r>
        <w:rPr>
          <w:color w:val="auto"/>
          <w:spacing w:val="-10"/>
        </w:rPr>
        <w:t xml:space="preserve"> 万元以下罚款。</w:t>
      </w:r>
      <w:r>
        <w:rPr>
          <w:color w:val="auto"/>
        </w:rPr>
        <w:t>5</w:t>
      </w:r>
      <w:r>
        <w:rPr>
          <w:color w:val="auto"/>
          <w:spacing w:val="-18"/>
        </w:rPr>
        <w:t>、【特别严重】</w:t>
      </w:r>
    </w:p>
    <w:p>
      <w:pPr>
        <w:pStyle w:val="13"/>
        <w:numPr>
          <w:ilvl w:val="0"/>
          <w:numId w:val="73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有下列情形之一的：1、违法货值 20000 元以上的；2、逾期未改正数量在 40 台</w:t>
      </w:r>
    </w:p>
    <w:p>
      <w:pPr>
        <w:pStyle w:val="4"/>
        <w:spacing w:before="192"/>
        <w:rPr>
          <w:color w:val="auto"/>
        </w:rPr>
      </w:pPr>
      <w:r>
        <w:rPr>
          <w:color w:val="auto"/>
        </w:rPr>
        <w:t>（件）以上的；3、造成较大社会影响的</w:t>
      </w:r>
    </w:p>
    <w:p>
      <w:pPr>
        <w:pStyle w:val="13"/>
        <w:numPr>
          <w:ilvl w:val="0"/>
          <w:numId w:val="73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1.8 万元以上 2 万元以下罚款。</w:t>
      </w:r>
    </w:p>
    <w:p>
      <w:pPr>
        <w:pStyle w:val="2"/>
        <w:spacing w:before="192" w:line="391" w:lineRule="auto"/>
        <w:ind w:left="111" w:right="237" w:firstLine="480"/>
        <w:rPr>
          <w:color w:val="auto"/>
        </w:rPr>
      </w:pPr>
      <w:bookmarkStart w:id="847" w:name="四百一十三、商品交易市场主办者未按规定设置便于公众校验的计量器具，或者经营者配备"/>
      <w:bookmarkEnd w:id="847"/>
      <w:bookmarkStart w:id="848" w:name="_bookmark423"/>
      <w:bookmarkEnd w:id="848"/>
      <w:r>
        <w:rPr>
          <w:color w:val="auto"/>
          <w:spacing w:val="-7"/>
        </w:rPr>
        <w:t>四百一十三、商品交易市场主办者未按规定设置便于公众校验的计量器具，或者经营者配备和使用的计量器具不符合国家规定要求</w:t>
      </w:r>
    </w:p>
    <w:p>
      <w:pPr>
        <w:spacing w:before="0" w:line="306" w:lineRule="exact"/>
        <w:ind w:left="47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《山东省计量条例》第四十五条“商品交易市场主办者未按规定设置便于公众校</w:t>
      </w:r>
      <w:r>
        <w:rPr>
          <w:color w:val="auto"/>
          <w:spacing w:val="-5"/>
        </w:rPr>
        <w:t>验的计量器具，或者经营者配备和使用的计量器具不符合国家规定要求的，由县级以</w:t>
      </w:r>
      <w:r>
        <w:rPr>
          <w:color w:val="auto"/>
          <w:spacing w:val="-4"/>
        </w:rPr>
        <w:t>上质量技术监督部门给予警告，责令限期改正；逾期仍未改正的，处一千元以上三千</w:t>
      </w:r>
      <w:r>
        <w:rPr>
          <w:color w:val="auto"/>
        </w:rPr>
        <w:t>元以下罚款。”</w:t>
      </w:r>
    </w:p>
    <w:p>
      <w:pPr>
        <w:spacing w:before="0" w:line="388" w:lineRule="auto"/>
        <w:ind w:left="591" w:right="7068" w:hanging="120"/>
        <w:jc w:val="left"/>
        <w:rPr>
          <w:color w:val="auto"/>
          <w:sz w:val="24"/>
        </w:rPr>
      </w:pPr>
      <w:r>
        <w:rPr>
          <w:b/>
          <w:color w:val="auto"/>
          <w:sz w:val="24"/>
        </w:rPr>
        <w:t>（二）</w:t>
      </w:r>
      <w:r>
        <w:rPr>
          <w:b/>
          <w:color w:val="auto"/>
          <w:spacing w:val="-5"/>
          <w:sz w:val="24"/>
        </w:rPr>
        <w:t>裁量标准</w:t>
      </w:r>
      <w:r>
        <w:rPr>
          <w:color w:val="auto"/>
          <w:sz w:val="24"/>
        </w:rPr>
        <w:t>1</w:t>
      </w:r>
      <w:r>
        <w:rPr>
          <w:color w:val="auto"/>
          <w:spacing w:val="-24"/>
          <w:sz w:val="24"/>
        </w:rPr>
        <w:t>、【较轻】</w:t>
      </w:r>
    </w:p>
    <w:p>
      <w:pPr>
        <w:pStyle w:val="13"/>
        <w:numPr>
          <w:ilvl w:val="0"/>
          <w:numId w:val="734"/>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line="388" w:lineRule="auto"/>
        <w:ind w:right="213" w:firstLine="480"/>
        <w:rPr>
          <w:color w:val="auto"/>
        </w:rPr>
      </w:pPr>
      <w:r>
        <w:rPr>
          <w:color w:val="auto"/>
        </w:rPr>
        <w:t>商品交易市场主办者未按规定设置便于公众校验的计量器具，或者经营者配备和使用的计量器具不符合国家规定要求的。</w:t>
      </w:r>
    </w:p>
    <w:p>
      <w:pPr>
        <w:pStyle w:val="13"/>
        <w:numPr>
          <w:ilvl w:val="0"/>
          <w:numId w:val="73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6232"/>
        <w:rPr>
          <w:color w:val="auto"/>
        </w:rPr>
      </w:pPr>
      <w:r>
        <w:rPr>
          <w:color w:val="auto"/>
        </w:rPr>
        <w:t>警告，责令限期改正。2、【一般】</w:t>
      </w:r>
    </w:p>
    <w:p>
      <w:pPr>
        <w:pStyle w:val="13"/>
        <w:numPr>
          <w:ilvl w:val="0"/>
          <w:numId w:val="735"/>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spacing w:val="-20"/>
        </w:rPr>
        <w:t xml:space="preserve">逾期 </w:t>
      </w:r>
      <w:r>
        <w:rPr>
          <w:color w:val="auto"/>
        </w:rPr>
        <w:t>10</w:t>
      </w:r>
      <w:r>
        <w:rPr>
          <w:color w:val="auto"/>
          <w:spacing w:val="-8"/>
        </w:rPr>
        <w:t xml:space="preserve"> 天以下未改正的。</w:t>
      </w:r>
    </w:p>
    <w:p>
      <w:pPr>
        <w:pStyle w:val="13"/>
        <w:numPr>
          <w:ilvl w:val="0"/>
          <w:numId w:val="735"/>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6112"/>
        <w:rPr>
          <w:color w:val="auto"/>
        </w:rPr>
      </w:pPr>
      <w:r>
        <w:rPr>
          <w:color w:val="auto"/>
          <w:spacing w:val="-12"/>
        </w:rPr>
        <w:t xml:space="preserve">警告，处 </w:t>
      </w:r>
      <w:r>
        <w:rPr>
          <w:color w:val="auto"/>
        </w:rPr>
        <w:t>1000</w:t>
      </w:r>
      <w:r>
        <w:rPr>
          <w:color w:val="auto"/>
          <w:spacing w:val="-16"/>
        </w:rPr>
        <w:t xml:space="preserve"> 元罚款。</w:t>
      </w:r>
      <w:r>
        <w:rPr>
          <w:color w:val="auto"/>
        </w:rPr>
        <w:t>3</w:t>
      </w:r>
      <w:r>
        <w:rPr>
          <w:color w:val="auto"/>
          <w:spacing w:val="-24"/>
        </w:rPr>
        <w:t>、【较重】</w:t>
      </w:r>
    </w:p>
    <w:p>
      <w:pPr>
        <w:pStyle w:val="13"/>
        <w:numPr>
          <w:ilvl w:val="0"/>
          <w:numId w:val="73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 10 天以上 20 天以下未改正的。</w:t>
      </w:r>
    </w:p>
    <w:p>
      <w:pPr>
        <w:pStyle w:val="13"/>
        <w:numPr>
          <w:ilvl w:val="0"/>
          <w:numId w:val="73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4312"/>
        <w:rPr>
          <w:color w:val="auto"/>
        </w:rPr>
      </w:pPr>
      <w:r>
        <w:rPr>
          <w:color w:val="auto"/>
          <w:spacing w:val="-12"/>
        </w:rPr>
        <w:t xml:space="preserve">警告，处 </w:t>
      </w:r>
      <w:r>
        <w:rPr>
          <w:color w:val="auto"/>
        </w:rPr>
        <w:t>1000</w:t>
      </w:r>
      <w:r>
        <w:rPr>
          <w:color w:val="auto"/>
          <w:spacing w:val="-24"/>
        </w:rPr>
        <w:t xml:space="preserve"> 元以上 </w:t>
      </w:r>
      <w:r>
        <w:rPr>
          <w:color w:val="auto"/>
        </w:rPr>
        <w:t>2000</w:t>
      </w:r>
      <w:r>
        <w:rPr>
          <w:color w:val="auto"/>
          <w:spacing w:val="-11"/>
        </w:rPr>
        <w:t xml:space="preserve"> 元以下罚款。</w:t>
      </w:r>
      <w:r>
        <w:rPr>
          <w:color w:val="auto"/>
        </w:rPr>
        <w:t>4</w:t>
      </w:r>
      <w:r>
        <w:rPr>
          <w:color w:val="auto"/>
          <w:spacing w:val="-24"/>
        </w:rPr>
        <w:t>、【严重】</w:t>
      </w:r>
    </w:p>
    <w:p>
      <w:pPr>
        <w:pStyle w:val="13"/>
        <w:numPr>
          <w:ilvl w:val="0"/>
          <w:numId w:val="73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spacing w:val="-20"/>
        </w:rPr>
        <w:t xml:space="preserve">逾期 </w:t>
      </w:r>
      <w:r>
        <w:rPr>
          <w:color w:val="auto"/>
        </w:rPr>
        <w:t>20</w:t>
      </w:r>
      <w:r>
        <w:rPr>
          <w:color w:val="auto"/>
          <w:spacing w:val="-8"/>
        </w:rPr>
        <w:t xml:space="preserve"> 天以上未改正的。</w:t>
      </w:r>
    </w:p>
    <w:p>
      <w:pPr>
        <w:pStyle w:val="13"/>
        <w:numPr>
          <w:ilvl w:val="0"/>
          <w:numId w:val="73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警告，处 2000 元以上 3000 元以下罚款。</w:t>
      </w:r>
    </w:p>
    <w:p>
      <w:pPr>
        <w:pStyle w:val="2"/>
        <w:spacing w:before="194" w:line="388" w:lineRule="auto"/>
        <w:ind w:left="111" w:right="237" w:firstLine="480"/>
        <w:rPr>
          <w:color w:val="auto"/>
        </w:rPr>
      </w:pPr>
      <w:bookmarkStart w:id="849" w:name="_bookmark424"/>
      <w:bookmarkEnd w:id="849"/>
      <w:bookmarkStart w:id="850" w:name="四百一十四、商品量或者服务量的结算量值与实际量值的计量偏差超出国家或者本省规定"/>
      <w:bookmarkEnd w:id="850"/>
      <w:r>
        <w:rPr>
          <w:color w:val="auto"/>
          <w:spacing w:val="-9"/>
        </w:rPr>
        <w:t>四百一十四、商品量或者服务量的结算量值与实际量值的计量偏差超出国家或者本省规定</w:t>
      </w:r>
    </w:p>
    <w:p>
      <w:pPr>
        <w:spacing w:before="2"/>
        <w:ind w:left="591" w:right="0" w:firstLine="0"/>
        <w:jc w:val="left"/>
        <w:rPr>
          <w:b/>
          <w:color w:val="auto"/>
          <w:sz w:val="24"/>
        </w:rPr>
      </w:pPr>
      <w:r>
        <w:rPr>
          <w:b/>
          <w:color w:val="auto"/>
          <w:sz w:val="24"/>
        </w:rPr>
        <w:t>（一）处罚依据</w:t>
      </w:r>
    </w:p>
    <w:p>
      <w:pPr>
        <w:pStyle w:val="4"/>
        <w:spacing w:before="194" w:line="391" w:lineRule="auto"/>
        <w:ind w:right="264" w:firstLine="480"/>
        <w:jc w:val="both"/>
        <w:rPr>
          <w:color w:val="auto"/>
        </w:rPr>
      </w:pPr>
      <w:r>
        <w:rPr>
          <w:color w:val="auto"/>
          <w:spacing w:val="-2"/>
        </w:rPr>
        <w:t>《山东省计量条例》第四十六条第</w:t>
      </w:r>
      <w:r>
        <w:rPr>
          <w:color w:val="auto"/>
        </w:rPr>
        <w:t>（一</w:t>
      </w:r>
      <w:r>
        <w:rPr>
          <w:color w:val="auto"/>
          <w:spacing w:val="-5"/>
        </w:rPr>
        <w:t>）项“有下列情形之一的，由县级以上质</w:t>
      </w:r>
      <w:r>
        <w:rPr>
          <w:color w:val="auto"/>
          <w:spacing w:val="-4"/>
        </w:rPr>
        <w:t>量技术监督部门给予警告，责令改正，没收违法所得，可并处一千元以上二万元以下</w:t>
      </w:r>
      <w:r>
        <w:rPr>
          <w:color w:val="auto"/>
          <w:spacing w:val="-5"/>
        </w:rPr>
        <w:t>罚款；情节严重的，吊销其相应的资格证：</w:t>
      </w:r>
      <w:r>
        <w:rPr>
          <w:color w:val="auto"/>
          <w:spacing w:val="-6"/>
        </w:rPr>
        <w:t>（</w:t>
      </w:r>
      <w:r>
        <w:rPr>
          <w:color w:val="auto"/>
        </w:rPr>
        <w:t>一</w:t>
      </w:r>
      <w:r>
        <w:rPr>
          <w:color w:val="auto"/>
          <w:spacing w:val="-8"/>
        </w:rPr>
        <w:t>）</w:t>
      </w:r>
      <w:r>
        <w:rPr>
          <w:color w:val="auto"/>
          <w:spacing w:val="-1"/>
        </w:rPr>
        <w:t>商品量或者服务量的结算量值与实</w:t>
      </w:r>
      <w:r>
        <w:rPr>
          <w:color w:val="auto"/>
        </w:rPr>
        <w:t>际量值的计量偏差超出国家或者本省规定的；”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73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spacing w:val="-12"/>
        </w:rPr>
        <w:t xml:space="preserve">违法所得 </w:t>
      </w:r>
      <w:r>
        <w:rPr>
          <w:color w:val="auto"/>
        </w:rPr>
        <w:t>500</w:t>
      </w:r>
      <w:r>
        <w:rPr>
          <w:color w:val="auto"/>
          <w:spacing w:val="-10"/>
        </w:rPr>
        <w:t xml:space="preserve"> 元以下的。</w:t>
      </w:r>
    </w:p>
    <w:p>
      <w:pPr>
        <w:pStyle w:val="13"/>
        <w:numPr>
          <w:ilvl w:val="0"/>
          <w:numId w:val="73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2992"/>
        <w:rPr>
          <w:color w:val="auto"/>
        </w:rPr>
      </w:pPr>
      <w:r>
        <w:rPr>
          <w:color w:val="auto"/>
          <w:spacing w:val="-4"/>
        </w:rPr>
        <w:t xml:space="preserve">警告，责令改正，没收违法所得，并处 </w:t>
      </w:r>
      <w:r>
        <w:rPr>
          <w:color w:val="auto"/>
        </w:rPr>
        <w:t>1000</w:t>
      </w:r>
      <w:r>
        <w:rPr>
          <w:color w:val="auto"/>
          <w:spacing w:val="-16"/>
        </w:rPr>
        <w:t xml:space="preserve"> 元罚款。</w:t>
      </w:r>
      <w:r>
        <w:rPr>
          <w:color w:val="auto"/>
        </w:rPr>
        <w:t>2</w:t>
      </w:r>
      <w:r>
        <w:rPr>
          <w:color w:val="auto"/>
          <w:spacing w:val="-24"/>
        </w:rPr>
        <w:t>、【一般】</w:t>
      </w:r>
    </w:p>
    <w:p>
      <w:pPr>
        <w:pStyle w:val="13"/>
        <w:numPr>
          <w:ilvl w:val="0"/>
          <w:numId w:val="739"/>
        </w:numPr>
        <w:tabs>
          <w:tab w:val="left" w:pos="1193"/>
        </w:tabs>
        <w:spacing w:before="3"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违法所得 500 元以上 1000 元以下的。</w:t>
      </w:r>
    </w:p>
    <w:p>
      <w:pPr>
        <w:pStyle w:val="13"/>
        <w:numPr>
          <w:ilvl w:val="0"/>
          <w:numId w:val="73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1192"/>
        <w:rPr>
          <w:color w:val="auto"/>
        </w:rPr>
      </w:pPr>
      <w:r>
        <w:rPr>
          <w:color w:val="auto"/>
          <w:spacing w:val="-4"/>
        </w:rPr>
        <w:t xml:space="preserve">警告，责令改正，没收违法所得，并处 </w:t>
      </w:r>
      <w:r>
        <w:rPr>
          <w:color w:val="auto"/>
        </w:rPr>
        <w:t>1000</w:t>
      </w:r>
      <w:r>
        <w:rPr>
          <w:color w:val="auto"/>
          <w:spacing w:val="-24"/>
        </w:rPr>
        <w:t xml:space="preserve"> 元以上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740"/>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 1000 元以上 1500 元以下的。</w:t>
      </w:r>
    </w:p>
    <w:p>
      <w:pPr>
        <w:pStyle w:val="13"/>
        <w:numPr>
          <w:ilvl w:val="0"/>
          <w:numId w:val="74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1312"/>
        <w:rPr>
          <w:color w:val="auto"/>
        </w:rPr>
      </w:pPr>
      <w:r>
        <w:rPr>
          <w:color w:val="auto"/>
          <w:spacing w:val="-4"/>
        </w:rPr>
        <w:t xml:space="preserve">警告，责令改正，没收违法所得，并处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pStyle w:val="13"/>
        <w:numPr>
          <w:ilvl w:val="0"/>
          <w:numId w:val="74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违法所得 1500 元以上 2000 元以下的。</w:t>
      </w:r>
    </w:p>
    <w:p>
      <w:pPr>
        <w:pStyle w:val="13"/>
        <w:numPr>
          <w:ilvl w:val="0"/>
          <w:numId w:val="74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9"/>
        </w:rPr>
        <w:t xml:space="preserve">警告，责令改正，没收违法所得，并处 </w:t>
      </w:r>
      <w:r>
        <w:rPr>
          <w:color w:val="auto"/>
        </w:rPr>
        <w:t>1</w:t>
      </w:r>
      <w:r>
        <w:rPr>
          <w:color w:val="auto"/>
          <w:spacing w:val="-20"/>
        </w:rPr>
        <w:t xml:space="preserve"> 万元以上 </w:t>
      </w:r>
      <w:r>
        <w:rPr>
          <w:color w:val="auto"/>
        </w:rPr>
        <w:t>1.5</w:t>
      </w:r>
      <w:r>
        <w:rPr>
          <w:color w:val="auto"/>
          <w:spacing w:val="-10"/>
        </w:rPr>
        <w:t xml:space="preserve"> 万元以下罚款；吊销其相</w:t>
      </w:r>
      <w:r>
        <w:rPr>
          <w:color w:val="auto"/>
        </w:rPr>
        <w:t>应的资格证。</w:t>
      </w:r>
    </w:p>
    <w:p>
      <w:pPr>
        <w:pStyle w:val="4"/>
        <w:spacing w:line="306" w:lineRule="exact"/>
        <w:ind w:left="591"/>
        <w:rPr>
          <w:color w:val="auto"/>
        </w:rPr>
      </w:pPr>
      <w:r>
        <w:rPr>
          <w:color w:val="auto"/>
        </w:rPr>
        <w:t>5、【特别严重】</w:t>
      </w:r>
    </w:p>
    <w:p>
      <w:pPr>
        <w:pStyle w:val="13"/>
        <w:numPr>
          <w:ilvl w:val="0"/>
          <w:numId w:val="74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spacing w:val="-12"/>
        </w:rPr>
        <w:t xml:space="preserve">违法所得 </w:t>
      </w:r>
      <w:r>
        <w:rPr>
          <w:color w:val="auto"/>
        </w:rPr>
        <w:t>2000</w:t>
      </w:r>
      <w:r>
        <w:rPr>
          <w:color w:val="auto"/>
          <w:spacing w:val="-10"/>
        </w:rPr>
        <w:t xml:space="preserve"> 元以上的。</w:t>
      </w:r>
    </w:p>
    <w:p>
      <w:pPr>
        <w:pStyle w:val="13"/>
        <w:numPr>
          <w:ilvl w:val="0"/>
          <w:numId w:val="742"/>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9"/>
        </w:rPr>
        <w:t xml:space="preserve">警告，责令改正，没收违法所得，并处 </w:t>
      </w:r>
      <w:r>
        <w:rPr>
          <w:color w:val="auto"/>
        </w:rPr>
        <w:t>1.5</w:t>
      </w:r>
      <w:r>
        <w:rPr>
          <w:color w:val="auto"/>
          <w:spacing w:val="-20"/>
        </w:rPr>
        <w:t xml:space="preserve"> 万元以上 </w:t>
      </w:r>
      <w:r>
        <w:rPr>
          <w:color w:val="auto"/>
        </w:rPr>
        <w:t>2</w:t>
      </w:r>
      <w:r>
        <w:rPr>
          <w:color w:val="auto"/>
          <w:spacing w:val="-10"/>
        </w:rPr>
        <w:t xml:space="preserve"> 万元以下罚款；吊销其相</w:t>
      </w:r>
      <w:r>
        <w:rPr>
          <w:color w:val="auto"/>
        </w:rPr>
        <w:t>应的资格证。</w:t>
      </w:r>
    </w:p>
    <w:p>
      <w:pPr>
        <w:pStyle w:val="2"/>
        <w:spacing w:line="306" w:lineRule="exact"/>
        <w:rPr>
          <w:color w:val="auto"/>
        </w:rPr>
      </w:pPr>
      <w:bookmarkStart w:id="851" w:name="四百一十五、生产的定量包装商品其净含量偏差不符合国家有关规定"/>
      <w:bookmarkEnd w:id="851"/>
      <w:bookmarkStart w:id="852" w:name="_bookmark425"/>
      <w:bookmarkEnd w:id="852"/>
      <w:r>
        <w:rPr>
          <w:color w:val="auto"/>
        </w:rPr>
        <w:t>四百一十五、生产的定量包装商品其净含量偏差不符合国家有关规定</w:t>
      </w:r>
    </w:p>
    <w:p>
      <w:pPr>
        <w:spacing w:before="192"/>
        <w:ind w:left="591" w:right="0" w:firstLine="0"/>
        <w:jc w:val="left"/>
        <w:rPr>
          <w:b/>
          <w:color w:val="auto"/>
          <w:sz w:val="24"/>
        </w:rPr>
      </w:pPr>
      <w:r>
        <w:rPr>
          <w:b/>
          <w:color w:val="auto"/>
          <w:sz w:val="24"/>
        </w:rPr>
        <w:t>（一）处罚依据</w:t>
      </w:r>
    </w:p>
    <w:p>
      <w:pPr>
        <w:pStyle w:val="4"/>
        <w:spacing w:before="194" w:line="391" w:lineRule="auto"/>
        <w:ind w:right="264" w:firstLine="480"/>
        <w:jc w:val="both"/>
        <w:rPr>
          <w:color w:val="auto"/>
        </w:rPr>
      </w:pPr>
      <w:r>
        <w:rPr>
          <w:color w:val="auto"/>
          <w:spacing w:val="-2"/>
        </w:rPr>
        <w:t>《山东省计量条例》第四十六条第</w:t>
      </w:r>
      <w:r>
        <w:rPr>
          <w:color w:val="auto"/>
        </w:rPr>
        <w:t>（二</w:t>
      </w:r>
      <w:r>
        <w:rPr>
          <w:color w:val="auto"/>
          <w:spacing w:val="-5"/>
        </w:rPr>
        <w:t>）项“有下列情形之一的，由县级以上质</w:t>
      </w:r>
      <w:r>
        <w:rPr>
          <w:color w:val="auto"/>
          <w:spacing w:val="-4"/>
        </w:rPr>
        <w:t>量技术监督部门给予警告，责令改正，没收违法所得，可并处一千元以上二万元以下</w:t>
      </w:r>
      <w:r>
        <w:rPr>
          <w:color w:val="auto"/>
          <w:spacing w:val="-5"/>
        </w:rPr>
        <w:t>罚款；情节严重的，吊销其相应的资格证：</w:t>
      </w:r>
      <w:r>
        <w:rPr>
          <w:color w:val="auto"/>
          <w:spacing w:val="-6"/>
        </w:rPr>
        <w:t>（</w:t>
      </w:r>
      <w:r>
        <w:rPr>
          <w:color w:val="auto"/>
        </w:rPr>
        <w:t>二</w:t>
      </w:r>
      <w:r>
        <w:rPr>
          <w:color w:val="auto"/>
          <w:spacing w:val="-8"/>
        </w:rPr>
        <w:t>）</w:t>
      </w:r>
      <w:r>
        <w:rPr>
          <w:color w:val="auto"/>
          <w:spacing w:val="-1"/>
        </w:rPr>
        <w:t>生产的定量包装商品其净含量偏差</w:t>
      </w:r>
      <w:r>
        <w:rPr>
          <w:color w:val="auto"/>
        </w:rPr>
        <w:t>不符合国家有关规定的；”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743"/>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rPr>
          <w:color w:val="auto"/>
        </w:rPr>
      </w:pPr>
      <w:r>
        <w:rPr>
          <w:color w:val="auto"/>
          <w:spacing w:val="-2"/>
        </w:rPr>
        <w:t>有下列情形之一的：</w:t>
      </w:r>
      <w:r>
        <w:rPr>
          <w:color w:val="auto"/>
          <w:spacing w:val="-12"/>
        </w:rPr>
        <w:t>1</w:t>
      </w:r>
      <w:r>
        <w:rPr>
          <w:color w:val="auto"/>
          <w:spacing w:val="-10"/>
        </w:rPr>
        <w:t xml:space="preserve">、违法行为造成的损失在 </w:t>
      </w:r>
      <w:r>
        <w:rPr>
          <w:color w:val="auto"/>
        </w:rPr>
        <w:t>500</w:t>
      </w:r>
      <w:r>
        <w:rPr>
          <w:color w:val="auto"/>
          <w:spacing w:val="-15"/>
        </w:rPr>
        <w:t xml:space="preserve"> 元以下；</w:t>
      </w:r>
      <w:r>
        <w:rPr>
          <w:color w:val="auto"/>
          <w:spacing w:val="-12"/>
        </w:rPr>
        <w:t>2</w:t>
      </w:r>
      <w:r>
        <w:rPr>
          <w:color w:val="auto"/>
          <w:spacing w:val="-13"/>
        </w:rPr>
        <w:t xml:space="preserve">、违法货值在 </w:t>
      </w:r>
      <w:r>
        <w:rPr>
          <w:color w:val="auto"/>
          <w:spacing w:val="-5"/>
        </w:rPr>
        <w:t xml:space="preserve">1000 </w:t>
      </w:r>
      <w:r>
        <w:rPr>
          <w:color w:val="auto"/>
        </w:rPr>
        <w:t>元以下的。</w:t>
      </w:r>
    </w:p>
    <w:p>
      <w:pPr>
        <w:pStyle w:val="13"/>
        <w:numPr>
          <w:ilvl w:val="0"/>
          <w:numId w:val="74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2992"/>
        <w:rPr>
          <w:color w:val="auto"/>
        </w:rPr>
      </w:pPr>
      <w:r>
        <w:rPr>
          <w:color w:val="auto"/>
          <w:spacing w:val="-4"/>
        </w:rPr>
        <w:t xml:space="preserve">警告，责令改正，没收违法所得，并处 </w:t>
      </w:r>
      <w:r>
        <w:rPr>
          <w:color w:val="auto"/>
        </w:rPr>
        <w:t>1000</w:t>
      </w:r>
      <w:r>
        <w:rPr>
          <w:color w:val="auto"/>
          <w:spacing w:val="-16"/>
        </w:rPr>
        <w:t xml:space="preserve"> 元罚款。</w:t>
      </w:r>
      <w:r>
        <w:rPr>
          <w:color w:val="auto"/>
        </w:rPr>
        <w:t>2</w:t>
      </w:r>
      <w:r>
        <w:rPr>
          <w:color w:val="auto"/>
          <w:spacing w:val="-24"/>
        </w:rPr>
        <w:t>、【一般】</w:t>
      </w:r>
    </w:p>
    <w:p>
      <w:pPr>
        <w:pStyle w:val="13"/>
        <w:numPr>
          <w:ilvl w:val="0"/>
          <w:numId w:val="74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有下列情形之一的：1、违法行为造成的损失在 500 元以上 1000 元以下；2、违</w:t>
      </w:r>
    </w:p>
    <w:p>
      <w:pPr>
        <w:pStyle w:val="4"/>
        <w:spacing w:before="192"/>
        <w:rPr>
          <w:color w:val="auto"/>
        </w:rPr>
      </w:pPr>
      <w:r>
        <w:rPr>
          <w:color w:val="auto"/>
        </w:rPr>
        <w:t>法货值在 1000 元以上 2000 元以下的。</w:t>
      </w:r>
    </w:p>
    <w:p>
      <w:pPr>
        <w:pStyle w:val="13"/>
        <w:numPr>
          <w:ilvl w:val="0"/>
          <w:numId w:val="74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left="591" w:right="1192"/>
        <w:rPr>
          <w:color w:val="auto"/>
        </w:rPr>
      </w:pPr>
      <w:r>
        <w:rPr>
          <w:color w:val="auto"/>
          <w:spacing w:val="-4"/>
        </w:rPr>
        <w:t xml:space="preserve">警告，责令改正，没收违法所得，并处 </w:t>
      </w:r>
      <w:r>
        <w:rPr>
          <w:color w:val="auto"/>
        </w:rPr>
        <w:t>1000</w:t>
      </w:r>
      <w:r>
        <w:rPr>
          <w:color w:val="auto"/>
          <w:spacing w:val="-24"/>
        </w:rPr>
        <w:t xml:space="preserve"> 元以上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74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spacing w:val="-1"/>
        </w:rPr>
        <w:t>有下列情形之一的：</w:t>
      </w:r>
      <w:r>
        <w:rPr>
          <w:color w:val="auto"/>
          <w:spacing w:val="-5"/>
        </w:rPr>
        <w:t>1</w:t>
      </w:r>
      <w:r>
        <w:rPr>
          <w:color w:val="auto"/>
          <w:spacing w:val="-8"/>
        </w:rPr>
        <w:t xml:space="preserve">、违法行为造成的损失在 </w:t>
      </w:r>
      <w:r>
        <w:rPr>
          <w:color w:val="auto"/>
        </w:rPr>
        <w:t>1000</w:t>
      </w:r>
      <w:r>
        <w:rPr>
          <w:color w:val="auto"/>
          <w:spacing w:val="-24"/>
        </w:rPr>
        <w:t xml:space="preserve"> 元以上 </w:t>
      </w:r>
      <w:r>
        <w:rPr>
          <w:color w:val="auto"/>
        </w:rPr>
        <w:t>1500</w:t>
      </w:r>
      <w:r>
        <w:rPr>
          <w:color w:val="auto"/>
          <w:spacing w:val="-13"/>
        </w:rPr>
        <w:t xml:space="preserve"> 元以下；</w:t>
      </w:r>
      <w:r>
        <w:rPr>
          <w:color w:val="auto"/>
          <w:spacing w:val="-4"/>
        </w:rPr>
        <w:t>2</w:t>
      </w:r>
      <w:r>
        <w:rPr>
          <w:color w:val="auto"/>
          <w:spacing w:val="-5"/>
        </w:rPr>
        <w:t>、违</w:t>
      </w:r>
    </w:p>
    <w:p>
      <w:pPr>
        <w:pStyle w:val="4"/>
        <w:spacing w:before="191"/>
        <w:rPr>
          <w:color w:val="auto"/>
        </w:rPr>
      </w:pPr>
      <w:r>
        <w:rPr>
          <w:color w:val="auto"/>
        </w:rPr>
        <w:t>法货值在 2000 元以上 3000 元以下的。</w:t>
      </w:r>
    </w:p>
    <w:p>
      <w:pPr>
        <w:pStyle w:val="13"/>
        <w:numPr>
          <w:ilvl w:val="0"/>
          <w:numId w:val="74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832"/>
        <w:rPr>
          <w:color w:val="auto"/>
        </w:rPr>
      </w:pPr>
      <w:r>
        <w:rPr>
          <w:color w:val="auto"/>
          <w:spacing w:val="-3"/>
        </w:rPr>
        <w:t xml:space="preserve">警告，责令改正，没收违法所得，并处五千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pStyle w:val="13"/>
        <w:numPr>
          <w:ilvl w:val="0"/>
          <w:numId w:val="74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spacing w:val="-1"/>
        </w:rPr>
        <w:t>有下列情形之一的：</w:t>
      </w:r>
      <w:r>
        <w:rPr>
          <w:color w:val="auto"/>
          <w:spacing w:val="-5"/>
        </w:rPr>
        <w:t>1</w:t>
      </w:r>
      <w:r>
        <w:rPr>
          <w:color w:val="auto"/>
          <w:spacing w:val="-8"/>
        </w:rPr>
        <w:t xml:space="preserve">、违法行为造成的损失在 </w:t>
      </w:r>
      <w:r>
        <w:rPr>
          <w:color w:val="auto"/>
        </w:rPr>
        <w:t>1500</w:t>
      </w:r>
      <w:r>
        <w:rPr>
          <w:color w:val="auto"/>
          <w:spacing w:val="-24"/>
        </w:rPr>
        <w:t xml:space="preserve"> 元以上 </w:t>
      </w:r>
      <w:r>
        <w:rPr>
          <w:color w:val="auto"/>
        </w:rPr>
        <w:t>2000</w:t>
      </w:r>
      <w:r>
        <w:rPr>
          <w:color w:val="auto"/>
          <w:spacing w:val="-13"/>
        </w:rPr>
        <w:t xml:space="preserve"> 元以下；</w:t>
      </w:r>
      <w:r>
        <w:rPr>
          <w:color w:val="auto"/>
          <w:spacing w:val="-4"/>
        </w:rPr>
        <w:t>2</w:t>
      </w:r>
      <w:r>
        <w:rPr>
          <w:color w:val="auto"/>
          <w:spacing w:val="-5"/>
        </w:rPr>
        <w:t>、违</w:t>
      </w:r>
    </w:p>
    <w:p>
      <w:pPr>
        <w:pStyle w:val="4"/>
        <w:spacing w:before="192"/>
        <w:rPr>
          <w:color w:val="auto"/>
        </w:rPr>
      </w:pPr>
      <w:r>
        <w:rPr>
          <w:color w:val="auto"/>
        </w:rPr>
        <w:t>法货值在 3000 元以上 4000 元以下的。</w:t>
      </w:r>
    </w:p>
    <w:p>
      <w:pPr>
        <w:pStyle w:val="13"/>
        <w:numPr>
          <w:ilvl w:val="0"/>
          <w:numId w:val="74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9"/>
        </w:rPr>
        <w:t xml:space="preserve">警告，责令改正，没收违法所得，并处 </w:t>
      </w:r>
      <w:r>
        <w:rPr>
          <w:color w:val="auto"/>
        </w:rPr>
        <w:t>1</w:t>
      </w:r>
      <w:r>
        <w:rPr>
          <w:color w:val="auto"/>
          <w:spacing w:val="-20"/>
        </w:rPr>
        <w:t xml:space="preserve"> 万元以上 </w:t>
      </w:r>
      <w:r>
        <w:rPr>
          <w:color w:val="auto"/>
        </w:rPr>
        <w:t>1.5</w:t>
      </w:r>
      <w:r>
        <w:rPr>
          <w:color w:val="auto"/>
          <w:spacing w:val="-10"/>
        </w:rPr>
        <w:t xml:space="preserve"> 万元以下罚款；吊销其相</w:t>
      </w:r>
      <w:r>
        <w:rPr>
          <w:color w:val="auto"/>
        </w:rPr>
        <w:t>应的资格证。</w:t>
      </w:r>
    </w:p>
    <w:p>
      <w:pPr>
        <w:pStyle w:val="4"/>
        <w:spacing w:before="2"/>
        <w:ind w:left="591"/>
        <w:rPr>
          <w:color w:val="auto"/>
        </w:rPr>
      </w:pPr>
      <w:r>
        <w:rPr>
          <w:color w:val="auto"/>
        </w:rPr>
        <w:t>5、【特别严重】</w:t>
      </w:r>
    </w:p>
    <w:p>
      <w:pPr>
        <w:pStyle w:val="13"/>
        <w:numPr>
          <w:ilvl w:val="0"/>
          <w:numId w:val="74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spacing w:val="-5"/>
        </w:rPr>
        <w:t>有下列情形之一的：</w:t>
      </w:r>
      <w:r>
        <w:rPr>
          <w:color w:val="auto"/>
          <w:spacing w:val="-42"/>
        </w:rPr>
        <w:t>1</w:t>
      </w:r>
      <w:r>
        <w:rPr>
          <w:color w:val="auto"/>
          <w:spacing w:val="-15"/>
        </w:rPr>
        <w:t xml:space="preserve">、违法行为造成的损失在 </w:t>
      </w:r>
      <w:r>
        <w:rPr>
          <w:color w:val="auto"/>
        </w:rPr>
        <w:t>20000</w:t>
      </w:r>
      <w:r>
        <w:rPr>
          <w:color w:val="auto"/>
          <w:spacing w:val="-17"/>
        </w:rPr>
        <w:t xml:space="preserve"> 元以上的；</w:t>
      </w:r>
      <w:r>
        <w:rPr>
          <w:color w:val="auto"/>
          <w:spacing w:val="-42"/>
        </w:rPr>
        <w:t>2</w:t>
      </w:r>
      <w:r>
        <w:rPr>
          <w:color w:val="auto"/>
          <w:spacing w:val="-24"/>
        </w:rPr>
        <w:t xml:space="preserve">、违法货值 </w:t>
      </w:r>
      <w:r>
        <w:rPr>
          <w:color w:val="auto"/>
          <w:spacing w:val="-5"/>
        </w:rPr>
        <w:t xml:space="preserve">4000 </w:t>
      </w:r>
      <w:r>
        <w:rPr>
          <w:color w:val="auto"/>
        </w:rPr>
        <w:t>元以上的；3、造成较大社会影响的。</w:t>
      </w:r>
    </w:p>
    <w:p>
      <w:pPr>
        <w:spacing w:after="0" w:line="388" w:lineRule="auto"/>
        <w:rPr>
          <w:color w:val="auto"/>
        </w:rPr>
        <w:sectPr>
          <w:pgSz w:w="11910" w:h="16840"/>
          <w:pgMar w:top="1520" w:right="1260" w:bottom="1220" w:left="1420" w:header="0" w:footer="1034" w:gutter="0"/>
        </w:sectPr>
      </w:pPr>
    </w:p>
    <w:p>
      <w:pPr>
        <w:pStyle w:val="13"/>
        <w:numPr>
          <w:ilvl w:val="0"/>
          <w:numId w:val="74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68" w:firstLine="480"/>
        <w:rPr>
          <w:color w:val="auto"/>
        </w:rPr>
      </w:pPr>
      <w:r>
        <w:rPr>
          <w:color w:val="auto"/>
          <w:spacing w:val="-9"/>
        </w:rPr>
        <w:t xml:space="preserve">警告，责令改正，没收违法所得，并处 </w:t>
      </w:r>
      <w:r>
        <w:rPr>
          <w:color w:val="auto"/>
        </w:rPr>
        <w:t>1.5</w:t>
      </w:r>
      <w:r>
        <w:rPr>
          <w:color w:val="auto"/>
          <w:spacing w:val="-20"/>
        </w:rPr>
        <w:t xml:space="preserve"> 万元以上 </w:t>
      </w:r>
      <w:r>
        <w:rPr>
          <w:color w:val="auto"/>
        </w:rPr>
        <w:t>2</w:t>
      </w:r>
      <w:r>
        <w:rPr>
          <w:color w:val="auto"/>
          <w:spacing w:val="-10"/>
        </w:rPr>
        <w:t xml:space="preserve"> 万元以下罚款；吊销其相</w:t>
      </w:r>
      <w:r>
        <w:rPr>
          <w:color w:val="auto"/>
        </w:rPr>
        <w:t>应的资格证。</w:t>
      </w:r>
    </w:p>
    <w:p>
      <w:pPr>
        <w:pStyle w:val="2"/>
        <w:spacing w:before="2" w:line="391" w:lineRule="auto"/>
        <w:ind w:left="111" w:right="240" w:firstLine="480"/>
        <w:rPr>
          <w:color w:val="auto"/>
        </w:rPr>
      </w:pPr>
      <w:bookmarkStart w:id="853" w:name="_bookmark426"/>
      <w:bookmarkEnd w:id="853"/>
      <w:bookmarkStart w:id="854" w:name="四百一十六、供水、供电、供气和供热的经营者未按照计量器具显示的实际量值结算，或者"/>
      <w:bookmarkEnd w:id="854"/>
      <w:r>
        <w:rPr>
          <w:color w:val="auto"/>
          <w:spacing w:val="-8"/>
        </w:rPr>
        <w:t>四百一十六、供水、供电、供气和供热的经营者未按照计量器具显示的实际量值结算，或者违法转嫁户外管线或者其他设施所造成的损耗</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1" w:firstLine="480"/>
        <w:jc w:val="both"/>
        <w:rPr>
          <w:color w:val="auto"/>
        </w:rPr>
      </w:pPr>
      <w:r>
        <w:rPr>
          <w:color w:val="auto"/>
          <w:spacing w:val="-2"/>
        </w:rPr>
        <w:t>《山东省计量条例》第四十六条第</w:t>
      </w:r>
      <w:r>
        <w:rPr>
          <w:color w:val="auto"/>
        </w:rPr>
        <w:t>（三</w:t>
      </w:r>
      <w:r>
        <w:rPr>
          <w:color w:val="auto"/>
          <w:spacing w:val="-5"/>
        </w:rPr>
        <w:t>）</w:t>
      </w:r>
      <w:r>
        <w:rPr>
          <w:color w:val="auto"/>
          <w:spacing w:val="-4"/>
        </w:rPr>
        <w:t>项“有下列情形之一的，由县级以上质</w:t>
      </w:r>
      <w:r>
        <w:rPr>
          <w:color w:val="auto"/>
          <w:spacing w:val="-8"/>
        </w:rPr>
        <w:t>量技术监督部门给予警告，责令改正，没收违法所得，可并处一千元以上二万元以下</w:t>
      </w:r>
      <w:r>
        <w:rPr>
          <w:color w:val="auto"/>
          <w:spacing w:val="-4"/>
        </w:rPr>
        <w:t>罚款；情节严重的，吊销其相应的资格证：</w:t>
      </w:r>
      <w:r>
        <w:rPr>
          <w:color w:val="auto"/>
          <w:spacing w:val="-6"/>
        </w:rPr>
        <w:t>（</w:t>
      </w:r>
      <w:r>
        <w:rPr>
          <w:color w:val="auto"/>
        </w:rPr>
        <w:t>三</w:t>
      </w:r>
      <w:r>
        <w:rPr>
          <w:color w:val="auto"/>
          <w:spacing w:val="-5"/>
        </w:rPr>
        <w:t>）</w:t>
      </w:r>
      <w:r>
        <w:rPr>
          <w:color w:val="auto"/>
          <w:spacing w:val="-4"/>
        </w:rPr>
        <w:t>供水、供电、供气和供热的经营者未按照计量器具显示的实际量值结算，或者违法转嫁户外管线或者其他设施所造成的</w:t>
      </w:r>
      <w:r>
        <w:rPr>
          <w:color w:val="auto"/>
        </w:rPr>
        <w:t>损耗的；”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74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spacing w:val="-12"/>
        </w:rPr>
        <w:t xml:space="preserve">违法所得 </w:t>
      </w:r>
      <w:r>
        <w:rPr>
          <w:color w:val="auto"/>
        </w:rPr>
        <w:t>5000</w:t>
      </w:r>
      <w:r>
        <w:rPr>
          <w:color w:val="auto"/>
          <w:spacing w:val="-10"/>
        </w:rPr>
        <w:t xml:space="preserve"> 元以下的。</w:t>
      </w:r>
    </w:p>
    <w:p>
      <w:pPr>
        <w:pStyle w:val="13"/>
        <w:numPr>
          <w:ilvl w:val="0"/>
          <w:numId w:val="74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992"/>
        <w:rPr>
          <w:color w:val="auto"/>
        </w:rPr>
      </w:pPr>
      <w:r>
        <w:rPr>
          <w:color w:val="auto"/>
          <w:spacing w:val="-4"/>
        </w:rPr>
        <w:t xml:space="preserve">警告，责令改正，没收违法所得，并处 </w:t>
      </w:r>
      <w:r>
        <w:rPr>
          <w:color w:val="auto"/>
        </w:rPr>
        <w:t>1000</w:t>
      </w:r>
      <w:r>
        <w:rPr>
          <w:color w:val="auto"/>
          <w:spacing w:val="-16"/>
        </w:rPr>
        <w:t xml:space="preserve"> 元罚款。</w:t>
      </w:r>
      <w:r>
        <w:rPr>
          <w:color w:val="auto"/>
        </w:rPr>
        <w:t>2</w:t>
      </w:r>
      <w:r>
        <w:rPr>
          <w:color w:val="auto"/>
          <w:spacing w:val="-24"/>
        </w:rPr>
        <w:t>、【一般】</w:t>
      </w:r>
    </w:p>
    <w:p>
      <w:pPr>
        <w:pStyle w:val="13"/>
        <w:numPr>
          <w:ilvl w:val="0"/>
          <w:numId w:val="74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违法所得在 5000 元以上 10000 元以下的。</w:t>
      </w:r>
    </w:p>
    <w:p>
      <w:pPr>
        <w:pStyle w:val="13"/>
        <w:numPr>
          <w:ilvl w:val="0"/>
          <w:numId w:val="74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1192"/>
        <w:rPr>
          <w:color w:val="auto"/>
        </w:rPr>
      </w:pPr>
      <w:r>
        <w:rPr>
          <w:color w:val="auto"/>
          <w:spacing w:val="-4"/>
        </w:rPr>
        <w:t xml:space="preserve">警告，责令改正，没收违法所得，并处 </w:t>
      </w:r>
      <w:r>
        <w:rPr>
          <w:color w:val="auto"/>
        </w:rPr>
        <w:t>1000</w:t>
      </w:r>
      <w:r>
        <w:rPr>
          <w:color w:val="auto"/>
          <w:spacing w:val="-24"/>
        </w:rPr>
        <w:t xml:space="preserve"> 元以上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75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违法所得在 10000 元以上 20000 元以下的。</w:t>
      </w:r>
    </w:p>
    <w:p>
      <w:pPr>
        <w:pStyle w:val="13"/>
        <w:numPr>
          <w:ilvl w:val="0"/>
          <w:numId w:val="75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1312"/>
        <w:rPr>
          <w:color w:val="auto"/>
        </w:rPr>
      </w:pPr>
      <w:r>
        <w:rPr>
          <w:color w:val="auto"/>
          <w:spacing w:val="-4"/>
        </w:rPr>
        <w:t xml:space="preserve">警告，责令改正，没收违法所得，并处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751"/>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违法所得在 20000 元以上 50000 元以下的。</w:t>
      </w:r>
    </w:p>
    <w:p>
      <w:pPr>
        <w:pStyle w:val="13"/>
        <w:numPr>
          <w:ilvl w:val="0"/>
          <w:numId w:val="75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9"/>
        </w:rPr>
        <w:t xml:space="preserve">警告，责令改正，没收违法所得，并处 </w:t>
      </w:r>
      <w:r>
        <w:rPr>
          <w:color w:val="auto"/>
        </w:rPr>
        <w:t>1</w:t>
      </w:r>
      <w:r>
        <w:rPr>
          <w:color w:val="auto"/>
          <w:spacing w:val="-20"/>
        </w:rPr>
        <w:t xml:space="preserve"> 万元以上 </w:t>
      </w:r>
      <w:r>
        <w:rPr>
          <w:color w:val="auto"/>
        </w:rPr>
        <w:t>1.5</w:t>
      </w:r>
      <w:r>
        <w:rPr>
          <w:color w:val="auto"/>
          <w:spacing w:val="-10"/>
        </w:rPr>
        <w:t xml:space="preserve"> 万元以下罚款；吊销其相</w:t>
      </w:r>
      <w:r>
        <w:rPr>
          <w:color w:val="auto"/>
        </w:rPr>
        <w:t>应的资格证。</w:t>
      </w:r>
    </w:p>
    <w:p>
      <w:pPr>
        <w:pStyle w:val="4"/>
        <w:spacing w:line="306" w:lineRule="exact"/>
        <w:ind w:left="591"/>
        <w:rPr>
          <w:color w:val="auto"/>
        </w:rPr>
      </w:pPr>
      <w:r>
        <w:rPr>
          <w:color w:val="auto"/>
        </w:rPr>
        <w:t>5、【特别严重】</w:t>
      </w:r>
    </w:p>
    <w:p>
      <w:pPr>
        <w:pStyle w:val="13"/>
        <w:numPr>
          <w:ilvl w:val="0"/>
          <w:numId w:val="75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违法所得在 50000 元以上的。</w:t>
      </w:r>
    </w:p>
    <w:p>
      <w:pPr>
        <w:pStyle w:val="13"/>
        <w:numPr>
          <w:ilvl w:val="0"/>
          <w:numId w:val="752"/>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9"/>
        </w:rPr>
        <w:t xml:space="preserve">警告，责令改正，没收违法所得，并处 </w:t>
      </w:r>
      <w:r>
        <w:rPr>
          <w:color w:val="auto"/>
        </w:rPr>
        <w:t>1.5</w:t>
      </w:r>
      <w:r>
        <w:rPr>
          <w:color w:val="auto"/>
          <w:spacing w:val="-20"/>
        </w:rPr>
        <w:t xml:space="preserve"> 万元以上 </w:t>
      </w:r>
      <w:r>
        <w:rPr>
          <w:color w:val="auto"/>
        </w:rPr>
        <w:t>2</w:t>
      </w:r>
      <w:r>
        <w:rPr>
          <w:color w:val="auto"/>
          <w:spacing w:val="-10"/>
        </w:rPr>
        <w:t xml:space="preserve"> 万元以下罚款；吊销其相</w:t>
      </w:r>
      <w:r>
        <w:rPr>
          <w:color w:val="auto"/>
        </w:rPr>
        <w:t>应的资格证。</w:t>
      </w:r>
    </w:p>
    <w:p>
      <w:pPr>
        <w:pStyle w:val="2"/>
        <w:spacing w:line="388" w:lineRule="auto"/>
        <w:ind w:left="111" w:right="237" w:firstLine="480"/>
        <w:rPr>
          <w:color w:val="auto"/>
        </w:rPr>
      </w:pPr>
      <w:bookmarkStart w:id="855" w:name="四百一十七、农副产品收购者和农业生产资料销售者利用计量器具压低等级或者伪造数据"/>
      <w:bookmarkEnd w:id="855"/>
      <w:bookmarkStart w:id="856" w:name="_bookmark427"/>
      <w:bookmarkEnd w:id="856"/>
      <w:r>
        <w:rPr>
          <w:color w:val="auto"/>
          <w:spacing w:val="-9"/>
        </w:rPr>
        <w:t>四百一十七、农副产品收购者和农业生产资料销售者利用计量器具压低等级或者伪造数据</w:t>
      </w:r>
    </w:p>
    <w:p>
      <w:pPr>
        <w:spacing w:before="3"/>
        <w:ind w:left="591" w:right="0" w:firstLine="0"/>
        <w:jc w:val="left"/>
        <w:rPr>
          <w:b/>
          <w:color w:val="auto"/>
          <w:sz w:val="24"/>
        </w:rPr>
      </w:pPr>
      <w:r>
        <w:rPr>
          <w:b/>
          <w:color w:val="auto"/>
          <w:sz w:val="24"/>
        </w:rPr>
        <w:t>（一）处罚依据</w:t>
      </w:r>
    </w:p>
    <w:p>
      <w:pPr>
        <w:pStyle w:val="4"/>
        <w:spacing w:before="192" w:line="391" w:lineRule="auto"/>
        <w:ind w:right="264" w:firstLine="480"/>
        <w:jc w:val="both"/>
        <w:rPr>
          <w:color w:val="auto"/>
        </w:rPr>
      </w:pPr>
      <w:r>
        <w:rPr>
          <w:color w:val="auto"/>
          <w:spacing w:val="-2"/>
        </w:rPr>
        <w:t>《山东省计量条例》第四十六条第</w:t>
      </w:r>
      <w:r>
        <w:rPr>
          <w:color w:val="auto"/>
        </w:rPr>
        <w:t>（四</w:t>
      </w:r>
      <w:r>
        <w:rPr>
          <w:color w:val="auto"/>
          <w:spacing w:val="-5"/>
        </w:rPr>
        <w:t>）项“有下列情形之一的，由县级以上质</w:t>
      </w:r>
      <w:r>
        <w:rPr>
          <w:color w:val="auto"/>
          <w:spacing w:val="-4"/>
        </w:rPr>
        <w:t>量技术监督部门给予警告，责令改正，没收违法所得，可并处一千元以上二万元以下</w:t>
      </w:r>
      <w:r>
        <w:rPr>
          <w:color w:val="auto"/>
          <w:spacing w:val="-5"/>
        </w:rPr>
        <w:t>罚款；情节严重的，吊销其相应的资格证：</w:t>
      </w:r>
      <w:r>
        <w:rPr>
          <w:color w:val="auto"/>
          <w:spacing w:val="-6"/>
        </w:rPr>
        <w:t>（</w:t>
      </w:r>
      <w:r>
        <w:rPr>
          <w:color w:val="auto"/>
        </w:rPr>
        <w:t>四</w:t>
      </w:r>
      <w:r>
        <w:rPr>
          <w:color w:val="auto"/>
          <w:spacing w:val="-8"/>
        </w:rPr>
        <w:t>）</w:t>
      </w:r>
      <w:r>
        <w:rPr>
          <w:color w:val="auto"/>
          <w:spacing w:val="-1"/>
        </w:rPr>
        <w:t>农副产品收购者和农业生产资料销</w:t>
      </w:r>
      <w:r>
        <w:rPr>
          <w:color w:val="auto"/>
        </w:rPr>
        <w:t>售者利用计量器具压低等级或者伪造数据的；”</w:t>
      </w:r>
    </w:p>
    <w:p>
      <w:pPr>
        <w:spacing w:before="0" w:line="391" w:lineRule="auto"/>
        <w:ind w:left="591" w:right="6948" w:firstLine="0"/>
        <w:jc w:val="left"/>
        <w:rPr>
          <w:color w:val="auto"/>
          <w:sz w:val="24"/>
        </w:rPr>
      </w:pPr>
      <w:r>
        <w:rPr>
          <w:b/>
          <w:color w:val="auto"/>
          <w:sz w:val="24"/>
        </w:rPr>
        <w:t>（二）裁量标准</w:t>
      </w:r>
      <w:r>
        <w:rPr>
          <w:color w:val="auto"/>
          <w:sz w:val="24"/>
        </w:rPr>
        <w:t>1、【轻微】</w:t>
      </w:r>
    </w:p>
    <w:p>
      <w:pPr>
        <w:pStyle w:val="13"/>
        <w:numPr>
          <w:ilvl w:val="0"/>
          <w:numId w:val="75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违法所得在 1000 元以下的。</w:t>
      </w:r>
    </w:p>
    <w:p>
      <w:pPr>
        <w:pStyle w:val="13"/>
        <w:numPr>
          <w:ilvl w:val="0"/>
          <w:numId w:val="75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2992"/>
        <w:rPr>
          <w:color w:val="auto"/>
        </w:rPr>
      </w:pPr>
      <w:r>
        <w:rPr>
          <w:color w:val="auto"/>
          <w:spacing w:val="-4"/>
        </w:rPr>
        <w:t xml:space="preserve">警告，责令改正，没收违法所得，并处 </w:t>
      </w:r>
      <w:r>
        <w:rPr>
          <w:color w:val="auto"/>
        </w:rPr>
        <w:t>1000</w:t>
      </w:r>
      <w:r>
        <w:rPr>
          <w:color w:val="auto"/>
          <w:spacing w:val="-16"/>
        </w:rPr>
        <w:t xml:space="preserve"> 元罚款。</w:t>
      </w:r>
      <w:r>
        <w:rPr>
          <w:color w:val="auto"/>
        </w:rPr>
        <w:t>2</w:t>
      </w:r>
      <w:r>
        <w:rPr>
          <w:color w:val="auto"/>
          <w:spacing w:val="-24"/>
        </w:rPr>
        <w:t>、【一般】</w:t>
      </w:r>
    </w:p>
    <w:p>
      <w:pPr>
        <w:pStyle w:val="13"/>
        <w:numPr>
          <w:ilvl w:val="0"/>
          <w:numId w:val="75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违法所得在 1000 元以上 2000 元以下的。</w:t>
      </w:r>
    </w:p>
    <w:p>
      <w:pPr>
        <w:pStyle w:val="13"/>
        <w:numPr>
          <w:ilvl w:val="0"/>
          <w:numId w:val="754"/>
        </w:numPr>
        <w:tabs>
          <w:tab w:val="left" w:pos="1193"/>
        </w:tabs>
        <w:spacing w:before="191"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1192"/>
        <w:rPr>
          <w:color w:val="auto"/>
        </w:rPr>
      </w:pPr>
      <w:r>
        <w:rPr>
          <w:color w:val="auto"/>
          <w:spacing w:val="-4"/>
        </w:rPr>
        <w:t xml:space="preserve">警告，责令改正，没收违法所得，并处 </w:t>
      </w:r>
      <w:r>
        <w:rPr>
          <w:color w:val="auto"/>
        </w:rPr>
        <w:t>1000</w:t>
      </w:r>
      <w:r>
        <w:rPr>
          <w:color w:val="auto"/>
          <w:spacing w:val="-24"/>
        </w:rPr>
        <w:t xml:space="preserve"> 元以上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75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711"/>
        <w:rPr>
          <w:color w:val="auto"/>
        </w:rPr>
      </w:pPr>
      <w:r>
        <w:rPr>
          <w:color w:val="auto"/>
        </w:rPr>
        <w:t>违法所得在 2000 元以上 5000 元以下的。</w:t>
      </w:r>
    </w:p>
    <w:p>
      <w:pPr>
        <w:pStyle w:val="13"/>
        <w:numPr>
          <w:ilvl w:val="0"/>
          <w:numId w:val="75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1312"/>
        <w:rPr>
          <w:color w:val="auto"/>
        </w:rPr>
      </w:pPr>
      <w:r>
        <w:rPr>
          <w:color w:val="auto"/>
          <w:spacing w:val="-4"/>
        </w:rPr>
        <w:t xml:space="preserve">警告，责令改正，没收违法所得，并处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pStyle w:val="13"/>
        <w:numPr>
          <w:ilvl w:val="0"/>
          <w:numId w:val="75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违法所得在 5000 元以上 10000 元以下的，</w:t>
      </w:r>
    </w:p>
    <w:p>
      <w:pPr>
        <w:pStyle w:val="13"/>
        <w:numPr>
          <w:ilvl w:val="0"/>
          <w:numId w:val="75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9"/>
        </w:rPr>
        <w:t xml:space="preserve">警告，责令改正，没收违法所得，并处 </w:t>
      </w:r>
      <w:r>
        <w:rPr>
          <w:color w:val="auto"/>
        </w:rPr>
        <w:t>1</w:t>
      </w:r>
      <w:r>
        <w:rPr>
          <w:color w:val="auto"/>
          <w:spacing w:val="-20"/>
        </w:rPr>
        <w:t xml:space="preserve"> 万元以上 </w:t>
      </w:r>
      <w:r>
        <w:rPr>
          <w:color w:val="auto"/>
        </w:rPr>
        <w:t>1.5</w:t>
      </w:r>
      <w:r>
        <w:rPr>
          <w:color w:val="auto"/>
          <w:spacing w:val="-10"/>
        </w:rPr>
        <w:t xml:space="preserve"> 万元以下罚款；吊销其相</w:t>
      </w:r>
      <w:r>
        <w:rPr>
          <w:color w:val="auto"/>
        </w:rPr>
        <w:t>应的资格证。</w:t>
      </w:r>
    </w:p>
    <w:p>
      <w:pPr>
        <w:pStyle w:val="4"/>
        <w:spacing w:before="2"/>
        <w:ind w:left="591"/>
        <w:rPr>
          <w:color w:val="auto"/>
        </w:rPr>
      </w:pPr>
      <w:r>
        <w:rPr>
          <w:color w:val="auto"/>
        </w:rPr>
        <w:t>5、【特别严重】</w:t>
      </w:r>
    </w:p>
    <w:p>
      <w:pPr>
        <w:pStyle w:val="13"/>
        <w:numPr>
          <w:ilvl w:val="0"/>
          <w:numId w:val="75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违法所得在 10000 元以上的。</w:t>
      </w:r>
    </w:p>
    <w:p>
      <w:pPr>
        <w:pStyle w:val="13"/>
        <w:numPr>
          <w:ilvl w:val="0"/>
          <w:numId w:val="75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9"/>
        </w:rPr>
        <w:t xml:space="preserve">警告，责令改正，没收违法所得，并处 </w:t>
      </w:r>
      <w:r>
        <w:rPr>
          <w:color w:val="auto"/>
        </w:rPr>
        <w:t>1.5</w:t>
      </w:r>
      <w:r>
        <w:rPr>
          <w:color w:val="auto"/>
          <w:spacing w:val="-20"/>
        </w:rPr>
        <w:t xml:space="preserve"> 万元以上 </w:t>
      </w:r>
      <w:r>
        <w:rPr>
          <w:color w:val="auto"/>
        </w:rPr>
        <w:t>2</w:t>
      </w:r>
      <w:r>
        <w:rPr>
          <w:color w:val="auto"/>
          <w:spacing w:val="-10"/>
        </w:rPr>
        <w:t xml:space="preserve"> 万元以下罚款；吊销其相</w:t>
      </w:r>
      <w:r>
        <w:rPr>
          <w:color w:val="auto"/>
        </w:rPr>
        <w:t>应的资格证。</w:t>
      </w:r>
    </w:p>
    <w:p>
      <w:pPr>
        <w:pStyle w:val="2"/>
        <w:spacing w:before="2" w:line="391" w:lineRule="auto"/>
        <w:ind w:left="111" w:right="170" w:firstLine="480"/>
        <w:rPr>
          <w:color w:val="auto"/>
        </w:rPr>
      </w:pPr>
      <w:bookmarkStart w:id="857" w:name="四百一十八、计量技术机构、检测机构、计量中介服务机构出具虚假计量检定、检测、检验"/>
      <w:bookmarkEnd w:id="857"/>
      <w:bookmarkStart w:id="858" w:name="_bookmark428"/>
      <w:bookmarkEnd w:id="858"/>
      <w:r>
        <w:rPr>
          <w:color w:val="auto"/>
        </w:rPr>
        <w:t>四百一十八、计量技术机构、检测机构、计量中介服务机构出具虚假计量检定、检测、检验数据</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5" w:firstLine="480"/>
        <w:jc w:val="both"/>
        <w:rPr>
          <w:color w:val="auto"/>
        </w:rPr>
      </w:pPr>
      <w:r>
        <w:rPr>
          <w:color w:val="auto"/>
          <w:spacing w:val="-2"/>
        </w:rPr>
        <w:t>《山东省计量条例》第四十六条第</w:t>
      </w:r>
      <w:r>
        <w:rPr>
          <w:color w:val="auto"/>
        </w:rPr>
        <w:t>（五</w:t>
      </w:r>
      <w:r>
        <w:rPr>
          <w:color w:val="auto"/>
          <w:spacing w:val="-5"/>
        </w:rPr>
        <w:t>）项“有下列情形之一的，由县级以上质</w:t>
      </w:r>
      <w:r>
        <w:rPr>
          <w:color w:val="auto"/>
          <w:spacing w:val="-4"/>
        </w:rPr>
        <w:t>量技术监督部门给予警告，责令改正，没收违法所得，可并处一千元以上二万元以下罚款；情节严重的，吊销其相应的资格证：</w:t>
      </w:r>
      <w:r>
        <w:rPr>
          <w:color w:val="auto"/>
          <w:spacing w:val="-6"/>
        </w:rPr>
        <w:t>（</w:t>
      </w:r>
      <w:r>
        <w:rPr>
          <w:color w:val="auto"/>
        </w:rPr>
        <w:t>五</w:t>
      </w:r>
      <w:r>
        <w:rPr>
          <w:color w:val="auto"/>
          <w:spacing w:val="-5"/>
        </w:rPr>
        <w:t>）</w:t>
      </w:r>
      <w:r>
        <w:rPr>
          <w:color w:val="auto"/>
          <w:spacing w:val="-3"/>
        </w:rPr>
        <w:t>计量技术机构、检测机构、计量中</w:t>
      </w:r>
      <w:r>
        <w:rPr>
          <w:color w:val="auto"/>
        </w:rPr>
        <w:t>介服务机构出具虚假计量检定、检测、检验数据的；”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758"/>
        </w:numPr>
        <w:tabs>
          <w:tab w:val="left" w:pos="1193"/>
        </w:tabs>
        <w:spacing w:before="0"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有下列情形之一的：1、违法所得 5000 元以下的；2、违法行为出现一次并主动纠正的。</w:t>
      </w:r>
    </w:p>
    <w:p>
      <w:pPr>
        <w:pStyle w:val="13"/>
        <w:numPr>
          <w:ilvl w:val="0"/>
          <w:numId w:val="75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2992"/>
        <w:rPr>
          <w:color w:val="auto"/>
        </w:rPr>
      </w:pPr>
      <w:r>
        <w:rPr>
          <w:color w:val="auto"/>
          <w:spacing w:val="-4"/>
        </w:rPr>
        <w:t xml:space="preserve">警告，责令改正，没收违法所得，并处 </w:t>
      </w:r>
      <w:r>
        <w:rPr>
          <w:color w:val="auto"/>
        </w:rPr>
        <w:t>1000</w:t>
      </w:r>
      <w:r>
        <w:rPr>
          <w:color w:val="auto"/>
          <w:spacing w:val="-16"/>
        </w:rPr>
        <w:t xml:space="preserve"> 元罚款。</w:t>
      </w:r>
      <w:r>
        <w:rPr>
          <w:color w:val="auto"/>
        </w:rPr>
        <w:t>2</w:t>
      </w:r>
      <w:r>
        <w:rPr>
          <w:color w:val="auto"/>
          <w:spacing w:val="-24"/>
        </w:rPr>
        <w:t>、【一般】</w:t>
      </w:r>
    </w:p>
    <w:p>
      <w:pPr>
        <w:pStyle w:val="13"/>
        <w:numPr>
          <w:ilvl w:val="0"/>
          <w:numId w:val="75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spacing w:val="-1"/>
        </w:rPr>
        <w:t>有下列情形之一的：</w:t>
      </w:r>
      <w:r>
        <w:rPr>
          <w:color w:val="auto"/>
          <w:spacing w:val="-5"/>
        </w:rPr>
        <w:t>1</w:t>
      </w:r>
      <w:r>
        <w:rPr>
          <w:color w:val="auto"/>
          <w:spacing w:val="-13"/>
        </w:rPr>
        <w:t xml:space="preserve">、违法所得 </w:t>
      </w:r>
      <w:r>
        <w:rPr>
          <w:color w:val="auto"/>
        </w:rPr>
        <w:t>10000</w:t>
      </w:r>
      <w:r>
        <w:rPr>
          <w:color w:val="auto"/>
          <w:spacing w:val="-11"/>
        </w:rPr>
        <w:t xml:space="preserve"> 元以下的；</w:t>
      </w:r>
      <w:r>
        <w:rPr>
          <w:color w:val="auto"/>
          <w:spacing w:val="-4"/>
        </w:rPr>
        <w:t>2、违法行为出现两次并主动</w:t>
      </w:r>
      <w:r>
        <w:rPr>
          <w:color w:val="auto"/>
        </w:rPr>
        <w:t>纠正的。</w:t>
      </w:r>
    </w:p>
    <w:p>
      <w:pPr>
        <w:pStyle w:val="13"/>
        <w:numPr>
          <w:ilvl w:val="0"/>
          <w:numId w:val="75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1192"/>
        <w:rPr>
          <w:color w:val="auto"/>
        </w:rPr>
      </w:pPr>
      <w:r>
        <w:rPr>
          <w:color w:val="auto"/>
          <w:spacing w:val="-4"/>
        </w:rPr>
        <w:t xml:space="preserve">警告，责令改正，没收违法所得，并处 </w:t>
      </w:r>
      <w:r>
        <w:rPr>
          <w:color w:val="auto"/>
        </w:rPr>
        <w:t>1000</w:t>
      </w:r>
      <w:r>
        <w:rPr>
          <w:color w:val="auto"/>
          <w:spacing w:val="-24"/>
        </w:rPr>
        <w:t xml:space="preserve"> 元以上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76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8" w:firstLine="480"/>
        <w:rPr>
          <w:color w:val="auto"/>
        </w:rPr>
      </w:pPr>
      <w:r>
        <w:rPr>
          <w:color w:val="auto"/>
          <w:spacing w:val="-1"/>
        </w:rPr>
        <w:t>有下列情形之一的：</w:t>
      </w:r>
      <w:r>
        <w:rPr>
          <w:color w:val="auto"/>
          <w:spacing w:val="-5"/>
        </w:rPr>
        <w:t>1</w:t>
      </w:r>
      <w:r>
        <w:rPr>
          <w:color w:val="auto"/>
          <w:spacing w:val="-13"/>
        </w:rPr>
        <w:t xml:space="preserve">、违法所得 </w:t>
      </w:r>
      <w:r>
        <w:rPr>
          <w:color w:val="auto"/>
        </w:rPr>
        <w:t>15000</w:t>
      </w:r>
      <w:r>
        <w:rPr>
          <w:color w:val="auto"/>
          <w:spacing w:val="-11"/>
        </w:rPr>
        <w:t xml:space="preserve"> 元以下的；</w:t>
      </w:r>
      <w:r>
        <w:rPr>
          <w:color w:val="auto"/>
          <w:spacing w:val="-4"/>
        </w:rPr>
        <w:t>2、违法行为出现两次并已造</w:t>
      </w:r>
      <w:r>
        <w:rPr>
          <w:color w:val="auto"/>
        </w:rPr>
        <w:t>成不良后果的。</w:t>
      </w:r>
    </w:p>
    <w:p>
      <w:pPr>
        <w:pStyle w:val="13"/>
        <w:numPr>
          <w:ilvl w:val="0"/>
          <w:numId w:val="76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1312"/>
        <w:rPr>
          <w:color w:val="auto"/>
        </w:rPr>
      </w:pPr>
      <w:r>
        <w:rPr>
          <w:color w:val="auto"/>
          <w:spacing w:val="-4"/>
        </w:rPr>
        <w:t xml:space="preserve">警告，责令改正，没收违法所得，并处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pStyle w:val="13"/>
        <w:numPr>
          <w:ilvl w:val="0"/>
          <w:numId w:val="76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spacing w:val="-3"/>
        </w:rPr>
        <w:t>有下列情形之一的：</w:t>
      </w:r>
      <w:r>
        <w:rPr>
          <w:color w:val="auto"/>
          <w:spacing w:val="-20"/>
        </w:rPr>
        <w:t>1</w:t>
      </w:r>
      <w:r>
        <w:rPr>
          <w:color w:val="auto"/>
          <w:spacing w:val="-18"/>
        </w:rPr>
        <w:t xml:space="preserve">、违法所得 </w:t>
      </w:r>
      <w:r>
        <w:rPr>
          <w:color w:val="auto"/>
        </w:rPr>
        <w:t>20000</w:t>
      </w:r>
      <w:r>
        <w:rPr>
          <w:color w:val="auto"/>
          <w:spacing w:val="-14"/>
        </w:rPr>
        <w:t xml:space="preserve"> 元以下的；</w:t>
      </w:r>
      <w:r>
        <w:rPr>
          <w:color w:val="auto"/>
          <w:spacing w:val="-20"/>
        </w:rPr>
        <w:t>2</w:t>
      </w:r>
      <w:r>
        <w:rPr>
          <w:color w:val="auto"/>
          <w:spacing w:val="-7"/>
        </w:rPr>
        <w:t>、违法行为出现两次以上的。</w:t>
      </w:r>
    </w:p>
    <w:p>
      <w:pPr>
        <w:pStyle w:val="13"/>
        <w:numPr>
          <w:ilvl w:val="0"/>
          <w:numId w:val="76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9"/>
        </w:rPr>
        <w:t xml:space="preserve">警告，责令改正，没收违法所得，并处 </w:t>
      </w:r>
      <w:r>
        <w:rPr>
          <w:color w:val="auto"/>
        </w:rPr>
        <w:t>1</w:t>
      </w:r>
      <w:r>
        <w:rPr>
          <w:color w:val="auto"/>
          <w:spacing w:val="-20"/>
        </w:rPr>
        <w:t xml:space="preserve"> 万元以上 </w:t>
      </w:r>
      <w:r>
        <w:rPr>
          <w:color w:val="auto"/>
        </w:rPr>
        <w:t>1.5</w:t>
      </w:r>
      <w:r>
        <w:rPr>
          <w:color w:val="auto"/>
          <w:spacing w:val="-10"/>
        </w:rPr>
        <w:t xml:space="preserve"> 万元以下罚款，吊销其相</w:t>
      </w:r>
      <w:r>
        <w:rPr>
          <w:color w:val="auto"/>
        </w:rPr>
        <w:t>应的资格证。</w:t>
      </w:r>
    </w:p>
    <w:p>
      <w:pPr>
        <w:pStyle w:val="4"/>
        <w:spacing w:before="5"/>
        <w:ind w:left="591"/>
        <w:rPr>
          <w:color w:val="auto"/>
        </w:rPr>
      </w:pPr>
      <w:r>
        <w:rPr>
          <w:color w:val="auto"/>
        </w:rPr>
        <w:t>5、【特别严重】</w:t>
      </w:r>
    </w:p>
    <w:p>
      <w:pPr>
        <w:pStyle w:val="13"/>
        <w:numPr>
          <w:ilvl w:val="0"/>
          <w:numId w:val="76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68" w:firstLine="480"/>
        <w:rPr>
          <w:color w:val="auto"/>
        </w:rPr>
      </w:pPr>
      <w:r>
        <w:rPr>
          <w:color w:val="auto"/>
          <w:spacing w:val="-1"/>
        </w:rPr>
        <w:t>有下列情形之一的：</w:t>
      </w:r>
      <w:r>
        <w:rPr>
          <w:color w:val="auto"/>
          <w:spacing w:val="-5"/>
        </w:rPr>
        <w:t>1</w:t>
      </w:r>
      <w:r>
        <w:rPr>
          <w:color w:val="auto"/>
          <w:spacing w:val="-13"/>
        </w:rPr>
        <w:t xml:space="preserve">、违法所得 </w:t>
      </w:r>
      <w:r>
        <w:rPr>
          <w:color w:val="auto"/>
        </w:rPr>
        <w:t>20000</w:t>
      </w:r>
      <w:r>
        <w:rPr>
          <w:color w:val="auto"/>
          <w:spacing w:val="-11"/>
        </w:rPr>
        <w:t xml:space="preserve"> 元以上的；</w:t>
      </w:r>
      <w:r>
        <w:rPr>
          <w:color w:val="auto"/>
          <w:spacing w:val="-4"/>
        </w:rPr>
        <w:t>2、违法行为出现两次以上并</w:t>
      </w:r>
      <w:r>
        <w:rPr>
          <w:color w:val="auto"/>
        </w:rPr>
        <w:t>造成不良后果或违法行为造成严重后果或故意违法的。</w:t>
      </w:r>
    </w:p>
    <w:p>
      <w:pPr>
        <w:pStyle w:val="13"/>
        <w:numPr>
          <w:ilvl w:val="0"/>
          <w:numId w:val="76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spacing w:val="-9"/>
        </w:rPr>
        <w:t xml:space="preserve">警告，责令改正，没收违法所得，并处 </w:t>
      </w:r>
      <w:r>
        <w:rPr>
          <w:color w:val="auto"/>
        </w:rPr>
        <w:t>1.5</w:t>
      </w:r>
      <w:r>
        <w:rPr>
          <w:color w:val="auto"/>
          <w:spacing w:val="-20"/>
        </w:rPr>
        <w:t xml:space="preserve"> 万元以上 </w:t>
      </w:r>
      <w:r>
        <w:rPr>
          <w:color w:val="auto"/>
        </w:rPr>
        <w:t>2</w:t>
      </w:r>
      <w:r>
        <w:rPr>
          <w:color w:val="auto"/>
          <w:spacing w:val="-9"/>
        </w:rPr>
        <w:t xml:space="preserve"> 万元以下罚款，吊销其相</w:t>
      </w:r>
    </w:p>
    <w:p>
      <w:pPr>
        <w:spacing w:after="0"/>
        <w:rPr>
          <w:color w:val="auto"/>
        </w:rPr>
        <w:sectPr>
          <w:footerReference r:id="rId97" w:type="default"/>
          <w:footerReference r:id="rId98" w:type="even"/>
          <w:pgSz w:w="11910" w:h="16840"/>
          <w:pgMar w:top="1520" w:right="1260" w:bottom="1220" w:left="1420" w:header="0" w:footer="1034" w:gutter="0"/>
          <w:pgNumType w:start="410"/>
        </w:sectPr>
      </w:pPr>
    </w:p>
    <w:p>
      <w:pPr>
        <w:pStyle w:val="4"/>
        <w:spacing w:before="39"/>
        <w:rPr>
          <w:color w:val="auto"/>
        </w:rPr>
      </w:pPr>
      <w:r>
        <w:rPr>
          <w:color w:val="auto"/>
        </w:rPr>
        <w:t>应的资格证。</w:t>
      </w:r>
    </w:p>
    <w:p>
      <w:pPr>
        <w:pStyle w:val="2"/>
        <w:spacing w:before="195"/>
        <w:rPr>
          <w:color w:val="auto"/>
        </w:rPr>
      </w:pPr>
      <w:bookmarkStart w:id="859" w:name="_bookmark429"/>
      <w:bookmarkEnd w:id="859"/>
      <w:bookmarkStart w:id="860" w:name="四百一十九、伪造计量器具检定合格证明"/>
      <w:bookmarkEnd w:id="860"/>
      <w:r>
        <w:rPr>
          <w:color w:val="auto"/>
        </w:rPr>
        <w:t>四百一十九、伪造计量器具检定合格证明</w:t>
      </w:r>
    </w:p>
    <w:p>
      <w:pPr>
        <w:spacing w:before="191"/>
        <w:ind w:left="591" w:right="0" w:firstLine="0"/>
        <w:jc w:val="left"/>
        <w:rPr>
          <w:b/>
          <w:color w:val="auto"/>
          <w:sz w:val="24"/>
        </w:rPr>
      </w:pPr>
      <w:r>
        <w:rPr>
          <w:b/>
          <w:color w:val="auto"/>
          <w:sz w:val="24"/>
        </w:rPr>
        <w:t>（一）处罚依据</w:t>
      </w:r>
    </w:p>
    <w:p>
      <w:pPr>
        <w:pStyle w:val="4"/>
        <w:spacing w:before="192" w:line="391" w:lineRule="auto"/>
        <w:ind w:right="232" w:firstLine="480"/>
        <w:jc w:val="both"/>
        <w:rPr>
          <w:color w:val="auto"/>
        </w:rPr>
      </w:pPr>
      <w:r>
        <w:rPr>
          <w:color w:val="auto"/>
          <w:spacing w:val="-2"/>
        </w:rPr>
        <w:t>《山东省计量条例》第四十六条第</w:t>
      </w:r>
      <w:r>
        <w:rPr>
          <w:color w:val="auto"/>
        </w:rPr>
        <w:t>（六</w:t>
      </w:r>
      <w:r>
        <w:rPr>
          <w:color w:val="auto"/>
          <w:spacing w:val="-5"/>
        </w:rPr>
        <w:t>）</w:t>
      </w:r>
      <w:r>
        <w:rPr>
          <w:color w:val="auto"/>
          <w:spacing w:val="-4"/>
        </w:rPr>
        <w:t>项“有下列情形之一的，由县级以上质</w:t>
      </w:r>
      <w:r>
        <w:rPr>
          <w:color w:val="auto"/>
          <w:spacing w:val="-7"/>
        </w:rPr>
        <w:t>量技术监督部门给予警告，责令改正，没收违法所得，可并处一千元以上二万元以下罚款；情节严重的，吊销其相应的资格证：（六）</w:t>
      </w:r>
      <w:r>
        <w:rPr>
          <w:color w:val="auto"/>
          <w:spacing w:val="-8"/>
        </w:rPr>
        <w:t>伪造计量器具检定合格证明的。”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763"/>
        </w:numPr>
        <w:tabs>
          <w:tab w:val="left" w:pos="1193"/>
        </w:tabs>
        <w:spacing w:before="0" w:after="0" w:line="306" w:lineRule="exact"/>
        <w:ind w:left="1192" w:right="0" w:hanging="602"/>
        <w:jc w:val="left"/>
        <w:rPr>
          <w:color w:val="auto"/>
          <w:sz w:val="24"/>
        </w:rPr>
      </w:pPr>
      <w:r>
        <w:rPr>
          <w:color w:val="auto"/>
          <w:sz w:val="24"/>
        </w:rPr>
        <w:t>违法情形之</w:t>
      </w:r>
    </w:p>
    <w:p>
      <w:pPr>
        <w:pStyle w:val="4"/>
        <w:spacing w:before="188" w:line="391" w:lineRule="auto"/>
        <w:ind w:right="213" w:firstLine="480"/>
        <w:rPr>
          <w:color w:val="auto"/>
        </w:rPr>
      </w:pPr>
      <w:r>
        <w:rPr>
          <w:color w:val="auto"/>
        </w:rPr>
        <w:t>有下列情形之一的：1、违法所得 1000 元以下的；2、违法行为出现一次未造成不良后果的。</w:t>
      </w:r>
    </w:p>
    <w:p>
      <w:pPr>
        <w:pStyle w:val="13"/>
        <w:numPr>
          <w:ilvl w:val="0"/>
          <w:numId w:val="76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2992"/>
        <w:rPr>
          <w:color w:val="auto"/>
        </w:rPr>
      </w:pPr>
      <w:r>
        <w:rPr>
          <w:color w:val="auto"/>
          <w:spacing w:val="-4"/>
        </w:rPr>
        <w:t xml:space="preserve">警告，责令改正，没收违法所得，并处 </w:t>
      </w:r>
      <w:r>
        <w:rPr>
          <w:color w:val="auto"/>
        </w:rPr>
        <w:t>1000</w:t>
      </w:r>
      <w:r>
        <w:rPr>
          <w:color w:val="auto"/>
          <w:spacing w:val="-16"/>
        </w:rPr>
        <w:t xml:space="preserve"> 元罚款。</w:t>
      </w:r>
      <w:r>
        <w:rPr>
          <w:color w:val="auto"/>
        </w:rPr>
        <w:t>2</w:t>
      </w:r>
      <w:r>
        <w:rPr>
          <w:color w:val="auto"/>
          <w:spacing w:val="-24"/>
        </w:rPr>
        <w:t>、【一般】</w:t>
      </w:r>
    </w:p>
    <w:p>
      <w:pPr>
        <w:pStyle w:val="13"/>
        <w:numPr>
          <w:ilvl w:val="0"/>
          <w:numId w:val="76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有下列情形之一的：1、违法所得 2000 元以下的；2、违法行为出现一次并已造成不良后果的。</w:t>
      </w:r>
    </w:p>
    <w:p>
      <w:pPr>
        <w:pStyle w:val="13"/>
        <w:numPr>
          <w:ilvl w:val="0"/>
          <w:numId w:val="76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1192"/>
        <w:rPr>
          <w:color w:val="auto"/>
        </w:rPr>
      </w:pPr>
      <w:r>
        <w:rPr>
          <w:color w:val="auto"/>
          <w:spacing w:val="-4"/>
        </w:rPr>
        <w:t xml:space="preserve">警告，责令改正，没收违法所得，并处 </w:t>
      </w:r>
      <w:r>
        <w:rPr>
          <w:color w:val="auto"/>
        </w:rPr>
        <w:t>1000</w:t>
      </w:r>
      <w:r>
        <w:rPr>
          <w:color w:val="auto"/>
          <w:spacing w:val="-24"/>
        </w:rPr>
        <w:t xml:space="preserve"> 元以上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76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有下列情形之一的：1、违法所得 3000 元以下的；2、违法行为出现两次未造成不良后果的。</w:t>
      </w:r>
    </w:p>
    <w:p>
      <w:pPr>
        <w:pStyle w:val="13"/>
        <w:numPr>
          <w:ilvl w:val="0"/>
          <w:numId w:val="76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1312"/>
        <w:rPr>
          <w:color w:val="auto"/>
        </w:rPr>
      </w:pPr>
      <w:r>
        <w:rPr>
          <w:color w:val="auto"/>
          <w:spacing w:val="-4"/>
        </w:rPr>
        <w:t xml:space="preserve">警告，责令改正，没收违法所得，并处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pStyle w:val="13"/>
        <w:numPr>
          <w:ilvl w:val="0"/>
          <w:numId w:val="76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有下列情形之一的：1、违法所得 4000 元以下的；2、违法行为出现两次并已造</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成不良后果的。</w:t>
      </w:r>
    </w:p>
    <w:p>
      <w:pPr>
        <w:pStyle w:val="13"/>
        <w:numPr>
          <w:ilvl w:val="0"/>
          <w:numId w:val="766"/>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7"/>
        </w:rPr>
        <w:t>警告，责令改正，没收违法所得，并处一万元以上一万伍千元以下罚款；吊销其</w:t>
      </w:r>
      <w:r>
        <w:rPr>
          <w:color w:val="auto"/>
        </w:rPr>
        <w:t>相应的资格证。</w:t>
      </w:r>
    </w:p>
    <w:p>
      <w:pPr>
        <w:pStyle w:val="4"/>
        <w:spacing w:before="5"/>
        <w:ind w:left="591"/>
        <w:rPr>
          <w:color w:val="auto"/>
        </w:rPr>
      </w:pPr>
      <w:r>
        <w:rPr>
          <w:color w:val="auto"/>
        </w:rPr>
        <w:t>5、【特别严重】</w:t>
      </w:r>
    </w:p>
    <w:p>
      <w:pPr>
        <w:pStyle w:val="13"/>
        <w:numPr>
          <w:ilvl w:val="0"/>
          <w:numId w:val="76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有下列情形之一的：1、违法所得 4000 元以上的；2、违法行为出现两次以上或造成严重后果的。</w:t>
      </w:r>
    </w:p>
    <w:p>
      <w:pPr>
        <w:pStyle w:val="13"/>
        <w:numPr>
          <w:ilvl w:val="0"/>
          <w:numId w:val="76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9"/>
        </w:rPr>
        <w:t xml:space="preserve">警告，责令改正，没收违法所得，并处 </w:t>
      </w:r>
      <w:r>
        <w:rPr>
          <w:color w:val="auto"/>
        </w:rPr>
        <w:t>1.5</w:t>
      </w:r>
      <w:r>
        <w:rPr>
          <w:color w:val="auto"/>
          <w:spacing w:val="-20"/>
        </w:rPr>
        <w:t xml:space="preserve"> 万元以上 </w:t>
      </w:r>
      <w:r>
        <w:rPr>
          <w:color w:val="auto"/>
        </w:rPr>
        <w:t>2</w:t>
      </w:r>
      <w:r>
        <w:rPr>
          <w:color w:val="auto"/>
          <w:spacing w:val="-10"/>
        </w:rPr>
        <w:t xml:space="preserve"> 万元以下罚款；吊销其相</w:t>
      </w:r>
      <w:r>
        <w:rPr>
          <w:color w:val="auto"/>
        </w:rPr>
        <w:t>应的资格证。</w:t>
      </w:r>
    </w:p>
    <w:p>
      <w:pPr>
        <w:pStyle w:val="2"/>
        <w:spacing w:line="306" w:lineRule="exact"/>
        <w:rPr>
          <w:color w:val="auto"/>
        </w:rPr>
      </w:pPr>
      <w:bookmarkStart w:id="861" w:name="四百二十、社会公用计量标准经检查达不到原考核条件"/>
      <w:bookmarkEnd w:id="861"/>
      <w:bookmarkStart w:id="862" w:name="_bookmark430"/>
      <w:bookmarkEnd w:id="862"/>
      <w:r>
        <w:rPr>
          <w:color w:val="auto"/>
        </w:rPr>
        <w:t>四百二十、社会公用计量标准经检查达不到原考核条件</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spacing w:val="-4"/>
        </w:rPr>
        <w:t>《计量违法行为处罚细则》第八条“社会公用计量标准，经检查达不到原考核条</w:t>
      </w:r>
      <w:r>
        <w:rPr>
          <w:color w:val="auto"/>
          <w:spacing w:val="-7"/>
        </w:rPr>
        <w:t>件的，责令其停止使用，限期整改；经整改仍达不到原考核条件的，由原发证机关吊</w:t>
      </w:r>
      <w:r>
        <w:rPr>
          <w:color w:val="auto"/>
          <w:spacing w:val="-20"/>
        </w:rPr>
        <w:t>销其证书。”</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76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社会公用计量标准，经检查达不到原考核条件的。</w:t>
      </w:r>
    </w:p>
    <w:p>
      <w:pPr>
        <w:pStyle w:val="13"/>
        <w:numPr>
          <w:ilvl w:val="0"/>
          <w:numId w:val="76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13" w:firstLine="480"/>
        <w:rPr>
          <w:color w:val="auto"/>
        </w:rPr>
      </w:pPr>
      <w:r>
        <w:rPr>
          <w:color w:val="auto"/>
        </w:rPr>
        <w:t>责令其停止使用，限期整改；经整改仍达不到原考核条件的，由原发证机关吊销其证书。</w:t>
      </w:r>
    </w:p>
    <w:p>
      <w:pPr>
        <w:pStyle w:val="2"/>
        <w:spacing w:line="388" w:lineRule="auto"/>
        <w:ind w:left="111" w:right="237" w:firstLine="480"/>
        <w:rPr>
          <w:color w:val="auto"/>
        </w:rPr>
      </w:pPr>
      <w:bookmarkStart w:id="863" w:name="_bookmark431"/>
      <w:bookmarkEnd w:id="863"/>
      <w:bookmarkStart w:id="864" w:name="四百二十一、计量标准考核证书有效期满，未经原发证机关复查合格而继续开展检定"/>
      <w:bookmarkEnd w:id="864"/>
      <w:r>
        <w:rPr>
          <w:color w:val="auto"/>
          <w:spacing w:val="-8"/>
        </w:rPr>
        <w:t>四百二十一、计量标准考核证书有效期满，未经原发证机关复查合格而继续开展检定</w:t>
      </w:r>
    </w:p>
    <w:p>
      <w:pPr>
        <w:spacing w:before="3"/>
        <w:ind w:left="591" w:right="0" w:firstLine="0"/>
        <w:jc w:val="left"/>
        <w:rPr>
          <w:b/>
          <w:color w:val="auto"/>
          <w:sz w:val="24"/>
        </w:rPr>
      </w:pPr>
      <w:r>
        <w:rPr>
          <w:b/>
          <w:color w:val="auto"/>
          <w:sz w:val="24"/>
        </w:rPr>
        <w:t>（一）处罚依据</w:t>
      </w:r>
    </w:p>
    <w:p>
      <w:pPr>
        <w:pStyle w:val="4"/>
        <w:spacing w:before="191" w:line="388" w:lineRule="auto"/>
        <w:ind w:right="212" w:firstLine="480"/>
        <w:rPr>
          <w:color w:val="auto"/>
        </w:rPr>
      </w:pPr>
      <w:r>
        <w:rPr>
          <w:color w:val="auto"/>
        </w:rPr>
        <w:t>《计量违法行为处罚细则》第九条第（二）项“计量标准考核证书有效期满，未经原发证机关复查合格而继续开展检定的，责令其停止使用，限期申请复查；逾期不</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spacing w:val="-7"/>
        </w:rPr>
        <w:t>申请复查的，由原发证机关吊销其证书；”</w:t>
      </w:r>
    </w:p>
    <w:p>
      <w:pPr>
        <w:spacing w:before="19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76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计量标准考核证书有效期满，未经原发证机关复查合格而继续开展检定的。</w:t>
      </w:r>
    </w:p>
    <w:p>
      <w:pPr>
        <w:pStyle w:val="13"/>
        <w:numPr>
          <w:ilvl w:val="0"/>
          <w:numId w:val="769"/>
        </w:numPr>
        <w:tabs>
          <w:tab w:val="left" w:pos="1193"/>
        </w:tabs>
        <w:spacing w:before="192" w:after="0" w:line="240" w:lineRule="auto"/>
        <w:ind w:left="1192" w:right="0" w:hanging="602"/>
        <w:jc w:val="left"/>
        <w:rPr>
          <w:color w:val="auto"/>
          <w:sz w:val="24"/>
        </w:rPr>
      </w:pPr>
      <w:r>
        <w:rPr>
          <w:color w:val="auto"/>
          <w:sz w:val="24"/>
        </w:rPr>
        <w:t>处罚标准</w:t>
      </w:r>
    </w:p>
    <w:p>
      <w:pPr>
        <w:spacing w:before="191" w:line="391" w:lineRule="auto"/>
        <w:ind w:left="591" w:right="148" w:firstLine="0"/>
        <w:jc w:val="left"/>
        <w:rPr>
          <w:b/>
          <w:color w:val="auto"/>
          <w:sz w:val="24"/>
        </w:rPr>
      </w:pPr>
      <w:r>
        <w:rPr>
          <w:color w:val="auto"/>
          <w:spacing w:val="-13"/>
          <w:sz w:val="24"/>
        </w:rPr>
        <w:t>责令其停止使用，限期申请复查；逾期不申请复查的，由原发证机关吊销其证书。</w:t>
      </w:r>
      <w:bookmarkStart w:id="865" w:name="_bookmark432"/>
      <w:bookmarkEnd w:id="865"/>
      <w:bookmarkStart w:id="866" w:name="四百二十二、考核合格投入使用的计量标准，经检查达不到原考核条件"/>
      <w:bookmarkEnd w:id="866"/>
      <w:r>
        <w:rPr>
          <w:b/>
          <w:color w:val="auto"/>
          <w:sz w:val="24"/>
        </w:rPr>
        <w:t>四百二十二、考核合格投入使用的计量标准，经检查达不到原考核条件</w:t>
      </w:r>
    </w:p>
    <w:p>
      <w:pPr>
        <w:pStyle w:val="2"/>
        <w:spacing w:line="306" w:lineRule="exact"/>
        <w:rPr>
          <w:color w:val="auto"/>
        </w:rPr>
      </w:pPr>
      <w:r>
        <w:rPr>
          <w:color w:val="auto"/>
        </w:rPr>
        <w:t>（一）处罚依据</w:t>
      </w:r>
    </w:p>
    <w:p>
      <w:pPr>
        <w:pStyle w:val="4"/>
        <w:spacing w:before="192" w:line="391" w:lineRule="auto"/>
        <w:ind w:right="242" w:firstLine="470"/>
        <w:jc w:val="both"/>
        <w:rPr>
          <w:color w:val="auto"/>
        </w:rPr>
      </w:pPr>
      <w:r>
        <w:rPr>
          <w:color w:val="auto"/>
        </w:rPr>
        <w:t>《计量违法行为处罚细则》第九条第（三）</w:t>
      </w:r>
      <w:r>
        <w:rPr>
          <w:color w:val="auto"/>
          <w:spacing w:val="-2"/>
        </w:rPr>
        <w:t>项“考核合格投入使用的计量标准， 经检查达不到原考核条件的责令其停止使用，即期整改；经整改仍达不到原考核条件的，由原发证机关吊销其证书。”</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77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考核合格投入使用的计量标准，经检查达不到原考核条件的。</w:t>
      </w:r>
    </w:p>
    <w:p>
      <w:pPr>
        <w:pStyle w:val="13"/>
        <w:numPr>
          <w:ilvl w:val="0"/>
          <w:numId w:val="77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13" w:firstLine="480"/>
        <w:rPr>
          <w:color w:val="auto"/>
        </w:rPr>
      </w:pPr>
      <w:r>
        <w:rPr>
          <w:color w:val="auto"/>
        </w:rPr>
        <w:t>责令其停止使用，即期整改；经整改仍达不到原考核条件的，由原发证机关吊销其证书。</w:t>
      </w:r>
    </w:p>
    <w:p>
      <w:pPr>
        <w:pStyle w:val="2"/>
        <w:spacing w:before="4"/>
        <w:rPr>
          <w:color w:val="auto"/>
        </w:rPr>
      </w:pPr>
      <w:bookmarkStart w:id="867" w:name="四百二十三、被授权项目经检查达不到原考核条件"/>
      <w:bookmarkEnd w:id="867"/>
      <w:bookmarkStart w:id="868" w:name="_bookmark433"/>
      <w:bookmarkEnd w:id="868"/>
      <w:r>
        <w:rPr>
          <w:color w:val="auto"/>
        </w:rPr>
        <w:t>四百二十三、被授权项目经检查达不到原考核条件</w:t>
      </w:r>
    </w:p>
    <w:p>
      <w:pPr>
        <w:spacing w:before="192"/>
        <w:ind w:left="591" w:right="0" w:firstLine="0"/>
        <w:jc w:val="left"/>
        <w:rPr>
          <w:b/>
          <w:color w:val="auto"/>
          <w:sz w:val="24"/>
        </w:rPr>
      </w:pPr>
      <w:r>
        <w:rPr>
          <w:b/>
          <w:color w:val="auto"/>
          <w:sz w:val="24"/>
        </w:rPr>
        <w:t>（一）处罚依据</w:t>
      </w:r>
    </w:p>
    <w:p>
      <w:pPr>
        <w:pStyle w:val="4"/>
        <w:spacing w:before="192" w:line="391" w:lineRule="auto"/>
        <w:ind w:right="266" w:firstLine="470"/>
        <w:jc w:val="both"/>
        <w:rPr>
          <w:color w:val="auto"/>
        </w:rPr>
      </w:pPr>
      <w:r>
        <w:rPr>
          <w:color w:val="auto"/>
          <w:spacing w:val="-2"/>
        </w:rPr>
        <w:t>《计量违法行为处罚细则》第十条第</w:t>
      </w:r>
      <w:r>
        <w:rPr>
          <w:color w:val="auto"/>
          <w:spacing w:val="-3"/>
        </w:rPr>
        <w:t>（</w:t>
      </w:r>
      <w:r>
        <w:rPr>
          <w:color w:val="auto"/>
        </w:rPr>
        <w:t>一</w:t>
      </w:r>
      <w:r>
        <w:rPr>
          <w:color w:val="auto"/>
          <w:spacing w:val="-8"/>
        </w:rPr>
        <w:t>）</w:t>
      </w:r>
      <w:r>
        <w:rPr>
          <w:color w:val="auto"/>
          <w:spacing w:val="-4"/>
        </w:rPr>
        <w:t>项“被授权项目经检查达不到原考核</w:t>
      </w:r>
      <w:r>
        <w:rPr>
          <w:color w:val="auto"/>
          <w:spacing w:val="-8"/>
        </w:rPr>
        <w:t>条件，责令其停止检定、测试，限期整改；经整改仍达不到原考核条件的，由授权机</w:t>
      </w:r>
      <w:r>
        <w:rPr>
          <w:color w:val="auto"/>
        </w:rPr>
        <w:t>关撤销其计量授权。”</w:t>
      </w:r>
    </w:p>
    <w:p>
      <w:pPr>
        <w:pStyle w:val="2"/>
        <w:spacing w:line="304" w:lineRule="exact"/>
        <w:rPr>
          <w:color w:val="auto"/>
        </w:rPr>
      </w:pPr>
      <w:r>
        <w:rPr>
          <w:color w:val="auto"/>
        </w:rPr>
        <w:t>（二）裁量标准</w:t>
      </w:r>
    </w:p>
    <w:p>
      <w:pPr>
        <w:pStyle w:val="4"/>
        <w:spacing w:before="194"/>
        <w:ind w:left="591"/>
        <w:rPr>
          <w:color w:val="auto"/>
        </w:rPr>
      </w:pPr>
      <w:r>
        <w:rPr>
          <w:color w:val="auto"/>
        </w:rPr>
        <w:t>【一般】</w:t>
      </w:r>
    </w:p>
    <w:p>
      <w:pPr>
        <w:pStyle w:val="13"/>
        <w:numPr>
          <w:ilvl w:val="0"/>
          <w:numId w:val="77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被授权项目经检查达不到原考核条件的。</w:t>
      </w:r>
    </w:p>
    <w:p>
      <w:pPr>
        <w:spacing w:after="0"/>
        <w:rPr>
          <w:color w:val="auto"/>
        </w:rPr>
        <w:sectPr>
          <w:pgSz w:w="11910" w:h="16840"/>
          <w:pgMar w:top="1520" w:right="1260" w:bottom="1220" w:left="1420" w:header="0" w:footer="1034" w:gutter="0"/>
        </w:sectPr>
      </w:pPr>
    </w:p>
    <w:p>
      <w:pPr>
        <w:pStyle w:val="13"/>
        <w:numPr>
          <w:ilvl w:val="0"/>
          <w:numId w:val="771"/>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24" w:firstLine="480"/>
        <w:rPr>
          <w:color w:val="auto"/>
        </w:rPr>
      </w:pPr>
      <w:r>
        <w:rPr>
          <w:color w:val="auto"/>
        </w:rPr>
        <w:t>责令其停止检定、测试，限期整改；经整改仍达不到原考核条件的，由受权机关撤销其计量授权。</w:t>
      </w:r>
    </w:p>
    <w:p>
      <w:pPr>
        <w:pStyle w:val="2"/>
        <w:spacing w:before="2"/>
        <w:rPr>
          <w:color w:val="auto"/>
        </w:rPr>
      </w:pPr>
      <w:bookmarkStart w:id="869" w:name="四百二十四、超出授权项目擅自对外进行检定、测试"/>
      <w:bookmarkEnd w:id="869"/>
      <w:bookmarkStart w:id="870" w:name="_bookmark434"/>
      <w:bookmarkEnd w:id="870"/>
      <w:r>
        <w:rPr>
          <w:color w:val="auto"/>
        </w:rPr>
        <w:t>四百二十四、超出授权项目擅自对外进行检定、测试</w:t>
      </w:r>
    </w:p>
    <w:p>
      <w:pPr>
        <w:spacing w:before="194"/>
        <w:ind w:left="591" w:right="0" w:firstLine="0"/>
        <w:jc w:val="left"/>
        <w:rPr>
          <w:b/>
          <w:color w:val="auto"/>
          <w:sz w:val="24"/>
        </w:rPr>
      </w:pPr>
      <w:r>
        <w:rPr>
          <w:b/>
          <w:color w:val="auto"/>
          <w:sz w:val="24"/>
        </w:rPr>
        <w:t>（一）处罚依据</w:t>
      </w:r>
    </w:p>
    <w:p>
      <w:pPr>
        <w:pStyle w:val="4"/>
        <w:spacing w:before="192" w:line="388" w:lineRule="auto"/>
        <w:ind w:right="146" w:firstLine="470"/>
        <w:rPr>
          <w:color w:val="auto"/>
        </w:rPr>
      </w:pPr>
      <w:r>
        <w:rPr>
          <w:color w:val="auto"/>
          <w:spacing w:val="-6"/>
        </w:rPr>
        <w:t>《计量违法行为处罚细则》第十条第</w:t>
      </w:r>
      <w:r>
        <w:rPr>
          <w:color w:val="auto"/>
          <w:spacing w:val="-3"/>
        </w:rPr>
        <w:t>（</w:t>
      </w:r>
      <w:r>
        <w:rPr>
          <w:color w:val="auto"/>
        </w:rPr>
        <w:t>二</w:t>
      </w:r>
      <w:r>
        <w:rPr>
          <w:color w:val="auto"/>
          <w:spacing w:val="-39"/>
        </w:rPr>
        <w:t>）</w:t>
      </w:r>
      <w:r>
        <w:rPr>
          <w:color w:val="auto"/>
          <w:spacing w:val="-7"/>
        </w:rPr>
        <w:t>项“超出授权项目擅自对外进行检定、</w:t>
      </w:r>
      <w:r>
        <w:rPr>
          <w:color w:val="auto"/>
          <w:spacing w:val="-4"/>
        </w:rPr>
        <w:t>测试的，责令其改正，没收全部违法所得，情节严重的，吊销计量授权证书。”</w:t>
      </w:r>
    </w:p>
    <w:p>
      <w:pPr>
        <w:spacing w:before="4"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77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超出授权项目擅自对外进行检定、测试的。</w:t>
      </w:r>
    </w:p>
    <w:p>
      <w:pPr>
        <w:pStyle w:val="13"/>
        <w:numPr>
          <w:ilvl w:val="0"/>
          <w:numId w:val="77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rPr>
        <w:t>责令其改正，没收全部违法所得。2、【严重】</w:t>
      </w:r>
    </w:p>
    <w:p>
      <w:pPr>
        <w:pStyle w:val="13"/>
        <w:numPr>
          <w:ilvl w:val="0"/>
          <w:numId w:val="77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超出授权项目擅自对外进行检定、测试的，造成较大社会影响的。</w:t>
      </w:r>
    </w:p>
    <w:p>
      <w:pPr>
        <w:pStyle w:val="13"/>
        <w:numPr>
          <w:ilvl w:val="0"/>
          <w:numId w:val="77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责令其改正，没收全部违法所得，吊销计量授权证书。</w:t>
      </w:r>
    </w:p>
    <w:p>
      <w:pPr>
        <w:pStyle w:val="2"/>
        <w:spacing w:before="192"/>
        <w:rPr>
          <w:color w:val="auto"/>
        </w:rPr>
      </w:pPr>
      <w:bookmarkStart w:id="871" w:name="四百二十五、未经有关人民政府计量行政部门授权，擅自对外进行检定、测试"/>
      <w:bookmarkEnd w:id="871"/>
      <w:bookmarkStart w:id="872" w:name="_bookmark435"/>
      <w:bookmarkEnd w:id="872"/>
      <w:r>
        <w:rPr>
          <w:color w:val="auto"/>
        </w:rPr>
        <w:t>四百二十五、未经有关人民政府计量行政部门授权，擅自对外进行检定、测试</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《计量违法行为处罚细则》第十一条“未经有关人民政府计量行政部门授权，擅</w:t>
      </w:r>
      <w:r>
        <w:rPr>
          <w:color w:val="auto"/>
          <w:spacing w:val="-6"/>
        </w:rPr>
        <w:t>自对外进行检定、测试的，没收全部违法所得。给有关单位造成损失的，责令其赔偿</w:t>
      </w:r>
      <w:r>
        <w:rPr>
          <w:color w:val="auto"/>
          <w:spacing w:val="-30"/>
        </w:rPr>
        <w:t>损失。”</w:t>
      </w:r>
    </w:p>
    <w:p>
      <w:pPr>
        <w:pStyle w:val="2"/>
        <w:spacing w:line="304" w:lineRule="exact"/>
        <w:rPr>
          <w:color w:val="auto"/>
        </w:rPr>
      </w:pPr>
      <w:r>
        <w:rPr>
          <w:color w:val="auto"/>
        </w:rPr>
        <w:t>（二）裁量标准</w:t>
      </w:r>
    </w:p>
    <w:p>
      <w:pPr>
        <w:pStyle w:val="4"/>
        <w:spacing w:before="191"/>
        <w:ind w:left="591"/>
        <w:rPr>
          <w:color w:val="auto"/>
        </w:rPr>
      </w:pPr>
      <w:r>
        <w:rPr>
          <w:color w:val="auto"/>
        </w:rPr>
        <w:t>【一般】</w:t>
      </w:r>
    </w:p>
    <w:p>
      <w:pPr>
        <w:pStyle w:val="4"/>
        <w:spacing w:before="194"/>
        <w:ind w:left="591"/>
        <w:rPr>
          <w:color w:val="auto"/>
        </w:rPr>
      </w:pPr>
      <w:r>
        <w:rPr>
          <w:color w:val="auto"/>
        </w:rPr>
        <w:t>（1）违法情形</w:t>
      </w:r>
    </w:p>
    <w:p>
      <w:pPr>
        <w:pStyle w:val="4"/>
        <w:spacing w:before="192"/>
        <w:ind w:left="591"/>
        <w:rPr>
          <w:color w:val="auto"/>
        </w:rPr>
      </w:pPr>
      <w:r>
        <w:rPr>
          <w:color w:val="auto"/>
        </w:rPr>
        <w:t>未经有关人民政府计量行政部门授权，擅自对外进行检定、测试的。</w:t>
      </w:r>
    </w:p>
    <w:p>
      <w:pPr>
        <w:spacing w:after="0"/>
        <w:rPr>
          <w:color w:val="auto"/>
        </w:rPr>
        <w:sectPr>
          <w:footerReference r:id="rId99" w:type="default"/>
          <w:footerReference r:id="rId100" w:type="even"/>
          <w:pgSz w:w="11910" w:h="16840"/>
          <w:pgMar w:top="1520" w:right="1260" w:bottom="1720" w:left="1420" w:header="0" w:footer="1526" w:gutter="0"/>
          <w:pgNumType w:start="414"/>
        </w:sectPr>
      </w:pPr>
    </w:p>
    <w:p>
      <w:pPr>
        <w:spacing w:before="39" w:line="391" w:lineRule="auto"/>
        <w:ind w:left="591" w:right="1912" w:firstLine="0"/>
        <w:jc w:val="left"/>
        <w:rPr>
          <w:b/>
          <w:color w:val="auto"/>
          <w:sz w:val="24"/>
        </w:rPr>
      </w:pPr>
      <w:r>
        <w:rPr>
          <w:color w:val="auto"/>
          <w:sz w:val="24"/>
        </w:rPr>
        <w:t>没收全部违法所得，经有关单位造成损失的，责令其赔损损失。</w:t>
      </w:r>
      <w:bookmarkStart w:id="873" w:name="四百二十六、在经销活动中，使用非法定计量单位计量器具"/>
      <w:bookmarkEnd w:id="873"/>
      <w:bookmarkStart w:id="874" w:name="_bookmark436"/>
      <w:bookmarkEnd w:id="874"/>
      <w:r>
        <w:rPr>
          <w:b/>
          <w:color w:val="auto"/>
          <w:sz w:val="24"/>
        </w:rPr>
        <w:t>四百二十六、在经销活动中，使用非法定计量单位计量器具</w:t>
      </w:r>
    </w:p>
    <w:p>
      <w:pPr>
        <w:pStyle w:val="2"/>
        <w:spacing w:line="306" w:lineRule="exact"/>
        <w:rPr>
          <w:color w:val="auto"/>
        </w:rPr>
      </w:pPr>
      <w:r>
        <w:rPr>
          <w:color w:val="auto"/>
        </w:rPr>
        <w:t>（一）处罚依据</w:t>
      </w:r>
    </w:p>
    <w:p>
      <w:pPr>
        <w:pStyle w:val="4"/>
        <w:spacing w:before="192" w:line="391" w:lineRule="auto"/>
        <w:ind w:right="217" w:firstLine="470"/>
        <w:rPr>
          <w:color w:val="auto"/>
        </w:rPr>
      </w:pPr>
      <w:r>
        <w:rPr>
          <w:color w:val="auto"/>
        </w:rPr>
        <w:t>《计量违法行为处罚细则》第十二条第（四）项“在经销活动中，使用非法定计量单位计量器具的，没收该计量器具。”</w:t>
      </w:r>
    </w:p>
    <w:p>
      <w:pPr>
        <w:pStyle w:val="2"/>
        <w:spacing w:line="306" w:lineRule="exact"/>
        <w:rPr>
          <w:color w:val="auto"/>
        </w:rPr>
      </w:pPr>
      <w:r>
        <w:rPr>
          <w:color w:val="auto"/>
        </w:rPr>
        <w:t>（二）裁量标准</w:t>
      </w:r>
    </w:p>
    <w:p>
      <w:pPr>
        <w:pStyle w:val="4"/>
        <w:spacing w:before="192"/>
        <w:ind w:left="591"/>
        <w:rPr>
          <w:color w:val="auto"/>
        </w:rPr>
      </w:pPr>
      <w:r>
        <w:rPr>
          <w:color w:val="auto"/>
        </w:rPr>
        <w:t>【一般】</w:t>
      </w:r>
    </w:p>
    <w:p>
      <w:pPr>
        <w:pStyle w:val="13"/>
        <w:numPr>
          <w:ilvl w:val="0"/>
          <w:numId w:val="77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在经销活动中，使用非法定计量单位计量器具的。</w:t>
      </w:r>
    </w:p>
    <w:p>
      <w:pPr>
        <w:pStyle w:val="13"/>
        <w:numPr>
          <w:ilvl w:val="0"/>
          <w:numId w:val="77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没收该计量器具。</w:t>
      </w:r>
    </w:p>
    <w:p>
      <w:pPr>
        <w:pStyle w:val="2"/>
        <w:spacing w:before="192" w:line="388" w:lineRule="auto"/>
        <w:ind w:left="111" w:right="193" w:firstLine="480"/>
        <w:rPr>
          <w:color w:val="auto"/>
        </w:rPr>
      </w:pPr>
      <w:bookmarkStart w:id="875" w:name="四百二十七、已取得制造许可证的计量器具，在销售时，没有产品合格印、证或没有使用制"/>
      <w:bookmarkEnd w:id="875"/>
      <w:bookmarkStart w:id="876" w:name="_bookmark437"/>
      <w:bookmarkEnd w:id="876"/>
      <w:r>
        <w:rPr>
          <w:color w:val="auto"/>
        </w:rPr>
        <w:t>四百二十七、已取得制造许可证的计量器具，在销售时，没有产品合格印、证或没有使用制造许可证标志</w:t>
      </w:r>
    </w:p>
    <w:p>
      <w:pPr>
        <w:spacing w:before="5"/>
        <w:ind w:left="591" w:right="0" w:firstLine="0"/>
        <w:jc w:val="left"/>
        <w:rPr>
          <w:b/>
          <w:color w:val="auto"/>
          <w:sz w:val="24"/>
        </w:rPr>
      </w:pPr>
      <w:r>
        <w:rPr>
          <w:b/>
          <w:color w:val="auto"/>
          <w:sz w:val="24"/>
        </w:rPr>
        <w:t>（一）处罚依据</w:t>
      </w:r>
    </w:p>
    <w:p>
      <w:pPr>
        <w:pStyle w:val="4"/>
        <w:spacing w:before="191" w:line="388" w:lineRule="auto"/>
        <w:ind w:right="148" w:firstLine="470"/>
        <w:rPr>
          <w:color w:val="auto"/>
        </w:rPr>
      </w:pPr>
      <w:r>
        <w:rPr>
          <w:color w:val="auto"/>
          <w:spacing w:val="-11"/>
        </w:rPr>
        <w:t xml:space="preserve">《计量违法行为处罚细则》第十六条“已取得制造许可证的计量器具，在销售时， </w:t>
      </w:r>
      <w:r>
        <w:rPr>
          <w:color w:val="auto"/>
        </w:rPr>
        <w:t>没有产品合格印、证或没有使用制造许可证标志的，责令其停止销售；”</w:t>
      </w:r>
    </w:p>
    <w:p>
      <w:pPr>
        <w:pStyle w:val="2"/>
        <w:spacing w:before="5"/>
        <w:rPr>
          <w:color w:val="auto"/>
        </w:rPr>
      </w:pPr>
      <w:r>
        <w:rPr>
          <w:color w:val="auto"/>
        </w:rPr>
        <w:t>（二）裁量标准</w:t>
      </w:r>
    </w:p>
    <w:p>
      <w:pPr>
        <w:pStyle w:val="4"/>
        <w:spacing w:before="192"/>
        <w:ind w:left="591"/>
        <w:rPr>
          <w:color w:val="auto"/>
        </w:rPr>
      </w:pPr>
      <w:r>
        <w:rPr>
          <w:color w:val="auto"/>
        </w:rPr>
        <w:t>【一般】</w:t>
      </w:r>
    </w:p>
    <w:p>
      <w:pPr>
        <w:pStyle w:val="13"/>
        <w:numPr>
          <w:ilvl w:val="0"/>
          <w:numId w:val="775"/>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已取得制造许可证的计量器具，在销售时，没有产品合格印、证或没有使用制造许可证标志的。</w:t>
      </w:r>
    </w:p>
    <w:p>
      <w:pPr>
        <w:pStyle w:val="13"/>
        <w:numPr>
          <w:ilvl w:val="0"/>
          <w:numId w:val="77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责令其停止销售。</w:t>
      </w:r>
    </w:p>
    <w:p>
      <w:pPr>
        <w:pStyle w:val="2"/>
        <w:spacing w:before="191"/>
        <w:rPr>
          <w:color w:val="auto"/>
        </w:rPr>
      </w:pPr>
      <w:bookmarkStart w:id="877" w:name="_bookmark438"/>
      <w:bookmarkEnd w:id="877"/>
      <w:bookmarkStart w:id="878" w:name="四百二十八、销售超过有效期的标准物质"/>
      <w:bookmarkEnd w:id="878"/>
      <w:r>
        <w:rPr>
          <w:color w:val="auto"/>
        </w:rPr>
        <w:t>四百二十八、销售超过有效期的标准物质</w:t>
      </w:r>
    </w:p>
    <w:p>
      <w:pPr>
        <w:spacing w:before="192"/>
        <w:ind w:left="591" w:right="0" w:firstLine="0"/>
        <w:jc w:val="left"/>
        <w:rPr>
          <w:b/>
          <w:color w:val="auto"/>
          <w:sz w:val="24"/>
        </w:rPr>
      </w:pPr>
      <w:r>
        <w:rPr>
          <w:b/>
          <w:color w:val="auto"/>
          <w:sz w:val="24"/>
        </w:rPr>
        <w:t>（一）处罚依据</w:t>
      </w:r>
    </w:p>
    <w:p>
      <w:pPr>
        <w:pStyle w:val="4"/>
        <w:spacing w:before="194" w:line="388" w:lineRule="auto"/>
        <w:ind w:right="148" w:firstLine="470"/>
        <w:rPr>
          <w:color w:val="auto"/>
        </w:rPr>
      </w:pPr>
      <w:r>
        <w:rPr>
          <w:color w:val="auto"/>
          <w:spacing w:val="-11"/>
        </w:rPr>
        <w:t xml:space="preserve">《计量违法行为处罚细则》第十六条“已取得制造许可证的计量器具，在销售时， </w:t>
      </w:r>
      <w:r>
        <w:rPr>
          <w:color w:val="auto"/>
          <w:spacing w:val="-4"/>
        </w:rPr>
        <w:t>没有产品合格印、证或没有使用制造许可证标志的，责令其停止销售；销售超过有效期的标准物质的，没收该种标准物质和全部违法所得。”</w:t>
      </w:r>
    </w:p>
    <w:p>
      <w:pPr>
        <w:spacing w:after="0" w:line="388" w:lineRule="auto"/>
        <w:rPr>
          <w:color w:val="auto"/>
        </w:rPr>
        <w:sectPr>
          <w:pgSz w:w="11910" w:h="16840"/>
          <w:pgMar w:top="1520" w:right="1260" w:bottom="1220" w:left="1420" w:header="0" w:footer="1034" w:gutter="0"/>
        </w:sectPr>
      </w:pPr>
    </w:p>
    <w:p>
      <w:pPr>
        <w:pStyle w:val="2"/>
        <w:spacing w:before="39"/>
        <w:rPr>
          <w:color w:val="auto"/>
        </w:rPr>
      </w:pPr>
      <w:r>
        <w:rPr>
          <w:color w:val="auto"/>
        </w:rPr>
        <w:t>（二）裁量标准</w:t>
      </w:r>
    </w:p>
    <w:p>
      <w:pPr>
        <w:pStyle w:val="4"/>
        <w:spacing w:before="195"/>
        <w:ind w:left="591"/>
        <w:rPr>
          <w:color w:val="auto"/>
        </w:rPr>
      </w:pPr>
      <w:r>
        <w:rPr>
          <w:color w:val="auto"/>
        </w:rPr>
        <w:t>【一般】</w:t>
      </w:r>
    </w:p>
    <w:p>
      <w:pPr>
        <w:pStyle w:val="13"/>
        <w:numPr>
          <w:ilvl w:val="0"/>
          <w:numId w:val="776"/>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销售超过有效期的标准物质的。</w:t>
      </w:r>
    </w:p>
    <w:p>
      <w:pPr>
        <w:pStyle w:val="13"/>
        <w:numPr>
          <w:ilvl w:val="0"/>
          <w:numId w:val="77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没收该种标准物质和全部违法所得。</w:t>
      </w:r>
    </w:p>
    <w:p>
      <w:pPr>
        <w:pStyle w:val="2"/>
        <w:spacing w:before="191"/>
        <w:rPr>
          <w:color w:val="auto"/>
        </w:rPr>
      </w:pPr>
      <w:bookmarkStart w:id="879" w:name="_bookmark439"/>
      <w:bookmarkEnd w:id="879"/>
      <w:bookmarkStart w:id="880" w:name="四百二十九、定量包装商品未正确、清晰地标注净含量"/>
      <w:bookmarkEnd w:id="880"/>
      <w:r>
        <w:rPr>
          <w:color w:val="auto"/>
        </w:rPr>
        <w:t>四百二十九、定量包装商品未正确、清晰地标注净含量</w:t>
      </w:r>
    </w:p>
    <w:p>
      <w:pPr>
        <w:spacing w:before="195"/>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spacing w:val="-4"/>
        </w:rPr>
        <w:t>《定量包装商品计量监督管理办法》第十七条“生产、销售定量包装商品违反本</w:t>
      </w:r>
      <w:r>
        <w:rPr>
          <w:color w:val="auto"/>
          <w:spacing w:val="-7"/>
        </w:rPr>
        <w:t>办法第五条、第六条、第七条规定，未正确、清晰地标注净含量的，责令改正；未标</w:t>
      </w:r>
      <w:r>
        <w:rPr>
          <w:color w:val="auto"/>
          <w:spacing w:val="-3"/>
        </w:rPr>
        <w:t xml:space="preserve">注净含量的，限期改正，逾期不改的，可处 </w:t>
      </w:r>
      <w:r>
        <w:rPr>
          <w:color w:val="auto"/>
        </w:rPr>
        <w:t>1000</w:t>
      </w:r>
      <w:r>
        <w:rPr>
          <w:color w:val="auto"/>
          <w:spacing w:val="-8"/>
        </w:rPr>
        <w:t xml:space="preserve"> 元以下罚款。”</w:t>
      </w:r>
    </w:p>
    <w:p>
      <w:pPr>
        <w:pStyle w:val="2"/>
        <w:spacing w:line="304" w:lineRule="exact"/>
        <w:rPr>
          <w:color w:val="auto"/>
        </w:rPr>
      </w:pPr>
      <w:r>
        <w:rPr>
          <w:color w:val="auto"/>
        </w:rPr>
        <w:t>（二）裁量标准</w:t>
      </w:r>
    </w:p>
    <w:p>
      <w:pPr>
        <w:keepNext w:val="0"/>
        <w:keepLines w:val="0"/>
        <w:widowControl/>
        <w:suppressLineNumbers w:val="0"/>
        <w:ind w:firstLine="660" w:firstLineChars="300"/>
        <w:jc w:val="left"/>
        <w:rPr>
          <w:rFonts w:hint="default" w:eastAsia="宋体"/>
          <w:color w:val="auto"/>
          <w:lang w:val="en-US" w:eastAsia="zh-CN"/>
        </w:rPr>
      </w:pPr>
      <w:r>
        <w:rPr>
          <w:rFonts w:hint="eastAsia"/>
          <w:color w:val="auto"/>
          <w:lang w:val="en-US" w:eastAsia="zh-CN"/>
        </w:rPr>
        <w:t>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pStyle w:val="4"/>
        <w:spacing w:before="192"/>
        <w:ind w:left="591"/>
        <w:rPr>
          <w:color w:val="auto"/>
        </w:rPr>
      </w:pPr>
      <w:r>
        <w:rPr>
          <w:rFonts w:hint="eastAsia"/>
          <w:color w:val="auto"/>
          <w:lang w:val="en-US" w:eastAsia="zh-CN"/>
        </w:rPr>
        <w:t>2.</w:t>
      </w:r>
      <w:r>
        <w:rPr>
          <w:color w:val="auto"/>
        </w:rPr>
        <w:t>【一般】</w:t>
      </w:r>
    </w:p>
    <w:p>
      <w:pPr>
        <w:pStyle w:val="13"/>
        <w:numPr>
          <w:ilvl w:val="0"/>
          <w:numId w:val="77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定量包装商品未正确、清晰地标注净含量的，责令改正，逾期不改的。</w:t>
      </w:r>
    </w:p>
    <w:p>
      <w:pPr>
        <w:pStyle w:val="13"/>
        <w:numPr>
          <w:ilvl w:val="0"/>
          <w:numId w:val="77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1000 元以下罚款。</w:t>
      </w:r>
    </w:p>
    <w:p>
      <w:pPr>
        <w:pStyle w:val="2"/>
        <w:spacing w:before="191"/>
        <w:rPr>
          <w:color w:val="auto"/>
        </w:rPr>
      </w:pPr>
      <w:bookmarkStart w:id="881" w:name="四百三十、已取得计量认证合格证书，经检查不符合原考核条件"/>
      <w:bookmarkEnd w:id="881"/>
      <w:bookmarkStart w:id="882" w:name="_bookmark440"/>
      <w:bookmarkEnd w:id="882"/>
      <w:r>
        <w:rPr>
          <w:color w:val="auto"/>
        </w:rPr>
        <w:t>四百三十、已取得计量认证合格证书，经检查不符合原考核条件</w:t>
      </w:r>
    </w:p>
    <w:p>
      <w:pPr>
        <w:spacing w:before="192"/>
        <w:ind w:left="591" w:right="0" w:firstLine="0"/>
        <w:jc w:val="left"/>
        <w:rPr>
          <w:b/>
          <w:color w:val="auto"/>
          <w:sz w:val="24"/>
        </w:rPr>
      </w:pPr>
      <w:r>
        <w:rPr>
          <w:b/>
          <w:color w:val="auto"/>
          <w:sz w:val="24"/>
        </w:rPr>
        <w:t>（一）处罚依据</w:t>
      </w:r>
    </w:p>
    <w:p>
      <w:pPr>
        <w:pStyle w:val="4"/>
        <w:spacing w:before="194" w:line="391" w:lineRule="auto"/>
        <w:ind w:right="265" w:firstLine="470"/>
        <w:jc w:val="both"/>
        <w:rPr>
          <w:color w:val="auto"/>
        </w:rPr>
      </w:pPr>
      <w:r>
        <w:rPr>
          <w:color w:val="auto"/>
        </w:rPr>
        <w:t>《计量违法行为处罚细则》第十八条 “为社会提供公证数据的产品质量检验机</w:t>
      </w:r>
      <w:r>
        <w:rPr>
          <w:color w:val="auto"/>
          <w:spacing w:val="-5"/>
        </w:rPr>
        <w:t>构，违反计量法律、法规的，按以下规定处罚：（</w:t>
      </w:r>
      <w:r>
        <w:rPr>
          <w:color w:val="auto"/>
        </w:rPr>
        <w:t>二</w:t>
      </w:r>
      <w:r>
        <w:rPr>
          <w:color w:val="auto"/>
          <w:spacing w:val="-5"/>
        </w:rPr>
        <w:t>）</w:t>
      </w:r>
      <w:r>
        <w:rPr>
          <w:color w:val="auto"/>
          <w:spacing w:val="-4"/>
        </w:rPr>
        <w:t>已取得计量认证合格证书，经检查不符合原考核条件的，限期整改；经整改仍达不到原考核条件的，由原发证机关</w:t>
      </w:r>
      <w:r>
        <w:rPr>
          <w:color w:val="auto"/>
        </w:rPr>
        <w:t>吊销其计量认证合格证书，停止其使用计量认证标志；”</w:t>
      </w:r>
    </w:p>
    <w:p>
      <w:pPr>
        <w:pStyle w:val="2"/>
        <w:spacing w:line="302" w:lineRule="exact"/>
        <w:rPr>
          <w:color w:val="auto"/>
        </w:rPr>
      </w:pPr>
      <w:r>
        <w:rPr>
          <w:color w:val="auto"/>
        </w:rPr>
        <w:t>（二）裁量标准</w:t>
      </w:r>
    </w:p>
    <w:p>
      <w:pPr>
        <w:pStyle w:val="4"/>
        <w:spacing w:before="192"/>
        <w:ind w:left="591"/>
        <w:rPr>
          <w:color w:val="auto"/>
        </w:rPr>
      </w:pPr>
      <w:r>
        <w:rPr>
          <w:color w:val="auto"/>
        </w:rPr>
        <w:t>【一般】</w:t>
      </w:r>
    </w:p>
    <w:p>
      <w:pPr>
        <w:pStyle w:val="4"/>
        <w:spacing w:before="194"/>
        <w:ind w:left="591"/>
        <w:rPr>
          <w:color w:val="auto"/>
        </w:rPr>
      </w:pPr>
      <w:r>
        <w:rPr>
          <w:color w:val="auto"/>
        </w:rPr>
        <w:t>（1）违法情形</w:t>
      </w:r>
    </w:p>
    <w:p>
      <w:pPr>
        <w:pStyle w:val="4"/>
        <w:spacing w:before="192"/>
        <w:ind w:left="581"/>
        <w:rPr>
          <w:color w:val="auto"/>
        </w:rPr>
      </w:pPr>
      <w:r>
        <w:rPr>
          <w:color w:val="auto"/>
        </w:rPr>
        <w:t>已取得计量认证合格证书，经检查不符合原考核条件的。</w:t>
      </w:r>
    </w:p>
    <w:p>
      <w:pPr>
        <w:spacing w:after="0"/>
        <w:rPr>
          <w:color w:val="auto"/>
        </w:rPr>
        <w:sectPr>
          <w:pgSz w:w="11910" w:h="16840"/>
          <w:pgMar w:top="1520" w:right="1260" w:bottom="1720" w:left="1420" w:header="0" w:footer="1526" w:gutter="0"/>
        </w:sectPr>
      </w:pPr>
    </w:p>
    <w:p>
      <w:pPr>
        <w:pStyle w:val="4"/>
        <w:spacing w:before="39" w:line="391" w:lineRule="auto"/>
        <w:ind w:right="218" w:firstLine="470"/>
        <w:rPr>
          <w:color w:val="auto"/>
        </w:rPr>
      </w:pPr>
      <w:r>
        <w:rPr>
          <w:color w:val="auto"/>
        </w:rPr>
        <w:t>限期整改，经整改仍达不到原考核条件的，由原发证机关吊销其计量认证合格证书，停止其使用计量认证标志。</w:t>
      </w:r>
    </w:p>
    <w:p>
      <w:pPr>
        <w:pStyle w:val="2"/>
        <w:spacing w:line="306" w:lineRule="exact"/>
        <w:rPr>
          <w:color w:val="auto"/>
        </w:rPr>
      </w:pPr>
      <w:bookmarkStart w:id="883" w:name="四百三十一、经计量认证合格的产品质量检验机构，失去公正地位"/>
      <w:bookmarkEnd w:id="883"/>
      <w:bookmarkStart w:id="884" w:name="_bookmark441"/>
      <w:bookmarkEnd w:id="884"/>
      <w:r>
        <w:rPr>
          <w:color w:val="auto"/>
        </w:rPr>
        <w:t>四百三十一、经计量认证合格的产品质量检验机构，失去公正地位</w:t>
      </w:r>
    </w:p>
    <w:p>
      <w:pPr>
        <w:spacing w:before="192"/>
        <w:ind w:left="591" w:right="0" w:firstLine="0"/>
        <w:jc w:val="left"/>
        <w:rPr>
          <w:b/>
          <w:color w:val="auto"/>
          <w:sz w:val="24"/>
        </w:rPr>
      </w:pPr>
      <w:r>
        <w:rPr>
          <w:b/>
          <w:color w:val="auto"/>
          <w:sz w:val="24"/>
        </w:rPr>
        <w:t>（一）处罚依据</w:t>
      </w:r>
    </w:p>
    <w:p>
      <w:pPr>
        <w:pStyle w:val="4"/>
        <w:spacing w:before="194" w:line="391" w:lineRule="auto"/>
        <w:ind w:right="268" w:firstLine="470"/>
        <w:jc w:val="both"/>
        <w:rPr>
          <w:color w:val="auto"/>
        </w:rPr>
      </w:pPr>
      <w:r>
        <w:rPr>
          <w:color w:val="auto"/>
        </w:rPr>
        <w:t>《计量违法行为处罚细则》第十八条 “为社会提供公证数据的产品质量检验机</w:t>
      </w:r>
      <w:r>
        <w:rPr>
          <w:color w:val="auto"/>
          <w:spacing w:val="-6"/>
        </w:rPr>
        <w:t>构，违反计量法律、法规的，按以下规定处罚：（</w:t>
      </w:r>
      <w:r>
        <w:rPr>
          <w:color w:val="auto"/>
        </w:rPr>
        <w:t>三</w:t>
      </w:r>
      <w:r>
        <w:rPr>
          <w:color w:val="auto"/>
          <w:spacing w:val="-5"/>
        </w:rPr>
        <w:t>）</w:t>
      </w:r>
      <w:r>
        <w:rPr>
          <w:color w:val="auto"/>
          <w:spacing w:val="-2"/>
        </w:rPr>
        <w:t>经计量认证合格的产品质量检</w:t>
      </w:r>
      <w:r>
        <w:rPr>
          <w:color w:val="auto"/>
          <w:spacing w:val="-7"/>
        </w:rPr>
        <w:t>验机构，失去公正地位的，由原发证机关，吊销其计量认证合格证书，停止其使用计</w:t>
      </w:r>
      <w:r>
        <w:rPr>
          <w:color w:val="auto"/>
        </w:rPr>
        <w:t>量认证标志。”</w:t>
      </w:r>
    </w:p>
    <w:p>
      <w:pPr>
        <w:pStyle w:val="2"/>
        <w:spacing w:line="302" w:lineRule="exact"/>
        <w:rPr>
          <w:color w:val="auto"/>
        </w:rPr>
      </w:pPr>
      <w:r>
        <w:rPr>
          <w:color w:val="auto"/>
        </w:rPr>
        <w:t>（二）裁量标准</w:t>
      </w:r>
    </w:p>
    <w:p>
      <w:pPr>
        <w:pStyle w:val="4"/>
        <w:spacing w:before="192"/>
        <w:ind w:left="591"/>
        <w:rPr>
          <w:color w:val="auto"/>
        </w:rPr>
      </w:pPr>
      <w:r>
        <w:rPr>
          <w:color w:val="auto"/>
        </w:rPr>
        <w:t>【一般】</w:t>
      </w:r>
    </w:p>
    <w:p>
      <w:pPr>
        <w:pStyle w:val="13"/>
        <w:numPr>
          <w:ilvl w:val="0"/>
          <w:numId w:val="77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经计量认证合格的产品质量检验机构，失去公正地位的。</w:t>
      </w:r>
    </w:p>
    <w:p>
      <w:pPr>
        <w:pStyle w:val="13"/>
        <w:numPr>
          <w:ilvl w:val="0"/>
          <w:numId w:val="77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由原发证机关，吊销其计量认证合格证书；停止其使用计量认证标志。</w:t>
      </w:r>
    </w:p>
    <w:p>
      <w:pPr>
        <w:pStyle w:val="2"/>
        <w:spacing w:before="191" w:line="388" w:lineRule="auto"/>
        <w:ind w:left="111" w:right="237" w:firstLine="480"/>
        <w:rPr>
          <w:color w:val="auto"/>
        </w:rPr>
      </w:pPr>
      <w:bookmarkStart w:id="885" w:name="_bookmark442"/>
      <w:bookmarkEnd w:id="885"/>
      <w:bookmarkStart w:id="886" w:name="四百三十二、加油站经营者使用计量器具许可证标志、编号和出厂产品合格证不齐全的计量"/>
      <w:bookmarkEnd w:id="886"/>
      <w:r>
        <w:rPr>
          <w:color w:val="auto"/>
          <w:spacing w:val="-8"/>
        </w:rPr>
        <w:t>四百三十二、加油站经营者使用计量器具许可证标志、编号和出厂产品合格证不齐全的计量器具</w:t>
      </w:r>
    </w:p>
    <w:p>
      <w:pPr>
        <w:spacing w:before="5"/>
        <w:ind w:left="591" w:right="0" w:firstLine="0"/>
        <w:jc w:val="left"/>
        <w:rPr>
          <w:b/>
          <w:color w:val="auto"/>
          <w:sz w:val="24"/>
        </w:rPr>
      </w:pPr>
      <w:r>
        <w:rPr>
          <w:b/>
          <w:color w:val="auto"/>
          <w:sz w:val="24"/>
        </w:rPr>
        <w:t>（一）处罚依据</w:t>
      </w:r>
    </w:p>
    <w:p>
      <w:pPr>
        <w:pStyle w:val="4"/>
        <w:spacing w:before="191" w:line="391" w:lineRule="auto"/>
        <w:ind w:right="232" w:firstLine="470"/>
        <w:jc w:val="both"/>
        <w:rPr>
          <w:color w:val="auto"/>
        </w:rPr>
      </w:pPr>
      <w:r>
        <w:rPr>
          <w:color w:val="auto"/>
        </w:rPr>
        <w:t>《加油站计量监督管理办法》第九条第（二）项“加油站经营者违反本办法有关规定，应当按以下规定进行处罚：（二）违反本办法第五条第（四）项规定，使用计量器具许可证标志、编号和出厂产品合格证不齐全的计量器具的，责令其停止使用， 可并处 2000 元以下罚款。燃油加油机安装后未报经质量技术监督部门授权的法定计</w:t>
      </w:r>
    </w:p>
    <w:p>
      <w:pPr>
        <w:pStyle w:val="4"/>
        <w:spacing w:line="302" w:lineRule="exact"/>
        <w:rPr>
          <w:color w:val="auto"/>
        </w:rPr>
      </w:pPr>
      <w:r>
        <w:rPr>
          <w:color w:val="auto"/>
          <w:spacing w:val="-5"/>
        </w:rPr>
        <w:t xml:space="preserve">量检定机构强制检定合格即投入使用的，责令其停止使用，可并处 </w:t>
      </w:r>
      <w:r>
        <w:rPr>
          <w:color w:val="auto"/>
        </w:rPr>
        <w:t>5000</w:t>
      </w:r>
      <w:r>
        <w:rPr>
          <w:color w:val="auto"/>
          <w:spacing w:val="-9"/>
        </w:rPr>
        <w:t xml:space="preserve"> 元以下罚款；</w:t>
      </w:r>
    </w:p>
    <w:p>
      <w:pPr>
        <w:pStyle w:val="4"/>
        <w:spacing w:before="195" w:line="388" w:lineRule="auto"/>
        <w:ind w:right="268"/>
        <w:rPr>
          <w:color w:val="auto"/>
        </w:rPr>
      </w:pPr>
      <w:r>
        <w:rPr>
          <w:color w:val="auto"/>
          <w:spacing w:val="-2"/>
        </w:rPr>
        <w:t xml:space="preserve">给国家和消费者造成损失的，责令其赔偿损失，可并处 </w:t>
      </w:r>
      <w:r>
        <w:rPr>
          <w:color w:val="auto"/>
        </w:rPr>
        <w:t>5000</w:t>
      </w:r>
      <w:r>
        <w:rPr>
          <w:color w:val="auto"/>
          <w:spacing w:val="-19"/>
        </w:rPr>
        <w:t xml:space="preserve"> 元以上 </w:t>
      </w:r>
      <w:r>
        <w:rPr>
          <w:color w:val="auto"/>
        </w:rPr>
        <w:t>30000</w:t>
      </w:r>
      <w:r>
        <w:rPr>
          <w:color w:val="auto"/>
          <w:spacing w:val="-10"/>
        </w:rPr>
        <w:t xml:space="preserve"> 元以下罚款。”</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77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有下列情形之一的：1、违法所得 1000 元以下的；2、违法使用的计量器具 1 台</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件以下的。</w:t>
      </w:r>
    </w:p>
    <w:p>
      <w:pPr>
        <w:pStyle w:val="13"/>
        <w:numPr>
          <w:ilvl w:val="0"/>
          <w:numId w:val="77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4552"/>
        <w:rPr>
          <w:color w:val="auto"/>
        </w:rPr>
      </w:pPr>
      <w:r>
        <w:rPr>
          <w:color w:val="auto"/>
          <w:spacing w:val="-6"/>
        </w:rPr>
        <w:t xml:space="preserve">责令其停止使用，处 </w:t>
      </w:r>
      <w:r>
        <w:rPr>
          <w:color w:val="auto"/>
        </w:rPr>
        <w:t>200</w:t>
      </w:r>
      <w:r>
        <w:rPr>
          <w:color w:val="auto"/>
          <w:spacing w:val="-11"/>
        </w:rPr>
        <w:t xml:space="preserve"> 元以下罚款。</w:t>
      </w:r>
      <w:r>
        <w:rPr>
          <w:color w:val="auto"/>
        </w:rPr>
        <w:t>2</w:t>
      </w:r>
      <w:r>
        <w:rPr>
          <w:color w:val="auto"/>
          <w:spacing w:val="-24"/>
        </w:rPr>
        <w:t>、【一般】</w:t>
      </w:r>
    </w:p>
    <w:p>
      <w:pPr>
        <w:pStyle w:val="13"/>
        <w:numPr>
          <w:ilvl w:val="0"/>
          <w:numId w:val="780"/>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15" w:firstLine="480"/>
        <w:rPr>
          <w:color w:val="auto"/>
        </w:rPr>
      </w:pPr>
      <w:r>
        <w:rPr>
          <w:color w:val="auto"/>
        </w:rPr>
        <w:t>有下列情形之一的：1、违法所得 2000 元以下的；2、违法使用的计量器具为 2 台件的。</w:t>
      </w:r>
    </w:p>
    <w:p>
      <w:pPr>
        <w:pStyle w:val="13"/>
        <w:numPr>
          <w:ilvl w:val="0"/>
          <w:numId w:val="78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352"/>
        <w:rPr>
          <w:color w:val="auto"/>
        </w:rPr>
      </w:pPr>
      <w:r>
        <w:rPr>
          <w:color w:val="auto"/>
          <w:spacing w:val="-6"/>
        </w:rPr>
        <w:t xml:space="preserve">责令其停止使用，处 </w:t>
      </w:r>
      <w:r>
        <w:rPr>
          <w:color w:val="auto"/>
        </w:rPr>
        <w:t>200</w:t>
      </w:r>
      <w:r>
        <w:rPr>
          <w:color w:val="auto"/>
          <w:spacing w:val="-24"/>
        </w:rPr>
        <w:t xml:space="preserve"> 元以上 </w:t>
      </w:r>
      <w:r>
        <w:rPr>
          <w:color w:val="auto"/>
        </w:rPr>
        <w:t>500</w:t>
      </w:r>
      <w:r>
        <w:rPr>
          <w:color w:val="auto"/>
          <w:spacing w:val="-11"/>
        </w:rPr>
        <w:t xml:space="preserve"> 元以下罚款。</w:t>
      </w:r>
      <w:r>
        <w:rPr>
          <w:color w:val="auto"/>
        </w:rPr>
        <w:t>3</w:t>
      </w:r>
      <w:r>
        <w:rPr>
          <w:color w:val="auto"/>
          <w:spacing w:val="-24"/>
        </w:rPr>
        <w:t>、【较重】</w:t>
      </w:r>
    </w:p>
    <w:p>
      <w:pPr>
        <w:pStyle w:val="13"/>
        <w:numPr>
          <w:ilvl w:val="0"/>
          <w:numId w:val="781"/>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5" w:firstLine="480"/>
        <w:rPr>
          <w:color w:val="auto"/>
        </w:rPr>
      </w:pPr>
      <w:r>
        <w:rPr>
          <w:color w:val="auto"/>
        </w:rPr>
        <w:t>有下列情形之一的：1、违法所得 3000 元以下的；2、违法使用的计量器具为 3 台件的。</w:t>
      </w:r>
    </w:p>
    <w:p>
      <w:pPr>
        <w:pStyle w:val="13"/>
        <w:numPr>
          <w:ilvl w:val="0"/>
          <w:numId w:val="781"/>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2752"/>
        <w:rPr>
          <w:color w:val="auto"/>
        </w:rPr>
      </w:pPr>
      <w:r>
        <w:rPr>
          <w:color w:val="auto"/>
          <w:spacing w:val="-5"/>
        </w:rPr>
        <w:t xml:space="preserve">责令其停止使用，可并处 </w:t>
      </w:r>
      <w:r>
        <w:rPr>
          <w:color w:val="auto"/>
        </w:rPr>
        <w:t>500</w:t>
      </w:r>
      <w:r>
        <w:rPr>
          <w:color w:val="auto"/>
          <w:spacing w:val="-24"/>
        </w:rPr>
        <w:t xml:space="preserve"> 元以上 </w:t>
      </w:r>
      <w:r>
        <w:rPr>
          <w:color w:val="auto"/>
        </w:rPr>
        <w:t>1000</w:t>
      </w:r>
      <w:r>
        <w:rPr>
          <w:color w:val="auto"/>
          <w:spacing w:val="-11"/>
        </w:rPr>
        <w:t xml:space="preserve"> 元以下罚款。</w:t>
      </w:r>
      <w:r>
        <w:rPr>
          <w:color w:val="auto"/>
        </w:rPr>
        <w:t>4</w:t>
      </w:r>
      <w:r>
        <w:rPr>
          <w:color w:val="auto"/>
          <w:spacing w:val="-24"/>
        </w:rPr>
        <w:t>、【严重】</w:t>
      </w:r>
    </w:p>
    <w:p>
      <w:pPr>
        <w:pStyle w:val="13"/>
        <w:numPr>
          <w:ilvl w:val="0"/>
          <w:numId w:val="782"/>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268" w:firstLine="480"/>
        <w:rPr>
          <w:color w:val="auto"/>
        </w:rPr>
      </w:pPr>
      <w:r>
        <w:rPr>
          <w:color w:val="auto"/>
        </w:rPr>
        <w:t>有下列情形之一的：1</w:t>
      </w:r>
      <w:r>
        <w:rPr>
          <w:color w:val="auto"/>
          <w:spacing w:val="-8"/>
        </w:rPr>
        <w:t xml:space="preserve">、违法所得 </w:t>
      </w:r>
      <w:r>
        <w:rPr>
          <w:color w:val="auto"/>
        </w:rPr>
        <w:t>4000</w:t>
      </w:r>
      <w:r>
        <w:rPr>
          <w:color w:val="auto"/>
          <w:spacing w:val="-10"/>
        </w:rPr>
        <w:t xml:space="preserve"> 元以下的</w:t>
      </w:r>
      <w:r>
        <w:rPr>
          <w:color w:val="auto"/>
        </w:rPr>
        <w:t>；2</w:t>
      </w:r>
      <w:r>
        <w:rPr>
          <w:color w:val="auto"/>
          <w:spacing w:val="-5"/>
        </w:rPr>
        <w:t xml:space="preserve">、违法使用的计量器为 </w:t>
      </w:r>
      <w:r>
        <w:rPr>
          <w:color w:val="auto"/>
        </w:rPr>
        <w:t>4</w:t>
      </w:r>
      <w:r>
        <w:rPr>
          <w:color w:val="auto"/>
          <w:spacing w:val="-23"/>
        </w:rPr>
        <w:t xml:space="preserve"> 台件的。</w:t>
      </w:r>
    </w:p>
    <w:p>
      <w:pPr>
        <w:pStyle w:val="13"/>
        <w:numPr>
          <w:ilvl w:val="0"/>
          <w:numId w:val="782"/>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3112"/>
        <w:rPr>
          <w:color w:val="auto"/>
        </w:rPr>
      </w:pPr>
      <w:r>
        <w:rPr>
          <w:color w:val="auto"/>
          <w:spacing w:val="-6"/>
        </w:rPr>
        <w:t xml:space="preserve">责令其停止使用，处 </w:t>
      </w:r>
      <w:r>
        <w:rPr>
          <w:color w:val="auto"/>
        </w:rPr>
        <w:t>1000</w:t>
      </w:r>
      <w:r>
        <w:rPr>
          <w:color w:val="auto"/>
          <w:spacing w:val="-24"/>
        </w:rPr>
        <w:t xml:space="preserve"> 元以上 </w:t>
      </w:r>
      <w:r>
        <w:rPr>
          <w:color w:val="auto"/>
        </w:rPr>
        <w:t>1500</w:t>
      </w:r>
      <w:r>
        <w:rPr>
          <w:color w:val="auto"/>
          <w:spacing w:val="-11"/>
        </w:rPr>
        <w:t xml:space="preserve"> 元以下罚款。</w:t>
      </w:r>
      <w:r>
        <w:rPr>
          <w:color w:val="auto"/>
        </w:rPr>
        <w:t>5</w:t>
      </w:r>
      <w:r>
        <w:rPr>
          <w:color w:val="auto"/>
          <w:spacing w:val="-18"/>
        </w:rPr>
        <w:t>、【特别严重】</w:t>
      </w:r>
    </w:p>
    <w:p>
      <w:pPr>
        <w:pStyle w:val="13"/>
        <w:numPr>
          <w:ilvl w:val="0"/>
          <w:numId w:val="78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15" w:firstLine="480"/>
        <w:rPr>
          <w:color w:val="auto"/>
        </w:rPr>
      </w:pPr>
      <w:r>
        <w:rPr>
          <w:color w:val="auto"/>
        </w:rPr>
        <w:t>有下列情形之一的：1、违法所得 4000 元以上的；2、违法使用的计量器具在 4 台件以上的。</w:t>
      </w:r>
    </w:p>
    <w:p>
      <w:pPr>
        <w:pStyle w:val="13"/>
        <w:numPr>
          <w:ilvl w:val="0"/>
          <w:numId w:val="783"/>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责令其停止使用，处 1500 元以上 2000 元以下罚款。</w:t>
      </w:r>
    </w:p>
    <w:p>
      <w:pPr>
        <w:pStyle w:val="2"/>
        <w:spacing w:before="192"/>
        <w:rPr>
          <w:color w:val="auto"/>
        </w:rPr>
      </w:pPr>
      <w:bookmarkStart w:id="887" w:name="_bookmark443"/>
      <w:bookmarkEnd w:id="887"/>
      <w:bookmarkStart w:id="888" w:name="四百三十三、燃油加油机安装后未报经市场监督管理部门授权的法定计量检定机构强制检定"/>
      <w:bookmarkEnd w:id="888"/>
      <w:r>
        <w:rPr>
          <w:color w:val="auto"/>
        </w:rPr>
        <w:t>四百三十三、燃油加油机安装后未报经市场监督管理部门授权的法定计量检定机</w:t>
      </w:r>
    </w:p>
    <w:p>
      <w:pPr>
        <w:spacing w:after="0"/>
        <w:rPr>
          <w:color w:val="auto"/>
        </w:rPr>
        <w:sectPr>
          <w:footerReference r:id="rId101" w:type="default"/>
          <w:footerReference r:id="rId102" w:type="even"/>
          <w:pgSz w:w="11910" w:h="16840"/>
          <w:pgMar w:top="1520" w:right="1260" w:bottom="1220" w:left="1420" w:header="0" w:footer="1034" w:gutter="0"/>
          <w:pgNumType w:start="418"/>
        </w:sectPr>
      </w:pPr>
    </w:p>
    <w:p>
      <w:pPr>
        <w:spacing w:before="39"/>
        <w:ind w:left="111" w:right="0" w:firstLine="0"/>
        <w:jc w:val="left"/>
        <w:rPr>
          <w:b/>
          <w:color w:val="auto"/>
          <w:sz w:val="24"/>
        </w:rPr>
      </w:pPr>
      <w:r>
        <w:rPr>
          <w:b/>
          <w:color w:val="auto"/>
          <w:sz w:val="24"/>
        </w:rPr>
        <w:t>构强制检定合格即投入使用</w:t>
      </w:r>
    </w:p>
    <w:p>
      <w:pPr>
        <w:spacing w:before="195"/>
        <w:ind w:left="591" w:right="0" w:firstLine="0"/>
        <w:jc w:val="left"/>
        <w:rPr>
          <w:b/>
          <w:color w:val="auto"/>
          <w:sz w:val="24"/>
        </w:rPr>
      </w:pPr>
      <w:r>
        <w:rPr>
          <w:b/>
          <w:color w:val="auto"/>
          <w:sz w:val="24"/>
        </w:rPr>
        <w:t>（一）处罚依据</w:t>
      </w:r>
    </w:p>
    <w:p>
      <w:pPr>
        <w:pStyle w:val="4"/>
        <w:spacing w:before="191" w:line="391" w:lineRule="auto"/>
        <w:ind w:right="232" w:firstLine="470"/>
        <w:jc w:val="both"/>
        <w:rPr>
          <w:color w:val="auto"/>
        </w:rPr>
      </w:pPr>
      <w:r>
        <w:rPr>
          <w:color w:val="auto"/>
        </w:rPr>
        <w:t>《加油站计量监督管理办法》第九条第（二）项“加油站经营者违反本办法有关规定，应当按以下规定进行处罚：（二）违反本办法第五条第（四）项规定，使用计量器具许可证标志、编号和出厂产品合格证不齐全的计量器具的，责令其停止使用， 可并处 2000 元以下罚款。燃油加油机安装后未报经质量技术监督部门授权的法定计</w:t>
      </w:r>
    </w:p>
    <w:p>
      <w:pPr>
        <w:pStyle w:val="4"/>
        <w:spacing w:line="302" w:lineRule="exact"/>
        <w:rPr>
          <w:color w:val="auto"/>
        </w:rPr>
      </w:pPr>
      <w:r>
        <w:rPr>
          <w:color w:val="auto"/>
          <w:spacing w:val="-5"/>
        </w:rPr>
        <w:t xml:space="preserve">量检定机构强制检定合格即投入使用的，责令其停止使用，可并处 </w:t>
      </w:r>
      <w:r>
        <w:rPr>
          <w:color w:val="auto"/>
        </w:rPr>
        <w:t>5000</w:t>
      </w:r>
      <w:r>
        <w:rPr>
          <w:color w:val="auto"/>
          <w:spacing w:val="-9"/>
        </w:rPr>
        <w:t xml:space="preserve"> 元以下罚款；</w:t>
      </w:r>
    </w:p>
    <w:p>
      <w:pPr>
        <w:pStyle w:val="4"/>
        <w:spacing w:before="194" w:line="388" w:lineRule="auto"/>
        <w:ind w:right="268"/>
        <w:rPr>
          <w:color w:val="auto"/>
        </w:rPr>
      </w:pPr>
      <w:r>
        <w:rPr>
          <w:color w:val="auto"/>
          <w:spacing w:val="-2"/>
        </w:rPr>
        <w:t xml:space="preserve">给国家和消费者造成损失的，责令其赔偿损失，可并处 </w:t>
      </w:r>
      <w:r>
        <w:rPr>
          <w:color w:val="auto"/>
        </w:rPr>
        <w:t>5000</w:t>
      </w:r>
      <w:r>
        <w:rPr>
          <w:color w:val="auto"/>
          <w:spacing w:val="-19"/>
        </w:rPr>
        <w:t xml:space="preserve"> 元以上 </w:t>
      </w:r>
      <w:r>
        <w:rPr>
          <w:color w:val="auto"/>
        </w:rPr>
        <w:t>30000</w:t>
      </w:r>
      <w:r>
        <w:rPr>
          <w:color w:val="auto"/>
          <w:spacing w:val="-10"/>
        </w:rPr>
        <w:t xml:space="preserve"> 元以下罚款。”</w:t>
      </w:r>
    </w:p>
    <w:p>
      <w:pPr>
        <w:spacing w:before="3"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78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违法加油机为一台且经检定合格的。</w:t>
      </w:r>
    </w:p>
    <w:p>
      <w:pPr>
        <w:pStyle w:val="13"/>
        <w:numPr>
          <w:ilvl w:val="0"/>
          <w:numId w:val="78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672"/>
        <w:rPr>
          <w:color w:val="auto"/>
        </w:rPr>
      </w:pPr>
      <w:r>
        <w:rPr>
          <w:color w:val="auto"/>
          <w:spacing w:val="-7"/>
        </w:rPr>
        <w:t xml:space="preserve">责令停止使用，处 </w:t>
      </w:r>
      <w:r>
        <w:rPr>
          <w:color w:val="auto"/>
        </w:rPr>
        <w:t>2000</w:t>
      </w:r>
      <w:r>
        <w:rPr>
          <w:color w:val="auto"/>
          <w:spacing w:val="-11"/>
        </w:rPr>
        <w:t xml:space="preserve"> 元以下罚款。</w:t>
      </w:r>
      <w:r>
        <w:rPr>
          <w:color w:val="auto"/>
        </w:rPr>
        <w:t>2</w:t>
      </w:r>
      <w:r>
        <w:rPr>
          <w:color w:val="auto"/>
          <w:spacing w:val="-24"/>
        </w:rPr>
        <w:t>、【一般】</w:t>
      </w:r>
    </w:p>
    <w:p>
      <w:pPr>
        <w:pStyle w:val="13"/>
        <w:numPr>
          <w:ilvl w:val="0"/>
          <w:numId w:val="78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违法加油机为 2 台以上且经检定合格的。</w:t>
      </w:r>
    </w:p>
    <w:p>
      <w:pPr>
        <w:pStyle w:val="13"/>
        <w:numPr>
          <w:ilvl w:val="0"/>
          <w:numId w:val="78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872"/>
        <w:rPr>
          <w:color w:val="auto"/>
        </w:rPr>
      </w:pPr>
      <w:r>
        <w:rPr>
          <w:color w:val="auto"/>
          <w:spacing w:val="-6"/>
        </w:rPr>
        <w:t xml:space="preserve">责令其停止使用，并处 </w:t>
      </w:r>
      <w:r>
        <w:rPr>
          <w:color w:val="auto"/>
        </w:rPr>
        <w:t>2000</w:t>
      </w:r>
      <w:r>
        <w:rPr>
          <w:color w:val="auto"/>
          <w:spacing w:val="-24"/>
        </w:rPr>
        <w:t xml:space="preserve"> 元以上 </w:t>
      </w:r>
      <w:r>
        <w:rPr>
          <w:color w:val="auto"/>
        </w:rPr>
        <w:t>5000</w:t>
      </w:r>
      <w:r>
        <w:rPr>
          <w:color w:val="auto"/>
          <w:spacing w:val="-11"/>
        </w:rPr>
        <w:t xml:space="preserve"> 元以下罚款。</w:t>
      </w:r>
      <w:r>
        <w:rPr>
          <w:color w:val="auto"/>
        </w:rPr>
        <w:t>3</w:t>
      </w:r>
      <w:r>
        <w:rPr>
          <w:color w:val="auto"/>
          <w:spacing w:val="-24"/>
        </w:rPr>
        <w:t>、【较重】</w:t>
      </w:r>
    </w:p>
    <w:p>
      <w:pPr>
        <w:pStyle w:val="13"/>
        <w:numPr>
          <w:ilvl w:val="0"/>
          <w:numId w:val="78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3"/>
        </w:rPr>
        <w:t>违法加油机为一台且经检定示值误差超过国家规定的极限误差，给国家和消费者</w:t>
      </w:r>
      <w:r>
        <w:rPr>
          <w:color w:val="auto"/>
          <w:spacing w:val="-9"/>
        </w:rPr>
        <w:t xml:space="preserve">造成损失的在 </w:t>
      </w:r>
      <w:r>
        <w:rPr>
          <w:color w:val="auto"/>
        </w:rPr>
        <w:t>1</w:t>
      </w:r>
      <w:r>
        <w:rPr>
          <w:color w:val="auto"/>
          <w:spacing w:val="-9"/>
        </w:rPr>
        <w:t xml:space="preserve"> 万元以下的。</w:t>
      </w:r>
    </w:p>
    <w:p>
      <w:pPr>
        <w:pStyle w:val="13"/>
        <w:numPr>
          <w:ilvl w:val="0"/>
          <w:numId w:val="78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1792"/>
        <w:rPr>
          <w:color w:val="auto"/>
        </w:rPr>
      </w:pPr>
      <w:r>
        <w:rPr>
          <w:color w:val="auto"/>
          <w:spacing w:val="-4"/>
        </w:rPr>
        <w:t xml:space="preserve">责令其停止使用、赔偿损失，并处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4</w:t>
      </w:r>
      <w:r>
        <w:rPr>
          <w:color w:val="auto"/>
          <w:spacing w:val="-24"/>
        </w:rPr>
        <w:t>、【严重】</w:t>
      </w:r>
    </w:p>
    <w:p>
      <w:pPr>
        <w:pStyle w:val="13"/>
        <w:numPr>
          <w:ilvl w:val="0"/>
          <w:numId w:val="787"/>
        </w:numPr>
        <w:tabs>
          <w:tab w:val="left" w:pos="1193"/>
        </w:tabs>
        <w:spacing w:before="3"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违法加油机为 2 台以上且有一台经检定示值误差超过国家规定的极限误差，给国</w:t>
      </w:r>
    </w:p>
    <w:p>
      <w:pPr>
        <w:pStyle w:val="4"/>
        <w:spacing w:before="195"/>
        <w:rPr>
          <w:color w:val="auto"/>
        </w:rPr>
      </w:pPr>
      <w:r>
        <w:rPr>
          <w:color w:val="auto"/>
        </w:rPr>
        <w:t>家和消费者造成损失的在 2 万元以下的</w:t>
      </w:r>
    </w:p>
    <w:p>
      <w:pPr>
        <w:pStyle w:val="13"/>
        <w:numPr>
          <w:ilvl w:val="0"/>
          <w:numId w:val="78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1912"/>
        <w:rPr>
          <w:color w:val="auto"/>
        </w:rPr>
      </w:pPr>
      <w:r>
        <w:rPr>
          <w:color w:val="auto"/>
          <w:spacing w:val="-4"/>
        </w:rPr>
        <w:t xml:space="preserve">责令其停止使用、赔偿损失，并处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5</w:t>
      </w:r>
      <w:r>
        <w:rPr>
          <w:color w:val="auto"/>
          <w:spacing w:val="-18"/>
        </w:rPr>
        <w:t>、【特别严重】</w:t>
      </w:r>
    </w:p>
    <w:p>
      <w:pPr>
        <w:pStyle w:val="13"/>
        <w:numPr>
          <w:ilvl w:val="0"/>
          <w:numId w:val="78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spacing w:val="-9"/>
        </w:rPr>
        <w:t xml:space="preserve">违法加油机为 </w:t>
      </w:r>
      <w:r>
        <w:rPr>
          <w:color w:val="auto"/>
        </w:rPr>
        <w:t>2</w:t>
      </w:r>
      <w:r>
        <w:rPr>
          <w:color w:val="auto"/>
          <w:spacing w:val="-18"/>
        </w:rPr>
        <w:t xml:space="preserve"> 台以上且有 </w:t>
      </w:r>
      <w:r>
        <w:rPr>
          <w:color w:val="auto"/>
        </w:rPr>
        <w:t>2</w:t>
      </w:r>
      <w:r>
        <w:rPr>
          <w:color w:val="auto"/>
          <w:spacing w:val="-8"/>
        </w:rPr>
        <w:t xml:space="preserve"> 台以上经检定示值误差超过国家规定的极限误差，</w:t>
      </w:r>
    </w:p>
    <w:p>
      <w:pPr>
        <w:pStyle w:val="4"/>
        <w:spacing w:before="194"/>
        <w:rPr>
          <w:color w:val="auto"/>
        </w:rPr>
      </w:pPr>
      <w:r>
        <w:rPr>
          <w:color w:val="auto"/>
        </w:rPr>
        <w:t>给国家和消费者造成损失在 2 万元以上的。</w:t>
      </w:r>
    </w:p>
    <w:p>
      <w:pPr>
        <w:pStyle w:val="13"/>
        <w:numPr>
          <w:ilvl w:val="0"/>
          <w:numId w:val="78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责令其停止使用、赔偿损失，并处 2 万元以上 3 万元以下罚款。</w:t>
      </w:r>
    </w:p>
    <w:p>
      <w:pPr>
        <w:pStyle w:val="2"/>
        <w:spacing w:before="194" w:line="388" w:lineRule="auto"/>
        <w:ind w:left="111" w:right="237" w:firstLine="480"/>
        <w:jc w:val="both"/>
        <w:rPr>
          <w:color w:val="auto"/>
        </w:rPr>
      </w:pPr>
      <w:bookmarkStart w:id="889" w:name="四百三十四、加油站经营者需要维修燃油加油机，未向具有合法维修资格的单位报修，维修"/>
      <w:bookmarkEnd w:id="889"/>
      <w:bookmarkStart w:id="890" w:name="_bookmark444"/>
      <w:bookmarkEnd w:id="890"/>
      <w:r>
        <w:rPr>
          <w:color w:val="auto"/>
          <w:spacing w:val="-8"/>
        </w:rPr>
        <w:t>四百三十四、加油站经营者需要维修燃油加油机，未向具有合法维修资格的单位</w:t>
      </w:r>
      <w:r>
        <w:rPr>
          <w:color w:val="auto"/>
          <w:spacing w:val="-10"/>
        </w:rPr>
        <w:t>报修，维修后的燃油加油机未报经执行强制检定的法定计量检定机构检定后重新投入使用</w:t>
      </w:r>
    </w:p>
    <w:p>
      <w:pPr>
        <w:spacing w:before="6"/>
        <w:ind w:left="591" w:right="0" w:firstLine="0"/>
        <w:jc w:val="left"/>
        <w:rPr>
          <w:b/>
          <w:color w:val="auto"/>
          <w:sz w:val="24"/>
        </w:rPr>
      </w:pPr>
      <w:r>
        <w:rPr>
          <w:b/>
          <w:color w:val="auto"/>
          <w:sz w:val="24"/>
        </w:rPr>
        <w:t>（一）处罚依据</w:t>
      </w:r>
    </w:p>
    <w:p>
      <w:pPr>
        <w:pStyle w:val="4"/>
        <w:spacing w:before="192" w:line="388" w:lineRule="auto"/>
        <w:ind w:right="97" w:firstLine="470"/>
        <w:rPr>
          <w:color w:val="auto"/>
        </w:rPr>
      </w:pPr>
      <w:r>
        <w:rPr>
          <w:color w:val="auto"/>
        </w:rPr>
        <w:t>1、《加油站计量监督管理办法》第九条第（三）项“违反本办法第五条第（五） 项规定的，责令改正和停止使用，可并处 5000 元以下罚款；给消费者造成损失的，</w:t>
      </w:r>
    </w:p>
    <w:p>
      <w:pPr>
        <w:pStyle w:val="4"/>
        <w:spacing w:before="4"/>
        <w:rPr>
          <w:color w:val="auto"/>
        </w:rPr>
      </w:pPr>
      <w:r>
        <w:rPr>
          <w:color w:val="auto"/>
        </w:rPr>
        <w:t>责令其赔偿损失，可并处 5000 元以上 30000 元以下罚款。”</w:t>
      </w:r>
    </w:p>
    <w:p>
      <w:pPr>
        <w:pStyle w:val="4"/>
        <w:spacing w:before="192" w:line="391" w:lineRule="auto"/>
        <w:ind w:right="268" w:firstLine="470"/>
        <w:jc w:val="both"/>
        <w:rPr>
          <w:color w:val="auto"/>
        </w:rPr>
      </w:pPr>
      <w:r>
        <w:rPr>
          <w:color w:val="auto"/>
        </w:rPr>
        <w:t>2、《加油站计量监督管理办法》第五条第（五）项“需要维修燃油加油机，应</w:t>
      </w:r>
      <w:r>
        <w:rPr>
          <w:color w:val="auto"/>
          <w:spacing w:val="-4"/>
        </w:rPr>
        <w:t>当向具有合法维修资格的单位报修，维修后的燃油加油机应当报经执行强制检定的法</w:t>
      </w:r>
      <w:r>
        <w:rPr>
          <w:color w:val="auto"/>
        </w:rPr>
        <w:t>定计量检定机构检定合格后，方可重新投入使用。”</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789"/>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需要维修燃油加油机，未向具有合法维修资格的单位报修的。</w:t>
      </w:r>
    </w:p>
    <w:p>
      <w:pPr>
        <w:pStyle w:val="13"/>
        <w:numPr>
          <w:ilvl w:val="0"/>
          <w:numId w:val="78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952"/>
        <w:rPr>
          <w:color w:val="auto"/>
        </w:rPr>
      </w:pPr>
      <w:r>
        <w:rPr>
          <w:color w:val="auto"/>
          <w:spacing w:val="-5"/>
        </w:rPr>
        <w:t xml:space="preserve">责令改正和停止使用，处 </w:t>
      </w:r>
      <w:r>
        <w:rPr>
          <w:color w:val="auto"/>
        </w:rPr>
        <w:t>2000</w:t>
      </w:r>
      <w:r>
        <w:rPr>
          <w:color w:val="auto"/>
          <w:spacing w:val="-11"/>
        </w:rPr>
        <w:t xml:space="preserve"> 元以下罚款。</w:t>
      </w:r>
      <w:r>
        <w:rPr>
          <w:color w:val="auto"/>
        </w:rPr>
        <w:t>2</w:t>
      </w:r>
      <w:r>
        <w:rPr>
          <w:color w:val="auto"/>
          <w:spacing w:val="-24"/>
        </w:rPr>
        <w:t>、【一般】</w:t>
      </w:r>
    </w:p>
    <w:p>
      <w:pPr>
        <w:spacing w:after="0" w:line="388" w:lineRule="auto"/>
        <w:rPr>
          <w:color w:val="auto"/>
        </w:rPr>
        <w:sectPr>
          <w:footerReference r:id="rId103" w:type="default"/>
          <w:footerReference r:id="rId104" w:type="even"/>
          <w:pgSz w:w="11910" w:h="16840"/>
          <w:pgMar w:top="1520" w:right="1260" w:bottom="1720" w:left="1420" w:header="0" w:footer="1526" w:gutter="0"/>
          <w:pgNumType w:start="420"/>
        </w:sectPr>
      </w:pPr>
    </w:p>
    <w:p>
      <w:pPr>
        <w:pStyle w:val="4"/>
        <w:spacing w:before="39" w:line="391" w:lineRule="auto"/>
        <w:ind w:right="269" w:firstLine="480"/>
        <w:rPr>
          <w:color w:val="auto"/>
        </w:rPr>
      </w:pPr>
      <w:r>
        <w:rPr>
          <w:color w:val="auto"/>
        </w:rPr>
        <w:t>维修后的燃油加油机未报经执行强制检定的法定计量检定机构检定合格后重新投入使用的。</w:t>
      </w:r>
    </w:p>
    <w:p>
      <w:pPr>
        <w:pStyle w:val="4"/>
        <w:spacing w:line="306" w:lineRule="exact"/>
        <w:ind w:left="591"/>
        <w:rPr>
          <w:color w:val="auto"/>
        </w:rPr>
      </w:pPr>
      <w:r>
        <w:rPr>
          <w:color w:val="auto"/>
        </w:rPr>
        <w:t>（2）处罚标准</w:t>
      </w:r>
    </w:p>
    <w:p>
      <w:pPr>
        <w:pStyle w:val="4"/>
        <w:spacing w:before="192" w:line="391" w:lineRule="auto"/>
        <w:ind w:left="591" w:right="2872"/>
        <w:rPr>
          <w:color w:val="auto"/>
        </w:rPr>
      </w:pPr>
      <w:r>
        <w:rPr>
          <w:color w:val="auto"/>
          <w:spacing w:val="-6"/>
        </w:rPr>
        <w:t xml:space="preserve">责令其停止使用，并处 </w:t>
      </w:r>
      <w:r>
        <w:rPr>
          <w:color w:val="auto"/>
        </w:rPr>
        <w:t>2000</w:t>
      </w:r>
      <w:r>
        <w:rPr>
          <w:color w:val="auto"/>
          <w:spacing w:val="-24"/>
        </w:rPr>
        <w:t xml:space="preserve"> 元以上 </w:t>
      </w:r>
      <w:r>
        <w:rPr>
          <w:color w:val="auto"/>
        </w:rPr>
        <w:t>4000</w:t>
      </w:r>
      <w:r>
        <w:rPr>
          <w:color w:val="auto"/>
          <w:spacing w:val="-11"/>
        </w:rPr>
        <w:t xml:space="preserve"> 元以下罚款。</w:t>
      </w:r>
      <w:r>
        <w:rPr>
          <w:color w:val="auto"/>
        </w:rPr>
        <w:t>3</w:t>
      </w:r>
      <w:r>
        <w:rPr>
          <w:color w:val="auto"/>
          <w:spacing w:val="-24"/>
        </w:rPr>
        <w:t>、【较重】</w:t>
      </w:r>
    </w:p>
    <w:p>
      <w:pPr>
        <w:pStyle w:val="13"/>
        <w:numPr>
          <w:ilvl w:val="0"/>
          <w:numId w:val="79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需要维修燃油加油机，未向具有合法维修资格的单位报修，维修后的燃油加油机未报经执行强制检定的法定计量检定机构检定合格后重新投入使用使用的。</w:t>
      </w:r>
    </w:p>
    <w:p>
      <w:pPr>
        <w:pStyle w:val="13"/>
        <w:numPr>
          <w:ilvl w:val="0"/>
          <w:numId w:val="79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2872"/>
        <w:rPr>
          <w:color w:val="auto"/>
        </w:rPr>
      </w:pPr>
      <w:r>
        <w:rPr>
          <w:color w:val="auto"/>
          <w:spacing w:val="-6"/>
        </w:rPr>
        <w:t xml:space="preserve">责令其停止使用，并处 </w:t>
      </w:r>
      <w:r>
        <w:rPr>
          <w:color w:val="auto"/>
        </w:rPr>
        <w:t>4000</w:t>
      </w:r>
      <w:r>
        <w:rPr>
          <w:color w:val="auto"/>
          <w:spacing w:val="-24"/>
        </w:rPr>
        <w:t xml:space="preserve"> 元以上 </w:t>
      </w:r>
      <w:r>
        <w:rPr>
          <w:color w:val="auto"/>
        </w:rPr>
        <w:t>5000</w:t>
      </w:r>
      <w:r>
        <w:rPr>
          <w:color w:val="auto"/>
          <w:spacing w:val="-11"/>
        </w:rPr>
        <w:t xml:space="preserve"> 元以下罚款。</w:t>
      </w:r>
      <w:r>
        <w:rPr>
          <w:color w:val="auto"/>
        </w:rPr>
        <w:t>4</w:t>
      </w:r>
      <w:r>
        <w:rPr>
          <w:color w:val="auto"/>
          <w:spacing w:val="-24"/>
        </w:rPr>
        <w:t>、【严重】</w:t>
      </w:r>
    </w:p>
    <w:p>
      <w:pPr>
        <w:pStyle w:val="13"/>
        <w:numPr>
          <w:ilvl w:val="0"/>
          <w:numId w:val="79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8" w:firstLine="480"/>
        <w:jc w:val="both"/>
        <w:rPr>
          <w:color w:val="auto"/>
        </w:rPr>
      </w:pPr>
      <w:r>
        <w:rPr>
          <w:color w:val="auto"/>
          <w:spacing w:val="3"/>
        </w:rPr>
        <w:t>维修后的燃油加油机未报经执行强制检定的法定计量检定机构检定合格后重新</w:t>
      </w:r>
      <w:r>
        <w:rPr>
          <w:color w:val="auto"/>
          <w:spacing w:val="-1"/>
        </w:rPr>
        <w:t>投入使用使用且经检定示值误差超过国家规定的极限误差，给国家和消费者造成损失</w:t>
      </w:r>
      <w:r>
        <w:rPr>
          <w:color w:val="auto"/>
        </w:rPr>
        <w:t>的。</w:t>
      </w:r>
    </w:p>
    <w:p>
      <w:pPr>
        <w:pStyle w:val="13"/>
        <w:numPr>
          <w:ilvl w:val="0"/>
          <w:numId w:val="791"/>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1552"/>
        <w:rPr>
          <w:color w:val="auto"/>
        </w:rPr>
      </w:pPr>
      <w:r>
        <w:rPr>
          <w:color w:val="auto"/>
          <w:spacing w:val="-4"/>
        </w:rPr>
        <w:t xml:space="preserve">责令其停止使用、赔偿损失，并处 </w:t>
      </w:r>
      <w:r>
        <w:rPr>
          <w:color w:val="auto"/>
        </w:rPr>
        <w:t>5000</w:t>
      </w:r>
      <w:r>
        <w:rPr>
          <w:color w:val="auto"/>
          <w:spacing w:val="-24"/>
        </w:rPr>
        <w:t xml:space="preserve"> 元以上 </w:t>
      </w:r>
      <w:r>
        <w:rPr>
          <w:color w:val="auto"/>
        </w:rPr>
        <w:t>1.5</w:t>
      </w:r>
      <w:r>
        <w:rPr>
          <w:color w:val="auto"/>
          <w:spacing w:val="-10"/>
        </w:rPr>
        <w:t xml:space="preserve"> 万元以下罚款。</w:t>
      </w:r>
      <w:r>
        <w:rPr>
          <w:color w:val="auto"/>
        </w:rPr>
        <w:t>5</w:t>
      </w:r>
      <w:r>
        <w:rPr>
          <w:color w:val="auto"/>
          <w:spacing w:val="-18"/>
        </w:rPr>
        <w:t>、【特别严重】</w:t>
      </w:r>
    </w:p>
    <w:p>
      <w:pPr>
        <w:pStyle w:val="13"/>
        <w:numPr>
          <w:ilvl w:val="0"/>
          <w:numId w:val="79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jc w:val="both"/>
        <w:rPr>
          <w:color w:val="auto"/>
        </w:rPr>
      </w:pPr>
      <w:r>
        <w:rPr>
          <w:color w:val="auto"/>
          <w:spacing w:val="-4"/>
        </w:rPr>
        <w:t>需要维修燃油加油机，未向具有合法维修资格的单位报修，维修后的燃油加油机</w:t>
      </w:r>
      <w:r>
        <w:rPr>
          <w:color w:val="auto"/>
          <w:spacing w:val="-3"/>
        </w:rPr>
        <w:t>未报经执行强制检定的法定计量检定机构检定合格后重新投入使用使用，且经检定示</w:t>
      </w:r>
      <w:r>
        <w:rPr>
          <w:color w:val="auto"/>
        </w:rPr>
        <w:t>值误差超过国家规定的极限误差，给国家和消费者造成损失的。</w:t>
      </w:r>
    </w:p>
    <w:p>
      <w:pPr>
        <w:pStyle w:val="13"/>
        <w:numPr>
          <w:ilvl w:val="0"/>
          <w:numId w:val="792"/>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责令其停止使用、赔偿损失，并处 1.5 万元以上 3 万元以下罚款。</w:t>
      </w:r>
    </w:p>
    <w:p>
      <w:pPr>
        <w:pStyle w:val="2"/>
        <w:spacing w:before="192" w:line="391" w:lineRule="auto"/>
        <w:ind w:left="111" w:right="235" w:firstLine="480"/>
        <w:jc w:val="both"/>
        <w:rPr>
          <w:color w:val="auto"/>
        </w:rPr>
      </w:pPr>
      <w:bookmarkStart w:id="891" w:name="_bookmark445"/>
      <w:bookmarkEnd w:id="891"/>
      <w:bookmarkStart w:id="892" w:name="四百三十五、加油站经营者使用非法定计量单位，使用国务院规定废除的非法定计量单位的"/>
      <w:bookmarkEnd w:id="892"/>
      <w:r>
        <w:rPr>
          <w:color w:val="auto"/>
          <w:spacing w:val="-8"/>
        </w:rPr>
        <w:t>四百三十五、加油站经营者使用非法定计量单位，使用国务院规定废除的非法定</w:t>
      </w:r>
      <w:r>
        <w:rPr>
          <w:color w:val="auto"/>
          <w:spacing w:val="3"/>
          <w:w w:val="95"/>
        </w:rPr>
        <w:t xml:space="preserve">计量单位的计量器具以及国家明令淘汰或者禁止使用的计量器具用于成品油贸易交  </w:t>
      </w:r>
      <w:r>
        <w:rPr>
          <w:color w:val="auto"/>
          <w:spacing w:val="3"/>
        </w:rPr>
        <w:t>接</w:t>
      </w:r>
    </w:p>
    <w:p>
      <w:pPr>
        <w:spacing w:before="0" w:line="304" w:lineRule="exact"/>
        <w:ind w:left="591" w:right="0" w:firstLine="0"/>
        <w:jc w:val="left"/>
        <w:rPr>
          <w:b/>
          <w:color w:val="auto"/>
          <w:sz w:val="24"/>
        </w:rPr>
      </w:pPr>
      <w:r>
        <w:rPr>
          <w:b/>
          <w:color w:val="auto"/>
          <w:sz w:val="24"/>
        </w:rPr>
        <w:t>（一）处罚依据</w:t>
      </w:r>
    </w:p>
    <w:p>
      <w:pPr>
        <w:spacing w:after="0" w:line="304" w:lineRule="exact"/>
        <w:jc w:val="left"/>
        <w:rPr>
          <w:color w:val="auto"/>
          <w:sz w:val="24"/>
        </w:rPr>
        <w:sectPr>
          <w:pgSz w:w="11910" w:h="16840"/>
          <w:pgMar w:top="1520" w:right="1260" w:bottom="1220" w:left="1420" w:header="0" w:footer="1034" w:gutter="0"/>
        </w:sectPr>
      </w:pPr>
    </w:p>
    <w:p>
      <w:pPr>
        <w:pStyle w:val="4"/>
        <w:spacing w:before="39" w:line="391" w:lineRule="auto"/>
        <w:ind w:right="266" w:firstLine="470"/>
        <w:jc w:val="both"/>
        <w:rPr>
          <w:color w:val="auto"/>
        </w:rPr>
      </w:pPr>
      <w:r>
        <w:rPr>
          <w:color w:val="auto"/>
        </w:rPr>
        <w:t>1、《加油站计量监督管理办法》第九条第（四）项“（四）违反本办法第五条</w:t>
      </w:r>
      <w:r>
        <w:rPr>
          <w:color w:val="auto"/>
          <w:spacing w:val="-8"/>
        </w:rPr>
        <w:t>第</w:t>
      </w:r>
      <w:r>
        <w:rPr>
          <w:color w:val="auto"/>
        </w:rPr>
        <w:t>（六</w:t>
      </w:r>
      <w:r>
        <w:rPr>
          <w:color w:val="auto"/>
          <w:spacing w:val="-8"/>
        </w:rPr>
        <w:t>）</w:t>
      </w:r>
      <w:r>
        <w:rPr>
          <w:color w:val="auto"/>
          <w:spacing w:val="-5"/>
        </w:rPr>
        <w:t>项规定的，责令其改正和停止使用，没收计量器具和全部违法所得，可并处</w:t>
      </w:r>
      <w:r>
        <w:rPr>
          <w:color w:val="auto"/>
          <w:spacing w:val="-12"/>
        </w:rPr>
        <w:t xml:space="preserve">违法所得 </w:t>
      </w:r>
      <w:r>
        <w:rPr>
          <w:color w:val="auto"/>
        </w:rPr>
        <w:t>10%</w:t>
      </w:r>
      <w:r>
        <w:rPr>
          <w:color w:val="auto"/>
          <w:spacing w:val="-30"/>
        </w:rPr>
        <w:t xml:space="preserve">至 </w:t>
      </w:r>
      <w:r>
        <w:rPr>
          <w:color w:val="auto"/>
        </w:rPr>
        <w:t>50%的罚款。”</w:t>
      </w:r>
    </w:p>
    <w:p>
      <w:pPr>
        <w:pStyle w:val="4"/>
        <w:spacing w:line="391" w:lineRule="auto"/>
        <w:ind w:right="128" w:firstLine="470"/>
        <w:rPr>
          <w:color w:val="auto"/>
        </w:rPr>
      </w:pPr>
      <w:r>
        <w:rPr>
          <w:color w:val="auto"/>
        </w:rPr>
        <w:t>2、《加油站计量监督管理办法》第五条第（六）项“不得使用非法定计量单位， 不得使用国务院规定废除的非法定计量单位的计量器具以及国家明令淘汰或者禁止使用的计量器具用于成品油贸易交接。”</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79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5"/>
        <w:ind w:left="591"/>
        <w:rPr>
          <w:color w:val="auto"/>
        </w:rPr>
      </w:pPr>
      <w:r>
        <w:rPr>
          <w:color w:val="auto"/>
        </w:rPr>
        <w:t>有下列情形之一的：1、无违法所得；2、使用非法定计量单位的。</w:t>
      </w:r>
    </w:p>
    <w:p>
      <w:pPr>
        <w:pStyle w:val="13"/>
        <w:numPr>
          <w:ilvl w:val="0"/>
          <w:numId w:val="79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992"/>
        <w:rPr>
          <w:color w:val="auto"/>
        </w:rPr>
      </w:pPr>
      <w:r>
        <w:rPr>
          <w:color w:val="auto"/>
        </w:rPr>
        <w:t>责令其改正和停止使用。2、【一般】</w:t>
      </w:r>
    </w:p>
    <w:p>
      <w:pPr>
        <w:pStyle w:val="13"/>
        <w:numPr>
          <w:ilvl w:val="0"/>
          <w:numId w:val="79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有下列情形之一的：1、违法所得 1000 元以下的；2、使用违法计量器具为一台</w:t>
      </w:r>
    </w:p>
    <w:p>
      <w:pPr>
        <w:pStyle w:val="4"/>
        <w:spacing w:before="192"/>
        <w:rPr>
          <w:color w:val="auto"/>
        </w:rPr>
      </w:pPr>
      <w:r>
        <w:rPr>
          <w:color w:val="auto"/>
          <w:spacing w:val="-8"/>
        </w:rPr>
        <w:t xml:space="preserve">件且使用时间在 </w:t>
      </w:r>
      <w:r>
        <w:rPr>
          <w:color w:val="auto"/>
        </w:rPr>
        <w:t>10</w:t>
      </w:r>
      <w:r>
        <w:rPr>
          <w:color w:val="auto"/>
          <w:spacing w:val="-10"/>
        </w:rPr>
        <w:t xml:space="preserve"> 天以下的。</w:t>
      </w:r>
    </w:p>
    <w:p>
      <w:pPr>
        <w:pStyle w:val="13"/>
        <w:numPr>
          <w:ilvl w:val="0"/>
          <w:numId w:val="79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right="215" w:firstLine="480"/>
        <w:rPr>
          <w:color w:val="auto"/>
        </w:rPr>
      </w:pPr>
      <w:r>
        <w:rPr>
          <w:color w:val="auto"/>
        </w:rPr>
        <w:t>责令其改正和停止使用，没收计量器具和全部违法所得，并处违法所得 10%的罚款。</w:t>
      </w:r>
    </w:p>
    <w:p>
      <w:pPr>
        <w:pStyle w:val="4"/>
        <w:spacing w:before="5"/>
        <w:ind w:left="591"/>
        <w:rPr>
          <w:color w:val="auto"/>
        </w:rPr>
      </w:pPr>
      <w:r>
        <w:rPr>
          <w:color w:val="auto"/>
        </w:rPr>
        <w:t>3、【较重】</w:t>
      </w:r>
    </w:p>
    <w:p>
      <w:pPr>
        <w:pStyle w:val="13"/>
        <w:numPr>
          <w:ilvl w:val="0"/>
          <w:numId w:val="79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有下列情形之一的：1、违法所得 2000 元以下的；2、使用违法计量器具为一台</w:t>
      </w:r>
    </w:p>
    <w:p>
      <w:pPr>
        <w:pStyle w:val="4"/>
        <w:spacing w:before="194"/>
        <w:rPr>
          <w:color w:val="auto"/>
        </w:rPr>
      </w:pPr>
      <w:r>
        <w:rPr>
          <w:color w:val="auto"/>
          <w:spacing w:val="-8"/>
        </w:rPr>
        <w:t xml:space="preserve">件且使用时间在 </w:t>
      </w:r>
      <w:r>
        <w:rPr>
          <w:color w:val="auto"/>
        </w:rPr>
        <w:t>10</w:t>
      </w:r>
      <w:r>
        <w:rPr>
          <w:color w:val="auto"/>
          <w:spacing w:val="-10"/>
        </w:rPr>
        <w:t xml:space="preserve"> 天以上的。</w:t>
      </w:r>
    </w:p>
    <w:p>
      <w:pPr>
        <w:pStyle w:val="13"/>
        <w:numPr>
          <w:ilvl w:val="0"/>
          <w:numId w:val="79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责令其改正和停止使用，没收计量器具和全部违法所得，并处违法所得 </w:t>
      </w:r>
      <w:r>
        <w:rPr>
          <w:color w:val="auto"/>
        </w:rPr>
        <w:t>10%</w:t>
      </w:r>
      <w:r>
        <w:rPr>
          <w:color w:val="auto"/>
          <w:spacing w:val="-9"/>
        </w:rPr>
        <w:t>以上</w:t>
      </w:r>
      <w:r>
        <w:rPr>
          <w:color w:val="auto"/>
        </w:rPr>
        <w:t>20%以下的罚款。</w:t>
      </w:r>
    </w:p>
    <w:p>
      <w:pPr>
        <w:pStyle w:val="4"/>
        <w:spacing w:line="306" w:lineRule="exact"/>
        <w:ind w:left="591"/>
        <w:rPr>
          <w:color w:val="auto"/>
        </w:rPr>
      </w:pPr>
      <w:r>
        <w:rPr>
          <w:color w:val="auto"/>
        </w:rPr>
        <w:t>4</w:t>
      </w:r>
      <w:r>
        <w:rPr>
          <w:color w:val="auto"/>
          <w:spacing w:val="-24"/>
        </w:rPr>
        <w:t>、【严重】</w:t>
      </w:r>
    </w:p>
    <w:p>
      <w:pPr>
        <w:spacing w:after="0" w:line="306" w:lineRule="exact"/>
        <w:rPr>
          <w:color w:val="auto"/>
        </w:rPr>
        <w:sectPr>
          <w:pgSz w:w="11910" w:h="16840"/>
          <w:pgMar w:top="1520" w:right="1260" w:bottom="1720" w:left="1420" w:header="0" w:footer="1526" w:gutter="0"/>
        </w:sectPr>
      </w:pPr>
    </w:p>
    <w:p>
      <w:pPr>
        <w:pStyle w:val="4"/>
        <w:spacing w:before="39"/>
        <w:ind w:left="591"/>
        <w:rPr>
          <w:color w:val="auto"/>
        </w:rPr>
      </w:pPr>
      <w:r>
        <w:rPr>
          <w:color w:val="auto"/>
        </w:rPr>
        <w:t>有下列情形之一的：1</w:t>
      </w:r>
      <w:r>
        <w:rPr>
          <w:color w:val="auto"/>
          <w:spacing w:val="-10"/>
        </w:rPr>
        <w:t xml:space="preserve">、违法所得 </w:t>
      </w:r>
      <w:r>
        <w:rPr>
          <w:color w:val="auto"/>
        </w:rPr>
        <w:t>3000</w:t>
      </w:r>
      <w:r>
        <w:rPr>
          <w:color w:val="auto"/>
          <w:spacing w:val="-10"/>
        </w:rPr>
        <w:t xml:space="preserve"> 元以下的；</w:t>
      </w:r>
      <w:r>
        <w:rPr>
          <w:color w:val="auto"/>
        </w:rPr>
        <w:t>2</w:t>
      </w:r>
      <w:r>
        <w:rPr>
          <w:color w:val="auto"/>
          <w:spacing w:val="-13"/>
        </w:rPr>
        <w:t xml:space="preserve"> 使用违法计量器具为 </w:t>
      </w:r>
      <w:r>
        <w:rPr>
          <w:color w:val="auto"/>
        </w:rPr>
        <w:t>2</w:t>
      </w:r>
      <w:r>
        <w:rPr>
          <w:color w:val="auto"/>
          <w:spacing w:val="-20"/>
        </w:rPr>
        <w:t xml:space="preserve"> 台件</w:t>
      </w:r>
    </w:p>
    <w:p>
      <w:pPr>
        <w:pStyle w:val="4"/>
        <w:spacing w:before="195"/>
        <w:rPr>
          <w:color w:val="auto"/>
        </w:rPr>
      </w:pPr>
      <w:r>
        <w:rPr>
          <w:color w:val="auto"/>
        </w:rPr>
        <w:t>以上且使用时间在 10 天以下的。</w:t>
      </w:r>
    </w:p>
    <w:p>
      <w:pPr>
        <w:pStyle w:val="4"/>
        <w:spacing w:before="191"/>
        <w:ind w:left="591"/>
        <w:rPr>
          <w:color w:val="auto"/>
        </w:rPr>
      </w:pPr>
      <w:r>
        <w:rPr>
          <w:color w:val="auto"/>
        </w:rPr>
        <w:t>（2）处罚标准</w:t>
      </w:r>
    </w:p>
    <w:p>
      <w:pPr>
        <w:pStyle w:val="4"/>
        <w:spacing w:before="192" w:line="391" w:lineRule="auto"/>
        <w:ind w:right="225" w:firstLine="480"/>
        <w:rPr>
          <w:color w:val="auto"/>
        </w:rPr>
      </w:pPr>
      <w:r>
        <w:rPr>
          <w:color w:val="auto"/>
        </w:rPr>
        <w:t>责令其改正和停止使用，没收计量器具和全部违法所得，并处违法所得 20%以上40%以下的罚款。</w:t>
      </w:r>
    </w:p>
    <w:p>
      <w:pPr>
        <w:pStyle w:val="4"/>
        <w:spacing w:line="306" w:lineRule="exact"/>
        <w:ind w:left="591"/>
        <w:rPr>
          <w:color w:val="auto"/>
        </w:rPr>
      </w:pPr>
      <w:r>
        <w:rPr>
          <w:color w:val="auto"/>
        </w:rPr>
        <w:t>5、【特别严重】</w:t>
      </w:r>
    </w:p>
    <w:p>
      <w:pPr>
        <w:pStyle w:val="13"/>
        <w:numPr>
          <w:ilvl w:val="0"/>
          <w:numId w:val="79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w:t>
      </w:r>
      <w:r>
        <w:rPr>
          <w:color w:val="auto"/>
          <w:spacing w:val="-10"/>
        </w:rPr>
        <w:t xml:space="preserve">、违法所得 </w:t>
      </w:r>
      <w:r>
        <w:rPr>
          <w:color w:val="auto"/>
        </w:rPr>
        <w:t>3000</w:t>
      </w:r>
      <w:r>
        <w:rPr>
          <w:color w:val="auto"/>
          <w:spacing w:val="-10"/>
        </w:rPr>
        <w:t xml:space="preserve"> 元以上的；</w:t>
      </w:r>
      <w:r>
        <w:rPr>
          <w:color w:val="auto"/>
        </w:rPr>
        <w:t>2</w:t>
      </w:r>
      <w:r>
        <w:rPr>
          <w:color w:val="auto"/>
          <w:spacing w:val="-13"/>
        </w:rPr>
        <w:t xml:space="preserve"> 使用违法计量器具为 </w:t>
      </w:r>
      <w:r>
        <w:rPr>
          <w:color w:val="auto"/>
        </w:rPr>
        <w:t>2</w:t>
      </w:r>
      <w:r>
        <w:rPr>
          <w:color w:val="auto"/>
          <w:spacing w:val="-20"/>
        </w:rPr>
        <w:t xml:space="preserve"> 台件</w:t>
      </w:r>
    </w:p>
    <w:p>
      <w:pPr>
        <w:pStyle w:val="4"/>
        <w:spacing w:before="191"/>
        <w:rPr>
          <w:color w:val="auto"/>
        </w:rPr>
      </w:pPr>
      <w:r>
        <w:rPr>
          <w:color w:val="auto"/>
        </w:rPr>
        <w:t>以上且使用时间在 10 天以上的；3、造成严重后果的。</w:t>
      </w:r>
    </w:p>
    <w:p>
      <w:pPr>
        <w:pStyle w:val="13"/>
        <w:numPr>
          <w:ilvl w:val="0"/>
          <w:numId w:val="79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25" w:firstLine="480"/>
        <w:rPr>
          <w:color w:val="auto"/>
        </w:rPr>
      </w:pPr>
      <w:r>
        <w:rPr>
          <w:color w:val="auto"/>
        </w:rPr>
        <w:t>责令其改正和停止使用，没收计量器具和全部违法所得，并处违法所得 40%以上50%以下的罚款。</w:t>
      </w:r>
    </w:p>
    <w:p>
      <w:pPr>
        <w:pStyle w:val="2"/>
        <w:spacing w:before="2" w:line="391" w:lineRule="auto"/>
        <w:ind w:left="111" w:right="237" w:firstLine="480"/>
        <w:rPr>
          <w:color w:val="auto"/>
        </w:rPr>
      </w:pPr>
      <w:bookmarkStart w:id="893" w:name="四百三十六、加油站经营者使用未经检定、超过检定周期或者经检定不合格的计量器具"/>
      <w:bookmarkEnd w:id="893"/>
      <w:bookmarkStart w:id="894" w:name="_bookmark446"/>
      <w:bookmarkEnd w:id="894"/>
      <w:r>
        <w:rPr>
          <w:color w:val="auto"/>
          <w:spacing w:val="-8"/>
        </w:rPr>
        <w:t>四百三十六、加油站经营者使用未经检定、超过检定周期或者经检定不合格的计量器具</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146" w:firstLine="470"/>
        <w:rPr>
          <w:color w:val="auto"/>
        </w:rPr>
      </w:pPr>
      <w:r>
        <w:rPr>
          <w:color w:val="auto"/>
        </w:rPr>
        <w:t>1、《加油站计量监督管理办法》第九条第（五）项“（五）违反本办法第五条</w:t>
      </w:r>
      <w:r>
        <w:rPr>
          <w:color w:val="auto"/>
          <w:spacing w:val="-8"/>
        </w:rPr>
        <w:t>第</w:t>
      </w:r>
      <w:r>
        <w:rPr>
          <w:color w:val="auto"/>
        </w:rPr>
        <w:t>（七</w:t>
      </w:r>
      <w:r>
        <w:rPr>
          <w:color w:val="auto"/>
          <w:spacing w:val="-8"/>
        </w:rPr>
        <w:t>）</w:t>
      </w:r>
      <w:r>
        <w:rPr>
          <w:color w:val="auto"/>
          <w:spacing w:val="-4"/>
        </w:rPr>
        <w:t>项规定，使用未经检定、超过检定周期或者经检定不合格的计量器具的，责</w:t>
      </w:r>
      <w:r>
        <w:rPr>
          <w:color w:val="auto"/>
          <w:spacing w:val="-10"/>
        </w:rPr>
        <w:t xml:space="preserve">令其停止使用，可并处 </w:t>
      </w:r>
      <w:r>
        <w:rPr>
          <w:color w:val="auto"/>
        </w:rPr>
        <w:t>1000</w:t>
      </w:r>
      <w:r>
        <w:rPr>
          <w:color w:val="auto"/>
          <w:spacing w:val="-8"/>
        </w:rPr>
        <w:t xml:space="preserve"> 元以下罚款。破坏计量器具及其铅</w:t>
      </w:r>
      <w:r>
        <w:rPr>
          <w:color w:val="auto"/>
        </w:rPr>
        <w:t>（签</w:t>
      </w:r>
      <w:r>
        <w:rPr>
          <w:color w:val="auto"/>
          <w:spacing w:val="-8"/>
        </w:rPr>
        <w:t>）</w:t>
      </w:r>
      <w:r>
        <w:rPr>
          <w:color w:val="auto"/>
          <w:spacing w:val="-5"/>
        </w:rPr>
        <w:t>封，擅自改动、</w:t>
      </w:r>
      <w:r>
        <w:rPr>
          <w:color w:val="auto"/>
          <w:spacing w:val="-4"/>
        </w:rPr>
        <w:t>拆装燃油加油机，使用未经批准而改动的燃油加油机，以及弄虚作假、给消费者造成</w:t>
      </w:r>
      <w:r>
        <w:rPr>
          <w:color w:val="auto"/>
          <w:spacing w:val="-8"/>
        </w:rPr>
        <w:t>损失的，责令其赔偿损失，并按照《中华人民共和国计量法实施细则》有关规定予以处罚；构成犯罪的，依法追究刑事责任。”</w:t>
      </w:r>
    </w:p>
    <w:p>
      <w:pPr>
        <w:pStyle w:val="4"/>
        <w:spacing w:line="391" w:lineRule="auto"/>
        <w:ind w:right="268" w:firstLine="480"/>
        <w:jc w:val="both"/>
        <w:rPr>
          <w:color w:val="auto"/>
        </w:rPr>
      </w:pPr>
      <w:r>
        <w:rPr>
          <w:color w:val="auto"/>
        </w:rPr>
        <w:t>2、《加油站计量监督管理办法》第五条第（七）项“(七)不得使用未经检定、</w:t>
      </w:r>
      <w:r>
        <w:rPr>
          <w:color w:val="auto"/>
          <w:spacing w:val="-2"/>
        </w:rPr>
        <w:t>超过检定周期或者经检定不合格的计量器具；不得破坏计量器具及其铅</w:t>
      </w:r>
      <w:r>
        <w:rPr>
          <w:color w:val="auto"/>
        </w:rPr>
        <w:t>（签</w:t>
      </w:r>
      <w:r>
        <w:rPr>
          <w:color w:val="auto"/>
          <w:spacing w:val="-8"/>
        </w:rPr>
        <w:t>）</w:t>
      </w:r>
      <w:r>
        <w:rPr>
          <w:color w:val="auto"/>
          <w:spacing w:val="-9"/>
        </w:rPr>
        <w:t>封，不</w:t>
      </w:r>
      <w:r>
        <w:rPr>
          <w:color w:val="auto"/>
          <w:spacing w:val="-5"/>
        </w:rPr>
        <w:t>得擅自改动、拆装燃油加油机，不得使用未经批准而改动的燃油加油机，不得弄虚作</w:t>
      </w:r>
      <w:r>
        <w:rPr>
          <w:color w:val="auto"/>
        </w:rPr>
        <w:t>假。”</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797"/>
        </w:numPr>
        <w:tabs>
          <w:tab w:val="left" w:pos="1193"/>
        </w:tabs>
        <w:spacing w:before="0"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加油站经营者使用超过检定周期 10 天以下的计量器具的。</w:t>
      </w:r>
    </w:p>
    <w:p>
      <w:pPr>
        <w:pStyle w:val="13"/>
        <w:numPr>
          <w:ilvl w:val="0"/>
          <w:numId w:val="797"/>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4072"/>
        <w:rPr>
          <w:color w:val="auto"/>
        </w:rPr>
      </w:pPr>
      <w:r>
        <w:rPr>
          <w:color w:val="auto"/>
          <w:spacing w:val="-5"/>
        </w:rPr>
        <w:t xml:space="preserve">责令其停止使用，可并处 </w:t>
      </w:r>
      <w:r>
        <w:rPr>
          <w:color w:val="auto"/>
        </w:rPr>
        <w:t>500</w:t>
      </w:r>
      <w:r>
        <w:rPr>
          <w:color w:val="auto"/>
          <w:spacing w:val="-11"/>
        </w:rPr>
        <w:t xml:space="preserve"> 元以下罚款。</w:t>
      </w:r>
      <w:r>
        <w:rPr>
          <w:color w:val="auto"/>
        </w:rPr>
        <w:t>2</w:t>
      </w:r>
      <w:r>
        <w:rPr>
          <w:color w:val="auto"/>
          <w:spacing w:val="-24"/>
        </w:rPr>
        <w:t>、【较重】</w:t>
      </w:r>
    </w:p>
    <w:p>
      <w:pPr>
        <w:pStyle w:val="13"/>
        <w:numPr>
          <w:ilvl w:val="0"/>
          <w:numId w:val="79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加油站经营者使用经检定不合格的计量器具的。</w:t>
      </w:r>
    </w:p>
    <w:p>
      <w:pPr>
        <w:pStyle w:val="13"/>
        <w:numPr>
          <w:ilvl w:val="0"/>
          <w:numId w:val="79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2872"/>
        <w:rPr>
          <w:color w:val="auto"/>
        </w:rPr>
      </w:pPr>
      <w:r>
        <w:rPr>
          <w:color w:val="auto"/>
          <w:spacing w:val="-5"/>
        </w:rPr>
        <w:t xml:space="preserve">责令其停止使用，可并处 </w:t>
      </w:r>
      <w:r>
        <w:rPr>
          <w:color w:val="auto"/>
        </w:rPr>
        <w:t>500</w:t>
      </w:r>
      <w:r>
        <w:rPr>
          <w:color w:val="auto"/>
          <w:spacing w:val="-24"/>
        </w:rPr>
        <w:t xml:space="preserve"> 元以上 </w:t>
      </w:r>
      <w:r>
        <w:rPr>
          <w:color w:val="auto"/>
        </w:rPr>
        <w:t>800</w:t>
      </w:r>
      <w:r>
        <w:rPr>
          <w:color w:val="auto"/>
          <w:spacing w:val="-11"/>
        </w:rPr>
        <w:t xml:space="preserve"> 元以下罚款。</w:t>
      </w:r>
      <w:r>
        <w:rPr>
          <w:color w:val="auto"/>
        </w:rPr>
        <w:t>3</w:t>
      </w:r>
      <w:r>
        <w:rPr>
          <w:color w:val="auto"/>
          <w:spacing w:val="-24"/>
        </w:rPr>
        <w:t>、【严重】</w:t>
      </w:r>
    </w:p>
    <w:p>
      <w:pPr>
        <w:pStyle w:val="13"/>
        <w:numPr>
          <w:ilvl w:val="0"/>
          <w:numId w:val="79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加油站经营者使用未经检定、超过检定周期 10 天以上或者经检定不合格的计量器具造成不良后果的。</w:t>
      </w:r>
    </w:p>
    <w:p>
      <w:pPr>
        <w:pStyle w:val="13"/>
        <w:numPr>
          <w:ilvl w:val="0"/>
          <w:numId w:val="79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责令其停止使用，可并处 800 元以上 1000 元以下罚款。</w:t>
      </w:r>
    </w:p>
    <w:p>
      <w:pPr>
        <w:pStyle w:val="2"/>
        <w:spacing w:before="191" w:line="388" w:lineRule="auto"/>
        <w:ind w:left="111" w:right="184" w:firstLine="480"/>
        <w:rPr>
          <w:color w:val="auto"/>
        </w:rPr>
      </w:pPr>
      <w:bookmarkStart w:id="895" w:name="_bookmark447"/>
      <w:bookmarkEnd w:id="895"/>
      <w:bookmarkStart w:id="896" w:name="四百三十七、加油站经营者破坏计量器具及其铅（签）封，擅自改动、拆装燃油加油机，使"/>
      <w:bookmarkEnd w:id="896"/>
      <w:r>
        <w:rPr>
          <w:color w:val="auto"/>
        </w:rPr>
        <w:t>四百三十七、加油站经营者破坏计量器具及其铅（签）封，擅自改动、拆装燃油加油机，使用未经批准而改动的燃油加油机，以及弄虚作假、给消费者造成损失</w:t>
      </w:r>
    </w:p>
    <w:p>
      <w:pPr>
        <w:spacing w:before="5"/>
        <w:ind w:left="591" w:right="0" w:firstLine="0"/>
        <w:jc w:val="left"/>
        <w:rPr>
          <w:b/>
          <w:color w:val="auto"/>
          <w:sz w:val="24"/>
        </w:rPr>
      </w:pPr>
      <w:r>
        <w:rPr>
          <w:b/>
          <w:color w:val="auto"/>
          <w:sz w:val="24"/>
        </w:rPr>
        <w:t>（一）处罚依据</w:t>
      </w:r>
    </w:p>
    <w:p>
      <w:pPr>
        <w:pStyle w:val="4"/>
        <w:spacing w:before="192" w:line="391" w:lineRule="auto"/>
        <w:ind w:right="146" w:firstLine="470"/>
        <w:rPr>
          <w:color w:val="auto"/>
        </w:rPr>
      </w:pPr>
      <w:r>
        <w:rPr>
          <w:color w:val="auto"/>
        </w:rPr>
        <w:t>1、《加油站计量监督管理办法》第九条第（五）项“（五）违反本办法第五条</w:t>
      </w:r>
      <w:r>
        <w:rPr>
          <w:color w:val="auto"/>
          <w:spacing w:val="-8"/>
        </w:rPr>
        <w:t>第</w:t>
      </w:r>
      <w:r>
        <w:rPr>
          <w:color w:val="auto"/>
        </w:rPr>
        <w:t>（七</w:t>
      </w:r>
      <w:r>
        <w:rPr>
          <w:color w:val="auto"/>
          <w:spacing w:val="-8"/>
        </w:rPr>
        <w:t>）</w:t>
      </w:r>
      <w:r>
        <w:rPr>
          <w:color w:val="auto"/>
          <w:spacing w:val="-4"/>
        </w:rPr>
        <w:t>项规定，使用未经检定、超过检定周期或者经检定不合格的计量器具的，责</w:t>
      </w:r>
      <w:r>
        <w:rPr>
          <w:color w:val="auto"/>
          <w:spacing w:val="-10"/>
        </w:rPr>
        <w:t xml:space="preserve">令其停止使用，可并处 </w:t>
      </w:r>
      <w:r>
        <w:rPr>
          <w:color w:val="auto"/>
        </w:rPr>
        <w:t>1000</w:t>
      </w:r>
      <w:r>
        <w:rPr>
          <w:color w:val="auto"/>
          <w:spacing w:val="-8"/>
        </w:rPr>
        <w:t xml:space="preserve"> 元以下罚款。破坏计量器具及其铅</w:t>
      </w:r>
      <w:r>
        <w:rPr>
          <w:color w:val="auto"/>
        </w:rPr>
        <w:t>（签</w:t>
      </w:r>
      <w:r>
        <w:rPr>
          <w:color w:val="auto"/>
          <w:spacing w:val="-8"/>
        </w:rPr>
        <w:t>）</w:t>
      </w:r>
      <w:r>
        <w:rPr>
          <w:color w:val="auto"/>
          <w:spacing w:val="-5"/>
        </w:rPr>
        <w:t>封，擅自改动、</w:t>
      </w:r>
      <w:r>
        <w:rPr>
          <w:color w:val="auto"/>
          <w:spacing w:val="-4"/>
        </w:rPr>
        <w:t>拆装燃油加油机，使用未经批准而改动的燃油加油机，以及弄虚作假、给消费者造成</w:t>
      </w:r>
      <w:r>
        <w:rPr>
          <w:color w:val="auto"/>
          <w:spacing w:val="-8"/>
        </w:rPr>
        <w:t>损失的，责令其赔偿损失，并按照《中华人民共和国计量法实施细则》有关规定予以处罚；构成犯罪的，依法追究刑事责任。”</w:t>
      </w:r>
    </w:p>
    <w:p>
      <w:pPr>
        <w:pStyle w:val="4"/>
        <w:spacing w:line="391" w:lineRule="auto"/>
        <w:ind w:right="232" w:firstLine="470"/>
        <w:jc w:val="both"/>
        <w:rPr>
          <w:color w:val="auto"/>
        </w:rPr>
      </w:pPr>
      <w:r>
        <w:rPr>
          <w:color w:val="auto"/>
        </w:rPr>
        <w:t>2、《中华人民共和国计量法实施细则》第四十六条“使用不合格计量器具或者破坏计量器具准确度和伪造数据的，给国家和消费者造成损失的，责令其赔偿损失， 没收计量器具和全部违法所得，可并处二千元以下的罚款。”</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spacing w:after="0" w:line="388" w:lineRule="auto"/>
        <w:jc w:val="left"/>
        <w:rPr>
          <w:color w:val="auto"/>
          <w:sz w:val="24"/>
        </w:rPr>
        <w:sectPr>
          <w:footerReference r:id="rId105" w:type="default"/>
          <w:footerReference r:id="rId106" w:type="even"/>
          <w:pgSz w:w="11910" w:h="16840"/>
          <w:pgMar w:top="1520" w:right="1260" w:bottom="1220" w:left="1420" w:header="0" w:footer="1034" w:gutter="0"/>
          <w:pgNumType w:start="424"/>
        </w:sectPr>
      </w:pPr>
    </w:p>
    <w:p>
      <w:pPr>
        <w:pStyle w:val="13"/>
        <w:numPr>
          <w:ilvl w:val="0"/>
          <w:numId w:val="800"/>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spacing w:val="-12"/>
        </w:rPr>
        <w:t xml:space="preserve">违法所得 </w:t>
      </w:r>
      <w:r>
        <w:rPr>
          <w:color w:val="auto"/>
        </w:rPr>
        <w:t>1000</w:t>
      </w:r>
      <w:r>
        <w:rPr>
          <w:color w:val="auto"/>
          <w:spacing w:val="-10"/>
        </w:rPr>
        <w:t xml:space="preserve"> 元以下的。</w:t>
      </w:r>
    </w:p>
    <w:p>
      <w:pPr>
        <w:pStyle w:val="13"/>
        <w:numPr>
          <w:ilvl w:val="0"/>
          <w:numId w:val="80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712"/>
        <w:rPr>
          <w:color w:val="auto"/>
        </w:rPr>
      </w:pPr>
      <w:r>
        <w:rPr>
          <w:color w:val="auto"/>
          <w:spacing w:val="-3"/>
        </w:rPr>
        <w:t xml:space="preserve">责令其赔偿损失，没收计量器具和全部违法所得，并处 </w:t>
      </w:r>
      <w:r>
        <w:rPr>
          <w:color w:val="auto"/>
        </w:rPr>
        <w:t>500</w:t>
      </w:r>
      <w:r>
        <w:rPr>
          <w:color w:val="auto"/>
          <w:spacing w:val="-10"/>
        </w:rPr>
        <w:t xml:space="preserve"> 元以下的罚款。</w:t>
      </w:r>
      <w:r>
        <w:rPr>
          <w:color w:val="auto"/>
        </w:rPr>
        <w:t>2</w:t>
      </w:r>
      <w:r>
        <w:rPr>
          <w:color w:val="auto"/>
          <w:spacing w:val="-24"/>
        </w:rPr>
        <w:t>、【较重】</w:t>
      </w:r>
    </w:p>
    <w:p>
      <w:pPr>
        <w:pStyle w:val="13"/>
        <w:numPr>
          <w:ilvl w:val="0"/>
          <w:numId w:val="80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 1000 元以上 5000 元以下的。</w:t>
      </w:r>
    </w:p>
    <w:p>
      <w:pPr>
        <w:pStyle w:val="13"/>
        <w:numPr>
          <w:ilvl w:val="0"/>
          <w:numId w:val="80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right="271" w:firstLine="480"/>
        <w:rPr>
          <w:color w:val="auto"/>
        </w:rPr>
      </w:pPr>
      <w:r>
        <w:rPr>
          <w:color w:val="auto"/>
          <w:spacing w:val="-2"/>
        </w:rPr>
        <w:t xml:space="preserve">责令其赔偿损失，没收计量器具和全部违法所得，并处 </w:t>
      </w:r>
      <w:r>
        <w:rPr>
          <w:color w:val="auto"/>
        </w:rPr>
        <w:t>500</w:t>
      </w:r>
      <w:r>
        <w:rPr>
          <w:color w:val="auto"/>
          <w:spacing w:val="-19"/>
        </w:rPr>
        <w:t xml:space="preserve"> 元以上 </w:t>
      </w:r>
      <w:r>
        <w:rPr>
          <w:color w:val="auto"/>
        </w:rPr>
        <w:t>1500</w:t>
      </w:r>
      <w:r>
        <w:rPr>
          <w:color w:val="auto"/>
          <w:spacing w:val="-12"/>
        </w:rPr>
        <w:t xml:space="preserve"> 元以下的罚款。</w:t>
      </w:r>
    </w:p>
    <w:p>
      <w:pPr>
        <w:pStyle w:val="4"/>
        <w:spacing w:before="5"/>
        <w:ind w:left="591"/>
        <w:rPr>
          <w:color w:val="auto"/>
        </w:rPr>
      </w:pPr>
      <w:r>
        <w:rPr>
          <w:color w:val="auto"/>
        </w:rPr>
        <w:t>3、【严重】</w:t>
      </w:r>
    </w:p>
    <w:p>
      <w:pPr>
        <w:pStyle w:val="13"/>
        <w:numPr>
          <w:ilvl w:val="0"/>
          <w:numId w:val="80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spacing w:val="-12"/>
        </w:rPr>
        <w:t xml:space="preserve">违法所得 </w:t>
      </w:r>
      <w:r>
        <w:rPr>
          <w:color w:val="auto"/>
        </w:rPr>
        <w:t>5000</w:t>
      </w:r>
      <w:r>
        <w:rPr>
          <w:color w:val="auto"/>
          <w:spacing w:val="-10"/>
        </w:rPr>
        <w:t xml:space="preserve"> 元以上的。</w:t>
      </w:r>
    </w:p>
    <w:p>
      <w:pPr>
        <w:pStyle w:val="13"/>
        <w:numPr>
          <w:ilvl w:val="0"/>
          <w:numId w:val="80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32" w:firstLine="480"/>
        <w:rPr>
          <w:color w:val="auto"/>
        </w:rPr>
      </w:pPr>
      <w:r>
        <w:rPr>
          <w:color w:val="auto"/>
          <w:spacing w:val="-7"/>
        </w:rPr>
        <w:t xml:space="preserve">责令其赔偿损失，没收计量器具和全部违法所得，并处 </w:t>
      </w:r>
      <w:r>
        <w:rPr>
          <w:color w:val="auto"/>
        </w:rPr>
        <w:t>1500</w:t>
      </w:r>
      <w:r>
        <w:rPr>
          <w:color w:val="auto"/>
          <w:spacing w:val="-24"/>
        </w:rPr>
        <w:t xml:space="preserve"> 元以上 </w:t>
      </w:r>
      <w:r>
        <w:rPr>
          <w:color w:val="auto"/>
        </w:rPr>
        <w:t>2000</w:t>
      </w:r>
      <w:r>
        <w:rPr>
          <w:color w:val="auto"/>
          <w:spacing w:val="-15"/>
        </w:rPr>
        <w:t xml:space="preserve"> 元以下</w:t>
      </w:r>
      <w:r>
        <w:rPr>
          <w:color w:val="auto"/>
          <w:spacing w:val="-16"/>
        </w:rPr>
        <w:t>的罚款。通报并建议发证部门吊销加油站《成品油零售经营批准证书》和营业执照。</w:t>
      </w:r>
    </w:p>
    <w:p>
      <w:pPr>
        <w:pStyle w:val="2"/>
        <w:spacing w:before="5"/>
        <w:rPr>
          <w:color w:val="auto"/>
        </w:rPr>
      </w:pPr>
      <w:bookmarkStart w:id="897" w:name="四百三十八、加油站经营者进行成品油零售时未使用计量器具"/>
      <w:bookmarkEnd w:id="897"/>
      <w:bookmarkStart w:id="898" w:name="_bookmark448"/>
      <w:bookmarkEnd w:id="898"/>
      <w:r>
        <w:rPr>
          <w:color w:val="auto"/>
        </w:rPr>
        <w:t>四百三十八、加油站经营者进行成品油零售时未使用计量器具</w:t>
      </w:r>
    </w:p>
    <w:p>
      <w:pPr>
        <w:spacing w:before="191"/>
        <w:ind w:left="591" w:right="0" w:firstLine="0"/>
        <w:jc w:val="left"/>
        <w:rPr>
          <w:b/>
          <w:color w:val="auto"/>
          <w:sz w:val="24"/>
        </w:rPr>
      </w:pPr>
      <w:r>
        <w:rPr>
          <w:b/>
          <w:color w:val="auto"/>
          <w:sz w:val="24"/>
        </w:rPr>
        <w:t>（一）处罚依据</w:t>
      </w:r>
    </w:p>
    <w:p>
      <w:pPr>
        <w:pStyle w:val="4"/>
        <w:spacing w:before="192" w:line="391" w:lineRule="auto"/>
        <w:ind w:right="265" w:firstLine="470"/>
        <w:jc w:val="both"/>
        <w:rPr>
          <w:color w:val="auto"/>
        </w:rPr>
      </w:pPr>
      <w:r>
        <w:rPr>
          <w:color w:val="auto"/>
        </w:rPr>
        <w:t>1</w:t>
      </w:r>
      <w:r>
        <w:rPr>
          <w:color w:val="auto"/>
          <w:spacing w:val="-4"/>
        </w:rPr>
        <w:t>、《加油站计量监督管理办法》第九条第</w:t>
      </w:r>
      <w:r>
        <w:rPr>
          <w:color w:val="auto"/>
        </w:rPr>
        <w:t>（六</w:t>
      </w:r>
      <w:r>
        <w:rPr>
          <w:color w:val="auto"/>
          <w:spacing w:val="-5"/>
        </w:rPr>
        <w:t>）</w:t>
      </w:r>
      <w:r>
        <w:rPr>
          <w:color w:val="auto"/>
          <w:spacing w:val="-2"/>
        </w:rPr>
        <w:t>项 “</w:t>
      </w:r>
      <w:r>
        <w:rPr>
          <w:color w:val="auto"/>
        </w:rPr>
        <w:t>（六</w:t>
      </w:r>
      <w:r>
        <w:rPr>
          <w:color w:val="auto"/>
          <w:spacing w:val="-3"/>
        </w:rPr>
        <w:t>）</w:t>
      </w:r>
      <w:r>
        <w:rPr>
          <w:color w:val="auto"/>
          <w:spacing w:val="-2"/>
        </w:rPr>
        <w:t>违反本办法第五条</w:t>
      </w:r>
      <w:r>
        <w:rPr>
          <w:color w:val="auto"/>
          <w:spacing w:val="-17"/>
        </w:rPr>
        <w:t>第</w:t>
      </w:r>
      <w:r>
        <w:rPr>
          <w:color w:val="auto"/>
        </w:rPr>
        <w:t>（八</w:t>
      </w:r>
      <w:r>
        <w:rPr>
          <w:color w:val="auto"/>
          <w:spacing w:val="-15"/>
        </w:rPr>
        <w:t>）</w:t>
      </w:r>
      <w:r>
        <w:rPr>
          <w:color w:val="auto"/>
          <w:spacing w:val="-10"/>
        </w:rPr>
        <w:t xml:space="preserve">项规定，未使用计量器具的，限期改正，逾期不改的，处 </w:t>
      </w:r>
      <w:r>
        <w:rPr>
          <w:color w:val="auto"/>
        </w:rPr>
        <w:t>1000</w:t>
      </w:r>
      <w:r>
        <w:rPr>
          <w:color w:val="auto"/>
          <w:spacing w:val="-24"/>
        </w:rPr>
        <w:t xml:space="preserve"> 元以上 </w:t>
      </w:r>
      <w:r>
        <w:rPr>
          <w:color w:val="auto"/>
          <w:spacing w:val="-3"/>
        </w:rPr>
        <w:t xml:space="preserve">10000 </w:t>
      </w:r>
      <w:r>
        <w:rPr>
          <w:color w:val="auto"/>
          <w:spacing w:val="-6"/>
        </w:rPr>
        <w:t>元以下罚款；成品油零售量的结算值与实际值之差超过国家规定允许误差的，责令改</w:t>
      </w:r>
      <w:r>
        <w:rPr>
          <w:color w:val="auto"/>
          <w:spacing w:val="-7"/>
        </w:rPr>
        <w:t xml:space="preserve">正，给消费者造成损失的，责令其赔偿损失，并处以违法所得 </w:t>
      </w:r>
      <w:r>
        <w:rPr>
          <w:color w:val="auto"/>
        </w:rPr>
        <w:t>3</w:t>
      </w:r>
      <w:r>
        <w:rPr>
          <w:color w:val="auto"/>
          <w:spacing w:val="-10"/>
        </w:rPr>
        <w:t xml:space="preserve"> 倍以下、最高不超过</w:t>
      </w:r>
    </w:p>
    <w:p>
      <w:pPr>
        <w:pStyle w:val="4"/>
        <w:spacing w:line="304" w:lineRule="exact"/>
        <w:jc w:val="both"/>
        <w:rPr>
          <w:color w:val="auto"/>
        </w:rPr>
      </w:pPr>
      <w:r>
        <w:rPr>
          <w:color w:val="auto"/>
        </w:rPr>
        <w:t>30000 元的罚款。”</w:t>
      </w:r>
    </w:p>
    <w:p>
      <w:pPr>
        <w:pStyle w:val="4"/>
        <w:spacing w:before="192" w:line="391" w:lineRule="auto"/>
        <w:ind w:right="268" w:firstLine="470"/>
        <w:jc w:val="both"/>
        <w:rPr>
          <w:color w:val="auto"/>
        </w:rPr>
      </w:pPr>
      <w:r>
        <w:rPr>
          <w:color w:val="auto"/>
        </w:rPr>
        <w:t>2、《加油站计量监督管理办法》第五条第（八）项“进行成品油零售时，应当</w:t>
      </w:r>
      <w:r>
        <w:rPr>
          <w:color w:val="auto"/>
          <w:spacing w:val="-4"/>
        </w:rPr>
        <w:t>使用燃油加油机等计量器具，并明示计量单位、计量过程和计量器具显示的量值，不</w:t>
      </w:r>
      <w:r>
        <w:rPr>
          <w:color w:val="auto"/>
          <w:spacing w:val="-6"/>
        </w:rPr>
        <w:t>得估量计费。成品油零售量的结算值应当与实际值相符，其偏差不得超过国家规定的</w:t>
      </w:r>
      <w:r>
        <w:rPr>
          <w:color w:val="auto"/>
          <w:spacing w:val="3"/>
        </w:rPr>
        <w:t>允许误差；国家对计量偏差没有规定的，其偏差不得超过所使用计量器具的允许误差。”</w:t>
      </w:r>
    </w:p>
    <w:p>
      <w:pPr>
        <w:spacing w:after="0" w:line="391" w:lineRule="auto"/>
        <w:jc w:val="both"/>
        <w:rPr>
          <w:color w:val="auto"/>
        </w:rPr>
        <w:sectPr>
          <w:pgSz w:w="11910" w:h="16840"/>
          <w:pgMar w:top="1520" w:right="1260" w:bottom="1220" w:left="1420" w:header="0" w:footer="1034" w:gutter="0"/>
        </w:sectPr>
      </w:pPr>
    </w:p>
    <w:p>
      <w:pPr>
        <w:spacing w:before="39" w:line="391" w:lineRule="auto"/>
        <w:ind w:left="591" w:right="7075" w:hanging="128"/>
        <w:jc w:val="left"/>
        <w:rPr>
          <w:color w:val="auto"/>
          <w:sz w:val="24"/>
        </w:rPr>
      </w:pPr>
      <w:r>
        <w:rPr>
          <w:b/>
          <w:color w:val="auto"/>
          <w:sz w:val="24"/>
        </w:rPr>
        <w:t>（二）裁量标准</w:t>
      </w:r>
      <w:r>
        <w:rPr>
          <w:color w:val="auto"/>
          <w:sz w:val="24"/>
        </w:rPr>
        <w:t>1、【较轻】</w:t>
      </w:r>
    </w:p>
    <w:p>
      <w:pPr>
        <w:pStyle w:val="13"/>
        <w:numPr>
          <w:ilvl w:val="0"/>
          <w:numId w:val="80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有下列情形之一的：1、无违法所得；2、未使用计量器具的。</w:t>
      </w:r>
    </w:p>
    <w:p>
      <w:pPr>
        <w:pStyle w:val="13"/>
        <w:numPr>
          <w:ilvl w:val="0"/>
          <w:numId w:val="803"/>
        </w:numPr>
        <w:tabs>
          <w:tab w:val="left" w:pos="1193"/>
        </w:tabs>
        <w:spacing w:before="194" w:after="0" w:line="388" w:lineRule="auto"/>
        <w:ind w:left="591" w:right="6952" w:firstLine="0"/>
        <w:jc w:val="left"/>
        <w:rPr>
          <w:color w:val="auto"/>
          <w:sz w:val="24"/>
        </w:rPr>
      </w:pPr>
      <w:r>
        <w:rPr>
          <w:color w:val="auto"/>
          <w:sz w:val="24"/>
        </w:rPr>
        <w:t>处罚标准</w:t>
      </w:r>
      <w:r>
        <w:rPr>
          <w:color w:val="auto"/>
          <w:spacing w:val="-3"/>
          <w:sz w:val="24"/>
        </w:rPr>
        <w:t>责令限期改正。</w:t>
      </w:r>
      <w:r>
        <w:rPr>
          <w:color w:val="auto"/>
          <w:sz w:val="24"/>
        </w:rPr>
        <w:t>2</w:t>
      </w:r>
      <w:r>
        <w:rPr>
          <w:color w:val="auto"/>
          <w:spacing w:val="-24"/>
          <w:sz w:val="24"/>
        </w:rPr>
        <w:t>、【一般】</w:t>
      </w:r>
    </w:p>
    <w:p>
      <w:pPr>
        <w:pStyle w:val="13"/>
        <w:numPr>
          <w:ilvl w:val="0"/>
          <w:numId w:val="804"/>
        </w:numPr>
        <w:tabs>
          <w:tab w:val="left" w:pos="1193"/>
        </w:tabs>
        <w:spacing w:before="6"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有下列情形之一的：1、违法所得 1000 元以下的；2、逾期 5 天以下未改正的。</w:t>
      </w:r>
    </w:p>
    <w:p>
      <w:pPr>
        <w:pStyle w:val="13"/>
        <w:numPr>
          <w:ilvl w:val="0"/>
          <w:numId w:val="80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6352"/>
        <w:rPr>
          <w:color w:val="auto"/>
        </w:rPr>
      </w:pPr>
      <w:r>
        <w:rPr>
          <w:color w:val="auto"/>
          <w:spacing w:val="-30"/>
        </w:rPr>
        <w:t xml:space="preserve">处 </w:t>
      </w:r>
      <w:r>
        <w:rPr>
          <w:color w:val="auto"/>
        </w:rPr>
        <w:t>2000</w:t>
      </w:r>
      <w:r>
        <w:rPr>
          <w:color w:val="auto"/>
          <w:spacing w:val="-11"/>
        </w:rPr>
        <w:t xml:space="preserve"> 元以下罚款。</w:t>
      </w:r>
      <w:r>
        <w:rPr>
          <w:color w:val="auto"/>
        </w:rPr>
        <w:t>3</w:t>
      </w:r>
      <w:r>
        <w:rPr>
          <w:color w:val="auto"/>
          <w:spacing w:val="-24"/>
        </w:rPr>
        <w:t>、【较重】</w:t>
      </w:r>
    </w:p>
    <w:p>
      <w:pPr>
        <w:pStyle w:val="13"/>
        <w:numPr>
          <w:ilvl w:val="0"/>
          <w:numId w:val="80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rPr>
          <w:color w:val="auto"/>
        </w:rPr>
      </w:pPr>
      <w:r>
        <w:rPr>
          <w:color w:val="auto"/>
          <w:spacing w:val="-1"/>
        </w:rPr>
        <w:t>有下列情形之一的：</w:t>
      </w:r>
      <w:r>
        <w:rPr>
          <w:color w:val="auto"/>
          <w:spacing w:val="-5"/>
        </w:rPr>
        <w:t>1</w:t>
      </w:r>
      <w:r>
        <w:rPr>
          <w:color w:val="auto"/>
          <w:spacing w:val="-13"/>
        </w:rPr>
        <w:t xml:space="preserve">、违法所得 </w:t>
      </w:r>
      <w:r>
        <w:rPr>
          <w:color w:val="auto"/>
        </w:rPr>
        <w:t>2000</w:t>
      </w:r>
      <w:r>
        <w:rPr>
          <w:color w:val="auto"/>
          <w:spacing w:val="-11"/>
        </w:rPr>
        <w:t xml:space="preserve"> 元以下的；</w:t>
      </w:r>
      <w:r>
        <w:rPr>
          <w:color w:val="auto"/>
          <w:spacing w:val="-4"/>
        </w:rPr>
        <w:t>2</w:t>
      </w:r>
      <w:r>
        <w:rPr>
          <w:color w:val="auto"/>
          <w:spacing w:val="-18"/>
        </w:rPr>
        <w:t xml:space="preserve">、逾期 </w:t>
      </w:r>
      <w:r>
        <w:rPr>
          <w:color w:val="auto"/>
        </w:rPr>
        <w:t>5</w:t>
      </w:r>
      <w:r>
        <w:rPr>
          <w:color w:val="auto"/>
          <w:spacing w:val="-24"/>
        </w:rPr>
        <w:t xml:space="preserve"> 天以上 </w:t>
      </w:r>
      <w:r>
        <w:rPr>
          <w:color w:val="auto"/>
        </w:rPr>
        <w:t>10</w:t>
      </w:r>
      <w:r>
        <w:rPr>
          <w:color w:val="auto"/>
          <w:spacing w:val="-15"/>
        </w:rPr>
        <w:t xml:space="preserve"> 天以下未</w:t>
      </w:r>
      <w:r>
        <w:rPr>
          <w:color w:val="auto"/>
        </w:rPr>
        <w:t>改正的。</w:t>
      </w:r>
    </w:p>
    <w:p>
      <w:pPr>
        <w:pStyle w:val="13"/>
        <w:numPr>
          <w:ilvl w:val="0"/>
          <w:numId w:val="80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2000</w:t>
      </w:r>
      <w:r>
        <w:rPr>
          <w:color w:val="auto"/>
          <w:spacing w:val="-24"/>
        </w:rPr>
        <w:t xml:space="preserve"> 元以上 </w:t>
      </w:r>
      <w:r>
        <w:rPr>
          <w:color w:val="auto"/>
        </w:rPr>
        <w:t>5000</w:t>
      </w:r>
      <w:r>
        <w:rPr>
          <w:color w:val="auto"/>
          <w:spacing w:val="-11"/>
        </w:rPr>
        <w:t xml:space="preserve"> 元以下罚款。</w:t>
      </w:r>
      <w:r>
        <w:rPr>
          <w:color w:val="auto"/>
        </w:rPr>
        <w:t>4</w:t>
      </w:r>
      <w:r>
        <w:rPr>
          <w:color w:val="auto"/>
          <w:spacing w:val="-24"/>
        </w:rPr>
        <w:t>、【严重】</w:t>
      </w:r>
    </w:p>
    <w:p>
      <w:pPr>
        <w:pStyle w:val="13"/>
        <w:numPr>
          <w:ilvl w:val="0"/>
          <w:numId w:val="80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71" w:firstLine="480"/>
        <w:rPr>
          <w:color w:val="auto"/>
        </w:rPr>
      </w:pPr>
      <w:r>
        <w:rPr>
          <w:color w:val="auto"/>
        </w:rPr>
        <w:t>有下列情形之一的：1</w:t>
      </w:r>
      <w:r>
        <w:rPr>
          <w:color w:val="auto"/>
          <w:spacing w:val="-9"/>
        </w:rPr>
        <w:t xml:space="preserve">、违法所得 </w:t>
      </w:r>
      <w:r>
        <w:rPr>
          <w:color w:val="auto"/>
        </w:rPr>
        <w:t>3000</w:t>
      </w:r>
      <w:r>
        <w:rPr>
          <w:color w:val="auto"/>
          <w:spacing w:val="-10"/>
        </w:rPr>
        <w:t xml:space="preserve"> 元以下的；</w:t>
      </w:r>
      <w:r>
        <w:rPr>
          <w:color w:val="auto"/>
          <w:spacing w:val="3"/>
        </w:rPr>
        <w:t>2</w:t>
      </w:r>
      <w:r>
        <w:rPr>
          <w:color w:val="auto"/>
          <w:spacing w:val="-13"/>
        </w:rPr>
        <w:t xml:space="preserve">、逾期 </w:t>
      </w:r>
      <w:r>
        <w:rPr>
          <w:color w:val="auto"/>
        </w:rPr>
        <w:t>10</w:t>
      </w:r>
      <w:r>
        <w:rPr>
          <w:color w:val="auto"/>
          <w:spacing w:val="-21"/>
        </w:rPr>
        <w:t xml:space="preserve"> 天以上 </w:t>
      </w:r>
      <w:r>
        <w:rPr>
          <w:color w:val="auto"/>
        </w:rPr>
        <w:t>15</w:t>
      </w:r>
      <w:r>
        <w:rPr>
          <w:color w:val="auto"/>
          <w:spacing w:val="-14"/>
        </w:rPr>
        <w:t xml:space="preserve"> 天以下未改正的。</w:t>
      </w:r>
    </w:p>
    <w:p>
      <w:pPr>
        <w:pStyle w:val="13"/>
        <w:numPr>
          <w:ilvl w:val="0"/>
          <w:numId w:val="80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5000</w:t>
      </w:r>
      <w:r>
        <w:rPr>
          <w:color w:val="auto"/>
          <w:spacing w:val="-24"/>
        </w:rPr>
        <w:t xml:space="preserve"> 元以上 </w:t>
      </w:r>
      <w:r>
        <w:rPr>
          <w:color w:val="auto"/>
        </w:rPr>
        <w:t>8000</w:t>
      </w:r>
      <w:r>
        <w:rPr>
          <w:color w:val="auto"/>
          <w:spacing w:val="-11"/>
        </w:rPr>
        <w:t xml:space="preserve"> 元以下罚款。</w:t>
      </w:r>
      <w:r>
        <w:rPr>
          <w:color w:val="auto"/>
        </w:rPr>
        <w:t>5</w:t>
      </w:r>
      <w:r>
        <w:rPr>
          <w:color w:val="auto"/>
          <w:spacing w:val="-18"/>
        </w:rPr>
        <w:t>、【特别严重】</w:t>
      </w:r>
    </w:p>
    <w:p>
      <w:pPr>
        <w:pStyle w:val="13"/>
        <w:numPr>
          <w:ilvl w:val="0"/>
          <w:numId w:val="80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有下列情形之一的：1</w:t>
      </w:r>
      <w:r>
        <w:rPr>
          <w:color w:val="auto"/>
          <w:spacing w:val="-10"/>
        </w:rPr>
        <w:t xml:space="preserve">、违法所得 </w:t>
      </w:r>
      <w:r>
        <w:rPr>
          <w:color w:val="auto"/>
        </w:rPr>
        <w:t>3000</w:t>
      </w:r>
      <w:r>
        <w:rPr>
          <w:color w:val="auto"/>
          <w:spacing w:val="-12"/>
        </w:rPr>
        <w:t xml:space="preserve"> 元以上的</w:t>
      </w:r>
      <w:r>
        <w:rPr>
          <w:color w:val="auto"/>
        </w:rPr>
        <w:t>；2</w:t>
      </w:r>
      <w:r>
        <w:rPr>
          <w:color w:val="auto"/>
          <w:spacing w:val="-15"/>
        </w:rPr>
        <w:t xml:space="preserve">、逾期 </w:t>
      </w:r>
      <w:r>
        <w:rPr>
          <w:color w:val="auto"/>
        </w:rPr>
        <w:t>15</w:t>
      </w:r>
      <w:r>
        <w:rPr>
          <w:color w:val="auto"/>
          <w:spacing w:val="-9"/>
        </w:rPr>
        <w:t xml:space="preserve"> 天以上未改正的； </w:t>
      </w:r>
      <w:r>
        <w:rPr>
          <w:color w:val="auto"/>
        </w:rPr>
        <w:t>造成较大社会影响的。</w:t>
      </w:r>
    </w:p>
    <w:p>
      <w:pPr>
        <w:pStyle w:val="13"/>
        <w:numPr>
          <w:ilvl w:val="0"/>
          <w:numId w:val="807"/>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处 8000 元以上 1 万元以下罚款。</w:t>
      </w:r>
    </w:p>
    <w:p>
      <w:pPr>
        <w:pStyle w:val="2"/>
        <w:spacing w:before="195"/>
        <w:rPr>
          <w:color w:val="auto"/>
        </w:rPr>
      </w:pPr>
      <w:bookmarkStart w:id="899" w:name="四百三十九、成品油零售量的结算值与实际值之差超过国家规定允许误差"/>
      <w:bookmarkEnd w:id="899"/>
      <w:bookmarkStart w:id="900" w:name="_bookmark449"/>
      <w:bookmarkEnd w:id="900"/>
      <w:r>
        <w:rPr>
          <w:color w:val="auto"/>
        </w:rPr>
        <w:t>四百三十九、成品油零售量的结算值与实际值之差超过国家规定允许误差</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1、《加油站计量监督管理办法》第九条第（六）项“（六）违反本办法第五条</w:t>
      </w:r>
      <w:r>
        <w:rPr>
          <w:color w:val="auto"/>
          <w:spacing w:val="-17"/>
        </w:rPr>
        <w:t>第</w:t>
      </w:r>
      <w:r>
        <w:rPr>
          <w:color w:val="auto"/>
        </w:rPr>
        <w:t>（八</w:t>
      </w:r>
      <w:r>
        <w:rPr>
          <w:color w:val="auto"/>
          <w:spacing w:val="-15"/>
        </w:rPr>
        <w:t>）</w:t>
      </w:r>
      <w:r>
        <w:rPr>
          <w:color w:val="auto"/>
          <w:spacing w:val="-10"/>
        </w:rPr>
        <w:t xml:space="preserve">项规定，未使用计量器具的，限期改正，逾期不改的，处 </w:t>
      </w:r>
      <w:r>
        <w:rPr>
          <w:color w:val="auto"/>
        </w:rPr>
        <w:t>1000</w:t>
      </w:r>
      <w:r>
        <w:rPr>
          <w:color w:val="auto"/>
          <w:spacing w:val="-24"/>
        </w:rPr>
        <w:t xml:space="preserve"> 元以上 </w:t>
      </w:r>
      <w:r>
        <w:rPr>
          <w:color w:val="auto"/>
          <w:spacing w:val="-3"/>
        </w:rPr>
        <w:t xml:space="preserve">10000 </w:t>
      </w:r>
      <w:r>
        <w:rPr>
          <w:color w:val="auto"/>
          <w:spacing w:val="-6"/>
        </w:rPr>
        <w:t>元以下罚款；成品油零售量的结算值与实际值之差超过国家规定允许误差的，责令改</w:t>
      </w:r>
      <w:r>
        <w:rPr>
          <w:color w:val="auto"/>
          <w:spacing w:val="-7"/>
        </w:rPr>
        <w:t xml:space="preserve">正，给消费者造成损失的，责令其赔偿损失，并处以违法所得 </w:t>
      </w:r>
      <w:r>
        <w:rPr>
          <w:color w:val="auto"/>
        </w:rPr>
        <w:t>3</w:t>
      </w:r>
      <w:r>
        <w:rPr>
          <w:color w:val="auto"/>
          <w:spacing w:val="-10"/>
        </w:rPr>
        <w:t xml:space="preserve"> 倍以下、最高不超过</w:t>
      </w:r>
    </w:p>
    <w:p>
      <w:pPr>
        <w:pStyle w:val="4"/>
        <w:spacing w:line="304" w:lineRule="exact"/>
        <w:jc w:val="both"/>
        <w:rPr>
          <w:color w:val="auto"/>
        </w:rPr>
      </w:pPr>
      <w:r>
        <w:rPr>
          <w:color w:val="auto"/>
        </w:rPr>
        <w:t>30000 元的罚款。”</w:t>
      </w:r>
    </w:p>
    <w:p>
      <w:pPr>
        <w:pStyle w:val="4"/>
        <w:spacing w:before="192" w:line="391" w:lineRule="auto"/>
        <w:ind w:right="145" w:firstLine="470"/>
        <w:rPr>
          <w:color w:val="auto"/>
        </w:rPr>
      </w:pPr>
      <w:r>
        <w:rPr>
          <w:color w:val="auto"/>
        </w:rPr>
        <w:t>2</w:t>
      </w:r>
      <w:r>
        <w:rPr>
          <w:color w:val="auto"/>
          <w:spacing w:val="-4"/>
        </w:rPr>
        <w:t>、《加油站计量监督管理办法》第五条第</w:t>
      </w:r>
      <w:r>
        <w:rPr>
          <w:color w:val="auto"/>
        </w:rPr>
        <w:t>（八</w:t>
      </w:r>
      <w:r>
        <w:rPr>
          <w:color w:val="auto"/>
          <w:spacing w:val="-5"/>
        </w:rPr>
        <w:t>）</w:t>
      </w:r>
      <w:r>
        <w:rPr>
          <w:color w:val="auto"/>
          <w:spacing w:val="-2"/>
        </w:rPr>
        <w:t>项“</w:t>
      </w:r>
      <w:r>
        <w:rPr>
          <w:color w:val="auto"/>
        </w:rPr>
        <w:t>（八</w:t>
      </w:r>
      <w:r>
        <w:rPr>
          <w:color w:val="auto"/>
          <w:spacing w:val="-3"/>
        </w:rPr>
        <w:t>）</w:t>
      </w:r>
      <w:r>
        <w:rPr>
          <w:color w:val="auto"/>
          <w:spacing w:val="-2"/>
        </w:rPr>
        <w:t xml:space="preserve">进行成品油零售时， </w:t>
      </w:r>
      <w:r>
        <w:rPr>
          <w:color w:val="auto"/>
          <w:spacing w:val="-11"/>
        </w:rPr>
        <w:t xml:space="preserve">应当使用燃油加油机等计量器具，并明示计量单位、计量过程和计量器具显示的量值， </w:t>
      </w:r>
      <w:r>
        <w:rPr>
          <w:color w:val="auto"/>
          <w:spacing w:val="-4"/>
        </w:rPr>
        <w:t>不得估量计费。成品油零售量的结算值应当与实际值相符，其偏差不得超过国家规定</w:t>
      </w:r>
      <w:r>
        <w:rPr>
          <w:color w:val="auto"/>
          <w:spacing w:val="-7"/>
        </w:rPr>
        <w:t>的允许误差；国家对计量偏差没有规定的，其偏差不得超过所使用计量器具的允许误差。”</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0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line="388" w:lineRule="auto"/>
        <w:ind w:right="213" w:firstLine="480"/>
        <w:rPr>
          <w:color w:val="auto"/>
        </w:rPr>
      </w:pPr>
      <w:r>
        <w:rPr>
          <w:color w:val="auto"/>
        </w:rPr>
        <w:t>有下列情形之一的：1、违法所得 1000 元以下的；2、成品油零售量的结算值与实际值之差超过国家规定允许误差 0.5%以下的。</w:t>
      </w:r>
    </w:p>
    <w:p>
      <w:pPr>
        <w:pStyle w:val="13"/>
        <w:numPr>
          <w:ilvl w:val="0"/>
          <w:numId w:val="808"/>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2392"/>
        <w:rPr>
          <w:color w:val="auto"/>
        </w:rPr>
      </w:pPr>
      <w:r>
        <w:rPr>
          <w:color w:val="auto"/>
          <w:spacing w:val="-3"/>
        </w:rPr>
        <w:t xml:space="preserve">责令改正，责令其赔偿损失，并处以违法所得 </w:t>
      </w:r>
      <w:r>
        <w:rPr>
          <w:color w:val="auto"/>
        </w:rPr>
        <w:t>1</w:t>
      </w:r>
      <w:r>
        <w:rPr>
          <w:color w:val="auto"/>
          <w:spacing w:val="-13"/>
        </w:rPr>
        <w:t xml:space="preserve"> 倍的罚款。</w:t>
      </w:r>
      <w:r>
        <w:rPr>
          <w:color w:val="auto"/>
        </w:rPr>
        <w:t>2</w:t>
      </w:r>
      <w:r>
        <w:rPr>
          <w:color w:val="auto"/>
          <w:spacing w:val="-24"/>
        </w:rPr>
        <w:t>、【一般】</w:t>
      </w:r>
    </w:p>
    <w:p>
      <w:pPr>
        <w:pStyle w:val="13"/>
        <w:numPr>
          <w:ilvl w:val="0"/>
          <w:numId w:val="80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有下列情形之一的：1、违法所得 3000 元以下的；2、成品油零售量的结算值与实际值之差超过国家规定允许误差 0.5%以上 1%以下的。</w:t>
      </w:r>
    </w:p>
    <w:p>
      <w:pPr>
        <w:pStyle w:val="13"/>
        <w:numPr>
          <w:ilvl w:val="0"/>
          <w:numId w:val="80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712"/>
        <w:rPr>
          <w:color w:val="auto"/>
        </w:rPr>
      </w:pPr>
      <w:r>
        <w:rPr>
          <w:color w:val="auto"/>
          <w:spacing w:val="-3"/>
        </w:rPr>
        <w:t xml:space="preserve">责令改正，责令其赔偿损失，并处以违法所得 </w:t>
      </w:r>
      <w:r>
        <w:rPr>
          <w:color w:val="auto"/>
        </w:rPr>
        <w:t>1</w:t>
      </w:r>
      <w:r>
        <w:rPr>
          <w:color w:val="auto"/>
          <w:spacing w:val="-24"/>
        </w:rPr>
        <w:t xml:space="preserve"> 倍以上 </w:t>
      </w:r>
      <w:r>
        <w:rPr>
          <w:color w:val="auto"/>
        </w:rPr>
        <w:t>1.5</w:t>
      </w:r>
      <w:r>
        <w:rPr>
          <w:color w:val="auto"/>
          <w:spacing w:val="-10"/>
        </w:rPr>
        <w:t xml:space="preserve"> 倍以下的罚款。</w:t>
      </w:r>
      <w:r>
        <w:rPr>
          <w:color w:val="auto"/>
        </w:rPr>
        <w:t>3</w:t>
      </w:r>
      <w:r>
        <w:rPr>
          <w:color w:val="auto"/>
          <w:spacing w:val="-24"/>
        </w:rPr>
        <w:t>、【较重】</w:t>
      </w:r>
    </w:p>
    <w:p>
      <w:pPr>
        <w:pStyle w:val="13"/>
        <w:numPr>
          <w:ilvl w:val="0"/>
          <w:numId w:val="810"/>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8" w:firstLine="480"/>
        <w:rPr>
          <w:color w:val="auto"/>
        </w:rPr>
      </w:pPr>
      <w:r>
        <w:rPr>
          <w:color w:val="auto"/>
          <w:spacing w:val="-1"/>
        </w:rPr>
        <w:t>有下列情形之一的：</w:t>
      </w:r>
      <w:r>
        <w:rPr>
          <w:color w:val="auto"/>
          <w:spacing w:val="-5"/>
        </w:rPr>
        <w:t>1</w:t>
      </w:r>
      <w:r>
        <w:rPr>
          <w:color w:val="auto"/>
          <w:spacing w:val="-13"/>
        </w:rPr>
        <w:t xml:space="preserve">、违法所得 </w:t>
      </w:r>
      <w:r>
        <w:rPr>
          <w:color w:val="auto"/>
        </w:rPr>
        <w:t>10000</w:t>
      </w:r>
      <w:r>
        <w:rPr>
          <w:color w:val="auto"/>
          <w:spacing w:val="-11"/>
        </w:rPr>
        <w:t xml:space="preserve"> 元以下的；</w:t>
      </w:r>
      <w:r>
        <w:rPr>
          <w:color w:val="auto"/>
          <w:spacing w:val="-4"/>
        </w:rPr>
        <w:t xml:space="preserve">2、成品油零售量的结算值与实际值之差超过国家规定允许误差 </w:t>
      </w:r>
      <w:r>
        <w:rPr>
          <w:color w:val="auto"/>
        </w:rPr>
        <w:t>1%</w:t>
      </w:r>
      <w:r>
        <w:rPr>
          <w:color w:val="auto"/>
          <w:spacing w:val="-20"/>
        </w:rPr>
        <w:t xml:space="preserve">以上 </w:t>
      </w:r>
      <w:r>
        <w:rPr>
          <w:color w:val="auto"/>
        </w:rPr>
        <w:t>1.5%以下的。</w:t>
      </w:r>
    </w:p>
    <w:p>
      <w:pPr>
        <w:pStyle w:val="13"/>
        <w:numPr>
          <w:ilvl w:val="0"/>
          <w:numId w:val="81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712"/>
        <w:rPr>
          <w:color w:val="auto"/>
        </w:rPr>
      </w:pPr>
      <w:r>
        <w:rPr>
          <w:color w:val="auto"/>
          <w:spacing w:val="-3"/>
        </w:rPr>
        <w:t xml:space="preserve">责令改正，责令其赔偿损失，并处以违法所得 </w:t>
      </w:r>
      <w:r>
        <w:rPr>
          <w:color w:val="auto"/>
        </w:rPr>
        <w:t>1.5</w:t>
      </w:r>
      <w:r>
        <w:rPr>
          <w:color w:val="auto"/>
          <w:spacing w:val="-24"/>
        </w:rPr>
        <w:t xml:space="preserve"> 倍以上 </w:t>
      </w:r>
      <w:r>
        <w:rPr>
          <w:color w:val="auto"/>
        </w:rPr>
        <w:t>2</w:t>
      </w:r>
      <w:r>
        <w:rPr>
          <w:color w:val="auto"/>
          <w:spacing w:val="-10"/>
        </w:rPr>
        <w:t xml:space="preserve"> 倍以下的罚款。</w:t>
      </w:r>
      <w:r>
        <w:rPr>
          <w:color w:val="auto"/>
        </w:rPr>
        <w:t>4</w:t>
      </w:r>
      <w:r>
        <w:rPr>
          <w:color w:val="auto"/>
          <w:spacing w:val="-24"/>
        </w:rPr>
        <w:t>、【严重】</w:t>
      </w:r>
    </w:p>
    <w:p>
      <w:pPr>
        <w:pStyle w:val="13"/>
        <w:numPr>
          <w:ilvl w:val="0"/>
          <w:numId w:val="81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71" w:firstLine="480"/>
        <w:rPr>
          <w:color w:val="auto"/>
        </w:rPr>
      </w:pPr>
      <w:r>
        <w:rPr>
          <w:color w:val="auto"/>
        </w:rPr>
        <w:t>有下列情形之一的：1</w:t>
      </w:r>
      <w:r>
        <w:rPr>
          <w:color w:val="auto"/>
          <w:spacing w:val="-10"/>
        </w:rPr>
        <w:t xml:space="preserve">、违法所得 </w:t>
      </w:r>
      <w:r>
        <w:rPr>
          <w:color w:val="auto"/>
        </w:rPr>
        <w:t>10000</w:t>
      </w:r>
      <w:r>
        <w:rPr>
          <w:color w:val="auto"/>
          <w:spacing w:val="-12"/>
        </w:rPr>
        <w:t xml:space="preserve"> 元以上、</w:t>
      </w:r>
      <w:r>
        <w:rPr>
          <w:color w:val="auto"/>
        </w:rPr>
        <w:t>20000</w:t>
      </w:r>
      <w:r>
        <w:rPr>
          <w:color w:val="auto"/>
          <w:spacing w:val="-12"/>
        </w:rPr>
        <w:t xml:space="preserve"> 元以下的</w:t>
      </w:r>
      <w:r>
        <w:rPr>
          <w:color w:val="auto"/>
        </w:rPr>
        <w:t>；2</w:t>
      </w:r>
      <w:r>
        <w:rPr>
          <w:color w:val="auto"/>
          <w:spacing w:val="-3"/>
        </w:rPr>
        <w:t xml:space="preserve">、成品油零售量的结算值与实际值之差超过国家规定允许误差 </w:t>
      </w:r>
      <w:r>
        <w:rPr>
          <w:color w:val="auto"/>
        </w:rPr>
        <w:t>1.5%</w:t>
      </w:r>
      <w:r>
        <w:rPr>
          <w:color w:val="auto"/>
          <w:spacing w:val="-20"/>
        </w:rPr>
        <w:t xml:space="preserve">以上 </w:t>
      </w:r>
      <w:r>
        <w:rPr>
          <w:color w:val="auto"/>
        </w:rPr>
        <w:t>2%以下的。</w:t>
      </w:r>
    </w:p>
    <w:p>
      <w:pPr>
        <w:pStyle w:val="13"/>
        <w:numPr>
          <w:ilvl w:val="0"/>
          <w:numId w:val="81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spacing w:val="-7"/>
        </w:rPr>
        <w:t xml:space="preserve">责令改正，责令其赔偿损失，并处以违法所得 </w:t>
      </w:r>
      <w:r>
        <w:rPr>
          <w:color w:val="auto"/>
        </w:rPr>
        <w:t>2</w:t>
      </w:r>
      <w:r>
        <w:rPr>
          <w:color w:val="auto"/>
          <w:spacing w:val="-24"/>
        </w:rPr>
        <w:t xml:space="preserve"> 倍以上 </w:t>
      </w:r>
      <w:r>
        <w:rPr>
          <w:color w:val="auto"/>
        </w:rPr>
        <w:t>2.5</w:t>
      </w:r>
      <w:r>
        <w:rPr>
          <w:color w:val="auto"/>
          <w:spacing w:val="-9"/>
        </w:rPr>
        <w:t xml:space="preserve"> 倍以下、最高不超过</w:t>
      </w:r>
    </w:p>
    <w:p>
      <w:pPr>
        <w:pStyle w:val="4"/>
        <w:spacing w:before="194"/>
        <w:rPr>
          <w:color w:val="auto"/>
        </w:rPr>
      </w:pPr>
      <w:r>
        <w:rPr>
          <w:color w:val="auto"/>
        </w:rPr>
        <w:t>30000 元的罚款。</w:t>
      </w:r>
    </w:p>
    <w:p>
      <w:pPr>
        <w:pStyle w:val="4"/>
        <w:spacing w:before="191"/>
        <w:ind w:left="591"/>
        <w:rPr>
          <w:color w:val="auto"/>
        </w:rPr>
      </w:pPr>
      <w:r>
        <w:rPr>
          <w:color w:val="auto"/>
        </w:rPr>
        <w:t>5、【特别严重】</w:t>
      </w:r>
    </w:p>
    <w:p>
      <w:pPr>
        <w:pStyle w:val="13"/>
        <w:numPr>
          <w:ilvl w:val="0"/>
          <w:numId w:val="81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1"/>
        </w:rPr>
        <w:t>有下列情形之一的：</w:t>
      </w:r>
      <w:r>
        <w:rPr>
          <w:color w:val="auto"/>
          <w:spacing w:val="-5"/>
        </w:rPr>
        <w:t>1</w:t>
      </w:r>
      <w:r>
        <w:rPr>
          <w:color w:val="auto"/>
          <w:spacing w:val="-13"/>
        </w:rPr>
        <w:t xml:space="preserve">、违法所得 </w:t>
      </w:r>
      <w:r>
        <w:rPr>
          <w:color w:val="auto"/>
        </w:rPr>
        <w:t>20000</w:t>
      </w:r>
      <w:r>
        <w:rPr>
          <w:color w:val="auto"/>
          <w:spacing w:val="-11"/>
        </w:rPr>
        <w:t xml:space="preserve"> 元以上的；</w:t>
      </w:r>
      <w:r>
        <w:rPr>
          <w:color w:val="auto"/>
          <w:spacing w:val="-4"/>
        </w:rPr>
        <w:t xml:space="preserve">2、成品油零售量的结算值与实际值之差超过国家规定允许误差 </w:t>
      </w:r>
      <w:r>
        <w:rPr>
          <w:color w:val="auto"/>
        </w:rPr>
        <w:t>2%以上的；3、造成较大社会影响的。</w:t>
      </w:r>
    </w:p>
    <w:p>
      <w:pPr>
        <w:pStyle w:val="13"/>
        <w:numPr>
          <w:ilvl w:val="0"/>
          <w:numId w:val="81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7"/>
        </w:rPr>
        <w:t xml:space="preserve">责令改正，责令其赔偿损失，并处以违法所得 </w:t>
      </w:r>
      <w:r>
        <w:rPr>
          <w:color w:val="auto"/>
        </w:rPr>
        <w:t>2.5</w:t>
      </w:r>
      <w:r>
        <w:rPr>
          <w:color w:val="auto"/>
          <w:spacing w:val="-24"/>
        </w:rPr>
        <w:t xml:space="preserve"> 倍以上 </w:t>
      </w:r>
      <w:r>
        <w:rPr>
          <w:color w:val="auto"/>
        </w:rPr>
        <w:t>3</w:t>
      </w:r>
      <w:r>
        <w:rPr>
          <w:color w:val="auto"/>
          <w:spacing w:val="-9"/>
        </w:rPr>
        <w:t xml:space="preserve"> 倍以下、最高不超过</w:t>
      </w:r>
    </w:p>
    <w:p>
      <w:pPr>
        <w:pStyle w:val="4"/>
        <w:spacing w:before="192"/>
        <w:rPr>
          <w:color w:val="auto"/>
        </w:rPr>
      </w:pPr>
      <w:r>
        <w:rPr>
          <w:color w:val="auto"/>
        </w:rPr>
        <w:t>30000 元的罚款。</w:t>
      </w:r>
    </w:p>
    <w:p>
      <w:pPr>
        <w:pStyle w:val="2"/>
        <w:spacing w:before="192" w:line="391" w:lineRule="auto"/>
        <w:ind w:left="111" w:right="193" w:firstLine="480"/>
        <w:rPr>
          <w:color w:val="auto"/>
        </w:rPr>
      </w:pPr>
      <w:bookmarkStart w:id="901" w:name="四百四十、加油站经营者违反《加油站计量监督管理办法》的规定，拒不提供成品油零售账"/>
      <w:bookmarkEnd w:id="901"/>
      <w:bookmarkStart w:id="902" w:name="_bookmark450"/>
      <w:bookmarkEnd w:id="902"/>
      <w:r>
        <w:rPr>
          <w:color w:val="auto"/>
        </w:rPr>
        <w:t>四百四十、加油站经营者违反《加油站计量监督管理办法》的规定，拒不提供成品油零售账目或者提供不真实账目使违法所得难以计算</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spacing w:val="-4"/>
        </w:rPr>
        <w:t>《加油站计量监督管理办法》第十条“加油站经营者违反本办法规定，拒不提供成品油零售账目或者提供不真实账目，使违法所得难以计算的，可根据违法行为的情</w:t>
      </w:r>
      <w:r>
        <w:rPr>
          <w:color w:val="auto"/>
          <w:spacing w:val="-6"/>
        </w:rPr>
        <w:t xml:space="preserve">节轻重处以最高不超过 </w:t>
      </w:r>
      <w:r>
        <w:rPr>
          <w:color w:val="auto"/>
        </w:rPr>
        <w:t>30000</w:t>
      </w:r>
      <w:r>
        <w:rPr>
          <w:color w:val="auto"/>
          <w:spacing w:val="-9"/>
        </w:rPr>
        <w:t xml:space="preserve"> 元的罚款。”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1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计量超差 0.5%以下的。</w:t>
      </w:r>
    </w:p>
    <w:p>
      <w:pPr>
        <w:spacing w:after="0"/>
        <w:rPr>
          <w:color w:val="auto"/>
        </w:rPr>
        <w:sectPr>
          <w:pgSz w:w="11910" w:h="16840"/>
          <w:pgMar w:top="1520" w:right="1260" w:bottom="1220" w:left="1420" w:header="0" w:footer="1034" w:gutter="0"/>
        </w:sectPr>
      </w:pPr>
    </w:p>
    <w:p>
      <w:pPr>
        <w:pStyle w:val="13"/>
        <w:numPr>
          <w:ilvl w:val="0"/>
          <w:numId w:val="813"/>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872"/>
        <w:rPr>
          <w:color w:val="auto"/>
        </w:rPr>
      </w:pPr>
      <w:r>
        <w:rPr>
          <w:color w:val="auto"/>
          <w:spacing w:val="-20"/>
        </w:rPr>
        <w:t xml:space="preserve">处以 </w:t>
      </w:r>
      <w:r>
        <w:rPr>
          <w:color w:val="auto"/>
        </w:rPr>
        <w:t>5000</w:t>
      </w:r>
      <w:r>
        <w:rPr>
          <w:color w:val="auto"/>
          <w:spacing w:val="-10"/>
        </w:rPr>
        <w:t xml:space="preserve"> 元以下的罚款。</w:t>
      </w:r>
      <w:r>
        <w:rPr>
          <w:color w:val="auto"/>
        </w:rPr>
        <w:t>2</w:t>
      </w:r>
      <w:r>
        <w:rPr>
          <w:color w:val="auto"/>
          <w:spacing w:val="-24"/>
        </w:rPr>
        <w:t>、【一般】</w:t>
      </w:r>
    </w:p>
    <w:p>
      <w:pPr>
        <w:pStyle w:val="13"/>
        <w:numPr>
          <w:ilvl w:val="0"/>
          <w:numId w:val="81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计量超差 0.5%以上 1%以下的。</w:t>
      </w:r>
    </w:p>
    <w:p>
      <w:pPr>
        <w:pStyle w:val="13"/>
        <w:numPr>
          <w:ilvl w:val="0"/>
          <w:numId w:val="81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4672"/>
        <w:rPr>
          <w:color w:val="auto"/>
        </w:rPr>
      </w:pPr>
      <w:r>
        <w:rPr>
          <w:color w:val="auto"/>
          <w:spacing w:val="-20"/>
        </w:rPr>
        <w:t xml:space="preserve">处以 </w:t>
      </w:r>
      <w:r>
        <w:rPr>
          <w:color w:val="auto"/>
        </w:rPr>
        <w:t>5000</w:t>
      </w:r>
      <w:r>
        <w:rPr>
          <w:color w:val="auto"/>
          <w:spacing w:val="-24"/>
        </w:rPr>
        <w:t xml:space="preserve"> 元以上 </w:t>
      </w:r>
      <w:r>
        <w:rPr>
          <w:color w:val="auto"/>
        </w:rPr>
        <w:t>1</w:t>
      </w:r>
      <w:r>
        <w:rPr>
          <w:color w:val="auto"/>
          <w:spacing w:val="-9"/>
        </w:rPr>
        <w:t xml:space="preserve"> 万元以下的罚款。</w:t>
      </w:r>
      <w:r>
        <w:rPr>
          <w:color w:val="auto"/>
        </w:rPr>
        <w:t>3</w:t>
      </w:r>
      <w:r>
        <w:rPr>
          <w:color w:val="auto"/>
          <w:spacing w:val="-24"/>
        </w:rPr>
        <w:t>、【较重】</w:t>
      </w:r>
    </w:p>
    <w:p>
      <w:pPr>
        <w:pStyle w:val="13"/>
        <w:numPr>
          <w:ilvl w:val="0"/>
          <w:numId w:val="81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计量超差 1%以上 1.5%以下的。</w:t>
      </w:r>
    </w:p>
    <w:p>
      <w:pPr>
        <w:pStyle w:val="13"/>
        <w:numPr>
          <w:ilvl w:val="0"/>
          <w:numId w:val="81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792"/>
        <w:rPr>
          <w:color w:val="auto"/>
        </w:rPr>
      </w:pPr>
      <w:r>
        <w:rPr>
          <w:color w:val="auto"/>
          <w:spacing w:val="-20"/>
        </w:rPr>
        <w:t xml:space="preserve">处以 </w:t>
      </w:r>
      <w:r>
        <w:rPr>
          <w:color w:val="auto"/>
        </w:rPr>
        <w:t>1</w:t>
      </w:r>
      <w:r>
        <w:rPr>
          <w:color w:val="auto"/>
          <w:spacing w:val="-20"/>
        </w:rPr>
        <w:t xml:space="preserve"> 万元以上 </w:t>
      </w:r>
      <w:r>
        <w:rPr>
          <w:color w:val="auto"/>
        </w:rPr>
        <w:t>2</w:t>
      </w:r>
      <w:r>
        <w:rPr>
          <w:color w:val="auto"/>
          <w:spacing w:val="-9"/>
        </w:rPr>
        <w:t xml:space="preserve"> 万元以下的罚款。</w:t>
      </w:r>
      <w:r>
        <w:rPr>
          <w:color w:val="auto"/>
        </w:rPr>
        <w:t>4</w:t>
      </w:r>
      <w:r>
        <w:rPr>
          <w:color w:val="auto"/>
          <w:spacing w:val="-24"/>
        </w:rPr>
        <w:t>、【严重】</w:t>
      </w:r>
    </w:p>
    <w:p>
      <w:pPr>
        <w:pStyle w:val="13"/>
        <w:numPr>
          <w:ilvl w:val="0"/>
          <w:numId w:val="81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计量超差 1.5%以上 2%以下的。</w:t>
      </w:r>
    </w:p>
    <w:p>
      <w:pPr>
        <w:pStyle w:val="13"/>
        <w:numPr>
          <w:ilvl w:val="0"/>
          <w:numId w:val="81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552"/>
        <w:rPr>
          <w:color w:val="auto"/>
        </w:rPr>
      </w:pPr>
      <w:r>
        <w:rPr>
          <w:color w:val="auto"/>
          <w:spacing w:val="-20"/>
        </w:rPr>
        <w:t xml:space="preserve">处以 </w:t>
      </w:r>
      <w:r>
        <w:rPr>
          <w:color w:val="auto"/>
        </w:rPr>
        <w:t>2</w:t>
      </w:r>
      <w:r>
        <w:rPr>
          <w:color w:val="auto"/>
          <w:spacing w:val="-20"/>
        </w:rPr>
        <w:t xml:space="preserve"> 万元以上 </w:t>
      </w:r>
      <w:r>
        <w:rPr>
          <w:color w:val="auto"/>
        </w:rPr>
        <w:t>2.5</w:t>
      </w:r>
      <w:r>
        <w:rPr>
          <w:color w:val="auto"/>
          <w:spacing w:val="-9"/>
        </w:rPr>
        <w:t xml:space="preserve"> 万元以下的罚款。</w:t>
      </w:r>
      <w:r>
        <w:rPr>
          <w:color w:val="auto"/>
        </w:rPr>
        <w:t>5</w:t>
      </w:r>
      <w:r>
        <w:rPr>
          <w:color w:val="auto"/>
          <w:spacing w:val="-18"/>
        </w:rPr>
        <w:t>、【特别严重】</w:t>
      </w:r>
    </w:p>
    <w:p>
      <w:pPr>
        <w:pStyle w:val="13"/>
        <w:numPr>
          <w:ilvl w:val="0"/>
          <w:numId w:val="81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计量超差 2%以上的。</w:t>
      </w:r>
    </w:p>
    <w:p>
      <w:pPr>
        <w:pStyle w:val="13"/>
        <w:numPr>
          <w:ilvl w:val="0"/>
          <w:numId w:val="81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jc w:val="both"/>
        <w:rPr>
          <w:color w:val="auto"/>
        </w:rPr>
      </w:pPr>
      <w:r>
        <w:rPr>
          <w:color w:val="auto"/>
        </w:rPr>
        <w:t>处以 2.5 万元以上 3 万元以下的罚款。</w:t>
      </w:r>
    </w:p>
    <w:p>
      <w:pPr>
        <w:pStyle w:val="2"/>
        <w:spacing w:before="194" w:line="391" w:lineRule="auto"/>
        <w:ind w:left="111" w:right="170" w:firstLine="480"/>
        <w:jc w:val="both"/>
        <w:rPr>
          <w:color w:val="auto"/>
        </w:rPr>
      </w:pPr>
      <w:bookmarkStart w:id="903" w:name="四百四十一、眼镜制配者使用属于强制检定的计量器具，未按照规定登记造册、报当地县级"/>
      <w:bookmarkEnd w:id="903"/>
      <w:bookmarkStart w:id="904" w:name="_bookmark451"/>
      <w:bookmarkEnd w:id="904"/>
      <w:r>
        <w:rPr>
          <w:color w:val="auto"/>
        </w:rPr>
        <w:t>四百四十一、眼镜制配者使用属于强制检定的计量器具，未按照规定登记造册、</w:t>
      </w:r>
      <w:r>
        <w:rPr>
          <w:color w:val="auto"/>
          <w:spacing w:val="-5"/>
        </w:rPr>
        <w:t>报当地县级市场监督管理部门备案，或者未按照规定申请检定，或者超过检定周期继</w:t>
      </w:r>
      <w:r>
        <w:rPr>
          <w:color w:val="auto"/>
          <w:spacing w:val="-8"/>
        </w:rPr>
        <w:t>续使用，或者经检定不合格继续使用；使用属于非强制检定的计量器具，未按照规定定期检定以及经检定不合格继续使用</w:t>
      </w:r>
    </w:p>
    <w:p>
      <w:pPr>
        <w:spacing w:before="0" w:line="302" w:lineRule="exact"/>
        <w:ind w:left="591" w:right="0" w:firstLine="0"/>
        <w:jc w:val="left"/>
        <w:rPr>
          <w:b/>
          <w:color w:val="auto"/>
          <w:sz w:val="24"/>
        </w:rPr>
      </w:pPr>
      <w:r>
        <w:rPr>
          <w:b/>
          <w:color w:val="auto"/>
          <w:sz w:val="24"/>
        </w:rPr>
        <w:t>（一）处罚依据</w:t>
      </w:r>
    </w:p>
    <w:p>
      <w:pPr>
        <w:pStyle w:val="4"/>
        <w:spacing w:before="192"/>
        <w:ind w:left="581"/>
        <w:rPr>
          <w:color w:val="auto"/>
        </w:rPr>
      </w:pPr>
      <w:r>
        <w:rPr>
          <w:color w:val="auto"/>
        </w:rPr>
        <w:t>1、《眼镜制配计量监督管理办法》第九条第（二）项“眼镜制配者违反本办法</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第四条有关规定，应当按照下列规定进行处罚：</w:t>
      </w:r>
    </w:p>
    <w:p>
      <w:pPr>
        <w:pStyle w:val="4"/>
        <w:spacing w:before="195" w:line="388" w:lineRule="auto"/>
        <w:ind w:right="268"/>
        <w:jc w:val="both"/>
        <w:rPr>
          <w:color w:val="auto"/>
        </w:rPr>
      </w:pPr>
      <w:r>
        <w:rPr>
          <w:color w:val="auto"/>
        </w:rPr>
        <w:t>（二</w:t>
      </w:r>
      <w:r>
        <w:rPr>
          <w:color w:val="auto"/>
          <w:spacing w:val="-20"/>
        </w:rPr>
        <w:t>）</w:t>
      </w:r>
      <w:r>
        <w:rPr>
          <w:color w:val="auto"/>
          <w:spacing w:val="-3"/>
        </w:rPr>
        <w:t xml:space="preserve">使用属于强制检定的计量器具，未按照规定申请检定或者超过检定周期继续使用的，责令停止使用，可以并处 </w:t>
      </w:r>
      <w:r>
        <w:rPr>
          <w:color w:val="auto"/>
        </w:rPr>
        <w:t>1000</w:t>
      </w:r>
      <w:r>
        <w:rPr>
          <w:color w:val="auto"/>
          <w:spacing w:val="-6"/>
        </w:rPr>
        <w:t xml:space="preserve"> 元以下罚款；使用属于强制检定的计量器具，</w:t>
      </w:r>
    </w:p>
    <w:p>
      <w:pPr>
        <w:pStyle w:val="4"/>
        <w:spacing w:before="2" w:line="391" w:lineRule="auto"/>
        <w:ind w:right="268"/>
        <w:jc w:val="both"/>
        <w:rPr>
          <w:color w:val="auto"/>
        </w:rPr>
      </w:pPr>
      <w:r>
        <w:rPr>
          <w:color w:val="auto"/>
          <w:spacing w:val="-3"/>
        </w:rPr>
        <w:t xml:space="preserve">经检定不合格继续使用的，责令停止使用，可以并处 </w:t>
      </w:r>
      <w:r>
        <w:rPr>
          <w:color w:val="auto"/>
        </w:rPr>
        <w:t>2000</w:t>
      </w:r>
      <w:r>
        <w:rPr>
          <w:color w:val="auto"/>
          <w:spacing w:val="-2"/>
        </w:rPr>
        <w:t xml:space="preserve"> 元以下罚款；使用属于非</w:t>
      </w:r>
      <w:r>
        <w:rPr>
          <w:color w:val="auto"/>
          <w:spacing w:val="-4"/>
        </w:rPr>
        <w:t>强制检定的计量器具，未按照规定定期检定以及经检定不合格继续使用的，责令停止</w:t>
      </w:r>
      <w:r>
        <w:rPr>
          <w:color w:val="auto"/>
          <w:spacing w:val="-8"/>
        </w:rPr>
        <w:t xml:space="preserve">使用，可以并处 </w:t>
      </w:r>
      <w:r>
        <w:rPr>
          <w:color w:val="auto"/>
        </w:rPr>
        <w:t>1000</w:t>
      </w:r>
      <w:r>
        <w:rPr>
          <w:color w:val="auto"/>
          <w:spacing w:val="-8"/>
        </w:rPr>
        <w:t xml:space="preserve"> 元以下罚款。”</w:t>
      </w:r>
    </w:p>
    <w:p>
      <w:pPr>
        <w:pStyle w:val="4"/>
        <w:spacing w:line="391" w:lineRule="auto"/>
        <w:ind w:right="148" w:firstLine="470"/>
        <w:rPr>
          <w:color w:val="auto"/>
        </w:rPr>
      </w:pPr>
      <w:r>
        <w:rPr>
          <w:color w:val="auto"/>
        </w:rPr>
        <w:t>2、《眼镜制配计量监督管理办法》第四条第（四）项“眼镜制配者应当遵守以</w:t>
      </w:r>
      <w:r>
        <w:rPr>
          <w:color w:val="auto"/>
          <w:spacing w:val="6"/>
        </w:rPr>
        <w:t xml:space="preserve">下规定： </w:t>
      </w:r>
      <w:r>
        <w:rPr>
          <w:color w:val="auto"/>
        </w:rPr>
        <w:t>（四）使用属于强制检定的计量器具必须按照规定登记造册，报当地县级</w:t>
      </w:r>
      <w:r>
        <w:rPr>
          <w:color w:val="auto"/>
          <w:spacing w:val="-12"/>
        </w:rPr>
        <w:t xml:space="preserve">质量技术监督部门备案，并向其指定的计量检定机构申请周期检定。当地不能检定的， </w:t>
      </w:r>
      <w:r>
        <w:rPr>
          <w:color w:val="auto"/>
        </w:rPr>
        <w:t>向上一级质量技术监督部门指定的计量检定机构申请周期检定。”</w:t>
      </w:r>
    </w:p>
    <w:p>
      <w:pPr>
        <w:pStyle w:val="4"/>
        <w:spacing w:line="388" w:lineRule="auto"/>
        <w:ind w:right="271" w:firstLine="470"/>
        <w:rPr>
          <w:color w:val="auto"/>
        </w:rPr>
      </w:pPr>
      <w:r>
        <w:rPr>
          <w:color w:val="auto"/>
        </w:rPr>
        <w:t>3、《眼镜制配计量监督管理办法》第四条第（五）项“（五）不得使用未经检定、超过检定周期或者经检定不合格的计量器具。”</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1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7" w:line="391" w:lineRule="auto"/>
        <w:ind w:right="268" w:firstLine="480"/>
        <w:rPr>
          <w:color w:val="auto"/>
        </w:rPr>
      </w:pPr>
      <w:r>
        <w:rPr>
          <w:color w:val="auto"/>
          <w:spacing w:val="-4"/>
        </w:rPr>
        <w:t>使用属于强制检定的计量器具，未按照规定申请检定或者超过检定周期继续使用</w:t>
      </w:r>
      <w:r>
        <w:rPr>
          <w:color w:val="auto"/>
        </w:rPr>
        <w:t>10</w:t>
      </w:r>
      <w:r>
        <w:rPr>
          <w:color w:val="auto"/>
          <w:spacing w:val="-13"/>
        </w:rPr>
        <w:t xml:space="preserve"> 天以下的或者使用属于非强制检定的计量器具，未按照规定定期检定以及经检定不</w:t>
      </w:r>
    </w:p>
    <w:p>
      <w:pPr>
        <w:pStyle w:val="4"/>
        <w:spacing w:line="306" w:lineRule="exact"/>
        <w:rPr>
          <w:color w:val="auto"/>
        </w:rPr>
      </w:pPr>
      <w:r>
        <w:rPr>
          <w:color w:val="auto"/>
        </w:rPr>
        <w:t>合格继续使用 10 天以下的</w:t>
      </w:r>
    </w:p>
    <w:p>
      <w:pPr>
        <w:pStyle w:val="13"/>
        <w:numPr>
          <w:ilvl w:val="0"/>
          <w:numId w:val="81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4072"/>
        <w:rPr>
          <w:color w:val="auto"/>
        </w:rPr>
      </w:pPr>
      <w:r>
        <w:rPr>
          <w:color w:val="auto"/>
          <w:spacing w:val="-5"/>
        </w:rPr>
        <w:t xml:space="preserve">责令停止使用，可以并处 </w:t>
      </w:r>
      <w:r>
        <w:rPr>
          <w:color w:val="auto"/>
        </w:rPr>
        <w:t>500</w:t>
      </w:r>
      <w:r>
        <w:rPr>
          <w:color w:val="auto"/>
          <w:spacing w:val="-11"/>
        </w:rPr>
        <w:t xml:space="preserve"> 元以下罚款。</w:t>
      </w:r>
      <w:r>
        <w:rPr>
          <w:color w:val="auto"/>
        </w:rPr>
        <w:t>2</w:t>
      </w:r>
      <w:r>
        <w:rPr>
          <w:color w:val="auto"/>
          <w:spacing w:val="-24"/>
        </w:rPr>
        <w:t>、【较重】</w:t>
      </w:r>
    </w:p>
    <w:p>
      <w:pPr>
        <w:pStyle w:val="13"/>
        <w:numPr>
          <w:ilvl w:val="0"/>
          <w:numId w:val="81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rPr>
          <w:color w:val="auto"/>
        </w:rPr>
      </w:pPr>
      <w:r>
        <w:rPr>
          <w:color w:val="auto"/>
          <w:spacing w:val="-4"/>
        </w:rPr>
        <w:t>使用属于强制检定的计量器具，未按照规定申请检定或者超过检定周期继续使用</w:t>
      </w:r>
      <w:r>
        <w:rPr>
          <w:color w:val="auto"/>
        </w:rPr>
        <w:t>10</w:t>
      </w:r>
      <w:r>
        <w:rPr>
          <w:color w:val="auto"/>
          <w:spacing w:val="-13"/>
        </w:rPr>
        <w:t xml:space="preserve"> 天以上的或者使用属于非强制检定的计量器具，未按照规定定期检定以及经检定不</w:t>
      </w:r>
    </w:p>
    <w:p>
      <w:pPr>
        <w:pStyle w:val="4"/>
        <w:spacing w:before="2"/>
        <w:rPr>
          <w:color w:val="auto"/>
        </w:rPr>
      </w:pPr>
      <w:r>
        <w:rPr>
          <w:color w:val="auto"/>
        </w:rPr>
        <w:t>合格继续使用 10 天以上的</w:t>
      </w:r>
    </w:p>
    <w:p>
      <w:pPr>
        <w:pStyle w:val="13"/>
        <w:numPr>
          <w:ilvl w:val="0"/>
          <w:numId w:val="81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2752"/>
        <w:rPr>
          <w:color w:val="auto"/>
        </w:rPr>
      </w:pPr>
      <w:r>
        <w:rPr>
          <w:color w:val="auto"/>
          <w:spacing w:val="-5"/>
        </w:rPr>
        <w:t xml:space="preserve">责令停止使用，可以并处 </w:t>
      </w:r>
      <w:r>
        <w:rPr>
          <w:color w:val="auto"/>
        </w:rPr>
        <w:t>500</w:t>
      </w:r>
      <w:r>
        <w:rPr>
          <w:color w:val="auto"/>
          <w:spacing w:val="-24"/>
        </w:rPr>
        <w:t xml:space="preserve"> 元以上 </w:t>
      </w:r>
      <w:r>
        <w:rPr>
          <w:color w:val="auto"/>
        </w:rPr>
        <w:t>1000</w:t>
      </w:r>
      <w:r>
        <w:rPr>
          <w:color w:val="auto"/>
          <w:spacing w:val="-11"/>
        </w:rPr>
        <w:t xml:space="preserve"> 元以下罚款。</w:t>
      </w:r>
      <w:r>
        <w:rPr>
          <w:color w:val="auto"/>
        </w:rPr>
        <w:t>3</w:t>
      </w:r>
      <w:r>
        <w:rPr>
          <w:color w:val="auto"/>
          <w:spacing w:val="-24"/>
        </w:rPr>
        <w:t>、【严重】</w:t>
      </w:r>
    </w:p>
    <w:p>
      <w:pPr>
        <w:spacing w:after="0" w:line="388" w:lineRule="auto"/>
        <w:rPr>
          <w:color w:val="auto"/>
        </w:rPr>
        <w:sectPr>
          <w:footerReference r:id="rId107" w:type="default"/>
          <w:footerReference r:id="rId108" w:type="even"/>
          <w:pgSz w:w="11910" w:h="16840"/>
          <w:pgMar w:top="1520" w:right="1260" w:bottom="1220" w:left="1420" w:header="0" w:footer="1034" w:gutter="0"/>
          <w:pgNumType w:start="430"/>
        </w:sectPr>
      </w:pPr>
    </w:p>
    <w:p>
      <w:pPr>
        <w:pStyle w:val="13"/>
        <w:numPr>
          <w:ilvl w:val="0"/>
          <w:numId w:val="820"/>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使用属于强制检定的计量器具，经检定不合格继续使用 10 天以下的</w:t>
      </w:r>
    </w:p>
    <w:p>
      <w:pPr>
        <w:pStyle w:val="13"/>
        <w:numPr>
          <w:ilvl w:val="0"/>
          <w:numId w:val="82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2632"/>
        <w:rPr>
          <w:color w:val="auto"/>
        </w:rPr>
      </w:pPr>
      <w:r>
        <w:rPr>
          <w:color w:val="auto"/>
          <w:spacing w:val="-5"/>
        </w:rPr>
        <w:t xml:space="preserve">责令停止使用，可以并处 </w:t>
      </w:r>
      <w:r>
        <w:rPr>
          <w:color w:val="auto"/>
        </w:rPr>
        <w:t>1000</w:t>
      </w:r>
      <w:r>
        <w:rPr>
          <w:color w:val="auto"/>
          <w:spacing w:val="-24"/>
        </w:rPr>
        <w:t xml:space="preserve"> 元以上 </w:t>
      </w:r>
      <w:r>
        <w:rPr>
          <w:color w:val="auto"/>
        </w:rPr>
        <w:t>1500</w:t>
      </w:r>
      <w:r>
        <w:rPr>
          <w:color w:val="auto"/>
          <w:spacing w:val="-11"/>
        </w:rPr>
        <w:t xml:space="preserve"> 元以下罚款。</w:t>
      </w:r>
      <w:r>
        <w:rPr>
          <w:color w:val="auto"/>
        </w:rPr>
        <w:t>4</w:t>
      </w:r>
      <w:r>
        <w:rPr>
          <w:color w:val="auto"/>
          <w:spacing w:val="-18"/>
        </w:rPr>
        <w:t>、【特别严重】</w:t>
      </w:r>
    </w:p>
    <w:p>
      <w:pPr>
        <w:pStyle w:val="13"/>
        <w:numPr>
          <w:ilvl w:val="0"/>
          <w:numId w:val="82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使用属于强制检定的计量器具，经检定不合格继续使用 10 天以上的</w:t>
      </w:r>
    </w:p>
    <w:p>
      <w:pPr>
        <w:pStyle w:val="13"/>
        <w:numPr>
          <w:ilvl w:val="0"/>
          <w:numId w:val="82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责令停止使用，可以并处 1500 元以上 2000 元以下罚款。</w:t>
      </w:r>
    </w:p>
    <w:p>
      <w:pPr>
        <w:pStyle w:val="2"/>
        <w:spacing w:before="192" w:line="391" w:lineRule="auto"/>
        <w:ind w:left="111" w:right="237" w:firstLine="480"/>
        <w:rPr>
          <w:color w:val="auto"/>
        </w:rPr>
      </w:pPr>
      <w:bookmarkStart w:id="905" w:name="四百四十二、眼镜制配者使用非法定计量单位，或者使用国务院规定废除的非法定计量单位"/>
      <w:bookmarkEnd w:id="905"/>
      <w:bookmarkStart w:id="906" w:name="_bookmark452"/>
      <w:bookmarkEnd w:id="906"/>
      <w:r>
        <w:rPr>
          <w:color w:val="auto"/>
          <w:spacing w:val="-8"/>
        </w:rPr>
        <w:t>四百四十二、眼镜制配者使用非法定计量单位，或者使用国务院规定废除的非法定计量单位的计量器具和国务院禁止使用的其他计量器具</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1、《眼镜制配计量监督管理办法》第九条第（三）项“（三）使用非法定计量</w:t>
      </w:r>
      <w:r>
        <w:rPr>
          <w:color w:val="auto"/>
          <w:spacing w:val="-7"/>
        </w:rPr>
        <w:t>单位的，责令改正；使用国务院规定废除的非法定计量单位的计量器具和国务院禁止</w:t>
      </w:r>
      <w:r>
        <w:rPr>
          <w:color w:val="auto"/>
          <w:spacing w:val="-3"/>
        </w:rPr>
        <w:t xml:space="preserve">使用的其他计量器具的，责令停止使用，可以并处 </w:t>
      </w:r>
      <w:r>
        <w:rPr>
          <w:color w:val="auto"/>
        </w:rPr>
        <w:t>2000</w:t>
      </w:r>
      <w:r>
        <w:rPr>
          <w:color w:val="auto"/>
          <w:spacing w:val="-8"/>
        </w:rPr>
        <w:t xml:space="preserve"> 元以下罚款。”</w:t>
      </w:r>
    </w:p>
    <w:p>
      <w:pPr>
        <w:pStyle w:val="4"/>
        <w:spacing w:line="391" w:lineRule="auto"/>
        <w:ind w:right="268" w:firstLine="470"/>
        <w:jc w:val="both"/>
        <w:rPr>
          <w:color w:val="auto"/>
        </w:rPr>
      </w:pPr>
      <w:r>
        <w:rPr>
          <w:color w:val="auto"/>
        </w:rPr>
        <w:t>2、《眼镜制配计量监督管理办法》第四条第（六）项“（六）不得使用非法定</w:t>
      </w:r>
      <w:r>
        <w:rPr>
          <w:color w:val="auto"/>
          <w:spacing w:val="-7"/>
        </w:rPr>
        <w:t>计量单位，不得使用国务院规定废除的非法定计量单位的计量器具和国务院禁止使用</w:t>
      </w:r>
      <w:r>
        <w:rPr>
          <w:color w:val="auto"/>
        </w:rPr>
        <w:t>的其他计量器具。”</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2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line="391" w:lineRule="auto"/>
        <w:ind w:right="269" w:firstLine="480"/>
        <w:rPr>
          <w:color w:val="auto"/>
        </w:rPr>
      </w:pPr>
      <w:r>
        <w:rPr>
          <w:color w:val="auto"/>
          <w:spacing w:val="3"/>
        </w:rPr>
        <w:t>使用国务院规定废除的非法定计量单位的计量器具以及国家明令淘汰或者禁止</w:t>
      </w:r>
      <w:r>
        <w:rPr>
          <w:color w:val="auto"/>
          <w:spacing w:val="-5"/>
        </w:rPr>
        <w:t xml:space="preserve">使用的计量器具 </w:t>
      </w:r>
      <w:r>
        <w:rPr>
          <w:color w:val="auto"/>
        </w:rPr>
        <w:t>10</w:t>
      </w:r>
      <w:r>
        <w:rPr>
          <w:color w:val="auto"/>
          <w:spacing w:val="-10"/>
        </w:rPr>
        <w:t xml:space="preserve"> 天以下的。</w:t>
      </w:r>
    </w:p>
    <w:p>
      <w:pPr>
        <w:pStyle w:val="13"/>
        <w:numPr>
          <w:ilvl w:val="0"/>
          <w:numId w:val="82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312"/>
        <w:rPr>
          <w:color w:val="auto"/>
        </w:rPr>
      </w:pPr>
      <w:r>
        <w:rPr>
          <w:color w:val="auto"/>
          <w:spacing w:val="-6"/>
        </w:rPr>
        <w:t xml:space="preserve">责令停止使用，并处 </w:t>
      </w:r>
      <w:r>
        <w:rPr>
          <w:color w:val="auto"/>
        </w:rPr>
        <w:t>800</w:t>
      </w:r>
      <w:r>
        <w:rPr>
          <w:color w:val="auto"/>
          <w:spacing w:val="-10"/>
        </w:rPr>
        <w:t xml:space="preserve"> 元以下的罚款。</w:t>
      </w:r>
      <w:r>
        <w:rPr>
          <w:color w:val="auto"/>
        </w:rPr>
        <w:t>2</w:t>
      </w:r>
      <w:r>
        <w:rPr>
          <w:color w:val="auto"/>
          <w:spacing w:val="-24"/>
        </w:rPr>
        <w:t>、【较重】</w:t>
      </w:r>
    </w:p>
    <w:p>
      <w:pPr>
        <w:pStyle w:val="13"/>
        <w:numPr>
          <w:ilvl w:val="0"/>
          <w:numId w:val="82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使用国务院规定废除的非法定计量单位的计量器具以及国家明令淘汰或者禁止</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使用的计量器具 10 天以上 20 天以下的。</w:t>
      </w:r>
    </w:p>
    <w:p>
      <w:pPr>
        <w:pStyle w:val="13"/>
        <w:numPr>
          <w:ilvl w:val="0"/>
          <w:numId w:val="823"/>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2992"/>
        <w:rPr>
          <w:color w:val="auto"/>
        </w:rPr>
      </w:pPr>
      <w:r>
        <w:rPr>
          <w:color w:val="auto"/>
          <w:spacing w:val="-6"/>
        </w:rPr>
        <w:t xml:space="preserve">责令停止使用，并处 </w:t>
      </w:r>
      <w:r>
        <w:rPr>
          <w:color w:val="auto"/>
        </w:rPr>
        <w:t>800</w:t>
      </w:r>
      <w:r>
        <w:rPr>
          <w:color w:val="auto"/>
          <w:spacing w:val="-24"/>
        </w:rPr>
        <w:t xml:space="preserve"> 元以上 </w:t>
      </w:r>
      <w:r>
        <w:rPr>
          <w:color w:val="auto"/>
        </w:rPr>
        <w:t>1500</w:t>
      </w:r>
      <w:r>
        <w:rPr>
          <w:color w:val="auto"/>
          <w:spacing w:val="-10"/>
        </w:rPr>
        <w:t xml:space="preserve"> 元以下的罚款。</w:t>
      </w:r>
      <w:r>
        <w:rPr>
          <w:color w:val="auto"/>
        </w:rPr>
        <w:t>3</w:t>
      </w:r>
      <w:r>
        <w:rPr>
          <w:color w:val="auto"/>
          <w:spacing w:val="-24"/>
        </w:rPr>
        <w:t>、【严重】</w:t>
      </w:r>
    </w:p>
    <w:p>
      <w:pPr>
        <w:pStyle w:val="13"/>
        <w:numPr>
          <w:ilvl w:val="0"/>
          <w:numId w:val="824"/>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spacing w:val="3"/>
        </w:rPr>
        <w:t>使用国务院规定废除的非法定计量单位的计量器具以及国家明令淘汰或者禁止</w:t>
      </w:r>
      <w:r>
        <w:rPr>
          <w:color w:val="auto"/>
          <w:spacing w:val="-5"/>
        </w:rPr>
        <w:t xml:space="preserve">使用的计量器具 </w:t>
      </w:r>
      <w:r>
        <w:rPr>
          <w:color w:val="auto"/>
        </w:rPr>
        <w:t>20</w:t>
      </w:r>
      <w:r>
        <w:rPr>
          <w:color w:val="auto"/>
          <w:spacing w:val="-10"/>
        </w:rPr>
        <w:t xml:space="preserve"> 天以上的。</w:t>
      </w:r>
    </w:p>
    <w:p>
      <w:pPr>
        <w:pStyle w:val="13"/>
        <w:numPr>
          <w:ilvl w:val="0"/>
          <w:numId w:val="824"/>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责令停止使用，并处 1500 元以上 2000 元以下的罚款。</w:t>
      </w:r>
    </w:p>
    <w:p>
      <w:pPr>
        <w:pStyle w:val="2"/>
        <w:spacing w:before="191" w:line="391" w:lineRule="auto"/>
        <w:ind w:left="111" w:right="240" w:firstLine="480"/>
        <w:rPr>
          <w:color w:val="auto"/>
        </w:rPr>
      </w:pPr>
      <w:bookmarkStart w:id="907" w:name="_bookmark453"/>
      <w:bookmarkEnd w:id="907"/>
      <w:bookmarkStart w:id="908" w:name="四百四十三、眼镜镜片、角膜接触镜、成品眼镜生产者未配备与生产相适应的顶焦度、透过"/>
      <w:bookmarkEnd w:id="908"/>
      <w:r>
        <w:rPr>
          <w:color w:val="auto"/>
          <w:spacing w:val="-7"/>
        </w:rPr>
        <w:t>四百四十三、眼镜镜片、角膜接触镜、成品眼镜生产者未配备与生产相适应的顶焦度、透过率和厚度等计量检测设备</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114" w:firstLine="470"/>
        <w:rPr>
          <w:color w:val="auto"/>
        </w:rPr>
      </w:pPr>
      <w:r>
        <w:rPr>
          <w:color w:val="auto"/>
        </w:rPr>
        <w:t>1、《眼镜制配计量监督管理办法》第十条第（一）项“眼镜镜片、角膜接触镜、成品眼镜生产者违反本办法第五条有关规定，应当按照以下规定进行处罚：（一）违反本办法第五条第（一）项规定的，责令改正，可以并处 1000 元以上 10000 元以下罚款；拒不改正，情节严重的，建议工商主管部门吊销其营业执照。”</w:t>
      </w:r>
    </w:p>
    <w:p>
      <w:pPr>
        <w:pStyle w:val="4"/>
        <w:spacing w:line="388" w:lineRule="auto"/>
        <w:ind w:right="268" w:firstLine="470"/>
        <w:jc w:val="both"/>
        <w:rPr>
          <w:color w:val="auto"/>
        </w:rPr>
      </w:pPr>
      <w:r>
        <w:rPr>
          <w:color w:val="auto"/>
        </w:rPr>
        <w:t>2、《眼镜制配计量监督管理办法》第五条第（一）项“眼镜镜片、角膜接触镜</w:t>
      </w:r>
      <w:r>
        <w:rPr>
          <w:color w:val="auto"/>
          <w:spacing w:val="-2"/>
        </w:rPr>
        <w:t>和成品眼镜生产者除遵守本办法第四条规定外，还应当遵守以下规定：</w:t>
      </w:r>
      <w:r>
        <w:rPr>
          <w:color w:val="auto"/>
          <w:spacing w:val="-9"/>
        </w:rPr>
        <w:t>（</w:t>
      </w:r>
      <w:r>
        <w:rPr>
          <w:color w:val="auto"/>
        </w:rPr>
        <w:t>一</w:t>
      </w:r>
      <w:r>
        <w:rPr>
          <w:color w:val="auto"/>
          <w:spacing w:val="-10"/>
        </w:rPr>
        <w:t>）</w:t>
      </w:r>
      <w:r>
        <w:rPr>
          <w:color w:val="auto"/>
          <w:spacing w:val="-6"/>
        </w:rPr>
        <w:t>配备与</w:t>
      </w:r>
      <w:r>
        <w:rPr>
          <w:color w:val="auto"/>
        </w:rPr>
        <w:t>生产相适应的顶焦度、透过率和厚度等计量检测设备。”</w:t>
      </w:r>
    </w:p>
    <w:p>
      <w:pPr>
        <w:spacing w:before="2"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2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未配备与生产相适应的顶焦度、透过率和厚度等计量检测设备，缺少其中一种设备且在 10 天以下的。</w:t>
      </w:r>
    </w:p>
    <w:p>
      <w:pPr>
        <w:pStyle w:val="13"/>
        <w:numPr>
          <w:ilvl w:val="0"/>
          <w:numId w:val="82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4912"/>
        <w:rPr>
          <w:color w:val="auto"/>
        </w:rPr>
      </w:pPr>
      <w:r>
        <w:rPr>
          <w:color w:val="auto"/>
          <w:spacing w:val="-8"/>
        </w:rPr>
        <w:t xml:space="preserve">责令改正，并处 </w:t>
      </w:r>
      <w:r>
        <w:rPr>
          <w:color w:val="auto"/>
        </w:rPr>
        <w:t>2000</w:t>
      </w:r>
      <w:r>
        <w:rPr>
          <w:color w:val="auto"/>
          <w:spacing w:val="-11"/>
        </w:rPr>
        <w:t xml:space="preserve"> 元以下罚款。</w:t>
      </w:r>
      <w:r>
        <w:rPr>
          <w:color w:val="auto"/>
        </w:rPr>
        <w:t>2</w:t>
      </w:r>
      <w:r>
        <w:rPr>
          <w:color w:val="auto"/>
          <w:spacing w:val="-24"/>
        </w:rPr>
        <w:t>、【一般】</w:t>
      </w:r>
    </w:p>
    <w:p>
      <w:pPr>
        <w:pStyle w:val="13"/>
        <w:numPr>
          <w:ilvl w:val="0"/>
          <w:numId w:val="826"/>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未配备与生产相适应的顶焦度、透过率和厚度等计量检测设备，缺少其中一种设备且在 10 天以上的。</w:t>
      </w:r>
    </w:p>
    <w:p>
      <w:pPr>
        <w:pStyle w:val="13"/>
        <w:numPr>
          <w:ilvl w:val="0"/>
          <w:numId w:val="82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3592"/>
        <w:rPr>
          <w:color w:val="auto"/>
        </w:rPr>
      </w:pPr>
      <w:r>
        <w:rPr>
          <w:color w:val="auto"/>
          <w:spacing w:val="-8"/>
        </w:rPr>
        <w:t xml:space="preserve">责令改正，并处 </w:t>
      </w:r>
      <w:r>
        <w:rPr>
          <w:color w:val="auto"/>
        </w:rPr>
        <w:t>2000</w:t>
      </w:r>
      <w:r>
        <w:rPr>
          <w:color w:val="auto"/>
          <w:spacing w:val="-24"/>
        </w:rPr>
        <w:t xml:space="preserve"> 元以上 </w:t>
      </w:r>
      <w:r>
        <w:rPr>
          <w:color w:val="auto"/>
        </w:rPr>
        <w:t>4000</w:t>
      </w:r>
      <w:r>
        <w:rPr>
          <w:color w:val="auto"/>
          <w:spacing w:val="-11"/>
        </w:rPr>
        <w:t xml:space="preserve"> 元以下罚款。</w:t>
      </w:r>
      <w:r>
        <w:rPr>
          <w:color w:val="auto"/>
        </w:rPr>
        <w:t>3</w:t>
      </w:r>
      <w:r>
        <w:rPr>
          <w:color w:val="auto"/>
          <w:spacing w:val="-24"/>
        </w:rPr>
        <w:t>、【较重】</w:t>
      </w:r>
    </w:p>
    <w:p>
      <w:pPr>
        <w:pStyle w:val="13"/>
        <w:numPr>
          <w:ilvl w:val="0"/>
          <w:numId w:val="82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未配备与生产相适应的顶焦度、透过率和厚度等计量检测设备，缺少其中两种设备且在 10 天以下的。</w:t>
      </w:r>
    </w:p>
    <w:p>
      <w:pPr>
        <w:pStyle w:val="13"/>
        <w:numPr>
          <w:ilvl w:val="0"/>
          <w:numId w:val="82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3592"/>
        <w:rPr>
          <w:color w:val="auto"/>
        </w:rPr>
      </w:pPr>
      <w:r>
        <w:rPr>
          <w:color w:val="auto"/>
          <w:spacing w:val="-8"/>
        </w:rPr>
        <w:t xml:space="preserve">责令改正，并处 </w:t>
      </w:r>
      <w:r>
        <w:rPr>
          <w:color w:val="auto"/>
        </w:rPr>
        <w:t>4000</w:t>
      </w:r>
      <w:r>
        <w:rPr>
          <w:color w:val="auto"/>
          <w:spacing w:val="-24"/>
        </w:rPr>
        <w:t xml:space="preserve"> 元以上 </w:t>
      </w:r>
      <w:r>
        <w:rPr>
          <w:color w:val="auto"/>
        </w:rPr>
        <w:t>6000</w:t>
      </w:r>
      <w:r>
        <w:rPr>
          <w:color w:val="auto"/>
          <w:spacing w:val="-11"/>
        </w:rPr>
        <w:t xml:space="preserve"> 元以下罚款。</w:t>
      </w:r>
      <w:r>
        <w:rPr>
          <w:color w:val="auto"/>
        </w:rPr>
        <w:t>4</w:t>
      </w:r>
      <w:r>
        <w:rPr>
          <w:color w:val="auto"/>
          <w:spacing w:val="-24"/>
        </w:rPr>
        <w:t>、【严重】</w:t>
      </w:r>
    </w:p>
    <w:p>
      <w:pPr>
        <w:pStyle w:val="13"/>
        <w:numPr>
          <w:ilvl w:val="0"/>
          <w:numId w:val="82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未配备与生产相适应的顶焦度、透过率和厚度等计量检测设备，缺少其中两种设备且在 10 天以上的。</w:t>
      </w:r>
    </w:p>
    <w:p>
      <w:pPr>
        <w:pStyle w:val="13"/>
        <w:numPr>
          <w:ilvl w:val="0"/>
          <w:numId w:val="82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952"/>
        <w:rPr>
          <w:color w:val="auto"/>
        </w:rPr>
      </w:pPr>
      <w:r>
        <w:rPr>
          <w:color w:val="auto"/>
          <w:spacing w:val="-8"/>
        </w:rPr>
        <w:t xml:space="preserve">责令改正，并处 </w:t>
      </w:r>
      <w:r>
        <w:rPr>
          <w:color w:val="auto"/>
        </w:rPr>
        <w:t>6000</w:t>
      </w:r>
      <w:r>
        <w:rPr>
          <w:color w:val="auto"/>
          <w:spacing w:val="-24"/>
        </w:rPr>
        <w:t xml:space="preserve"> 元以上 </w:t>
      </w:r>
      <w:r>
        <w:rPr>
          <w:color w:val="auto"/>
        </w:rPr>
        <w:t>8000</w:t>
      </w:r>
      <w:r>
        <w:rPr>
          <w:color w:val="auto"/>
          <w:spacing w:val="-9"/>
        </w:rPr>
        <w:t xml:space="preserve"> 元以下罚款；通报营业执照发证部门。</w:t>
      </w:r>
      <w:r>
        <w:rPr>
          <w:color w:val="auto"/>
        </w:rPr>
        <w:t>5</w:t>
      </w:r>
      <w:r>
        <w:rPr>
          <w:color w:val="auto"/>
          <w:spacing w:val="-18"/>
        </w:rPr>
        <w:t>、【特别严重】</w:t>
      </w:r>
    </w:p>
    <w:p>
      <w:pPr>
        <w:pStyle w:val="13"/>
        <w:numPr>
          <w:ilvl w:val="0"/>
          <w:numId w:val="82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未配备与生产相适应的顶焦度、透过率和厚度等计量检测设备，缺少其中两种以上设备的。</w:t>
      </w:r>
    </w:p>
    <w:p>
      <w:pPr>
        <w:pStyle w:val="13"/>
        <w:numPr>
          <w:ilvl w:val="0"/>
          <w:numId w:val="82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责令改正，并处 8000 元以上 1 万元以下罚款；吊销营业执照。</w:t>
      </w:r>
    </w:p>
    <w:p>
      <w:pPr>
        <w:pStyle w:val="2"/>
        <w:spacing w:before="194" w:line="388" w:lineRule="auto"/>
        <w:ind w:left="111" w:right="240" w:firstLine="480"/>
        <w:rPr>
          <w:color w:val="auto"/>
        </w:rPr>
      </w:pPr>
      <w:bookmarkStart w:id="909" w:name="_bookmark454"/>
      <w:bookmarkEnd w:id="909"/>
      <w:bookmarkStart w:id="910" w:name="四百四十四、眼镜镜片、角膜接触镜、成品眼镜生产者出具的眼镜产品计量数据不准确可靠"/>
      <w:bookmarkEnd w:id="910"/>
      <w:r>
        <w:rPr>
          <w:color w:val="auto"/>
          <w:spacing w:val="-7"/>
        </w:rPr>
        <w:t>四百四十四、眼镜镜片、角膜接触镜、成品眼镜生产者出具的眼镜产品计量数据不准确可靠</w:t>
      </w:r>
    </w:p>
    <w:p>
      <w:pPr>
        <w:spacing w:before="3"/>
        <w:ind w:left="591" w:right="0" w:firstLine="0"/>
        <w:jc w:val="left"/>
        <w:rPr>
          <w:b/>
          <w:color w:val="auto"/>
          <w:sz w:val="24"/>
        </w:rPr>
      </w:pPr>
      <w:r>
        <w:rPr>
          <w:b/>
          <w:color w:val="auto"/>
          <w:sz w:val="24"/>
        </w:rPr>
        <w:t>（一）处罚依据</w:t>
      </w:r>
    </w:p>
    <w:p>
      <w:pPr>
        <w:pStyle w:val="4"/>
        <w:spacing w:before="194" w:line="388" w:lineRule="auto"/>
        <w:ind w:right="106" w:firstLine="470"/>
        <w:rPr>
          <w:color w:val="auto"/>
        </w:rPr>
      </w:pPr>
      <w:r>
        <w:rPr>
          <w:color w:val="auto"/>
        </w:rPr>
        <w:t>1、《眼镜制配计量监督管理办法》第十条第（二）项“眼镜镜片、角膜接触镜、成品眼镜生产者违反本办法第五条有关规定，应当按照以下规定进行处罚：（二）违反本办法第五条第（二）项规定，责令改正，给消费者造成损失的，责令赔偿损失，</w:t>
      </w:r>
    </w:p>
    <w:p>
      <w:pPr>
        <w:spacing w:after="0" w:line="388" w:lineRule="auto"/>
        <w:rPr>
          <w:color w:val="auto"/>
        </w:rPr>
        <w:sectPr>
          <w:pgSz w:w="11910" w:h="16840"/>
          <w:pgMar w:top="1520" w:right="1260" w:bottom="1220" w:left="1420" w:header="0" w:footer="1034" w:gutter="0"/>
        </w:sectPr>
      </w:pPr>
    </w:p>
    <w:p>
      <w:pPr>
        <w:pStyle w:val="4"/>
        <w:spacing w:before="39"/>
        <w:jc w:val="both"/>
        <w:rPr>
          <w:color w:val="auto"/>
        </w:rPr>
      </w:pPr>
      <w:r>
        <w:rPr>
          <w:color w:val="auto"/>
        </w:rPr>
        <w:t>可以并处 2000 元以下罚款。”</w:t>
      </w:r>
    </w:p>
    <w:p>
      <w:pPr>
        <w:pStyle w:val="4"/>
        <w:spacing w:before="195" w:line="388" w:lineRule="auto"/>
        <w:ind w:right="268" w:firstLine="470"/>
        <w:jc w:val="both"/>
        <w:rPr>
          <w:color w:val="auto"/>
        </w:rPr>
      </w:pPr>
      <w:r>
        <w:rPr>
          <w:color w:val="auto"/>
        </w:rPr>
        <w:t>2、《眼镜制配计量监督管理办法》第五条第（二）项“眼镜镜片、角膜接触镜和成品眼镜生产者除遵守本办法第四条规定外，还应当遵守以下规定： 保证出具的眼镜产品计量数据准确可靠。”</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3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出具的眼镜产品计量数据不准确，违法所得 1000 元以下的。</w:t>
      </w:r>
    </w:p>
    <w:p>
      <w:pPr>
        <w:pStyle w:val="13"/>
        <w:numPr>
          <w:ilvl w:val="0"/>
          <w:numId w:val="83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3352"/>
        <w:rPr>
          <w:color w:val="auto"/>
        </w:rPr>
      </w:pPr>
      <w:r>
        <w:rPr>
          <w:color w:val="auto"/>
          <w:spacing w:val="-4"/>
        </w:rPr>
        <w:t xml:space="preserve">责令改正，责令赔偿损失，并处 </w:t>
      </w:r>
      <w:r>
        <w:rPr>
          <w:color w:val="auto"/>
        </w:rPr>
        <w:t>800</w:t>
      </w:r>
      <w:r>
        <w:rPr>
          <w:color w:val="auto"/>
          <w:spacing w:val="-11"/>
        </w:rPr>
        <w:t xml:space="preserve"> 元以下罚款。</w:t>
      </w:r>
      <w:r>
        <w:rPr>
          <w:color w:val="auto"/>
        </w:rPr>
        <w:t>2</w:t>
      </w:r>
      <w:r>
        <w:rPr>
          <w:color w:val="auto"/>
          <w:spacing w:val="-24"/>
        </w:rPr>
        <w:t>、【较重】</w:t>
      </w:r>
    </w:p>
    <w:p>
      <w:pPr>
        <w:pStyle w:val="13"/>
        <w:numPr>
          <w:ilvl w:val="0"/>
          <w:numId w:val="83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出具的眼镜产品计量数据不准确，违法所得 1000 元以上 2000 元以下的。</w:t>
      </w:r>
    </w:p>
    <w:p>
      <w:pPr>
        <w:pStyle w:val="13"/>
        <w:numPr>
          <w:ilvl w:val="0"/>
          <w:numId w:val="831"/>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2032"/>
        <w:rPr>
          <w:color w:val="auto"/>
        </w:rPr>
      </w:pPr>
      <w:r>
        <w:rPr>
          <w:color w:val="auto"/>
          <w:spacing w:val="-4"/>
        </w:rPr>
        <w:t xml:space="preserve">责令改正，责令赔偿损失，并处 </w:t>
      </w:r>
      <w:r>
        <w:rPr>
          <w:color w:val="auto"/>
        </w:rPr>
        <w:t>800</w:t>
      </w:r>
      <w:r>
        <w:rPr>
          <w:color w:val="auto"/>
          <w:spacing w:val="-24"/>
        </w:rPr>
        <w:t xml:space="preserve"> 元以上 </w:t>
      </w:r>
      <w:r>
        <w:rPr>
          <w:color w:val="auto"/>
        </w:rPr>
        <w:t>1500</w:t>
      </w:r>
      <w:r>
        <w:rPr>
          <w:color w:val="auto"/>
          <w:spacing w:val="-11"/>
        </w:rPr>
        <w:t xml:space="preserve"> 元以下罚款。</w:t>
      </w:r>
      <w:r>
        <w:rPr>
          <w:color w:val="auto"/>
        </w:rPr>
        <w:t>3</w:t>
      </w:r>
      <w:r>
        <w:rPr>
          <w:color w:val="auto"/>
          <w:spacing w:val="-24"/>
        </w:rPr>
        <w:t>、【严重】</w:t>
      </w:r>
    </w:p>
    <w:p>
      <w:pPr>
        <w:pStyle w:val="13"/>
        <w:numPr>
          <w:ilvl w:val="0"/>
          <w:numId w:val="832"/>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line="388" w:lineRule="auto"/>
        <w:ind w:right="213" w:firstLine="480"/>
        <w:rPr>
          <w:color w:val="auto"/>
        </w:rPr>
      </w:pPr>
      <w:r>
        <w:rPr>
          <w:color w:val="auto"/>
        </w:rPr>
        <w:t>出具的眼镜产品计量数据不准确，违法所得 2000 元以上的或者给消费者人身健康造成损失的。</w:t>
      </w:r>
    </w:p>
    <w:p>
      <w:pPr>
        <w:pStyle w:val="13"/>
        <w:numPr>
          <w:ilvl w:val="0"/>
          <w:numId w:val="832"/>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责令改正，责令赔偿损失，并处 1500 元以上 2000 元以下罚款。</w:t>
      </w:r>
    </w:p>
    <w:p>
      <w:pPr>
        <w:pStyle w:val="2"/>
        <w:spacing w:before="191" w:line="391" w:lineRule="auto"/>
        <w:ind w:left="111" w:right="237" w:firstLine="480"/>
        <w:jc w:val="both"/>
        <w:rPr>
          <w:color w:val="auto"/>
        </w:rPr>
      </w:pPr>
      <w:bookmarkStart w:id="911" w:name="_bookmark455"/>
      <w:bookmarkEnd w:id="911"/>
      <w:bookmarkStart w:id="912" w:name="四百四十五、从事眼镜镜片、角膜接触镜、成品眼镜销售以及从事配镜验光、定配眼镜、角"/>
      <w:bookmarkEnd w:id="912"/>
      <w:r>
        <w:rPr>
          <w:color w:val="auto"/>
          <w:spacing w:val="-6"/>
        </w:rPr>
        <w:t>四百四十五、从事眼镜镜片、角膜接触镜、成品眼镜销售以及从事配镜验光、定</w:t>
      </w:r>
      <w:r>
        <w:rPr>
          <w:color w:val="auto"/>
          <w:spacing w:val="-9"/>
        </w:rPr>
        <w:t>配眼镜、角膜接触镜配戴经营者未配备与销售、经营业务相适应的验光、瞳距、顶焦度、透过率、厚度等计量检测设备</w:t>
      </w:r>
    </w:p>
    <w:p>
      <w:pPr>
        <w:spacing w:before="0" w:line="304" w:lineRule="exact"/>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rPr>
        <w:t>1、《眼镜制配计量监督管理办法》第十一条第（二）项“从事眼镜镜片、角膜</w:t>
      </w:r>
      <w:r>
        <w:rPr>
          <w:color w:val="auto"/>
          <w:spacing w:val="-6"/>
        </w:rPr>
        <w:t>接触镜、成品眼镜销售以及从事配镜验光、定配眼镜、角膜接触镜配戴经营者违反本</w:t>
      </w:r>
      <w:r>
        <w:rPr>
          <w:color w:val="auto"/>
        </w:rPr>
        <w:t>办法第六条有关规定，应当按照以下规定进行处罚： 违反本办法第六条第（二）项</w:t>
      </w:r>
    </w:p>
    <w:p>
      <w:pPr>
        <w:spacing w:after="0" w:line="388" w:lineRule="auto"/>
        <w:jc w:val="both"/>
        <w:rPr>
          <w:color w:val="auto"/>
        </w:rPr>
        <w:sectPr>
          <w:pgSz w:w="11910" w:h="16840"/>
          <w:pgMar w:top="1520" w:right="1260" w:bottom="1220" w:left="1420" w:header="0" w:footer="1034" w:gutter="0"/>
        </w:sectPr>
      </w:pPr>
    </w:p>
    <w:p>
      <w:pPr>
        <w:pStyle w:val="4"/>
        <w:spacing w:before="39" w:line="391" w:lineRule="auto"/>
        <w:ind w:right="271"/>
        <w:jc w:val="both"/>
        <w:rPr>
          <w:color w:val="auto"/>
        </w:rPr>
      </w:pPr>
      <w:r>
        <w:rPr>
          <w:color w:val="auto"/>
          <w:spacing w:val="-4"/>
        </w:rPr>
        <w:t xml:space="preserve">规定的，责令改正，可以并处 </w:t>
      </w:r>
      <w:r>
        <w:rPr>
          <w:color w:val="auto"/>
        </w:rPr>
        <w:t>1000</w:t>
      </w:r>
      <w:r>
        <w:rPr>
          <w:color w:val="auto"/>
          <w:spacing w:val="-19"/>
        </w:rPr>
        <w:t xml:space="preserve"> 元以上 </w:t>
      </w:r>
      <w:r>
        <w:rPr>
          <w:color w:val="auto"/>
        </w:rPr>
        <w:t>10000</w:t>
      </w:r>
      <w:r>
        <w:rPr>
          <w:color w:val="auto"/>
          <w:spacing w:val="-7"/>
        </w:rPr>
        <w:t xml:space="preserve"> 元以下罚款；拒不改正，情节严重的，建议工商主管部门吊销其营业执照。”</w:t>
      </w:r>
    </w:p>
    <w:p>
      <w:pPr>
        <w:pStyle w:val="4"/>
        <w:spacing w:line="391" w:lineRule="auto"/>
        <w:ind w:right="268" w:firstLine="470"/>
        <w:jc w:val="both"/>
        <w:rPr>
          <w:color w:val="auto"/>
        </w:rPr>
      </w:pPr>
      <w:r>
        <w:rPr>
          <w:color w:val="auto"/>
        </w:rPr>
        <w:t>2、《眼镜制配计量监督管理办法》第六条第（二）项“（二）眼镜镜片、角膜</w:t>
      </w:r>
      <w:r>
        <w:rPr>
          <w:color w:val="auto"/>
          <w:spacing w:val="-6"/>
        </w:rPr>
        <w:t>接触镜、成品眼镜销售者以及从事配镜验光、定配眼镜、角膜接触镜配戴的经营者除</w:t>
      </w:r>
      <w:r>
        <w:rPr>
          <w:color w:val="auto"/>
          <w:spacing w:val="-4"/>
        </w:rPr>
        <w:t>遵守本办法第四条规定外，还应当遵守以下规定：配备与销售、经营业务相适应的验</w:t>
      </w:r>
      <w:r>
        <w:rPr>
          <w:color w:val="auto"/>
        </w:rPr>
        <w:t>光、瞳距、顶焦度、透过率、厚度等计量检测设备。”</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3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5" w:line="391" w:lineRule="auto"/>
        <w:ind w:right="266" w:firstLine="480"/>
        <w:rPr>
          <w:color w:val="auto"/>
        </w:rPr>
      </w:pPr>
      <w:r>
        <w:rPr>
          <w:color w:val="auto"/>
          <w:spacing w:val="-7"/>
        </w:rPr>
        <w:t>未配备与销售、经营业务相适应的验光、瞳距、顶焦度、透过率、厚度等计量检</w:t>
      </w:r>
      <w:r>
        <w:rPr>
          <w:color w:val="auto"/>
          <w:spacing w:val="-4"/>
        </w:rPr>
        <w:t xml:space="preserve">测设备，缺少其中一种设备且在 </w:t>
      </w:r>
      <w:r>
        <w:rPr>
          <w:color w:val="auto"/>
        </w:rPr>
        <w:t>10</w:t>
      </w:r>
      <w:r>
        <w:rPr>
          <w:color w:val="auto"/>
          <w:spacing w:val="-10"/>
        </w:rPr>
        <w:t xml:space="preserve"> 天以下的。</w:t>
      </w:r>
    </w:p>
    <w:p>
      <w:pPr>
        <w:pStyle w:val="13"/>
        <w:numPr>
          <w:ilvl w:val="0"/>
          <w:numId w:val="83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912"/>
        <w:rPr>
          <w:color w:val="auto"/>
        </w:rPr>
      </w:pPr>
      <w:r>
        <w:rPr>
          <w:color w:val="auto"/>
          <w:spacing w:val="-8"/>
        </w:rPr>
        <w:t xml:space="preserve">责令改正，并处 </w:t>
      </w:r>
      <w:r>
        <w:rPr>
          <w:color w:val="auto"/>
        </w:rPr>
        <w:t>2000</w:t>
      </w:r>
      <w:r>
        <w:rPr>
          <w:color w:val="auto"/>
          <w:spacing w:val="-11"/>
        </w:rPr>
        <w:t xml:space="preserve"> 元以下罚款。</w:t>
      </w:r>
      <w:r>
        <w:rPr>
          <w:color w:val="auto"/>
        </w:rPr>
        <w:t>2</w:t>
      </w:r>
      <w:r>
        <w:rPr>
          <w:color w:val="auto"/>
          <w:spacing w:val="-24"/>
        </w:rPr>
        <w:t>、【一般】</w:t>
      </w:r>
    </w:p>
    <w:p>
      <w:pPr>
        <w:pStyle w:val="13"/>
        <w:numPr>
          <w:ilvl w:val="0"/>
          <w:numId w:val="83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6" w:firstLine="480"/>
        <w:rPr>
          <w:color w:val="auto"/>
        </w:rPr>
      </w:pPr>
      <w:r>
        <w:rPr>
          <w:color w:val="auto"/>
          <w:spacing w:val="-7"/>
        </w:rPr>
        <w:t>未配备与销售、经营业务相适应的验光、瞳距、顶焦度、透过率、厚度等计量检</w:t>
      </w:r>
      <w:r>
        <w:rPr>
          <w:color w:val="auto"/>
          <w:spacing w:val="-4"/>
        </w:rPr>
        <w:t xml:space="preserve">测设备，缺少其中一种设备且在 </w:t>
      </w:r>
      <w:r>
        <w:rPr>
          <w:color w:val="auto"/>
        </w:rPr>
        <w:t>10</w:t>
      </w:r>
      <w:r>
        <w:rPr>
          <w:color w:val="auto"/>
          <w:spacing w:val="-10"/>
        </w:rPr>
        <w:t xml:space="preserve"> 天以上的。</w:t>
      </w:r>
    </w:p>
    <w:p>
      <w:pPr>
        <w:pStyle w:val="13"/>
        <w:numPr>
          <w:ilvl w:val="0"/>
          <w:numId w:val="83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3592"/>
        <w:rPr>
          <w:color w:val="auto"/>
        </w:rPr>
      </w:pPr>
      <w:r>
        <w:rPr>
          <w:color w:val="auto"/>
          <w:spacing w:val="-8"/>
        </w:rPr>
        <w:t xml:space="preserve">责令改正，并处 </w:t>
      </w:r>
      <w:r>
        <w:rPr>
          <w:color w:val="auto"/>
        </w:rPr>
        <w:t>2000</w:t>
      </w:r>
      <w:r>
        <w:rPr>
          <w:color w:val="auto"/>
          <w:spacing w:val="-24"/>
        </w:rPr>
        <w:t xml:space="preserve"> 元以上 </w:t>
      </w:r>
      <w:r>
        <w:rPr>
          <w:color w:val="auto"/>
        </w:rPr>
        <w:t>4000</w:t>
      </w:r>
      <w:r>
        <w:rPr>
          <w:color w:val="auto"/>
          <w:spacing w:val="-11"/>
        </w:rPr>
        <w:t xml:space="preserve"> 元以下罚款。</w:t>
      </w:r>
      <w:r>
        <w:rPr>
          <w:color w:val="auto"/>
        </w:rPr>
        <w:t>3</w:t>
      </w:r>
      <w:r>
        <w:rPr>
          <w:color w:val="auto"/>
          <w:spacing w:val="-24"/>
        </w:rPr>
        <w:t>、【较重】</w:t>
      </w:r>
    </w:p>
    <w:p>
      <w:pPr>
        <w:pStyle w:val="13"/>
        <w:numPr>
          <w:ilvl w:val="0"/>
          <w:numId w:val="83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6" w:firstLine="480"/>
        <w:rPr>
          <w:color w:val="auto"/>
        </w:rPr>
      </w:pPr>
      <w:r>
        <w:rPr>
          <w:color w:val="auto"/>
          <w:spacing w:val="-7"/>
        </w:rPr>
        <w:t>未配备与销售、经营业务相适应的验光、瞳距、顶焦度、透过率、厚度等计量检</w:t>
      </w:r>
      <w:r>
        <w:rPr>
          <w:color w:val="auto"/>
          <w:spacing w:val="-4"/>
        </w:rPr>
        <w:t xml:space="preserve">测设备，缺少其中两种设备且在 </w:t>
      </w:r>
      <w:r>
        <w:rPr>
          <w:color w:val="auto"/>
        </w:rPr>
        <w:t>10</w:t>
      </w:r>
      <w:r>
        <w:rPr>
          <w:color w:val="auto"/>
          <w:spacing w:val="-10"/>
        </w:rPr>
        <w:t xml:space="preserve"> 天以下的。</w:t>
      </w:r>
    </w:p>
    <w:p>
      <w:pPr>
        <w:pStyle w:val="13"/>
        <w:numPr>
          <w:ilvl w:val="0"/>
          <w:numId w:val="83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3592"/>
        <w:rPr>
          <w:color w:val="auto"/>
        </w:rPr>
      </w:pPr>
      <w:r>
        <w:rPr>
          <w:color w:val="auto"/>
          <w:spacing w:val="-8"/>
        </w:rPr>
        <w:t xml:space="preserve">责令改正，并处 </w:t>
      </w:r>
      <w:r>
        <w:rPr>
          <w:color w:val="auto"/>
        </w:rPr>
        <w:t>4000</w:t>
      </w:r>
      <w:r>
        <w:rPr>
          <w:color w:val="auto"/>
          <w:spacing w:val="-24"/>
        </w:rPr>
        <w:t xml:space="preserve"> 元以上 </w:t>
      </w:r>
      <w:r>
        <w:rPr>
          <w:color w:val="auto"/>
        </w:rPr>
        <w:t>6000</w:t>
      </w:r>
      <w:r>
        <w:rPr>
          <w:color w:val="auto"/>
          <w:spacing w:val="-11"/>
        </w:rPr>
        <w:t xml:space="preserve"> 元以下罚款。</w:t>
      </w:r>
      <w:r>
        <w:rPr>
          <w:color w:val="auto"/>
        </w:rPr>
        <w:t>4</w:t>
      </w:r>
      <w:r>
        <w:rPr>
          <w:color w:val="auto"/>
          <w:spacing w:val="-24"/>
        </w:rPr>
        <w:t>、【严重】</w:t>
      </w:r>
    </w:p>
    <w:p>
      <w:pPr>
        <w:pStyle w:val="13"/>
        <w:numPr>
          <w:ilvl w:val="0"/>
          <w:numId w:val="83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未配备与销售、经营业务相适应的验光、瞳距、顶焦度、透过率、厚度等计量检</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测设备，缺少其中两种设备且在 10 天以上的。</w:t>
      </w:r>
    </w:p>
    <w:p>
      <w:pPr>
        <w:pStyle w:val="13"/>
        <w:numPr>
          <w:ilvl w:val="0"/>
          <w:numId w:val="836"/>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952"/>
        <w:rPr>
          <w:color w:val="auto"/>
        </w:rPr>
      </w:pPr>
      <w:r>
        <w:rPr>
          <w:color w:val="auto"/>
          <w:spacing w:val="-8"/>
        </w:rPr>
        <w:t xml:space="preserve">责令改正，并处 </w:t>
      </w:r>
      <w:r>
        <w:rPr>
          <w:color w:val="auto"/>
        </w:rPr>
        <w:t>6000</w:t>
      </w:r>
      <w:r>
        <w:rPr>
          <w:color w:val="auto"/>
          <w:spacing w:val="-24"/>
        </w:rPr>
        <w:t xml:space="preserve"> 元以上 </w:t>
      </w:r>
      <w:r>
        <w:rPr>
          <w:color w:val="auto"/>
        </w:rPr>
        <w:t>8000</w:t>
      </w:r>
      <w:r>
        <w:rPr>
          <w:color w:val="auto"/>
          <w:spacing w:val="-9"/>
        </w:rPr>
        <w:t xml:space="preserve"> 元以下罚款；通报营业执照发证部门。</w:t>
      </w:r>
      <w:r>
        <w:rPr>
          <w:color w:val="auto"/>
        </w:rPr>
        <w:t>5</w:t>
      </w:r>
      <w:r>
        <w:rPr>
          <w:color w:val="auto"/>
          <w:spacing w:val="-18"/>
        </w:rPr>
        <w:t>、【特别严重】</w:t>
      </w:r>
    </w:p>
    <w:p>
      <w:pPr>
        <w:pStyle w:val="13"/>
        <w:numPr>
          <w:ilvl w:val="0"/>
          <w:numId w:val="83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66" w:firstLine="480"/>
        <w:rPr>
          <w:color w:val="auto"/>
        </w:rPr>
      </w:pPr>
      <w:r>
        <w:rPr>
          <w:color w:val="auto"/>
          <w:spacing w:val="-7"/>
        </w:rPr>
        <w:t>未配备与销售、经营业务相适应的验光、瞳距、顶焦度、透过率、厚度等计量检</w:t>
      </w:r>
      <w:r>
        <w:rPr>
          <w:color w:val="auto"/>
        </w:rPr>
        <w:t>测设备，缺少其中三种以上设备的</w:t>
      </w:r>
    </w:p>
    <w:p>
      <w:pPr>
        <w:pStyle w:val="13"/>
        <w:numPr>
          <w:ilvl w:val="0"/>
          <w:numId w:val="837"/>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8000 元以上 1 万元以下罚款；吊销营业执照。</w:t>
      </w:r>
    </w:p>
    <w:p>
      <w:pPr>
        <w:pStyle w:val="2"/>
        <w:spacing w:before="191" w:line="391" w:lineRule="auto"/>
        <w:ind w:left="111" w:right="193" w:firstLine="480"/>
        <w:rPr>
          <w:color w:val="auto"/>
        </w:rPr>
      </w:pPr>
      <w:bookmarkStart w:id="913" w:name="_bookmark456"/>
      <w:bookmarkEnd w:id="913"/>
      <w:bookmarkStart w:id="914" w:name="四百四十六、从事眼镜镜片、角膜接触镜、成品眼镜销售以及从事配镜验光、定配眼镜、角"/>
      <w:bookmarkEnd w:id="914"/>
      <w:r>
        <w:rPr>
          <w:color w:val="auto"/>
        </w:rPr>
        <w:t>四百四十六、从事眼镜镜片、角膜接触镜、成品眼镜销售以及从事配镜验光、定配眼镜、角膜接触镜配戴经营者未配备与经营业务相适应的眼科计量检测设备</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1、《眼镜制配计量监督管理办法》第十一条第（三）项“从事眼镜镜片、角膜</w:t>
      </w:r>
      <w:r>
        <w:rPr>
          <w:color w:val="auto"/>
          <w:spacing w:val="-6"/>
        </w:rPr>
        <w:t>接触镜、成品眼镜销售以及从事配镜验光、定配眼镜、角膜接触镜配戴经营者违反本</w:t>
      </w:r>
      <w:r>
        <w:rPr>
          <w:color w:val="auto"/>
          <w:spacing w:val="-2"/>
        </w:rPr>
        <w:t>办法第六条有关规定，应当按照以下规定进行处罚：</w:t>
      </w:r>
      <w:r>
        <w:rPr>
          <w:color w:val="auto"/>
          <w:spacing w:val="-9"/>
        </w:rPr>
        <w:t>（</w:t>
      </w:r>
      <w:r>
        <w:rPr>
          <w:color w:val="auto"/>
        </w:rPr>
        <w:t>三</w:t>
      </w:r>
      <w:r>
        <w:rPr>
          <w:color w:val="auto"/>
          <w:spacing w:val="-10"/>
        </w:rPr>
        <w:t>）</w:t>
      </w:r>
      <w:r>
        <w:rPr>
          <w:color w:val="auto"/>
          <w:spacing w:val="-2"/>
        </w:rPr>
        <w:t xml:space="preserve">违反本办法第六条第(三) </w:t>
      </w:r>
      <w:r>
        <w:rPr>
          <w:color w:val="auto"/>
          <w:spacing w:val="-4"/>
        </w:rPr>
        <w:t xml:space="preserve">项规定的，责令改正，可以并处 </w:t>
      </w:r>
      <w:r>
        <w:rPr>
          <w:color w:val="auto"/>
        </w:rPr>
        <w:t>2000</w:t>
      </w:r>
      <w:r>
        <w:rPr>
          <w:color w:val="auto"/>
          <w:spacing w:val="-8"/>
        </w:rPr>
        <w:t xml:space="preserve"> 元以下罚款。”</w:t>
      </w:r>
    </w:p>
    <w:p>
      <w:pPr>
        <w:pStyle w:val="4"/>
        <w:spacing w:line="391" w:lineRule="auto"/>
        <w:ind w:right="115" w:firstLine="470"/>
        <w:rPr>
          <w:color w:val="auto"/>
        </w:rPr>
      </w:pPr>
      <w:r>
        <w:rPr>
          <w:color w:val="auto"/>
        </w:rPr>
        <w:t>2、《眼镜制配计量监督管理办法》第六条第（三）项“眼镜镜片、角膜接触镜、成品眼镜销售者以及从事配镜验光、定配眼镜、角膜接触镜配戴的经营者除遵守本办法第四条规定外，还应当遵守以下规定 从事角膜接触镜配戴的经营者还应当配备与经营业务相适应的眼科计量检测设备。”</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3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7" w:line="388" w:lineRule="auto"/>
        <w:ind w:right="213" w:firstLine="480"/>
        <w:rPr>
          <w:color w:val="auto"/>
        </w:rPr>
      </w:pPr>
      <w:r>
        <w:rPr>
          <w:color w:val="auto"/>
        </w:rPr>
        <w:t>未配备与经营业务相适应的眼科计量检测设备，缺少其中一种设备且在 10 天以下的。</w:t>
      </w:r>
    </w:p>
    <w:p>
      <w:pPr>
        <w:pStyle w:val="13"/>
        <w:numPr>
          <w:ilvl w:val="0"/>
          <w:numId w:val="83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5032"/>
        <w:rPr>
          <w:color w:val="auto"/>
        </w:rPr>
      </w:pPr>
      <w:r>
        <w:rPr>
          <w:color w:val="auto"/>
          <w:spacing w:val="-8"/>
        </w:rPr>
        <w:t xml:space="preserve">责令改正，并处 </w:t>
      </w:r>
      <w:r>
        <w:rPr>
          <w:color w:val="auto"/>
        </w:rPr>
        <w:t>800</w:t>
      </w:r>
      <w:r>
        <w:rPr>
          <w:color w:val="auto"/>
          <w:spacing w:val="-11"/>
        </w:rPr>
        <w:t xml:space="preserve"> 元以下罚款。</w:t>
      </w:r>
      <w:r>
        <w:rPr>
          <w:color w:val="auto"/>
        </w:rPr>
        <w:t>2</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839"/>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未配备与经营业务相适应的眼科计量检测设备，缺少其中两种设备且在 10 天以下的。</w:t>
      </w:r>
    </w:p>
    <w:p>
      <w:pPr>
        <w:pStyle w:val="13"/>
        <w:numPr>
          <w:ilvl w:val="0"/>
          <w:numId w:val="83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712"/>
        <w:rPr>
          <w:color w:val="auto"/>
        </w:rPr>
      </w:pPr>
      <w:r>
        <w:rPr>
          <w:color w:val="auto"/>
          <w:spacing w:val="-8"/>
        </w:rPr>
        <w:t xml:space="preserve">责令改正，并处 </w:t>
      </w:r>
      <w:r>
        <w:rPr>
          <w:color w:val="auto"/>
        </w:rPr>
        <w:t>800</w:t>
      </w:r>
      <w:r>
        <w:rPr>
          <w:color w:val="auto"/>
          <w:spacing w:val="-24"/>
        </w:rPr>
        <w:t xml:space="preserve"> 元以上 </w:t>
      </w:r>
      <w:r>
        <w:rPr>
          <w:color w:val="auto"/>
        </w:rPr>
        <w:t>1500</w:t>
      </w:r>
      <w:r>
        <w:rPr>
          <w:color w:val="auto"/>
          <w:spacing w:val="-11"/>
        </w:rPr>
        <w:t xml:space="preserve"> 元以下罚款。</w:t>
      </w:r>
      <w:r>
        <w:rPr>
          <w:color w:val="auto"/>
        </w:rPr>
        <w:t>3</w:t>
      </w:r>
      <w:r>
        <w:rPr>
          <w:color w:val="auto"/>
          <w:spacing w:val="-24"/>
        </w:rPr>
        <w:t>、【严重】</w:t>
      </w:r>
    </w:p>
    <w:p>
      <w:pPr>
        <w:pStyle w:val="13"/>
        <w:numPr>
          <w:ilvl w:val="0"/>
          <w:numId w:val="84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未配备与经营业务相适应的眼科计量检测设备，缺少其中三种及以上设备的</w:t>
      </w:r>
    </w:p>
    <w:p>
      <w:pPr>
        <w:pStyle w:val="13"/>
        <w:numPr>
          <w:ilvl w:val="0"/>
          <w:numId w:val="84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81"/>
        <w:rPr>
          <w:color w:val="auto"/>
        </w:rPr>
      </w:pPr>
      <w:r>
        <w:rPr>
          <w:color w:val="auto"/>
        </w:rPr>
        <w:t>责令改正，并处 1500 元以上 2000 元以下罚款。</w:t>
      </w:r>
    </w:p>
    <w:p>
      <w:pPr>
        <w:pStyle w:val="2"/>
        <w:spacing w:before="195" w:line="388" w:lineRule="auto"/>
        <w:ind w:left="111" w:right="193" w:firstLine="480"/>
        <w:rPr>
          <w:color w:val="auto"/>
        </w:rPr>
      </w:pPr>
      <w:bookmarkStart w:id="915" w:name="_bookmark457"/>
      <w:bookmarkEnd w:id="915"/>
      <w:bookmarkStart w:id="916" w:name="四百四十七、从事眼镜镜片、角膜接触镜、成品眼镜销售以及从事配镜验光、定配眼镜、角"/>
      <w:bookmarkEnd w:id="916"/>
      <w:r>
        <w:rPr>
          <w:color w:val="auto"/>
        </w:rPr>
        <w:t>四百四十七、从事眼镜镜片、角膜接触镜、成品眼镜销售以及从事配镜验光、定配眼镜、角膜接触镜配戴经营者出具的眼镜产品计量数据不准确可靠</w:t>
      </w:r>
    </w:p>
    <w:p>
      <w:pPr>
        <w:spacing w:before="2"/>
        <w:ind w:left="591" w:right="0" w:firstLine="0"/>
        <w:jc w:val="left"/>
        <w:rPr>
          <w:b/>
          <w:color w:val="auto"/>
          <w:sz w:val="24"/>
        </w:rPr>
      </w:pPr>
      <w:r>
        <w:rPr>
          <w:b/>
          <w:color w:val="auto"/>
          <w:sz w:val="24"/>
        </w:rPr>
        <w:t>（一）处罚依据</w:t>
      </w:r>
    </w:p>
    <w:p>
      <w:pPr>
        <w:pStyle w:val="4"/>
        <w:spacing w:before="194" w:line="391" w:lineRule="auto"/>
        <w:ind w:right="145" w:firstLine="470"/>
        <w:rPr>
          <w:color w:val="auto"/>
        </w:rPr>
      </w:pPr>
      <w:r>
        <w:rPr>
          <w:color w:val="auto"/>
        </w:rPr>
        <w:t>1、《眼镜制配计量监督管理办法》第十一条第（四）项“从事眼镜镜片、角膜</w:t>
      </w:r>
      <w:r>
        <w:rPr>
          <w:color w:val="auto"/>
          <w:spacing w:val="-5"/>
        </w:rPr>
        <w:t>接触镜、成品眼镜销售以及从事配镜验光、定配眼镜、角膜接触镜配戴经营者违反本</w:t>
      </w:r>
      <w:r>
        <w:rPr>
          <w:color w:val="auto"/>
          <w:spacing w:val="-10"/>
        </w:rPr>
        <w:t>办法第六条有关规定，应当按照以下规定进行处罚：</w:t>
      </w:r>
      <w:r>
        <w:rPr>
          <w:color w:val="auto"/>
          <w:spacing w:val="-32"/>
        </w:rPr>
        <w:t>（</w:t>
      </w:r>
      <w:r>
        <w:rPr>
          <w:color w:val="auto"/>
        </w:rPr>
        <w:t>四</w:t>
      </w:r>
      <w:r>
        <w:rPr>
          <w:color w:val="auto"/>
          <w:spacing w:val="-32"/>
        </w:rPr>
        <w:t>）</w:t>
      </w:r>
      <w:r>
        <w:rPr>
          <w:color w:val="auto"/>
          <w:spacing w:val="-4"/>
        </w:rPr>
        <w:t>违反本办法第六条第</w:t>
      </w:r>
      <w:r>
        <w:rPr>
          <w:color w:val="auto"/>
        </w:rPr>
        <w:t>（四</w:t>
      </w:r>
      <w:r>
        <w:rPr>
          <w:color w:val="auto"/>
          <w:spacing w:val="-15"/>
        </w:rPr>
        <w:t xml:space="preserve">） </w:t>
      </w:r>
      <w:r>
        <w:rPr>
          <w:color w:val="auto"/>
          <w:spacing w:val="-5"/>
        </w:rPr>
        <w:t>项规定的，责令改正，给消费者造成损失的，责令赔偿损失，没收全部违法所得，可</w:t>
      </w:r>
      <w:r>
        <w:rPr>
          <w:color w:val="auto"/>
          <w:spacing w:val="-19"/>
        </w:rPr>
        <w:t xml:space="preserve">以并处 </w:t>
      </w:r>
      <w:r>
        <w:rPr>
          <w:color w:val="auto"/>
        </w:rPr>
        <w:t>2000</w:t>
      </w:r>
      <w:r>
        <w:rPr>
          <w:color w:val="auto"/>
          <w:spacing w:val="-8"/>
        </w:rPr>
        <w:t xml:space="preserve"> 元以下罚款。”</w:t>
      </w:r>
    </w:p>
    <w:p>
      <w:pPr>
        <w:pStyle w:val="4"/>
        <w:spacing w:line="391" w:lineRule="auto"/>
        <w:ind w:right="122" w:firstLine="470"/>
        <w:rPr>
          <w:color w:val="auto"/>
        </w:rPr>
      </w:pPr>
      <w:r>
        <w:rPr>
          <w:color w:val="auto"/>
        </w:rPr>
        <w:t>2、《眼镜制配计量监督管理办法》第六条第（四）项“眼镜镜片、角膜接触镜、成品眼镜销售者以及从事配镜验光、定配眼镜、角膜接触镜配戴的经营者除遵守本办法第四条规定外，还应当遵守以下规定：（四）保证出具的眼镜产品计量数据准确可靠。”</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4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5"/>
        <w:ind w:left="591"/>
        <w:rPr>
          <w:color w:val="auto"/>
        </w:rPr>
      </w:pPr>
      <w:r>
        <w:rPr>
          <w:color w:val="auto"/>
        </w:rPr>
        <w:t>出具的眼镜产品计量数据不准确，违法所得 500 元以下的。</w:t>
      </w:r>
    </w:p>
    <w:p>
      <w:pPr>
        <w:pStyle w:val="13"/>
        <w:numPr>
          <w:ilvl w:val="0"/>
          <w:numId w:val="84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责令改正，责令赔偿损失，没收全部违法所得，并处 800 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2、【较重】</w:t>
      </w:r>
    </w:p>
    <w:p>
      <w:pPr>
        <w:pStyle w:val="13"/>
        <w:numPr>
          <w:ilvl w:val="0"/>
          <w:numId w:val="842"/>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出具的眼镜产品计量数据不准确，违法所得 500 元以上 2000 元以下的。</w:t>
      </w:r>
    </w:p>
    <w:p>
      <w:pPr>
        <w:pStyle w:val="13"/>
        <w:numPr>
          <w:ilvl w:val="0"/>
          <w:numId w:val="84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71" w:firstLine="480"/>
        <w:rPr>
          <w:color w:val="auto"/>
        </w:rPr>
      </w:pPr>
      <w:r>
        <w:rPr>
          <w:color w:val="auto"/>
          <w:spacing w:val="-2"/>
        </w:rPr>
        <w:t xml:space="preserve">责令改正，责令赔偿损失，没收全部违法所得，并处 </w:t>
      </w:r>
      <w:r>
        <w:rPr>
          <w:color w:val="auto"/>
        </w:rPr>
        <w:t>800</w:t>
      </w:r>
      <w:r>
        <w:rPr>
          <w:color w:val="auto"/>
          <w:spacing w:val="-19"/>
        </w:rPr>
        <w:t xml:space="preserve"> 元以上 </w:t>
      </w:r>
      <w:r>
        <w:rPr>
          <w:color w:val="auto"/>
        </w:rPr>
        <w:t>1500</w:t>
      </w:r>
      <w:r>
        <w:rPr>
          <w:color w:val="auto"/>
          <w:spacing w:val="-10"/>
        </w:rPr>
        <w:t xml:space="preserve"> 元以下罚款。</w:t>
      </w:r>
    </w:p>
    <w:p>
      <w:pPr>
        <w:pStyle w:val="4"/>
        <w:spacing w:before="2"/>
        <w:ind w:left="591"/>
        <w:rPr>
          <w:color w:val="auto"/>
        </w:rPr>
      </w:pPr>
      <w:r>
        <w:rPr>
          <w:color w:val="auto"/>
        </w:rPr>
        <w:t>3、【严重】</w:t>
      </w:r>
    </w:p>
    <w:p>
      <w:pPr>
        <w:pStyle w:val="13"/>
        <w:numPr>
          <w:ilvl w:val="0"/>
          <w:numId w:val="84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出具的眼镜产品计量数据不准确，违法所得 2000 元以上或者给消费者人身健康造成损失的。</w:t>
      </w:r>
    </w:p>
    <w:p>
      <w:pPr>
        <w:pStyle w:val="13"/>
        <w:numPr>
          <w:ilvl w:val="0"/>
          <w:numId w:val="84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8"/>
        </w:rPr>
        <w:t xml:space="preserve">责令改正，责令赔偿损失，没收全部违法所得，并处 </w:t>
      </w:r>
      <w:r>
        <w:rPr>
          <w:color w:val="auto"/>
        </w:rPr>
        <w:t>1500</w:t>
      </w:r>
      <w:r>
        <w:rPr>
          <w:color w:val="auto"/>
          <w:spacing w:val="-24"/>
        </w:rPr>
        <w:t xml:space="preserve"> 元以上 </w:t>
      </w:r>
      <w:r>
        <w:rPr>
          <w:color w:val="auto"/>
        </w:rPr>
        <w:t>2000</w:t>
      </w:r>
      <w:r>
        <w:rPr>
          <w:color w:val="auto"/>
          <w:spacing w:val="-16"/>
        </w:rPr>
        <w:t xml:space="preserve"> 元以下罚</w:t>
      </w:r>
      <w:r>
        <w:rPr>
          <w:color w:val="auto"/>
        </w:rPr>
        <w:t>款。</w:t>
      </w:r>
    </w:p>
    <w:p>
      <w:pPr>
        <w:pStyle w:val="2"/>
        <w:spacing w:before="5"/>
        <w:rPr>
          <w:color w:val="auto"/>
        </w:rPr>
      </w:pPr>
      <w:bookmarkStart w:id="917" w:name="_bookmark458"/>
      <w:bookmarkEnd w:id="917"/>
      <w:bookmarkStart w:id="918" w:name="四百四十八、眼镜制配者拒不提供眼镜制配账目，使违法所得难以计算"/>
      <w:bookmarkEnd w:id="918"/>
      <w:r>
        <w:rPr>
          <w:color w:val="auto"/>
        </w:rPr>
        <w:t>四百四十八、眼镜制配者拒不提供眼镜制配账目，使违法所得难以计算</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《眼镜制配计量监督管理办法》第十二条“眼镜制配者违反本办法规定，拒不提</w:t>
      </w:r>
      <w:r>
        <w:rPr>
          <w:color w:val="auto"/>
          <w:spacing w:val="-5"/>
        </w:rPr>
        <w:t>供眼镜制配账目，使违法所得难以计算的，可根据违法行为的情节轻重处以最高不超</w:t>
      </w:r>
      <w:r>
        <w:rPr>
          <w:color w:val="auto"/>
          <w:spacing w:val="-30"/>
        </w:rPr>
        <w:t xml:space="preserve">过 </w:t>
      </w:r>
      <w:r>
        <w:rPr>
          <w:color w:val="auto"/>
        </w:rPr>
        <w:t>30000</w:t>
      </w:r>
      <w:r>
        <w:rPr>
          <w:color w:val="auto"/>
          <w:spacing w:val="-9"/>
        </w:rPr>
        <w:t xml:space="preserve"> 元的罚款。”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4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拒不提供眼镜制配账目时间较短的，没有造成危害后果的。</w:t>
      </w:r>
    </w:p>
    <w:p>
      <w:pPr>
        <w:pStyle w:val="13"/>
        <w:numPr>
          <w:ilvl w:val="0"/>
          <w:numId w:val="84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872"/>
        <w:rPr>
          <w:color w:val="auto"/>
        </w:rPr>
      </w:pPr>
      <w:r>
        <w:rPr>
          <w:color w:val="auto"/>
          <w:spacing w:val="-20"/>
        </w:rPr>
        <w:t xml:space="preserve">处以 </w:t>
      </w:r>
      <w:r>
        <w:rPr>
          <w:color w:val="auto"/>
        </w:rPr>
        <w:t>5000</w:t>
      </w:r>
      <w:r>
        <w:rPr>
          <w:color w:val="auto"/>
          <w:spacing w:val="-10"/>
        </w:rPr>
        <w:t xml:space="preserve"> 元以下的罚款。</w:t>
      </w:r>
      <w:r>
        <w:rPr>
          <w:color w:val="auto"/>
        </w:rPr>
        <w:t>2</w:t>
      </w:r>
      <w:r>
        <w:rPr>
          <w:color w:val="auto"/>
          <w:spacing w:val="-24"/>
        </w:rPr>
        <w:t>、【一般】</w:t>
      </w:r>
    </w:p>
    <w:p>
      <w:pPr>
        <w:pStyle w:val="13"/>
        <w:numPr>
          <w:ilvl w:val="0"/>
          <w:numId w:val="84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拒不提供眼镜制配账目时间较短，危害后果不严重的。</w:t>
      </w:r>
    </w:p>
    <w:p>
      <w:pPr>
        <w:pStyle w:val="13"/>
        <w:numPr>
          <w:ilvl w:val="0"/>
          <w:numId w:val="845"/>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4672"/>
        <w:rPr>
          <w:color w:val="auto"/>
        </w:rPr>
      </w:pPr>
      <w:r>
        <w:rPr>
          <w:color w:val="auto"/>
          <w:spacing w:val="-20"/>
        </w:rPr>
        <w:t xml:space="preserve">处以 </w:t>
      </w:r>
      <w:r>
        <w:rPr>
          <w:color w:val="auto"/>
        </w:rPr>
        <w:t>5000</w:t>
      </w:r>
      <w:r>
        <w:rPr>
          <w:color w:val="auto"/>
          <w:spacing w:val="-24"/>
        </w:rPr>
        <w:t xml:space="preserve"> 元以上 </w:t>
      </w:r>
      <w:r>
        <w:rPr>
          <w:color w:val="auto"/>
        </w:rPr>
        <w:t>1</w:t>
      </w:r>
      <w:r>
        <w:rPr>
          <w:color w:val="auto"/>
          <w:spacing w:val="-9"/>
        </w:rPr>
        <w:t xml:space="preserve"> 万元以下的罚款。</w:t>
      </w:r>
      <w:r>
        <w:rPr>
          <w:color w:val="auto"/>
        </w:rPr>
        <w:t>3</w:t>
      </w:r>
      <w:r>
        <w:rPr>
          <w:color w:val="auto"/>
          <w:spacing w:val="-24"/>
        </w:rPr>
        <w:t>、【较重】</w:t>
      </w:r>
    </w:p>
    <w:p>
      <w:pPr>
        <w:pStyle w:val="13"/>
        <w:numPr>
          <w:ilvl w:val="0"/>
          <w:numId w:val="84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拒不提供眼镜制配账目时间较长的，危害后果不严重。</w:t>
      </w:r>
    </w:p>
    <w:p>
      <w:pPr>
        <w:pStyle w:val="13"/>
        <w:numPr>
          <w:ilvl w:val="0"/>
          <w:numId w:val="84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552"/>
        <w:rPr>
          <w:color w:val="auto"/>
        </w:rPr>
      </w:pPr>
      <w:r>
        <w:rPr>
          <w:color w:val="auto"/>
          <w:spacing w:val="-20"/>
        </w:rPr>
        <w:t xml:space="preserve">处以 </w:t>
      </w:r>
      <w:r>
        <w:rPr>
          <w:color w:val="auto"/>
        </w:rPr>
        <w:t>1</w:t>
      </w:r>
      <w:r>
        <w:rPr>
          <w:color w:val="auto"/>
          <w:spacing w:val="-20"/>
        </w:rPr>
        <w:t xml:space="preserve"> 万元以上 </w:t>
      </w:r>
      <w:r>
        <w:rPr>
          <w:color w:val="auto"/>
        </w:rPr>
        <w:t>1.5</w:t>
      </w:r>
      <w:r>
        <w:rPr>
          <w:color w:val="auto"/>
          <w:spacing w:val="-9"/>
        </w:rPr>
        <w:t xml:space="preserve"> 万元以下的罚款。</w:t>
      </w:r>
      <w:r>
        <w:rPr>
          <w:color w:val="auto"/>
        </w:rPr>
        <w:t>4</w:t>
      </w:r>
      <w:r>
        <w:rPr>
          <w:color w:val="auto"/>
          <w:spacing w:val="-24"/>
        </w:rPr>
        <w:t>、【严重】</w:t>
      </w:r>
    </w:p>
    <w:p>
      <w:pPr>
        <w:pStyle w:val="13"/>
        <w:numPr>
          <w:ilvl w:val="0"/>
          <w:numId w:val="847"/>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拒不提供眼镜制配账目时间长的，造成严重危害后果的。</w:t>
      </w:r>
    </w:p>
    <w:p>
      <w:pPr>
        <w:pStyle w:val="13"/>
        <w:numPr>
          <w:ilvl w:val="0"/>
          <w:numId w:val="84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552"/>
        <w:rPr>
          <w:color w:val="auto"/>
        </w:rPr>
      </w:pPr>
      <w:r>
        <w:rPr>
          <w:color w:val="auto"/>
          <w:spacing w:val="-20"/>
        </w:rPr>
        <w:t xml:space="preserve">处以 </w:t>
      </w:r>
      <w:r>
        <w:rPr>
          <w:color w:val="auto"/>
        </w:rPr>
        <w:t>1.5</w:t>
      </w:r>
      <w:r>
        <w:rPr>
          <w:color w:val="auto"/>
          <w:spacing w:val="-20"/>
        </w:rPr>
        <w:t xml:space="preserve"> 万元以上 </w:t>
      </w:r>
      <w:r>
        <w:rPr>
          <w:color w:val="auto"/>
        </w:rPr>
        <w:t>2</w:t>
      </w:r>
      <w:r>
        <w:rPr>
          <w:color w:val="auto"/>
          <w:spacing w:val="-9"/>
        </w:rPr>
        <w:t xml:space="preserve"> 万元以下的罚款。</w:t>
      </w:r>
      <w:r>
        <w:rPr>
          <w:color w:val="auto"/>
        </w:rPr>
        <w:t>5</w:t>
      </w:r>
      <w:r>
        <w:rPr>
          <w:color w:val="auto"/>
          <w:spacing w:val="-18"/>
        </w:rPr>
        <w:t>、【特别严重】</w:t>
      </w:r>
    </w:p>
    <w:p>
      <w:pPr>
        <w:pStyle w:val="13"/>
        <w:numPr>
          <w:ilvl w:val="0"/>
          <w:numId w:val="84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拒不提供眼镜制配账目时间特别长的，造成特别严重危害后果的。</w:t>
      </w:r>
    </w:p>
    <w:p>
      <w:pPr>
        <w:pStyle w:val="13"/>
        <w:numPr>
          <w:ilvl w:val="0"/>
          <w:numId w:val="84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处以 2 万元以上 3 万元以下的罚款。</w:t>
      </w:r>
    </w:p>
    <w:p>
      <w:pPr>
        <w:pStyle w:val="2"/>
        <w:spacing w:before="194" w:line="388" w:lineRule="auto"/>
        <w:ind w:left="111" w:right="240" w:firstLine="480"/>
        <w:rPr>
          <w:color w:val="auto"/>
        </w:rPr>
      </w:pPr>
      <w:bookmarkStart w:id="919" w:name="_bookmark459"/>
      <w:bookmarkEnd w:id="919"/>
      <w:bookmarkStart w:id="920" w:name="四百四十九、集贸市场使用的属于强制检定的计量器具未登记造册并向市场监督管理部门备"/>
      <w:bookmarkEnd w:id="920"/>
      <w:r>
        <w:rPr>
          <w:color w:val="auto"/>
          <w:spacing w:val="-9"/>
        </w:rPr>
        <w:t>四百四十九、集贸市场使用的属于强制检定的计量器具未登记造册并向市场监督管理部门备案</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rPr>
          <w:color w:val="auto"/>
        </w:rPr>
      </w:pPr>
      <w:r>
        <w:rPr>
          <w:color w:val="auto"/>
        </w:rPr>
        <w:t>1、《集贸市场计量监督管理办法》第十一条第一款“集市主办者违反本办法第五条第（四）项规定的，责令改正，逾期不改的，处以 1000 元以下的罚款。”</w:t>
      </w:r>
    </w:p>
    <w:p>
      <w:pPr>
        <w:pStyle w:val="4"/>
        <w:spacing w:before="2"/>
        <w:ind w:left="581"/>
        <w:rPr>
          <w:color w:val="auto"/>
        </w:rPr>
      </w:pPr>
      <w:r>
        <w:rPr>
          <w:color w:val="auto"/>
        </w:rPr>
        <w:t>2、《集贸市场计量监督管理办法》第五条第（四）项“集市主办者应当做到：</w:t>
      </w:r>
    </w:p>
    <w:p>
      <w:pPr>
        <w:pStyle w:val="4"/>
        <w:spacing w:before="194" w:line="388" w:lineRule="auto"/>
        <w:ind w:right="213"/>
        <w:rPr>
          <w:color w:val="auto"/>
        </w:rPr>
      </w:pPr>
      <w:r>
        <w:rPr>
          <w:color w:val="auto"/>
        </w:rPr>
        <w:t>（四）对集市使用的属于强制检定的计量器具登记造册，向当地质量技术监督部门备案，并配合质量技术监督部门及其指定的法定计量检定机构做好强制检定工作。”</w:t>
      </w:r>
    </w:p>
    <w:p>
      <w:pPr>
        <w:spacing w:before="2"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4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spacing w:val="-20"/>
        </w:rPr>
        <w:t xml:space="preserve">逾期 </w:t>
      </w:r>
      <w:r>
        <w:rPr>
          <w:color w:val="auto"/>
        </w:rPr>
        <w:t>15</w:t>
      </w:r>
      <w:r>
        <w:rPr>
          <w:color w:val="auto"/>
          <w:spacing w:val="-8"/>
        </w:rPr>
        <w:t xml:space="preserve"> 天以下未备案的。</w:t>
      </w:r>
    </w:p>
    <w:p>
      <w:pPr>
        <w:spacing w:after="0"/>
        <w:rPr>
          <w:color w:val="auto"/>
        </w:rPr>
        <w:sectPr>
          <w:pgSz w:w="11910" w:h="16840"/>
          <w:pgMar w:top="1520" w:right="1260" w:bottom="1220" w:left="1420" w:header="0" w:footer="1034" w:gutter="0"/>
        </w:sectPr>
      </w:pPr>
    </w:p>
    <w:p>
      <w:pPr>
        <w:pStyle w:val="13"/>
        <w:numPr>
          <w:ilvl w:val="0"/>
          <w:numId w:val="849"/>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6472"/>
        <w:rPr>
          <w:color w:val="auto"/>
        </w:rPr>
      </w:pPr>
      <w:r>
        <w:rPr>
          <w:color w:val="auto"/>
          <w:spacing w:val="-30"/>
        </w:rPr>
        <w:t xml:space="preserve">处 </w:t>
      </w:r>
      <w:r>
        <w:rPr>
          <w:color w:val="auto"/>
        </w:rPr>
        <w:t>500</w:t>
      </w:r>
      <w:r>
        <w:rPr>
          <w:color w:val="auto"/>
          <w:spacing w:val="-11"/>
        </w:rPr>
        <w:t xml:space="preserve"> 元以下罚款。</w:t>
      </w:r>
      <w:r>
        <w:rPr>
          <w:color w:val="auto"/>
        </w:rPr>
        <w:t>2</w:t>
      </w:r>
      <w:r>
        <w:rPr>
          <w:color w:val="auto"/>
          <w:spacing w:val="-24"/>
        </w:rPr>
        <w:t>、【较重】</w:t>
      </w:r>
    </w:p>
    <w:p>
      <w:pPr>
        <w:pStyle w:val="13"/>
        <w:numPr>
          <w:ilvl w:val="0"/>
          <w:numId w:val="85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 15 天以上 30 天以下未备案的。</w:t>
      </w:r>
    </w:p>
    <w:p>
      <w:pPr>
        <w:pStyle w:val="13"/>
        <w:numPr>
          <w:ilvl w:val="0"/>
          <w:numId w:val="85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72"/>
        <w:rPr>
          <w:color w:val="auto"/>
        </w:rPr>
      </w:pPr>
      <w:r>
        <w:rPr>
          <w:color w:val="auto"/>
          <w:spacing w:val="-30"/>
        </w:rPr>
        <w:t xml:space="preserve">处 </w:t>
      </w:r>
      <w:r>
        <w:rPr>
          <w:color w:val="auto"/>
        </w:rPr>
        <w:t>500</w:t>
      </w:r>
      <w:r>
        <w:rPr>
          <w:color w:val="auto"/>
          <w:spacing w:val="-24"/>
        </w:rPr>
        <w:t xml:space="preserve"> 元以上 </w:t>
      </w:r>
      <w:r>
        <w:rPr>
          <w:color w:val="auto"/>
        </w:rPr>
        <w:t>800</w:t>
      </w:r>
      <w:r>
        <w:rPr>
          <w:color w:val="auto"/>
          <w:spacing w:val="-11"/>
        </w:rPr>
        <w:t xml:space="preserve"> 元以下罚款。</w:t>
      </w:r>
      <w:r>
        <w:rPr>
          <w:color w:val="auto"/>
        </w:rPr>
        <w:t>3</w:t>
      </w:r>
      <w:r>
        <w:rPr>
          <w:color w:val="auto"/>
          <w:spacing w:val="-24"/>
        </w:rPr>
        <w:t>、【严重】</w:t>
      </w:r>
    </w:p>
    <w:p>
      <w:pPr>
        <w:pStyle w:val="13"/>
        <w:numPr>
          <w:ilvl w:val="0"/>
          <w:numId w:val="85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spacing w:val="-20"/>
        </w:rPr>
        <w:t xml:space="preserve">逾期 </w:t>
      </w:r>
      <w:r>
        <w:rPr>
          <w:color w:val="auto"/>
        </w:rPr>
        <w:t>30</w:t>
      </w:r>
      <w:r>
        <w:rPr>
          <w:color w:val="auto"/>
          <w:spacing w:val="-8"/>
        </w:rPr>
        <w:t xml:space="preserve"> 天以上未备案的。</w:t>
      </w:r>
    </w:p>
    <w:p>
      <w:pPr>
        <w:pStyle w:val="13"/>
        <w:numPr>
          <w:ilvl w:val="0"/>
          <w:numId w:val="85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处 800 元以上 1000 元以下罚款。</w:t>
      </w:r>
    </w:p>
    <w:p>
      <w:pPr>
        <w:pStyle w:val="2"/>
        <w:spacing w:before="191" w:line="391" w:lineRule="auto"/>
        <w:ind w:left="111" w:right="235" w:firstLine="480"/>
        <w:jc w:val="both"/>
        <w:rPr>
          <w:color w:val="auto"/>
        </w:rPr>
      </w:pPr>
      <w:bookmarkStart w:id="921" w:name="四百五十、集贸市场主办者使用国家明令淘汰的计量器具，未遵守有关规定使用国家限制使"/>
      <w:bookmarkEnd w:id="921"/>
      <w:bookmarkStart w:id="922" w:name="_bookmark460"/>
      <w:bookmarkEnd w:id="922"/>
      <w:r>
        <w:rPr>
          <w:color w:val="auto"/>
          <w:spacing w:val="-7"/>
        </w:rPr>
        <w:t>四百五十、集贸市场主办者使用国家明令淘汰的计量器具，未遵守有关规定使用</w:t>
      </w:r>
      <w:r>
        <w:rPr>
          <w:color w:val="auto"/>
          <w:spacing w:val="-12"/>
        </w:rPr>
        <w:t>国家限制使用的计量器具，使用未申请检定、超检定周期或者经检定不合格的计量器具</w:t>
      </w:r>
    </w:p>
    <w:p>
      <w:pPr>
        <w:spacing w:before="0" w:line="304" w:lineRule="exact"/>
        <w:ind w:left="591" w:right="0" w:firstLine="0"/>
        <w:jc w:val="left"/>
        <w:rPr>
          <w:b/>
          <w:color w:val="auto"/>
          <w:sz w:val="24"/>
        </w:rPr>
      </w:pPr>
      <w:r>
        <w:rPr>
          <w:b/>
          <w:color w:val="auto"/>
          <w:sz w:val="24"/>
        </w:rPr>
        <w:t>（一）处罚依据</w:t>
      </w:r>
    </w:p>
    <w:p>
      <w:pPr>
        <w:pStyle w:val="4"/>
        <w:spacing w:before="194" w:line="391" w:lineRule="auto"/>
        <w:ind w:right="232" w:firstLine="470"/>
        <w:jc w:val="right"/>
        <w:rPr>
          <w:color w:val="auto"/>
        </w:rPr>
      </w:pPr>
      <w:r>
        <w:rPr>
          <w:color w:val="auto"/>
        </w:rPr>
        <w:t>1、《集贸市场计量监督管理办法》第十一条第二款“集市主办者违反本办法第</w:t>
      </w:r>
      <w:r>
        <w:rPr>
          <w:color w:val="auto"/>
          <w:spacing w:val="-19"/>
        </w:rPr>
        <w:t>五条第</w:t>
      </w:r>
      <w:r>
        <w:rPr>
          <w:color w:val="auto"/>
        </w:rPr>
        <w:t>（五</w:t>
      </w:r>
      <w:r>
        <w:rPr>
          <w:color w:val="auto"/>
          <w:spacing w:val="-58"/>
        </w:rPr>
        <w:t>）</w:t>
      </w:r>
      <w:r>
        <w:rPr>
          <w:color w:val="auto"/>
          <w:spacing w:val="-19"/>
        </w:rPr>
        <w:t xml:space="preserve">项规定的，责令停止使用，限期改正，没收淘汰的计量器具，并处以 </w:t>
      </w:r>
      <w:r>
        <w:rPr>
          <w:color w:val="auto"/>
        </w:rPr>
        <w:t>1000</w:t>
      </w:r>
      <w:r>
        <w:rPr>
          <w:color w:val="auto"/>
          <w:spacing w:val="-1"/>
        </w:rPr>
        <w:t>元以下的罚款；情节严重的，由当地工商行政管理部门吊销集市主办者营业执照。”</w:t>
      </w:r>
      <w:r>
        <w:rPr>
          <w:color w:val="auto"/>
        </w:rPr>
        <w:t xml:space="preserve"> 2、《集贸市场计量监督管理办法》第五条第（五）项“集市主办者应当做到：</w:t>
      </w:r>
    </w:p>
    <w:p>
      <w:pPr>
        <w:pStyle w:val="4"/>
        <w:spacing w:line="388" w:lineRule="auto"/>
        <w:ind w:right="213"/>
        <w:rPr>
          <w:color w:val="auto"/>
        </w:rPr>
      </w:pPr>
      <w:r>
        <w:rPr>
          <w:color w:val="auto"/>
        </w:rPr>
        <w:t>（五）国家明令淘汰的计量器具禁止使用；国家限制使用的计量器具，应当遵守有关规定；未申请检定、超过检定周期或者经检定不合格的计量器具不得使用。”</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52"/>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使用未申请检定、超检定周期计量器具的。</w:t>
      </w:r>
    </w:p>
    <w:p>
      <w:pPr>
        <w:pStyle w:val="13"/>
        <w:numPr>
          <w:ilvl w:val="0"/>
          <w:numId w:val="85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jc w:val="both"/>
        <w:rPr>
          <w:color w:val="auto"/>
        </w:rPr>
      </w:pPr>
      <w:r>
        <w:rPr>
          <w:color w:val="auto"/>
        </w:rPr>
        <w:t>责令停止使用，并处以 500 元以下的罚款。</w:t>
      </w:r>
    </w:p>
    <w:p>
      <w:pPr>
        <w:spacing w:after="0"/>
        <w:jc w:val="both"/>
        <w:rPr>
          <w:color w:val="auto"/>
        </w:rPr>
        <w:sectPr>
          <w:footerReference r:id="rId109" w:type="default"/>
          <w:footerReference r:id="rId110" w:type="even"/>
          <w:pgSz w:w="11910" w:h="16840"/>
          <w:pgMar w:top="1520" w:right="1260" w:bottom="1220" w:left="1420" w:header="0" w:footer="1034" w:gutter="0"/>
          <w:pgNumType w:start="440"/>
        </w:sectPr>
      </w:pPr>
    </w:p>
    <w:p>
      <w:pPr>
        <w:pStyle w:val="4"/>
        <w:spacing w:before="39"/>
        <w:ind w:left="591"/>
        <w:rPr>
          <w:color w:val="auto"/>
        </w:rPr>
      </w:pPr>
      <w:r>
        <w:rPr>
          <w:color w:val="auto"/>
        </w:rPr>
        <w:t>2、【较重】</w:t>
      </w:r>
    </w:p>
    <w:p>
      <w:pPr>
        <w:pStyle w:val="13"/>
        <w:numPr>
          <w:ilvl w:val="0"/>
          <w:numId w:val="853"/>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使用国家明令淘汰计量器具、国家限制使用的计量器具未遵守有关规定的。</w:t>
      </w:r>
    </w:p>
    <w:p>
      <w:pPr>
        <w:pStyle w:val="13"/>
        <w:numPr>
          <w:ilvl w:val="0"/>
          <w:numId w:val="85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72"/>
        <w:rPr>
          <w:color w:val="auto"/>
        </w:rPr>
      </w:pPr>
      <w:r>
        <w:rPr>
          <w:color w:val="auto"/>
          <w:spacing w:val="-3"/>
        </w:rPr>
        <w:t xml:space="preserve">责令停止使用，没收淘汰的计量器具，并处以 </w:t>
      </w:r>
      <w:r>
        <w:rPr>
          <w:color w:val="auto"/>
        </w:rPr>
        <w:t>500</w:t>
      </w:r>
      <w:r>
        <w:rPr>
          <w:color w:val="auto"/>
          <w:spacing w:val="-24"/>
        </w:rPr>
        <w:t xml:space="preserve"> 元以上 </w:t>
      </w:r>
      <w:r>
        <w:rPr>
          <w:color w:val="auto"/>
        </w:rPr>
        <w:t>800</w:t>
      </w:r>
      <w:r>
        <w:rPr>
          <w:color w:val="auto"/>
          <w:spacing w:val="-10"/>
        </w:rPr>
        <w:t xml:space="preserve"> 元以下的罚款。</w:t>
      </w:r>
      <w:r>
        <w:rPr>
          <w:color w:val="auto"/>
        </w:rPr>
        <w:t>3</w:t>
      </w:r>
      <w:r>
        <w:rPr>
          <w:color w:val="auto"/>
          <w:spacing w:val="-24"/>
        </w:rPr>
        <w:t>、【严重】</w:t>
      </w:r>
    </w:p>
    <w:p>
      <w:pPr>
        <w:pStyle w:val="13"/>
        <w:numPr>
          <w:ilvl w:val="0"/>
          <w:numId w:val="85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有下列情形之一的：1、使用经检定不合格的计量器具的；2、造成较大社会影响的。</w:t>
      </w:r>
    </w:p>
    <w:p>
      <w:pPr>
        <w:pStyle w:val="13"/>
        <w:numPr>
          <w:ilvl w:val="0"/>
          <w:numId w:val="854"/>
        </w:numPr>
        <w:tabs>
          <w:tab w:val="left" w:pos="1193"/>
        </w:tabs>
        <w:spacing w:before="2" w:after="0" w:line="240" w:lineRule="auto"/>
        <w:ind w:left="1192" w:right="0" w:hanging="602"/>
        <w:jc w:val="left"/>
        <w:rPr>
          <w:color w:val="auto"/>
          <w:sz w:val="24"/>
        </w:rPr>
      </w:pPr>
      <w:r>
        <w:rPr>
          <w:color w:val="auto"/>
          <w:sz w:val="24"/>
        </w:rPr>
        <w:t>处罚标准</w:t>
      </w:r>
    </w:p>
    <w:p>
      <w:pPr>
        <w:spacing w:before="195" w:line="388" w:lineRule="auto"/>
        <w:ind w:left="591" w:right="1312" w:firstLine="0"/>
        <w:jc w:val="left"/>
        <w:rPr>
          <w:b/>
          <w:color w:val="auto"/>
          <w:sz w:val="24"/>
        </w:rPr>
      </w:pPr>
      <w:r>
        <w:rPr>
          <w:color w:val="auto"/>
          <w:spacing w:val="-6"/>
          <w:sz w:val="24"/>
        </w:rPr>
        <w:t xml:space="preserve">责令停止使用，并处 </w:t>
      </w:r>
      <w:r>
        <w:rPr>
          <w:color w:val="auto"/>
          <w:sz w:val="24"/>
        </w:rPr>
        <w:t>800</w:t>
      </w:r>
      <w:r>
        <w:rPr>
          <w:color w:val="auto"/>
          <w:spacing w:val="-24"/>
          <w:sz w:val="24"/>
        </w:rPr>
        <w:t xml:space="preserve"> 元以上 </w:t>
      </w:r>
      <w:r>
        <w:rPr>
          <w:color w:val="auto"/>
          <w:sz w:val="24"/>
        </w:rPr>
        <w:t>1000</w:t>
      </w:r>
      <w:r>
        <w:rPr>
          <w:color w:val="auto"/>
          <w:spacing w:val="-9"/>
          <w:sz w:val="24"/>
        </w:rPr>
        <w:t xml:space="preserve"> 元以下的罚款；吊销营业执照。</w:t>
      </w:r>
      <w:bookmarkStart w:id="923" w:name="_bookmark461"/>
      <w:bookmarkEnd w:id="923"/>
      <w:bookmarkStart w:id="924" w:name="四百五十一、集贸市场主办者未设立公平秤并检定合格"/>
      <w:bookmarkEnd w:id="924"/>
      <w:r>
        <w:rPr>
          <w:b/>
          <w:color w:val="auto"/>
          <w:sz w:val="24"/>
        </w:rPr>
        <w:t>四百五十一、集贸市场主办者未设立公平秤并检定合格</w:t>
      </w:r>
    </w:p>
    <w:p>
      <w:pPr>
        <w:pStyle w:val="2"/>
        <w:spacing w:before="2"/>
        <w:rPr>
          <w:color w:val="auto"/>
        </w:rPr>
      </w:pPr>
      <w:r>
        <w:rPr>
          <w:color w:val="auto"/>
        </w:rPr>
        <w:t>（一）处罚依据</w:t>
      </w:r>
    </w:p>
    <w:p>
      <w:pPr>
        <w:pStyle w:val="4"/>
        <w:spacing w:before="194" w:line="388" w:lineRule="auto"/>
        <w:ind w:right="268" w:firstLine="470"/>
        <w:rPr>
          <w:color w:val="auto"/>
        </w:rPr>
      </w:pPr>
      <w:r>
        <w:rPr>
          <w:color w:val="auto"/>
        </w:rPr>
        <w:t>1、《集贸市场计量监督管理办法》第十一条第三款“集市主办者违反本办法第五条第（六）项规定的，限期改正，并处以 1000 元以下的罚款。”</w:t>
      </w:r>
    </w:p>
    <w:p>
      <w:pPr>
        <w:pStyle w:val="4"/>
        <w:spacing w:before="2"/>
        <w:ind w:left="581"/>
        <w:rPr>
          <w:color w:val="auto"/>
        </w:rPr>
      </w:pPr>
      <w:r>
        <w:rPr>
          <w:color w:val="auto"/>
        </w:rPr>
        <w:t>2、《集贸市场计量监督管理办法》第五条第（六）项“集市主办者应当做到：</w:t>
      </w:r>
    </w:p>
    <w:p>
      <w:pPr>
        <w:pStyle w:val="4"/>
        <w:spacing w:before="194" w:line="388" w:lineRule="auto"/>
        <w:ind w:right="213"/>
        <w:rPr>
          <w:color w:val="auto"/>
        </w:rPr>
      </w:pPr>
      <w:r>
        <w:rPr>
          <w:color w:val="auto"/>
        </w:rPr>
        <w:t>（六）集市应当设置符合要求的公平秤，并负责保管、维护和监督检查，定期送当地质量技术监督部门所属的法定计量检定机构进行检定。”</w:t>
      </w:r>
    </w:p>
    <w:p>
      <w:pPr>
        <w:spacing w:before="2"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5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已设立公平秤但超期使用 10 天以下的。</w:t>
      </w:r>
    </w:p>
    <w:p>
      <w:pPr>
        <w:pStyle w:val="13"/>
        <w:numPr>
          <w:ilvl w:val="0"/>
          <w:numId w:val="85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4552"/>
        <w:rPr>
          <w:color w:val="auto"/>
        </w:rPr>
      </w:pPr>
      <w:r>
        <w:rPr>
          <w:color w:val="auto"/>
          <w:spacing w:val="-7"/>
        </w:rPr>
        <w:t xml:space="preserve">限期改正，并处以 </w:t>
      </w:r>
      <w:r>
        <w:rPr>
          <w:color w:val="auto"/>
        </w:rPr>
        <w:t>500</w:t>
      </w:r>
      <w:r>
        <w:rPr>
          <w:color w:val="auto"/>
          <w:spacing w:val="-10"/>
        </w:rPr>
        <w:t xml:space="preserve"> 元以下的罚款。</w:t>
      </w:r>
      <w:r>
        <w:rPr>
          <w:color w:val="auto"/>
        </w:rPr>
        <w:t>2</w:t>
      </w:r>
      <w:r>
        <w:rPr>
          <w:color w:val="auto"/>
          <w:spacing w:val="-24"/>
        </w:rPr>
        <w:t>、【较重】</w:t>
      </w:r>
    </w:p>
    <w:p>
      <w:pPr>
        <w:pStyle w:val="13"/>
        <w:numPr>
          <w:ilvl w:val="0"/>
          <w:numId w:val="85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已设立公平秤但超期使用 10 天以上的。</w:t>
      </w:r>
    </w:p>
    <w:p>
      <w:pPr>
        <w:pStyle w:val="13"/>
        <w:numPr>
          <w:ilvl w:val="0"/>
          <w:numId w:val="856"/>
        </w:numPr>
        <w:tabs>
          <w:tab w:val="left" w:pos="1193"/>
        </w:tabs>
        <w:spacing w:before="191"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3352"/>
        <w:rPr>
          <w:color w:val="auto"/>
        </w:rPr>
      </w:pPr>
      <w:r>
        <w:rPr>
          <w:color w:val="auto"/>
          <w:spacing w:val="-7"/>
        </w:rPr>
        <w:t xml:space="preserve">限期改正，并处以 </w:t>
      </w:r>
      <w:r>
        <w:rPr>
          <w:color w:val="auto"/>
        </w:rPr>
        <w:t>500</w:t>
      </w:r>
      <w:r>
        <w:rPr>
          <w:color w:val="auto"/>
          <w:spacing w:val="-24"/>
        </w:rPr>
        <w:t xml:space="preserve"> 元以上 </w:t>
      </w:r>
      <w:r>
        <w:rPr>
          <w:color w:val="auto"/>
        </w:rPr>
        <w:t>800</w:t>
      </w:r>
      <w:r>
        <w:rPr>
          <w:color w:val="auto"/>
          <w:spacing w:val="-10"/>
        </w:rPr>
        <w:t xml:space="preserve"> 元以下的罚款。</w:t>
      </w:r>
      <w:r>
        <w:rPr>
          <w:color w:val="auto"/>
        </w:rPr>
        <w:t>3</w:t>
      </w:r>
      <w:r>
        <w:rPr>
          <w:color w:val="auto"/>
          <w:spacing w:val="-24"/>
        </w:rPr>
        <w:t>、【严重】</w:t>
      </w:r>
    </w:p>
    <w:p>
      <w:pPr>
        <w:pStyle w:val="13"/>
        <w:numPr>
          <w:ilvl w:val="0"/>
          <w:numId w:val="85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未设立公平秤的。</w:t>
      </w:r>
    </w:p>
    <w:p>
      <w:pPr>
        <w:pStyle w:val="13"/>
        <w:numPr>
          <w:ilvl w:val="0"/>
          <w:numId w:val="85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限期改正，并处以 800 元以上 1000 元以下的罚款。</w:t>
      </w:r>
    </w:p>
    <w:p>
      <w:pPr>
        <w:pStyle w:val="2"/>
        <w:spacing w:before="192"/>
        <w:rPr>
          <w:color w:val="auto"/>
        </w:rPr>
      </w:pPr>
      <w:bookmarkStart w:id="925" w:name="_bookmark462"/>
      <w:bookmarkEnd w:id="925"/>
      <w:bookmarkStart w:id="926" w:name="四百五十二、集贸市场经营者未定期接受法定计量检定机构的强制检定"/>
      <w:bookmarkEnd w:id="926"/>
      <w:r>
        <w:rPr>
          <w:color w:val="auto"/>
        </w:rPr>
        <w:t>四百五十二、集贸市场经营者未定期接受法定计量检定机构的强制检定</w:t>
      </w:r>
    </w:p>
    <w:p>
      <w:pPr>
        <w:spacing w:before="194"/>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rPr>
        <w:t>1、《集贸市场计量监督管理办法》第十二条第一款“经营者违反本办法第六条第（二）</w:t>
      </w:r>
      <w:r>
        <w:rPr>
          <w:color w:val="auto"/>
          <w:spacing w:val="-2"/>
        </w:rPr>
        <w:t xml:space="preserve">项规定的，限期改正，逾期不改的，没收计量器具，并处以 </w:t>
      </w:r>
      <w:r>
        <w:rPr>
          <w:color w:val="auto"/>
        </w:rPr>
        <w:t>1000</w:t>
      </w:r>
      <w:r>
        <w:rPr>
          <w:color w:val="auto"/>
          <w:spacing w:val="-8"/>
        </w:rPr>
        <w:t xml:space="preserve"> 元以下的罚款。”</w:t>
      </w:r>
    </w:p>
    <w:p>
      <w:pPr>
        <w:pStyle w:val="4"/>
        <w:spacing w:line="391" w:lineRule="auto"/>
        <w:ind w:right="102" w:firstLine="470"/>
        <w:rPr>
          <w:color w:val="auto"/>
        </w:rPr>
      </w:pPr>
      <w:r>
        <w:rPr>
          <w:color w:val="auto"/>
        </w:rPr>
        <w:t>2、《集贸市场计量监督管理办法》第六条第（二）项“经营者应当做到：（二） 对配置和使用的计量器具进行维护和管理，定期接受质量技术监督部门指定的法定计量检定机构对计量器具的强制检定。”</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5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9"/>
        <w:ind w:left="591"/>
        <w:rPr>
          <w:color w:val="auto"/>
        </w:rPr>
      </w:pPr>
      <w:r>
        <w:rPr>
          <w:color w:val="auto"/>
        </w:rPr>
        <w:t>违法行为逾期不改 10 天以下的。</w:t>
      </w:r>
    </w:p>
    <w:p>
      <w:pPr>
        <w:pStyle w:val="13"/>
        <w:numPr>
          <w:ilvl w:val="0"/>
          <w:numId w:val="85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872"/>
        <w:rPr>
          <w:color w:val="auto"/>
        </w:rPr>
      </w:pPr>
      <w:r>
        <w:rPr>
          <w:color w:val="auto"/>
          <w:spacing w:val="-4"/>
        </w:rPr>
        <w:t xml:space="preserve">限期改正，没收计量器具，并处以 </w:t>
      </w:r>
      <w:r>
        <w:rPr>
          <w:color w:val="auto"/>
        </w:rPr>
        <w:t>500</w:t>
      </w:r>
      <w:r>
        <w:rPr>
          <w:color w:val="auto"/>
          <w:spacing w:val="-10"/>
        </w:rPr>
        <w:t xml:space="preserve"> 元以下的罚款。</w:t>
      </w:r>
      <w:r>
        <w:rPr>
          <w:color w:val="auto"/>
        </w:rPr>
        <w:t>2</w:t>
      </w:r>
      <w:r>
        <w:rPr>
          <w:color w:val="auto"/>
          <w:spacing w:val="-24"/>
        </w:rPr>
        <w:t>、【较重】</w:t>
      </w:r>
    </w:p>
    <w:p>
      <w:pPr>
        <w:pStyle w:val="13"/>
        <w:numPr>
          <w:ilvl w:val="0"/>
          <w:numId w:val="85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违法行为逾期不改 10 天以上 20 天以下的。</w:t>
      </w:r>
    </w:p>
    <w:p>
      <w:pPr>
        <w:pStyle w:val="13"/>
        <w:numPr>
          <w:ilvl w:val="0"/>
          <w:numId w:val="85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1672"/>
        <w:rPr>
          <w:color w:val="auto"/>
        </w:rPr>
      </w:pPr>
      <w:r>
        <w:rPr>
          <w:color w:val="auto"/>
          <w:spacing w:val="-4"/>
        </w:rPr>
        <w:t xml:space="preserve">限期改正，没收计量器具，并处以 </w:t>
      </w:r>
      <w:r>
        <w:rPr>
          <w:color w:val="auto"/>
        </w:rPr>
        <w:t>500</w:t>
      </w:r>
      <w:r>
        <w:rPr>
          <w:color w:val="auto"/>
          <w:spacing w:val="-24"/>
        </w:rPr>
        <w:t xml:space="preserve"> 元以上 </w:t>
      </w:r>
      <w:r>
        <w:rPr>
          <w:color w:val="auto"/>
        </w:rPr>
        <w:t>800</w:t>
      </w:r>
      <w:r>
        <w:rPr>
          <w:color w:val="auto"/>
          <w:spacing w:val="-10"/>
        </w:rPr>
        <w:t xml:space="preserve"> 元以下的罚款。</w:t>
      </w:r>
      <w:r>
        <w:rPr>
          <w:color w:val="auto"/>
        </w:rPr>
        <w:t>3</w:t>
      </w:r>
      <w:r>
        <w:rPr>
          <w:color w:val="auto"/>
          <w:spacing w:val="-18"/>
        </w:rPr>
        <w:t>、【特别严重】</w:t>
      </w:r>
    </w:p>
    <w:p>
      <w:pPr>
        <w:pStyle w:val="13"/>
        <w:numPr>
          <w:ilvl w:val="0"/>
          <w:numId w:val="86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违法行为逾期不改 20 天以上的。</w:t>
      </w:r>
    </w:p>
    <w:p>
      <w:pPr>
        <w:spacing w:after="0"/>
        <w:rPr>
          <w:color w:val="auto"/>
        </w:rPr>
        <w:sectPr>
          <w:pgSz w:w="11910" w:h="16840"/>
          <w:pgMar w:top="1520" w:right="1260" w:bottom="1220" w:left="1420" w:header="0" w:footer="1034" w:gutter="0"/>
        </w:sectPr>
      </w:pPr>
    </w:p>
    <w:p>
      <w:pPr>
        <w:pStyle w:val="13"/>
        <w:numPr>
          <w:ilvl w:val="0"/>
          <w:numId w:val="860"/>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限期改正，没收计量器具，并处以 800 元以上 1000 元以下的罚款。</w:t>
      </w:r>
    </w:p>
    <w:p>
      <w:pPr>
        <w:pStyle w:val="2"/>
        <w:spacing w:before="191" w:line="388" w:lineRule="auto"/>
        <w:ind w:left="111" w:right="237" w:firstLine="480"/>
        <w:rPr>
          <w:color w:val="auto"/>
        </w:rPr>
      </w:pPr>
      <w:bookmarkStart w:id="927" w:name="四百五十三、集贸市场经营者使用不合格计量器具，破坏计量器具准确度或伪造数据，破坏"/>
      <w:bookmarkEnd w:id="927"/>
      <w:bookmarkStart w:id="928" w:name="_bookmark463"/>
      <w:bookmarkEnd w:id="928"/>
      <w:r>
        <w:rPr>
          <w:color w:val="auto"/>
          <w:spacing w:val="-8"/>
        </w:rPr>
        <w:t>四百五十三、集贸市场经营者使用不合格计量器具，破坏计量器具准确度或伪造数据，破坏铅签封</w:t>
      </w:r>
    </w:p>
    <w:p>
      <w:pPr>
        <w:spacing w:before="5"/>
        <w:ind w:left="591" w:right="0" w:firstLine="0"/>
        <w:jc w:val="left"/>
        <w:rPr>
          <w:b/>
          <w:color w:val="auto"/>
          <w:sz w:val="24"/>
        </w:rPr>
      </w:pPr>
      <w:r>
        <w:rPr>
          <w:b/>
          <w:color w:val="auto"/>
          <w:sz w:val="24"/>
        </w:rPr>
        <w:t>（一）处罚依据</w:t>
      </w:r>
    </w:p>
    <w:p>
      <w:pPr>
        <w:pStyle w:val="4"/>
        <w:spacing w:before="192" w:line="391" w:lineRule="auto"/>
        <w:ind w:right="266" w:firstLine="470"/>
        <w:jc w:val="both"/>
        <w:rPr>
          <w:color w:val="auto"/>
        </w:rPr>
      </w:pPr>
      <w:r>
        <w:rPr>
          <w:color w:val="auto"/>
        </w:rPr>
        <w:t>1、《集贸市场计量监督管理办法》第十二条第二款“经营者违反本办法第六条</w:t>
      </w:r>
      <w:r>
        <w:rPr>
          <w:color w:val="auto"/>
          <w:spacing w:val="-8"/>
        </w:rPr>
        <w:t>第</w:t>
      </w:r>
      <w:r>
        <w:rPr>
          <w:color w:val="auto"/>
        </w:rPr>
        <w:t>（三</w:t>
      </w:r>
      <w:r>
        <w:rPr>
          <w:color w:val="auto"/>
          <w:spacing w:val="-8"/>
        </w:rPr>
        <w:t>）</w:t>
      </w:r>
      <w:r>
        <w:rPr>
          <w:color w:val="auto"/>
          <w:spacing w:val="-5"/>
        </w:rPr>
        <w:t>项规定，给国家和消费者造成损失的，责令其赔偿损失，没收计量器具和全</w:t>
      </w:r>
      <w:r>
        <w:rPr>
          <w:color w:val="auto"/>
          <w:spacing w:val="-4"/>
        </w:rPr>
        <w:t xml:space="preserve">部违法所得，并处以 </w:t>
      </w:r>
      <w:r>
        <w:rPr>
          <w:color w:val="auto"/>
        </w:rPr>
        <w:t>2000</w:t>
      </w:r>
      <w:r>
        <w:rPr>
          <w:color w:val="auto"/>
          <w:spacing w:val="-6"/>
        </w:rPr>
        <w:t xml:space="preserve"> 元以下的罚款；构成犯罪的，移送司法机关追究其刑事责任。”</w:t>
      </w:r>
    </w:p>
    <w:p>
      <w:pPr>
        <w:pStyle w:val="4"/>
        <w:spacing w:line="391" w:lineRule="auto"/>
        <w:ind w:right="145" w:firstLine="470"/>
        <w:rPr>
          <w:color w:val="auto"/>
        </w:rPr>
      </w:pPr>
      <w:r>
        <w:rPr>
          <w:color w:val="auto"/>
        </w:rPr>
        <w:t>2</w:t>
      </w:r>
      <w:r>
        <w:rPr>
          <w:color w:val="auto"/>
          <w:spacing w:val="-4"/>
        </w:rPr>
        <w:t>、《集贸市场计量监督管理办法》第六条第</w:t>
      </w:r>
      <w:r>
        <w:rPr>
          <w:color w:val="auto"/>
        </w:rPr>
        <w:t>（三</w:t>
      </w:r>
      <w:r>
        <w:rPr>
          <w:color w:val="auto"/>
          <w:spacing w:val="-5"/>
        </w:rPr>
        <w:t>）</w:t>
      </w:r>
      <w:r>
        <w:rPr>
          <w:color w:val="auto"/>
          <w:spacing w:val="-3"/>
        </w:rPr>
        <w:t>项“经营者应当做到：（</w:t>
      </w:r>
      <w:r>
        <w:rPr>
          <w:color w:val="auto"/>
        </w:rPr>
        <w:t>三</w:t>
      </w:r>
      <w:r>
        <w:rPr>
          <w:color w:val="auto"/>
          <w:spacing w:val="-16"/>
        </w:rPr>
        <w:t xml:space="preserve">） </w:t>
      </w:r>
      <w:r>
        <w:rPr>
          <w:color w:val="auto"/>
          <w:spacing w:val="-3"/>
        </w:rPr>
        <w:t>不得使用不合格的计量器具，不得破坏计量器具准确度或者伪造数据，不得破坏铅签封。”</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86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2"/>
        <w:ind w:left="591"/>
        <w:rPr>
          <w:color w:val="auto"/>
        </w:rPr>
      </w:pPr>
      <w:r>
        <w:rPr>
          <w:color w:val="auto"/>
          <w:spacing w:val="-12"/>
        </w:rPr>
        <w:t xml:space="preserve">违法所得 </w:t>
      </w:r>
      <w:r>
        <w:rPr>
          <w:color w:val="auto"/>
        </w:rPr>
        <w:t>500</w:t>
      </w:r>
      <w:r>
        <w:rPr>
          <w:color w:val="auto"/>
          <w:spacing w:val="-10"/>
        </w:rPr>
        <w:t xml:space="preserve"> 元以下的。</w:t>
      </w:r>
    </w:p>
    <w:p>
      <w:pPr>
        <w:pStyle w:val="13"/>
        <w:numPr>
          <w:ilvl w:val="0"/>
          <w:numId w:val="86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85"/>
        <w:rPr>
          <w:color w:val="auto"/>
        </w:rPr>
      </w:pPr>
      <w:r>
        <w:rPr>
          <w:color w:val="auto"/>
        </w:rPr>
        <w:t>责令其赔偿损失，没收计量器具和全部违法所得，并处 800 元以下的罚款。2、【较重】</w:t>
      </w:r>
    </w:p>
    <w:p>
      <w:pPr>
        <w:pStyle w:val="13"/>
        <w:numPr>
          <w:ilvl w:val="0"/>
          <w:numId w:val="862"/>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 500 元以上 1000 元以下的。</w:t>
      </w:r>
    </w:p>
    <w:p>
      <w:pPr>
        <w:pStyle w:val="13"/>
        <w:numPr>
          <w:ilvl w:val="0"/>
          <w:numId w:val="86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71" w:firstLine="480"/>
        <w:rPr>
          <w:color w:val="auto"/>
        </w:rPr>
      </w:pPr>
      <w:r>
        <w:rPr>
          <w:color w:val="auto"/>
          <w:spacing w:val="-2"/>
        </w:rPr>
        <w:t xml:space="preserve">责令其赔偿损失，没收计量器具和全部违法所得，并处 </w:t>
      </w:r>
      <w:r>
        <w:rPr>
          <w:color w:val="auto"/>
        </w:rPr>
        <w:t>800</w:t>
      </w:r>
      <w:r>
        <w:rPr>
          <w:color w:val="auto"/>
          <w:spacing w:val="-19"/>
        </w:rPr>
        <w:t xml:space="preserve"> 元以上 </w:t>
      </w:r>
      <w:r>
        <w:rPr>
          <w:color w:val="auto"/>
        </w:rPr>
        <w:t>1500</w:t>
      </w:r>
      <w:r>
        <w:rPr>
          <w:color w:val="auto"/>
          <w:spacing w:val="-12"/>
        </w:rPr>
        <w:t xml:space="preserve"> 元以下的罚款。</w:t>
      </w:r>
    </w:p>
    <w:p>
      <w:pPr>
        <w:pStyle w:val="4"/>
        <w:spacing w:before="2"/>
        <w:ind w:left="591"/>
        <w:rPr>
          <w:color w:val="auto"/>
        </w:rPr>
      </w:pPr>
      <w:r>
        <w:rPr>
          <w:color w:val="auto"/>
        </w:rPr>
        <w:t>3、【严重】</w:t>
      </w:r>
    </w:p>
    <w:p>
      <w:pPr>
        <w:pStyle w:val="4"/>
        <w:spacing w:before="194"/>
        <w:ind w:left="591"/>
        <w:rPr>
          <w:color w:val="auto"/>
        </w:rPr>
      </w:pPr>
      <w:r>
        <w:rPr>
          <w:color w:val="auto"/>
        </w:rPr>
        <w:t>给国家和销费者造成损失 1000 元以上的。</w:t>
      </w:r>
    </w:p>
    <w:p>
      <w:pPr>
        <w:pStyle w:val="4"/>
        <w:spacing w:before="192"/>
        <w:ind w:left="591"/>
        <w:rPr>
          <w:color w:val="auto"/>
        </w:rPr>
      </w:pPr>
      <w:r>
        <w:rPr>
          <w:color w:val="auto"/>
        </w:rPr>
        <w:t>（2）处罚标准</w:t>
      </w:r>
    </w:p>
    <w:p>
      <w:pPr>
        <w:pStyle w:val="4"/>
        <w:spacing w:before="191"/>
        <w:ind w:left="591"/>
        <w:rPr>
          <w:color w:val="auto"/>
        </w:rPr>
      </w:pPr>
      <w:r>
        <w:rPr>
          <w:color w:val="auto"/>
          <w:spacing w:val="-7"/>
        </w:rPr>
        <w:t xml:space="preserve">责令其赔偿损失，没收计量器具和全部违法所得，并处 </w:t>
      </w:r>
      <w:r>
        <w:rPr>
          <w:color w:val="auto"/>
        </w:rPr>
        <w:t>1500</w:t>
      </w:r>
      <w:r>
        <w:rPr>
          <w:color w:val="auto"/>
          <w:spacing w:val="-24"/>
        </w:rPr>
        <w:t xml:space="preserve"> 元以上 </w:t>
      </w:r>
      <w:r>
        <w:rPr>
          <w:color w:val="auto"/>
        </w:rPr>
        <w:t>2000</w:t>
      </w:r>
      <w:r>
        <w:rPr>
          <w:color w:val="auto"/>
          <w:spacing w:val="-15"/>
        </w:rPr>
        <w:t xml:space="preserve"> 元以下</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的罚款。</w:t>
      </w:r>
    </w:p>
    <w:p>
      <w:pPr>
        <w:pStyle w:val="2"/>
        <w:spacing w:before="195"/>
        <w:rPr>
          <w:color w:val="auto"/>
        </w:rPr>
      </w:pPr>
      <w:bookmarkStart w:id="929" w:name="四百五十四、集贸市场经营者应当使用计量器具而未使用计量器具"/>
      <w:bookmarkEnd w:id="929"/>
      <w:bookmarkStart w:id="930" w:name="_bookmark464"/>
      <w:bookmarkEnd w:id="930"/>
      <w:r>
        <w:rPr>
          <w:color w:val="auto"/>
        </w:rPr>
        <w:t>四百五十四、集贸市场经营者应当使用计量器具而未使用计量器具</w:t>
      </w:r>
    </w:p>
    <w:p>
      <w:pPr>
        <w:spacing w:before="191"/>
        <w:ind w:left="591" w:right="0" w:firstLine="0"/>
        <w:jc w:val="left"/>
        <w:rPr>
          <w:b/>
          <w:color w:val="auto"/>
          <w:sz w:val="24"/>
        </w:rPr>
      </w:pPr>
      <w:r>
        <w:rPr>
          <w:b/>
          <w:color w:val="auto"/>
          <w:sz w:val="24"/>
        </w:rPr>
        <w:t>（一）处罚依据</w:t>
      </w:r>
    </w:p>
    <w:p>
      <w:pPr>
        <w:pStyle w:val="4"/>
        <w:spacing w:before="192" w:line="391" w:lineRule="auto"/>
        <w:ind w:right="232" w:firstLine="470"/>
        <w:jc w:val="both"/>
        <w:rPr>
          <w:color w:val="auto"/>
        </w:rPr>
      </w:pPr>
      <w:r>
        <w:rPr>
          <w:color w:val="auto"/>
        </w:rPr>
        <w:t>1、《集贸市场计量监督管理办法》第十二条第三款“经营者违反本办法第六条第（四）项规定，应当使用计量器具测量量值而未使用计量器具的，给予现场处罚， 并限期改正；逾期不改的，处以 1000 元以下罚款。经营者销售商品的结算值与实际值不相符的，按照《商品量计量违法行为处罚规定》第五条、第六条的规定处罚。”</w:t>
      </w:r>
    </w:p>
    <w:p>
      <w:pPr>
        <w:pStyle w:val="4"/>
        <w:spacing w:line="391" w:lineRule="auto"/>
        <w:ind w:right="145" w:firstLine="470"/>
        <w:rPr>
          <w:color w:val="auto"/>
        </w:rPr>
      </w:pPr>
      <w:r>
        <w:rPr>
          <w:color w:val="auto"/>
        </w:rPr>
        <w:t>2</w:t>
      </w:r>
      <w:r>
        <w:rPr>
          <w:color w:val="auto"/>
          <w:spacing w:val="-4"/>
        </w:rPr>
        <w:t>、《集贸市场计量监督管理办法》第六条第</w:t>
      </w:r>
      <w:r>
        <w:rPr>
          <w:color w:val="auto"/>
        </w:rPr>
        <w:t>（四</w:t>
      </w:r>
      <w:r>
        <w:rPr>
          <w:color w:val="auto"/>
          <w:spacing w:val="-5"/>
        </w:rPr>
        <w:t>）</w:t>
      </w:r>
      <w:r>
        <w:rPr>
          <w:color w:val="auto"/>
          <w:spacing w:val="-3"/>
        </w:rPr>
        <w:t>项“经营者应当做到：（</w:t>
      </w:r>
      <w:r>
        <w:rPr>
          <w:color w:val="auto"/>
        </w:rPr>
        <w:t>四</w:t>
      </w:r>
      <w:r>
        <w:rPr>
          <w:color w:val="auto"/>
          <w:spacing w:val="-16"/>
        </w:rPr>
        <w:t xml:space="preserve">） </w:t>
      </w:r>
      <w:r>
        <w:rPr>
          <w:color w:val="auto"/>
          <w:spacing w:val="-3"/>
        </w:rPr>
        <w:t>凡以商品量的量值作为结算依据的，应当使用计量器具测量量值；计量偏差在国家规</w:t>
      </w:r>
      <w:r>
        <w:rPr>
          <w:color w:val="auto"/>
          <w:spacing w:val="-7"/>
        </w:rPr>
        <w:t>定的范围内，结算值与实际值相符。不得估量计费。不具备计量条件并经交易当事人同意的除外。”</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w:t>
      </w:r>
      <w:r>
        <w:rPr>
          <w:color w:val="auto"/>
          <w:spacing w:val="-24"/>
          <w:sz w:val="24"/>
        </w:rPr>
        <w:t>、【一般】</w:t>
      </w:r>
    </w:p>
    <w:p>
      <w:pPr>
        <w:pStyle w:val="13"/>
        <w:numPr>
          <w:ilvl w:val="0"/>
          <w:numId w:val="86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7"/>
        <w:ind w:left="591"/>
        <w:rPr>
          <w:color w:val="auto"/>
        </w:rPr>
      </w:pPr>
      <w:r>
        <w:rPr>
          <w:color w:val="auto"/>
          <w:spacing w:val="-20"/>
        </w:rPr>
        <w:t xml:space="preserve">逾期 </w:t>
      </w:r>
      <w:r>
        <w:rPr>
          <w:color w:val="auto"/>
        </w:rPr>
        <w:t>10</w:t>
      </w:r>
      <w:r>
        <w:rPr>
          <w:color w:val="auto"/>
          <w:spacing w:val="-8"/>
        </w:rPr>
        <w:t xml:space="preserve"> 天以下未改正的。</w:t>
      </w:r>
    </w:p>
    <w:p>
      <w:pPr>
        <w:pStyle w:val="13"/>
        <w:numPr>
          <w:ilvl w:val="0"/>
          <w:numId w:val="86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6232"/>
        <w:rPr>
          <w:color w:val="auto"/>
        </w:rPr>
      </w:pPr>
      <w:r>
        <w:rPr>
          <w:color w:val="auto"/>
          <w:spacing w:val="-20"/>
        </w:rPr>
        <w:t xml:space="preserve">处以 </w:t>
      </w:r>
      <w:r>
        <w:rPr>
          <w:color w:val="auto"/>
        </w:rPr>
        <w:t>500</w:t>
      </w:r>
      <w:r>
        <w:rPr>
          <w:color w:val="auto"/>
          <w:spacing w:val="-11"/>
        </w:rPr>
        <w:t xml:space="preserve"> 元以下罚款。</w:t>
      </w:r>
      <w:r>
        <w:rPr>
          <w:color w:val="auto"/>
        </w:rPr>
        <w:t>2</w:t>
      </w:r>
      <w:r>
        <w:rPr>
          <w:color w:val="auto"/>
          <w:spacing w:val="-24"/>
        </w:rPr>
        <w:t>、【较重】</w:t>
      </w:r>
    </w:p>
    <w:p>
      <w:pPr>
        <w:pStyle w:val="13"/>
        <w:numPr>
          <w:ilvl w:val="0"/>
          <w:numId w:val="86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 10 天以上 20 天以下未改正的。</w:t>
      </w:r>
    </w:p>
    <w:p>
      <w:pPr>
        <w:pStyle w:val="13"/>
        <w:numPr>
          <w:ilvl w:val="0"/>
          <w:numId w:val="86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20"/>
        </w:rPr>
        <w:t xml:space="preserve">处以 </w:t>
      </w:r>
      <w:r>
        <w:rPr>
          <w:color w:val="auto"/>
        </w:rPr>
        <w:t>500</w:t>
      </w:r>
      <w:r>
        <w:rPr>
          <w:color w:val="auto"/>
          <w:spacing w:val="-24"/>
        </w:rPr>
        <w:t xml:space="preserve"> 元以上 </w:t>
      </w:r>
      <w:r>
        <w:rPr>
          <w:color w:val="auto"/>
        </w:rPr>
        <w:t>800</w:t>
      </w:r>
      <w:r>
        <w:rPr>
          <w:color w:val="auto"/>
          <w:spacing w:val="-11"/>
        </w:rPr>
        <w:t xml:space="preserve"> 元以下罚款。</w:t>
      </w:r>
      <w:r>
        <w:rPr>
          <w:color w:val="auto"/>
        </w:rPr>
        <w:t>3</w:t>
      </w:r>
      <w:r>
        <w:rPr>
          <w:color w:val="auto"/>
          <w:spacing w:val="-24"/>
        </w:rPr>
        <w:t>、【严重】</w:t>
      </w:r>
    </w:p>
    <w:p>
      <w:pPr>
        <w:pStyle w:val="13"/>
        <w:numPr>
          <w:ilvl w:val="0"/>
          <w:numId w:val="86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有下列情形之一的：1、逾期 20 天以上未改正的；2、造成较大社会影响的。</w:t>
      </w:r>
    </w:p>
    <w:p>
      <w:pPr>
        <w:pStyle w:val="13"/>
        <w:numPr>
          <w:ilvl w:val="0"/>
          <w:numId w:val="86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处以 800 元以上 1000 元以下罚款。</w:t>
      </w:r>
    </w:p>
    <w:p>
      <w:pPr>
        <w:pStyle w:val="2"/>
        <w:spacing w:before="192"/>
        <w:rPr>
          <w:color w:val="auto"/>
        </w:rPr>
      </w:pPr>
      <w:bookmarkStart w:id="931" w:name="四百五十五、生产者生产定量包装商品，其实际量与标注量不相符，计量偏差超过《定量包"/>
      <w:bookmarkEnd w:id="931"/>
      <w:bookmarkStart w:id="932" w:name="_bookmark465"/>
      <w:bookmarkEnd w:id="932"/>
      <w:r>
        <w:rPr>
          <w:color w:val="auto"/>
        </w:rPr>
        <w:t>四百五十五、生产者生产定量包装商品，其实际量与标注量不相符，计量偏差超</w:t>
      </w:r>
    </w:p>
    <w:p>
      <w:pPr>
        <w:spacing w:after="0"/>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过《定量包装商品计量监督规定》或者其他有关规定</w:t>
      </w:r>
    </w:p>
    <w:p>
      <w:pPr>
        <w:spacing w:before="195"/>
        <w:ind w:left="591" w:right="0" w:firstLine="0"/>
        <w:jc w:val="left"/>
        <w:rPr>
          <w:b/>
          <w:color w:val="auto"/>
          <w:sz w:val="24"/>
        </w:rPr>
      </w:pPr>
      <w:r>
        <w:rPr>
          <w:b/>
          <w:color w:val="auto"/>
          <w:sz w:val="24"/>
        </w:rPr>
        <w:t>（一）处罚依据</w:t>
      </w:r>
    </w:p>
    <w:p>
      <w:pPr>
        <w:pStyle w:val="4"/>
        <w:spacing w:before="191" w:line="391" w:lineRule="auto"/>
        <w:ind w:right="265" w:firstLine="470"/>
        <w:jc w:val="both"/>
        <w:rPr>
          <w:color w:val="auto"/>
        </w:rPr>
      </w:pPr>
      <w:r>
        <w:rPr>
          <w:color w:val="auto"/>
          <w:spacing w:val="-4"/>
        </w:rPr>
        <w:t>《商品量计量违法行为处罚规定》第四条“生产者生产定量包装商品，其实际量</w:t>
      </w:r>
      <w:r>
        <w:rPr>
          <w:color w:val="auto"/>
          <w:spacing w:val="-5"/>
        </w:rPr>
        <w:t>与标注量不相符，计量偏差超过《定量包装商品计量监督规定》或者国家其他有关规</w:t>
      </w:r>
      <w:r>
        <w:rPr>
          <w:color w:val="auto"/>
          <w:spacing w:val="-7"/>
        </w:rPr>
        <w:t>定的，质量技术监督部门责令改正，给用户、消费者造成损失的，责令赔偿损失，并</w:t>
      </w:r>
      <w:r>
        <w:rPr>
          <w:color w:val="auto"/>
          <w:spacing w:val="-10"/>
        </w:rPr>
        <w:t xml:space="preserve">处违法所得 </w:t>
      </w:r>
      <w:r>
        <w:rPr>
          <w:color w:val="auto"/>
        </w:rPr>
        <w:t>3</w:t>
      </w:r>
      <w:r>
        <w:rPr>
          <w:color w:val="auto"/>
          <w:spacing w:val="-13"/>
        </w:rPr>
        <w:t xml:space="preserve"> 倍以下、最高不超过 </w:t>
      </w:r>
      <w:r>
        <w:rPr>
          <w:color w:val="auto"/>
        </w:rPr>
        <w:t>30000</w:t>
      </w:r>
      <w:r>
        <w:rPr>
          <w:color w:val="auto"/>
          <w:spacing w:val="-9"/>
        </w:rPr>
        <w:t xml:space="preserve"> 元的罚款。”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6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有下列情形之一的：1、无违法所得；2、违法行为未给用户消费者造成损失的。</w:t>
      </w:r>
    </w:p>
    <w:p>
      <w:pPr>
        <w:pStyle w:val="13"/>
        <w:numPr>
          <w:ilvl w:val="0"/>
          <w:numId w:val="866"/>
        </w:numPr>
        <w:tabs>
          <w:tab w:val="left" w:pos="1193"/>
        </w:tabs>
        <w:spacing w:before="194" w:after="0" w:line="388" w:lineRule="auto"/>
        <w:ind w:left="591" w:right="7072" w:firstLine="0"/>
        <w:jc w:val="left"/>
        <w:rPr>
          <w:color w:val="auto"/>
          <w:sz w:val="24"/>
        </w:rPr>
      </w:pPr>
      <w:r>
        <w:rPr>
          <w:color w:val="auto"/>
          <w:spacing w:val="-5"/>
          <w:sz w:val="24"/>
        </w:rPr>
        <w:t>处罚标准</w:t>
      </w:r>
      <w:r>
        <w:rPr>
          <w:color w:val="auto"/>
          <w:sz w:val="24"/>
        </w:rPr>
        <w:t>责令改正。</w:t>
      </w:r>
    </w:p>
    <w:p>
      <w:pPr>
        <w:pStyle w:val="4"/>
        <w:spacing w:before="2"/>
        <w:ind w:left="591"/>
        <w:rPr>
          <w:color w:val="auto"/>
        </w:rPr>
      </w:pPr>
      <w:r>
        <w:rPr>
          <w:color w:val="auto"/>
        </w:rPr>
        <w:t>2</w:t>
      </w:r>
      <w:r>
        <w:rPr>
          <w:color w:val="auto"/>
          <w:spacing w:val="-24"/>
        </w:rPr>
        <w:t>、【一般】</w:t>
      </w:r>
    </w:p>
    <w:p>
      <w:pPr>
        <w:pStyle w:val="13"/>
        <w:numPr>
          <w:ilvl w:val="0"/>
          <w:numId w:val="867"/>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给用户消费者造成损失且违法所得 1000 元以下的。</w:t>
      </w:r>
    </w:p>
    <w:p>
      <w:pPr>
        <w:pStyle w:val="13"/>
        <w:numPr>
          <w:ilvl w:val="0"/>
          <w:numId w:val="86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352"/>
        <w:rPr>
          <w:color w:val="auto"/>
        </w:rPr>
      </w:pPr>
      <w:r>
        <w:rPr>
          <w:color w:val="auto"/>
          <w:spacing w:val="-4"/>
        </w:rPr>
        <w:t xml:space="preserve">责令改正、赔偿损失，处违法所得 </w:t>
      </w:r>
      <w:r>
        <w:rPr>
          <w:color w:val="auto"/>
        </w:rPr>
        <w:t>1</w:t>
      </w:r>
      <w:r>
        <w:rPr>
          <w:color w:val="auto"/>
          <w:spacing w:val="-11"/>
        </w:rPr>
        <w:t xml:space="preserve"> 倍以下罚款。</w:t>
      </w:r>
      <w:r>
        <w:rPr>
          <w:color w:val="auto"/>
        </w:rPr>
        <w:t>3</w:t>
      </w:r>
      <w:r>
        <w:rPr>
          <w:color w:val="auto"/>
          <w:spacing w:val="-24"/>
        </w:rPr>
        <w:t>、【较重】</w:t>
      </w:r>
    </w:p>
    <w:p>
      <w:pPr>
        <w:pStyle w:val="13"/>
        <w:numPr>
          <w:ilvl w:val="0"/>
          <w:numId w:val="86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给用户消费者造成损失且违法所得 1000 元以上 5000 元以下的。</w:t>
      </w:r>
    </w:p>
    <w:p>
      <w:pPr>
        <w:pStyle w:val="13"/>
        <w:numPr>
          <w:ilvl w:val="0"/>
          <w:numId w:val="86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1912"/>
        <w:rPr>
          <w:color w:val="auto"/>
        </w:rPr>
      </w:pPr>
      <w:r>
        <w:rPr>
          <w:color w:val="auto"/>
          <w:spacing w:val="-4"/>
        </w:rPr>
        <w:t xml:space="preserve">责令改正、赔偿损失，处违法所得 </w:t>
      </w:r>
      <w:r>
        <w:rPr>
          <w:color w:val="auto"/>
        </w:rPr>
        <w:t>1</w:t>
      </w:r>
      <w:r>
        <w:rPr>
          <w:color w:val="auto"/>
          <w:spacing w:val="-24"/>
        </w:rPr>
        <w:t xml:space="preserve"> 倍以上 </w:t>
      </w:r>
      <w:r>
        <w:rPr>
          <w:color w:val="auto"/>
        </w:rPr>
        <w:t>1.5</w:t>
      </w:r>
      <w:r>
        <w:rPr>
          <w:color w:val="auto"/>
          <w:spacing w:val="-10"/>
        </w:rPr>
        <w:t xml:space="preserve"> 倍以下的罚款。</w:t>
      </w:r>
      <w:r>
        <w:rPr>
          <w:color w:val="auto"/>
        </w:rPr>
        <w:t>4</w:t>
      </w:r>
      <w:r>
        <w:rPr>
          <w:color w:val="auto"/>
          <w:spacing w:val="-24"/>
        </w:rPr>
        <w:t>、【严重】</w:t>
      </w:r>
    </w:p>
    <w:p>
      <w:pPr>
        <w:pStyle w:val="13"/>
        <w:numPr>
          <w:ilvl w:val="0"/>
          <w:numId w:val="86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给用户消费者造成损失且违法所得 5000 元以上 10000 元以下的。</w:t>
      </w:r>
    </w:p>
    <w:p>
      <w:pPr>
        <w:pStyle w:val="13"/>
        <w:numPr>
          <w:ilvl w:val="0"/>
          <w:numId w:val="86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1912"/>
        <w:rPr>
          <w:color w:val="auto"/>
        </w:rPr>
      </w:pPr>
      <w:r>
        <w:rPr>
          <w:color w:val="auto"/>
          <w:spacing w:val="-4"/>
        </w:rPr>
        <w:t xml:space="preserve">责令改正、赔偿损失，处违法所得 </w:t>
      </w:r>
      <w:r>
        <w:rPr>
          <w:color w:val="auto"/>
        </w:rPr>
        <w:t>1.5</w:t>
      </w:r>
      <w:r>
        <w:rPr>
          <w:color w:val="auto"/>
          <w:spacing w:val="-24"/>
        </w:rPr>
        <w:t xml:space="preserve"> 倍以上 </w:t>
      </w:r>
      <w:r>
        <w:rPr>
          <w:color w:val="auto"/>
        </w:rPr>
        <w:t>2</w:t>
      </w:r>
      <w:r>
        <w:rPr>
          <w:color w:val="auto"/>
          <w:spacing w:val="-10"/>
        </w:rPr>
        <w:t xml:space="preserve"> 倍以下的罚款。</w:t>
      </w:r>
      <w:r>
        <w:rPr>
          <w:color w:val="auto"/>
        </w:rPr>
        <w:t>5</w:t>
      </w:r>
      <w:r>
        <w:rPr>
          <w:color w:val="auto"/>
          <w:spacing w:val="-18"/>
        </w:rPr>
        <w:t>、【特别严重】</w:t>
      </w:r>
    </w:p>
    <w:p>
      <w:pPr>
        <w:spacing w:after="0" w:line="388" w:lineRule="auto"/>
        <w:rPr>
          <w:color w:val="auto"/>
        </w:rPr>
        <w:sectPr>
          <w:pgSz w:w="11910" w:h="16840"/>
          <w:pgMar w:top="1520" w:right="1260" w:bottom="1220" w:left="1420" w:header="0" w:footer="1034" w:gutter="0"/>
        </w:sectPr>
      </w:pPr>
    </w:p>
    <w:p>
      <w:pPr>
        <w:pStyle w:val="13"/>
        <w:numPr>
          <w:ilvl w:val="0"/>
          <w:numId w:val="870"/>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32" w:firstLine="480"/>
        <w:rPr>
          <w:color w:val="auto"/>
        </w:rPr>
      </w:pPr>
      <w:r>
        <w:rPr>
          <w:color w:val="auto"/>
        </w:rPr>
        <w:t>有下列情形之一的；1</w:t>
      </w:r>
      <w:r>
        <w:rPr>
          <w:color w:val="auto"/>
          <w:spacing w:val="-4"/>
        </w:rPr>
        <w:t xml:space="preserve">、给用户消费者造成损失且违法所得 </w:t>
      </w:r>
      <w:r>
        <w:rPr>
          <w:color w:val="auto"/>
        </w:rPr>
        <w:t>10000</w:t>
      </w:r>
      <w:r>
        <w:rPr>
          <w:color w:val="auto"/>
          <w:spacing w:val="-12"/>
        </w:rPr>
        <w:t xml:space="preserve"> 元以上的</w:t>
      </w:r>
      <w:r>
        <w:rPr>
          <w:color w:val="auto"/>
        </w:rPr>
        <w:t>；2</w:t>
      </w:r>
      <w:r>
        <w:rPr>
          <w:color w:val="auto"/>
          <w:spacing w:val="-17"/>
        </w:rPr>
        <w:t>、</w:t>
      </w:r>
      <w:r>
        <w:rPr>
          <w:color w:val="auto"/>
        </w:rPr>
        <w:t>造成较大社会影响的。</w:t>
      </w:r>
    </w:p>
    <w:p>
      <w:pPr>
        <w:pStyle w:val="13"/>
        <w:numPr>
          <w:ilvl w:val="0"/>
          <w:numId w:val="87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jc w:val="both"/>
        <w:rPr>
          <w:color w:val="auto"/>
        </w:rPr>
      </w:pPr>
      <w:r>
        <w:rPr>
          <w:color w:val="auto"/>
          <w:spacing w:val="-8"/>
        </w:rPr>
        <w:t xml:space="preserve">责令改正、赔偿损失，处违法所得 </w:t>
      </w:r>
      <w:r>
        <w:rPr>
          <w:color w:val="auto"/>
        </w:rPr>
        <w:t>2</w:t>
      </w:r>
      <w:r>
        <w:rPr>
          <w:color w:val="auto"/>
          <w:spacing w:val="-24"/>
        </w:rPr>
        <w:t xml:space="preserve"> 倍以上 </w:t>
      </w:r>
      <w:r>
        <w:rPr>
          <w:color w:val="auto"/>
        </w:rPr>
        <w:t>3</w:t>
      </w:r>
      <w:r>
        <w:rPr>
          <w:color w:val="auto"/>
          <w:spacing w:val="-14"/>
        </w:rPr>
        <w:t xml:space="preserve"> 倍以下，最高不超过 </w:t>
      </w:r>
      <w:r>
        <w:rPr>
          <w:color w:val="auto"/>
        </w:rPr>
        <w:t>30000</w:t>
      </w:r>
      <w:r>
        <w:rPr>
          <w:color w:val="auto"/>
          <w:spacing w:val="-20"/>
        </w:rPr>
        <w:t xml:space="preserve"> 元的罚</w:t>
      </w:r>
      <w:r>
        <w:rPr>
          <w:color w:val="auto"/>
        </w:rPr>
        <w:t>款。</w:t>
      </w:r>
    </w:p>
    <w:p>
      <w:pPr>
        <w:pStyle w:val="2"/>
        <w:spacing w:before="2" w:line="391" w:lineRule="auto"/>
        <w:ind w:left="111" w:right="235" w:firstLine="480"/>
        <w:jc w:val="both"/>
        <w:rPr>
          <w:color w:val="auto"/>
        </w:rPr>
      </w:pPr>
      <w:bookmarkStart w:id="933" w:name="四百五十六、销售者销售的定量包装商品或者零售商品，其实际量与标注量或者实际量与贸"/>
      <w:bookmarkEnd w:id="933"/>
      <w:bookmarkStart w:id="934" w:name="_bookmark466"/>
      <w:bookmarkEnd w:id="934"/>
      <w:r>
        <w:rPr>
          <w:color w:val="auto"/>
          <w:spacing w:val="-8"/>
        </w:rPr>
        <w:t>四百五十六、销售者销售的定量包装商品或者零售商品，其实际量与标注量或者</w:t>
      </w:r>
      <w:r>
        <w:rPr>
          <w:color w:val="auto"/>
          <w:spacing w:val="-12"/>
        </w:rPr>
        <w:t>实际量与贸易结算量不相符，计量偏差超过《定量包装商品计量监督规定》、《零售商品称重计量监督规定》或者其他有关规定</w:t>
      </w:r>
    </w:p>
    <w:p>
      <w:pPr>
        <w:spacing w:before="0" w:line="304" w:lineRule="exact"/>
        <w:ind w:left="591" w:right="0" w:firstLine="0"/>
        <w:jc w:val="left"/>
        <w:rPr>
          <w:b/>
          <w:color w:val="auto"/>
          <w:sz w:val="24"/>
        </w:rPr>
      </w:pPr>
      <w:r>
        <w:rPr>
          <w:b/>
          <w:color w:val="auto"/>
          <w:sz w:val="24"/>
        </w:rPr>
        <w:t>（一）处罚依据</w:t>
      </w:r>
    </w:p>
    <w:p>
      <w:pPr>
        <w:pStyle w:val="4"/>
        <w:spacing w:before="194" w:line="388" w:lineRule="auto"/>
        <w:ind w:right="265" w:firstLine="470"/>
        <w:jc w:val="both"/>
        <w:rPr>
          <w:color w:val="auto"/>
        </w:rPr>
      </w:pPr>
      <w:r>
        <w:rPr>
          <w:color w:val="auto"/>
          <w:spacing w:val="-3"/>
        </w:rPr>
        <w:t>《商品量计量违法行为处罚规定》第五条“销售者销售的定量包装商品或者零售</w:t>
      </w:r>
      <w:r>
        <w:rPr>
          <w:color w:val="auto"/>
          <w:spacing w:val="-6"/>
        </w:rPr>
        <w:t>商品，其实际量与标注量或者实际量与贸易结算量不相符，计量偏差超过《定量包装商品计量监督规定》、《零售商品称重计量监督规定》或者国家其他有关规定的，质</w:t>
      </w:r>
      <w:r>
        <w:rPr>
          <w:color w:val="auto"/>
          <w:spacing w:val="-5"/>
        </w:rPr>
        <w:t>量技术监督部门责令改正，给用户、消费者造成损失的，责令赔偿损失，并处违法所</w:t>
      </w:r>
      <w:r>
        <w:rPr>
          <w:color w:val="auto"/>
          <w:spacing w:val="-30"/>
        </w:rPr>
        <w:t xml:space="preserve">得 </w:t>
      </w:r>
      <w:r>
        <w:rPr>
          <w:color w:val="auto"/>
        </w:rPr>
        <w:t>3</w:t>
      </w:r>
      <w:r>
        <w:rPr>
          <w:color w:val="auto"/>
          <w:spacing w:val="-14"/>
        </w:rPr>
        <w:t xml:space="preserve"> 倍以下、最高不超过 </w:t>
      </w:r>
      <w:r>
        <w:rPr>
          <w:color w:val="auto"/>
        </w:rPr>
        <w:t>30000</w:t>
      </w:r>
      <w:r>
        <w:rPr>
          <w:color w:val="auto"/>
          <w:spacing w:val="-13"/>
        </w:rPr>
        <w:t xml:space="preserve"> 元的罚款；没有违法所得的，可处 </w:t>
      </w:r>
      <w:r>
        <w:rPr>
          <w:color w:val="auto"/>
        </w:rPr>
        <w:t>10000</w:t>
      </w:r>
      <w:r>
        <w:rPr>
          <w:color w:val="auto"/>
          <w:spacing w:val="-13"/>
        </w:rPr>
        <w:t xml:space="preserve"> 元以下的罚</w:t>
      </w:r>
      <w:r>
        <w:rPr>
          <w:color w:val="auto"/>
        </w:rPr>
        <w:t>款。”</w:t>
      </w:r>
    </w:p>
    <w:p>
      <w:pPr>
        <w:spacing w:before="11"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7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违法销售的定量包装商品货值金额 1000 元以下的；违法销售的零售商品货值金</w:t>
      </w:r>
    </w:p>
    <w:p>
      <w:pPr>
        <w:pStyle w:val="4"/>
        <w:spacing w:before="192"/>
        <w:rPr>
          <w:color w:val="auto"/>
        </w:rPr>
      </w:pPr>
      <w:r>
        <w:rPr>
          <w:color w:val="auto"/>
        </w:rPr>
        <w:t>额 50 元以下。</w:t>
      </w:r>
    </w:p>
    <w:p>
      <w:pPr>
        <w:pStyle w:val="13"/>
        <w:numPr>
          <w:ilvl w:val="0"/>
          <w:numId w:val="87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52"/>
        <w:rPr>
          <w:color w:val="auto"/>
        </w:rPr>
      </w:pPr>
      <w:r>
        <w:rPr>
          <w:color w:val="auto"/>
          <w:spacing w:val="-6"/>
        </w:rPr>
        <w:t xml:space="preserve">责令改正，处违法所得 </w:t>
      </w:r>
      <w:r>
        <w:rPr>
          <w:color w:val="auto"/>
        </w:rPr>
        <w:t>1</w:t>
      </w:r>
      <w:r>
        <w:rPr>
          <w:color w:val="auto"/>
          <w:spacing w:val="-12"/>
        </w:rPr>
        <w:t xml:space="preserve"> 倍的罚款；没有违法所得的，处 </w:t>
      </w:r>
      <w:r>
        <w:rPr>
          <w:color w:val="auto"/>
        </w:rPr>
        <w:t>2000</w:t>
      </w:r>
      <w:r>
        <w:rPr>
          <w:color w:val="auto"/>
          <w:spacing w:val="-10"/>
        </w:rPr>
        <w:t xml:space="preserve"> 元以下的罚款。</w:t>
      </w:r>
      <w:r>
        <w:rPr>
          <w:color w:val="auto"/>
        </w:rPr>
        <w:t>2</w:t>
      </w:r>
      <w:r>
        <w:rPr>
          <w:color w:val="auto"/>
          <w:spacing w:val="-24"/>
        </w:rPr>
        <w:t>、【一般】</w:t>
      </w:r>
    </w:p>
    <w:p>
      <w:pPr>
        <w:pStyle w:val="13"/>
        <w:numPr>
          <w:ilvl w:val="0"/>
          <w:numId w:val="87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spacing w:val="-4"/>
        </w:rPr>
        <w:t xml:space="preserve">违法销售的定量包装商品货值金额 </w:t>
      </w:r>
      <w:r>
        <w:rPr>
          <w:color w:val="auto"/>
        </w:rPr>
        <w:t>1000</w:t>
      </w:r>
      <w:r>
        <w:rPr>
          <w:color w:val="auto"/>
          <w:spacing w:val="-24"/>
        </w:rPr>
        <w:t xml:space="preserve"> 元以上 </w:t>
      </w:r>
      <w:r>
        <w:rPr>
          <w:color w:val="auto"/>
        </w:rPr>
        <w:t>2000</w:t>
      </w:r>
      <w:r>
        <w:rPr>
          <w:color w:val="auto"/>
          <w:spacing w:val="-10"/>
        </w:rPr>
        <w:t xml:space="preserve"> 元以下的；违法销售的零售</w:t>
      </w:r>
    </w:p>
    <w:p>
      <w:pPr>
        <w:pStyle w:val="4"/>
        <w:spacing w:before="192"/>
        <w:rPr>
          <w:color w:val="auto"/>
        </w:rPr>
      </w:pPr>
      <w:r>
        <w:rPr>
          <w:color w:val="auto"/>
        </w:rPr>
        <w:t>商品货值金额 50 元以上 100 元以下的。</w:t>
      </w:r>
    </w:p>
    <w:p>
      <w:pPr>
        <w:pStyle w:val="13"/>
        <w:numPr>
          <w:ilvl w:val="0"/>
          <w:numId w:val="872"/>
        </w:numPr>
        <w:tabs>
          <w:tab w:val="left" w:pos="1193"/>
        </w:tabs>
        <w:spacing w:before="191"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责令改正，处违法所得 1 倍以上 1.5 倍以下的罚款；没有违法所得的，处 2000</w:t>
      </w:r>
    </w:p>
    <w:p>
      <w:pPr>
        <w:pStyle w:val="4"/>
        <w:spacing w:before="195" w:line="388" w:lineRule="auto"/>
        <w:ind w:left="591" w:right="6112" w:hanging="480"/>
        <w:rPr>
          <w:color w:val="auto"/>
        </w:rPr>
      </w:pPr>
      <w:r>
        <w:rPr>
          <w:color w:val="auto"/>
          <w:spacing w:val="-15"/>
        </w:rPr>
        <w:t xml:space="preserve">元以上 </w:t>
      </w:r>
      <w:r>
        <w:rPr>
          <w:color w:val="auto"/>
        </w:rPr>
        <w:t>4000</w:t>
      </w:r>
      <w:r>
        <w:rPr>
          <w:color w:val="auto"/>
          <w:spacing w:val="-10"/>
        </w:rPr>
        <w:t xml:space="preserve"> 元以下的罚款。</w:t>
      </w:r>
      <w:r>
        <w:rPr>
          <w:color w:val="auto"/>
        </w:rPr>
        <w:t>3</w:t>
      </w:r>
      <w:r>
        <w:rPr>
          <w:color w:val="auto"/>
          <w:spacing w:val="-24"/>
        </w:rPr>
        <w:t>、【较重】</w:t>
      </w:r>
    </w:p>
    <w:p>
      <w:pPr>
        <w:pStyle w:val="13"/>
        <w:numPr>
          <w:ilvl w:val="0"/>
          <w:numId w:val="87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spacing w:val="-4"/>
        </w:rPr>
        <w:t xml:space="preserve">违法销售的定量包装商品货值金额 </w:t>
      </w:r>
      <w:r>
        <w:rPr>
          <w:color w:val="auto"/>
        </w:rPr>
        <w:t>2000</w:t>
      </w:r>
      <w:r>
        <w:rPr>
          <w:color w:val="auto"/>
          <w:spacing w:val="-24"/>
        </w:rPr>
        <w:t xml:space="preserve"> 元以上 </w:t>
      </w:r>
      <w:r>
        <w:rPr>
          <w:color w:val="auto"/>
        </w:rPr>
        <w:t>3000</w:t>
      </w:r>
      <w:r>
        <w:rPr>
          <w:color w:val="auto"/>
          <w:spacing w:val="-10"/>
        </w:rPr>
        <w:t xml:space="preserve"> 元以下的；违法销售的零售</w:t>
      </w:r>
    </w:p>
    <w:p>
      <w:pPr>
        <w:pStyle w:val="4"/>
        <w:spacing w:before="192"/>
        <w:rPr>
          <w:color w:val="auto"/>
        </w:rPr>
      </w:pPr>
      <w:r>
        <w:rPr>
          <w:color w:val="auto"/>
        </w:rPr>
        <w:t>商品货值金额 100 元以上 150 元以下的。</w:t>
      </w:r>
    </w:p>
    <w:p>
      <w:pPr>
        <w:pStyle w:val="13"/>
        <w:numPr>
          <w:ilvl w:val="0"/>
          <w:numId w:val="87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责令改正，处违法所得 1.5 倍以上 2 倍以下的罚款；没有违法所得的，处 4000</w:t>
      </w:r>
    </w:p>
    <w:p>
      <w:pPr>
        <w:pStyle w:val="4"/>
        <w:spacing w:before="192" w:line="388" w:lineRule="auto"/>
        <w:ind w:left="591" w:right="6112" w:hanging="480"/>
        <w:rPr>
          <w:color w:val="auto"/>
        </w:rPr>
      </w:pPr>
      <w:r>
        <w:rPr>
          <w:color w:val="auto"/>
          <w:spacing w:val="-15"/>
        </w:rPr>
        <w:t xml:space="preserve">元以上 </w:t>
      </w:r>
      <w:r>
        <w:rPr>
          <w:color w:val="auto"/>
        </w:rPr>
        <w:t>6000</w:t>
      </w:r>
      <w:r>
        <w:rPr>
          <w:color w:val="auto"/>
          <w:spacing w:val="-10"/>
        </w:rPr>
        <w:t xml:space="preserve"> 元以下的罚款。</w:t>
      </w:r>
      <w:r>
        <w:rPr>
          <w:color w:val="auto"/>
        </w:rPr>
        <w:t>4</w:t>
      </w:r>
      <w:r>
        <w:rPr>
          <w:color w:val="auto"/>
          <w:spacing w:val="-24"/>
        </w:rPr>
        <w:t>、【严重】</w:t>
      </w:r>
    </w:p>
    <w:p>
      <w:pPr>
        <w:pStyle w:val="13"/>
        <w:numPr>
          <w:ilvl w:val="0"/>
          <w:numId w:val="874"/>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spacing w:val="-4"/>
        </w:rPr>
        <w:t xml:space="preserve">违法销售的定量包装商品货值金额 </w:t>
      </w:r>
      <w:r>
        <w:rPr>
          <w:color w:val="auto"/>
        </w:rPr>
        <w:t>3000</w:t>
      </w:r>
      <w:r>
        <w:rPr>
          <w:color w:val="auto"/>
          <w:spacing w:val="-24"/>
        </w:rPr>
        <w:t xml:space="preserve"> 元以上 </w:t>
      </w:r>
      <w:r>
        <w:rPr>
          <w:color w:val="auto"/>
        </w:rPr>
        <w:t>4000</w:t>
      </w:r>
      <w:r>
        <w:rPr>
          <w:color w:val="auto"/>
          <w:spacing w:val="-10"/>
        </w:rPr>
        <w:t xml:space="preserve"> 元以下的；违法销售的零售</w:t>
      </w:r>
    </w:p>
    <w:p>
      <w:pPr>
        <w:pStyle w:val="4"/>
        <w:spacing w:before="192"/>
        <w:rPr>
          <w:color w:val="auto"/>
        </w:rPr>
      </w:pPr>
      <w:r>
        <w:rPr>
          <w:color w:val="auto"/>
        </w:rPr>
        <w:t>商品货值金额 150 元以上 200 元以下的。</w:t>
      </w:r>
    </w:p>
    <w:p>
      <w:pPr>
        <w:pStyle w:val="13"/>
        <w:numPr>
          <w:ilvl w:val="0"/>
          <w:numId w:val="87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责令改正，处违法所得 2 倍以上 2.5 倍以下的罚款；没有违法所得的，处 6000</w:t>
      </w:r>
    </w:p>
    <w:p>
      <w:pPr>
        <w:pStyle w:val="4"/>
        <w:spacing w:before="191" w:line="391" w:lineRule="auto"/>
        <w:ind w:left="591" w:right="6112" w:hanging="480"/>
        <w:rPr>
          <w:color w:val="auto"/>
        </w:rPr>
      </w:pPr>
      <w:r>
        <w:rPr>
          <w:color w:val="auto"/>
          <w:spacing w:val="-15"/>
        </w:rPr>
        <w:t xml:space="preserve">元以上 </w:t>
      </w:r>
      <w:r>
        <w:rPr>
          <w:color w:val="auto"/>
        </w:rPr>
        <w:t>8000</w:t>
      </w:r>
      <w:r>
        <w:rPr>
          <w:color w:val="auto"/>
          <w:spacing w:val="-10"/>
        </w:rPr>
        <w:t xml:space="preserve"> 元以下的罚款。</w:t>
      </w:r>
      <w:r>
        <w:rPr>
          <w:color w:val="auto"/>
        </w:rPr>
        <w:t>5</w:t>
      </w:r>
      <w:r>
        <w:rPr>
          <w:color w:val="auto"/>
          <w:spacing w:val="-18"/>
        </w:rPr>
        <w:t>、【特别严重】</w:t>
      </w:r>
    </w:p>
    <w:p>
      <w:pPr>
        <w:pStyle w:val="13"/>
        <w:numPr>
          <w:ilvl w:val="0"/>
          <w:numId w:val="87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有下列情形之一的：1、违法销售的定量包装商品货值金额 4000 元以上的；违法</w:t>
      </w:r>
    </w:p>
    <w:p>
      <w:pPr>
        <w:pStyle w:val="4"/>
        <w:spacing w:before="194"/>
        <w:rPr>
          <w:color w:val="auto"/>
        </w:rPr>
      </w:pPr>
      <w:r>
        <w:rPr>
          <w:color w:val="auto"/>
        </w:rPr>
        <w:t>销售的零售商品货值金额 200 元以上的；2、造成较大社会影响的</w:t>
      </w:r>
    </w:p>
    <w:p>
      <w:pPr>
        <w:pStyle w:val="13"/>
        <w:numPr>
          <w:ilvl w:val="0"/>
          <w:numId w:val="87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9"/>
        </w:rPr>
        <w:t xml:space="preserve">责令改正，处违法所得 </w:t>
      </w:r>
      <w:r>
        <w:rPr>
          <w:color w:val="auto"/>
        </w:rPr>
        <w:t>2.5</w:t>
      </w:r>
      <w:r>
        <w:rPr>
          <w:color w:val="auto"/>
          <w:spacing w:val="-20"/>
        </w:rPr>
        <w:t xml:space="preserve"> 倍以上至 </w:t>
      </w:r>
      <w:r>
        <w:rPr>
          <w:color w:val="auto"/>
        </w:rPr>
        <w:t>3</w:t>
      </w:r>
      <w:r>
        <w:rPr>
          <w:color w:val="auto"/>
          <w:spacing w:val="-17"/>
        </w:rPr>
        <w:t xml:space="preserve"> 倍，最高不超过 </w:t>
      </w:r>
      <w:r>
        <w:rPr>
          <w:color w:val="auto"/>
        </w:rPr>
        <w:t>30000</w:t>
      </w:r>
      <w:r>
        <w:rPr>
          <w:color w:val="auto"/>
          <w:spacing w:val="-9"/>
        </w:rPr>
        <w:t xml:space="preserve"> 元的罚款；没有违</w:t>
      </w:r>
    </w:p>
    <w:p>
      <w:pPr>
        <w:pStyle w:val="4"/>
        <w:spacing w:before="194"/>
        <w:rPr>
          <w:color w:val="auto"/>
        </w:rPr>
      </w:pPr>
      <w:r>
        <w:rPr>
          <w:color w:val="auto"/>
        </w:rPr>
        <w:t>法所得的，处 8000 元以上 1 万元以下的罚款。</w:t>
      </w:r>
    </w:p>
    <w:p>
      <w:pPr>
        <w:pStyle w:val="2"/>
        <w:spacing w:before="191" w:line="388" w:lineRule="auto"/>
        <w:ind w:left="111" w:right="237" w:firstLine="480"/>
        <w:rPr>
          <w:color w:val="auto"/>
        </w:rPr>
      </w:pPr>
      <w:bookmarkStart w:id="935" w:name="_bookmark467"/>
      <w:bookmarkEnd w:id="935"/>
      <w:bookmarkStart w:id="936" w:name="四百五十七、销售者销售国家对计量偏差没有规定的商品，其实际量与贸易结算量之差，超"/>
      <w:bookmarkEnd w:id="936"/>
      <w:r>
        <w:rPr>
          <w:color w:val="auto"/>
          <w:spacing w:val="-7"/>
        </w:rPr>
        <w:t>四百五十七、销售者销售国家对计量偏差没有规定的商品，其实际量与贸易结算量之差，超过国家规定使用的计量器具极限误差</w:t>
      </w:r>
    </w:p>
    <w:p>
      <w:pPr>
        <w:spacing w:before="5"/>
        <w:ind w:left="591" w:right="0" w:firstLine="0"/>
        <w:jc w:val="left"/>
        <w:rPr>
          <w:b/>
          <w:color w:val="auto"/>
          <w:sz w:val="24"/>
        </w:rPr>
      </w:pPr>
      <w:r>
        <w:rPr>
          <w:b/>
          <w:color w:val="auto"/>
          <w:sz w:val="24"/>
        </w:rPr>
        <w:t>（一）处罚依据</w:t>
      </w:r>
    </w:p>
    <w:p>
      <w:pPr>
        <w:pStyle w:val="4"/>
        <w:spacing w:before="192" w:line="388" w:lineRule="auto"/>
        <w:ind w:right="213" w:firstLine="470"/>
        <w:rPr>
          <w:color w:val="auto"/>
        </w:rPr>
      </w:pPr>
      <w:r>
        <w:rPr>
          <w:color w:val="auto"/>
        </w:rPr>
        <w:t>《商品量计量违法行为处罚规定》第六条“销售者销售国家对计量偏差没有规定的商品，其实际量与贸易结算量之差，超过国家规定使用的计量器具极限误差的，质</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26"/>
        <w:rPr>
          <w:color w:val="auto"/>
        </w:rPr>
      </w:pPr>
      <w:r>
        <w:rPr>
          <w:color w:val="auto"/>
        </w:rPr>
        <w:t>量技术监督部门责令改正，给用户、消费者造成损失的，责令赔偿损失，并处违法所得 3 倍以下、最高不超过 20000 元的罚款。”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76"/>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spacing w:val="-12"/>
        </w:rPr>
        <w:t xml:space="preserve">违法所得 </w:t>
      </w:r>
      <w:r>
        <w:rPr>
          <w:color w:val="auto"/>
        </w:rPr>
        <w:t>2000</w:t>
      </w:r>
      <w:r>
        <w:rPr>
          <w:color w:val="auto"/>
          <w:spacing w:val="-10"/>
        </w:rPr>
        <w:t xml:space="preserve"> 元以下的。</w:t>
      </w:r>
    </w:p>
    <w:p>
      <w:pPr>
        <w:pStyle w:val="13"/>
        <w:numPr>
          <w:ilvl w:val="0"/>
          <w:numId w:val="87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592"/>
        <w:rPr>
          <w:color w:val="auto"/>
        </w:rPr>
      </w:pPr>
      <w:r>
        <w:rPr>
          <w:color w:val="auto"/>
          <w:spacing w:val="-5"/>
        </w:rPr>
        <w:t xml:space="preserve">责令赔偿损失，并处违法所得 </w:t>
      </w:r>
      <w:r>
        <w:rPr>
          <w:color w:val="auto"/>
        </w:rPr>
        <w:t>1</w:t>
      </w:r>
      <w:r>
        <w:rPr>
          <w:color w:val="auto"/>
          <w:spacing w:val="-10"/>
        </w:rPr>
        <w:t xml:space="preserve"> 倍以下的罚款。</w:t>
      </w:r>
      <w:r>
        <w:rPr>
          <w:color w:val="auto"/>
        </w:rPr>
        <w:t>2</w:t>
      </w:r>
      <w:r>
        <w:rPr>
          <w:color w:val="auto"/>
          <w:spacing w:val="-24"/>
        </w:rPr>
        <w:t>、【一般】</w:t>
      </w:r>
    </w:p>
    <w:p>
      <w:pPr>
        <w:pStyle w:val="13"/>
        <w:numPr>
          <w:ilvl w:val="0"/>
          <w:numId w:val="87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违法所得 2000 元以上 5000 元以下的。</w:t>
      </w:r>
    </w:p>
    <w:p>
      <w:pPr>
        <w:pStyle w:val="13"/>
        <w:numPr>
          <w:ilvl w:val="0"/>
          <w:numId w:val="87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2392"/>
        <w:rPr>
          <w:color w:val="auto"/>
        </w:rPr>
      </w:pPr>
      <w:r>
        <w:rPr>
          <w:color w:val="auto"/>
          <w:spacing w:val="-5"/>
        </w:rPr>
        <w:t xml:space="preserve">责令赔偿损失，并处违法所得 </w:t>
      </w:r>
      <w:r>
        <w:rPr>
          <w:color w:val="auto"/>
        </w:rPr>
        <w:t>1</w:t>
      </w:r>
      <w:r>
        <w:rPr>
          <w:color w:val="auto"/>
          <w:spacing w:val="-24"/>
        </w:rPr>
        <w:t xml:space="preserve"> 倍以上 </w:t>
      </w:r>
      <w:r>
        <w:rPr>
          <w:color w:val="auto"/>
        </w:rPr>
        <w:t>1.5</w:t>
      </w:r>
      <w:r>
        <w:rPr>
          <w:color w:val="auto"/>
          <w:spacing w:val="-10"/>
        </w:rPr>
        <w:t xml:space="preserve"> 倍以下的罚款。</w:t>
      </w:r>
      <w:r>
        <w:rPr>
          <w:color w:val="auto"/>
        </w:rPr>
        <w:t>3</w:t>
      </w:r>
      <w:r>
        <w:rPr>
          <w:color w:val="auto"/>
          <w:spacing w:val="-24"/>
        </w:rPr>
        <w:t>、【较重】</w:t>
      </w:r>
    </w:p>
    <w:p>
      <w:pPr>
        <w:pStyle w:val="13"/>
        <w:numPr>
          <w:ilvl w:val="0"/>
          <w:numId w:val="87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 5000 元以上 10000 元以下的。</w:t>
      </w:r>
    </w:p>
    <w:p>
      <w:pPr>
        <w:pStyle w:val="13"/>
        <w:numPr>
          <w:ilvl w:val="0"/>
          <w:numId w:val="87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148"/>
        <w:rPr>
          <w:color w:val="auto"/>
        </w:rPr>
      </w:pPr>
      <w:r>
        <w:rPr>
          <w:color w:val="auto"/>
          <w:spacing w:val="-13"/>
        </w:rPr>
        <w:t xml:space="preserve">责令赔偿损失，并处违法所得 </w:t>
      </w:r>
      <w:r>
        <w:rPr>
          <w:color w:val="auto"/>
        </w:rPr>
        <w:t>1.5</w:t>
      </w:r>
      <w:r>
        <w:rPr>
          <w:color w:val="auto"/>
          <w:spacing w:val="-24"/>
        </w:rPr>
        <w:t xml:space="preserve"> 倍以上 </w:t>
      </w:r>
      <w:r>
        <w:rPr>
          <w:color w:val="auto"/>
        </w:rPr>
        <w:t>2</w:t>
      </w:r>
      <w:r>
        <w:rPr>
          <w:color w:val="auto"/>
          <w:spacing w:val="-20"/>
        </w:rPr>
        <w:t xml:space="preserve"> 倍以下、最高不超过 </w:t>
      </w:r>
      <w:r>
        <w:rPr>
          <w:color w:val="auto"/>
        </w:rPr>
        <w:t>20000</w:t>
      </w:r>
      <w:r>
        <w:rPr>
          <w:color w:val="auto"/>
          <w:spacing w:val="-13"/>
        </w:rPr>
        <w:t xml:space="preserve"> 元的罚款。</w:t>
      </w:r>
      <w:r>
        <w:rPr>
          <w:color w:val="auto"/>
        </w:rPr>
        <w:t>4</w:t>
      </w:r>
      <w:r>
        <w:rPr>
          <w:color w:val="auto"/>
          <w:spacing w:val="-24"/>
        </w:rPr>
        <w:t>、【严重】</w:t>
      </w:r>
    </w:p>
    <w:p>
      <w:pPr>
        <w:pStyle w:val="13"/>
        <w:numPr>
          <w:ilvl w:val="0"/>
          <w:numId w:val="87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 10000 元以上 20000 元以下的。</w:t>
      </w:r>
    </w:p>
    <w:p>
      <w:pPr>
        <w:pStyle w:val="13"/>
        <w:numPr>
          <w:ilvl w:val="0"/>
          <w:numId w:val="87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148"/>
        <w:rPr>
          <w:color w:val="auto"/>
        </w:rPr>
      </w:pPr>
      <w:r>
        <w:rPr>
          <w:color w:val="auto"/>
          <w:spacing w:val="-13"/>
        </w:rPr>
        <w:t xml:space="preserve">责令赔偿损失，并处违法所得 </w:t>
      </w:r>
      <w:r>
        <w:rPr>
          <w:color w:val="auto"/>
        </w:rPr>
        <w:t>2</w:t>
      </w:r>
      <w:r>
        <w:rPr>
          <w:color w:val="auto"/>
          <w:spacing w:val="-24"/>
        </w:rPr>
        <w:t xml:space="preserve"> 倍以上 </w:t>
      </w:r>
      <w:r>
        <w:rPr>
          <w:color w:val="auto"/>
        </w:rPr>
        <w:t>2.5</w:t>
      </w:r>
      <w:r>
        <w:rPr>
          <w:color w:val="auto"/>
          <w:spacing w:val="-20"/>
        </w:rPr>
        <w:t xml:space="preserve"> 倍以下、最高不超过 </w:t>
      </w:r>
      <w:r>
        <w:rPr>
          <w:color w:val="auto"/>
        </w:rPr>
        <w:t>20000</w:t>
      </w:r>
      <w:r>
        <w:rPr>
          <w:color w:val="auto"/>
          <w:spacing w:val="-13"/>
        </w:rPr>
        <w:t xml:space="preserve"> 元的罚款。</w:t>
      </w:r>
      <w:r>
        <w:rPr>
          <w:color w:val="auto"/>
        </w:rPr>
        <w:t>5</w:t>
      </w:r>
      <w:r>
        <w:rPr>
          <w:color w:val="auto"/>
          <w:spacing w:val="-18"/>
        </w:rPr>
        <w:t>、【特别严重】</w:t>
      </w:r>
    </w:p>
    <w:p>
      <w:pPr>
        <w:pStyle w:val="13"/>
        <w:numPr>
          <w:ilvl w:val="0"/>
          <w:numId w:val="88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有下列情形之一的：1、违法所得 20000 元以上的；2、造成较大社会影响的</w:t>
      </w:r>
    </w:p>
    <w:p>
      <w:pPr>
        <w:pStyle w:val="13"/>
        <w:numPr>
          <w:ilvl w:val="0"/>
          <w:numId w:val="88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3"/>
        </w:rPr>
        <w:t xml:space="preserve">责令赔偿损失，并处违法所得 </w:t>
      </w:r>
      <w:r>
        <w:rPr>
          <w:color w:val="auto"/>
        </w:rPr>
        <w:t>2.5</w:t>
      </w:r>
      <w:r>
        <w:rPr>
          <w:color w:val="auto"/>
          <w:spacing w:val="-24"/>
        </w:rPr>
        <w:t xml:space="preserve"> 倍以上 </w:t>
      </w:r>
      <w:r>
        <w:rPr>
          <w:color w:val="auto"/>
        </w:rPr>
        <w:t>3</w:t>
      </w:r>
      <w:r>
        <w:rPr>
          <w:color w:val="auto"/>
          <w:spacing w:val="-20"/>
        </w:rPr>
        <w:t xml:space="preserve"> 倍以下、最高不超过 </w:t>
      </w:r>
      <w:r>
        <w:rPr>
          <w:color w:val="auto"/>
        </w:rPr>
        <w:t>20000</w:t>
      </w:r>
      <w:r>
        <w:rPr>
          <w:color w:val="auto"/>
          <w:spacing w:val="-10"/>
        </w:rPr>
        <w:t xml:space="preserve"> 元的罚款。</w:t>
      </w:r>
    </w:p>
    <w:p>
      <w:pPr>
        <w:spacing w:after="0"/>
        <w:rPr>
          <w:color w:val="auto"/>
        </w:rPr>
        <w:sectPr>
          <w:pgSz w:w="11910" w:h="16840"/>
          <w:pgMar w:top="1520" w:right="1260" w:bottom="1220" w:left="1420" w:header="0" w:footer="1034" w:gutter="0"/>
        </w:sectPr>
      </w:pPr>
    </w:p>
    <w:p>
      <w:pPr>
        <w:pStyle w:val="2"/>
        <w:spacing w:before="39" w:line="391" w:lineRule="auto"/>
        <w:ind w:left="111" w:right="240" w:firstLine="480"/>
        <w:rPr>
          <w:color w:val="auto"/>
        </w:rPr>
      </w:pPr>
      <w:bookmarkStart w:id="937" w:name="_bookmark468"/>
      <w:bookmarkEnd w:id="937"/>
      <w:bookmarkStart w:id="938" w:name="四百五十八、收购者收购商品，其实际量与贸易结算量之差，超过国家规定使用的计量器具"/>
      <w:bookmarkEnd w:id="938"/>
      <w:r>
        <w:rPr>
          <w:color w:val="auto"/>
          <w:spacing w:val="-7"/>
        </w:rPr>
        <w:t>四百五十八、收购者收购商品，其实际量与贸易结算量之差，超过国家规定使用的计量器具极限误差</w:t>
      </w:r>
    </w:p>
    <w:p>
      <w:pPr>
        <w:spacing w:before="0" w:line="306" w:lineRule="exact"/>
        <w:ind w:left="591" w:right="0" w:firstLine="0"/>
        <w:jc w:val="left"/>
        <w:rPr>
          <w:b/>
          <w:color w:val="auto"/>
          <w:sz w:val="24"/>
        </w:rPr>
      </w:pPr>
      <w:r>
        <w:rPr>
          <w:b/>
          <w:color w:val="auto"/>
          <w:w w:val="95"/>
          <w:sz w:val="24"/>
        </w:rPr>
        <w:t>（一）处罚依据</w:t>
      </w:r>
    </w:p>
    <w:p>
      <w:pPr>
        <w:pStyle w:val="4"/>
        <w:spacing w:before="192" w:line="391" w:lineRule="auto"/>
        <w:ind w:right="232" w:firstLine="470"/>
        <w:jc w:val="both"/>
        <w:rPr>
          <w:color w:val="auto"/>
        </w:rPr>
      </w:pPr>
      <w:r>
        <w:rPr>
          <w:color w:val="auto"/>
          <w:spacing w:val="-3"/>
        </w:rPr>
        <w:t>《商品量计量违法行为处罚规定》第七条“收购者收购商品，其实际量与贸易结</w:t>
      </w:r>
      <w:r>
        <w:rPr>
          <w:color w:val="auto"/>
          <w:spacing w:val="-4"/>
        </w:rPr>
        <w:t xml:space="preserve">算量之差，超过国家规定使用的计量器具极限误差的，质量技术监督部门责令改正， </w:t>
      </w:r>
      <w:r>
        <w:rPr>
          <w:color w:val="auto"/>
          <w:spacing w:val="-3"/>
        </w:rPr>
        <w:t xml:space="preserve">给被收购者造成损失的，责令赔偿损失，并处违法所得 </w:t>
      </w:r>
      <w:r>
        <w:rPr>
          <w:color w:val="auto"/>
        </w:rPr>
        <w:t>3</w:t>
      </w:r>
      <w:r>
        <w:rPr>
          <w:color w:val="auto"/>
          <w:spacing w:val="-13"/>
        </w:rPr>
        <w:t xml:space="preserve"> 倍以下、最高不超过 </w:t>
      </w:r>
      <w:r>
        <w:rPr>
          <w:color w:val="auto"/>
        </w:rPr>
        <w:t>20000 元的罚款。”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8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违法所得二千元以下的。</w:t>
      </w:r>
    </w:p>
    <w:p>
      <w:pPr>
        <w:pStyle w:val="13"/>
        <w:numPr>
          <w:ilvl w:val="0"/>
          <w:numId w:val="88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592"/>
        <w:rPr>
          <w:color w:val="auto"/>
        </w:rPr>
      </w:pPr>
      <w:r>
        <w:rPr>
          <w:color w:val="auto"/>
          <w:spacing w:val="-5"/>
        </w:rPr>
        <w:t xml:space="preserve">责令赔偿损失，并处违法所得 </w:t>
      </w:r>
      <w:r>
        <w:rPr>
          <w:color w:val="auto"/>
        </w:rPr>
        <w:t>1</w:t>
      </w:r>
      <w:r>
        <w:rPr>
          <w:color w:val="auto"/>
          <w:spacing w:val="-10"/>
        </w:rPr>
        <w:t xml:space="preserve"> 倍以下的罚款。</w:t>
      </w:r>
      <w:r>
        <w:rPr>
          <w:color w:val="auto"/>
        </w:rPr>
        <w:t>2</w:t>
      </w:r>
      <w:r>
        <w:rPr>
          <w:color w:val="auto"/>
          <w:spacing w:val="-24"/>
        </w:rPr>
        <w:t>、【一般】</w:t>
      </w:r>
    </w:p>
    <w:p>
      <w:pPr>
        <w:pStyle w:val="13"/>
        <w:numPr>
          <w:ilvl w:val="0"/>
          <w:numId w:val="88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违法所得二千元以上五千元以下的。</w:t>
      </w:r>
    </w:p>
    <w:p>
      <w:pPr>
        <w:pStyle w:val="13"/>
        <w:numPr>
          <w:ilvl w:val="0"/>
          <w:numId w:val="88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2632"/>
        <w:rPr>
          <w:color w:val="auto"/>
        </w:rPr>
      </w:pPr>
      <w:r>
        <w:rPr>
          <w:color w:val="auto"/>
          <w:spacing w:val="-5"/>
        </w:rPr>
        <w:t xml:space="preserve">责令赔偿损失，并处违法所得 </w:t>
      </w:r>
      <w:r>
        <w:rPr>
          <w:color w:val="auto"/>
        </w:rPr>
        <w:t>1</w:t>
      </w:r>
      <w:r>
        <w:rPr>
          <w:color w:val="auto"/>
          <w:spacing w:val="-24"/>
        </w:rPr>
        <w:t xml:space="preserve"> 倍以上 </w:t>
      </w:r>
      <w:r>
        <w:rPr>
          <w:color w:val="auto"/>
        </w:rPr>
        <w:t>1.5</w:t>
      </w:r>
      <w:r>
        <w:rPr>
          <w:color w:val="auto"/>
          <w:spacing w:val="-11"/>
        </w:rPr>
        <w:t xml:space="preserve"> 倍以下罚款。</w:t>
      </w:r>
      <w:r>
        <w:rPr>
          <w:color w:val="auto"/>
        </w:rPr>
        <w:t>3</w:t>
      </w:r>
      <w:r>
        <w:rPr>
          <w:color w:val="auto"/>
          <w:spacing w:val="-24"/>
        </w:rPr>
        <w:t>、【较重】</w:t>
      </w:r>
    </w:p>
    <w:p>
      <w:pPr>
        <w:pStyle w:val="13"/>
        <w:numPr>
          <w:ilvl w:val="0"/>
          <w:numId w:val="88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违法所得五千元以上一万元以下的。</w:t>
      </w:r>
    </w:p>
    <w:p>
      <w:pPr>
        <w:pStyle w:val="13"/>
        <w:numPr>
          <w:ilvl w:val="0"/>
          <w:numId w:val="88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148"/>
        <w:rPr>
          <w:color w:val="auto"/>
        </w:rPr>
      </w:pPr>
      <w:r>
        <w:rPr>
          <w:color w:val="auto"/>
          <w:spacing w:val="-13"/>
        </w:rPr>
        <w:t xml:space="preserve">责令赔偿损失，并处违法所得 </w:t>
      </w:r>
      <w:r>
        <w:rPr>
          <w:color w:val="auto"/>
        </w:rPr>
        <w:t>1.5</w:t>
      </w:r>
      <w:r>
        <w:rPr>
          <w:color w:val="auto"/>
          <w:spacing w:val="-24"/>
        </w:rPr>
        <w:t xml:space="preserve"> 倍以上 </w:t>
      </w:r>
      <w:r>
        <w:rPr>
          <w:color w:val="auto"/>
        </w:rPr>
        <w:t>2</w:t>
      </w:r>
      <w:r>
        <w:rPr>
          <w:color w:val="auto"/>
          <w:spacing w:val="-20"/>
        </w:rPr>
        <w:t xml:space="preserve"> 倍以下、最高不超过 </w:t>
      </w:r>
      <w:r>
        <w:rPr>
          <w:color w:val="auto"/>
        </w:rPr>
        <w:t>20000</w:t>
      </w:r>
      <w:r>
        <w:rPr>
          <w:color w:val="auto"/>
          <w:spacing w:val="-13"/>
        </w:rPr>
        <w:t xml:space="preserve"> 元的罚款。</w:t>
      </w:r>
      <w:r>
        <w:rPr>
          <w:color w:val="auto"/>
        </w:rPr>
        <w:t>4</w:t>
      </w:r>
      <w:r>
        <w:rPr>
          <w:color w:val="auto"/>
          <w:spacing w:val="-24"/>
        </w:rPr>
        <w:t>、【严重】</w:t>
      </w:r>
    </w:p>
    <w:p>
      <w:pPr>
        <w:pStyle w:val="4"/>
        <w:spacing w:before="2"/>
        <w:ind w:left="591"/>
        <w:rPr>
          <w:color w:val="auto"/>
        </w:rPr>
      </w:pPr>
      <w:r>
        <w:rPr>
          <w:color w:val="auto"/>
        </w:rPr>
        <w:t>有下列情形之一的：1、违法所得一万元以上的；2、造成较大社会影响的。</w:t>
      </w:r>
    </w:p>
    <w:p>
      <w:pPr>
        <w:pStyle w:val="4"/>
        <w:spacing w:before="194"/>
        <w:ind w:left="591"/>
        <w:rPr>
          <w:color w:val="auto"/>
        </w:rPr>
      </w:pPr>
      <w:r>
        <w:rPr>
          <w:color w:val="auto"/>
        </w:rPr>
        <w:t>（2）处罚标准</w:t>
      </w:r>
    </w:p>
    <w:p>
      <w:pPr>
        <w:spacing w:before="192" w:line="388" w:lineRule="auto"/>
        <w:ind w:left="591" w:right="232" w:firstLine="0"/>
        <w:jc w:val="left"/>
        <w:rPr>
          <w:b/>
          <w:color w:val="auto"/>
          <w:sz w:val="24"/>
        </w:rPr>
      </w:pPr>
      <w:r>
        <w:rPr>
          <w:color w:val="auto"/>
          <w:spacing w:val="-5"/>
          <w:sz w:val="24"/>
        </w:rPr>
        <w:t xml:space="preserve">责令赔偿损失，并处违法所得 </w:t>
      </w:r>
      <w:r>
        <w:rPr>
          <w:color w:val="auto"/>
          <w:sz w:val="24"/>
        </w:rPr>
        <w:t>2</w:t>
      </w:r>
      <w:r>
        <w:rPr>
          <w:color w:val="auto"/>
          <w:spacing w:val="-24"/>
          <w:sz w:val="24"/>
        </w:rPr>
        <w:t xml:space="preserve"> 倍以上 </w:t>
      </w:r>
      <w:r>
        <w:rPr>
          <w:color w:val="auto"/>
          <w:sz w:val="24"/>
        </w:rPr>
        <w:t>3</w:t>
      </w:r>
      <w:r>
        <w:rPr>
          <w:color w:val="auto"/>
          <w:spacing w:val="-13"/>
          <w:sz w:val="24"/>
        </w:rPr>
        <w:t xml:space="preserve"> 倍以下、最高不超过 </w:t>
      </w:r>
      <w:r>
        <w:rPr>
          <w:color w:val="auto"/>
          <w:sz w:val="24"/>
        </w:rPr>
        <w:t>20000</w:t>
      </w:r>
      <w:r>
        <w:rPr>
          <w:color w:val="auto"/>
          <w:spacing w:val="-13"/>
          <w:sz w:val="24"/>
        </w:rPr>
        <w:t xml:space="preserve"> 元的罚款。</w:t>
      </w:r>
      <w:bookmarkStart w:id="939" w:name="四百五十九、获得《定量包装商品生产企业计量保证能力证书》的生产者，违反《定量包装"/>
      <w:bookmarkEnd w:id="939"/>
      <w:bookmarkStart w:id="940" w:name="_bookmark469"/>
      <w:bookmarkEnd w:id="940"/>
      <w:r>
        <w:rPr>
          <w:b/>
          <w:color w:val="auto"/>
          <w:spacing w:val="-7"/>
          <w:sz w:val="24"/>
        </w:rPr>
        <w:t>四百五十九、获得《定量包装商品生产企业计量保证能力证书》的生产者，违反</w:t>
      </w:r>
    </w:p>
    <w:p>
      <w:pPr>
        <w:spacing w:after="0" w:line="388" w:lineRule="auto"/>
        <w:jc w:val="left"/>
        <w:rPr>
          <w:color w:val="auto"/>
          <w:sz w:val="24"/>
        </w:rPr>
        <w:sectPr>
          <w:pgSz w:w="11910" w:h="16840"/>
          <w:pgMar w:top="1520" w:right="1260" w:bottom="1220" w:left="1420" w:header="0" w:footer="1034" w:gutter="0"/>
        </w:sectPr>
      </w:pPr>
    </w:p>
    <w:p>
      <w:pPr>
        <w:pStyle w:val="2"/>
        <w:spacing w:before="39"/>
        <w:ind w:left="111"/>
        <w:rPr>
          <w:color w:val="auto"/>
        </w:rPr>
      </w:pPr>
      <w:bookmarkStart w:id="941" w:name="_TOC_250000"/>
      <w:bookmarkEnd w:id="941"/>
      <w:r>
        <w:rPr>
          <w:color w:val="auto"/>
        </w:rPr>
        <w:t>《定量包装商品生产企业计量保证能力评价规范》要求</w:t>
      </w:r>
    </w:p>
    <w:p>
      <w:pPr>
        <w:spacing w:before="195"/>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spacing w:val="-4"/>
        </w:rPr>
        <w:t>《定量包装商品计量监督管理办法》第十六条第一款“获得《定量包装商品生产</w:t>
      </w:r>
      <w:r>
        <w:rPr>
          <w:color w:val="auto"/>
          <w:spacing w:val="-5"/>
        </w:rPr>
        <w:t>企业计量保证能力证书》的生产者，违反《定量包装商品生产企业计量保证能力评价</w:t>
      </w:r>
      <w:r>
        <w:rPr>
          <w:color w:val="auto"/>
          <w:spacing w:val="-2"/>
        </w:rPr>
        <w:t xml:space="preserve">规范》要求的，责令其整改，停止使用计量保证能力合格标志，可处 </w:t>
      </w:r>
      <w:r>
        <w:rPr>
          <w:color w:val="auto"/>
        </w:rPr>
        <w:t>5000</w:t>
      </w:r>
      <w:r>
        <w:rPr>
          <w:color w:val="auto"/>
          <w:spacing w:val="-8"/>
        </w:rPr>
        <w:t xml:space="preserve"> 元以下的</w:t>
      </w:r>
      <w:r>
        <w:rPr>
          <w:color w:val="auto"/>
          <w:spacing w:val="-9"/>
        </w:rPr>
        <w:t>罚款；整改后仍不符合要求的或者拒绝整改的，由发证机关吊销其《定量包装商品生</w:t>
      </w:r>
      <w:r>
        <w:rPr>
          <w:color w:val="auto"/>
        </w:rPr>
        <w:t>产企业计量保证能力证书》。”</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84"/>
        </w:numPr>
        <w:tabs>
          <w:tab w:val="left" w:pos="1193"/>
        </w:tabs>
        <w:spacing w:before="0" w:after="0" w:line="391" w:lineRule="auto"/>
        <w:ind w:left="591" w:right="6952" w:firstLine="0"/>
        <w:jc w:val="left"/>
        <w:rPr>
          <w:color w:val="auto"/>
          <w:sz w:val="24"/>
        </w:rPr>
      </w:pPr>
      <w:r>
        <w:rPr>
          <w:color w:val="auto"/>
          <w:sz w:val="24"/>
        </w:rPr>
        <w:t>违法情形</w:t>
      </w:r>
      <w:r>
        <w:rPr>
          <w:color w:val="auto"/>
          <w:spacing w:val="-3"/>
          <w:sz w:val="24"/>
        </w:rPr>
        <w:t>没有出厂销售的</w:t>
      </w:r>
    </w:p>
    <w:p>
      <w:pPr>
        <w:pStyle w:val="13"/>
        <w:numPr>
          <w:ilvl w:val="0"/>
          <w:numId w:val="88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89" w:line="391" w:lineRule="auto"/>
        <w:ind w:left="591" w:right="3112"/>
        <w:rPr>
          <w:color w:val="auto"/>
        </w:rPr>
      </w:pPr>
      <w:r>
        <w:rPr>
          <w:color w:val="auto"/>
        </w:rPr>
        <w:t>责令限期其整改，停止使用计量保证能力合格标志。2、【一般】</w:t>
      </w:r>
    </w:p>
    <w:p>
      <w:pPr>
        <w:pStyle w:val="13"/>
        <w:numPr>
          <w:ilvl w:val="0"/>
          <w:numId w:val="88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已经出厂销售的，货值金额 1000 元以下的。</w:t>
      </w:r>
    </w:p>
    <w:p>
      <w:pPr>
        <w:pStyle w:val="13"/>
        <w:numPr>
          <w:ilvl w:val="0"/>
          <w:numId w:val="885"/>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832"/>
        <w:rPr>
          <w:color w:val="auto"/>
        </w:rPr>
      </w:pPr>
      <w:r>
        <w:rPr>
          <w:color w:val="auto"/>
          <w:spacing w:val="-3"/>
        </w:rPr>
        <w:t xml:space="preserve">责令其整改，停止使用计量保证能力合格标志，并处 </w:t>
      </w:r>
      <w:r>
        <w:rPr>
          <w:color w:val="auto"/>
        </w:rPr>
        <w:t>1000</w:t>
      </w:r>
      <w:r>
        <w:rPr>
          <w:color w:val="auto"/>
          <w:spacing w:val="-10"/>
        </w:rPr>
        <w:t xml:space="preserve"> 元以下的罚款。</w:t>
      </w:r>
      <w:r>
        <w:rPr>
          <w:color w:val="auto"/>
        </w:rPr>
        <w:t>3</w:t>
      </w:r>
      <w:r>
        <w:rPr>
          <w:color w:val="auto"/>
          <w:spacing w:val="-24"/>
        </w:rPr>
        <w:t>、【较重】</w:t>
      </w:r>
    </w:p>
    <w:p>
      <w:pPr>
        <w:pStyle w:val="13"/>
        <w:numPr>
          <w:ilvl w:val="0"/>
          <w:numId w:val="88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已经出厂销售的，货值金额 1000 元以上 2000 元以下的。</w:t>
      </w:r>
    </w:p>
    <w:p>
      <w:pPr>
        <w:pStyle w:val="13"/>
        <w:numPr>
          <w:ilvl w:val="0"/>
          <w:numId w:val="88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8"/>
        </w:rPr>
        <w:t xml:space="preserve">责令其整改，停止使用计量保证能力合格标志，并处 </w:t>
      </w:r>
      <w:r>
        <w:rPr>
          <w:color w:val="auto"/>
        </w:rPr>
        <w:t>1000</w:t>
      </w:r>
      <w:r>
        <w:rPr>
          <w:color w:val="auto"/>
          <w:spacing w:val="-24"/>
        </w:rPr>
        <w:t xml:space="preserve"> 元以上 </w:t>
      </w:r>
      <w:r>
        <w:rPr>
          <w:color w:val="auto"/>
        </w:rPr>
        <w:t>2000</w:t>
      </w:r>
      <w:r>
        <w:rPr>
          <w:color w:val="auto"/>
          <w:spacing w:val="-16"/>
        </w:rPr>
        <w:t xml:space="preserve"> 元以下的</w:t>
      </w:r>
      <w:r>
        <w:rPr>
          <w:color w:val="auto"/>
        </w:rPr>
        <w:t>罚款</w:t>
      </w:r>
    </w:p>
    <w:p>
      <w:pPr>
        <w:pStyle w:val="4"/>
        <w:spacing w:before="2"/>
        <w:ind w:left="591"/>
        <w:rPr>
          <w:color w:val="auto"/>
        </w:rPr>
      </w:pPr>
      <w:r>
        <w:rPr>
          <w:color w:val="auto"/>
        </w:rPr>
        <w:t>4、【严重】</w:t>
      </w:r>
    </w:p>
    <w:p>
      <w:pPr>
        <w:pStyle w:val="13"/>
        <w:numPr>
          <w:ilvl w:val="0"/>
          <w:numId w:val="88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已经出厂销售的，货值金额 2000 元以上 3000 元以下的。</w:t>
      </w:r>
    </w:p>
    <w:p>
      <w:pPr>
        <w:pStyle w:val="13"/>
        <w:numPr>
          <w:ilvl w:val="0"/>
          <w:numId w:val="887"/>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footerReference r:id="rId111" w:type="default"/>
          <w:footerReference r:id="rId112" w:type="even"/>
          <w:pgSz w:w="11910" w:h="16840"/>
          <w:pgMar w:top="1520" w:right="1260" w:bottom="1220" w:left="1420" w:header="0" w:footer="1034" w:gutter="0"/>
          <w:pgNumType w:start="450"/>
        </w:sectPr>
      </w:pPr>
    </w:p>
    <w:p>
      <w:pPr>
        <w:pStyle w:val="4"/>
        <w:spacing w:before="39" w:line="391" w:lineRule="auto"/>
        <w:ind w:right="268" w:firstLine="480"/>
        <w:rPr>
          <w:color w:val="auto"/>
        </w:rPr>
      </w:pPr>
      <w:r>
        <w:rPr>
          <w:color w:val="auto"/>
          <w:spacing w:val="-8"/>
        </w:rPr>
        <w:t xml:space="preserve">责令其整改，停止使用计量保证能力合格标志，并处 </w:t>
      </w:r>
      <w:r>
        <w:rPr>
          <w:color w:val="auto"/>
        </w:rPr>
        <w:t>2000</w:t>
      </w:r>
      <w:r>
        <w:rPr>
          <w:color w:val="auto"/>
          <w:spacing w:val="-24"/>
        </w:rPr>
        <w:t xml:space="preserve"> 元以上 </w:t>
      </w:r>
      <w:r>
        <w:rPr>
          <w:color w:val="auto"/>
        </w:rPr>
        <w:t>3000</w:t>
      </w:r>
      <w:r>
        <w:rPr>
          <w:color w:val="auto"/>
          <w:spacing w:val="-16"/>
        </w:rPr>
        <w:t xml:space="preserve"> 元以下的</w:t>
      </w:r>
      <w:r>
        <w:rPr>
          <w:color w:val="auto"/>
        </w:rPr>
        <w:t>罚款。</w:t>
      </w:r>
    </w:p>
    <w:p>
      <w:pPr>
        <w:pStyle w:val="4"/>
        <w:spacing w:line="306" w:lineRule="exact"/>
        <w:ind w:left="591"/>
        <w:rPr>
          <w:color w:val="auto"/>
        </w:rPr>
      </w:pPr>
      <w:r>
        <w:rPr>
          <w:color w:val="auto"/>
        </w:rPr>
        <w:t>5、【特别严重】</w:t>
      </w:r>
    </w:p>
    <w:p>
      <w:pPr>
        <w:pStyle w:val="13"/>
        <w:numPr>
          <w:ilvl w:val="0"/>
          <w:numId w:val="88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已经出厂销售的，货值金额 3000 元以上的。</w:t>
      </w:r>
    </w:p>
    <w:p>
      <w:pPr>
        <w:pStyle w:val="13"/>
        <w:numPr>
          <w:ilvl w:val="0"/>
          <w:numId w:val="88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2"/>
        </w:rPr>
        <w:t xml:space="preserve">责令其整改，停止使用计量保证能力合格标志，并处 </w:t>
      </w:r>
      <w:r>
        <w:rPr>
          <w:color w:val="auto"/>
        </w:rPr>
        <w:t>5000</w:t>
      </w:r>
      <w:r>
        <w:rPr>
          <w:color w:val="auto"/>
          <w:spacing w:val="-6"/>
        </w:rPr>
        <w:t xml:space="preserve"> 元的罚款。整改后仍</w:t>
      </w:r>
      <w:r>
        <w:rPr>
          <w:color w:val="auto"/>
          <w:spacing w:val="-10"/>
        </w:rPr>
        <w:t>不符合要求的或者拒绝整改的，由发证机关吊销其《定量包装商品生产企业计量保证</w:t>
      </w:r>
      <w:r>
        <w:rPr>
          <w:color w:val="auto"/>
          <w:spacing w:val="-20"/>
        </w:rPr>
        <w:t>能力证书》。</w:t>
      </w:r>
    </w:p>
    <w:p>
      <w:pPr>
        <w:pStyle w:val="2"/>
        <w:spacing w:line="304" w:lineRule="exact"/>
        <w:rPr>
          <w:color w:val="auto"/>
        </w:rPr>
      </w:pPr>
      <w:bookmarkStart w:id="942" w:name="四百六十、定量包装商品生产者未经备案，擅自使用计量保证能力合格标志"/>
      <w:bookmarkEnd w:id="942"/>
      <w:bookmarkStart w:id="943" w:name="_bookmark470"/>
      <w:bookmarkEnd w:id="943"/>
      <w:r>
        <w:rPr>
          <w:color w:val="auto"/>
        </w:rPr>
        <w:t>四百六十、定量包装商品生产者未经备案，擅自使用计量保证能力合格标志</w:t>
      </w:r>
    </w:p>
    <w:p>
      <w:pPr>
        <w:spacing w:before="194"/>
        <w:ind w:left="591" w:right="0" w:firstLine="0"/>
        <w:jc w:val="left"/>
        <w:rPr>
          <w:b/>
          <w:color w:val="auto"/>
          <w:sz w:val="24"/>
        </w:rPr>
      </w:pPr>
      <w:r>
        <w:rPr>
          <w:b/>
          <w:color w:val="auto"/>
          <w:sz w:val="24"/>
        </w:rPr>
        <w:t>（一）处罚依据</w:t>
      </w:r>
    </w:p>
    <w:p>
      <w:pPr>
        <w:pStyle w:val="4"/>
        <w:spacing w:before="191" w:line="388" w:lineRule="auto"/>
        <w:ind w:right="148" w:firstLine="470"/>
        <w:rPr>
          <w:color w:val="auto"/>
        </w:rPr>
      </w:pPr>
      <w:r>
        <w:rPr>
          <w:color w:val="auto"/>
          <w:spacing w:val="-2"/>
        </w:rPr>
        <w:t>《定量包装商品计量监督管理办法》第十六条第二款“定量包装商品生产者未经</w:t>
      </w:r>
      <w:r>
        <w:rPr>
          <w:color w:val="auto"/>
          <w:spacing w:val="-21"/>
        </w:rPr>
        <w:t xml:space="preserve">备案，擅自使用计量保证能力合格标志的，责令其停止使用，可处 </w:t>
      </w:r>
      <w:r>
        <w:rPr>
          <w:color w:val="auto"/>
        </w:rPr>
        <w:t>30000</w:t>
      </w:r>
      <w:r>
        <w:rPr>
          <w:color w:val="auto"/>
          <w:spacing w:val="-25"/>
        </w:rPr>
        <w:t xml:space="preserve"> 元以下罚款。”</w:t>
      </w:r>
    </w:p>
    <w:p>
      <w:pPr>
        <w:spacing w:before="5" w:line="388" w:lineRule="auto"/>
        <w:ind w:left="591" w:right="7068" w:hanging="120"/>
        <w:jc w:val="left"/>
        <w:rPr>
          <w:color w:val="auto"/>
          <w:sz w:val="24"/>
        </w:rPr>
      </w:pPr>
      <w:r>
        <w:rPr>
          <w:b/>
          <w:color w:val="auto"/>
          <w:sz w:val="24"/>
        </w:rPr>
        <w:t>（二）裁量标准</w:t>
      </w:r>
      <w:r>
        <w:rPr>
          <w:color w:val="auto"/>
          <w:sz w:val="24"/>
        </w:rPr>
        <w:t>1、【较轻】</w:t>
      </w:r>
    </w:p>
    <w:p>
      <w:pPr>
        <w:pStyle w:val="13"/>
        <w:numPr>
          <w:ilvl w:val="0"/>
          <w:numId w:val="88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违法货值在 5000 元以下的。</w:t>
      </w:r>
    </w:p>
    <w:p>
      <w:pPr>
        <w:pStyle w:val="13"/>
        <w:numPr>
          <w:ilvl w:val="0"/>
          <w:numId w:val="88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4432"/>
        <w:rPr>
          <w:color w:val="auto"/>
        </w:rPr>
      </w:pPr>
      <w:r>
        <w:rPr>
          <w:color w:val="auto"/>
          <w:spacing w:val="-6"/>
        </w:rPr>
        <w:t xml:space="preserve">责令其停止使用，处 </w:t>
      </w:r>
      <w:r>
        <w:rPr>
          <w:color w:val="auto"/>
        </w:rPr>
        <w:t>5000</w:t>
      </w:r>
      <w:r>
        <w:rPr>
          <w:color w:val="auto"/>
          <w:spacing w:val="-11"/>
        </w:rPr>
        <w:t xml:space="preserve"> 元以下罚款。</w:t>
      </w:r>
      <w:r>
        <w:rPr>
          <w:color w:val="auto"/>
        </w:rPr>
        <w:t>2</w:t>
      </w:r>
      <w:r>
        <w:rPr>
          <w:color w:val="auto"/>
          <w:spacing w:val="-24"/>
        </w:rPr>
        <w:t>、【一般】</w:t>
      </w:r>
    </w:p>
    <w:p>
      <w:pPr>
        <w:pStyle w:val="13"/>
        <w:numPr>
          <w:ilvl w:val="0"/>
          <w:numId w:val="89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违法货值在 5000 元以上 10000 元以下的。</w:t>
      </w:r>
    </w:p>
    <w:p>
      <w:pPr>
        <w:pStyle w:val="13"/>
        <w:numPr>
          <w:ilvl w:val="0"/>
          <w:numId w:val="89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232"/>
        <w:rPr>
          <w:color w:val="auto"/>
        </w:rPr>
      </w:pPr>
      <w:r>
        <w:rPr>
          <w:color w:val="auto"/>
          <w:spacing w:val="-6"/>
        </w:rPr>
        <w:t xml:space="preserve">责令其停止使用，处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89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违法货值在 10000 元以上 20000 元以下的。</w:t>
      </w:r>
    </w:p>
    <w:p>
      <w:pPr>
        <w:pStyle w:val="13"/>
        <w:numPr>
          <w:ilvl w:val="0"/>
          <w:numId w:val="891"/>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3352"/>
        <w:rPr>
          <w:color w:val="auto"/>
        </w:rPr>
      </w:pPr>
      <w:r>
        <w:rPr>
          <w:color w:val="auto"/>
          <w:spacing w:val="-6"/>
        </w:rPr>
        <w:t xml:space="preserve">责令其停止使用，处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4</w:t>
      </w:r>
      <w:r>
        <w:rPr>
          <w:color w:val="auto"/>
          <w:spacing w:val="-24"/>
        </w:rPr>
        <w:t>、【严重】</w:t>
      </w:r>
    </w:p>
    <w:p>
      <w:pPr>
        <w:pStyle w:val="13"/>
        <w:numPr>
          <w:ilvl w:val="0"/>
          <w:numId w:val="89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违法货值在 20000 元以上 30000 元以下的。</w:t>
      </w:r>
    </w:p>
    <w:p>
      <w:pPr>
        <w:pStyle w:val="13"/>
        <w:numPr>
          <w:ilvl w:val="0"/>
          <w:numId w:val="89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112"/>
        <w:rPr>
          <w:color w:val="auto"/>
        </w:rPr>
      </w:pPr>
      <w:r>
        <w:rPr>
          <w:color w:val="auto"/>
          <w:spacing w:val="-6"/>
        </w:rPr>
        <w:t xml:space="preserve">责令其停止使用，处 </w:t>
      </w:r>
      <w:r>
        <w:rPr>
          <w:color w:val="auto"/>
        </w:rPr>
        <w:t>2</w:t>
      </w:r>
      <w:r>
        <w:rPr>
          <w:color w:val="auto"/>
          <w:spacing w:val="-20"/>
        </w:rPr>
        <w:t xml:space="preserve"> 万元以上 </w:t>
      </w:r>
      <w:r>
        <w:rPr>
          <w:color w:val="auto"/>
        </w:rPr>
        <w:t>2.5</w:t>
      </w:r>
      <w:r>
        <w:rPr>
          <w:color w:val="auto"/>
          <w:spacing w:val="-10"/>
        </w:rPr>
        <w:t xml:space="preserve"> 万元以下罚款。</w:t>
      </w:r>
      <w:r>
        <w:rPr>
          <w:color w:val="auto"/>
        </w:rPr>
        <w:t>5</w:t>
      </w:r>
      <w:r>
        <w:rPr>
          <w:color w:val="auto"/>
          <w:spacing w:val="-18"/>
        </w:rPr>
        <w:t>、【特别严重】</w:t>
      </w:r>
    </w:p>
    <w:p>
      <w:pPr>
        <w:pStyle w:val="13"/>
        <w:numPr>
          <w:ilvl w:val="0"/>
          <w:numId w:val="89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违法货值在 30000 元以上的。</w:t>
      </w:r>
    </w:p>
    <w:p>
      <w:pPr>
        <w:pStyle w:val="13"/>
        <w:numPr>
          <w:ilvl w:val="0"/>
          <w:numId w:val="893"/>
        </w:numPr>
        <w:tabs>
          <w:tab w:val="left" w:pos="1193"/>
        </w:tabs>
        <w:spacing w:before="192" w:after="0" w:line="240" w:lineRule="auto"/>
        <w:ind w:left="1192" w:right="0" w:hanging="602"/>
        <w:jc w:val="left"/>
        <w:rPr>
          <w:color w:val="auto"/>
          <w:sz w:val="24"/>
        </w:rPr>
      </w:pPr>
      <w:r>
        <w:rPr>
          <w:color w:val="auto"/>
          <w:sz w:val="24"/>
        </w:rPr>
        <w:t>处罚标准</w:t>
      </w:r>
    </w:p>
    <w:p>
      <w:pPr>
        <w:spacing w:before="194" w:line="388" w:lineRule="auto"/>
        <w:ind w:left="591" w:right="3091" w:firstLine="0"/>
        <w:jc w:val="left"/>
        <w:rPr>
          <w:b/>
          <w:color w:val="auto"/>
          <w:sz w:val="24"/>
        </w:rPr>
      </w:pPr>
      <w:r>
        <w:rPr>
          <w:color w:val="auto"/>
          <w:spacing w:val="-6"/>
          <w:sz w:val="24"/>
        </w:rPr>
        <w:t xml:space="preserve">责令其停止使用，处 </w:t>
      </w:r>
      <w:r>
        <w:rPr>
          <w:color w:val="auto"/>
          <w:sz w:val="24"/>
        </w:rPr>
        <w:t>2.5</w:t>
      </w:r>
      <w:r>
        <w:rPr>
          <w:color w:val="auto"/>
          <w:spacing w:val="-20"/>
          <w:sz w:val="24"/>
        </w:rPr>
        <w:t xml:space="preserve"> 万元以上 </w:t>
      </w:r>
      <w:r>
        <w:rPr>
          <w:color w:val="auto"/>
          <w:sz w:val="24"/>
        </w:rPr>
        <w:t>3</w:t>
      </w:r>
      <w:r>
        <w:rPr>
          <w:color w:val="auto"/>
          <w:spacing w:val="-8"/>
          <w:sz w:val="24"/>
        </w:rPr>
        <w:t xml:space="preserve"> 万元以下罚款。</w:t>
      </w:r>
      <w:bookmarkStart w:id="944" w:name="四百六十一、生产、销售定量包装商品未标注净含量"/>
      <w:bookmarkEnd w:id="944"/>
      <w:bookmarkStart w:id="945" w:name="_bookmark471"/>
      <w:bookmarkEnd w:id="945"/>
      <w:r>
        <w:rPr>
          <w:b/>
          <w:color w:val="auto"/>
          <w:spacing w:val="-9"/>
          <w:sz w:val="24"/>
        </w:rPr>
        <w:t>四百六十一、生产、销售定量包装商品未标注净含量</w:t>
      </w:r>
    </w:p>
    <w:p>
      <w:pPr>
        <w:pStyle w:val="2"/>
        <w:spacing w:before="2"/>
        <w:rPr>
          <w:color w:val="auto"/>
        </w:rPr>
      </w:pPr>
      <w:r>
        <w:rPr>
          <w:color w:val="auto"/>
        </w:rPr>
        <w:t>（一）处罚依据</w:t>
      </w:r>
    </w:p>
    <w:p>
      <w:pPr>
        <w:pStyle w:val="4"/>
        <w:spacing w:before="194" w:line="388" w:lineRule="auto"/>
        <w:ind w:right="232" w:firstLine="470"/>
        <w:jc w:val="both"/>
        <w:rPr>
          <w:color w:val="auto"/>
        </w:rPr>
      </w:pPr>
      <w:r>
        <w:rPr>
          <w:color w:val="auto"/>
        </w:rPr>
        <w:t>1、《定量包装商品计量监督管理办法》第十七条“生产、销售定量包装商品违反本办法第五条、第六条、第七条规定，未正确、清晰地标注净含量的，责令改正； 未标注净含量的，限期改正，逾期不改的，可处 1000 元以下罚款。”</w:t>
      </w:r>
    </w:p>
    <w:p>
      <w:pPr>
        <w:pStyle w:val="4"/>
        <w:spacing w:before="6" w:line="388" w:lineRule="auto"/>
        <w:ind w:right="268" w:firstLine="470"/>
        <w:rPr>
          <w:color w:val="auto"/>
        </w:rPr>
      </w:pPr>
      <w:r>
        <w:rPr>
          <w:color w:val="auto"/>
        </w:rPr>
        <w:t>2、《定量包装商品计量监督管理办法》第五条“定量包装商品的生产者、销售者应当在其商品包装的显著位置正确、清晰地标注定量包装商品的净含量。”</w:t>
      </w:r>
    </w:p>
    <w:p>
      <w:pPr>
        <w:pStyle w:val="4"/>
        <w:spacing w:before="2" w:line="391" w:lineRule="auto"/>
        <w:ind w:right="265" w:firstLine="470"/>
        <w:jc w:val="both"/>
        <w:rPr>
          <w:color w:val="auto"/>
        </w:rPr>
      </w:pPr>
      <w:r>
        <w:rPr>
          <w:color w:val="auto"/>
        </w:rPr>
        <w:t>3</w:t>
      </w:r>
      <w:r>
        <w:rPr>
          <w:color w:val="auto"/>
          <w:spacing w:val="-11"/>
        </w:rPr>
        <w:t>、《定量包装商品计量监督管理办法》第六条“净含量的标注由”净含量”</w:t>
      </w:r>
      <w:r>
        <w:rPr>
          <w:color w:val="auto"/>
          <w:spacing w:val="-21"/>
        </w:rPr>
        <w:t>（</w:t>
      </w:r>
      <w:r>
        <w:rPr>
          <w:color w:val="auto"/>
          <w:spacing w:val="-11"/>
        </w:rPr>
        <w:t>中</w:t>
      </w:r>
      <w:r>
        <w:rPr>
          <w:color w:val="auto"/>
        </w:rPr>
        <w:t>文</w:t>
      </w:r>
      <w:r>
        <w:rPr>
          <w:color w:val="auto"/>
          <w:spacing w:val="-8"/>
        </w:rPr>
        <w:t>）</w:t>
      </w:r>
      <w:r>
        <w:rPr>
          <w:color w:val="auto"/>
          <w:spacing w:val="-4"/>
        </w:rPr>
        <w:t>、数字和法定计量单位</w:t>
      </w:r>
      <w:r>
        <w:rPr>
          <w:color w:val="auto"/>
        </w:rPr>
        <w:t>（或者用中文表示的计数单位</w:t>
      </w:r>
      <w:r>
        <w:rPr>
          <w:color w:val="auto"/>
          <w:spacing w:val="-8"/>
        </w:rPr>
        <w:t>）</w:t>
      </w:r>
      <w:r>
        <w:rPr>
          <w:color w:val="auto"/>
          <w:spacing w:val="-3"/>
        </w:rPr>
        <w:t>三个部分组成。法定计量</w:t>
      </w:r>
      <w:r>
        <w:rPr>
          <w:color w:val="auto"/>
          <w:spacing w:val="-4"/>
        </w:rPr>
        <w:t xml:space="preserve">单位的选择应当符合本办法附表 </w:t>
      </w:r>
      <w:r>
        <w:rPr>
          <w:color w:val="auto"/>
        </w:rPr>
        <w:t>1</w:t>
      </w:r>
      <w:r>
        <w:rPr>
          <w:color w:val="auto"/>
          <w:spacing w:val="-12"/>
        </w:rPr>
        <w:t xml:space="preserve"> 的规定。以长度、面积、计数单位标注净含量的定</w:t>
      </w:r>
      <w:r>
        <w:rPr>
          <w:color w:val="auto"/>
          <w:spacing w:val="-6"/>
        </w:rPr>
        <w:t>量包装商品，可以免于标注”净含量”三个中文字，只标注数字和法定计量单位</w:t>
      </w:r>
      <w:r>
        <w:rPr>
          <w:color w:val="auto"/>
        </w:rPr>
        <w:t>（</w:t>
      </w:r>
      <w:r>
        <w:rPr>
          <w:color w:val="auto"/>
          <w:spacing w:val="-15"/>
        </w:rPr>
        <w:t>或</w:t>
      </w:r>
      <w:r>
        <w:rPr>
          <w:color w:val="auto"/>
        </w:rPr>
        <w:t>者用中文表示的计数单位</w:t>
      </w:r>
      <w:r>
        <w:rPr>
          <w:color w:val="auto"/>
          <w:spacing w:val="-20"/>
        </w:rPr>
        <w:t>）</w:t>
      </w:r>
      <w:r>
        <w:rPr>
          <w:color w:val="auto"/>
          <w:spacing w:val="-5"/>
        </w:rPr>
        <w:t>。定量包装商品净含量标注字符的最小高度应当符合本办</w:t>
      </w:r>
      <w:r>
        <w:rPr>
          <w:color w:val="auto"/>
          <w:spacing w:val="-15"/>
        </w:rPr>
        <w:t xml:space="preserve">法附表 </w:t>
      </w:r>
      <w:r>
        <w:rPr>
          <w:color w:val="auto"/>
        </w:rPr>
        <w:t>2</w:t>
      </w:r>
      <w:r>
        <w:rPr>
          <w:color w:val="auto"/>
          <w:spacing w:val="-10"/>
        </w:rPr>
        <w:t xml:space="preserve"> 的规定。”</w:t>
      </w:r>
    </w:p>
    <w:p>
      <w:pPr>
        <w:pStyle w:val="4"/>
        <w:spacing w:line="391" w:lineRule="auto"/>
        <w:ind w:right="268" w:firstLine="240"/>
        <w:jc w:val="both"/>
        <w:rPr>
          <w:color w:val="auto"/>
        </w:rPr>
      </w:pPr>
      <w:r>
        <w:rPr>
          <w:color w:val="auto"/>
        </w:rPr>
        <w:t>4、《定量包装商品计量监督管理办法》第七条“同一包装内含有多件同种定量包</w:t>
      </w:r>
      <w:r>
        <w:rPr>
          <w:color w:val="auto"/>
          <w:spacing w:val="-6"/>
        </w:rPr>
        <w:t>装商品的，应当标注单件定量包装商品的净含量和总件数，或者标注总净含量。同一</w:t>
      </w:r>
      <w:r>
        <w:rPr>
          <w:color w:val="auto"/>
          <w:spacing w:val="-3"/>
        </w:rPr>
        <w:t>包装内含有多件不同种定量包装商品的，应当标注各种不同种定量包装商品的单件净含量和各种不同种定量包装商品的件数，或者分别标注各种不同种定量包装商品的总</w:t>
      </w:r>
    </w:p>
    <w:p>
      <w:pPr>
        <w:spacing w:after="0" w:line="391"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净含量。“</w:t>
      </w:r>
    </w:p>
    <w:p>
      <w:pPr>
        <w:spacing w:before="195" w:line="388" w:lineRule="auto"/>
        <w:ind w:left="591" w:right="7068" w:hanging="120"/>
        <w:jc w:val="left"/>
        <w:rPr>
          <w:color w:val="auto"/>
          <w:sz w:val="24"/>
        </w:rPr>
      </w:pPr>
      <w:r>
        <w:rPr>
          <w:b/>
          <w:color w:val="auto"/>
          <w:sz w:val="24"/>
        </w:rPr>
        <w:t>（二）裁量标准</w:t>
      </w:r>
      <w:r>
        <w:rPr>
          <w:color w:val="auto"/>
          <w:sz w:val="24"/>
        </w:rPr>
        <w:t>1、【一般】</w:t>
      </w:r>
    </w:p>
    <w:p>
      <w:pPr>
        <w:pStyle w:val="13"/>
        <w:numPr>
          <w:ilvl w:val="0"/>
          <w:numId w:val="89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未标注净含量的，逾期 10 天以下未改正的。</w:t>
      </w:r>
    </w:p>
    <w:p>
      <w:pPr>
        <w:pStyle w:val="13"/>
        <w:numPr>
          <w:ilvl w:val="0"/>
          <w:numId w:val="89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6472"/>
        <w:rPr>
          <w:color w:val="auto"/>
        </w:rPr>
      </w:pPr>
      <w:r>
        <w:rPr>
          <w:color w:val="auto"/>
          <w:spacing w:val="-30"/>
        </w:rPr>
        <w:t xml:space="preserve">处 </w:t>
      </w:r>
      <w:r>
        <w:rPr>
          <w:color w:val="auto"/>
        </w:rPr>
        <w:t>500</w:t>
      </w:r>
      <w:r>
        <w:rPr>
          <w:color w:val="auto"/>
          <w:spacing w:val="-11"/>
        </w:rPr>
        <w:t xml:space="preserve"> 元以下罚款。</w:t>
      </w:r>
      <w:r>
        <w:rPr>
          <w:color w:val="auto"/>
        </w:rPr>
        <w:t>2</w:t>
      </w:r>
      <w:r>
        <w:rPr>
          <w:color w:val="auto"/>
          <w:spacing w:val="-24"/>
        </w:rPr>
        <w:t>、【较重】</w:t>
      </w:r>
    </w:p>
    <w:p>
      <w:pPr>
        <w:pStyle w:val="13"/>
        <w:numPr>
          <w:ilvl w:val="0"/>
          <w:numId w:val="89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未标注净含量的，限逾期 10 天以上 20 天以下未改正的。</w:t>
      </w:r>
    </w:p>
    <w:p>
      <w:pPr>
        <w:pStyle w:val="13"/>
        <w:numPr>
          <w:ilvl w:val="0"/>
          <w:numId w:val="89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72"/>
        <w:rPr>
          <w:color w:val="auto"/>
        </w:rPr>
      </w:pPr>
      <w:r>
        <w:rPr>
          <w:color w:val="auto"/>
          <w:spacing w:val="-30"/>
        </w:rPr>
        <w:t xml:space="preserve">处 </w:t>
      </w:r>
      <w:r>
        <w:rPr>
          <w:color w:val="auto"/>
        </w:rPr>
        <w:t>500</w:t>
      </w:r>
      <w:r>
        <w:rPr>
          <w:color w:val="auto"/>
          <w:spacing w:val="-24"/>
        </w:rPr>
        <w:t xml:space="preserve"> 元以上 </w:t>
      </w:r>
      <w:r>
        <w:rPr>
          <w:color w:val="auto"/>
        </w:rPr>
        <w:t>800</w:t>
      </w:r>
      <w:r>
        <w:rPr>
          <w:color w:val="auto"/>
          <w:spacing w:val="-11"/>
        </w:rPr>
        <w:t xml:space="preserve"> 元以下罚款。</w:t>
      </w:r>
      <w:r>
        <w:rPr>
          <w:color w:val="auto"/>
        </w:rPr>
        <w:t>3</w:t>
      </w:r>
      <w:r>
        <w:rPr>
          <w:color w:val="auto"/>
          <w:spacing w:val="-24"/>
        </w:rPr>
        <w:t>、【严重】</w:t>
      </w:r>
    </w:p>
    <w:p>
      <w:pPr>
        <w:pStyle w:val="13"/>
        <w:numPr>
          <w:ilvl w:val="0"/>
          <w:numId w:val="89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有下列情形之一的：1、未标注净含量的，逾期 20 天以上未改正的；2、造成较大社会影响的。</w:t>
      </w:r>
    </w:p>
    <w:p>
      <w:pPr>
        <w:pStyle w:val="13"/>
        <w:numPr>
          <w:ilvl w:val="0"/>
          <w:numId w:val="896"/>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800 元以上 1000 元以下罚款。</w:t>
      </w:r>
    </w:p>
    <w:p>
      <w:pPr>
        <w:pStyle w:val="2"/>
        <w:spacing w:before="192"/>
        <w:rPr>
          <w:color w:val="auto"/>
        </w:rPr>
      </w:pPr>
      <w:bookmarkStart w:id="946" w:name="_bookmark472"/>
      <w:bookmarkEnd w:id="946"/>
      <w:bookmarkStart w:id="947" w:name="四百六十二、生产、销售的定量包装商品经检验计量不合格"/>
      <w:bookmarkEnd w:id="947"/>
      <w:r>
        <w:rPr>
          <w:color w:val="auto"/>
        </w:rPr>
        <w:t>四百六十二、生产、销售的定量包装商品经检验计量不合格</w:t>
      </w:r>
    </w:p>
    <w:p>
      <w:pPr>
        <w:spacing w:before="194"/>
        <w:ind w:left="591" w:right="0" w:firstLine="0"/>
        <w:jc w:val="left"/>
        <w:rPr>
          <w:b/>
          <w:color w:val="auto"/>
          <w:sz w:val="24"/>
        </w:rPr>
      </w:pPr>
      <w:r>
        <w:rPr>
          <w:b/>
          <w:color w:val="auto"/>
          <w:sz w:val="24"/>
        </w:rPr>
        <w:t>（一）处罚依据</w:t>
      </w:r>
    </w:p>
    <w:p>
      <w:pPr>
        <w:pStyle w:val="4"/>
        <w:spacing w:before="192" w:line="388" w:lineRule="auto"/>
        <w:ind w:right="111" w:firstLine="470"/>
        <w:rPr>
          <w:color w:val="auto"/>
        </w:rPr>
      </w:pPr>
      <w:r>
        <w:rPr>
          <w:color w:val="auto"/>
        </w:rPr>
        <w:t>1、《定量包装商品计量监督管理办法》第十八条“生产、销售的定量包装商品， 经检验违反本办法第九条规定的，责令改正，可处检验批货值金额 3 倍以下，最高不</w:t>
      </w:r>
    </w:p>
    <w:p>
      <w:pPr>
        <w:pStyle w:val="4"/>
        <w:spacing w:before="4"/>
        <w:rPr>
          <w:color w:val="auto"/>
        </w:rPr>
      </w:pPr>
      <w:r>
        <w:rPr>
          <w:color w:val="auto"/>
        </w:rPr>
        <w:t>超过 30000 元的罚款。”</w:t>
      </w:r>
    </w:p>
    <w:p>
      <w:pPr>
        <w:pStyle w:val="4"/>
        <w:spacing w:before="192" w:line="391" w:lineRule="auto"/>
        <w:ind w:right="268" w:firstLine="470"/>
        <w:jc w:val="both"/>
        <w:rPr>
          <w:color w:val="auto"/>
        </w:rPr>
      </w:pPr>
      <w:r>
        <w:rPr>
          <w:color w:val="auto"/>
        </w:rPr>
        <w:t>2、《定量包装商品计量监督管理办法》第九条“批量定量包装商品的平均实际</w:t>
      </w:r>
      <w:r>
        <w:rPr>
          <w:color w:val="auto"/>
          <w:spacing w:val="3"/>
        </w:rPr>
        <w:t>含量应当大于或者等于其标注净含量。用抽样的方法评定一个检验批的定量包装商</w:t>
      </w:r>
      <w:r>
        <w:rPr>
          <w:color w:val="auto"/>
          <w:spacing w:val="-9"/>
        </w:rPr>
        <w:t xml:space="preserve">品，应当按照本办法附表 </w:t>
      </w:r>
      <w:r>
        <w:rPr>
          <w:color w:val="auto"/>
        </w:rPr>
        <w:t>4</w:t>
      </w:r>
      <w:r>
        <w:rPr>
          <w:color w:val="auto"/>
          <w:spacing w:val="-10"/>
        </w:rPr>
        <w:t xml:space="preserve"> 中的规定进行抽样检验和计算。样本中单件定量包装商品</w:t>
      </w:r>
      <w:r>
        <w:rPr>
          <w:color w:val="auto"/>
          <w:spacing w:val="3"/>
        </w:rPr>
        <w:t>的标注净含量与其实际含量之差大于允许短缺量的件数以及样本的平均实际含量应</w:t>
      </w:r>
      <w:r>
        <w:rPr>
          <w:color w:val="auto"/>
          <w:spacing w:val="-4"/>
        </w:rPr>
        <w:t xml:space="preserve">当符合本办法附表 </w:t>
      </w:r>
      <w:r>
        <w:rPr>
          <w:color w:val="auto"/>
        </w:rPr>
        <w:t>4</w:t>
      </w:r>
      <w:r>
        <w:rPr>
          <w:color w:val="auto"/>
          <w:spacing w:val="-10"/>
        </w:rPr>
        <w:t xml:space="preserve"> 的规定。”</w:t>
      </w:r>
    </w:p>
    <w:p>
      <w:pPr>
        <w:spacing w:after="0" w:line="391" w:lineRule="auto"/>
        <w:jc w:val="both"/>
        <w:rPr>
          <w:color w:val="auto"/>
        </w:rPr>
        <w:sectPr>
          <w:pgSz w:w="11910" w:h="16840"/>
          <w:pgMar w:top="1520" w:right="1260" w:bottom="1220" w:left="1420" w:header="0" w:footer="1034" w:gutter="0"/>
        </w:sectPr>
      </w:pPr>
    </w:p>
    <w:p>
      <w:pPr>
        <w:spacing w:before="39"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89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生产、销售的定量包装商品，经检验计量不合格货值金额 1000 元以下的。</w:t>
      </w:r>
    </w:p>
    <w:p>
      <w:pPr>
        <w:pStyle w:val="13"/>
        <w:numPr>
          <w:ilvl w:val="0"/>
          <w:numId w:val="89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592"/>
        <w:rPr>
          <w:color w:val="auto"/>
        </w:rPr>
      </w:pPr>
      <w:r>
        <w:rPr>
          <w:color w:val="auto"/>
          <w:spacing w:val="-5"/>
        </w:rPr>
        <w:t xml:space="preserve">责令改正，处检验批货值金额 </w:t>
      </w:r>
      <w:r>
        <w:rPr>
          <w:color w:val="auto"/>
        </w:rPr>
        <w:t>1</w:t>
      </w:r>
      <w:r>
        <w:rPr>
          <w:color w:val="auto"/>
          <w:spacing w:val="-10"/>
        </w:rPr>
        <w:t xml:space="preserve"> 倍以下的罚款。</w:t>
      </w:r>
      <w:r>
        <w:rPr>
          <w:color w:val="auto"/>
        </w:rPr>
        <w:t>2</w:t>
      </w:r>
      <w:r>
        <w:rPr>
          <w:color w:val="auto"/>
          <w:spacing w:val="-24"/>
        </w:rPr>
        <w:t>、【一般】</w:t>
      </w:r>
    </w:p>
    <w:p>
      <w:pPr>
        <w:pStyle w:val="13"/>
        <w:numPr>
          <w:ilvl w:val="0"/>
          <w:numId w:val="898"/>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spacing w:val="-9"/>
        </w:rPr>
        <w:t xml:space="preserve">生产、销售的定量包装商品，经检验计量不合格货值金额 </w:t>
      </w:r>
      <w:r>
        <w:rPr>
          <w:color w:val="auto"/>
        </w:rPr>
        <w:t>1000</w:t>
      </w:r>
      <w:r>
        <w:rPr>
          <w:color w:val="auto"/>
          <w:spacing w:val="-24"/>
        </w:rPr>
        <w:t xml:space="preserve"> 元以上 </w:t>
      </w:r>
      <w:r>
        <w:rPr>
          <w:color w:val="auto"/>
        </w:rPr>
        <w:t>5000</w:t>
      </w:r>
      <w:r>
        <w:rPr>
          <w:color w:val="auto"/>
          <w:spacing w:val="-26"/>
        </w:rPr>
        <w:t xml:space="preserve"> 元以</w:t>
      </w:r>
      <w:r>
        <w:rPr>
          <w:color w:val="auto"/>
        </w:rPr>
        <w:t>下的。</w:t>
      </w:r>
    </w:p>
    <w:p>
      <w:pPr>
        <w:pStyle w:val="13"/>
        <w:numPr>
          <w:ilvl w:val="0"/>
          <w:numId w:val="89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2392"/>
        <w:rPr>
          <w:color w:val="auto"/>
        </w:rPr>
      </w:pPr>
      <w:r>
        <w:rPr>
          <w:color w:val="auto"/>
          <w:spacing w:val="-5"/>
        </w:rPr>
        <w:t xml:space="preserve">责令改正，处检验批货值金额 </w:t>
      </w:r>
      <w:r>
        <w:rPr>
          <w:color w:val="auto"/>
        </w:rPr>
        <w:t>1</w:t>
      </w:r>
      <w:r>
        <w:rPr>
          <w:color w:val="auto"/>
          <w:spacing w:val="-24"/>
        </w:rPr>
        <w:t xml:space="preserve"> 倍以上 </w:t>
      </w:r>
      <w:r>
        <w:rPr>
          <w:color w:val="auto"/>
        </w:rPr>
        <w:t>1.5</w:t>
      </w:r>
      <w:r>
        <w:rPr>
          <w:color w:val="auto"/>
          <w:spacing w:val="-10"/>
        </w:rPr>
        <w:t xml:space="preserve"> 倍以下的罚款。</w:t>
      </w:r>
      <w:r>
        <w:rPr>
          <w:color w:val="auto"/>
        </w:rPr>
        <w:t>3</w:t>
      </w:r>
      <w:r>
        <w:rPr>
          <w:color w:val="auto"/>
          <w:spacing w:val="-24"/>
        </w:rPr>
        <w:t>、【较重】</w:t>
      </w:r>
    </w:p>
    <w:p>
      <w:pPr>
        <w:pStyle w:val="13"/>
        <w:numPr>
          <w:ilvl w:val="0"/>
          <w:numId w:val="89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71" w:firstLine="480"/>
        <w:rPr>
          <w:color w:val="auto"/>
        </w:rPr>
      </w:pPr>
      <w:r>
        <w:rPr>
          <w:color w:val="auto"/>
          <w:spacing w:val="-2"/>
        </w:rPr>
        <w:t xml:space="preserve">生产、销售的定量包装商品，经检验计量不合格货值金额 </w:t>
      </w:r>
      <w:r>
        <w:rPr>
          <w:color w:val="auto"/>
        </w:rPr>
        <w:t>5000</w:t>
      </w:r>
      <w:r>
        <w:rPr>
          <w:color w:val="auto"/>
          <w:spacing w:val="-19"/>
        </w:rPr>
        <w:t xml:space="preserve"> 元以上 </w:t>
      </w:r>
      <w:r>
        <w:rPr>
          <w:color w:val="auto"/>
        </w:rPr>
        <w:t>10000</w:t>
      </w:r>
      <w:r>
        <w:rPr>
          <w:color w:val="auto"/>
          <w:spacing w:val="-25"/>
        </w:rPr>
        <w:t xml:space="preserve"> 元以下的。</w:t>
      </w:r>
    </w:p>
    <w:p>
      <w:pPr>
        <w:pStyle w:val="13"/>
        <w:numPr>
          <w:ilvl w:val="0"/>
          <w:numId w:val="899"/>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2392"/>
        <w:rPr>
          <w:color w:val="auto"/>
        </w:rPr>
      </w:pPr>
      <w:r>
        <w:rPr>
          <w:color w:val="auto"/>
          <w:spacing w:val="-5"/>
        </w:rPr>
        <w:t xml:space="preserve">责令改正，处检验批货值金额 </w:t>
      </w:r>
      <w:r>
        <w:rPr>
          <w:color w:val="auto"/>
        </w:rPr>
        <w:t>1.5</w:t>
      </w:r>
      <w:r>
        <w:rPr>
          <w:color w:val="auto"/>
          <w:spacing w:val="-24"/>
        </w:rPr>
        <w:t xml:space="preserve"> 倍以上 </w:t>
      </w:r>
      <w:r>
        <w:rPr>
          <w:color w:val="auto"/>
        </w:rPr>
        <w:t>2</w:t>
      </w:r>
      <w:r>
        <w:rPr>
          <w:color w:val="auto"/>
          <w:spacing w:val="-10"/>
        </w:rPr>
        <w:t xml:space="preserve"> 倍以下的罚款。</w:t>
      </w:r>
      <w:r>
        <w:rPr>
          <w:color w:val="auto"/>
        </w:rPr>
        <w:t>4</w:t>
      </w:r>
      <w:r>
        <w:rPr>
          <w:color w:val="auto"/>
          <w:spacing w:val="-24"/>
        </w:rPr>
        <w:t>、【严重】</w:t>
      </w:r>
    </w:p>
    <w:p>
      <w:pPr>
        <w:pStyle w:val="13"/>
        <w:numPr>
          <w:ilvl w:val="0"/>
          <w:numId w:val="90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生产、销售的定量包装商品，经检验计量不合格货值金额 10000 元以上的。</w:t>
      </w:r>
    </w:p>
    <w:p>
      <w:pPr>
        <w:pStyle w:val="13"/>
        <w:numPr>
          <w:ilvl w:val="0"/>
          <w:numId w:val="900"/>
        </w:numPr>
        <w:tabs>
          <w:tab w:val="left" w:pos="1193"/>
        </w:tabs>
        <w:spacing w:before="192" w:after="0" w:line="240" w:lineRule="auto"/>
        <w:ind w:left="1192" w:right="0" w:hanging="602"/>
        <w:jc w:val="left"/>
        <w:rPr>
          <w:color w:val="auto"/>
          <w:sz w:val="24"/>
        </w:rPr>
      </w:pPr>
      <w:r>
        <w:rPr>
          <w:color w:val="auto"/>
          <w:sz w:val="24"/>
        </w:rPr>
        <w:t>处罚标准</w:t>
      </w:r>
    </w:p>
    <w:p>
      <w:pPr>
        <w:spacing w:before="194" w:line="388" w:lineRule="auto"/>
        <w:ind w:left="591" w:right="232" w:firstLine="0"/>
        <w:jc w:val="left"/>
        <w:rPr>
          <w:b/>
          <w:color w:val="auto"/>
          <w:sz w:val="24"/>
        </w:rPr>
      </w:pPr>
      <w:r>
        <w:rPr>
          <w:color w:val="auto"/>
          <w:spacing w:val="-5"/>
          <w:sz w:val="24"/>
        </w:rPr>
        <w:t xml:space="preserve">责令改正，处检验批货值金额 </w:t>
      </w:r>
      <w:r>
        <w:rPr>
          <w:color w:val="auto"/>
          <w:sz w:val="24"/>
        </w:rPr>
        <w:t>2</w:t>
      </w:r>
      <w:r>
        <w:rPr>
          <w:color w:val="auto"/>
          <w:spacing w:val="-24"/>
          <w:sz w:val="24"/>
        </w:rPr>
        <w:t xml:space="preserve"> 倍以上 </w:t>
      </w:r>
      <w:r>
        <w:rPr>
          <w:color w:val="auto"/>
          <w:sz w:val="24"/>
        </w:rPr>
        <w:t>3</w:t>
      </w:r>
      <w:r>
        <w:rPr>
          <w:color w:val="auto"/>
          <w:spacing w:val="-13"/>
          <w:sz w:val="24"/>
        </w:rPr>
        <w:t xml:space="preserve"> 倍以下，最高不超过 </w:t>
      </w:r>
      <w:r>
        <w:rPr>
          <w:color w:val="auto"/>
          <w:sz w:val="24"/>
        </w:rPr>
        <w:t>30000</w:t>
      </w:r>
      <w:r>
        <w:rPr>
          <w:color w:val="auto"/>
          <w:spacing w:val="-13"/>
          <w:sz w:val="24"/>
        </w:rPr>
        <w:t xml:space="preserve"> 元的罚款。</w:t>
      </w:r>
      <w:bookmarkStart w:id="948" w:name="四百六十三、在用能产品中掺杂、掺假，以假充真、以次充好，以不合格品冒充合格品"/>
      <w:bookmarkEnd w:id="948"/>
      <w:bookmarkStart w:id="949" w:name="_bookmark473"/>
      <w:bookmarkEnd w:id="949"/>
      <w:r>
        <w:rPr>
          <w:b/>
          <w:color w:val="auto"/>
          <w:spacing w:val="-6"/>
          <w:sz w:val="24"/>
        </w:rPr>
        <w:t>四百六十三、在用能产品中掺杂、掺假，以假充真、以次充好，以不合格品冒充</w:t>
      </w:r>
    </w:p>
    <w:p>
      <w:pPr>
        <w:pStyle w:val="2"/>
        <w:spacing w:before="2"/>
        <w:ind w:left="111"/>
        <w:rPr>
          <w:color w:val="auto"/>
        </w:rPr>
      </w:pPr>
      <w:r>
        <w:rPr>
          <w:color w:val="auto"/>
        </w:rPr>
        <w:t>合格品</w:t>
      </w:r>
    </w:p>
    <w:p>
      <w:pPr>
        <w:spacing w:before="194"/>
        <w:ind w:left="591" w:right="0" w:firstLine="0"/>
        <w:jc w:val="left"/>
        <w:rPr>
          <w:b/>
          <w:color w:val="auto"/>
          <w:sz w:val="24"/>
        </w:rPr>
      </w:pPr>
      <w:r>
        <w:rPr>
          <w:b/>
          <w:color w:val="auto"/>
          <w:sz w:val="24"/>
        </w:rPr>
        <w:t>（一）处罚依据</w:t>
      </w:r>
    </w:p>
    <w:p>
      <w:pPr>
        <w:pStyle w:val="4"/>
        <w:spacing w:before="192" w:line="388" w:lineRule="auto"/>
        <w:ind w:right="145" w:firstLine="480"/>
        <w:rPr>
          <w:color w:val="auto"/>
        </w:rPr>
      </w:pPr>
      <w:r>
        <w:rPr>
          <w:color w:val="auto"/>
        </w:rPr>
        <w:t>1</w:t>
      </w:r>
      <w:r>
        <w:rPr>
          <w:color w:val="auto"/>
          <w:spacing w:val="-18"/>
        </w:rPr>
        <w:t>、《能源效率标识管理办法》第二十六条“在用能产品中掺杂、掺假，以假充真、</w:t>
      </w:r>
      <w:r>
        <w:rPr>
          <w:color w:val="auto"/>
          <w:spacing w:val="-6"/>
        </w:rPr>
        <w:t>以次充好，以不合格品冒充合格品的，或者进口属于掺杂、掺假，以假充真、以次充</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68"/>
        <w:rPr>
          <w:color w:val="auto"/>
        </w:rPr>
      </w:pPr>
      <w:r>
        <w:rPr>
          <w:color w:val="auto"/>
          <w:spacing w:val="-7"/>
        </w:rPr>
        <w:t>好，以不合格品冒充合格品的用能产品的，依据《中华人民共和国产品质量法》第五</w:t>
      </w:r>
      <w:r>
        <w:rPr>
          <w:color w:val="auto"/>
          <w:spacing w:val="-16"/>
        </w:rPr>
        <w:t>十条、《中华人民共和国进出口商品检验法》第三十五条的规定予以处罚。”</w:t>
      </w:r>
    </w:p>
    <w:p>
      <w:pPr>
        <w:pStyle w:val="4"/>
        <w:spacing w:line="391" w:lineRule="auto"/>
        <w:ind w:right="148" w:firstLine="480"/>
        <w:rPr>
          <w:color w:val="auto"/>
        </w:rPr>
      </w:pPr>
      <w:r>
        <w:rPr>
          <w:color w:val="auto"/>
        </w:rPr>
        <w:t>2</w:t>
      </w:r>
      <w:r>
        <w:rPr>
          <w:color w:val="auto"/>
          <w:spacing w:val="-12"/>
        </w:rPr>
        <w:t xml:space="preserve">、《中华人民共和国产品质量法》第五十条“在产品中掺杂、掺假，以假充真， </w:t>
      </w:r>
      <w:r>
        <w:rPr>
          <w:color w:val="auto"/>
          <w:spacing w:val="-15"/>
        </w:rPr>
        <w:t>以次充好，或者以不合格产品冒充合格产品的，责令停止生产、销售，没收违法生产、</w:t>
      </w:r>
      <w:r>
        <w:rPr>
          <w:color w:val="auto"/>
          <w:spacing w:val="-4"/>
        </w:rPr>
        <w:t>销售的产品，并处违法生产、销售产品货值金额百分之五十以上三倍以下的罚款；有</w:t>
      </w:r>
      <w:r>
        <w:rPr>
          <w:color w:val="auto"/>
          <w:spacing w:val="-8"/>
        </w:rPr>
        <w:t>违法所得的，并处没收违法所得；情节严重的，吊销营业执照；构成犯罪的，依法追究刑事责任。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0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line="388" w:lineRule="auto"/>
        <w:ind w:right="212" w:firstLine="480"/>
        <w:rPr>
          <w:color w:val="auto"/>
        </w:rPr>
      </w:pPr>
      <w:r>
        <w:rPr>
          <w:color w:val="auto"/>
        </w:rPr>
        <w:t>有下列情形之一的：1、有证据证明该产品是初次生产，且尚未销售的；2、有证据证明该产品是初次生产，没有造成危害结果的。</w:t>
      </w:r>
    </w:p>
    <w:p>
      <w:pPr>
        <w:pStyle w:val="13"/>
        <w:numPr>
          <w:ilvl w:val="0"/>
          <w:numId w:val="90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71" w:firstLine="480"/>
        <w:rPr>
          <w:color w:val="auto"/>
        </w:rPr>
      </w:pPr>
      <w:r>
        <w:rPr>
          <w:color w:val="auto"/>
          <w:spacing w:val="-2"/>
        </w:rPr>
        <w:t xml:space="preserve">责令停止生产、销售，没收违法生产、销售的产品，并处货值金额 </w:t>
      </w:r>
      <w:r>
        <w:rPr>
          <w:color w:val="auto"/>
        </w:rPr>
        <w:t>50%</w:t>
      </w:r>
      <w:r>
        <w:rPr>
          <w:color w:val="auto"/>
          <w:spacing w:val="-19"/>
        </w:rPr>
        <w:t xml:space="preserve">以上 </w:t>
      </w:r>
      <w:r>
        <w:rPr>
          <w:color w:val="auto"/>
        </w:rPr>
        <w:t>1</w:t>
      </w:r>
      <w:r>
        <w:rPr>
          <w:color w:val="auto"/>
          <w:spacing w:val="-35"/>
        </w:rPr>
        <w:t xml:space="preserve"> 倍</w:t>
      </w:r>
      <w:r>
        <w:rPr>
          <w:color w:val="auto"/>
        </w:rPr>
        <w:t>以下的罚款；有违法所得的，并处没收违法所得。</w:t>
      </w:r>
    </w:p>
    <w:p>
      <w:pPr>
        <w:pStyle w:val="4"/>
        <w:spacing w:before="2"/>
        <w:ind w:left="591"/>
        <w:rPr>
          <w:color w:val="auto"/>
        </w:rPr>
      </w:pPr>
      <w:r>
        <w:rPr>
          <w:color w:val="auto"/>
        </w:rPr>
        <w:t>2、【一般】</w:t>
      </w:r>
    </w:p>
    <w:p>
      <w:pPr>
        <w:pStyle w:val="13"/>
        <w:numPr>
          <w:ilvl w:val="0"/>
          <w:numId w:val="90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1"/>
        </w:rPr>
        <w:t>有下列情形之一的：</w:t>
      </w:r>
      <w:r>
        <w:rPr>
          <w:color w:val="auto"/>
          <w:spacing w:val="-5"/>
        </w:rPr>
        <w:t>1</w:t>
      </w:r>
      <w:r>
        <w:rPr>
          <w:color w:val="auto"/>
          <w:spacing w:val="-4"/>
        </w:rPr>
        <w:t>、检验结论为不合格且主动追回已售出产品的；2</w:t>
      </w:r>
      <w:r>
        <w:rPr>
          <w:color w:val="auto"/>
          <w:spacing w:val="-7"/>
        </w:rPr>
        <w:t>、检验结</w:t>
      </w:r>
      <w:r>
        <w:rPr>
          <w:color w:val="auto"/>
        </w:rPr>
        <w:t>论为不合格且售出产品未造成危害后果的；3、检验结论为不合格且对用户要求的赔偿能及时赔偿或采取其它补救措施的。</w:t>
      </w:r>
    </w:p>
    <w:p>
      <w:pPr>
        <w:pStyle w:val="13"/>
        <w:numPr>
          <w:ilvl w:val="0"/>
          <w:numId w:val="902"/>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1</w:t>
      </w:r>
      <w:r>
        <w:rPr>
          <w:color w:val="auto"/>
          <w:spacing w:val="-24"/>
        </w:rPr>
        <w:t xml:space="preserve"> 倍以上 </w:t>
      </w:r>
      <w:r>
        <w:rPr>
          <w:color w:val="auto"/>
          <w:spacing w:val="-6"/>
        </w:rPr>
        <w:t xml:space="preserve">1.5 </w:t>
      </w:r>
      <w:r>
        <w:rPr>
          <w:color w:val="auto"/>
        </w:rPr>
        <w:t>倍以下的罚款；有违法所得的，并处没收违法所得。</w:t>
      </w:r>
    </w:p>
    <w:p>
      <w:pPr>
        <w:pStyle w:val="4"/>
        <w:spacing w:line="306" w:lineRule="exact"/>
        <w:ind w:left="591"/>
        <w:rPr>
          <w:color w:val="auto"/>
        </w:rPr>
      </w:pPr>
      <w:r>
        <w:rPr>
          <w:color w:val="auto"/>
        </w:rPr>
        <w:t>3、【较重】</w:t>
      </w:r>
    </w:p>
    <w:p>
      <w:pPr>
        <w:pStyle w:val="13"/>
        <w:numPr>
          <w:ilvl w:val="0"/>
          <w:numId w:val="903"/>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有下列情形之一的：检验结论为不合格且产品半数以下售出且无法追回的。</w:t>
      </w:r>
    </w:p>
    <w:p>
      <w:pPr>
        <w:pStyle w:val="13"/>
        <w:numPr>
          <w:ilvl w:val="0"/>
          <w:numId w:val="90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责令停止生产、销售，没收违法生产、销售的产品，并处货值金额 1.5 倍以上 2</w:t>
      </w:r>
    </w:p>
    <w:p>
      <w:pPr>
        <w:spacing w:after="0"/>
        <w:rPr>
          <w:color w:val="auto"/>
        </w:rPr>
        <w:sectPr>
          <w:pgSz w:w="11910" w:h="16840"/>
          <w:pgMar w:top="1520" w:right="1260" w:bottom="1220" w:left="1420" w:header="0" w:footer="1034" w:gutter="0"/>
        </w:sectPr>
      </w:pPr>
    </w:p>
    <w:p>
      <w:pPr>
        <w:pStyle w:val="4"/>
        <w:spacing w:before="39" w:line="391" w:lineRule="auto"/>
        <w:ind w:left="591" w:right="952" w:hanging="480"/>
        <w:rPr>
          <w:color w:val="auto"/>
        </w:rPr>
      </w:pPr>
      <w:r>
        <w:rPr>
          <w:color w:val="auto"/>
        </w:rPr>
        <w:t>倍以下的罚款；有违法所得的，并处没收违法所得；通报营业执照发证部门。4、【严重】</w:t>
      </w:r>
    </w:p>
    <w:p>
      <w:pPr>
        <w:pStyle w:val="13"/>
        <w:numPr>
          <w:ilvl w:val="0"/>
          <w:numId w:val="90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有下列情形之一的：1、检验结论为严重不合格的；2、产品全部或大部分已被销售，且无法追回的。</w:t>
      </w:r>
    </w:p>
    <w:p>
      <w:pPr>
        <w:pStyle w:val="13"/>
        <w:numPr>
          <w:ilvl w:val="0"/>
          <w:numId w:val="90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92" w:firstLine="480"/>
        <w:rPr>
          <w:color w:val="auto"/>
        </w:rPr>
      </w:pPr>
      <w:r>
        <w:rPr>
          <w:color w:val="auto"/>
          <w:spacing w:val="-2"/>
        </w:rPr>
        <w:t xml:space="preserve">责令停止生产、销售，没收违法生产、销售的产品，并处货值金额 </w:t>
      </w:r>
      <w:r>
        <w:rPr>
          <w:color w:val="auto"/>
        </w:rPr>
        <w:t>2</w:t>
      </w:r>
      <w:r>
        <w:rPr>
          <w:color w:val="auto"/>
          <w:spacing w:val="-24"/>
        </w:rPr>
        <w:t xml:space="preserve"> 倍以上 </w:t>
      </w:r>
      <w:r>
        <w:rPr>
          <w:color w:val="auto"/>
          <w:spacing w:val="-6"/>
        </w:rPr>
        <w:t xml:space="preserve">2.5 </w:t>
      </w:r>
      <w:r>
        <w:rPr>
          <w:color w:val="auto"/>
        </w:rPr>
        <w:t>倍以下的罚款；有违法所得的，并处没收违法所得；吊销营业执照。</w:t>
      </w:r>
    </w:p>
    <w:p>
      <w:pPr>
        <w:pStyle w:val="4"/>
        <w:spacing w:line="306" w:lineRule="exact"/>
        <w:ind w:left="591"/>
        <w:rPr>
          <w:color w:val="auto"/>
        </w:rPr>
      </w:pPr>
      <w:r>
        <w:rPr>
          <w:color w:val="auto"/>
        </w:rPr>
        <w:t>5、【特别严重】</w:t>
      </w:r>
    </w:p>
    <w:p>
      <w:pPr>
        <w:pStyle w:val="13"/>
        <w:numPr>
          <w:ilvl w:val="0"/>
          <w:numId w:val="90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91" w:lineRule="auto"/>
        <w:ind w:right="268" w:firstLine="480"/>
        <w:jc w:val="both"/>
        <w:rPr>
          <w:color w:val="auto"/>
        </w:rPr>
      </w:pPr>
      <w:r>
        <w:rPr>
          <w:color w:val="auto"/>
        </w:rPr>
        <w:t>有下列情形之一的：1、假冒产品涉及安全、健康指标产品全部或大部分已被销</w:t>
      </w:r>
      <w:r>
        <w:rPr>
          <w:color w:val="auto"/>
          <w:spacing w:val="-3"/>
        </w:rPr>
        <w:t>售、且拒不追回的；2、造成工农业生产减产减收的；3</w:t>
      </w:r>
      <w:r>
        <w:rPr>
          <w:color w:val="auto"/>
          <w:spacing w:val="-5"/>
        </w:rPr>
        <w:t>、拒不执行责令停止生产、销</w:t>
      </w:r>
      <w:r>
        <w:rPr>
          <w:color w:val="auto"/>
          <w:spacing w:val="-3"/>
        </w:rPr>
        <w:t>售，继续实施违法行为的；4、经查处后再犯的；5</w:t>
      </w:r>
      <w:r>
        <w:rPr>
          <w:color w:val="auto"/>
          <w:spacing w:val="-5"/>
        </w:rPr>
        <w:t>、生产的产品造成人身、财产损害</w:t>
      </w:r>
      <w:r>
        <w:rPr>
          <w:color w:val="auto"/>
        </w:rPr>
        <w:t>或者造成较大社会影响等严重危害后果的。</w:t>
      </w:r>
    </w:p>
    <w:p>
      <w:pPr>
        <w:pStyle w:val="13"/>
        <w:numPr>
          <w:ilvl w:val="0"/>
          <w:numId w:val="905"/>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1" w:line="391" w:lineRule="auto"/>
        <w:ind w:right="292" w:firstLine="480"/>
        <w:rPr>
          <w:color w:val="auto"/>
        </w:rPr>
      </w:pPr>
      <w:r>
        <w:rPr>
          <w:color w:val="auto"/>
          <w:spacing w:val="-2"/>
        </w:rPr>
        <w:t xml:space="preserve">责令停止生产、销售，没收违法生产、销售的产品，并处货值金额 </w:t>
      </w:r>
      <w:r>
        <w:rPr>
          <w:color w:val="auto"/>
        </w:rPr>
        <w:t>2.5</w:t>
      </w:r>
      <w:r>
        <w:rPr>
          <w:color w:val="auto"/>
          <w:spacing w:val="-24"/>
        </w:rPr>
        <w:t xml:space="preserve"> 倍以上 </w:t>
      </w:r>
      <w:r>
        <w:rPr>
          <w:color w:val="auto"/>
          <w:spacing w:val="-17"/>
        </w:rPr>
        <w:t xml:space="preserve">3 </w:t>
      </w:r>
      <w:r>
        <w:rPr>
          <w:color w:val="auto"/>
        </w:rPr>
        <w:t>倍以下的罚款；有违法所得的，并处没收违法所得；吊销营业执照。</w:t>
      </w:r>
    </w:p>
    <w:p>
      <w:pPr>
        <w:pStyle w:val="2"/>
        <w:spacing w:line="388" w:lineRule="auto"/>
        <w:ind w:left="111" w:right="240" w:firstLine="480"/>
        <w:rPr>
          <w:color w:val="auto"/>
        </w:rPr>
      </w:pPr>
      <w:bookmarkStart w:id="950" w:name="_bookmark474"/>
      <w:bookmarkEnd w:id="950"/>
      <w:bookmarkStart w:id="951" w:name="四百六十四、企业自有检测实验室、第三方检验检测机构在能效检测中，伪造检验检测结果"/>
      <w:bookmarkEnd w:id="951"/>
      <w:r>
        <w:rPr>
          <w:color w:val="auto"/>
          <w:spacing w:val="-7"/>
        </w:rPr>
        <w:t>四百六十四、企业自有检测实验室、第三方检验检测机构在能效检测中，伪造检验检测结果或者出具虚假能效检测报告</w:t>
      </w:r>
    </w:p>
    <w:p>
      <w:pPr>
        <w:spacing w:before="3"/>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rPr>
        <w:t>1</w:t>
      </w:r>
      <w:r>
        <w:rPr>
          <w:color w:val="auto"/>
          <w:spacing w:val="-9"/>
        </w:rPr>
        <w:t>、《能源效率标识管理办法》第二十八条 违反本办法规定，企业自有检测实验</w:t>
      </w:r>
      <w:r>
        <w:rPr>
          <w:color w:val="auto"/>
          <w:spacing w:val="-8"/>
        </w:rPr>
        <w:t>室、第三方检验检测机构在能效检测中，伪造检验检测结果或者出具虚假能效检测报</w:t>
      </w:r>
      <w:r>
        <w:rPr>
          <w:color w:val="auto"/>
          <w:spacing w:val="-18"/>
        </w:rPr>
        <w:t>告的，依据《中华人民共和国产品质量法》、《检验检测机构资质认定管理办法》予以</w:t>
      </w:r>
      <w:r>
        <w:rPr>
          <w:color w:val="auto"/>
        </w:rPr>
        <w:t>处罚。</w:t>
      </w:r>
    </w:p>
    <w:p>
      <w:pPr>
        <w:pStyle w:val="4"/>
        <w:spacing w:line="391" w:lineRule="auto"/>
        <w:ind w:right="232" w:firstLine="480"/>
        <w:jc w:val="both"/>
        <w:rPr>
          <w:color w:val="auto"/>
        </w:rPr>
      </w:pPr>
      <w:r>
        <w:rPr>
          <w:color w:val="auto"/>
        </w:rPr>
        <w:t>2、《中华人民共和国产品质量法》第五十七条第一款“产品质量检验机构、认</w:t>
      </w:r>
      <w:r>
        <w:rPr>
          <w:color w:val="auto"/>
          <w:spacing w:val="-3"/>
        </w:rPr>
        <w:t>证机构伪造检验结果或者出具虚假证明的，责令改正，对单位处五万元以上十万元以</w:t>
      </w:r>
      <w:r>
        <w:rPr>
          <w:color w:val="auto"/>
          <w:spacing w:val="-7"/>
        </w:rPr>
        <w:t>下的罚款，对直接负责的主管人员和其他直接责任人员处一万元以上五万元以下的罚</w:t>
      </w:r>
      <w:r>
        <w:rPr>
          <w:color w:val="auto"/>
          <w:spacing w:val="-8"/>
        </w:rPr>
        <w:t>款；有违法所得的，并处没收违法所得；情节严重的，取消其检验资格、认证资格；</w:t>
      </w:r>
    </w:p>
    <w:p>
      <w:pPr>
        <w:spacing w:after="0" w:line="391"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构成犯罪的，依法追究刑事责任。”</w:t>
      </w:r>
    </w:p>
    <w:p>
      <w:pPr>
        <w:pStyle w:val="4"/>
        <w:spacing w:before="195" w:line="388" w:lineRule="auto"/>
        <w:ind w:right="268" w:firstLine="480"/>
        <w:jc w:val="both"/>
        <w:rPr>
          <w:color w:val="auto"/>
        </w:rPr>
      </w:pPr>
      <w:r>
        <w:rPr>
          <w:color w:val="auto"/>
          <w:spacing w:val="2"/>
        </w:rPr>
        <w:t>3</w:t>
      </w:r>
      <w:r>
        <w:rPr>
          <w:color w:val="auto"/>
          <w:spacing w:val="-15"/>
        </w:rPr>
        <w:t>、《检验检测机构资质认定管理办法》第四十五条规定：“检验检测机构有下列</w:t>
      </w:r>
      <w:r>
        <w:rPr>
          <w:color w:val="auto"/>
          <w:spacing w:val="-4"/>
        </w:rPr>
        <w:t>情形之一的，资质认定部门应当撤销其资质认定证书：</w:t>
      </w:r>
      <w:r>
        <w:rPr>
          <w:color w:val="auto"/>
          <w:spacing w:val="2"/>
        </w:rPr>
        <w:t>（一）</w:t>
      </w:r>
      <w:r>
        <w:rPr>
          <w:color w:val="auto"/>
          <w:spacing w:val="1"/>
        </w:rPr>
        <w:t>未经检验检测或者以篡</w:t>
      </w:r>
      <w:r>
        <w:rPr>
          <w:color w:val="auto"/>
          <w:spacing w:val="-4"/>
        </w:rPr>
        <w:t>改数据、结果等方式，出具虚假检验检测数据、结果的。”</w:t>
      </w:r>
    </w:p>
    <w:p>
      <w:pPr>
        <w:pStyle w:val="2"/>
        <w:spacing w:before="5" w:line="388" w:lineRule="auto"/>
        <w:ind w:right="3091"/>
        <w:rPr>
          <w:b w:val="0"/>
          <w:color w:val="auto"/>
        </w:rPr>
      </w:pPr>
      <w:r>
        <w:rPr>
          <w:color w:val="auto"/>
        </w:rPr>
        <w:t xml:space="preserve">（二）裁量标准（《中华人民共和国产品质量法》） </w:t>
      </w:r>
      <w:r>
        <w:rPr>
          <w:b w:val="0"/>
          <w:color w:val="auto"/>
        </w:rPr>
        <w:t>1、【较轻】</w:t>
      </w:r>
    </w:p>
    <w:p>
      <w:pPr>
        <w:pStyle w:val="13"/>
        <w:numPr>
          <w:ilvl w:val="0"/>
          <w:numId w:val="90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初次违法且情节轻微的。</w:t>
      </w:r>
    </w:p>
    <w:p>
      <w:pPr>
        <w:pStyle w:val="13"/>
        <w:numPr>
          <w:ilvl w:val="0"/>
          <w:numId w:val="90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0"/>
        </w:rPr>
        <w:t xml:space="preserve">责令改正，对单位处 </w:t>
      </w:r>
      <w:r>
        <w:rPr>
          <w:color w:val="auto"/>
        </w:rPr>
        <w:t>5</w:t>
      </w:r>
      <w:r>
        <w:rPr>
          <w:color w:val="auto"/>
          <w:spacing w:val="-20"/>
        </w:rPr>
        <w:t xml:space="preserve"> 万元以上 </w:t>
      </w:r>
      <w:r>
        <w:rPr>
          <w:color w:val="auto"/>
        </w:rPr>
        <w:t>6</w:t>
      </w:r>
      <w:r>
        <w:rPr>
          <w:color w:val="auto"/>
          <w:spacing w:val="-9"/>
        </w:rPr>
        <w:t xml:space="preserve"> 万元以下的罚款，对直接负责的主管人员和其</w:t>
      </w:r>
    </w:p>
    <w:p>
      <w:pPr>
        <w:pStyle w:val="4"/>
        <w:spacing w:before="194" w:line="388" w:lineRule="auto"/>
        <w:ind w:left="591" w:right="148" w:hanging="480"/>
        <w:rPr>
          <w:color w:val="auto"/>
        </w:rPr>
      </w:pPr>
      <w:r>
        <w:rPr>
          <w:color w:val="auto"/>
          <w:spacing w:val="-7"/>
        </w:rPr>
        <w:t xml:space="preserve">他直接责任人员处 </w:t>
      </w:r>
      <w:r>
        <w:rPr>
          <w:color w:val="auto"/>
        </w:rPr>
        <w:t>1</w:t>
      </w:r>
      <w:r>
        <w:rPr>
          <w:color w:val="auto"/>
          <w:spacing w:val="-20"/>
        </w:rPr>
        <w:t xml:space="preserve"> 万元以上 </w:t>
      </w:r>
      <w:r>
        <w:rPr>
          <w:color w:val="auto"/>
        </w:rPr>
        <w:t>2</w:t>
      </w:r>
      <w:r>
        <w:rPr>
          <w:color w:val="auto"/>
          <w:spacing w:val="-16"/>
        </w:rPr>
        <w:t xml:space="preserve"> 万元以下的罚款；有违法所得的，并处没收违法所得。</w:t>
      </w:r>
      <w:r>
        <w:rPr>
          <w:color w:val="auto"/>
        </w:rPr>
        <w:t>2</w:t>
      </w:r>
      <w:r>
        <w:rPr>
          <w:color w:val="auto"/>
          <w:spacing w:val="-24"/>
        </w:rPr>
        <w:t>、【一般】</w:t>
      </w:r>
    </w:p>
    <w:p>
      <w:pPr>
        <w:pStyle w:val="13"/>
        <w:numPr>
          <w:ilvl w:val="0"/>
          <w:numId w:val="90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初次违法且尚未造成严重后果或社会影响的。</w:t>
      </w:r>
    </w:p>
    <w:p>
      <w:pPr>
        <w:pStyle w:val="13"/>
        <w:numPr>
          <w:ilvl w:val="0"/>
          <w:numId w:val="90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spacing w:val="-12"/>
        </w:rPr>
        <w:t xml:space="preserve">对单位处 </w:t>
      </w:r>
      <w:r>
        <w:rPr>
          <w:color w:val="auto"/>
        </w:rPr>
        <w:t>6</w:t>
      </w:r>
      <w:r>
        <w:rPr>
          <w:color w:val="auto"/>
          <w:spacing w:val="-20"/>
        </w:rPr>
        <w:t xml:space="preserve"> 万元以上 </w:t>
      </w:r>
      <w:r>
        <w:rPr>
          <w:color w:val="auto"/>
        </w:rPr>
        <w:t>8</w:t>
      </w:r>
      <w:r>
        <w:rPr>
          <w:color w:val="auto"/>
          <w:spacing w:val="-10"/>
        </w:rPr>
        <w:t xml:space="preserve"> 万元以下的罚款，对对直接负责的主管人员和其他直接责</w:t>
      </w:r>
    </w:p>
    <w:p>
      <w:pPr>
        <w:pStyle w:val="4"/>
        <w:spacing w:before="195" w:line="388" w:lineRule="auto"/>
        <w:ind w:left="591" w:right="4792" w:hanging="480"/>
        <w:rPr>
          <w:color w:val="auto"/>
        </w:rPr>
      </w:pPr>
      <w:r>
        <w:rPr>
          <w:color w:val="auto"/>
          <w:spacing w:val="-12"/>
        </w:rPr>
        <w:t xml:space="preserve">任人员处 </w:t>
      </w:r>
      <w:r>
        <w:rPr>
          <w:color w:val="auto"/>
        </w:rPr>
        <w:t>2</w:t>
      </w:r>
      <w:r>
        <w:rPr>
          <w:color w:val="auto"/>
          <w:spacing w:val="-20"/>
        </w:rPr>
        <w:t xml:space="preserve"> 万元以上 </w:t>
      </w:r>
      <w:r>
        <w:rPr>
          <w:color w:val="auto"/>
        </w:rPr>
        <w:t>3</w:t>
      </w:r>
      <w:r>
        <w:rPr>
          <w:color w:val="auto"/>
          <w:spacing w:val="-9"/>
        </w:rPr>
        <w:t xml:space="preserve"> 万元以下的罚款。</w:t>
      </w:r>
      <w:r>
        <w:rPr>
          <w:color w:val="auto"/>
        </w:rPr>
        <w:t>3</w:t>
      </w:r>
      <w:r>
        <w:rPr>
          <w:color w:val="auto"/>
          <w:spacing w:val="-24"/>
        </w:rPr>
        <w:t>、【严重】</w:t>
      </w:r>
    </w:p>
    <w:p>
      <w:pPr>
        <w:pStyle w:val="13"/>
        <w:numPr>
          <w:ilvl w:val="0"/>
          <w:numId w:val="90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有下列情形之一的：1、屡教不改，经查后再犯的；2、造成严重后果或严重负面社会影响的；3、具有其他严重情形的。</w:t>
      </w:r>
    </w:p>
    <w:p>
      <w:pPr>
        <w:pStyle w:val="13"/>
        <w:numPr>
          <w:ilvl w:val="0"/>
          <w:numId w:val="908"/>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对单位处 8 万以上 10 万元以下的罚款，对直接负责的主管人员和其他直接责任</w:t>
      </w:r>
    </w:p>
    <w:p>
      <w:pPr>
        <w:pStyle w:val="4"/>
        <w:spacing w:before="192"/>
        <w:rPr>
          <w:color w:val="auto"/>
        </w:rPr>
      </w:pPr>
      <w:r>
        <w:rPr>
          <w:color w:val="auto"/>
        </w:rPr>
        <w:t>人员处 3 万元以上 5 万元以下的罚款；取消检验资格、认证资格。</w:t>
      </w:r>
    </w:p>
    <w:p>
      <w:pPr>
        <w:pStyle w:val="2"/>
        <w:spacing w:before="191"/>
        <w:rPr>
          <w:color w:val="auto"/>
        </w:rPr>
      </w:pPr>
      <w:r>
        <w:rPr>
          <w:color w:val="auto"/>
        </w:rPr>
        <w:t>（三）裁量标准（《检验检测机构资质认定管理办法》）</w:t>
      </w:r>
    </w:p>
    <w:p>
      <w:pPr>
        <w:pStyle w:val="4"/>
        <w:spacing w:before="194"/>
        <w:ind w:left="591"/>
        <w:rPr>
          <w:color w:val="auto"/>
        </w:rPr>
      </w:pPr>
      <w:r>
        <w:rPr>
          <w:color w:val="auto"/>
        </w:rPr>
        <w:t>【一般】</w:t>
      </w:r>
    </w:p>
    <w:p>
      <w:pPr>
        <w:pStyle w:val="13"/>
        <w:numPr>
          <w:ilvl w:val="0"/>
          <w:numId w:val="90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有下列情形之一的：1、未经检验检测，出具虚假检验检测数据、结果的；2、以</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篡改数据、结果等方式，出具虚假检验检测数据、结果的。</w:t>
      </w:r>
    </w:p>
    <w:p>
      <w:pPr>
        <w:pStyle w:val="13"/>
        <w:numPr>
          <w:ilvl w:val="0"/>
          <w:numId w:val="909"/>
        </w:numPr>
        <w:tabs>
          <w:tab w:val="left" w:pos="1193"/>
        </w:tabs>
        <w:spacing w:before="195" w:after="0" w:line="240" w:lineRule="auto"/>
        <w:ind w:left="1192" w:right="0" w:hanging="602"/>
        <w:jc w:val="left"/>
        <w:rPr>
          <w:color w:val="auto"/>
          <w:sz w:val="24"/>
        </w:rPr>
      </w:pPr>
      <w:r>
        <w:rPr>
          <w:color w:val="auto"/>
          <w:sz w:val="24"/>
        </w:rPr>
        <w:t>处罚标准</w:t>
      </w:r>
    </w:p>
    <w:p>
      <w:pPr>
        <w:spacing w:before="191" w:line="388" w:lineRule="auto"/>
        <w:ind w:left="591" w:right="1192" w:firstLine="0"/>
        <w:jc w:val="left"/>
        <w:rPr>
          <w:b/>
          <w:color w:val="auto"/>
          <w:sz w:val="24"/>
        </w:rPr>
      </w:pPr>
      <w:r>
        <w:rPr>
          <w:color w:val="auto"/>
          <w:sz w:val="24"/>
        </w:rPr>
        <w:t>撤销资质认定证书；该检验检测机构，三年内不得再次申请资质认定。</w:t>
      </w:r>
      <w:bookmarkStart w:id="952" w:name="四百六十五、不符合国家强制性标准对产品进行过度包装"/>
      <w:bookmarkEnd w:id="952"/>
      <w:bookmarkStart w:id="953" w:name="_bookmark475"/>
      <w:bookmarkEnd w:id="953"/>
      <w:r>
        <w:rPr>
          <w:b/>
          <w:color w:val="auto"/>
          <w:sz w:val="24"/>
        </w:rPr>
        <w:t>四百六十五、不符合国家强制性标准对产品进行过度包装</w:t>
      </w:r>
    </w:p>
    <w:p>
      <w:pPr>
        <w:pStyle w:val="2"/>
        <w:spacing w:before="5"/>
        <w:rPr>
          <w:color w:val="auto"/>
        </w:rPr>
      </w:pPr>
      <w:r>
        <w:rPr>
          <w:color w:val="auto"/>
        </w:rPr>
        <w:t>（一）处罚依据</w:t>
      </w:r>
    </w:p>
    <w:p>
      <w:pPr>
        <w:pStyle w:val="4"/>
        <w:spacing w:before="192" w:line="391" w:lineRule="auto"/>
        <w:ind w:right="268" w:firstLine="480"/>
        <w:jc w:val="both"/>
        <w:rPr>
          <w:color w:val="auto"/>
        </w:rPr>
      </w:pPr>
      <w:r>
        <w:rPr>
          <w:color w:val="auto"/>
          <w:spacing w:val="-5"/>
        </w:rPr>
        <w:t>《山东省循环经济条例》第四十六条“违反本条例规定，不符合国家强制性标准对产品进行过度包装的，由县级以上人民政府质量技术监督或者市场监管部门责令限期改正；逾期未改正的，处二千元以上二万元以下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10"/>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有下列情形之一的：1、产品未销售；2、涉案货值 5000 元以下的；</w:t>
      </w:r>
    </w:p>
    <w:p>
      <w:pPr>
        <w:pStyle w:val="13"/>
        <w:numPr>
          <w:ilvl w:val="0"/>
          <w:numId w:val="91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、【一般】</w:t>
      </w:r>
    </w:p>
    <w:p>
      <w:pPr>
        <w:pStyle w:val="13"/>
        <w:numPr>
          <w:ilvl w:val="0"/>
          <w:numId w:val="91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有下列情形之一的：1、产品已销售，但主动追回已销售的全部产品；2、涉案货值 10000 元以下的；</w:t>
      </w:r>
    </w:p>
    <w:p>
      <w:pPr>
        <w:pStyle w:val="13"/>
        <w:numPr>
          <w:ilvl w:val="0"/>
          <w:numId w:val="91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5000</w:t>
      </w:r>
      <w:r>
        <w:rPr>
          <w:color w:val="auto"/>
          <w:spacing w:val="-24"/>
        </w:rPr>
        <w:t xml:space="preserve"> 元以上 </w:t>
      </w:r>
      <w:r>
        <w:rPr>
          <w:color w:val="auto"/>
        </w:rPr>
        <w:t>8000</w:t>
      </w:r>
      <w:r>
        <w:rPr>
          <w:color w:val="auto"/>
          <w:spacing w:val="-11"/>
        </w:rPr>
        <w:t xml:space="preserve"> 元以下罚款。</w:t>
      </w:r>
      <w:r>
        <w:rPr>
          <w:color w:val="auto"/>
        </w:rPr>
        <w:t>3</w:t>
      </w:r>
      <w:r>
        <w:rPr>
          <w:color w:val="auto"/>
          <w:spacing w:val="-24"/>
        </w:rPr>
        <w:t>、【较重】</w:t>
      </w:r>
    </w:p>
    <w:p>
      <w:pPr>
        <w:pStyle w:val="13"/>
        <w:numPr>
          <w:ilvl w:val="0"/>
          <w:numId w:val="91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有下列情形之一的：1、产品已销售，但主动追回已销售的部分产品；2、涉案货值 20000 元以下的；</w:t>
      </w:r>
    </w:p>
    <w:p>
      <w:pPr>
        <w:pStyle w:val="13"/>
        <w:numPr>
          <w:ilvl w:val="0"/>
          <w:numId w:val="912"/>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left="591" w:right="4912"/>
        <w:rPr>
          <w:color w:val="auto"/>
        </w:rPr>
      </w:pPr>
      <w:r>
        <w:rPr>
          <w:color w:val="auto"/>
          <w:spacing w:val="-30"/>
        </w:rPr>
        <w:t xml:space="preserve">处 </w:t>
      </w:r>
      <w:r>
        <w:rPr>
          <w:color w:val="auto"/>
        </w:rPr>
        <w:t>8000</w:t>
      </w:r>
      <w:r>
        <w:rPr>
          <w:color w:val="auto"/>
          <w:spacing w:val="-24"/>
        </w:rPr>
        <w:t xml:space="preserve"> 元以上 </w:t>
      </w:r>
      <w:r>
        <w:rPr>
          <w:color w:val="auto"/>
        </w:rPr>
        <w:t>1.2</w:t>
      </w:r>
      <w:r>
        <w:rPr>
          <w:color w:val="auto"/>
          <w:spacing w:val="-10"/>
        </w:rPr>
        <w:t xml:space="preserve"> 万元以下罚款。</w:t>
      </w:r>
      <w:r>
        <w:rPr>
          <w:color w:val="auto"/>
        </w:rPr>
        <w:t>4</w:t>
      </w:r>
      <w:r>
        <w:rPr>
          <w:color w:val="auto"/>
          <w:spacing w:val="-24"/>
        </w:rPr>
        <w:t>、【严重】</w:t>
      </w:r>
    </w:p>
    <w:p>
      <w:pPr>
        <w:pStyle w:val="13"/>
        <w:numPr>
          <w:ilvl w:val="0"/>
          <w:numId w:val="913"/>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9" w:firstLine="480"/>
        <w:rPr>
          <w:color w:val="auto"/>
        </w:rPr>
      </w:pPr>
      <w:r>
        <w:rPr>
          <w:color w:val="auto"/>
        </w:rPr>
        <w:t>有下列情形之一的：1、产品已全部销售，无法追回但尚未造成严重后果或影响的；2、涉案货值 50000 以下的。</w:t>
      </w:r>
    </w:p>
    <w:p>
      <w:pPr>
        <w:pStyle w:val="13"/>
        <w:numPr>
          <w:ilvl w:val="0"/>
          <w:numId w:val="91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792"/>
        <w:rPr>
          <w:color w:val="auto"/>
        </w:rPr>
      </w:pPr>
      <w:r>
        <w:rPr>
          <w:color w:val="auto"/>
          <w:spacing w:val="-30"/>
        </w:rPr>
        <w:t xml:space="preserve">处 </w:t>
      </w:r>
      <w:r>
        <w:rPr>
          <w:color w:val="auto"/>
        </w:rPr>
        <w:t>1.2</w:t>
      </w:r>
      <w:r>
        <w:rPr>
          <w:color w:val="auto"/>
          <w:spacing w:val="-20"/>
        </w:rPr>
        <w:t xml:space="preserve"> 万元以上 </w:t>
      </w:r>
      <w:r>
        <w:rPr>
          <w:color w:val="auto"/>
        </w:rPr>
        <w:t>1.6</w:t>
      </w:r>
      <w:r>
        <w:rPr>
          <w:color w:val="auto"/>
          <w:spacing w:val="-10"/>
        </w:rPr>
        <w:t xml:space="preserve"> 万元以下罚款。</w:t>
      </w:r>
      <w:r>
        <w:rPr>
          <w:color w:val="auto"/>
        </w:rPr>
        <w:t>5</w:t>
      </w:r>
      <w:r>
        <w:rPr>
          <w:color w:val="auto"/>
          <w:spacing w:val="-18"/>
        </w:rPr>
        <w:t>、【特别严重】</w:t>
      </w:r>
    </w:p>
    <w:p>
      <w:pPr>
        <w:pStyle w:val="13"/>
        <w:numPr>
          <w:ilvl w:val="0"/>
          <w:numId w:val="91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2" w:firstLine="480"/>
        <w:rPr>
          <w:color w:val="auto"/>
        </w:rPr>
      </w:pPr>
      <w:r>
        <w:rPr>
          <w:color w:val="auto"/>
        </w:rPr>
        <w:t>有下列情形之一的：1、产品已全部销售，且拒不召回已销售的产品的；2、造成严重后果或影响的；2、涉案货值 50000 以上的。</w:t>
      </w:r>
    </w:p>
    <w:p>
      <w:pPr>
        <w:pStyle w:val="13"/>
        <w:numPr>
          <w:ilvl w:val="0"/>
          <w:numId w:val="91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处 1.6 万元以上 2 万元以下罚款。</w:t>
      </w:r>
    </w:p>
    <w:p>
      <w:pPr>
        <w:pStyle w:val="2"/>
        <w:spacing w:before="194" w:line="388" w:lineRule="auto"/>
        <w:ind w:left="111" w:right="237" w:firstLine="480"/>
        <w:rPr>
          <w:color w:val="auto"/>
        </w:rPr>
      </w:pPr>
      <w:bookmarkStart w:id="954" w:name="_bookmark476"/>
      <w:bookmarkEnd w:id="954"/>
      <w:bookmarkStart w:id="955" w:name="四百六十六、重点用能单位未按照规定配备能源计量工作人员或者能源计量工作人员未接受"/>
      <w:bookmarkEnd w:id="955"/>
      <w:r>
        <w:rPr>
          <w:color w:val="auto"/>
          <w:spacing w:val="-9"/>
        </w:rPr>
        <w:t>四百六十六、重点用能单位未按照规定配备能源计量工作人员或者能源计量工作人员未接受能源计量专业知识培训</w:t>
      </w:r>
    </w:p>
    <w:p>
      <w:pPr>
        <w:spacing w:before="2"/>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spacing w:val="-4"/>
        </w:rPr>
        <w:t>《能源计量监督管理办法》第十九条“违反本办法规定，重点用能单位未按照规</w:t>
      </w:r>
      <w:r>
        <w:rPr>
          <w:color w:val="auto"/>
          <w:spacing w:val="-2"/>
        </w:rPr>
        <w:t>定配备能源计量工作人员或者能源计量工作人员未接受能源计量专业知识培训的，由</w:t>
      </w:r>
      <w:r>
        <w:rPr>
          <w:color w:val="auto"/>
          <w:spacing w:val="-4"/>
        </w:rPr>
        <w:t xml:space="preserve">县级以上地方质量技术监督部门责令限期改正；逾期不改正的，处 </w:t>
      </w:r>
      <w:r>
        <w:rPr>
          <w:color w:val="auto"/>
        </w:rPr>
        <w:t>1</w:t>
      </w:r>
      <w:r>
        <w:rPr>
          <w:color w:val="auto"/>
          <w:spacing w:val="-20"/>
        </w:rPr>
        <w:t xml:space="preserve"> 万元以上 </w:t>
      </w:r>
      <w:r>
        <w:rPr>
          <w:color w:val="auto"/>
        </w:rPr>
        <w:t>3</w:t>
      </w:r>
      <w:r>
        <w:rPr>
          <w:color w:val="auto"/>
          <w:spacing w:val="-26"/>
        </w:rPr>
        <w:t xml:space="preserve"> 万元</w:t>
      </w:r>
      <w:r>
        <w:rPr>
          <w:color w:val="auto"/>
          <w:spacing w:val="-20"/>
        </w:rPr>
        <w:t>以下罚款。”</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15"/>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责令限期改正逾期未改正，但尚未造成不良影响的。</w:t>
      </w:r>
    </w:p>
    <w:p>
      <w:pPr>
        <w:pStyle w:val="13"/>
        <w:numPr>
          <w:ilvl w:val="0"/>
          <w:numId w:val="91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、【较重】</w:t>
      </w:r>
    </w:p>
    <w:p>
      <w:pPr>
        <w:pStyle w:val="13"/>
        <w:numPr>
          <w:ilvl w:val="0"/>
          <w:numId w:val="91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责令限期改正逾期未改正，造成不良影响或后果的。</w:t>
      </w:r>
    </w:p>
    <w:p>
      <w:pPr>
        <w:pStyle w:val="13"/>
        <w:numPr>
          <w:ilvl w:val="0"/>
          <w:numId w:val="91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1.5 万元以上 2 万元以下罚款。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3、【严重】</w:t>
      </w:r>
    </w:p>
    <w:p>
      <w:pPr>
        <w:pStyle w:val="13"/>
        <w:numPr>
          <w:ilvl w:val="0"/>
          <w:numId w:val="917"/>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145" w:firstLine="480"/>
        <w:rPr>
          <w:color w:val="auto"/>
        </w:rPr>
      </w:pPr>
      <w:r>
        <w:rPr>
          <w:color w:val="auto"/>
          <w:spacing w:val="-2"/>
        </w:rPr>
        <w:t>有下列情形之一的：</w:t>
      </w:r>
      <w:r>
        <w:rPr>
          <w:color w:val="auto"/>
          <w:spacing w:val="-16"/>
        </w:rPr>
        <w:t>1</w:t>
      </w:r>
      <w:r>
        <w:rPr>
          <w:color w:val="auto"/>
          <w:spacing w:val="-11"/>
        </w:rPr>
        <w:t>、属屡犯，两年内违法行为多次被处罚的，拒不整改的；</w:t>
      </w:r>
      <w:r>
        <w:rPr>
          <w:color w:val="auto"/>
          <w:spacing w:val="-15"/>
        </w:rPr>
        <w:t>2</w:t>
      </w:r>
      <w:r>
        <w:rPr>
          <w:color w:val="auto"/>
          <w:spacing w:val="-14"/>
        </w:rPr>
        <w:t>、</w:t>
      </w:r>
      <w:r>
        <w:rPr>
          <w:color w:val="auto"/>
        </w:rPr>
        <w:t>造成严重后果或社会影响较大的。</w:t>
      </w:r>
    </w:p>
    <w:p>
      <w:pPr>
        <w:pStyle w:val="13"/>
        <w:numPr>
          <w:ilvl w:val="0"/>
          <w:numId w:val="917"/>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2 万元以上 3 万元以下罚款。</w:t>
      </w:r>
    </w:p>
    <w:p>
      <w:pPr>
        <w:pStyle w:val="2"/>
        <w:spacing w:before="191"/>
        <w:rPr>
          <w:color w:val="auto"/>
        </w:rPr>
      </w:pPr>
      <w:bookmarkStart w:id="956" w:name="四百六十七、拒绝、阻碍能源计量监督检查"/>
      <w:bookmarkEnd w:id="956"/>
      <w:bookmarkStart w:id="957" w:name="_bookmark477"/>
      <w:bookmarkEnd w:id="957"/>
      <w:r>
        <w:rPr>
          <w:color w:val="auto"/>
        </w:rPr>
        <w:t>四百六十七、拒绝、阻碍能源计量监督检查</w:t>
      </w:r>
    </w:p>
    <w:p>
      <w:pPr>
        <w:spacing w:before="19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5"/>
        </w:rPr>
        <w:t>《能源计量监督管理办法》第二十条“违反本办法规定，拒绝、阻碍能源计量监</w:t>
      </w:r>
      <w:r>
        <w:rPr>
          <w:color w:val="auto"/>
          <w:spacing w:val="-7"/>
        </w:rPr>
        <w:t xml:space="preserve">督检查的，由县级以上地方质量技术监督部门予以警告，可并处 </w:t>
      </w:r>
      <w:r>
        <w:rPr>
          <w:color w:val="auto"/>
        </w:rPr>
        <w:t>1</w:t>
      </w:r>
      <w:r>
        <w:rPr>
          <w:color w:val="auto"/>
          <w:spacing w:val="-20"/>
        </w:rPr>
        <w:t xml:space="preserve"> 万元以上 </w:t>
      </w:r>
      <w:r>
        <w:rPr>
          <w:color w:val="auto"/>
        </w:rPr>
        <w:t>3</w:t>
      </w:r>
      <w:r>
        <w:rPr>
          <w:color w:val="auto"/>
          <w:spacing w:val="-19"/>
        </w:rPr>
        <w:t xml:space="preserve"> 万元以</w:t>
      </w:r>
      <w:r>
        <w:rPr>
          <w:color w:val="auto"/>
          <w:spacing w:val="-7"/>
        </w:rPr>
        <w:t>下罚款；构成犯罪的，依法追究刑事责任。”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18"/>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首次违法，及时改正的。</w:t>
      </w:r>
    </w:p>
    <w:p>
      <w:pPr>
        <w:pStyle w:val="13"/>
        <w:numPr>
          <w:ilvl w:val="0"/>
          <w:numId w:val="918"/>
        </w:numPr>
        <w:tabs>
          <w:tab w:val="left" w:pos="1193"/>
        </w:tabs>
        <w:spacing w:before="191" w:after="0" w:line="391" w:lineRule="auto"/>
        <w:ind w:left="591" w:right="7072" w:firstLine="0"/>
        <w:jc w:val="left"/>
        <w:rPr>
          <w:color w:val="auto"/>
          <w:sz w:val="24"/>
        </w:rPr>
      </w:pPr>
      <w:r>
        <w:rPr>
          <w:color w:val="auto"/>
          <w:spacing w:val="-5"/>
          <w:sz w:val="24"/>
        </w:rPr>
        <w:t>处罚标准</w:t>
      </w:r>
      <w:r>
        <w:rPr>
          <w:color w:val="auto"/>
          <w:sz w:val="24"/>
        </w:rPr>
        <w:t>予以警告。</w:t>
      </w:r>
    </w:p>
    <w:p>
      <w:pPr>
        <w:pStyle w:val="4"/>
        <w:spacing w:line="306" w:lineRule="exact"/>
        <w:ind w:left="591"/>
        <w:rPr>
          <w:color w:val="auto"/>
        </w:rPr>
      </w:pPr>
      <w:r>
        <w:rPr>
          <w:color w:val="auto"/>
        </w:rPr>
        <w:t>2</w:t>
      </w:r>
      <w:r>
        <w:rPr>
          <w:color w:val="auto"/>
          <w:spacing w:val="-24"/>
        </w:rPr>
        <w:t>、【一般】</w:t>
      </w:r>
    </w:p>
    <w:p>
      <w:pPr>
        <w:pStyle w:val="13"/>
        <w:numPr>
          <w:ilvl w:val="0"/>
          <w:numId w:val="91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首次违法，拒不改正的。</w:t>
      </w:r>
    </w:p>
    <w:p>
      <w:pPr>
        <w:pStyle w:val="13"/>
        <w:numPr>
          <w:ilvl w:val="0"/>
          <w:numId w:val="91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832"/>
        <w:rPr>
          <w:color w:val="auto"/>
        </w:rPr>
      </w:pPr>
      <w:r>
        <w:rPr>
          <w:color w:val="auto"/>
          <w:spacing w:val="-8"/>
        </w:rPr>
        <w:t xml:space="preserve">予以警告，并处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、【较重】</w:t>
      </w:r>
    </w:p>
    <w:p>
      <w:pPr>
        <w:pStyle w:val="13"/>
        <w:numPr>
          <w:ilvl w:val="0"/>
          <w:numId w:val="92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有下列情形之一的：1、首次违法，拒不改正的；2、两次以上违法的。</w:t>
      </w:r>
    </w:p>
    <w:p>
      <w:pPr>
        <w:pStyle w:val="13"/>
        <w:numPr>
          <w:ilvl w:val="0"/>
          <w:numId w:val="92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rPr>
          <w:color w:val="auto"/>
        </w:rPr>
      </w:pPr>
      <w:r>
        <w:rPr>
          <w:color w:val="auto"/>
        </w:rPr>
        <w:t>予以警告，处 2 万元以上 3 万元以下罚款。构成犯罪的，依法追究刑事责任。</w:t>
      </w:r>
    </w:p>
    <w:p>
      <w:pPr>
        <w:pStyle w:val="2"/>
        <w:spacing w:before="192"/>
        <w:rPr>
          <w:color w:val="auto"/>
        </w:rPr>
      </w:pPr>
      <w:bookmarkStart w:id="958" w:name="四百六十八、法定计量检定机构未经市场监管部门授权开展须经授权方可开展的工作，或超"/>
      <w:bookmarkEnd w:id="958"/>
      <w:bookmarkStart w:id="959" w:name="_bookmark478"/>
      <w:bookmarkEnd w:id="959"/>
      <w:r>
        <w:rPr>
          <w:color w:val="auto"/>
        </w:rPr>
        <w:t>四百六十八、法定计量检定机构未经市场监管部门授权开展须经授权方可开展的</w:t>
      </w:r>
    </w:p>
    <w:p>
      <w:pPr>
        <w:spacing w:after="0"/>
        <w:rPr>
          <w:color w:val="auto"/>
        </w:rPr>
        <w:sectPr>
          <w:footerReference r:id="rId113" w:type="default"/>
          <w:footerReference r:id="rId114" w:type="even"/>
          <w:pgSz w:w="11910" w:h="16840"/>
          <w:pgMar w:top="1520" w:right="1260" w:bottom="1220" w:left="1420" w:header="0" w:footer="1034" w:gutter="0"/>
          <w:pgNumType w:start="460"/>
        </w:sectPr>
      </w:pPr>
    </w:p>
    <w:p>
      <w:pPr>
        <w:spacing w:before="39"/>
        <w:ind w:left="111" w:right="0" w:firstLine="0"/>
        <w:jc w:val="left"/>
        <w:rPr>
          <w:b/>
          <w:color w:val="auto"/>
          <w:sz w:val="24"/>
        </w:rPr>
      </w:pPr>
      <w:r>
        <w:rPr>
          <w:b/>
          <w:color w:val="auto"/>
          <w:sz w:val="24"/>
        </w:rPr>
        <w:t>工作，或超过授权期限继续开展被授权项目工作</w:t>
      </w:r>
    </w:p>
    <w:p>
      <w:pPr>
        <w:spacing w:before="19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《法定计量检定机构监督管理办法》第十七条 “法定计量检定机构有下列行为</w:t>
      </w:r>
      <w:r>
        <w:rPr>
          <w:color w:val="auto"/>
          <w:spacing w:val="-5"/>
        </w:rPr>
        <w:t>之一的，予以警告，并处一千元以下的罚款：</w:t>
      </w:r>
      <w:r>
        <w:rPr>
          <w:color w:val="auto"/>
          <w:spacing w:val="2"/>
        </w:rPr>
        <w:t>（一）</w:t>
      </w:r>
      <w:r>
        <w:rPr>
          <w:color w:val="auto"/>
          <w:spacing w:val="1"/>
        </w:rPr>
        <w:t>未经质量技术监督部门授权开展</w:t>
      </w:r>
      <w:r>
        <w:rPr>
          <w:color w:val="auto"/>
          <w:spacing w:val="-9"/>
        </w:rPr>
        <w:t>须经授权方可开展的工作的；</w:t>
      </w:r>
      <w:r>
        <w:rPr>
          <w:color w:val="auto"/>
        </w:rPr>
        <w:t>（二）</w:t>
      </w:r>
      <w:r>
        <w:rPr>
          <w:color w:val="auto"/>
          <w:spacing w:val="-7"/>
        </w:rPr>
        <w:t>超过授权期限继续开展被授权项目工作的。”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21"/>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首次违法，危害后果轻微。</w:t>
      </w:r>
    </w:p>
    <w:p>
      <w:pPr>
        <w:pStyle w:val="13"/>
        <w:numPr>
          <w:ilvl w:val="0"/>
          <w:numId w:val="92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rPr>
        <w:t>予以警告，并处五百元以下罚款。2、【较重】</w:t>
      </w:r>
    </w:p>
    <w:p>
      <w:pPr>
        <w:pStyle w:val="13"/>
        <w:numPr>
          <w:ilvl w:val="0"/>
          <w:numId w:val="92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两次以上违法，或造成危害后果较大的。</w:t>
      </w:r>
    </w:p>
    <w:p>
      <w:pPr>
        <w:pStyle w:val="13"/>
        <w:numPr>
          <w:ilvl w:val="0"/>
          <w:numId w:val="92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予以警告，并处五百元以上一千元以下罚款。</w:t>
      </w:r>
    </w:p>
    <w:p>
      <w:pPr>
        <w:pStyle w:val="2"/>
        <w:spacing w:before="194"/>
        <w:rPr>
          <w:color w:val="auto"/>
        </w:rPr>
      </w:pPr>
      <w:bookmarkStart w:id="960" w:name="_bookmark479"/>
      <w:bookmarkEnd w:id="960"/>
      <w:bookmarkStart w:id="961" w:name="四百六十九、法定计量检定机构未经市场监管部门授权或批准，擅自变更授权项目"/>
      <w:bookmarkEnd w:id="961"/>
      <w:r>
        <w:rPr>
          <w:color w:val="auto"/>
        </w:rPr>
        <w:t>四百六十九、法定计量检定机构未经市场监管部门授权或批准，擅自变更授权项</w:t>
      </w:r>
    </w:p>
    <w:p>
      <w:pPr>
        <w:spacing w:before="192"/>
        <w:ind w:left="111" w:right="0" w:firstLine="0"/>
        <w:jc w:val="left"/>
        <w:rPr>
          <w:b/>
          <w:color w:val="auto"/>
          <w:sz w:val="24"/>
        </w:rPr>
      </w:pPr>
      <w:r>
        <w:rPr>
          <w:b/>
          <w:color w:val="auto"/>
          <w:w w:val="99"/>
          <w:sz w:val="24"/>
        </w:rPr>
        <w:t>目</w:t>
      </w:r>
    </w:p>
    <w:p>
      <w:pPr>
        <w:spacing w:before="192"/>
        <w:ind w:left="591" w:right="0" w:firstLine="0"/>
        <w:jc w:val="left"/>
        <w:rPr>
          <w:b/>
          <w:color w:val="auto"/>
          <w:sz w:val="24"/>
        </w:rPr>
      </w:pPr>
      <w:r>
        <w:rPr>
          <w:b/>
          <w:color w:val="auto"/>
          <w:sz w:val="24"/>
        </w:rPr>
        <w:t>（一）处罚依据</w:t>
      </w:r>
    </w:p>
    <w:p>
      <w:pPr>
        <w:pStyle w:val="4"/>
        <w:spacing w:before="194" w:line="388" w:lineRule="auto"/>
        <w:ind w:right="148"/>
        <w:rPr>
          <w:color w:val="auto"/>
        </w:rPr>
      </w:pPr>
      <w:r>
        <w:rPr>
          <w:color w:val="auto"/>
          <w:spacing w:val="-10"/>
        </w:rPr>
        <w:t xml:space="preserve">《法定计量检定机构监督管理办法》第十八条“法定计量检定机构有下列行为之一的， </w:t>
      </w:r>
      <w:r>
        <w:rPr>
          <w:color w:val="auto"/>
          <w:spacing w:val="-3"/>
        </w:rPr>
        <w:t>予以警告，并处一千元以下的罚款；情节严重的，吊销其计量授权证书：</w:t>
      </w:r>
      <w:r>
        <w:rPr>
          <w:color w:val="auto"/>
          <w:spacing w:val="2"/>
        </w:rPr>
        <w:t>（一）</w:t>
      </w:r>
      <w:r>
        <w:rPr>
          <w:color w:val="auto"/>
          <w:spacing w:val="1"/>
        </w:rPr>
        <w:t>违反</w:t>
      </w:r>
      <w:r>
        <w:rPr>
          <w:color w:val="auto"/>
          <w:spacing w:val="-8"/>
        </w:rPr>
        <w:t>本办法第十二条规定，未经质量技术监督部门授权或者批准，擅自变更授权项目的。”</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2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首次违法，危害后果轻微。</w:t>
      </w:r>
    </w:p>
    <w:p>
      <w:pPr>
        <w:pStyle w:val="13"/>
        <w:numPr>
          <w:ilvl w:val="0"/>
          <w:numId w:val="92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予以警告，并处五百元以下罚款。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2、【较重】</w:t>
      </w:r>
    </w:p>
    <w:p>
      <w:pPr>
        <w:pStyle w:val="13"/>
        <w:numPr>
          <w:ilvl w:val="0"/>
          <w:numId w:val="924"/>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多次违法，危害后果轻微的。</w:t>
      </w:r>
    </w:p>
    <w:p>
      <w:pPr>
        <w:pStyle w:val="13"/>
        <w:numPr>
          <w:ilvl w:val="0"/>
          <w:numId w:val="92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rPr>
        <w:t>予以警告，并处五百元以上一千元以下罚款。3、【严重】</w:t>
      </w:r>
    </w:p>
    <w:p>
      <w:pPr>
        <w:pStyle w:val="13"/>
        <w:numPr>
          <w:ilvl w:val="0"/>
          <w:numId w:val="92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有下列情形之一的：1、多次违法，拒不改正；2、造成严重危害后果的；3、阻挠、干涉执法，拒不配合监督检查的。</w:t>
      </w:r>
    </w:p>
    <w:p>
      <w:pPr>
        <w:pStyle w:val="13"/>
        <w:numPr>
          <w:ilvl w:val="0"/>
          <w:numId w:val="92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吊销其计量授权证书。</w:t>
      </w:r>
    </w:p>
    <w:p>
      <w:pPr>
        <w:pStyle w:val="2"/>
        <w:spacing w:before="191" w:line="391" w:lineRule="auto"/>
        <w:ind w:left="111" w:right="237" w:firstLine="480"/>
        <w:jc w:val="both"/>
        <w:rPr>
          <w:color w:val="auto"/>
        </w:rPr>
      </w:pPr>
      <w:bookmarkStart w:id="962" w:name="_bookmark480"/>
      <w:bookmarkEnd w:id="962"/>
      <w:bookmarkStart w:id="963" w:name="四百七十、法定计量检定机构伪造数据，违反计量检定规程进行计量检定，使用未经考核合"/>
      <w:bookmarkEnd w:id="963"/>
      <w:r>
        <w:rPr>
          <w:color w:val="auto"/>
          <w:spacing w:val="-7"/>
        </w:rPr>
        <w:t>四百七十、法定计量检定机构伪造数据，违反计量检定规程进行计量检定，使用</w:t>
      </w:r>
      <w:r>
        <w:rPr>
          <w:color w:val="auto"/>
          <w:spacing w:val="-10"/>
        </w:rPr>
        <w:t>未经考核合格或者超过有效期的计量基、标准开展计量检定工作，指派未取得计量检定证件的人员开展计量检定工作</w:t>
      </w:r>
    </w:p>
    <w:p>
      <w:pPr>
        <w:spacing w:before="0" w:line="304" w:lineRule="exact"/>
        <w:ind w:left="111" w:right="0" w:firstLine="0"/>
        <w:jc w:val="left"/>
        <w:rPr>
          <w:b/>
          <w:color w:val="auto"/>
          <w:sz w:val="24"/>
        </w:rPr>
      </w:pPr>
      <w:r>
        <w:rPr>
          <w:b/>
          <w:color w:val="auto"/>
          <w:sz w:val="24"/>
        </w:rPr>
        <w:t>（一）处罚依据</w:t>
      </w:r>
    </w:p>
    <w:p>
      <w:pPr>
        <w:pStyle w:val="4"/>
        <w:spacing w:before="192" w:line="391" w:lineRule="auto"/>
        <w:ind w:right="268"/>
        <w:jc w:val="both"/>
        <w:rPr>
          <w:color w:val="auto"/>
        </w:rPr>
      </w:pPr>
      <w:r>
        <w:rPr>
          <w:color w:val="auto"/>
        </w:rPr>
        <w:t>1</w:t>
      </w:r>
      <w:r>
        <w:rPr>
          <w:color w:val="auto"/>
          <w:spacing w:val="-13"/>
        </w:rPr>
        <w:t>、《法定计量检定机构监督管理办法》第十八条“法定计量检定机构有下列行为之一</w:t>
      </w:r>
      <w:r>
        <w:rPr>
          <w:color w:val="auto"/>
          <w:spacing w:val="-3"/>
        </w:rPr>
        <w:t>的，予以警告，并处一千元以下的罚款；情节严重的，吊销其计量授权证书：</w:t>
      </w:r>
      <w:r>
        <w:rPr>
          <w:color w:val="auto"/>
          <w:spacing w:val="2"/>
        </w:rPr>
        <w:t>（二</w:t>
      </w:r>
      <w:r>
        <w:rPr>
          <w:color w:val="auto"/>
        </w:rPr>
        <w:t>）</w:t>
      </w:r>
      <w:r>
        <w:rPr>
          <w:color w:val="auto"/>
          <w:spacing w:val="-5"/>
        </w:rPr>
        <w:t>违反本办法第十四条第一、二、三、四项目规定之一的。”</w:t>
      </w:r>
    </w:p>
    <w:p>
      <w:pPr>
        <w:pStyle w:val="4"/>
        <w:spacing w:line="391" w:lineRule="auto"/>
        <w:ind w:right="268" w:firstLine="480"/>
        <w:jc w:val="both"/>
        <w:rPr>
          <w:color w:val="auto"/>
        </w:rPr>
      </w:pPr>
      <w:r>
        <w:rPr>
          <w:color w:val="auto"/>
        </w:rPr>
        <w:t>2</w:t>
      </w:r>
      <w:r>
        <w:rPr>
          <w:color w:val="auto"/>
          <w:spacing w:val="-13"/>
        </w:rPr>
        <w:t>、《法定计量检定机构监督管理办法》第十四条“法定计量检定机构不得从事下</w:t>
      </w:r>
      <w:r>
        <w:rPr>
          <w:color w:val="auto"/>
          <w:spacing w:val="-6"/>
        </w:rPr>
        <w:t>列行为：(一)伪造数据； (二)违反计量检定规程进行计量检定； (三)使用未经考核</w:t>
      </w:r>
      <w:r>
        <w:rPr>
          <w:color w:val="auto"/>
        </w:rPr>
        <w:t>合格或者超过有效期的计量基、标准开展计量检定工作； (四)指派未取得计量检定</w:t>
      </w:r>
      <w:r>
        <w:rPr>
          <w:color w:val="auto"/>
          <w:spacing w:val="-9"/>
        </w:rPr>
        <w:t>证件的人员开展计量检定工作”。</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26"/>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9"/>
        <w:ind w:left="591"/>
        <w:rPr>
          <w:color w:val="auto"/>
        </w:rPr>
      </w:pPr>
      <w:r>
        <w:rPr>
          <w:color w:val="auto"/>
        </w:rPr>
        <w:t>首次违法，危害后果轻微。</w:t>
      </w:r>
    </w:p>
    <w:p>
      <w:pPr>
        <w:pStyle w:val="13"/>
        <w:numPr>
          <w:ilvl w:val="0"/>
          <w:numId w:val="92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予以警告，并处五百元以下罚款。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2、【较重】</w:t>
      </w:r>
    </w:p>
    <w:p>
      <w:pPr>
        <w:pStyle w:val="13"/>
        <w:numPr>
          <w:ilvl w:val="0"/>
          <w:numId w:val="927"/>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多次违法，危害后果轻微的。</w:t>
      </w:r>
    </w:p>
    <w:p>
      <w:pPr>
        <w:pStyle w:val="13"/>
        <w:numPr>
          <w:ilvl w:val="0"/>
          <w:numId w:val="92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rPr>
        <w:t>予以警告，并处五百元以上一千元以下罚款。3、【严重】</w:t>
      </w:r>
    </w:p>
    <w:p>
      <w:pPr>
        <w:pStyle w:val="13"/>
        <w:numPr>
          <w:ilvl w:val="0"/>
          <w:numId w:val="92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有下列情形之一的：1、多次违法，拒不改正；2、造成严重危害后果的；3、阻挠、干涉执法，拒不配合监督检查的。</w:t>
      </w:r>
    </w:p>
    <w:p>
      <w:pPr>
        <w:pStyle w:val="13"/>
        <w:numPr>
          <w:ilvl w:val="0"/>
          <w:numId w:val="928"/>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吊销其计量授权证书。</w:t>
      </w:r>
    </w:p>
    <w:p>
      <w:pPr>
        <w:pStyle w:val="2"/>
        <w:spacing w:before="191"/>
        <w:rPr>
          <w:color w:val="auto"/>
        </w:rPr>
      </w:pPr>
      <w:bookmarkStart w:id="964" w:name="_bookmark481"/>
      <w:bookmarkEnd w:id="964"/>
      <w:bookmarkStart w:id="965" w:name="四百七十一、法定计量检定机构伪造、盗用、倒卖强制检定印、证"/>
      <w:bookmarkEnd w:id="965"/>
      <w:r>
        <w:rPr>
          <w:color w:val="auto"/>
        </w:rPr>
        <w:t>四百七十一、法定计量检定机构伪造、盗用、倒卖强制检定印、证</w:t>
      </w:r>
    </w:p>
    <w:p>
      <w:pPr>
        <w:spacing w:before="192"/>
        <w:ind w:left="591" w:right="0" w:firstLine="0"/>
        <w:jc w:val="left"/>
        <w:rPr>
          <w:b/>
          <w:color w:val="auto"/>
          <w:sz w:val="24"/>
        </w:rPr>
      </w:pPr>
      <w:r>
        <w:rPr>
          <w:b/>
          <w:color w:val="auto"/>
          <w:sz w:val="24"/>
        </w:rPr>
        <w:t>（一）处罚依据</w:t>
      </w:r>
    </w:p>
    <w:p>
      <w:pPr>
        <w:pStyle w:val="4"/>
        <w:spacing w:before="194" w:line="388" w:lineRule="auto"/>
        <w:ind w:right="232" w:firstLine="480"/>
        <w:jc w:val="both"/>
        <w:rPr>
          <w:color w:val="auto"/>
        </w:rPr>
      </w:pPr>
      <w:r>
        <w:rPr>
          <w:color w:val="auto"/>
        </w:rPr>
        <w:t>1</w:t>
      </w:r>
      <w:r>
        <w:rPr>
          <w:color w:val="auto"/>
          <w:spacing w:val="-12"/>
        </w:rPr>
        <w:t>、《法定计量检定机构监督管理办法》第十九条“违反本办法第十四条第五项规</w:t>
      </w:r>
      <w:r>
        <w:rPr>
          <w:color w:val="auto"/>
          <w:spacing w:val="-13"/>
        </w:rPr>
        <w:t xml:space="preserve">定，伪造、盗用、倒卖强制检定印、证的，没收其非法检定印、证和全部违反所得， </w:t>
      </w:r>
      <w:r>
        <w:rPr>
          <w:color w:val="auto"/>
          <w:spacing w:val="-5"/>
        </w:rPr>
        <w:t>并处二千元以下的罚款；构成犯罪的，依法追究刑事责任。”</w:t>
      </w:r>
    </w:p>
    <w:p>
      <w:pPr>
        <w:pStyle w:val="4"/>
        <w:spacing w:before="6" w:line="388" w:lineRule="auto"/>
        <w:ind w:right="268" w:firstLine="480"/>
        <w:rPr>
          <w:color w:val="auto"/>
        </w:rPr>
      </w:pPr>
      <w:r>
        <w:rPr>
          <w:color w:val="auto"/>
        </w:rPr>
        <w:t>2</w:t>
      </w:r>
      <w:r>
        <w:rPr>
          <w:color w:val="auto"/>
          <w:spacing w:val="-13"/>
        </w:rPr>
        <w:t>、《法定计量检定机构监督管理办法》第十四条“第十四条法定计量检定机构不</w:t>
      </w:r>
      <w:r>
        <w:rPr>
          <w:color w:val="auto"/>
          <w:spacing w:val="-15"/>
        </w:rPr>
        <w:t>得从事下列行为：</w:t>
      </w:r>
      <w:r>
        <w:rPr>
          <w:color w:val="auto"/>
        </w:rPr>
        <w:t>（五）</w:t>
      </w:r>
      <w:r>
        <w:rPr>
          <w:color w:val="auto"/>
          <w:spacing w:val="-8"/>
        </w:rPr>
        <w:t>伪造、盗用、倒卖强制检定印、证”。</w:t>
      </w:r>
    </w:p>
    <w:p>
      <w:pPr>
        <w:spacing w:before="2"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2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有下列情形之一的：1、违法所得在 1000 元以下的；2、伪造、盗用、倒卖强制</w:t>
      </w:r>
    </w:p>
    <w:p>
      <w:pPr>
        <w:pStyle w:val="4"/>
        <w:spacing w:before="194"/>
        <w:rPr>
          <w:color w:val="auto"/>
        </w:rPr>
      </w:pPr>
      <w:r>
        <w:rPr>
          <w:color w:val="auto"/>
        </w:rPr>
        <w:t>检定印、证在 10 件以下的。</w:t>
      </w:r>
    </w:p>
    <w:p>
      <w:pPr>
        <w:pStyle w:val="13"/>
        <w:numPr>
          <w:ilvl w:val="0"/>
          <w:numId w:val="92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1552"/>
        <w:rPr>
          <w:color w:val="auto"/>
        </w:rPr>
      </w:pPr>
      <w:r>
        <w:rPr>
          <w:color w:val="auto"/>
          <w:spacing w:val="-3"/>
        </w:rPr>
        <w:t xml:space="preserve">没收其非法检定印、证和全部违法所得，并处 </w:t>
      </w:r>
      <w:r>
        <w:rPr>
          <w:color w:val="auto"/>
        </w:rPr>
        <w:t>1000</w:t>
      </w:r>
      <w:r>
        <w:rPr>
          <w:color w:val="auto"/>
          <w:spacing w:val="-10"/>
        </w:rPr>
        <w:t xml:space="preserve"> 元以下的罚款。</w:t>
      </w:r>
      <w:r>
        <w:rPr>
          <w:color w:val="auto"/>
        </w:rPr>
        <w:t>2</w:t>
      </w:r>
      <w:r>
        <w:rPr>
          <w:color w:val="auto"/>
          <w:spacing w:val="-24"/>
        </w:rPr>
        <w:t>、【较重】</w:t>
      </w:r>
    </w:p>
    <w:p>
      <w:pPr>
        <w:pStyle w:val="13"/>
        <w:numPr>
          <w:ilvl w:val="0"/>
          <w:numId w:val="93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有下列情形之一的：1、违法所得在 3000 元以下的；2、伪造、盗用、倒卖强制</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检定印、证在 10 件以上 20 件以下的。</w:t>
      </w:r>
    </w:p>
    <w:p>
      <w:pPr>
        <w:pStyle w:val="13"/>
        <w:numPr>
          <w:ilvl w:val="0"/>
          <w:numId w:val="930"/>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232"/>
        <w:rPr>
          <w:color w:val="auto"/>
        </w:rPr>
      </w:pPr>
      <w:r>
        <w:rPr>
          <w:color w:val="auto"/>
          <w:spacing w:val="-3"/>
        </w:rPr>
        <w:t xml:space="preserve">没收其非法检定印、证和全部违法所得，并处 </w:t>
      </w:r>
      <w:r>
        <w:rPr>
          <w:color w:val="auto"/>
        </w:rPr>
        <w:t>1000</w:t>
      </w:r>
      <w:r>
        <w:rPr>
          <w:color w:val="auto"/>
          <w:spacing w:val="-24"/>
        </w:rPr>
        <w:t xml:space="preserve"> 元以上 </w:t>
      </w:r>
      <w:r>
        <w:rPr>
          <w:color w:val="auto"/>
        </w:rPr>
        <w:t>1500</w:t>
      </w:r>
      <w:r>
        <w:rPr>
          <w:color w:val="auto"/>
          <w:spacing w:val="-10"/>
        </w:rPr>
        <w:t xml:space="preserve"> 元以下的罚款。</w:t>
      </w:r>
      <w:r>
        <w:rPr>
          <w:color w:val="auto"/>
        </w:rPr>
        <w:t>3</w:t>
      </w:r>
      <w:r>
        <w:rPr>
          <w:color w:val="auto"/>
          <w:spacing w:val="-24"/>
        </w:rPr>
        <w:t>、【严重】</w:t>
      </w:r>
    </w:p>
    <w:p>
      <w:pPr>
        <w:pStyle w:val="13"/>
        <w:numPr>
          <w:ilvl w:val="0"/>
          <w:numId w:val="93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有下列情形之一的：1、违法所得在 3000 元以上的；2、伪造、盗用、倒卖强制</w:t>
      </w:r>
    </w:p>
    <w:p>
      <w:pPr>
        <w:pStyle w:val="4"/>
        <w:spacing w:before="191"/>
        <w:rPr>
          <w:color w:val="auto"/>
        </w:rPr>
      </w:pPr>
      <w:r>
        <w:rPr>
          <w:color w:val="auto"/>
        </w:rPr>
        <w:t>检定印、证在 20 件以上；3、造成严重后果的。</w:t>
      </w:r>
    </w:p>
    <w:p>
      <w:pPr>
        <w:pStyle w:val="13"/>
        <w:numPr>
          <w:ilvl w:val="0"/>
          <w:numId w:val="93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6"/>
        </w:rPr>
        <w:t xml:space="preserve">没收其非法检定印、证和全部违法所得，处 </w:t>
      </w:r>
      <w:r>
        <w:rPr>
          <w:color w:val="auto"/>
        </w:rPr>
        <w:t>1500</w:t>
      </w:r>
      <w:r>
        <w:rPr>
          <w:color w:val="auto"/>
          <w:spacing w:val="-24"/>
        </w:rPr>
        <w:t xml:space="preserve"> 元以上 </w:t>
      </w:r>
      <w:r>
        <w:rPr>
          <w:color w:val="auto"/>
        </w:rPr>
        <w:t>2000</w:t>
      </w:r>
      <w:r>
        <w:rPr>
          <w:color w:val="auto"/>
          <w:spacing w:val="-11"/>
        </w:rPr>
        <w:t xml:space="preserve"> 元以下的罚款。构</w:t>
      </w:r>
      <w:r>
        <w:rPr>
          <w:color w:val="auto"/>
        </w:rPr>
        <w:t>成犯罪的，依法追究刑事责任。</w:t>
      </w:r>
    </w:p>
    <w:p>
      <w:pPr>
        <w:pStyle w:val="2"/>
        <w:spacing w:before="5" w:line="388" w:lineRule="auto"/>
        <w:ind w:left="111" w:right="237" w:firstLine="480"/>
        <w:rPr>
          <w:color w:val="auto"/>
        </w:rPr>
      </w:pPr>
      <w:bookmarkStart w:id="966" w:name="_bookmark482"/>
      <w:bookmarkEnd w:id="966"/>
      <w:bookmarkStart w:id="967" w:name="四百七十二、未取得计量检定人员资格，擅自在法定计量检定机构等技术机构中从事计量检"/>
      <w:bookmarkEnd w:id="967"/>
      <w:r>
        <w:rPr>
          <w:color w:val="auto"/>
          <w:spacing w:val="-8"/>
        </w:rPr>
        <w:t>四百七十二、未取得计量检定人员资格，擅自在法定计量检定机构等技术机构中从事计量检定活动</w:t>
      </w:r>
    </w:p>
    <w:p>
      <w:pPr>
        <w:spacing w:before="2"/>
        <w:ind w:left="591" w:right="0" w:firstLine="0"/>
        <w:jc w:val="left"/>
        <w:rPr>
          <w:b/>
          <w:color w:val="auto"/>
          <w:sz w:val="24"/>
        </w:rPr>
      </w:pPr>
      <w:r>
        <w:rPr>
          <w:b/>
          <w:color w:val="auto"/>
          <w:sz w:val="24"/>
        </w:rPr>
        <w:t>（一）处罚依据</w:t>
      </w:r>
    </w:p>
    <w:p>
      <w:pPr>
        <w:pStyle w:val="4"/>
        <w:spacing w:before="194" w:line="388" w:lineRule="auto"/>
        <w:ind w:right="268"/>
        <w:jc w:val="both"/>
        <w:rPr>
          <w:color w:val="auto"/>
        </w:rPr>
      </w:pPr>
      <w:r>
        <w:rPr>
          <w:color w:val="auto"/>
          <w:spacing w:val="-4"/>
        </w:rPr>
        <w:t>《计量检定人员管理办法》第二十条“未取得计量检定人员资格，擅自在法定计量检</w:t>
      </w:r>
      <w:r>
        <w:rPr>
          <w:color w:val="auto"/>
          <w:spacing w:val="-3"/>
        </w:rPr>
        <w:t>定机构等技术机构中从事计量检定活动的，由县级以上地方质量技术监督部门予以警</w:t>
      </w:r>
      <w:r>
        <w:rPr>
          <w:color w:val="auto"/>
          <w:spacing w:val="-12"/>
        </w:rPr>
        <w:t xml:space="preserve">告，并处 </w:t>
      </w:r>
      <w:r>
        <w:rPr>
          <w:color w:val="auto"/>
        </w:rPr>
        <w:t>1</w:t>
      </w:r>
      <w:r>
        <w:rPr>
          <w:color w:val="auto"/>
          <w:spacing w:val="-21"/>
        </w:rPr>
        <w:t xml:space="preserve"> 千元以下罚款。”</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3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首次违法或危害后果轻微。</w:t>
      </w:r>
    </w:p>
    <w:p>
      <w:pPr>
        <w:pStyle w:val="13"/>
        <w:numPr>
          <w:ilvl w:val="0"/>
          <w:numId w:val="93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512"/>
        <w:rPr>
          <w:color w:val="auto"/>
        </w:rPr>
      </w:pPr>
      <w:r>
        <w:rPr>
          <w:color w:val="auto"/>
        </w:rPr>
        <w:t>警告，并处五百元以下罚款。2、【较重】</w:t>
      </w:r>
    </w:p>
    <w:p>
      <w:pPr>
        <w:pStyle w:val="13"/>
        <w:numPr>
          <w:ilvl w:val="0"/>
          <w:numId w:val="93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多次违法或造成一定危害后果的。</w:t>
      </w:r>
    </w:p>
    <w:p>
      <w:pPr>
        <w:pStyle w:val="13"/>
        <w:numPr>
          <w:ilvl w:val="0"/>
          <w:numId w:val="93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警告，并处五百元以上一千元以下罚款。</w:t>
      </w:r>
    </w:p>
    <w:p>
      <w:pPr>
        <w:pStyle w:val="2"/>
        <w:spacing w:before="192"/>
        <w:rPr>
          <w:color w:val="auto"/>
        </w:rPr>
      </w:pPr>
      <w:bookmarkStart w:id="968" w:name="四百七十三、伪造、冒用《计量检定员证》或者《注册计量师注册证》"/>
      <w:bookmarkEnd w:id="968"/>
      <w:bookmarkStart w:id="969" w:name="_bookmark483"/>
      <w:bookmarkEnd w:id="969"/>
      <w:r>
        <w:rPr>
          <w:color w:val="auto"/>
        </w:rPr>
        <w:t>四百七十三、伪造、冒用《计量检定员证》或者《注册计量师注册证》</w:t>
      </w:r>
    </w:p>
    <w:p>
      <w:pPr>
        <w:spacing w:after="0"/>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91" w:lineRule="auto"/>
        <w:ind w:right="268"/>
        <w:jc w:val="both"/>
        <w:rPr>
          <w:color w:val="auto"/>
        </w:rPr>
      </w:pPr>
      <w:r>
        <w:rPr>
          <w:color w:val="auto"/>
        </w:rPr>
        <w:t>1</w:t>
      </w:r>
      <w:r>
        <w:rPr>
          <w:color w:val="auto"/>
          <w:spacing w:val="-14"/>
        </w:rPr>
        <w:t>、《计量检定人员管理办法》第二十一条“违反本办法第十三条规定，构成有关法律</w:t>
      </w:r>
      <w:r>
        <w:rPr>
          <w:color w:val="auto"/>
          <w:spacing w:val="-4"/>
        </w:rPr>
        <w:t>法规规定的违法行为的，依照有关法律法规规定追究相应责任；未构成有关法律法规</w:t>
      </w:r>
      <w:r>
        <w:rPr>
          <w:color w:val="auto"/>
          <w:spacing w:val="-6"/>
        </w:rPr>
        <w:t xml:space="preserve">规定的违法行为的，由县级以上地方质量技术监督部门予以警告，并处 </w:t>
      </w:r>
      <w:r>
        <w:rPr>
          <w:color w:val="auto"/>
        </w:rPr>
        <w:t>1</w:t>
      </w:r>
      <w:r>
        <w:rPr>
          <w:color w:val="auto"/>
          <w:spacing w:val="-13"/>
        </w:rPr>
        <w:t xml:space="preserve"> 万元以下罚</w:t>
      </w:r>
      <w:r>
        <w:rPr>
          <w:color w:val="auto"/>
          <w:spacing w:val="-40"/>
        </w:rPr>
        <w:t>款。”</w:t>
      </w:r>
    </w:p>
    <w:p>
      <w:pPr>
        <w:pStyle w:val="4"/>
        <w:spacing w:line="388" w:lineRule="auto"/>
        <w:ind w:right="266"/>
        <w:rPr>
          <w:color w:val="auto"/>
        </w:rPr>
      </w:pPr>
      <w:r>
        <w:rPr>
          <w:color w:val="auto"/>
        </w:rPr>
        <w:t>2</w:t>
      </w:r>
      <w:r>
        <w:rPr>
          <w:color w:val="auto"/>
          <w:spacing w:val="-14"/>
        </w:rPr>
        <w:t>、《计量检定人员管理办法》第十三条“任何单位和个人不得伪造、冒用《计量检定</w:t>
      </w:r>
      <w:r>
        <w:rPr>
          <w:color w:val="auto"/>
          <w:spacing w:val="-15"/>
        </w:rPr>
        <w:t>员证》或者《注册计量师注册证》。”</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34"/>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首次违法且危害后果轻微，并能积极及时改正的。</w:t>
      </w:r>
    </w:p>
    <w:p>
      <w:pPr>
        <w:pStyle w:val="13"/>
        <w:numPr>
          <w:ilvl w:val="0"/>
          <w:numId w:val="93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512"/>
        <w:rPr>
          <w:color w:val="auto"/>
        </w:rPr>
      </w:pPr>
      <w:r>
        <w:rPr>
          <w:color w:val="auto"/>
        </w:rPr>
        <w:t>警告，并处二千元以下罚款。2、【一般】</w:t>
      </w:r>
    </w:p>
    <w:p>
      <w:pPr>
        <w:pStyle w:val="13"/>
        <w:numPr>
          <w:ilvl w:val="0"/>
          <w:numId w:val="93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首次违法或危害后果轻微的。</w:t>
      </w:r>
    </w:p>
    <w:p>
      <w:pPr>
        <w:pStyle w:val="13"/>
        <w:numPr>
          <w:ilvl w:val="0"/>
          <w:numId w:val="93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4312"/>
        <w:rPr>
          <w:color w:val="auto"/>
        </w:rPr>
      </w:pPr>
      <w:r>
        <w:rPr>
          <w:color w:val="auto"/>
        </w:rPr>
        <w:t>警告，并处二千元以上五千元以下罚款。3、【较重】</w:t>
      </w:r>
    </w:p>
    <w:p>
      <w:pPr>
        <w:pStyle w:val="13"/>
        <w:numPr>
          <w:ilvl w:val="0"/>
          <w:numId w:val="93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两次违法或造成一定危害后果的。</w:t>
      </w:r>
    </w:p>
    <w:p>
      <w:pPr>
        <w:pStyle w:val="13"/>
        <w:numPr>
          <w:ilvl w:val="0"/>
          <w:numId w:val="93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4312"/>
        <w:rPr>
          <w:color w:val="auto"/>
        </w:rPr>
      </w:pPr>
      <w:r>
        <w:rPr>
          <w:color w:val="auto"/>
        </w:rPr>
        <w:t>警告，并处五千元以上八千元以下罚款。4、【严重】</w:t>
      </w:r>
    </w:p>
    <w:p>
      <w:pPr>
        <w:pStyle w:val="13"/>
        <w:numPr>
          <w:ilvl w:val="0"/>
          <w:numId w:val="937"/>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多次违法或造成严重危害后果的。</w:t>
      </w:r>
    </w:p>
    <w:p>
      <w:pPr>
        <w:pStyle w:val="13"/>
        <w:numPr>
          <w:ilvl w:val="0"/>
          <w:numId w:val="93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警告，并处八千元以上一万元以下罚款。</w:t>
      </w:r>
    </w:p>
    <w:p>
      <w:pPr>
        <w:spacing w:after="0"/>
        <w:rPr>
          <w:color w:val="auto"/>
        </w:rPr>
        <w:sectPr>
          <w:pgSz w:w="11910" w:h="16840"/>
          <w:pgMar w:top="1520" w:right="1260" w:bottom="1220" w:left="1420" w:header="0" w:footer="1034" w:gutter="0"/>
        </w:sectPr>
      </w:pPr>
    </w:p>
    <w:p>
      <w:pPr>
        <w:pStyle w:val="2"/>
        <w:spacing w:before="39" w:line="391" w:lineRule="auto"/>
        <w:ind w:left="111" w:right="151" w:firstLine="480"/>
        <w:jc w:val="both"/>
        <w:rPr>
          <w:color w:val="auto"/>
        </w:rPr>
      </w:pPr>
      <w:bookmarkStart w:id="970" w:name="四百七十四、计量检定人员伪造、篡改数据、报告、证书或技术档案等资料，违反计量检定"/>
      <w:bookmarkEnd w:id="970"/>
      <w:bookmarkStart w:id="971" w:name="_bookmark484"/>
      <w:bookmarkEnd w:id="971"/>
      <w:r>
        <w:rPr>
          <w:color w:val="auto"/>
          <w:spacing w:val="-6"/>
        </w:rPr>
        <w:t>四百七十四、计量检定人员伪造、篡改数据、报告、证书或技术档案等资料，违反计量检定规程开展计量检定，使用未经考核合格的计量标准开展计量检定，变造、</w:t>
      </w:r>
      <w:r>
        <w:rPr>
          <w:color w:val="auto"/>
          <w:spacing w:val="-14"/>
        </w:rPr>
        <w:t>倒卖、出租、出借或者以其他方式非法转让《计量检定员证》或《注册计量师注册证》</w:t>
      </w:r>
    </w:p>
    <w:p>
      <w:pPr>
        <w:spacing w:before="0" w:line="304" w:lineRule="exact"/>
        <w:ind w:left="591" w:right="0" w:firstLine="0"/>
        <w:jc w:val="left"/>
        <w:rPr>
          <w:b/>
          <w:color w:val="auto"/>
          <w:sz w:val="24"/>
        </w:rPr>
      </w:pPr>
      <w:r>
        <w:rPr>
          <w:b/>
          <w:color w:val="auto"/>
          <w:sz w:val="24"/>
        </w:rPr>
        <w:t>（一）处罚依据</w:t>
      </w:r>
    </w:p>
    <w:p>
      <w:pPr>
        <w:pStyle w:val="4"/>
        <w:spacing w:before="195" w:line="391" w:lineRule="auto"/>
        <w:ind w:right="268"/>
        <w:jc w:val="both"/>
        <w:rPr>
          <w:color w:val="auto"/>
        </w:rPr>
      </w:pPr>
      <w:r>
        <w:rPr>
          <w:color w:val="auto"/>
        </w:rPr>
        <w:t>1</w:t>
      </w:r>
      <w:r>
        <w:rPr>
          <w:color w:val="auto"/>
          <w:spacing w:val="-14"/>
        </w:rPr>
        <w:t>、《计量检定人员管理办法》第二十二条“违反本办法第十六条规定，构成有关法律</w:t>
      </w:r>
      <w:r>
        <w:rPr>
          <w:color w:val="auto"/>
          <w:spacing w:val="-4"/>
        </w:rPr>
        <w:t>法规规定的违法行为的，依照有关法律法规规定追究相应责任；未构成有关法律法规</w:t>
      </w:r>
      <w:r>
        <w:rPr>
          <w:color w:val="auto"/>
          <w:spacing w:val="-6"/>
        </w:rPr>
        <w:t xml:space="preserve">规定的违法行为的，由县级以上地方质量技术监督部门予以警告，并处 </w:t>
      </w:r>
      <w:r>
        <w:rPr>
          <w:color w:val="auto"/>
        </w:rPr>
        <w:t>1</w:t>
      </w:r>
      <w:r>
        <w:rPr>
          <w:color w:val="auto"/>
          <w:spacing w:val="-13"/>
        </w:rPr>
        <w:t xml:space="preserve"> 千元以下罚</w:t>
      </w:r>
      <w:r>
        <w:rPr>
          <w:color w:val="auto"/>
          <w:spacing w:val="-40"/>
        </w:rPr>
        <w:t>款。”</w:t>
      </w:r>
    </w:p>
    <w:p>
      <w:pPr>
        <w:pStyle w:val="4"/>
        <w:spacing w:line="391" w:lineRule="auto"/>
        <w:ind w:right="145"/>
        <w:rPr>
          <w:color w:val="auto"/>
        </w:rPr>
      </w:pPr>
      <w:r>
        <w:rPr>
          <w:color w:val="auto"/>
        </w:rPr>
        <w:t>2</w:t>
      </w:r>
      <w:r>
        <w:rPr>
          <w:color w:val="auto"/>
          <w:spacing w:val="-17"/>
        </w:rPr>
        <w:t>、《计量检定人员管理办法》第十六条“计量检定人员不得有下列行为：</w:t>
      </w:r>
      <w:r>
        <w:rPr>
          <w:color w:val="auto"/>
        </w:rPr>
        <w:t>（一</w:t>
      </w:r>
      <w:r>
        <w:rPr>
          <w:color w:val="auto"/>
          <w:spacing w:val="-8"/>
        </w:rPr>
        <w:t>）</w:t>
      </w:r>
      <w:r>
        <w:rPr>
          <w:color w:val="auto"/>
          <w:spacing w:val="-4"/>
        </w:rPr>
        <w:t>伪造、</w:t>
      </w:r>
      <w:r>
        <w:rPr>
          <w:color w:val="auto"/>
          <w:spacing w:val="-14"/>
        </w:rPr>
        <w:t>篡改数据、报告、证书或技术档案等资料</w:t>
      </w:r>
      <w:r>
        <w:rPr>
          <w:color w:val="auto"/>
          <w:spacing w:val="-200"/>
        </w:rPr>
        <w:t>；</w:t>
      </w:r>
      <w:r>
        <w:rPr>
          <w:color w:val="auto"/>
        </w:rPr>
        <w:t>（二</w:t>
      </w:r>
      <w:r>
        <w:rPr>
          <w:color w:val="auto"/>
          <w:spacing w:val="-80"/>
        </w:rPr>
        <w:t>）</w:t>
      </w:r>
      <w:r>
        <w:rPr>
          <w:color w:val="auto"/>
        </w:rPr>
        <w:t>违反计量检定规程开展计量检定</w:t>
      </w:r>
      <w:r>
        <w:rPr>
          <w:color w:val="auto"/>
          <w:spacing w:val="-197"/>
        </w:rPr>
        <w:t>；</w:t>
      </w:r>
      <w:r>
        <w:rPr>
          <w:color w:val="auto"/>
        </w:rPr>
        <w:t>（三</w:t>
      </w:r>
      <w:r>
        <w:rPr>
          <w:color w:val="auto"/>
          <w:spacing w:val="-11"/>
        </w:rPr>
        <w:t>）</w:t>
      </w:r>
      <w:r>
        <w:rPr>
          <w:color w:val="auto"/>
          <w:spacing w:val="-5"/>
        </w:rPr>
        <w:t>使用未经考核合格的计量标准开展计量检定；</w:t>
      </w:r>
      <w:r>
        <w:rPr>
          <w:color w:val="auto"/>
          <w:spacing w:val="2"/>
        </w:rPr>
        <w:t>（四）</w:t>
      </w:r>
      <w:r>
        <w:rPr>
          <w:color w:val="auto"/>
          <w:spacing w:val="1"/>
        </w:rPr>
        <w:t>变造、倒卖、出租、出借或者以</w:t>
      </w:r>
      <w:r>
        <w:rPr>
          <w:color w:val="auto"/>
          <w:spacing w:val="-9"/>
        </w:rPr>
        <w:t>其他方式非法转让《计量检定员证》或《注册计量师注册证》。”</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3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0"/>
        <w:ind w:left="591"/>
        <w:rPr>
          <w:color w:val="auto"/>
        </w:rPr>
      </w:pPr>
      <w:r>
        <w:rPr>
          <w:color w:val="auto"/>
        </w:rPr>
        <w:t>首次违法或危害后果轻微。</w:t>
      </w:r>
    </w:p>
    <w:p>
      <w:pPr>
        <w:pStyle w:val="13"/>
        <w:numPr>
          <w:ilvl w:val="0"/>
          <w:numId w:val="93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512"/>
        <w:rPr>
          <w:color w:val="auto"/>
        </w:rPr>
      </w:pPr>
      <w:r>
        <w:rPr>
          <w:color w:val="auto"/>
        </w:rPr>
        <w:t>警告，并处五百元以下罚款。2、【较重】</w:t>
      </w:r>
    </w:p>
    <w:p>
      <w:pPr>
        <w:pStyle w:val="13"/>
        <w:numPr>
          <w:ilvl w:val="0"/>
          <w:numId w:val="93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多次违法或造成一定危害后果的。</w:t>
      </w:r>
    </w:p>
    <w:p>
      <w:pPr>
        <w:pStyle w:val="13"/>
        <w:numPr>
          <w:ilvl w:val="0"/>
          <w:numId w:val="93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警告，并处五百元以上一千元以下罚款。</w:t>
      </w:r>
    </w:p>
    <w:p>
      <w:pPr>
        <w:pStyle w:val="4"/>
        <w:ind w:left="0"/>
        <w:rPr>
          <w:color w:val="auto"/>
        </w:rPr>
      </w:pPr>
    </w:p>
    <w:p>
      <w:pPr>
        <w:pStyle w:val="4"/>
        <w:spacing w:before="11"/>
        <w:ind w:left="0"/>
        <w:rPr>
          <w:color w:val="auto"/>
          <w:sz w:val="29"/>
        </w:rPr>
      </w:pPr>
    </w:p>
    <w:p>
      <w:pPr>
        <w:pStyle w:val="4"/>
        <w:tabs>
          <w:tab w:val="left" w:pos="1199"/>
        </w:tabs>
        <w:spacing w:before="1"/>
        <w:ind w:left="0" w:right="161"/>
        <w:jc w:val="center"/>
        <w:rPr>
          <w:rFonts w:hint="eastAsia" w:ascii="黑体" w:eastAsia="黑体"/>
          <w:color w:val="auto"/>
        </w:rPr>
      </w:pPr>
      <w:bookmarkStart w:id="972" w:name="第十二章  认证监管"/>
      <w:bookmarkEnd w:id="972"/>
      <w:bookmarkStart w:id="973" w:name="_bookmark485"/>
      <w:bookmarkEnd w:id="973"/>
      <w:r>
        <w:rPr>
          <w:rFonts w:hint="eastAsia" w:ascii="黑体" w:eastAsia="黑体"/>
          <w:color w:val="auto"/>
        </w:rPr>
        <w:t>第十二章</w:t>
      </w:r>
      <w:r>
        <w:rPr>
          <w:rFonts w:hint="eastAsia" w:ascii="黑体" w:eastAsia="黑体"/>
          <w:color w:val="auto"/>
        </w:rPr>
        <w:tab/>
      </w:r>
      <w:r>
        <w:rPr>
          <w:rFonts w:hint="eastAsia" w:ascii="黑体" w:eastAsia="黑体"/>
          <w:color w:val="auto"/>
        </w:rPr>
        <w:t>认证监管</w:t>
      </w:r>
    </w:p>
    <w:p>
      <w:pPr>
        <w:pStyle w:val="4"/>
        <w:ind w:left="0"/>
        <w:rPr>
          <w:rFonts w:ascii="黑体"/>
          <w:color w:val="auto"/>
        </w:rPr>
      </w:pPr>
    </w:p>
    <w:p>
      <w:pPr>
        <w:pStyle w:val="4"/>
        <w:spacing w:before="1"/>
        <w:ind w:left="0"/>
        <w:rPr>
          <w:rFonts w:ascii="黑体"/>
          <w:color w:val="auto"/>
          <w:sz w:val="30"/>
        </w:rPr>
      </w:pPr>
    </w:p>
    <w:p>
      <w:pPr>
        <w:pStyle w:val="2"/>
        <w:rPr>
          <w:color w:val="auto"/>
        </w:rPr>
      </w:pPr>
      <w:bookmarkStart w:id="974" w:name="四百七十五、未经批准擅自从事认证活动"/>
      <w:bookmarkEnd w:id="974"/>
      <w:bookmarkStart w:id="975" w:name="_bookmark486"/>
      <w:bookmarkEnd w:id="975"/>
      <w:r>
        <w:rPr>
          <w:color w:val="auto"/>
        </w:rPr>
        <w:t>四百七十五、未经批准擅自从事认证活动</w:t>
      </w:r>
    </w:p>
    <w:p>
      <w:pPr>
        <w:spacing w:before="192"/>
        <w:ind w:left="59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00" w:firstLine="470"/>
        <w:rPr>
          <w:color w:val="auto"/>
        </w:rPr>
      </w:pPr>
      <w:r>
        <w:rPr>
          <w:color w:val="auto"/>
        </w:rPr>
        <w:t>《中华人民共和国认证认可条例》第五十七条“未经批准擅自从事认证活动的， 予以取缔，处 10 万元以上 50 万元以下的罚款，有违法所得的，没收违法所得。”</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40"/>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有下列情形之一的：1、未经批准擅自首次从事认证活动，认证活动已开始，程序正规，且已申请，尚未批准；2、具有其他较轻情节的。</w:t>
      </w:r>
    </w:p>
    <w:p>
      <w:pPr>
        <w:pStyle w:val="13"/>
        <w:numPr>
          <w:ilvl w:val="0"/>
          <w:numId w:val="940"/>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2152"/>
        <w:rPr>
          <w:color w:val="auto"/>
        </w:rPr>
      </w:pPr>
      <w:r>
        <w:rPr>
          <w:color w:val="auto"/>
          <w:spacing w:val="-9"/>
        </w:rPr>
        <w:t xml:space="preserve">予以取缔，处 </w:t>
      </w:r>
      <w:r>
        <w:rPr>
          <w:color w:val="auto"/>
        </w:rPr>
        <w:t>10</w:t>
      </w:r>
      <w:r>
        <w:rPr>
          <w:color w:val="auto"/>
          <w:spacing w:val="-20"/>
        </w:rPr>
        <w:t xml:space="preserve"> 万元以上 </w:t>
      </w:r>
      <w:r>
        <w:rPr>
          <w:color w:val="auto"/>
        </w:rPr>
        <w:t>20</w:t>
      </w:r>
      <w:r>
        <w:rPr>
          <w:color w:val="auto"/>
          <w:spacing w:val="-9"/>
        </w:rPr>
        <w:t xml:space="preserve"> 万元以下罚款，没收违法所得。</w:t>
      </w:r>
      <w:r>
        <w:rPr>
          <w:color w:val="auto"/>
        </w:rPr>
        <w:t>2</w:t>
      </w:r>
      <w:r>
        <w:rPr>
          <w:color w:val="auto"/>
          <w:spacing w:val="-24"/>
        </w:rPr>
        <w:t>、【一般】</w:t>
      </w:r>
    </w:p>
    <w:p>
      <w:pPr>
        <w:pStyle w:val="13"/>
        <w:numPr>
          <w:ilvl w:val="0"/>
          <w:numId w:val="94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未经批准擅自从事认证活动的，违法认证持续时间较短的。</w:t>
      </w:r>
    </w:p>
    <w:p>
      <w:pPr>
        <w:pStyle w:val="13"/>
        <w:numPr>
          <w:ilvl w:val="0"/>
          <w:numId w:val="94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152"/>
        <w:rPr>
          <w:color w:val="auto"/>
        </w:rPr>
      </w:pPr>
      <w:r>
        <w:rPr>
          <w:color w:val="auto"/>
          <w:spacing w:val="-9"/>
        </w:rPr>
        <w:t xml:space="preserve">予以取缔，处 </w:t>
      </w:r>
      <w:r>
        <w:rPr>
          <w:color w:val="auto"/>
        </w:rPr>
        <w:t>20</w:t>
      </w:r>
      <w:r>
        <w:rPr>
          <w:color w:val="auto"/>
          <w:spacing w:val="-20"/>
        </w:rPr>
        <w:t xml:space="preserve"> 万元以上 </w:t>
      </w:r>
      <w:r>
        <w:rPr>
          <w:color w:val="auto"/>
        </w:rPr>
        <w:t>35</w:t>
      </w:r>
      <w:r>
        <w:rPr>
          <w:color w:val="auto"/>
          <w:spacing w:val="-9"/>
        </w:rPr>
        <w:t xml:space="preserve"> 万元以下罚款，没收违法所得。</w:t>
      </w:r>
      <w:r>
        <w:rPr>
          <w:color w:val="auto"/>
        </w:rPr>
        <w:t>3</w:t>
      </w:r>
      <w:r>
        <w:rPr>
          <w:color w:val="auto"/>
          <w:spacing w:val="-24"/>
        </w:rPr>
        <w:t>、【较重】</w:t>
      </w:r>
    </w:p>
    <w:p>
      <w:pPr>
        <w:pStyle w:val="13"/>
        <w:numPr>
          <w:ilvl w:val="0"/>
          <w:numId w:val="94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未经批准擅自从事认证活动，违法行为持续时间较长或有其他较重情节的。</w:t>
      </w:r>
    </w:p>
    <w:p>
      <w:pPr>
        <w:pStyle w:val="13"/>
        <w:numPr>
          <w:ilvl w:val="0"/>
          <w:numId w:val="94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予以取缔，处 35 万元以上 50 万元以下罚款，没收违法所得。</w:t>
      </w:r>
    </w:p>
    <w:p>
      <w:pPr>
        <w:pStyle w:val="2"/>
        <w:spacing w:before="194"/>
        <w:rPr>
          <w:color w:val="auto"/>
        </w:rPr>
      </w:pPr>
      <w:bookmarkStart w:id="976" w:name="_bookmark487"/>
      <w:bookmarkEnd w:id="976"/>
      <w:bookmarkStart w:id="977" w:name="四百七十六、境外认证机构未经登记在中华人民共和国境内设立代表机构"/>
      <w:bookmarkEnd w:id="977"/>
      <w:r>
        <w:rPr>
          <w:color w:val="auto"/>
        </w:rPr>
        <w:t>四百七十六、境外认证机构未经登记在中华人民共和国境内设立代表机构</w:t>
      </w:r>
    </w:p>
    <w:p>
      <w:pPr>
        <w:spacing w:before="192"/>
        <w:ind w:left="591" w:right="0" w:firstLine="0"/>
        <w:jc w:val="left"/>
        <w:rPr>
          <w:b/>
          <w:color w:val="auto"/>
          <w:sz w:val="24"/>
        </w:rPr>
      </w:pPr>
      <w:r>
        <w:rPr>
          <w:b/>
          <w:color w:val="auto"/>
          <w:sz w:val="24"/>
        </w:rPr>
        <w:t>（一）处罚依据</w:t>
      </w:r>
    </w:p>
    <w:p>
      <w:pPr>
        <w:pStyle w:val="4"/>
        <w:spacing w:before="191" w:line="391" w:lineRule="auto"/>
        <w:ind w:right="148" w:firstLine="470"/>
        <w:rPr>
          <w:color w:val="auto"/>
        </w:rPr>
      </w:pPr>
      <w:r>
        <w:rPr>
          <w:color w:val="auto"/>
          <w:spacing w:val="-2"/>
        </w:rPr>
        <w:t>《中华人民共和国认证认可条例》第五十八条第一款“境外认证机构未经登记在</w:t>
      </w:r>
      <w:r>
        <w:rPr>
          <w:color w:val="auto"/>
          <w:spacing w:val="-14"/>
        </w:rPr>
        <w:t xml:space="preserve">中华人民共和国境内设立代表机构的，予以取缔，处 </w:t>
      </w:r>
      <w:r>
        <w:rPr>
          <w:color w:val="auto"/>
        </w:rPr>
        <w:t>5</w:t>
      </w:r>
      <w:r>
        <w:rPr>
          <w:color w:val="auto"/>
          <w:spacing w:val="-20"/>
        </w:rPr>
        <w:t xml:space="preserve"> 万元以上 </w:t>
      </w:r>
      <w:r>
        <w:rPr>
          <w:color w:val="auto"/>
        </w:rPr>
        <w:t>20</w:t>
      </w:r>
      <w:r>
        <w:rPr>
          <w:color w:val="auto"/>
          <w:spacing w:val="-21"/>
        </w:rPr>
        <w:t xml:space="preserve"> 万元以下的罚款。”</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43"/>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line="388" w:lineRule="auto"/>
        <w:ind w:right="271" w:firstLine="480"/>
        <w:rPr>
          <w:color w:val="auto"/>
        </w:rPr>
      </w:pPr>
      <w:r>
        <w:rPr>
          <w:color w:val="auto"/>
        </w:rPr>
        <w:t>有下列情形之一的：属首次违法，危害后果轻微的；2、检查后及时停止违法行为的。</w:t>
      </w:r>
    </w:p>
    <w:p>
      <w:pPr>
        <w:spacing w:after="0" w:line="388" w:lineRule="auto"/>
        <w:rPr>
          <w:color w:val="auto"/>
        </w:rPr>
        <w:sectPr>
          <w:pgSz w:w="11910" w:h="16840"/>
          <w:pgMar w:top="1520" w:right="1260" w:bottom="1220" w:left="1420" w:header="0" w:footer="1034" w:gutter="0"/>
        </w:sectPr>
      </w:pPr>
    </w:p>
    <w:p>
      <w:pPr>
        <w:pStyle w:val="13"/>
        <w:numPr>
          <w:ilvl w:val="0"/>
          <w:numId w:val="943"/>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3952"/>
        <w:rPr>
          <w:color w:val="auto"/>
        </w:rPr>
      </w:pPr>
      <w:r>
        <w:rPr>
          <w:color w:val="auto"/>
          <w:spacing w:val="-9"/>
        </w:rPr>
        <w:t xml:space="preserve">予以取缔，处 </w:t>
      </w:r>
      <w:r>
        <w:rPr>
          <w:color w:val="auto"/>
        </w:rPr>
        <w:t>5</w:t>
      </w:r>
      <w:r>
        <w:rPr>
          <w:color w:val="auto"/>
          <w:spacing w:val="-20"/>
        </w:rPr>
        <w:t xml:space="preserve"> 万元以上 </w:t>
      </w:r>
      <w:r>
        <w:rPr>
          <w:color w:val="auto"/>
        </w:rPr>
        <w:t>10</w:t>
      </w:r>
      <w:r>
        <w:rPr>
          <w:color w:val="auto"/>
          <w:spacing w:val="-10"/>
        </w:rPr>
        <w:t xml:space="preserve"> 万元以下罚款。</w:t>
      </w:r>
      <w:r>
        <w:rPr>
          <w:color w:val="auto"/>
        </w:rPr>
        <w:t>2</w:t>
      </w:r>
      <w:r>
        <w:rPr>
          <w:color w:val="auto"/>
          <w:spacing w:val="-24"/>
        </w:rPr>
        <w:t>、【一般】</w:t>
      </w:r>
    </w:p>
    <w:p>
      <w:pPr>
        <w:pStyle w:val="13"/>
        <w:numPr>
          <w:ilvl w:val="0"/>
          <w:numId w:val="94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属首次违法，设立时间较短未依法办理登记手续的。</w:t>
      </w:r>
    </w:p>
    <w:p>
      <w:pPr>
        <w:pStyle w:val="13"/>
        <w:numPr>
          <w:ilvl w:val="0"/>
          <w:numId w:val="94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832"/>
        <w:rPr>
          <w:color w:val="auto"/>
        </w:rPr>
      </w:pPr>
      <w:r>
        <w:rPr>
          <w:color w:val="auto"/>
          <w:spacing w:val="-9"/>
        </w:rPr>
        <w:t xml:space="preserve">予以取缔，处 </w:t>
      </w:r>
      <w:r>
        <w:rPr>
          <w:color w:val="auto"/>
        </w:rPr>
        <w:t>10</w:t>
      </w:r>
      <w:r>
        <w:rPr>
          <w:color w:val="auto"/>
          <w:spacing w:val="-20"/>
        </w:rPr>
        <w:t xml:space="preserve"> 万元以上 </w:t>
      </w:r>
      <w:r>
        <w:rPr>
          <w:color w:val="auto"/>
        </w:rPr>
        <w:t>15</w:t>
      </w:r>
      <w:r>
        <w:rPr>
          <w:color w:val="auto"/>
          <w:spacing w:val="-10"/>
        </w:rPr>
        <w:t xml:space="preserve"> 万元以下罚款。</w:t>
      </w:r>
      <w:r>
        <w:rPr>
          <w:color w:val="auto"/>
        </w:rPr>
        <w:t>3</w:t>
      </w:r>
      <w:r>
        <w:rPr>
          <w:color w:val="auto"/>
          <w:spacing w:val="-24"/>
        </w:rPr>
        <w:t>、【较重】</w:t>
      </w:r>
    </w:p>
    <w:p>
      <w:pPr>
        <w:pStyle w:val="13"/>
        <w:numPr>
          <w:ilvl w:val="0"/>
          <w:numId w:val="94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spacing w:val="-1"/>
        </w:rPr>
        <w:t>有下列情形之一的：</w:t>
      </w:r>
      <w:r>
        <w:rPr>
          <w:color w:val="auto"/>
          <w:spacing w:val="-5"/>
        </w:rPr>
        <w:t>1</w:t>
      </w:r>
      <w:r>
        <w:rPr>
          <w:color w:val="auto"/>
          <w:spacing w:val="-4"/>
        </w:rPr>
        <w:t>、不配合检查或检查后不整改的；2</w:t>
      </w:r>
      <w:r>
        <w:rPr>
          <w:color w:val="auto"/>
          <w:spacing w:val="-5"/>
        </w:rPr>
        <w:t>、较长未依法办理登记</w:t>
      </w:r>
      <w:r>
        <w:rPr>
          <w:color w:val="auto"/>
        </w:rPr>
        <w:t>手续或具有其他较重情节的。</w:t>
      </w:r>
    </w:p>
    <w:p>
      <w:pPr>
        <w:pStyle w:val="13"/>
        <w:numPr>
          <w:ilvl w:val="0"/>
          <w:numId w:val="94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予以取缔，处 15 万元以上 20 万元以下罚款。</w:t>
      </w:r>
    </w:p>
    <w:p>
      <w:pPr>
        <w:pStyle w:val="2"/>
        <w:spacing w:before="194" w:line="388" w:lineRule="auto"/>
        <w:ind w:left="111" w:right="237" w:firstLine="480"/>
        <w:rPr>
          <w:color w:val="auto"/>
        </w:rPr>
      </w:pPr>
      <w:bookmarkStart w:id="978" w:name="_bookmark488"/>
      <w:bookmarkEnd w:id="978"/>
      <w:bookmarkStart w:id="979" w:name="四百七十七、经登记设立的境外认证机构代表机构在中华人民共和国境内从事认证活动"/>
      <w:bookmarkEnd w:id="979"/>
      <w:r>
        <w:rPr>
          <w:color w:val="auto"/>
          <w:spacing w:val="-9"/>
        </w:rPr>
        <w:t>四百七十七、经登记设立的境外认证机构代表机构在中华人民共和国境内从事认证活动</w:t>
      </w:r>
    </w:p>
    <w:p>
      <w:pPr>
        <w:spacing w:before="2"/>
        <w:ind w:left="591" w:right="0" w:firstLine="0"/>
        <w:jc w:val="left"/>
        <w:rPr>
          <w:b/>
          <w:color w:val="auto"/>
          <w:sz w:val="24"/>
        </w:rPr>
      </w:pPr>
      <w:r>
        <w:rPr>
          <w:b/>
          <w:color w:val="auto"/>
          <w:sz w:val="24"/>
        </w:rPr>
        <w:t>（一）处罚依据</w:t>
      </w:r>
    </w:p>
    <w:p>
      <w:pPr>
        <w:pStyle w:val="4"/>
        <w:spacing w:before="194" w:line="391" w:lineRule="auto"/>
        <w:ind w:right="266" w:firstLine="470"/>
        <w:jc w:val="both"/>
        <w:rPr>
          <w:color w:val="auto"/>
        </w:rPr>
      </w:pPr>
      <w:r>
        <w:rPr>
          <w:color w:val="auto"/>
          <w:spacing w:val="-3"/>
        </w:rPr>
        <w:t>《中华人民共和国认证认可条例》第五十八条第二款“经登记设立的境外认证机</w:t>
      </w:r>
      <w:r>
        <w:rPr>
          <w:color w:val="auto"/>
          <w:spacing w:val="-4"/>
        </w:rPr>
        <w:t xml:space="preserve">构代表机构在中华人民共和国境内从事认证活动的，责令改正，处 </w:t>
      </w:r>
      <w:r>
        <w:rPr>
          <w:color w:val="auto"/>
        </w:rPr>
        <w:t>10</w:t>
      </w:r>
      <w:r>
        <w:rPr>
          <w:color w:val="auto"/>
          <w:spacing w:val="-20"/>
        </w:rPr>
        <w:t xml:space="preserve"> 万元以上 </w:t>
      </w:r>
      <w:r>
        <w:rPr>
          <w:color w:val="auto"/>
        </w:rPr>
        <w:t>50</w:t>
      </w:r>
      <w:r>
        <w:rPr>
          <w:color w:val="auto"/>
          <w:spacing w:val="-37"/>
        </w:rPr>
        <w:t xml:space="preserve"> 万</w:t>
      </w:r>
      <w:r>
        <w:rPr>
          <w:color w:val="auto"/>
          <w:spacing w:val="-7"/>
        </w:rPr>
        <w:t>元以下的罚款，有违法所得的，没收违法所得；情节严重的，撤销批准文件，并予公</w:t>
      </w:r>
      <w:r>
        <w:rPr>
          <w:color w:val="auto"/>
        </w:rPr>
        <w:t>布。”</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46"/>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line="391" w:lineRule="auto"/>
        <w:ind w:right="269" w:firstLine="480"/>
        <w:jc w:val="both"/>
        <w:rPr>
          <w:color w:val="auto"/>
        </w:rPr>
      </w:pPr>
      <w:r>
        <w:rPr>
          <w:color w:val="auto"/>
        </w:rPr>
        <w:t>有下列情形之一的：1、经登记设立的境外认证机构代表机构在中华人民共和国境内首次从事认证活动的，认证活动已开始，程序正规，或者尚未收取费用的；2、检查后及时改正违法行为的。</w:t>
      </w:r>
    </w:p>
    <w:p>
      <w:pPr>
        <w:pStyle w:val="13"/>
        <w:numPr>
          <w:ilvl w:val="0"/>
          <w:numId w:val="94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责令改正，处 10 万元以上 20 万元以下罚款，没收违法所得；通报批准机关。</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2、【一般】</w:t>
      </w:r>
    </w:p>
    <w:p>
      <w:pPr>
        <w:pStyle w:val="13"/>
        <w:numPr>
          <w:ilvl w:val="0"/>
          <w:numId w:val="947"/>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13" w:firstLine="480"/>
        <w:rPr>
          <w:color w:val="auto"/>
        </w:rPr>
      </w:pPr>
      <w:r>
        <w:rPr>
          <w:color w:val="auto"/>
        </w:rPr>
        <w:t>经登记设立的境外认证机构代表机构在中华人民共和国境内从事认证活动的，从事认证活动时间较短的，认证活动基本符合认证规则、规范要求的。</w:t>
      </w:r>
    </w:p>
    <w:p>
      <w:pPr>
        <w:pStyle w:val="13"/>
        <w:numPr>
          <w:ilvl w:val="0"/>
          <w:numId w:val="947"/>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472"/>
        <w:rPr>
          <w:color w:val="auto"/>
        </w:rPr>
      </w:pPr>
      <w:r>
        <w:rPr>
          <w:color w:val="auto"/>
          <w:spacing w:val="-9"/>
        </w:rPr>
        <w:t xml:space="preserve">责令改正，处 </w:t>
      </w:r>
      <w:r>
        <w:rPr>
          <w:color w:val="auto"/>
        </w:rPr>
        <w:t>20</w:t>
      </w:r>
      <w:r>
        <w:rPr>
          <w:color w:val="auto"/>
          <w:spacing w:val="-20"/>
        </w:rPr>
        <w:t xml:space="preserve"> 万元以上 </w:t>
      </w:r>
      <w:r>
        <w:rPr>
          <w:color w:val="auto"/>
        </w:rPr>
        <w:t>35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948"/>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rPr>
        <w:t>有下列情形之一的：1、不配合检查或检查后不整改的； ；2、认证活动不符合认证规则、规范要求的； 3、具有其他较重情节的。</w:t>
      </w:r>
    </w:p>
    <w:p>
      <w:pPr>
        <w:pStyle w:val="13"/>
        <w:numPr>
          <w:ilvl w:val="0"/>
          <w:numId w:val="948"/>
        </w:numPr>
        <w:tabs>
          <w:tab w:val="left" w:pos="1193"/>
        </w:tabs>
        <w:spacing w:before="4" w:after="0" w:line="240" w:lineRule="auto"/>
        <w:ind w:left="1192" w:right="0" w:hanging="602"/>
        <w:jc w:val="left"/>
        <w:rPr>
          <w:color w:val="auto"/>
          <w:sz w:val="24"/>
        </w:rPr>
      </w:pPr>
      <w:r>
        <w:rPr>
          <w:color w:val="auto"/>
          <w:sz w:val="24"/>
        </w:rPr>
        <w:t>处罚标准</w:t>
      </w:r>
    </w:p>
    <w:p>
      <w:pPr>
        <w:spacing w:before="192" w:line="388" w:lineRule="auto"/>
        <w:ind w:left="591" w:right="237" w:firstLine="0"/>
        <w:jc w:val="left"/>
        <w:rPr>
          <w:b/>
          <w:color w:val="auto"/>
          <w:sz w:val="24"/>
        </w:rPr>
      </w:pPr>
      <w:r>
        <w:rPr>
          <w:color w:val="auto"/>
          <w:spacing w:val="-5"/>
          <w:sz w:val="24"/>
        </w:rPr>
        <w:t xml:space="preserve">责令改正，处 </w:t>
      </w:r>
      <w:r>
        <w:rPr>
          <w:color w:val="auto"/>
          <w:sz w:val="24"/>
        </w:rPr>
        <w:t>35</w:t>
      </w:r>
      <w:r>
        <w:rPr>
          <w:color w:val="auto"/>
          <w:spacing w:val="-11"/>
          <w:sz w:val="24"/>
        </w:rPr>
        <w:t xml:space="preserve"> 万元以上 </w:t>
      </w:r>
      <w:r>
        <w:rPr>
          <w:color w:val="auto"/>
          <w:sz w:val="24"/>
        </w:rPr>
        <w:t>50</w:t>
      </w:r>
      <w:r>
        <w:rPr>
          <w:color w:val="auto"/>
          <w:spacing w:val="-6"/>
          <w:sz w:val="24"/>
        </w:rPr>
        <w:t xml:space="preserve"> 万元以下罚款,没收违法所得；通报批准机关。</w:t>
      </w:r>
      <w:bookmarkStart w:id="980" w:name="四百七十八、认证机构接受可能对认证活动的客观公正产生影响的资助，或者从事可能对认"/>
      <w:bookmarkEnd w:id="980"/>
      <w:bookmarkStart w:id="981" w:name="_bookmark489"/>
      <w:bookmarkEnd w:id="981"/>
      <w:r>
        <w:rPr>
          <w:b/>
          <w:color w:val="auto"/>
          <w:spacing w:val="-9"/>
          <w:sz w:val="24"/>
        </w:rPr>
        <w:t>四百七十八、认证机构接受可能对认证活动的客观公正产生影响的资助，或者从</w:t>
      </w:r>
    </w:p>
    <w:p>
      <w:pPr>
        <w:pStyle w:val="2"/>
        <w:spacing w:before="4" w:line="388" w:lineRule="auto"/>
        <w:ind w:left="111" w:right="180"/>
        <w:rPr>
          <w:color w:val="auto"/>
        </w:rPr>
      </w:pPr>
      <w:r>
        <w:rPr>
          <w:color w:val="auto"/>
        </w:rPr>
        <w:t>事可能对认证活动的客观公正产生影响的产品开发、营销等活动，或者与认证委托人存在资产、管理方面的利益关系</w:t>
      </w:r>
    </w:p>
    <w:p>
      <w:pPr>
        <w:spacing w:before="2"/>
        <w:ind w:left="591" w:right="0" w:firstLine="0"/>
        <w:jc w:val="left"/>
        <w:rPr>
          <w:b/>
          <w:color w:val="auto"/>
          <w:sz w:val="24"/>
        </w:rPr>
      </w:pPr>
      <w:r>
        <w:rPr>
          <w:b/>
          <w:color w:val="auto"/>
          <w:sz w:val="24"/>
        </w:rPr>
        <w:t>（一）处罚依据</w:t>
      </w:r>
    </w:p>
    <w:p>
      <w:pPr>
        <w:pStyle w:val="4"/>
        <w:spacing w:before="195" w:line="391" w:lineRule="auto"/>
        <w:ind w:right="268" w:firstLine="470"/>
        <w:jc w:val="both"/>
        <w:rPr>
          <w:color w:val="auto"/>
        </w:rPr>
      </w:pPr>
      <w:r>
        <w:rPr>
          <w:color w:val="auto"/>
          <w:spacing w:val="-3"/>
        </w:rPr>
        <w:t>《中华人民共和国认证认可条例》第五十九条“认证机构接受可能对认证活动的</w:t>
      </w:r>
      <w:r>
        <w:rPr>
          <w:color w:val="auto"/>
          <w:spacing w:val="3"/>
        </w:rPr>
        <w:t>客观公正产生影响的资助，或者从事可能对认证活动的客观公正产生影响的产品开</w:t>
      </w:r>
      <w:r>
        <w:rPr>
          <w:color w:val="auto"/>
          <w:spacing w:val="-7"/>
        </w:rPr>
        <w:t>发、营销等活动，或者与认证委托人存在资产、管理方面的利益关系的，责令停业整顿；情节严重的，撤销批准文件，并予公布；有违法所得的，没收违法所得；构成犯</w:t>
      </w:r>
      <w:r>
        <w:rPr>
          <w:color w:val="auto"/>
        </w:rPr>
        <w:t>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4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属首次违法，情节轻微且及时停止违法行为的。</w:t>
      </w:r>
    </w:p>
    <w:p>
      <w:pPr>
        <w:pStyle w:val="13"/>
        <w:numPr>
          <w:ilvl w:val="0"/>
          <w:numId w:val="94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3592"/>
        <w:rPr>
          <w:color w:val="auto"/>
        </w:rPr>
      </w:pPr>
      <w:r>
        <w:rPr>
          <w:color w:val="auto"/>
        </w:rPr>
        <w:t>责令停业整顿，没收违法所得；通报批准机关。2、【严重】</w:t>
      </w:r>
    </w:p>
    <w:p>
      <w:pPr>
        <w:spacing w:after="0" w:line="388" w:lineRule="auto"/>
        <w:rPr>
          <w:color w:val="auto"/>
        </w:rPr>
        <w:sectPr>
          <w:pgSz w:w="11910" w:h="16840"/>
          <w:pgMar w:top="1520" w:right="1260" w:bottom="1220" w:left="1420" w:header="0" w:footer="1034" w:gutter="0"/>
        </w:sectPr>
      </w:pPr>
    </w:p>
    <w:p>
      <w:pPr>
        <w:pStyle w:val="13"/>
        <w:numPr>
          <w:ilvl w:val="0"/>
          <w:numId w:val="950"/>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多次从事违法活动，或具有其他较重情节的。</w:t>
      </w:r>
    </w:p>
    <w:p>
      <w:pPr>
        <w:pStyle w:val="13"/>
        <w:numPr>
          <w:ilvl w:val="0"/>
          <w:numId w:val="950"/>
        </w:numPr>
        <w:tabs>
          <w:tab w:val="left" w:pos="1193"/>
        </w:tabs>
        <w:spacing w:before="191" w:after="0" w:line="240" w:lineRule="auto"/>
        <w:ind w:left="1192" w:right="0" w:hanging="602"/>
        <w:jc w:val="left"/>
        <w:rPr>
          <w:color w:val="auto"/>
          <w:sz w:val="24"/>
        </w:rPr>
      </w:pPr>
      <w:r>
        <w:rPr>
          <w:color w:val="auto"/>
          <w:sz w:val="24"/>
        </w:rPr>
        <w:t>处罚标准</w:t>
      </w:r>
    </w:p>
    <w:p>
      <w:pPr>
        <w:spacing w:before="192" w:line="391" w:lineRule="auto"/>
        <w:ind w:left="591" w:right="3592" w:firstLine="0"/>
        <w:jc w:val="left"/>
        <w:rPr>
          <w:b/>
          <w:color w:val="auto"/>
          <w:sz w:val="24"/>
        </w:rPr>
      </w:pPr>
      <w:r>
        <w:rPr>
          <w:color w:val="auto"/>
          <w:sz w:val="24"/>
        </w:rPr>
        <w:t>责令停业整顿，没收违法所得；通报批准机关。</w:t>
      </w:r>
      <w:bookmarkStart w:id="982" w:name="四百七十九、超出批准范围从事认证活动"/>
      <w:bookmarkEnd w:id="982"/>
      <w:bookmarkStart w:id="983" w:name="_bookmark490"/>
      <w:bookmarkEnd w:id="983"/>
      <w:r>
        <w:rPr>
          <w:b/>
          <w:color w:val="auto"/>
          <w:sz w:val="24"/>
        </w:rPr>
        <w:t>四百七十九、超出批准范围从事认证活动</w:t>
      </w:r>
    </w:p>
    <w:p>
      <w:pPr>
        <w:pStyle w:val="2"/>
        <w:spacing w:line="306" w:lineRule="exact"/>
        <w:rPr>
          <w:color w:val="auto"/>
        </w:rPr>
      </w:pPr>
      <w:r>
        <w:rPr>
          <w:color w:val="auto"/>
        </w:rPr>
        <w:t>（一）处罚依据</w:t>
      </w:r>
    </w:p>
    <w:p>
      <w:pPr>
        <w:pStyle w:val="4"/>
        <w:spacing w:before="192" w:line="391" w:lineRule="auto"/>
        <w:ind w:right="265" w:firstLine="470"/>
        <w:jc w:val="both"/>
        <w:rPr>
          <w:color w:val="auto"/>
        </w:rPr>
      </w:pPr>
      <w:r>
        <w:rPr>
          <w:color w:val="auto"/>
          <w:spacing w:val="-2"/>
        </w:rPr>
        <w:t>《中华人民共和国认证认可条例》第六十条第一款第</w:t>
      </w:r>
      <w:r>
        <w:rPr>
          <w:color w:val="auto"/>
        </w:rPr>
        <w:t>（一</w:t>
      </w:r>
      <w:r>
        <w:rPr>
          <w:color w:val="auto"/>
          <w:spacing w:val="-8"/>
        </w:rPr>
        <w:t>）</w:t>
      </w:r>
      <w:r>
        <w:rPr>
          <w:color w:val="auto"/>
          <w:spacing w:val="-4"/>
        </w:rPr>
        <w:t xml:space="preserve">项“认证机构有下列情形之一的，责令改正，处 </w:t>
      </w:r>
      <w:r>
        <w:rPr>
          <w:color w:val="auto"/>
        </w:rPr>
        <w:t>5</w:t>
      </w:r>
      <w:r>
        <w:rPr>
          <w:color w:val="auto"/>
          <w:spacing w:val="-16"/>
        </w:rPr>
        <w:t xml:space="preserve"> 万元以上 </w:t>
      </w:r>
      <w:r>
        <w:rPr>
          <w:color w:val="auto"/>
        </w:rPr>
        <w:t>20</w:t>
      </w:r>
      <w:r>
        <w:rPr>
          <w:color w:val="auto"/>
          <w:spacing w:val="-7"/>
        </w:rPr>
        <w:t xml:space="preserve"> 万元以下的罚款，有违法所得的，没收违</w:t>
      </w:r>
      <w:r>
        <w:rPr>
          <w:color w:val="auto"/>
          <w:spacing w:val="-6"/>
        </w:rPr>
        <w:t>法所得；情节严重的，责令停业整顿，直至撤销批准文件，并予公布：</w:t>
      </w:r>
      <w:r>
        <w:rPr>
          <w:color w:val="auto"/>
          <w:spacing w:val="-5"/>
        </w:rPr>
        <w:t>（</w:t>
      </w:r>
      <w:r>
        <w:rPr>
          <w:color w:val="auto"/>
        </w:rPr>
        <w:t>一</w:t>
      </w:r>
      <w:r>
        <w:rPr>
          <w:color w:val="auto"/>
          <w:spacing w:val="-5"/>
        </w:rPr>
        <w:t>）</w:t>
      </w:r>
      <w:r>
        <w:rPr>
          <w:color w:val="auto"/>
          <w:spacing w:val="-6"/>
        </w:rPr>
        <w:t>超出批</w:t>
      </w:r>
      <w:r>
        <w:rPr>
          <w:color w:val="auto"/>
        </w:rPr>
        <w:t>准范围从事认证活动的；”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5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line="388" w:lineRule="auto"/>
        <w:ind w:right="269" w:firstLine="480"/>
        <w:rPr>
          <w:color w:val="auto"/>
        </w:rPr>
      </w:pPr>
      <w:r>
        <w:rPr>
          <w:color w:val="auto"/>
        </w:rPr>
        <w:t>有下列情形之一的：1、超出批准范围从事认证活动持续时间较短且违法所得较少的；2、具有其他较轻情节的。</w:t>
      </w:r>
    </w:p>
    <w:p>
      <w:pPr>
        <w:pStyle w:val="13"/>
        <w:numPr>
          <w:ilvl w:val="0"/>
          <w:numId w:val="95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9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万元以下罚款，没收违法所得；通报批准机关。</w:t>
      </w:r>
      <w:r>
        <w:rPr>
          <w:color w:val="auto"/>
        </w:rPr>
        <w:t>2</w:t>
      </w:r>
      <w:r>
        <w:rPr>
          <w:color w:val="auto"/>
          <w:spacing w:val="-24"/>
        </w:rPr>
        <w:t>、【一般】</w:t>
      </w:r>
    </w:p>
    <w:p>
      <w:pPr>
        <w:pStyle w:val="13"/>
        <w:numPr>
          <w:ilvl w:val="0"/>
          <w:numId w:val="95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超出批准范围从事认证活动的。</w:t>
      </w:r>
    </w:p>
    <w:p>
      <w:pPr>
        <w:pStyle w:val="13"/>
        <w:numPr>
          <w:ilvl w:val="0"/>
          <w:numId w:val="95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95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有下列情形之一的：1、超出批准范围从事认证活动持续时间较长的；2、违法所得较多的；3、具有其他较重情节的。</w:t>
      </w:r>
    </w:p>
    <w:p>
      <w:pPr>
        <w:pStyle w:val="13"/>
        <w:numPr>
          <w:ilvl w:val="0"/>
          <w:numId w:val="95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spacing w:val="-30"/>
        </w:rPr>
        <w:t xml:space="preserve">处 </w:t>
      </w:r>
      <w:r>
        <w:rPr>
          <w:color w:val="auto"/>
        </w:rPr>
        <w:t>15</w:t>
      </w:r>
      <w:r>
        <w:rPr>
          <w:color w:val="auto"/>
          <w:spacing w:val="-20"/>
        </w:rPr>
        <w:t xml:space="preserve"> 万元以上 </w:t>
      </w:r>
      <w:r>
        <w:rPr>
          <w:color w:val="auto"/>
        </w:rPr>
        <w:t>20</w:t>
      </w:r>
      <w:r>
        <w:rPr>
          <w:color w:val="auto"/>
          <w:spacing w:val="-16"/>
        </w:rPr>
        <w:t xml:space="preserve"> 万元以下罚款, 没收违法所得；责令停业整顿，通报批准机关。</w:t>
      </w:r>
    </w:p>
    <w:p>
      <w:pPr>
        <w:spacing w:after="0"/>
        <w:rPr>
          <w:color w:val="auto"/>
        </w:rPr>
        <w:sectPr>
          <w:footerReference r:id="rId115" w:type="default"/>
          <w:footerReference r:id="rId116" w:type="even"/>
          <w:pgSz w:w="11910" w:h="16840"/>
          <w:pgMar w:top="1520" w:right="1260" w:bottom="1220" w:left="1420" w:header="0" w:footer="1034" w:gutter="0"/>
          <w:pgNumType w:start="470"/>
        </w:sectPr>
      </w:pPr>
    </w:p>
    <w:p>
      <w:pPr>
        <w:pStyle w:val="2"/>
        <w:spacing w:before="39"/>
        <w:rPr>
          <w:color w:val="auto"/>
        </w:rPr>
      </w:pPr>
      <w:bookmarkStart w:id="984" w:name="_bookmark491"/>
      <w:bookmarkEnd w:id="984"/>
      <w:bookmarkStart w:id="985" w:name="四百八十、认证机构增加、减少、遗漏认证基本规范、认证规则规定的程序"/>
      <w:bookmarkEnd w:id="985"/>
      <w:r>
        <w:rPr>
          <w:color w:val="auto"/>
        </w:rPr>
        <w:t>四百八十、认证机构增加、减少、遗漏认证基本规范、认证规则规定的程序</w:t>
      </w:r>
    </w:p>
    <w:p>
      <w:pPr>
        <w:spacing w:before="195"/>
        <w:ind w:left="591" w:right="0" w:firstLine="0"/>
        <w:jc w:val="left"/>
        <w:rPr>
          <w:b/>
          <w:color w:val="auto"/>
          <w:sz w:val="24"/>
        </w:rPr>
      </w:pPr>
      <w:r>
        <w:rPr>
          <w:b/>
          <w:color w:val="auto"/>
          <w:sz w:val="24"/>
        </w:rPr>
        <w:t>（一）处罚依据</w:t>
      </w:r>
    </w:p>
    <w:p>
      <w:pPr>
        <w:pStyle w:val="4"/>
        <w:spacing w:before="191" w:line="391" w:lineRule="auto"/>
        <w:ind w:right="232" w:firstLine="470"/>
        <w:jc w:val="both"/>
        <w:rPr>
          <w:color w:val="auto"/>
        </w:rPr>
      </w:pPr>
      <w:r>
        <w:rPr>
          <w:color w:val="auto"/>
          <w:spacing w:val="-2"/>
        </w:rPr>
        <w:t>《中华人民共和国认证认可条例》第六十条第一款第</w:t>
      </w:r>
      <w:r>
        <w:rPr>
          <w:color w:val="auto"/>
        </w:rPr>
        <w:t>（二</w:t>
      </w:r>
      <w:r>
        <w:rPr>
          <w:color w:val="auto"/>
          <w:spacing w:val="-8"/>
        </w:rPr>
        <w:t>）</w:t>
      </w:r>
      <w:r>
        <w:rPr>
          <w:color w:val="auto"/>
          <w:spacing w:val="-3"/>
        </w:rPr>
        <w:t>项“认证机构有下列</w:t>
      </w:r>
      <w:r>
        <w:rPr>
          <w:color w:val="auto"/>
          <w:spacing w:val="-7"/>
        </w:rPr>
        <w:t xml:space="preserve">情形之一的，责令改正，处 </w:t>
      </w:r>
      <w:r>
        <w:rPr>
          <w:color w:val="auto"/>
        </w:rPr>
        <w:t>5</w:t>
      </w:r>
      <w:r>
        <w:rPr>
          <w:color w:val="auto"/>
          <w:spacing w:val="-16"/>
        </w:rPr>
        <w:t xml:space="preserve"> 万元以上 </w:t>
      </w:r>
      <w:r>
        <w:rPr>
          <w:color w:val="auto"/>
        </w:rPr>
        <w:t>20</w:t>
      </w:r>
      <w:r>
        <w:rPr>
          <w:color w:val="auto"/>
          <w:spacing w:val="-7"/>
        </w:rPr>
        <w:t xml:space="preserve"> 万元以下的罚款，有违法所得的，没收违法所得；情节严重的，责令停业整顿，直至撤销批准文件，并予公布：（二）</w:t>
      </w:r>
      <w:r>
        <w:rPr>
          <w:color w:val="auto"/>
          <w:spacing w:val="-11"/>
        </w:rPr>
        <w:t>增加、</w:t>
      </w:r>
      <w:r>
        <w:rPr>
          <w:color w:val="auto"/>
        </w:rPr>
        <w:t>减少、遗漏认证基本规范、认证规则规定的程序的；”</w:t>
      </w:r>
    </w:p>
    <w:p>
      <w:pPr>
        <w:numPr>
          <w:ilvl w:val="0"/>
          <w:numId w:val="954"/>
        </w:numPr>
        <w:spacing w:before="0" w:line="391" w:lineRule="auto"/>
        <w:ind w:left="591" w:right="6948" w:firstLine="0"/>
        <w:jc w:val="left"/>
        <w:rPr>
          <w:b/>
          <w:color w:val="auto"/>
          <w:sz w:val="24"/>
        </w:rPr>
      </w:pPr>
      <w:r>
        <w:rPr>
          <w:b/>
          <w:color w:val="auto"/>
          <w:sz w:val="24"/>
        </w:rPr>
        <w:t>裁量标准</w:t>
      </w:r>
    </w:p>
    <w:p>
      <w:pPr>
        <w:numPr>
          <w:ilvl w:val="0"/>
          <w:numId w:val="0"/>
        </w:numPr>
        <w:spacing w:before="0" w:line="391" w:lineRule="auto"/>
        <w:ind w:left="591" w:leftChars="0" w:right="6948" w:rightChars="0"/>
        <w:jc w:val="left"/>
        <w:rPr>
          <w:rFonts w:hint="default" w:eastAsia="宋体"/>
          <w:color w:val="auto"/>
          <w:sz w:val="24"/>
          <w:lang w:val="en-US" w:eastAsia="zh-CN"/>
        </w:rPr>
      </w:pPr>
      <w:r>
        <w:rPr>
          <w:rFonts w:hint="eastAsia"/>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情节轻微且不影响认证结论的客观、真实或者认证有效性；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自行改正或者在行政机关责令限期改正的期限内改正；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违法情节轻微，未造成危害后果；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没有违法所得 </w:t>
      </w:r>
    </w:p>
    <w:p>
      <w:pPr>
        <w:numPr>
          <w:ilvl w:val="0"/>
          <w:numId w:val="0"/>
        </w:numPr>
        <w:spacing w:before="0" w:line="391"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13"/>
        <w:numPr>
          <w:ilvl w:val="0"/>
          <w:numId w:val="95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line="391" w:lineRule="auto"/>
        <w:ind w:right="269" w:firstLine="480"/>
        <w:rPr>
          <w:color w:val="auto"/>
        </w:rPr>
      </w:pPr>
      <w:r>
        <w:rPr>
          <w:color w:val="auto"/>
        </w:rPr>
        <w:t>有下列情形之一的：1、现场审核增加、减少、遗漏个别规定的认证程序是审核员的个人行为的；2、具有其他较轻情节的。</w:t>
      </w:r>
    </w:p>
    <w:p>
      <w:pPr>
        <w:pStyle w:val="13"/>
        <w:numPr>
          <w:ilvl w:val="0"/>
          <w:numId w:val="95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万元以下罚款， 没收违法所得；通报批准机关。</w:t>
      </w:r>
      <w:r>
        <w:rPr>
          <w:rFonts w:hint="eastAsia"/>
          <w:color w:val="auto"/>
          <w:lang w:val="en-US" w:eastAsia="zh-CN"/>
        </w:rPr>
        <w:t>3</w:t>
      </w:r>
      <w:r>
        <w:rPr>
          <w:color w:val="auto"/>
          <w:spacing w:val="-24"/>
        </w:rPr>
        <w:t>、【一般】</w:t>
      </w:r>
    </w:p>
    <w:p>
      <w:pPr>
        <w:pStyle w:val="13"/>
        <w:numPr>
          <w:ilvl w:val="0"/>
          <w:numId w:val="95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增加、减少、遗漏认证基本规范、认证规则规定的程序的。</w:t>
      </w:r>
    </w:p>
    <w:p>
      <w:pPr>
        <w:pStyle w:val="13"/>
        <w:numPr>
          <w:ilvl w:val="0"/>
          <w:numId w:val="95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万元以下罚款，没收违法所得；通报批准机关。</w:t>
      </w:r>
      <w:r>
        <w:rPr>
          <w:rFonts w:hint="eastAsia"/>
          <w:color w:val="auto"/>
          <w:lang w:val="en-US" w:eastAsia="zh-CN"/>
        </w:rPr>
        <w:t>4</w:t>
      </w:r>
      <w:r>
        <w:rPr>
          <w:color w:val="auto"/>
          <w:spacing w:val="-24"/>
        </w:rPr>
        <w:t>、【较重】</w:t>
      </w:r>
    </w:p>
    <w:p>
      <w:pPr>
        <w:pStyle w:val="13"/>
        <w:numPr>
          <w:ilvl w:val="0"/>
          <w:numId w:val="95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有下列情形之一的：1、增加、减少、遗漏认证基本规范、认证规则规定的程序涉及项目较多的；2、具有其他较重情节的。</w:t>
      </w:r>
    </w:p>
    <w:p>
      <w:pPr>
        <w:pStyle w:val="13"/>
        <w:numPr>
          <w:ilvl w:val="0"/>
          <w:numId w:val="957"/>
        </w:numPr>
        <w:tabs>
          <w:tab w:val="left" w:pos="1193"/>
        </w:tabs>
        <w:spacing w:before="4" w:after="0" w:line="240" w:lineRule="auto"/>
        <w:ind w:left="1192" w:right="0" w:hanging="602"/>
        <w:jc w:val="left"/>
        <w:rPr>
          <w:color w:val="auto"/>
          <w:sz w:val="24"/>
        </w:rPr>
      </w:pPr>
      <w:r>
        <w:rPr>
          <w:color w:val="auto"/>
          <w:sz w:val="24"/>
        </w:rPr>
        <w:t>处罚标准</w:t>
      </w:r>
    </w:p>
    <w:p>
      <w:pPr>
        <w:spacing w:before="192" w:line="388" w:lineRule="auto"/>
        <w:ind w:left="591" w:right="148" w:firstLine="0"/>
        <w:jc w:val="left"/>
        <w:rPr>
          <w:color w:val="auto"/>
          <w:spacing w:val="-16"/>
          <w:sz w:val="24"/>
        </w:rPr>
      </w:pPr>
      <w:r>
        <w:rPr>
          <w:color w:val="auto"/>
          <w:spacing w:val="-30"/>
          <w:sz w:val="24"/>
        </w:rPr>
        <w:t xml:space="preserve">处 </w:t>
      </w:r>
      <w:r>
        <w:rPr>
          <w:color w:val="auto"/>
          <w:sz w:val="24"/>
        </w:rPr>
        <w:t>15</w:t>
      </w:r>
      <w:r>
        <w:rPr>
          <w:color w:val="auto"/>
          <w:spacing w:val="-20"/>
          <w:sz w:val="24"/>
        </w:rPr>
        <w:t xml:space="preserve"> 万元以上 </w:t>
      </w:r>
      <w:r>
        <w:rPr>
          <w:color w:val="auto"/>
          <w:sz w:val="24"/>
        </w:rPr>
        <w:t>20</w:t>
      </w:r>
      <w:r>
        <w:rPr>
          <w:color w:val="auto"/>
          <w:spacing w:val="-16"/>
          <w:sz w:val="24"/>
        </w:rPr>
        <w:t xml:space="preserve"> 万元以下罚款, 没收违法所得；责令停业整顿，通报批准机关。</w:t>
      </w:r>
      <w:bookmarkStart w:id="986" w:name="四百八十一、未对其认证的产品、服务、管理体系实施有效的跟踪调查，或者发现其认证的"/>
      <w:bookmarkEnd w:id="986"/>
      <w:bookmarkStart w:id="987" w:name="_bookmark492"/>
      <w:bookmarkEnd w:id="987"/>
    </w:p>
    <w:p>
      <w:pPr>
        <w:spacing w:before="192" w:line="388" w:lineRule="auto"/>
        <w:ind w:left="591" w:right="148" w:firstLine="0"/>
        <w:jc w:val="left"/>
        <w:rPr>
          <w:b/>
          <w:color w:val="auto"/>
          <w:sz w:val="24"/>
        </w:rPr>
      </w:pPr>
      <w:r>
        <w:rPr>
          <w:b/>
          <w:color w:val="auto"/>
          <w:spacing w:val="-6"/>
          <w:sz w:val="24"/>
        </w:rPr>
        <w:t>四百八十一、未对其认证的产品、服务、管理体系实施有效的跟踪调查，或者发</w:t>
      </w:r>
    </w:p>
    <w:p>
      <w:pPr>
        <w:pStyle w:val="2"/>
        <w:spacing w:before="4" w:line="388" w:lineRule="auto"/>
        <w:ind w:left="111" w:right="237"/>
        <w:rPr>
          <w:color w:val="auto"/>
        </w:rPr>
      </w:pPr>
      <w:r>
        <w:rPr>
          <w:color w:val="auto"/>
          <w:spacing w:val="-6"/>
        </w:rPr>
        <w:t>现其认证的产品、服务、管理体系不能持续符合认证要求，不及时暂停其使用或者撤销认证证书并予公布</w:t>
      </w:r>
    </w:p>
    <w:p>
      <w:pPr>
        <w:spacing w:before="2"/>
        <w:ind w:left="591" w:right="0" w:firstLine="0"/>
        <w:jc w:val="left"/>
        <w:rPr>
          <w:b/>
          <w:color w:val="auto"/>
          <w:sz w:val="24"/>
        </w:rPr>
      </w:pPr>
      <w:r>
        <w:rPr>
          <w:b/>
          <w:color w:val="auto"/>
          <w:w w:val="95"/>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112" w:firstLine="470"/>
        <w:jc w:val="both"/>
        <w:rPr>
          <w:color w:val="auto"/>
        </w:rPr>
      </w:pPr>
      <w:r>
        <w:rPr>
          <w:color w:val="auto"/>
          <w:spacing w:val="-2"/>
        </w:rPr>
        <w:t>《中华人民共和国认证认可条例》第六十条第一款第</w:t>
      </w:r>
      <w:r>
        <w:rPr>
          <w:color w:val="auto"/>
        </w:rPr>
        <w:t>（三</w:t>
      </w:r>
      <w:r>
        <w:rPr>
          <w:color w:val="auto"/>
          <w:spacing w:val="-8"/>
        </w:rPr>
        <w:t>）</w:t>
      </w:r>
      <w:r>
        <w:rPr>
          <w:color w:val="auto"/>
          <w:spacing w:val="-3"/>
        </w:rPr>
        <w:t>项“认证机构有下列</w:t>
      </w:r>
      <w:r>
        <w:rPr>
          <w:color w:val="auto"/>
          <w:spacing w:val="-7"/>
        </w:rPr>
        <w:t xml:space="preserve">情形之一的，责令改正，处 </w:t>
      </w:r>
      <w:r>
        <w:rPr>
          <w:color w:val="auto"/>
        </w:rPr>
        <w:t>5</w:t>
      </w:r>
      <w:r>
        <w:rPr>
          <w:color w:val="auto"/>
          <w:spacing w:val="-18"/>
        </w:rPr>
        <w:t xml:space="preserve"> 万元以上 </w:t>
      </w:r>
      <w:r>
        <w:rPr>
          <w:color w:val="auto"/>
        </w:rPr>
        <w:t>20</w:t>
      </w:r>
      <w:r>
        <w:rPr>
          <w:color w:val="auto"/>
          <w:spacing w:val="-8"/>
        </w:rPr>
        <w:t xml:space="preserve"> 万元以下的罚款，有违法所得的，没收违</w:t>
      </w:r>
      <w:r>
        <w:rPr>
          <w:color w:val="auto"/>
          <w:spacing w:val="-7"/>
        </w:rPr>
        <w:t>法所得；情节严重的，责令停业整顿，直至撤销批准文件，并予公布：</w:t>
      </w:r>
      <w:r>
        <w:rPr>
          <w:color w:val="auto"/>
          <w:spacing w:val="-5"/>
        </w:rPr>
        <w:t>（</w:t>
      </w:r>
      <w:r>
        <w:rPr>
          <w:color w:val="auto"/>
        </w:rPr>
        <w:t>三</w:t>
      </w:r>
      <w:r>
        <w:rPr>
          <w:color w:val="auto"/>
          <w:spacing w:val="-5"/>
        </w:rPr>
        <w:t>）</w:t>
      </w:r>
      <w:r>
        <w:rPr>
          <w:color w:val="auto"/>
        </w:rPr>
        <w:t>未对其认证的产品、服务、管理体系实施有效的跟踪调查，或者发现其认证的产品、服务、</w:t>
      </w:r>
      <w:r>
        <w:rPr>
          <w:color w:val="auto"/>
          <w:spacing w:val="-6"/>
        </w:rPr>
        <w:t>管理体系不能持续符合认证要求，不及时暂停其使用或者撤销认证证书并予公布的；”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5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line="391" w:lineRule="auto"/>
        <w:ind w:right="269" w:firstLine="480"/>
        <w:jc w:val="both"/>
        <w:rPr>
          <w:color w:val="auto"/>
        </w:rPr>
      </w:pPr>
      <w:r>
        <w:rPr>
          <w:color w:val="auto"/>
        </w:rPr>
        <w:t>有下列情形之一的：1、未对其认证的产品、服务、管理体系实施有效的跟踪调查的，情节较轻的。2、发现其认证的产品、服务、管理体系不符合认证要求，及时暂停其使用或撤销认证证书但未及时公布的。</w:t>
      </w:r>
    </w:p>
    <w:p>
      <w:pPr>
        <w:pStyle w:val="13"/>
        <w:numPr>
          <w:ilvl w:val="0"/>
          <w:numId w:val="958"/>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万元以下罚款， 没收违法所得；通报批准机关。</w:t>
      </w:r>
      <w:r>
        <w:rPr>
          <w:color w:val="auto"/>
        </w:rPr>
        <w:t>2</w:t>
      </w:r>
      <w:r>
        <w:rPr>
          <w:color w:val="auto"/>
          <w:spacing w:val="-24"/>
        </w:rPr>
        <w:t>、【一般】</w:t>
      </w:r>
    </w:p>
    <w:p>
      <w:pPr>
        <w:pStyle w:val="13"/>
        <w:numPr>
          <w:ilvl w:val="0"/>
          <w:numId w:val="95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发现其认证的产品、服务、管理体系不符合认证要求，未及时暂停其使用或撤销认证证书的。</w:t>
      </w:r>
    </w:p>
    <w:p>
      <w:pPr>
        <w:pStyle w:val="13"/>
        <w:numPr>
          <w:ilvl w:val="0"/>
          <w:numId w:val="95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96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145" w:firstLine="480"/>
        <w:rPr>
          <w:color w:val="auto"/>
        </w:rPr>
      </w:pPr>
      <w:r>
        <w:rPr>
          <w:color w:val="auto"/>
          <w:spacing w:val="-2"/>
        </w:rPr>
        <w:t>有下列情形之一的：</w:t>
      </w:r>
      <w:r>
        <w:rPr>
          <w:color w:val="auto"/>
          <w:spacing w:val="-16"/>
        </w:rPr>
        <w:t>1</w:t>
      </w:r>
      <w:r>
        <w:rPr>
          <w:color w:val="auto"/>
          <w:spacing w:val="-7"/>
        </w:rPr>
        <w:t>、未到现场审核即予发证的；</w:t>
      </w:r>
      <w:r>
        <w:rPr>
          <w:color w:val="auto"/>
          <w:spacing w:val="-16"/>
        </w:rPr>
        <w:t>2</w:t>
      </w:r>
      <w:r>
        <w:rPr>
          <w:color w:val="auto"/>
          <w:spacing w:val="-10"/>
        </w:rPr>
        <w:t>、发现其认证的产品、服务、</w:t>
      </w:r>
      <w:r>
        <w:rPr>
          <w:color w:val="auto"/>
        </w:rPr>
        <w:t>管理体系不能符合认证要求，而继续给予合格结论的；3、具有其他较重情节的。</w:t>
      </w:r>
    </w:p>
    <w:p>
      <w:pPr>
        <w:pStyle w:val="13"/>
        <w:numPr>
          <w:ilvl w:val="0"/>
          <w:numId w:val="960"/>
        </w:numPr>
        <w:tabs>
          <w:tab w:val="left" w:pos="1193"/>
        </w:tabs>
        <w:spacing w:before="0" w:after="0" w:line="306" w:lineRule="exact"/>
        <w:ind w:left="1192" w:right="0" w:hanging="602"/>
        <w:jc w:val="left"/>
        <w:rPr>
          <w:color w:val="auto"/>
          <w:sz w:val="24"/>
        </w:rPr>
      </w:pPr>
      <w:r>
        <w:rPr>
          <w:color w:val="auto"/>
          <w:sz w:val="24"/>
        </w:rPr>
        <w:t>处罚标准</w:t>
      </w:r>
    </w:p>
    <w:p>
      <w:pPr>
        <w:spacing w:before="192" w:line="391" w:lineRule="auto"/>
        <w:ind w:left="591" w:right="148" w:firstLine="0"/>
        <w:jc w:val="left"/>
        <w:rPr>
          <w:b/>
          <w:color w:val="auto"/>
          <w:sz w:val="24"/>
        </w:rPr>
      </w:pPr>
      <w:r>
        <w:rPr>
          <w:color w:val="auto"/>
          <w:spacing w:val="-30"/>
          <w:sz w:val="24"/>
        </w:rPr>
        <w:t xml:space="preserve">处 </w:t>
      </w:r>
      <w:r>
        <w:rPr>
          <w:color w:val="auto"/>
          <w:sz w:val="24"/>
        </w:rPr>
        <w:t>15</w:t>
      </w:r>
      <w:r>
        <w:rPr>
          <w:color w:val="auto"/>
          <w:spacing w:val="-20"/>
          <w:sz w:val="24"/>
        </w:rPr>
        <w:t xml:space="preserve"> 万元以上 </w:t>
      </w:r>
      <w:r>
        <w:rPr>
          <w:color w:val="auto"/>
          <w:sz w:val="24"/>
        </w:rPr>
        <w:t>20</w:t>
      </w:r>
      <w:r>
        <w:rPr>
          <w:color w:val="auto"/>
          <w:spacing w:val="-16"/>
          <w:sz w:val="24"/>
        </w:rPr>
        <w:t xml:space="preserve"> 万元以下罚款, 没收违法所得；责令停业整顿，通报批准机关。</w:t>
      </w:r>
      <w:bookmarkStart w:id="988" w:name="_bookmark493"/>
      <w:bookmarkEnd w:id="988"/>
      <w:bookmarkStart w:id="989" w:name="四百八十二、聘用未经认可机构注册的人员从事认证活动"/>
      <w:bookmarkEnd w:id="989"/>
      <w:r>
        <w:rPr>
          <w:b/>
          <w:color w:val="auto"/>
          <w:sz w:val="24"/>
        </w:rPr>
        <w:t>四百八十二、聘用未经认可机构注册的人员从事认证活动</w:t>
      </w:r>
    </w:p>
    <w:p>
      <w:pPr>
        <w:pStyle w:val="2"/>
        <w:spacing w:line="306" w:lineRule="exact"/>
        <w:rPr>
          <w:color w:val="auto"/>
        </w:rPr>
      </w:pPr>
      <w:r>
        <w:rPr>
          <w:color w:val="auto"/>
        </w:rPr>
        <w:t>（一）处罚依据</w:t>
      </w:r>
    </w:p>
    <w:p>
      <w:pPr>
        <w:pStyle w:val="4"/>
        <w:spacing w:before="192"/>
        <w:ind w:left="581"/>
        <w:rPr>
          <w:color w:val="auto"/>
        </w:rPr>
      </w:pPr>
      <w:r>
        <w:rPr>
          <w:color w:val="auto"/>
        </w:rPr>
        <w:t>《中华人民共和国认证认可条例》第六十条第一款第（四）项“认证机构有下列</w:t>
      </w:r>
    </w:p>
    <w:p>
      <w:pPr>
        <w:spacing w:after="0"/>
        <w:rPr>
          <w:color w:val="auto"/>
        </w:rPr>
        <w:sectPr>
          <w:pgSz w:w="11910" w:h="16840"/>
          <w:pgMar w:top="1520" w:right="1260" w:bottom="1220" w:left="1420" w:header="0" w:footer="1034" w:gutter="0"/>
        </w:sectPr>
      </w:pPr>
    </w:p>
    <w:p>
      <w:pPr>
        <w:pStyle w:val="4"/>
        <w:spacing w:before="39" w:line="391" w:lineRule="auto"/>
        <w:ind w:right="265"/>
        <w:jc w:val="both"/>
        <w:rPr>
          <w:color w:val="auto"/>
        </w:rPr>
      </w:pPr>
      <w:r>
        <w:rPr>
          <w:color w:val="auto"/>
          <w:spacing w:val="-4"/>
        </w:rPr>
        <w:t xml:space="preserve">情形之一的，责令改正，处 </w:t>
      </w:r>
      <w:r>
        <w:rPr>
          <w:color w:val="auto"/>
        </w:rPr>
        <w:t>5</w:t>
      </w:r>
      <w:r>
        <w:rPr>
          <w:color w:val="auto"/>
          <w:spacing w:val="-16"/>
        </w:rPr>
        <w:t xml:space="preserve"> 万元以上 </w:t>
      </w:r>
      <w:r>
        <w:rPr>
          <w:color w:val="auto"/>
        </w:rPr>
        <w:t>20</w:t>
      </w:r>
      <w:r>
        <w:rPr>
          <w:color w:val="auto"/>
          <w:spacing w:val="-7"/>
        </w:rPr>
        <w:t xml:space="preserve"> 万元以下的罚款，有违法所得的，没收违</w:t>
      </w:r>
      <w:r>
        <w:rPr>
          <w:color w:val="auto"/>
          <w:spacing w:val="-6"/>
        </w:rPr>
        <w:t>法所得；情节严重的，责令停业整顿，直至撤销批准文件，并予公布：</w:t>
      </w:r>
      <w:r>
        <w:rPr>
          <w:color w:val="auto"/>
          <w:spacing w:val="-5"/>
        </w:rPr>
        <w:t>（</w:t>
      </w:r>
      <w:r>
        <w:rPr>
          <w:color w:val="auto"/>
        </w:rPr>
        <w:t>四</w:t>
      </w:r>
      <w:r>
        <w:rPr>
          <w:color w:val="auto"/>
          <w:spacing w:val="-5"/>
        </w:rPr>
        <w:t>）</w:t>
      </w:r>
      <w:r>
        <w:rPr>
          <w:color w:val="auto"/>
          <w:spacing w:val="-6"/>
        </w:rPr>
        <w:t>聘用未</w:t>
      </w:r>
      <w:r>
        <w:rPr>
          <w:color w:val="auto"/>
        </w:rPr>
        <w:t>经认可机构注册的人员从事认证活动的。”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6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聘用未经认可机构注册的人员从事认证活动 1 人且违法行为持续时间较短的。</w:t>
      </w:r>
    </w:p>
    <w:p>
      <w:pPr>
        <w:pStyle w:val="13"/>
        <w:numPr>
          <w:ilvl w:val="0"/>
          <w:numId w:val="96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9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万元以下罚款，没收违法所得；通报批准机关。</w:t>
      </w:r>
      <w:r>
        <w:rPr>
          <w:color w:val="auto"/>
        </w:rPr>
        <w:t>2</w:t>
      </w:r>
      <w:r>
        <w:rPr>
          <w:color w:val="auto"/>
          <w:spacing w:val="-24"/>
        </w:rPr>
        <w:t>、【一般】</w:t>
      </w:r>
    </w:p>
    <w:p>
      <w:pPr>
        <w:pStyle w:val="13"/>
        <w:numPr>
          <w:ilvl w:val="0"/>
          <w:numId w:val="962"/>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有下列情形之一的：聘用未经认可机构注册的人员从事认证活动人数较少或违法行为持续时间较短的。</w:t>
      </w:r>
    </w:p>
    <w:p>
      <w:pPr>
        <w:pStyle w:val="13"/>
        <w:numPr>
          <w:ilvl w:val="0"/>
          <w:numId w:val="962"/>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96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有下列情形之一的：1、聘用未经认可机构注册的人员从事认证活动多人；2、违法行为持续时间较长；3、具有其他较重情节的。</w:t>
      </w:r>
    </w:p>
    <w:p>
      <w:pPr>
        <w:pStyle w:val="13"/>
        <w:numPr>
          <w:ilvl w:val="0"/>
          <w:numId w:val="963"/>
        </w:numPr>
        <w:tabs>
          <w:tab w:val="left" w:pos="1193"/>
        </w:tabs>
        <w:spacing w:before="4" w:after="0" w:line="240" w:lineRule="auto"/>
        <w:ind w:left="1192" w:right="0" w:hanging="602"/>
        <w:jc w:val="left"/>
        <w:rPr>
          <w:color w:val="auto"/>
          <w:sz w:val="24"/>
        </w:rPr>
      </w:pPr>
      <w:r>
        <w:rPr>
          <w:color w:val="auto"/>
          <w:sz w:val="24"/>
        </w:rPr>
        <w:t>处罚标准</w:t>
      </w:r>
    </w:p>
    <w:p>
      <w:pPr>
        <w:spacing w:before="192" w:line="388" w:lineRule="auto"/>
        <w:ind w:left="591" w:right="148" w:firstLine="0"/>
        <w:jc w:val="left"/>
        <w:rPr>
          <w:b/>
          <w:color w:val="auto"/>
          <w:sz w:val="24"/>
        </w:rPr>
      </w:pPr>
      <w:r>
        <w:rPr>
          <w:color w:val="auto"/>
          <w:spacing w:val="-30"/>
          <w:sz w:val="24"/>
        </w:rPr>
        <w:t xml:space="preserve">处 </w:t>
      </w:r>
      <w:r>
        <w:rPr>
          <w:color w:val="auto"/>
          <w:sz w:val="24"/>
        </w:rPr>
        <w:t>15</w:t>
      </w:r>
      <w:r>
        <w:rPr>
          <w:color w:val="auto"/>
          <w:spacing w:val="-20"/>
          <w:sz w:val="24"/>
        </w:rPr>
        <w:t xml:space="preserve"> 万元以上 </w:t>
      </w:r>
      <w:r>
        <w:rPr>
          <w:color w:val="auto"/>
          <w:sz w:val="24"/>
        </w:rPr>
        <w:t>20</w:t>
      </w:r>
      <w:r>
        <w:rPr>
          <w:color w:val="auto"/>
          <w:spacing w:val="-16"/>
          <w:sz w:val="24"/>
        </w:rPr>
        <w:t xml:space="preserve"> 万元以下罚款, 没收违法所得；责令停业整顿，通报批准机关。</w:t>
      </w:r>
      <w:bookmarkStart w:id="990" w:name="_bookmark494"/>
      <w:bookmarkEnd w:id="990"/>
      <w:bookmarkStart w:id="991" w:name="四百八十三、与认证有关的检查机构、实验室增加、减少、遗漏认证基本规范、认证规则规"/>
      <w:bookmarkEnd w:id="991"/>
      <w:r>
        <w:rPr>
          <w:b/>
          <w:color w:val="auto"/>
          <w:sz w:val="24"/>
        </w:rPr>
        <w:t>四百八十三、与认证有关的检查机构、实验室增加、减少、遗漏认证基本规范、</w:t>
      </w:r>
    </w:p>
    <w:p>
      <w:pPr>
        <w:pStyle w:val="2"/>
        <w:spacing w:before="5"/>
        <w:ind w:left="111"/>
        <w:rPr>
          <w:color w:val="auto"/>
        </w:rPr>
      </w:pPr>
      <w:r>
        <w:rPr>
          <w:color w:val="auto"/>
          <w:w w:val="95"/>
        </w:rPr>
        <w:t>认证规则规定的程序</w:t>
      </w:r>
    </w:p>
    <w:p>
      <w:pPr>
        <w:spacing w:before="191"/>
        <w:ind w:left="591" w:right="0" w:firstLine="0"/>
        <w:jc w:val="left"/>
        <w:rPr>
          <w:b/>
          <w:color w:val="auto"/>
          <w:sz w:val="24"/>
        </w:rPr>
      </w:pPr>
      <w:r>
        <w:rPr>
          <w:b/>
          <w:color w:val="auto"/>
          <w:w w:val="95"/>
          <w:sz w:val="24"/>
        </w:rPr>
        <w:t>（一）处罚依据</w:t>
      </w:r>
    </w:p>
    <w:p>
      <w:pPr>
        <w:pStyle w:val="4"/>
        <w:spacing w:before="192" w:line="391" w:lineRule="auto"/>
        <w:ind w:right="146" w:firstLine="470"/>
        <w:rPr>
          <w:color w:val="auto"/>
        </w:rPr>
      </w:pPr>
      <w:r>
        <w:rPr>
          <w:color w:val="auto"/>
        </w:rPr>
        <w:t>1</w:t>
      </w:r>
      <w:r>
        <w:rPr>
          <w:color w:val="auto"/>
          <w:spacing w:val="-7"/>
        </w:rPr>
        <w:t>、《中华人民共和国认证认可条例》第六十条第二款“与认证有关的检查机构、</w:t>
      </w:r>
      <w:r>
        <w:rPr>
          <w:color w:val="auto"/>
          <w:spacing w:val="-22"/>
        </w:rPr>
        <w:t>实验室增加、减少、遗漏认证基本规范、认证规则规定的程序的，依照前款规定处罚。”</w:t>
      </w:r>
    </w:p>
    <w:p>
      <w:pPr>
        <w:pStyle w:val="4"/>
        <w:spacing w:line="388" w:lineRule="auto"/>
        <w:ind w:right="148" w:firstLine="470"/>
        <w:rPr>
          <w:color w:val="auto"/>
        </w:rPr>
      </w:pPr>
      <w:r>
        <w:rPr>
          <w:color w:val="auto"/>
        </w:rPr>
        <w:t>2</w:t>
      </w:r>
      <w:r>
        <w:rPr>
          <w:color w:val="auto"/>
          <w:spacing w:val="-6"/>
        </w:rPr>
        <w:t>、《中华人民共和国认证认可条例》第六十条第一款 “认证机构有下列情形之</w:t>
      </w:r>
      <w:r>
        <w:rPr>
          <w:color w:val="auto"/>
          <w:spacing w:val="-12"/>
        </w:rPr>
        <w:t xml:space="preserve">一的，责令改正，处 </w:t>
      </w:r>
      <w:r>
        <w:rPr>
          <w:color w:val="auto"/>
        </w:rPr>
        <w:t>5</w:t>
      </w:r>
      <w:r>
        <w:rPr>
          <w:color w:val="auto"/>
          <w:spacing w:val="-20"/>
        </w:rPr>
        <w:t xml:space="preserve"> 万元以上 </w:t>
      </w:r>
      <w:r>
        <w:rPr>
          <w:color w:val="auto"/>
        </w:rPr>
        <w:t>20</w:t>
      </w:r>
      <w:r>
        <w:rPr>
          <w:color w:val="auto"/>
          <w:spacing w:val="-10"/>
        </w:rPr>
        <w:t xml:space="preserve"> 万元以下的罚款，有违法所得的，没收违法所得；</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情节严重的，责令停业整顿，直至撤销批准文件，并予公布。”</w:t>
      </w:r>
    </w:p>
    <w:p>
      <w:pPr>
        <w:spacing w:before="195"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6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有下列情形之一的：1、现场审核增加、减少、遗漏个别规定的认证程序是审核员的个人行为的；2、具有其他较轻情节的。</w:t>
      </w:r>
    </w:p>
    <w:p>
      <w:pPr>
        <w:pStyle w:val="13"/>
        <w:numPr>
          <w:ilvl w:val="0"/>
          <w:numId w:val="96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9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万元以下罚款，没收违法所得；通报批准机关。</w:t>
      </w:r>
      <w:r>
        <w:rPr>
          <w:color w:val="auto"/>
        </w:rPr>
        <w:t>2</w:t>
      </w:r>
      <w:r>
        <w:rPr>
          <w:color w:val="auto"/>
          <w:spacing w:val="-24"/>
        </w:rPr>
        <w:t>、【一般】</w:t>
      </w:r>
    </w:p>
    <w:p>
      <w:pPr>
        <w:pStyle w:val="13"/>
        <w:numPr>
          <w:ilvl w:val="0"/>
          <w:numId w:val="96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增加、减少、遗漏认证基本规范、认证规则规定的程序的。</w:t>
      </w:r>
    </w:p>
    <w:p>
      <w:pPr>
        <w:pStyle w:val="13"/>
        <w:numPr>
          <w:ilvl w:val="0"/>
          <w:numId w:val="96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96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69" w:firstLine="480"/>
        <w:rPr>
          <w:color w:val="auto"/>
        </w:rPr>
      </w:pPr>
      <w:r>
        <w:rPr>
          <w:color w:val="auto"/>
        </w:rPr>
        <w:t>有下列情形之一的：1、增加、减少、遗漏认证基本规范、认证规则规定的程序涉及项目较多的；2、具有其他严重情节的。</w:t>
      </w:r>
    </w:p>
    <w:p>
      <w:pPr>
        <w:pStyle w:val="13"/>
        <w:numPr>
          <w:ilvl w:val="0"/>
          <w:numId w:val="966"/>
        </w:numPr>
        <w:tabs>
          <w:tab w:val="left" w:pos="1193"/>
        </w:tabs>
        <w:spacing w:before="0" w:after="0" w:line="306" w:lineRule="exact"/>
        <w:ind w:left="1192" w:right="0" w:hanging="602"/>
        <w:jc w:val="left"/>
        <w:rPr>
          <w:color w:val="auto"/>
          <w:sz w:val="24"/>
        </w:rPr>
      </w:pPr>
      <w:r>
        <w:rPr>
          <w:color w:val="auto"/>
          <w:sz w:val="24"/>
        </w:rPr>
        <w:t>处罚标准</w:t>
      </w:r>
    </w:p>
    <w:p>
      <w:pPr>
        <w:spacing w:before="192" w:line="391" w:lineRule="auto"/>
        <w:ind w:left="591" w:right="148" w:firstLine="0"/>
        <w:jc w:val="left"/>
        <w:rPr>
          <w:b/>
          <w:color w:val="auto"/>
          <w:sz w:val="24"/>
        </w:rPr>
      </w:pPr>
      <w:r>
        <w:rPr>
          <w:color w:val="auto"/>
          <w:spacing w:val="-30"/>
          <w:sz w:val="24"/>
        </w:rPr>
        <w:t xml:space="preserve">处 </w:t>
      </w:r>
      <w:r>
        <w:rPr>
          <w:color w:val="auto"/>
          <w:sz w:val="24"/>
        </w:rPr>
        <w:t>15</w:t>
      </w:r>
      <w:r>
        <w:rPr>
          <w:color w:val="auto"/>
          <w:spacing w:val="-20"/>
          <w:sz w:val="24"/>
        </w:rPr>
        <w:t xml:space="preserve"> 万元以上 </w:t>
      </w:r>
      <w:r>
        <w:rPr>
          <w:color w:val="auto"/>
          <w:sz w:val="24"/>
        </w:rPr>
        <w:t>20</w:t>
      </w:r>
      <w:r>
        <w:rPr>
          <w:color w:val="auto"/>
          <w:spacing w:val="-16"/>
          <w:sz w:val="24"/>
        </w:rPr>
        <w:t xml:space="preserve"> 万元以下罚款, 没收违法所得；责令停业整顿，通报批准机关。</w:t>
      </w:r>
      <w:bookmarkStart w:id="992" w:name="_bookmark495"/>
      <w:bookmarkEnd w:id="992"/>
      <w:bookmarkStart w:id="993" w:name="四百八十四、以委托人未参加认证咨询或者认证培训等为理由，拒绝提供本认证机构业务范"/>
      <w:bookmarkEnd w:id="993"/>
      <w:r>
        <w:rPr>
          <w:b/>
          <w:color w:val="auto"/>
          <w:spacing w:val="-7"/>
          <w:sz w:val="24"/>
        </w:rPr>
        <w:t>四百八十四、以委托人未参加认证咨询或者认证培训等为理由，拒绝提供本认证</w:t>
      </w:r>
    </w:p>
    <w:p>
      <w:pPr>
        <w:pStyle w:val="2"/>
        <w:spacing w:line="306" w:lineRule="exact"/>
        <w:ind w:left="111"/>
        <w:rPr>
          <w:color w:val="auto"/>
        </w:rPr>
      </w:pPr>
      <w:r>
        <w:rPr>
          <w:color w:val="auto"/>
          <w:spacing w:val="-6"/>
          <w:w w:val="95"/>
        </w:rPr>
        <w:t>机构业务范围内的认证服务，或者向委托人提出与认证活动无关的要求或者限制条件</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rPr>
          <w:color w:val="auto"/>
        </w:rPr>
      </w:pPr>
      <w:r>
        <w:rPr>
          <w:color w:val="auto"/>
          <w:spacing w:val="-2"/>
        </w:rPr>
        <w:t>《中华人民共和国认证认可条例》第六十一条第一款第</w:t>
      </w:r>
      <w:r>
        <w:rPr>
          <w:color w:val="auto"/>
        </w:rPr>
        <w:t>（一</w:t>
      </w:r>
      <w:r>
        <w:rPr>
          <w:color w:val="auto"/>
          <w:spacing w:val="-8"/>
        </w:rPr>
        <w:t>）</w:t>
      </w:r>
      <w:r>
        <w:rPr>
          <w:color w:val="auto"/>
          <w:spacing w:val="-5"/>
        </w:rPr>
        <w:t>项“认证机构有下</w:t>
      </w:r>
      <w:r>
        <w:rPr>
          <w:color w:val="auto"/>
          <w:spacing w:val="-2"/>
        </w:rPr>
        <w:t xml:space="preserve">列情形之一的，责令限期改正；逾期未改正的，处 </w:t>
      </w:r>
      <w:r>
        <w:rPr>
          <w:color w:val="auto"/>
        </w:rPr>
        <w:t>2</w:t>
      </w:r>
      <w:r>
        <w:rPr>
          <w:color w:val="auto"/>
          <w:spacing w:val="-16"/>
        </w:rPr>
        <w:t xml:space="preserve"> 万元以上 </w:t>
      </w:r>
      <w:r>
        <w:rPr>
          <w:color w:val="auto"/>
        </w:rPr>
        <w:t>10</w:t>
      </w:r>
      <w:r>
        <w:rPr>
          <w:color w:val="auto"/>
          <w:spacing w:val="-7"/>
        </w:rPr>
        <w:t xml:space="preserve"> 万元以下的罚款：</w:t>
      </w:r>
    </w:p>
    <w:p>
      <w:pPr>
        <w:pStyle w:val="4"/>
        <w:spacing w:before="2" w:line="391" w:lineRule="auto"/>
        <w:ind w:right="213"/>
        <w:rPr>
          <w:color w:val="auto"/>
        </w:rPr>
      </w:pPr>
      <w:r>
        <w:rPr>
          <w:color w:val="auto"/>
        </w:rPr>
        <w:t>（一）以委托人未参加认证咨询或者认证培训等为理由，拒绝提供本认证机构业务范围内的认证服务，或者向委托人提出与认证活动无关的要求或者限制条件的。”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967"/>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责令限期改正逾期未改正，但情节轻微的。</w:t>
      </w:r>
    </w:p>
    <w:p>
      <w:pPr>
        <w:pStyle w:val="13"/>
        <w:numPr>
          <w:ilvl w:val="0"/>
          <w:numId w:val="96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2</w:t>
      </w:r>
      <w:r>
        <w:rPr>
          <w:color w:val="auto"/>
          <w:spacing w:val="-24"/>
        </w:rPr>
        <w:t>、【一般】</w:t>
      </w:r>
    </w:p>
    <w:p>
      <w:pPr>
        <w:pStyle w:val="13"/>
        <w:numPr>
          <w:ilvl w:val="0"/>
          <w:numId w:val="96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责令限期改正逾期未改正的。</w:t>
      </w:r>
    </w:p>
    <w:p>
      <w:pPr>
        <w:pStyle w:val="13"/>
        <w:numPr>
          <w:ilvl w:val="0"/>
          <w:numId w:val="96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272"/>
        <w:rPr>
          <w:color w:val="auto"/>
        </w:rPr>
      </w:pPr>
      <w:r>
        <w:rPr>
          <w:color w:val="auto"/>
          <w:spacing w:val="-30"/>
        </w:rPr>
        <w:t xml:space="preserve">处 </w:t>
      </w:r>
      <w:r>
        <w:rPr>
          <w:color w:val="auto"/>
        </w:rPr>
        <w:t>4</w:t>
      </w:r>
      <w:r>
        <w:rPr>
          <w:color w:val="auto"/>
          <w:spacing w:val="-20"/>
        </w:rPr>
        <w:t xml:space="preserve"> 万元以上 </w:t>
      </w:r>
      <w:r>
        <w:rPr>
          <w:color w:val="auto"/>
        </w:rPr>
        <w:t>7</w:t>
      </w:r>
      <w:r>
        <w:rPr>
          <w:color w:val="auto"/>
          <w:spacing w:val="-10"/>
        </w:rPr>
        <w:t xml:space="preserve"> 万元以下罚款。</w:t>
      </w:r>
      <w:r>
        <w:rPr>
          <w:color w:val="auto"/>
        </w:rPr>
        <w:t>3</w:t>
      </w:r>
      <w:r>
        <w:rPr>
          <w:color w:val="auto"/>
          <w:spacing w:val="-24"/>
        </w:rPr>
        <w:t>、【较重】</w:t>
      </w:r>
    </w:p>
    <w:p>
      <w:pPr>
        <w:pStyle w:val="13"/>
        <w:numPr>
          <w:ilvl w:val="0"/>
          <w:numId w:val="96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有下列情形之一的：1、拒不整改的；2、具有其他较重情节的。</w:t>
      </w:r>
    </w:p>
    <w:p>
      <w:pPr>
        <w:pStyle w:val="13"/>
        <w:numPr>
          <w:ilvl w:val="0"/>
          <w:numId w:val="96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处 7 万元以上 10 万元以下罚款。</w:t>
      </w:r>
    </w:p>
    <w:p>
      <w:pPr>
        <w:pStyle w:val="2"/>
        <w:spacing w:before="192" w:line="388" w:lineRule="auto"/>
        <w:ind w:left="111" w:right="193" w:firstLine="480"/>
        <w:rPr>
          <w:color w:val="auto"/>
        </w:rPr>
      </w:pPr>
      <w:bookmarkStart w:id="994" w:name="_bookmark496"/>
      <w:bookmarkEnd w:id="994"/>
      <w:bookmarkStart w:id="995" w:name="四百八十五、自行制定的认证标志的式样、文字和名称，与国家推行的认证标志相同或者近"/>
      <w:bookmarkEnd w:id="995"/>
      <w:r>
        <w:rPr>
          <w:color w:val="auto"/>
        </w:rPr>
        <w:t>四百八十五、自行制定的认证标志的式样、文字和名称，与国家推行的认证标志相同或者近似，或者妨碍社会管理，或者有损社会道德风尚</w:t>
      </w:r>
    </w:p>
    <w:p>
      <w:pPr>
        <w:spacing w:before="5"/>
        <w:ind w:left="591" w:right="0" w:firstLine="0"/>
        <w:jc w:val="left"/>
        <w:rPr>
          <w:b/>
          <w:color w:val="auto"/>
          <w:sz w:val="24"/>
        </w:rPr>
      </w:pPr>
      <w:r>
        <w:rPr>
          <w:b/>
          <w:color w:val="auto"/>
          <w:sz w:val="24"/>
        </w:rPr>
        <w:t>（一）处罚依据</w:t>
      </w:r>
    </w:p>
    <w:p>
      <w:pPr>
        <w:pStyle w:val="4"/>
        <w:spacing w:before="191" w:line="388" w:lineRule="auto"/>
        <w:ind w:right="268" w:firstLine="470"/>
        <w:rPr>
          <w:color w:val="auto"/>
        </w:rPr>
      </w:pPr>
      <w:r>
        <w:rPr>
          <w:color w:val="auto"/>
          <w:spacing w:val="-2"/>
        </w:rPr>
        <w:t>《中华人民共和国认证认可条例》第六十一条第一款第</w:t>
      </w:r>
      <w:r>
        <w:rPr>
          <w:color w:val="auto"/>
        </w:rPr>
        <w:t>（二</w:t>
      </w:r>
      <w:r>
        <w:rPr>
          <w:color w:val="auto"/>
          <w:spacing w:val="-8"/>
        </w:rPr>
        <w:t>）</w:t>
      </w:r>
      <w:r>
        <w:rPr>
          <w:color w:val="auto"/>
          <w:spacing w:val="-5"/>
        </w:rPr>
        <w:t>项“认证机构有下</w:t>
      </w:r>
      <w:r>
        <w:rPr>
          <w:color w:val="auto"/>
          <w:spacing w:val="-2"/>
        </w:rPr>
        <w:t xml:space="preserve">列情形之一的，责令限期改正；逾期未改正的，处 </w:t>
      </w:r>
      <w:r>
        <w:rPr>
          <w:color w:val="auto"/>
        </w:rPr>
        <w:t>2</w:t>
      </w:r>
      <w:r>
        <w:rPr>
          <w:color w:val="auto"/>
          <w:spacing w:val="-16"/>
        </w:rPr>
        <w:t xml:space="preserve"> 万元以上 </w:t>
      </w:r>
      <w:r>
        <w:rPr>
          <w:color w:val="auto"/>
        </w:rPr>
        <w:t>10</w:t>
      </w:r>
      <w:r>
        <w:rPr>
          <w:color w:val="auto"/>
          <w:spacing w:val="-7"/>
        </w:rPr>
        <w:t xml:space="preserve"> 万元以下的罚款：</w:t>
      </w:r>
    </w:p>
    <w:p>
      <w:pPr>
        <w:pStyle w:val="4"/>
        <w:spacing w:before="5" w:line="388" w:lineRule="auto"/>
        <w:ind w:right="213"/>
        <w:rPr>
          <w:color w:val="auto"/>
        </w:rPr>
      </w:pPr>
      <w:r>
        <w:rPr>
          <w:color w:val="auto"/>
        </w:rPr>
        <w:t>（二）自行制定的认证标志的式样、文字和名称，与国家推行的认证标志相同或者近似，或者妨碍社会管理，或者有损社会道德风尚的；”</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7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责令限期改正逾期未改正，但情节轻微的。</w:t>
      </w:r>
    </w:p>
    <w:p>
      <w:pPr>
        <w:pStyle w:val="13"/>
        <w:numPr>
          <w:ilvl w:val="0"/>
          <w:numId w:val="97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2</w:t>
      </w:r>
      <w:r>
        <w:rPr>
          <w:color w:val="auto"/>
          <w:spacing w:val="-24"/>
        </w:rPr>
        <w:t>、【一般】</w:t>
      </w:r>
    </w:p>
    <w:p>
      <w:pPr>
        <w:spacing w:after="0" w:line="388" w:lineRule="auto"/>
        <w:rPr>
          <w:color w:val="auto"/>
        </w:rPr>
        <w:sectPr>
          <w:pgSz w:w="11910" w:h="16840"/>
          <w:pgMar w:top="1520" w:right="1260" w:bottom="1220" w:left="1420" w:header="0" w:footer="1034" w:gutter="0"/>
        </w:sectPr>
      </w:pPr>
    </w:p>
    <w:p>
      <w:pPr>
        <w:pStyle w:val="13"/>
        <w:numPr>
          <w:ilvl w:val="0"/>
          <w:numId w:val="971"/>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责令限期改正逾期未改正的。</w:t>
      </w:r>
    </w:p>
    <w:p>
      <w:pPr>
        <w:pStyle w:val="13"/>
        <w:numPr>
          <w:ilvl w:val="0"/>
          <w:numId w:val="97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4</w:t>
      </w:r>
      <w:r>
        <w:rPr>
          <w:color w:val="auto"/>
          <w:spacing w:val="-20"/>
        </w:rPr>
        <w:t xml:space="preserve"> 万元以上 </w:t>
      </w:r>
      <w:r>
        <w:rPr>
          <w:color w:val="auto"/>
        </w:rPr>
        <w:t>7</w:t>
      </w:r>
      <w:r>
        <w:rPr>
          <w:color w:val="auto"/>
          <w:spacing w:val="-10"/>
        </w:rPr>
        <w:t xml:space="preserve"> 万元以下罚款。</w:t>
      </w:r>
      <w:r>
        <w:rPr>
          <w:color w:val="auto"/>
        </w:rPr>
        <w:t>3</w:t>
      </w:r>
      <w:r>
        <w:rPr>
          <w:color w:val="auto"/>
          <w:spacing w:val="-24"/>
        </w:rPr>
        <w:t>、【较重】</w:t>
      </w:r>
    </w:p>
    <w:p>
      <w:pPr>
        <w:pStyle w:val="13"/>
        <w:numPr>
          <w:ilvl w:val="0"/>
          <w:numId w:val="97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有下列情形之一的：1、拒不整改的；2、具有其他较重情节的。</w:t>
      </w:r>
    </w:p>
    <w:p>
      <w:pPr>
        <w:pStyle w:val="13"/>
        <w:numPr>
          <w:ilvl w:val="0"/>
          <w:numId w:val="97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7 万元以上 10 万元以下罚款。</w:t>
      </w:r>
    </w:p>
    <w:p>
      <w:pPr>
        <w:pStyle w:val="2"/>
        <w:spacing w:before="192"/>
        <w:rPr>
          <w:color w:val="auto"/>
        </w:rPr>
      </w:pPr>
      <w:bookmarkStart w:id="996" w:name="_bookmark497"/>
      <w:bookmarkEnd w:id="996"/>
      <w:bookmarkStart w:id="997" w:name="四百八十六、未公开认证基本规范、认证规则、收费标准等信息"/>
      <w:bookmarkEnd w:id="997"/>
      <w:r>
        <w:rPr>
          <w:color w:val="auto"/>
        </w:rPr>
        <w:t>四百八十六、未公开认证基本规范、认证规则、收费标准等信息</w:t>
      </w:r>
    </w:p>
    <w:p>
      <w:pPr>
        <w:spacing w:before="194"/>
        <w:ind w:left="591" w:right="0" w:firstLine="0"/>
        <w:jc w:val="left"/>
        <w:rPr>
          <w:b/>
          <w:color w:val="auto"/>
          <w:sz w:val="24"/>
        </w:rPr>
      </w:pPr>
      <w:r>
        <w:rPr>
          <w:b/>
          <w:color w:val="auto"/>
          <w:sz w:val="24"/>
        </w:rPr>
        <w:t>（一）处罚依据</w:t>
      </w:r>
    </w:p>
    <w:p>
      <w:pPr>
        <w:pStyle w:val="4"/>
        <w:spacing w:before="192" w:line="388" w:lineRule="auto"/>
        <w:ind w:right="268" w:firstLine="470"/>
        <w:rPr>
          <w:color w:val="auto"/>
        </w:rPr>
      </w:pPr>
      <w:r>
        <w:rPr>
          <w:color w:val="auto"/>
          <w:spacing w:val="-2"/>
        </w:rPr>
        <w:t>《中华人民共和国认证认可条例》第六十一条第一款第</w:t>
      </w:r>
      <w:r>
        <w:rPr>
          <w:color w:val="auto"/>
        </w:rPr>
        <w:t>（三</w:t>
      </w:r>
      <w:r>
        <w:rPr>
          <w:color w:val="auto"/>
          <w:spacing w:val="-8"/>
        </w:rPr>
        <w:t>）</w:t>
      </w:r>
      <w:r>
        <w:rPr>
          <w:color w:val="auto"/>
          <w:spacing w:val="-5"/>
        </w:rPr>
        <w:t>项“认证机构有下</w:t>
      </w:r>
      <w:r>
        <w:rPr>
          <w:color w:val="auto"/>
          <w:spacing w:val="-2"/>
        </w:rPr>
        <w:t xml:space="preserve">列情形之一的，责令限期改正；逾期未改正的，处 </w:t>
      </w:r>
      <w:r>
        <w:rPr>
          <w:color w:val="auto"/>
        </w:rPr>
        <w:t>2</w:t>
      </w:r>
      <w:r>
        <w:rPr>
          <w:color w:val="auto"/>
          <w:spacing w:val="-16"/>
        </w:rPr>
        <w:t xml:space="preserve"> 万元以上 </w:t>
      </w:r>
      <w:r>
        <w:rPr>
          <w:color w:val="auto"/>
        </w:rPr>
        <w:t>10</w:t>
      </w:r>
      <w:r>
        <w:rPr>
          <w:color w:val="auto"/>
          <w:spacing w:val="-7"/>
        </w:rPr>
        <w:t xml:space="preserve"> 万元以下的罚款：</w:t>
      </w:r>
    </w:p>
    <w:p>
      <w:pPr>
        <w:pStyle w:val="4"/>
        <w:spacing w:before="4"/>
        <w:rPr>
          <w:color w:val="auto"/>
        </w:rPr>
      </w:pPr>
      <w:r>
        <w:rPr>
          <w:color w:val="auto"/>
        </w:rPr>
        <w:t>（三）未公开认证基本规范、认证规则、收费标准等信息的；”</w:t>
      </w:r>
    </w:p>
    <w:p>
      <w:pPr>
        <w:spacing w:before="192"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7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责令限期改正逾期未改正，但情节轻微的。</w:t>
      </w:r>
    </w:p>
    <w:p>
      <w:pPr>
        <w:pStyle w:val="13"/>
        <w:numPr>
          <w:ilvl w:val="0"/>
          <w:numId w:val="97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2</w:t>
      </w:r>
      <w:r>
        <w:rPr>
          <w:color w:val="auto"/>
          <w:spacing w:val="-24"/>
        </w:rPr>
        <w:t>、【一般】</w:t>
      </w:r>
    </w:p>
    <w:p>
      <w:pPr>
        <w:pStyle w:val="13"/>
        <w:numPr>
          <w:ilvl w:val="0"/>
          <w:numId w:val="97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责令限期改正逾期未改正的。</w:t>
      </w:r>
    </w:p>
    <w:p>
      <w:pPr>
        <w:pStyle w:val="13"/>
        <w:numPr>
          <w:ilvl w:val="0"/>
          <w:numId w:val="97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4</w:t>
      </w:r>
      <w:r>
        <w:rPr>
          <w:color w:val="auto"/>
          <w:spacing w:val="-20"/>
        </w:rPr>
        <w:t xml:space="preserve"> 万元以上 </w:t>
      </w:r>
      <w:r>
        <w:rPr>
          <w:color w:val="auto"/>
        </w:rPr>
        <w:t>7</w:t>
      </w:r>
      <w:r>
        <w:rPr>
          <w:color w:val="auto"/>
          <w:spacing w:val="-10"/>
        </w:rPr>
        <w:t xml:space="preserve"> 万元以下罚款。</w:t>
      </w:r>
      <w:r>
        <w:rPr>
          <w:color w:val="auto"/>
        </w:rPr>
        <w:t>3</w:t>
      </w:r>
      <w:r>
        <w:rPr>
          <w:color w:val="auto"/>
          <w:spacing w:val="-24"/>
        </w:rPr>
        <w:t>、【较重】</w:t>
      </w:r>
    </w:p>
    <w:p>
      <w:pPr>
        <w:pStyle w:val="13"/>
        <w:numPr>
          <w:ilvl w:val="0"/>
          <w:numId w:val="97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有下列情形之一的：1、拒不整改的；2、具有其他较重情节的。</w:t>
      </w:r>
    </w:p>
    <w:p>
      <w:pPr>
        <w:spacing w:after="0"/>
        <w:rPr>
          <w:color w:val="auto"/>
        </w:rPr>
        <w:sectPr>
          <w:pgSz w:w="11910" w:h="16840"/>
          <w:pgMar w:top="1520" w:right="1260" w:bottom="1220" w:left="1420" w:header="0" w:footer="1034" w:gutter="0"/>
        </w:sectPr>
      </w:pPr>
    </w:p>
    <w:p>
      <w:pPr>
        <w:pStyle w:val="13"/>
        <w:numPr>
          <w:ilvl w:val="0"/>
          <w:numId w:val="975"/>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处 7 万元以上 10 万元以下罚款。</w:t>
      </w:r>
    </w:p>
    <w:p>
      <w:pPr>
        <w:pStyle w:val="2"/>
        <w:spacing w:before="191"/>
        <w:rPr>
          <w:color w:val="auto"/>
        </w:rPr>
      </w:pPr>
      <w:bookmarkStart w:id="998" w:name="四百八十七、未对认证过程作出完整记录、归档留存"/>
      <w:bookmarkEnd w:id="998"/>
      <w:bookmarkStart w:id="999" w:name="_bookmark498"/>
      <w:bookmarkEnd w:id="999"/>
      <w:r>
        <w:rPr>
          <w:color w:val="auto"/>
        </w:rPr>
        <w:t>四百八十七、未对认证过程作出完整记录、归档留存</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rPr>
          <w:color w:val="auto"/>
        </w:rPr>
      </w:pPr>
      <w:r>
        <w:rPr>
          <w:color w:val="auto"/>
          <w:spacing w:val="-2"/>
        </w:rPr>
        <w:t>《中华人民共和国认证认可条例》第六十一条第一款第</w:t>
      </w:r>
      <w:r>
        <w:rPr>
          <w:color w:val="auto"/>
        </w:rPr>
        <w:t>（四</w:t>
      </w:r>
      <w:r>
        <w:rPr>
          <w:color w:val="auto"/>
          <w:spacing w:val="-8"/>
        </w:rPr>
        <w:t>）</w:t>
      </w:r>
      <w:r>
        <w:rPr>
          <w:color w:val="auto"/>
          <w:spacing w:val="-5"/>
        </w:rPr>
        <w:t>项“认证机构有下</w:t>
      </w:r>
      <w:r>
        <w:rPr>
          <w:color w:val="auto"/>
          <w:spacing w:val="-2"/>
        </w:rPr>
        <w:t xml:space="preserve">列情形之一的，责令限期改正；逾期未改正的，处 </w:t>
      </w:r>
      <w:r>
        <w:rPr>
          <w:color w:val="auto"/>
        </w:rPr>
        <w:t>2</w:t>
      </w:r>
      <w:r>
        <w:rPr>
          <w:color w:val="auto"/>
          <w:spacing w:val="-16"/>
        </w:rPr>
        <w:t xml:space="preserve"> 万元以上 </w:t>
      </w:r>
      <w:r>
        <w:rPr>
          <w:color w:val="auto"/>
        </w:rPr>
        <w:t>10</w:t>
      </w:r>
      <w:r>
        <w:rPr>
          <w:color w:val="auto"/>
          <w:spacing w:val="-7"/>
        </w:rPr>
        <w:t xml:space="preserve"> 万元以下的罚款：</w:t>
      </w:r>
    </w:p>
    <w:p>
      <w:pPr>
        <w:pStyle w:val="4"/>
        <w:spacing w:before="2"/>
        <w:rPr>
          <w:color w:val="auto"/>
        </w:rPr>
      </w:pPr>
      <w:r>
        <w:rPr>
          <w:color w:val="auto"/>
        </w:rPr>
        <w:t>（四）未对认证过程作出完整记录，归档留存的；”</w:t>
      </w:r>
    </w:p>
    <w:p>
      <w:pPr>
        <w:spacing w:before="194"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7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责令限期改正逾期未改正，但情节轻微的。</w:t>
      </w:r>
    </w:p>
    <w:p>
      <w:pPr>
        <w:pStyle w:val="13"/>
        <w:numPr>
          <w:ilvl w:val="0"/>
          <w:numId w:val="97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2</w:t>
      </w:r>
      <w:r>
        <w:rPr>
          <w:color w:val="auto"/>
          <w:spacing w:val="-24"/>
        </w:rPr>
        <w:t>、【一般】</w:t>
      </w:r>
    </w:p>
    <w:p>
      <w:pPr>
        <w:pStyle w:val="13"/>
        <w:numPr>
          <w:ilvl w:val="0"/>
          <w:numId w:val="97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责令限期改正逾期未改正的。</w:t>
      </w:r>
    </w:p>
    <w:p>
      <w:pPr>
        <w:pStyle w:val="13"/>
        <w:numPr>
          <w:ilvl w:val="0"/>
          <w:numId w:val="97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272"/>
        <w:rPr>
          <w:color w:val="auto"/>
        </w:rPr>
      </w:pPr>
      <w:r>
        <w:rPr>
          <w:color w:val="auto"/>
          <w:spacing w:val="-30"/>
        </w:rPr>
        <w:t xml:space="preserve">处 </w:t>
      </w:r>
      <w:r>
        <w:rPr>
          <w:color w:val="auto"/>
        </w:rPr>
        <w:t>4</w:t>
      </w:r>
      <w:r>
        <w:rPr>
          <w:color w:val="auto"/>
          <w:spacing w:val="-20"/>
        </w:rPr>
        <w:t xml:space="preserve"> 万元以上 </w:t>
      </w:r>
      <w:r>
        <w:rPr>
          <w:color w:val="auto"/>
        </w:rPr>
        <w:t>7</w:t>
      </w:r>
      <w:r>
        <w:rPr>
          <w:color w:val="auto"/>
          <w:spacing w:val="-10"/>
        </w:rPr>
        <w:t xml:space="preserve"> 万元以下罚款。</w:t>
      </w:r>
      <w:r>
        <w:rPr>
          <w:color w:val="auto"/>
        </w:rPr>
        <w:t>3</w:t>
      </w:r>
      <w:r>
        <w:rPr>
          <w:color w:val="auto"/>
          <w:spacing w:val="-24"/>
        </w:rPr>
        <w:t>、【较重】</w:t>
      </w:r>
    </w:p>
    <w:p>
      <w:pPr>
        <w:pStyle w:val="13"/>
        <w:numPr>
          <w:ilvl w:val="0"/>
          <w:numId w:val="97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有下列情形之一的：1、拒不整改的；2、具有其他严重情形的。</w:t>
      </w:r>
    </w:p>
    <w:p>
      <w:pPr>
        <w:pStyle w:val="13"/>
        <w:numPr>
          <w:ilvl w:val="0"/>
          <w:numId w:val="97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7 万元以上 10 万元以下罚款。</w:t>
      </w:r>
    </w:p>
    <w:p>
      <w:pPr>
        <w:pStyle w:val="2"/>
        <w:spacing w:before="192"/>
        <w:rPr>
          <w:color w:val="auto"/>
        </w:rPr>
      </w:pPr>
      <w:bookmarkStart w:id="1000" w:name="_bookmark499"/>
      <w:bookmarkEnd w:id="1000"/>
      <w:bookmarkStart w:id="1001" w:name="四百八十八、未及时向其认证的委托人出具认证证书"/>
      <w:bookmarkEnd w:id="1001"/>
      <w:r>
        <w:rPr>
          <w:color w:val="auto"/>
        </w:rPr>
        <w:t>四百八十八、未及时向其认证的委托人出具认证证书</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rPr>
          <w:color w:val="auto"/>
        </w:rPr>
      </w:pPr>
      <w:r>
        <w:rPr>
          <w:color w:val="auto"/>
          <w:spacing w:val="-2"/>
        </w:rPr>
        <w:t>《中华人民共和国认证认可条例》第六十一条第一款第</w:t>
      </w:r>
      <w:r>
        <w:rPr>
          <w:color w:val="auto"/>
        </w:rPr>
        <w:t>（五</w:t>
      </w:r>
      <w:r>
        <w:rPr>
          <w:color w:val="auto"/>
          <w:spacing w:val="-8"/>
        </w:rPr>
        <w:t>）</w:t>
      </w:r>
      <w:r>
        <w:rPr>
          <w:color w:val="auto"/>
          <w:spacing w:val="-5"/>
        </w:rPr>
        <w:t>项“认证机构有下</w:t>
      </w:r>
      <w:r>
        <w:rPr>
          <w:color w:val="auto"/>
          <w:spacing w:val="-2"/>
        </w:rPr>
        <w:t xml:space="preserve">列情形之一的，责令限期改正；逾期未改正的，处 </w:t>
      </w:r>
      <w:r>
        <w:rPr>
          <w:color w:val="auto"/>
        </w:rPr>
        <w:t>2</w:t>
      </w:r>
      <w:r>
        <w:rPr>
          <w:color w:val="auto"/>
          <w:spacing w:val="-16"/>
        </w:rPr>
        <w:t xml:space="preserve"> 万元以上 </w:t>
      </w:r>
      <w:r>
        <w:rPr>
          <w:color w:val="auto"/>
        </w:rPr>
        <w:t>10</w:t>
      </w:r>
      <w:r>
        <w:rPr>
          <w:color w:val="auto"/>
          <w:spacing w:val="-7"/>
        </w:rPr>
        <w:t xml:space="preserve"> 万元以下的罚款：</w:t>
      </w:r>
    </w:p>
    <w:p>
      <w:pPr>
        <w:pStyle w:val="4"/>
        <w:spacing w:before="2"/>
        <w:rPr>
          <w:color w:val="auto"/>
        </w:rPr>
      </w:pPr>
      <w:r>
        <w:rPr>
          <w:color w:val="auto"/>
        </w:rPr>
        <w:t>（五）未及时向其认证的委托人出具认证证书的。”</w:t>
      </w:r>
    </w:p>
    <w:p>
      <w:pPr>
        <w:spacing w:after="0"/>
        <w:rPr>
          <w:color w:val="auto"/>
        </w:rPr>
        <w:sectPr>
          <w:pgSz w:w="11910" w:h="16840"/>
          <w:pgMar w:top="1520" w:right="1260" w:bottom="1220" w:left="1420" w:header="0" w:footer="1034" w:gutter="0"/>
        </w:sectPr>
      </w:pPr>
    </w:p>
    <w:p>
      <w:pPr>
        <w:spacing w:before="39"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7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责令限期改正逾期未改正，但情节轻微的。</w:t>
      </w:r>
    </w:p>
    <w:p>
      <w:pPr>
        <w:pStyle w:val="13"/>
        <w:numPr>
          <w:ilvl w:val="0"/>
          <w:numId w:val="97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2</w:t>
      </w:r>
      <w:r>
        <w:rPr>
          <w:color w:val="auto"/>
          <w:spacing w:val="-24"/>
        </w:rPr>
        <w:t>、【一般】</w:t>
      </w:r>
    </w:p>
    <w:p>
      <w:pPr>
        <w:pStyle w:val="13"/>
        <w:numPr>
          <w:ilvl w:val="0"/>
          <w:numId w:val="98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责令限期改正逾期未改正的。</w:t>
      </w:r>
    </w:p>
    <w:p>
      <w:pPr>
        <w:pStyle w:val="13"/>
        <w:numPr>
          <w:ilvl w:val="0"/>
          <w:numId w:val="98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72"/>
        <w:rPr>
          <w:color w:val="auto"/>
        </w:rPr>
      </w:pPr>
      <w:r>
        <w:rPr>
          <w:color w:val="auto"/>
          <w:spacing w:val="-30"/>
        </w:rPr>
        <w:t xml:space="preserve">处 </w:t>
      </w:r>
      <w:r>
        <w:rPr>
          <w:color w:val="auto"/>
        </w:rPr>
        <w:t>4</w:t>
      </w:r>
      <w:r>
        <w:rPr>
          <w:color w:val="auto"/>
          <w:spacing w:val="-20"/>
        </w:rPr>
        <w:t xml:space="preserve"> 万元以上 </w:t>
      </w:r>
      <w:r>
        <w:rPr>
          <w:color w:val="auto"/>
        </w:rPr>
        <w:t>7</w:t>
      </w:r>
      <w:r>
        <w:rPr>
          <w:color w:val="auto"/>
          <w:spacing w:val="-10"/>
        </w:rPr>
        <w:t xml:space="preserve"> 万元以下罚款。</w:t>
      </w:r>
      <w:r>
        <w:rPr>
          <w:color w:val="auto"/>
        </w:rPr>
        <w:t>3</w:t>
      </w:r>
      <w:r>
        <w:rPr>
          <w:color w:val="auto"/>
          <w:spacing w:val="-24"/>
        </w:rPr>
        <w:t>、【较重】</w:t>
      </w:r>
    </w:p>
    <w:p>
      <w:pPr>
        <w:pStyle w:val="13"/>
        <w:numPr>
          <w:ilvl w:val="0"/>
          <w:numId w:val="98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有下列情形之一的：1、拒不整改的；2、具有其他严重情节的。</w:t>
      </w:r>
    </w:p>
    <w:p>
      <w:pPr>
        <w:pStyle w:val="13"/>
        <w:numPr>
          <w:ilvl w:val="0"/>
          <w:numId w:val="98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7 万元以上 10 万元以下罚款。</w:t>
      </w:r>
    </w:p>
    <w:p>
      <w:pPr>
        <w:pStyle w:val="2"/>
        <w:spacing w:before="194" w:line="388" w:lineRule="auto"/>
        <w:ind w:left="111" w:right="193" w:firstLine="480"/>
        <w:rPr>
          <w:color w:val="auto"/>
        </w:rPr>
      </w:pPr>
      <w:bookmarkStart w:id="1002" w:name="四百八十九、与认证有关的检查机构、实验室未对与认证有关的检查、检测过程作出完整记"/>
      <w:bookmarkEnd w:id="1002"/>
      <w:bookmarkStart w:id="1003" w:name="_bookmark500"/>
      <w:bookmarkEnd w:id="1003"/>
      <w:r>
        <w:rPr>
          <w:color w:val="auto"/>
        </w:rPr>
        <w:t>四百八十九、与认证有关的检查机构、实验室未对与认证有关的检查、检测过程作出完整记录、归档留存</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1、《中华人民共和国认证认可条例》第六十一条第二款：“与认证有关的检查</w:t>
      </w:r>
      <w:r>
        <w:rPr>
          <w:color w:val="auto"/>
          <w:spacing w:val="-7"/>
        </w:rPr>
        <w:t>机构、实验室未对与认证有关的检查、检测过程作出完整记录，归档留存的，依照前</w:t>
      </w:r>
      <w:r>
        <w:rPr>
          <w:color w:val="auto"/>
        </w:rPr>
        <w:t>款规定处罚。”</w:t>
      </w:r>
    </w:p>
    <w:p>
      <w:pPr>
        <w:pStyle w:val="4"/>
        <w:spacing w:before="5" w:line="388" w:lineRule="auto"/>
        <w:ind w:right="268" w:firstLine="480"/>
        <w:jc w:val="both"/>
        <w:rPr>
          <w:color w:val="auto"/>
        </w:rPr>
      </w:pPr>
      <w:r>
        <w:rPr>
          <w:color w:val="auto"/>
        </w:rPr>
        <w:t>2、《中华人民共和国认证认可条例》第六十一条第一款“认证机构有下列情形之一的，责令限期改正；逾期未改正的，处 2 万元以上 10 万元以下的罚款：”</w:t>
      </w:r>
    </w:p>
    <w:p>
      <w:pPr>
        <w:spacing w:before="3"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8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责令限期改正逾期未改正，情节较轻的。</w:t>
      </w:r>
    </w:p>
    <w:p>
      <w:pPr>
        <w:spacing w:after="0"/>
        <w:rPr>
          <w:color w:val="auto"/>
        </w:rPr>
        <w:sectPr>
          <w:pgSz w:w="11910" w:h="16840"/>
          <w:pgMar w:top="1520" w:right="1260" w:bottom="1220" w:left="1420" w:header="0" w:footer="1034" w:gutter="0"/>
        </w:sectPr>
      </w:pPr>
    </w:p>
    <w:p>
      <w:pPr>
        <w:pStyle w:val="13"/>
        <w:numPr>
          <w:ilvl w:val="0"/>
          <w:numId w:val="982"/>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2</w:t>
      </w:r>
      <w:r>
        <w:rPr>
          <w:color w:val="auto"/>
          <w:spacing w:val="-24"/>
        </w:rPr>
        <w:t>、【一般】</w:t>
      </w:r>
    </w:p>
    <w:p>
      <w:pPr>
        <w:pStyle w:val="13"/>
        <w:numPr>
          <w:ilvl w:val="0"/>
          <w:numId w:val="98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责令限期改正逾期未改正的。</w:t>
      </w:r>
    </w:p>
    <w:p>
      <w:pPr>
        <w:pStyle w:val="13"/>
        <w:numPr>
          <w:ilvl w:val="0"/>
          <w:numId w:val="98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72"/>
        <w:rPr>
          <w:color w:val="auto"/>
        </w:rPr>
      </w:pPr>
      <w:r>
        <w:rPr>
          <w:color w:val="auto"/>
          <w:spacing w:val="-30"/>
        </w:rPr>
        <w:t xml:space="preserve">处 </w:t>
      </w:r>
      <w:r>
        <w:rPr>
          <w:color w:val="auto"/>
        </w:rPr>
        <w:t>4</w:t>
      </w:r>
      <w:r>
        <w:rPr>
          <w:color w:val="auto"/>
          <w:spacing w:val="-20"/>
        </w:rPr>
        <w:t xml:space="preserve"> 万元以上 </w:t>
      </w:r>
      <w:r>
        <w:rPr>
          <w:color w:val="auto"/>
        </w:rPr>
        <w:t>7</w:t>
      </w:r>
      <w:r>
        <w:rPr>
          <w:color w:val="auto"/>
          <w:spacing w:val="-10"/>
        </w:rPr>
        <w:t xml:space="preserve"> 万元以下罚款。</w:t>
      </w:r>
      <w:r>
        <w:rPr>
          <w:color w:val="auto"/>
        </w:rPr>
        <w:t>3</w:t>
      </w:r>
      <w:r>
        <w:rPr>
          <w:color w:val="auto"/>
          <w:spacing w:val="-24"/>
        </w:rPr>
        <w:t>、【较重】</w:t>
      </w:r>
    </w:p>
    <w:p>
      <w:pPr>
        <w:pStyle w:val="13"/>
        <w:numPr>
          <w:ilvl w:val="0"/>
          <w:numId w:val="98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有下列情形之一的：1、拒不整改的；2、具有其他严重情节的。</w:t>
      </w:r>
    </w:p>
    <w:p>
      <w:pPr>
        <w:pStyle w:val="13"/>
        <w:numPr>
          <w:ilvl w:val="0"/>
          <w:numId w:val="98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7 万元以上 10 万元以下罚款。</w:t>
      </w:r>
    </w:p>
    <w:p>
      <w:pPr>
        <w:pStyle w:val="2"/>
        <w:spacing w:before="191" w:line="391" w:lineRule="auto"/>
        <w:ind w:left="111" w:right="237" w:firstLine="480"/>
        <w:rPr>
          <w:color w:val="auto"/>
        </w:rPr>
      </w:pPr>
      <w:bookmarkStart w:id="1004" w:name="_bookmark501"/>
      <w:bookmarkEnd w:id="1004"/>
      <w:bookmarkStart w:id="1005" w:name="四百九十、认证机构或指定的认证机构出具虚假认证结论，或者出具的认证结论严重失实"/>
      <w:bookmarkEnd w:id="1005"/>
      <w:r>
        <w:rPr>
          <w:color w:val="auto"/>
          <w:spacing w:val="-7"/>
        </w:rPr>
        <w:t>四百九十、认证机构或指定的认证机构出具虚假认证结论，或者出具的认证结论严重失实</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42" w:firstLine="470"/>
        <w:jc w:val="both"/>
        <w:rPr>
          <w:color w:val="auto"/>
        </w:rPr>
      </w:pPr>
      <w:r>
        <w:rPr>
          <w:color w:val="auto"/>
          <w:spacing w:val="-1"/>
        </w:rPr>
        <w:t xml:space="preserve">《中华人民共和国认证认可条例》第六十二条“认证机构出具虚假的认证结论， </w:t>
      </w:r>
      <w:r>
        <w:rPr>
          <w:color w:val="auto"/>
          <w:spacing w:val="-3"/>
        </w:rPr>
        <w:t>或者出具的认证结论严重失实的，撤销批准文件，并予公布；对直接负责的主管人员</w:t>
      </w:r>
      <w:r>
        <w:rPr>
          <w:color w:val="auto"/>
          <w:spacing w:val="-7"/>
        </w:rPr>
        <w:t>和负有直接责任的认证人员，撤销其执业资格；构成犯罪的，依法追究刑事责任；造成损害的，认证机构应当承担相应的赔偿责任。</w:t>
      </w:r>
    </w:p>
    <w:p>
      <w:pPr>
        <w:pStyle w:val="4"/>
        <w:spacing w:line="304" w:lineRule="exact"/>
        <w:ind w:left="581"/>
        <w:rPr>
          <w:color w:val="auto"/>
        </w:rPr>
      </w:pPr>
      <w:r>
        <w:rPr>
          <w:color w:val="auto"/>
        </w:rPr>
        <w:t>指定的认证机构有前款规定的违法行为的，同时撤销指定。”</w:t>
      </w:r>
    </w:p>
    <w:p>
      <w:pPr>
        <w:spacing w:before="192"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8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认证机构或指定的认证机构出具虚假的认证结论，或者出具的认证结论严重失实的。</w:t>
      </w:r>
    </w:p>
    <w:p>
      <w:pPr>
        <w:pStyle w:val="13"/>
        <w:numPr>
          <w:ilvl w:val="0"/>
          <w:numId w:val="985"/>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通报批准机关；造成损害的，认证机构应当承担相应的赔偿责任。</w:t>
      </w:r>
    </w:p>
    <w:p>
      <w:pPr>
        <w:pStyle w:val="2"/>
        <w:spacing w:before="192"/>
        <w:rPr>
          <w:color w:val="auto"/>
        </w:rPr>
      </w:pPr>
      <w:bookmarkStart w:id="1006" w:name="_bookmark502"/>
      <w:bookmarkEnd w:id="1006"/>
      <w:bookmarkStart w:id="1007" w:name="四百九十一、认证人员从事认证活动，不在认证机构执业或者同时在两个以上认证机构执业"/>
      <w:bookmarkEnd w:id="1007"/>
      <w:r>
        <w:rPr>
          <w:color w:val="auto"/>
        </w:rPr>
        <w:t>四百九十一、认证人员从事认证活动，不在认证机构执业或者同时在两个以上认</w:t>
      </w:r>
    </w:p>
    <w:p>
      <w:pPr>
        <w:spacing w:after="0"/>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证机构执业</w:t>
      </w:r>
    </w:p>
    <w:p>
      <w:pPr>
        <w:spacing w:before="195"/>
        <w:ind w:left="591" w:right="0" w:firstLine="0"/>
        <w:jc w:val="left"/>
        <w:rPr>
          <w:b/>
          <w:color w:val="auto"/>
          <w:sz w:val="24"/>
        </w:rPr>
      </w:pPr>
      <w:r>
        <w:rPr>
          <w:b/>
          <w:color w:val="auto"/>
          <w:sz w:val="24"/>
        </w:rPr>
        <w:t>（一）处罚依据</w:t>
      </w:r>
    </w:p>
    <w:p>
      <w:pPr>
        <w:pStyle w:val="4"/>
        <w:spacing w:before="191" w:line="388" w:lineRule="auto"/>
        <w:ind w:right="268" w:firstLine="480"/>
        <w:rPr>
          <w:color w:val="auto"/>
        </w:rPr>
      </w:pPr>
      <w:r>
        <w:rPr>
          <w:color w:val="auto"/>
          <w:spacing w:val="-4"/>
        </w:rPr>
        <w:t xml:space="preserve">《中华人民共和国认证认可条例》第六十三条“认证人员从事认证活动，不在认证机构执业或者同时在两个以上认证机构执业的，责令改正，给予停止执业 </w:t>
      </w:r>
      <w:r>
        <w:rPr>
          <w:color w:val="auto"/>
        </w:rPr>
        <w:t>6</w:t>
      </w:r>
      <w:r>
        <w:rPr>
          <w:color w:val="auto"/>
          <w:spacing w:val="-19"/>
        </w:rPr>
        <w:t xml:space="preserve"> 个月以</w:t>
      </w:r>
    </w:p>
    <w:p>
      <w:pPr>
        <w:pStyle w:val="4"/>
        <w:spacing w:before="5"/>
        <w:rPr>
          <w:color w:val="auto"/>
        </w:rPr>
      </w:pPr>
      <w:r>
        <w:rPr>
          <w:color w:val="auto"/>
        </w:rPr>
        <w:t>上 2 年以下的处罚；仍不改正的，撤销其执业资格。”</w:t>
      </w:r>
    </w:p>
    <w:p>
      <w:pPr>
        <w:spacing w:before="192"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98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认证人员从事认证活动，不在认证机构执业或者同时在两个以上认证机构执业的。</w:t>
      </w:r>
    </w:p>
    <w:p>
      <w:pPr>
        <w:pStyle w:val="13"/>
        <w:numPr>
          <w:ilvl w:val="0"/>
          <w:numId w:val="986"/>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责令改正，并通报批准机关。</w:t>
      </w:r>
    </w:p>
    <w:p>
      <w:pPr>
        <w:pStyle w:val="2"/>
        <w:spacing w:before="192" w:line="391" w:lineRule="auto"/>
        <w:ind w:left="111" w:right="237" w:firstLine="480"/>
        <w:rPr>
          <w:color w:val="auto"/>
        </w:rPr>
      </w:pPr>
      <w:bookmarkStart w:id="1008" w:name="_bookmark503"/>
      <w:bookmarkEnd w:id="1008"/>
      <w:bookmarkStart w:id="1009" w:name="四百九十二、认证机构以及与认证有关的检查机构、实验室未经指定擅自从事列入目录产品"/>
      <w:bookmarkEnd w:id="1009"/>
      <w:r>
        <w:rPr>
          <w:color w:val="auto"/>
          <w:spacing w:val="-8"/>
        </w:rPr>
        <w:t>四百九十二、认证机构以及与认证有关的检查机构、实验室未经指定擅自从事列入目录产品的认证以及与认证有关的检查、检测活动</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32" w:firstLine="470"/>
        <w:jc w:val="both"/>
        <w:rPr>
          <w:color w:val="auto"/>
        </w:rPr>
      </w:pPr>
      <w:r>
        <w:rPr>
          <w:color w:val="auto"/>
          <w:spacing w:val="-2"/>
        </w:rPr>
        <w:t>《中华人民共和国认证认可条例》第六十四条第一款“认证机构以及与认证有关</w:t>
      </w:r>
      <w:r>
        <w:rPr>
          <w:color w:val="auto"/>
          <w:spacing w:val="-3"/>
        </w:rPr>
        <w:t>的检查机构、实验室未经指定擅自从事列入目录产品的认证以及与认证有关的检查、</w:t>
      </w:r>
      <w:r>
        <w:rPr>
          <w:color w:val="auto"/>
          <w:spacing w:val="-8"/>
        </w:rPr>
        <w:t xml:space="preserve">检测活动的，责令改正，处 </w:t>
      </w:r>
      <w:r>
        <w:rPr>
          <w:color w:val="auto"/>
        </w:rPr>
        <w:t>10</w:t>
      </w:r>
      <w:r>
        <w:rPr>
          <w:color w:val="auto"/>
          <w:spacing w:val="-20"/>
        </w:rPr>
        <w:t xml:space="preserve"> 万元以上 </w:t>
      </w:r>
      <w:r>
        <w:rPr>
          <w:color w:val="auto"/>
        </w:rPr>
        <w:t>50</w:t>
      </w:r>
      <w:r>
        <w:rPr>
          <w:color w:val="auto"/>
          <w:spacing w:val="-9"/>
        </w:rPr>
        <w:t xml:space="preserve"> 万元以下的罚款，有违法所得的，没收违法所得。”</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87"/>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有下列情形之一的：1、违法所得较少的；2、具有其他较轻情节的。。</w:t>
      </w:r>
    </w:p>
    <w:p>
      <w:pPr>
        <w:pStyle w:val="13"/>
        <w:numPr>
          <w:ilvl w:val="0"/>
          <w:numId w:val="98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2152"/>
        <w:rPr>
          <w:color w:val="auto"/>
        </w:rPr>
      </w:pPr>
      <w:r>
        <w:rPr>
          <w:color w:val="auto"/>
          <w:spacing w:val="-9"/>
        </w:rPr>
        <w:t xml:space="preserve">责令改正，处 </w:t>
      </w:r>
      <w:r>
        <w:rPr>
          <w:color w:val="auto"/>
        </w:rPr>
        <w:t>10</w:t>
      </w:r>
      <w:r>
        <w:rPr>
          <w:color w:val="auto"/>
          <w:spacing w:val="-20"/>
        </w:rPr>
        <w:t xml:space="preserve"> 万元以上 </w:t>
      </w:r>
      <w:r>
        <w:rPr>
          <w:color w:val="auto"/>
        </w:rPr>
        <w:t>20</w:t>
      </w:r>
      <w:r>
        <w:rPr>
          <w:color w:val="auto"/>
          <w:spacing w:val="-9"/>
        </w:rPr>
        <w:t xml:space="preserve"> 万元以下罚款，没收违法所得。</w:t>
      </w:r>
      <w:r>
        <w:rPr>
          <w:color w:val="auto"/>
        </w:rPr>
        <w:t>2</w:t>
      </w:r>
      <w:r>
        <w:rPr>
          <w:color w:val="auto"/>
          <w:spacing w:val="-24"/>
        </w:rPr>
        <w:t>、【一般】</w:t>
      </w:r>
    </w:p>
    <w:p>
      <w:pPr>
        <w:pStyle w:val="13"/>
        <w:numPr>
          <w:ilvl w:val="0"/>
          <w:numId w:val="98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未经指定擅自从事列入目录产品的认证以及与认证有关的检查、检测活动的。</w:t>
      </w:r>
    </w:p>
    <w:p>
      <w:pPr>
        <w:spacing w:after="0"/>
        <w:rPr>
          <w:color w:val="auto"/>
        </w:rPr>
        <w:sectPr>
          <w:footerReference r:id="rId117" w:type="default"/>
          <w:footerReference r:id="rId118" w:type="even"/>
          <w:pgSz w:w="11910" w:h="16840"/>
          <w:pgMar w:top="1520" w:right="1260" w:bottom="1220" w:left="1420" w:header="0" w:footer="1034" w:gutter="0"/>
          <w:pgNumType w:start="480"/>
        </w:sectPr>
      </w:pPr>
    </w:p>
    <w:p>
      <w:pPr>
        <w:pStyle w:val="13"/>
        <w:numPr>
          <w:ilvl w:val="0"/>
          <w:numId w:val="988"/>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2152"/>
        <w:rPr>
          <w:color w:val="auto"/>
        </w:rPr>
      </w:pPr>
      <w:r>
        <w:rPr>
          <w:color w:val="auto"/>
          <w:spacing w:val="-9"/>
        </w:rPr>
        <w:t xml:space="preserve">责令改正，处 </w:t>
      </w:r>
      <w:r>
        <w:rPr>
          <w:color w:val="auto"/>
        </w:rPr>
        <w:t>20</w:t>
      </w:r>
      <w:r>
        <w:rPr>
          <w:color w:val="auto"/>
          <w:spacing w:val="-20"/>
        </w:rPr>
        <w:t xml:space="preserve"> 万元以上 </w:t>
      </w:r>
      <w:r>
        <w:rPr>
          <w:color w:val="auto"/>
        </w:rPr>
        <w:t>35</w:t>
      </w:r>
      <w:r>
        <w:rPr>
          <w:color w:val="auto"/>
          <w:spacing w:val="-9"/>
        </w:rPr>
        <w:t xml:space="preserve"> 万元以下罚款，没收违法所得。</w:t>
      </w:r>
      <w:r>
        <w:rPr>
          <w:color w:val="auto"/>
        </w:rPr>
        <w:t>3</w:t>
      </w:r>
      <w:r>
        <w:rPr>
          <w:color w:val="auto"/>
          <w:spacing w:val="-24"/>
        </w:rPr>
        <w:t>、【较重】</w:t>
      </w:r>
    </w:p>
    <w:p>
      <w:pPr>
        <w:pStyle w:val="13"/>
        <w:numPr>
          <w:ilvl w:val="0"/>
          <w:numId w:val="98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有下列情形之一的：1、违法所得较多的 ；2、具有其他较重情节的。</w:t>
      </w:r>
    </w:p>
    <w:p>
      <w:pPr>
        <w:pStyle w:val="13"/>
        <w:numPr>
          <w:ilvl w:val="0"/>
          <w:numId w:val="98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责令改正，处 35 万元以上 50 万元以下罚款，没收违法所得。</w:t>
      </w:r>
    </w:p>
    <w:p>
      <w:pPr>
        <w:pStyle w:val="2"/>
        <w:spacing w:before="194" w:line="388" w:lineRule="auto"/>
        <w:ind w:left="111" w:right="242" w:firstLine="480"/>
        <w:rPr>
          <w:color w:val="auto"/>
        </w:rPr>
      </w:pPr>
      <w:bookmarkStart w:id="1010" w:name="四百九十三、指定的认证机构、检查机构、实验室超出指定的业务范围从事列入目录产品的"/>
      <w:bookmarkEnd w:id="1010"/>
      <w:bookmarkStart w:id="1011" w:name="_bookmark504"/>
      <w:bookmarkEnd w:id="1011"/>
      <w:r>
        <w:rPr>
          <w:color w:val="auto"/>
          <w:spacing w:val="-7"/>
        </w:rPr>
        <w:t>四百九十三、指定的认证机构、检查机构、实验室超出指定的业务范围从事列入目录产品的认证以及与认证有关的检查、检测活动</w:t>
      </w:r>
    </w:p>
    <w:p>
      <w:pPr>
        <w:spacing w:before="2"/>
        <w:ind w:left="591" w:right="0" w:firstLine="0"/>
        <w:jc w:val="left"/>
        <w:rPr>
          <w:b/>
          <w:color w:val="auto"/>
          <w:sz w:val="24"/>
        </w:rPr>
      </w:pPr>
      <w:r>
        <w:rPr>
          <w:b/>
          <w:color w:val="auto"/>
          <w:sz w:val="24"/>
        </w:rPr>
        <w:t>（一）处罚依据</w:t>
      </w:r>
    </w:p>
    <w:p>
      <w:pPr>
        <w:pStyle w:val="4"/>
        <w:spacing w:before="195" w:line="391" w:lineRule="auto"/>
        <w:ind w:right="268" w:firstLine="470"/>
        <w:jc w:val="both"/>
        <w:rPr>
          <w:color w:val="auto"/>
        </w:rPr>
      </w:pPr>
      <w:r>
        <w:rPr>
          <w:color w:val="auto"/>
          <w:spacing w:val="-4"/>
        </w:rPr>
        <w:t>《中华人民共和国认证认可条例》第六十五条第一款“指定的认证机构、检查机</w:t>
      </w:r>
      <w:r>
        <w:rPr>
          <w:color w:val="auto"/>
          <w:spacing w:val="-7"/>
        </w:rPr>
        <w:t>构、实验室超出指定的业务范围从事列入目录产品的认证以及与认证有关的检查、检</w:t>
      </w:r>
      <w:r>
        <w:rPr>
          <w:color w:val="auto"/>
          <w:spacing w:val="-8"/>
        </w:rPr>
        <w:t xml:space="preserve">测活动的，责令改正，处 </w:t>
      </w:r>
      <w:r>
        <w:rPr>
          <w:color w:val="auto"/>
        </w:rPr>
        <w:t>10</w:t>
      </w:r>
      <w:r>
        <w:rPr>
          <w:color w:val="auto"/>
          <w:spacing w:val="-20"/>
        </w:rPr>
        <w:t xml:space="preserve"> 万元以上 </w:t>
      </w:r>
      <w:r>
        <w:rPr>
          <w:color w:val="auto"/>
        </w:rPr>
        <w:t>50</w:t>
      </w:r>
      <w:r>
        <w:rPr>
          <w:color w:val="auto"/>
          <w:spacing w:val="-10"/>
        </w:rPr>
        <w:t xml:space="preserve"> 万元以下的罚款，有违法所得的，没收违法</w:t>
      </w:r>
      <w:r>
        <w:rPr>
          <w:color w:val="auto"/>
        </w:rPr>
        <w:t>所得；情节严重的，撤销指定直至撤销批准文件，并予公布。”</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90"/>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有下列情形之一的：1、违法所得较少的；2、具有其他较轻情节的。</w:t>
      </w:r>
    </w:p>
    <w:p>
      <w:pPr>
        <w:pStyle w:val="13"/>
        <w:numPr>
          <w:ilvl w:val="0"/>
          <w:numId w:val="99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20</w:t>
      </w:r>
      <w:r>
        <w:rPr>
          <w:color w:val="auto"/>
          <w:spacing w:val="-9"/>
        </w:rPr>
        <w:t xml:space="preserve"> 万元以下罚款，没收违法所得；通报批准机关。</w:t>
      </w:r>
      <w:r>
        <w:rPr>
          <w:color w:val="auto"/>
        </w:rPr>
        <w:t>2</w:t>
      </w:r>
      <w:r>
        <w:rPr>
          <w:color w:val="auto"/>
          <w:spacing w:val="-24"/>
        </w:rPr>
        <w:t>、【一般】</w:t>
      </w:r>
    </w:p>
    <w:p>
      <w:pPr>
        <w:pStyle w:val="13"/>
        <w:numPr>
          <w:ilvl w:val="0"/>
          <w:numId w:val="99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超出指定的业务范围从事列入目录产品的认证以及与认证有关的检查、检测活动的。</w:t>
      </w:r>
    </w:p>
    <w:p>
      <w:pPr>
        <w:pStyle w:val="13"/>
        <w:numPr>
          <w:ilvl w:val="0"/>
          <w:numId w:val="99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472"/>
        <w:rPr>
          <w:color w:val="auto"/>
        </w:rPr>
      </w:pPr>
      <w:r>
        <w:rPr>
          <w:color w:val="auto"/>
          <w:spacing w:val="-9"/>
        </w:rPr>
        <w:t xml:space="preserve">责令改正，处 </w:t>
      </w:r>
      <w:r>
        <w:rPr>
          <w:color w:val="auto"/>
        </w:rPr>
        <w:t>20</w:t>
      </w:r>
      <w:r>
        <w:rPr>
          <w:color w:val="auto"/>
          <w:spacing w:val="-20"/>
        </w:rPr>
        <w:t xml:space="preserve"> 万元以上 </w:t>
      </w:r>
      <w:r>
        <w:rPr>
          <w:color w:val="auto"/>
        </w:rPr>
        <w:t>35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992"/>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有下列情形之一的：1、违法所得较多的 ；2、具有其他较重情节的。</w:t>
      </w:r>
    </w:p>
    <w:p>
      <w:pPr>
        <w:pStyle w:val="13"/>
        <w:numPr>
          <w:ilvl w:val="0"/>
          <w:numId w:val="992"/>
        </w:numPr>
        <w:tabs>
          <w:tab w:val="left" w:pos="1193"/>
        </w:tabs>
        <w:spacing w:before="195" w:after="0" w:line="240" w:lineRule="auto"/>
        <w:ind w:left="1192" w:right="0" w:hanging="602"/>
        <w:jc w:val="left"/>
        <w:rPr>
          <w:color w:val="auto"/>
          <w:sz w:val="24"/>
        </w:rPr>
      </w:pPr>
      <w:r>
        <w:rPr>
          <w:color w:val="auto"/>
          <w:sz w:val="24"/>
        </w:rPr>
        <w:t>处罚标准</w:t>
      </w:r>
    </w:p>
    <w:p>
      <w:pPr>
        <w:spacing w:before="191" w:line="388" w:lineRule="auto"/>
        <w:ind w:left="591" w:right="472" w:firstLine="0"/>
        <w:jc w:val="left"/>
        <w:rPr>
          <w:b/>
          <w:color w:val="auto"/>
          <w:sz w:val="24"/>
        </w:rPr>
      </w:pPr>
      <w:r>
        <w:rPr>
          <w:color w:val="auto"/>
          <w:spacing w:val="-9"/>
          <w:sz w:val="24"/>
        </w:rPr>
        <w:t xml:space="preserve">责令改正，处 </w:t>
      </w:r>
      <w:r>
        <w:rPr>
          <w:color w:val="auto"/>
          <w:sz w:val="24"/>
        </w:rPr>
        <w:t>35</w:t>
      </w:r>
      <w:r>
        <w:rPr>
          <w:color w:val="auto"/>
          <w:spacing w:val="-20"/>
          <w:sz w:val="24"/>
        </w:rPr>
        <w:t xml:space="preserve"> 万元以上 </w:t>
      </w:r>
      <w:r>
        <w:rPr>
          <w:color w:val="auto"/>
          <w:sz w:val="24"/>
        </w:rPr>
        <w:t>50</w:t>
      </w:r>
      <w:r>
        <w:rPr>
          <w:color w:val="auto"/>
          <w:spacing w:val="-9"/>
          <w:sz w:val="24"/>
        </w:rPr>
        <w:t xml:space="preserve"> 万元以下罚款，没收违法所得；通报批准机关。</w:t>
      </w:r>
      <w:bookmarkStart w:id="1012" w:name="_bookmark505"/>
      <w:bookmarkEnd w:id="1012"/>
      <w:bookmarkStart w:id="1013" w:name="四百九十四、指定的认证机构转让指定的认证业务"/>
      <w:bookmarkEnd w:id="1013"/>
      <w:r>
        <w:rPr>
          <w:b/>
          <w:color w:val="auto"/>
          <w:sz w:val="24"/>
        </w:rPr>
        <w:t>四百九十四、指定的认证机构转让指定的认证业务</w:t>
      </w:r>
    </w:p>
    <w:p>
      <w:pPr>
        <w:pStyle w:val="2"/>
        <w:spacing w:before="5"/>
        <w:rPr>
          <w:color w:val="auto"/>
        </w:rPr>
      </w:pPr>
      <w:r>
        <w:rPr>
          <w:color w:val="auto"/>
        </w:rPr>
        <w:t>（一）处罚依据</w:t>
      </w:r>
    </w:p>
    <w:p>
      <w:pPr>
        <w:pStyle w:val="4"/>
        <w:spacing w:before="192" w:line="391" w:lineRule="auto"/>
        <w:ind w:right="232" w:firstLine="480"/>
        <w:jc w:val="both"/>
        <w:rPr>
          <w:color w:val="auto"/>
        </w:rPr>
      </w:pPr>
      <w:r>
        <w:rPr>
          <w:color w:val="auto"/>
          <w:spacing w:val="-4"/>
        </w:rPr>
        <w:t>《中华人民共和国认证认可条例》第六十五条“指定的认证机构、检查机构、实</w:t>
      </w:r>
      <w:r>
        <w:rPr>
          <w:color w:val="auto"/>
          <w:spacing w:val="-5"/>
        </w:rPr>
        <w:t>验室超出指定的业务范围从事列入目录产品的认证以及与认证有关的检查、检测活动</w:t>
      </w:r>
      <w:r>
        <w:rPr>
          <w:color w:val="auto"/>
          <w:spacing w:val="-12"/>
        </w:rPr>
        <w:t xml:space="preserve">的，责令改正，处 </w:t>
      </w:r>
      <w:r>
        <w:rPr>
          <w:color w:val="auto"/>
        </w:rPr>
        <w:t>10</w:t>
      </w:r>
      <w:r>
        <w:rPr>
          <w:color w:val="auto"/>
          <w:spacing w:val="-20"/>
        </w:rPr>
        <w:t xml:space="preserve"> 万元以上 </w:t>
      </w:r>
      <w:r>
        <w:rPr>
          <w:color w:val="auto"/>
        </w:rPr>
        <w:t>50</w:t>
      </w:r>
      <w:r>
        <w:rPr>
          <w:color w:val="auto"/>
          <w:spacing w:val="-9"/>
        </w:rPr>
        <w:t xml:space="preserve"> 万元以下的罚款，有违法所得的，没收违法所得； </w:t>
      </w:r>
      <w:r>
        <w:rPr>
          <w:color w:val="auto"/>
        </w:rPr>
        <w:t>情节严重的，撤销指定直至撤销批准文件，并予公布。</w:t>
      </w:r>
    </w:p>
    <w:p>
      <w:pPr>
        <w:pStyle w:val="4"/>
        <w:spacing w:line="302" w:lineRule="exact"/>
        <w:ind w:left="591"/>
        <w:rPr>
          <w:color w:val="auto"/>
        </w:rPr>
      </w:pPr>
      <w:r>
        <w:rPr>
          <w:color w:val="auto"/>
        </w:rPr>
        <w:t>指定的认证机构转让指定的认证业务的，依照前款规定处罚。”</w:t>
      </w:r>
    </w:p>
    <w:p>
      <w:pPr>
        <w:spacing w:before="194" w:line="388" w:lineRule="auto"/>
        <w:ind w:left="591" w:right="6957" w:hanging="10"/>
        <w:jc w:val="left"/>
        <w:rPr>
          <w:color w:val="auto"/>
          <w:sz w:val="24"/>
        </w:rPr>
      </w:pPr>
      <w:r>
        <w:rPr>
          <w:b/>
          <w:color w:val="auto"/>
          <w:sz w:val="24"/>
        </w:rPr>
        <w:t>（二）裁量标准</w:t>
      </w:r>
      <w:r>
        <w:rPr>
          <w:color w:val="auto"/>
          <w:sz w:val="24"/>
        </w:rPr>
        <w:t>1、【较轻】</w:t>
      </w:r>
    </w:p>
    <w:p>
      <w:pPr>
        <w:pStyle w:val="13"/>
        <w:numPr>
          <w:ilvl w:val="0"/>
          <w:numId w:val="99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有下列情形之一的：1、违法所得较少的；2、具有其他较轻情节的。</w:t>
      </w:r>
    </w:p>
    <w:p>
      <w:pPr>
        <w:pStyle w:val="13"/>
        <w:numPr>
          <w:ilvl w:val="0"/>
          <w:numId w:val="99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20</w:t>
      </w:r>
      <w:r>
        <w:rPr>
          <w:color w:val="auto"/>
          <w:spacing w:val="-9"/>
        </w:rPr>
        <w:t xml:space="preserve"> 万元以下罚款，没收违法所得；通报批准机关。</w:t>
      </w:r>
      <w:r>
        <w:rPr>
          <w:color w:val="auto"/>
        </w:rPr>
        <w:t>2</w:t>
      </w:r>
      <w:r>
        <w:rPr>
          <w:color w:val="auto"/>
          <w:spacing w:val="-24"/>
        </w:rPr>
        <w:t>、【一般】</w:t>
      </w:r>
    </w:p>
    <w:p>
      <w:pPr>
        <w:pStyle w:val="13"/>
        <w:numPr>
          <w:ilvl w:val="0"/>
          <w:numId w:val="99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超出指定的业务范围从事列入目录产品的认证以及与认证有关的检查、检测活动的。</w:t>
      </w:r>
    </w:p>
    <w:p>
      <w:pPr>
        <w:pStyle w:val="13"/>
        <w:numPr>
          <w:ilvl w:val="0"/>
          <w:numId w:val="99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spacing w:val="-9"/>
        </w:rPr>
        <w:t xml:space="preserve">责令改正，处 </w:t>
      </w:r>
      <w:r>
        <w:rPr>
          <w:color w:val="auto"/>
        </w:rPr>
        <w:t>20</w:t>
      </w:r>
      <w:r>
        <w:rPr>
          <w:color w:val="auto"/>
          <w:spacing w:val="-20"/>
        </w:rPr>
        <w:t xml:space="preserve"> 万元以上 </w:t>
      </w:r>
      <w:r>
        <w:rPr>
          <w:color w:val="auto"/>
        </w:rPr>
        <w:t>35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99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有下列情形之一的：1、违法所得较多的 ；2、具有其他较重情节的。</w:t>
      </w:r>
    </w:p>
    <w:p>
      <w:pPr>
        <w:pStyle w:val="13"/>
        <w:numPr>
          <w:ilvl w:val="0"/>
          <w:numId w:val="99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rPr>
          <w:color w:val="auto"/>
        </w:rPr>
      </w:pPr>
      <w:r>
        <w:rPr>
          <w:color w:val="auto"/>
        </w:rPr>
        <w:t>责令改正，处 35 万元以上 50 万元以下罚款，没收违法所得；通报批准机关。</w:t>
      </w:r>
    </w:p>
    <w:p>
      <w:pPr>
        <w:pStyle w:val="2"/>
        <w:spacing w:before="192"/>
        <w:rPr>
          <w:color w:val="auto"/>
        </w:rPr>
      </w:pPr>
      <w:bookmarkStart w:id="1014" w:name="_bookmark506"/>
      <w:bookmarkEnd w:id="1014"/>
      <w:bookmarkStart w:id="1015" w:name="四百九十五、认证机构、检查机构、实验室取得境外认可机构认可，未向国务院认证认可监"/>
      <w:bookmarkEnd w:id="1015"/>
      <w:r>
        <w:rPr>
          <w:color w:val="auto"/>
        </w:rPr>
        <w:t>四百九十五、认证机构、检查机构、实验室取得境外认可机构认可，未向国务院</w:t>
      </w:r>
    </w:p>
    <w:p>
      <w:pPr>
        <w:spacing w:after="0"/>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认证认可监督管理部门备案</w:t>
      </w:r>
    </w:p>
    <w:p>
      <w:pPr>
        <w:spacing w:before="195"/>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spacing w:val="-5"/>
        </w:rPr>
        <w:t>《中华人民共和国认证认可条例》第六十六条“认证机构、检查机构、实验室取得境外认可机构认可，未向国务院认证认可监督管理部门备案的，给予警告，并予公</w:t>
      </w:r>
      <w:r>
        <w:rPr>
          <w:color w:val="auto"/>
        </w:rPr>
        <w:t>布。”</w:t>
      </w:r>
    </w:p>
    <w:p>
      <w:pPr>
        <w:pStyle w:val="2"/>
        <w:spacing w:line="304" w:lineRule="exact"/>
        <w:rPr>
          <w:color w:val="auto"/>
        </w:rPr>
      </w:pPr>
      <w:r>
        <w:rPr>
          <w:color w:val="auto"/>
        </w:rPr>
        <w:t>（二）裁量标准</w:t>
      </w:r>
    </w:p>
    <w:p>
      <w:pPr>
        <w:pStyle w:val="4"/>
        <w:spacing w:before="192"/>
        <w:ind w:left="591"/>
        <w:rPr>
          <w:color w:val="auto"/>
        </w:rPr>
      </w:pPr>
      <w:r>
        <w:rPr>
          <w:color w:val="auto"/>
        </w:rPr>
        <w:t>给予警告，并予公布。</w:t>
      </w:r>
    </w:p>
    <w:p>
      <w:pPr>
        <w:pStyle w:val="2"/>
        <w:spacing w:before="194" w:line="388" w:lineRule="auto"/>
        <w:ind w:left="111" w:right="193" w:firstLine="480"/>
        <w:rPr>
          <w:color w:val="auto"/>
        </w:rPr>
      </w:pPr>
      <w:bookmarkStart w:id="1016" w:name="四百九十六、列入目录的产品未经认证，擅自出厂、销售、进口或者在其他经营活动中使用"/>
      <w:bookmarkEnd w:id="1016"/>
      <w:bookmarkStart w:id="1017" w:name="_bookmark507"/>
      <w:bookmarkEnd w:id="1017"/>
      <w:r>
        <w:rPr>
          <w:color w:val="auto"/>
        </w:rPr>
        <w:t>四百九十六、列入目录的产品未经认证，擅自出厂、销售、进口或者在其他经营活动中使用</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rPr>
        <w:t xml:space="preserve">1、《中华人民共和国认证认可条例》第六十七条“列入目录的产品未经认证， </w:t>
      </w:r>
      <w:r>
        <w:rPr>
          <w:color w:val="auto"/>
          <w:spacing w:val="-2"/>
        </w:rPr>
        <w:t xml:space="preserve">擅自出厂、销售、进口或者在其他经营活动中使用的，责令改正，处 </w:t>
      </w:r>
      <w:r>
        <w:rPr>
          <w:color w:val="auto"/>
        </w:rPr>
        <w:t>5</w:t>
      </w:r>
      <w:r>
        <w:rPr>
          <w:color w:val="auto"/>
          <w:spacing w:val="-17"/>
        </w:rPr>
        <w:t xml:space="preserve"> 万元以上 </w:t>
      </w:r>
      <w:r>
        <w:rPr>
          <w:color w:val="auto"/>
        </w:rPr>
        <w:t>20 万元以下的罚款，有违法所得的，没收违法所得。”</w:t>
      </w:r>
    </w:p>
    <w:p>
      <w:pPr>
        <w:pStyle w:val="4"/>
        <w:spacing w:before="6" w:line="388" w:lineRule="auto"/>
        <w:ind w:right="268" w:firstLine="470"/>
        <w:jc w:val="both"/>
        <w:rPr>
          <w:color w:val="auto"/>
        </w:rPr>
      </w:pPr>
      <w:r>
        <w:rPr>
          <w:color w:val="auto"/>
        </w:rPr>
        <w:t>2、《强制性产品认证管理规定》第四十九条“列入目录的产品未经认证，擅自</w:t>
      </w:r>
      <w:r>
        <w:rPr>
          <w:color w:val="auto"/>
          <w:spacing w:val="-7"/>
        </w:rPr>
        <w:t>出厂、销售、进口或者在其他经营活动中使用的，由地方质检两局依照认证认可条例</w:t>
      </w:r>
      <w:r>
        <w:rPr>
          <w:color w:val="auto"/>
        </w:rPr>
        <w:t>第六十七条规定予以处罚。”</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99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268" w:firstLine="480"/>
        <w:jc w:val="both"/>
        <w:rPr>
          <w:color w:val="auto"/>
        </w:rPr>
      </w:pPr>
      <w:r>
        <w:rPr>
          <w:color w:val="auto"/>
        </w:rPr>
        <w:t>有下列情形之一的：1、首次生产、销售、进口或者在其他经营业活动中使用列入目录产品未经认证的，产品经抽检合格，如实提供有效证据或进货渠道的；2、违法货值较少的；3、具有其他较轻情节的。</w:t>
      </w:r>
    </w:p>
    <w:p>
      <w:pPr>
        <w:pStyle w:val="13"/>
        <w:numPr>
          <w:ilvl w:val="0"/>
          <w:numId w:val="996"/>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203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万元以下的罚款，没收违法所得。</w:t>
      </w:r>
      <w:r>
        <w:rPr>
          <w:color w:val="auto"/>
        </w:rPr>
        <w:t>2</w:t>
      </w:r>
      <w:r>
        <w:rPr>
          <w:color w:val="auto"/>
          <w:spacing w:val="-24"/>
        </w:rPr>
        <w:t>、【一般】</w:t>
      </w:r>
    </w:p>
    <w:p>
      <w:pPr>
        <w:pStyle w:val="13"/>
        <w:numPr>
          <w:ilvl w:val="0"/>
          <w:numId w:val="997"/>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首次生产、销售、进口或者在其他经营业活动中使用列入目录产品未经认证的， 产品经抽检不合格但指标偏差较小，未产生实际危害后果的。</w:t>
      </w:r>
    </w:p>
    <w:p>
      <w:pPr>
        <w:spacing w:after="0" w:line="388" w:lineRule="auto"/>
        <w:rPr>
          <w:color w:val="auto"/>
        </w:rPr>
        <w:sectPr>
          <w:pgSz w:w="11910" w:h="16840"/>
          <w:pgMar w:top="1520" w:right="1260" w:bottom="1220" w:left="1420" w:header="0" w:footer="1034" w:gutter="0"/>
        </w:sectPr>
      </w:pPr>
    </w:p>
    <w:p>
      <w:pPr>
        <w:pStyle w:val="13"/>
        <w:numPr>
          <w:ilvl w:val="0"/>
          <w:numId w:val="99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215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w:t>
      </w:r>
      <w:r>
        <w:rPr>
          <w:color w:val="auto"/>
        </w:rPr>
        <w:t>3</w:t>
      </w:r>
      <w:r>
        <w:rPr>
          <w:color w:val="auto"/>
          <w:spacing w:val="-24"/>
        </w:rPr>
        <w:t>、【较重】</w:t>
      </w:r>
    </w:p>
    <w:p>
      <w:pPr>
        <w:pStyle w:val="13"/>
        <w:numPr>
          <w:ilvl w:val="0"/>
          <w:numId w:val="99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有下列情形之一的：1、擅自出厂的产品存在危及人身、财产安全的不合理的危险或失去应有的功能、功效的；2、违法货值较多的；3、具有其他较重情节的。</w:t>
      </w:r>
    </w:p>
    <w:p>
      <w:pPr>
        <w:pStyle w:val="13"/>
        <w:numPr>
          <w:ilvl w:val="0"/>
          <w:numId w:val="998"/>
        </w:numPr>
        <w:tabs>
          <w:tab w:val="left" w:pos="1193"/>
        </w:tabs>
        <w:spacing w:before="2" w:after="0" w:line="240" w:lineRule="auto"/>
        <w:ind w:left="1192" w:right="0" w:hanging="602"/>
        <w:jc w:val="left"/>
        <w:rPr>
          <w:color w:val="auto"/>
          <w:sz w:val="24"/>
        </w:rPr>
      </w:pPr>
      <w:r>
        <w:rPr>
          <w:color w:val="auto"/>
          <w:sz w:val="24"/>
        </w:rPr>
        <w:t>处罚标准</w:t>
      </w:r>
    </w:p>
    <w:p>
      <w:pPr>
        <w:spacing w:before="194" w:line="388" w:lineRule="auto"/>
        <w:ind w:left="591" w:right="2152" w:firstLine="0"/>
        <w:jc w:val="left"/>
        <w:rPr>
          <w:b/>
          <w:color w:val="auto"/>
          <w:sz w:val="24"/>
        </w:rPr>
      </w:pPr>
      <w:r>
        <w:rPr>
          <w:color w:val="auto"/>
          <w:spacing w:val="-9"/>
          <w:sz w:val="24"/>
        </w:rPr>
        <w:t xml:space="preserve">责令改正，处 </w:t>
      </w:r>
      <w:r>
        <w:rPr>
          <w:color w:val="auto"/>
          <w:sz w:val="24"/>
        </w:rPr>
        <w:t>15</w:t>
      </w:r>
      <w:r>
        <w:rPr>
          <w:color w:val="auto"/>
          <w:spacing w:val="-20"/>
          <w:sz w:val="24"/>
        </w:rPr>
        <w:t xml:space="preserve"> 万元以上 </w:t>
      </w:r>
      <w:r>
        <w:rPr>
          <w:color w:val="auto"/>
          <w:sz w:val="24"/>
        </w:rPr>
        <w:t>20</w:t>
      </w:r>
      <w:r>
        <w:rPr>
          <w:color w:val="auto"/>
          <w:spacing w:val="-9"/>
          <w:sz w:val="24"/>
        </w:rPr>
        <w:t xml:space="preserve"> 万元以下罚款，没收违法所得。</w:t>
      </w:r>
      <w:bookmarkStart w:id="1018" w:name="_bookmark508"/>
      <w:bookmarkEnd w:id="1018"/>
      <w:bookmarkStart w:id="1019" w:name="四百九十七、伪造、冒用、买卖认证标志或者认证证书"/>
      <w:bookmarkEnd w:id="1019"/>
      <w:r>
        <w:rPr>
          <w:b/>
          <w:color w:val="auto"/>
          <w:sz w:val="24"/>
        </w:rPr>
        <w:t>四百九十七、伪造、冒用、买卖认证标志或者认证证书</w:t>
      </w:r>
    </w:p>
    <w:p>
      <w:pPr>
        <w:pStyle w:val="2"/>
        <w:spacing w:before="2"/>
        <w:rPr>
          <w:color w:val="auto"/>
        </w:rPr>
      </w:pPr>
      <w:r>
        <w:rPr>
          <w:color w:val="auto"/>
        </w:rPr>
        <w:t>（一）处罚依据</w:t>
      </w:r>
    </w:p>
    <w:p>
      <w:pPr>
        <w:pStyle w:val="4"/>
        <w:spacing w:before="194" w:line="388" w:lineRule="auto"/>
        <w:ind w:right="268" w:firstLine="470"/>
        <w:rPr>
          <w:color w:val="auto"/>
        </w:rPr>
      </w:pPr>
      <w:r>
        <w:rPr>
          <w:color w:val="auto"/>
        </w:rPr>
        <w:t>1、《中华人民共和国认证认可条例》第七十一条“伪造、冒用、买卖认证标志或者认证证书的，依照《中华人民共和国产品质量法》等法律的规定查处。”</w:t>
      </w:r>
    </w:p>
    <w:p>
      <w:pPr>
        <w:pStyle w:val="4"/>
        <w:spacing w:before="2" w:line="391" w:lineRule="auto"/>
        <w:ind w:right="148" w:firstLine="470"/>
        <w:rPr>
          <w:color w:val="auto"/>
        </w:rPr>
      </w:pPr>
      <w:r>
        <w:rPr>
          <w:color w:val="auto"/>
        </w:rPr>
        <w:t>2、《中华人民共和国产品质量法》第五十三条“伪造产品产地的，伪造或者冒</w:t>
      </w:r>
      <w:r>
        <w:rPr>
          <w:color w:val="auto"/>
          <w:spacing w:val="-5"/>
        </w:rPr>
        <w:t>用他人厂名、厂址的，伪造或者冒用认证标志等质量标志的，责令改正，没收违法生</w:t>
      </w:r>
      <w:r>
        <w:rPr>
          <w:color w:val="auto"/>
          <w:spacing w:val="-14"/>
        </w:rPr>
        <w:t xml:space="preserve">产、销售的产品，并处违法生产、销售产品货值金额等值以下的罚款；有违法所得的， </w:t>
      </w:r>
      <w:r>
        <w:rPr>
          <w:color w:val="auto"/>
        </w:rPr>
        <w:t>并处没收违法所得；情节严重的，吊销营业执照。”</w:t>
      </w:r>
    </w:p>
    <w:p>
      <w:pPr>
        <w:pStyle w:val="2"/>
        <w:spacing w:line="304" w:lineRule="exact"/>
        <w:rPr>
          <w:color w:val="auto"/>
        </w:rPr>
      </w:pPr>
      <w:r>
        <w:rPr>
          <w:color w:val="auto"/>
        </w:rPr>
        <w:t>（二）裁量标准</w:t>
      </w:r>
    </w:p>
    <w:p>
      <w:pPr>
        <w:pStyle w:val="13"/>
        <w:numPr>
          <w:ilvl w:val="0"/>
          <w:numId w:val="99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有下列情形之一的：1、初次违法，未造成危害后果的；2、产品尚未销售，无违法所得的；3、积极配合查处，追回售出产品的。</w:t>
      </w:r>
    </w:p>
    <w:p>
      <w:pPr>
        <w:pStyle w:val="13"/>
        <w:numPr>
          <w:ilvl w:val="0"/>
          <w:numId w:val="99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13" w:firstLine="480"/>
        <w:rPr>
          <w:color w:val="auto"/>
        </w:rPr>
      </w:pPr>
      <w:r>
        <w:rPr>
          <w:color w:val="auto"/>
        </w:rPr>
        <w:t>责令改正，没收违法生产、销售的产品，并处违法生产产品货值金额 20%以下的罚款；有违法所得的，并处没收违法所得。</w:t>
      </w:r>
    </w:p>
    <w:p>
      <w:pPr>
        <w:pStyle w:val="4"/>
        <w:spacing w:line="306" w:lineRule="exact"/>
        <w:ind w:left="591"/>
        <w:rPr>
          <w:color w:val="auto"/>
        </w:rPr>
      </w:pPr>
      <w:r>
        <w:rPr>
          <w:color w:val="auto"/>
        </w:rPr>
        <w:t>2、【一般】</w:t>
      </w:r>
    </w:p>
    <w:p>
      <w:pPr>
        <w:pStyle w:val="13"/>
        <w:numPr>
          <w:ilvl w:val="0"/>
          <w:numId w:val="100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产品已售出，货值较小的。</w:t>
      </w:r>
    </w:p>
    <w:p>
      <w:pPr>
        <w:pStyle w:val="13"/>
        <w:numPr>
          <w:ilvl w:val="0"/>
          <w:numId w:val="100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责令改正，没收违法生产、销售的产品，并处违法生产、销售产品货值金额 20%</w:t>
      </w:r>
    </w:p>
    <w:p>
      <w:pPr>
        <w:spacing w:after="0"/>
        <w:rPr>
          <w:color w:val="auto"/>
        </w:rPr>
        <w:sectPr>
          <w:pgSz w:w="11910" w:h="16840"/>
          <w:pgMar w:top="1520" w:right="1260" w:bottom="1220" w:left="1420" w:header="0" w:footer="1034" w:gutter="0"/>
        </w:sectPr>
      </w:pPr>
    </w:p>
    <w:p>
      <w:pPr>
        <w:pStyle w:val="4"/>
        <w:spacing w:before="39" w:line="391" w:lineRule="auto"/>
        <w:ind w:left="591" w:right="2865" w:hanging="480"/>
        <w:rPr>
          <w:color w:val="auto"/>
        </w:rPr>
      </w:pPr>
      <w:r>
        <w:rPr>
          <w:color w:val="auto"/>
        </w:rPr>
        <w:t>以上 40%以下的罚款；有违法所得的，并处没收违法所得。3、【较重】</w:t>
      </w:r>
    </w:p>
    <w:p>
      <w:pPr>
        <w:pStyle w:val="13"/>
        <w:numPr>
          <w:ilvl w:val="0"/>
          <w:numId w:val="100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产品货值较大或具有其他较重情节的。</w:t>
      </w:r>
    </w:p>
    <w:p>
      <w:pPr>
        <w:pStyle w:val="13"/>
        <w:numPr>
          <w:ilvl w:val="0"/>
          <w:numId w:val="100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15" w:firstLine="480"/>
        <w:rPr>
          <w:color w:val="auto"/>
        </w:rPr>
      </w:pPr>
      <w:r>
        <w:rPr>
          <w:color w:val="auto"/>
        </w:rPr>
        <w:t>责令改正，没收违法生产、销售的产品，并处违法生产、销售产品货值金额 40% 以上 60%以下的罚款；有违法所得的，并处没收违法所得；通报营业执照发证部门。</w:t>
      </w:r>
    </w:p>
    <w:p>
      <w:pPr>
        <w:pStyle w:val="4"/>
        <w:spacing w:before="4"/>
        <w:ind w:left="591"/>
        <w:rPr>
          <w:color w:val="auto"/>
        </w:rPr>
      </w:pPr>
      <w:r>
        <w:rPr>
          <w:color w:val="auto"/>
        </w:rPr>
        <w:t>4、【严重】</w:t>
      </w:r>
    </w:p>
    <w:p>
      <w:pPr>
        <w:pStyle w:val="13"/>
        <w:numPr>
          <w:ilvl w:val="0"/>
          <w:numId w:val="100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有下列情形之一的：1、产品货值巨大；2、具有其他严重情节的。</w:t>
      </w:r>
    </w:p>
    <w:p>
      <w:pPr>
        <w:pStyle w:val="13"/>
        <w:numPr>
          <w:ilvl w:val="0"/>
          <w:numId w:val="100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15" w:firstLine="480"/>
        <w:rPr>
          <w:color w:val="auto"/>
        </w:rPr>
      </w:pPr>
      <w:r>
        <w:rPr>
          <w:color w:val="auto"/>
        </w:rPr>
        <w:t>责令改正，没收违法生产、销售的产品，并处违法生产、销售产品货值金额 60% 以上 80%以下的罚款；有违法所得的，并处没收违法所得；吊销营业执照。</w:t>
      </w:r>
    </w:p>
    <w:p>
      <w:pPr>
        <w:pStyle w:val="4"/>
        <w:spacing w:before="4"/>
        <w:ind w:left="591"/>
        <w:rPr>
          <w:color w:val="auto"/>
        </w:rPr>
      </w:pPr>
      <w:r>
        <w:rPr>
          <w:color w:val="auto"/>
        </w:rPr>
        <w:t>5、【特别严重】</w:t>
      </w:r>
    </w:p>
    <w:p>
      <w:pPr>
        <w:pStyle w:val="13"/>
        <w:numPr>
          <w:ilvl w:val="0"/>
          <w:numId w:val="100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2" w:firstLine="480"/>
        <w:rPr>
          <w:color w:val="auto"/>
        </w:rPr>
      </w:pPr>
      <w:r>
        <w:rPr>
          <w:color w:val="auto"/>
        </w:rPr>
        <w:t>有下列情形之一的：1、多次违法，屡次查处不改的；2、造成较大社会影响或其他严重危害后果的。</w:t>
      </w:r>
    </w:p>
    <w:p>
      <w:pPr>
        <w:pStyle w:val="13"/>
        <w:numPr>
          <w:ilvl w:val="0"/>
          <w:numId w:val="100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right="213" w:firstLine="480"/>
        <w:rPr>
          <w:color w:val="auto"/>
        </w:rPr>
      </w:pPr>
      <w:r>
        <w:rPr>
          <w:color w:val="auto"/>
        </w:rPr>
        <w:t>没收违法生产、销售的产品，并处违法生产、销售产品货值金额 80%以上等值以下的罚款；有违法所得的，并处没收违法所得；吊销营业执照。</w:t>
      </w:r>
    </w:p>
    <w:p>
      <w:pPr>
        <w:pStyle w:val="2"/>
        <w:spacing w:line="388" w:lineRule="auto"/>
        <w:ind w:left="111" w:right="193" w:firstLine="480"/>
        <w:rPr>
          <w:color w:val="auto"/>
        </w:rPr>
      </w:pPr>
      <w:bookmarkStart w:id="1020" w:name="_bookmark509"/>
      <w:bookmarkEnd w:id="1020"/>
      <w:bookmarkStart w:id="1021" w:name="四百九十八、列入目录的产品经过认证后，不按照法定条件、要求从事生产经营活动或者生"/>
      <w:bookmarkEnd w:id="1021"/>
      <w:r>
        <w:rPr>
          <w:color w:val="auto"/>
        </w:rPr>
        <w:t>四百九十八、列入目录的产品经过认证后，不按照法定条件、要求从事生产经营活动或者生产、销售不符合法定要求的产品</w:t>
      </w:r>
    </w:p>
    <w:p>
      <w:pPr>
        <w:spacing w:before="3"/>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1、《强制性产品认证管理规定》第五十条“列入目录的产品经过认证后，不按</w:t>
      </w:r>
      <w:r>
        <w:rPr>
          <w:color w:val="auto"/>
          <w:spacing w:val="-5"/>
        </w:rPr>
        <w:t>照法定条件、要求从事生产经营活动或者生产、销售不符合法定要求的产品的，由地方质检两局依照《国务院关于加强食品等产品安全监督管理的特别规定》第二条、第</w:t>
      </w:r>
      <w:r>
        <w:rPr>
          <w:color w:val="auto"/>
        </w:rPr>
        <w:t>三条第二款规定予以处理。”</w:t>
      </w:r>
    </w:p>
    <w:p>
      <w:pPr>
        <w:pStyle w:val="4"/>
        <w:spacing w:line="302" w:lineRule="exact"/>
        <w:ind w:left="581"/>
        <w:rPr>
          <w:color w:val="auto"/>
        </w:rPr>
      </w:pPr>
      <w:r>
        <w:rPr>
          <w:color w:val="auto"/>
        </w:rPr>
        <w:t>2、《国务院关于加强食品等产品安全监督管理的特别规定》第二条“本规定所</w:t>
      </w:r>
    </w:p>
    <w:p>
      <w:pPr>
        <w:spacing w:after="0" w:line="302" w:lineRule="exact"/>
        <w:rPr>
          <w:color w:val="auto"/>
        </w:rPr>
        <w:sectPr>
          <w:pgSz w:w="11910" w:h="16840"/>
          <w:pgMar w:top="1520" w:right="1260" w:bottom="1220" w:left="1420" w:header="0" w:footer="1034" w:gutter="0"/>
        </w:sectPr>
      </w:pPr>
    </w:p>
    <w:p>
      <w:pPr>
        <w:pStyle w:val="4"/>
        <w:spacing w:before="39" w:line="391" w:lineRule="auto"/>
        <w:ind w:right="148"/>
        <w:rPr>
          <w:color w:val="auto"/>
        </w:rPr>
      </w:pPr>
      <w:r>
        <w:rPr>
          <w:color w:val="auto"/>
          <w:spacing w:val="-4"/>
        </w:rPr>
        <w:t>称产品除食品外，还包括食用农产品、药品等与人体健康和生命安全有关的产品。对</w:t>
      </w:r>
      <w:r>
        <w:rPr>
          <w:color w:val="auto"/>
          <w:spacing w:val="-15"/>
        </w:rPr>
        <w:t xml:space="preserve">产品安全监督管理，法律有规定的，适用法律规定；法律没有规定或者规定不明确的， </w:t>
      </w:r>
      <w:r>
        <w:rPr>
          <w:color w:val="auto"/>
        </w:rPr>
        <w:t>适用本规定。”</w:t>
      </w:r>
    </w:p>
    <w:p>
      <w:pPr>
        <w:pStyle w:val="4"/>
        <w:spacing w:line="391" w:lineRule="auto"/>
        <w:ind w:right="265" w:firstLine="470"/>
        <w:jc w:val="both"/>
        <w:rPr>
          <w:color w:val="auto"/>
        </w:rPr>
      </w:pPr>
      <w:r>
        <w:rPr>
          <w:color w:val="auto"/>
        </w:rPr>
        <w:t>3、《国务院关于加强食品等产品安全监督管理的特别规定》第三条第二款“依</w:t>
      </w:r>
      <w:r>
        <w:rPr>
          <w:color w:val="auto"/>
          <w:spacing w:val="-6"/>
        </w:rPr>
        <w:t>照法律、行政法规规定生产、销售产品需要取得许可证照或者需要经过认证的，应当</w:t>
      </w:r>
      <w:r>
        <w:rPr>
          <w:color w:val="auto"/>
          <w:spacing w:val="-5"/>
        </w:rPr>
        <w:t>按照法定条件、要求从事生产经营活动。不按照法定条件、要求从事生产经营活动或</w:t>
      </w:r>
      <w:r>
        <w:rPr>
          <w:color w:val="auto"/>
          <w:spacing w:val="-6"/>
        </w:rPr>
        <w:t>者生产、销售不符合法定要求产品的，由农业、卫生、质检、商务、工商、药品等监</w:t>
      </w:r>
      <w:r>
        <w:rPr>
          <w:color w:val="auto"/>
          <w:spacing w:val="-5"/>
        </w:rPr>
        <w:t xml:space="preserve">督管理部门依据各自职责，没收违法所得、产品和用于违法生产的工具、设备、原材料等物品，货值金额不足 </w:t>
      </w:r>
      <w:r>
        <w:rPr>
          <w:color w:val="auto"/>
        </w:rPr>
        <w:t>5000</w:t>
      </w:r>
      <w:r>
        <w:rPr>
          <w:color w:val="auto"/>
          <w:spacing w:val="-18"/>
        </w:rPr>
        <w:t xml:space="preserve"> 元的，并处 </w:t>
      </w:r>
      <w:r>
        <w:rPr>
          <w:color w:val="auto"/>
        </w:rPr>
        <w:t>5</w:t>
      </w:r>
      <w:r>
        <w:rPr>
          <w:color w:val="auto"/>
          <w:spacing w:val="-13"/>
        </w:rPr>
        <w:t xml:space="preserve"> 万元罚款；货值金额 </w:t>
      </w:r>
      <w:r>
        <w:rPr>
          <w:color w:val="auto"/>
        </w:rPr>
        <w:t>5000</w:t>
      </w:r>
      <w:r>
        <w:rPr>
          <w:color w:val="auto"/>
          <w:spacing w:val="-18"/>
        </w:rPr>
        <w:t xml:space="preserve"> 元以上不足 </w:t>
      </w:r>
      <w:r>
        <w:rPr>
          <w:color w:val="auto"/>
        </w:rPr>
        <w:t>1</w:t>
      </w:r>
    </w:p>
    <w:p>
      <w:pPr>
        <w:pStyle w:val="4"/>
        <w:spacing w:line="391" w:lineRule="auto"/>
        <w:ind w:right="268"/>
        <w:jc w:val="both"/>
        <w:rPr>
          <w:color w:val="auto"/>
        </w:rPr>
      </w:pPr>
      <w:r>
        <w:rPr>
          <w:color w:val="auto"/>
          <w:spacing w:val="-8"/>
        </w:rPr>
        <w:t xml:space="preserve">万元的，并处 </w:t>
      </w:r>
      <w:r>
        <w:rPr>
          <w:color w:val="auto"/>
        </w:rPr>
        <w:t>10</w:t>
      </w:r>
      <w:r>
        <w:rPr>
          <w:color w:val="auto"/>
          <w:spacing w:val="-12"/>
        </w:rPr>
        <w:t xml:space="preserve"> 万元罚款；货值金额 </w:t>
      </w:r>
      <w:r>
        <w:rPr>
          <w:color w:val="auto"/>
        </w:rPr>
        <w:t>1</w:t>
      </w:r>
      <w:r>
        <w:rPr>
          <w:color w:val="auto"/>
          <w:spacing w:val="-12"/>
        </w:rPr>
        <w:t xml:space="preserve"> 万元以上的，并处货值金额 </w:t>
      </w:r>
      <w:r>
        <w:rPr>
          <w:color w:val="auto"/>
        </w:rPr>
        <w:t>10</w:t>
      </w:r>
      <w:r>
        <w:rPr>
          <w:color w:val="auto"/>
          <w:spacing w:val="-21"/>
        </w:rPr>
        <w:t xml:space="preserve"> 倍以上 </w:t>
      </w:r>
      <w:r>
        <w:rPr>
          <w:color w:val="auto"/>
        </w:rPr>
        <w:t>20</w:t>
      </w:r>
      <w:r>
        <w:rPr>
          <w:color w:val="auto"/>
          <w:spacing w:val="-26"/>
        </w:rPr>
        <w:t xml:space="preserve"> 倍</w:t>
      </w:r>
      <w:r>
        <w:rPr>
          <w:color w:val="auto"/>
          <w:spacing w:val="-14"/>
        </w:rPr>
        <w:t>以下的罚款；造成严重后果的，由原发证部门吊销许可证照；构成非法经营罪或者生</w:t>
      </w:r>
      <w:r>
        <w:rPr>
          <w:color w:val="auto"/>
        </w:rPr>
        <w:t>产、销售伪劣商品罪等犯罪的，依法追究刑事责任。”</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00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77" w:line="391" w:lineRule="auto"/>
        <w:ind w:right="269" w:firstLine="480"/>
        <w:rPr>
          <w:color w:val="auto"/>
        </w:rPr>
      </w:pPr>
      <w:r>
        <w:rPr>
          <w:color w:val="auto"/>
        </w:rPr>
        <w:t>经调查，列入目录 的产品经过认证后，不按照法定条件、要求从事生产经营活动或者生产、销售不符合法定要求的产品货值金额不足 5000 元的。</w:t>
      </w:r>
    </w:p>
    <w:p>
      <w:pPr>
        <w:pStyle w:val="13"/>
        <w:numPr>
          <w:ilvl w:val="0"/>
          <w:numId w:val="100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7"/>
        </w:rPr>
        <w:t xml:space="preserve">没收违法所得、产品和用于违法生产的工具、设备、原材料等物品，并处 </w:t>
      </w:r>
      <w:r>
        <w:rPr>
          <w:color w:val="auto"/>
        </w:rPr>
        <w:t>5</w:t>
      </w:r>
      <w:r>
        <w:rPr>
          <w:color w:val="auto"/>
          <w:spacing w:val="-25"/>
        </w:rPr>
        <w:t xml:space="preserve"> 万元</w:t>
      </w:r>
      <w:r>
        <w:rPr>
          <w:color w:val="auto"/>
        </w:rPr>
        <w:t>罚款。</w:t>
      </w:r>
    </w:p>
    <w:p>
      <w:pPr>
        <w:pStyle w:val="4"/>
        <w:spacing w:line="306" w:lineRule="exact"/>
        <w:ind w:left="591"/>
        <w:rPr>
          <w:color w:val="auto"/>
        </w:rPr>
      </w:pPr>
      <w:r>
        <w:rPr>
          <w:color w:val="auto"/>
        </w:rPr>
        <w:t>2、【一般】</w:t>
      </w:r>
    </w:p>
    <w:p>
      <w:pPr>
        <w:pStyle w:val="13"/>
        <w:numPr>
          <w:ilvl w:val="0"/>
          <w:numId w:val="100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经调查，列入目录 的产品经过认证后，不按照法定条件、要求从事生产经营活动或者生产、销售不符合法定要求的产品货值金额 5000 元以上 1 万元以下的。</w:t>
      </w:r>
    </w:p>
    <w:p>
      <w:pPr>
        <w:pStyle w:val="13"/>
        <w:numPr>
          <w:ilvl w:val="0"/>
          <w:numId w:val="100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13" w:firstLine="480"/>
        <w:rPr>
          <w:color w:val="auto"/>
        </w:rPr>
      </w:pPr>
      <w:r>
        <w:rPr>
          <w:color w:val="auto"/>
        </w:rPr>
        <w:t>没收违法所得、产品和用于违法生产的工具、设备、原材料等物品，处 10 万元罚款。</w:t>
      </w:r>
    </w:p>
    <w:p>
      <w:pPr>
        <w:pStyle w:val="4"/>
        <w:spacing w:before="2"/>
        <w:ind w:left="591"/>
        <w:rPr>
          <w:color w:val="auto"/>
        </w:rPr>
      </w:pPr>
      <w:r>
        <w:rPr>
          <w:color w:val="auto"/>
        </w:rPr>
        <w:t>3、【较重】</w:t>
      </w:r>
    </w:p>
    <w:p>
      <w:pPr>
        <w:spacing w:after="0"/>
        <w:rPr>
          <w:color w:val="auto"/>
        </w:rPr>
        <w:sectPr>
          <w:pgSz w:w="11910" w:h="16840"/>
          <w:pgMar w:top="1520" w:right="1260" w:bottom="1220" w:left="1420" w:header="0" w:footer="1034" w:gutter="0"/>
        </w:sectPr>
      </w:pPr>
    </w:p>
    <w:p>
      <w:pPr>
        <w:pStyle w:val="13"/>
        <w:numPr>
          <w:ilvl w:val="0"/>
          <w:numId w:val="1006"/>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销售不符合法定要求的产品货值金额 1 万元至 10 万元（不含 10 万元）的。</w:t>
      </w:r>
    </w:p>
    <w:p>
      <w:pPr>
        <w:pStyle w:val="13"/>
        <w:numPr>
          <w:ilvl w:val="0"/>
          <w:numId w:val="100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24" w:firstLine="480"/>
        <w:rPr>
          <w:color w:val="auto"/>
        </w:rPr>
      </w:pPr>
      <w:r>
        <w:rPr>
          <w:color w:val="auto"/>
        </w:rPr>
        <w:t>没收违法所得、产品和用于违法生产的工具、设备、原材料等物品，处货值金额10 倍以上 15 倍以下罚款；通报许可证照原发证部门。</w:t>
      </w:r>
    </w:p>
    <w:p>
      <w:pPr>
        <w:pStyle w:val="4"/>
        <w:spacing w:line="306" w:lineRule="exact"/>
        <w:ind w:left="591"/>
        <w:rPr>
          <w:color w:val="auto"/>
        </w:rPr>
      </w:pPr>
      <w:r>
        <w:rPr>
          <w:color w:val="auto"/>
        </w:rPr>
        <w:t>4、【严重】</w:t>
      </w:r>
    </w:p>
    <w:p>
      <w:pPr>
        <w:pStyle w:val="13"/>
        <w:numPr>
          <w:ilvl w:val="0"/>
          <w:numId w:val="100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4"/>
        </w:rPr>
        <w:t>有下列情形之一的：</w:t>
      </w:r>
      <w:r>
        <w:rPr>
          <w:color w:val="auto"/>
          <w:spacing w:val="-27"/>
        </w:rPr>
        <w:t>1</w:t>
      </w:r>
      <w:r>
        <w:rPr>
          <w:color w:val="auto"/>
          <w:spacing w:val="-14"/>
        </w:rPr>
        <w:t xml:space="preserve">、生产、销售不符合法定要求的产品货值金额 </w:t>
      </w:r>
      <w:r>
        <w:rPr>
          <w:color w:val="auto"/>
        </w:rPr>
        <w:t>10</w:t>
      </w:r>
      <w:r>
        <w:rPr>
          <w:color w:val="auto"/>
          <w:spacing w:val="-13"/>
        </w:rPr>
        <w:t xml:space="preserve"> 万元以上； </w:t>
      </w:r>
      <w:r>
        <w:rPr>
          <w:color w:val="auto"/>
        </w:rPr>
        <w:t>2、造成严重后果的。</w:t>
      </w:r>
    </w:p>
    <w:p>
      <w:pPr>
        <w:pStyle w:val="13"/>
        <w:numPr>
          <w:ilvl w:val="0"/>
          <w:numId w:val="100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24" w:firstLine="480"/>
        <w:rPr>
          <w:color w:val="auto"/>
        </w:rPr>
      </w:pPr>
      <w:r>
        <w:rPr>
          <w:color w:val="auto"/>
        </w:rPr>
        <w:t>没收违法所得、产品和用于违法生产的工具、设备、原材料等物品，处货值金额15 倍以上 20 倍以下罚款；通报许可证照原发证部门。</w:t>
      </w:r>
    </w:p>
    <w:p>
      <w:pPr>
        <w:pStyle w:val="2"/>
        <w:spacing w:before="2" w:line="391" w:lineRule="auto"/>
        <w:ind w:left="111" w:right="193" w:firstLine="480"/>
        <w:rPr>
          <w:color w:val="auto"/>
        </w:rPr>
      </w:pPr>
      <w:bookmarkStart w:id="1022" w:name="_bookmark510"/>
      <w:bookmarkEnd w:id="1022"/>
      <w:bookmarkStart w:id="1023" w:name="四百九十九、认证证书注销、撤销或者暂停期间，不符合认证要求的产品，继续出厂、销售"/>
      <w:bookmarkEnd w:id="1023"/>
      <w:r>
        <w:rPr>
          <w:color w:val="auto"/>
        </w:rPr>
        <w:t>四百九十九、认证证书注销、撤销或者暂停期间，不符合认证要求的产品，继续出厂、销售、进口或者在其他经营活动中使用</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32" w:firstLine="470"/>
        <w:jc w:val="both"/>
        <w:rPr>
          <w:color w:val="auto"/>
        </w:rPr>
      </w:pPr>
      <w:r>
        <w:rPr>
          <w:color w:val="auto"/>
        </w:rPr>
        <w:t>1、《强制性产品认证管理规定》第五十一条“违反本规定第二十九条第二款规定，认证证书注销、撤销或者暂停期间，不符合认证要求的产品，继续出厂、销售、进口或者在其他经营活动中使用的，由地方质检两局依照认证认可条例第六十七条规定予以处罚。”</w:t>
      </w:r>
    </w:p>
    <w:p>
      <w:pPr>
        <w:pStyle w:val="4"/>
        <w:spacing w:line="388" w:lineRule="auto"/>
        <w:ind w:right="268" w:firstLine="470"/>
        <w:jc w:val="both"/>
        <w:rPr>
          <w:color w:val="auto"/>
        </w:rPr>
      </w:pPr>
      <w:r>
        <w:rPr>
          <w:color w:val="auto"/>
        </w:rPr>
        <w:t xml:space="preserve">2、《中华人民共和国认证认可条例》第六十七条“列入目录的产品未经认证， </w:t>
      </w:r>
      <w:r>
        <w:rPr>
          <w:color w:val="auto"/>
          <w:spacing w:val="-2"/>
        </w:rPr>
        <w:t xml:space="preserve">擅自出厂、销售、进口或者在其他经营活动中使用的，责令改正，处 </w:t>
      </w:r>
      <w:r>
        <w:rPr>
          <w:color w:val="auto"/>
        </w:rPr>
        <w:t>5</w:t>
      </w:r>
      <w:r>
        <w:rPr>
          <w:color w:val="auto"/>
          <w:spacing w:val="-17"/>
        </w:rPr>
        <w:t xml:space="preserve"> 万元以上 </w:t>
      </w:r>
      <w:r>
        <w:rPr>
          <w:color w:val="auto"/>
        </w:rPr>
        <w:t>20 万元以下的罚款，有违法所得的，没收违法所得。”</w:t>
      </w:r>
    </w:p>
    <w:p>
      <w:pPr>
        <w:spacing w:before="2"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00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rPr>
        <w:t>有下列情形之一的：1、首次生产、销售、进口或者在其他经营业活动中使用列入目录产品未经认证的，产品经抽检合格，如实提供有效证据或进货渠道的；2、违法货值较少的；3、具有其他较轻情节的。</w:t>
      </w:r>
    </w:p>
    <w:p>
      <w:pPr>
        <w:spacing w:after="0" w:line="388" w:lineRule="auto"/>
        <w:jc w:val="both"/>
        <w:rPr>
          <w:color w:val="auto"/>
        </w:rPr>
        <w:sectPr>
          <w:pgSz w:w="11910" w:h="16840"/>
          <w:pgMar w:top="1520" w:right="1260" w:bottom="1220" w:left="1420" w:header="0" w:footer="1034" w:gutter="0"/>
        </w:sectPr>
      </w:pPr>
    </w:p>
    <w:p>
      <w:pPr>
        <w:pStyle w:val="13"/>
        <w:numPr>
          <w:ilvl w:val="0"/>
          <w:numId w:val="1008"/>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203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万元以下的罚款，没收违法所得。</w:t>
      </w:r>
      <w:r>
        <w:rPr>
          <w:color w:val="auto"/>
        </w:rPr>
        <w:t>2</w:t>
      </w:r>
      <w:r>
        <w:rPr>
          <w:color w:val="auto"/>
          <w:spacing w:val="-24"/>
        </w:rPr>
        <w:t>、【一般】</w:t>
      </w:r>
    </w:p>
    <w:p>
      <w:pPr>
        <w:pStyle w:val="13"/>
        <w:numPr>
          <w:ilvl w:val="0"/>
          <w:numId w:val="100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有下列情形之一的：首次生产、销售、进口或者在其他经营业活动中使用列入目录产品未经认证的，产品经抽检不合格但指标偏差较小，未产生实际危害后果的。</w:t>
      </w:r>
    </w:p>
    <w:p>
      <w:pPr>
        <w:pStyle w:val="13"/>
        <w:numPr>
          <w:ilvl w:val="0"/>
          <w:numId w:val="1009"/>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215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w:t>
      </w:r>
      <w:r>
        <w:rPr>
          <w:color w:val="auto"/>
        </w:rPr>
        <w:t>3</w:t>
      </w:r>
      <w:r>
        <w:rPr>
          <w:color w:val="auto"/>
          <w:spacing w:val="-24"/>
        </w:rPr>
        <w:t>、【较重】</w:t>
      </w:r>
    </w:p>
    <w:p>
      <w:pPr>
        <w:pStyle w:val="13"/>
        <w:numPr>
          <w:ilvl w:val="0"/>
          <w:numId w:val="101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rPr>
        <w:t>有下列情形之一的：1、擅自出厂的产品存在危及人身、财产安全的不合理的危险的；2、违法货值较多的；3、具有其他较重情节的。</w:t>
      </w:r>
    </w:p>
    <w:p>
      <w:pPr>
        <w:pStyle w:val="13"/>
        <w:numPr>
          <w:ilvl w:val="0"/>
          <w:numId w:val="101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rPr>
          <w:color w:val="auto"/>
        </w:rPr>
      </w:pPr>
      <w:r>
        <w:rPr>
          <w:color w:val="auto"/>
        </w:rPr>
        <w:t>责令改正，处 15 万元以上 20 万元以下罚款，没收违法所得。</w:t>
      </w:r>
    </w:p>
    <w:p>
      <w:pPr>
        <w:pStyle w:val="2"/>
        <w:spacing w:before="192"/>
        <w:rPr>
          <w:color w:val="auto"/>
        </w:rPr>
      </w:pPr>
      <w:bookmarkStart w:id="1024" w:name="_bookmark511"/>
      <w:bookmarkEnd w:id="1024"/>
      <w:bookmarkStart w:id="1025" w:name="五百、伪造、变造、出租、出借、冒用、买卖或者转让强制性产品认证证书"/>
      <w:bookmarkEnd w:id="1025"/>
      <w:r>
        <w:rPr>
          <w:color w:val="auto"/>
        </w:rPr>
        <w:t>五百、伪造、变造、出租、出借、冒用、买卖或者转让强制性产品认证证书</w:t>
      </w:r>
    </w:p>
    <w:p>
      <w:pPr>
        <w:spacing w:before="192"/>
        <w:ind w:left="591" w:right="0" w:firstLine="0"/>
        <w:jc w:val="left"/>
        <w:rPr>
          <w:b/>
          <w:color w:val="auto"/>
          <w:sz w:val="24"/>
        </w:rPr>
      </w:pPr>
      <w:r>
        <w:rPr>
          <w:b/>
          <w:color w:val="auto"/>
          <w:sz w:val="24"/>
        </w:rPr>
        <w:t>（一）处罚依据</w:t>
      </w:r>
    </w:p>
    <w:p>
      <w:pPr>
        <w:pStyle w:val="4"/>
        <w:spacing w:before="194" w:line="388" w:lineRule="auto"/>
        <w:ind w:right="235" w:firstLine="470"/>
        <w:rPr>
          <w:color w:val="auto"/>
        </w:rPr>
      </w:pPr>
      <w:r>
        <w:rPr>
          <w:color w:val="auto"/>
        </w:rPr>
        <w:t>《强制性产品认证管理规定》第五十三条第一款“伪造、变造、出租、出借、冒用、买卖或者转让认证证书的，由地方质检两局责令其改正，处 3 万元罚款。”</w:t>
      </w:r>
    </w:p>
    <w:p>
      <w:pPr>
        <w:spacing w:before="2"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1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伪造、变造、出租、出借、冒用、买卖或者转让认证证书的。</w:t>
      </w:r>
    </w:p>
    <w:p>
      <w:pPr>
        <w:pStyle w:val="13"/>
        <w:numPr>
          <w:ilvl w:val="0"/>
          <w:numId w:val="101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责令改正，处 3 万元罚款。</w:t>
      </w:r>
    </w:p>
    <w:p>
      <w:pPr>
        <w:pStyle w:val="2"/>
        <w:spacing w:before="192"/>
        <w:rPr>
          <w:color w:val="auto"/>
        </w:rPr>
      </w:pPr>
      <w:bookmarkStart w:id="1026" w:name="五百零一、转让或者倒卖强制性产品认证标志"/>
      <w:bookmarkEnd w:id="1026"/>
      <w:bookmarkStart w:id="1027" w:name="_bookmark512"/>
      <w:bookmarkEnd w:id="1027"/>
      <w:r>
        <w:rPr>
          <w:color w:val="auto"/>
        </w:rPr>
        <w:t>五百零一、转让或者倒卖强制性产品认证标志</w:t>
      </w:r>
    </w:p>
    <w:p>
      <w:pPr>
        <w:spacing w:before="194"/>
        <w:ind w:left="464" w:right="0" w:firstLine="0"/>
        <w:jc w:val="left"/>
        <w:rPr>
          <w:b/>
          <w:color w:val="auto"/>
          <w:sz w:val="24"/>
        </w:rPr>
      </w:pPr>
      <w:r>
        <w:rPr>
          <w:b/>
          <w:color w:val="auto"/>
          <w:sz w:val="24"/>
        </w:rPr>
        <w:t>（一）处罚依据</w:t>
      </w:r>
    </w:p>
    <w:p>
      <w:pPr>
        <w:pStyle w:val="4"/>
        <w:spacing w:before="192" w:line="388" w:lineRule="auto"/>
        <w:ind w:right="218" w:firstLine="470"/>
        <w:rPr>
          <w:color w:val="auto"/>
        </w:rPr>
      </w:pPr>
      <w:r>
        <w:rPr>
          <w:color w:val="auto"/>
        </w:rPr>
        <w:t>《强制性产品认证管理规定》第五十三条二款“转让或者倒卖认证标志的，由地方质检两局责令其改正，处 3 万元以下罚款。”</w:t>
      </w:r>
    </w:p>
    <w:p>
      <w:pPr>
        <w:spacing w:after="0" w:line="388" w:lineRule="auto"/>
        <w:rPr>
          <w:color w:val="auto"/>
        </w:rPr>
        <w:sectPr>
          <w:pgSz w:w="11910" w:h="16840"/>
          <w:pgMar w:top="1520" w:right="1260" w:bottom="1220" w:left="1420" w:header="0" w:footer="1034" w:gutter="0"/>
        </w:sectPr>
      </w:pPr>
    </w:p>
    <w:p>
      <w:pPr>
        <w:spacing w:before="39" w:line="391" w:lineRule="auto"/>
        <w:ind w:left="711" w:right="7075" w:hanging="248"/>
        <w:jc w:val="left"/>
        <w:rPr>
          <w:color w:val="auto"/>
          <w:sz w:val="24"/>
        </w:rPr>
      </w:pPr>
      <w:r>
        <w:rPr>
          <w:b/>
          <w:color w:val="auto"/>
          <w:sz w:val="24"/>
        </w:rPr>
        <w:t>（二）裁量标准</w:t>
      </w:r>
      <w:r>
        <w:rPr>
          <w:color w:val="auto"/>
          <w:sz w:val="24"/>
        </w:rPr>
        <w:t>1、【较轻】</w:t>
      </w:r>
    </w:p>
    <w:p>
      <w:pPr>
        <w:pStyle w:val="13"/>
        <w:numPr>
          <w:ilvl w:val="0"/>
          <w:numId w:val="101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有下列情形之一的：1、初次违法的，及时停止违法行为追回转让或者倒卖认证标志，并消除危害后果；2</w:t>
      </w:r>
      <w:r>
        <w:rPr>
          <w:color w:val="auto"/>
          <w:spacing w:val="-2"/>
        </w:rPr>
        <w:t xml:space="preserve">、转让或者倒卖认证标志数量较少，收取费用在 </w:t>
      </w:r>
      <w:r>
        <w:rPr>
          <w:color w:val="auto"/>
        </w:rPr>
        <w:t>5</w:t>
      </w:r>
      <w:r>
        <w:rPr>
          <w:color w:val="auto"/>
          <w:spacing w:val="-9"/>
        </w:rPr>
        <w:t xml:space="preserve"> 千元以下的。</w:t>
      </w:r>
    </w:p>
    <w:p>
      <w:pPr>
        <w:pStyle w:val="13"/>
        <w:numPr>
          <w:ilvl w:val="0"/>
          <w:numId w:val="1012"/>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5272"/>
        <w:rPr>
          <w:color w:val="auto"/>
        </w:rPr>
      </w:pPr>
      <w:r>
        <w:rPr>
          <w:color w:val="auto"/>
          <w:spacing w:val="-9"/>
        </w:rPr>
        <w:t xml:space="preserve">责令改正，处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01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spacing w:val="-1"/>
        </w:rPr>
        <w:t>有下列情形之一的：</w:t>
      </w:r>
      <w:r>
        <w:rPr>
          <w:color w:val="auto"/>
          <w:spacing w:val="-5"/>
        </w:rPr>
        <w:t>1</w:t>
      </w:r>
      <w:r>
        <w:rPr>
          <w:color w:val="auto"/>
          <w:spacing w:val="-13"/>
        </w:rPr>
        <w:t xml:space="preserve">、收取费用 </w:t>
      </w:r>
      <w:r>
        <w:rPr>
          <w:color w:val="auto"/>
        </w:rPr>
        <w:t>5</w:t>
      </w:r>
      <w:r>
        <w:rPr>
          <w:color w:val="auto"/>
          <w:spacing w:val="-20"/>
        </w:rPr>
        <w:t xml:space="preserve"> 千元以上 </w:t>
      </w:r>
      <w:r>
        <w:rPr>
          <w:color w:val="auto"/>
        </w:rPr>
        <w:t>1</w:t>
      </w:r>
      <w:r>
        <w:rPr>
          <w:color w:val="auto"/>
          <w:spacing w:val="-10"/>
        </w:rPr>
        <w:t xml:space="preserve"> 万元以下的；</w:t>
      </w:r>
      <w:r>
        <w:rPr>
          <w:color w:val="auto"/>
          <w:spacing w:val="-4"/>
        </w:rPr>
        <w:t>2</w:t>
      </w:r>
      <w:r>
        <w:rPr>
          <w:color w:val="auto"/>
          <w:spacing w:val="-5"/>
        </w:rPr>
        <w:t>、转让或者倒卖认</w:t>
      </w:r>
      <w:r>
        <w:rPr>
          <w:color w:val="auto"/>
        </w:rPr>
        <w:t>证标志只部分追回的。</w:t>
      </w:r>
    </w:p>
    <w:p>
      <w:pPr>
        <w:pStyle w:val="13"/>
        <w:numPr>
          <w:ilvl w:val="0"/>
          <w:numId w:val="1013"/>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line="388" w:lineRule="auto"/>
        <w:ind w:left="591" w:right="4072"/>
        <w:rPr>
          <w:color w:val="auto"/>
        </w:rPr>
      </w:pPr>
      <w:r>
        <w:rPr>
          <w:color w:val="auto"/>
          <w:spacing w:val="-9"/>
        </w:rPr>
        <w:t xml:space="preserve">责令改正，处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、【较重】</w:t>
      </w:r>
    </w:p>
    <w:p>
      <w:pPr>
        <w:pStyle w:val="13"/>
        <w:numPr>
          <w:ilvl w:val="0"/>
          <w:numId w:val="101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1"/>
        </w:rPr>
        <w:t>有下列违法情形之一的：</w:t>
      </w:r>
      <w:r>
        <w:rPr>
          <w:color w:val="auto"/>
          <w:spacing w:val="-10"/>
        </w:rPr>
        <w:t>1</w:t>
      </w:r>
      <w:r>
        <w:rPr>
          <w:color w:val="auto"/>
          <w:spacing w:val="-5"/>
        </w:rPr>
        <w:t xml:space="preserve">、转让或者倒卖认证标志数量较多或收取费用较多的； </w:t>
      </w:r>
      <w:r>
        <w:rPr>
          <w:color w:val="auto"/>
        </w:rPr>
        <w:t>2、转让或者卖认证标志无法追回；3、具有其他较重情节的。</w:t>
      </w:r>
    </w:p>
    <w:p>
      <w:pPr>
        <w:pStyle w:val="13"/>
        <w:numPr>
          <w:ilvl w:val="0"/>
          <w:numId w:val="101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责令改正，处 2 万元以上 3 万元以下罚款。</w:t>
      </w:r>
    </w:p>
    <w:p>
      <w:pPr>
        <w:pStyle w:val="2"/>
        <w:spacing w:before="192"/>
        <w:rPr>
          <w:color w:val="auto"/>
        </w:rPr>
      </w:pPr>
      <w:bookmarkStart w:id="1028" w:name="_bookmark513"/>
      <w:bookmarkEnd w:id="1028"/>
      <w:bookmarkStart w:id="1029" w:name="五百零二、认证委托人提供的样品与实际生产的产品不一致"/>
      <w:bookmarkEnd w:id="1029"/>
      <w:r>
        <w:rPr>
          <w:color w:val="auto"/>
        </w:rPr>
        <w:t>五百零二、认证委托人提供的样品与实际生产的产品不一致</w:t>
      </w:r>
    </w:p>
    <w:p>
      <w:pPr>
        <w:spacing w:before="191"/>
        <w:ind w:left="591" w:right="0" w:firstLine="0"/>
        <w:jc w:val="left"/>
        <w:rPr>
          <w:b/>
          <w:color w:val="auto"/>
          <w:sz w:val="24"/>
        </w:rPr>
      </w:pPr>
      <w:r>
        <w:rPr>
          <w:b/>
          <w:color w:val="auto"/>
          <w:sz w:val="24"/>
        </w:rPr>
        <w:t>（一）处罚依据</w:t>
      </w:r>
    </w:p>
    <w:p>
      <w:pPr>
        <w:pStyle w:val="4"/>
        <w:spacing w:before="195" w:line="388" w:lineRule="auto"/>
        <w:ind w:right="266" w:firstLine="470"/>
        <w:jc w:val="both"/>
        <w:rPr>
          <w:color w:val="auto"/>
        </w:rPr>
      </w:pPr>
      <w:r>
        <w:rPr>
          <w:color w:val="auto"/>
          <w:spacing w:val="-3"/>
        </w:rPr>
        <w:t>《强制性产品认证管理规定》第五十四条第</w:t>
      </w:r>
      <w:r>
        <w:rPr>
          <w:color w:val="auto"/>
        </w:rPr>
        <w:t>（一</w:t>
      </w:r>
      <w:r>
        <w:rPr>
          <w:color w:val="auto"/>
          <w:spacing w:val="-5"/>
        </w:rPr>
        <w:t>）</w:t>
      </w:r>
      <w:r>
        <w:rPr>
          <w:color w:val="auto"/>
          <w:spacing w:val="-4"/>
        </w:rPr>
        <w:t>项“有下列情形之一的，由地</w:t>
      </w:r>
      <w:r>
        <w:rPr>
          <w:color w:val="auto"/>
          <w:spacing w:val="-6"/>
        </w:rPr>
        <w:t xml:space="preserve">方质检两局责令其改正，处 </w:t>
      </w:r>
      <w:r>
        <w:rPr>
          <w:color w:val="auto"/>
        </w:rPr>
        <w:t>3</w:t>
      </w:r>
      <w:r>
        <w:rPr>
          <w:color w:val="auto"/>
          <w:spacing w:val="-9"/>
        </w:rPr>
        <w:t xml:space="preserve"> 万元以下的罚款：（</w:t>
      </w:r>
      <w:r>
        <w:rPr>
          <w:color w:val="auto"/>
        </w:rPr>
        <w:t>一</w:t>
      </w:r>
      <w:r>
        <w:rPr>
          <w:color w:val="auto"/>
          <w:spacing w:val="-10"/>
        </w:rPr>
        <w:t>）</w:t>
      </w:r>
      <w:r>
        <w:rPr>
          <w:color w:val="auto"/>
          <w:spacing w:val="-2"/>
        </w:rPr>
        <w:t>违反本规定第十三条第一款规</w:t>
      </w:r>
      <w:r>
        <w:rPr>
          <w:color w:val="auto"/>
        </w:rPr>
        <w:t>定，认证委托人提供的样品与实际生产的产品不一致的。”</w:t>
      </w:r>
    </w:p>
    <w:p>
      <w:pPr>
        <w:spacing w:before="5"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015"/>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2" w:firstLine="480"/>
        <w:rPr>
          <w:color w:val="auto"/>
        </w:rPr>
      </w:pPr>
      <w:r>
        <w:rPr>
          <w:color w:val="auto"/>
        </w:rPr>
        <w:t>有下列情形之一的：1、属首次违法，检查后及时停止违法行为；2、售出的产品货值金额较小，违法行为未造成不良后果。</w:t>
      </w:r>
    </w:p>
    <w:p>
      <w:pPr>
        <w:pStyle w:val="13"/>
        <w:numPr>
          <w:ilvl w:val="0"/>
          <w:numId w:val="101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9"/>
        </w:rPr>
        <w:t xml:space="preserve">责令改正，处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01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认证委托人提供的样品与实际生产的产品不一致的。。</w:t>
      </w:r>
    </w:p>
    <w:p>
      <w:pPr>
        <w:pStyle w:val="13"/>
        <w:numPr>
          <w:ilvl w:val="0"/>
          <w:numId w:val="101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312"/>
        <w:rPr>
          <w:color w:val="auto"/>
        </w:rPr>
      </w:pPr>
      <w:r>
        <w:rPr>
          <w:color w:val="auto"/>
          <w:spacing w:val="-9"/>
        </w:rPr>
        <w:t xml:space="preserve">责令改正，处 </w:t>
      </w:r>
      <w:r>
        <w:rPr>
          <w:color w:val="auto"/>
        </w:rPr>
        <w:t>2</w:t>
      </w:r>
      <w:r>
        <w:rPr>
          <w:color w:val="auto"/>
          <w:spacing w:val="-24"/>
        </w:rPr>
        <w:t xml:space="preserve"> 元以上 </w:t>
      </w:r>
      <w:r>
        <w:rPr>
          <w:color w:val="auto"/>
        </w:rPr>
        <w:t>3</w:t>
      </w:r>
      <w:r>
        <w:rPr>
          <w:color w:val="auto"/>
          <w:spacing w:val="-10"/>
        </w:rPr>
        <w:t xml:space="preserve"> 万元以下罚款。</w:t>
      </w:r>
      <w:r>
        <w:rPr>
          <w:color w:val="auto"/>
        </w:rPr>
        <w:t>3</w:t>
      </w:r>
      <w:r>
        <w:rPr>
          <w:color w:val="auto"/>
          <w:spacing w:val="-24"/>
        </w:rPr>
        <w:t>、【较重】</w:t>
      </w:r>
    </w:p>
    <w:p>
      <w:pPr>
        <w:pStyle w:val="13"/>
        <w:numPr>
          <w:ilvl w:val="0"/>
          <w:numId w:val="1017"/>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有下列情形之一的：1、违法行为持续时间长或属违法行为再次被查处的；2、售出的产品货值金额较大的。</w:t>
      </w:r>
    </w:p>
    <w:p>
      <w:pPr>
        <w:pStyle w:val="13"/>
        <w:numPr>
          <w:ilvl w:val="0"/>
          <w:numId w:val="1017"/>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责令改正，处 2 万元以上 3 万元以下罚款。</w:t>
      </w:r>
    </w:p>
    <w:p>
      <w:pPr>
        <w:pStyle w:val="2"/>
        <w:spacing w:before="192" w:line="391" w:lineRule="auto"/>
        <w:ind w:left="111" w:right="193" w:firstLine="480"/>
        <w:rPr>
          <w:color w:val="auto"/>
        </w:rPr>
      </w:pPr>
      <w:bookmarkStart w:id="1030" w:name="_bookmark514"/>
      <w:bookmarkEnd w:id="1030"/>
      <w:bookmarkStart w:id="1031" w:name="五百零三、未按照规定向认证机构申请认证证书变更，擅自出厂、销售、进口或者在其他经"/>
      <w:bookmarkEnd w:id="1031"/>
      <w:r>
        <w:rPr>
          <w:color w:val="auto"/>
        </w:rPr>
        <w:t>五百零三、未按照规定向认证机构申请认证证书变更，擅自出厂、销售、进口或者在其他经营活动中使用列入目录产品</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32" w:firstLine="480"/>
        <w:jc w:val="both"/>
        <w:rPr>
          <w:color w:val="auto"/>
        </w:rPr>
      </w:pPr>
      <w:r>
        <w:rPr>
          <w:color w:val="auto"/>
          <w:spacing w:val="-2"/>
        </w:rPr>
        <w:t>《强制性产品认证管理规定》第五十四条第</w:t>
      </w:r>
      <w:r>
        <w:rPr>
          <w:color w:val="auto"/>
        </w:rPr>
        <w:t>（二</w:t>
      </w:r>
      <w:r>
        <w:rPr>
          <w:color w:val="auto"/>
          <w:spacing w:val="-8"/>
        </w:rPr>
        <w:t>）</w:t>
      </w:r>
      <w:r>
        <w:rPr>
          <w:color w:val="auto"/>
          <w:spacing w:val="-4"/>
        </w:rPr>
        <w:t>项“有下列情形之一的，由地</w:t>
      </w:r>
      <w:r>
        <w:rPr>
          <w:color w:val="auto"/>
          <w:spacing w:val="-9"/>
        </w:rPr>
        <w:t xml:space="preserve">方质检两局责令其改正，处 </w:t>
      </w:r>
      <w:r>
        <w:rPr>
          <w:color w:val="auto"/>
        </w:rPr>
        <w:t>3</w:t>
      </w:r>
      <w:r>
        <w:rPr>
          <w:color w:val="auto"/>
          <w:spacing w:val="-8"/>
        </w:rPr>
        <w:t xml:space="preserve"> 万元以下的罚款</w:t>
      </w:r>
      <w:r>
        <w:rPr>
          <w:color w:val="auto"/>
        </w:rPr>
        <w:t>：（二）</w:t>
      </w:r>
      <w:r>
        <w:rPr>
          <w:color w:val="auto"/>
          <w:spacing w:val="-2"/>
        </w:rPr>
        <w:t xml:space="preserve">违反本规定第二十四条规定， </w:t>
      </w:r>
      <w:r>
        <w:rPr>
          <w:color w:val="auto"/>
          <w:spacing w:val="-3"/>
        </w:rPr>
        <w:t>未按照规定向认证机构申请认证证书变更，擅自出厂、销售、进口或者在其他经营活动中使用列入目录产品的。”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01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line="388" w:lineRule="auto"/>
        <w:ind w:right="212" w:firstLine="480"/>
        <w:rPr>
          <w:color w:val="auto"/>
        </w:rPr>
      </w:pPr>
      <w:r>
        <w:rPr>
          <w:color w:val="auto"/>
        </w:rPr>
        <w:t>有下列情形之一的：1、属首次违法，检查后及时停止违法行为；2、售出的产品货值金额较小，违法行为未造成不良后果。</w:t>
      </w:r>
    </w:p>
    <w:p>
      <w:pPr>
        <w:pStyle w:val="13"/>
        <w:numPr>
          <w:ilvl w:val="0"/>
          <w:numId w:val="1018"/>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footerReference r:id="rId119" w:type="default"/>
          <w:footerReference r:id="rId120" w:type="even"/>
          <w:pgSz w:w="11910" w:h="16840"/>
          <w:pgMar w:top="1520" w:right="1260" w:bottom="1220" w:left="1420" w:header="0" w:footer="1034" w:gutter="0"/>
          <w:pgNumType w:start="490"/>
        </w:sectPr>
      </w:pPr>
    </w:p>
    <w:p>
      <w:pPr>
        <w:pStyle w:val="4"/>
        <w:spacing w:before="39" w:line="391" w:lineRule="auto"/>
        <w:ind w:left="591" w:right="5272"/>
        <w:rPr>
          <w:color w:val="auto"/>
        </w:rPr>
      </w:pPr>
      <w:r>
        <w:rPr>
          <w:color w:val="auto"/>
          <w:spacing w:val="-9"/>
        </w:rPr>
        <w:t xml:space="preserve">责令改正，处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01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未按照规定向认证机构申请认证证书变更，擅自出厂、销售、进口或者在其他经营活动中使用列入目录产品的。</w:t>
      </w:r>
    </w:p>
    <w:p>
      <w:pPr>
        <w:pStyle w:val="13"/>
        <w:numPr>
          <w:ilvl w:val="0"/>
          <w:numId w:val="101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312"/>
        <w:rPr>
          <w:color w:val="auto"/>
        </w:rPr>
      </w:pPr>
      <w:r>
        <w:rPr>
          <w:color w:val="auto"/>
          <w:spacing w:val="-9"/>
        </w:rPr>
        <w:t xml:space="preserve">责令改正，处 </w:t>
      </w:r>
      <w:r>
        <w:rPr>
          <w:color w:val="auto"/>
        </w:rPr>
        <w:t>1</w:t>
      </w:r>
      <w:r>
        <w:rPr>
          <w:color w:val="auto"/>
          <w:spacing w:val="-24"/>
        </w:rPr>
        <w:t xml:space="preserve"> 元以上 </w:t>
      </w:r>
      <w:r>
        <w:rPr>
          <w:color w:val="auto"/>
        </w:rPr>
        <w:t>2</w:t>
      </w:r>
      <w:r>
        <w:rPr>
          <w:color w:val="auto"/>
          <w:spacing w:val="-10"/>
        </w:rPr>
        <w:t xml:space="preserve"> 万元以下罚款。</w:t>
      </w:r>
      <w:r>
        <w:rPr>
          <w:color w:val="auto"/>
        </w:rPr>
        <w:t>3</w:t>
      </w:r>
      <w:r>
        <w:rPr>
          <w:color w:val="auto"/>
          <w:spacing w:val="-24"/>
        </w:rPr>
        <w:t>、【较重】</w:t>
      </w:r>
    </w:p>
    <w:p>
      <w:pPr>
        <w:pStyle w:val="13"/>
        <w:numPr>
          <w:ilvl w:val="0"/>
          <w:numId w:val="102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有下列情形之一的：1、违法行为持续时间长或属违法行为再次被查处的；2、售出的产品货值金额较大的。</w:t>
      </w:r>
    </w:p>
    <w:p>
      <w:pPr>
        <w:pStyle w:val="13"/>
        <w:numPr>
          <w:ilvl w:val="0"/>
          <w:numId w:val="102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责令改正，处 2 万元以上 3 万元以下罚款。</w:t>
      </w:r>
    </w:p>
    <w:p>
      <w:pPr>
        <w:pStyle w:val="2"/>
        <w:spacing w:before="194" w:line="388" w:lineRule="auto"/>
        <w:ind w:left="111" w:right="193" w:firstLine="480"/>
        <w:rPr>
          <w:color w:val="auto"/>
        </w:rPr>
      </w:pPr>
      <w:bookmarkStart w:id="1032" w:name="_bookmark515"/>
      <w:bookmarkEnd w:id="1032"/>
      <w:bookmarkStart w:id="1033" w:name="五百零四、未按照规定向认证机构申请认证证书扩展，擅自出厂、销售、进口或者在其他经"/>
      <w:bookmarkEnd w:id="1033"/>
      <w:r>
        <w:rPr>
          <w:color w:val="auto"/>
        </w:rPr>
        <w:t>五百零四、未按照规定向认证机构申请认证证书扩展，擅自出厂、销售、进口或者在其他经营活动中使用列入目录产品</w:t>
      </w:r>
    </w:p>
    <w:p>
      <w:pPr>
        <w:spacing w:before="2"/>
        <w:ind w:left="591" w:right="0" w:firstLine="0"/>
        <w:jc w:val="left"/>
        <w:rPr>
          <w:b/>
          <w:color w:val="auto"/>
          <w:sz w:val="24"/>
        </w:rPr>
      </w:pPr>
      <w:r>
        <w:rPr>
          <w:b/>
          <w:color w:val="auto"/>
          <w:sz w:val="24"/>
        </w:rPr>
        <w:t>（一）处罚依据</w:t>
      </w:r>
    </w:p>
    <w:p>
      <w:pPr>
        <w:pStyle w:val="4"/>
        <w:spacing w:before="195" w:line="391" w:lineRule="auto"/>
        <w:ind w:right="268" w:firstLine="470"/>
        <w:jc w:val="both"/>
        <w:rPr>
          <w:color w:val="auto"/>
        </w:rPr>
      </w:pPr>
      <w:r>
        <w:rPr>
          <w:color w:val="auto"/>
        </w:rPr>
        <w:t xml:space="preserve">1、《强制性产品认证管理规定》第五十四条第（三）项“有下列情形之一的， </w:t>
      </w:r>
      <w:r>
        <w:rPr>
          <w:color w:val="auto"/>
          <w:spacing w:val="-5"/>
        </w:rPr>
        <w:t xml:space="preserve">由地方质检两局责令其改正，处 </w:t>
      </w:r>
      <w:r>
        <w:rPr>
          <w:color w:val="auto"/>
        </w:rPr>
        <w:t>3</w:t>
      </w:r>
      <w:r>
        <w:rPr>
          <w:color w:val="auto"/>
          <w:spacing w:val="-9"/>
        </w:rPr>
        <w:t xml:space="preserve"> 万元以下的罚款：（</w:t>
      </w:r>
      <w:r>
        <w:rPr>
          <w:color w:val="auto"/>
        </w:rPr>
        <w:t>三</w:t>
      </w:r>
      <w:r>
        <w:rPr>
          <w:color w:val="auto"/>
          <w:spacing w:val="-10"/>
        </w:rPr>
        <w:t>）</w:t>
      </w:r>
      <w:r>
        <w:rPr>
          <w:color w:val="auto"/>
          <w:spacing w:val="-2"/>
        </w:rPr>
        <w:t>违反本规定第二十五条规</w:t>
      </w:r>
      <w:r>
        <w:rPr>
          <w:color w:val="auto"/>
          <w:spacing w:val="-7"/>
        </w:rPr>
        <w:t>定，未按照规定向认证机构申请认证证书扩展，擅自出厂、销售、进口或者在其他经</w:t>
      </w:r>
      <w:r>
        <w:rPr>
          <w:color w:val="auto"/>
        </w:rPr>
        <w:t>营活动中使用列入目录产品的。”</w:t>
      </w:r>
    </w:p>
    <w:p>
      <w:pPr>
        <w:pStyle w:val="4"/>
        <w:spacing w:line="391" w:lineRule="auto"/>
        <w:ind w:right="268" w:firstLine="470"/>
        <w:jc w:val="both"/>
        <w:rPr>
          <w:color w:val="auto"/>
        </w:rPr>
      </w:pPr>
      <w:r>
        <w:rPr>
          <w:color w:val="auto"/>
        </w:rPr>
        <w:t>2、《强制性产品认证管理规定》第二十五条“认证委托人需要扩展其获证产品</w:t>
      </w:r>
      <w:r>
        <w:rPr>
          <w:color w:val="auto"/>
          <w:spacing w:val="-6"/>
        </w:rPr>
        <w:t>覆盖范围的，应当向认证机构申请认证证书的扩展，认证机构应当核查扩展产品与原</w:t>
      </w:r>
      <w:r>
        <w:rPr>
          <w:color w:val="auto"/>
          <w:spacing w:val="-5"/>
        </w:rPr>
        <w:t>获证产品的一致性，确认原认证结果对扩展产品的有效性。经确认合格后，可以根据</w:t>
      </w:r>
      <w:r>
        <w:rPr>
          <w:color w:val="auto"/>
        </w:rPr>
        <w:t>认证委托人的要求单独出具认证证书或者重新出具认证证书。”</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02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0"/>
        <w:ind w:left="591"/>
        <w:rPr>
          <w:color w:val="auto"/>
        </w:rPr>
      </w:pPr>
      <w:r>
        <w:rPr>
          <w:color w:val="auto"/>
        </w:rPr>
        <w:t>有下列情形之一的：1、属首次违法，检查后及时停止违法行为；2、售出的产品</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货值金额较小，违法行为未造成不良后果。</w:t>
      </w:r>
    </w:p>
    <w:p>
      <w:pPr>
        <w:pStyle w:val="13"/>
        <w:numPr>
          <w:ilvl w:val="0"/>
          <w:numId w:val="1021"/>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5272"/>
        <w:rPr>
          <w:color w:val="auto"/>
        </w:rPr>
      </w:pPr>
      <w:r>
        <w:rPr>
          <w:color w:val="auto"/>
          <w:spacing w:val="-9"/>
        </w:rPr>
        <w:t xml:space="preserve">责令改正，处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022"/>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未按照规定向认证机构申请认证证书扩展，擅自出厂、销售、进口或者在其他经营活动中使用列入目录产品的。</w:t>
      </w:r>
    </w:p>
    <w:p>
      <w:pPr>
        <w:pStyle w:val="13"/>
        <w:numPr>
          <w:ilvl w:val="0"/>
          <w:numId w:val="1022"/>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4312"/>
        <w:rPr>
          <w:color w:val="auto"/>
        </w:rPr>
      </w:pPr>
      <w:r>
        <w:rPr>
          <w:color w:val="auto"/>
          <w:spacing w:val="-9"/>
        </w:rPr>
        <w:t xml:space="preserve">责令改正，处 </w:t>
      </w:r>
      <w:r>
        <w:rPr>
          <w:color w:val="auto"/>
        </w:rPr>
        <w:t>1</w:t>
      </w:r>
      <w:r>
        <w:rPr>
          <w:color w:val="auto"/>
          <w:spacing w:val="-24"/>
        </w:rPr>
        <w:t xml:space="preserve"> 元以上 </w:t>
      </w:r>
      <w:r>
        <w:rPr>
          <w:color w:val="auto"/>
        </w:rPr>
        <w:t>2</w:t>
      </w:r>
      <w:r>
        <w:rPr>
          <w:color w:val="auto"/>
          <w:spacing w:val="-10"/>
        </w:rPr>
        <w:t xml:space="preserve"> 万元以下罚款。</w:t>
      </w:r>
      <w:r>
        <w:rPr>
          <w:color w:val="auto"/>
        </w:rPr>
        <w:t>3</w:t>
      </w:r>
      <w:r>
        <w:rPr>
          <w:color w:val="auto"/>
          <w:spacing w:val="-24"/>
        </w:rPr>
        <w:t>、【较重】</w:t>
      </w:r>
    </w:p>
    <w:p>
      <w:pPr>
        <w:pStyle w:val="13"/>
        <w:numPr>
          <w:ilvl w:val="0"/>
          <w:numId w:val="102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有下列情形之一的：1、违法行为持续时间长或属违法行为再次被查处的；2、售出的产品货值金额较大的。</w:t>
      </w:r>
    </w:p>
    <w:p>
      <w:pPr>
        <w:pStyle w:val="13"/>
        <w:numPr>
          <w:ilvl w:val="0"/>
          <w:numId w:val="1023"/>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责令改正，处 2 万元以上 3 万元以下罚款。</w:t>
      </w:r>
    </w:p>
    <w:p>
      <w:pPr>
        <w:pStyle w:val="2"/>
        <w:spacing w:before="192" w:line="391" w:lineRule="auto"/>
        <w:ind w:left="111" w:right="237" w:firstLine="480"/>
        <w:rPr>
          <w:color w:val="auto"/>
        </w:rPr>
      </w:pPr>
      <w:bookmarkStart w:id="1034" w:name="五百零五、获证产品及其销售包装上标注的认证证书所含内容与认证证书内容不一致"/>
      <w:bookmarkEnd w:id="1034"/>
      <w:bookmarkStart w:id="1035" w:name="_bookmark516"/>
      <w:bookmarkEnd w:id="1035"/>
      <w:r>
        <w:rPr>
          <w:color w:val="auto"/>
          <w:spacing w:val="-9"/>
        </w:rPr>
        <w:t>五百零五、获证产品及其销售包装上标注的认证证书所含内容与认证证书内容不一致</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6" w:firstLine="470"/>
        <w:jc w:val="both"/>
        <w:rPr>
          <w:color w:val="auto"/>
        </w:rPr>
      </w:pPr>
      <w:r>
        <w:rPr>
          <w:color w:val="auto"/>
        </w:rPr>
        <w:t xml:space="preserve">1、《强制性产品认证管理规定》第五十五条第（一）项“有下列情形之一的， </w:t>
      </w:r>
      <w:r>
        <w:rPr>
          <w:color w:val="auto"/>
          <w:spacing w:val="-6"/>
        </w:rPr>
        <w:t xml:space="preserve">由地方质检两局责令其限期改正，逾期未改正的，处 </w:t>
      </w:r>
      <w:r>
        <w:rPr>
          <w:color w:val="auto"/>
        </w:rPr>
        <w:t>2</w:t>
      </w:r>
      <w:r>
        <w:rPr>
          <w:color w:val="auto"/>
          <w:spacing w:val="-9"/>
        </w:rPr>
        <w:t xml:space="preserve"> 万元以下罚款：</w:t>
      </w:r>
      <w:r>
        <w:rPr>
          <w:color w:val="auto"/>
          <w:spacing w:val="-8"/>
        </w:rPr>
        <w:t>（</w:t>
      </w:r>
      <w:r>
        <w:rPr>
          <w:color w:val="auto"/>
        </w:rPr>
        <w:t>一</w:t>
      </w:r>
      <w:r>
        <w:rPr>
          <w:color w:val="auto"/>
          <w:spacing w:val="-8"/>
        </w:rPr>
        <w:t>）</w:t>
      </w:r>
      <w:r>
        <w:rPr>
          <w:color w:val="auto"/>
          <w:spacing w:val="-5"/>
        </w:rPr>
        <w:t>违反本规定第二十三条规定，获证产品及其销售包装上标注的认证证书所含内容与认证证书</w:t>
      </w:r>
      <w:r>
        <w:rPr>
          <w:color w:val="auto"/>
        </w:rPr>
        <w:t>内容不一致的。”</w:t>
      </w:r>
    </w:p>
    <w:p>
      <w:pPr>
        <w:pStyle w:val="4"/>
        <w:spacing w:line="388" w:lineRule="auto"/>
        <w:ind w:right="268" w:firstLine="480"/>
        <w:jc w:val="both"/>
        <w:rPr>
          <w:color w:val="auto"/>
        </w:rPr>
      </w:pPr>
      <w:r>
        <w:rPr>
          <w:color w:val="auto"/>
        </w:rPr>
        <w:t>2、《强制性产品认证管理规定》第二十三条“获证产品及其销售包装上标注认</w:t>
      </w:r>
      <w:r>
        <w:rPr>
          <w:color w:val="auto"/>
          <w:spacing w:val="-5"/>
        </w:rPr>
        <w:t>证证书所含内容的，应当与认证证书的内容相一致，并符合国家有关产品标识标注管</w:t>
      </w:r>
      <w:r>
        <w:rPr>
          <w:color w:val="auto"/>
        </w:rPr>
        <w:t>理规定。”</w:t>
      </w:r>
    </w:p>
    <w:p>
      <w:pPr>
        <w:spacing w:before="3"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24"/>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违法行为持续时间较短，责令限期改正未改正的。</w:t>
      </w:r>
    </w:p>
    <w:p>
      <w:pPr>
        <w:pStyle w:val="13"/>
        <w:numPr>
          <w:ilvl w:val="0"/>
          <w:numId w:val="1024"/>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6232"/>
        <w:rPr>
          <w:color w:val="auto"/>
        </w:rPr>
      </w:pPr>
      <w:r>
        <w:rPr>
          <w:color w:val="auto"/>
          <w:spacing w:val="-30"/>
        </w:rPr>
        <w:t xml:space="preserve">处 </w:t>
      </w:r>
      <w:r>
        <w:rPr>
          <w:color w:val="auto"/>
        </w:rPr>
        <w:t>1</w:t>
      </w:r>
      <w:r>
        <w:rPr>
          <w:color w:val="auto"/>
          <w:spacing w:val="-9"/>
        </w:rPr>
        <w:t xml:space="preserve"> 万元以下的罚款。</w:t>
      </w:r>
      <w:r>
        <w:rPr>
          <w:color w:val="auto"/>
        </w:rPr>
        <w:t>2</w:t>
      </w:r>
      <w:r>
        <w:rPr>
          <w:color w:val="auto"/>
          <w:spacing w:val="-24"/>
        </w:rPr>
        <w:t>、【严重】</w:t>
      </w:r>
    </w:p>
    <w:p>
      <w:pPr>
        <w:pStyle w:val="13"/>
        <w:numPr>
          <w:ilvl w:val="0"/>
          <w:numId w:val="1025"/>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违法行为持续时间较长或具有其他较重情节，责令限期改正未改正的。</w:t>
      </w:r>
    </w:p>
    <w:p>
      <w:pPr>
        <w:pStyle w:val="13"/>
        <w:numPr>
          <w:ilvl w:val="0"/>
          <w:numId w:val="102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1 万元以上 2 万元以下罚款。</w:t>
      </w:r>
    </w:p>
    <w:p>
      <w:pPr>
        <w:pStyle w:val="2"/>
        <w:spacing w:before="192" w:line="388" w:lineRule="auto"/>
        <w:ind w:left="111" w:right="240" w:firstLine="480"/>
        <w:rPr>
          <w:color w:val="auto"/>
        </w:rPr>
      </w:pPr>
      <w:bookmarkStart w:id="1036" w:name="五百零六、未按照认证规则规定在产品及其包装、广告、产品介绍等宣传材料中正确使用和"/>
      <w:bookmarkEnd w:id="1036"/>
      <w:bookmarkStart w:id="1037" w:name="_bookmark517"/>
      <w:bookmarkEnd w:id="1037"/>
      <w:r>
        <w:rPr>
          <w:color w:val="auto"/>
          <w:spacing w:val="-7"/>
        </w:rPr>
        <w:t>五百零六、未按照认证规则规定在产品及其包装、广告、产品介绍等宣传材料中正确使用和标注认证标志</w:t>
      </w:r>
    </w:p>
    <w:p>
      <w:pPr>
        <w:spacing w:before="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1</w:t>
      </w:r>
      <w:r>
        <w:rPr>
          <w:color w:val="auto"/>
          <w:spacing w:val="-12"/>
        </w:rPr>
        <w:t>、《强制性产品认证管理规定》第五十五条第</w:t>
      </w:r>
      <w:r>
        <w:rPr>
          <w:color w:val="auto"/>
        </w:rPr>
        <w:t>（二</w:t>
      </w:r>
      <w:r>
        <w:rPr>
          <w:color w:val="auto"/>
          <w:spacing w:val="-5"/>
        </w:rPr>
        <w:t>）项“有下列情形之一的，由</w:t>
      </w:r>
      <w:r>
        <w:rPr>
          <w:color w:val="auto"/>
          <w:spacing w:val="-3"/>
        </w:rPr>
        <w:t xml:space="preserve">地方质检两局责令其限期改正，逾期未改正的，处 </w:t>
      </w:r>
      <w:r>
        <w:rPr>
          <w:color w:val="auto"/>
        </w:rPr>
        <w:t>2</w:t>
      </w:r>
      <w:r>
        <w:rPr>
          <w:color w:val="auto"/>
          <w:spacing w:val="-21"/>
        </w:rPr>
        <w:t xml:space="preserve"> 万元以下罚款：</w:t>
      </w:r>
      <w:r>
        <w:rPr>
          <w:color w:val="auto"/>
          <w:spacing w:val="2"/>
        </w:rPr>
        <w:t>（二）</w:t>
      </w:r>
      <w:r>
        <w:rPr>
          <w:color w:val="auto"/>
          <w:spacing w:val="1"/>
        </w:rPr>
        <w:t>违反本规</w:t>
      </w:r>
      <w:r>
        <w:rPr>
          <w:color w:val="auto"/>
          <w:spacing w:val="-5"/>
        </w:rPr>
        <w:t>定第三十二条规定，未按照规定使用认证标志的。”</w:t>
      </w:r>
    </w:p>
    <w:p>
      <w:pPr>
        <w:pStyle w:val="4"/>
        <w:spacing w:line="391" w:lineRule="auto"/>
        <w:ind w:right="268" w:firstLine="480"/>
        <w:jc w:val="both"/>
        <w:rPr>
          <w:color w:val="auto"/>
        </w:rPr>
      </w:pPr>
      <w:r>
        <w:rPr>
          <w:color w:val="auto"/>
        </w:rPr>
        <w:t>2</w:t>
      </w:r>
      <w:r>
        <w:rPr>
          <w:color w:val="auto"/>
          <w:spacing w:val="-13"/>
        </w:rPr>
        <w:t>、《强制性产品认证管理规定》第三十二条“认证委托人应当建立认证标志使用</w:t>
      </w:r>
      <w:r>
        <w:rPr>
          <w:color w:val="auto"/>
          <w:spacing w:val="-6"/>
        </w:rPr>
        <w:t>管理制度，对认证标志的使用情况如实记录和存档，按照认证规则规定在产品及其包</w:t>
      </w:r>
      <w:r>
        <w:rPr>
          <w:color w:val="auto"/>
          <w:spacing w:val="-5"/>
        </w:rPr>
        <w:t>装、广告、产品介绍等宣传材料中正确使用和标注认证标志。”</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26"/>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9"/>
        <w:ind w:left="591"/>
        <w:rPr>
          <w:color w:val="auto"/>
        </w:rPr>
      </w:pPr>
      <w:r>
        <w:rPr>
          <w:color w:val="auto"/>
        </w:rPr>
        <w:t>违法行为持续时间较短，责令限期改正未改正的。</w:t>
      </w:r>
    </w:p>
    <w:p>
      <w:pPr>
        <w:pStyle w:val="13"/>
        <w:numPr>
          <w:ilvl w:val="0"/>
          <w:numId w:val="102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6472"/>
        <w:rPr>
          <w:color w:val="auto"/>
        </w:rPr>
      </w:pPr>
      <w:r>
        <w:rPr>
          <w:color w:val="auto"/>
          <w:spacing w:val="-30"/>
        </w:rPr>
        <w:t xml:space="preserve">处 </w:t>
      </w:r>
      <w:r>
        <w:rPr>
          <w:color w:val="auto"/>
        </w:rPr>
        <w:t>1</w:t>
      </w:r>
      <w:r>
        <w:rPr>
          <w:color w:val="auto"/>
          <w:spacing w:val="-10"/>
        </w:rPr>
        <w:t xml:space="preserve"> 万元以下罚款。</w:t>
      </w:r>
      <w:r>
        <w:rPr>
          <w:color w:val="auto"/>
        </w:rPr>
        <w:t>2</w:t>
      </w:r>
      <w:r>
        <w:rPr>
          <w:color w:val="auto"/>
          <w:spacing w:val="-24"/>
        </w:rPr>
        <w:t>、【严重】</w:t>
      </w:r>
    </w:p>
    <w:p>
      <w:pPr>
        <w:pStyle w:val="13"/>
        <w:numPr>
          <w:ilvl w:val="0"/>
          <w:numId w:val="102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违法行为持续时间较长或具有其他较重情节，责令限期改正未改正的。</w:t>
      </w:r>
    </w:p>
    <w:p>
      <w:pPr>
        <w:pStyle w:val="13"/>
        <w:numPr>
          <w:ilvl w:val="0"/>
          <w:numId w:val="102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1 万元以上 2 万元以下以下罚款。</w:t>
      </w:r>
    </w:p>
    <w:p>
      <w:pPr>
        <w:spacing w:after="0"/>
        <w:rPr>
          <w:color w:val="auto"/>
        </w:rPr>
        <w:sectPr>
          <w:pgSz w:w="11910" w:h="16840"/>
          <w:pgMar w:top="1520" w:right="1260" w:bottom="1220" w:left="1420" w:header="0" w:footer="1034" w:gutter="0"/>
        </w:sectPr>
      </w:pPr>
    </w:p>
    <w:p>
      <w:pPr>
        <w:pStyle w:val="2"/>
        <w:spacing w:before="39"/>
        <w:rPr>
          <w:color w:val="auto"/>
        </w:rPr>
      </w:pPr>
      <w:bookmarkStart w:id="1038" w:name="五百零七、混淆使用认证证书和认证标志"/>
      <w:bookmarkEnd w:id="1038"/>
      <w:bookmarkStart w:id="1039" w:name="_bookmark518"/>
      <w:bookmarkEnd w:id="1039"/>
      <w:r>
        <w:rPr>
          <w:color w:val="auto"/>
        </w:rPr>
        <w:t>五百零七、混淆使用认证证书和认证标志</w:t>
      </w:r>
    </w:p>
    <w:p>
      <w:pPr>
        <w:spacing w:before="195"/>
        <w:ind w:left="591" w:right="0" w:firstLine="0"/>
        <w:jc w:val="left"/>
        <w:rPr>
          <w:b/>
          <w:color w:val="auto"/>
          <w:sz w:val="24"/>
        </w:rPr>
      </w:pPr>
      <w:r>
        <w:rPr>
          <w:b/>
          <w:color w:val="auto"/>
          <w:sz w:val="24"/>
        </w:rPr>
        <w:t>（一）处罚依据</w:t>
      </w:r>
    </w:p>
    <w:p>
      <w:pPr>
        <w:pStyle w:val="4"/>
        <w:spacing w:before="191" w:line="391" w:lineRule="auto"/>
        <w:ind w:right="148" w:firstLine="470"/>
        <w:rPr>
          <w:color w:val="auto"/>
        </w:rPr>
      </w:pPr>
      <w:r>
        <w:rPr>
          <w:color w:val="auto"/>
        </w:rPr>
        <w:t>1、《认证证书和认证标志管理办法》第二十五条一款“违反本办法第十二条规</w:t>
      </w:r>
      <w:r>
        <w:rPr>
          <w:color w:val="auto"/>
          <w:spacing w:val="-15"/>
        </w:rPr>
        <w:t xml:space="preserve">定，对混淆使用认证证书和认证标志的，地方认证监督管理部门应当责令其限期改正， </w:t>
      </w:r>
      <w:r>
        <w:rPr>
          <w:color w:val="auto"/>
          <w:spacing w:val="-8"/>
        </w:rPr>
        <w:t xml:space="preserve">逾期不改的处以 </w:t>
      </w:r>
      <w:r>
        <w:rPr>
          <w:color w:val="auto"/>
        </w:rPr>
        <w:t>2</w:t>
      </w:r>
      <w:r>
        <w:rPr>
          <w:color w:val="auto"/>
          <w:spacing w:val="-8"/>
        </w:rPr>
        <w:t xml:space="preserve"> 万元以下罚款。”</w:t>
      </w:r>
    </w:p>
    <w:p>
      <w:pPr>
        <w:pStyle w:val="4"/>
        <w:spacing w:line="391" w:lineRule="auto"/>
        <w:ind w:right="268" w:firstLine="470"/>
        <w:jc w:val="both"/>
        <w:rPr>
          <w:color w:val="auto"/>
        </w:rPr>
      </w:pPr>
      <w:r>
        <w:rPr>
          <w:color w:val="auto"/>
        </w:rPr>
        <w:t>2、《认证证书和认证标志管理办法》第十二条“不得利用产品认证证书和相关</w:t>
      </w:r>
      <w:r>
        <w:rPr>
          <w:color w:val="auto"/>
          <w:spacing w:val="-6"/>
        </w:rPr>
        <w:t>文字、符号误导公众认为其服务、管理体系通过认证；不得利用服务认证证书和相关文字、符号误导公众认为其产品、管理体系通过认证；不得利用管理体系认证证书和</w:t>
      </w:r>
      <w:r>
        <w:rPr>
          <w:color w:val="auto"/>
        </w:rPr>
        <w:t>相关文字、符号，误导公众认为其产品、服务通过认证。”</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2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3"/>
        <w:ind w:left="591"/>
        <w:rPr>
          <w:color w:val="auto"/>
        </w:rPr>
      </w:pPr>
      <w:r>
        <w:rPr>
          <w:color w:val="auto"/>
        </w:rPr>
        <w:t>责令改正逾期未改正的。</w:t>
      </w:r>
    </w:p>
    <w:p>
      <w:pPr>
        <w:pStyle w:val="13"/>
        <w:numPr>
          <w:ilvl w:val="0"/>
          <w:numId w:val="102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4912"/>
        <w:rPr>
          <w:color w:val="auto"/>
        </w:rPr>
      </w:pPr>
      <w:r>
        <w:rPr>
          <w:color w:val="auto"/>
          <w:spacing w:val="-20"/>
        </w:rPr>
        <w:t xml:space="preserve">处以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2</w:t>
      </w:r>
      <w:r>
        <w:rPr>
          <w:color w:val="auto"/>
          <w:spacing w:val="-24"/>
        </w:rPr>
        <w:t>、【严重】</w:t>
      </w:r>
    </w:p>
    <w:p>
      <w:pPr>
        <w:pStyle w:val="13"/>
        <w:numPr>
          <w:ilvl w:val="0"/>
          <w:numId w:val="102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责令改正逾期未改正，且情节较重的。</w:t>
      </w:r>
    </w:p>
    <w:p>
      <w:pPr>
        <w:pStyle w:val="13"/>
        <w:numPr>
          <w:ilvl w:val="0"/>
          <w:numId w:val="102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1 万元以上 2 万元以下罚款。</w:t>
      </w:r>
    </w:p>
    <w:p>
      <w:pPr>
        <w:pStyle w:val="2"/>
        <w:spacing w:before="192" w:line="388" w:lineRule="auto"/>
        <w:ind w:left="111" w:right="237" w:firstLine="480"/>
        <w:rPr>
          <w:color w:val="auto"/>
        </w:rPr>
      </w:pPr>
      <w:bookmarkStart w:id="1040" w:name="五百零八、未通过认证，但在其产品或者产品包装上、广告等其他宣传中，使用虚假文字表"/>
      <w:bookmarkEnd w:id="1040"/>
      <w:bookmarkStart w:id="1041" w:name="_bookmark519"/>
      <w:bookmarkEnd w:id="1041"/>
      <w:r>
        <w:rPr>
          <w:color w:val="auto"/>
          <w:spacing w:val="-7"/>
        </w:rPr>
        <w:t>五百零八、未通过认证，但在其产品或者产品包装上、广告等其他宣传中，使用虚假文字表明其通过认证</w:t>
      </w:r>
    </w:p>
    <w:p>
      <w:pPr>
        <w:spacing w:before="5"/>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rPr>
        <w:t>1、《认证证书和认证标志管理办法》第二十五条第二款“未通过认证，但在其</w:t>
      </w:r>
      <w:r>
        <w:rPr>
          <w:color w:val="auto"/>
          <w:spacing w:val="-5"/>
        </w:rPr>
        <w:t>产品或者产品包装上、广告等其他宣传中，使用虚假文字表明其通过认证的，地方认</w:t>
      </w:r>
      <w:r>
        <w:rPr>
          <w:color w:val="auto"/>
        </w:rPr>
        <w:t>证监督管理部门应当按伪造、冒用认证标志、违法行为进行处罚。”</w:t>
      </w:r>
    </w:p>
    <w:p>
      <w:pPr>
        <w:pStyle w:val="4"/>
        <w:spacing w:line="388" w:lineRule="auto"/>
        <w:ind w:right="268" w:firstLine="470"/>
        <w:rPr>
          <w:color w:val="auto"/>
        </w:rPr>
      </w:pPr>
      <w:r>
        <w:rPr>
          <w:color w:val="auto"/>
        </w:rPr>
        <w:t>2、《中华人民共和国认证认可条例》第七十一条“伪造、冒用、买卖认证标志或者认证证书的，依照《中华人民共和国产品质量法》等法律的规定查处。”</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148" w:firstLine="470"/>
        <w:rPr>
          <w:color w:val="auto"/>
        </w:rPr>
      </w:pPr>
      <w:r>
        <w:rPr>
          <w:color w:val="auto"/>
        </w:rPr>
        <w:t>3、《中华人民共和国产品质量法》第五十三条“伪造产品产地的，伪造或者冒</w:t>
      </w:r>
      <w:r>
        <w:rPr>
          <w:color w:val="auto"/>
          <w:spacing w:val="-5"/>
        </w:rPr>
        <w:t>用他人厂名、厂址的，伪造或者冒用认证标志等质量标志的，责令改正，没收违法生</w:t>
      </w:r>
      <w:r>
        <w:rPr>
          <w:color w:val="auto"/>
          <w:spacing w:val="-14"/>
        </w:rPr>
        <w:t xml:space="preserve">产、销售的产品，并处违法生产、销售产品货值金额等值以下的罚款；有违法所得的， </w:t>
      </w:r>
      <w:r>
        <w:rPr>
          <w:color w:val="auto"/>
        </w:rPr>
        <w:t>并处没收违法所得；情节严重的，吊销营业执照。”</w:t>
      </w:r>
    </w:p>
    <w:p>
      <w:pPr>
        <w:pStyle w:val="2"/>
        <w:spacing w:line="304" w:lineRule="exact"/>
        <w:rPr>
          <w:color w:val="auto"/>
        </w:rPr>
      </w:pPr>
      <w:r>
        <w:rPr>
          <w:color w:val="auto"/>
        </w:rPr>
        <w:t>（二）裁量标准</w:t>
      </w:r>
    </w:p>
    <w:p>
      <w:pPr>
        <w:pStyle w:val="13"/>
        <w:numPr>
          <w:ilvl w:val="0"/>
          <w:numId w:val="103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有下列情形之一的：1、初次违法，未造成危害后果的；2、产品尚未销售，无违法所得的；3、积极配合查处，追回售出产品的。</w:t>
      </w:r>
    </w:p>
    <w:p>
      <w:pPr>
        <w:pStyle w:val="13"/>
        <w:numPr>
          <w:ilvl w:val="0"/>
          <w:numId w:val="103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13" w:firstLine="480"/>
        <w:rPr>
          <w:color w:val="auto"/>
        </w:rPr>
      </w:pPr>
      <w:r>
        <w:rPr>
          <w:color w:val="auto"/>
        </w:rPr>
        <w:t>责令改正，没收违法生产、销售的产品，并处违法生产产品货值金额 20%以下的罚款；有违法所得的，并处没收违法所得。</w:t>
      </w:r>
    </w:p>
    <w:p>
      <w:pPr>
        <w:pStyle w:val="4"/>
        <w:spacing w:line="306" w:lineRule="exact"/>
        <w:ind w:left="591"/>
        <w:rPr>
          <w:color w:val="auto"/>
        </w:rPr>
      </w:pPr>
      <w:r>
        <w:rPr>
          <w:color w:val="auto"/>
        </w:rPr>
        <w:t>2、【一般】</w:t>
      </w:r>
    </w:p>
    <w:p>
      <w:pPr>
        <w:pStyle w:val="13"/>
        <w:numPr>
          <w:ilvl w:val="0"/>
          <w:numId w:val="103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产品已售出，货值较小的。</w:t>
      </w:r>
    </w:p>
    <w:p>
      <w:pPr>
        <w:pStyle w:val="13"/>
        <w:numPr>
          <w:ilvl w:val="0"/>
          <w:numId w:val="103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15" w:firstLine="480"/>
        <w:rPr>
          <w:color w:val="auto"/>
        </w:rPr>
      </w:pPr>
      <w:r>
        <w:rPr>
          <w:color w:val="auto"/>
        </w:rPr>
        <w:t>责令改正，没收违法生产、销售的产品，并处违法生产、销售产品货值金额 20% 以上 40%以下的罚款；有违法所得的，并处没收违法所得。</w:t>
      </w:r>
    </w:p>
    <w:p>
      <w:pPr>
        <w:pStyle w:val="4"/>
        <w:spacing w:line="306" w:lineRule="exact"/>
        <w:ind w:left="591"/>
        <w:rPr>
          <w:color w:val="auto"/>
        </w:rPr>
      </w:pPr>
      <w:r>
        <w:rPr>
          <w:color w:val="auto"/>
        </w:rPr>
        <w:t>3、【较重】</w:t>
      </w:r>
    </w:p>
    <w:p>
      <w:pPr>
        <w:pStyle w:val="13"/>
        <w:numPr>
          <w:ilvl w:val="0"/>
          <w:numId w:val="1032"/>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产品货值较大或具有其他较重情节的。</w:t>
      </w:r>
    </w:p>
    <w:p>
      <w:pPr>
        <w:pStyle w:val="13"/>
        <w:numPr>
          <w:ilvl w:val="0"/>
          <w:numId w:val="1032"/>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600"/>
        <w:rPr>
          <w:color w:val="auto"/>
        </w:rPr>
      </w:pPr>
      <w:r>
        <w:rPr>
          <w:color w:val="auto"/>
          <w:spacing w:val="-11"/>
        </w:rPr>
        <w:t xml:space="preserve">责令改正，没收违法生产、销售的产品，并处违法生产、销售产品货值金额 </w:t>
      </w:r>
      <w:r>
        <w:rPr>
          <w:color w:val="auto"/>
          <w:spacing w:val="-6"/>
        </w:rPr>
        <w:t xml:space="preserve">40% </w:t>
      </w:r>
      <w:r>
        <w:rPr>
          <w:color w:val="auto"/>
          <w:spacing w:val="-20"/>
        </w:rPr>
        <w:t xml:space="preserve">以上 </w:t>
      </w:r>
      <w:r>
        <w:rPr>
          <w:color w:val="auto"/>
        </w:rPr>
        <w:t>60%以下的罚款；有违法所得的，并处没收违法所得；通报营业执照发证部门。</w:t>
      </w:r>
    </w:p>
    <w:p>
      <w:pPr>
        <w:pStyle w:val="4"/>
        <w:spacing w:line="306" w:lineRule="exact"/>
        <w:ind w:left="591"/>
        <w:rPr>
          <w:color w:val="auto"/>
        </w:rPr>
      </w:pPr>
      <w:r>
        <w:rPr>
          <w:color w:val="auto"/>
        </w:rPr>
        <w:t>4、【严重】</w:t>
      </w:r>
    </w:p>
    <w:p>
      <w:pPr>
        <w:pStyle w:val="13"/>
        <w:numPr>
          <w:ilvl w:val="0"/>
          <w:numId w:val="103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有下列情形之一的：1、产品货值巨大；2、具有其他严重情节的。</w:t>
      </w:r>
    </w:p>
    <w:p>
      <w:pPr>
        <w:pStyle w:val="13"/>
        <w:numPr>
          <w:ilvl w:val="0"/>
          <w:numId w:val="103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责令改正，没收违法生产、销售的产品，并处违法生产、销售产品货值金额 60%</w:t>
      </w:r>
    </w:p>
    <w:p>
      <w:pPr>
        <w:spacing w:after="0"/>
        <w:rPr>
          <w:color w:val="auto"/>
        </w:rPr>
        <w:sectPr>
          <w:pgSz w:w="11910" w:h="16840"/>
          <w:pgMar w:top="1520" w:right="1260" w:bottom="1220" w:left="1420" w:header="0" w:footer="1034" w:gutter="0"/>
        </w:sectPr>
      </w:pPr>
    </w:p>
    <w:p>
      <w:pPr>
        <w:pStyle w:val="4"/>
        <w:spacing w:before="39" w:line="391" w:lineRule="auto"/>
        <w:ind w:left="591" w:right="1185" w:hanging="480"/>
        <w:rPr>
          <w:color w:val="auto"/>
        </w:rPr>
      </w:pPr>
      <w:r>
        <w:rPr>
          <w:color w:val="auto"/>
        </w:rPr>
        <w:t>以上 80%以下的罚款；有违法所得的，并处没收违法所得；吊销营业执照。5、【特别严重】</w:t>
      </w:r>
    </w:p>
    <w:p>
      <w:pPr>
        <w:pStyle w:val="13"/>
        <w:numPr>
          <w:ilvl w:val="0"/>
          <w:numId w:val="103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2" w:firstLine="480"/>
        <w:rPr>
          <w:color w:val="auto"/>
        </w:rPr>
      </w:pPr>
      <w:r>
        <w:rPr>
          <w:color w:val="auto"/>
        </w:rPr>
        <w:t>有下列情形之一的：1、多次违法，屡次查处不改的；2、造成较大社会影响或其他严重危害后果的。</w:t>
      </w:r>
    </w:p>
    <w:p>
      <w:pPr>
        <w:pStyle w:val="13"/>
        <w:numPr>
          <w:ilvl w:val="0"/>
          <w:numId w:val="103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13" w:firstLine="480"/>
        <w:rPr>
          <w:color w:val="auto"/>
        </w:rPr>
      </w:pPr>
      <w:r>
        <w:rPr>
          <w:color w:val="auto"/>
        </w:rPr>
        <w:t>没收违法生产、销售的产品，并处违法生产、销售产品货值金额 80%以上等值以下的罚款；有违法所得的，并处没收违法所得；吊销营业执照。</w:t>
      </w:r>
    </w:p>
    <w:p>
      <w:pPr>
        <w:pStyle w:val="2"/>
        <w:spacing w:line="306" w:lineRule="exact"/>
        <w:rPr>
          <w:color w:val="auto"/>
        </w:rPr>
      </w:pPr>
      <w:bookmarkStart w:id="1042" w:name="_bookmark520"/>
      <w:bookmarkEnd w:id="1042"/>
      <w:bookmarkStart w:id="1043" w:name="五百零九、伪造、冒用认证证书"/>
      <w:bookmarkEnd w:id="1043"/>
      <w:r>
        <w:rPr>
          <w:color w:val="auto"/>
        </w:rPr>
        <w:t>五百零九、伪造、冒用认证证书</w:t>
      </w:r>
    </w:p>
    <w:p>
      <w:pPr>
        <w:spacing w:before="192"/>
        <w:ind w:left="591" w:right="0" w:firstLine="0"/>
        <w:jc w:val="left"/>
        <w:rPr>
          <w:b/>
          <w:color w:val="auto"/>
          <w:sz w:val="24"/>
        </w:rPr>
      </w:pPr>
      <w:r>
        <w:rPr>
          <w:b/>
          <w:color w:val="auto"/>
          <w:sz w:val="24"/>
        </w:rPr>
        <w:t>（一）处罚依据</w:t>
      </w:r>
    </w:p>
    <w:p>
      <w:pPr>
        <w:pStyle w:val="4"/>
        <w:spacing w:before="194" w:line="388" w:lineRule="auto"/>
        <w:ind w:right="218" w:firstLine="470"/>
        <w:rPr>
          <w:color w:val="auto"/>
        </w:rPr>
      </w:pPr>
      <w:r>
        <w:rPr>
          <w:color w:val="auto"/>
        </w:rPr>
        <w:t>《认证证书和认证标志管理办法》第二十六条“违反本办法规定，伪造、冒用认证证书的，地方认证监督管理部门应当责令其改正，处以 3 万元罚款。”</w:t>
      </w:r>
    </w:p>
    <w:p>
      <w:pPr>
        <w:pStyle w:val="2"/>
        <w:spacing w:before="2"/>
        <w:rPr>
          <w:color w:val="auto"/>
        </w:rPr>
      </w:pPr>
      <w:r>
        <w:rPr>
          <w:color w:val="auto"/>
        </w:rPr>
        <w:t>（二）裁量标准</w:t>
      </w:r>
    </w:p>
    <w:p>
      <w:pPr>
        <w:pStyle w:val="4"/>
        <w:spacing w:before="194"/>
        <w:ind w:left="591"/>
        <w:rPr>
          <w:color w:val="auto"/>
        </w:rPr>
      </w:pPr>
      <w:r>
        <w:rPr>
          <w:color w:val="auto"/>
        </w:rPr>
        <w:t>责令改正，处 3 万元罚款。</w:t>
      </w:r>
    </w:p>
    <w:p>
      <w:pPr>
        <w:pStyle w:val="2"/>
        <w:spacing w:before="192"/>
        <w:rPr>
          <w:color w:val="auto"/>
        </w:rPr>
      </w:pPr>
      <w:bookmarkStart w:id="1044" w:name="五百一十、非法买卖或者转让认证证书"/>
      <w:bookmarkEnd w:id="1044"/>
      <w:bookmarkStart w:id="1045" w:name="_bookmark521"/>
      <w:bookmarkEnd w:id="1045"/>
      <w:r>
        <w:rPr>
          <w:color w:val="auto"/>
        </w:rPr>
        <w:t>五百一十、非法买卖或者转让认证证书</w:t>
      </w:r>
    </w:p>
    <w:p>
      <w:pPr>
        <w:spacing w:before="191"/>
        <w:ind w:left="591" w:right="0" w:firstLine="0"/>
        <w:jc w:val="left"/>
        <w:rPr>
          <w:b/>
          <w:color w:val="auto"/>
          <w:sz w:val="24"/>
        </w:rPr>
      </w:pPr>
      <w:r>
        <w:rPr>
          <w:b/>
          <w:color w:val="auto"/>
          <w:sz w:val="24"/>
        </w:rPr>
        <w:t>（一）处罚依据</w:t>
      </w:r>
    </w:p>
    <w:p>
      <w:pPr>
        <w:pStyle w:val="4"/>
        <w:spacing w:before="194" w:line="388" w:lineRule="auto"/>
        <w:ind w:right="218" w:firstLine="470"/>
        <w:rPr>
          <w:color w:val="auto"/>
        </w:rPr>
      </w:pPr>
      <w:r>
        <w:rPr>
          <w:color w:val="auto"/>
        </w:rPr>
        <w:t>《认证证书和认证标志管理办法》第二十七条“违反本办法规定，非法买卖或者转让认证证书的，地方认证监督管理部门责令其改正，处以 3 万元罚款；”</w:t>
      </w:r>
    </w:p>
    <w:p>
      <w:pPr>
        <w:pStyle w:val="2"/>
        <w:spacing w:before="2"/>
        <w:rPr>
          <w:color w:val="auto"/>
        </w:rPr>
      </w:pPr>
      <w:r>
        <w:rPr>
          <w:color w:val="auto"/>
        </w:rPr>
        <w:t>（二）裁量标准</w:t>
      </w:r>
    </w:p>
    <w:p>
      <w:pPr>
        <w:pStyle w:val="4"/>
        <w:spacing w:before="195"/>
        <w:ind w:left="591"/>
        <w:jc w:val="both"/>
        <w:rPr>
          <w:color w:val="auto"/>
        </w:rPr>
      </w:pPr>
      <w:r>
        <w:rPr>
          <w:color w:val="auto"/>
        </w:rPr>
        <w:t>责令改正，处 3 万元罚款。</w:t>
      </w:r>
    </w:p>
    <w:p>
      <w:pPr>
        <w:pStyle w:val="2"/>
        <w:spacing w:before="191" w:line="391" w:lineRule="auto"/>
        <w:ind w:left="111" w:right="235" w:firstLine="480"/>
        <w:jc w:val="both"/>
        <w:rPr>
          <w:color w:val="auto"/>
        </w:rPr>
      </w:pPr>
      <w:bookmarkStart w:id="1046" w:name="五百一十一、认证机构自行制定的认证标志的式样（包括使用的符号）、文字和名称与强制"/>
      <w:bookmarkEnd w:id="1046"/>
      <w:bookmarkStart w:id="1047" w:name="_bookmark522"/>
      <w:bookmarkEnd w:id="1047"/>
      <w:r>
        <w:rPr>
          <w:color w:val="auto"/>
        </w:rPr>
        <w:t>五百一十一、认证机构自行制定的认证标志的式样</w:t>
      </w:r>
      <w:r>
        <w:rPr>
          <w:color w:val="auto"/>
          <w:spacing w:val="4"/>
        </w:rPr>
        <w:t>（</w:t>
      </w:r>
      <w:r>
        <w:rPr>
          <w:color w:val="auto"/>
        </w:rPr>
        <w:t>包括使用的符号</w:t>
      </w:r>
      <w:r>
        <w:rPr>
          <w:color w:val="auto"/>
          <w:spacing w:val="-116"/>
        </w:rPr>
        <w:t>）</w:t>
      </w:r>
      <w:r>
        <w:rPr>
          <w:color w:val="auto"/>
        </w:rPr>
        <w:t>、文字和</w:t>
      </w:r>
      <w:r>
        <w:rPr>
          <w:color w:val="auto"/>
          <w:spacing w:val="-7"/>
        </w:rPr>
        <w:t>名称与强制性认证标志、国家统一的自愿性认证标志或者已经国家认监委备案的认证机构自行制定的认证标志相同或者近似</w:t>
      </w:r>
    </w:p>
    <w:p>
      <w:pPr>
        <w:spacing w:before="0" w:line="304"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1、《认证证书和认证标志管理办法》第二十八条“认证机构自行制定的认证标</w:t>
      </w:r>
      <w:r>
        <w:rPr>
          <w:color w:val="auto"/>
          <w:spacing w:val="-4"/>
        </w:rPr>
        <w:t>志违反本办法第十五条规定的，依照条例第六十一条规定处罚；违反其他法律、行政</w:t>
      </w:r>
      <w:r>
        <w:rPr>
          <w:color w:val="auto"/>
        </w:rPr>
        <w:t>法规规定的，依照其他法律、行政法规处罚。”</w:t>
      </w:r>
    </w:p>
    <w:p>
      <w:pPr>
        <w:pStyle w:val="4"/>
        <w:spacing w:line="304" w:lineRule="exact"/>
        <w:ind w:left="581"/>
        <w:rPr>
          <w:color w:val="auto"/>
        </w:rPr>
      </w:pPr>
      <w:r>
        <w:rPr>
          <w:color w:val="auto"/>
        </w:rPr>
        <w:t>2、《认证证书和认证标志管理办法》第十五条“认证机构自行制定的认证标志</w:t>
      </w:r>
    </w:p>
    <w:p>
      <w:pPr>
        <w:spacing w:after="0" w:line="304" w:lineRule="exact"/>
        <w:rPr>
          <w:color w:val="auto"/>
        </w:rPr>
        <w:sectPr>
          <w:pgSz w:w="11910" w:h="16840"/>
          <w:pgMar w:top="1520" w:right="1260" w:bottom="1220" w:left="1420" w:header="0" w:footer="1034" w:gutter="0"/>
        </w:sectPr>
      </w:pPr>
    </w:p>
    <w:p>
      <w:pPr>
        <w:pStyle w:val="4"/>
        <w:spacing w:before="39" w:line="391" w:lineRule="auto"/>
        <w:ind w:right="232"/>
        <w:jc w:val="both"/>
        <w:rPr>
          <w:color w:val="auto"/>
        </w:rPr>
      </w:pPr>
      <w:r>
        <w:rPr>
          <w:color w:val="auto"/>
          <w:spacing w:val="-4"/>
        </w:rPr>
        <w:t>的式样(包括使用的符号)、文字和名称，应当遵守以下规定：(一)不得与强制性认证</w:t>
      </w:r>
      <w:r>
        <w:rPr>
          <w:color w:val="auto"/>
          <w:spacing w:val="-7"/>
        </w:rPr>
        <w:t>标志、国家统一的自愿性认证标志或者已经国家认监委备案的认证机构自行制定的认</w:t>
      </w:r>
      <w:r>
        <w:rPr>
          <w:color w:val="auto"/>
          <w:spacing w:val="-9"/>
        </w:rPr>
        <w:t>证标志相同或者近似；(二)不得妨碍社会管理秩序；(三)不得将公众熟知的社会公共资源或者具有特定含义的认证名称的文字、符号、图案作为认证标志的组成部分(如</w:t>
      </w:r>
      <w:r>
        <w:rPr>
          <w:color w:val="auto"/>
          <w:spacing w:val="-8"/>
        </w:rPr>
        <w:t>使用表明安全、健康、环保、绿色、无污染等的文字、符号、图案)；(四) 不得将容</w:t>
      </w:r>
      <w:r>
        <w:rPr>
          <w:color w:val="auto"/>
          <w:spacing w:val="-9"/>
        </w:rPr>
        <w:t>易误导公众或者造成社会歧视、有损社会道德风尚以及其他不良影响的文字、符号、</w:t>
      </w:r>
      <w:r>
        <w:rPr>
          <w:color w:val="auto"/>
          <w:spacing w:val="-4"/>
        </w:rPr>
        <w:t>图案作为认证标志的组成部分；(五)其他法律、行政法规，或者国家制定的相关技术规范、标准的规定。”</w:t>
      </w:r>
    </w:p>
    <w:p>
      <w:pPr>
        <w:pStyle w:val="4"/>
        <w:spacing w:line="388" w:lineRule="auto"/>
        <w:ind w:right="146" w:firstLine="470"/>
        <w:jc w:val="both"/>
        <w:rPr>
          <w:color w:val="auto"/>
        </w:rPr>
      </w:pPr>
      <w:r>
        <w:rPr>
          <w:color w:val="auto"/>
        </w:rPr>
        <w:t>3</w:t>
      </w:r>
      <w:r>
        <w:rPr>
          <w:color w:val="auto"/>
          <w:spacing w:val="-7"/>
        </w:rPr>
        <w:t xml:space="preserve">、《中华人民共和国认证认可条例》第六十一条“认证机构有下列情形之一的， </w:t>
      </w:r>
      <w:r>
        <w:rPr>
          <w:color w:val="auto"/>
          <w:spacing w:val="-4"/>
        </w:rPr>
        <w:t xml:space="preserve">责令限期改正；逾期未改正的，处 </w:t>
      </w:r>
      <w:r>
        <w:rPr>
          <w:color w:val="auto"/>
        </w:rPr>
        <w:t>2</w:t>
      </w:r>
      <w:r>
        <w:rPr>
          <w:color w:val="auto"/>
          <w:spacing w:val="-20"/>
        </w:rPr>
        <w:t xml:space="preserve"> 万元以上 </w:t>
      </w:r>
      <w:r>
        <w:rPr>
          <w:color w:val="auto"/>
        </w:rPr>
        <w:t>10</w:t>
      </w:r>
      <w:r>
        <w:rPr>
          <w:color w:val="auto"/>
          <w:spacing w:val="-8"/>
        </w:rPr>
        <w:t xml:space="preserve"> 万元以下的罚款。”</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35"/>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责令限期改正，逾期不改正的。</w:t>
      </w:r>
    </w:p>
    <w:p>
      <w:pPr>
        <w:pStyle w:val="13"/>
        <w:numPr>
          <w:ilvl w:val="0"/>
          <w:numId w:val="103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2</w:t>
      </w:r>
      <w:r>
        <w:rPr>
          <w:color w:val="auto"/>
          <w:spacing w:val="-24"/>
        </w:rPr>
        <w:t>、【较重】</w:t>
      </w:r>
    </w:p>
    <w:p>
      <w:pPr>
        <w:pStyle w:val="13"/>
        <w:numPr>
          <w:ilvl w:val="0"/>
          <w:numId w:val="103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责令限期改正，逾期拒不改正，且造成不良社会影响的。</w:t>
      </w:r>
    </w:p>
    <w:p>
      <w:pPr>
        <w:pStyle w:val="13"/>
        <w:numPr>
          <w:ilvl w:val="0"/>
          <w:numId w:val="103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72"/>
        <w:rPr>
          <w:color w:val="auto"/>
        </w:rPr>
      </w:pPr>
      <w:r>
        <w:rPr>
          <w:color w:val="auto"/>
          <w:spacing w:val="-30"/>
        </w:rPr>
        <w:t xml:space="preserve">处 </w:t>
      </w:r>
      <w:r>
        <w:rPr>
          <w:color w:val="auto"/>
        </w:rPr>
        <w:t>4</w:t>
      </w:r>
      <w:r>
        <w:rPr>
          <w:color w:val="auto"/>
          <w:spacing w:val="-20"/>
        </w:rPr>
        <w:t xml:space="preserve"> 万元以上 </w:t>
      </w:r>
      <w:r>
        <w:rPr>
          <w:color w:val="auto"/>
        </w:rPr>
        <w:t>7</w:t>
      </w:r>
      <w:r>
        <w:rPr>
          <w:color w:val="auto"/>
          <w:spacing w:val="-10"/>
        </w:rPr>
        <w:t xml:space="preserve"> 万元以下罚款。</w:t>
      </w:r>
      <w:r>
        <w:rPr>
          <w:color w:val="auto"/>
        </w:rPr>
        <w:t>3</w:t>
      </w:r>
      <w:r>
        <w:rPr>
          <w:color w:val="auto"/>
          <w:spacing w:val="-24"/>
        </w:rPr>
        <w:t>、【严重】</w:t>
      </w:r>
    </w:p>
    <w:p>
      <w:pPr>
        <w:pStyle w:val="13"/>
        <w:numPr>
          <w:ilvl w:val="0"/>
          <w:numId w:val="103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711"/>
        <w:rPr>
          <w:color w:val="auto"/>
        </w:rPr>
      </w:pPr>
      <w:r>
        <w:rPr>
          <w:color w:val="auto"/>
        </w:rPr>
        <w:t>有下列情形之一的：1、属屡犯，拒不整改的；2、社会影响较大的。</w:t>
      </w:r>
    </w:p>
    <w:p>
      <w:pPr>
        <w:pStyle w:val="13"/>
        <w:numPr>
          <w:ilvl w:val="0"/>
          <w:numId w:val="103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7 万元以上 10 万元以下罚款。</w:t>
      </w:r>
    </w:p>
    <w:p>
      <w:pPr>
        <w:pStyle w:val="2"/>
        <w:spacing w:before="192" w:line="388" w:lineRule="auto"/>
        <w:ind w:left="111" w:right="194" w:firstLine="480"/>
        <w:rPr>
          <w:color w:val="auto"/>
        </w:rPr>
      </w:pPr>
      <w:bookmarkStart w:id="1048" w:name="_bookmark523"/>
      <w:bookmarkEnd w:id="1048"/>
      <w:bookmarkStart w:id="1049" w:name="五百一十二、认证机构发现其认证的产品、服务、管理体系不能持续符合认证要求，不及时"/>
      <w:bookmarkEnd w:id="1049"/>
      <w:r>
        <w:rPr>
          <w:color w:val="auto"/>
        </w:rPr>
        <w:t>五百一十二、认证机构发现其认证的产品、服务、管理体系不能持续符合认证要求，不及时暂停其使用认证证书和认证标志，或者不及时撤销认证证书或者停止其使</w:t>
      </w:r>
    </w:p>
    <w:p>
      <w:pPr>
        <w:spacing w:after="0" w:line="388" w:lineRule="auto"/>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用认证标志</w:t>
      </w:r>
    </w:p>
    <w:p>
      <w:pPr>
        <w:spacing w:before="195"/>
        <w:ind w:left="591" w:right="0" w:firstLine="0"/>
        <w:jc w:val="left"/>
        <w:rPr>
          <w:b/>
          <w:color w:val="auto"/>
          <w:sz w:val="24"/>
        </w:rPr>
      </w:pPr>
      <w:r>
        <w:rPr>
          <w:b/>
          <w:color w:val="auto"/>
          <w:sz w:val="24"/>
        </w:rPr>
        <w:t>（一）处罚依据</w:t>
      </w:r>
    </w:p>
    <w:p>
      <w:pPr>
        <w:pStyle w:val="4"/>
        <w:spacing w:before="191" w:line="391" w:lineRule="auto"/>
        <w:ind w:right="146" w:firstLine="470"/>
        <w:rPr>
          <w:color w:val="auto"/>
        </w:rPr>
      </w:pPr>
      <w:r>
        <w:rPr>
          <w:color w:val="auto"/>
        </w:rPr>
        <w:t>1</w:t>
      </w:r>
      <w:r>
        <w:rPr>
          <w:color w:val="auto"/>
          <w:spacing w:val="-7"/>
        </w:rPr>
        <w:t>、《认证证书和认证标志管理办法》第二十九条“认证机构发现其认证的产品、</w:t>
      </w:r>
      <w:r>
        <w:rPr>
          <w:color w:val="auto"/>
          <w:spacing w:val="-5"/>
        </w:rPr>
        <w:t>服务、管理体系不能持续符合认证要求，不及时暂停其使用认证证书和认证标志，或者不及时撤销认证证书或者停止其使用认证标志的，依照条例第六十条规定处罚。”</w:t>
      </w:r>
    </w:p>
    <w:p>
      <w:pPr>
        <w:pStyle w:val="4"/>
        <w:spacing w:line="391" w:lineRule="auto"/>
        <w:ind w:right="268" w:firstLine="470"/>
        <w:jc w:val="both"/>
        <w:rPr>
          <w:color w:val="auto"/>
        </w:rPr>
      </w:pPr>
      <w:r>
        <w:rPr>
          <w:color w:val="auto"/>
        </w:rPr>
        <w:t xml:space="preserve">2、《中华人民共和国认证认可条例》第六十条“认证机构有下列情形之一的， </w:t>
      </w:r>
      <w:r>
        <w:rPr>
          <w:color w:val="auto"/>
          <w:spacing w:val="-7"/>
        </w:rPr>
        <w:t xml:space="preserve">责令改正，处 </w:t>
      </w:r>
      <w:r>
        <w:rPr>
          <w:color w:val="auto"/>
        </w:rPr>
        <w:t>5</w:t>
      </w:r>
      <w:r>
        <w:rPr>
          <w:color w:val="auto"/>
          <w:spacing w:val="-16"/>
        </w:rPr>
        <w:t xml:space="preserve"> 万元以上 </w:t>
      </w:r>
      <w:r>
        <w:rPr>
          <w:color w:val="auto"/>
        </w:rPr>
        <w:t>20</w:t>
      </w:r>
      <w:r>
        <w:rPr>
          <w:color w:val="auto"/>
          <w:spacing w:val="-7"/>
        </w:rPr>
        <w:t xml:space="preserve"> 万元以下的罚款，有违法所得的，没收违法所得；情节严重的，责令停业整顿，直至撤销批准文件，并予公布。”</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03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9" w:line="391" w:lineRule="auto"/>
        <w:ind w:right="269" w:firstLine="480"/>
        <w:jc w:val="both"/>
        <w:rPr>
          <w:color w:val="auto"/>
        </w:rPr>
      </w:pPr>
      <w:r>
        <w:rPr>
          <w:color w:val="auto"/>
        </w:rPr>
        <w:t>有下列情形之一的：1、未对其认证的产品、服务、管理体系实施有效的跟踪调查的，情节较轻的。2、发现其认证的产品、服务、管理体系不符合认证要求，及时暂停其使用或撤销认证证书但未及时公布的。</w:t>
      </w:r>
    </w:p>
    <w:p>
      <w:pPr>
        <w:pStyle w:val="13"/>
        <w:numPr>
          <w:ilvl w:val="0"/>
          <w:numId w:val="1038"/>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万元以下罚款， 没收违法所得；通报批准机关。</w:t>
      </w:r>
      <w:r>
        <w:rPr>
          <w:color w:val="auto"/>
        </w:rPr>
        <w:t>2</w:t>
      </w:r>
      <w:r>
        <w:rPr>
          <w:color w:val="auto"/>
          <w:spacing w:val="-24"/>
        </w:rPr>
        <w:t>、【一般】</w:t>
      </w:r>
    </w:p>
    <w:p>
      <w:pPr>
        <w:pStyle w:val="13"/>
        <w:numPr>
          <w:ilvl w:val="0"/>
          <w:numId w:val="103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13" w:firstLine="480"/>
        <w:rPr>
          <w:color w:val="auto"/>
        </w:rPr>
      </w:pPr>
      <w:r>
        <w:rPr>
          <w:color w:val="auto"/>
        </w:rPr>
        <w:t>发现其认证的产品、服务、管理体系不符合认证要求，未及时暂停其使用或撤销认证证书的。</w:t>
      </w:r>
    </w:p>
    <w:p>
      <w:pPr>
        <w:pStyle w:val="13"/>
        <w:numPr>
          <w:ilvl w:val="0"/>
          <w:numId w:val="103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104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145" w:firstLine="480"/>
        <w:rPr>
          <w:color w:val="auto"/>
        </w:rPr>
      </w:pPr>
      <w:r>
        <w:rPr>
          <w:color w:val="auto"/>
          <w:spacing w:val="-2"/>
        </w:rPr>
        <w:t>有下列情形之一的：</w:t>
      </w:r>
      <w:r>
        <w:rPr>
          <w:color w:val="auto"/>
          <w:spacing w:val="-16"/>
        </w:rPr>
        <w:t>1</w:t>
      </w:r>
      <w:r>
        <w:rPr>
          <w:color w:val="auto"/>
          <w:spacing w:val="-7"/>
        </w:rPr>
        <w:t>、未到现场审核即予发证的；</w:t>
      </w:r>
      <w:r>
        <w:rPr>
          <w:color w:val="auto"/>
          <w:spacing w:val="-16"/>
        </w:rPr>
        <w:t>2</w:t>
      </w:r>
      <w:r>
        <w:rPr>
          <w:color w:val="auto"/>
          <w:spacing w:val="-10"/>
        </w:rPr>
        <w:t>、发现其认证的产品、服务、</w:t>
      </w:r>
      <w:r>
        <w:rPr>
          <w:color w:val="auto"/>
        </w:rPr>
        <w:t>管理体系不能符合认证要求，而继续给予合格结论的；3、具有其他较重情节的。</w:t>
      </w:r>
    </w:p>
    <w:p>
      <w:pPr>
        <w:pStyle w:val="13"/>
        <w:numPr>
          <w:ilvl w:val="0"/>
          <w:numId w:val="104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spacing w:val="-30"/>
        </w:rPr>
        <w:t xml:space="preserve">处 </w:t>
      </w:r>
      <w:r>
        <w:rPr>
          <w:color w:val="auto"/>
        </w:rPr>
        <w:t>15</w:t>
      </w:r>
      <w:r>
        <w:rPr>
          <w:color w:val="auto"/>
          <w:spacing w:val="-20"/>
        </w:rPr>
        <w:t xml:space="preserve"> 万元以上 </w:t>
      </w:r>
      <w:r>
        <w:rPr>
          <w:color w:val="auto"/>
        </w:rPr>
        <w:t>20</w:t>
      </w:r>
      <w:r>
        <w:rPr>
          <w:color w:val="auto"/>
          <w:spacing w:val="-16"/>
        </w:rPr>
        <w:t xml:space="preserve"> 万元以下罚款, 没收违法所得；责令停业整顿，通报批准机关。</w:t>
      </w:r>
    </w:p>
    <w:p>
      <w:pPr>
        <w:spacing w:after="0"/>
        <w:rPr>
          <w:color w:val="auto"/>
        </w:rPr>
        <w:sectPr>
          <w:pgSz w:w="11910" w:h="16840"/>
          <w:pgMar w:top="1520" w:right="1260" w:bottom="1220" w:left="1420" w:header="0" w:footer="1034" w:gutter="0"/>
        </w:sectPr>
      </w:pPr>
    </w:p>
    <w:p>
      <w:pPr>
        <w:pStyle w:val="2"/>
        <w:spacing w:before="39" w:line="391" w:lineRule="auto"/>
        <w:ind w:left="111" w:right="237" w:firstLine="480"/>
        <w:rPr>
          <w:color w:val="auto"/>
        </w:rPr>
      </w:pPr>
      <w:bookmarkStart w:id="1050" w:name="五百一十三、认证机构未按照规定向社会公布本机构认证证书和认证标志使用等相关信息"/>
      <w:bookmarkEnd w:id="1050"/>
      <w:bookmarkStart w:id="1051" w:name="_bookmark524"/>
      <w:bookmarkEnd w:id="1051"/>
      <w:r>
        <w:rPr>
          <w:color w:val="auto"/>
          <w:spacing w:val="-9"/>
        </w:rPr>
        <w:t>五百一十三、认证机构未按照规定向社会公布本机构认证证书和认证标志使用等相关信息</w:t>
      </w:r>
    </w:p>
    <w:p>
      <w:pPr>
        <w:spacing w:before="0" w:line="306" w:lineRule="exact"/>
        <w:ind w:left="591" w:right="0" w:firstLine="0"/>
        <w:jc w:val="left"/>
        <w:rPr>
          <w:b/>
          <w:color w:val="auto"/>
          <w:sz w:val="24"/>
        </w:rPr>
      </w:pPr>
      <w:r>
        <w:rPr>
          <w:b/>
          <w:color w:val="auto"/>
          <w:sz w:val="24"/>
        </w:rPr>
        <w:t>（一）处罚依据</w:t>
      </w:r>
    </w:p>
    <w:p>
      <w:pPr>
        <w:pStyle w:val="13"/>
        <w:numPr>
          <w:ilvl w:val="0"/>
          <w:numId w:val="1041"/>
        </w:numPr>
        <w:tabs>
          <w:tab w:val="left" w:pos="833"/>
        </w:tabs>
        <w:spacing w:before="192" w:after="0" w:line="391" w:lineRule="auto"/>
        <w:ind w:left="111" w:right="232" w:firstLine="480"/>
        <w:jc w:val="both"/>
        <w:rPr>
          <w:color w:val="auto"/>
          <w:sz w:val="24"/>
        </w:rPr>
      </w:pPr>
      <w:r>
        <w:rPr>
          <w:color w:val="auto"/>
          <w:spacing w:val="-1"/>
          <w:sz w:val="24"/>
        </w:rPr>
        <w:t>《认证证书和认证标志管理办法》第三十条“认证机构违反本办法第十六条、</w:t>
      </w:r>
      <w:r>
        <w:rPr>
          <w:color w:val="auto"/>
          <w:spacing w:val="-5"/>
          <w:sz w:val="24"/>
        </w:rPr>
        <w:t>第二十三条规定，未向社会公布本相关信息的，责令限期改正，逾期不改的，予以警</w:t>
      </w:r>
      <w:r>
        <w:rPr>
          <w:color w:val="auto"/>
          <w:spacing w:val="-42"/>
          <w:sz w:val="24"/>
        </w:rPr>
        <w:t>告。”</w:t>
      </w:r>
    </w:p>
    <w:p>
      <w:pPr>
        <w:pStyle w:val="13"/>
        <w:numPr>
          <w:ilvl w:val="0"/>
          <w:numId w:val="1041"/>
        </w:numPr>
        <w:tabs>
          <w:tab w:val="left" w:pos="833"/>
        </w:tabs>
        <w:spacing w:before="0" w:after="0" w:line="391" w:lineRule="auto"/>
        <w:ind w:left="111" w:right="148" w:firstLine="480"/>
        <w:jc w:val="left"/>
        <w:rPr>
          <w:color w:val="auto"/>
          <w:sz w:val="24"/>
        </w:rPr>
      </w:pPr>
      <w:r>
        <w:rPr>
          <w:color w:val="auto"/>
          <w:spacing w:val="-2"/>
          <w:sz w:val="24"/>
        </w:rPr>
        <w:t>《认证证书和认证标志管理办法》第十六条“认证机构应当向社会公布认证标</w:t>
      </w:r>
      <w:r>
        <w:rPr>
          <w:color w:val="auto"/>
          <w:spacing w:val="-9"/>
          <w:sz w:val="24"/>
        </w:rPr>
        <w:t>志的式样</w:t>
      </w:r>
      <w:r>
        <w:rPr>
          <w:color w:val="auto"/>
          <w:sz w:val="24"/>
        </w:rPr>
        <w:t>（包括使用的符号</w:t>
      </w:r>
      <w:r>
        <w:rPr>
          <w:color w:val="auto"/>
          <w:spacing w:val="-120"/>
          <w:sz w:val="24"/>
        </w:rPr>
        <w:t>）</w:t>
      </w:r>
      <w:r>
        <w:rPr>
          <w:color w:val="auto"/>
          <w:spacing w:val="-17"/>
          <w:sz w:val="24"/>
        </w:rPr>
        <w:t xml:space="preserve">、文字、名称、应用范围、识别方法、使用方法等信息。” </w:t>
      </w:r>
      <w:r>
        <w:rPr>
          <w:color w:val="auto"/>
          <w:spacing w:val="-6"/>
          <w:sz w:val="24"/>
        </w:rPr>
        <w:t>3</w:t>
      </w:r>
      <w:r>
        <w:rPr>
          <w:color w:val="auto"/>
          <w:spacing w:val="-4"/>
          <w:sz w:val="24"/>
        </w:rPr>
        <w:t>.《认证证书和认证标志管理办法》第二十三条“认证机构应当公布本机构认证证书</w:t>
      </w:r>
      <w:r>
        <w:rPr>
          <w:color w:val="auto"/>
          <w:spacing w:val="-9"/>
          <w:sz w:val="24"/>
        </w:rPr>
        <w:t>和认证标志使用等相关信息，以便于公众进行查询和社会监督。”</w:t>
      </w:r>
    </w:p>
    <w:p>
      <w:pPr>
        <w:pStyle w:val="2"/>
        <w:spacing w:line="304" w:lineRule="exact"/>
        <w:rPr>
          <w:color w:val="auto"/>
        </w:rPr>
      </w:pPr>
      <w:r>
        <w:rPr>
          <w:color w:val="auto"/>
        </w:rPr>
        <w:t>（二）裁量标准</w:t>
      </w:r>
    </w:p>
    <w:p>
      <w:pPr>
        <w:pStyle w:val="4"/>
        <w:spacing w:before="188"/>
        <w:ind w:left="591"/>
        <w:rPr>
          <w:color w:val="auto"/>
        </w:rPr>
      </w:pPr>
      <w:r>
        <w:rPr>
          <w:color w:val="auto"/>
        </w:rPr>
        <w:t>责令限期改正，逾期不改的，予以警告。</w:t>
      </w:r>
    </w:p>
    <w:p>
      <w:pPr>
        <w:pStyle w:val="2"/>
        <w:spacing w:before="192"/>
        <w:rPr>
          <w:color w:val="auto"/>
        </w:rPr>
      </w:pPr>
      <w:bookmarkStart w:id="1052" w:name="_bookmark525"/>
      <w:bookmarkEnd w:id="1052"/>
      <w:bookmarkStart w:id="1053" w:name="五百一十四、伪造、冒用、非法买卖认证标志"/>
      <w:bookmarkEnd w:id="1053"/>
      <w:r>
        <w:rPr>
          <w:color w:val="auto"/>
        </w:rPr>
        <w:t>五百一十四、伪造、冒用、非法买卖认证标志</w:t>
      </w:r>
    </w:p>
    <w:p>
      <w:pPr>
        <w:spacing w:before="194"/>
        <w:ind w:left="591" w:right="0" w:firstLine="0"/>
        <w:jc w:val="left"/>
        <w:rPr>
          <w:b/>
          <w:color w:val="auto"/>
          <w:sz w:val="24"/>
        </w:rPr>
      </w:pPr>
      <w:r>
        <w:rPr>
          <w:b/>
          <w:color w:val="auto"/>
          <w:sz w:val="24"/>
        </w:rPr>
        <w:t>（一）处罚依据</w:t>
      </w:r>
    </w:p>
    <w:p>
      <w:pPr>
        <w:pStyle w:val="4"/>
        <w:spacing w:before="192" w:line="391" w:lineRule="auto"/>
        <w:ind w:right="114" w:firstLine="470"/>
        <w:rPr>
          <w:color w:val="auto"/>
        </w:rPr>
      </w:pPr>
      <w:r>
        <w:rPr>
          <w:color w:val="auto"/>
        </w:rPr>
        <w:t>1、《有机产品认证管理办法》第四十七条“伪造、冒用、非法买卖认证标志的， 地方认证监管部门依照</w:t>
      </w:r>
      <w:r>
        <w:rPr>
          <w:color w:val="auto"/>
        </w:rPr>
        <w:fldChar w:fldCharType="begin"/>
      </w:r>
      <w:r>
        <w:rPr>
          <w:color w:val="auto"/>
        </w:rPr>
        <w:instrText xml:space="preserve"> HYPERLINK "https://baike.baidu.com/item/%E4%B8%AD%E5%8D%8E%E4%BA%BA%E6%B0%91%E5%85%B1%E5%92%8C%E5%9B%BD%E4%BA%A7%E5%93%81%E8%B4%A8%E9%87%8F%E6%B3%95" \h </w:instrText>
      </w:r>
      <w:r>
        <w:rPr>
          <w:color w:val="auto"/>
        </w:rPr>
        <w:fldChar w:fldCharType="separate"/>
      </w:r>
      <w:r>
        <w:rPr>
          <w:color w:val="auto"/>
        </w:rPr>
        <w:t>《中华人民共和国产品质量法</w:t>
      </w:r>
      <w:r>
        <w:rPr>
          <w:color w:val="auto"/>
        </w:rPr>
        <w:fldChar w:fldCharType="end"/>
      </w:r>
      <w:r>
        <w:rPr>
          <w:color w:val="auto"/>
        </w:rPr>
        <w:t>》、《</w:t>
      </w:r>
      <w:r>
        <w:rPr>
          <w:color w:val="auto"/>
        </w:rPr>
        <w:fldChar w:fldCharType="begin"/>
      </w:r>
      <w:r>
        <w:rPr>
          <w:color w:val="auto"/>
        </w:rPr>
        <w:instrText xml:space="preserve"> HYPERLINK "https://baike.baidu.com/item/%E4%B8%AD%E5%8D%8E%E4%BA%BA%E6%B0%91%E5%85%B1%E5%92%8C%E5%9B%BD%E8%BF%9B%E5%87%BA%E5%8F%A3%E5%95%86%E5%93%81%E6%A3%80%E9%AA%8C%E6%B3%95" \h </w:instrText>
      </w:r>
      <w:r>
        <w:rPr>
          <w:color w:val="auto"/>
        </w:rPr>
        <w:fldChar w:fldCharType="separate"/>
      </w:r>
      <w:r>
        <w:rPr>
          <w:color w:val="auto"/>
        </w:rPr>
        <w:t>中华人民共和国进出口商</w:t>
      </w:r>
      <w:r>
        <w:rPr>
          <w:color w:val="auto"/>
        </w:rPr>
        <w:fldChar w:fldCharType="end"/>
      </w:r>
      <w:r>
        <w:rPr>
          <w:color w:val="auto"/>
        </w:rPr>
        <w:t>品检验法》及其实施条例等法律、行政法规的规定处罚。”</w:t>
      </w:r>
    </w:p>
    <w:p>
      <w:pPr>
        <w:pStyle w:val="4"/>
        <w:spacing w:line="391" w:lineRule="auto"/>
        <w:ind w:right="148" w:firstLine="470"/>
        <w:rPr>
          <w:color w:val="auto"/>
        </w:rPr>
      </w:pPr>
      <w:r>
        <w:rPr>
          <w:color w:val="auto"/>
        </w:rPr>
        <w:t>2、《中华人民共和国产品质量法》第五十三条“伪造产品产地的，伪造或者冒</w:t>
      </w:r>
      <w:r>
        <w:rPr>
          <w:color w:val="auto"/>
          <w:spacing w:val="-5"/>
        </w:rPr>
        <w:t>用他人厂名、厂址的，伪造或者冒用认证标志等质量标志的，责令改正，没收违法生</w:t>
      </w:r>
      <w:r>
        <w:rPr>
          <w:color w:val="auto"/>
          <w:spacing w:val="-14"/>
        </w:rPr>
        <w:t xml:space="preserve">产、销售的产品，并处违法生产、销售产品货值金额等值以下的罚款；有违法所得的， </w:t>
      </w:r>
      <w:r>
        <w:rPr>
          <w:color w:val="auto"/>
        </w:rPr>
        <w:t>并处没收违法所得；情节严重的，吊销营业执照。”</w:t>
      </w:r>
    </w:p>
    <w:p>
      <w:pPr>
        <w:pStyle w:val="2"/>
        <w:spacing w:line="302" w:lineRule="exact"/>
        <w:rPr>
          <w:color w:val="auto"/>
        </w:rPr>
      </w:pPr>
      <w:r>
        <w:rPr>
          <w:color w:val="auto"/>
        </w:rPr>
        <w:t>（二）裁量标准</w:t>
      </w:r>
    </w:p>
    <w:p>
      <w:pPr>
        <w:pStyle w:val="13"/>
        <w:numPr>
          <w:ilvl w:val="0"/>
          <w:numId w:val="1042"/>
        </w:numPr>
        <w:tabs>
          <w:tab w:val="left" w:pos="1193"/>
        </w:tabs>
        <w:spacing w:before="190"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有下列情形之一的：1、初次违法，未造成危害后果的；2、产品尚未销售，无违法所得的；3、积极配合查处，追回售出产品的。</w:t>
      </w:r>
    </w:p>
    <w:p>
      <w:pPr>
        <w:pStyle w:val="13"/>
        <w:numPr>
          <w:ilvl w:val="0"/>
          <w:numId w:val="1042"/>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213" w:firstLine="480"/>
        <w:rPr>
          <w:color w:val="auto"/>
        </w:rPr>
      </w:pPr>
      <w:r>
        <w:rPr>
          <w:color w:val="auto"/>
        </w:rPr>
        <w:t>责令改正，没收违法生产、销售的产品，并处违法生产产品货值金额 20%以下的罚款；有违法所得的，并处没收违法所得。</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2、【一般】</w:t>
      </w:r>
    </w:p>
    <w:p>
      <w:pPr>
        <w:pStyle w:val="13"/>
        <w:numPr>
          <w:ilvl w:val="0"/>
          <w:numId w:val="1043"/>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产品已售出，货值较小的。</w:t>
      </w:r>
    </w:p>
    <w:p>
      <w:pPr>
        <w:pStyle w:val="13"/>
        <w:numPr>
          <w:ilvl w:val="0"/>
          <w:numId w:val="104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15" w:firstLine="480"/>
        <w:rPr>
          <w:color w:val="auto"/>
        </w:rPr>
      </w:pPr>
      <w:r>
        <w:rPr>
          <w:color w:val="auto"/>
        </w:rPr>
        <w:t>责令改正，没收违法生产、销售的产品，并处违法生产、销售产品货值金额 20% 以上 40%以下的罚款；有违法所得的，并处没收违法所得。</w:t>
      </w:r>
    </w:p>
    <w:p>
      <w:pPr>
        <w:pStyle w:val="4"/>
        <w:spacing w:before="2"/>
        <w:ind w:left="591"/>
        <w:rPr>
          <w:color w:val="auto"/>
        </w:rPr>
      </w:pPr>
      <w:r>
        <w:rPr>
          <w:color w:val="auto"/>
        </w:rPr>
        <w:t>3、【较重】</w:t>
      </w:r>
    </w:p>
    <w:p>
      <w:pPr>
        <w:pStyle w:val="13"/>
        <w:numPr>
          <w:ilvl w:val="0"/>
          <w:numId w:val="104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产品货值较大或具有其他较重情节的。</w:t>
      </w:r>
    </w:p>
    <w:p>
      <w:pPr>
        <w:pStyle w:val="13"/>
        <w:numPr>
          <w:ilvl w:val="0"/>
          <w:numId w:val="104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15" w:firstLine="480"/>
        <w:rPr>
          <w:color w:val="auto"/>
        </w:rPr>
      </w:pPr>
      <w:r>
        <w:rPr>
          <w:color w:val="auto"/>
        </w:rPr>
        <w:t>责令改正，没收违法生产、销售的产品，并处违法生产、销售产品货值金额 40% 以上 60%以下的罚款；有违法所得的，并处没收违法所得；通报营业执照发证机关。</w:t>
      </w:r>
    </w:p>
    <w:p>
      <w:pPr>
        <w:pStyle w:val="4"/>
        <w:spacing w:before="2"/>
        <w:ind w:left="591"/>
        <w:rPr>
          <w:color w:val="auto"/>
        </w:rPr>
      </w:pPr>
      <w:r>
        <w:rPr>
          <w:color w:val="auto"/>
        </w:rPr>
        <w:t>4、【严重】</w:t>
      </w:r>
    </w:p>
    <w:p>
      <w:pPr>
        <w:pStyle w:val="13"/>
        <w:numPr>
          <w:ilvl w:val="0"/>
          <w:numId w:val="1045"/>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有下列情形之一的：1、产品货值巨大；2、具有其他严重情节的。</w:t>
      </w:r>
    </w:p>
    <w:p>
      <w:pPr>
        <w:pStyle w:val="13"/>
        <w:numPr>
          <w:ilvl w:val="0"/>
          <w:numId w:val="104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right="215" w:firstLine="480"/>
        <w:rPr>
          <w:color w:val="auto"/>
        </w:rPr>
      </w:pPr>
      <w:r>
        <w:rPr>
          <w:color w:val="auto"/>
        </w:rPr>
        <w:t>责令改正，没收违法生产、销售的产品，并处违法生产、销售产品货值金额 60% 以上 80%以下的罚款；有违法所得的，并处没收违法所得；吊销营业执照。</w:t>
      </w:r>
    </w:p>
    <w:p>
      <w:pPr>
        <w:pStyle w:val="4"/>
        <w:spacing w:before="3"/>
        <w:ind w:left="591"/>
        <w:rPr>
          <w:color w:val="auto"/>
        </w:rPr>
      </w:pPr>
      <w:r>
        <w:rPr>
          <w:color w:val="auto"/>
        </w:rPr>
        <w:t>5、【特别严重】</w:t>
      </w:r>
    </w:p>
    <w:p>
      <w:pPr>
        <w:pStyle w:val="13"/>
        <w:numPr>
          <w:ilvl w:val="0"/>
          <w:numId w:val="1046"/>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12" w:firstLine="480"/>
        <w:rPr>
          <w:color w:val="auto"/>
        </w:rPr>
      </w:pPr>
      <w:r>
        <w:rPr>
          <w:color w:val="auto"/>
        </w:rPr>
        <w:t>有下列情形之一的：1、多次违法，屡次查处不改的；2、造成较大社会影响或其他严重危害后果的。</w:t>
      </w:r>
    </w:p>
    <w:p>
      <w:pPr>
        <w:pStyle w:val="13"/>
        <w:numPr>
          <w:ilvl w:val="0"/>
          <w:numId w:val="1046"/>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18" w:firstLine="470"/>
        <w:rPr>
          <w:color w:val="auto"/>
        </w:rPr>
      </w:pPr>
      <w:r>
        <w:rPr>
          <w:color w:val="auto"/>
        </w:rPr>
        <w:t>没收违法生产、销售的产品，并处违法生产、销售产品货值金额 80%以上等值以下的罚款；有违法所得的，并处没收违法所得；吊销营业执照。</w:t>
      </w:r>
    </w:p>
    <w:p>
      <w:pPr>
        <w:pStyle w:val="2"/>
        <w:spacing w:before="4"/>
        <w:rPr>
          <w:color w:val="auto"/>
        </w:rPr>
      </w:pPr>
      <w:bookmarkStart w:id="1054" w:name="五百一十五、伪造、变造、冒用、非法买卖、转让、涂改认证证书"/>
      <w:bookmarkEnd w:id="1054"/>
      <w:bookmarkStart w:id="1055" w:name="_bookmark526"/>
      <w:bookmarkEnd w:id="1055"/>
      <w:r>
        <w:rPr>
          <w:color w:val="auto"/>
        </w:rPr>
        <w:t>五百一十五、伪造、变造、冒用、非法买卖、转让、涂改认证证书</w:t>
      </w:r>
    </w:p>
    <w:p>
      <w:pPr>
        <w:spacing w:before="192"/>
        <w:ind w:left="591" w:right="0" w:firstLine="0"/>
        <w:jc w:val="left"/>
        <w:rPr>
          <w:b/>
          <w:color w:val="auto"/>
          <w:sz w:val="24"/>
        </w:rPr>
      </w:pPr>
      <w:r>
        <w:rPr>
          <w:b/>
          <w:color w:val="auto"/>
          <w:sz w:val="24"/>
        </w:rPr>
        <w:t>（一）处罚依据</w:t>
      </w:r>
    </w:p>
    <w:p>
      <w:pPr>
        <w:pStyle w:val="4"/>
        <w:spacing w:before="191"/>
        <w:ind w:left="581"/>
        <w:rPr>
          <w:color w:val="auto"/>
        </w:rPr>
      </w:pPr>
      <w:r>
        <w:rPr>
          <w:color w:val="auto"/>
        </w:rPr>
        <w:t>1、《有机产品认证管理办法》第四十八条“伪造、变造、冒用、非法买卖、转</w:t>
      </w:r>
    </w:p>
    <w:p>
      <w:pPr>
        <w:spacing w:after="0"/>
        <w:rPr>
          <w:color w:val="auto"/>
        </w:rPr>
        <w:sectPr>
          <w:footerReference r:id="rId121" w:type="default"/>
          <w:footerReference r:id="rId122" w:type="even"/>
          <w:pgSz w:w="11910" w:h="16840"/>
          <w:pgMar w:top="1520" w:right="1260" w:bottom="1220" w:left="1420" w:header="0" w:footer="1034" w:gutter="0"/>
          <w:pgNumType w:start="500"/>
        </w:sectPr>
      </w:pPr>
    </w:p>
    <w:p>
      <w:pPr>
        <w:pStyle w:val="4"/>
        <w:spacing w:before="39"/>
        <w:rPr>
          <w:color w:val="auto"/>
        </w:rPr>
      </w:pPr>
      <w:r>
        <w:rPr>
          <w:color w:val="auto"/>
        </w:rPr>
        <w:t>让、涂改认证证书的，地方认证监管部门责令改正，处 3 万元罚款。</w:t>
      </w:r>
    </w:p>
    <w:p>
      <w:pPr>
        <w:pStyle w:val="4"/>
        <w:spacing w:before="195" w:line="388" w:lineRule="auto"/>
        <w:ind w:right="218" w:firstLine="470"/>
        <w:rPr>
          <w:color w:val="auto"/>
        </w:rPr>
      </w:pPr>
      <w:r>
        <w:rPr>
          <w:color w:val="auto"/>
        </w:rPr>
        <w:t>违反本办法第四十条第二款的规定，认证机构在其出具的认证证书上自行编制认证证书编号的，视为伪造认证证书。”</w:t>
      </w:r>
    </w:p>
    <w:p>
      <w:pPr>
        <w:pStyle w:val="4"/>
        <w:spacing w:before="2" w:line="391" w:lineRule="auto"/>
        <w:ind w:right="146" w:firstLine="470"/>
        <w:rPr>
          <w:color w:val="auto"/>
        </w:rPr>
      </w:pPr>
      <w:r>
        <w:rPr>
          <w:color w:val="auto"/>
        </w:rPr>
        <w:t>2</w:t>
      </w:r>
      <w:r>
        <w:rPr>
          <w:color w:val="auto"/>
          <w:spacing w:val="-7"/>
        </w:rPr>
        <w:t xml:space="preserve">、《有机产品认证管理办法》第四十条第二款“认证机构在出具认证证书之前， </w:t>
      </w:r>
      <w:r>
        <w:rPr>
          <w:color w:val="auto"/>
        </w:rPr>
        <w:t>应当按要求及时向信息系统报送有机产品认证相关信息，并获取认证证书编号。”</w:t>
      </w:r>
    </w:p>
    <w:p>
      <w:pPr>
        <w:pStyle w:val="2"/>
        <w:spacing w:line="306" w:lineRule="exact"/>
        <w:rPr>
          <w:color w:val="auto"/>
        </w:rPr>
      </w:pPr>
      <w:r>
        <w:rPr>
          <w:color w:val="auto"/>
        </w:rPr>
        <w:t>（二）裁量标准</w:t>
      </w:r>
    </w:p>
    <w:p>
      <w:pPr>
        <w:pStyle w:val="4"/>
        <w:spacing w:before="191"/>
        <w:ind w:left="581"/>
        <w:rPr>
          <w:color w:val="auto"/>
        </w:rPr>
      </w:pPr>
      <w:r>
        <w:rPr>
          <w:color w:val="auto"/>
        </w:rPr>
        <w:t>责令改正，处 3 万元罚款。</w:t>
      </w:r>
    </w:p>
    <w:p>
      <w:pPr>
        <w:pStyle w:val="2"/>
        <w:spacing w:before="194" w:line="388" w:lineRule="auto"/>
        <w:ind w:left="111" w:right="237" w:firstLine="480"/>
        <w:rPr>
          <w:color w:val="auto"/>
        </w:rPr>
      </w:pPr>
      <w:bookmarkStart w:id="1056" w:name="五百一十六、认证机构向不符合国家规定的有机产品生产产地环境要求区域或者有机产品认"/>
      <w:bookmarkEnd w:id="1056"/>
      <w:bookmarkStart w:id="1057" w:name="_bookmark527"/>
      <w:bookmarkEnd w:id="1057"/>
      <w:r>
        <w:rPr>
          <w:color w:val="auto"/>
          <w:spacing w:val="-9"/>
        </w:rPr>
        <w:t>五百一十六、认证机构向不符合国家规定的有机产品生产产地环境要求区域或者有机产品认证目录外产品的认证委托人出具认证证书</w:t>
      </w:r>
    </w:p>
    <w:p>
      <w:pPr>
        <w:spacing w:before="3"/>
        <w:ind w:left="59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rPr>
        <w:t xml:space="preserve">1、《有机产品认证管理办法》第四十九条“违反本办法第八条第二款的规定， </w:t>
      </w:r>
      <w:r>
        <w:rPr>
          <w:color w:val="auto"/>
          <w:spacing w:val="3"/>
        </w:rPr>
        <w:t>认证机构向不符合国家规定的有机产品生产产地环境要求区域或者有机产品认证目</w:t>
      </w:r>
      <w:r>
        <w:rPr>
          <w:color w:val="auto"/>
        </w:rPr>
        <w:t>录外产品的认证委托人出具认证证书的，责令改正，处 3</w:t>
      </w:r>
      <w:r>
        <w:rPr>
          <w:color w:val="auto"/>
          <w:spacing w:val="-9"/>
        </w:rPr>
        <w:t xml:space="preserve"> 万元罚款；有违法所得的， </w:t>
      </w:r>
      <w:r>
        <w:rPr>
          <w:color w:val="auto"/>
        </w:rPr>
        <w:t>没收违法所得。”</w:t>
      </w:r>
    </w:p>
    <w:p>
      <w:pPr>
        <w:pStyle w:val="4"/>
        <w:spacing w:line="391" w:lineRule="auto"/>
        <w:ind w:right="268" w:firstLine="470"/>
        <w:jc w:val="both"/>
        <w:rPr>
          <w:color w:val="auto"/>
        </w:rPr>
      </w:pPr>
      <w:r>
        <w:rPr>
          <w:color w:val="auto"/>
        </w:rPr>
        <w:t>2、《有机产品认证管理办法》第八条第二款“认证机构不得受理不符合国家规</w:t>
      </w:r>
      <w:r>
        <w:rPr>
          <w:color w:val="auto"/>
          <w:spacing w:val="-4"/>
        </w:rPr>
        <w:t>定的有机产品生产产地环境要求，以及有机产品认证目录外产品的认证委托人的认证</w:t>
      </w:r>
      <w:r>
        <w:rPr>
          <w:color w:val="auto"/>
        </w:rPr>
        <w:t>委托。”</w:t>
      </w:r>
    </w:p>
    <w:p>
      <w:pPr>
        <w:pStyle w:val="2"/>
        <w:spacing w:line="304" w:lineRule="exact"/>
        <w:rPr>
          <w:color w:val="auto"/>
        </w:rPr>
      </w:pPr>
      <w:r>
        <w:rPr>
          <w:color w:val="auto"/>
        </w:rPr>
        <w:t>（二）裁量标准</w:t>
      </w:r>
    </w:p>
    <w:p>
      <w:pPr>
        <w:pStyle w:val="4"/>
        <w:spacing w:before="186"/>
        <w:ind w:left="581"/>
        <w:rPr>
          <w:color w:val="auto"/>
        </w:rPr>
      </w:pPr>
      <w:r>
        <w:rPr>
          <w:color w:val="auto"/>
        </w:rPr>
        <w:t>责令改正，处 3 万元罚款；有违法所得的，没收违法所得。</w:t>
      </w:r>
    </w:p>
    <w:p>
      <w:pPr>
        <w:pStyle w:val="2"/>
        <w:spacing w:before="194" w:line="388" w:lineRule="auto"/>
        <w:ind w:left="111" w:right="237" w:firstLine="480"/>
        <w:rPr>
          <w:color w:val="auto"/>
        </w:rPr>
      </w:pPr>
      <w:bookmarkStart w:id="1058" w:name="五百一十七、未获得有机产品认证的产品，在产品或者产品包装及标签上标注“有机”、“"/>
      <w:bookmarkEnd w:id="1058"/>
      <w:bookmarkStart w:id="1059" w:name="_bookmark528"/>
      <w:bookmarkEnd w:id="1059"/>
      <w:r>
        <w:rPr>
          <w:color w:val="auto"/>
          <w:spacing w:val="-19"/>
        </w:rPr>
        <w:t>五百一十七、未获得有机产品认证的产品，在产品或者产品包装及标签上标注“有机”、“ORGANIC”等字样且可能误导公众认为该产品为有机产品的文字表述和图案</w:t>
      </w:r>
    </w:p>
    <w:p>
      <w:pPr>
        <w:spacing w:before="2"/>
        <w:ind w:left="591" w:right="0" w:firstLine="0"/>
        <w:jc w:val="left"/>
        <w:rPr>
          <w:b/>
          <w:color w:val="auto"/>
          <w:sz w:val="24"/>
        </w:rPr>
      </w:pPr>
      <w:r>
        <w:rPr>
          <w:b/>
          <w:color w:val="auto"/>
          <w:sz w:val="24"/>
        </w:rPr>
        <w:t>（一）处罚依据</w:t>
      </w:r>
    </w:p>
    <w:p>
      <w:pPr>
        <w:pStyle w:val="4"/>
        <w:spacing w:before="194" w:line="391" w:lineRule="auto"/>
        <w:ind w:right="268" w:firstLine="470"/>
        <w:jc w:val="both"/>
        <w:rPr>
          <w:color w:val="auto"/>
        </w:rPr>
      </w:pPr>
      <w:r>
        <w:rPr>
          <w:color w:val="auto"/>
        </w:rPr>
        <w:t>1、《有机产品认证管理办法》第五十条“违反本办法第三十五条的规定，在产品或者产品包装及标签上标注含有“有机”、“ORGANIC”等字样且可能误导公众认</w:t>
      </w:r>
      <w:r>
        <w:rPr>
          <w:color w:val="auto"/>
          <w:spacing w:val="-5"/>
        </w:rPr>
        <w:t xml:space="preserve">为该产品为有机产品的文字表述和图案的，地方认证监管部门责令改正，处 </w:t>
      </w:r>
      <w:r>
        <w:rPr>
          <w:color w:val="auto"/>
        </w:rPr>
        <w:t>3</w:t>
      </w:r>
      <w:r>
        <w:rPr>
          <w:color w:val="auto"/>
          <w:spacing w:val="-19"/>
        </w:rPr>
        <w:t xml:space="preserve"> 万元以</w:t>
      </w:r>
      <w:r>
        <w:rPr>
          <w:color w:val="auto"/>
        </w:rPr>
        <w:t>下罚款。”</w:t>
      </w:r>
    </w:p>
    <w:p>
      <w:pPr>
        <w:pStyle w:val="4"/>
        <w:spacing w:line="388" w:lineRule="auto"/>
        <w:ind w:right="268" w:firstLine="470"/>
        <w:rPr>
          <w:color w:val="auto"/>
        </w:rPr>
      </w:pPr>
      <w:r>
        <w:rPr>
          <w:color w:val="auto"/>
        </w:rPr>
        <w:t>2、《有机产品认证管理办法》第三十五条“有下列情形之一的，任何单位和个人不得在产品、产品最小销售包装及其标签上标注含有“有机”、“ORGANIC”等字</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145"/>
        <w:rPr>
          <w:color w:val="auto"/>
        </w:rPr>
      </w:pPr>
      <w:r>
        <w:rPr>
          <w:color w:val="auto"/>
          <w:spacing w:val="-1"/>
        </w:rPr>
        <w:t>样且可能误导公众认为该产品为有机产品的文字表述和图案：</w:t>
      </w:r>
      <w:r>
        <w:rPr>
          <w:color w:val="auto"/>
          <w:spacing w:val="-12"/>
        </w:rPr>
        <w:t>（</w:t>
      </w:r>
      <w:r>
        <w:rPr>
          <w:color w:val="auto"/>
        </w:rPr>
        <w:t>一</w:t>
      </w:r>
      <w:r>
        <w:rPr>
          <w:color w:val="auto"/>
          <w:spacing w:val="-12"/>
        </w:rPr>
        <w:t>）</w:t>
      </w:r>
      <w:r>
        <w:rPr>
          <w:color w:val="auto"/>
        </w:rPr>
        <w:t>未获得有机产品</w:t>
      </w:r>
      <w:r>
        <w:rPr>
          <w:color w:val="auto"/>
          <w:spacing w:val="-8"/>
        </w:rPr>
        <w:t>认证的；</w:t>
      </w:r>
      <w:r>
        <w:rPr>
          <w:color w:val="auto"/>
          <w:spacing w:val="-32"/>
        </w:rPr>
        <w:t>（</w:t>
      </w:r>
      <w:r>
        <w:rPr>
          <w:color w:val="auto"/>
        </w:rPr>
        <w:t>二</w:t>
      </w:r>
      <w:r>
        <w:rPr>
          <w:color w:val="auto"/>
          <w:spacing w:val="-32"/>
        </w:rPr>
        <w:t>）</w:t>
      </w:r>
      <w:r>
        <w:rPr>
          <w:color w:val="auto"/>
          <w:spacing w:val="-6"/>
        </w:rPr>
        <w:t>获证产品在认证证书标明的生产、加工场所外进行了再次加工、分装、</w:t>
      </w:r>
      <w:r>
        <w:rPr>
          <w:color w:val="auto"/>
        </w:rPr>
        <w:t>分割的。”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4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属首次违法，检查后及时停止违法行为的。</w:t>
      </w:r>
    </w:p>
    <w:p>
      <w:pPr>
        <w:pStyle w:val="13"/>
        <w:numPr>
          <w:ilvl w:val="0"/>
          <w:numId w:val="104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04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属首次违法，检查后不改正的。</w:t>
      </w:r>
    </w:p>
    <w:p>
      <w:pPr>
        <w:pStyle w:val="13"/>
        <w:numPr>
          <w:ilvl w:val="0"/>
          <w:numId w:val="104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04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有下列情形之一的：1、属屡犯的；2、具有其他严重情节的。</w:t>
      </w:r>
    </w:p>
    <w:p>
      <w:pPr>
        <w:pStyle w:val="13"/>
        <w:numPr>
          <w:ilvl w:val="0"/>
          <w:numId w:val="104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责令改正，处 2 万元以上 3 万元以下罚款。</w:t>
      </w:r>
    </w:p>
    <w:p>
      <w:pPr>
        <w:pStyle w:val="2"/>
        <w:spacing w:before="194" w:line="388" w:lineRule="auto"/>
        <w:ind w:left="111" w:right="237" w:firstLine="480"/>
        <w:rPr>
          <w:color w:val="auto"/>
        </w:rPr>
      </w:pPr>
      <w:bookmarkStart w:id="1060" w:name="_bookmark529"/>
      <w:bookmarkEnd w:id="1060"/>
      <w:bookmarkStart w:id="1061" w:name="五百一十八、认证机构发放的有机产品销售证数量，超过获证产品的认证委托人所生产、加"/>
      <w:bookmarkEnd w:id="1061"/>
      <w:r>
        <w:rPr>
          <w:color w:val="auto"/>
          <w:spacing w:val="-8"/>
        </w:rPr>
        <w:t>五百一十八、认证机构发放的有机产品销售证数量，超过获证产品的认证委托人所生产、加工的有机产品实际数量</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4"/>
        </w:rPr>
        <w:t>《有机产品认证管理办法》第五十二条“违反本办法第十四条的规定，认证机构发放的有机产品销售证数量，超过获证产品的认证委托人所生产、加工的有机产品实</w:t>
      </w:r>
      <w:r>
        <w:rPr>
          <w:color w:val="auto"/>
          <w:spacing w:val="-5"/>
        </w:rPr>
        <w:t xml:space="preserve">际数量的，责令改正，处 </w:t>
      </w:r>
      <w:r>
        <w:rPr>
          <w:color w:val="auto"/>
        </w:rPr>
        <w:t>1</w:t>
      </w:r>
      <w:r>
        <w:rPr>
          <w:color w:val="auto"/>
          <w:spacing w:val="-20"/>
        </w:rPr>
        <w:t xml:space="preserve"> 万元以上 </w:t>
      </w:r>
      <w:r>
        <w:rPr>
          <w:color w:val="auto"/>
        </w:rPr>
        <w:t>3</w:t>
      </w:r>
      <w:r>
        <w:rPr>
          <w:color w:val="auto"/>
          <w:spacing w:val="-8"/>
        </w:rPr>
        <w:t xml:space="preserve"> 万元以下罚款。”</w:t>
      </w:r>
    </w:p>
    <w:p>
      <w:pPr>
        <w:pStyle w:val="4"/>
        <w:spacing w:before="6" w:line="388" w:lineRule="auto"/>
        <w:ind w:right="268" w:firstLine="470"/>
        <w:jc w:val="both"/>
        <w:rPr>
          <w:color w:val="auto"/>
        </w:rPr>
      </w:pPr>
      <w:r>
        <w:rPr>
          <w:color w:val="auto"/>
        </w:rPr>
        <w:t>2、《有机产品认证管理办法》第十四条“认证机构应当及时向认证委托人出具</w:t>
      </w:r>
      <w:r>
        <w:rPr>
          <w:color w:val="auto"/>
          <w:spacing w:val="-5"/>
        </w:rPr>
        <w:t>有机产品销售证，以保证获证产品的认证委托人所销售的有机产品类别、范围和数量</w:t>
      </w:r>
      <w:r>
        <w:rPr>
          <w:color w:val="auto"/>
        </w:rPr>
        <w:t>与认证证书中的记载一致。”</w:t>
      </w:r>
    </w:p>
    <w:p>
      <w:pPr>
        <w:spacing w:after="0" w:line="388" w:lineRule="auto"/>
        <w:jc w:val="both"/>
        <w:rPr>
          <w:color w:val="auto"/>
        </w:rPr>
        <w:sectPr>
          <w:pgSz w:w="11910" w:h="16840"/>
          <w:pgMar w:top="1520" w:right="1260" w:bottom="1220" w:left="1420" w:header="0" w:footer="1034" w:gutter="0"/>
        </w:sectPr>
      </w:pPr>
    </w:p>
    <w:p>
      <w:pPr>
        <w:spacing w:before="39"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5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属首次违法，检查后及时停止违法行为的。</w:t>
      </w:r>
    </w:p>
    <w:p>
      <w:pPr>
        <w:pStyle w:val="13"/>
        <w:numPr>
          <w:ilvl w:val="0"/>
          <w:numId w:val="105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、【较重】</w:t>
      </w:r>
    </w:p>
    <w:p>
      <w:pPr>
        <w:pStyle w:val="13"/>
        <w:numPr>
          <w:ilvl w:val="0"/>
          <w:numId w:val="1051"/>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拒不整改，或具有其他较重情节的。</w:t>
      </w:r>
    </w:p>
    <w:p>
      <w:pPr>
        <w:pStyle w:val="13"/>
        <w:numPr>
          <w:ilvl w:val="0"/>
          <w:numId w:val="105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责令改正，处 2 万元以上 3 万元以下罚款。</w:t>
      </w:r>
    </w:p>
    <w:p>
      <w:pPr>
        <w:pStyle w:val="2"/>
        <w:spacing w:before="192"/>
        <w:rPr>
          <w:color w:val="auto"/>
        </w:rPr>
      </w:pPr>
      <w:bookmarkStart w:id="1062" w:name="五百一十九、认证机构对有机配料含量低于95％的加工产品进行有机产品认证"/>
      <w:bookmarkEnd w:id="1062"/>
      <w:bookmarkStart w:id="1063" w:name="_bookmark530"/>
      <w:bookmarkEnd w:id="1063"/>
      <w:r>
        <w:rPr>
          <w:color w:val="auto"/>
        </w:rPr>
        <w:t>五百一十九、认证机构对有机配料含量低于 95％的加工产品进行有机产品认证</w:t>
      </w:r>
    </w:p>
    <w:p>
      <w:pPr>
        <w:spacing w:before="191"/>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rPr>
        <w:t>1、《有机产品认证管理办法》第五十三条“违反本办法第十六条的规定，认证</w:t>
      </w:r>
      <w:r>
        <w:rPr>
          <w:color w:val="auto"/>
          <w:spacing w:val="-4"/>
        </w:rPr>
        <w:t xml:space="preserve">机构对有机配料含量低于 </w:t>
      </w:r>
      <w:r>
        <w:rPr>
          <w:color w:val="auto"/>
        </w:rPr>
        <w:t>95%</w:t>
      </w:r>
      <w:r>
        <w:rPr>
          <w:color w:val="auto"/>
          <w:spacing w:val="-1"/>
        </w:rPr>
        <w:t>的加工产品进行有机认证的，地方认证监管部门责令改</w:t>
      </w:r>
      <w:r>
        <w:rPr>
          <w:color w:val="auto"/>
          <w:spacing w:val="-15"/>
        </w:rPr>
        <w:t xml:space="preserve">正，处 </w:t>
      </w:r>
      <w:r>
        <w:rPr>
          <w:color w:val="auto"/>
        </w:rPr>
        <w:t>3</w:t>
      </w:r>
      <w:r>
        <w:rPr>
          <w:color w:val="auto"/>
          <w:spacing w:val="-8"/>
        </w:rPr>
        <w:t xml:space="preserve"> 万元以下罚款。”</w:t>
      </w:r>
    </w:p>
    <w:p>
      <w:pPr>
        <w:pStyle w:val="4"/>
        <w:spacing w:before="6" w:line="388" w:lineRule="auto"/>
        <w:ind w:right="268" w:firstLine="470"/>
        <w:jc w:val="both"/>
        <w:rPr>
          <w:color w:val="auto"/>
        </w:rPr>
      </w:pPr>
      <w:r>
        <w:rPr>
          <w:color w:val="auto"/>
        </w:rPr>
        <w:t>2</w:t>
      </w:r>
      <w:r>
        <w:rPr>
          <w:color w:val="auto"/>
          <w:spacing w:val="-12"/>
        </w:rPr>
        <w:t xml:space="preserve">、《有机产品认证管理办法》第十六条“认证机构不得对有机配料含量低于 </w:t>
      </w:r>
      <w:r>
        <w:rPr>
          <w:color w:val="auto"/>
          <w:spacing w:val="-5"/>
        </w:rPr>
        <w:t xml:space="preserve">95% </w:t>
      </w:r>
      <w:r>
        <w:rPr>
          <w:color w:val="auto"/>
        </w:rPr>
        <w:t>的加工产品进行有机认证。”</w:t>
      </w:r>
    </w:p>
    <w:p>
      <w:pPr>
        <w:spacing w:before="2"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5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属首次违法，检查后及时停止违法行为的。</w:t>
      </w:r>
    </w:p>
    <w:p>
      <w:pPr>
        <w:pStyle w:val="13"/>
        <w:numPr>
          <w:ilvl w:val="0"/>
          <w:numId w:val="105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05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属首次违法，检查后不改正的。</w:t>
      </w:r>
    </w:p>
    <w:p>
      <w:pPr>
        <w:pStyle w:val="13"/>
        <w:numPr>
          <w:ilvl w:val="0"/>
          <w:numId w:val="1053"/>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05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有下列情形之一的：1、属屡犯的；2、具有其他严重情节的。</w:t>
      </w:r>
    </w:p>
    <w:p>
      <w:pPr>
        <w:pStyle w:val="13"/>
        <w:numPr>
          <w:ilvl w:val="0"/>
          <w:numId w:val="105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责令改正，处 2 万元以上 3 万元以下罚款。</w:t>
      </w:r>
    </w:p>
    <w:p>
      <w:pPr>
        <w:pStyle w:val="2"/>
        <w:spacing w:before="192"/>
        <w:rPr>
          <w:color w:val="auto"/>
        </w:rPr>
      </w:pPr>
      <w:bookmarkStart w:id="1064" w:name="五百二十、认证机构未及时暂停或者撤销认证证书并对外公布"/>
      <w:bookmarkEnd w:id="1064"/>
      <w:bookmarkStart w:id="1065" w:name="_bookmark531"/>
      <w:bookmarkEnd w:id="1065"/>
      <w:r>
        <w:rPr>
          <w:color w:val="auto"/>
        </w:rPr>
        <w:t>五百二十、认证机构未及时暂停或者撤销认证证书并对外公布</w:t>
      </w:r>
    </w:p>
    <w:p>
      <w:pPr>
        <w:spacing w:before="194"/>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rPr>
        <w:t>1、《有机产品认证管理办法》第五十四条“认证机构违反本办法第三十条、第</w:t>
      </w:r>
      <w:r>
        <w:rPr>
          <w:color w:val="auto"/>
          <w:spacing w:val="-5"/>
        </w:rPr>
        <w:t>三十一条的规定，未及时暂停或者撤销认证证书并对外公布的，依照《中华人民共和</w:t>
      </w:r>
      <w:r>
        <w:rPr>
          <w:color w:val="auto"/>
        </w:rPr>
        <w:t>国认证认可条例》第六十条的规定处罚。”</w:t>
      </w:r>
    </w:p>
    <w:p>
      <w:pPr>
        <w:pStyle w:val="4"/>
        <w:spacing w:line="304" w:lineRule="exact"/>
        <w:ind w:left="581"/>
        <w:rPr>
          <w:color w:val="auto"/>
        </w:rPr>
      </w:pPr>
      <w:r>
        <w:rPr>
          <w:color w:val="auto"/>
        </w:rPr>
        <w:t>2、《有机产品认证管理办法》第三十条“有下列情形之一的，认证机构应当在</w:t>
      </w:r>
    </w:p>
    <w:p>
      <w:pPr>
        <w:pStyle w:val="4"/>
        <w:spacing w:before="192" w:line="391" w:lineRule="auto"/>
        <w:ind w:right="266"/>
        <w:jc w:val="both"/>
        <w:rPr>
          <w:color w:val="auto"/>
        </w:rPr>
      </w:pPr>
      <w:r>
        <w:rPr>
          <w:color w:val="auto"/>
        </w:rPr>
        <w:t>15</w:t>
      </w:r>
      <w:r>
        <w:rPr>
          <w:color w:val="auto"/>
          <w:spacing w:val="-13"/>
        </w:rPr>
        <w:t xml:space="preserve"> 日内暂停认证证书，认证证书暂停期为 </w:t>
      </w:r>
      <w:r>
        <w:rPr>
          <w:color w:val="auto"/>
        </w:rPr>
        <w:t>1</w:t>
      </w:r>
      <w:r>
        <w:rPr>
          <w:color w:val="auto"/>
          <w:spacing w:val="-40"/>
        </w:rPr>
        <w:t xml:space="preserve"> 至 </w:t>
      </w:r>
      <w:r>
        <w:rPr>
          <w:color w:val="auto"/>
        </w:rPr>
        <w:t>3</w:t>
      </w:r>
      <w:r>
        <w:rPr>
          <w:color w:val="auto"/>
          <w:spacing w:val="-11"/>
        </w:rPr>
        <w:t xml:space="preserve"> 个月，并对外公布：</w:t>
      </w:r>
      <w:r>
        <w:rPr>
          <w:color w:val="auto"/>
          <w:spacing w:val="-20"/>
        </w:rPr>
        <w:t>（</w:t>
      </w:r>
      <w:r>
        <w:rPr>
          <w:color w:val="auto"/>
        </w:rPr>
        <w:t>一</w:t>
      </w:r>
      <w:r>
        <w:rPr>
          <w:color w:val="auto"/>
          <w:spacing w:val="-20"/>
        </w:rPr>
        <w:t>）</w:t>
      </w:r>
      <w:r>
        <w:rPr>
          <w:color w:val="auto"/>
          <w:spacing w:val="-4"/>
        </w:rPr>
        <w:t>未按照规</w:t>
      </w:r>
      <w:r>
        <w:rPr>
          <w:color w:val="auto"/>
          <w:spacing w:val="-2"/>
        </w:rPr>
        <w:t>定使用认证证书或者认证标志的；</w:t>
      </w:r>
      <w:r>
        <w:rPr>
          <w:color w:val="auto"/>
          <w:spacing w:val="-8"/>
        </w:rPr>
        <w:t>（</w:t>
      </w:r>
      <w:r>
        <w:rPr>
          <w:color w:val="auto"/>
        </w:rPr>
        <w:t>二</w:t>
      </w:r>
      <w:r>
        <w:rPr>
          <w:color w:val="auto"/>
          <w:spacing w:val="-5"/>
        </w:rPr>
        <w:t>）</w:t>
      </w:r>
      <w:r>
        <w:rPr>
          <w:color w:val="auto"/>
          <w:spacing w:val="-3"/>
        </w:rPr>
        <w:t>获证产品的生产、加工、销售等活动或者管</w:t>
      </w:r>
      <w:r>
        <w:rPr>
          <w:color w:val="auto"/>
          <w:spacing w:val="-5"/>
        </w:rPr>
        <w:t>理体系不符合认证要求，且经认证机构评估在暂停期限内能够能采取有效纠正或者纠</w:t>
      </w:r>
      <w:r>
        <w:rPr>
          <w:color w:val="auto"/>
        </w:rPr>
        <w:t>正措施的；（三）其他需要暂停认证证书的情形。”</w:t>
      </w:r>
    </w:p>
    <w:p>
      <w:pPr>
        <w:pStyle w:val="4"/>
        <w:spacing w:line="391" w:lineRule="auto"/>
        <w:ind w:right="232" w:firstLine="470"/>
        <w:jc w:val="both"/>
        <w:rPr>
          <w:color w:val="auto"/>
        </w:rPr>
      </w:pPr>
      <w:r>
        <w:rPr>
          <w:color w:val="auto"/>
        </w:rPr>
        <w:t>3、《有机产品认证管理办法》第三十一条“有下列情形之一的，认证机构应当</w:t>
      </w:r>
      <w:r>
        <w:rPr>
          <w:color w:val="auto"/>
          <w:spacing w:val="-30"/>
        </w:rPr>
        <w:t xml:space="preserve">在 </w:t>
      </w:r>
      <w:r>
        <w:rPr>
          <w:color w:val="auto"/>
        </w:rPr>
        <w:t>7</w:t>
      </w:r>
      <w:r>
        <w:rPr>
          <w:color w:val="auto"/>
          <w:spacing w:val="-8"/>
        </w:rPr>
        <w:t xml:space="preserve"> 日内撤销认证证书，并对外公布：</w:t>
      </w:r>
      <w:r>
        <w:rPr>
          <w:color w:val="auto"/>
          <w:spacing w:val="-6"/>
        </w:rPr>
        <w:t>（</w:t>
      </w:r>
      <w:r>
        <w:rPr>
          <w:color w:val="auto"/>
        </w:rPr>
        <w:t>一</w:t>
      </w:r>
      <w:r>
        <w:rPr>
          <w:color w:val="auto"/>
          <w:spacing w:val="-8"/>
        </w:rPr>
        <w:t>）</w:t>
      </w:r>
      <w:r>
        <w:rPr>
          <w:color w:val="auto"/>
          <w:spacing w:val="-2"/>
        </w:rPr>
        <w:t>获证产品质量不符合国家相关法规、标</w:t>
      </w:r>
      <w:r>
        <w:rPr>
          <w:color w:val="auto"/>
          <w:spacing w:val="-3"/>
        </w:rPr>
        <w:t>准强制要求或者被检出有机产品国家标准禁用物质的；</w:t>
      </w:r>
      <w:r>
        <w:rPr>
          <w:color w:val="auto"/>
          <w:spacing w:val="-10"/>
        </w:rPr>
        <w:t>（</w:t>
      </w:r>
      <w:r>
        <w:rPr>
          <w:color w:val="auto"/>
        </w:rPr>
        <w:t>二</w:t>
      </w:r>
      <w:r>
        <w:rPr>
          <w:color w:val="auto"/>
          <w:spacing w:val="-8"/>
        </w:rPr>
        <w:t>）</w:t>
      </w:r>
      <w:r>
        <w:rPr>
          <w:color w:val="auto"/>
          <w:spacing w:val="-2"/>
        </w:rPr>
        <w:t>获证产品生产、加工活</w:t>
      </w:r>
      <w:r>
        <w:rPr>
          <w:color w:val="auto"/>
          <w:spacing w:val="-3"/>
        </w:rPr>
        <w:t>动中使用了有机产品国家标准禁用物质或者受到禁用物质污染的；</w:t>
      </w:r>
      <w:r>
        <w:rPr>
          <w:color w:val="auto"/>
          <w:spacing w:val="-12"/>
        </w:rPr>
        <w:t>（</w:t>
      </w:r>
      <w:r>
        <w:rPr>
          <w:color w:val="auto"/>
        </w:rPr>
        <w:t>三</w:t>
      </w:r>
      <w:r>
        <w:rPr>
          <w:color w:val="auto"/>
          <w:spacing w:val="-12"/>
        </w:rPr>
        <w:t>）</w:t>
      </w:r>
      <w:r>
        <w:rPr>
          <w:color w:val="auto"/>
        </w:rPr>
        <w:t>获证产品的</w:t>
      </w:r>
      <w:r>
        <w:rPr>
          <w:color w:val="auto"/>
          <w:spacing w:val="-3"/>
        </w:rPr>
        <w:t>认证委托人虚报、瞒报获证所需信息的；</w:t>
      </w:r>
      <w:r>
        <w:rPr>
          <w:color w:val="auto"/>
          <w:spacing w:val="-9"/>
        </w:rPr>
        <w:t>（</w:t>
      </w:r>
      <w:r>
        <w:rPr>
          <w:color w:val="auto"/>
        </w:rPr>
        <w:t>四</w:t>
      </w:r>
      <w:r>
        <w:rPr>
          <w:color w:val="auto"/>
          <w:spacing w:val="-10"/>
        </w:rPr>
        <w:t>）</w:t>
      </w:r>
      <w:r>
        <w:rPr>
          <w:color w:val="auto"/>
        </w:rPr>
        <w:t>获证产品的认证委托人超范围使用认</w:t>
      </w:r>
      <w:r>
        <w:rPr>
          <w:color w:val="auto"/>
          <w:spacing w:val="-2"/>
        </w:rPr>
        <w:t>证标志的；</w:t>
      </w:r>
      <w:r>
        <w:rPr>
          <w:color w:val="auto"/>
          <w:spacing w:val="-6"/>
        </w:rPr>
        <w:t>（</w:t>
      </w:r>
      <w:r>
        <w:rPr>
          <w:color w:val="auto"/>
        </w:rPr>
        <w:t>五</w:t>
      </w:r>
      <w:r>
        <w:rPr>
          <w:color w:val="auto"/>
          <w:spacing w:val="-5"/>
        </w:rPr>
        <w:t>）</w:t>
      </w:r>
      <w:r>
        <w:rPr>
          <w:color w:val="auto"/>
          <w:spacing w:val="-1"/>
        </w:rPr>
        <w:t>获证产品的产地</w:t>
      </w:r>
      <w:r>
        <w:rPr>
          <w:color w:val="auto"/>
        </w:rPr>
        <w:t>（基地</w:t>
      </w:r>
      <w:r>
        <w:rPr>
          <w:color w:val="auto"/>
          <w:spacing w:val="-5"/>
        </w:rPr>
        <w:t>）</w:t>
      </w:r>
      <w:r>
        <w:rPr>
          <w:color w:val="auto"/>
          <w:spacing w:val="-1"/>
        </w:rPr>
        <w:t>环境质量不符合认证要求的；</w:t>
      </w:r>
      <w:r>
        <w:rPr>
          <w:color w:val="auto"/>
          <w:spacing w:val="-5"/>
        </w:rPr>
        <w:t>（</w:t>
      </w:r>
      <w:r>
        <w:rPr>
          <w:color w:val="auto"/>
        </w:rPr>
        <w:t>六</w:t>
      </w:r>
      <w:r>
        <w:rPr>
          <w:color w:val="auto"/>
          <w:spacing w:val="-5"/>
        </w:rPr>
        <w:t>）</w:t>
      </w:r>
      <w:r>
        <w:rPr>
          <w:color w:val="auto"/>
        </w:rPr>
        <w:t>获证</w:t>
      </w:r>
      <w:r>
        <w:rPr>
          <w:color w:val="auto"/>
          <w:spacing w:val="-5"/>
        </w:rPr>
        <w:t>产品的生产、加工、销售等活动或者管理体系不符合认证要求，且在认证证书暂停期间，未采取有效纠正或者纠正措施的；</w:t>
      </w:r>
      <w:r>
        <w:rPr>
          <w:color w:val="auto"/>
          <w:spacing w:val="-6"/>
        </w:rPr>
        <w:t>（</w:t>
      </w:r>
      <w:r>
        <w:rPr>
          <w:color w:val="auto"/>
        </w:rPr>
        <w:t>七</w:t>
      </w:r>
      <w:r>
        <w:rPr>
          <w:color w:val="auto"/>
          <w:spacing w:val="-8"/>
        </w:rPr>
        <w:t>）</w:t>
      </w:r>
      <w:r>
        <w:rPr>
          <w:color w:val="auto"/>
          <w:spacing w:val="-2"/>
        </w:rPr>
        <w:t>获证产品在认证证书标明的生产、加工</w:t>
      </w:r>
      <w:r>
        <w:rPr>
          <w:color w:val="auto"/>
          <w:spacing w:val="-5"/>
        </w:rPr>
        <w:t>场所外进行了再次加工、分装、分割的；</w:t>
      </w:r>
      <w:r>
        <w:rPr>
          <w:color w:val="auto"/>
          <w:spacing w:val="-6"/>
        </w:rPr>
        <w:t>（</w:t>
      </w:r>
      <w:r>
        <w:rPr>
          <w:color w:val="auto"/>
        </w:rPr>
        <w:t>八</w:t>
      </w:r>
      <w:r>
        <w:rPr>
          <w:color w:val="auto"/>
          <w:spacing w:val="-8"/>
        </w:rPr>
        <w:t>）</w:t>
      </w:r>
      <w:r>
        <w:rPr>
          <w:color w:val="auto"/>
        </w:rPr>
        <w:t>获证产品的认证委托人对相关方重大</w:t>
      </w:r>
      <w:r>
        <w:rPr>
          <w:color w:val="auto"/>
          <w:spacing w:val="-1"/>
        </w:rPr>
        <w:t>投诉且确有问题未能采取有效处理措施的；</w:t>
      </w:r>
      <w:r>
        <w:rPr>
          <w:color w:val="auto"/>
          <w:spacing w:val="-12"/>
        </w:rPr>
        <w:t>（</w:t>
      </w:r>
      <w:r>
        <w:rPr>
          <w:color w:val="auto"/>
        </w:rPr>
        <w:t>九</w:t>
      </w:r>
      <w:r>
        <w:rPr>
          <w:color w:val="auto"/>
          <w:spacing w:val="-12"/>
        </w:rPr>
        <w:t>）</w:t>
      </w:r>
      <w:r>
        <w:rPr>
          <w:color w:val="auto"/>
        </w:rPr>
        <w:t>获证产品的认证委托人从事有机产</w:t>
      </w:r>
      <w:r>
        <w:rPr>
          <w:color w:val="auto"/>
          <w:spacing w:val="-1"/>
        </w:rPr>
        <w:t>品认证活动因违反国家农产品、食品安全管理相关法律法规，受到相关行政处罚的；</w:t>
      </w:r>
    </w:p>
    <w:p>
      <w:pPr>
        <w:pStyle w:val="4"/>
        <w:spacing w:line="292" w:lineRule="exact"/>
        <w:rPr>
          <w:color w:val="auto"/>
        </w:rPr>
      </w:pPr>
      <w:r>
        <w:rPr>
          <w:color w:val="auto"/>
        </w:rPr>
        <w:t>（十）获证产品的认证委托人拒不接受认证监管部门或者认证机构对其实施监督的；</w:t>
      </w:r>
    </w:p>
    <w:p>
      <w:pPr>
        <w:spacing w:after="0" w:line="292" w:lineRule="exact"/>
        <w:rPr>
          <w:color w:val="auto"/>
        </w:rPr>
        <w:sectPr>
          <w:pgSz w:w="11910" w:h="16840"/>
          <w:pgMar w:top="1520" w:right="1260" w:bottom="1220" w:left="1420" w:header="0" w:footer="1034" w:gutter="0"/>
        </w:sectPr>
      </w:pPr>
    </w:p>
    <w:p>
      <w:pPr>
        <w:pStyle w:val="4"/>
        <w:spacing w:before="39"/>
        <w:rPr>
          <w:color w:val="auto"/>
        </w:rPr>
      </w:pPr>
      <w:r>
        <w:rPr>
          <w:color w:val="auto"/>
        </w:rPr>
        <w:t>（十一）其他需要撤销认证证书的情形。”</w:t>
      </w:r>
    </w:p>
    <w:p>
      <w:pPr>
        <w:pStyle w:val="4"/>
        <w:spacing w:before="195" w:line="388" w:lineRule="auto"/>
        <w:ind w:right="266" w:firstLine="470"/>
        <w:jc w:val="both"/>
        <w:rPr>
          <w:color w:val="auto"/>
        </w:rPr>
      </w:pPr>
      <w:r>
        <w:rPr>
          <w:color w:val="auto"/>
        </w:rPr>
        <w:t>4、《中华人民共和国认证认可条例》《中华人民共和国认证认可条例》第六十条第一款第（三）</w:t>
      </w:r>
      <w:r>
        <w:rPr>
          <w:color w:val="auto"/>
          <w:spacing w:val="-2"/>
        </w:rPr>
        <w:t xml:space="preserve">项“认证机构有下列情形之一的，责令改正，处 </w:t>
      </w:r>
      <w:r>
        <w:rPr>
          <w:color w:val="auto"/>
        </w:rPr>
        <w:t>5</w:t>
      </w:r>
      <w:r>
        <w:rPr>
          <w:color w:val="auto"/>
          <w:spacing w:val="-16"/>
        </w:rPr>
        <w:t xml:space="preserve"> 万元以上 </w:t>
      </w:r>
      <w:r>
        <w:rPr>
          <w:color w:val="auto"/>
        </w:rPr>
        <w:t>20</w:t>
      </w:r>
      <w:r>
        <w:rPr>
          <w:color w:val="auto"/>
          <w:spacing w:val="-23"/>
        </w:rPr>
        <w:t xml:space="preserve"> 万</w:t>
      </w:r>
      <w:r>
        <w:rPr>
          <w:color w:val="auto"/>
          <w:spacing w:val="-14"/>
        </w:rPr>
        <w:t>元以下的罚款，有违法所得的，没收违法所得；情节严重的，责令停业整顿，直至撤</w:t>
      </w:r>
      <w:r>
        <w:rPr>
          <w:color w:val="auto"/>
          <w:spacing w:val="-3"/>
        </w:rPr>
        <w:t>销批准文件，并予公布：</w:t>
      </w:r>
      <w:r>
        <w:rPr>
          <w:color w:val="auto"/>
          <w:spacing w:val="-6"/>
        </w:rPr>
        <w:t>（</w:t>
      </w:r>
      <w:r>
        <w:rPr>
          <w:color w:val="auto"/>
        </w:rPr>
        <w:t>三</w:t>
      </w:r>
      <w:r>
        <w:rPr>
          <w:color w:val="auto"/>
          <w:spacing w:val="-5"/>
        </w:rPr>
        <w:t>）</w:t>
      </w:r>
      <w:r>
        <w:rPr>
          <w:color w:val="auto"/>
          <w:spacing w:val="-3"/>
        </w:rPr>
        <w:t>未对其认证的产品、服务、管理体系实施有效的跟踪</w:t>
      </w:r>
      <w:r>
        <w:rPr>
          <w:color w:val="auto"/>
          <w:spacing w:val="-7"/>
        </w:rPr>
        <w:t>调查，或者发现其认证的产品、服务、管理体系不能持续符合认证要求，不及时暂停</w:t>
      </w:r>
      <w:r>
        <w:rPr>
          <w:color w:val="auto"/>
        </w:rPr>
        <w:t>其使用或者撤销认证证书并予公布的；”</w:t>
      </w:r>
    </w:p>
    <w:p>
      <w:pPr>
        <w:spacing w:before="11" w:line="388" w:lineRule="auto"/>
        <w:ind w:left="591" w:right="6957" w:hanging="10"/>
        <w:jc w:val="left"/>
        <w:rPr>
          <w:color w:val="auto"/>
          <w:sz w:val="24"/>
        </w:rPr>
      </w:pPr>
      <w:r>
        <w:rPr>
          <w:b/>
          <w:color w:val="auto"/>
          <w:sz w:val="24"/>
        </w:rPr>
        <w:t>（二）裁量标准</w:t>
      </w:r>
      <w:r>
        <w:rPr>
          <w:color w:val="auto"/>
          <w:sz w:val="24"/>
        </w:rPr>
        <w:t>1、【较轻】</w:t>
      </w:r>
    </w:p>
    <w:p>
      <w:pPr>
        <w:pStyle w:val="13"/>
        <w:numPr>
          <w:ilvl w:val="0"/>
          <w:numId w:val="105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有下列情形之一的：1、及时暂停其使用或撤销认证证书但未及时公布的；2、具有其他较轻情节的</w:t>
      </w:r>
    </w:p>
    <w:p>
      <w:pPr>
        <w:pStyle w:val="13"/>
        <w:numPr>
          <w:ilvl w:val="0"/>
          <w:numId w:val="105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9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9"/>
        </w:rPr>
        <w:t xml:space="preserve"> 万元以下罚款，没收违法所得；通报批准机关。</w:t>
      </w:r>
      <w:r>
        <w:rPr>
          <w:color w:val="auto"/>
        </w:rPr>
        <w:t>2</w:t>
      </w:r>
      <w:r>
        <w:rPr>
          <w:color w:val="auto"/>
          <w:spacing w:val="-24"/>
        </w:rPr>
        <w:t>、【一般】</w:t>
      </w:r>
    </w:p>
    <w:p>
      <w:pPr>
        <w:pStyle w:val="13"/>
        <w:numPr>
          <w:ilvl w:val="0"/>
          <w:numId w:val="105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未及时暂停其使用或撤销认证证书的。</w:t>
      </w:r>
    </w:p>
    <w:p>
      <w:pPr>
        <w:pStyle w:val="13"/>
        <w:numPr>
          <w:ilvl w:val="0"/>
          <w:numId w:val="105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47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9"/>
        </w:rPr>
        <w:t xml:space="preserve"> 万元以下罚款，没收违法所得；通报批准机关。</w:t>
      </w:r>
      <w:r>
        <w:rPr>
          <w:color w:val="auto"/>
        </w:rPr>
        <w:t>3</w:t>
      </w:r>
      <w:r>
        <w:rPr>
          <w:color w:val="auto"/>
          <w:spacing w:val="-24"/>
        </w:rPr>
        <w:t>、【较重】</w:t>
      </w:r>
    </w:p>
    <w:p>
      <w:pPr>
        <w:pStyle w:val="13"/>
        <w:numPr>
          <w:ilvl w:val="0"/>
          <w:numId w:val="105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有下列情形之一的：1、未到现场审核即予发证的；2、发现其认证的产品不能符合认证要求，而继续给予合格结论的；3、具有其他较重情节的。</w:t>
      </w:r>
    </w:p>
    <w:p>
      <w:pPr>
        <w:pStyle w:val="13"/>
        <w:numPr>
          <w:ilvl w:val="0"/>
          <w:numId w:val="1057"/>
        </w:numPr>
        <w:tabs>
          <w:tab w:val="left" w:pos="1193"/>
        </w:tabs>
        <w:spacing w:before="0" w:after="0" w:line="306" w:lineRule="exact"/>
        <w:ind w:left="1192" w:right="0" w:hanging="602"/>
        <w:jc w:val="left"/>
        <w:rPr>
          <w:color w:val="auto"/>
          <w:sz w:val="24"/>
        </w:rPr>
      </w:pPr>
      <w:r>
        <w:rPr>
          <w:color w:val="auto"/>
          <w:sz w:val="24"/>
        </w:rPr>
        <w:t>处罚标准</w:t>
      </w:r>
    </w:p>
    <w:p>
      <w:pPr>
        <w:spacing w:before="192" w:line="391" w:lineRule="auto"/>
        <w:ind w:left="591" w:right="148" w:hanging="10"/>
        <w:jc w:val="left"/>
        <w:rPr>
          <w:b/>
          <w:color w:val="auto"/>
          <w:sz w:val="24"/>
        </w:rPr>
      </w:pPr>
      <w:r>
        <w:rPr>
          <w:color w:val="auto"/>
          <w:spacing w:val="-30"/>
          <w:sz w:val="24"/>
        </w:rPr>
        <w:t xml:space="preserve">处 </w:t>
      </w:r>
      <w:r>
        <w:rPr>
          <w:color w:val="auto"/>
          <w:sz w:val="24"/>
        </w:rPr>
        <w:t>15</w:t>
      </w:r>
      <w:r>
        <w:rPr>
          <w:color w:val="auto"/>
          <w:spacing w:val="-20"/>
          <w:sz w:val="24"/>
        </w:rPr>
        <w:t xml:space="preserve"> 万元以上 </w:t>
      </w:r>
      <w:r>
        <w:rPr>
          <w:color w:val="auto"/>
          <w:sz w:val="24"/>
        </w:rPr>
        <w:t>20</w:t>
      </w:r>
      <w:r>
        <w:rPr>
          <w:color w:val="auto"/>
          <w:spacing w:val="-16"/>
          <w:sz w:val="24"/>
        </w:rPr>
        <w:t xml:space="preserve"> 万元以下罚款, 没收违法所得；责令停业整顿，通报批准机关。</w:t>
      </w:r>
      <w:bookmarkStart w:id="1066" w:name="_bookmark532"/>
      <w:bookmarkEnd w:id="1066"/>
      <w:bookmarkStart w:id="1067" w:name="五百二十一、认证委托人未获得有机产品认证的加工产品，违规进行有机产品认证标识标注"/>
      <w:bookmarkEnd w:id="1067"/>
      <w:r>
        <w:rPr>
          <w:b/>
          <w:color w:val="auto"/>
          <w:spacing w:val="-7"/>
          <w:sz w:val="24"/>
        </w:rPr>
        <w:t>五百二十一、认证委托人未获得有机产品认证的加工产品，违规进行有机产品认</w:t>
      </w:r>
    </w:p>
    <w:p>
      <w:pPr>
        <w:pStyle w:val="2"/>
        <w:spacing w:line="306" w:lineRule="exact"/>
        <w:ind w:left="111"/>
        <w:rPr>
          <w:color w:val="auto"/>
        </w:rPr>
      </w:pPr>
      <w:r>
        <w:rPr>
          <w:color w:val="auto"/>
        </w:rPr>
        <w:t>证标识标注</w:t>
      </w:r>
    </w:p>
    <w:p>
      <w:pPr>
        <w:spacing w:before="192"/>
        <w:ind w:left="58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66" w:firstLine="470"/>
        <w:jc w:val="both"/>
        <w:rPr>
          <w:color w:val="auto"/>
        </w:rPr>
      </w:pPr>
      <w:r>
        <w:rPr>
          <w:color w:val="auto"/>
        </w:rPr>
        <w:t>1</w:t>
      </w:r>
      <w:r>
        <w:rPr>
          <w:color w:val="auto"/>
          <w:spacing w:val="-7"/>
        </w:rPr>
        <w:t>、《有机产品认证管理办法》第五十五条 “认证委托人有下列情形之一的，由</w:t>
      </w:r>
      <w:r>
        <w:rPr>
          <w:color w:val="auto"/>
          <w:spacing w:val="-4"/>
        </w:rPr>
        <w:t xml:space="preserve">地方认证监管部门责令改正，处 </w:t>
      </w:r>
      <w:r>
        <w:rPr>
          <w:color w:val="auto"/>
        </w:rPr>
        <w:t>1</w:t>
      </w:r>
      <w:r>
        <w:rPr>
          <w:color w:val="auto"/>
          <w:spacing w:val="-19"/>
        </w:rPr>
        <w:t xml:space="preserve"> 万元以上 </w:t>
      </w:r>
      <w:r>
        <w:rPr>
          <w:color w:val="auto"/>
        </w:rPr>
        <w:t>3</w:t>
      </w:r>
      <w:r>
        <w:rPr>
          <w:color w:val="auto"/>
          <w:spacing w:val="-21"/>
        </w:rPr>
        <w:t xml:space="preserve"> 万元以下罚款：</w:t>
      </w:r>
      <w:r>
        <w:rPr>
          <w:color w:val="auto"/>
          <w:spacing w:val="2"/>
        </w:rPr>
        <w:t>（一）</w:t>
      </w:r>
      <w:r>
        <w:rPr>
          <w:color w:val="auto"/>
          <w:spacing w:val="1"/>
        </w:rPr>
        <w:t>未获得有机产品认证的加工产品，违反本办法第十五条的规定，进行有机产品认证标识标注的；”</w:t>
      </w:r>
    </w:p>
    <w:p>
      <w:pPr>
        <w:pStyle w:val="4"/>
        <w:spacing w:line="391" w:lineRule="auto"/>
        <w:ind w:right="146" w:firstLine="470"/>
        <w:jc w:val="both"/>
        <w:rPr>
          <w:color w:val="auto"/>
        </w:rPr>
      </w:pPr>
      <w:r>
        <w:rPr>
          <w:color w:val="auto"/>
        </w:rPr>
        <w:t>2</w:t>
      </w:r>
      <w:r>
        <w:rPr>
          <w:color w:val="auto"/>
          <w:spacing w:val="-5"/>
        </w:rPr>
        <w:t>、《有机产品认证管理办法》第十五条“有机配料含量</w:t>
      </w:r>
      <w:r>
        <w:rPr>
          <w:color w:val="auto"/>
        </w:rPr>
        <w:t>（</w:t>
      </w:r>
      <w:r>
        <w:rPr>
          <w:color w:val="auto"/>
          <w:spacing w:val="-2"/>
        </w:rPr>
        <w:t xml:space="preserve">指重量或者液体体积， </w:t>
      </w:r>
      <w:r>
        <w:rPr>
          <w:color w:val="auto"/>
        </w:rPr>
        <w:t>不包括水和盐，下同）</w:t>
      </w:r>
      <w:r>
        <w:rPr>
          <w:color w:val="auto"/>
          <w:spacing w:val="-9"/>
        </w:rPr>
        <w:t xml:space="preserve">等于或者高于 </w:t>
      </w:r>
      <w:r>
        <w:rPr>
          <w:color w:val="auto"/>
        </w:rPr>
        <w:t>95％的加工产品，应当在获得有机产品认证后， 方可在产品或者产品包装及标签上标注“有机”字样，加施有机产品认证标志。”</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5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5"/>
        <w:ind w:left="591"/>
        <w:rPr>
          <w:color w:val="auto"/>
        </w:rPr>
      </w:pPr>
      <w:r>
        <w:rPr>
          <w:color w:val="auto"/>
        </w:rPr>
        <w:t>属首次违法，检查后及时停止违法行为的。</w:t>
      </w:r>
    </w:p>
    <w:p>
      <w:pPr>
        <w:pStyle w:val="13"/>
        <w:numPr>
          <w:ilvl w:val="0"/>
          <w:numId w:val="105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、【较重】</w:t>
      </w:r>
    </w:p>
    <w:p>
      <w:pPr>
        <w:pStyle w:val="13"/>
        <w:numPr>
          <w:ilvl w:val="0"/>
          <w:numId w:val="105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拒不整改，或具有其他较重情节的。</w:t>
      </w:r>
    </w:p>
    <w:p>
      <w:pPr>
        <w:pStyle w:val="13"/>
        <w:numPr>
          <w:ilvl w:val="0"/>
          <w:numId w:val="1059"/>
        </w:numPr>
        <w:tabs>
          <w:tab w:val="left" w:pos="1193"/>
        </w:tabs>
        <w:spacing w:before="192" w:after="0" w:line="240" w:lineRule="auto"/>
        <w:ind w:left="1192" w:right="0" w:hanging="602"/>
        <w:jc w:val="left"/>
        <w:rPr>
          <w:color w:val="auto"/>
          <w:sz w:val="24"/>
        </w:rPr>
      </w:pPr>
      <w:r>
        <w:rPr>
          <w:color w:val="auto"/>
          <w:sz w:val="24"/>
        </w:rPr>
        <w:t>处罚标准</w:t>
      </w:r>
    </w:p>
    <w:p>
      <w:pPr>
        <w:spacing w:before="194" w:line="388" w:lineRule="auto"/>
        <w:ind w:left="591" w:right="4056" w:firstLine="0"/>
        <w:jc w:val="left"/>
        <w:rPr>
          <w:b/>
          <w:color w:val="auto"/>
          <w:sz w:val="24"/>
        </w:rPr>
      </w:pPr>
      <w:r>
        <w:rPr>
          <w:color w:val="auto"/>
          <w:spacing w:val="-9"/>
          <w:sz w:val="24"/>
        </w:rPr>
        <w:t xml:space="preserve">责令改正，处 </w:t>
      </w:r>
      <w:r>
        <w:rPr>
          <w:color w:val="auto"/>
          <w:sz w:val="24"/>
        </w:rPr>
        <w:t>2</w:t>
      </w:r>
      <w:r>
        <w:rPr>
          <w:color w:val="auto"/>
          <w:spacing w:val="-20"/>
          <w:sz w:val="24"/>
        </w:rPr>
        <w:t xml:space="preserve"> 万元以上 </w:t>
      </w:r>
      <w:r>
        <w:rPr>
          <w:color w:val="auto"/>
          <w:sz w:val="24"/>
        </w:rPr>
        <w:t>3</w:t>
      </w:r>
      <w:r>
        <w:rPr>
          <w:color w:val="auto"/>
          <w:spacing w:val="-8"/>
          <w:sz w:val="24"/>
        </w:rPr>
        <w:t xml:space="preserve"> 万元以下罚款。</w:t>
      </w:r>
      <w:bookmarkStart w:id="1068" w:name="五百二十二、认证委托人违规使用认证标志"/>
      <w:bookmarkEnd w:id="1068"/>
      <w:bookmarkStart w:id="1069" w:name="_bookmark533"/>
      <w:bookmarkEnd w:id="1069"/>
      <w:r>
        <w:rPr>
          <w:b/>
          <w:color w:val="auto"/>
          <w:spacing w:val="-9"/>
          <w:sz w:val="24"/>
        </w:rPr>
        <w:t>五百二十二、认证委托人违规使用认证标志</w:t>
      </w:r>
    </w:p>
    <w:p>
      <w:pPr>
        <w:pStyle w:val="2"/>
        <w:spacing w:before="2"/>
        <w:ind w:left="581"/>
        <w:rPr>
          <w:color w:val="auto"/>
        </w:rPr>
      </w:pPr>
      <w:r>
        <w:rPr>
          <w:color w:val="auto"/>
        </w:rPr>
        <w:t>（一）处罚依据</w:t>
      </w:r>
    </w:p>
    <w:p>
      <w:pPr>
        <w:pStyle w:val="4"/>
        <w:spacing w:before="194" w:line="388" w:lineRule="auto"/>
        <w:ind w:right="266" w:firstLine="470"/>
        <w:jc w:val="both"/>
        <w:rPr>
          <w:color w:val="auto"/>
        </w:rPr>
      </w:pPr>
      <w:r>
        <w:rPr>
          <w:color w:val="auto"/>
        </w:rPr>
        <w:t>1</w:t>
      </w:r>
      <w:r>
        <w:rPr>
          <w:color w:val="auto"/>
          <w:spacing w:val="-7"/>
        </w:rPr>
        <w:t>、《有机产品认证管理办法》第五十五条 “认证委托人有下列情形之一的，由</w:t>
      </w:r>
      <w:r>
        <w:rPr>
          <w:color w:val="auto"/>
          <w:spacing w:val="-4"/>
        </w:rPr>
        <w:t xml:space="preserve">地方认证监管部门责令改正，处 </w:t>
      </w:r>
      <w:r>
        <w:rPr>
          <w:color w:val="auto"/>
        </w:rPr>
        <w:t>1</w:t>
      </w:r>
      <w:r>
        <w:rPr>
          <w:color w:val="auto"/>
          <w:spacing w:val="-19"/>
        </w:rPr>
        <w:t xml:space="preserve"> 万元以上 </w:t>
      </w:r>
      <w:r>
        <w:rPr>
          <w:color w:val="auto"/>
        </w:rPr>
        <w:t>3</w:t>
      </w:r>
      <w:r>
        <w:rPr>
          <w:color w:val="auto"/>
          <w:spacing w:val="-21"/>
        </w:rPr>
        <w:t xml:space="preserve"> 万元以下罚款：</w:t>
      </w:r>
      <w:r>
        <w:rPr>
          <w:color w:val="auto"/>
          <w:spacing w:val="2"/>
        </w:rPr>
        <w:t>（二）</w:t>
      </w:r>
      <w:r>
        <w:rPr>
          <w:color w:val="auto"/>
          <w:spacing w:val="1"/>
        </w:rPr>
        <w:t>未依照本办法第</w:t>
      </w:r>
      <w:r>
        <w:rPr>
          <w:color w:val="auto"/>
          <w:spacing w:val="-5"/>
        </w:rPr>
        <w:t>三十三条第一款、第三十四条的规定使用认证标志的；”</w:t>
      </w:r>
    </w:p>
    <w:p>
      <w:pPr>
        <w:pStyle w:val="4"/>
        <w:spacing w:before="5" w:line="388" w:lineRule="auto"/>
        <w:ind w:right="268" w:firstLine="470"/>
        <w:rPr>
          <w:color w:val="auto"/>
        </w:rPr>
      </w:pPr>
      <w:r>
        <w:rPr>
          <w:color w:val="auto"/>
        </w:rPr>
        <w:t>2、《有机产品认证管理办法》第三十三条第一款“中国有机产品认证标志应当在认证证书限定的产品类别、范围和数量内使用。”</w:t>
      </w:r>
    </w:p>
    <w:p>
      <w:pPr>
        <w:pStyle w:val="4"/>
        <w:spacing w:before="2" w:line="391" w:lineRule="auto"/>
        <w:ind w:right="268" w:firstLine="470"/>
        <w:jc w:val="both"/>
        <w:rPr>
          <w:color w:val="auto"/>
        </w:rPr>
      </w:pPr>
      <w:r>
        <w:rPr>
          <w:color w:val="auto"/>
        </w:rPr>
        <w:t>3、《有机产品认证管理办法》第三十四条“获证产品的认证委托人应当在获证</w:t>
      </w:r>
      <w:r>
        <w:rPr>
          <w:color w:val="auto"/>
          <w:spacing w:val="-4"/>
        </w:rPr>
        <w:t>产品或者产品的最小销售包装上，加施中国有机产品认证标志、有机码和认证机构名</w:t>
      </w:r>
      <w:r>
        <w:rPr>
          <w:color w:val="auto"/>
        </w:rPr>
        <w:t>称。</w:t>
      </w:r>
    </w:p>
    <w:p>
      <w:pPr>
        <w:pStyle w:val="4"/>
        <w:spacing w:line="304" w:lineRule="exact"/>
        <w:ind w:left="581"/>
        <w:rPr>
          <w:color w:val="auto"/>
        </w:rPr>
      </w:pPr>
      <w:r>
        <w:rPr>
          <w:color w:val="auto"/>
        </w:rPr>
        <w:t>获证产品标签、说明书及广告宣传等材料上可以印制中国有机产品认证标志，并</w:t>
      </w:r>
    </w:p>
    <w:p>
      <w:pPr>
        <w:spacing w:after="0" w:line="304" w:lineRule="exact"/>
        <w:rPr>
          <w:color w:val="auto"/>
        </w:rPr>
        <w:sectPr>
          <w:pgSz w:w="11910" w:h="16840"/>
          <w:pgMar w:top="1520" w:right="1260" w:bottom="1220" w:left="1420" w:header="0" w:footer="1034" w:gutter="0"/>
        </w:sectPr>
      </w:pPr>
    </w:p>
    <w:p>
      <w:pPr>
        <w:pStyle w:val="4"/>
        <w:spacing w:before="39"/>
        <w:rPr>
          <w:color w:val="auto"/>
        </w:rPr>
      </w:pPr>
      <w:r>
        <w:rPr>
          <w:color w:val="auto"/>
        </w:rPr>
        <w:t>可以按照比例放大或者缩小，但不得变形、变色。”</w:t>
      </w:r>
    </w:p>
    <w:p>
      <w:pPr>
        <w:spacing w:before="19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6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属首次违法，检查后及时停止违法行为的。</w:t>
      </w:r>
    </w:p>
    <w:p>
      <w:pPr>
        <w:pStyle w:val="13"/>
        <w:numPr>
          <w:ilvl w:val="0"/>
          <w:numId w:val="106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、【较重】</w:t>
      </w:r>
    </w:p>
    <w:p>
      <w:pPr>
        <w:pStyle w:val="13"/>
        <w:numPr>
          <w:ilvl w:val="0"/>
          <w:numId w:val="106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81"/>
        <w:rPr>
          <w:color w:val="auto"/>
        </w:rPr>
      </w:pPr>
      <w:r>
        <w:rPr>
          <w:color w:val="auto"/>
        </w:rPr>
        <w:t>拒不整改，或具有其他较重情节的。</w:t>
      </w:r>
    </w:p>
    <w:p>
      <w:pPr>
        <w:pStyle w:val="13"/>
        <w:numPr>
          <w:ilvl w:val="0"/>
          <w:numId w:val="106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责令改正，处 2 万元以上 3 万元以下罚款。</w:t>
      </w:r>
    </w:p>
    <w:p>
      <w:pPr>
        <w:pStyle w:val="2"/>
        <w:spacing w:before="191" w:line="391" w:lineRule="auto"/>
        <w:ind w:left="111" w:right="240" w:firstLine="480"/>
        <w:rPr>
          <w:color w:val="auto"/>
        </w:rPr>
      </w:pPr>
      <w:bookmarkStart w:id="1070" w:name="五百二十三、认证委托人在认证证书暂停期间或者被注销、撤销后，仍继续使用认证证书和"/>
      <w:bookmarkEnd w:id="1070"/>
      <w:bookmarkStart w:id="1071" w:name="_bookmark534"/>
      <w:bookmarkEnd w:id="1071"/>
      <w:r>
        <w:rPr>
          <w:color w:val="auto"/>
          <w:spacing w:val="-6"/>
        </w:rPr>
        <w:t>五百二十三、认证委托人在认证证书暂停期间或者被注销、撤销后，仍继续使用认证证书和认证标志</w:t>
      </w:r>
    </w:p>
    <w:p>
      <w:pPr>
        <w:spacing w:before="0" w:line="306" w:lineRule="exact"/>
        <w:ind w:left="581" w:right="0" w:firstLine="0"/>
        <w:jc w:val="left"/>
        <w:rPr>
          <w:b/>
          <w:color w:val="auto"/>
          <w:sz w:val="24"/>
        </w:rPr>
      </w:pPr>
      <w:r>
        <w:rPr>
          <w:b/>
          <w:color w:val="auto"/>
          <w:w w:val="95"/>
          <w:sz w:val="24"/>
        </w:rPr>
        <w:t>（一）处罚依据</w:t>
      </w:r>
    </w:p>
    <w:p>
      <w:pPr>
        <w:pStyle w:val="4"/>
        <w:spacing w:before="192" w:line="391" w:lineRule="auto"/>
        <w:ind w:right="268" w:firstLine="470"/>
        <w:jc w:val="both"/>
        <w:rPr>
          <w:color w:val="auto"/>
        </w:rPr>
      </w:pPr>
      <w:r>
        <w:rPr>
          <w:color w:val="auto"/>
        </w:rPr>
        <w:t>《有机产品认证管理办法》第五十五条 “认证委托人有下列情形之一的，由地</w:t>
      </w:r>
      <w:r>
        <w:rPr>
          <w:color w:val="auto"/>
          <w:spacing w:val="-4"/>
        </w:rPr>
        <w:t xml:space="preserve">方认证监管部门责令改正，处 </w:t>
      </w:r>
      <w:r>
        <w:rPr>
          <w:color w:val="auto"/>
        </w:rPr>
        <w:t>1</w:t>
      </w:r>
      <w:r>
        <w:rPr>
          <w:color w:val="auto"/>
          <w:spacing w:val="-19"/>
        </w:rPr>
        <w:t xml:space="preserve"> 万元以上 </w:t>
      </w:r>
      <w:r>
        <w:rPr>
          <w:color w:val="auto"/>
        </w:rPr>
        <w:t>3</w:t>
      </w:r>
      <w:r>
        <w:rPr>
          <w:color w:val="auto"/>
          <w:spacing w:val="-21"/>
        </w:rPr>
        <w:t xml:space="preserve"> 万元以下罚款：</w:t>
      </w:r>
      <w:r>
        <w:rPr>
          <w:color w:val="auto"/>
          <w:spacing w:val="2"/>
        </w:rPr>
        <w:t>（三）</w:t>
      </w:r>
      <w:r>
        <w:rPr>
          <w:color w:val="auto"/>
          <w:spacing w:val="1"/>
        </w:rPr>
        <w:t>在认证证书暂停期</w:t>
      </w:r>
      <w:r>
        <w:rPr>
          <w:color w:val="auto"/>
          <w:spacing w:val="-4"/>
        </w:rPr>
        <w:t>间或者被注销、撤销后，仍继续使用认证证书和认证标志的。”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6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属首次违法，检查后及时停止违法行为的。</w:t>
      </w:r>
    </w:p>
    <w:p>
      <w:pPr>
        <w:pStyle w:val="13"/>
        <w:numPr>
          <w:ilvl w:val="0"/>
          <w:numId w:val="106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、【较重】</w:t>
      </w:r>
    </w:p>
    <w:p>
      <w:pPr>
        <w:pStyle w:val="13"/>
        <w:numPr>
          <w:ilvl w:val="0"/>
          <w:numId w:val="1063"/>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拒不整改，或具有其他较重情节的。</w:t>
      </w:r>
    </w:p>
    <w:p>
      <w:pPr>
        <w:pStyle w:val="13"/>
        <w:numPr>
          <w:ilvl w:val="0"/>
          <w:numId w:val="1063"/>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责令改正，处 2 万元以上 3 万元以下罚款。</w:t>
      </w:r>
    </w:p>
    <w:p>
      <w:pPr>
        <w:pStyle w:val="2"/>
        <w:spacing w:before="195"/>
        <w:rPr>
          <w:color w:val="auto"/>
        </w:rPr>
      </w:pPr>
      <w:bookmarkStart w:id="1072" w:name="_bookmark535"/>
      <w:bookmarkEnd w:id="1072"/>
      <w:bookmarkStart w:id="1073" w:name="五百二十四、拒绝接受国家认监委或者地方认证监管部门监督检查"/>
      <w:bookmarkEnd w:id="1073"/>
      <w:r>
        <w:rPr>
          <w:color w:val="auto"/>
        </w:rPr>
        <w:t>五百二十四、拒绝接受国家认监委或者地方认证监管部门监督检查</w:t>
      </w:r>
    </w:p>
    <w:p>
      <w:pPr>
        <w:spacing w:before="191"/>
        <w:ind w:left="58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《有机产品认证管理办法》第五十六条认证机构、获证产品的认证委托人拒绝接受国家认监委或者地方认证监管部门监督检查的，责令限期改正；逾期未改正的，处</w:t>
      </w:r>
      <w:r>
        <w:rPr>
          <w:color w:val="auto"/>
        </w:rPr>
        <w:t>3</w:t>
      </w:r>
      <w:r>
        <w:rPr>
          <w:color w:val="auto"/>
          <w:spacing w:val="-8"/>
        </w:rPr>
        <w:t xml:space="preserve"> 万元以下罚款。</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6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属首次违法，逾期未改的。</w:t>
      </w:r>
    </w:p>
    <w:p>
      <w:pPr>
        <w:pStyle w:val="13"/>
        <w:numPr>
          <w:ilvl w:val="0"/>
          <w:numId w:val="106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792"/>
        <w:rPr>
          <w:color w:val="auto"/>
        </w:rPr>
      </w:pPr>
      <w:r>
        <w:rPr>
          <w:color w:val="auto"/>
          <w:spacing w:val="-8"/>
        </w:rPr>
        <w:t xml:space="preserve">责令改正，并处 </w:t>
      </w:r>
      <w:r>
        <w:rPr>
          <w:color w:val="auto"/>
        </w:rPr>
        <w:t>1.5</w:t>
      </w:r>
      <w:r>
        <w:rPr>
          <w:color w:val="auto"/>
          <w:spacing w:val="-10"/>
        </w:rPr>
        <w:t xml:space="preserve"> 万元以下罚款。</w:t>
      </w:r>
      <w:r>
        <w:rPr>
          <w:color w:val="auto"/>
        </w:rPr>
        <w:t>2</w:t>
      </w:r>
      <w:r>
        <w:rPr>
          <w:color w:val="auto"/>
          <w:spacing w:val="-24"/>
        </w:rPr>
        <w:t>、【较重】</w:t>
      </w:r>
    </w:p>
    <w:p>
      <w:pPr>
        <w:pStyle w:val="13"/>
        <w:numPr>
          <w:ilvl w:val="0"/>
          <w:numId w:val="106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有下列情形之一的：1、属屡犯的；2、拒不整改，或具有其他严重情节的。</w:t>
      </w:r>
    </w:p>
    <w:p>
      <w:pPr>
        <w:pStyle w:val="13"/>
        <w:numPr>
          <w:ilvl w:val="0"/>
          <w:numId w:val="106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责令改正，处 1.5 万元以上 3 万元以下罚款。</w:t>
      </w:r>
    </w:p>
    <w:p>
      <w:pPr>
        <w:pStyle w:val="2"/>
        <w:spacing w:before="192" w:line="388" w:lineRule="auto"/>
        <w:ind w:left="111" w:right="242" w:firstLine="480"/>
        <w:rPr>
          <w:color w:val="auto"/>
        </w:rPr>
      </w:pPr>
      <w:bookmarkStart w:id="1074" w:name="五百二十五、伪造、冒用、转让、买卖无公害农产品产地认定证书、产品认证证书和标志"/>
      <w:bookmarkEnd w:id="1074"/>
      <w:bookmarkStart w:id="1075" w:name="_bookmark536"/>
      <w:bookmarkEnd w:id="1075"/>
      <w:r>
        <w:rPr>
          <w:color w:val="auto"/>
          <w:spacing w:val="-7"/>
        </w:rPr>
        <w:t>五百二十五、伪造、冒用、转让、买卖无公害农产品产地认定证书、产品认证证书和标志</w:t>
      </w:r>
    </w:p>
    <w:p>
      <w:pPr>
        <w:spacing w:before="4"/>
        <w:ind w:left="591" w:right="0" w:firstLine="0"/>
        <w:jc w:val="left"/>
        <w:rPr>
          <w:b/>
          <w:color w:val="auto"/>
          <w:sz w:val="24"/>
        </w:rPr>
      </w:pPr>
      <w:r>
        <w:rPr>
          <w:b/>
          <w:color w:val="auto"/>
          <w:sz w:val="24"/>
        </w:rPr>
        <w:t>（一）处罚依据</w:t>
      </w:r>
    </w:p>
    <w:p>
      <w:pPr>
        <w:pStyle w:val="4"/>
        <w:spacing w:before="192" w:line="391" w:lineRule="auto"/>
        <w:ind w:right="232" w:firstLine="470"/>
        <w:jc w:val="both"/>
        <w:rPr>
          <w:color w:val="auto"/>
        </w:rPr>
      </w:pPr>
      <w:r>
        <w:rPr>
          <w:color w:val="auto"/>
        </w:rPr>
        <w:t>1、《无公害农产品管理办法》第三十七条“违反本办法第三十五条规定的，由</w:t>
      </w:r>
      <w:r>
        <w:rPr>
          <w:color w:val="auto"/>
          <w:spacing w:val="3"/>
        </w:rPr>
        <w:t>县级以上农业行政主管部门和各地质量监督检验检疫部门根据各自的职责分工责令</w:t>
      </w:r>
      <w:r>
        <w:rPr>
          <w:color w:val="auto"/>
          <w:spacing w:val="-2"/>
        </w:rPr>
        <w:t xml:space="preserve">其停止，并可处以违法所得 </w:t>
      </w:r>
      <w:r>
        <w:rPr>
          <w:color w:val="auto"/>
        </w:rPr>
        <w:t>1</w:t>
      </w:r>
      <w:r>
        <w:rPr>
          <w:color w:val="auto"/>
          <w:spacing w:val="-24"/>
        </w:rPr>
        <w:t xml:space="preserve"> 倍以上 </w:t>
      </w:r>
      <w:r>
        <w:rPr>
          <w:color w:val="auto"/>
        </w:rPr>
        <w:t>3</w:t>
      </w:r>
      <w:r>
        <w:rPr>
          <w:color w:val="auto"/>
          <w:spacing w:val="-11"/>
        </w:rPr>
        <w:t xml:space="preserve"> 倍以下的罚款，但最高罚款不得超过 </w:t>
      </w:r>
      <w:r>
        <w:rPr>
          <w:color w:val="auto"/>
        </w:rPr>
        <w:t>3</w:t>
      </w:r>
      <w:r>
        <w:rPr>
          <w:color w:val="auto"/>
          <w:spacing w:val="-20"/>
        </w:rPr>
        <w:t xml:space="preserve"> 万元；</w:t>
      </w:r>
    </w:p>
    <w:p>
      <w:pPr>
        <w:pStyle w:val="4"/>
        <w:spacing w:line="304" w:lineRule="exact"/>
        <w:jc w:val="both"/>
        <w:rPr>
          <w:color w:val="auto"/>
        </w:rPr>
      </w:pPr>
      <w:r>
        <w:rPr>
          <w:color w:val="auto"/>
        </w:rPr>
        <w:t>没有违法所得的，可以处 1 万元以下的罚款。”</w:t>
      </w:r>
    </w:p>
    <w:p>
      <w:pPr>
        <w:pStyle w:val="4"/>
        <w:spacing w:before="191" w:line="391" w:lineRule="auto"/>
        <w:ind w:right="268" w:firstLine="470"/>
        <w:rPr>
          <w:color w:val="auto"/>
        </w:rPr>
      </w:pPr>
      <w:r>
        <w:rPr>
          <w:color w:val="auto"/>
        </w:rPr>
        <w:t>2、《无公害农产品管理办法》第三十五条“任何单位和个人不得伪造、冒用、</w:t>
      </w:r>
      <w:r>
        <w:rPr>
          <w:color w:val="auto"/>
        </w:rPr>
        <w:fldChar w:fldCharType="begin"/>
      </w:r>
      <w:r>
        <w:rPr>
          <w:color w:val="auto"/>
        </w:rPr>
        <w:instrText xml:space="preserve"> HYPERLINK "https://baike.baidu.com/item/%E6%97%A0%E5%85%AC%E5%AE%B3%E5%86%9C%E4%BA%A7%E5%93%81/5715527" \h </w:instrText>
      </w:r>
      <w:r>
        <w:rPr>
          <w:color w:val="auto"/>
        </w:rPr>
        <w:fldChar w:fldCharType="separate"/>
      </w:r>
      <w:r>
        <w:rPr>
          <w:color w:val="auto"/>
        </w:rPr>
        <w:t>转让、买卖无公害农产品</w:t>
      </w:r>
      <w:r>
        <w:rPr>
          <w:color w:val="auto"/>
        </w:rPr>
        <w:fldChar w:fldCharType="end"/>
      </w:r>
      <w:r>
        <w:rPr>
          <w:color w:val="auto"/>
        </w:rPr>
        <w:t>产地认定证书、产品认证证书和标志。”</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1066"/>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属首次违法，情节较轻，没有违法所得的。</w:t>
      </w:r>
    </w:p>
    <w:p>
      <w:pPr>
        <w:pStyle w:val="13"/>
        <w:numPr>
          <w:ilvl w:val="0"/>
          <w:numId w:val="106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8"/>
        </w:rPr>
        <w:t xml:space="preserve">责令停止，可处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06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属首次违法，违法所得在 1 万元以下的。</w:t>
      </w:r>
    </w:p>
    <w:p>
      <w:pPr>
        <w:pStyle w:val="13"/>
        <w:numPr>
          <w:ilvl w:val="0"/>
          <w:numId w:val="106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3352"/>
        <w:rPr>
          <w:color w:val="auto"/>
        </w:rPr>
      </w:pPr>
      <w:r>
        <w:rPr>
          <w:color w:val="auto"/>
          <w:spacing w:val="-5"/>
        </w:rPr>
        <w:t xml:space="preserve">责令停止，并处违法所得 </w:t>
      </w:r>
      <w:r>
        <w:rPr>
          <w:color w:val="auto"/>
        </w:rPr>
        <w:t>1</w:t>
      </w:r>
      <w:r>
        <w:rPr>
          <w:color w:val="auto"/>
          <w:spacing w:val="-24"/>
        </w:rPr>
        <w:t xml:space="preserve"> 倍以上 </w:t>
      </w:r>
      <w:r>
        <w:rPr>
          <w:color w:val="auto"/>
        </w:rPr>
        <w:t>2</w:t>
      </w:r>
      <w:r>
        <w:rPr>
          <w:color w:val="auto"/>
          <w:spacing w:val="-11"/>
        </w:rPr>
        <w:t xml:space="preserve"> 倍以下罚款。</w:t>
      </w:r>
      <w:r>
        <w:rPr>
          <w:color w:val="auto"/>
        </w:rPr>
        <w:t>3</w:t>
      </w:r>
      <w:r>
        <w:rPr>
          <w:color w:val="auto"/>
          <w:spacing w:val="-24"/>
        </w:rPr>
        <w:t>、【严重】</w:t>
      </w:r>
    </w:p>
    <w:p>
      <w:pPr>
        <w:pStyle w:val="13"/>
        <w:numPr>
          <w:ilvl w:val="0"/>
          <w:numId w:val="106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spacing w:val="-1"/>
        </w:rPr>
        <w:t>有下列情形之一的：</w:t>
      </w:r>
      <w:r>
        <w:rPr>
          <w:color w:val="auto"/>
          <w:spacing w:val="-4"/>
        </w:rPr>
        <w:t>1</w:t>
      </w:r>
      <w:r>
        <w:rPr>
          <w:color w:val="auto"/>
          <w:spacing w:val="-11"/>
        </w:rPr>
        <w:t xml:space="preserve">、违法所得在 </w:t>
      </w:r>
      <w:r>
        <w:rPr>
          <w:color w:val="auto"/>
        </w:rPr>
        <w:t>1</w:t>
      </w:r>
      <w:r>
        <w:rPr>
          <w:color w:val="auto"/>
          <w:spacing w:val="-10"/>
        </w:rPr>
        <w:t xml:space="preserve"> 万元以上的；</w:t>
      </w:r>
      <w:r>
        <w:rPr>
          <w:color w:val="auto"/>
          <w:spacing w:val="-4"/>
        </w:rPr>
        <w:t>2</w:t>
      </w:r>
      <w:r>
        <w:rPr>
          <w:color w:val="auto"/>
          <w:spacing w:val="-6"/>
        </w:rPr>
        <w:t>、属屡犯，经查处，拒不整</w:t>
      </w:r>
      <w:r>
        <w:rPr>
          <w:color w:val="auto"/>
        </w:rPr>
        <w:t>改的；3、有其他严重情节的。</w:t>
      </w:r>
    </w:p>
    <w:p>
      <w:pPr>
        <w:pStyle w:val="13"/>
        <w:numPr>
          <w:ilvl w:val="0"/>
          <w:numId w:val="106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责令停止，并处违法所得 2 倍以上 3 倍以下罚款，最高不超过 3 万元。</w:t>
      </w:r>
    </w:p>
    <w:p>
      <w:pPr>
        <w:pStyle w:val="2"/>
        <w:spacing w:before="192" w:line="391" w:lineRule="auto"/>
        <w:ind w:left="111" w:right="170" w:firstLine="480"/>
        <w:rPr>
          <w:color w:val="auto"/>
        </w:rPr>
      </w:pPr>
      <w:bookmarkStart w:id="1076" w:name="五百二十六、获得无公害农产品认证并加贴标志的产品，经检查、检测、鉴定，不符合无公"/>
      <w:bookmarkEnd w:id="1076"/>
      <w:bookmarkStart w:id="1077" w:name="_bookmark537"/>
      <w:bookmarkEnd w:id="1077"/>
      <w:r>
        <w:rPr>
          <w:color w:val="auto"/>
        </w:rPr>
        <w:t>五百二十六、获得无公害农产品认证并加贴标志的产品，经检查、检测、鉴定， 不符合无公害农产品质量标准要求</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6" w:firstLine="470"/>
        <w:jc w:val="both"/>
        <w:rPr>
          <w:color w:val="auto"/>
        </w:rPr>
      </w:pPr>
      <w:r>
        <w:rPr>
          <w:color w:val="auto"/>
          <w:spacing w:val="-4"/>
        </w:rPr>
        <w:t>《无公害农产品管理办法》第三十八条“获得无公害农产品认证并加贴标志的产</w:t>
      </w:r>
      <w:r>
        <w:rPr>
          <w:color w:val="auto"/>
          <w:spacing w:val="-8"/>
        </w:rPr>
        <w:t>品，经检查、检测、鉴定，不符合无公害农产品质量标准要求的，由县级以上农业行</w:t>
      </w:r>
      <w:r>
        <w:rPr>
          <w:color w:val="auto"/>
          <w:spacing w:val="-3"/>
        </w:rPr>
        <w:t>政主管部门或者各地质量监督检验检疫部门责令停止使用无公害农产品标志，由认证</w:t>
      </w:r>
      <w:r>
        <w:rPr>
          <w:color w:val="auto"/>
        </w:rPr>
        <w:t>机构暂停或者撤销认证证书。”</w:t>
      </w:r>
    </w:p>
    <w:p>
      <w:pPr>
        <w:pStyle w:val="2"/>
        <w:spacing w:line="304" w:lineRule="exact"/>
        <w:rPr>
          <w:color w:val="auto"/>
        </w:rPr>
      </w:pPr>
      <w:r>
        <w:rPr>
          <w:color w:val="auto"/>
        </w:rPr>
        <w:t>（二）裁量标准</w:t>
      </w:r>
    </w:p>
    <w:p>
      <w:pPr>
        <w:pStyle w:val="4"/>
        <w:spacing w:before="192"/>
        <w:ind w:left="591"/>
        <w:rPr>
          <w:color w:val="auto"/>
        </w:rPr>
      </w:pPr>
      <w:r>
        <w:rPr>
          <w:color w:val="auto"/>
        </w:rPr>
        <w:t>责令停止使用无公害农产品标志，由认证机构暂停或者撤销认证证书。</w:t>
      </w:r>
    </w:p>
    <w:p>
      <w:pPr>
        <w:pStyle w:val="2"/>
        <w:spacing w:before="192" w:line="391" w:lineRule="auto"/>
        <w:ind w:left="111" w:right="237" w:firstLine="480"/>
        <w:rPr>
          <w:color w:val="auto"/>
        </w:rPr>
      </w:pPr>
      <w:bookmarkStart w:id="1078" w:name="五百二十七、未依法取得资质认定的食品检验机构，擅自向社会出具具有证明作用的食品检"/>
      <w:bookmarkEnd w:id="1078"/>
      <w:bookmarkStart w:id="1079" w:name="_bookmark538"/>
      <w:bookmarkEnd w:id="1079"/>
      <w:r>
        <w:rPr>
          <w:color w:val="auto"/>
          <w:spacing w:val="-8"/>
        </w:rPr>
        <w:t>五百二十七、未依法取得资质认定的食品检验机构，擅自向社会出具具有证明作用的食品检验数据和结果</w:t>
      </w:r>
    </w:p>
    <w:p>
      <w:pPr>
        <w:spacing w:before="0" w:line="306" w:lineRule="exact"/>
        <w:ind w:left="591" w:right="0" w:firstLine="0"/>
        <w:jc w:val="left"/>
        <w:rPr>
          <w:b/>
          <w:color w:val="auto"/>
          <w:sz w:val="24"/>
        </w:rPr>
      </w:pPr>
      <w:r>
        <w:rPr>
          <w:b/>
          <w:color w:val="auto"/>
          <w:sz w:val="24"/>
        </w:rPr>
        <w:t>（一）处罚依据</w:t>
      </w:r>
    </w:p>
    <w:p>
      <w:pPr>
        <w:pStyle w:val="4"/>
        <w:spacing w:before="191"/>
        <w:ind w:left="581"/>
        <w:rPr>
          <w:color w:val="auto"/>
        </w:rPr>
      </w:pPr>
      <w:r>
        <w:rPr>
          <w:color w:val="auto"/>
        </w:rPr>
        <w:t>《食品检验机构资质认定管理办法》第三十四条“未依法取得资质认定的食品检</w:t>
      </w:r>
    </w:p>
    <w:p>
      <w:pPr>
        <w:spacing w:after="0"/>
        <w:rPr>
          <w:color w:val="auto"/>
        </w:rPr>
        <w:sectPr>
          <w:pgSz w:w="11910" w:h="16840"/>
          <w:pgMar w:top="1520" w:right="1260" w:bottom="1220" w:left="1420" w:header="0" w:footer="1034" w:gutter="0"/>
        </w:sectPr>
      </w:pPr>
    </w:p>
    <w:p>
      <w:pPr>
        <w:pStyle w:val="4"/>
        <w:spacing w:before="39" w:line="391" w:lineRule="auto"/>
        <w:ind w:right="232"/>
        <w:rPr>
          <w:color w:val="auto"/>
        </w:rPr>
      </w:pPr>
      <w:r>
        <w:rPr>
          <w:color w:val="auto"/>
        </w:rPr>
        <w:t>验机构，擅自向社会出具具有证明作用的食品检验数据和结果的，县级以上质量技术监督部门应当责令其改正，处 3 万元罚款，并予以公布。”</w:t>
      </w:r>
    </w:p>
    <w:p>
      <w:pPr>
        <w:pStyle w:val="2"/>
        <w:spacing w:line="306" w:lineRule="exact"/>
        <w:rPr>
          <w:color w:val="auto"/>
        </w:rPr>
      </w:pPr>
      <w:r>
        <w:rPr>
          <w:color w:val="auto"/>
        </w:rPr>
        <w:t>（二）裁量标准</w:t>
      </w:r>
    </w:p>
    <w:p>
      <w:pPr>
        <w:pStyle w:val="4"/>
        <w:spacing w:before="192"/>
        <w:ind w:left="591"/>
        <w:jc w:val="both"/>
        <w:rPr>
          <w:color w:val="auto"/>
        </w:rPr>
      </w:pPr>
      <w:r>
        <w:rPr>
          <w:color w:val="auto"/>
        </w:rPr>
        <w:t>处 3 万元罚款，并予以公布。</w:t>
      </w:r>
    </w:p>
    <w:p>
      <w:pPr>
        <w:pStyle w:val="2"/>
        <w:spacing w:before="194" w:line="391" w:lineRule="auto"/>
        <w:ind w:left="111" w:right="235" w:firstLine="480"/>
        <w:jc w:val="both"/>
        <w:rPr>
          <w:color w:val="auto"/>
        </w:rPr>
      </w:pPr>
      <w:bookmarkStart w:id="1080" w:name="五百二十八、不能持续符合资质认定条件继续从事食品检验活动；违反规定，擅自增加检验"/>
      <w:bookmarkEnd w:id="1080"/>
      <w:bookmarkStart w:id="1081" w:name="_bookmark539"/>
      <w:bookmarkEnd w:id="1081"/>
      <w:r>
        <w:rPr>
          <w:color w:val="auto"/>
          <w:spacing w:val="-6"/>
        </w:rPr>
        <w:t>五百二十八、不能持续符合资质认定条件继续从事食品检验活动；违反规定，擅</w:t>
      </w:r>
      <w:r>
        <w:rPr>
          <w:color w:val="auto"/>
          <w:spacing w:val="3"/>
          <w:w w:val="95"/>
        </w:rPr>
        <w:t xml:space="preserve">自增加检验项目或者超出资质认定批准范围从事食品检验活动并对外出具食品检验  </w:t>
      </w:r>
      <w:r>
        <w:rPr>
          <w:color w:val="auto"/>
          <w:spacing w:val="-7"/>
        </w:rPr>
        <w:t>报告；接受影响检验公正性的资助或者存在影响检验公正性行为；未依照食品安全标</w:t>
      </w:r>
      <w:r>
        <w:rPr>
          <w:color w:val="auto"/>
          <w:spacing w:val="-9"/>
        </w:rPr>
        <w:t>准、检验规范的规定进行食品检验，造成不良后果；或者利用承担行政机关指定检验任务，进行其他违规行为</w:t>
      </w:r>
    </w:p>
    <w:p>
      <w:pPr>
        <w:spacing w:before="0" w:line="300" w:lineRule="exact"/>
        <w:ind w:left="591" w:right="0" w:firstLine="0"/>
        <w:jc w:val="left"/>
        <w:rPr>
          <w:b/>
          <w:color w:val="auto"/>
          <w:sz w:val="24"/>
        </w:rPr>
      </w:pPr>
      <w:r>
        <w:rPr>
          <w:b/>
          <w:color w:val="auto"/>
          <w:sz w:val="24"/>
        </w:rPr>
        <w:t>（一）处罚依据</w:t>
      </w:r>
    </w:p>
    <w:p>
      <w:pPr>
        <w:pStyle w:val="4"/>
        <w:spacing w:before="194" w:line="388" w:lineRule="auto"/>
        <w:ind w:right="232" w:firstLine="480"/>
        <w:rPr>
          <w:color w:val="auto"/>
        </w:rPr>
      </w:pPr>
      <w:r>
        <w:rPr>
          <w:color w:val="auto"/>
          <w:spacing w:val="-3"/>
        </w:rPr>
        <w:t>《食品检验机构资质认定管理办法》第三十五条“食品检验机构有下列情形之一</w:t>
      </w:r>
      <w:r>
        <w:rPr>
          <w:color w:val="auto"/>
          <w:spacing w:val="-6"/>
        </w:rPr>
        <w:t xml:space="preserve">的，县级以上质量技术监督部门应当责令其改正，处 </w:t>
      </w:r>
      <w:r>
        <w:rPr>
          <w:color w:val="auto"/>
        </w:rPr>
        <w:t>3</w:t>
      </w:r>
      <w:r>
        <w:rPr>
          <w:color w:val="auto"/>
          <w:spacing w:val="-9"/>
        </w:rPr>
        <w:t xml:space="preserve"> 万元以下罚款；情节严重的，</w:t>
      </w:r>
    </w:p>
    <w:p>
      <w:pPr>
        <w:pStyle w:val="4"/>
        <w:spacing w:before="2"/>
        <w:rPr>
          <w:color w:val="auto"/>
        </w:rPr>
      </w:pPr>
      <w:r>
        <w:rPr>
          <w:color w:val="auto"/>
          <w:spacing w:val="-13"/>
        </w:rPr>
        <w:t xml:space="preserve">责令限期整改，暂停资质认定证书 </w:t>
      </w:r>
      <w:r>
        <w:rPr>
          <w:color w:val="auto"/>
        </w:rPr>
        <w:t>3</w:t>
      </w:r>
      <w:r>
        <w:rPr>
          <w:color w:val="auto"/>
          <w:spacing w:val="-13"/>
        </w:rPr>
        <w:t xml:space="preserve"> 个月，证书暂停期间不得对外出具食品检验报告：</w:t>
      </w:r>
    </w:p>
    <w:p>
      <w:pPr>
        <w:pStyle w:val="4"/>
        <w:spacing w:before="195" w:line="391" w:lineRule="auto"/>
        <w:ind w:right="148"/>
        <w:rPr>
          <w:color w:val="auto"/>
        </w:rPr>
      </w:pPr>
      <w:r>
        <w:rPr>
          <w:color w:val="auto"/>
        </w:rPr>
        <w:t>（一</w:t>
      </w:r>
      <w:r>
        <w:rPr>
          <w:color w:val="auto"/>
          <w:spacing w:val="-12"/>
        </w:rPr>
        <w:t>）</w:t>
      </w:r>
      <w:r>
        <w:rPr>
          <w:color w:val="auto"/>
        </w:rPr>
        <w:t>不能持续符合资质认定条件继续从事食品检验活动的</w:t>
      </w:r>
      <w:r>
        <w:rPr>
          <w:color w:val="auto"/>
          <w:spacing w:val="-132"/>
        </w:rPr>
        <w:t>；</w:t>
      </w:r>
      <w:r>
        <w:rPr>
          <w:color w:val="auto"/>
        </w:rPr>
        <w:t>（二</w:t>
      </w:r>
      <w:r>
        <w:rPr>
          <w:color w:val="auto"/>
          <w:spacing w:val="-12"/>
        </w:rPr>
        <w:t>）</w:t>
      </w:r>
      <w:r>
        <w:rPr>
          <w:color w:val="auto"/>
          <w:spacing w:val="-3"/>
        </w:rPr>
        <w:t>违反本办法规定，</w:t>
      </w:r>
      <w:r>
        <w:rPr>
          <w:color w:val="auto"/>
          <w:spacing w:val="3"/>
        </w:rPr>
        <w:t>擅自增加检验项目或者超出资质认定批准范围从事食品检验活动并对外出具食品检</w:t>
      </w:r>
      <w:r>
        <w:rPr>
          <w:color w:val="auto"/>
          <w:spacing w:val="-22"/>
        </w:rPr>
        <w:t>验报告的；</w:t>
      </w:r>
      <w:r>
        <w:rPr>
          <w:color w:val="auto"/>
        </w:rPr>
        <w:t>（三）</w:t>
      </w:r>
      <w:r>
        <w:rPr>
          <w:color w:val="auto"/>
          <w:spacing w:val="-5"/>
        </w:rPr>
        <w:t>接受影响检验公正性的资助或者存在影响检验公正性行为的；</w:t>
      </w:r>
      <w:r>
        <w:rPr>
          <w:color w:val="auto"/>
        </w:rPr>
        <w:t>（四）</w:t>
      </w:r>
      <w:r>
        <w:rPr>
          <w:color w:val="auto"/>
          <w:spacing w:val="-3"/>
        </w:rPr>
        <w:t>未依照食品安全标准、检验规范的规定进行食品检验，造成不良后果的；</w:t>
      </w:r>
      <w:r>
        <w:rPr>
          <w:color w:val="auto"/>
          <w:spacing w:val="2"/>
        </w:rPr>
        <w:t>（五）</w:t>
      </w:r>
      <w:r>
        <w:rPr>
          <w:color w:val="auto"/>
          <w:spacing w:val="1"/>
        </w:rPr>
        <w:t>利用</w:t>
      </w:r>
      <w:r>
        <w:rPr>
          <w:color w:val="auto"/>
          <w:spacing w:val="-5"/>
        </w:rPr>
        <w:t>承担行政机关指定检验任务，进行其他违规行为的。”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6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初次违法，情节轻微的。</w:t>
      </w:r>
    </w:p>
    <w:p>
      <w:pPr>
        <w:pStyle w:val="13"/>
        <w:numPr>
          <w:ilvl w:val="0"/>
          <w:numId w:val="106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752"/>
        <w:rPr>
          <w:color w:val="auto"/>
        </w:rPr>
      </w:pPr>
      <w:r>
        <w:rPr>
          <w:color w:val="auto"/>
          <w:spacing w:val="-9"/>
        </w:rPr>
        <w:t xml:space="preserve">责令改正，处 </w:t>
      </w:r>
      <w:r>
        <w:rPr>
          <w:color w:val="auto"/>
        </w:rPr>
        <w:t>1</w:t>
      </w:r>
      <w:r>
        <w:rPr>
          <w:color w:val="auto"/>
          <w:spacing w:val="-13"/>
        </w:rPr>
        <w:t xml:space="preserve"> 万元以下。</w:t>
      </w:r>
      <w:r>
        <w:rPr>
          <w:color w:val="auto"/>
        </w:rPr>
        <w:t>2</w:t>
      </w:r>
      <w:r>
        <w:rPr>
          <w:color w:val="auto"/>
          <w:spacing w:val="-24"/>
        </w:rPr>
        <w:t>、【较重】</w:t>
      </w:r>
    </w:p>
    <w:p>
      <w:pPr>
        <w:pStyle w:val="13"/>
        <w:numPr>
          <w:ilvl w:val="0"/>
          <w:numId w:val="1070"/>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违法行为较重或造成不良后果或影响的。</w:t>
      </w:r>
    </w:p>
    <w:p>
      <w:pPr>
        <w:pStyle w:val="13"/>
        <w:numPr>
          <w:ilvl w:val="0"/>
          <w:numId w:val="1070"/>
        </w:numPr>
        <w:tabs>
          <w:tab w:val="left" w:pos="1193"/>
        </w:tabs>
        <w:spacing w:before="191"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footerReference r:id="rId123" w:type="default"/>
          <w:footerReference r:id="rId124" w:type="even"/>
          <w:pgSz w:w="11910" w:h="16840"/>
          <w:pgMar w:top="1520" w:right="1260" w:bottom="1220" w:left="1420" w:header="0" w:footer="1034" w:gutter="0"/>
          <w:pgNumType w:start="510"/>
        </w:sectPr>
      </w:pPr>
    </w:p>
    <w:p>
      <w:pPr>
        <w:pStyle w:val="4"/>
        <w:spacing w:before="39"/>
        <w:ind w:left="591"/>
        <w:rPr>
          <w:color w:val="auto"/>
        </w:rPr>
      </w:pPr>
      <w:r>
        <w:rPr>
          <w:color w:val="auto"/>
        </w:rPr>
        <w:t>责令限期整改，暂停资质认定证书 3 个月，证书暂停期间不得对外出具食品检验</w:t>
      </w:r>
    </w:p>
    <w:p>
      <w:pPr>
        <w:pStyle w:val="4"/>
        <w:spacing w:before="195" w:line="388" w:lineRule="auto"/>
        <w:ind w:left="591" w:right="4792" w:hanging="480"/>
        <w:rPr>
          <w:color w:val="auto"/>
        </w:rPr>
      </w:pPr>
      <w:r>
        <w:rPr>
          <w:color w:val="auto"/>
          <w:spacing w:val="-10"/>
        </w:rPr>
        <w:t xml:space="preserve">报告；并处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07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违法行为严重，造成严重不良后果或影响的。</w:t>
      </w:r>
    </w:p>
    <w:p>
      <w:pPr>
        <w:pStyle w:val="13"/>
        <w:numPr>
          <w:ilvl w:val="0"/>
          <w:numId w:val="107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责令限期整改，暂停资质认定证书 3 个月，证书暂停期间不得对外出具食品检验</w:t>
      </w:r>
    </w:p>
    <w:p>
      <w:pPr>
        <w:pStyle w:val="4"/>
        <w:spacing w:before="194"/>
        <w:rPr>
          <w:color w:val="auto"/>
        </w:rPr>
      </w:pPr>
      <w:r>
        <w:rPr>
          <w:color w:val="auto"/>
        </w:rPr>
        <w:t>报告；并处 2 万元以上 3 万元以下罚款。</w:t>
      </w:r>
    </w:p>
    <w:p>
      <w:pPr>
        <w:pStyle w:val="2"/>
        <w:spacing w:before="192"/>
        <w:rPr>
          <w:color w:val="auto"/>
        </w:rPr>
      </w:pPr>
      <w:bookmarkStart w:id="1082" w:name="五百二十九、伪造、变造、冒用、非法买卖或者转让节能、低碳产品认证证书"/>
      <w:bookmarkEnd w:id="1082"/>
      <w:bookmarkStart w:id="1083" w:name="_bookmark540"/>
      <w:bookmarkEnd w:id="1083"/>
      <w:r>
        <w:rPr>
          <w:color w:val="auto"/>
        </w:rPr>
        <w:t>五百二十九、伪造、变造、冒用、非法买卖或者转让节能、低碳产品认证证书</w:t>
      </w:r>
    </w:p>
    <w:p>
      <w:pPr>
        <w:spacing w:before="192"/>
        <w:ind w:left="591" w:right="0" w:firstLine="0"/>
        <w:jc w:val="left"/>
        <w:rPr>
          <w:b/>
          <w:color w:val="auto"/>
          <w:sz w:val="24"/>
        </w:rPr>
      </w:pPr>
      <w:r>
        <w:rPr>
          <w:b/>
          <w:color w:val="auto"/>
          <w:sz w:val="24"/>
        </w:rPr>
        <w:t>（一）处罚依据</w:t>
      </w:r>
    </w:p>
    <w:p>
      <w:pPr>
        <w:pStyle w:val="4"/>
        <w:spacing w:before="194" w:line="388" w:lineRule="auto"/>
        <w:ind w:right="235" w:firstLine="470"/>
        <w:rPr>
          <w:color w:val="auto"/>
        </w:rPr>
      </w:pPr>
      <w:r>
        <w:rPr>
          <w:color w:val="auto"/>
        </w:rPr>
        <w:t>《节能低碳产品认证管理办法》第三十四条“伪造、变造、冒用、非法买卖或者转让节能、低碳产品认证证书的，由地方质检两局责令改正，并处 3 万元罚款。”</w:t>
      </w:r>
    </w:p>
    <w:p>
      <w:pPr>
        <w:pStyle w:val="2"/>
        <w:spacing w:before="2"/>
        <w:rPr>
          <w:color w:val="auto"/>
        </w:rPr>
      </w:pPr>
      <w:r>
        <w:rPr>
          <w:color w:val="auto"/>
        </w:rPr>
        <w:t>（二）裁量标准</w:t>
      </w:r>
    </w:p>
    <w:p>
      <w:pPr>
        <w:pStyle w:val="4"/>
        <w:spacing w:before="194"/>
        <w:ind w:left="591"/>
        <w:rPr>
          <w:color w:val="auto"/>
        </w:rPr>
      </w:pPr>
      <w:r>
        <w:rPr>
          <w:color w:val="auto"/>
        </w:rPr>
        <w:t>责令改正，并处 3 万元罚款。</w:t>
      </w:r>
    </w:p>
    <w:p>
      <w:pPr>
        <w:pStyle w:val="2"/>
        <w:spacing w:before="192"/>
        <w:rPr>
          <w:color w:val="auto"/>
        </w:rPr>
      </w:pPr>
      <w:bookmarkStart w:id="1084" w:name="_bookmark541"/>
      <w:bookmarkEnd w:id="1084"/>
      <w:bookmarkStart w:id="1085" w:name="五百三十、伪造、变造、冒用、非法买卖节能、低碳产品认证标志"/>
      <w:bookmarkEnd w:id="1085"/>
      <w:r>
        <w:rPr>
          <w:color w:val="auto"/>
        </w:rPr>
        <w:t>五百三十、伪造、变造、冒用、非法买卖节能、低碳产品认证标志</w:t>
      </w:r>
    </w:p>
    <w:p>
      <w:pPr>
        <w:spacing w:before="191"/>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rPr>
        <w:t>1</w:t>
      </w:r>
      <w:r>
        <w:rPr>
          <w:color w:val="auto"/>
          <w:spacing w:val="-13"/>
        </w:rPr>
        <w:t>、《节能低碳产品认证管理办法》第三十五条第一款“伪造、变造、冒用、非法买卖节能、低碳产品认证标志的，依照《中华人民共和国进出口商品检验法》、《中华</w:t>
      </w:r>
      <w:r>
        <w:rPr>
          <w:color w:val="auto"/>
          <w:spacing w:val="-8"/>
        </w:rPr>
        <w:t>人民共和国产品质量法》的规定处罚。”</w:t>
      </w:r>
    </w:p>
    <w:p>
      <w:pPr>
        <w:pStyle w:val="4"/>
        <w:spacing w:before="6" w:line="391" w:lineRule="auto"/>
        <w:ind w:right="148" w:firstLine="480"/>
        <w:rPr>
          <w:color w:val="auto"/>
        </w:rPr>
      </w:pPr>
      <w:r>
        <w:rPr>
          <w:color w:val="auto"/>
        </w:rPr>
        <w:t>2、《中华人民共和国产品质量法》第五十三条“伪造产品产地的，伪造或者冒</w:t>
      </w:r>
      <w:r>
        <w:rPr>
          <w:color w:val="auto"/>
          <w:spacing w:val="-5"/>
        </w:rPr>
        <w:t>用他人厂名、厂址的，伪造或者冒用认证标志等质量标志的，责令改正，没收违法生</w:t>
      </w:r>
      <w:r>
        <w:rPr>
          <w:color w:val="auto"/>
          <w:spacing w:val="-14"/>
        </w:rPr>
        <w:t xml:space="preserve">产、销售的产品，并处违法生产、销售产品货值金额等值以下的罚款；有违法所得的， </w:t>
      </w:r>
      <w:r>
        <w:rPr>
          <w:color w:val="auto"/>
        </w:rPr>
        <w:t>并处没收违法所得；情节严重的，吊销营业执照。”</w:t>
      </w:r>
    </w:p>
    <w:p>
      <w:pPr>
        <w:pStyle w:val="2"/>
        <w:spacing w:line="302" w:lineRule="exact"/>
        <w:rPr>
          <w:color w:val="auto"/>
        </w:rPr>
      </w:pPr>
      <w:r>
        <w:rPr>
          <w:color w:val="auto"/>
        </w:rPr>
        <w:t>（二）裁量标准</w:t>
      </w:r>
    </w:p>
    <w:p>
      <w:pPr>
        <w:pStyle w:val="13"/>
        <w:numPr>
          <w:ilvl w:val="0"/>
          <w:numId w:val="107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有下列情形之一的：1、初次违法，未造成危害后果的；2、产品尚未销售，无违法所得的；3、积极配合查处，追回售出产品的。</w:t>
      </w:r>
    </w:p>
    <w:p>
      <w:pPr>
        <w:pStyle w:val="13"/>
        <w:numPr>
          <w:ilvl w:val="0"/>
          <w:numId w:val="1072"/>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13" w:firstLine="480"/>
        <w:rPr>
          <w:color w:val="auto"/>
        </w:rPr>
      </w:pPr>
      <w:r>
        <w:rPr>
          <w:color w:val="auto"/>
        </w:rPr>
        <w:t>责令改正，没收违法生产、销售的产品，并处违法生产产品货值金额 20%以下的罚款；有违法所得的，并处没收违法所得。</w:t>
      </w:r>
    </w:p>
    <w:p>
      <w:pPr>
        <w:pStyle w:val="4"/>
        <w:spacing w:line="306" w:lineRule="exact"/>
        <w:ind w:left="591"/>
        <w:rPr>
          <w:color w:val="auto"/>
        </w:rPr>
      </w:pPr>
      <w:r>
        <w:rPr>
          <w:color w:val="auto"/>
        </w:rPr>
        <w:t>2、【一般】</w:t>
      </w:r>
    </w:p>
    <w:p>
      <w:pPr>
        <w:pStyle w:val="13"/>
        <w:numPr>
          <w:ilvl w:val="0"/>
          <w:numId w:val="107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涉案货值较小的。</w:t>
      </w:r>
    </w:p>
    <w:p>
      <w:pPr>
        <w:pStyle w:val="13"/>
        <w:numPr>
          <w:ilvl w:val="0"/>
          <w:numId w:val="107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15" w:firstLine="480"/>
        <w:rPr>
          <w:color w:val="auto"/>
        </w:rPr>
      </w:pPr>
      <w:r>
        <w:rPr>
          <w:color w:val="auto"/>
        </w:rPr>
        <w:t>责令改正，没收违法生产、销售的产品，并处违法生产、销售产品货值金额 20% 以上 40%以下的罚款；有违法所得的，并处没收违法所得。</w:t>
      </w:r>
    </w:p>
    <w:p>
      <w:pPr>
        <w:pStyle w:val="4"/>
        <w:spacing w:line="306" w:lineRule="exact"/>
        <w:ind w:left="591"/>
        <w:rPr>
          <w:color w:val="auto"/>
        </w:rPr>
      </w:pPr>
      <w:r>
        <w:rPr>
          <w:color w:val="auto"/>
        </w:rPr>
        <w:t>3、【较重】</w:t>
      </w:r>
    </w:p>
    <w:p>
      <w:pPr>
        <w:pStyle w:val="13"/>
        <w:numPr>
          <w:ilvl w:val="0"/>
          <w:numId w:val="1074"/>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产品货值较大或具有其他较重情节的。</w:t>
      </w:r>
    </w:p>
    <w:p>
      <w:pPr>
        <w:pStyle w:val="13"/>
        <w:numPr>
          <w:ilvl w:val="0"/>
          <w:numId w:val="107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600"/>
        <w:rPr>
          <w:color w:val="auto"/>
        </w:rPr>
      </w:pPr>
      <w:r>
        <w:rPr>
          <w:color w:val="auto"/>
          <w:spacing w:val="-11"/>
        </w:rPr>
        <w:t xml:space="preserve">责令改正，没收违法生产、销售的产品，并处违法生产、销售产品货值金额 </w:t>
      </w:r>
      <w:r>
        <w:rPr>
          <w:color w:val="auto"/>
          <w:spacing w:val="-6"/>
        </w:rPr>
        <w:t xml:space="preserve">40% </w:t>
      </w:r>
      <w:r>
        <w:rPr>
          <w:color w:val="auto"/>
          <w:spacing w:val="-20"/>
        </w:rPr>
        <w:t xml:space="preserve">以上 </w:t>
      </w:r>
      <w:r>
        <w:rPr>
          <w:color w:val="auto"/>
        </w:rPr>
        <w:t>60%以下的罚款；有违法所得的，并处没收违法所得；通报营业执照发证部门。</w:t>
      </w:r>
    </w:p>
    <w:p>
      <w:pPr>
        <w:pStyle w:val="4"/>
        <w:spacing w:line="306" w:lineRule="exact"/>
        <w:ind w:left="591"/>
        <w:rPr>
          <w:color w:val="auto"/>
        </w:rPr>
      </w:pPr>
      <w:r>
        <w:rPr>
          <w:color w:val="auto"/>
        </w:rPr>
        <w:t>4、【严重】</w:t>
      </w:r>
    </w:p>
    <w:p>
      <w:pPr>
        <w:pStyle w:val="13"/>
        <w:numPr>
          <w:ilvl w:val="0"/>
          <w:numId w:val="107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有下列情形之一的：1、涉案货值巨大；2、具有其他严重情节的。</w:t>
      </w:r>
    </w:p>
    <w:p>
      <w:pPr>
        <w:pStyle w:val="13"/>
        <w:numPr>
          <w:ilvl w:val="0"/>
          <w:numId w:val="107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15" w:firstLine="480"/>
        <w:rPr>
          <w:color w:val="auto"/>
        </w:rPr>
      </w:pPr>
      <w:r>
        <w:rPr>
          <w:color w:val="auto"/>
        </w:rPr>
        <w:t>责令改正，没收违法生产、销售的产品，并处违法生产、销售产品货值金额 60% 以上 80%以下的罚款；有违法所得的，并处没收违法所得；吊销营业执照。</w:t>
      </w:r>
    </w:p>
    <w:p>
      <w:pPr>
        <w:pStyle w:val="4"/>
        <w:spacing w:line="306" w:lineRule="exact"/>
        <w:ind w:left="591"/>
        <w:rPr>
          <w:color w:val="auto"/>
        </w:rPr>
      </w:pPr>
      <w:r>
        <w:rPr>
          <w:color w:val="auto"/>
        </w:rPr>
        <w:t>5、【特别严重】</w:t>
      </w:r>
    </w:p>
    <w:p>
      <w:pPr>
        <w:pStyle w:val="13"/>
        <w:numPr>
          <w:ilvl w:val="0"/>
          <w:numId w:val="107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12" w:firstLine="480"/>
        <w:rPr>
          <w:color w:val="auto"/>
        </w:rPr>
      </w:pPr>
      <w:r>
        <w:rPr>
          <w:color w:val="auto"/>
        </w:rPr>
        <w:t>有下列情形之一的：1、多次违法，屡次查处不改的；2、造成较大社会影响或其他严重危害后果的。</w:t>
      </w:r>
    </w:p>
    <w:p>
      <w:pPr>
        <w:pStyle w:val="13"/>
        <w:numPr>
          <w:ilvl w:val="0"/>
          <w:numId w:val="107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13" w:firstLine="480"/>
        <w:rPr>
          <w:color w:val="auto"/>
        </w:rPr>
      </w:pPr>
      <w:r>
        <w:rPr>
          <w:color w:val="auto"/>
        </w:rPr>
        <w:t>没收违法生产、销售的产品，并处违法生产、销售产品货值金额 80%以上等值以下的罚款；有违法所得的，并处没收违法所得；吊销营业执照。</w:t>
      </w:r>
    </w:p>
    <w:p>
      <w:pPr>
        <w:pStyle w:val="2"/>
        <w:spacing w:before="2"/>
        <w:rPr>
          <w:color w:val="auto"/>
        </w:rPr>
      </w:pPr>
      <w:bookmarkStart w:id="1086" w:name="_bookmark542"/>
      <w:bookmarkEnd w:id="1086"/>
      <w:bookmarkStart w:id="1087" w:name="五百三十一、转让节能、低碳产品认证标志"/>
      <w:bookmarkEnd w:id="1087"/>
      <w:r>
        <w:rPr>
          <w:color w:val="auto"/>
        </w:rPr>
        <w:t>五百三十一、转让节能、低碳产品认证标志</w:t>
      </w:r>
    </w:p>
    <w:p>
      <w:pPr>
        <w:spacing w:after="0"/>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88" w:lineRule="auto"/>
        <w:ind w:right="218" w:firstLine="470"/>
        <w:rPr>
          <w:color w:val="auto"/>
        </w:rPr>
      </w:pPr>
      <w:r>
        <w:rPr>
          <w:color w:val="auto"/>
        </w:rPr>
        <w:t>《节能低碳产品认证管理办法》第三十五条第二款“转让节能、低碳产品认证标志的，由地方质检两局责令改正，并处 3 万元以下的罚款。”</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07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15" w:firstLine="480"/>
        <w:rPr>
          <w:color w:val="auto"/>
        </w:rPr>
      </w:pPr>
      <w:r>
        <w:rPr>
          <w:color w:val="auto"/>
        </w:rPr>
        <w:t>有下列情形之一的：1、初次违法，违法所得金额 2000 元以下；2、初次违法且危害后果轻微的。</w:t>
      </w:r>
    </w:p>
    <w:p>
      <w:pPr>
        <w:pStyle w:val="13"/>
        <w:numPr>
          <w:ilvl w:val="0"/>
          <w:numId w:val="107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672"/>
        <w:rPr>
          <w:color w:val="auto"/>
        </w:rPr>
      </w:pPr>
      <w:r>
        <w:rPr>
          <w:color w:val="auto"/>
          <w:spacing w:val="-8"/>
        </w:rPr>
        <w:t xml:space="preserve">责令改正，并处 </w:t>
      </w:r>
      <w:r>
        <w:rPr>
          <w:color w:val="auto"/>
        </w:rPr>
        <w:t>5000</w:t>
      </w:r>
      <w:r>
        <w:rPr>
          <w:color w:val="auto"/>
          <w:spacing w:val="-10"/>
        </w:rPr>
        <w:t xml:space="preserve"> 元以下的罚款。</w:t>
      </w:r>
      <w:r>
        <w:rPr>
          <w:color w:val="auto"/>
        </w:rPr>
        <w:t>2</w:t>
      </w:r>
      <w:r>
        <w:rPr>
          <w:color w:val="auto"/>
          <w:spacing w:val="-24"/>
        </w:rPr>
        <w:t>、【一般】</w:t>
      </w:r>
    </w:p>
    <w:p>
      <w:pPr>
        <w:pStyle w:val="13"/>
        <w:numPr>
          <w:ilvl w:val="0"/>
          <w:numId w:val="107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初次违法，违法所得金额 2000 元以上 5000 元以下的。</w:t>
      </w:r>
    </w:p>
    <w:p>
      <w:pPr>
        <w:pStyle w:val="13"/>
        <w:numPr>
          <w:ilvl w:val="0"/>
          <w:numId w:val="107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712"/>
        <w:rPr>
          <w:color w:val="auto"/>
        </w:rPr>
      </w:pPr>
      <w:r>
        <w:rPr>
          <w:color w:val="auto"/>
          <w:spacing w:val="-8"/>
        </w:rPr>
        <w:t xml:space="preserve">责令改正，并处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107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71" w:firstLine="480"/>
        <w:rPr>
          <w:color w:val="auto"/>
        </w:rPr>
      </w:pPr>
      <w:r>
        <w:rPr>
          <w:color w:val="auto"/>
        </w:rPr>
        <w:t>有下列情形之一的：1</w:t>
      </w:r>
      <w:r>
        <w:rPr>
          <w:color w:val="auto"/>
          <w:spacing w:val="-5"/>
        </w:rPr>
        <w:t xml:space="preserve">、违法所得金额总计在 </w:t>
      </w:r>
      <w:r>
        <w:rPr>
          <w:color w:val="auto"/>
        </w:rPr>
        <w:t>5000</w:t>
      </w:r>
      <w:r>
        <w:rPr>
          <w:color w:val="auto"/>
          <w:spacing w:val="-19"/>
        </w:rPr>
        <w:t xml:space="preserve"> 元以上 </w:t>
      </w:r>
      <w:r>
        <w:rPr>
          <w:color w:val="auto"/>
        </w:rPr>
        <w:t>1</w:t>
      </w:r>
      <w:r>
        <w:rPr>
          <w:color w:val="auto"/>
          <w:spacing w:val="-8"/>
        </w:rPr>
        <w:t xml:space="preserve"> 万以内的。</w:t>
      </w:r>
      <w:r>
        <w:rPr>
          <w:color w:val="auto"/>
        </w:rPr>
        <w:t>2、初次违法，造成一定危害后果的。</w:t>
      </w:r>
    </w:p>
    <w:p>
      <w:pPr>
        <w:pStyle w:val="13"/>
        <w:numPr>
          <w:ilvl w:val="0"/>
          <w:numId w:val="1079"/>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592"/>
        <w:rPr>
          <w:color w:val="auto"/>
        </w:rPr>
      </w:pPr>
      <w:r>
        <w:rPr>
          <w:color w:val="auto"/>
          <w:spacing w:val="-8"/>
        </w:rPr>
        <w:t xml:space="preserve">责令改正，并处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108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违法所得金额总计在 1 万元以上 2 万元以下的。</w:t>
      </w:r>
    </w:p>
    <w:p>
      <w:pPr>
        <w:pStyle w:val="13"/>
        <w:numPr>
          <w:ilvl w:val="0"/>
          <w:numId w:val="108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592"/>
        <w:rPr>
          <w:color w:val="auto"/>
        </w:rPr>
      </w:pPr>
      <w:r>
        <w:rPr>
          <w:color w:val="auto"/>
          <w:spacing w:val="-8"/>
        </w:rPr>
        <w:t xml:space="preserve">责令改正，并处 </w:t>
      </w:r>
      <w:r>
        <w:rPr>
          <w:color w:val="auto"/>
        </w:rPr>
        <w:t>1.5</w:t>
      </w:r>
      <w:r>
        <w:rPr>
          <w:color w:val="auto"/>
          <w:spacing w:val="-20"/>
        </w:rPr>
        <w:t xml:space="preserve"> 万元以上 </w:t>
      </w:r>
      <w:r>
        <w:rPr>
          <w:color w:val="auto"/>
        </w:rPr>
        <w:t>2</w:t>
      </w:r>
      <w:r>
        <w:rPr>
          <w:color w:val="auto"/>
          <w:spacing w:val="-10"/>
        </w:rPr>
        <w:t xml:space="preserve"> 万元以下罚款。</w:t>
      </w:r>
      <w:r>
        <w:rPr>
          <w:color w:val="auto"/>
        </w:rPr>
        <w:t>5</w:t>
      </w:r>
      <w:r>
        <w:rPr>
          <w:color w:val="auto"/>
          <w:spacing w:val="-18"/>
        </w:rPr>
        <w:t>、【特别严重】</w:t>
      </w:r>
    </w:p>
    <w:p>
      <w:pPr>
        <w:pStyle w:val="13"/>
        <w:numPr>
          <w:ilvl w:val="0"/>
          <w:numId w:val="1081"/>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1</w:t>
      </w:r>
      <w:r>
        <w:rPr>
          <w:color w:val="auto"/>
          <w:spacing w:val="-11"/>
        </w:rPr>
        <w:t>、属屡犯，拒不整改的；</w:t>
      </w:r>
      <w:r>
        <w:rPr>
          <w:color w:val="auto"/>
          <w:spacing w:val="-20"/>
        </w:rPr>
        <w:t>2</w:t>
      </w:r>
      <w:r>
        <w:rPr>
          <w:color w:val="auto"/>
          <w:spacing w:val="-13"/>
        </w:rPr>
        <w:t xml:space="preserve">、违法所得金额在 </w:t>
      </w:r>
      <w:r>
        <w:rPr>
          <w:color w:val="auto"/>
        </w:rPr>
        <w:t>2</w:t>
      </w:r>
      <w:r>
        <w:rPr>
          <w:color w:val="auto"/>
          <w:spacing w:val="-8"/>
        </w:rPr>
        <w:t xml:space="preserve"> 万元以上或造成较大社会影响的。</w:t>
      </w:r>
    </w:p>
    <w:p>
      <w:pPr>
        <w:pStyle w:val="13"/>
        <w:numPr>
          <w:ilvl w:val="0"/>
          <w:numId w:val="1081"/>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jc w:val="both"/>
        <w:rPr>
          <w:color w:val="auto"/>
        </w:rPr>
      </w:pPr>
      <w:r>
        <w:rPr>
          <w:color w:val="auto"/>
        </w:rPr>
        <w:t>责令改正，并处 2 万元以上 3 万元以下罚款。</w:t>
      </w:r>
    </w:p>
    <w:p>
      <w:pPr>
        <w:pStyle w:val="2"/>
        <w:spacing w:before="192" w:line="391" w:lineRule="auto"/>
        <w:ind w:left="111" w:right="235" w:firstLine="480"/>
        <w:jc w:val="both"/>
        <w:rPr>
          <w:color w:val="auto"/>
        </w:rPr>
      </w:pPr>
      <w:bookmarkStart w:id="1088" w:name="五百三十二、认证机构受到告诫或者警告后仍未改正；违规向认证对象出具认证证书；发现"/>
      <w:bookmarkEnd w:id="1088"/>
      <w:bookmarkStart w:id="1089" w:name="_bookmark543"/>
      <w:bookmarkEnd w:id="1089"/>
      <w:r>
        <w:rPr>
          <w:color w:val="auto"/>
          <w:spacing w:val="-8"/>
        </w:rPr>
        <w:t>五百三十二、认证机构受到告诫或者警告后仍未改正；违规向认证对象出具认证证书；发现认证对象未正确使用认证证书和认证标志，未采取有效措施纠正；在监督检查工作中不予配合和协助，拒绝、隐瞒或者不如实提供相关材料和信息</w:t>
      </w:r>
    </w:p>
    <w:p>
      <w:pPr>
        <w:spacing w:before="0" w:line="304" w:lineRule="exact"/>
        <w:ind w:left="591" w:right="0" w:firstLine="0"/>
        <w:jc w:val="left"/>
        <w:rPr>
          <w:b/>
          <w:color w:val="auto"/>
          <w:sz w:val="24"/>
        </w:rPr>
      </w:pPr>
      <w:r>
        <w:rPr>
          <w:b/>
          <w:color w:val="auto"/>
          <w:sz w:val="24"/>
        </w:rPr>
        <w:t>（一）处罚依据</w:t>
      </w:r>
    </w:p>
    <w:p>
      <w:pPr>
        <w:pStyle w:val="4"/>
        <w:spacing w:before="194" w:line="388" w:lineRule="auto"/>
        <w:ind w:right="148" w:firstLine="480"/>
        <w:rPr>
          <w:color w:val="auto"/>
        </w:rPr>
      </w:pPr>
      <w:r>
        <w:rPr>
          <w:color w:val="auto"/>
        </w:rPr>
        <w:t>1、《认证机构管理办法》第三十八条“认证机构有下列情形之一的，地方认证</w:t>
      </w:r>
      <w:r>
        <w:rPr>
          <w:color w:val="auto"/>
          <w:spacing w:val="-3"/>
        </w:rPr>
        <w:t xml:space="preserve">监督管理部门应当责令其改正，并处 </w:t>
      </w:r>
      <w:r>
        <w:rPr>
          <w:color w:val="auto"/>
        </w:rPr>
        <w:t>3</w:t>
      </w:r>
      <w:r>
        <w:rPr>
          <w:color w:val="auto"/>
          <w:spacing w:val="-28"/>
        </w:rPr>
        <w:t xml:space="preserve"> 万元罚款：</w:t>
      </w:r>
      <w:r>
        <w:rPr>
          <w:color w:val="auto"/>
          <w:spacing w:val="2"/>
        </w:rPr>
        <w:t>（一）</w:t>
      </w:r>
      <w:r>
        <w:rPr>
          <w:color w:val="auto"/>
          <w:spacing w:val="1"/>
        </w:rPr>
        <w:t>受到告诫或者警告后仍未改</w:t>
      </w:r>
      <w:r>
        <w:rPr>
          <w:color w:val="auto"/>
          <w:spacing w:val="-42"/>
        </w:rPr>
        <w:t>正的；</w:t>
      </w:r>
      <w:r>
        <w:rPr>
          <w:color w:val="auto"/>
        </w:rPr>
        <w:t>（二</w:t>
      </w:r>
      <w:r>
        <w:rPr>
          <w:color w:val="auto"/>
          <w:spacing w:val="-8"/>
        </w:rPr>
        <w:t>）</w:t>
      </w:r>
      <w:r>
        <w:rPr>
          <w:color w:val="auto"/>
          <w:spacing w:val="-1"/>
        </w:rPr>
        <w:t>违反本办法第十七条规定，向认证对象出具认证证书的</w:t>
      </w:r>
      <w:r>
        <w:rPr>
          <w:color w:val="auto"/>
          <w:spacing w:val="-128"/>
        </w:rPr>
        <w:t>；</w:t>
      </w:r>
      <w:r>
        <w:rPr>
          <w:color w:val="auto"/>
        </w:rPr>
        <w:t>（三</w:t>
      </w:r>
      <w:r>
        <w:rPr>
          <w:color w:val="auto"/>
          <w:spacing w:val="-8"/>
        </w:rPr>
        <w:t>）</w:t>
      </w:r>
      <w:r>
        <w:rPr>
          <w:color w:val="auto"/>
        </w:rPr>
        <w:t>违反本办</w:t>
      </w:r>
      <w:r>
        <w:rPr>
          <w:color w:val="auto"/>
          <w:spacing w:val="-4"/>
        </w:rPr>
        <w:t>法第二十条规定，发现认证对象未正确使用认证证书和认证标志，未采取有效措施纠</w:t>
      </w:r>
      <w:r>
        <w:rPr>
          <w:color w:val="auto"/>
          <w:spacing w:val="-47"/>
        </w:rPr>
        <w:t>正的；</w:t>
      </w:r>
      <w:r>
        <w:rPr>
          <w:color w:val="auto"/>
        </w:rPr>
        <w:t>（四</w:t>
      </w:r>
      <w:r>
        <w:rPr>
          <w:color w:val="auto"/>
          <w:spacing w:val="-10"/>
        </w:rPr>
        <w:t>）</w:t>
      </w:r>
      <w:r>
        <w:rPr>
          <w:color w:val="auto"/>
          <w:spacing w:val="-3"/>
        </w:rPr>
        <w:t>违反本办法第二十五条规定，在监督检查工作中不予配合和协助，拒绝、</w:t>
      </w:r>
      <w:r>
        <w:rPr>
          <w:color w:val="auto"/>
          <w:spacing w:val="-7"/>
        </w:rPr>
        <w:t>隐瞒或者不如实提供相关材料和信息的。”</w:t>
      </w:r>
    </w:p>
    <w:p>
      <w:pPr>
        <w:pStyle w:val="4"/>
        <w:spacing w:before="11" w:line="391" w:lineRule="auto"/>
        <w:ind w:right="232" w:firstLine="480"/>
        <w:jc w:val="both"/>
        <w:rPr>
          <w:color w:val="auto"/>
        </w:rPr>
      </w:pPr>
      <w:r>
        <w:rPr>
          <w:color w:val="auto"/>
        </w:rPr>
        <w:t>2、《认证机构管理办法》第十七条“认证机构在从事认证活动时，应当对认证</w:t>
      </w:r>
      <w:r>
        <w:rPr>
          <w:color w:val="auto"/>
          <w:spacing w:val="-10"/>
        </w:rPr>
        <w:t>对象的下列情况进行核实：</w:t>
      </w:r>
      <w:r>
        <w:rPr>
          <w:color w:val="auto"/>
        </w:rPr>
        <w:t>（一）</w:t>
      </w:r>
      <w:r>
        <w:rPr>
          <w:color w:val="auto"/>
          <w:spacing w:val="-10"/>
        </w:rPr>
        <w:t>具备相关法定资质、资格；</w:t>
      </w:r>
      <w:r>
        <w:rPr>
          <w:color w:val="auto"/>
        </w:rPr>
        <w:t>（二）</w:t>
      </w:r>
      <w:r>
        <w:rPr>
          <w:color w:val="auto"/>
          <w:spacing w:val="-3"/>
        </w:rPr>
        <w:t>委托认证的产品、</w:t>
      </w:r>
      <w:r>
        <w:rPr>
          <w:color w:val="auto"/>
          <w:spacing w:val="-5"/>
        </w:rPr>
        <w:t>服务、管理体系等符合相关法律法规的要求；</w:t>
      </w:r>
      <w:r>
        <w:rPr>
          <w:color w:val="auto"/>
          <w:spacing w:val="2"/>
        </w:rPr>
        <w:t>（三）</w:t>
      </w:r>
      <w:r>
        <w:rPr>
          <w:color w:val="auto"/>
          <w:spacing w:val="1"/>
        </w:rPr>
        <w:t>未列入国家信用信息严重失信主</w:t>
      </w:r>
      <w:r>
        <w:rPr>
          <w:color w:val="auto"/>
          <w:spacing w:val="-3"/>
        </w:rPr>
        <w:t>体相关名录。认证对象不符合上述要求的，认证机构不得向其出具认证证书。”</w:t>
      </w:r>
    </w:p>
    <w:p>
      <w:pPr>
        <w:pStyle w:val="4"/>
        <w:spacing w:line="388" w:lineRule="auto"/>
        <w:ind w:right="271" w:firstLine="480"/>
        <w:rPr>
          <w:color w:val="auto"/>
        </w:rPr>
      </w:pPr>
      <w:r>
        <w:rPr>
          <w:color w:val="auto"/>
        </w:rPr>
        <w:t>3、《认证机构管理办法》第二十条“认证机构应当要求认证对象正确使用认证证书和认证标志，对未按照规定使用的，认证机构应当采取有效的纠正措施。”</w:t>
      </w:r>
    </w:p>
    <w:p>
      <w:pPr>
        <w:pStyle w:val="4"/>
        <w:spacing w:line="388" w:lineRule="auto"/>
        <w:ind w:right="148" w:firstLine="480"/>
        <w:rPr>
          <w:color w:val="auto"/>
        </w:rPr>
      </w:pPr>
      <w:r>
        <w:rPr>
          <w:color w:val="auto"/>
        </w:rPr>
        <w:t>4</w:t>
      </w:r>
      <w:r>
        <w:rPr>
          <w:color w:val="auto"/>
          <w:spacing w:val="-8"/>
        </w:rPr>
        <w:t>、《认证机构管理办法》第二十五条“认证机构和认证对象应当对国家认监委、</w:t>
      </w:r>
      <w:r>
        <w:rPr>
          <w:color w:val="auto"/>
          <w:spacing w:val="-2"/>
        </w:rPr>
        <w:t>地方认证监督管理部门实施的监督检查工作予以配合，对有关事项的询问和调查如实提供相关材料和信息。”</w:t>
      </w:r>
    </w:p>
    <w:p>
      <w:pPr>
        <w:pStyle w:val="2"/>
        <w:spacing w:before="5"/>
        <w:rPr>
          <w:color w:val="auto"/>
        </w:rPr>
      </w:pPr>
      <w:r>
        <w:rPr>
          <w:color w:val="auto"/>
        </w:rPr>
        <w:t>（二）裁量标准</w:t>
      </w:r>
    </w:p>
    <w:p>
      <w:pPr>
        <w:pStyle w:val="4"/>
        <w:spacing w:before="191"/>
        <w:ind w:left="591"/>
        <w:rPr>
          <w:color w:val="auto"/>
        </w:rPr>
      </w:pPr>
      <w:r>
        <w:rPr>
          <w:color w:val="auto"/>
        </w:rPr>
        <w:t>责令改正，并处 3 万元罚款。</w:t>
      </w:r>
    </w:p>
    <w:p>
      <w:pPr>
        <w:pStyle w:val="2"/>
        <w:spacing w:before="192" w:line="391" w:lineRule="auto"/>
        <w:ind w:left="111" w:right="240" w:firstLine="480"/>
        <w:rPr>
          <w:color w:val="auto"/>
        </w:rPr>
      </w:pPr>
      <w:bookmarkStart w:id="1090" w:name="五百三十三、检验检测机构未依法取得资质认定，擅自向社会出具具有证明作用数据、结果"/>
      <w:bookmarkEnd w:id="1090"/>
      <w:bookmarkStart w:id="1091" w:name="_bookmark544"/>
      <w:bookmarkEnd w:id="1091"/>
      <w:r>
        <w:rPr>
          <w:color w:val="auto"/>
          <w:spacing w:val="-8"/>
        </w:rPr>
        <w:t>五百三十三、检验检测机构未依法取得资质认定，擅自向社会出具具有证明作用数据、结果</w:t>
      </w:r>
    </w:p>
    <w:p>
      <w:pPr>
        <w:spacing w:before="0" w:line="306" w:lineRule="exact"/>
        <w:ind w:left="591" w:right="0" w:firstLine="0"/>
        <w:jc w:val="left"/>
        <w:rPr>
          <w:b/>
          <w:color w:val="auto"/>
          <w:sz w:val="24"/>
        </w:rPr>
      </w:pPr>
      <w:r>
        <w:rPr>
          <w:b/>
          <w:color w:val="auto"/>
          <w:sz w:val="24"/>
        </w:rPr>
        <w:t>（一）处罚依据</w:t>
      </w:r>
    </w:p>
    <w:p>
      <w:pPr>
        <w:pStyle w:val="4"/>
        <w:spacing w:before="192"/>
        <w:ind w:left="581"/>
        <w:jc w:val="both"/>
        <w:rPr>
          <w:color w:val="auto"/>
        </w:rPr>
      </w:pPr>
      <w:r>
        <w:rPr>
          <w:color w:val="auto"/>
        </w:rPr>
        <w:t>《检验检测机构资质认定管理办法》第四十一条 “检验检测机构未依法取得资</w:t>
      </w:r>
    </w:p>
    <w:p>
      <w:pPr>
        <w:spacing w:after="0"/>
        <w:jc w:val="both"/>
        <w:rPr>
          <w:color w:val="auto"/>
        </w:rPr>
        <w:sectPr>
          <w:pgSz w:w="11910" w:h="16840"/>
          <w:pgMar w:top="1520" w:right="1260" w:bottom="1220" w:left="1420" w:header="0" w:footer="1034" w:gutter="0"/>
        </w:sectPr>
      </w:pPr>
    </w:p>
    <w:p>
      <w:pPr>
        <w:pStyle w:val="4"/>
        <w:spacing w:before="39" w:line="391" w:lineRule="auto"/>
        <w:ind w:right="234"/>
        <w:rPr>
          <w:color w:val="auto"/>
        </w:rPr>
      </w:pPr>
      <w:r>
        <w:rPr>
          <w:color w:val="auto"/>
        </w:rPr>
        <w:t>质认定，擅自向社会出具具有证明作用数据、结果的，由县级以上质量技术监督部门责令改正，处 3 万元以下罚款。”</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82"/>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line="388" w:lineRule="auto"/>
        <w:ind w:right="213" w:firstLine="480"/>
        <w:rPr>
          <w:color w:val="auto"/>
        </w:rPr>
      </w:pPr>
      <w:r>
        <w:rPr>
          <w:color w:val="auto"/>
        </w:rPr>
        <w:t>有下列情形之一的：1.违法行为情节轻微，且违法行为持续时间较短；2.主动追回已出具的具有证明作用的数据、结果，或积极采取其他措施消除影响的。</w:t>
      </w:r>
    </w:p>
    <w:p>
      <w:pPr>
        <w:pStyle w:val="13"/>
        <w:numPr>
          <w:ilvl w:val="0"/>
          <w:numId w:val="1082"/>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line="388" w:lineRule="auto"/>
        <w:ind w:left="591" w:right="4792"/>
        <w:rPr>
          <w:color w:val="auto"/>
        </w:rPr>
      </w:pPr>
      <w:r>
        <w:rPr>
          <w:color w:val="auto"/>
          <w:spacing w:val="-8"/>
        </w:rPr>
        <w:t xml:space="preserve">责令改正，并处 </w:t>
      </w:r>
      <w:r>
        <w:rPr>
          <w:color w:val="auto"/>
        </w:rPr>
        <w:t>1.5</w:t>
      </w:r>
      <w:r>
        <w:rPr>
          <w:color w:val="auto"/>
          <w:spacing w:val="-10"/>
        </w:rPr>
        <w:t xml:space="preserve"> 万元以下罚款。</w:t>
      </w:r>
      <w:r>
        <w:rPr>
          <w:color w:val="auto"/>
        </w:rPr>
        <w:t>2</w:t>
      </w:r>
      <w:r>
        <w:rPr>
          <w:color w:val="auto"/>
          <w:spacing w:val="-24"/>
        </w:rPr>
        <w:t>、【较重】</w:t>
      </w:r>
    </w:p>
    <w:p>
      <w:pPr>
        <w:pStyle w:val="13"/>
        <w:numPr>
          <w:ilvl w:val="0"/>
          <w:numId w:val="108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违法行为情节较重的。</w:t>
      </w:r>
    </w:p>
    <w:p>
      <w:pPr>
        <w:pStyle w:val="13"/>
        <w:numPr>
          <w:ilvl w:val="0"/>
          <w:numId w:val="108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352"/>
        <w:rPr>
          <w:color w:val="auto"/>
        </w:rPr>
      </w:pPr>
      <w:r>
        <w:rPr>
          <w:color w:val="auto"/>
          <w:spacing w:val="-8"/>
        </w:rPr>
        <w:t xml:space="preserve">责令改正，并处 </w:t>
      </w:r>
      <w:r>
        <w:rPr>
          <w:color w:val="auto"/>
        </w:rPr>
        <w:t>1.5</w:t>
      </w:r>
      <w:r>
        <w:rPr>
          <w:color w:val="auto"/>
          <w:spacing w:val="-20"/>
        </w:rPr>
        <w:t xml:space="preserve"> 万元以上 </w:t>
      </w:r>
      <w:r>
        <w:rPr>
          <w:color w:val="auto"/>
        </w:rPr>
        <w:t>2.5</w:t>
      </w:r>
      <w:r>
        <w:rPr>
          <w:color w:val="auto"/>
          <w:spacing w:val="-10"/>
        </w:rPr>
        <w:t xml:space="preserve"> 万元以下罚款。</w:t>
      </w:r>
      <w:r>
        <w:rPr>
          <w:color w:val="auto"/>
        </w:rPr>
        <w:t>3</w:t>
      </w:r>
      <w:r>
        <w:rPr>
          <w:color w:val="auto"/>
          <w:spacing w:val="-24"/>
        </w:rPr>
        <w:t>、【严重】</w:t>
      </w:r>
    </w:p>
    <w:p>
      <w:pPr>
        <w:pStyle w:val="13"/>
        <w:numPr>
          <w:ilvl w:val="0"/>
          <w:numId w:val="108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112" w:firstLine="480"/>
        <w:rPr>
          <w:color w:val="auto"/>
        </w:rPr>
      </w:pPr>
      <w:r>
        <w:rPr>
          <w:color w:val="auto"/>
        </w:rPr>
        <w:t>有下列情形之一的：1、违法行为情节严重；2、给有关单位造成较大损失或较大影响的等危害后果的；3、拒不配合检查的；4、屡查屡犯的；5、有其他严重情节的。</w:t>
      </w:r>
    </w:p>
    <w:p>
      <w:pPr>
        <w:pStyle w:val="13"/>
        <w:numPr>
          <w:ilvl w:val="0"/>
          <w:numId w:val="1084"/>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责令改正，并处 2.5 万元以上 3 万元以下罚款。</w:t>
      </w:r>
    </w:p>
    <w:p>
      <w:pPr>
        <w:pStyle w:val="2"/>
        <w:spacing w:before="191" w:line="388" w:lineRule="auto"/>
        <w:ind w:left="111" w:right="193" w:firstLine="480"/>
        <w:rPr>
          <w:color w:val="auto"/>
        </w:rPr>
      </w:pPr>
      <w:bookmarkStart w:id="1092" w:name="_bookmark545"/>
      <w:bookmarkEnd w:id="1092"/>
      <w:bookmarkStart w:id="1093" w:name="五百三十四、检验检测机构违规出具检验检测数据、结果，逾期未改正或者改正后仍不符合"/>
      <w:bookmarkEnd w:id="1093"/>
      <w:r>
        <w:rPr>
          <w:color w:val="auto"/>
        </w:rPr>
        <w:t>五百三十四、检验检测机构违规出具检验检测数据、结果，逾期未改正或者改正后仍不符合要求</w:t>
      </w:r>
    </w:p>
    <w:p>
      <w:pPr>
        <w:spacing w:before="5"/>
        <w:ind w:left="591" w:right="0" w:firstLine="0"/>
        <w:jc w:val="left"/>
        <w:rPr>
          <w:b/>
          <w:color w:val="auto"/>
          <w:sz w:val="24"/>
        </w:rPr>
      </w:pPr>
      <w:r>
        <w:rPr>
          <w:b/>
          <w:color w:val="auto"/>
          <w:sz w:val="24"/>
        </w:rPr>
        <w:t>（一）处罚依据</w:t>
      </w:r>
    </w:p>
    <w:p>
      <w:pPr>
        <w:pStyle w:val="4"/>
        <w:spacing w:before="192" w:line="388" w:lineRule="auto"/>
        <w:ind w:right="268" w:firstLine="470"/>
        <w:rPr>
          <w:color w:val="auto"/>
        </w:rPr>
      </w:pPr>
      <w:r>
        <w:rPr>
          <w:color w:val="auto"/>
        </w:rPr>
        <w:t>1</w:t>
      </w:r>
      <w:r>
        <w:rPr>
          <w:color w:val="auto"/>
          <w:spacing w:val="-9"/>
        </w:rPr>
        <w:t>、《检验检测机构资质认定管理办法》第四十二条 “检验检测机构有下列情形</w:t>
      </w:r>
      <w:r>
        <w:rPr>
          <w:color w:val="auto"/>
          <w:spacing w:val="-10"/>
        </w:rPr>
        <w:t xml:space="preserve">之一的，由县级以上质量技术监督部门责令其 </w:t>
      </w:r>
      <w:r>
        <w:rPr>
          <w:color w:val="auto"/>
        </w:rPr>
        <w:t>1</w:t>
      </w:r>
      <w:r>
        <w:rPr>
          <w:color w:val="auto"/>
          <w:spacing w:val="-10"/>
        </w:rPr>
        <w:t xml:space="preserve"> 个月内改正；逾期未改正或者改正后</w:t>
      </w:r>
    </w:p>
    <w:p>
      <w:pPr>
        <w:pStyle w:val="4"/>
        <w:spacing w:before="4" w:line="388" w:lineRule="auto"/>
        <w:ind w:right="271"/>
        <w:rPr>
          <w:color w:val="auto"/>
        </w:rPr>
      </w:pPr>
      <w:r>
        <w:rPr>
          <w:color w:val="auto"/>
          <w:spacing w:val="-6"/>
        </w:rPr>
        <w:t xml:space="preserve">仍不符合要求的，处 </w:t>
      </w:r>
      <w:r>
        <w:rPr>
          <w:color w:val="auto"/>
        </w:rPr>
        <w:t>1</w:t>
      </w:r>
      <w:r>
        <w:rPr>
          <w:color w:val="auto"/>
          <w:spacing w:val="-21"/>
        </w:rPr>
        <w:t xml:space="preserve"> 万元以下罚款：</w:t>
      </w:r>
      <w:r>
        <w:rPr>
          <w:color w:val="auto"/>
          <w:spacing w:val="2"/>
        </w:rPr>
        <w:t>（一）</w:t>
      </w:r>
      <w:r>
        <w:rPr>
          <w:color w:val="auto"/>
        </w:rPr>
        <w:t>违反本办法第二十五条、第二十八条规</w:t>
      </w:r>
      <w:r>
        <w:rPr>
          <w:color w:val="auto"/>
          <w:spacing w:val="-9"/>
        </w:rPr>
        <w:t>定出具检验检测数据、结果的。”</w:t>
      </w:r>
    </w:p>
    <w:p>
      <w:pPr>
        <w:pStyle w:val="4"/>
        <w:spacing w:before="2"/>
        <w:ind w:left="581"/>
        <w:rPr>
          <w:color w:val="auto"/>
        </w:rPr>
      </w:pPr>
      <w:r>
        <w:rPr>
          <w:color w:val="auto"/>
        </w:rPr>
        <w:t>2、《检验检测机构资质认定管理办法》第二十五条 “检验检测机构应当在资质</w:t>
      </w:r>
    </w:p>
    <w:p>
      <w:pPr>
        <w:spacing w:after="0"/>
        <w:rPr>
          <w:color w:val="auto"/>
        </w:rPr>
        <w:sectPr>
          <w:pgSz w:w="11910" w:h="16840"/>
          <w:pgMar w:top="1520" w:right="1260" w:bottom="1220" w:left="1420" w:header="0" w:footer="1034" w:gutter="0"/>
        </w:sectPr>
      </w:pPr>
    </w:p>
    <w:p>
      <w:pPr>
        <w:pStyle w:val="4"/>
        <w:spacing w:before="39" w:line="391" w:lineRule="auto"/>
        <w:ind w:right="266"/>
        <w:jc w:val="both"/>
        <w:rPr>
          <w:color w:val="auto"/>
        </w:rPr>
      </w:pPr>
      <w:r>
        <w:rPr>
          <w:color w:val="auto"/>
          <w:spacing w:val="3"/>
        </w:rPr>
        <w:t>认定证书规定的检验检测能力范围内，依据相关标准或者技术规范规定的程序和要</w:t>
      </w:r>
      <w:r>
        <w:rPr>
          <w:color w:val="auto"/>
          <w:spacing w:val="-7"/>
        </w:rPr>
        <w:t>求，出具检验检测数据、结果。检验检测机构出具检验检测数据、结果时，应当注明</w:t>
      </w:r>
      <w:r>
        <w:rPr>
          <w:color w:val="auto"/>
          <w:spacing w:val="-4"/>
        </w:rPr>
        <w:t>检验检测依据，并使用符合资质认定基本规范、评审准则规定的用语进行表述。”</w:t>
      </w:r>
    </w:p>
    <w:p>
      <w:pPr>
        <w:pStyle w:val="4"/>
        <w:spacing w:line="391" w:lineRule="auto"/>
        <w:ind w:right="268" w:firstLine="470"/>
        <w:jc w:val="both"/>
        <w:rPr>
          <w:color w:val="auto"/>
        </w:rPr>
      </w:pPr>
      <w:r>
        <w:rPr>
          <w:color w:val="auto"/>
        </w:rPr>
        <w:t>3</w:t>
      </w:r>
      <w:r>
        <w:rPr>
          <w:color w:val="auto"/>
          <w:spacing w:val="-9"/>
        </w:rPr>
        <w:t>、《检验检测机构资质认定管理办法》第二十八条 “检验检测机构向社会出具</w:t>
      </w:r>
      <w:r>
        <w:rPr>
          <w:color w:val="auto"/>
          <w:spacing w:val="-12"/>
        </w:rPr>
        <w:t>具有证明作用的检验检测数据、结果的，应当在其检验检测报告上加盖检验检测专用</w:t>
      </w:r>
      <w:r>
        <w:rPr>
          <w:color w:val="auto"/>
          <w:spacing w:val="-10"/>
        </w:rPr>
        <w:t>章，并标注资质认定标志。”</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8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5"/>
        <w:ind w:left="591"/>
        <w:rPr>
          <w:color w:val="auto"/>
        </w:rPr>
      </w:pPr>
      <w:r>
        <w:rPr>
          <w:color w:val="auto"/>
        </w:rPr>
        <w:t>初次违法，且积极整改的。</w:t>
      </w:r>
    </w:p>
    <w:p>
      <w:pPr>
        <w:pStyle w:val="13"/>
        <w:numPr>
          <w:ilvl w:val="0"/>
          <w:numId w:val="108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、【较重】</w:t>
      </w:r>
    </w:p>
    <w:p>
      <w:pPr>
        <w:pStyle w:val="13"/>
        <w:numPr>
          <w:ilvl w:val="0"/>
          <w:numId w:val="108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有下列情形之一的：1、同时违反第四十二条中其他规定，且逾期未改正的；2、拒不改正或屡查屡犯的；3、有其他较重情节的。</w:t>
      </w:r>
    </w:p>
    <w:p>
      <w:pPr>
        <w:pStyle w:val="13"/>
        <w:numPr>
          <w:ilvl w:val="0"/>
          <w:numId w:val="1086"/>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5000 元以上 1 万元以下罚款。</w:t>
      </w:r>
    </w:p>
    <w:p>
      <w:pPr>
        <w:pStyle w:val="2"/>
        <w:spacing w:before="192" w:line="391" w:lineRule="auto"/>
        <w:ind w:left="111" w:right="240" w:firstLine="480"/>
        <w:rPr>
          <w:color w:val="auto"/>
        </w:rPr>
      </w:pPr>
      <w:bookmarkStart w:id="1094" w:name="五百三十五、检验检测机构未按照规定对检验检测人员实施有效管理，影响检验检测独立、"/>
      <w:bookmarkEnd w:id="1094"/>
      <w:bookmarkStart w:id="1095" w:name="_bookmark546"/>
      <w:bookmarkEnd w:id="1095"/>
      <w:r>
        <w:rPr>
          <w:color w:val="auto"/>
          <w:spacing w:val="-7"/>
        </w:rPr>
        <w:t>五百三十五、检验检测机构未按照规定对检验检测人员实施有效管理，影响检验检测独立、公正、诚信，逾期未改正或者改正后仍不符合要求</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8" w:firstLine="470"/>
        <w:rPr>
          <w:color w:val="auto"/>
        </w:rPr>
      </w:pPr>
      <w:r>
        <w:rPr>
          <w:color w:val="auto"/>
        </w:rPr>
        <w:t>1</w:t>
      </w:r>
      <w:r>
        <w:rPr>
          <w:color w:val="auto"/>
          <w:spacing w:val="-9"/>
        </w:rPr>
        <w:t>、《检验检测机构资质认定管理办法》第四十二条 “检验检测机构有下列情形</w:t>
      </w:r>
      <w:r>
        <w:rPr>
          <w:color w:val="auto"/>
          <w:spacing w:val="-10"/>
        </w:rPr>
        <w:t xml:space="preserve">之一的，由县级以上质量技术监督部门责令其 </w:t>
      </w:r>
      <w:r>
        <w:rPr>
          <w:color w:val="auto"/>
        </w:rPr>
        <w:t>1</w:t>
      </w:r>
      <w:r>
        <w:rPr>
          <w:color w:val="auto"/>
          <w:spacing w:val="-10"/>
        </w:rPr>
        <w:t xml:space="preserve"> 个月内改正；逾期未改正或者改正后</w:t>
      </w:r>
    </w:p>
    <w:p>
      <w:pPr>
        <w:pStyle w:val="4"/>
        <w:spacing w:line="388" w:lineRule="auto"/>
        <w:ind w:right="271"/>
        <w:rPr>
          <w:color w:val="auto"/>
        </w:rPr>
      </w:pPr>
      <w:r>
        <w:rPr>
          <w:color w:val="auto"/>
          <w:spacing w:val="-6"/>
        </w:rPr>
        <w:t xml:space="preserve">仍不符合要求的，处 </w:t>
      </w:r>
      <w:r>
        <w:rPr>
          <w:color w:val="auto"/>
        </w:rPr>
        <w:t>1</w:t>
      </w:r>
      <w:r>
        <w:rPr>
          <w:color w:val="auto"/>
          <w:spacing w:val="-21"/>
        </w:rPr>
        <w:t xml:space="preserve"> 万元以下罚款：</w:t>
      </w:r>
      <w:r>
        <w:rPr>
          <w:color w:val="auto"/>
          <w:spacing w:val="2"/>
        </w:rPr>
        <w:t>（二）</w:t>
      </w:r>
      <w:r>
        <w:rPr>
          <w:color w:val="auto"/>
        </w:rPr>
        <w:t>未按照本办法规定对检验检测人员实施</w:t>
      </w:r>
      <w:r>
        <w:rPr>
          <w:color w:val="auto"/>
          <w:spacing w:val="-6"/>
        </w:rPr>
        <w:t>有效管理，影响检验检测独立、公正、诚信的。”</w:t>
      </w:r>
    </w:p>
    <w:p>
      <w:pPr>
        <w:pStyle w:val="4"/>
        <w:spacing w:before="3" w:line="388" w:lineRule="auto"/>
        <w:ind w:right="148" w:firstLine="470"/>
        <w:rPr>
          <w:color w:val="auto"/>
        </w:rPr>
      </w:pPr>
      <w:r>
        <w:rPr>
          <w:color w:val="auto"/>
        </w:rPr>
        <w:t>2</w:t>
      </w:r>
      <w:r>
        <w:rPr>
          <w:color w:val="auto"/>
          <w:spacing w:val="-13"/>
        </w:rPr>
        <w:t xml:space="preserve">、《检验检测机构资质认定管理办法》第二十六条 “从事检验检测活动的人员， </w:t>
      </w:r>
      <w:r>
        <w:rPr>
          <w:color w:val="auto"/>
          <w:spacing w:val="-2"/>
        </w:rPr>
        <w:t>不得同时在两个以上检验检测机构从业。检验检测机构授权签字人应当符合资质认定</w:t>
      </w:r>
      <w:r>
        <w:rPr>
          <w:color w:val="auto"/>
          <w:spacing w:val="-7"/>
        </w:rPr>
        <w:t>评审准则规定的能力要求。非授权签字人不得签发检验检测报告。”</w:t>
      </w:r>
    </w:p>
    <w:p>
      <w:pPr>
        <w:spacing w:after="0" w:line="388" w:lineRule="auto"/>
        <w:rPr>
          <w:color w:val="auto"/>
        </w:rPr>
        <w:sectPr>
          <w:pgSz w:w="11910" w:h="16840"/>
          <w:pgMar w:top="1520" w:right="1260" w:bottom="1220" w:left="1420" w:header="0" w:footer="1034" w:gutter="0"/>
        </w:sectPr>
      </w:pPr>
    </w:p>
    <w:p>
      <w:pPr>
        <w:spacing w:before="39"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8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初次违法，且积极整改的。</w:t>
      </w:r>
    </w:p>
    <w:p>
      <w:pPr>
        <w:pStyle w:val="13"/>
        <w:numPr>
          <w:ilvl w:val="0"/>
          <w:numId w:val="108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、【较重】</w:t>
      </w:r>
    </w:p>
    <w:p>
      <w:pPr>
        <w:pStyle w:val="13"/>
        <w:numPr>
          <w:ilvl w:val="0"/>
          <w:numId w:val="1088"/>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有下列情形之一的：1、同时违反第四十二条中其他规定，且逾期未改正的；2、拒不改正或屡查屡犯的；3、有其他较重情节的。</w:t>
      </w:r>
    </w:p>
    <w:p>
      <w:pPr>
        <w:pStyle w:val="13"/>
        <w:numPr>
          <w:ilvl w:val="0"/>
          <w:numId w:val="108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责令改正，并处 5000 元以上 1 万元以下罚款。</w:t>
      </w:r>
    </w:p>
    <w:p>
      <w:pPr>
        <w:pStyle w:val="2"/>
        <w:spacing w:before="192" w:line="391" w:lineRule="auto"/>
        <w:ind w:left="111" w:right="193" w:firstLine="480"/>
        <w:rPr>
          <w:color w:val="auto"/>
        </w:rPr>
      </w:pPr>
      <w:bookmarkStart w:id="1096" w:name="五百三十六、检验检测机构未按规定对原始记录和报告进行管理、保存，逾期未改正或者改"/>
      <w:bookmarkEnd w:id="1096"/>
      <w:bookmarkStart w:id="1097" w:name="_bookmark547"/>
      <w:bookmarkEnd w:id="1097"/>
      <w:r>
        <w:rPr>
          <w:color w:val="auto"/>
        </w:rPr>
        <w:t>五百三十六、检验检测机构未按规定对原始记录和报告进行管理、保存，逾期未改正或者改正后仍不符合要求</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w:t>
      </w:r>
      <w:r>
        <w:rPr>
          <w:color w:val="auto"/>
          <w:spacing w:val="-9"/>
        </w:rPr>
        <w:t>、《检验检测机构资质认定管理办法》第四十二条 “检验检测机构有下列情形</w:t>
      </w:r>
      <w:r>
        <w:rPr>
          <w:color w:val="auto"/>
          <w:spacing w:val="-10"/>
        </w:rPr>
        <w:t xml:space="preserve">之一的，由县级以上质量技术监督部门责令其 </w:t>
      </w:r>
      <w:r>
        <w:rPr>
          <w:color w:val="auto"/>
        </w:rPr>
        <w:t>1</w:t>
      </w:r>
      <w:r>
        <w:rPr>
          <w:color w:val="auto"/>
          <w:spacing w:val="-10"/>
        </w:rPr>
        <w:t xml:space="preserve"> 个月内改正；逾期未改正或者改正后</w:t>
      </w:r>
    </w:p>
    <w:p>
      <w:pPr>
        <w:pStyle w:val="4"/>
        <w:spacing w:line="388" w:lineRule="auto"/>
        <w:ind w:right="271"/>
        <w:jc w:val="both"/>
        <w:rPr>
          <w:color w:val="auto"/>
        </w:rPr>
      </w:pPr>
      <w:r>
        <w:rPr>
          <w:color w:val="auto"/>
          <w:spacing w:val="-6"/>
        </w:rPr>
        <w:t xml:space="preserve">仍不符合要求的，处 </w:t>
      </w:r>
      <w:r>
        <w:rPr>
          <w:color w:val="auto"/>
        </w:rPr>
        <w:t>1</w:t>
      </w:r>
      <w:r>
        <w:rPr>
          <w:color w:val="auto"/>
          <w:spacing w:val="-21"/>
        </w:rPr>
        <w:t xml:space="preserve"> 万元以下罚款：</w:t>
      </w:r>
      <w:r>
        <w:rPr>
          <w:color w:val="auto"/>
          <w:spacing w:val="2"/>
        </w:rPr>
        <w:t>（三）</w:t>
      </w:r>
      <w:r>
        <w:rPr>
          <w:color w:val="auto"/>
        </w:rPr>
        <w:t>未按照本办法规定对原始记录和报告进</w:t>
      </w:r>
      <w:r>
        <w:rPr>
          <w:color w:val="auto"/>
          <w:spacing w:val="-14"/>
        </w:rPr>
        <w:t>行管理、保存的。”</w:t>
      </w:r>
    </w:p>
    <w:p>
      <w:pPr>
        <w:pStyle w:val="4"/>
        <w:spacing w:before="3" w:line="388" w:lineRule="auto"/>
        <w:ind w:right="268" w:firstLine="470"/>
        <w:jc w:val="both"/>
        <w:rPr>
          <w:color w:val="auto"/>
        </w:rPr>
      </w:pPr>
      <w:r>
        <w:rPr>
          <w:color w:val="auto"/>
        </w:rPr>
        <w:t>2</w:t>
      </w:r>
      <w:r>
        <w:rPr>
          <w:color w:val="auto"/>
          <w:spacing w:val="-9"/>
        </w:rPr>
        <w:t>、《检验检测机构资质认定管理办法》第三十条 “检验检测机构应当对检验检</w:t>
      </w:r>
      <w:r>
        <w:rPr>
          <w:color w:val="auto"/>
          <w:spacing w:val="-12"/>
        </w:rPr>
        <w:t>测原始记录和报告归档留存，保证其具有可追溯性。原始记录和报告的保存期限不少</w:t>
      </w:r>
      <w:r>
        <w:rPr>
          <w:color w:val="auto"/>
          <w:spacing w:val="-30"/>
        </w:rPr>
        <w:t xml:space="preserve">于 </w:t>
      </w:r>
      <w:r>
        <w:rPr>
          <w:color w:val="auto"/>
        </w:rPr>
        <w:t>6</w:t>
      </w:r>
      <w:r>
        <w:rPr>
          <w:color w:val="auto"/>
          <w:spacing w:val="-45"/>
        </w:rPr>
        <w:t xml:space="preserve"> 年。”</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8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初次违法，且积极整改的。</w:t>
      </w:r>
    </w:p>
    <w:p>
      <w:pPr>
        <w:pStyle w:val="13"/>
        <w:numPr>
          <w:ilvl w:val="0"/>
          <w:numId w:val="108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5000 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2、【较重】</w:t>
      </w:r>
    </w:p>
    <w:p>
      <w:pPr>
        <w:pStyle w:val="13"/>
        <w:numPr>
          <w:ilvl w:val="0"/>
          <w:numId w:val="1090"/>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32" w:firstLine="480"/>
        <w:rPr>
          <w:color w:val="auto"/>
        </w:rPr>
      </w:pPr>
      <w:r>
        <w:rPr>
          <w:color w:val="auto"/>
        </w:rPr>
        <w:t>有下列情形之一的：1、同时违反第四十二条中其他规定，且逾期未改正的；2、拒不改正或屡查屡犯的；3、有其他较重情节的。</w:t>
      </w:r>
    </w:p>
    <w:p>
      <w:pPr>
        <w:pStyle w:val="13"/>
        <w:numPr>
          <w:ilvl w:val="0"/>
          <w:numId w:val="1090"/>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5000 元以上 1 万元以下罚款。</w:t>
      </w:r>
    </w:p>
    <w:p>
      <w:pPr>
        <w:pStyle w:val="2"/>
        <w:spacing w:before="191" w:line="391" w:lineRule="auto"/>
        <w:ind w:left="111" w:right="237" w:firstLine="480"/>
        <w:rPr>
          <w:color w:val="auto"/>
        </w:rPr>
      </w:pPr>
      <w:bookmarkStart w:id="1098" w:name="五百三十七、检验检测机构违反规定分包检验检测项目，逾期未改正或者改正后仍不符合要"/>
      <w:bookmarkEnd w:id="1098"/>
      <w:bookmarkStart w:id="1099" w:name="_bookmark548"/>
      <w:bookmarkEnd w:id="1099"/>
      <w:r>
        <w:rPr>
          <w:color w:val="auto"/>
          <w:spacing w:val="-8"/>
        </w:rPr>
        <w:t>五百三十七、检验检测机构违反规定分包检验检测项目，逾期未改正或者改正后仍不符合要求</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w:t>
      </w:r>
      <w:r>
        <w:rPr>
          <w:color w:val="auto"/>
          <w:spacing w:val="-13"/>
        </w:rPr>
        <w:t>、《检验检测机构资质认定管理办法》第四十二条“检验检测机构有下列情形之</w:t>
      </w:r>
      <w:r>
        <w:rPr>
          <w:color w:val="auto"/>
          <w:spacing w:val="-8"/>
        </w:rPr>
        <w:t xml:space="preserve">一的，由县级以上质量技术监督部门责令其 </w:t>
      </w:r>
      <w:r>
        <w:rPr>
          <w:color w:val="auto"/>
        </w:rPr>
        <w:t>1</w:t>
      </w:r>
      <w:r>
        <w:rPr>
          <w:color w:val="auto"/>
          <w:spacing w:val="-10"/>
        </w:rPr>
        <w:t xml:space="preserve"> 个月内改正；逾期未改正或者改正后仍</w:t>
      </w:r>
    </w:p>
    <w:p>
      <w:pPr>
        <w:pStyle w:val="4"/>
        <w:spacing w:line="388" w:lineRule="auto"/>
        <w:ind w:right="271"/>
        <w:jc w:val="both"/>
        <w:rPr>
          <w:color w:val="auto"/>
        </w:rPr>
      </w:pPr>
      <w:r>
        <w:rPr>
          <w:color w:val="auto"/>
          <w:spacing w:val="-6"/>
        </w:rPr>
        <w:t xml:space="preserve">不符合要求的，处 </w:t>
      </w:r>
      <w:r>
        <w:rPr>
          <w:color w:val="auto"/>
        </w:rPr>
        <w:t>1</w:t>
      </w:r>
      <w:r>
        <w:rPr>
          <w:color w:val="auto"/>
          <w:spacing w:val="-21"/>
        </w:rPr>
        <w:t xml:space="preserve"> 万元以下罚款：</w:t>
      </w:r>
      <w:r>
        <w:rPr>
          <w:color w:val="auto"/>
          <w:spacing w:val="2"/>
        </w:rPr>
        <w:t>（四）</w:t>
      </w:r>
      <w:r>
        <w:rPr>
          <w:color w:val="auto"/>
        </w:rPr>
        <w:t>违反本办法和评审准则规定分包检验检测</w:t>
      </w:r>
      <w:r>
        <w:rPr>
          <w:color w:val="auto"/>
          <w:spacing w:val="-24"/>
        </w:rPr>
        <w:t>项目的。”</w:t>
      </w:r>
    </w:p>
    <w:p>
      <w:pPr>
        <w:pStyle w:val="4"/>
        <w:spacing w:before="3" w:line="391" w:lineRule="auto"/>
        <w:ind w:right="268" w:firstLine="470"/>
        <w:jc w:val="both"/>
        <w:rPr>
          <w:color w:val="auto"/>
        </w:rPr>
      </w:pPr>
      <w:r>
        <w:rPr>
          <w:color w:val="auto"/>
        </w:rPr>
        <w:t>2</w:t>
      </w:r>
      <w:r>
        <w:rPr>
          <w:color w:val="auto"/>
          <w:spacing w:val="-13"/>
        </w:rPr>
        <w:t>、《检验检测机构资质认定管理办法》第三十一条“检验检测机构需要分包检验</w:t>
      </w:r>
      <w:r>
        <w:rPr>
          <w:color w:val="auto"/>
          <w:spacing w:val="-6"/>
        </w:rPr>
        <w:t>检测项目时，应当按照资质认定评审准则的规定，分包给依法取得资质认定并有能力</w:t>
      </w:r>
      <w:r>
        <w:rPr>
          <w:color w:val="auto"/>
          <w:spacing w:val="-4"/>
        </w:rPr>
        <w:t>完成分包项目的检验检测机构，并在检验检测报告中标注分包情况。具体分包的检验</w:t>
      </w:r>
      <w:r>
        <w:rPr>
          <w:color w:val="auto"/>
          <w:spacing w:val="-7"/>
        </w:rPr>
        <w:t>检测项目应当事先取得委托人书面同意。”</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9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初次违法，且积极整改的。</w:t>
      </w:r>
    </w:p>
    <w:p>
      <w:pPr>
        <w:pStyle w:val="13"/>
        <w:numPr>
          <w:ilvl w:val="0"/>
          <w:numId w:val="109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、【较重】</w:t>
      </w:r>
    </w:p>
    <w:p>
      <w:pPr>
        <w:pStyle w:val="13"/>
        <w:numPr>
          <w:ilvl w:val="0"/>
          <w:numId w:val="109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32" w:firstLine="480"/>
        <w:rPr>
          <w:color w:val="auto"/>
        </w:rPr>
      </w:pPr>
      <w:r>
        <w:rPr>
          <w:color w:val="auto"/>
        </w:rPr>
        <w:t>有下列情形之一的：1、同时违反第四十二条中其他规定，且逾期未改正的；2、拒不改正或屡查屡犯的；3、有其他较重情节的。</w:t>
      </w:r>
    </w:p>
    <w:p>
      <w:pPr>
        <w:pStyle w:val="13"/>
        <w:numPr>
          <w:ilvl w:val="0"/>
          <w:numId w:val="1092"/>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责令改正，并处 5000 元以上 1 万元以下罚款。</w:t>
      </w:r>
    </w:p>
    <w:p>
      <w:pPr>
        <w:pStyle w:val="2"/>
        <w:spacing w:before="195" w:line="388" w:lineRule="auto"/>
        <w:ind w:left="111" w:right="237" w:firstLine="480"/>
        <w:rPr>
          <w:color w:val="auto"/>
        </w:rPr>
      </w:pPr>
      <w:bookmarkStart w:id="1100" w:name="五百三十八、检验检测机构未按规定办理变更手续，逾期未改正或者改正后仍不符合要求"/>
      <w:bookmarkEnd w:id="1100"/>
      <w:bookmarkStart w:id="1101" w:name="_bookmark549"/>
      <w:bookmarkEnd w:id="1101"/>
      <w:r>
        <w:rPr>
          <w:color w:val="auto"/>
          <w:spacing w:val="-8"/>
        </w:rPr>
        <w:t>五百三十八、检验检测机构未按规定办理变更手续，逾期未改正或者改正后仍不符合要求</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rPr>
          <w:color w:val="auto"/>
        </w:rPr>
      </w:pPr>
      <w:r>
        <w:rPr>
          <w:color w:val="auto"/>
        </w:rPr>
        <w:t>1</w:t>
      </w:r>
      <w:r>
        <w:rPr>
          <w:color w:val="auto"/>
          <w:spacing w:val="-13"/>
        </w:rPr>
        <w:t>、《检验检测机构资质认定管理办法》第四十二条“检验检测机构有下列情形之</w:t>
      </w:r>
      <w:r>
        <w:rPr>
          <w:color w:val="auto"/>
          <w:spacing w:val="-8"/>
        </w:rPr>
        <w:t xml:space="preserve">一的，由县级以上质量技术监督部门责令其 </w:t>
      </w:r>
      <w:r>
        <w:rPr>
          <w:color w:val="auto"/>
        </w:rPr>
        <w:t>1</w:t>
      </w:r>
      <w:r>
        <w:rPr>
          <w:color w:val="auto"/>
          <w:spacing w:val="-10"/>
        </w:rPr>
        <w:t xml:space="preserve"> 个月内改正；逾期未改正或者改正后仍</w:t>
      </w:r>
    </w:p>
    <w:p>
      <w:pPr>
        <w:pStyle w:val="4"/>
        <w:spacing w:before="2"/>
        <w:rPr>
          <w:color w:val="auto"/>
        </w:rPr>
      </w:pPr>
      <w:r>
        <w:rPr>
          <w:color w:val="auto"/>
          <w:spacing w:val="-7"/>
        </w:rPr>
        <w:t xml:space="preserve">不符合要求的，处 </w:t>
      </w:r>
      <w:r>
        <w:rPr>
          <w:color w:val="auto"/>
        </w:rPr>
        <w:t>1</w:t>
      </w:r>
      <w:r>
        <w:rPr>
          <w:color w:val="auto"/>
          <w:spacing w:val="-23"/>
        </w:rPr>
        <w:t xml:space="preserve"> 万元以下罚款：</w:t>
      </w:r>
      <w:r>
        <w:rPr>
          <w:color w:val="auto"/>
        </w:rPr>
        <w:t>（五）</w:t>
      </w:r>
      <w:r>
        <w:rPr>
          <w:color w:val="auto"/>
          <w:spacing w:val="-8"/>
        </w:rPr>
        <w:t>未按照本办法规定办理变更手续的。”</w:t>
      </w:r>
    </w:p>
    <w:p>
      <w:pPr>
        <w:pStyle w:val="4"/>
        <w:spacing w:before="194" w:line="391" w:lineRule="auto"/>
        <w:ind w:right="268" w:firstLine="470"/>
        <w:jc w:val="both"/>
        <w:rPr>
          <w:color w:val="auto"/>
        </w:rPr>
      </w:pPr>
      <w:r>
        <w:rPr>
          <w:color w:val="auto"/>
        </w:rPr>
        <w:t>2</w:t>
      </w:r>
      <w:r>
        <w:rPr>
          <w:color w:val="auto"/>
          <w:spacing w:val="-13"/>
        </w:rPr>
        <w:t>、《检验检测机构资质认定管理办法》第十二条“有下列情形之一的，检验检测</w:t>
      </w:r>
      <w:r>
        <w:rPr>
          <w:color w:val="auto"/>
          <w:spacing w:val="-5"/>
        </w:rPr>
        <w:t>机构应当向资质认定部门申请办理变更手续：</w:t>
      </w:r>
      <w:r>
        <w:rPr>
          <w:color w:val="auto"/>
          <w:spacing w:val="2"/>
        </w:rPr>
        <w:t>（一）</w:t>
      </w:r>
      <w:r>
        <w:rPr>
          <w:color w:val="auto"/>
          <w:spacing w:val="1"/>
        </w:rPr>
        <w:t>机构名称、地址、法人性质发生</w:t>
      </w:r>
      <w:r>
        <w:rPr>
          <w:color w:val="auto"/>
          <w:spacing w:val="-29"/>
        </w:rPr>
        <w:t>变更的；</w:t>
      </w:r>
      <w:r>
        <w:rPr>
          <w:color w:val="auto"/>
          <w:spacing w:val="2"/>
        </w:rPr>
        <w:t>（二）</w:t>
      </w:r>
      <w:r>
        <w:rPr>
          <w:color w:val="auto"/>
        </w:rPr>
        <w:t>法定代表人、最高管理者、技术负责人、检验检测报告授权签字人发</w:t>
      </w:r>
      <w:r>
        <w:rPr>
          <w:color w:val="auto"/>
          <w:spacing w:val="-26"/>
        </w:rPr>
        <w:t>生变更的；</w:t>
      </w:r>
      <w:r>
        <w:rPr>
          <w:color w:val="auto"/>
        </w:rPr>
        <w:t>（三</w:t>
      </w:r>
      <w:r>
        <w:rPr>
          <w:color w:val="auto"/>
          <w:spacing w:val="-10"/>
        </w:rPr>
        <w:t>）资质认定检验检测项目取消的；</w:t>
      </w:r>
      <w:r>
        <w:rPr>
          <w:color w:val="auto"/>
        </w:rPr>
        <w:t>（四</w:t>
      </w:r>
      <w:r>
        <w:rPr>
          <w:color w:val="auto"/>
          <w:spacing w:val="-10"/>
        </w:rPr>
        <w:t>）</w:t>
      </w:r>
      <w:r>
        <w:rPr>
          <w:color w:val="auto"/>
          <w:spacing w:val="-2"/>
        </w:rPr>
        <w:t>检验检测标准或者检验检测方</w:t>
      </w:r>
      <w:r>
        <w:rPr>
          <w:color w:val="auto"/>
          <w:spacing w:val="-18"/>
        </w:rPr>
        <w:t>法发生变更的；</w:t>
      </w:r>
      <w:r>
        <w:rPr>
          <w:color w:val="auto"/>
        </w:rPr>
        <w:t>（五）</w:t>
      </w:r>
      <w:r>
        <w:rPr>
          <w:color w:val="auto"/>
          <w:spacing w:val="-9"/>
        </w:rPr>
        <w:t>依法需要办理变更的其他事项。”</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9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初次违法，且积极整改的。</w:t>
      </w:r>
    </w:p>
    <w:p>
      <w:pPr>
        <w:pStyle w:val="13"/>
        <w:numPr>
          <w:ilvl w:val="0"/>
          <w:numId w:val="109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、【较重】</w:t>
      </w:r>
    </w:p>
    <w:p>
      <w:pPr>
        <w:pStyle w:val="13"/>
        <w:numPr>
          <w:ilvl w:val="0"/>
          <w:numId w:val="109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有下列情形之一的：1、同时违反第四十二条中其他规定，且逾期未改正的；2、拒不改正或屡查屡犯的；3、有其他较重情节的。</w:t>
      </w:r>
    </w:p>
    <w:p>
      <w:pPr>
        <w:pStyle w:val="13"/>
        <w:numPr>
          <w:ilvl w:val="0"/>
          <w:numId w:val="1094"/>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5000 元以上 1 万元以下罚款。</w:t>
      </w:r>
    </w:p>
    <w:p>
      <w:pPr>
        <w:pStyle w:val="2"/>
        <w:spacing w:before="192" w:line="391" w:lineRule="auto"/>
        <w:ind w:left="111" w:right="237" w:firstLine="480"/>
        <w:rPr>
          <w:color w:val="auto"/>
        </w:rPr>
      </w:pPr>
      <w:bookmarkStart w:id="1102" w:name="_bookmark550"/>
      <w:bookmarkEnd w:id="1102"/>
      <w:bookmarkStart w:id="1103" w:name="五百三十九、检验检测机构未按照资质认定部门要求参加能力验证或者比对，逾期未改正或"/>
      <w:bookmarkEnd w:id="1103"/>
      <w:r>
        <w:rPr>
          <w:color w:val="auto"/>
          <w:spacing w:val="-7"/>
        </w:rPr>
        <w:t>五百三十九、检验检测机构未按照资质认定部门要求参加能力验证或者比对，逾期未改正或者改正后仍不符合要求</w:t>
      </w:r>
    </w:p>
    <w:p>
      <w:pPr>
        <w:spacing w:before="0" w:line="306" w:lineRule="exact"/>
        <w:ind w:left="591" w:right="0" w:firstLine="0"/>
        <w:jc w:val="left"/>
        <w:rPr>
          <w:b/>
          <w:color w:val="auto"/>
          <w:sz w:val="24"/>
        </w:rPr>
      </w:pPr>
      <w:r>
        <w:rPr>
          <w:b/>
          <w:color w:val="auto"/>
          <w:sz w:val="24"/>
        </w:rPr>
        <w:t>（一）处罚依据</w:t>
      </w:r>
    </w:p>
    <w:p>
      <w:pPr>
        <w:pStyle w:val="4"/>
        <w:spacing w:before="192"/>
        <w:ind w:left="581"/>
        <w:rPr>
          <w:color w:val="auto"/>
        </w:rPr>
      </w:pPr>
      <w:r>
        <w:rPr>
          <w:color w:val="auto"/>
        </w:rPr>
        <w:t>1、《检验检测机构资质认定管理办法》 第四十二条“检验检测机构有下列情形</w:t>
      </w:r>
    </w:p>
    <w:p>
      <w:pPr>
        <w:spacing w:after="0"/>
        <w:rPr>
          <w:color w:val="auto"/>
        </w:rPr>
        <w:sectPr>
          <w:pgSz w:w="11910" w:h="16840"/>
          <w:pgMar w:top="1520" w:right="1260" w:bottom="1220" w:left="1420" w:header="0" w:footer="1034" w:gutter="0"/>
        </w:sectPr>
      </w:pPr>
    </w:p>
    <w:p>
      <w:pPr>
        <w:pStyle w:val="4"/>
        <w:spacing w:before="39"/>
        <w:jc w:val="both"/>
        <w:rPr>
          <w:color w:val="auto"/>
        </w:rPr>
      </w:pPr>
      <w:r>
        <w:rPr>
          <w:color w:val="auto"/>
        </w:rPr>
        <w:t>之一的，由县级以上质量技术监督部门责令其 1 个月内改正；逾期未改正或者改正后</w:t>
      </w:r>
    </w:p>
    <w:p>
      <w:pPr>
        <w:pStyle w:val="4"/>
        <w:spacing w:before="195" w:line="388" w:lineRule="auto"/>
        <w:ind w:right="268"/>
        <w:jc w:val="both"/>
        <w:rPr>
          <w:color w:val="auto"/>
        </w:rPr>
      </w:pPr>
      <w:r>
        <w:rPr>
          <w:color w:val="auto"/>
          <w:spacing w:val="-8"/>
        </w:rPr>
        <w:t xml:space="preserve">仍不符合要求的，处 </w:t>
      </w:r>
      <w:r>
        <w:rPr>
          <w:color w:val="auto"/>
        </w:rPr>
        <w:t>1</w:t>
      </w:r>
      <w:r>
        <w:rPr>
          <w:color w:val="auto"/>
          <w:spacing w:val="-10"/>
        </w:rPr>
        <w:t xml:space="preserve"> 万元以下罚款：第</w:t>
      </w:r>
      <w:r>
        <w:rPr>
          <w:color w:val="auto"/>
        </w:rPr>
        <w:t>（六</w:t>
      </w:r>
      <w:r>
        <w:rPr>
          <w:color w:val="auto"/>
          <w:spacing w:val="-10"/>
        </w:rPr>
        <w:t>）</w:t>
      </w:r>
      <w:r>
        <w:rPr>
          <w:color w:val="auto"/>
          <w:spacing w:val="-1"/>
        </w:rPr>
        <w:t>未按照资质认定部门要求参加能力验</w:t>
      </w:r>
      <w:r>
        <w:rPr>
          <w:color w:val="auto"/>
          <w:spacing w:val="-16"/>
        </w:rPr>
        <w:t>证或者比对的。”</w:t>
      </w:r>
    </w:p>
    <w:p>
      <w:pPr>
        <w:pStyle w:val="4"/>
        <w:spacing w:before="2" w:line="391" w:lineRule="auto"/>
        <w:ind w:right="268" w:firstLine="470"/>
        <w:jc w:val="both"/>
        <w:rPr>
          <w:color w:val="auto"/>
        </w:rPr>
      </w:pPr>
      <w:r>
        <w:rPr>
          <w:color w:val="auto"/>
        </w:rPr>
        <w:t>2</w:t>
      </w:r>
      <w:r>
        <w:rPr>
          <w:color w:val="auto"/>
          <w:spacing w:val="-13"/>
        </w:rPr>
        <w:t>、《检验检测机构资质认定管理办法》第三十五条“检验检测机构应当按照资质</w:t>
      </w:r>
      <w:r>
        <w:rPr>
          <w:color w:val="auto"/>
          <w:spacing w:val="-5"/>
        </w:rPr>
        <w:t>认定部门的要求，参加其组织开展的能力验证或者比对，以保证持续符合资质认定条</w:t>
      </w:r>
      <w:r>
        <w:rPr>
          <w:color w:val="auto"/>
          <w:spacing w:val="-6"/>
        </w:rPr>
        <w:t>件和要求。鼓励检验检测机构参加有关政府部门、国际组织、专业技术评价机构组织</w:t>
      </w:r>
      <w:r>
        <w:rPr>
          <w:color w:val="auto"/>
          <w:spacing w:val="-7"/>
        </w:rPr>
        <w:t>开展的检验检测机构能力验证或者比对。”</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95"/>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初次违法，且积极整改的。</w:t>
      </w:r>
    </w:p>
    <w:p>
      <w:pPr>
        <w:pStyle w:val="13"/>
        <w:numPr>
          <w:ilvl w:val="0"/>
          <w:numId w:val="109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、【较重】</w:t>
      </w:r>
    </w:p>
    <w:p>
      <w:pPr>
        <w:pStyle w:val="13"/>
        <w:numPr>
          <w:ilvl w:val="0"/>
          <w:numId w:val="109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32" w:firstLine="480"/>
        <w:rPr>
          <w:color w:val="auto"/>
        </w:rPr>
      </w:pPr>
      <w:r>
        <w:rPr>
          <w:color w:val="auto"/>
        </w:rPr>
        <w:t>有下列情形之一的：1、同时违反第四十二条中其他规定，且逾期未改正的；2、拒不改正或屡查屡犯的；3、有其他较重情节的。</w:t>
      </w:r>
    </w:p>
    <w:p>
      <w:pPr>
        <w:pStyle w:val="13"/>
        <w:numPr>
          <w:ilvl w:val="0"/>
          <w:numId w:val="109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责令改正，并处 5000 元以上 1 万元以下罚款。</w:t>
      </w:r>
    </w:p>
    <w:p>
      <w:pPr>
        <w:pStyle w:val="2"/>
        <w:spacing w:before="194" w:line="388" w:lineRule="auto"/>
        <w:ind w:left="111" w:right="237" w:firstLine="480"/>
        <w:rPr>
          <w:color w:val="auto"/>
        </w:rPr>
      </w:pPr>
      <w:bookmarkStart w:id="1104" w:name="_bookmark551"/>
      <w:bookmarkEnd w:id="1104"/>
      <w:bookmarkStart w:id="1105" w:name="五百四十、检验检测机构未按照规定上报年度报告、统计数据等相关信息或者自我声明内容"/>
      <w:bookmarkEnd w:id="1105"/>
      <w:r>
        <w:rPr>
          <w:color w:val="auto"/>
          <w:spacing w:val="-8"/>
        </w:rPr>
        <w:t>五百四十、检验检测机构未按照规定上报年度报告、统计数据等相关信息或者自我声明内容虚假，逾期未改正或者改正后仍不符合要求</w:t>
      </w:r>
    </w:p>
    <w:p>
      <w:pPr>
        <w:spacing w:before="3"/>
        <w:ind w:left="591" w:right="0" w:firstLine="0"/>
        <w:jc w:val="left"/>
        <w:rPr>
          <w:b/>
          <w:color w:val="auto"/>
          <w:sz w:val="24"/>
        </w:rPr>
      </w:pPr>
      <w:r>
        <w:rPr>
          <w:b/>
          <w:color w:val="auto"/>
          <w:sz w:val="24"/>
        </w:rPr>
        <w:t>（一）处罚依据</w:t>
      </w:r>
    </w:p>
    <w:p>
      <w:pPr>
        <w:pStyle w:val="4"/>
        <w:spacing w:before="194" w:line="388" w:lineRule="auto"/>
        <w:ind w:right="268" w:firstLine="470"/>
        <w:rPr>
          <w:color w:val="auto"/>
        </w:rPr>
      </w:pPr>
      <w:r>
        <w:rPr>
          <w:color w:val="auto"/>
        </w:rPr>
        <w:t>1</w:t>
      </w:r>
      <w:r>
        <w:rPr>
          <w:color w:val="auto"/>
          <w:spacing w:val="-8"/>
        </w:rPr>
        <w:t>、《检验检测机构资质认定管理办法》 第四十二条“检验检测机构有下列情形</w:t>
      </w:r>
      <w:r>
        <w:rPr>
          <w:color w:val="auto"/>
          <w:spacing w:val="-10"/>
        </w:rPr>
        <w:t xml:space="preserve">之一的，由县级以上质量技术监督部门责令其 </w:t>
      </w:r>
      <w:r>
        <w:rPr>
          <w:color w:val="auto"/>
        </w:rPr>
        <w:t>1</w:t>
      </w:r>
      <w:r>
        <w:rPr>
          <w:color w:val="auto"/>
          <w:spacing w:val="-10"/>
        </w:rPr>
        <w:t xml:space="preserve"> 个月内改正；逾期未改正或者改正后</w:t>
      </w:r>
    </w:p>
    <w:p>
      <w:pPr>
        <w:pStyle w:val="4"/>
        <w:spacing w:before="2" w:line="391" w:lineRule="auto"/>
        <w:ind w:right="265"/>
        <w:rPr>
          <w:color w:val="auto"/>
        </w:rPr>
      </w:pPr>
      <w:r>
        <w:rPr>
          <w:color w:val="auto"/>
          <w:spacing w:val="-7"/>
        </w:rPr>
        <w:t xml:space="preserve">仍不符合要求的，处 </w:t>
      </w:r>
      <w:r>
        <w:rPr>
          <w:color w:val="auto"/>
        </w:rPr>
        <w:t>1</w:t>
      </w:r>
      <w:r>
        <w:rPr>
          <w:color w:val="auto"/>
          <w:spacing w:val="-9"/>
        </w:rPr>
        <w:t xml:space="preserve"> 万元以下罚款：第</w:t>
      </w:r>
      <w:r>
        <w:rPr>
          <w:color w:val="auto"/>
        </w:rPr>
        <w:t>（七</w:t>
      </w:r>
      <w:r>
        <w:rPr>
          <w:color w:val="auto"/>
          <w:spacing w:val="-8"/>
        </w:rPr>
        <w:t>）</w:t>
      </w:r>
      <w:r>
        <w:rPr>
          <w:color w:val="auto"/>
          <w:spacing w:val="-3"/>
        </w:rPr>
        <w:t>未按照本办法规定上报年度报告、统</w:t>
      </w:r>
      <w:r>
        <w:rPr>
          <w:color w:val="auto"/>
          <w:spacing w:val="-6"/>
        </w:rPr>
        <w:t>计数据等相关信息或者自我声明内容虚假的。”</w:t>
      </w:r>
    </w:p>
    <w:p>
      <w:pPr>
        <w:pStyle w:val="4"/>
        <w:spacing w:line="388" w:lineRule="auto"/>
        <w:ind w:right="268" w:firstLine="470"/>
        <w:rPr>
          <w:color w:val="auto"/>
        </w:rPr>
      </w:pPr>
      <w:r>
        <w:rPr>
          <w:color w:val="auto"/>
        </w:rPr>
        <w:t>2</w:t>
      </w:r>
      <w:r>
        <w:rPr>
          <w:color w:val="auto"/>
          <w:spacing w:val="-13"/>
        </w:rPr>
        <w:t>、《检验检测机构资质认定管理办法》第三十七条“检验检测机构应当定期向资</w:t>
      </w:r>
      <w:r>
        <w:rPr>
          <w:color w:val="auto"/>
          <w:spacing w:val="-3"/>
        </w:rPr>
        <w:t>质认定部门上报包括持续符合资质认定条件和要求、遵守从业规范、开展检验检测活</w:t>
      </w:r>
    </w:p>
    <w:p>
      <w:pPr>
        <w:spacing w:after="0" w:line="388" w:lineRule="auto"/>
        <w:rPr>
          <w:color w:val="auto"/>
        </w:rPr>
        <w:sectPr>
          <w:footerReference r:id="rId125" w:type="default"/>
          <w:footerReference r:id="rId126" w:type="even"/>
          <w:pgSz w:w="11910" w:h="16840"/>
          <w:pgMar w:top="1520" w:right="1260" w:bottom="1220" w:left="1420" w:header="0" w:footer="1034" w:gutter="0"/>
          <w:pgNumType w:start="520"/>
        </w:sectPr>
      </w:pPr>
    </w:p>
    <w:p>
      <w:pPr>
        <w:pStyle w:val="4"/>
        <w:spacing w:before="39" w:line="391" w:lineRule="auto"/>
        <w:ind w:right="268"/>
        <w:jc w:val="both"/>
        <w:rPr>
          <w:color w:val="auto"/>
        </w:rPr>
      </w:pPr>
      <w:r>
        <w:rPr>
          <w:color w:val="auto"/>
          <w:spacing w:val="-4"/>
        </w:rPr>
        <w:t>动等内容的年度报告，以及统计数据等相关信息。检验检测机构应当在其官方网站或</w:t>
      </w:r>
      <w:r>
        <w:rPr>
          <w:color w:val="auto"/>
          <w:spacing w:val="-5"/>
        </w:rPr>
        <w:t>者以其他公开方式，公布其遵守法律法规、独立公正从业、履行社会责任等情况的自</w:t>
      </w:r>
      <w:r>
        <w:rPr>
          <w:color w:val="auto"/>
          <w:spacing w:val="-8"/>
        </w:rPr>
        <w:t>我声明，并对声明的真实性负责。”</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9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初次违法，且积极整改的。</w:t>
      </w:r>
    </w:p>
    <w:p>
      <w:pPr>
        <w:pStyle w:val="13"/>
        <w:numPr>
          <w:ilvl w:val="0"/>
          <w:numId w:val="109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、【较重】</w:t>
      </w:r>
    </w:p>
    <w:p>
      <w:pPr>
        <w:pStyle w:val="13"/>
        <w:numPr>
          <w:ilvl w:val="0"/>
          <w:numId w:val="109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有下列情形之一的：1、同时违反第四十二条中其他规定，且逾期未改正的；2、拒不改正或屡查屡犯的；3、有其他较重情节的。</w:t>
      </w:r>
    </w:p>
    <w:p>
      <w:pPr>
        <w:pStyle w:val="13"/>
        <w:numPr>
          <w:ilvl w:val="0"/>
          <w:numId w:val="109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5000 元以上 1 万元以下罚款。</w:t>
      </w:r>
    </w:p>
    <w:p>
      <w:pPr>
        <w:pStyle w:val="2"/>
        <w:spacing w:before="191" w:line="391" w:lineRule="auto"/>
        <w:ind w:left="111" w:right="193" w:firstLine="480"/>
        <w:rPr>
          <w:color w:val="auto"/>
        </w:rPr>
      </w:pPr>
      <w:bookmarkStart w:id="1106" w:name="_bookmark552"/>
      <w:bookmarkEnd w:id="1106"/>
      <w:bookmarkStart w:id="1107" w:name="五百四十一、检验检测机构无正当理由拒不接受、不配合监督检查，逾期未改正或者改正后"/>
      <w:bookmarkEnd w:id="1107"/>
      <w:r>
        <w:rPr>
          <w:color w:val="auto"/>
        </w:rPr>
        <w:t>五百四十一、检验检测机构无正当理由拒不接受、不配合监督检查，逾期未改正或者改正后仍不符合要求</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rPr>
          <w:color w:val="auto"/>
        </w:rPr>
      </w:pPr>
      <w:r>
        <w:rPr>
          <w:color w:val="auto"/>
          <w:spacing w:val="-3"/>
        </w:rPr>
        <w:t>《检验检测机构资质认定管理办法》第四十二条“检验检测机构有下列情形之一</w:t>
      </w:r>
      <w:r>
        <w:rPr>
          <w:color w:val="auto"/>
          <w:spacing w:val="-8"/>
        </w:rPr>
        <w:t xml:space="preserve">的，由县级以上质量技术监督部门责令其 </w:t>
      </w:r>
      <w:r>
        <w:rPr>
          <w:color w:val="auto"/>
        </w:rPr>
        <w:t>1</w:t>
      </w:r>
      <w:r>
        <w:rPr>
          <w:color w:val="auto"/>
          <w:spacing w:val="-10"/>
        </w:rPr>
        <w:t xml:space="preserve"> 个月内改正；逾期未改正或者改正后仍不</w:t>
      </w:r>
    </w:p>
    <w:p>
      <w:pPr>
        <w:pStyle w:val="4"/>
        <w:spacing w:line="306" w:lineRule="exact"/>
        <w:rPr>
          <w:color w:val="auto"/>
        </w:rPr>
      </w:pPr>
      <w:r>
        <w:rPr>
          <w:color w:val="auto"/>
          <w:spacing w:val="-8"/>
        </w:rPr>
        <w:t xml:space="preserve">符合要求的，处 </w:t>
      </w:r>
      <w:r>
        <w:rPr>
          <w:color w:val="auto"/>
        </w:rPr>
        <w:t>1</w:t>
      </w:r>
      <w:r>
        <w:rPr>
          <w:color w:val="auto"/>
          <w:spacing w:val="-23"/>
        </w:rPr>
        <w:t xml:space="preserve"> 万元以下罚款：</w:t>
      </w:r>
      <w:r>
        <w:rPr>
          <w:color w:val="auto"/>
        </w:rPr>
        <w:t>（八）</w:t>
      </w:r>
      <w:r>
        <w:rPr>
          <w:color w:val="auto"/>
          <w:spacing w:val="-7"/>
        </w:rPr>
        <w:t>无正当理由拒不接受、不配合监督检查的。”</w:t>
      </w:r>
    </w:p>
    <w:p>
      <w:pPr>
        <w:spacing w:before="192"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09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无正当理由拒不接受、不配合监督检查的。</w:t>
      </w:r>
    </w:p>
    <w:p>
      <w:pPr>
        <w:pStyle w:val="13"/>
        <w:numPr>
          <w:ilvl w:val="0"/>
          <w:numId w:val="109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6352"/>
        <w:rPr>
          <w:color w:val="auto"/>
        </w:rPr>
      </w:pPr>
      <w:r>
        <w:rPr>
          <w:color w:val="auto"/>
          <w:spacing w:val="-30"/>
        </w:rPr>
        <w:t xml:space="preserve">处 </w:t>
      </w:r>
      <w:r>
        <w:rPr>
          <w:color w:val="auto"/>
        </w:rPr>
        <w:t>5000</w:t>
      </w:r>
      <w:r>
        <w:rPr>
          <w:color w:val="auto"/>
          <w:spacing w:val="-11"/>
        </w:rPr>
        <w:t xml:space="preserve"> 元以下罚款。</w:t>
      </w:r>
      <w:r>
        <w:rPr>
          <w:color w:val="auto"/>
        </w:rPr>
        <w:t>2</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1100"/>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32" w:firstLine="480"/>
        <w:rPr>
          <w:color w:val="auto"/>
        </w:rPr>
      </w:pPr>
      <w:r>
        <w:rPr>
          <w:color w:val="auto"/>
        </w:rPr>
        <w:t>有下列情形之一的：1、同时违反第四十二条中其他规定，且逾期未改正的；2、拒不改正或屡查屡犯的；3、有其他较重情节的。</w:t>
      </w:r>
    </w:p>
    <w:p>
      <w:pPr>
        <w:pStyle w:val="13"/>
        <w:numPr>
          <w:ilvl w:val="0"/>
          <w:numId w:val="110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责令改正，并处 5000 元以上 1 万元以下罚款。</w:t>
      </w:r>
    </w:p>
    <w:p>
      <w:pPr>
        <w:pStyle w:val="2"/>
        <w:spacing w:before="192" w:line="388" w:lineRule="auto"/>
        <w:ind w:left="111" w:right="237" w:firstLine="480"/>
        <w:rPr>
          <w:color w:val="auto"/>
        </w:rPr>
      </w:pPr>
      <w:bookmarkStart w:id="1108" w:name="_bookmark553"/>
      <w:bookmarkEnd w:id="1108"/>
      <w:bookmarkStart w:id="1109" w:name="五百四十二、检验检测机构基本条件和技术能力不能持续符合资质认定条件和要求，擅自向"/>
      <w:bookmarkEnd w:id="1109"/>
      <w:r>
        <w:rPr>
          <w:color w:val="auto"/>
          <w:spacing w:val="-9"/>
        </w:rPr>
        <w:t>五百四十二、检验检测机构基本条件和技术能力不能持续符合资质认定条件和要求，擅自向社会出具具有证明作用数据、结果</w:t>
      </w:r>
    </w:p>
    <w:p>
      <w:pPr>
        <w:spacing w:before="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rPr>
        <w:t>1</w:t>
      </w:r>
      <w:r>
        <w:rPr>
          <w:color w:val="auto"/>
          <w:spacing w:val="-13"/>
        </w:rPr>
        <w:t>、《检验检测机构资质认定管理办法》第四十三条第一款“检验检测机构有下列</w:t>
      </w:r>
      <w:r>
        <w:rPr>
          <w:color w:val="auto"/>
          <w:spacing w:val="-3"/>
        </w:rPr>
        <w:t xml:space="preserve">情形之一的，由县级以上质量技术监督部门责令整改，处 </w:t>
      </w:r>
      <w:r>
        <w:rPr>
          <w:color w:val="auto"/>
        </w:rPr>
        <w:t>3</w:t>
      </w:r>
      <w:r>
        <w:rPr>
          <w:color w:val="auto"/>
          <w:spacing w:val="-21"/>
        </w:rPr>
        <w:t xml:space="preserve"> 万元以下罚款：</w:t>
      </w:r>
      <w:r>
        <w:rPr>
          <w:color w:val="auto"/>
          <w:spacing w:val="2"/>
        </w:rPr>
        <w:t>（一）</w:t>
      </w:r>
      <w:r>
        <w:rPr>
          <w:color w:val="auto"/>
        </w:rPr>
        <w:t>基</w:t>
      </w:r>
      <w:r>
        <w:rPr>
          <w:color w:val="auto"/>
          <w:spacing w:val="-3"/>
        </w:rPr>
        <w:t>本条件和技术能力不能持续符合资质认定条件和要求，擅自向社会出具具有证明作用</w:t>
      </w:r>
      <w:r>
        <w:rPr>
          <w:color w:val="auto"/>
          <w:spacing w:val="-17"/>
        </w:rPr>
        <w:t xml:space="preserve">数据、结果的。” 第二款规定：“前款规定的整改期限不超过 </w:t>
      </w:r>
      <w:r>
        <w:rPr>
          <w:color w:val="auto"/>
        </w:rPr>
        <w:t>3</w:t>
      </w:r>
      <w:r>
        <w:rPr>
          <w:color w:val="auto"/>
          <w:spacing w:val="-6"/>
        </w:rPr>
        <w:t xml:space="preserve"> 个月。整改期间，检</w:t>
      </w:r>
      <w:r>
        <w:rPr>
          <w:color w:val="auto"/>
          <w:spacing w:val="-10"/>
        </w:rPr>
        <w:t>验检测机构不得向社会出具具有证明作用的检验检测数据、结果。”</w:t>
      </w:r>
    </w:p>
    <w:p>
      <w:pPr>
        <w:pStyle w:val="4"/>
        <w:spacing w:line="388" w:lineRule="auto"/>
        <w:ind w:right="268" w:firstLine="470"/>
        <w:jc w:val="both"/>
        <w:rPr>
          <w:color w:val="auto"/>
        </w:rPr>
      </w:pPr>
      <w:r>
        <w:rPr>
          <w:color w:val="auto"/>
        </w:rPr>
        <w:t>2</w:t>
      </w:r>
      <w:r>
        <w:rPr>
          <w:color w:val="auto"/>
          <w:spacing w:val="-13"/>
        </w:rPr>
        <w:t>、《检验检测机构资质认定管理办法》第二十四条“检验检测机构应当定期审查</w:t>
      </w:r>
      <w:r>
        <w:rPr>
          <w:color w:val="auto"/>
          <w:spacing w:val="-5"/>
        </w:rPr>
        <w:t>和完善管理体系，保证其基本条件和技术能力能够持续符合资质认定条件和要求，并</w:t>
      </w:r>
      <w:r>
        <w:rPr>
          <w:color w:val="auto"/>
          <w:spacing w:val="-11"/>
        </w:rPr>
        <w:t>确保管理体系有效运行。”</w:t>
      </w:r>
    </w:p>
    <w:p>
      <w:pPr>
        <w:pStyle w:val="4"/>
        <w:spacing w:line="391" w:lineRule="auto"/>
        <w:ind w:right="268" w:firstLine="470"/>
        <w:jc w:val="both"/>
        <w:rPr>
          <w:color w:val="auto"/>
        </w:rPr>
      </w:pPr>
      <w:r>
        <w:rPr>
          <w:color w:val="auto"/>
        </w:rPr>
        <w:t>3</w:t>
      </w:r>
      <w:r>
        <w:rPr>
          <w:color w:val="auto"/>
          <w:spacing w:val="-13"/>
        </w:rPr>
        <w:t>、《检验检测机构资质认定管理办法》第四十五条“检验检测机构有下列情形之</w:t>
      </w:r>
      <w:r>
        <w:rPr>
          <w:color w:val="auto"/>
          <w:spacing w:val="-5"/>
        </w:rPr>
        <w:t>一的，资质认定部门应当撤销其资质认定证书：</w:t>
      </w:r>
      <w:r>
        <w:rPr>
          <w:color w:val="auto"/>
          <w:spacing w:val="2"/>
        </w:rPr>
        <w:t>（二）</w:t>
      </w:r>
      <w:r>
        <w:rPr>
          <w:color w:val="auto"/>
          <w:spacing w:val="1"/>
        </w:rPr>
        <w:t>违反本办法第四十三条规定，</w:t>
      </w:r>
      <w:r>
        <w:rPr>
          <w:color w:val="auto"/>
          <w:spacing w:val="-3"/>
        </w:rPr>
        <w:t>整改期间擅自对外出具检验检测数据、结果，或者逾期未改正、改正后仍不符合要求</w:t>
      </w:r>
      <w:r>
        <w:rPr>
          <w:color w:val="auto"/>
          <w:spacing w:val="-20"/>
        </w:rPr>
        <w:t>的；”“被撤销资质认定证书的检验检测机构，三年内不得再次申请资质认定。”</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10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初次违法，且违法行为情节较轻的。</w:t>
      </w:r>
    </w:p>
    <w:p>
      <w:pPr>
        <w:pStyle w:val="13"/>
        <w:numPr>
          <w:ilvl w:val="0"/>
          <w:numId w:val="110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102"/>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违法行为较重，造成不良后果或影响的。</w:t>
      </w:r>
    </w:p>
    <w:p>
      <w:pPr>
        <w:pStyle w:val="13"/>
        <w:numPr>
          <w:ilvl w:val="0"/>
          <w:numId w:val="1102"/>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10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rPr>
        <w:t>下列情形之一的：1、造成严重不良后果或影响的；2、屡查屡犯的；3、有其他严重情节的。</w:t>
      </w:r>
    </w:p>
    <w:p>
      <w:pPr>
        <w:pStyle w:val="13"/>
        <w:numPr>
          <w:ilvl w:val="0"/>
          <w:numId w:val="1103"/>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left="591" w:right="3832"/>
        <w:rPr>
          <w:color w:val="auto"/>
        </w:rPr>
      </w:pPr>
      <w:r>
        <w:rPr>
          <w:color w:val="auto"/>
          <w:spacing w:val="-8"/>
        </w:rPr>
        <w:t xml:space="preserve">责令改正，并处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18"/>
        </w:rPr>
        <w:t>、【特别严重】</w:t>
      </w:r>
    </w:p>
    <w:p>
      <w:pPr>
        <w:pStyle w:val="13"/>
        <w:numPr>
          <w:ilvl w:val="0"/>
          <w:numId w:val="110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71" w:firstLine="480"/>
        <w:rPr>
          <w:color w:val="auto"/>
        </w:rPr>
      </w:pPr>
      <w:r>
        <w:rPr>
          <w:color w:val="auto"/>
        </w:rPr>
        <w:t>被责令改正后，有下列情形之一的：1、整改期间擅自对外出具检验检测数据、结果的；2、逾期未改正，或改正后仍不符合要求的。</w:t>
      </w:r>
    </w:p>
    <w:p>
      <w:pPr>
        <w:pStyle w:val="13"/>
        <w:numPr>
          <w:ilvl w:val="0"/>
          <w:numId w:val="1104"/>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撤销资质认定证书，三年内不得再次申请资质认定。</w:t>
      </w:r>
    </w:p>
    <w:p>
      <w:pPr>
        <w:pStyle w:val="2"/>
        <w:spacing w:before="192" w:line="391" w:lineRule="auto"/>
        <w:ind w:left="111" w:right="237" w:firstLine="480"/>
        <w:rPr>
          <w:color w:val="auto"/>
        </w:rPr>
      </w:pPr>
      <w:bookmarkStart w:id="1110" w:name="_bookmark554"/>
      <w:bookmarkEnd w:id="1110"/>
      <w:bookmarkStart w:id="1111" w:name="五百四十三、检验检测机构超出资质认定证书规定的检验检测能力范围，擅自向社会出具具"/>
      <w:bookmarkEnd w:id="1111"/>
      <w:r>
        <w:rPr>
          <w:color w:val="auto"/>
          <w:spacing w:val="-7"/>
        </w:rPr>
        <w:t>五百四十三、检验检测机构超出资质认定证书规定的检验检测能力范围，擅自向社会出具具有证明作用数据、结果</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rPr>
        <w:t>1</w:t>
      </w:r>
      <w:r>
        <w:rPr>
          <w:color w:val="auto"/>
          <w:spacing w:val="-13"/>
        </w:rPr>
        <w:t>、《检验检测机构资质认定管理办法》第四十三条“检验检测机构有下列情形之</w:t>
      </w:r>
      <w:r>
        <w:rPr>
          <w:color w:val="auto"/>
          <w:spacing w:val="-3"/>
        </w:rPr>
        <w:t xml:space="preserve">一的，由县级以上质量技术监督部门责令整改，处 </w:t>
      </w:r>
      <w:r>
        <w:rPr>
          <w:color w:val="auto"/>
        </w:rPr>
        <w:t>3</w:t>
      </w:r>
      <w:r>
        <w:rPr>
          <w:color w:val="auto"/>
          <w:spacing w:val="-21"/>
        </w:rPr>
        <w:t xml:space="preserve"> 万元以下罚款：</w:t>
      </w:r>
      <w:r>
        <w:rPr>
          <w:color w:val="auto"/>
          <w:spacing w:val="2"/>
        </w:rPr>
        <w:t>（二）</w:t>
      </w:r>
      <w:r>
        <w:rPr>
          <w:color w:val="auto"/>
          <w:spacing w:val="1"/>
        </w:rPr>
        <w:t>超出资质</w:t>
      </w:r>
      <w:r>
        <w:rPr>
          <w:color w:val="auto"/>
          <w:spacing w:val="-3"/>
        </w:rPr>
        <w:t>认定证书规定的检验检测能力范围，擅自向社会出具具有证明作用数据、结果的。”</w:t>
      </w:r>
    </w:p>
    <w:p>
      <w:pPr>
        <w:pStyle w:val="4"/>
        <w:spacing w:line="391" w:lineRule="auto"/>
        <w:ind w:right="232" w:firstLine="470"/>
        <w:jc w:val="both"/>
        <w:rPr>
          <w:color w:val="auto"/>
        </w:rPr>
      </w:pPr>
      <w:r>
        <w:rPr>
          <w:color w:val="auto"/>
        </w:rPr>
        <w:t>2</w:t>
      </w:r>
      <w:r>
        <w:rPr>
          <w:color w:val="auto"/>
          <w:spacing w:val="-12"/>
        </w:rPr>
        <w:t>、《检验检测机构资质认定管理办法》第二十五条“检验检测机构应当在资质认</w:t>
      </w:r>
      <w:r>
        <w:rPr>
          <w:color w:val="auto"/>
          <w:spacing w:val="-13"/>
        </w:rPr>
        <w:t xml:space="preserve">定证书规定的检验检测能力范围内，依据相关标准或者技术规范规定的程序和要求， </w:t>
      </w:r>
      <w:r>
        <w:rPr>
          <w:color w:val="auto"/>
          <w:spacing w:val="-10"/>
        </w:rPr>
        <w:t>出具检验检测数据、结果。”</w:t>
      </w:r>
    </w:p>
    <w:p>
      <w:pPr>
        <w:pStyle w:val="4"/>
        <w:spacing w:line="391" w:lineRule="auto"/>
        <w:ind w:right="268" w:firstLine="470"/>
        <w:jc w:val="both"/>
        <w:rPr>
          <w:color w:val="auto"/>
        </w:rPr>
      </w:pPr>
      <w:r>
        <w:rPr>
          <w:color w:val="auto"/>
        </w:rPr>
        <w:t>3</w:t>
      </w:r>
      <w:r>
        <w:rPr>
          <w:color w:val="auto"/>
          <w:spacing w:val="-13"/>
        </w:rPr>
        <w:t>、《检验检测机构资质认定管理办法》第四十五条“检验检测机构有下列情形之</w:t>
      </w:r>
      <w:r>
        <w:rPr>
          <w:color w:val="auto"/>
          <w:spacing w:val="-5"/>
        </w:rPr>
        <w:t>一的，资质认定部门应当撤销其资质认定证书：</w:t>
      </w:r>
      <w:r>
        <w:rPr>
          <w:color w:val="auto"/>
          <w:spacing w:val="2"/>
        </w:rPr>
        <w:t>（二）</w:t>
      </w:r>
      <w:r>
        <w:rPr>
          <w:color w:val="auto"/>
          <w:spacing w:val="1"/>
        </w:rPr>
        <w:t>违反本办法第四十三条规定，</w:t>
      </w:r>
      <w:r>
        <w:rPr>
          <w:color w:val="auto"/>
          <w:spacing w:val="-3"/>
        </w:rPr>
        <w:t>整改期间擅自对外出具检验检测数据、结果，或者逾期未改正、改正后仍不符合要求</w:t>
      </w:r>
      <w:r>
        <w:rPr>
          <w:color w:val="auto"/>
          <w:spacing w:val="-20"/>
        </w:rPr>
        <w:t>的；”“被撤销资质认定证书的检验检测机构，三年内不得再次申请资质认定。”</w:t>
      </w:r>
    </w:p>
    <w:p>
      <w:pPr>
        <w:spacing w:after="0" w:line="391" w:lineRule="auto"/>
        <w:jc w:val="both"/>
        <w:rPr>
          <w:color w:val="auto"/>
        </w:rPr>
        <w:sectPr>
          <w:pgSz w:w="11910" w:h="16840"/>
          <w:pgMar w:top="1520" w:right="1260" w:bottom="1220" w:left="1420" w:header="0" w:footer="1034" w:gutter="0"/>
        </w:sectPr>
      </w:pPr>
    </w:p>
    <w:p>
      <w:pPr>
        <w:spacing w:before="39"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10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初次违法，且违法行为情节较轻的。</w:t>
      </w:r>
    </w:p>
    <w:p>
      <w:pPr>
        <w:pStyle w:val="13"/>
        <w:numPr>
          <w:ilvl w:val="0"/>
          <w:numId w:val="110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10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违法行为较重，造成不良后果或影响的。</w:t>
      </w:r>
    </w:p>
    <w:p>
      <w:pPr>
        <w:pStyle w:val="13"/>
        <w:numPr>
          <w:ilvl w:val="0"/>
          <w:numId w:val="110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10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下列情形之一的：1、造成严重不良后果或影响的；2、屡查屡犯的；3、有其他严重情节的。</w:t>
      </w:r>
    </w:p>
    <w:p>
      <w:pPr>
        <w:pStyle w:val="13"/>
        <w:numPr>
          <w:ilvl w:val="0"/>
          <w:numId w:val="110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8"/>
        </w:rPr>
        <w:t xml:space="preserve">责令改正，并处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18"/>
        </w:rPr>
        <w:t>、【特别严重】</w:t>
      </w:r>
    </w:p>
    <w:p>
      <w:pPr>
        <w:pStyle w:val="13"/>
        <w:numPr>
          <w:ilvl w:val="0"/>
          <w:numId w:val="110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line="388" w:lineRule="auto"/>
        <w:ind w:right="271" w:firstLine="480"/>
        <w:rPr>
          <w:color w:val="auto"/>
        </w:rPr>
      </w:pPr>
      <w:r>
        <w:rPr>
          <w:color w:val="auto"/>
        </w:rPr>
        <w:t>被责令改正后，有下列情形之一的：1、整改期间擅自对外出具检验检测数据、结果的；2、逾期未改正，或改正后仍不符合要求的。</w:t>
      </w:r>
    </w:p>
    <w:p>
      <w:pPr>
        <w:pStyle w:val="13"/>
        <w:numPr>
          <w:ilvl w:val="0"/>
          <w:numId w:val="1108"/>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撤销资质认定证书，三年内不得再次申请资质认定。</w:t>
      </w:r>
    </w:p>
    <w:p>
      <w:pPr>
        <w:pStyle w:val="2"/>
        <w:spacing w:before="191"/>
        <w:rPr>
          <w:color w:val="auto"/>
        </w:rPr>
      </w:pPr>
      <w:bookmarkStart w:id="1112" w:name="_bookmark555"/>
      <w:bookmarkEnd w:id="1112"/>
      <w:bookmarkStart w:id="1113" w:name="五百四十四、检验检测机构出具的检验检测数据、结果失实"/>
      <w:bookmarkEnd w:id="1113"/>
      <w:r>
        <w:rPr>
          <w:color w:val="auto"/>
        </w:rPr>
        <w:t>五百四十四、检验检测机构出具的检验检测数据、结果失实</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rPr>
        <w:t>1</w:t>
      </w:r>
      <w:r>
        <w:rPr>
          <w:color w:val="auto"/>
          <w:spacing w:val="-9"/>
        </w:rPr>
        <w:t>、《检验检测机构资质认定管理办法》第四十三条 “检验检测机构有下列情形</w:t>
      </w:r>
      <w:r>
        <w:rPr>
          <w:color w:val="auto"/>
          <w:spacing w:val="-3"/>
        </w:rPr>
        <w:t xml:space="preserve">之一的，由县级以上质量技术监督部门责令整改，处 </w:t>
      </w:r>
      <w:r>
        <w:rPr>
          <w:color w:val="auto"/>
        </w:rPr>
        <w:t>3</w:t>
      </w:r>
      <w:r>
        <w:rPr>
          <w:color w:val="auto"/>
          <w:spacing w:val="-21"/>
        </w:rPr>
        <w:t xml:space="preserve"> 万元以下罚款：</w:t>
      </w:r>
      <w:r>
        <w:rPr>
          <w:color w:val="auto"/>
          <w:spacing w:val="2"/>
        </w:rPr>
        <w:t>（三）</w:t>
      </w:r>
      <w:r>
        <w:rPr>
          <w:color w:val="auto"/>
          <w:spacing w:val="1"/>
        </w:rPr>
        <w:t>出具的</w:t>
      </w:r>
      <w:r>
        <w:rPr>
          <w:color w:val="auto"/>
          <w:spacing w:val="-9"/>
        </w:rPr>
        <w:t>检验检测数据、结果失实的；”</w:t>
      </w:r>
    </w:p>
    <w:p>
      <w:pPr>
        <w:spacing w:after="0" w:line="388" w:lineRule="auto"/>
        <w:jc w:val="both"/>
        <w:rPr>
          <w:color w:val="auto"/>
        </w:rPr>
        <w:sectPr>
          <w:pgSz w:w="11910" w:h="16840"/>
          <w:pgMar w:top="1520" w:right="1260" w:bottom="1220" w:left="1420" w:header="0" w:footer="1034" w:gutter="0"/>
        </w:sectPr>
      </w:pPr>
    </w:p>
    <w:p>
      <w:pPr>
        <w:pStyle w:val="4"/>
        <w:spacing w:before="39" w:line="391" w:lineRule="auto"/>
        <w:ind w:right="268" w:firstLine="470"/>
        <w:rPr>
          <w:color w:val="auto"/>
        </w:rPr>
      </w:pPr>
      <w:r>
        <w:rPr>
          <w:color w:val="auto"/>
        </w:rPr>
        <w:t>2</w:t>
      </w:r>
      <w:r>
        <w:rPr>
          <w:color w:val="auto"/>
          <w:spacing w:val="-13"/>
        </w:rPr>
        <w:t>、《检验检测机构资质认定管理办法》第二十五条第三款“检验检测机构对其出</w:t>
      </w:r>
      <w:r>
        <w:rPr>
          <w:color w:val="auto"/>
          <w:spacing w:val="-5"/>
        </w:rPr>
        <w:t>具的检验检测数据、结果负责，并承担相应法律责任。”</w:t>
      </w:r>
    </w:p>
    <w:p>
      <w:pPr>
        <w:pStyle w:val="4"/>
        <w:spacing w:line="391" w:lineRule="auto"/>
        <w:ind w:right="268" w:firstLine="470"/>
        <w:jc w:val="both"/>
        <w:rPr>
          <w:color w:val="auto"/>
        </w:rPr>
      </w:pPr>
      <w:r>
        <w:rPr>
          <w:color w:val="auto"/>
        </w:rPr>
        <w:t>3</w:t>
      </w:r>
      <w:r>
        <w:rPr>
          <w:color w:val="auto"/>
          <w:spacing w:val="-13"/>
        </w:rPr>
        <w:t>、《检验检测机构资质认定管理办法》第四十五条“检验检测机构有下列情形之</w:t>
      </w:r>
      <w:r>
        <w:rPr>
          <w:color w:val="auto"/>
          <w:spacing w:val="-5"/>
        </w:rPr>
        <w:t>一的，资质认定部门应当撤销其资质认定证书：</w:t>
      </w:r>
      <w:r>
        <w:rPr>
          <w:color w:val="auto"/>
          <w:spacing w:val="2"/>
        </w:rPr>
        <w:t>（二）</w:t>
      </w:r>
      <w:r>
        <w:rPr>
          <w:color w:val="auto"/>
          <w:spacing w:val="1"/>
        </w:rPr>
        <w:t>违反本办法第四十三条规定，</w:t>
      </w:r>
      <w:r>
        <w:rPr>
          <w:color w:val="auto"/>
          <w:spacing w:val="-3"/>
        </w:rPr>
        <w:t>整改期间擅自对外出具检验检测数据、结果，或者逾期未改正、改正后仍不符合要求</w:t>
      </w:r>
      <w:r>
        <w:rPr>
          <w:color w:val="auto"/>
          <w:spacing w:val="-20"/>
        </w:rPr>
        <w:t>的；”“被撤销资质认定证书的检验检测机构，三年内不得再次申请资质认定。”</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10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5"/>
        <w:ind w:left="591"/>
        <w:rPr>
          <w:color w:val="auto"/>
        </w:rPr>
      </w:pPr>
      <w:r>
        <w:rPr>
          <w:color w:val="auto"/>
        </w:rPr>
        <w:t>初次违法，且违法行为情节较轻的。</w:t>
      </w:r>
    </w:p>
    <w:p>
      <w:pPr>
        <w:pStyle w:val="13"/>
        <w:numPr>
          <w:ilvl w:val="0"/>
          <w:numId w:val="110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11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违法行为较重，造成不良后果或影响的。</w:t>
      </w:r>
    </w:p>
    <w:p>
      <w:pPr>
        <w:pStyle w:val="13"/>
        <w:numPr>
          <w:ilvl w:val="0"/>
          <w:numId w:val="111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11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下列情形之一的：1、造成严重不良后果或影响的；2、屡查屡犯的；3、有其他严重情节的。</w:t>
      </w:r>
    </w:p>
    <w:p>
      <w:pPr>
        <w:pStyle w:val="13"/>
        <w:numPr>
          <w:ilvl w:val="0"/>
          <w:numId w:val="111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8"/>
        </w:rPr>
        <w:t xml:space="preserve">责令改正，并处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18"/>
        </w:rPr>
        <w:t>、【特别严重】</w:t>
      </w:r>
    </w:p>
    <w:p>
      <w:pPr>
        <w:pStyle w:val="13"/>
        <w:numPr>
          <w:ilvl w:val="0"/>
          <w:numId w:val="111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71" w:firstLine="480"/>
        <w:rPr>
          <w:color w:val="auto"/>
        </w:rPr>
      </w:pPr>
      <w:r>
        <w:rPr>
          <w:color w:val="auto"/>
        </w:rPr>
        <w:t>被责令改正后，有下列情形之一的：1、整改期间擅自对外出具检验检测数据、结果的；2、逾期未改正，或改正后仍不符合要求的。</w:t>
      </w:r>
    </w:p>
    <w:p>
      <w:pPr>
        <w:pStyle w:val="13"/>
        <w:numPr>
          <w:ilvl w:val="0"/>
          <w:numId w:val="1112"/>
        </w:numPr>
        <w:tabs>
          <w:tab w:val="left" w:pos="1193"/>
        </w:tabs>
        <w:spacing w:before="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撤销资质认定证书，三年内不得再次申请资质认定。</w:t>
      </w:r>
    </w:p>
    <w:p>
      <w:pPr>
        <w:pStyle w:val="2"/>
        <w:spacing w:before="195" w:line="388" w:lineRule="auto"/>
        <w:ind w:left="111" w:right="237" w:firstLine="480"/>
        <w:rPr>
          <w:color w:val="auto"/>
        </w:rPr>
      </w:pPr>
      <w:bookmarkStart w:id="1114" w:name="_bookmark556"/>
      <w:bookmarkEnd w:id="1114"/>
      <w:bookmarkStart w:id="1115" w:name="五百四十五、检验检测机构接受影响检验检测公正性的资助或者存在影响检验检测公正性行"/>
      <w:bookmarkEnd w:id="1115"/>
      <w:r>
        <w:rPr>
          <w:color w:val="auto"/>
          <w:spacing w:val="-9"/>
        </w:rPr>
        <w:t>五百四十五、检验检测机构接受影响检验检测公正性的资助或者存在影响检验检测公正性行为</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rPr>
        <w:t>1</w:t>
      </w:r>
      <w:r>
        <w:rPr>
          <w:color w:val="auto"/>
          <w:spacing w:val="-13"/>
        </w:rPr>
        <w:t>、《检验检测机构资质认定管理办法》第四十三条“检验检测机构有下列情形之</w:t>
      </w:r>
      <w:r>
        <w:rPr>
          <w:color w:val="auto"/>
          <w:spacing w:val="-3"/>
        </w:rPr>
        <w:t xml:space="preserve">一的，由县级以上质量技术监督部门责令整改，处 </w:t>
      </w:r>
      <w:r>
        <w:rPr>
          <w:color w:val="auto"/>
        </w:rPr>
        <w:t>3</w:t>
      </w:r>
      <w:r>
        <w:rPr>
          <w:color w:val="auto"/>
          <w:spacing w:val="-21"/>
        </w:rPr>
        <w:t xml:space="preserve"> 万元以下罚款：</w:t>
      </w:r>
      <w:r>
        <w:rPr>
          <w:color w:val="auto"/>
          <w:spacing w:val="2"/>
        </w:rPr>
        <w:t>（四）</w:t>
      </w:r>
      <w:r>
        <w:rPr>
          <w:color w:val="auto"/>
          <w:spacing w:val="1"/>
        </w:rPr>
        <w:t>接受影响</w:t>
      </w:r>
      <w:r>
        <w:rPr>
          <w:color w:val="auto"/>
          <w:spacing w:val="-4"/>
        </w:rPr>
        <w:t>检验检测公正性的资助或者存在影响检验检测公正性行为的；”</w:t>
      </w:r>
    </w:p>
    <w:p>
      <w:pPr>
        <w:pStyle w:val="4"/>
        <w:spacing w:before="5" w:line="388" w:lineRule="auto"/>
        <w:ind w:right="268" w:firstLine="470"/>
        <w:jc w:val="both"/>
        <w:rPr>
          <w:color w:val="auto"/>
        </w:rPr>
      </w:pPr>
      <w:r>
        <w:rPr>
          <w:color w:val="auto"/>
        </w:rPr>
        <w:t>2</w:t>
      </w:r>
      <w:r>
        <w:rPr>
          <w:color w:val="auto"/>
          <w:spacing w:val="-13"/>
        </w:rPr>
        <w:t>、《检验检测机构资质认定管理办法》第二十二条“检验检测机构及其人员从事</w:t>
      </w:r>
      <w:r>
        <w:rPr>
          <w:color w:val="auto"/>
          <w:spacing w:val="-6"/>
        </w:rPr>
        <w:t>检验检测活动，应当遵守国家相关法律法规的规定，遵循客观独立、公平公正、诚实</w:t>
      </w:r>
      <w:r>
        <w:rPr>
          <w:color w:val="auto"/>
          <w:spacing w:val="-7"/>
        </w:rPr>
        <w:t>信用原则，恪守职业道德，承担社会责任。”</w:t>
      </w:r>
    </w:p>
    <w:p>
      <w:pPr>
        <w:pStyle w:val="4"/>
        <w:spacing w:before="6" w:line="388" w:lineRule="auto"/>
        <w:ind w:right="268" w:firstLine="470"/>
        <w:jc w:val="both"/>
        <w:rPr>
          <w:color w:val="auto"/>
        </w:rPr>
      </w:pPr>
      <w:r>
        <w:rPr>
          <w:color w:val="auto"/>
        </w:rPr>
        <w:t>3</w:t>
      </w:r>
      <w:r>
        <w:rPr>
          <w:color w:val="auto"/>
          <w:spacing w:val="-13"/>
        </w:rPr>
        <w:t>、《检验检测机构资质认定管理办法》第二十三条“检验检测机构及其人员应当</w:t>
      </w:r>
      <w:r>
        <w:rPr>
          <w:color w:val="auto"/>
          <w:spacing w:val="-4"/>
        </w:rPr>
        <w:t>独立于其出具的检验检测数据、结果所涉及的利益相关各方，不受任何可能干扰其技术判断因素的影响，确保检验检测数据、结果的真实、客观、准确。”</w:t>
      </w:r>
    </w:p>
    <w:p>
      <w:pPr>
        <w:pStyle w:val="4"/>
        <w:spacing w:before="5" w:line="391" w:lineRule="auto"/>
        <w:ind w:right="268" w:firstLine="470"/>
        <w:jc w:val="both"/>
        <w:rPr>
          <w:color w:val="auto"/>
        </w:rPr>
      </w:pPr>
      <w:r>
        <w:rPr>
          <w:color w:val="auto"/>
        </w:rPr>
        <w:t>4</w:t>
      </w:r>
      <w:r>
        <w:rPr>
          <w:color w:val="auto"/>
          <w:spacing w:val="-13"/>
        </w:rPr>
        <w:t>、《检验检测机构资质认定管理办法》第四十五条“检验检测机构有下列情形之</w:t>
      </w:r>
      <w:r>
        <w:rPr>
          <w:color w:val="auto"/>
          <w:spacing w:val="-5"/>
        </w:rPr>
        <w:t>一的，资质认定部门应当撤销其资质认定证书：</w:t>
      </w:r>
      <w:r>
        <w:rPr>
          <w:color w:val="auto"/>
          <w:spacing w:val="2"/>
        </w:rPr>
        <w:t>（二）</w:t>
      </w:r>
      <w:r>
        <w:rPr>
          <w:color w:val="auto"/>
          <w:spacing w:val="1"/>
        </w:rPr>
        <w:t>违反本办法第四十三条规定，</w:t>
      </w:r>
      <w:r>
        <w:rPr>
          <w:color w:val="auto"/>
          <w:spacing w:val="-3"/>
        </w:rPr>
        <w:t>整改期间擅自对外出具检验检测数据、结果，或者逾期未改正、改正后仍不符合要求</w:t>
      </w:r>
      <w:r>
        <w:rPr>
          <w:color w:val="auto"/>
          <w:spacing w:val="-20"/>
        </w:rPr>
        <w:t>的；”“被撤销资质认定证书的检验检测机构，三年内不得再次申请资质认定。”</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11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初次违法，且违法行为情节较轻的。</w:t>
      </w:r>
    </w:p>
    <w:p>
      <w:pPr>
        <w:pStyle w:val="13"/>
        <w:numPr>
          <w:ilvl w:val="0"/>
          <w:numId w:val="111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11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违法行为较重，造成不良后果或影响的。</w:t>
      </w:r>
    </w:p>
    <w:p>
      <w:pPr>
        <w:pStyle w:val="13"/>
        <w:numPr>
          <w:ilvl w:val="0"/>
          <w:numId w:val="111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责令改正，并处 1 万元以上 2 万元以下罚款。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3、【严重】</w:t>
      </w:r>
    </w:p>
    <w:p>
      <w:pPr>
        <w:pStyle w:val="13"/>
        <w:numPr>
          <w:ilvl w:val="0"/>
          <w:numId w:val="1115"/>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68" w:firstLine="480"/>
        <w:rPr>
          <w:color w:val="auto"/>
        </w:rPr>
      </w:pPr>
      <w:r>
        <w:rPr>
          <w:color w:val="auto"/>
        </w:rPr>
        <w:t>下列情形之一的：1、造成严重不良后果或影响的；2、屡查屡犯的；3、有其他严重情节的。</w:t>
      </w:r>
    </w:p>
    <w:p>
      <w:pPr>
        <w:pStyle w:val="13"/>
        <w:numPr>
          <w:ilvl w:val="0"/>
          <w:numId w:val="1115"/>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left="591" w:right="3832"/>
        <w:rPr>
          <w:color w:val="auto"/>
        </w:rPr>
      </w:pPr>
      <w:r>
        <w:rPr>
          <w:color w:val="auto"/>
          <w:spacing w:val="-8"/>
        </w:rPr>
        <w:t xml:space="preserve">责令改正，并处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18"/>
        </w:rPr>
        <w:t>、【特别严重】</w:t>
      </w:r>
    </w:p>
    <w:p>
      <w:pPr>
        <w:pStyle w:val="13"/>
        <w:numPr>
          <w:ilvl w:val="0"/>
          <w:numId w:val="111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line="388" w:lineRule="auto"/>
        <w:ind w:right="271" w:firstLine="480"/>
        <w:rPr>
          <w:color w:val="auto"/>
        </w:rPr>
      </w:pPr>
      <w:r>
        <w:rPr>
          <w:color w:val="auto"/>
        </w:rPr>
        <w:t>被责令改正后，有下列情形之一的：1、整改期间擅自对外出具检验检测数据、结果的；2、逾期未改正，或改正后仍不符合要求的。</w:t>
      </w:r>
    </w:p>
    <w:p>
      <w:pPr>
        <w:pStyle w:val="13"/>
        <w:numPr>
          <w:ilvl w:val="0"/>
          <w:numId w:val="1116"/>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撤销资质认定证书，三年内不得再次申请资质认定。</w:t>
      </w:r>
    </w:p>
    <w:p>
      <w:pPr>
        <w:pStyle w:val="2"/>
        <w:spacing w:before="192"/>
        <w:rPr>
          <w:color w:val="auto"/>
        </w:rPr>
      </w:pPr>
      <w:bookmarkStart w:id="1116" w:name="五百四十六、检验检测机构非授权签字人签发检验检测报告"/>
      <w:bookmarkEnd w:id="1116"/>
      <w:bookmarkStart w:id="1117" w:name="_bookmark557"/>
      <w:bookmarkEnd w:id="1117"/>
      <w:r>
        <w:rPr>
          <w:color w:val="auto"/>
        </w:rPr>
        <w:t>五百四十六、检验检测机构非授权签字人签发检验检测报告</w:t>
      </w:r>
    </w:p>
    <w:p>
      <w:pPr>
        <w:spacing w:before="194"/>
        <w:ind w:left="59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rPr>
        <w:t>1</w:t>
      </w:r>
      <w:r>
        <w:rPr>
          <w:color w:val="auto"/>
          <w:spacing w:val="-13"/>
        </w:rPr>
        <w:t>、《检验检测机构资质认定管理办法》第四十三条“检验检测机构有下列情形之</w:t>
      </w:r>
      <w:r>
        <w:rPr>
          <w:color w:val="auto"/>
          <w:spacing w:val="-3"/>
        </w:rPr>
        <w:t xml:space="preserve">一的，由县级以上质量技术监督部门责令整改，处 </w:t>
      </w:r>
      <w:r>
        <w:rPr>
          <w:color w:val="auto"/>
        </w:rPr>
        <w:t>3</w:t>
      </w:r>
      <w:r>
        <w:rPr>
          <w:color w:val="auto"/>
          <w:spacing w:val="-21"/>
        </w:rPr>
        <w:t xml:space="preserve"> 万元以下罚款：</w:t>
      </w:r>
      <w:r>
        <w:rPr>
          <w:color w:val="auto"/>
          <w:spacing w:val="2"/>
        </w:rPr>
        <w:t>（五）</w:t>
      </w:r>
      <w:r>
        <w:rPr>
          <w:color w:val="auto"/>
          <w:spacing w:val="1"/>
        </w:rPr>
        <w:t>非授权签</w:t>
      </w:r>
      <w:r>
        <w:rPr>
          <w:color w:val="auto"/>
          <w:spacing w:val="-10"/>
        </w:rPr>
        <w:t>字人签发检验检测报告的。”</w:t>
      </w:r>
    </w:p>
    <w:p>
      <w:pPr>
        <w:pStyle w:val="4"/>
        <w:spacing w:line="391" w:lineRule="auto"/>
        <w:ind w:right="268" w:firstLine="470"/>
        <w:jc w:val="both"/>
        <w:rPr>
          <w:color w:val="auto"/>
        </w:rPr>
      </w:pPr>
      <w:r>
        <w:rPr>
          <w:color w:val="auto"/>
        </w:rPr>
        <w:t>2</w:t>
      </w:r>
      <w:r>
        <w:rPr>
          <w:color w:val="auto"/>
          <w:spacing w:val="-13"/>
        </w:rPr>
        <w:t>、《检验检测机构资质认定管理办法》第二十六条第二款“检验检测机构授权签</w:t>
      </w:r>
      <w:r>
        <w:rPr>
          <w:color w:val="auto"/>
          <w:spacing w:val="-3"/>
        </w:rPr>
        <w:t>字人应当符合资质认定评审准则规定的能力要求。非授权签字人不得签发检验检测报</w:t>
      </w:r>
      <w:r>
        <w:rPr>
          <w:color w:val="auto"/>
          <w:spacing w:val="-40"/>
        </w:rPr>
        <w:t>告。”</w:t>
      </w:r>
    </w:p>
    <w:p>
      <w:pPr>
        <w:pStyle w:val="4"/>
        <w:spacing w:line="391" w:lineRule="auto"/>
        <w:ind w:right="268" w:firstLine="470"/>
        <w:jc w:val="both"/>
        <w:rPr>
          <w:color w:val="auto"/>
        </w:rPr>
      </w:pPr>
      <w:r>
        <w:rPr>
          <w:color w:val="auto"/>
        </w:rPr>
        <w:t>3</w:t>
      </w:r>
      <w:r>
        <w:rPr>
          <w:color w:val="auto"/>
          <w:spacing w:val="-13"/>
        </w:rPr>
        <w:t>、《检验检测机构资质认定管理办法》第四十五条“检验检测机构有下列情形之</w:t>
      </w:r>
      <w:r>
        <w:rPr>
          <w:color w:val="auto"/>
          <w:spacing w:val="-5"/>
        </w:rPr>
        <w:t>一的，资质认定部门应当撤销其资质认定证书：</w:t>
      </w:r>
      <w:r>
        <w:rPr>
          <w:color w:val="auto"/>
          <w:spacing w:val="2"/>
        </w:rPr>
        <w:t>（二）</w:t>
      </w:r>
      <w:r>
        <w:rPr>
          <w:color w:val="auto"/>
          <w:spacing w:val="1"/>
        </w:rPr>
        <w:t>违反本办法第四十三条规定，</w:t>
      </w:r>
      <w:r>
        <w:rPr>
          <w:color w:val="auto"/>
          <w:spacing w:val="-3"/>
        </w:rPr>
        <w:t>整改期间擅自对外出具检验检测数据、结果，或者逾期未改正、改正后仍不符合要求</w:t>
      </w:r>
      <w:r>
        <w:rPr>
          <w:color w:val="auto"/>
          <w:spacing w:val="-20"/>
        </w:rPr>
        <w:t>的；”“被撤销资质认定证书的检验检测机构，三年内不得再次申请资质认定。”</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11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79"/>
        <w:ind w:left="591"/>
        <w:rPr>
          <w:color w:val="auto"/>
        </w:rPr>
      </w:pPr>
      <w:r>
        <w:rPr>
          <w:color w:val="auto"/>
        </w:rPr>
        <w:t>初次违法，且违法行为情节较轻的。</w:t>
      </w:r>
    </w:p>
    <w:p>
      <w:pPr>
        <w:spacing w:after="0"/>
        <w:rPr>
          <w:color w:val="auto"/>
        </w:rPr>
        <w:sectPr>
          <w:pgSz w:w="11910" w:h="16840"/>
          <w:pgMar w:top="1520" w:right="1260" w:bottom="1220" w:left="1420" w:header="0" w:footer="1034" w:gutter="0"/>
        </w:sectPr>
      </w:pPr>
    </w:p>
    <w:p>
      <w:pPr>
        <w:pStyle w:val="13"/>
        <w:numPr>
          <w:ilvl w:val="0"/>
          <w:numId w:val="111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11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违法行为较重，造成不良后果或影响的。</w:t>
      </w:r>
    </w:p>
    <w:p>
      <w:pPr>
        <w:pStyle w:val="13"/>
        <w:numPr>
          <w:ilvl w:val="0"/>
          <w:numId w:val="111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11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rPr>
        <w:t>下列情形之一的：1、造成严重不良后果或影响的；2、屡查屡犯的；3、有其他严重情节的。</w:t>
      </w:r>
    </w:p>
    <w:p>
      <w:pPr>
        <w:pStyle w:val="13"/>
        <w:numPr>
          <w:ilvl w:val="0"/>
          <w:numId w:val="111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3832"/>
        <w:rPr>
          <w:color w:val="auto"/>
        </w:rPr>
      </w:pPr>
      <w:r>
        <w:rPr>
          <w:color w:val="auto"/>
          <w:spacing w:val="-8"/>
        </w:rPr>
        <w:t xml:space="preserve">责令改正，并处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18"/>
        </w:rPr>
        <w:t>、【特别严重】</w:t>
      </w:r>
    </w:p>
    <w:p>
      <w:pPr>
        <w:pStyle w:val="13"/>
        <w:numPr>
          <w:ilvl w:val="0"/>
          <w:numId w:val="112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71" w:firstLine="480"/>
        <w:rPr>
          <w:color w:val="auto"/>
        </w:rPr>
      </w:pPr>
      <w:r>
        <w:rPr>
          <w:color w:val="auto"/>
        </w:rPr>
        <w:t>被责令改正后，有下列情形之一的：1、整改期间擅自对外出具检验检测数据、结果的；2、逾期未改正，或改正后仍不符合要求的。</w:t>
      </w:r>
    </w:p>
    <w:p>
      <w:pPr>
        <w:pStyle w:val="13"/>
        <w:numPr>
          <w:ilvl w:val="0"/>
          <w:numId w:val="112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撤销资质认定证书，三年内不得再次申请资质认定。</w:t>
      </w:r>
    </w:p>
    <w:p>
      <w:pPr>
        <w:pStyle w:val="2"/>
        <w:spacing w:before="194" w:line="388" w:lineRule="auto"/>
        <w:ind w:left="111" w:right="121" w:firstLine="480"/>
        <w:rPr>
          <w:color w:val="auto"/>
        </w:rPr>
      </w:pPr>
      <w:bookmarkStart w:id="1118" w:name="五百四十七、检验检测机构转让、出租、出借资质认定证书和标志，伪造、变造、冒用、租"/>
      <w:bookmarkEnd w:id="1118"/>
      <w:bookmarkStart w:id="1119" w:name="_bookmark558"/>
      <w:bookmarkEnd w:id="1119"/>
      <w:r>
        <w:rPr>
          <w:color w:val="auto"/>
          <w:spacing w:val="-12"/>
        </w:rPr>
        <w:t>五百四十七、检验检测机构转让、出租、出借资质认定证书和标志，伪造、变造、</w:t>
      </w:r>
      <w:r>
        <w:rPr>
          <w:color w:val="auto"/>
          <w:spacing w:val="-9"/>
        </w:rPr>
        <w:t>冒用、租借资质认定证书和标志，或使用已失效、撤销、注销的资质认定证书和标志</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rPr>
        <w:t>1</w:t>
      </w:r>
      <w:r>
        <w:rPr>
          <w:color w:val="auto"/>
          <w:spacing w:val="-8"/>
        </w:rPr>
        <w:t>、《检验检测机构资质认定管理办法》 第四十四条“检验检测机构违反本办法</w:t>
      </w:r>
      <w:r>
        <w:rPr>
          <w:color w:val="auto"/>
          <w:spacing w:val="-10"/>
        </w:rPr>
        <w:t xml:space="preserve">第二十七条规定的，由县级以上质量技术监督部门责令改正，处 </w:t>
      </w:r>
      <w:r>
        <w:rPr>
          <w:color w:val="auto"/>
        </w:rPr>
        <w:t>3</w:t>
      </w:r>
      <w:r>
        <w:rPr>
          <w:color w:val="auto"/>
          <w:spacing w:val="-21"/>
        </w:rPr>
        <w:t xml:space="preserve"> 万元以下罚款。”</w:t>
      </w:r>
    </w:p>
    <w:p>
      <w:pPr>
        <w:pStyle w:val="4"/>
        <w:spacing w:before="2" w:line="391" w:lineRule="auto"/>
        <w:ind w:right="232" w:firstLine="470"/>
        <w:jc w:val="both"/>
        <w:rPr>
          <w:color w:val="auto"/>
        </w:rPr>
      </w:pPr>
      <w:r>
        <w:rPr>
          <w:color w:val="auto"/>
        </w:rPr>
        <w:t>2</w:t>
      </w:r>
      <w:r>
        <w:rPr>
          <w:color w:val="auto"/>
          <w:spacing w:val="-12"/>
        </w:rPr>
        <w:t>、《检验检测机构资质认定管理办法》第二十七条“检验检测机构不得转让、出</w:t>
      </w:r>
      <w:r>
        <w:rPr>
          <w:color w:val="auto"/>
          <w:spacing w:val="-13"/>
        </w:rPr>
        <w:t xml:space="preserve">租、出借资质认定证书和标志；不得伪造、变造、冒用、租借资质认定证书和标志； </w:t>
      </w:r>
      <w:r>
        <w:rPr>
          <w:color w:val="auto"/>
          <w:spacing w:val="-5"/>
        </w:rPr>
        <w:t>不得使用已失效、撤销、注销的资质认定证书和标志。”</w:t>
      </w:r>
    </w:p>
    <w:p>
      <w:pPr>
        <w:pStyle w:val="2"/>
        <w:spacing w:line="304" w:lineRule="exact"/>
        <w:rPr>
          <w:color w:val="auto"/>
        </w:rPr>
      </w:pPr>
      <w:r>
        <w:rPr>
          <w:color w:val="auto"/>
        </w:rPr>
        <w:t>（二）裁量标准</w:t>
      </w:r>
    </w:p>
    <w:p>
      <w:pPr>
        <w:spacing w:after="0" w:line="304" w:lineRule="exact"/>
        <w:rPr>
          <w:color w:val="auto"/>
        </w:rPr>
        <w:sectPr>
          <w:pgSz w:w="11910" w:h="16840"/>
          <w:pgMar w:top="1520" w:right="1260" w:bottom="1220" w:left="1420" w:header="0" w:footer="1034" w:gutter="0"/>
        </w:sectPr>
      </w:pPr>
    </w:p>
    <w:p>
      <w:pPr>
        <w:pStyle w:val="4"/>
        <w:spacing w:before="39"/>
        <w:ind w:left="591"/>
        <w:rPr>
          <w:color w:val="auto"/>
        </w:rPr>
      </w:pPr>
      <w:r>
        <w:rPr>
          <w:color w:val="auto"/>
        </w:rPr>
        <w:t>1、【一般】</w:t>
      </w:r>
    </w:p>
    <w:p>
      <w:pPr>
        <w:pStyle w:val="13"/>
        <w:numPr>
          <w:ilvl w:val="0"/>
          <w:numId w:val="1121"/>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初次违法，且违法行为情节较轻的。</w:t>
      </w:r>
    </w:p>
    <w:p>
      <w:pPr>
        <w:pStyle w:val="13"/>
        <w:numPr>
          <w:ilvl w:val="0"/>
          <w:numId w:val="112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8"/>
        </w:rPr>
        <w:t xml:space="preserve">责令改正，并处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12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违法行为较重，造成不良后果或影响的。</w:t>
      </w:r>
    </w:p>
    <w:p>
      <w:pPr>
        <w:pStyle w:val="13"/>
        <w:numPr>
          <w:ilvl w:val="0"/>
          <w:numId w:val="112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3832"/>
        <w:rPr>
          <w:color w:val="auto"/>
        </w:rPr>
      </w:pPr>
      <w:r>
        <w:rPr>
          <w:color w:val="auto"/>
          <w:spacing w:val="-8"/>
        </w:rPr>
        <w:t xml:space="preserve">责令改正，并处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12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148" w:firstLine="480"/>
        <w:rPr>
          <w:color w:val="auto"/>
        </w:rPr>
      </w:pPr>
      <w:r>
        <w:rPr>
          <w:color w:val="auto"/>
          <w:spacing w:val="-3"/>
        </w:rPr>
        <w:t>有下列情形之一的：</w:t>
      </w:r>
      <w:r>
        <w:rPr>
          <w:color w:val="auto"/>
          <w:spacing w:val="-20"/>
        </w:rPr>
        <w:t>1</w:t>
      </w:r>
      <w:r>
        <w:rPr>
          <w:color w:val="auto"/>
          <w:spacing w:val="-8"/>
        </w:rPr>
        <w:t>、造成严重不良后果或影响的；</w:t>
      </w:r>
      <w:r>
        <w:rPr>
          <w:color w:val="auto"/>
          <w:spacing w:val="-20"/>
        </w:rPr>
        <w:t>2</w:t>
      </w:r>
      <w:r>
        <w:rPr>
          <w:color w:val="auto"/>
          <w:spacing w:val="-8"/>
        </w:rPr>
        <w:t xml:space="preserve">、拒不改正或屡查屡犯的； </w:t>
      </w:r>
      <w:r>
        <w:rPr>
          <w:color w:val="auto"/>
        </w:rPr>
        <w:t>3、有其他严重情节的。</w:t>
      </w:r>
    </w:p>
    <w:p>
      <w:pPr>
        <w:pStyle w:val="13"/>
        <w:numPr>
          <w:ilvl w:val="0"/>
          <w:numId w:val="112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责令改正，并处 2 万元以上 3 万元以下罚款。</w:t>
      </w:r>
    </w:p>
    <w:p>
      <w:pPr>
        <w:pStyle w:val="2"/>
        <w:spacing w:before="194" w:line="388" w:lineRule="auto"/>
        <w:ind w:left="111" w:right="193" w:firstLine="480"/>
        <w:rPr>
          <w:color w:val="auto"/>
        </w:rPr>
      </w:pPr>
      <w:bookmarkStart w:id="1120" w:name="五百四十八、检验检测机构未经检验检测或者以篡改数据、结果等方式，出具虚假检验检测"/>
      <w:bookmarkEnd w:id="1120"/>
      <w:bookmarkStart w:id="1121" w:name="_bookmark559"/>
      <w:bookmarkEnd w:id="1121"/>
      <w:r>
        <w:rPr>
          <w:color w:val="auto"/>
        </w:rPr>
        <w:t>五百四十八、检验检测机构未经检验检测或者以篡改数据、结果等方式，出具虚假检验检测数据、结果</w:t>
      </w:r>
    </w:p>
    <w:p>
      <w:pPr>
        <w:spacing w:before="2"/>
        <w:ind w:left="591" w:right="0" w:firstLine="0"/>
        <w:jc w:val="left"/>
        <w:rPr>
          <w:b/>
          <w:color w:val="auto"/>
          <w:sz w:val="24"/>
        </w:rPr>
      </w:pPr>
      <w:r>
        <w:rPr>
          <w:b/>
          <w:color w:val="auto"/>
          <w:sz w:val="24"/>
        </w:rPr>
        <w:t>（一）处罚依据</w:t>
      </w:r>
    </w:p>
    <w:p>
      <w:pPr>
        <w:pStyle w:val="4"/>
        <w:spacing w:before="194" w:line="388" w:lineRule="auto"/>
        <w:ind w:right="148" w:firstLine="470"/>
        <w:rPr>
          <w:color w:val="auto"/>
        </w:rPr>
      </w:pPr>
      <w:r>
        <w:rPr>
          <w:color w:val="auto"/>
        </w:rPr>
        <w:t>1</w:t>
      </w:r>
      <w:r>
        <w:rPr>
          <w:color w:val="auto"/>
          <w:spacing w:val="-12"/>
        </w:rPr>
        <w:t>、《检验检测机构资质认定管理办法》第四十五条“检验检测机构有下列情形之一的，资质认定部门应当撤销其资质认定证书：</w:t>
      </w:r>
      <w:r>
        <w:rPr>
          <w:color w:val="auto"/>
        </w:rPr>
        <w:t>（一</w:t>
      </w:r>
      <w:r>
        <w:rPr>
          <w:color w:val="auto"/>
          <w:spacing w:val="-12"/>
        </w:rPr>
        <w:t>）</w:t>
      </w:r>
      <w:r>
        <w:rPr>
          <w:color w:val="auto"/>
          <w:spacing w:val="-2"/>
        </w:rPr>
        <w:t>未经检验检测或者以篡改数据、</w:t>
      </w:r>
      <w:r>
        <w:rPr>
          <w:color w:val="auto"/>
          <w:spacing w:val="-6"/>
        </w:rPr>
        <w:t>结果等方式，出具虚假检验检测数据、结果的；”</w:t>
      </w:r>
    </w:p>
    <w:p>
      <w:pPr>
        <w:pStyle w:val="4"/>
        <w:spacing w:before="6" w:line="388" w:lineRule="auto"/>
        <w:ind w:right="268" w:firstLine="470"/>
        <w:rPr>
          <w:color w:val="auto"/>
        </w:rPr>
      </w:pPr>
      <w:r>
        <w:rPr>
          <w:color w:val="auto"/>
        </w:rPr>
        <w:t>2</w:t>
      </w:r>
      <w:r>
        <w:rPr>
          <w:color w:val="auto"/>
          <w:spacing w:val="-13"/>
        </w:rPr>
        <w:t>、《检验检测机构资质认定管理办法》第二十五条第三款“检验检测机构对其出</w:t>
      </w:r>
      <w:r>
        <w:rPr>
          <w:color w:val="auto"/>
          <w:spacing w:val="-5"/>
        </w:rPr>
        <w:t>具的检验检测数据、结果负责，并承担相应法律责任。”</w:t>
      </w:r>
    </w:p>
    <w:p>
      <w:pPr>
        <w:pStyle w:val="2"/>
        <w:spacing w:before="2"/>
        <w:rPr>
          <w:color w:val="auto"/>
        </w:rPr>
      </w:pPr>
      <w:r>
        <w:rPr>
          <w:color w:val="auto"/>
        </w:rPr>
        <w:t>（二）裁量标准</w:t>
      </w:r>
    </w:p>
    <w:p>
      <w:pPr>
        <w:pStyle w:val="4"/>
        <w:spacing w:before="194"/>
        <w:ind w:left="591"/>
        <w:rPr>
          <w:color w:val="auto"/>
        </w:rPr>
      </w:pPr>
      <w:r>
        <w:rPr>
          <w:color w:val="auto"/>
        </w:rPr>
        <w:t>【一般】</w:t>
      </w:r>
    </w:p>
    <w:p>
      <w:pPr>
        <w:pStyle w:val="13"/>
        <w:numPr>
          <w:ilvl w:val="0"/>
          <w:numId w:val="112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有下列情形之一的：1、未经检验检测，出具虚假检验检测数据、结果的；2、以</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篡改数据、结果等方式，出具虚假检验检测数据、结果的。</w:t>
      </w:r>
    </w:p>
    <w:p>
      <w:pPr>
        <w:pStyle w:val="13"/>
        <w:numPr>
          <w:ilvl w:val="0"/>
          <w:numId w:val="1124"/>
        </w:numPr>
        <w:tabs>
          <w:tab w:val="left" w:pos="1193"/>
        </w:tabs>
        <w:spacing w:before="195" w:after="0" w:line="240" w:lineRule="auto"/>
        <w:ind w:left="1192" w:right="0" w:hanging="602"/>
        <w:jc w:val="left"/>
        <w:rPr>
          <w:color w:val="auto"/>
          <w:sz w:val="24"/>
        </w:rPr>
      </w:pPr>
      <w:r>
        <w:rPr>
          <w:color w:val="auto"/>
          <w:sz w:val="24"/>
        </w:rPr>
        <w:t>处罚标准</w:t>
      </w:r>
    </w:p>
    <w:p>
      <w:pPr>
        <w:spacing w:before="191" w:line="388" w:lineRule="auto"/>
        <w:ind w:left="591" w:right="1192" w:firstLine="0"/>
        <w:jc w:val="left"/>
        <w:rPr>
          <w:b/>
          <w:color w:val="auto"/>
          <w:sz w:val="24"/>
        </w:rPr>
      </w:pPr>
      <w:r>
        <w:rPr>
          <w:color w:val="auto"/>
          <w:sz w:val="24"/>
        </w:rPr>
        <w:t>撤销资质认定证书；该检验检测机构，三年内不得再次申请资质认定。</w:t>
      </w:r>
      <w:bookmarkStart w:id="1122" w:name="_bookmark560"/>
      <w:bookmarkEnd w:id="1122"/>
      <w:bookmarkStart w:id="1123" w:name="五百四十九、验检测机构以欺骗、贿赂等不正当手段取得资质认定"/>
      <w:bookmarkEnd w:id="1123"/>
      <w:r>
        <w:rPr>
          <w:b/>
          <w:color w:val="auto"/>
          <w:sz w:val="24"/>
        </w:rPr>
        <w:t>五百四十九、验检测机构以欺骗、贿赂等不正当手段取得资质认定</w:t>
      </w:r>
    </w:p>
    <w:p>
      <w:pPr>
        <w:pStyle w:val="2"/>
        <w:spacing w:before="5"/>
        <w:rPr>
          <w:color w:val="auto"/>
        </w:rPr>
      </w:pPr>
      <w:r>
        <w:rPr>
          <w:color w:val="auto"/>
        </w:rPr>
        <w:t>（一）处罚依据</w:t>
      </w:r>
    </w:p>
    <w:p>
      <w:pPr>
        <w:pStyle w:val="4"/>
        <w:spacing w:before="192" w:line="391" w:lineRule="auto"/>
        <w:ind w:right="268" w:firstLine="470"/>
        <w:jc w:val="both"/>
        <w:rPr>
          <w:color w:val="auto"/>
        </w:rPr>
      </w:pPr>
      <w:r>
        <w:rPr>
          <w:color w:val="auto"/>
        </w:rPr>
        <w:t>1</w:t>
      </w:r>
      <w:r>
        <w:rPr>
          <w:color w:val="auto"/>
          <w:spacing w:val="-13"/>
        </w:rPr>
        <w:t>、《检验检测机构资质认定管理办法》第四十五条“检验检测机构有下列情形之</w:t>
      </w:r>
      <w:r>
        <w:rPr>
          <w:color w:val="auto"/>
          <w:spacing w:val="-5"/>
        </w:rPr>
        <w:t>一的，资质认定部门应当撤销其资质认定证书：</w:t>
      </w:r>
      <w:r>
        <w:rPr>
          <w:color w:val="auto"/>
          <w:spacing w:val="2"/>
        </w:rPr>
        <w:t>（三）</w:t>
      </w:r>
      <w:r>
        <w:rPr>
          <w:color w:val="auto"/>
          <w:spacing w:val="1"/>
        </w:rPr>
        <w:t>以欺骗、贿赂等不正当手段取</w:t>
      </w:r>
      <w:r>
        <w:rPr>
          <w:color w:val="auto"/>
          <w:spacing w:val="-15"/>
        </w:rPr>
        <w:t>得资质认定的；”</w:t>
      </w:r>
    </w:p>
    <w:p>
      <w:pPr>
        <w:pStyle w:val="4"/>
        <w:spacing w:line="391" w:lineRule="auto"/>
        <w:ind w:right="268" w:firstLine="470"/>
        <w:jc w:val="both"/>
        <w:rPr>
          <w:color w:val="auto"/>
        </w:rPr>
      </w:pPr>
      <w:r>
        <w:rPr>
          <w:color w:val="auto"/>
        </w:rPr>
        <w:t>2</w:t>
      </w:r>
      <w:r>
        <w:rPr>
          <w:color w:val="auto"/>
          <w:spacing w:val="-14"/>
        </w:rPr>
        <w:t>、《行政许可法》第七十九条“被许可人以欺骗、贿赂等不正当手段取得行政许</w:t>
      </w:r>
      <w:r>
        <w:rPr>
          <w:color w:val="auto"/>
          <w:spacing w:val="-6"/>
        </w:rPr>
        <w:t>可的，行政机关应当依法给予行政处罚；取得的行政许可属于直接管辖公共安全、人身健康、生命财产安全事项的，申请人在三年内不得再次申请该行政许可；构成犯罪</w:t>
      </w:r>
      <w:r>
        <w:rPr>
          <w:color w:val="auto"/>
          <w:spacing w:val="-11"/>
        </w:rPr>
        <w:t>的，依法追究刑事责任。”</w:t>
      </w:r>
    </w:p>
    <w:p>
      <w:pPr>
        <w:pStyle w:val="2"/>
        <w:spacing w:line="302" w:lineRule="exact"/>
        <w:rPr>
          <w:color w:val="auto"/>
        </w:rPr>
      </w:pPr>
      <w:r>
        <w:rPr>
          <w:color w:val="auto"/>
        </w:rPr>
        <w:t>（二）裁量标准</w:t>
      </w:r>
    </w:p>
    <w:p>
      <w:pPr>
        <w:pStyle w:val="4"/>
        <w:spacing w:before="190"/>
        <w:ind w:left="591"/>
        <w:rPr>
          <w:color w:val="auto"/>
        </w:rPr>
      </w:pPr>
      <w:r>
        <w:rPr>
          <w:color w:val="auto"/>
        </w:rPr>
        <w:t>【一般】</w:t>
      </w:r>
    </w:p>
    <w:p>
      <w:pPr>
        <w:pStyle w:val="13"/>
        <w:numPr>
          <w:ilvl w:val="0"/>
          <w:numId w:val="112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有下列情形之一的：1、以欺骗手段取得资质认定的；2、以贿赂手段取得资质认定的；3、以其他不正当手段取得资质认定的。</w:t>
      </w:r>
    </w:p>
    <w:p>
      <w:pPr>
        <w:pStyle w:val="13"/>
        <w:numPr>
          <w:ilvl w:val="0"/>
          <w:numId w:val="112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撤销资质认定证书；该检验检测机构，三年内不得再次申请资质认定。</w:t>
      </w:r>
    </w:p>
    <w:p>
      <w:pPr>
        <w:pStyle w:val="4"/>
        <w:ind w:left="0"/>
        <w:rPr>
          <w:color w:val="auto"/>
        </w:rPr>
      </w:pPr>
    </w:p>
    <w:p>
      <w:pPr>
        <w:pStyle w:val="4"/>
        <w:spacing w:before="1"/>
        <w:ind w:left="0"/>
        <w:rPr>
          <w:color w:val="auto"/>
          <w:sz w:val="30"/>
        </w:rPr>
      </w:pPr>
    </w:p>
    <w:p>
      <w:pPr>
        <w:pStyle w:val="4"/>
        <w:tabs>
          <w:tab w:val="left" w:pos="1199"/>
        </w:tabs>
        <w:ind w:left="0" w:right="161"/>
        <w:jc w:val="center"/>
        <w:rPr>
          <w:rFonts w:hint="eastAsia" w:ascii="黑体" w:eastAsia="黑体"/>
          <w:color w:val="auto"/>
        </w:rPr>
      </w:pPr>
      <w:bookmarkStart w:id="1124" w:name="_bookmark561"/>
      <w:bookmarkEnd w:id="1124"/>
      <w:bookmarkStart w:id="1125" w:name="第十三章  特种设备监管"/>
      <w:bookmarkEnd w:id="1125"/>
      <w:r>
        <w:rPr>
          <w:rFonts w:hint="eastAsia" w:ascii="黑体" w:eastAsia="黑体"/>
          <w:color w:val="auto"/>
        </w:rPr>
        <w:t>第十三章</w:t>
      </w:r>
      <w:r>
        <w:rPr>
          <w:rFonts w:hint="eastAsia" w:ascii="黑体" w:eastAsia="黑体"/>
          <w:color w:val="auto"/>
        </w:rPr>
        <w:tab/>
      </w:r>
      <w:r>
        <w:rPr>
          <w:rFonts w:hint="eastAsia" w:ascii="黑体" w:eastAsia="黑体"/>
          <w:color w:val="auto"/>
        </w:rPr>
        <w:t>特种设备监管</w:t>
      </w:r>
    </w:p>
    <w:p>
      <w:pPr>
        <w:pStyle w:val="4"/>
        <w:ind w:left="0"/>
        <w:rPr>
          <w:rFonts w:ascii="黑体"/>
          <w:color w:val="auto"/>
        </w:rPr>
      </w:pPr>
    </w:p>
    <w:p>
      <w:pPr>
        <w:pStyle w:val="4"/>
        <w:spacing w:before="2"/>
        <w:ind w:left="0"/>
        <w:rPr>
          <w:rFonts w:ascii="黑体"/>
          <w:color w:val="auto"/>
          <w:sz w:val="30"/>
        </w:rPr>
      </w:pPr>
    </w:p>
    <w:p>
      <w:pPr>
        <w:pStyle w:val="2"/>
        <w:rPr>
          <w:color w:val="auto"/>
        </w:rPr>
      </w:pPr>
      <w:bookmarkStart w:id="1126" w:name="五百五十、未经许可从事特种设备生产活动"/>
      <w:bookmarkEnd w:id="1126"/>
      <w:bookmarkStart w:id="1127" w:name="_bookmark562"/>
      <w:bookmarkEnd w:id="1127"/>
      <w:r>
        <w:rPr>
          <w:color w:val="auto"/>
        </w:rPr>
        <w:t>五百五十、未经许可从事特种设备生产活动</w:t>
      </w:r>
    </w:p>
    <w:p>
      <w:pPr>
        <w:spacing w:before="192"/>
        <w:ind w:left="581" w:right="0" w:firstLine="0"/>
        <w:jc w:val="left"/>
        <w:rPr>
          <w:b/>
          <w:color w:val="auto"/>
          <w:sz w:val="24"/>
        </w:rPr>
      </w:pPr>
      <w:r>
        <w:rPr>
          <w:b/>
          <w:color w:val="auto"/>
          <w:sz w:val="24"/>
        </w:rPr>
        <w:t>（一）处罚依据</w:t>
      </w:r>
    </w:p>
    <w:p>
      <w:pPr>
        <w:pStyle w:val="4"/>
        <w:spacing w:before="191" w:line="391" w:lineRule="auto"/>
        <w:ind w:right="232" w:firstLine="470"/>
        <w:jc w:val="both"/>
        <w:rPr>
          <w:color w:val="auto"/>
        </w:rPr>
      </w:pPr>
      <w:r>
        <w:rPr>
          <w:color w:val="auto"/>
        </w:rPr>
        <w:t>《特种设备安全法》第七十四条“违反本法规定，未经许可从事特种设备生产活动的，责令停止生产，没收违法制造的特种设备，处十万元以上五十万元以下罚款； 有违法所得的，没收违法所得；已经实施安装、改造、修理的，责令恢复原状或者责令限期由取得许可的单位重新安装、改造、修理。”</w:t>
      </w:r>
    </w:p>
    <w:p>
      <w:pPr>
        <w:spacing w:after="0" w:line="391" w:lineRule="auto"/>
        <w:jc w:val="both"/>
        <w:rPr>
          <w:color w:val="auto"/>
        </w:rPr>
        <w:sectPr>
          <w:footerReference r:id="rId127" w:type="default"/>
          <w:footerReference r:id="rId128" w:type="even"/>
          <w:pgSz w:w="11910" w:h="16840"/>
          <w:pgMar w:top="1520" w:right="1260" w:bottom="1220" w:left="1420" w:header="0" w:footer="1034" w:gutter="0"/>
          <w:pgNumType w:start="530"/>
        </w:sectPr>
      </w:pPr>
    </w:p>
    <w:p>
      <w:pPr>
        <w:spacing w:before="39" w:line="391" w:lineRule="auto"/>
        <w:ind w:left="111" w:right="6957" w:firstLine="470"/>
        <w:jc w:val="left"/>
        <w:rPr>
          <w:color w:val="auto"/>
          <w:sz w:val="24"/>
        </w:rPr>
      </w:pPr>
      <w:r>
        <w:rPr>
          <w:b/>
          <w:color w:val="auto"/>
          <w:sz w:val="24"/>
        </w:rPr>
        <w:t>（二）裁量标准</w:t>
      </w:r>
      <w:r>
        <w:rPr>
          <w:color w:val="auto"/>
          <w:sz w:val="24"/>
        </w:rPr>
        <w:t>1、【较轻】</w:t>
      </w:r>
    </w:p>
    <w:p>
      <w:pPr>
        <w:pStyle w:val="13"/>
        <w:numPr>
          <w:ilvl w:val="0"/>
          <w:numId w:val="112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基本具备生产条件，未交付使用的。</w:t>
      </w:r>
    </w:p>
    <w:p>
      <w:pPr>
        <w:pStyle w:val="13"/>
        <w:numPr>
          <w:ilvl w:val="0"/>
          <w:numId w:val="112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6"/>
        </w:rPr>
        <w:t xml:space="preserve">没收违法制造的特种设备；处 </w:t>
      </w:r>
      <w:r>
        <w:rPr>
          <w:color w:val="auto"/>
        </w:rPr>
        <w:t>10</w:t>
      </w:r>
      <w:r>
        <w:rPr>
          <w:color w:val="auto"/>
          <w:spacing w:val="-20"/>
        </w:rPr>
        <w:t xml:space="preserve"> 万元以上 </w:t>
      </w:r>
      <w:r>
        <w:rPr>
          <w:color w:val="auto"/>
        </w:rPr>
        <w:t>15</w:t>
      </w:r>
      <w:r>
        <w:rPr>
          <w:color w:val="auto"/>
          <w:spacing w:val="-11"/>
        </w:rPr>
        <w:t xml:space="preserve"> 万元以下罚款；有违法所得的，没</w:t>
      </w:r>
      <w:r>
        <w:rPr>
          <w:color w:val="auto"/>
        </w:rPr>
        <w:t>收违法所得。</w:t>
      </w:r>
    </w:p>
    <w:p>
      <w:pPr>
        <w:pStyle w:val="4"/>
        <w:spacing w:before="4"/>
        <w:ind w:left="591"/>
        <w:rPr>
          <w:color w:val="auto"/>
        </w:rPr>
      </w:pPr>
      <w:r>
        <w:rPr>
          <w:color w:val="auto"/>
        </w:rPr>
        <w:t>2、【一般】</w:t>
      </w:r>
    </w:p>
    <w:p>
      <w:pPr>
        <w:pStyle w:val="13"/>
        <w:numPr>
          <w:ilvl w:val="0"/>
          <w:numId w:val="112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不具备生产条件，未交付使用。</w:t>
      </w:r>
    </w:p>
    <w:p>
      <w:pPr>
        <w:pStyle w:val="13"/>
        <w:numPr>
          <w:ilvl w:val="0"/>
          <w:numId w:val="112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6"/>
        </w:rPr>
        <w:t xml:space="preserve">没收违法制造的特种设备；处 </w:t>
      </w:r>
      <w:r>
        <w:rPr>
          <w:color w:val="auto"/>
        </w:rPr>
        <w:t>15</w:t>
      </w:r>
      <w:r>
        <w:rPr>
          <w:color w:val="auto"/>
          <w:spacing w:val="-20"/>
        </w:rPr>
        <w:t xml:space="preserve"> 万元以上 </w:t>
      </w:r>
      <w:r>
        <w:rPr>
          <w:color w:val="auto"/>
        </w:rPr>
        <w:t>20</w:t>
      </w:r>
      <w:r>
        <w:rPr>
          <w:color w:val="auto"/>
          <w:spacing w:val="-11"/>
        </w:rPr>
        <w:t xml:space="preserve"> 万元以下罚款；有违法所得的，没</w:t>
      </w:r>
      <w:r>
        <w:rPr>
          <w:color w:val="auto"/>
        </w:rPr>
        <w:t>收违法所得。</w:t>
      </w:r>
    </w:p>
    <w:p>
      <w:pPr>
        <w:pStyle w:val="4"/>
        <w:spacing w:before="4"/>
        <w:ind w:left="591"/>
        <w:rPr>
          <w:color w:val="auto"/>
        </w:rPr>
      </w:pPr>
      <w:r>
        <w:rPr>
          <w:color w:val="auto"/>
        </w:rPr>
        <w:t>3、【较重】</w:t>
      </w:r>
    </w:p>
    <w:p>
      <w:pPr>
        <w:pStyle w:val="13"/>
        <w:numPr>
          <w:ilvl w:val="0"/>
          <w:numId w:val="112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具备生产条件，已交付使用的。</w:t>
      </w:r>
    </w:p>
    <w:p>
      <w:pPr>
        <w:pStyle w:val="13"/>
        <w:numPr>
          <w:ilvl w:val="0"/>
          <w:numId w:val="112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6"/>
        </w:rPr>
        <w:t xml:space="preserve">没收违法制造的特种设备；处 </w:t>
      </w:r>
      <w:r>
        <w:rPr>
          <w:color w:val="auto"/>
        </w:rPr>
        <w:t>20</w:t>
      </w:r>
      <w:r>
        <w:rPr>
          <w:color w:val="auto"/>
          <w:spacing w:val="-20"/>
        </w:rPr>
        <w:t xml:space="preserve"> 万元以上 </w:t>
      </w:r>
      <w:r>
        <w:rPr>
          <w:color w:val="auto"/>
        </w:rPr>
        <w:t>30</w:t>
      </w:r>
      <w:r>
        <w:rPr>
          <w:color w:val="auto"/>
          <w:spacing w:val="-11"/>
        </w:rPr>
        <w:t xml:space="preserve"> 万元以下罚款；有违法所得的，没</w:t>
      </w:r>
      <w:r>
        <w:rPr>
          <w:color w:val="auto"/>
        </w:rPr>
        <w:t>收违法所得。</w:t>
      </w:r>
    </w:p>
    <w:p>
      <w:pPr>
        <w:pStyle w:val="4"/>
        <w:spacing w:before="5"/>
        <w:ind w:left="591"/>
        <w:rPr>
          <w:color w:val="auto"/>
        </w:rPr>
      </w:pPr>
      <w:r>
        <w:rPr>
          <w:color w:val="auto"/>
        </w:rPr>
        <w:t>4、【严重】</w:t>
      </w:r>
    </w:p>
    <w:p>
      <w:pPr>
        <w:pStyle w:val="13"/>
        <w:numPr>
          <w:ilvl w:val="0"/>
          <w:numId w:val="112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581"/>
        <w:rPr>
          <w:color w:val="auto"/>
        </w:rPr>
      </w:pPr>
      <w:r>
        <w:rPr>
          <w:color w:val="auto"/>
        </w:rPr>
        <w:t>不具备生产条件，已交付使用的。</w:t>
      </w:r>
    </w:p>
    <w:p>
      <w:pPr>
        <w:pStyle w:val="13"/>
        <w:numPr>
          <w:ilvl w:val="0"/>
          <w:numId w:val="112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68" w:firstLine="480"/>
        <w:rPr>
          <w:color w:val="auto"/>
        </w:rPr>
      </w:pPr>
      <w:r>
        <w:rPr>
          <w:color w:val="auto"/>
          <w:spacing w:val="-6"/>
        </w:rPr>
        <w:t xml:space="preserve">没收违法制造的特种设备；处 </w:t>
      </w:r>
      <w:r>
        <w:rPr>
          <w:color w:val="auto"/>
        </w:rPr>
        <w:t>30</w:t>
      </w:r>
      <w:r>
        <w:rPr>
          <w:color w:val="auto"/>
          <w:spacing w:val="-20"/>
        </w:rPr>
        <w:t xml:space="preserve"> 万元以上 </w:t>
      </w:r>
      <w:r>
        <w:rPr>
          <w:color w:val="auto"/>
        </w:rPr>
        <w:t>40</w:t>
      </w:r>
      <w:r>
        <w:rPr>
          <w:color w:val="auto"/>
          <w:spacing w:val="-11"/>
        </w:rPr>
        <w:t xml:space="preserve"> 万元以下罚款；有违法所得的，没</w:t>
      </w:r>
      <w:r>
        <w:rPr>
          <w:color w:val="auto"/>
        </w:rPr>
        <w:t>收违法所得。</w:t>
      </w:r>
    </w:p>
    <w:p>
      <w:pPr>
        <w:pStyle w:val="4"/>
        <w:spacing w:before="5"/>
        <w:ind w:left="591"/>
        <w:rPr>
          <w:color w:val="auto"/>
        </w:rPr>
      </w:pPr>
      <w:r>
        <w:rPr>
          <w:color w:val="auto"/>
        </w:rPr>
        <w:t>5、【特别严重】</w:t>
      </w:r>
    </w:p>
    <w:p>
      <w:pPr>
        <w:pStyle w:val="13"/>
        <w:numPr>
          <w:ilvl w:val="0"/>
          <w:numId w:val="1130"/>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造成严重不良后果或情节严重的。</w:t>
      </w:r>
    </w:p>
    <w:p>
      <w:pPr>
        <w:spacing w:after="0"/>
        <w:rPr>
          <w:color w:val="auto"/>
        </w:rPr>
        <w:sectPr>
          <w:pgSz w:w="11910" w:h="16840"/>
          <w:pgMar w:top="1520" w:right="1260" w:bottom="1220" w:left="1420" w:header="0" w:footer="1034" w:gutter="0"/>
        </w:sectPr>
      </w:pPr>
    </w:p>
    <w:p>
      <w:pPr>
        <w:pStyle w:val="13"/>
        <w:numPr>
          <w:ilvl w:val="0"/>
          <w:numId w:val="1130"/>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68" w:firstLine="480"/>
        <w:rPr>
          <w:color w:val="auto"/>
        </w:rPr>
      </w:pPr>
      <w:r>
        <w:rPr>
          <w:color w:val="auto"/>
          <w:spacing w:val="-6"/>
        </w:rPr>
        <w:t xml:space="preserve">没收违法制造的特种设备；处 </w:t>
      </w:r>
      <w:r>
        <w:rPr>
          <w:color w:val="auto"/>
        </w:rPr>
        <w:t>40</w:t>
      </w:r>
      <w:r>
        <w:rPr>
          <w:color w:val="auto"/>
          <w:spacing w:val="-20"/>
        </w:rPr>
        <w:t xml:space="preserve"> 万元以上 </w:t>
      </w:r>
      <w:r>
        <w:rPr>
          <w:color w:val="auto"/>
        </w:rPr>
        <w:t>50</w:t>
      </w:r>
      <w:r>
        <w:rPr>
          <w:color w:val="auto"/>
          <w:spacing w:val="-11"/>
        </w:rPr>
        <w:t xml:space="preserve"> 万元以下罚款；有违法所得的，没</w:t>
      </w:r>
      <w:r>
        <w:rPr>
          <w:color w:val="auto"/>
        </w:rPr>
        <w:t>收违法所得。</w:t>
      </w:r>
    </w:p>
    <w:p>
      <w:pPr>
        <w:pStyle w:val="2"/>
        <w:spacing w:before="2"/>
        <w:rPr>
          <w:color w:val="auto"/>
        </w:rPr>
      </w:pPr>
      <w:bookmarkStart w:id="1128" w:name="_bookmark563"/>
      <w:bookmarkEnd w:id="1128"/>
      <w:bookmarkStart w:id="1129" w:name="五百五十一、特种设备的设计文件未经鉴定，擅自用于制造"/>
      <w:bookmarkEnd w:id="1129"/>
      <w:r>
        <w:rPr>
          <w:color w:val="auto"/>
        </w:rPr>
        <w:t>五百五十一、特种设备的设计文件未经鉴定，擅自用于制造</w:t>
      </w:r>
    </w:p>
    <w:p>
      <w:pPr>
        <w:spacing w:before="194"/>
        <w:ind w:left="581" w:right="0" w:firstLine="0"/>
        <w:jc w:val="left"/>
        <w:rPr>
          <w:b/>
          <w:color w:val="auto"/>
          <w:sz w:val="24"/>
        </w:rPr>
      </w:pPr>
      <w:r>
        <w:rPr>
          <w:b/>
          <w:color w:val="auto"/>
          <w:sz w:val="24"/>
        </w:rPr>
        <w:t>（一）处罚依据</w:t>
      </w:r>
    </w:p>
    <w:p>
      <w:pPr>
        <w:pStyle w:val="4"/>
        <w:spacing w:before="192" w:line="391" w:lineRule="auto"/>
        <w:ind w:right="148" w:firstLine="470"/>
        <w:rPr>
          <w:color w:val="auto"/>
        </w:rPr>
      </w:pPr>
      <w:r>
        <w:rPr>
          <w:color w:val="auto"/>
          <w:spacing w:val="-12"/>
        </w:rPr>
        <w:t xml:space="preserve">《特种设备安全法》第七十五条“违反本法规定，特种设备的设计文件未经鉴定， </w:t>
      </w:r>
      <w:r>
        <w:rPr>
          <w:color w:val="auto"/>
          <w:spacing w:val="-4"/>
        </w:rPr>
        <w:t>擅自用于制造的，责令改正，没收违法制造的特种设备，处五万元以上五十万元以下罚款。”</w:t>
      </w:r>
    </w:p>
    <w:p>
      <w:pPr>
        <w:spacing w:before="0" w:line="388" w:lineRule="auto"/>
        <w:ind w:left="111" w:right="6957" w:firstLine="470"/>
        <w:jc w:val="left"/>
        <w:rPr>
          <w:color w:val="auto"/>
          <w:sz w:val="24"/>
        </w:rPr>
      </w:pPr>
      <w:r>
        <w:rPr>
          <w:b/>
          <w:color w:val="auto"/>
          <w:sz w:val="24"/>
        </w:rPr>
        <w:t>（二）裁量标准</w:t>
      </w:r>
      <w:r>
        <w:rPr>
          <w:color w:val="auto"/>
          <w:sz w:val="24"/>
        </w:rPr>
        <w:t>1、【较轻】</w:t>
      </w:r>
    </w:p>
    <w:p>
      <w:pPr>
        <w:pStyle w:val="13"/>
        <w:numPr>
          <w:ilvl w:val="0"/>
          <w:numId w:val="113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尚未制造出成品的。</w:t>
      </w:r>
    </w:p>
    <w:p>
      <w:pPr>
        <w:pStyle w:val="13"/>
        <w:numPr>
          <w:ilvl w:val="0"/>
          <w:numId w:val="113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5</w:t>
      </w:r>
      <w:r>
        <w:rPr>
          <w:color w:val="auto"/>
          <w:spacing w:val="-20"/>
        </w:rPr>
        <w:t xml:space="preserve"> 万元以上 </w:t>
      </w:r>
      <w:r>
        <w:rPr>
          <w:color w:val="auto"/>
        </w:rPr>
        <w:t>8</w:t>
      </w:r>
      <w:r>
        <w:rPr>
          <w:color w:val="auto"/>
          <w:spacing w:val="-10"/>
        </w:rPr>
        <w:t xml:space="preserve"> 万元以下罚款。</w:t>
      </w:r>
      <w:r>
        <w:rPr>
          <w:color w:val="auto"/>
        </w:rPr>
        <w:t>2</w:t>
      </w:r>
      <w:r>
        <w:rPr>
          <w:color w:val="auto"/>
          <w:spacing w:val="-24"/>
        </w:rPr>
        <w:t>、【一般】</w:t>
      </w:r>
    </w:p>
    <w:p>
      <w:pPr>
        <w:pStyle w:val="13"/>
        <w:numPr>
          <w:ilvl w:val="0"/>
          <w:numId w:val="113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已经制造出成品，尚未销售的。</w:t>
      </w:r>
    </w:p>
    <w:p>
      <w:pPr>
        <w:pStyle w:val="13"/>
        <w:numPr>
          <w:ilvl w:val="0"/>
          <w:numId w:val="113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152"/>
        <w:rPr>
          <w:color w:val="auto"/>
        </w:rPr>
      </w:pPr>
      <w:r>
        <w:rPr>
          <w:color w:val="auto"/>
          <w:spacing w:val="-30"/>
        </w:rPr>
        <w:t xml:space="preserve">处 </w:t>
      </w:r>
      <w:r>
        <w:rPr>
          <w:color w:val="auto"/>
        </w:rPr>
        <w:t>8</w:t>
      </w:r>
      <w:r>
        <w:rPr>
          <w:color w:val="auto"/>
          <w:spacing w:val="-20"/>
        </w:rPr>
        <w:t xml:space="preserve"> 万元以上 </w:t>
      </w:r>
      <w:r>
        <w:rPr>
          <w:color w:val="auto"/>
        </w:rPr>
        <w:t>15</w:t>
      </w:r>
      <w:r>
        <w:rPr>
          <w:color w:val="auto"/>
          <w:spacing w:val="-10"/>
        </w:rPr>
        <w:t xml:space="preserve"> 万元以下罚款。</w:t>
      </w:r>
      <w:r>
        <w:rPr>
          <w:color w:val="auto"/>
        </w:rPr>
        <w:t>3</w:t>
      </w:r>
      <w:r>
        <w:rPr>
          <w:color w:val="auto"/>
          <w:spacing w:val="-24"/>
        </w:rPr>
        <w:t>、【较重】</w:t>
      </w:r>
    </w:p>
    <w:p>
      <w:pPr>
        <w:pStyle w:val="13"/>
        <w:numPr>
          <w:ilvl w:val="0"/>
          <w:numId w:val="113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已经制造出成品，且已销售的。</w:t>
      </w:r>
    </w:p>
    <w:p>
      <w:pPr>
        <w:pStyle w:val="13"/>
        <w:numPr>
          <w:ilvl w:val="0"/>
          <w:numId w:val="113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30"/>
        </w:rPr>
        <w:t xml:space="preserve">处 </w:t>
      </w:r>
      <w:r>
        <w:rPr>
          <w:color w:val="auto"/>
        </w:rPr>
        <w:t>15</w:t>
      </w:r>
      <w:r>
        <w:rPr>
          <w:color w:val="auto"/>
          <w:spacing w:val="-20"/>
        </w:rPr>
        <w:t xml:space="preserve"> 万元以上 </w:t>
      </w:r>
      <w:r>
        <w:rPr>
          <w:color w:val="auto"/>
        </w:rPr>
        <w:t>30</w:t>
      </w:r>
      <w:r>
        <w:rPr>
          <w:color w:val="auto"/>
          <w:spacing w:val="-10"/>
        </w:rPr>
        <w:t xml:space="preserve"> 万元以下罚款。</w:t>
      </w:r>
      <w:r>
        <w:rPr>
          <w:color w:val="auto"/>
        </w:rPr>
        <w:t>4</w:t>
      </w:r>
      <w:r>
        <w:rPr>
          <w:color w:val="auto"/>
          <w:spacing w:val="-24"/>
        </w:rPr>
        <w:t>、【严重】</w:t>
      </w:r>
    </w:p>
    <w:p>
      <w:pPr>
        <w:pStyle w:val="13"/>
        <w:numPr>
          <w:ilvl w:val="0"/>
          <w:numId w:val="113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已制造、销售成品数量较多或违法行为持续时间较长的。</w:t>
      </w:r>
    </w:p>
    <w:p>
      <w:pPr>
        <w:pStyle w:val="13"/>
        <w:numPr>
          <w:ilvl w:val="0"/>
          <w:numId w:val="1134"/>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5032"/>
        <w:rPr>
          <w:color w:val="auto"/>
        </w:rPr>
      </w:pPr>
      <w:r>
        <w:rPr>
          <w:color w:val="auto"/>
          <w:spacing w:val="-30"/>
        </w:rPr>
        <w:t xml:space="preserve">处 </w:t>
      </w:r>
      <w:r>
        <w:rPr>
          <w:color w:val="auto"/>
        </w:rPr>
        <w:t>30</w:t>
      </w:r>
      <w:r>
        <w:rPr>
          <w:color w:val="auto"/>
          <w:spacing w:val="-20"/>
        </w:rPr>
        <w:t xml:space="preserve"> 万元以上 </w:t>
      </w:r>
      <w:r>
        <w:rPr>
          <w:color w:val="auto"/>
        </w:rPr>
        <w:t>40</w:t>
      </w:r>
      <w:r>
        <w:rPr>
          <w:color w:val="auto"/>
          <w:spacing w:val="-10"/>
        </w:rPr>
        <w:t xml:space="preserve"> 万元以下罚款。</w:t>
      </w:r>
      <w:r>
        <w:rPr>
          <w:color w:val="auto"/>
        </w:rPr>
        <w:t>5</w:t>
      </w:r>
      <w:r>
        <w:rPr>
          <w:color w:val="auto"/>
          <w:spacing w:val="-18"/>
        </w:rPr>
        <w:t>、【特别严重】</w:t>
      </w:r>
    </w:p>
    <w:p>
      <w:pPr>
        <w:pStyle w:val="13"/>
        <w:numPr>
          <w:ilvl w:val="0"/>
          <w:numId w:val="113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81"/>
        <w:rPr>
          <w:color w:val="auto"/>
        </w:rPr>
      </w:pPr>
      <w:r>
        <w:rPr>
          <w:color w:val="auto"/>
        </w:rPr>
        <w:t>造成不良后果或情节严重的。</w:t>
      </w:r>
    </w:p>
    <w:p>
      <w:pPr>
        <w:pStyle w:val="13"/>
        <w:numPr>
          <w:ilvl w:val="0"/>
          <w:numId w:val="113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40 万元以上 50 万元以下罚款。</w:t>
      </w:r>
    </w:p>
    <w:p>
      <w:pPr>
        <w:pStyle w:val="2"/>
        <w:spacing w:before="192"/>
        <w:rPr>
          <w:color w:val="auto"/>
        </w:rPr>
      </w:pPr>
      <w:bookmarkStart w:id="1130" w:name="五百五十二、未进行型式试验，逾期未改正"/>
      <w:bookmarkEnd w:id="1130"/>
      <w:bookmarkStart w:id="1131" w:name="_bookmark564"/>
      <w:bookmarkEnd w:id="1131"/>
      <w:r>
        <w:rPr>
          <w:color w:val="auto"/>
        </w:rPr>
        <w:t>五百五十二、未进行型式试验，逾期未改正</w:t>
      </w:r>
    </w:p>
    <w:p>
      <w:pPr>
        <w:spacing w:before="194"/>
        <w:ind w:left="346" w:right="0" w:firstLine="0"/>
        <w:jc w:val="left"/>
        <w:rPr>
          <w:b/>
          <w:color w:val="auto"/>
          <w:sz w:val="24"/>
        </w:rPr>
      </w:pPr>
      <w:r>
        <w:rPr>
          <w:b/>
          <w:color w:val="auto"/>
          <w:sz w:val="24"/>
        </w:rPr>
        <w:t>（一）处罚依据</w:t>
      </w:r>
    </w:p>
    <w:p>
      <w:pPr>
        <w:pStyle w:val="4"/>
        <w:spacing w:before="191" w:line="388" w:lineRule="auto"/>
        <w:ind w:right="234" w:firstLine="470"/>
        <w:rPr>
          <w:color w:val="auto"/>
        </w:rPr>
      </w:pPr>
      <w:r>
        <w:rPr>
          <w:color w:val="auto"/>
        </w:rPr>
        <w:t>《特种设备安全法》第七十六条“违反本法规定，未进行型式试验的，责令限期改正；逾期未改正的，处三万元以上三十万元以下罚款。”</w:t>
      </w:r>
    </w:p>
    <w:p>
      <w:pPr>
        <w:spacing w:before="5" w:line="388" w:lineRule="auto"/>
        <w:ind w:left="111" w:right="6957" w:firstLine="470"/>
        <w:jc w:val="left"/>
        <w:rPr>
          <w:color w:val="auto"/>
          <w:sz w:val="24"/>
        </w:rPr>
      </w:pPr>
      <w:r>
        <w:rPr>
          <w:b/>
          <w:color w:val="auto"/>
          <w:sz w:val="24"/>
        </w:rPr>
        <w:t>（二）裁量标准</w:t>
      </w:r>
      <w:r>
        <w:rPr>
          <w:color w:val="auto"/>
          <w:sz w:val="24"/>
        </w:rPr>
        <w:t>1、【较轻】</w:t>
      </w:r>
    </w:p>
    <w:p>
      <w:pPr>
        <w:pStyle w:val="13"/>
        <w:numPr>
          <w:ilvl w:val="0"/>
          <w:numId w:val="113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产品、部件尚未销售的。</w:t>
      </w:r>
    </w:p>
    <w:p>
      <w:pPr>
        <w:pStyle w:val="13"/>
        <w:numPr>
          <w:ilvl w:val="0"/>
          <w:numId w:val="113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3</w:t>
      </w:r>
      <w:r>
        <w:rPr>
          <w:color w:val="auto"/>
          <w:spacing w:val="-20"/>
        </w:rPr>
        <w:t xml:space="preserve"> 万元以上 </w:t>
      </w:r>
      <w:r>
        <w:rPr>
          <w:color w:val="auto"/>
        </w:rPr>
        <w:t>5</w:t>
      </w:r>
      <w:r>
        <w:rPr>
          <w:color w:val="auto"/>
          <w:spacing w:val="-10"/>
        </w:rPr>
        <w:t xml:space="preserve"> 万元以下罚款。</w:t>
      </w:r>
      <w:r>
        <w:rPr>
          <w:color w:val="auto"/>
        </w:rPr>
        <w:t>2</w:t>
      </w:r>
      <w:r>
        <w:rPr>
          <w:color w:val="auto"/>
          <w:spacing w:val="-24"/>
        </w:rPr>
        <w:t>、【一般】</w:t>
      </w:r>
    </w:p>
    <w:p>
      <w:pPr>
        <w:pStyle w:val="13"/>
        <w:numPr>
          <w:ilvl w:val="0"/>
          <w:numId w:val="113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81"/>
        <w:rPr>
          <w:color w:val="auto"/>
        </w:rPr>
      </w:pPr>
      <w:r>
        <w:rPr>
          <w:color w:val="auto"/>
        </w:rPr>
        <w:t>产品、部件已经销售，有证据证明尚未投入使用的。</w:t>
      </w:r>
    </w:p>
    <w:p>
      <w:pPr>
        <w:pStyle w:val="13"/>
        <w:numPr>
          <w:ilvl w:val="0"/>
          <w:numId w:val="113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152"/>
        <w:rPr>
          <w:color w:val="auto"/>
        </w:rPr>
      </w:pPr>
      <w:r>
        <w:rPr>
          <w:color w:val="auto"/>
          <w:spacing w:val="-30"/>
        </w:rPr>
        <w:t xml:space="preserve">处 </w:t>
      </w:r>
      <w:r>
        <w:rPr>
          <w:color w:val="auto"/>
        </w:rPr>
        <w:t>5</w:t>
      </w:r>
      <w:r>
        <w:rPr>
          <w:color w:val="auto"/>
          <w:spacing w:val="-20"/>
        </w:rPr>
        <w:t xml:space="preserve"> 万元以上 </w:t>
      </w:r>
      <w:r>
        <w:rPr>
          <w:color w:val="auto"/>
        </w:rPr>
        <w:t>10</w:t>
      </w:r>
      <w:r>
        <w:rPr>
          <w:color w:val="auto"/>
          <w:spacing w:val="-10"/>
        </w:rPr>
        <w:t xml:space="preserve"> 万元以下罚款。</w:t>
      </w:r>
      <w:r>
        <w:rPr>
          <w:color w:val="auto"/>
        </w:rPr>
        <w:t>3</w:t>
      </w:r>
      <w:r>
        <w:rPr>
          <w:color w:val="auto"/>
          <w:spacing w:val="-24"/>
        </w:rPr>
        <w:t>、【较重】</w:t>
      </w:r>
    </w:p>
    <w:p>
      <w:pPr>
        <w:pStyle w:val="13"/>
        <w:numPr>
          <w:ilvl w:val="0"/>
          <w:numId w:val="113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81"/>
        <w:rPr>
          <w:color w:val="auto"/>
        </w:rPr>
      </w:pPr>
      <w:r>
        <w:rPr>
          <w:color w:val="auto"/>
        </w:rPr>
        <w:t>产品、部件已经销售，且有证据证明已投入使用的。</w:t>
      </w:r>
    </w:p>
    <w:p>
      <w:pPr>
        <w:pStyle w:val="13"/>
        <w:numPr>
          <w:ilvl w:val="0"/>
          <w:numId w:val="113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42" w:hanging="10"/>
        <w:rPr>
          <w:color w:val="auto"/>
        </w:rPr>
      </w:pPr>
      <w:r>
        <w:rPr>
          <w:color w:val="auto"/>
          <w:spacing w:val="-30"/>
        </w:rPr>
        <w:t xml:space="preserve">处 </w:t>
      </w:r>
      <w:r>
        <w:rPr>
          <w:color w:val="auto"/>
        </w:rPr>
        <w:t>10</w:t>
      </w:r>
      <w:r>
        <w:rPr>
          <w:color w:val="auto"/>
          <w:spacing w:val="-20"/>
        </w:rPr>
        <w:t xml:space="preserve"> 万元以上 </w:t>
      </w:r>
      <w:r>
        <w:rPr>
          <w:color w:val="auto"/>
        </w:rPr>
        <w:t>20</w:t>
      </w:r>
      <w:r>
        <w:rPr>
          <w:color w:val="auto"/>
          <w:spacing w:val="-10"/>
        </w:rPr>
        <w:t xml:space="preserve"> 万元以下罚款。</w:t>
      </w:r>
      <w:r>
        <w:rPr>
          <w:color w:val="auto"/>
        </w:rPr>
        <w:t>4</w:t>
      </w:r>
      <w:r>
        <w:rPr>
          <w:color w:val="auto"/>
          <w:spacing w:val="-24"/>
        </w:rPr>
        <w:t>、【严重】</w:t>
      </w:r>
    </w:p>
    <w:p>
      <w:pPr>
        <w:spacing w:after="0" w:line="388" w:lineRule="auto"/>
        <w:rPr>
          <w:color w:val="auto"/>
        </w:rPr>
        <w:sectPr>
          <w:footerReference r:id="rId129" w:type="default"/>
          <w:footerReference r:id="rId130" w:type="even"/>
          <w:pgSz w:w="11910" w:h="16840"/>
          <w:pgMar w:top="1520" w:right="1260" w:bottom="1720" w:left="1420" w:header="0" w:footer="1526" w:gutter="0"/>
          <w:pgNumType w:start="533"/>
        </w:sectPr>
      </w:pPr>
    </w:p>
    <w:p>
      <w:pPr>
        <w:pStyle w:val="4"/>
        <w:spacing w:before="39"/>
        <w:ind w:left="581"/>
        <w:rPr>
          <w:color w:val="auto"/>
        </w:rPr>
      </w:pPr>
      <w:r>
        <w:rPr>
          <w:color w:val="auto"/>
        </w:rPr>
        <w:t>产品或部件已经销售，且有证据证明已投入使用存在问题的。</w:t>
      </w:r>
    </w:p>
    <w:p>
      <w:pPr>
        <w:pStyle w:val="4"/>
        <w:spacing w:before="195"/>
        <w:ind w:left="591"/>
        <w:rPr>
          <w:color w:val="auto"/>
        </w:rPr>
      </w:pPr>
      <w:r>
        <w:rPr>
          <w:color w:val="auto"/>
        </w:rPr>
        <w:t>（2）处罚标准</w:t>
      </w:r>
    </w:p>
    <w:p>
      <w:pPr>
        <w:pStyle w:val="4"/>
        <w:spacing w:before="191" w:line="388" w:lineRule="auto"/>
        <w:ind w:left="591" w:right="5042" w:hanging="10"/>
        <w:rPr>
          <w:color w:val="auto"/>
        </w:rPr>
      </w:pPr>
      <w:r>
        <w:rPr>
          <w:color w:val="auto"/>
          <w:spacing w:val="-30"/>
        </w:rPr>
        <w:t xml:space="preserve">处 </w:t>
      </w:r>
      <w:r>
        <w:rPr>
          <w:color w:val="auto"/>
        </w:rPr>
        <w:t>20</w:t>
      </w:r>
      <w:r>
        <w:rPr>
          <w:color w:val="auto"/>
          <w:spacing w:val="-20"/>
        </w:rPr>
        <w:t xml:space="preserve"> 万元以上 </w:t>
      </w:r>
      <w:r>
        <w:rPr>
          <w:color w:val="auto"/>
        </w:rPr>
        <w:t>25</w:t>
      </w:r>
      <w:r>
        <w:rPr>
          <w:color w:val="auto"/>
          <w:spacing w:val="-10"/>
        </w:rPr>
        <w:t xml:space="preserve"> 万元以下罚款。</w:t>
      </w:r>
      <w:r>
        <w:rPr>
          <w:color w:val="auto"/>
        </w:rPr>
        <w:t>5</w:t>
      </w:r>
      <w:r>
        <w:rPr>
          <w:color w:val="auto"/>
          <w:spacing w:val="-18"/>
        </w:rPr>
        <w:t>、【特别严重】</w:t>
      </w:r>
    </w:p>
    <w:p>
      <w:pPr>
        <w:pStyle w:val="13"/>
        <w:numPr>
          <w:ilvl w:val="0"/>
          <w:numId w:val="113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已造成不良后果的。</w:t>
      </w:r>
    </w:p>
    <w:p>
      <w:pPr>
        <w:pStyle w:val="13"/>
        <w:numPr>
          <w:ilvl w:val="0"/>
          <w:numId w:val="113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处 25 万元以上 30 万元以下罚款。</w:t>
      </w:r>
    </w:p>
    <w:p>
      <w:pPr>
        <w:pStyle w:val="2"/>
        <w:spacing w:before="192" w:line="388" w:lineRule="auto"/>
        <w:ind w:left="111" w:right="237" w:firstLine="480"/>
        <w:rPr>
          <w:color w:val="auto"/>
        </w:rPr>
      </w:pPr>
      <w:bookmarkStart w:id="1132" w:name="五百五十三、特种设备出厂时，未按照安全技术规范的要求随附相关技术资料和文件，逾期"/>
      <w:bookmarkEnd w:id="1132"/>
      <w:bookmarkStart w:id="1133" w:name="_bookmark565"/>
      <w:bookmarkEnd w:id="1133"/>
      <w:r>
        <w:rPr>
          <w:color w:val="auto"/>
          <w:spacing w:val="-8"/>
        </w:rPr>
        <w:t>五百五十三、特种设备出厂时，未按照安全技术规范的要求随附相关技术资料和文件，逾期未改正</w:t>
      </w:r>
    </w:p>
    <w:p>
      <w:pPr>
        <w:spacing w:before="5"/>
        <w:ind w:left="346" w:right="0" w:firstLine="0"/>
        <w:jc w:val="left"/>
        <w:rPr>
          <w:b/>
          <w:color w:val="auto"/>
          <w:sz w:val="24"/>
        </w:rPr>
      </w:pPr>
      <w:r>
        <w:rPr>
          <w:b/>
          <w:color w:val="auto"/>
          <w:w w:val="95"/>
          <w:sz w:val="24"/>
        </w:rPr>
        <w:t>（一）处罚依据</w:t>
      </w:r>
    </w:p>
    <w:p>
      <w:pPr>
        <w:pStyle w:val="4"/>
        <w:spacing w:before="191" w:line="391" w:lineRule="auto"/>
        <w:ind w:right="232" w:firstLine="470"/>
        <w:jc w:val="both"/>
        <w:rPr>
          <w:color w:val="auto"/>
        </w:rPr>
      </w:pPr>
      <w:r>
        <w:rPr>
          <w:color w:val="auto"/>
          <w:spacing w:val="-5"/>
        </w:rPr>
        <w:t>《特种设备安全法》第七十七条“违反本法规定，特种设备出厂时，未按照安全</w:t>
      </w:r>
      <w:r>
        <w:rPr>
          <w:color w:val="auto"/>
          <w:spacing w:val="-8"/>
        </w:rPr>
        <w:t>技术规范的要求随附相关技术资料和文件的，责令限期改正；逾期未改正的，责令停</w:t>
      </w:r>
      <w:r>
        <w:rPr>
          <w:color w:val="auto"/>
          <w:spacing w:val="-9"/>
        </w:rPr>
        <w:t>止制造、销售，处二万元以上二十万元以下罚款；有违法所得的，没收违法所得。”</w:t>
      </w:r>
    </w:p>
    <w:p>
      <w:pPr>
        <w:spacing w:before="0" w:line="388" w:lineRule="auto"/>
        <w:ind w:left="111" w:right="6948" w:firstLine="480"/>
        <w:jc w:val="left"/>
        <w:rPr>
          <w:color w:val="auto"/>
          <w:sz w:val="24"/>
        </w:rPr>
      </w:pPr>
      <w:r>
        <w:rPr>
          <w:b/>
          <w:color w:val="auto"/>
          <w:sz w:val="24"/>
        </w:rPr>
        <w:t>（二）裁量标准</w:t>
      </w:r>
      <w:r>
        <w:rPr>
          <w:color w:val="auto"/>
          <w:sz w:val="24"/>
        </w:rPr>
        <w:t>1、【较轻】</w:t>
      </w:r>
    </w:p>
    <w:p>
      <w:pPr>
        <w:pStyle w:val="13"/>
        <w:numPr>
          <w:ilvl w:val="0"/>
          <w:numId w:val="1140"/>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逾期后，七日内改正的。</w:t>
      </w:r>
    </w:p>
    <w:p>
      <w:pPr>
        <w:pStyle w:val="13"/>
        <w:numPr>
          <w:ilvl w:val="0"/>
          <w:numId w:val="114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5</w:t>
      </w:r>
      <w:r>
        <w:rPr>
          <w:color w:val="auto"/>
          <w:spacing w:val="-10"/>
        </w:rPr>
        <w:t xml:space="preserve"> 万元以下罚款。</w:t>
      </w:r>
      <w:r>
        <w:rPr>
          <w:color w:val="auto"/>
        </w:rPr>
        <w:t>2</w:t>
      </w:r>
      <w:r>
        <w:rPr>
          <w:color w:val="auto"/>
          <w:spacing w:val="-24"/>
        </w:rPr>
        <w:t>、【一般】</w:t>
      </w:r>
    </w:p>
    <w:p>
      <w:pPr>
        <w:pStyle w:val="13"/>
        <w:numPr>
          <w:ilvl w:val="0"/>
          <w:numId w:val="114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逾期后，七日以上十四日以内改正的。</w:t>
      </w:r>
    </w:p>
    <w:p>
      <w:pPr>
        <w:pStyle w:val="13"/>
        <w:numPr>
          <w:ilvl w:val="0"/>
          <w:numId w:val="114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5</w:t>
      </w:r>
      <w:r>
        <w:rPr>
          <w:color w:val="auto"/>
          <w:spacing w:val="-20"/>
        </w:rPr>
        <w:t xml:space="preserve"> 万元以上 </w:t>
      </w:r>
      <w:r>
        <w:rPr>
          <w:color w:val="auto"/>
        </w:rPr>
        <w:t>8</w:t>
      </w:r>
      <w:r>
        <w:rPr>
          <w:color w:val="auto"/>
          <w:spacing w:val="-10"/>
        </w:rPr>
        <w:t xml:space="preserve"> 万元以下罚款。</w:t>
      </w:r>
      <w:r>
        <w:rPr>
          <w:color w:val="auto"/>
        </w:rPr>
        <w:t>3</w:t>
      </w:r>
      <w:r>
        <w:rPr>
          <w:color w:val="auto"/>
          <w:spacing w:val="-24"/>
        </w:rPr>
        <w:t>、【较重】</w:t>
      </w:r>
    </w:p>
    <w:p>
      <w:pPr>
        <w:pStyle w:val="13"/>
        <w:numPr>
          <w:ilvl w:val="0"/>
          <w:numId w:val="114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逾期后，十四日以上三十日以内改正的。</w:t>
      </w:r>
    </w:p>
    <w:p>
      <w:pPr>
        <w:spacing w:after="0"/>
        <w:rPr>
          <w:color w:val="auto"/>
        </w:rPr>
        <w:sectPr>
          <w:pgSz w:w="11910" w:h="16840"/>
          <w:pgMar w:top="1520" w:right="1260" w:bottom="1220" w:left="1420" w:header="0" w:footer="1034" w:gutter="0"/>
        </w:sectPr>
      </w:pPr>
    </w:p>
    <w:p>
      <w:pPr>
        <w:pStyle w:val="13"/>
        <w:numPr>
          <w:ilvl w:val="0"/>
          <w:numId w:val="1142"/>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162" w:hanging="10"/>
        <w:rPr>
          <w:color w:val="auto"/>
        </w:rPr>
      </w:pPr>
      <w:r>
        <w:rPr>
          <w:color w:val="auto"/>
          <w:spacing w:val="-30"/>
        </w:rPr>
        <w:t xml:space="preserve">处 </w:t>
      </w:r>
      <w:r>
        <w:rPr>
          <w:color w:val="auto"/>
        </w:rPr>
        <w:t>8</w:t>
      </w:r>
      <w:r>
        <w:rPr>
          <w:color w:val="auto"/>
          <w:spacing w:val="-20"/>
        </w:rPr>
        <w:t xml:space="preserve"> 万元以上 </w:t>
      </w:r>
      <w:r>
        <w:rPr>
          <w:color w:val="auto"/>
        </w:rPr>
        <w:t>12</w:t>
      </w:r>
      <w:r>
        <w:rPr>
          <w:color w:val="auto"/>
          <w:spacing w:val="-10"/>
        </w:rPr>
        <w:t xml:space="preserve"> 万元以下罚款。</w:t>
      </w:r>
      <w:r>
        <w:rPr>
          <w:color w:val="auto"/>
        </w:rPr>
        <w:t>4</w:t>
      </w:r>
      <w:r>
        <w:rPr>
          <w:color w:val="auto"/>
          <w:spacing w:val="-24"/>
        </w:rPr>
        <w:t>、【严重】</w:t>
      </w:r>
    </w:p>
    <w:p>
      <w:pPr>
        <w:pStyle w:val="13"/>
        <w:numPr>
          <w:ilvl w:val="0"/>
          <w:numId w:val="114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逾期后，三十日以上六十日以内改正的。</w:t>
      </w:r>
    </w:p>
    <w:p>
      <w:pPr>
        <w:pStyle w:val="13"/>
        <w:numPr>
          <w:ilvl w:val="0"/>
          <w:numId w:val="114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042" w:hanging="10"/>
        <w:rPr>
          <w:color w:val="auto"/>
        </w:rPr>
      </w:pPr>
      <w:r>
        <w:rPr>
          <w:color w:val="auto"/>
          <w:spacing w:val="-30"/>
        </w:rPr>
        <w:t xml:space="preserve">处 </w:t>
      </w:r>
      <w:r>
        <w:rPr>
          <w:color w:val="auto"/>
        </w:rPr>
        <w:t>12</w:t>
      </w:r>
      <w:r>
        <w:rPr>
          <w:color w:val="auto"/>
          <w:spacing w:val="-20"/>
        </w:rPr>
        <w:t xml:space="preserve"> 万元以上 </w:t>
      </w:r>
      <w:r>
        <w:rPr>
          <w:color w:val="auto"/>
        </w:rPr>
        <w:t>16</w:t>
      </w:r>
      <w:r>
        <w:rPr>
          <w:color w:val="auto"/>
          <w:spacing w:val="-10"/>
        </w:rPr>
        <w:t xml:space="preserve"> 万元以下罚款。</w:t>
      </w:r>
      <w:r>
        <w:rPr>
          <w:color w:val="auto"/>
        </w:rPr>
        <w:t>5</w:t>
      </w:r>
      <w:r>
        <w:rPr>
          <w:color w:val="auto"/>
          <w:spacing w:val="-18"/>
        </w:rPr>
        <w:t>、【特别严重】</w:t>
      </w:r>
    </w:p>
    <w:p>
      <w:pPr>
        <w:pStyle w:val="13"/>
        <w:numPr>
          <w:ilvl w:val="0"/>
          <w:numId w:val="114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逾期后，六十日以上改正或拒不改正的。</w:t>
      </w:r>
    </w:p>
    <w:p>
      <w:pPr>
        <w:pStyle w:val="13"/>
        <w:numPr>
          <w:ilvl w:val="0"/>
          <w:numId w:val="114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81"/>
        <w:jc w:val="both"/>
        <w:rPr>
          <w:color w:val="auto"/>
        </w:rPr>
      </w:pPr>
      <w:r>
        <w:rPr>
          <w:color w:val="auto"/>
          <w:spacing w:val="-30"/>
        </w:rPr>
        <w:t xml:space="preserve">处 </w:t>
      </w:r>
      <w:r>
        <w:rPr>
          <w:color w:val="auto"/>
        </w:rPr>
        <w:t>16</w:t>
      </w:r>
      <w:r>
        <w:rPr>
          <w:color w:val="auto"/>
          <w:spacing w:val="-20"/>
        </w:rPr>
        <w:t xml:space="preserve"> 万元以上 </w:t>
      </w:r>
      <w:r>
        <w:rPr>
          <w:color w:val="auto"/>
        </w:rPr>
        <w:t>20</w:t>
      </w:r>
      <w:r>
        <w:rPr>
          <w:color w:val="auto"/>
          <w:spacing w:val="-8"/>
        </w:rPr>
        <w:t xml:space="preserve"> 万元以下罚款。</w:t>
      </w:r>
    </w:p>
    <w:p>
      <w:pPr>
        <w:pStyle w:val="2"/>
        <w:spacing w:before="191" w:line="391" w:lineRule="auto"/>
        <w:ind w:left="111" w:right="235" w:firstLine="480"/>
        <w:jc w:val="both"/>
        <w:rPr>
          <w:color w:val="auto"/>
        </w:rPr>
      </w:pPr>
      <w:bookmarkStart w:id="1134" w:name="_bookmark566"/>
      <w:bookmarkEnd w:id="1134"/>
      <w:bookmarkStart w:id="1135" w:name="五百五十四、特种设备安装、改造、修理的施工单位在施工前未书面告知负责特种设备安全"/>
      <w:bookmarkEnd w:id="1135"/>
      <w:r>
        <w:rPr>
          <w:color w:val="auto"/>
          <w:spacing w:val="-7"/>
        </w:rPr>
        <w:t>五百五十四、特种设备安装、改造、修理的施工单位在施工前未书面告知负责特</w:t>
      </w:r>
      <w:r>
        <w:rPr>
          <w:color w:val="auto"/>
          <w:spacing w:val="-11"/>
        </w:rPr>
        <w:t>种设备安全监督管理的部门即行施工，或者在验收后三十日内未将相关技术资料和文件移交特种设备使用单位，逾期未改正</w:t>
      </w:r>
    </w:p>
    <w:p>
      <w:pPr>
        <w:spacing w:before="0" w:line="304" w:lineRule="exact"/>
        <w:ind w:left="58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spacing w:val="-5"/>
        </w:rPr>
        <w:t>《特种设备安全法》第七十八条“违反本法规定，特种设备安装、改造、修理的</w:t>
      </w:r>
      <w:r>
        <w:rPr>
          <w:color w:val="auto"/>
          <w:spacing w:val="-6"/>
        </w:rPr>
        <w:t>施工单位在施工前未书面告知负责特种设备安全监督管理的部门即行施工的，或者在</w:t>
      </w:r>
      <w:r>
        <w:rPr>
          <w:color w:val="auto"/>
          <w:spacing w:val="-7"/>
        </w:rPr>
        <w:t xml:space="preserve">验收后三十日内未将相关技术资料和文件移交特种设备使用单位的，责令限期改正； </w:t>
      </w:r>
      <w:r>
        <w:rPr>
          <w:color w:val="auto"/>
        </w:rPr>
        <w:t>逾期未改正的，处一万元以上十万元以下罚款。”</w:t>
      </w:r>
    </w:p>
    <w:p>
      <w:pPr>
        <w:numPr>
          <w:ilvl w:val="0"/>
          <w:numId w:val="180"/>
        </w:numPr>
        <w:spacing w:before="0" w:line="388" w:lineRule="auto"/>
        <w:ind w:left="591" w:leftChars="0" w:right="6948" w:firstLine="0" w:firstLineChars="0"/>
        <w:jc w:val="left"/>
        <w:rPr>
          <w:b/>
          <w:color w:val="auto"/>
          <w:sz w:val="24"/>
        </w:rPr>
      </w:pPr>
      <w:r>
        <w:rPr>
          <w:b/>
          <w:color w:val="auto"/>
          <w:sz w:val="24"/>
        </w:rPr>
        <w:t>裁量标准</w:t>
      </w:r>
    </w:p>
    <w:p>
      <w:pPr>
        <w:keepNext w:val="0"/>
        <w:keepLines w:val="0"/>
        <w:widowControl/>
        <w:suppressLineNumbers w:val="0"/>
        <w:ind w:firstLine="720" w:firstLineChars="300"/>
        <w:jc w:val="left"/>
        <w:rPr>
          <w:rFonts w:hint="default" w:eastAsia="宋体"/>
          <w:color w:val="auto"/>
          <w:sz w:val="24"/>
          <w:lang w:val="en-US" w:eastAsia="zh-CN"/>
        </w:rPr>
      </w:pPr>
      <w:r>
        <w:rPr>
          <w:rFonts w:hint="eastAsia"/>
          <w:color w:val="auto"/>
          <w:sz w:val="24"/>
          <w:lang w:val="en-US" w:eastAsia="zh-CN"/>
        </w:rPr>
        <w:t>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numPr>
          <w:ilvl w:val="0"/>
          <w:numId w:val="0"/>
        </w:numPr>
        <w:spacing w:before="0" w:line="388"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13"/>
        <w:numPr>
          <w:ilvl w:val="0"/>
          <w:numId w:val="1145"/>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逾期后，七日内改正的。</w:t>
      </w:r>
    </w:p>
    <w:p>
      <w:pPr>
        <w:pStyle w:val="13"/>
        <w:numPr>
          <w:ilvl w:val="0"/>
          <w:numId w:val="114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rFonts w:hint="eastAsia"/>
          <w:color w:val="auto"/>
          <w:lang w:val="en-US" w:eastAsia="zh-CN"/>
        </w:rPr>
        <w:t>3</w:t>
      </w:r>
      <w:r>
        <w:rPr>
          <w:color w:val="auto"/>
          <w:spacing w:val="-24"/>
        </w:rPr>
        <w:t>、【一般】</w:t>
      </w:r>
    </w:p>
    <w:p>
      <w:pPr>
        <w:pStyle w:val="4"/>
        <w:spacing w:before="39"/>
        <w:ind w:left="591"/>
        <w:rPr>
          <w:color w:val="auto"/>
        </w:rPr>
      </w:pPr>
      <w:r>
        <w:rPr>
          <w:color w:val="auto"/>
        </w:rPr>
        <w:t>逾期后，七日以上十四日以内改正的。</w:t>
      </w:r>
    </w:p>
    <w:p>
      <w:pPr>
        <w:pStyle w:val="4"/>
        <w:spacing w:before="195"/>
        <w:ind w:left="591"/>
        <w:rPr>
          <w:color w:val="auto"/>
        </w:rPr>
      </w:pPr>
      <w:r>
        <w:rPr>
          <w:color w:val="auto"/>
        </w:rPr>
        <w:t>（2）处罚标准</w:t>
      </w:r>
    </w:p>
    <w:p>
      <w:pPr>
        <w:pStyle w:val="4"/>
        <w:spacing w:before="191" w:line="388"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rFonts w:hint="eastAsia"/>
          <w:color w:val="auto"/>
          <w:lang w:val="en-US" w:eastAsia="zh-CN"/>
        </w:rPr>
        <w:t>4</w:t>
      </w:r>
      <w:r>
        <w:rPr>
          <w:color w:val="auto"/>
          <w:spacing w:val="-24"/>
        </w:rPr>
        <w:t>、【较重】</w:t>
      </w:r>
    </w:p>
    <w:p>
      <w:pPr>
        <w:pStyle w:val="13"/>
        <w:numPr>
          <w:ilvl w:val="0"/>
          <w:numId w:val="114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逾期后，十四日以上三十日以内改正的。</w:t>
      </w:r>
    </w:p>
    <w:p>
      <w:pPr>
        <w:pStyle w:val="13"/>
        <w:numPr>
          <w:ilvl w:val="0"/>
          <w:numId w:val="114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rFonts w:hint="eastAsia"/>
          <w:color w:val="auto"/>
          <w:lang w:val="en-US" w:eastAsia="zh-CN"/>
        </w:rPr>
        <w:t>5</w:t>
      </w:r>
      <w:r>
        <w:rPr>
          <w:color w:val="auto"/>
          <w:spacing w:val="-24"/>
        </w:rPr>
        <w:t>、【严重】</w:t>
      </w:r>
    </w:p>
    <w:p>
      <w:pPr>
        <w:pStyle w:val="13"/>
        <w:numPr>
          <w:ilvl w:val="0"/>
          <w:numId w:val="114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逾期后，三十日以上六十日以内改正的。</w:t>
      </w:r>
    </w:p>
    <w:p>
      <w:pPr>
        <w:pStyle w:val="13"/>
        <w:numPr>
          <w:ilvl w:val="0"/>
          <w:numId w:val="114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rFonts w:hint="eastAsia"/>
          <w:color w:val="auto"/>
          <w:lang w:val="en-US" w:eastAsia="zh-CN"/>
        </w:rPr>
        <w:t>6</w:t>
      </w:r>
      <w:r>
        <w:rPr>
          <w:color w:val="auto"/>
          <w:spacing w:val="-18"/>
        </w:rPr>
        <w:t>、【特别严重】</w:t>
      </w:r>
    </w:p>
    <w:p>
      <w:pPr>
        <w:pStyle w:val="13"/>
        <w:numPr>
          <w:ilvl w:val="0"/>
          <w:numId w:val="114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逾期后，六十日以上改正或拒不改正的。</w:t>
      </w:r>
    </w:p>
    <w:p>
      <w:pPr>
        <w:pStyle w:val="13"/>
        <w:numPr>
          <w:ilvl w:val="0"/>
          <w:numId w:val="114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81"/>
        <w:rPr>
          <w:color w:val="auto"/>
        </w:rPr>
      </w:pPr>
      <w:r>
        <w:rPr>
          <w:color w:val="auto"/>
        </w:rPr>
        <w:t>处 8 万元以上 10 万元以下罚款。</w:t>
      </w:r>
    </w:p>
    <w:p>
      <w:pPr>
        <w:pStyle w:val="2"/>
        <w:spacing w:before="192" w:line="391" w:lineRule="auto"/>
        <w:ind w:left="111" w:right="193" w:firstLine="480"/>
        <w:rPr>
          <w:color w:val="auto"/>
        </w:rPr>
      </w:pPr>
      <w:bookmarkStart w:id="1136" w:name="_bookmark567"/>
      <w:bookmarkEnd w:id="1136"/>
      <w:bookmarkStart w:id="1137" w:name="五百五十五、特种设备的制造、安装、改造、重大修理以及锅炉清洗过程，未经监督检验，"/>
      <w:bookmarkEnd w:id="1137"/>
      <w:r>
        <w:rPr>
          <w:color w:val="auto"/>
        </w:rPr>
        <w:t>五百五十五、特种设备的制造、安装、改造、重大修理以及锅炉清洗过程，未经监督检验，逾期未改正</w:t>
      </w:r>
    </w:p>
    <w:p>
      <w:pPr>
        <w:spacing w:before="0" w:line="306" w:lineRule="exact"/>
        <w:ind w:left="581" w:right="0" w:firstLine="0"/>
        <w:jc w:val="left"/>
        <w:rPr>
          <w:b/>
          <w:color w:val="auto"/>
          <w:sz w:val="24"/>
        </w:rPr>
      </w:pPr>
      <w:r>
        <w:rPr>
          <w:b/>
          <w:color w:val="auto"/>
          <w:sz w:val="24"/>
        </w:rPr>
        <w:t>（一）处罚依据</w:t>
      </w:r>
    </w:p>
    <w:p>
      <w:pPr>
        <w:pStyle w:val="4"/>
        <w:spacing w:before="192" w:line="391" w:lineRule="auto"/>
        <w:ind w:right="146" w:firstLine="470"/>
        <w:rPr>
          <w:color w:val="auto"/>
        </w:rPr>
      </w:pPr>
      <w:r>
        <w:rPr>
          <w:color w:val="auto"/>
          <w:spacing w:val="-11"/>
        </w:rPr>
        <w:t>《特种设备安全法》第七十九条“违反本法规定，特种设备的制造、安装、改造、</w:t>
      </w:r>
      <w:r>
        <w:rPr>
          <w:color w:val="auto"/>
          <w:spacing w:val="-4"/>
        </w:rPr>
        <w:t>重大修理以及锅炉清洗过程，未经监督检验的，责令限期改正；逾期未改正的，处五</w:t>
      </w:r>
      <w:r>
        <w:rPr>
          <w:color w:val="auto"/>
          <w:spacing w:val="-8"/>
        </w:rPr>
        <w:t>万元以上二十万元以下罚款；有违法所得的，没收违法所得；情节严重的，吊销生产许可证。”</w:t>
      </w:r>
    </w:p>
    <w:p>
      <w:pPr>
        <w:spacing w:before="0" w:line="388" w:lineRule="auto"/>
        <w:ind w:left="111" w:right="6948" w:firstLine="480"/>
        <w:jc w:val="left"/>
        <w:rPr>
          <w:color w:val="auto"/>
          <w:sz w:val="24"/>
        </w:rPr>
      </w:pPr>
      <w:r>
        <w:rPr>
          <w:b/>
          <w:color w:val="auto"/>
          <w:sz w:val="24"/>
        </w:rPr>
        <w:t>（二）</w:t>
      </w:r>
      <w:r>
        <w:rPr>
          <w:b/>
          <w:color w:val="auto"/>
          <w:spacing w:val="-5"/>
          <w:sz w:val="24"/>
        </w:rPr>
        <w:t>裁量标准</w:t>
      </w:r>
      <w:r>
        <w:rPr>
          <w:color w:val="auto"/>
          <w:sz w:val="24"/>
        </w:rPr>
        <w:t>1</w:t>
      </w:r>
      <w:r>
        <w:rPr>
          <w:color w:val="auto"/>
          <w:spacing w:val="-24"/>
          <w:sz w:val="24"/>
        </w:rPr>
        <w:t>、【较轻】</w:t>
      </w:r>
    </w:p>
    <w:p>
      <w:pPr>
        <w:pStyle w:val="13"/>
        <w:numPr>
          <w:ilvl w:val="0"/>
          <w:numId w:val="1149"/>
        </w:numPr>
        <w:tabs>
          <w:tab w:val="left" w:pos="1193"/>
        </w:tabs>
        <w:spacing w:before="0"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施工初期。</w:t>
      </w:r>
    </w:p>
    <w:p>
      <w:pPr>
        <w:pStyle w:val="13"/>
        <w:numPr>
          <w:ilvl w:val="0"/>
          <w:numId w:val="114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5282" w:hanging="10"/>
        <w:rPr>
          <w:color w:val="auto"/>
        </w:rPr>
      </w:pPr>
      <w:r>
        <w:rPr>
          <w:color w:val="auto"/>
          <w:spacing w:val="-30"/>
        </w:rPr>
        <w:t xml:space="preserve">处 </w:t>
      </w:r>
      <w:r>
        <w:rPr>
          <w:color w:val="auto"/>
        </w:rPr>
        <w:t>5</w:t>
      </w:r>
      <w:r>
        <w:rPr>
          <w:color w:val="auto"/>
          <w:spacing w:val="-20"/>
        </w:rPr>
        <w:t xml:space="preserve"> 万元以上 </w:t>
      </w:r>
      <w:r>
        <w:rPr>
          <w:color w:val="auto"/>
        </w:rPr>
        <w:t>7</w:t>
      </w:r>
      <w:r>
        <w:rPr>
          <w:color w:val="auto"/>
          <w:spacing w:val="-10"/>
        </w:rPr>
        <w:t xml:space="preserve"> 万元以下罚款。</w:t>
      </w:r>
      <w:r>
        <w:rPr>
          <w:color w:val="auto"/>
        </w:rPr>
        <w:t>2</w:t>
      </w:r>
      <w:r>
        <w:rPr>
          <w:color w:val="auto"/>
          <w:spacing w:val="-24"/>
        </w:rPr>
        <w:t>、【一般】</w:t>
      </w:r>
    </w:p>
    <w:p>
      <w:pPr>
        <w:pStyle w:val="13"/>
        <w:numPr>
          <w:ilvl w:val="0"/>
          <w:numId w:val="1150"/>
        </w:numPr>
        <w:tabs>
          <w:tab w:val="left" w:pos="1193"/>
        </w:tabs>
        <w:spacing w:before="5" w:after="0" w:line="388" w:lineRule="auto"/>
        <w:ind w:left="581" w:right="7072" w:firstLine="9"/>
        <w:jc w:val="left"/>
        <w:rPr>
          <w:color w:val="auto"/>
          <w:sz w:val="24"/>
        </w:rPr>
      </w:pPr>
      <w:r>
        <w:rPr>
          <w:color w:val="auto"/>
          <w:spacing w:val="-4"/>
          <w:sz w:val="24"/>
        </w:rPr>
        <w:t>违法情形</w:t>
      </w:r>
      <w:r>
        <w:rPr>
          <w:color w:val="auto"/>
          <w:sz w:val="24"/>
        </w:rPr>
        <w:t>施工中期。</w:t>
      </w:r>
    </w:p>
    <w:p>
      <w:pPr>
        <w:pStyle w:val="13"/>
        <w:numPr>
          <w:ilvl w:val="0"/>
          <w:numId w:val="115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5162" w:hanging="10"/>
        <w:rPr>
          <w:color w:val="auto"/>
        </w:rPr>
      </w:pPr>
      <w:r>
        <w:rPr>
          <w:color w:val="auto"/>
          <w:spacing w:val="-30"/>
        </w:rPr>
        <w:t xml:space="preserve">处 </w:t>
      </w:r>
      <w:r>
        <w:rPr>
          <w:color w:val="auto"/>
        </w:rPr>
        <w:t>7</w:t>
      </w:r>
      <w:r>
        <w:rPr>
          <w:color w:val="auto"/>
          <w:spacing w:val="-20"/>
        </w:rPr>
        <w:t xml:space="preserve"> 万元以上 </w:t>
      </w:r>
      <w:r>
        <w:rPr>
          <w:color w:val="auto"/>
        </w:rPr>
        <w:t>10</w:t>
      </w:r>
      <w:r>
        <w:rPr>
          <w:color w:val="auto"/>
          <w:spacing w:val="-10"/>
        </w:rPr>
        <w:t xml:space="preserve"> 万元以下罚款。</w:t>
      </w:r>
      <w:r>
        <w:rPr>
          <w:color w:val="auto"/>
        </w:rPr>
        <w:t>3</w:t>
      </w:r>
      <w:r>
        <w:rPr>
          <w:color w:val="auto"/>
          <w:spacing w:val="-24"/>
        </w:rPr>
        <w:t>、【较重】</w:t>
      </w:r>
    </w:p>
    <w:p>
      <w:pPr>
        <w:pStyle w:val="13"/>
        <w:numPr>
          <w:ilvl w:val="0"/>
          <w:numId w:val="1151"/>
        </w:numPr>
        <w:tabs>
          <w:tab w:val="left" w:pos="1193"/>
        </w:tabs>
        <w:spacing w:before="2" w:after="0" w:line="391" w:lineRule="auto"/>
        <w:ind w:left="591" w:right="7072" w:firstLine="0"/>
        <w:jc w:val="left"/>
        <w:rPr>
          <w:color w:val="auto"/>
          <w:sz w:val="24"/>
        </w:rPr>
      </w:pPr>
      <w:r>
        <w:rPr>
          <w:color w:val="auto"/>
          <w:spacing w:val="-5"/>
          <w:sz w:val="24"/>
        </w:rPr>
        <w:t>违法情形</w:t>
      </w:r>
      <w:r>
        <w:rPr>
          <w:color w:val="auto"/>
          <w:sz w:val="24"/>
        </w:rPr>
        <w:t>施工后期。</w:t>
      </w:r>
    </w:p>
    <w:p>
      <w:pPr>
        <w:pStyle w:val="13"/>
        <w:numPr>
          <w:ilvl w:val="0"/>
          <w:numId w:val="115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042" w:hanging="10"/>
        <w:rPr>
          <w:color w:val="auto"/>
        </w:rPr>
      </w:pPr>
      <w:r>
        <w:rPr>
          <w:color w:val="auto"/>
          <w:spacing w:val="-30"/>
        </w:rPr>
        <w:t xml:space="preserve">处 </w:t>
      </w:r>
      <w:r>
        <w:rPr>
          <w:color w:val="auto"/>
        </w:rPr>
        <w:t>10</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24"/>
        </w:rPr>
        <w:t>、【严重】</w:t>
      </w:r>
    </w:p>
    <w:p>
      <w:pPr>
        <w:pStyle w:val="13"/>
        <w:numPr>
          <w:ilvl w:val="0"/>
          <w:numId w:val="1152"/>
        </w:numPr>
        <w:tabs>
          <w:tab w:val="left" w:pos="1193"/>
        </w:tabs>
        <w:spacing w:before="0" w:after="0" w:line="388" w:lineRule="auto"/>
        <w:ind w:left="581" w:right="7072" w:firstLine="9"/>
        <w:jc w:val="left"/>
        <w:rPr>
          <w:color w:val="auto"/>
          <w:sz w:val="24"/>
        </w:rPr>
      </w:pPr>
      <w:r>
        <w:rPr>
          <w:color w:val="auto"/>
          <w:spacing w:val="-4"/>
          <w:sz w:val="24"/>
        </w:rPr>
        <w:t>违法情形</w:t>
      </w:r>
      <w:r>
        <w:rPr>
          <w:color w:val="auto"/>
          <w:sz w:val="24"/>
        </w:rPr>
        <w:t>施工已完成。</w:t>
      </w:r>
    </w:p>
    <w:p>
      <w:pPr>
        <w:pStyle w:val="13"/>
        <w:numPr>
          <w:ilvl w:val="0"/>
          <w:numId w:val="1152"/>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1" w:line="388" w:lineRule="auto"/>
        <w:ind w:left="591" w:right="5042" w:hanging="10"/>
        <w:rPr>
          <w:color w:val="auto"/>
        </w:rPr>
      </w:pPr>
      <w:r>
        <w:rPr>
          <w:color w:val="auto"/>
          <w:spacing w:val="-30"/>
        </w:rPr>
        <w:t xml:space="preserve">处 </w:t>
      </w:r>
      <w:r>
        <w:rPr>
          <w:color w:val="auto"/>
        </w:rPr>
        <w:t>15</w:t>
      </w:r>
      <w:r>
        <w:rPr>
          <w:color w:val="auto"/>
          <w:spacing w:val="-20"/>
        </w:rPr>
        <w:t xml:space="preserve"> 万元以上 </w:t>
      </w:r>
      <w:r>
        <w:rPr>
          <w:color w:val="auto"/>
        </w:rPr>
        <w:t>18</w:t>
      </w:r>
      <w:r>
        <w:rPr>
          <w:color w:val="auto"/>
          <w:spacing w:val="-10"/>
        </w:rPr>
        <w:t xml:space="preserve"> 万元以下罚款。</w:t>
      </w:r>
      <w:r>
        <w:rPr>
          <w:color w:val="auto"/>
        </w:rPr>
        <w:t>5</w:t>
      </w:r>
      <w:r>
        <w:rPr>
          <w:color w:val="auto"/>
          <w:spacing w:val="-18"/>
        </w:rPr>
        <w:t>、【特别严重】</w:t>
      </w:r>
    </w:p>
    <w:p>
      <w:pPr>
        <w:pStyle w:val="13"/>
        <w:numPr>
          <w:ilvl w:val="0"/>
          <w:numId w:val="1153"/>
        </w:numPr>
        <w:tabs>
          <w:tab w:val="left" w:pos="1193"/>
        </w:tabs>
        <w:spacing w:before="5" w:after="0" w:line="388" w:lineRule="auto"/>
        <w:ind w:left="581" w:right="7072" w:firstLine="9"/>
        <w:jc w:val="left"/>
        <w:rPr>
          <w:color w:val="auto"/>
          <w:sz w:val="24"/>
        </w:rPr>
      </w:pPr>
      <w:r>
        <w:rPr>
          <w:color w:val="auto"/>
          <w:spacing w:val="-4"/>
          <w:sz w:val="24"/>
        </w:rPr>
        <w:t>违法情形</w:t>
      </w:r>
      <w:r>
        <w:rPr>
          <w:color w:val="auto"/>
          <w:sz w:val="24"/>
        </w:rPr>
        <w:t>拒不改正的。</w:t>
      </w:r>
    </w:p>
    <w:p>
      <w:pPr>
        <w:pStyle w:val="13"/>
        <w:numPr>
          <w:ilvl w:val="0"/>
          <w:numId w:val="1153"/>
        </w:numPr>
        <w:tabs>
          <w:tab w:val="left" w:pos="1193"/>
        </w:tabs>
        <w:spacing w:before="2" w:after="0" w:line="240" w:lineRule="auto"/>
        <w:ind w:left="1192" w:right="0" w:hanging="602"/>
        <w:jc w:val="left"/>
        <w:rPr>
          <w:color w:val="auto"/>
          <w:sz w:val="24"/>
        </w:rPr>
      </w:pPr>
      <w:r>
        <w:rPr>
          <w:color w:val="auto"/>
          <w:sz w:val="24"/>
        </w:rPr>
        <w:t>处罚标准</w:t>
      </w:r>
    </w:p>
    <w:p>
      <w:pPr>
        <w:spacing w:before="194" w:line="388" w:lineRule="auto"/>
        <w:ind w:left="591" w:right="1442" w:hanging="10"/>
        <w:jc w:val="left"/>
        <w:rPr>
          <w:b/>
          <w:color w:val="auto"/>
          <w:sz w:val="24"/>
        </w:rPr>
      </w:pPr>
      <w:r>
        <w:rPr>
          <w:color w:val="auto"/>
          <w:spacing w:val="-30"/>
          <w:sz w:val="24"/>
        </w:rPr>
        <w:t xml:space="preserve">处 </w:t>
      </w:r>
      <w:r>
        <w:rPr>
          <w:color w:val="auto"/>
          <w:sz w:val="24"/>
        </w:rPr>
        <w:t>18</w:t>
      </w:r>
      <w:r>
        <w:rPr>
          <w:color w:val="auto"/>
          <w:spacing w:val="-20"/>
          <w:sz w:val="24"/>
        </w:rPr>
        <w:t xml:space="preserve"> 万元以上 </w:t>
      </w:r>
      <w:r>
        <w:rPr>
          <w:color w:val="auto"/>
          <w:sz w:val="24"/>
        </w:rPr>
        <w:t>20</w:t>
      </w:r>
      <w:r>
        <w:rPr>
          <w:color w:val="auto"/>
          <w:spacing w:val="-9"/>
          <w:sz w:val="24"/>
        </w:rPr>
        <w:t xml:space="preserve"> 万元以下罚款，建议原发证机关吊销生产许可证。</w:t>
      </w:r>
      <w:bookmarkStart w:id="1138" w:name="五百五十六、未按照安全技术规范的要求对电梯进行校验、调试"/>
      <w:bookmarkEnd w:id="1138"/>
      <w:bookmarkStart w:id="1139" w:name="_bookmark568"/>
      <w:bookmarkEnd w:id="1139"/>
      <w:r>
        <w:rPr>
          <w:b/>
          <w:color w:val="auto"/>
          <w:sz w:val="24"/>
        </w:rPr>
        <w:t>五百五十六、未按照安全技术规范的要求对电梯进行校验、调试</w:t>
      </w:r>
    </w:p>
    <w:p>
      <w:pPr>
        <w:pStyle w:val="2"/>
        <w:spacing w:before="2"/>
        <w:ind w:left="581"/>
        <w:rPr>
          <w:color w:val="auto"/>
        </w:rPr>
      </w:pPr>
      <w:r>
        <w:rPr>
          <w:color w:val="auto"/>
        </w:rPr>
        <w:t>（一）处罚依据</w:t>
      </w:r>
    </w:p>
    <w:p>
      <w:pPr>
        <w:pStyle w:val="4"/>
        <w:spacing w:before="194" w:line="388" w:lineRule="auto"/>
        <w:ind w:right="148" w:firstLine="470"/>
        <w:rPr>
          <w:color w:val="auto"/>
        </w:rPr>
      </w:pPr>
      <w:r>
        <w:rPr>
          <w:color w:val="auto"/>
          <w:spacing w:val="-13"/>
        </w:rPr>
        <w:t xml:space="preserve">《特种设备安全法》第八十条“违反本法规定，电梯制造单位有下列情形之一的， </w:t>
      </w:r>
      <w:r>
        <w:rPr>
          <w:color w:val="auto"/>
          <w:spacing w:val="-4"/>
        </w:rPr>
        <w:t>责令限期改正；逾期未改正的，处一万元以上十万元以下罚款：</w:t>
      </w:r>
      <w:r>
        <w:rPr>
          <w:color w:val="auto"/>
          <w:spacing w:val="2"/>
        </w:rPr>
        <w:t>（一）</w:t>
      </w:r>
      <w:r>
        <w:rPr>
          <w:color w:val="auto"/>
          <w:spacing w:val="1"/>
        </w:rPr>
        <w:t>未按照安全技</w:t>
      </w:r>
      <w:r>
        <w:rPr>
          <w:color w:val="auto"/>
          <w:spacing w:val="-6"/>
        </w:rPr>
        <w:t>术规范的要求对电梯进行校验、调试的；”</w:t>
      </w:r>
    </w:p>
    <w:p>
      <w:pPr>
        <w:spacing w:after="0" w:line="388" w:lineRule="auto"/>
        <w:rPr>
          <w:color w:val="auto"/>
        </w:rPr>
        <w:sectPr>
          <w:footerReference r:id="rId131" w:type="default"/>
          <w:footerReference r:id="rId132" w:type="even"/>
          <w:pgSz w:w="11910" w:h="16840"/>
          <w:pgMar w:top="1520" w:right="1260" w:bottom="1220" w:left="1420" w:header="0" w:footer="1034" w:gutter="0"/>
          <w:pgNumType w:start="537"/>
        </w:sectPr>
      </w:pPr>
    </w:p>
    <w:p>
      <w:pPr>
        <w:spacing w:before="39" w:line="391" w:lineRule="auto"/>
        <w:ind w:left="111" w:right="6948" w:firstLine="480"/>
        <w:jc w:val="left"/>
        <w:rPr>
          <w:color w:val="auto"/>
          <w:sz w:val="24"/>
        </w:rPr>
      </w:pPr>
      <w:r>
        <w:rPr>
          <w:b/>
          <w:color w:val="auto"/>
          <w:sz w:val="24"/>
        </w:rPr>
        <w:t>（二）裁量标准</w:t>
      </w:r>
      <w:r>
        <w:rPr>
          <w:color w:val="auto"/>
          <w:sz w:val="24"/>
        </w:rPr>
        <w:t>1、【较轻】</w:t>
      </w:r>
    </w:p>
    <w:p>
      <w:pPr>
        <w:pStyle w:val="13"/>
        <w:numPr>
          <w:ilvl w:val="0"/>
          <w:numId w:val="115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逾期后，七日内改正的。</w:t>
      </w:r>
    </w:p>
    <w:p>
      <w:pPr>
        <w:pStyle w:val="13"/>
        <w:numPr>
          <w:ilvl w:val="0"/>
          <w:numId w:val="115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115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逾期后，七日以上十四日以内改正的。</w:t>
      </w:r>
    </w:p>
    <w:p>
      <w:pPr>
        <w:pStyle w:val="13"/>
        <w:numPr>
          <w:ilvl w:val="0"/>
          <w:numId w:val="115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3</w:t>
      </w:r>
      <w:r>
        <w:rPr>
          <w:color w:val="auto"/>
          <w:spacing w:val="-24"/>
        </w:rPr>
        <w:t>、【较重】</w:t>
      </w:r>
    </w:p>
    <w:p>
      <w:pPr>
        <w:pStyle w:val="13"/>
        <w:numPr>
          <w:ilvl w:val="0"/>
          <w:numId w:val="115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逾期后，十四日以上三十日以内改正的。</w:t>
      </w:r>
    </w:p>
    <w:p>
      <w:pPr>
        <w:pStyle w:val="13"/>
        <w:numPr>
          <w:ilvl w:val="0"/>
          <w:numId w:val="115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color w:val="auto"/>
        </w:rPr>
        <w:t>4</w:t>
      </w:r>
      <w:r>
        <w:rPr>
          <w:color w:val="auto"/>
          <w:spacing w:val="-24"/>
        </w:rPr>
        <w:t>、【严重】</w:t>
      </w:r>
    </w:p>
    <w:p>
      <w:pPr>
        <w:pStyle w:val="13"/>
        <w:numPr>
          <w:ilvl w:val="0"/>
          <w:numId w:val="115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逾期后，三十日以上六十日以内改正的。</w:t>
      </w:r>
    </w:p>
    <w:p>
      <w:pPr>
        <w:pStyle w:val="13"/>
        <w:numPr>
          <w:ilvl w:val="0"/>
          <w:numId w:val="115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color w:val="auto"/>
        </w:rPr>
        <w:t>5</w:t>
      </w:r>
      <w:r>
        <w:rPr>
          <w:color w:val="auto"/>
          <w:spacing w:val="-18"/>
        </w:rPr>
        <w:t>、【特别严重】</w:t>
      </w:r>
    </w:p>
    <w:p>
      <w:pPr>
        <w:pStyle w:val="13"/>
        <w:numPr>
          <w:ilvl w:val="0"/>
          <w:numId w:val="1158"/>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逾期后，六十日以上改正或拒不改正的。</w:t>
      </w:r>
    </w:p>
    <w:p>
      <w:pPr>
        <w:pStyle w:val="13"/>
        <w:numPr>
          <w:ilvl w:val="0"/>
          <w:numId w:val="115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处 8 万元以上 10 万元以下罚款。</w:t>
      </w:r>
    </w:p>
    <w:p>
      <w:pPr>
        <w:pStyle w:val="2"/>
        <w:spacing w:before="192" w:line="388" w:lineRule="auto"/>
        <w:ind w:left="111" w:right="240" w:firstLine="480"/>
        <w:rPr>
          <w:color w:val="auto"/>
        </w:rPr>
      </w:pPr>
      <w:bookmarkStart w:id="1140" w:name="_bookmark569"/>
      <w:bookmarkEnd w:id="1140"/>
      <w:bookmarkStart w:id="1141" w:name="五百五十七、电梯存在严重事故隐患，未及时告知电梯使用单位并向负责特种设备安全监督"/>
      <w:bookmarkEnd w:id="1141"/>
      <w:r>
        <w:rPr>
          <w:color w:val="auto"/>
          <w:spacing w:val="-8"/>
        </w:rPr>
        <w:t>五百五十七、电梯存在严重事故隐患，未及时告知电梯使用单位并向负责特种设备安全监督管理的部门报告</w:t>
      </w:r>
    </w:p>
    <w:p>
      <w:pPr>
        <w:spacing w:after="0" w:line="388" w:lineRule="auto"/>
        <w:rPr>
          <w:color w:val="auto"/>
        </w:rPr>
        <w:sectPr>
          <w:pgSz w:w="11910" w:h="16840"/>
          <w:pgMar w:top="1520" w:right="1260" w:bottom="1220" w:left="1420" w:header="0" w:footer="1034" w:gutter="0"/>
        </w:sectPr>
      </w:pPr>
    </w:p>
    <w:p>
      <w:pPr>
        <w:spacing w:before="39"/>
        <w:ind w:left="581" w:right="0" w:firstLine="0"/>
        <w:jc w:val="left"/>
        <w:rPr>
          <w:b/>
          <w:color w:val="auto"/>
          <w:sz w:val="24"/>
        </w:rPr>
      </w:pPr>
      <w:r>
        <w:rPr>
          <w:b/>
          <w:color w:val="auto"/>
          <w:sz w:val="24"/>
        </w:rPr>
        <w:t>（一）处罚依据</w:t>
      </w:r>
    </w:p>
    <w:p>
      <w:pPr>
        <w:pStyle w:val="4"/>
        <w:spacing w:before="195" w:line="391" w:lineRule="auto"/>
        <w:ind w:right="148" w:firstLine="480"/>
        <w:rPr>
          <w:color w:val="auto"/>
        </w:rPr>
      </w:pPr>
      <w:r>
        <w:rPr>
          <w:color w:val="auto"/>
          <w:spacing w:val="-14"/>
        </w:rPr>
        <w:t xml:space="preserve">《特种设备安全法》第八十条“违反本法规定，电梯制造单位有下列情形之一的， </w:t>
      </w:r>
      <w:r>
        <w:rPr>
          <w:color w:val="auto"/>
          <w:spacing w:val="-4"/>
        </w:rPr>
        <w:t>责令限期改正；逾期未改正的，处一万元以上十万元以下罚款：</w:t>
      </w:r>
      <w:r>
        <w:rPr>
          <w:color w:val="auto"/>
          <w:spacing w:val="2"/>
        </w:rPr>
        <w:t>（二）</w:t>
      </w:r>
      <w:r>
        <w:rPr>
          <w:color w:val="auto"/>
          <w:spacing w:val="1"/>
        </w:rPr>
        <w:t>对电梯的安全</w:t>
      </w:r>
      <w:r>
        <w:rPr>
          <w:color w:val="auto"/>
          <w:spacing w:val="-2"/>
        </w:rPr>
        <w:t>运行情况进行跟踪调查和了解时，发现存在严重事故隐患，未及时告知电梯使用单位</w:t>
      </w:r>
      <w:r>
        <w:rPr>
          <w:color w:val="auto"/>
          <w:spacing w:val="-8"/>
        </w:rPr>
        <w:t>并向负责特种设备安全监督管理的部门报告的。”</w:t>
      </w:r>
    </w:p>
    <w:p>
      <w:pPr>
        <w:spacing w:before="0" w:line="388" w:lineRule="auto"/>
        <w:ind w:left="111" w:right="6957" w:firstLine="470"/>
        <w:jc w:val="left"/>
        <w:rPr>
          <w:color w:val="auto"/>
          <w:sz w:val="24"/>
        </w:rPr>
      </w:pPr>
      <w:r>
        <w:rPr>
          <w:b/>
          <w:color w:val="auto"/>
          <w:sz w:val="24"/>
        </w:rPr>
        <w:t>（二）裁量标准</w:t>
      </w:r>
      <w:r>
        <w:rPr>
          <w:color w:val="auto"/>
          <w:sz w:val="24"/>
        </w:rPr>
        <w:t>1、【较轻】</w:t>
      </w:r>
    </w:p>
    <w:p>
      <w:pPr>
        <w:pStyle w:val="13"/>
        <w:numPr>
          <w:ilvl w:val="0"/>
          <w:numId w:val="1159"/>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逾期后，七日内改正的。</w:t>
      </w:r>
    </w:p>
    <w:p>
      <w:pPr>
        <w:pStyle w:val="13"/>
        <w:numPr>
          <w:ilvl w:val="0"/>
          <w:numId w:val="115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116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逾期后，七日以上十四日以内改正的。</w:t>
      </w:r>
    </w:p>
    <w:p>
      <w:pPr>
        <w:pStyle w:val="13"/>
        <w:numPr>
          <w:ilvl w:val="0"/>
          <w:numId w:val="116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3</w:t>
      </w:r>
      <w:r>
        <w:rPr>
          <w:color w:val="auto"/>
          <w:spacing w:val="-24"/>
        </w:rPr>
        <w:t>、【较重】</w:t>
      </w:r>
    </w:p>
    <w:p>
      <w:pPr>
        <w:pStyle w:val="13"/>
        <w:numPr>
          <w:ilvl w:val="0"/>
          <w:numId w:val="116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逾期后，十四日以上三十日以内改正的。</w:t>
      </w:r>
    </w:p>
    <w:p>
      <w:pPr>
        <w:pStyle w:val="13"/>
        <w:numPr>
          <w:ilvl w:val="0"/>
          <w:numId w:val="116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color w:val="auto"/>
        </w:rPr>
        <w:t>4</w:t>
      </w:r>
      <w:r>
        <w:rPr>
          <w:color w:val="auto"/>
          <w:spacing w:val="-24"/>
        </w:rPr>
        <w:t>、【严重】</w:t>
      </w:r>
    </w:p>
    <w:p>
      <w:pPr>
        <w:pStyle w:val="13"/>
        <w:numPr>
          <w:ilvl w:val="0"/>
          <w:numId w:val="1162"/>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逾期后，三十日以上六十日以内改正的。</w:t>
      </w:r>
    </w:p>
    <w:p>
      <w:pPr>
        <w:pStyle w:val="13"/>
        <w:numPr>
          <w:ilvl w:val="0"/>
          <w:numId w:val="116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color w:val="auto"/>
        </w:rPr>
        <w:t>5</w:t>
      </w:r>
      <w:r>
        <w:rPr>
          <w:color w:val="auto"/>
          <w:spacing w:val="-18"/>
        </w:rPr>
        <w:t>、【特别严重】</w:t>
      </w:r>
    </w:p>
    <w:p>
      <w:pPr>
        <w:pStyle w:val="13"/>
        <w:numPr>
          <w:ilvl w:val="0"/>
          <w:numId w:val="1163"/>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逾期后，六十日以上改正或拒不改正的。</w:t>
      </w:r>
    </w:p>
    <w:p>
      <w:pPr>
        <w:pStyle w:val="13"/>
        <w:numPr>
          <w:ilvl w:val="0"/>
          <w:numId w:val="1163"/>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8 万元以上 10 万元以下罚款。</w:t>
      </w:r>
    </w:p>
    <w:p>
      <w:pPr>
        <w:pStyle w:val="2"/>
        <w:spacing w:before="192"/>
        <w:rPr>
          <w:color w:val="auto"/>
        </w:rPr>
      </w:pPr>
      <w:bookmarkStart w:id="1142" w:name="_bookmark570"/>
      <w:bookmarkEnd w:id="1142"/>
      <w:bookmarkStart w:id="1143" w:name="五百五十八、不再具备生产条件、生产许可证已经过期或者超出许可范围生产"/>
      <w:bookmarkEnd w:id="1143"/>
      <w:r>
        <w:rPr>
          <w:color w:val="auto"/>
        </w:rPr>
        <w:t>五百五十八、不再具备生产条件、生产许可证已经过期或者超出许可范围生产</w:t>
      </w:r>
    </w:p>
    <w:p>
      <w:pPr>
        <w:spacing w:before="194"/>
        <w:ind w:left="58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5"/>
        </w:rPr>
        <w:t>《特种设备安全法》第八十一条第一款“违反本法规定，特种设备生产单位有下</w:t>
      </w:r>
      <w:r>
        <w:rPr>
          <w:color w:val="auto"/>
          <w:spacing w:val="-6"/>
        </w:rPr>
        <w:t>列行为之一的，责令限期改正；逾期未改正的，责令停止生产，处五万元以上五十万</w:t>
      </w:r>
      <w:r>
        <w:rPr>
          <w:color w:val="auto"/>
          <w:spacing w:val="-5"/>
        </w:rPr>
        <w:t>元以下罚款；情节严重的，吊销生产许可证：</w:t>
      </w:r>
      <w:r>
        <w:rPr>
          <w:color w:val="auto"/>
          <w:spacing w:val="2"/>
        </w:rPr>
        <w:t>（一）</w:t>
      </w:r>
      <w:r>
        <w:rPr>
          <w:color w:val="auto"/>
          <w:spacing w:val="1"/>
        </w:rPr>
        <w:t>不再具备生产条件、生产许可证</w:t>
      </w:r>
      <w:r>
        <w:rPr>
          <w:color w:val="auto"/>
          <w:spacing w:val="-7"/>
        </w:rPr>
        <w:t>已经过期或者超出许可范围生产的。”</w:t>
      </w:r>
    </w:p>
    <w:p>
      <w:pPr>
        <w:spacing w:before="0" w:line="391" w:lineRule="auto"/>
        <w:ind w:left="111" w:right="6957" w:firstLine="470"/>
        <w:jc w:val="left"/>
        <w:rPr>
          <w:color w:val="auto"/>
          <w:sz w:val="24"/>
        </w:rPr>
      </w:pPr>
      <w:r>
        <w:rPr>
          <w:b/>
          <w:color w:val="auto"/>
          <w:sz w:val="24"/>
        </w:rPr>
        <w:t>（二）裁量标准</w:t>
      </w:r>
      <w:r>
        <w:rPr>
          <w:color w:val="auto"/>
          <w:sz w:val="24"/>
        </w:rPr>
        <w:t>1、【较轻】</w:t>
      </w:r>
    </w:p>
    <w:p>
      <w:pPr>
        <w:pStyle w:val="13"/>
        <w:numPr>
          <w:ilvl w:val="0"/>
          <w:numId w:val="116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81"/>
        <w:rPr>
          <w:color w:val="auto"/>
        </w:rPr>
      </w:pPr>
      <w:r>
        <w:rPr>
          <w:color w:val="auto"/>
        </w:rPr>
        <w:t>产品、部件尚未销售的。</w:t>
      </w:r>
    </w:p>
    <w:p>
      <w:pPr>
        <w:pStyle w:val="13"/>
        <w:numPr>
          <w:ilvl w:val="0"/>
          <w:numId w:val="116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152"/>
        <w:rPr>
          <w:color w:val="auto"/>
        </w:rPr>
      </w:pPr>
      <w:r>
        <w:rPr>
          <w:color w:val="auto"/>
          <w:spacing w:val="-30"/>
        </w:rPr>
        <w:t xml:space="preserve">处 </w:t>
      </w:r>
      <w:r>
        <w:rPr>
          <w:color w:val="auto"/>
        </w:rPr>
        <w:t>5</w:t>
      </w:r>
      <w:r>
        <w:rPr>
          <w:color w:val="auto"/>
          <w:spacing w:val="-20"/>
        </w:rPr>
        <w:t xml:space="preserve"> 万元以上 </w:t>
      </w:r>
      <w:r>
        <w:rPr>
          <w:color w:val="auto"/>
        </w:rPr>
        <w:t>10</w:t>
      </w:r>
      <w:r>
        <w:rPr>
          <w:color w:val="auto"/>
          <w:spacing w:val="-10"/>
        </w:rPr>
        <w:t xml:space="preserve"> 万元以下罚款。</w:t>
      </w:r>
      <w:r>
        <w:rPr>
          <w:color w:val="auto"/>
        </w:rPr>
        <w:t>2</w:t>
      </w:r>
      <w:r>
        <w:rPr>
          <w:color w:val="auto"/>
          <w:spacing w:val="-24"/>
        </w:rPr>
        <w:t>、【一般】</w:t>
      </w:r>
    </w:p>
    <w:p>
      <w:pPr>
        <w:pStyle w:val="13"/>
        <w:numPr>
          <w:ilvl w:val="0"/>
          <w:numId w:val="1165"/>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产品、部件已经销售，有证据证明尚未投入使用的。</w:t>
      </w:r>
    </w:p>
    <w:p>
      <w:pPr>
        <w:pStyle w:val="13"/>
        <w:numPr>
          <w:ilvl w:val="0"/>
          <w:numId w:val="116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left="591" w:right="5032"/>
        <w:rPr>
          <w:color w:val="auto"/>
        </w:rPr>
      </w:pPr>
      <w:r>
        <w:rPr>
          <w:color w:val="auto"/>
          <w:spacing w:val="-30"/>
        </w:rPr>
        <w:t xml:space="preserve">处 </w:t>
      </w:r>
      <w:r>
        <w:rPr>
          <w:color w:val="auto"/>
        </w:rPr>
        <w:t>10</w:t>
      </w:r>
      <w:r>
        <w:rPr>
          <w:color w:val="auto"/>
          <w:spacing w:val="-20"/>
        </w:rPr>
        <w:t xml:space="preserve"> 万元以上 </w:t>
      </w:r>
      <w:r>
        <w:rPr>
          <w:color w:val="auto"/>
        </w:rPr>
        <w:t>20</w:t>
      </w:r>
      <w:r>
        <w:rPr>
          <w:color w:val="auto"/>
          <w:spacing w:val="-10"/>
        </w:rPr>
        <w:t xml:space="preserve"> 万元以下罚款。</w:t>
      </w:r>
      <w:r>
        <w:rPr>
          <w:color w:val="auto"/>
        </w:rPr>
        <w:t>3</w:t>
      </w:r>
      <w:r>
        <w:rPr>
          <w:color w:val="auto"/>
          <w:spacing w:val="-24"/>
        </w:rPr>
        <w:t>、【较重】</w:t>
      </w:r>
    </w:p>
    <w:p>
      <w:pPr>
        <w:pStyle w:val="13"/>
        <w:numPr>
          <w:ilvl w:val="0"/>
          <w:numId w:val="116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产品、部件已经销售，且有证据证明已投入使用的。</w:t>
      </w:r>
    </w:p>
    <w:p>
      <w:pPr>
        <w:pStyle w:val="13"/>
        <w:numPr>
          <w:ilvl w:val="0"/>
          <w:numId w:val="116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042" w:hanging="10"/>
        <w:rPr>
          <w:color w:val="auto"/>
        </w:rPr>
      </w:pPr>
      <w:r>
        <w:rPr>
          <w:color w:val="auto"/>
          <w:spacing w:val="-30"/>
        </w:rPr>
        <w:t xml:space="preserve">处 </w:t>
      </w:r>
      <w:r>
        <w:rPr>
          <w:color w:val="auto"/>
        </w:rPr>
        <w:t>20</w:t>
      </w:r>
      <w:r>
        <w:rPr>
          <w:color w:val="auto"/>
          <w:spacing w:val="-20"/>
        </w:rPr>
        <w:t xml:space="preserve"> 万元以上 </w:t>
      </w:r>
      <w:r>
        <w:rPr>
          <w:color w:val="auto"/>
        </w:rPr>
        <w:t>30</w:t>
      </w:r>
      <w:r>
        <w:rPr>
          <w:color w:val="auto"/>
          <w:spacing w:val="-10"/>
        </w:rPr>
        <w:t xml:space="preserve"> 万元以下罚款。</w:t>
      </w:r>
      <w:r>
        <w:rPr>
          <w:color w:val="auto"/>
        </w:rPr>
        <w:t>4</w:t>
      </w:r>
      <w:r>
        <w:rPr>
          <w:color w:val="auto"/>
          <w:spacing w:val="-24"/>
        </w:rPr>
        <w:t>、【严重】</w:t>
      </w:r>
    </w:p>
    <w:p>
      <w:pPr>
        <w:pStyle w:val="13"/>
        <w:numPr>
          <w:ilvl w:val="0"/>
          <w:numId w:val="116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81"/>
        <w:rPr>
          <w:color w:val="auto"/>
        </w:rPr>
      </w:pPr>
      <w:r>
        <w:rPr>
          <w:color w:val="auto"/>
        </w:rPr>
        <w:t>产品或部件已经销售，且有证据证明已投入使用存在问题的。</w:t>
      </w:r>
    </w:p>
    <w:p>
      <w:pPr>
        <w:spacing w:after="0"/>
        <w:rPr>
          <w:color w:val="auto"/>
        </w:rPr>
        <w:sectPr>
          <w:footerReference r:id="rId133" w:type="default"/>
          <w:footerReference r:id="rId134" w:type="even"/>
          <w:pgSz w:w="11910" w:h="16840"/>
          <w:pgMar w:top="1520" w:right="1260" w:bottom="1220" w:left="1420" w:header="0" w:footer="1034" w:gutter="0"/>
          <w:pgNumType w:start="540"/>
        </w:sectPr>
      </w:pPr>
    </w:p>
    <w:p>
      <w:pPr>
        <w:pStyle w:val="13"/>
        <w:numPr>
          <w:ilvl w:val="0"/>
          <w:numId w:val="116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042" w:hanging="10"/>
        <w:rPr>
          <w:color w:val="auto"/>
        </w:rPr>
      </w:pPr>
      <w:r>
        <w:rPr>
          <w:color w:val="auto"/>
          <w:spacing w:val="-30"/>
        </w:rPr>
        <w:t xml:space="preserve">处 </w:t>
      </w:r>
      <w:r>
        <w:rPr>
          <w:color w:val="auto"/>
        </w:rPr>
        <w:t>30</w:t>
      </w:r>
      <w:r>
        <w:rPr>
          <w:color w:val="auto"/>
          <w:spacing w:val="-20"/>
        </w:rPr>
        <w:t xml:space="preserve"> 万元以上 </w:t>
      </w:r>
      <w:r>
        <w:rPr>
          <w:color w:val="auto"/>
        </w:rPr>
        <w:t>40</w:t>
      </w:r>
      <w:r>
        <w:rPr>
          <w:color w:val="auto"/>
          <w:spacing w:val="-10"/>
        </w:rPr>
        <w:t xml:space="preserve"> 万元以下罚款。</w:t>
      </w:r>
      <w:r>
        <w:rPr>
          <w:color w:val="auto"/>
        </w:rPr>
        <w:t>5</w:t>
      </w:r>
      <w:r>
        <w:rPr>
          <w:color w:val="auto"/>
          <w:spacing w:val="-18"/>
        </w:rPr>
        <w:t>、【特别严重】</w:t>
      </w:r>
    </w:p>
    <w:p>
      <w:pPr>
        <w:pStyle w:val="13"/>
        <w:numPr>
          <w:ilvl w:val="0"/>
          <w:numId w:val="116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已造成不良后果的。</w:t>
      </w:r>
    </w:p>
    <w:p>
      <w:pPr>
        <w:pStyle w:val="13"/>
        <w:numPr>
          <w:ilvl w:val="0"/>
          <w:numId w:val="1168"/>
        </w:numPr>
        <w:tabs>
          <w:tab w:val="left" w:pos="1193"/>
        </w:tabs>
        <w:spacing w:before="192" w:after="0" w:line="240" w:lineRule="auto"/>
        <w:ind w:left="1192" w:right="0" w:hanging="602"/>
        <w:jc w:val="left"/>
        <w:rPr>
          <w:color w:val="auto"/>
          <w:sz w:val="24"/>
        </w:rPr>
      </w:pPr>
      <w:r>
        <w:rPr>
          <w:color w:val="auto"/>
          <w:sz w:val="24"/>
        </w:rPr>
        <w:t>处罚标准</w:t>
      </w:r>
    </w:p>
    <w:p>
      <w:pPr>
        <w:spacing w:before="191" w:line="391" w:lineRule="auto"/>
        <w:ind w:left="591" w:right="1406" w:hanging="10"/>
        <w:jc w:val="left"/>
        <w:rPr>
          <w:b/>
          <w:color w:val="auto"/>
          <w:sz w:val="24"/>
        </w:rPr>
      </w:pPr>
      <w:r>
        <w:rPr>
          <w:color w:val="auto"/>
          <w:spacing w:val="-30"/>
          <w:sz w:val="24"/>
        </w:rPr>
        <w:t xml:space="preserve">处 </w:t>
      </w:r>
      <w:r>
        <w:rPr>
          <w:color w:val="auto"/>
          <w:sz w:val="24"/>
        </w:rPr>
        <w:t>40</w:t>
      </w:r>
      <w:r>
        <w:rPr>
          <w:color w:val="auto"/>
          <w:spacing w:val="-20"/>
          <w:sz w:val="24"/>
        </w:rPr>
        <w:t xml:space="preserve"> 万元以上 </w:t>
      </w:r>
      <w:r>
        <w:rPr>
          <w:color w:val="auto"/>
          <w:sz w:val="24"/>
        </w:rPr>
        <w:t>50</w:t>
      </w:r>
      <w:r>
        <w:rPr>
          <w:color w:val="auto"/>
          <w:spacing w:val="-8"/>
          <w:sz w:val="24"/>
        </w:rPr>
        <w:t xml:space="preserve"> 万元以下罚款，建议原发证机关吊销生产许可证。</w:t>
      </w:r>
      <w:bookmarkStart w:id="1144" w:name="_bookmark571"/>
      <w:bookmarkEnd w:id="1144"/>
      <w:bookmarkStart w:id="1145" w:name="五百五十九、明知特种设备存在同一性缺陷，未立即停止生产并召回"/>
      <w:bookmarkEnd w:id="1145"/>
      <w:r>
        <w:rPr>
          <w:b/>
          <w:color w:val="auto"/>
          <w:spacing w:val="-9"/>
          <w:sz w:val="24"/>
        </w:rPr>
        <w:t>五百五十九、明知特种设备存在同一性缺陷，未立即停止生产并召回</w:t>
      </w:r>
    </w:p>
    <w:p>
      <w:pPr>
        <w:pStyle w:val="2"/>
        <w:spacing w:line="306" w:lineRule="exact"/>
        <w:ind w:left="581"/>
        <w:rPr>
          <w:color w:val="auto"/>
        </w:rPr>
      </w:pPr>
      <w:r>
        <w:rPr>
          <w:color w:val="auto"/>
        </w:rPr>
        <w:t>（一）处罚依据</w:t>
      </w:r>
    </w:p>
    <w:p>
      <w:pPr>
        <w:pStyle w:val="4"/>
        <w:spacing w:before="192" w:line="391" w:lineRule="auto"/>
        <w:ind w:right="268" w:firstLine="480"/>
        <w:jc w:val="both"/>
        <w:rPr>
          <w:color w:val="auto"/>
        </w:rPr>
      </w:pPr>
      <w:r>
        <w:rPr>
          <w:color w:val="auto"/>
          <w:spacing w:val="-5"/>
        </w:rPr>
        <w:t>《特种设备安全法》第八十一条第一款“违反本法规定，特种设备生产单位有下</w:t>
      </w:r>
      <w:r>
        <w:rPr>
          <w:color w:val="auto"/>
          <w:spacing w:val="-6"/>
        </w:rPr>
        <w:t>列行为之一的，责令限期改正；逾期未改正的，责令停止生产，处五万元以上五十万</w:t>
      </w:r>
      <w:r>
        <w:rPr>
          <w:color w:val="auto"/>
          <w:spacing w:val="-5"/>
        </w:rPr>
        <w:t>元以下罚款；情节严重的，吊销生产许可证：</w:t>
      </w:r>
      <w:r>
        <w:rPr>
          <w:color w:val="auto"/>
          <w:spacing w:val="2"/>
        </w:rPr>
        <w:t>（二）</w:t>
      </w:r>
      <w:r>
        <w:rPr>
          <w:color w:val="auto"/>
          <w:spacing w:val="1"/>
        </w:rPr>
        <w:t>明知特种设备存在同一性缺陷，</w:t>
      </w:r>
      <w:r>
        <w:rPr>
          <w:color w:val="auto"/>
          <w:spacing w:val="-10"/>
        </w:rPr>
        <w:t>未立即停止生产并召回的。”</w:t>
      </w:r>
    </w:p>
    <w:p>
      <w:pPr>
        <w:spacing w:before="0" w:line="388" w:lineRule="auto"/>
        <w:ind w:left="581" w:right="6957" w:firstLine="0"/>
        <w:jc w:val="left"/>
        <w:rPr>
          <w:color w:val="auto"/>
          <w:sz w:val="24"/>
        </w:rPr>
      </w:pPr>
      <w:r>
        <w:rPr>
          <w:b/>
          <w:color w:val="auto"/>
          <w:sz w:val="24"/>
        </w:rPr>
        <w:t>（二）裁量标准</w:t>
      </w:r>
      <w:r>
        <w:rPr>
          <w:color w:val="auto"/>
          <w:sz w:val="24"/>
        </w:rPr>
        <w:t>1、【一般】</w:t>
      </w:r>
    </w:p>
    <w:p>
      <w:pPr>
        <w:pStyle w:val="13"/>
        <w:numPr>
          <w:ilvl w:val="0"/>
          <w:numId w:val="1169"/>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未立即停止生产并召回的。</w:t>
      </w:r>
    </w:p>
    <w:p>
      <w:pPr>
        <w:pStyle w:val="13"/>
        <w:numPr>
          <w:ilvl w:val="0"/>
          <w:numId w:val="116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3122" w:hanging="10"/>
        <w:rPr>
          <w:color w:val="auto"/>
        </w:rPr>
      </w:pPr>
      <w:r>
        <w:rPr>
          <w:color w:val="auto"/>
          <w:spacing w:val="-30"/>
        </w:rPr>
        <w:t xml:space="preserve">处 </w:t>
      </w:r>
      <w:r>
        <w:rPr>
          <w:color w:val="auto"/>
        </w:rPr>
        <w:t>5</w:t>
      </w:r>
      <w:r>
        <w:rPr>
          <w:color w:val="auto"/>
          <w:spacing w:val="-20"/>
        </w:rPr>
        <w:t xml:space="preserve"> 万元以上 </w:t>
      </w:r>
      <w:r>
        <w:rPr>
          <w:color w:val="auto"/>
        </w:rPr>
        <w:t>50</w:t>
      </w:r>
      <w:r>
        <w:rPr>
          <w:color w:val="auto"/>
          <w:spacing w:val="-12"/>
        </w:rPr>
        <w:t xml:space="preserve"> 万元以下</w:t>
      </w:r>
      <w:r>
        <w:rPr>
          <w:color w:val="auto"/>
        </w:rPr>
        <w:t>（</w:t>
      </w:r>
      <w:r>
        <w:rPr>
          <w:color w:val="auto"/>
          <w:spacing w:val="-15"/>
        </w:rPr>
        <w:t xml:space="preserve">不包括 </w:t>
      </w:r>
      <w:r>
        <w:rPr>
          <w:color w:val="auto"/>
        </w:rPr>
        <w:t>50</w:t>
      </w:r>
      <w:r>
        <w:rPr>
          <w:color w:val="auto"/>
          <w:spacing w:val="-20"/>
        </w:rPr>
        <w:t xml:space="preserve"> 万元</w:t>
      </w:r>
      <w:r>
        <w:rPr>
          <w:color w:val="auto"/>
        </w:rPr>
        <w:t>）</w:t>
      </w:r>
      <w:r>
        <w:rPr>
          <w:color w:val="auto"/>
          <w:spacing w:val="-6"/>
        </w:rPr>
        <w:t>罚款。</w:t>
      </w:r>
      <w:r>
        <w:rPr>
          <w:color w:val="auto"/>
        </w:rPr>
        <w:t>2</w:t>
      </w:r>
      <w:r>
        <w:rPr>
          <w:color w:val="auto"/>
          <w:spacing w:val="-24"/>
        </w:rPr>
        <w:t>、【严重】</w:t>
      </w:r>
    </w:p>
    <w:p>
      <w:pPr>
        <w:pStyle w:val="13"/>
        <w:numPr>
          <w:ilvl w:val="0"/>
          <w:numId w:val="117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拒不停止生产并召回的。</w:t>
      </w:r>
    </w:p>
    <w:p>
      <w:pPr>
        <w:pStyle w:val="13"/>
        <w:numPr>
          <w:ilvl w:val="0"/>
          <w:numId w:val="117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处 50 万元罚款，建议原发证机关吊销生产许可证。</w:t>
      </w:r>
    </w:p>
    <w:p>
      <w:pPr>
        <w:pStyle w:val="2"/>
        <w:spacing w:before="191"/>
        <w:rPr>
          <w:color w:val="auto"/>
        </w:rPr>
      </w:pPr>
      <w:bookmarkStart w:id="1146" w:name="五百六十、特种设备生产单位生产、销售、交付国家明令淘汰的特种设备"/>
      <w:bookmarkEnd w:id="1146"/>
      <w:bookmarkStart w:id="1147" w:name="_bookmark572"/>
      <w:bookmarkEnd w:id="1147"/>
      <w:r>
        <w:rPr>
          <w:color w:val="auto"/>
        </w:rPr>
        <w:t>五百六十、特种设备生产单位生产、销售、交付国家明令淘汰的特种设备</w:t>
      </w:r>
    </w:p>
    <w:p>
      <w:pPr>
        <w:spacing w:before="194"/>
        <w:ind w:left="581" w:right="0" w:firstLine="0"/>
        <w:jc w:val="left"/>
        <w:rPr>
          <w:b/>
          <w:color w:val="auto"/>
          <w:sz w:val="24"/>
        </w:rPr>
      </w:pPr>
      <w:r>
        <w:rPr>
          <w:b/>
          <w:color w:val="auto"/>
          <w:sz w:val="24"/>
        </w:rPr>
        <w:t>（一）处罚依据</w:t>
      </w:r>
    </w:p>
    <w:p>
      <w:pPr>
        <w:pStyle w:val="4"/>
        <w:spacing w:before="192" w:line="388" w:lineRule="auto"/>
        <w:ind w:right="145" w:firstLine="480"/>
        <w:rPr>
          <w:color w:val="auto"/>
        </w:rPr>
      </w:pPr>
      <w:r>
        <w:rPr>
          <w:color w:val="auto"/>
          <w:spacing w:val="-12"/>
        </w:rPr>
        <w:t>《特种设备安全法》第八十一条第二款“违反本法规定，特种设备生产单位生产、销售、交付国家明令淘汰的特种设备的，责令停止生产、销售，没收违法生产、销售、</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spacing w:val="-8"/>
        </w:rPr>
        <w:t>交付的特种设备，处三万元以上三十万元以下罚款；有违法所得的，没收违法所得。”</w:t>
      </w:r>
    </w:p>
    <w:p>
      <w:pPr>
        <w:spacing w:before="195" w:line="388" w:lineRule="auto"/>
        <w:ind w:left="591" w:right="6957" w:hanging="10"/>
        <w:jc w:val="left"/>
        <w:rPr>
          <w:color w:val="auto"/>
          <w:sz w:val="24"/>
        </w:rPr>
      </w:pPr>
      <w:r>
        <w:rPr>
          <w:b/>
          <w:color w:val="auto"/>
          <w:sz w:val="24"/>
        </w:rPr>
        <w:t>（二）裁量标准</w:t>
      </w:r>
      <w:r>
        <w:rPr>
          <w:color w:val="auto"/>
          <w:sz w:val="24"/>
        </w:rPr>
        <w:t>1、【较轻】</w:t>
      </w:r>
    </w:p>
    <w:p>
      <w:pPr>
        <w:pStyle w:val="13"/>
        <w:numPr>
          <w:ilvl w:val="0"/>
          <w:numId w:val="117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尚未生产完成的。</w:t>
      </w:r>
    </w:p>
    <w:p>
      <w:pPr>
        <w:pStyle w:val="13"/>
        <w:numPr>
          <w:ilvl w:val="0"/>
          <w:numId w:val="117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68" w:firstLine="470"/>
        <w:rPr>
          <w:color w:val="auto"/>
        </w:rPr>
      </w:pPr>
      <w:r>
        <w:rPr>
          <w:color w:val="auto"/>
          <w:spacing w:val="-6"/>
        </w:rPr>
        <w:t xml:space="preserve">责令停止生产，没收违法生产的特种设备，处 </w:t>
      </w:r>
      <w:r>
        <w:rPr>
          <w:color w:val="auto"/>
        </w:rPr>
        <w:t>3</w:t>
      </w:r>
      <w:r>
        <w:rPr>
          <w:color w:val="auto"/>
          <w:spacing w:val="-20"/>
        </w:rPr>
        <w:t xml:space="preserve"> 万元以上 </w:t>
      </w:r>
      <w:r>
        <w:rPr>
          <w:color w:val="auto"/>
        </w:rPr>
        <w:t>8</w:t>
      </w:r>
      <w:r>
        <w:rPr>
          <w:color w:val="auto"/>
          <w:spacing w:val="-10"/>
        </w:rPr>
        <w:t xml:space="preserve"> 万元以下罚款；没收</w:t>
      </w:r>
      <w:r>
        <w:rPr>
          <w:color w:val="auto"/>
        </w:rPr>
        <w:t>违法所得。</w:t>
      </w:r>
    </w:p>
    <w:p>
      <w:pPr>
        <w:pStyle w:val="4"/>
        <w:spacing w:line="306" w:lineRule="exact"/>
        <w:ind w:left="591"/>
        <w:rPr>
          <w:color w:val="auto"/>
        </w:rPr>
      </w:pPr>
      <w:r>
        <w:rPr>
          <w:color w:val="auto"/>
        </w:rPr>
        <w:t>2、【一般】</w:t>
      </w:r>
    </w:p>
    <w:p>
      <w:pPr>
        <w:pStyle w:val="13"/>
        <w:numPr>
          <w:ilvl w:val="0"/>
          <w:numId w:val="117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尚未销售或交付的。</w:t>
      </w:r>
    </w:p>
    <w:p>
      <w:pPr>
        <w:pStyle w:val="13"/>
        <w:numPr>
          <w:ilvl w:val="0"/>
          <w:numId w:val="117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66" w:firstLine="470"/>
        <w:rPr>
          <w:color w:val="auto"/>
        </w:rPr>
      </w:pPr>
      <w:r>
        <w:rPr>
          <w:color w:val="auto"/>
          <w:spacing w:val="-10"/>
        </w:rPr>
        <w:t xml:space="preserve">责令停止生产、销售，没收违法生产、销售、交付的特种设备，处 </w:t>
      </w:r>
      <w:r>
        <w:rPr>
          <w:color w:val="auto"/>
        </w:rPr>
        <w:t>8</w:t>
      </w:r>
      <w:r>
        <w:rPr>
          <w:color w:val="auto"/>
          <w:spacing w:val="-20"/>
        </w:rPr>
        <w:t xml:space="preserve"> 万元以上 </w:t>
      </w:r>
      <w:r>
        <w:rPr>
          <w:color w:val="auto"/>
          <w:spacing w:val="-8"/>
        </w:rPr>
        <w:t xml:space="preserve">15 </w:t>
      </w:r>
      <w:r>
        <w:rPr>
          <w:color w:val="auto"/>
        </w:rPr>
        <w:t>万元以下罚款；没收违法所得。</w:t>
      </w:r>
    </w:p>
    <w:p>
      <w:pPr>
        <w:pStyle w:val="4"/>
        <w:spacing w:line="306" w:lineRule="exact"/>
        <w:ind w:left="591"/>
        <w:rPr>
          <w:color w:val="auto"/>
        </w:rPr>
      </w:pPr>
      <w:r>
        <w:rPr>
          <w:color w:val="auto"/>
        </w:rPr>
        <w:t>3、【较重】</w:t>
      </w:r>
    </w:p>
    <w:p>
      <w:pPr>
        <w:pStyle w:val="13"/>
        <w:numPr>
          <w:ilvl w:val="0"/>
          <w:numId w:val="1173"/>
        </w:numPr>
        <w:tabs>
          <w:tab w:val="left" w:pos="1193"/>
        </w:tabs>
        <w:spacing w:before="192" w:after="0" w:line="391" w:lineRule="auto"/>
        <w:ind w:left="591" w:right="7072" w:firstLine="0"/>
        <w:jc w:val="left"/>
        <w:rPr>
          <w:color w:val="auto"/>
          <w:sz w:val="24"/>
        </w:rPr>
      </w:pPr>
      <w:r>
        <w:rPr>
          <w:color w:val="auto"/>
          <w:spacing w:val="-5"/>
          <w:sz w:val="24"/>
        </w:rPr>
        <w:t>违法情形</w:t>
      </w:r>
      <w:r>
        <w:rPr>
          <w:color w:val="auto"/>
          <w:sz w:val="24"/>
        </w:rPr>
        <w:t>尚未使用的。</w:t>
      </w:r>
    </w:p>
    <w:p>
      <w:pPr>
        <w:pStyle w:val="13"/>
        <w:numPr>
          <w:ilvl w:val="0"/>
          <w:numId w:val="117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责令停止生产、销售，没收违法生产、销售、交付的特种设备，处 15 万元以上</w:t>
      </w:r>
    </w:p>
    <w:p>
      <w:pPr>
        <w:pStyle w:val="4"/>
        <w:spacing w:before="194"/>
        <w:rPr>
          <w:color w:val="auto"/>
        </w:rPr>
      </w:pPr>
      <w:r>
        <w:rPr>
          <w:color w:val="auto"/>
        </w:rPr>
        <w:t>20 万元以下罚款；没收违法所得。</w:t>
      </w:r>
    </w:p>
    <w:p>
      <w:pPr>
        <w:pStyle w:val="4"/>
        <w:spacing w:before="192"/>
        <w:ind w:left="591"/>
        <w:rPr>
          <w:color w:val="auto"/>
        </w:rPr>
      </w:pPr>
      <w:r>
        <w:rPr>
          <w:color w:val="auto"/>
        </w:rPr>
        <w:t>4、【严重】</w:t>
      </w:r>
    </w:p>
    <w:p>
      <w:pPr>
        <w:pStyle w:val="13"/>
        <w:numPr>
          <w:ilvl w:val="0"/>
          <w:numId w:val="1174"/>
        </w:numPr>
        <w:tabs>
          <w:tab w:val="left" w:pos="1193"/>
        </w:tabs>
        <w:spacing w:before="191" w:after="0" w:line="391" w:lineRule="auto"/>
        <w:ind w:left="591" w:right="7072" w:firstLine="0"/>
        <w:jc w:val="left"/>
        <w:rPr>
          <w:color w:val="auto"/>
          <w:sz w:val="24"/>
        </w:rPr>
      </w:pPr>
      <w:r>
        <w:rPr>
          <w:color w:val="auto"/>
          <w:spacing w:val="-5"/>
          <w:sz w:val="24"/>
        </w:rPr>
        <w:t>违法情形</w:t>
      </w:r>
      <w:r>
        <w:rPr>
          <w:color w:val="auto"/>
          <w:sz w:val="24"/>
        </w:rPr>
        <w:t>已经使用的。</w:t>
      </w:r>
    </w:p>
    <w:p>
      <w:pPr>
        <w:pStyle w:val="13"/>
        <w:numPr>
          <w:ilvl w:val="0"/>
          <w:numId w:val="1174"/>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责令停止生产、销售，没收违法生产、销售、交付的特种设备，处 20 万元以上</w:t>
      </w:r>
    </w:p>
    <w:p>
      <w:pPr>
        <w:pStyle w:val="4"/>
        <w:spacing w:before="194"/>
        <w:rPr>
          <w:color w:val="auto"/>
        </w:rPr>
      </w:pPr>
      <w:r>
        <w:rPr>
          <w:color w:val="auto"/>
        </w:rPr>
        <w:t>25 万元以下罚款；没收违法所得。</w:t>
      </w:r>
    </w:p>
    <w:p>
      <w:pPr>
        <w:pStyle w:val="4"/>
        <w:spacing w:before="192"/>
        <w:ind w:left="591"/>
        <w:rPr>
          <w:color w:val="auto"/>
        </w:rPr>
      </w:pPr>
      <w:r>
        <w:rPr>
          <w:color w:val="auto"/>
        </w:rPr>
        <w:t>5、【特别严重】</w:t>
      </w:r>
    </w:p>
    <w:p>
      <w:pPr>
        <w:pStyle w:val="13"/>
        <w:numPr>
          <w:ilvl w:val="0"/>
          <w:numId w:val="1175"/>
        </w:numPr>
        <w:tabs>
          <w:tab w:val="left" w:pos="1193"/>
        </w:tabs>
        <w:spacing w:before="191"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81"/>
        <w:rPr>
          <w:color w:val="auto"/>
        </w:rPr>
      </w:pPr>
      <w:r>
        <w:rPr>
          <w:color w:val="auto"/>
        </w:rPr>
        <w:t>已造成不良后果的。</w:t>
      </w:r>
    </w:p>
    <w:p>
      <w:pPr>
        <w:pStyle w:val="13"/>
        <w:numPr>
          <w:ilvl w:val="0"/>
          <w:numId w:val="1175"/>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责令停止生产、销售，没收违法生产、销售、交付的特种设备，处 25 万元以上</w:t>
      </w:r>
    </w:p>
    <w:p>
      <w:pPr>
        <w:pStyle w:val="4"/>
        <w:spacing w:before="192"/>
        <w:rPr>
          <w:color w:val="auto"/>
        </w:rPr>
      </w:pPr>
      <w:r>
        <w:rPr>
          <w:color w:val="auto"/>
        </w:rPr>
        <w:t>30 万元以下罚款；没收违法所得。</w:t>
      </w:r>
    </w:p>
    <w:p>
      <w:pPr>
        <w:pStyle w:val="2"/>
        <w:spacing w:before="194"/>
        <w:rPr>
          <w:color w:val="auto"/>
        </w:rPr>
      </w:pPr>
      <w:bookmarkStart w:id="1148" w:name="五百六十一、特种设备生产单位涂改、倒卖、出租、出借生产许可证"/>
      <w:bookmarkEnd w:id="1148"/>
      <w:bookmarkStart w:id="1149" w:name="_bookmark573"/>
      <w:bookmarkEnd w:id="1149"/>
      <w:r>
        <w:rPr>
          <w:color w:val="auto"/>
        </w:rPr>
        <w:t>五百六十一、特种设备生产单位涂改、倒卖、出租、出借生产许可证</w:t>
      </w:r>
    </w:p>
    <w:p>
      <w:pPr>
        <w:spacing w:before="192"/>
        <w:ind w:left="581" w:right="0" w:firstLine="0"/>
        <w:jc w:val="left"/>
        <w:rPr>
          <w:b/>
          <w:color w:val="auto"/>
          <w:sz w:val="24"/>
        </w:rPr>
      </w:pPr>
      <w:r>
        <w:rPr>
          <w:b/>
          <w:color w:val="auto"/>
          <w:sz w:val="24"/>
        </w:rPr>
        <w:t>（一）处罚依据</w:t>
      </w:r>
    </w:p>
    <w:p>
      <w:pPr>
        <w:pStyle w:val="4"/>
        <w:spacing w:before="191" w:line="391" w:lineRule="auto"/>
        <w:ind w:right="232" w:firstLine="480"/>
        <w:jc w:val="both"/>
        <w:rPr>
          <w:color w:val="auto"/>
        </w:rPr>
      </w:pPr>
      <w:r>
        <w:rPr>
          <w:color w:val="auto"/>
        </w:rPr>
        <w:t>《特种设备安全法》第八十一条第三款“特种设备生产单位涂改、倒卖、出租、出借生产许可证的，责令停止生产，处五万元以上五十万元以下罚款；情节严重的， 吊销生产许可证。”</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17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属初次违法的且违法行为持续时间较短和所涉特种设备数量较少的。</w:t>
      </w:r>
    </w:p>
    <w:p>
      <w:pPr>
        <w:pStyle w:val="13"/>
        <w:numPr>
          <w:ilvl w:val="0"/>
          <w:numId w:val="117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3472"/>
        <w:rPr>
          <w:color w:val="auto"/>
        </w:rPr>
      </w:pPr>
      <w:r>
        <w:rPr>
          <w:color w:val="auto"/>
          <w:spacing w:val="-7"/>
        </w:rPr>
        <w:t xml:space="preserve">责令停止生产，处 </w:t>
      </w:r>
      <w:r>
        <w:rPr>
          <w:color w:val="auto"/>
        </w:rPr>
        <w:t>5</w:t>
      </w:r>
      <w:r>
        <w:rPr>
          <w:color w:val="auto"/>
          <w:spacing w:val="-20"/>
        </w:rPr>
        <w:t xml:space="preserve"> 万元以上 </w:t>
      </w:r>
      <w:r>
        <w:rPr>
          <w:color w:val="auto"/>
        </w:rPr>
        <w:t>10</w:t>
      </w:r>
      <w:r>
        <w:rPr>
          <w:color w:val="auto"/>
          <w:spacing w:val="-10"/>
        </w:rPr>
        <w:t xml:space="preserve"> 万元以下罚款。</w:t>
      </w:r>
      <w:r>
        <w:rPr>
          <w:color w:val="auto"/>
        </w:rPr>
        <w:t>2</w:t>
      </w:r>
      <w:r>
        <w:rPr>
          <w:color w:val="auto"/>
          <w:spacing w:val="-24"/>
        </w:rPr>
        <w:t>、【一般】</w:t>
      </w:r>
    </w:p>
    <w:p>
      <w:pPr>
        <w:pStyle w:val="13"/>
        <w:numPr>
          <w:ilvl w:val="0"/>
          <w:numId w:val="117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有两次以上违法行为的；违法行为持续时间较短和所涉特种设备数量较少的。</w:t>
      </w:r>
    </w:p>
    <w:p>
      <w:pPr>
        <w:pStyle w:val="13"/>
        <w:numPr>
          <w:ilvl w:val="0"/>
          <w:numId w:val="117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3352"/>
        <w:rPr>
          <w:color w:val="auto"/>
        </w:rPr>
      </w:pPr>
      <w:r>
        <w:rPr>
          <w:color w:val="auto"/>
          <w:spacing w:val="-7"/>
        </w:rPr>
        <w:t xml:space="preserve">责令停止生产，处 </w:t>
      </w:r>
      <w:r>
        <w:rPr>
          <w:color w:val="auto"/>
        </w:rPr>
        <w:t>10</w:t>
      </w:r>
      <w:r>
        <w:rPr>
          <w:color w:val="auto"/>
          <w:spacing w:val="-20"/>
        </w:rPr>
        <w:t xml:space="preserve"> 万元以上 </w:t>
      </w:r>
      <w:r>
        <w:rPr>
          <w:color w:val="auto"/>
        </w:rPr>
        <w:t>20</w:t>
      </w:r>
      <w:r>
        <w:rPr>
          <w:color w:val="auto"/>
          <w:spacing w:val="-10"/>
        </w:rPr>
        <w:t xml:space="preserve"> 万元以下罚款。</w:t>
      </w:r>
      <w:r>
        <w:rPr>
          <w:color w:val="auto"/>
        </w:rPr>
        <w:t>3</w:t>
      </w:r>
      <w:r>
        <w:rPr>
          <w:color w:val="auto"/>
          <w:spacing w:val="-24"/>
        </w:rPr>
        <w:t>、【较重】</w:t>
      </w:r>
    </w:p>
    <w:p>
      <w:pPr>
        <w:pStyle w:val="13"/>
        <w:numPr>
          <w:ilvl w:val="0"/>
          <w:numId w:val="117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违法行为持续时间较长或所涉特种设备数量较多的。</w:t>
      </w:r>
    </w:p>
    <w:p>
      <w:pPr>
        <w:pStyle w:val="13"/>
        <w:numPr>
          <w:ilvl w:val="0"/>
          <w:numId w:val="117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3352"/>
        <w:rPr>
          <w:color w:val="auto"/>
        </w:rPr>
      </w:pPr>
      <w:r>
        <w:rPr>
          <w:color w:val="auto"/>
          <w:spacing w:val="-7"/>
        </w:rPr>
        <w:t xml:space="preserve">责令停止生产，处 </w:t>
      </w:r>
      <w:r>
        <w:rPr>
          <w:color w:val="auto"/>
        </w:rPr>
        <w:t>20</w:t>
      </w:r>
      <w:r>
        <w:rPr>
          <w:color w:val="auto"/>
          <w:spacing w:val="-20"/>
        </w:rPr>
        <w:t xml:space="preserve"> 万元以上 </w:t>
      </w:r>
      <w:r>
        <w:rPr>
          <w:color w:val="auto"/>
        </w:rPr>
        <w:t>30</w:t>
      </w:r>
      <w:r>
        <w:rPr>
          <w:color w:val="auto"/>
          <w:spacing w:val="-10"/>
        </w:rPr>
        <w:t xml:space="preserve"> 万元以下罚款。</w:t>
      </w:r>
      <w:r>
        <w:rPr>
          <w:color w:val="auto"/>
        </w:rPr>
        <w:t>4</w:t>
      </w:r>
      <w:r>
        <w:rPr>
          <w:color w:val="auto"/>
          <w:spacing w:val="-24"/>
        </w:rPr>
        <w:t>、【严重】</w:t>
      </w:r>
    </w:p>
    <w:p>
      <w:pPr>
        <w:pStyle w:val="13"/>
        <w:numPr>
          <w:ilvl w:val="0"/>
          <w:numId w:val="117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违法行为持续时间较长且所涉特种设备数量较多的。</w:t>
      </w:r>
    </w:p>
    <w:p>
      <w:pPr>
        <w:spacing w:after="0"/>
        <w:rPr>
          <w:color w:val="auto"/>
        </w:rPr>
        <w:sectPr>
          <w:pgSz w:w="11910" w:h="16840"/>
          <w:pgMar w:top="1520" w:right="1260" w:bottom="1220" w:left="1420" w:header="0" w:footer="1034" w:gutter="0"/>
        </w:sectPr>
      </w:pPr>
    </w:p>
    <w:p>
      <w:pPr>
        <w:pStyle w:val="13"/>
        <w:numPr>
          <w:ilvl w:val="0"/>
          <w:numId w:val="1179"/>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3352"/>
        <w:rPr>
          <w:color w:val="auto"/>
        </w:rPr>
      </w:pPr>
      <w:r>
        <w:rPr>
          <w:color w:val="auto"/>
          <w:spacing w:val="-7"/>
        </w:rPr>
        <w:t xml:space="preserve">责令停止生产，处 </w:t>
      </w:r>
      <w:r>
        <w:rPr>
          <w:color w:val="auto"/>
        </w:rPr>
        <w:t>30</w:t>
      </w:r>
      <w:r>
        <w:rPr>
          <w:color w:val="auto"/>
          <w:spacing w:val="-20"/>
        </w:rPr>
        <w:t xml:space="preserve"> 万元以上 </w:t>
      </w:r>
      <w:r>
        <w:rPr>
          <w:color w:val="auto"/>
        </w:rPr>
        <w:t>40</w:t>
      </w:r>
      <w:r>
        <w:rPr>
          <w:color w:val="auto"/>
          <w:spacing w:val="-10"/>
        </w:rPr>
        <w:t xml:space="preserve"> 万元以下罚款。</w:t>
      </w:r>
      <w:r>
        <w:rPr>
          <w:color w:val="auto"/>
        </w:rPr>
        <w:t>5</w:t>
      </w:r>
      <w:r>
        <w:rPr>
          <w:color w:val="auto"/>
          <w:spacing w:val="-18"/>
        </w:rPr>
        <w:t>、【特别严重】</w:t>
      </w:r>
    </w:p>
    <w:p>
      <w:pPr>
        <w:pStyle w:val="13"/>
        <w:numPr>
          <w:ilvl w:val="0"/>
          <w:numId w:val="118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已造成不良后果的。</w:t>
      </w:r>
    </w:p>
    <w:p>
      <w:pPr>
        <w:pStyle w:val="13"/>
        <w:numPr>
          <w:ilvl w:val="0"/>
          <w:numId w:val="118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68" w:firstLine="480"/>
        <w:rPr>
          <w:color w:val="auto"/>
        </w:rPr>
      </w:pPr>
      <w:r>
        <w:rPr>
          <w:color w:val="auto"/>
          <w:spacing w:val="-10"/>
        </w:rPr>
        <w:t xml:space="preserve">责令停止生产，处 </w:t>
      </w:r>
      <w:r>
        <w:rPr>
          <w:color w:val="auto"/>
        </w:rPr>
        <w:t>40</w:t>
      </w:r>
      <w:r>
        <w:rPr>
          <w:color w:val="auto"/>
          <w:spacing w:val="-20"/>
        </w:rPr>
        <w:t xml:space="preserve"> 万元以上 </w:t>
      </w:r>
      <w:r>
        <w:rPr>
          <w:color w:val="auto"/>
        </w:rPr>
        <w:t>50</w:t>
      </w:r>
      <w:r>
        <w:rPr>
          <w:color w:val="auto"/>
          <w:spacing w:val="-10"/>
        </w:rPr>
        <w:t xml:space="preserve"> 万元以下罚款，建议原发证机关吊销生产许可</w:t>
      </w:r>
      <w:r>
        <w:rPr>
          <w:color w:val="auto"/>
        </w:rPr>
        <w:t>证。</w:t>
      </w:r>
    </w:p>
    <w:p>
      <w:pPr>
        <w:pStyle w:val="2"/>
        <w:spacing w:line="306" w:lineRule="exact"/>
        <w:rPr>
          <w:color w:val="auto"/>
        </w:rPr>
      </w:pPr>
      <w:bookmarkStart w:id="1150" w:name="_bookmark574"/>
      <w:bookmarkEnd w:id="1150"/>
      <w:bookmarkStart w:id="1151" w:name="五百六十二、销售、出租未取得许可生产，未经检验或者检验不合格的特种设备"/>
      <w:bookmarkEnd w:id="1151"/>
      <w:r>
        <w:rPr>
          <w:color w:val="auto"/>
        </w:rPr>
        <w:t>五百六十二、销售、出租未取得许可生产，未经检验或者检验不合格的特种设备</w:t>
      </w:r>
    </w:p>
    <w:p>
      <w:pPr>
        <w:spacing w:before="192"/>
        <w:ind w:left="58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rPr>
        <w:t>《特种设备安全法》 第八十二条第一款“违反本法规定，特种设备经营单位有</w:t>
      </w:r>
      <w:r>
        <w:rPr>
          <w:color w:val="auto"/>
          <w:spacing w:val="-5"/>
        </w:rPr>
        <w:t>下列行为之一的，责令停止经营，没收违法经营的特种设备，处三万元以上三十万元</w:t>
      </w:r>
      <w:r>
        <w:rPr>
          <w:color w:val="auto"/>
          <w:spacing w:val="-6"/>
        </w:rPr>
        <w:t>以下罚款；有违法所得的，没收违法所得：</w:t>
      </w:r>
      <w:r>
        <w:rPr>
          <w:color w:val="auto"/>
          <w:spacing w:val="2"/>
        </w:rPr>
        <w:t>（一）</w:t>
      </w:r>
      <w:r>
        <w:rPr>
          <w:color w:val="auto"/>
          <w:spacing w:val="1"/>
        </w:rPr>
        <w:t>销售、出租未取得许可生产，未经</w:t>
      </w:r>
      <w:r>
        <w:rPr>
          <w:color w:val="auto"/>
          <w:spacing w:val="-7"/>
        </w:rPr>
        <w:t>检验或者检验不合格的特种设备的；”</w:t>
      </w:r>
    </w:p>
    <w:p>
      <w:pPr>
        <w:spacing w:before="0" w:line="388" w:lineRule="auto"/>
        <w:ind w:left="111" w:right="6948" w:firstLine="480"/>
        <w:jc w:val="left"/>
        <w:rPr>
          <w:color w:val="auto"/>
          <w:sz w:val="24"/>
        </w:rPr>
      </w:pPr>
      <w:r>
        <w:rPr>
          <w:b/>
          <w:color w:val="auto"/>
          <w:sz w:val="24"/>
        </w:rPr>
        <w:t>（二）裁量标准</w:t>
      </w:r>
      <w:r>
        <w:rPr>
          <w:color w:val="auto"/>
          <w:sz w:val="24"/>
        </w:rPr>
        <w:t>1、【较轻】</w:t>
      </w:r>
    </w:p>
    <w:p>
      <w:pPr>
        <w:pStyle w:val="13"/>
        <w:numPr>
          <w:ilvl w:val="0"/>
          <w:numId w:val="118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81"/>
        <w:rPr>
          <w:color w:val="auto"/>
        </w:rPr>
      </w:pPr>
      <w:r>
        <w:rPr>
          <w:color w:val="auto"/>
        </w:rPr>
        <w:t>初次违法，且涉及特种设备数量较少的。</w:t>
      </w:r>
    </w:p>
    <w:p>
      <w:pPr>
        <w:pStyle w:val="13"/>
        <w:numPr>
          <w:ilvl w:val="0"/>
          <w:numId w:val="118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70"/>
        <w:rPr>
          <w:color w:val="auto"/>
        </w:rPr>
      </w:pPr>
      <w:r>
        <w:rPr>
          <w:color w:val="auto"/>
          <w:spacing w:val="-6"/>
        </w:rPr>
        <w:t xml:space="preserve">责令停止经营，没收违法经营的特种设备，处 </w:t>
      </w:r>
      <w:r>
        <w:rPr>
          <w:color w:val="auto"/>
        </w:rPr>
        <w:t>3</w:t>
      </w:r>
      <w:r>
        <w:rPr>
          <w:color w:val="auto"/>
          <w:spacing w:val="-20"/>
        </w:rPr>
        <w:t xml:space="preserve"> 万元以上 </w:t>
      </w:r>
      <w:r>
        <w:rPr>
          <w:color w:val="auto"/>
        </w:rPr>
        <w:t>8</w:t>
      </w:r>
      <w:r>
        <w:rPr>
          <w:color w:val="auto"/>
          <w:spacing w:val="-10"/>
        </w:rPr>
        <w:t xml:space="preserve"> 万元以下罚款；没收</w:t>
      </w:r>
      <w:r>
        <w:rPr>
          <w:color w:val="auto"/>
        </w:rPr>
        <w:t>违法所得。</w:t>
      </w:r>
    </w:p>
    <w:p>
      <w:pPr>
        <w:pStyle w:val="4"/>
        <w:spacing w:before="2"/>
        <w:ind w:left="591"/>
        <w:rPr>
          <w:color w:val="auto"/>
        </w:rPr>
      </w:pPr>
      <w:r>
        <w:rPr>
          <w:color w:val="auto"/>
        </w:rPr>
        <w:t>2、【一般】</w:t>
      </w:r>
    </w:p>
    <w:p>
      <w:pPr>
        <w:pStyle w:val="13"/>
        <w:numPr>
          <w:ilvl w:val="0"/>
          <w:numId w:val="118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涉及特种设备数量较少的。</w:t>
      </w:r>
    </w:p>
    <w:p>
      <w:pPr>
        <w:pStyle w:val="13"/>
        <w:numPr>
          <w:ilvl w:val="0"/>
          <w:numId w:val="118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70"/>
        <w:rPr>
          <w:color w:val="auto"/>
        </w:rPr>
      </w:pPr>
      <w:r>
        <w:rPr>
          <w:color w:val="auto"/>
          <w:spacing w:val="-3"/>
        </w:rPr>
        <w:t xml:space="preserve">责令停止经营，没收违法经营的特种设备，处 </w:t>
      </w:r>
      <w:r>
        <w:rPr>
          <w:color w:val="auto"/>
        </w:rPr>
        <w:t>8</w:t>
      </w:r>
      <w:r>
        <w:rPr>
          <w:color w:val="auto"/>
          <w:spacing w:val="-16"/>
        </w:rPr>
        <w:t xml:space="preserve"> 万元以上 </w:t>
      </w:r>
      <w:r>
        <w:rPr>
          <w:color w:val="auto"/>
        </w:rPr>
        <w:t>15</w:t>
      </w:r>
      <w:r>
        <w:rPr>
          <w:color w:val="auto"/>
          <w:spacing w:val="-7"/>
        </w:rPr>
        <w:t xml:space="preserve"> 万元以下罚款；没收违法所得。</w:t>
      </w:r>
    </w:p>
    <w:p>
      <w:pPr>
        <w:pStyle w:val="4"/>
        <w:spacing w:before="2"/>
        <w:ind w:left="591"/>
        <w:rPr>
          <w:color w:val="auto"/>
        </w:rPr>
      </w:pPr>
      <w:r>
        <w:rPr>
          <w:color w:val="auto"/>
        </w:rPr>
        <w:t>3、【较重】</w:t>
      </w:r>
    </w:p>
    <w:p>
      <w:pPr>
        <w:spacing w:after="0"/>
        <w:rPr>
          <w:color w:val="auto"/>
        </w:rPr>
        <w:sectPr>
          <w:pgSz w:w="11910" w:h="16840"/>
          <w:pgMar w:top="1520" w:right="1260" w:bottom="1220" w:left="1420" w:header="0" w:footer="1034" w:gutter="0"/>
        </w:sectPr>
      </w:pPr>
    </w:p>
    <w:p>
      <w:pPr>
        <w:pStyle w:val="13"/>
        <w:numPr>
          <w:ilvl w:val="0"/>
          <w:numId w:val="1183"/>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81"/>
        <w:rPr>
          <w:color w:val="auto"/>
        </w:rPr>
      </w:pPr>
      <w:r>
        <w:rPr>
          <w:color w:val="auto"/>
        </w:rPr>
        <w:t>涉及特种设备数量较多的。</w:t>
      </w:r>
    </w:p>
    <w:p>
      <w:pPr>
        <w:pStyle w:val="13"/>
        <w:numPr>
          <w:ilvl w:val="0"/>
          <w:numId w:val="118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470"/>
        <w:rPr>
          <w:color w:val="auto"/>
        </w:rPr>
      </w:pPr>
      <w:r>
        <w:rPr>
          <w:color w:val="auto"/>
          <w:spacing w:val="-6"/>
        </w:rPr>
        <w:t xml:space="preserve">责令停止经营，没收违法经营的特种设备，处 </w:t>
      </w:r>
      <w:r>
        <w:rPr>
          <w:color w:val="auto"/>
        </w:rPr>
        <w:t>15</w:t>
      </w:r>
      <w:r>
        <w:rPr>
          <w:color w:val="auto"/>
          <w:spacing w:val="-20"/>
        </w:rPr>
        <w:t xml:space="preserve"> 万元以上 </w:t>
      </w:r>
      <w:r>
        <w:rPr>
          <w:color w:val="auto"/>
        </w:rPr>
        <w:t>20</w:t>
      </w:r>
      <w:r>
        <w:rPr>
          <w:color w:val="auto"/>
          <w:spacing w:val="-11"/>
        </w:rPr>
        <w:t xml:space="preserve"> 万元以下罚款；没</w:t>
      </w:r>
      <w:r>
        <w:rPr>
          <w:color w:val="auto"/>
        </w:rPr>
        <w:t>收违法所得。</w:t>
      </w:r>
    </w:p>
    <w:p>
      <w:pPr>
        <w:pStyle w:val="4"/>
        <w:spacing w:line="306" w:lineRule="exact"/>
        <w:ind w:left="591"/>
        <w:rPr>
          <w:color w:val="auto"/>
        </w:rPr>
      </w:pPr>
      <w:r>
        <w:rPr>
          <w:color w:val="auto"/>
        </w:rPr>
        <w:t>4、【严重】</w:t>
      </w:r>
    </w:p>
    <w:p>
      <w:pPr>
        <w:pStyle w:val="13"/>
        <w:numPr>
          <w:ilvl w:val="0"/>
          <w:numId w:val="118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涉及特种设备数量较多且造成一定影响的。</w:t>
      </w:r>
    </w:p>
    <w:p>
      <w:pPr>
        <w:pStyle w:val="13"/>
        <w:numPr>
          <w:ilvl w:val="0"/>
          <w:numId w:val="118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68" w:firstLine="470"/>
        <w:rPr>
          <w:color w:val="auto"/>
        </w:rPr>
      </w:pPr>
      <w:r>
        <w:rPr>
          <w:color w:val="auto"/>
          <w:spacing w:val="-6"/>
        </w:rPr>
        <w:t xml:space="preserve">责令停止经营，没收违法经营的特种设备，处 </w:t>
      </w:r>
      <w:r>
        <w:rPr>
          <w:color w:val="auto"/>
        </w:rPr>
        <w:t>20</w:t>
      </w:r>
      <w:r>
        <w:rPr>
          <w:color w:val="auto"/>
          <w:spacing w:val="-20"/>
        </w:rPr>
        <w:t xml:space="preserve"> 万元以上 </w:t>
      </w:r>
      <w:r>
        <w:rPr>
          <w:color w:val="auto"/>
        </w:rPr>
        <w:t>25</w:t>
      </w:r>
      <w:r>
        <w:rPr>
          <w:color w:val="auto"/>
          <w:spacing w:val="-11"/>
        </w:rPr>
        <w:t xml:space="preserve"> 万元以下罚款；没</w:t>
      </w:r>
      <w:r>
        <w:rPr>
          <w:color w:val="auto"/>
        </w:rPr>
        <w:t>收违法所得。</w:t>
      </w:r>
    </w:p>
    <w:p>
      <w:pPr>
        <w:pStyle w:val="4"/>
        <w:spacing w:line="306" w:lineRule="exact"/>
        <w:ind w:left="581"/>
        <w:rPr>
          <w:color w:val="auto"/>
        </w:rPr>
      </w:pPr>
      <w:r>
        <w:rPr>
          <w:color w:val="auto"/>
        </w:rPr>
        <w:t>5、【特别严重】</w:t>
      </w:r>
    </w:p>
    <w:p>
      <w:pPr>
        <w:pStyle w:val="13"/>
        <w:numPr>
          <w:ilvl w:val="0"/>
          <w:numId w:val="1185"/>
        </w:numPr>
        <w:tabs>
          <w:tab w:val="left" w:pos="1183"/>
        </w:tabs>
        <w:spacing w:before="192" w:after="0" w:line="240" w:lineRule="auto"/>
        <w:ind w:left="1182" w:right="0" w:hanging="602"/>
        <w:jc w:val="left"/>
        <w:rPr>
          <w:color w:val="auto"/>
          <w:sz w:val="24"/>
        </w:rPr>
      </w:pPr>
      <w:r>
        <w:rPr>
          <w:color w:val="auto"/>
          <w:sz w:val="24"/>
        </w:rPr>
        <w:t>违法情形</w:t>
      </w:r>
    </w:p>
    <w:p>
      <w:pPr>
        <w:pStyle w:val="4"/>
        <w:spacing w:before="194"/>
        <w:ind w:left="581"/>
        <w:rPr>
          <w:color w:val="auto"/>
        </w:rPr>
      </w:pPr>
      <w:r>
        <w:rPr>
          <w:color w:val="auto"/>
        </w:rPr>
        <w:t>已造成不良后果的。</w:t>
      </w:r>
    </w:p>
    <w:p>
      <w:pPr>
        <w:pStyle w:val="13"/>
        <w:numPr>
          <w:ilvl w:val="0"/>
          <w:numId w:val="1185"/>
        </w:numPr>
        <w:tabs>
          <w:tab w:val="left" w:pos="1183"/>
        </w:tabs>
        <w:spacing w:before="192" w:after="0" w:line="240" w:lineRule="auto"/>
        <w:ind w:left="1182" w:right="0" w:hanging="602"/>
        <w:jc w:val="left"/>
        <w:rPr>
          <w:color w:val="auto"/>
          <w:sz w:val="24"/>
        </w:rPr>
      </w:pPr>
      <w:r>
        <w:rPr>
          <w:color w:val="auto"/>
          <w:sz w:val="24"/>
        </w:rPr>
        <w:t>处罚标准</w:t>
      </w:r>
    </w:p>
    <w:p>
      <w:pPr>
        <w:pStyle w:val="4"/>
        <w:spacing w:before="191" w:line="391" w:lineRule="auto"/>
        <w:ind w:right="268" w:firstLine="470"/>
        <w:rPr>
          <w:color w:val="auto"/>
        </w:rPr>
      </w:pPr>
      <w:r>
        <w:rPr>
          <w:color w:val="auto"/>
          <w:spacing w:val="-6"/>
        </w:rPr>
        <w:t xml:space="preserve">责令停止经营，没收违法经营的特种设备，处 </w:t>
      </w:r>
      <w:r>
        <w:rPr>
          <w:color w:val="auto"/>
        </w:rPr>
        <w:t>25</w:t>
      </w:r>
      <w:r>
        <w:rPr>
          <w:color w:val="auto"/>
          <w:spacing w:val="-20"/>
        </w:rPr>
        <w:t xml:space="preserve"> 万元以上 </w:t>
      </w:r>
      <w:r>
        <w:rPr>
          <w:color w:val="auto"/>
        </w:rPr>
        <w:t>30</w:t>
      </w:r>
      <w:r>
        <w:rPr>
          <w:color w:val="auto"/>
          <w:spacing w:val="-11"/>
        </w:rPr>
        <w:t xml:space="preserve"> 万元以下罚款；没</w:t>
      </w:r>
      <w:r>
        <w:rPr>
          <w:color w:val="auto"/>
        </w:rPr>
        <w:t>收违法所得。</w:t>
      </w:r>
    </w:p>
    <w:p>
      <w:pPr>
        <w:pStyle w:val="2"/>
        <w:spacing w:line="388" w:lineRule="auto"/>
        <w:ind w:left="111" w:right="237" w:firstLine="480"/>
        <w:rPr>
          <w:color w:val="auto"/>
        </w:rPr>
      </w:pPr>
      <w:bookmarkStart w:id="1152" w:name="_bookmark575"/>
      <w:bookmarkEnd w:id="1152"/>
      <w:bookmarkStart w:id="1153" w:name="五百六十三、销售、出租国家明令淘汰、已经报废的特种设备，或者未按照安全技术规范的"/>
      <w:bookmarkEnd w:id="1153"/>
      <w:r>
        <w:rPr>
          <w:color w:val="auto"/>
          <w:spacing w:val="-7"/>
        </w:rPr>
        <w:t>五百六十三、销售、出租国家明令淘汰、已经报废的特种设备，或者未按照安全技术规范的要求进行维护保养的特种设备</w:t>
      </w:r>
    </w:p>
    <w:p>
      <w:pPr>
        <w:spacing w:before="3"/>
        <w:ind w:left="58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5"/>
        </w:rPr>
        <w:t>《特种设备安全法》第八十二条第一款“违反本法规定，特种设备经营单位有下列行为之一的，责令停止经营，没收违法经营的特种设备，处三万元以上三十万元以</w:t>
      </w:r>
      <w:r>
        <w:rPr>
          <w:color w:val="auto"/>
          <w:spacing w:val="-6"/>
        </w:rPr>
        <w:t>下罚款；有违法所得的，没收违法所得：</w:t>
      </w:r>
      <w:r>
        <w:rPr>
          <w:color w:val="auto"/>
          <w:spacing w:val="2"/>
        </w:rPr>
        <w:t>（二）</w:t>
      </w:r>
      <w:r>
        <w:rPr>
          <w:color w:val="auto"/>
        </w:rPr>
        <w:t>销售、出租国家明令淘汰、已经报废</w:t>
      </w:r>
      <w:r>
        <w:rPr>
          <w:color w:val="auto"/>
          <w:spacing w:val="-4"/>
        </w:rPr>
        <w:t>的特种设备，或者未按照安全技术规范的要求进行维护保养的特种设备的。”</w:t>
      </w:r>
    </w:p>
    <w:p>
      <w:pPr>
        <w:spacing w:before="0" w:line="391" w:lineRule="auto"/>
        <w:ind w:left="111" w:right="6948" w:firstLine="480"/>
        <w:jc w:val="left"/>
        <w:rPr>
          <w:color w:val="auto"/>
          <w:sz w:val="24"/>
        </w:rPr>
      </w:pPr>
      <w:r>
        <w:rPr>
          <w:b/>
          <w:color w:val="auto"/>
          <w:sz w:val="24"/>
        </w:rPr>
        <w:t>（二）裁量标准</w:t>
      </w:r>
      <w:r>
        <w:rPr>
          <w:color w:val="auto"/>
          <w:sz w:val="24"/>
        </w:rPr>
        <w:t>1、【较轻】</w:t>
      </w:r>
    </w:p>
    <w:p>
      <w:pPr>
        <w:pStyle w:val="13"/>
        <w:numPr>
          <w:ilvl w:val="0"/>
          <w:numId w:val="118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81"/>
        <w:rPr>
          <w:color w:val="auto"/>
        </w:rPr>
      </w:pPr>
      <w:r>
        <w:rPr>
          <w:color w:val="auto"/>
        </w:rPr>
        <w:t>初次违法，且涉及特种设备数量较少的。</w:t>
      </w:r>
    </w:p>
    <w:p>
      <w:pPr>
        <w:spacing w:after="0"/>
        <w:rPr>
          <w:color w:val="auto"/>
        </w:rPr>
        <w:sectPr>
          <w:pgSz w:w="11910" w:h="16840"/>
          <w:pgMar w:top="1520" w:right="1260" w:bottom="1220" w:left="1420" w:header="0" w:footer="1034" w:gutter="0"/>
        </w:sectPr>
      </w:pPr>
    </w:p>
    <w:p>
      <w:pPr>
        <w:pStyle w:val="13"/>
        <w:numPr>
          <w:ilvl w:val="0"/>
          <w:numId w:val="1186"/>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right="268" w:firstLine="470"/>
        <w:rPr>
          <w:color w:val="auto"/>
        </w:rPr>
      </w:pPr>
      <w:r>
        <w:rPr>
          <w:color w:val="auto"/>
          <w:spacing w:val="-6"/>
        </w:rPr>
        <w:t xml:space="preserve">责令停止经营，没收违法经营的特种设备，处 </w:t>
      </w:r>
      <w:r>
        <w:rPr>
          <w:color w:val="auto"/>
        </w:rPr>
        <w:t>3</w:t>
      </w:r>
      <w:r>
        <w:rPr>
          <w:color w:val="auto"/>
          <w:spacing w:val="-20"/>
        </w:rPr>
        <w:t xml:space="preserve"> 万元以上 </w:t>
      </w:r>
      <w:r>
        <w:rPr>
          <w:color w:val="auto"/>
        </w:rPr>
        <w:t>8</w:t>
      </w:r>
      <w:r>
        <w:rPr>
          <w:color w:val="auto"/>
          <w:spacing w:val="-10"/>
        </w:rPr>
        <w:t xml:space="preserve"> 万元以下罚款；没收</w:t>
      </w:r>
      <w:r>
        <w:rPr>
          <w:color w:val="auto"/>
        </w:rPr>
        <w:t>违法所得。</w:t>
      </w:r>
    </w:p>
    <w:p>
      <w:pPr>
        <w:pStyle w:val="4"/>
        <w:spacing w:before="2"/>
        <w:ind w:left="591"/>
        <w:rPr>
          <w:color w:val="auto"/>
        </w:rPr>
      </w:pPr>
      <w:r>
        <w:rPr>
          <w:color w:val="auto"/>
        </w:rPr>
        <w:t>2、【一般】</w:t>
      </w:r>
    </w:p>
    <w:p>
      <w:pPr>
        <w:pStyle w:val="13"/>
        <w:numPr>
          <w:ilvl w:val="0"/>
          <w:numId w:val="118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涉及特种设备数量较少的。</w:t>
      </w:r>
    </w:p>
    <w:p>
      <w:pPr>
        <w:pStyle w:val="13"/>
        <w:numPr>
          <w:ilvl w:val="0"/>
          <w:numId w:val="118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right="268" w:firstLine="470"/>
        <w:rPr>
          <w:color w:val="auto"/>
        </w:rPr>
      </w:pPr>
      <w:r>
        <w:rPr>
          <w:color w:val="auto"/>
          <w:spacing w:val="-3"/>
        </w:rPr>
        <w:t xml:space="preserve">责令停止经营，没收违法经营的特种设备，处 </w:t>
      </w:r>
      <w:r>
        <w:rPr>
          <w:color w:val="auto"/>
        </w:rPr>
        <w:t>8</w:t>
      </w:r>
      <w:r>
        <w:rPr>
          <w:color w:val="auto"/>
          <w:spacing w:val="-16"/>
        </w:rPr>
        <w:t xml:space="preserve"> 万元以上 </w:t>
      </w:r>
      <w:r>
        <w:rPr>
          <w:color w:val="auto"/>
        </w:rPr>
        <w:t>15</w:t>
      </w:r>
      <w:r>
        <w:rPr>
          <w:color w:val="auto"/>
          <w:spacing w:val="-7"/>
        </w:rPr>
        <w:t xml:space="preserve"> 万元以下罚款；没收违法所得。</w:t>
      </w:r>
    </w:p>
    <w:p>
      <w:pPr>
        <w:pStyle w:val="4"/>
        <w:spacing w:before="2"/>
        <w:ind w:left="591"/>
        <w:rPr>
          <w:color w:val="auto"/>
        </w:rPr>
      </w:pPr>
      <w:r>
        <w:rPr>
          <w:color w:val="auto"/>
        </w:rPr>
        <w:t>3、【较重】</w:t>
      </w:r>
    </w:p>
    <w:p>
      <w:pPr>
        <w:pStyle w:val="13"/>
        <w:numPr>
          <w:ilvl w:val="0"/>
          <w:numId w:val="1188"/>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81"/>
        <w:rPr>
          <w:color w:val="auto"/>
        </w:rPr>
      </w:pPr>
      <w:r>
        <w:rPr>
          <w:color w:val="auto"/>
        </w:rPr>
        <w:t>涉及特种设备数量较多的。</w:t>
      </w:r>
    </w:p>
    <w:p>
      <w:pPr>
        <w:pStyle w:val="13"/>
        <w:numPr>
          <w:ilvl w:val="0"/>
          <w:numId w:val="118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70"/>
        <w:rPr>
          <w:color w:val="auto"/>
        </w:rPr>
      </w:pPr>
      <w:r>
        <w:rPr>
          <w:color w:val="auto"/>
          <w:spacing w:val="-6"/>
        </w:rPr>
        <w:t xml:space="preserve">责令停止经营，没收违法经营的特种设备，处 </w:t>
      </w:r>
      <w:r>
        <w:rPr>
          <w:color w:val="auto"/>
        </w:rPr>
        <w:t>15</w:t>
      </w:r>
      <w:r>
        <w:rPr>
          <w:color w:val="auto"/>
          <w:spacing w:val="-20"/>
        </w:rPr>
        <w:t xml:space="preserve"> 万元以上 </w:t>
      </w:r>
      <w:r>
        <w:rPr>
          <w:color w:val="auto"/>
        </w:rPr>
        <w:t>20</w:t>
      </w:r>
      <w:r>
        <w:rPr>
          <w:color w:val="auto"/>
          <w:spacing w:val="-11"/>
        </w:rPr>
        <w:t xml:space="preserve"> 万元以下罚款；没</w:t>
      </w:r>
      <w:r>
        <w:rPr>
          <w:color w:val="auto"/>
        </w:rPr>
        <w:t>收违法所得。</w:t>
      </w:r>
    </w:p>
    <w:p>
      <w:pPr>
        <w:pStyle w:val="4"/>
        <w:spacing w:before="2"/>
        <w:ind w:left="591"/>
        <w:rPr>
          <w:color w:val="auto"/>
        </w:rPr>
      </w:pPr>
      <w:r>
        <w:rPr>
          <w:color w:val="auto"/>
        </w:rPr>
        <w:t>4、【严重】</w:t>
      </w:r>
    </w:p>
    <w:p>
      <w:pPr>
        <w:pStyle w:val="13"/>
        <w:numPr>
          <w:ilvl w:val="0"/>
          <w:numId w:val="1189"/>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涉及特种设备数量较多且造成一定影响的。</w:t>
      </w:r>
    </w:p>
    <w:p>
      <w:pPr>
        <w:pStyle w:val="13"/>
        <w:numPr>
          <w:ilvl w:val="0"/>
          <w:numId w:val="118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70"/>
        <w:rPr>
          <w:color w:val="auto"/>
        </w:rPr>
      </w:pPr>
      <w:r>
        <w:rPr>
          <w:color w:val="auto"/>
          <w:spacing w:val="-6"/>
        </w:rPr>
        <w:t xml:space="preserve">责令停止经营，没收违法经营的特种设备，处 </w:t>
      </w:r>
      <w:r>
        <w:rPr>
          <w:color w:val="auto"/>
        </w:rPr>
        <w:t>20</w:t>
      </w:r>
      <w:r>
        <w:rPr>
          <w:color w:val="auto"/>
          <w:spacing w:val="-20"/>
        </w:rPr>
        <w:t xml:space="preserve"> 万元以上 </w:t>
      </w:r>
      <w:r>
        <w:rPr>
          <w:color w:val="auto"/>
        </w:rPr>
        <w:t>25</w:t>
      </w:r>
      <w:r>
        <w:rPr>
          <w:color w:val="auto"/>
          <w:spacing w:val="-11"/>
        </w:rPr>
        <w:t xml:space="preserve"> 万元以下罚款；没</w:t>
      </w:r>
      <w:r>
        <w:rPr>
          <w:color w:val="auto"/>
        </w:rPr>
        <w:t>收违法所得。</w:t>
      </w:r>
    </w:p>
    <w:p>
      <w:pPr>
        <w:pStyle w:val="4"/>
        <w:spacing w:before="2"/>
        <w:ind w:left="581"/>
        <w:rPr>
          <w:color w:val="auto"/>
        </w:rPr>
      </w:pPr>
      <w:r>
        <w:rPr>
          <w:color w:val="auto"/>
        </w:rPr>
        <w:t>5、【特别严重】</w:t>
      </w:r>
    </w:p>
    <w:p>
      <w:pPr>
        <w:pStyle w:val="13"/>
        <w:numPr>
          <w:ilvl w:val="0"/>
          <w:numId w:val="1190"/>
        </w:numPr>
        <w:tabs>
          <w:tab w:val="left" w:pos="1183"/>
        </w:tabs>
        <w:spacing w:before="194" w:after="0" w:line="240" w:lineRule="auto"/>
        <w:ind w:left="1182" w:right="0" w:hanging="602"/>
        <w:jc w:val="left"/>
        <w:rPr>
          <w:color w:val="auto"/>
          <w:sz w:val="24"/>
        </w:rPr>
      </w:pPr>
      <w:r>
        <w:rPr>
          <w:color w:val="auto"/>
          <w:sz w:val="24"/>
        </w:rPr>
        <w:t>违法情形</w:t>
      </w:r>
    </w:p>
    <w:p>
      <w:pPr>
        <w:pStyle w:val="4"/>
        <w:spacing w:before="192"/>
        <w:ind w:left="581"/>
        <w:rPr>
          <w:color w:val="auto"/>
        </w:rPr>
      </w:pPr>
      <w:r>
        <w:rPr>
          <w:color w:val="auto"/>
        </w:rPr>
        <w:t>已造成不良后果的。</w:t>
      </w:r>
    </w:p>
    <w:p>
      <w:pPr>
        <w:pStyle w:val="13"/>
        <w:numPr>
          <w:ilvl w:val="0"/>
          <w:numId w:val="1190"/>
        </w:numPr>
        <w:tabs>
          <w:tab w:val="left" w:pos="1183"/>
        </w:tabs>
        <w:spacing w:before="191" w:after="0" w:line="240" w:lineRule="auto"/>
        <w:ind w:left="1182" w:right="0" w:hanging="602"/>
        <w:jc w:val="left"/>
        <w:rPr>
          <w:color w:val="auto"/>
          <w:sz w:val="24"/>
        </w:rPr>
      </w:pPr>
      <w:r>
        <w:rPr>
          <w:color w:val="auto"/>
          <w:sz w:val="24"/>
        </w:rPr>
        <w:t>处罚标准</w:t>
      </w:r>
    </w:p>
    <w:p>
      <w:pPr>
        <w:pStyle w:val="4"/>
        <w:spacing w:before="194" w:line="388" w:lineRule="auto"/>
        <w:ind w:right="268" w:firstLine="470"/>
        <w:rPr>
          <w:color w:val="auto"/>
        </w:rPr>
      </w:pPr>
      <w:r>
        <w:rPr>
          <w:color w:val="auto"/>
          <w:spacing w:val="-6"/>
        </w:rPr>
        <w:t xml:space="preserve">责令停止经营，没收违法经营的特种设备，处 </w:t>
      </w:r>
      <w:r>
        <w:rPr>
          <w:color w:val="auto"/>
        </w:rPr>
        <w:t>25</w:t>
      </w:r>
      <w:r>
        <w:rPr>
          <w:color w:val="auto"/>
          <w:spacing w:val="-20"/>
        </w:rPr>
        <w:t xml:space="preserve"> 万元以上 </w:t>
      </w:r>
      <w:r>
        <w:rPr>
          <w:color w:val="auto"/>
        </w:rPr>
        <w:t>30</w:t>
      </w:r>
      <w:r>
        <w:rPr>
          <w:color w:val="auto"/>
          <w:spacing w:val="-11"/>
        </w:rPr>
        <w:t xml:space="preserve"> 万元以下罚款；没</w:t>
      </w:r>
      <w:r>
        <w:rPr>
          <w:color w:val="auto"/>
        </w:rPr>
        <w:t>收违法所得。</w:t>
      </w:r>
    </w:p>
    <w:p>
      <w:pPr>
        <w:pStyle w:val="2"/>
        <w:spacing w:before="2"/>
        <w:rPr>
          <w:color w:val="auto"/>
        </w:rPr>
      </w:pPr>
      <w:bookmarkStart w:id="1154" w:name="五百六十四、特种设备销售单位未建立检查验收和销售记录制度，或者进口特种设备未履行"/>
      <w:bookmarkEnd w:id="1154"/>
      <w:bookmarkStart w:id="1155" w:name="_bookmark576"/>
      <w:bookmarkEnd w:id="1155"/>
      <w:r>
        <w:rPr>
          <w:color w:val="auto"/>
        </w:rPr>
        <w:t>五百六十四、特种设备销售单位未建立检查验收和销售记录制度，或者进口特种</w:t>
      </w:r>
    </w:p>
    <w:p>
      <w:pPr>
        <w:spacing w:after="0"/>
        <w:rPr>
          <w:color w:val="auto"/>
        </w:rPr>
        <w:sectPr>
          <w:pgSz w:w="11910" w:h="16840"/>
          <w:pgMar w:top="1520" w:right="1260" w:bottom="1220" w:left="1420" w:header="0" w:footer="1034" w:gutter="0"/>
        </w:sectPr>
      </w:pPr>
    </w:p>
    <w:p>
      <w:pPr>
        <w:spacing w:before="39"/>
        <w:ind w:left="0" w:right="6352" w:firstLine="0"/>
        <w:jc w:val="center"/>
        <w:rPr>
          <w:b/>
          <w:color w:val="auto"/>
          <w:sz w:val="24"/>
        </w:rPr>
      </w:pPr>
      <w:r>
        <w:rPr>
          <w:b/>
          <w:color w:val="auto"/>
          <w:sz w:val="24"/>
        </w:rPr>
        <w:t>设备未履行提前告知义务</w:t>
      </w:r>
    </w:p>
    <w:p>
      <w:pPr>
        <w:spacing w:before="195"/>
        <w:ind w:left="0" w:right="6376" w:firstLine="0"/>
        <w:jc w:val="center"/>
        <w:rPr>
          <w:b/>
          <w:color w:val="auto"/>
          <w:sz w:val="24"/>
        </w:rPr>
      </w:pPr>
      <w:r>
        <w:rPr>
          <w:b/>
          <w:color w:val="auto"/>
          <w:sz w:val="24"/>
        </w:rPr>
        <w:t>（一）处罚依据</w:t>
      </w:r>
    </w:p>
    <w:p>
      <w:pPr>
        <w:pStyle w:val="4"/>
        <w:spacing w:before="191" w:line="391" w:lineRule="auto"/>
        <w:ind w:right="232" w:firstLine="470"/>
        <w:jc w:val="both"/>
        <w:rPr>
          <w:color w:val="auto"/>
        </w:rPr>
      </w:pPr>
      <w:r>
        <w:rPr>
          <w:color w:val="auto"/>
        </w:rPr>
        <w:t>《特种设备安全法》第八十二条第二款“违反本法规定，特种设备销售单位未建立检查验收和销售记录制度，或者进口特种设备未履行提前告知义务的，责令改正， 处一万元以上十万元以下罚款。”</w:t>
      </w:r>
    </w:p>
    <w:p>
      <w:pPr>
        <w:spacing w:before="0" w:line="388" w:lineRule="auto"/>
        <w:ind w:left="591" w:right="7428" w:hanging="480"/>
        <w:jc w:val="left"/>
        <w:rPr>
          <w:color w:val="auto"/>
          <w:sz w:val="24"/>
        </w:rPr>
      </w:pPr>
      <w:r>
        <w:rPr>
          <w:b/>
          <w:color w:val="auto"/>
          <w:sz w:val="24"/>
        </w:rPr>
        <w:t>（二）</w:t>
      </w:r>
      <w:r>
        <w:rPr>
          <w:b/>
          <w:color w:val="auto"/>
          <w:spacing w:val="-5"/>
          <w:sz w:val="24"/>
        </w:rPr>
        <w:t>裁量标准</w:t>
      </w:r>
      <w:r>
        <w:rPr>
          <w:color w:val="auto"/>
          <w:sz w:val="24"/>
        </w:rPr>
        <w:t>1</w:t>
      </w:r>
      <w:r>
        <w:rPr>
          <w:color w:val="auto"/>
          <w:spacing w:val="-27"/>
          <w:sz w:val="24"/>
        </w:rPr>
        <w:t>、【较轻】</w:t>
      </w:r>
    </w:p>
    <w:p>
      <w:pPr>
        <w:pStyle w:val="13"/>
        <w:numPr>
          <w:ilvl w:val="0"/>
          <w:numId w:val="1191"/>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初次违法，违法行为持续时间较短，且涉及特种设备数量较少的。</w:t>
      </w:r>
    </w:p>
    <w:p>
      <w:pPr>
        <w:pStyle w:val="13"/>
        <w:numPr>
          <w:ilvl w:val="0"/>
          <w:numId w:val="119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072"/>
        <w:rPr>
          <w:color w:val="auto"/>
        </w:rPr>
      </w:pPr>
      <w:r>
        <w:rPr>
          <w:color w:val="auto"/>
          <w:spacing w:val="-9"/>
        </w:rPr>
        <w:t xml:space="preserve">责令改正，处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119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有两次以上违法行为的；违法行为持续时间较短和所涉特种设备数量较少的。</w:t>
      </w:r>
    </w:p>
    <w:p>
      <w:pPr>
        <w:pStyle w:val="13"/>
        <w:numPr>
          <w:ilvl w:val="0"/>
          <w:numId w:val="119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4072"/>
        <w:rPr>
          <w:color w:val="auto"/>
        </w:rPr>
      </w:pPr>
      <w:r>
        <w:rPr>
          <w:color w:val="auto"/>
          <w:spacing w:val="-9"/>
        </w:rPr>
        <w:t xml:space="preserve">责令改正，处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3</w:t>
      </w:r>
      <w:r>
        <w:rPr>
          <w:color w:val="auto"/>
          <w:spacing w:val="-24"/>
        </w:rPr>
        <w:t>、【较重】</w:t>
      </w:r>
    </w:p>
    <w:p>
      <w:pPr>
        <w:pStyle w:val="13"/>
        <w:numPr>
          <w:ilvl w:val="0"/>
          <w:numId w:val="119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违法行为持续时间较长或所涉特种设备数量较多的。</w:t>
      </w:r>
    </w:p>
    <w:p>
      <w:pPr>
        <w:pStyle w:val="13"/>
        <w:numPr>
          <w:ilvl w:val="0"/>
          <w:numId w:val="119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072"/>
        <w:rPr>
          <w:color w:val="auto"/>
        </w:rPr>
      </w:pPr>
      <w:r>
        <w:rPr>
          <w:color w:val="auto"/>
          <w:spacing w:val="-9"/>
        </w:rPr>
        <w:t xml:space="preserve">责令改正，处 </w:t>
      </w:r>
      <w:r>
        <w:rPr>
          <w:color w:val="auto"/>
        </w:rPr>
        <w:t>4</w:t>
      </w:r>
      <w:r>
        <w:rPr>
          <w:color w:val="auto"/>
          <w:spacing w:val="-20"/>
        </w:rPr>
        <w:t xml:space="preserve"> 万元以上 </w:t>
      </w:r>
      <w:r>
        <w:rPr>
          <w:color w:val="auto"/>
        </w:rPr>
        <w:t>6</w:t>
      </w:r>
      <w:r>
        <w:rPr>
          <w:color w:val="auto"/>
          <w:spacing w:val="-10"/>
        </w:rPr>
        <w:t xml:space="preserve"> 万元以下罚款。</w:t>
      </w:r>
      <w:r>
        <w:rPr>
          <w:color w:val="auto"/>
        </w:rPr>
        <w:t>4</w:t>
      </w:r>
      <w:r>
        <w:rPr>
          <w:color w:val="auto"/>
          <w:spacing w:val="-24"/>
        </w:rPr>
        <w:t>、【严重】</w:t>
      </w:r>
    </w:p>
    <w:p>
      <w:pPr>
        <w:pStyle w:val="13"/>
        <w:numPr>
          <w:ilvl w:val="0"/>
          <w:numId w:val="119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违法行为持续时间较长且所涉特种设备数量较多的。</w:t>
      </w:r>
    </w:p>
    <w:p>
      <w:pPr>
        <w:pStyle w:val="13"/>
        <w:numPr>
          <w:ilvl w:val="0"/>
          <w:numId w:val="119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072"/>
        <w:rPr>
          <w:color w:val="auto"/>
        </w:rPr>
      </w:pPr>
      <w:r>
        <w:rPr>
          <w:color w:val="auto"/>
          <w:spacing w:val="-9"/>
        </w:rPr>
        <w:t xml:space="preserve">责令改正，处 </w:t>
      </w:r>
      <w:r>
        <w:rPr>
          <w:color w:val="auto"/>
        </w:rPr>
        <w:t>6</w:t>
      </w:r>
      <w:r>
        <w:rPr>
          <w:color w:val="auto"/>
          <w:spacing w:val="-20"/>
        </w:rPr>
        <w:t xml:space="preserve"> 万元以上 </w:t>
      </w:r>
      <w:r>
        <w:rPr>
          <w:color w:val="auto"/>
        </w:rPr>
        <w:t>8</w:t>
      </w:r>
      <w:r>
        <w:rPr>
          <w:color w:val="auto"/>
          <w:spacing w:val="-10"/>
        </w:rPr>
        <w:t xml:space="preserve"> 万元以下罚款。</w:t>
      </w:r>
      <w:r>
        <w:rPr>
          <w:color w:val="auto"/>
        </w:rPr>
        <w:t>5</w:t>
      </w:r>
      <w:r>
        <w:rPr>
          <w:color w:val="auto"/>
          <w:spacing w:val="-18"/>
        </w:rPr>
        <w:t>、【特别严重】</w:t>
      </w:r>
    </w:p>
    <w:p>
      <w:pPr>
        <w:pStyle w:val="13"/>
        <w:numPr>
          <w:ilvl w:val="0"/>
          <w:numId w:val="1195"/>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已造成不良后果的。</w:t>
      </w:r>
    </w:p>
    <w:p>
      <w:pPr>
        <w:pStyle w:val="13"/>
        <w:numPr>
          <w:ilvl w:val="0"/>
          <w:numId w:val="1195"/>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责令改正，处 8 万元以上 10 万元以下罚款。</w:t>
      </w:r>
    </w:p>
    <w:p>
      <w:pPr>
        <w:pStyle w:val="2"/>
        <w:spacing w:before="192"/>
        <w:rPr>
          <w:color w:val="auto"/>
        </w:rPr>
      </w:pPr>
      <w:bookmarkStart w:id="1156" w:name="_bookmark577"/>
      <w:bookmarkEnd w:id="1156"/>
      <w:bookmarkStart w:id="1157" w:name="五百六十五、特种设备生产单位销售、交付未经检验或者检验不合格的特种设备"/>
      <w:bookmarkEnd w:id="1157"/>
      <w:r>
        <w:rPr>
          <w:color w:val="auto"/>
        </w:rPr>
        <w:t>五百六十五、特种设备生产单位销售、交付未经检验或者检验不合格的特种设备</w:t>
      </w:r>
    </w:p>
    <w:p>
      <w:pPr>
        <w:spacing w:before="194"/>
        <w:ind w:left="591" w:right="0" w:firstLine="0"/>
        <w:jc w:val="left"/>
        <w:rPr>
          <w:b/>
          <w:color w:val="auto"/>
          <w:sz w:val="24"/>
        </w:rPr>
      </w:pPr>
      <w:r>
        <w:rPr>
          <w:b/>
          <w:color w:val="auto"/>
          <w:sz w:val="24"/>
        </w:rPr>
        <w:t>（一）处罚依据</w:t>
      </w:r>
    </w:p>
    <w:p>
      <w:pPr>
        <w:pStyle w:val="13"/>
        <w:numPr>
          <w:ilvl w:val="0"/>
          <w:numId w:val="1196"/>
        </w:numPr>
        <w:tabs>
          <w:tab w:val="left" w:pos="833"/>
        </w:tabs>
        <w:spacing w:before="192" w:after="0" w:line="391" w:lineRule="auto"/>
        <w:ind w:left="111" w:right="268" w:firstLine="480"/>
        <w:jc w:val="both"/>
        <w:rPr>
          <w:color w:val="auto"/>
          <w:sz w:val="24"/>
        </w:rPr>
      </w:pPr>
      <w:r>
        <w:rPr>
          <w:color w:val="auto"/>
          <w:spacing w:val="-5"/>
          <w:sz w:val="24"/>
        </w:rPr>
        <w:t>《特种设备安全法》第八十二条第三款“特种设备生产单位销售、交付未经检</w:t>
      </w:r>
      <w:r>
        <w:rPr>
          <w:color w:val="auto"/>
          <w:spacing w:val="-4"/>
          <w:sz w:val="24"/>
        </w:rPr>
        <w:t>验或者检验不合格的特种设备的，依照本条第一款规定处罚；情节严重的，吊销生产</w:t>
      </w:r>
      <w:r>
        <w:rPr>
          <w:color w:val="auto"/>
          <w:spacing w:val="-24"/>
          <w:sz w:val="24"/>
        </w:rPr>
        <w:t>许可证。”</w:t>
      </w:r>
    </w:p>
    <w:p>
      <w:pPr>
        <w:pStyle w:val="13"/>
        <w:numPr>
          <w:ilvl w:val="0"/>
          <w:numId w:val="1196"/>
        </w:numPr>
        <w:tabs>
          <w:tab w:val="left" w:pos="833"/>
        </w:tabs>
        <w:spacing w:before="0" w:after="0" w:line="391" w:lineRule="auto"/>
        <w:ind w:left="111" w:right="268" w:firstLine="480"/>
        <w:jc w:val="both"/>
        <w:rPr>
          <w:color w:val="auto"/>
          <w:sz w:val="24"/>
        </w:rPr>
      </w:pPr>
      <w:r>
        <w:rPr>
          <w:color w:val="auto"/>
          <w:spacing w:val="-5"/>
          <w:sz w:val="24"/>
        </w:rPr>
        <w:t>《特种设备安全法》第八十二条第一款“违反本法规定，特种设备经营单位有下列行为之一的，责令停止经营，没收违法经营的特种设备，处三万元以上三十万元</w:t>
      </w:r>
      <w:r>
        <w:rPr>
          <w:color w:val="auto"/>
          <w:spacing w:val="-7"/>
          <w:sz w:val="24"/>
        </w:rPr>
        <w:t>以下罚款；有违法所得的，没收违法所得。”</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197"/>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89"/>
        <w:ind w:left="591"/>
        <w:rPr>
          <w:color w:val="auto"/>
        </w:rPr>
      </w:pPr>
      <w:r>
        <w:rPr>
          <w:color w:val="auto"/>
        </w:rPr>
        <w:t>初次违法，且违法行为持续时间较短和所涉特种设备数量较少的。</w:t>
      </w:r>
    </w:p>
    <w:p>
      <w:pPr>
        <w:pStyle w:val="13"/>
        <w:numPr>
          <w:ilvl w:val="0"/>
          <w:numId w:val="119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6"/>
        </w:rPr>
        <w:t xml:space="preserve">责令停止经营，没收违法经营的特种设备，处 </w:t>
      </w:r>
      <w:r>
        <w:rPr>
          <w:color w:val="auto"/>
        </w:rPr>
        <w:t>3</w:t>
      </w:r>
      <w:r>
        <w:rPr>
          <w:color w:val="auto"/>
          <w:spacing w:val="-20"/>
        </w:rPr>
        <w:t xml:space="preserve"> 万元以上 </w:t>
      </w:r>
      <w:r>
        <w:rPr>
          <w:color w:val="auto"/>
        </w:rPr>
        <w:t>8</w:t>
      </w:r>
      <w:r>
        <w:rPr>
          <w:color w:val="auto"/>
          <w:spacing w:val="-10"/>
        </w:rPr>
        <w:t xml:space="preserve"> 万元罚款；没收违法</w:t>
      </w:r>
      <w:r>
        <w:rPr>
          <w:color w:val="auto"/>
        </w:rPr>
        <w:t>所得。</w:t>
      </w:r>
    </w:p>
    <w:p>
      <w:pPr>
        <w:pStyle w:val="4"/>
        <w:spacing w:before="3"/>
        <w:ind w:left="591"/>
        <w:rPr>
          <w:color w:val="auto"/>
        </w:rPr>
      </w:pPr>
      <w:r>
        <w:rPr>
          <w:color w:val="auto"/>
        </w:rPr>
        <w:t>2、【一般】</w:t>
      </w:r>
    </w:p>
    <w:p>
      <w:pPr>
        <w:pStyle w:val="13"/>
        <w:numPr>
          <w:ilvl w:val="0"/>
          <w:numId w:val="119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有两次以上违法行为的；违法行为持续时间较短和所涉特种设备数量较少的。</w:t>
      </w:r>
    </w:p>
    <w:p>
      <w:pPr>
        <w:pStyle w:val="13"/>
        <w:numPr>
          <w:ilvl w:val="0"/>
          <w:numId w:val="119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3"/>
        </w:rPr>
        <w:t xml:space="preserve">责令停止经营，没收违法经营的特种设备，处 </w:t>
      </w:r>
      <w:r>
        <w:rPr>
          <w:color w:val="auto"/>
        </w:rPr>
        <w:t>8</w:t>
      </w:r>
      <w:r>
        <w:rPr>
          <w:color w:val="auto"/>
          <w:spacing w:val="-16"/>
        </w:rPr>
        <w:t xml:space="preserve"> 万元以上 </w:t>
      </w:r>
      <w:r>
        <w:rPr>
          <w:color w:val="auto"/>
        </w:rPr>
        <w:t>15</w:t>
      </w:r>
      <w:r>
        <w:rPr>
          <w:color w:val="auto"/>
          <w:spacing w:val="-7"/>
        </w:rPr>
        <w:t xml:space="preserve"> 万元以下罚款；没收违法所得。</w:t>
      </w:r>
    </w:p>
    <w:p>
      <w:pPr>
        <w:pStyle w:val="4"/>
        <w:spacing w:before="2"/>
        <w:ind w:left="591"/>
        <w:rPr>
          <w:color w:val="auto"/>
        </w:rPr>
      </w:pPr>
      <w:r>
        <w:rPr>
          <w:color w:val="auto"/>
        </w:rPr>
        <w:t>3、【较重】</w:t>
      </w:r>
    </w:p>
    <w:p>
      <w:pPr>
        <w:pStyle w:val="13"/>
        <w:numPr>
          <w:ilvl w:val="0"/>
          <w:numId w:val="1199"/>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违法行为持续时间较长或所涉特种设备数量较多的。</w:t>
      </w:r>
    </w:p>
    <w:p>
      <w:pPr>
        <w:pStyle w:val="13"/>
        <w:numPr>
          <w:ilvl w:val="0"/>
          <w:numId w:val="1199"/>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8" w:firstLine="480"/>
        <w:rPr>
          <w:color w:val="auto"/>
        </w:rPr>
      </w:pPr>
      <w:r>
        <w:rPr>
          <w:color w:val="auto"/>
          <w:spacing w:val="-6"/>
        </w:rPr>
        <w:t xml:space="preserve">责令停止经营，没收违法经营的特种设备，处 </w:t>
      </w:r>
      <w:r>
        <w:rPr>
          <w:color w:val="auto"/>
        </w:rPr>
        <w:t>15</w:t>
      </w:r>
      <w:r>
        <w:rPr>
          <w:color w:val="auto"/>
          <w:spacing w:val="-20"/>
        </w:rPr>
        <w:t xml:space="preserve"> 万元以上 </w:t>
      </w:r>
      <w:r>
        <w:rPr>
          <w:color w:val="auto"/>
        </w:rPr>
        <w:t>20</w:t>
      </w:r>
      <w:r>
        <w:rPr>
          <w:color w:val="auto"/>
          <w:spacing w:val="-11"/>
        </w:rPr>
        <w:t xml:space="preserve"> 万元以下罚款；没</w:t>
      </w:r>
      <w:r>
        <w:rPr>
          <w:color w:val="auto"/>
        </w:rPr>
        <w:t>收违法所得。</w:t>
      </w:r>
    </w:p>
    <w:p>
      <w:pPr>
        <w:pStyle w:val="4"/>
        <w:spacing w:line="306" w:lineRule="exact"/>
        <w:ind w:left="591"/>
        <w:rPr>
          <w:color w:val="auto"/>
        </w:rPr>
      </w:pPr>
      <w:r>
        <w:rPr>
          <w:color w:val="auto"/>
        </w:rPr>
        <w:t>4、【严重】</w:t>
      </w:r>
    </w:p>
    <w:p>
      <w:pPr>
        <w:pStyle w:val="13"/>
        <w:numPr>
          <w:ilvl w:val="0"/>
          <w:numId w:val="120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违法行为持续时间较长且所涉特种设备数量较多的。</w:t>
      </w:r>
    </w:p>
    <w:p>
      <w:pPr>
        <w:pStyle w:val="13"/>
        <w:numPr>
          <w:ilvl w:val="0"/>
          <w:numId w:val="120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6"/>
        </w:rPr>
        <w:t xml:space="preserve">责令停止经营，没收违法经营的特种设备，处 </w:t>
      </w:r>
      <w:r>
        <w:rPr>
          <w:color w:val="auto"/>
        </w:rPr>
        <w:t>20</w:t>
      </w:r>
      <w:r>
        <w:rPr>
          <w:color w:val="auto"/>
          <w:spacing w:val="-20"/>
        </w:rPr>
        <w:t xml:space="preserve"> 万元以上 </w:t>
      </w:r>
      <w:r>
        <w:rPr>
          <w:color w:val="auto"/>
        </w:rPr>
        <w:t>25</w:t>
      </w:r>
      <w:r>
        <w:rPr>
          <w:color w:val="auto"/>
          <w:spacing w:val="-11"/>
        </w:rPr>
        <w:t xml:space="preserve"> 万元以下罚款；没</w:t>
      </w:r>
      <w:r>
        <w:rPr>
          <w:color w:val="auto"/>
        </w:rPr>
        <w:t>收违法所得。</w:t>
      </w:r>
    </w:p>
    <w:p>
      <w:pPr>
        <w:pStyle w:val="4"/>
        <w:spacing w:line="306" w:lineRule="exact"/>
        <w:ind w:left="591"/>
        <w:rPr>
          <w:color w:val="auto"/>
        </w:rPr>
      </w:pPr>
      <w:r>
        <w:rPr>
          <w:color w:val="auto"/>
        </w:rPr>
        <w:t>5、【特别严重】</w:t>
      </w:r>
    </w:p>
    <w:p>
      <w:pPr>
        <w:pStyle w:val="13"/>
        <w:numPr>
          <w:ilvl w:val="0"/>
          <w:numId w:val="120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已造成不良后果的；</w:t>
      </w:r>
    </w:p>
    <w:p>
      <w:pPr>
        <w:pStyle w:val="13"/>
        <w:numPr>
          <w:ilvl w:val="0"/>
          <w:numId w:val="120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6"/>
        </w:rPr>
        <w:t xml:space="preserve">责令停止经营，没收违法经营的特种设备，处 </w:t>
      </w:r>
      <w:r>
        <w:rPr>
          <w:color w:val="auto"/>
        </w:rPr>
        <w:t>25</w:t>
      </w:r>
      <w:r>
        <w:rPr>
          <w:color w:val="auto"/>
          <w:spacing w:val="-20"/>
        </w:rPr>
        <w:t xml:space="preserve"> 万元以上 </w:t>
      </w:r>
      <w:r>
        <w:rPr>
          <w:color w:val="auto"/>
        </w:rPr>
        <w:t>30</w:t>
      </w:r>
      <w:r>
        <w:rPr>
          <w:color w:val="auto"/>
          <w:spacing w:val="-11"/>
        </w:rPr>
        <w:t xml:space="preserve"> 万元以下罚款；没</w:t>
      </w:r>
      <w:r>
        <w:rPr>
          <w:color w:val="auto"/>
        </w:rPr>
        <w:t>收违法所得，建议原发证机关吊销生产许可证。</w:t>
      </w:r>
    </w:p>
    <w:p>
      <w:pPr>
        <w:pStyle w:val="2"/>
        <w:spacing w:line="306" w:lineRule="exact"/>
        <w:rPr>
          <w:color w:val="auto"/>
        </w:rPr>
      </w:pPr>
      <w:bookmarkStart w:id="1158" w:name="_bookmark578"/>
      <w:bookmarkEnd w:id="1158"/>
      <w:bookmarkStart w:id="1159" w:name="五百六十六、使用特种设备未按照规定办理使用登记"/>
      <w:bookmarkEnd w:id="1159"/>
      <w:r>
        <w:rPr>
          <w:color w:val="auto"/>
        </w:rPr>
        <w:t>五百六十六、使用特种设备未按照规定办理使用登记</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5"/>
        </w:rPr>
        <w:t>《特种设备安全法》第八十三条“违反本法规定，特种设备使用单位有下列行为</w:t>
      </w:r>
      <w:r>
        <w:rPr>
          <w:color w:val="auto"/>
          <w:spacing w:val="-7"/>
        </w:rPr>
        <w:t>之一的，责令限期改正；逾期未改正的，责令停止使用有关特种设备，处一万元以上</w:t>
      </w:r>
      <w:r>
        <w:rPr>
          <w:color w:val="auto"/>
          <w:spacing w:val="-15"/>
        </w:rPr>
        <w:t>十万元以下罚款：</w:t>
      </w:r>
      <w:r>
        <w:rPr>
          <w:color w:val="auto"/>
        </w:rPr>
        <w:t>（一）</w:t>
      </w:r>
      <w:r>
        <w:rPr>
          <w:color w:val="auto"/>
          <w:spacing w:val="-7"/>
        </w:rPr>
        <w:t>使用特种设备未按照规定办理使用登记的</w:t>
      </w:r>
      <w:r>
        <w:rPr>
          <w:color w:val="auto"/>
          <w:spacing w:val="-7"/>
        </w:rPr>
        <w:t>。”</w:t>
      </w:r>
    </w:p>
    <w:p>
      <w:pPr>
        <w:spacing w:before="5" w:line="388" w:lineRule="auto"/>
        <w:ind w:left="111" w:right="6948" w:firstLine="480"/>
        <w:jc w:val="left"/>
        <w:rPr>
          <w:b/>
          <w:color w:val="auto"/>
          <w:sz w:val="24"/>
        </w:rPr>
      </w:pPr>
      <w:r>
        <w:rPr>
          <w:b/>
          <w:color w:val="auto"/>
          <w:sz w:val="24"/>
        </w:rPr>
        <w:t>（二）裁量标准</w:t>
      </w:r>
    </w:p>
    <w:p>
      <w:pPr>
        <w:spacing w:before="5" w:line="388" w:lineRule="auto"/>
        <w:ind w:left="111" w:right="6948" w:firstLine="480"/>
        <w:jc w:val="left"/>
        <w:rPr>
          <w:rFonts w:hint="default"/>
          <w:b/>
          <w:color w:val="auto"/>
          <w:sz w:val="24"/>
          <w:lang w:val="en-US" w:eastAsia="zh-CN"/>
        </w:rPr>
      </w:pPr>
      <w:r>
        <w:rPr>
          <w:rFonts w:hint="eastAsia"/>
          <w:b/>
          <w:color w:val="auto"/>
          <w:sz w:val="24"/>
          <w:lang w:val="en-US" w:eastAsia="zh-CN"/>
        </w:rPr>
        <w:t>1.【不予处罚】</w:t>
      </w:r>
    </w:p>
    <w:p>
      <w:pPr>
        <w:keepNext w:val="0"/>
        <w:keepLines w:val="0"/>
        <w:widowControl/>
        <w:suppressLineNumbers w:val="0"/>
        <w:ind w:firstLine="480"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80" w:firstLineChars="200"/>
        <w:jc w:val="left"/>
        <w:rPr>
          <w:rFonts w:hint="eastAsia"/>
          <w:b/>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spacing w:before="5" w:line="388" w:lineRule="auto"/>
        <w:ind w:left="111" w:right="6948" w:firstLine="480"/>
        <w:jc w:val="left"/>
        <w:rPr>
          <w:color w:val="auto"/>
          <w:sz w:val="24"/>
        </w:rPr>
      </w:pPr>
      <w:r>
        <w:rPr>
          <w:rFonts w:hint="eastAsia"/>
          <w:b/>
          <w:color w:val="auto"/>
          <w:sz w:val="24"/>
          <w:lang w:val="en-US" w:eastAsia="zh-CN"/>
        </w:rPr>
        <w:t>2</w:t>
      </w:r>
      <w:r>
        <w:rPr>
          <w:color w:val="auto"/>
          <w:sz w:val="24"/>
        </w:rPr>
        <w:t>、【较轻】</w:t>
      </w:r>
    </w:p>
    <w:p>
      <w:pPr>
        <w:pStyle w:val="13"/>
        <w:numPr>
          <w:ilvl w:val="0"/>
          <w:numId w:val="120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逾期后，七日内改正的。</w:t>
      </w:r>
    </w:p>
    <w:p>
      <w:pPr>
        <w:pStyle w:val="13"/>
        <w:numPr>
          <w:ilvl w:val="0"/>
          <w:numId w:val="120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rFonts w:hint="eastAsia"/>
          <w:color w:val="auto"/>
          <w:lang w:val="en-US" w:eastAsia="zh-CN"/>
        </w:rPr>
        <w:t>3</w:t>
      </w:r>
      <w:r>
        <w:rPr>
          <w:color w:val="auto"/>
          <w:spacing w:val="-24"/>
        </w:rPr>
        <w:t>、【一般】</w:t>
      </w:r>
    </w:p>
    <w:p>
      <w:pPr>
        <w:pStyle w:val="13"/>
        <w:numPr>
          <w:ilvl w:val="0"/>
          <w:numId w:val="120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逾期后，七日以上十四日以内改正的。</w:t>
      </w:r>
    </w:p>
    <w:p>
      <w:pPr>
        <w:pStyle w:val="4"/>
        <w:spacing w:before="192"/>
        <w:ind w:left="591"/>
        <w:rPr>
          <w:color w:val="auto"/>
          <w:sz w:val="24"/>
        </w:rPr>
      </w:pPr>
      <w:r>
        <w:rPr>
          <w:color w:val="auto"/>
          <w:sz w:val="24"/>
        </w:rPr>
        <w:t>处罚标准</w:t>
      </w:r>
    </w:p>
    <w:p>
      <w:pPr>
        <w:pStyle w:val="4"/>
        <w:spacing w:before="195" w:line="388"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rFonts w:hint="eastAsia"/>
          <w:color w:val="auto"/>
          <w:lang w:val="en-US" w:eastAsia="zh-CN"/>
        </w:rPr>
        <w:t>4</w:t>
      </w:r>
      <w:r>
        <w:rPr>
          <w:color w:val="auto"/>
          <w:spacing w:val="-24"/>
        </w:rPr>
        <w:t>、【较重】</w:t>
      </w:r>
    </w:p>
    <w:p>
      <w:pPr>
        <w:pStyle w:val="13"/>
        <w:numPr>
          <w:ilvl w:val="0"/>
          <w:numId w:val="120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逾期后，十四日以上三十日以内改正的。</w:t>
      </w:r>
    </w:p>
    <w:p>
      <w:pPr>
        <w:pStyle w:val="13"/>
        <w:numPr>
          <w:ilvl w:val="0"/>
          <w:numId w:val="120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rFonts w:hint="eastAsia"/>
          <w:color w:val="auto"/>
          <w:lang w:val="en-US" w:eastAsia="zh-CN"/>
        </w:rPr>
        <w:t>5</w:t>
      </w:r>
      <w:r>
        <w:rPr>
          <w:color w:val="auto"/>
          <w:spacing w:val="-24"/>
        </w:rPr>
        <w:t>、【严重】</w:t>
      </w:r>
    </w:p>
    <w:p>
      <w:pPr>
        <w:pStyle w:val="13"/>
        <w:numPr>
          <w:ilvl w:val="0"/>
          <w:numId w:val="120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逾期后，三十日以上六十日以内改正的。</w:t>
      </w:r>
    </w:p>
    <w:p>
      <w:pPr>
        <w:pStyle w:val="13"/>
        <w:numPr>
          <w:ilvl w:val="0"/>
          <w:numId w:val="120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rFonts w:hint="eastAsia"/>
          <w:color w:val="auto"/>
          <w:lang w:val="en-US" w:eastAsia="zh-CN"/>
        </w:rPr>
        <w:t>6</w:t>
      </w:r>
      <w:r>
        <w:rPr>
          <w:color w:val="auto"/>
          <w:spacing w:val="-18"/>
        </w:rPr>
        <w:t>、【特别严重】</w:t>
      </w:r>
    </w:p>
    <w:p>
      <w:pPr>
        <w:pStyle w:val="13"/>
        <w:numPr>
          <w:ilvl w:val="0"/>
          <w:numId w:val="120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逾期后，六十日以上改正或拒不改正的。</w:t>
      </w:r>
    </w:p>
    <w:p>
      <w:pPr>
        <w:pStyle w:val="13"/>
        <w:numPr>
          <w:ilvl w:val="0"/>
          <w:numId w:val="120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处 8 万元以上 10 万元以下罚款。</w:t>
      </w:r>
    </w:p>
    <w:p>
      <w:pPr>
        <w:pStyle w:val="2"/>
        <w:spacing w:before="191" w:line="388" w:lineRule="auto"/>
        <w:ind w:left="111" w:right="170" w:firstLine="480"/>
        <w:rPr>
          <w:color w:val="auto"/>
        </w:rPr>
      </w:pPr>
      <w:bookmarkStart w:id="1160" w:name="_bookmark579"/>
      <w:bookmarkEnd w:id="1160"/>
      <w:bookmarkStart w:id="1161" w:name="五百六十七、未建立特种设备安全技术档案或者安全技术档案不符合规定要求，或者未依法"/>
      <w:bookmarkEnd w:id="1161"/>
      <w:r>
        <w:rPr>
          <w:color w:val="auto"/>
        </w:rPr>
        <w:t>五百六十七、未建立特种设备安全技术档案或者安全技术档案不符合规定要求， 或者未依法设置使用登记标志、定期检验标志</w:t>
      </w:r>
    </w:p>
    <w:p>
      <w:pPr>
        <w:spacing w:before="5"/>
        <w:ind w:left="58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5"/>
        </w:rPr>
        <w:t>《特种设备安全法》第八十三条“违反本法规定，特种设备使用单位有下列行为</w:t>
      </w:r>
      <w:r>
        <w:rPr>
          <w:color w:val="auto"/>
          <w:spacing w:val="-7"/>
        </w:rPr>
        <w:t>之一的，责令限期改正；逾期未改正的，责令停止使用有关特种设备，处一万元以上</w:t>
      </w:r>
      <w:r>
        <w:rPr>
          <w:color w:val="auto"/>
          <w:spacing w:val="-14"/>
        </w:rPr>
        <w:t>十万元以下罚款：</w:t>
      </w:r>
      <w:r>
        <w:rPr>
          <w:color w:val="auto"/>
          <w:spacing w:val="2"/>
        </w:rPr>
        <w:t>（二）</w:t>
      </w:r>
      <w:r>
        <w:rPr>
          <w:color w:val="auto"/>
        </w:rPr>
        <w:t>未建立特种设备安全技术档案或者安全技术档案不符合规定</w:t>
      </w:r>
      <w:r>
        <w:rPr>
          <w:color w:val="auto"/>
          <w:spacing w:val="-5"/>
        </w:rPr>
        <w:t>要求，或者未依法设置使用登记标志、定期检验标志的。”</w:t>
      </w:r>
    </w:p>
    <w:p>
      <w:pPr>
        <w:numPr>
          <w:ilvl w:val="0"/>
          <w:numId w:val="1207"/>
        </w:numPr>
        <w:spacing w:before="0" w:line="391" w:lineRule="auto"/>
        <w:ind w:left="111" w:right="6948" w:firstLine="480"/>
        <w:jc w:val="left"/>
        <w:rPr>
          <w:b/>
          <w:color w:val="auto"/>
          <w:sz w:val="24"/>
        </w:rPr>
      </w:pPr>
      <w:r>
        <w:rPr>
          <w:b/>
          <w:color w:val="auto"/>
          <w:sz w:val="24"/>
        </w:rPr>
        <w:t>裁量标准</w:t>
      </w:r>
    </w:p>
    <w:p>
      <w:pPr>
        <w:numPr>
          <w:ilvl w:val="0"/>
          <w:numId w:val="0"/>
        </w:numPr>
        <w:spacing w:before="0" w:line="391" w:lineRule="auto"/>
        <w:ind w:left="591" w:leftChars="0" w:right="6948" w:rightChars="0"/>
        <w:jc w:val="left"/>
        <w:rPr>
          <w:color w:val="auto"/>
          <w:sz w:val="24"/>
        </w:rPr>
      </w:pPr>
    </w:p>
    <w:p>
      <w:pPr>
        <w:keepNext w:val="0"/>
        <w:keepLines w:val="0"/>
        <w:widowControl/>
        <w:suppressLineNumbers w:val="0"/>
        <w:ind w:firstLine="720" w:firstLineChars="300"/>
        <w:jc w:val="left"/>
        <w:rPr>
          <w:color w:val="auto"/>
        </w:rPr>
      </w:pPr>
      <w:r>
        <w:rPr>
          <w:rFonts w:hint="eastAsia"/>
          <w:color w:val="auto"/>
          <w:sz w:val="24"/>
          <w:lang w:val="en-US" w:eastAsia="zh-CN"/>
        </w:rPr>
        <w:t>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numPr>
          <w:ilvl w:val="0"/>
          <w:numId w:val="0"/>
        </w:numPr>
        <w:spacing w:before="0" w:line="391" w:lineRule="auto"/>
        <w:ind w:left="591" w:leftChars="0" w:right="6948" w:rightChars="0"/>
        <w:jc w:val="left"/>
        <w:rPr>
          <w:color w:val="auto"/>
          <w:sz w:val="24"/>
        </w:rPr>
      </w:pPr>
      <w:r>
        <w:rPr>
          <w:rFonts w:hint="eastAsia"/>
          <w:color w:val="auto"/>
          <w:sz w:val="24"/>
          <w:lang w:val="en-US" w:eastAsia="zh-CN"/>
        </w:rPr>
        <w:t>2</w:t>
      </w:r>
      <w:r>
        <w:rPr>
          <w:color w:val="auto"/>
          <w:sz w:val="24"/>
        </w:rPr>
        <w:t>、【较轻】</w:t>
      </w:r>
    </w:p>
    <w:p>
      <w:pPr>
        <w:pStyle w:val="13"/>
        <w:numPr>
          <w:ilvl w:val="0"/>
          <w:numId w:val="120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逾期后，七日内改正的。</w:t>
      </w:r>
    </w:p>
    <w:p>
      <w:pPr>
        <w:pStyle w:val="13"/>
        <w:numPr>
          <w:ilvl w:val="0"/>
          <w:numId w:val="1208"/>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rFonts w:hint="eastAsia"/>
          <w:color w:val="auto"/>
          <w:lang w:val="en-US" w:eastAsia="zh-CN"/>
        </w:rPr>
        <w:t>3</w:t>
      </w:r>
      <w:r>
        <w:rPr>
          <w:color w:val="auto"/>
          <w:spacing w:val="-24"/>
        </w:rPr>
        <w:t>、【一般】</w:t>
      </w:r>
    </w:p>
    <w:p>
      <w:pPr>
        <w:pStyle w:val="13"/>
        <w:numPr>
          <w:ilvl w:val="0"/>
          <w:numId w:val="120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逾期后，七日以上十四日以内改正的。</w:t>
      </w:r>
    </w:p>
    <w:p>
      <w:pPr>
        <w:pStyle w:val="13"/>
        <w:numPr>
          <w:ilvl w:val="0"/>
          <w:numId w:val="120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rFonts w:hint="eastAsia"/>
          <w:color w:val="auto"/>
          <w:lang w:val="en-US" w:eastAsia="zh-CN"/>
        </w:rPr>
        <w:t>4</w:t>
      </w:r>
      <w:r>
        <w:rPr>
          <w:color w:val="auto"/>
          <w:spacing w:val="-24"/>
        </w:rPr>
        <w:t>、【较重】</w:t>
      </w:r>
    </w:p>
    <w:p>
      <w:pPr>
        <w:pStyle w:val="13"/>
        <w:numPr>
          <w:ilvl w:val="0"/>
          <w:numId w:val="121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逾期后，十四日以上三十日以内改正的。</w:t>
      </w:r>
    </w:p>
    <w:p>
      <w:pPr>
        <w:pStyle w:val="13"/>
        <w:numPr>
          <w:ilvl w:val="0"/>
          <w:numId w:val="121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rFonts w:hint="eastAsia"/>
          <w:color w:val="auto"/>
          <w:lang w:val="en-US" w:eastAsia="zh-CN"/>
        </w:rPr>
        <w:t>5</w:t>
      </w:r>
      <w:r>
        <w:rPr>
          <w:color w:val="auto"/>
          <w:spacing w:val="-24"/>
        </w:rPr>
        <w:t>、【严重】</w:t>
      </w:r>
    </w:p>
    <w:p>
      <w:pPr>
        <w:pStyle w:val="13"/>
        <w:numPr>
          <w:ilvl w:val="0"/>
          <w:numId w:val="1211"/>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逾期后，三十日以上六十日以内改正的。</w:t>
      </w:r>
    </w:p>
    <w:p>
      <w:pPr>
        <w:pStyle w:val="13"/>
        <w:numPr>
          <w:ilvl w:val="0"/>
          <w:numId w:val="121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rFonts w:hint="eastAsia"/>
          <w:color w:val="auto"/>
          <w:lang w:val="en-US" w:eastAsia="zh-CN"/>
        </w:rPr>
        <w:t>6</w:t>
      </w:r>
      <w:r>
        <w:rPr>
          <w:color w:val="auto"/>
          <w:spacing w:val="-18"/>
        </w:rPr>
        <w:t>、【特别严重】</w:t>
      </w:r>
    </w:p>
    <w:p>
      <w:pPr>
        <w:pStyle w:val="13"/>
        <w:numPr>
          <w:ilvl w:val="0"/>
          <w:numId w:val="121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逾期后，六十日以上改正或拒不改正的。</w:t>
      </w:r>
    </w:p>
    <w:p>
      <w:pPr>
        <w:pStyle w:val="13"/>
        <w:numPr>
          <w:ilvl w:val="0"/>
          <w:numId w:val="121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81"/>
        <w:rPr>
          <w:color w:val="auto"/>
        </w:rPr>
      </w:pPr>
      <w:r>
        <w:rPr>
          <w:color w:val="auto"/>
        </w:rPr>
        <w:t>处 8 万元以上 10 万元以下罚款。</w:t>
      </w:r>
    </w:p>
    <w:p>
      <w:pPr>
        <w:pStyle w:val="2"/>
        <w:spacing w:before="194" w:line="388" w:lineRule="auto"/>
        <w:ind w:left="111" w:right="237" w:firstLine="480"/>
        <w:rPr>
          <w:color w:val="auto"/>
        </w:rPr>
      </w:pPr>
      <w:bookmarkStart w:id="1162" w:name="五百六十八、未对其使用的特种设备进行经常性维护保养和定期自行检查，或者未对其使用"/>
      <w:bookmarkEnd w:id="1162"/>
      <w:bookmarkStart w:id="1163" w:name="_bookmark580"/>
      <w:bookmarkEnd w:id="1163"/>
      <w:r>
        <w:rPr>
          <w:color w:val="auto"/>
          <w:spacing w:val="-7"/>
        </w:rPr>
        <w:t>五百六十八、未对其使用的特种设备进行经常性维护保养和定期自行检查，或者</w:t>
      </w:r>
      <w:r>
        <w:rPr>
          <w:color w:val="auto"/>
          <w:spacing w:val="-11"/>
        </w:rPr>
        <w:t>未对其使用的特种设备的安全附件、安全保护装置进行定期校验、检修，并作出记录</w:t>
      </w:r>
    </w:p>
    <w:p>
      <w:pPr>
        <w:spacing w:before="2"/>
        <w:ind w:left="581" w:right="0" w:firstLine="0"/>
        <w:jc w:val="left"/>
        <w:rPr>
          <w:b/>
          <w:color w:val="auto"/>
          <w:sz w:val="24"/>
        </w:rPr>
      </w:pPr>
      <w:r>
        <w:rPr>
          <w:b/>
          <w:color w:val="auto"/>
          <w:sz w:val="24"/>
        </w:rPr>
        <w:t>（一）处罚依据</w:t>
      </w:r>
    </w:p>
    <w:p>
      <w:pPr>
        <w:pStyle w:val="4"/>
        <w:spacing w:before="195" w:line="388" w:lineRule="auto"/>
        <w:ind w:right="148" w:firstLine="470"/>
        <w:jc w:val="both"/>
        <w:rPr>
          <w:color w:val="auto"/>
        </w:rPr>
      </w:pPr>
      <w:r>
        <w:rPr>
          <w:color w:val="auto"/>
          <w:spacing w:val="-4"/>
        </w:rPr>
        <w:t>《特种设备安全法》第八十三条“违反本法规定，特种设备使用单位有下列行为</w:t>
      </w:r>
      <w:r>
        <w:rPr>
          <w:color w:val="auto"/>
          <w:spacing w:val="-8"/>
        </w:rPr>
        <w:t>之一的，责令限期改正；逾期未改正的，责令停止使用有关特种设备，处一万元以上</w:t>
      </w:r>
      <w:r>
        <w:rPr>
          <w:color w:val="auto"/>
          <w:spacing w:val="-25"/>
        </w:rPr>
        <w:t>十万元以下罚款：</w:t>
      </w:r>
      <w:r>
        <w:rPr>
          <w:color w:val="auto"/>
        </w:rPr>
        <w:t>（三</w:t>
      </w:r>
      <w:r>
        <w:rPr>
          <w:color w:val="auto"/>
          <w:spacing w:val="-17"/>
        </w:rPr>
        <w:t>）</w:t>
      </w:r>
      <w:r>
        <w:rPr>
          <w:color w:val="auto"/>
          <w:spacing w:val="-1"/>
        </w:rPr>
        <w:t>未对其使用的特种设备进行经常性维护保养和定期自行检查，</w:t>
      </w:r>
    </w:p>
    <w:p>
      <w:pPr>
        <w:spacing w:after="0" w:line="388" w:lineRule="auto"/>
        <w:jc w:val="both"/>
        <w:rPr>
          <w:color w:val="auto"/>
        </w:rPr>
        <w:sectPr>
          <w:footerReference r:id="rId135" w:type="default"/>
          <w:footerReference r:id="rId136" w:type="even"/>
          <w:pgSz w:w="11910" w:h="16840"/>
          <w:pgMar w:top="1520" w:right="1260" w:bottom="1220" w:left="1420" w:header="0" w:footer="1034" w:gutter="0"/>
        </w:sectPr>
      </w:pPr>
    </w:p>
    <w:p>
      <w:pPr>
        <w:pStyle w:val="4"/>
        <w:spacing w:before="39" w:line="391" w:lineRule="auto"/>
        <w:ind w:right="213"/>
        <w:rPr>
          <w:color w:val="auto"/>
        </w:rPr>
      </w:pPr>
      <w:r>
        <w:rPr>
          <w:color w:val="auto"/>
        </w:rPr>
        <w:t>或者未对其使用的特种设备的安全附件、安全保护装置进行定期校验、检修，并作出记录的。”</w:t>
      </w:r>
    </w:p>
    <w:p>
      <w:pPr>
        <w:spacing w:before="0" w:line="388" w:lineRule="auto"/>
        <w:ind w:left="111" w:right="6957" w:firstLine="470"/>
        <w:jc w:val="left"/>
        <w:rPr>
          <w:color w:val="auto"/>
          <w:sz w:val="24"/>
        </w:rPr>
      </w:pPr>
      <w:r>
        <w:rPr>
          <w:b/>
          <w:color w:val="auto"/>
          <w:sz w:val="24"/>
        </w:rPr>
        <w:t>（二）裁量标准</w:t>
      </w:r>
      <w:r>
        <w:rPr>
          <w:color w:val="auto"/>
          <w:sz w:val="24"/>
        </w:rPr>
        <w:t>1、【较轻】</w:t>
      </w:r>
    </w:p>
    <w:p>
      <w:pPr>
        <w:pStyle w:val="13"/>
        <w:numPr>
          <w:ilvl w:val="0"/>
          <w:numId w:val="1213"/>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逾期后，七日内改正的。</w:t>
      </w:r>
    </w:p>
    <w:p>
      <w:pPr>
        <w:pStyle w:val="13"/>
        <w:numPr>
          <w:ilvl w:val="0"/>
          <w:numId w:val="121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121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逾期后，七日以上十四日以内改正的。</w:t>
      </w:r>
    </w:p>
    <w:p>
      <w:pPr>
        <w:pStyle w:val="13"/>
        <w:numPr>
          <w:ilvl w:val="0"/>
          <w:numId w:val="121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3</w:t>
      </w:r>
      <w:r>
        <w:rPr>
          <w:color w:val="auto"/>
          <w:spacing w:val="-24"/>
        </w:rPr>
        <w:t>、【较重】</w:t>
      </w:r>
    </w:p>
    <w:p>
      <w:pPr>
        <w:pStyle w:val="13"/>
        <w:numPr>
          <w:ilvl w:val="0"/>
          <w:numId w:val="121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逾期后，十四日以上三十日以内改正的。</w:t>
      </w:r>
    </w:p>
    <w:p>
      <w:pPr>
        <w:pStyle w:val="13"/>
        <w:numPr>
          <w:ilvl w:val="0"/>
          <w:numId w:val="121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color w:val="auto"/>
        </w:rPr>
        <w:t>4</w:t>
      </w:r>
      <w:r>
        <w:rPr>
          <w:color w:val="auto"/>
          <w:spacing w:val="-24"/>
        </w:rPr>
        <w:t>、【严重】</w:t>
      </w:r>
    </w:p>
    <w:p>
      <w:pPr>
        <w:pStyle w:val="13"/>
        <w:numPr>
          <w:ilvl w:val="0"/>
          <w:numId w:val="121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逾期后，三十日以上六十日以内改正的。</w:t>
      </w:r>
    </w:p>
    <w:p>
      <w:pPr>
        <w:pStyle w:val="13"/>
        <w:numPr>
          <w:ilvl w:val="0"/>
          <w:numId w:val="121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color w:val="auto"/>
        </w:rPr>
        <w:t>5</w:t>
      </w:r>
      <w:r>
        <w:rPr>
          <w:color w:val="auto"/>
          <w:spacing w:val="-18"/>
        </w:rPr>
        <w:t>、【特别严重】</w:t>
      </w:r>
    </w:p>
    <w:p>
      <w:pPr>
        <w:pStyle w:val="13"/>
        <w:numPr>
          <w:ilvl w:val="0"/>
          <w:numId w:val="121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逾期后，六十日以上改正或拒不改正的。</w:t>
      </w:r>
    </w:p>
    <w:p>
      <w:pPr>
        <w:pStyle w:val="13"/>
        <w:numPr>
          <w:ilvl w:val="0"/>
          <w:numId w:val="121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处 8 万元以上 10 万元以下罚款。</w:t>
      </w:r>
    </w:p>
    <w:p>
      <w:pPr>
        <w:spacing w:after="0"/>
        <w:rPr>
          <w:color w:val="auto"/>
        </w:rPr>
        <w:sectPr>
          <w:pgSz w:w="11910" w:h="16840"/>
          <w:pgMar w:top="1520" w:right="1260" w:bottom="1220" w:left="1420" w:header="0" w:footer="1034" w:gutter="0"/>
        </w:sectPr>
      </w:pPr>
    </w:p>
    <w:p>
      <w:pPr>
        <w:pStyle w:val="2"/>
        <w:spacing w:before="39"/>
        <w:rPr>
          <w:color w:val="auto"/>
        </w:rPr>
      </w:pPr>
      <w:bookmarkStart w:id="1164" w:name="五百六十九、未按照安全技术规范的要求及时申报并接受检验"/>
      <w:bookmarkEnd w:id="1164"/>
      <w:bookmarkStart w:id="1165" w:name="_bookmark581"/>
      <w:bookmarkEnd w:id="1165"/>
      <w:r>
        <w:rPr>
          <w:color w:val="auto"/>
        </w:rPr>
        <w:t>五百六十九、未按照安全技术规范的要求及时申报并接受检验</w:t>
      </w:r>
    </w:p>
    <w:p>
      <w:pPr>
        <w:spacing w:before="195"/>
        <w:ind w:left="58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spacing w:val="-5"/>
        </w:rPr>
        <w:t>《特种设备安全法》第八十三条“违反本法规定，特种设备使用单位有下列行为</w:t>
      </w:r>
      <w:r>
        <w:rPr>
          <w:color w:val="auto"/>
          <w:spacing w:val="-7"/>
        </w:rPr>
        <w:t>之一的，责令限期改正；逾期未改正的，责令停止使用有关特种设备，处一万元以上</w:t>
      </w:r>
      <w:r>
        <w:rPr>
          <w:color w:val="auto"/>
          <w:spacing w:val="-15"/>
        </w:rPr>
        <w:t>十万元以下罚款：</w:t>
      </w:r>
      <w:r>
        <w:rPr>
          <w:color w:val="auto"/>
        </w:rPr>
        <w:t>（四）</w:t>
      </w:r>
      <w:r>
        <w:rPr>
          <w:color w:val="auto"/>
          <w:spacing w:val="-6"/>
        </w:rPr>
        <w:t>未按照安全技术规范的要求及时申报并接受检验的。”</w:t>
      </w:r>
    </w:p>
    <w:p>
      <w:pPr>
        <w:spacing w:before="0" w:line="388" w:lineRule="auto"/>
        <w:ind w:left="111" w:right="6948" w:firstLine="480"/>
        <w:jc w:val="left"/>
        <w:rPr>
          <w:color w:val="auto"/>
          <w:sz w:val="24"/>
        </w:rPr>
      </w:pPr>
      <w:r>
        <w:rPr>
          <w:b/>
          <w:color w:val="auto"/>
          <w:sz w:val="24"/>
        </w:rPr>
        <w:t>（二）裁量标准</w:t>
      </w:r>
      <w:r>
        <w:rPr>
          <w:color w:val="auto"/>
          <w:sz w:val="24"/>
        </w:rPr>
        <w:t>1、【较轻】</w:t>
      </w:r>
    </w:p>
    <w:p>
      <w:pPr>
        <w:pStyle w:val="13"/>
        <w:numPr>
          <w:ilvl w:val="0"/>
          <w:numId w:val="1218"/>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逾期后，七日内改正的。</w:t>
      </w:r>
    </w:p>
    <w:p>
      <w:pPr>
        <w:pStyle w:val="13"/>
        <w:numPr>
          <w:ilvl w:val="0"/>
          <w:numId w:val="121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121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逾期后，七日以上十四日以内改正的。</w:t>
      </w:r>
    </w:p>
    <w:p>
      <w:pPr>
        <w:pStyle w:val="13"/>
        <w:numPr>
          <w:ilvl w:val="0"/>
          <w:numId w:val="121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3</w:t>
      </w:r>
      <w:r>
        <w:rPr>
          <w:color w:val="auto"/>
          <w:spacing w:val="-24"/>
        </w:rPr>
        <w:t>、【较重】</w:t>
      </w:r>
    </w:p>
    <w:p>
      <w:pPr>
        <w:pStyle w:val="13"/>
        <w:numPr>
          <w:ilvl w:val="0"/>
          <w:numId w:val="122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逾期后，十四日以上三十日以内改正的。</w:t>
      </w:r>
    </w:p>
    <w:p>
      <w:pPr>
        <w:pStyle w:val="13"/>
        <w:numPr>
          <w:ilvl w:val="0"/>
          <w:numId w:val="122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color w:val="auto"/>
        </w:rPr>
        <w:t>4</w:t>
      </w:r>
      <w:r>
        <w:rPr>
          <w:color w:val="auto"/>
          <w:spacing w:val="-24"/>
        </w:rPr>
        <w:t>、【严重】</w:t>
      </w:r>
    </w:p>
    <w:p>
      <w:pPr>
        <w:pStyle w:val="13"/>
        <w:numPr>
          <w:ilvl w:val="0"/>
          <w:numId w:val="1221"/>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逾期后，三十日以上六十日以内改正的。</w:t>
      </w:r>
    </w:p>
    <w:p>
      <w:pPr>
        <w:pStyle w:val="13"/>
        <w:numPr>
          <w:ilvl w:val="0"/>
          <w:numId w:val="122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color w:val="auto"/>
        </w:rPr>
        <w:t>5</w:t>
      </w:r>
      <w:r>
        <w:rPr>
          <w:color w:val="auto"/>
          <w:spacing w:val="-18"/>
        </w:rPr>
        <w:t>、【特别严重】</w:t>
      </w:r>
    </w:p>
    <w:p>
      <w:pPr>
        <w:pStyle w:val="13"/>
        <w:numPr>
          <w:ilvl w:val="0"/>
          <w:numId w:val="1222"/>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逾期后，六十日以上改正或拒不改正的。</w:t>
      </w:r>
    </w:p>
    <w:p>
      <w:pPr>
        <w:pStyle w:val="13"/>
        <w:numPr>
          <w:ilvl w:val="0"/>
          <w:numId w:val="1222"/>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81"/>
        <w:rPr>
          <w:color w:val="auto"/>
        </w:rPr>
      </w:pPr>
      <w:r>
        <w:rPr>
          <w:color w:val="auto"/>
        </w:rPr>
        <w:t>处 8 万元以上 10 万元以下罚款。</w:t>
      </w:r>
    </w:p>
    <w:p>
      <w:pPr>
        <w:pStyle w:val="2"/>
        <w:spacing w:before="192"/>
        <w:rPr>
          <w:color w:val="auto"/>
        </w:rPr>
      </w:pPr>
      <w:bookmarkStart w:id="1166" w:name="_bookmark582"/>
      <w:bookmarkEnd w:id="1166"/>
      <w:bookmarkStart w:id="1167" w:name="五百七十、未按照安全技术规范的要求进行锅炉水（介）质处理"/>
      <w:bookmarkEnd w:id="1167"/>
      <w:r>
        <w:rPr>
          <w:color w:val="auto"/>
        </w:rPr>
        <w:t>五百七十、未按照安全技术规范的要求进行锅炉水（介）质处理</w:t>
      </w:r>
    </w:p>
    <w:p>
      <w:pPr>
        <w:spacing w:before="194"/>
        <w:ind w:left="58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5"/>
        </w:rPr>
        <w:t>《特种设备安全法》第八十三条“违反本法规定，特种设备使用单位有下列行为</w:t>
      </w:r>
      <w:r>
        <w:rPr>
          <w:color w:val="auto"/>
          <w:spacing w:val="-7"/>
        </w:rPr>
        <w:t>之一的，责令限期改正；逾期未改正的，责令停止使用有关特种设备，处一万元以上</w:t>
      </w:r>
      <w:r>
        <w:rPr>
          <w:color w:val="auto"/>
          <w:spacing w:val="-15"/>
        </w:rPr>
        <w:t>十万元以下罚款：</w:t>
      </w:r>
      <w:r>
        <w:rPr>
          <w:color w:val="auto"/>
        </w:rPr>
        <w:t>（五）未按照安全技术规范的要求进行锅炉水（介）</w:t>
      </w:r>
      <w:r>
        <w:rPr>
          <w:color w:val="auto"/>
          <w:spacing w:val="-20"/>
        </w:rPr>
        <w:t>质处理的。”</w:t>
      </w:r>
    </w:p>
    <w:p>
      <w:pPr>
        <w:spacing w:before="0" w:line="388" w:lineRule="auto"/>
        <w:ind w:left="111" w:right="6957" w:firstLine="470"/>
        <w:jc w:val="left"/>
        <w:rPr>
          <w:color w:val="auto"/>
          <w:sz w:val="24"/>
        </w:rPr>
      </w:pPr>
      <w:r>
        <w:rPr>
          <w:b/>
          <w:color w:val="auto"/>
          <w:sz w:val="24"/>
        </w:rPr>
        <w:t>（二）裁量标准</w:t>
      </w:r>
      <w:r>
        <w:rPr>
          <w:color w:val="auto"/>
          <w:sz w:val="24"/>
        </w:rPr>
        <w:t>1、【较轻】</w:t>
      </w:r>
    </w:p>
    <w:p>
      <w:pPr>
        <w:pStyle w:val="13"/>
        <w:numPr>
          <w:ilvl w:val="0"/>
          <w:numId w:val="1223"/>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逾期后，七日内改正的。</w:t>
      </w:r>
    </w:p>
    <w:p>
      <w:pPr>
        <w:pStyle w:val="13"/>
        <w:numPr>
          <w:ilvl w:val="0"/>
          <w:numId w:val="122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122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逾期后，七日以上十四日以内改正的。</w:t>
      </w:r>
    </w:p>
    <w:p>
      <w:pPr>
        <w:pStyle w:val="13"/>
        <w:numPr>
          <w:ilvl w:val="0"/>
          <w:numId w:val="122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3</w:t>
      </w:r>
      <w:r>
        <w:rPr>
          <w:color w:val="auto"/>
          <w:spacing w:val="-24"/>
        </w:rPr>
        <w:t>、【较重】</w:t>
      </w:r>
    </w:p>
    <w:p>
      <w:pPr>
        <w:pStyle w:val="13"/>
        <w:numPr>
          <w:ilvl w:val="0"/>
          <w:numId w:val="122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逾期后，十四日以上三十日以内改正的。</w:t>
      </w:r>
    </w:p>
    <w:p>
      <w:pPr>
        <w:pStyle w:val="13"/>
        <w:numPr>
          <w:ilvl w:val="0"/>
          <w:numId w:val="1225"/>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color w:val="auto"/>
        </w:rPr>
        <w:t>4</w:t>
      </w:r>
      <w:r>
        <w:rPr>
          <w:color w:val="auto"/>
          <w:spacing w:val="-24"/>
        </w:rPr>
        <w:t>、【严重】</w:t>
      </w:r>
    </w:p>
    <w:p>
      <w:pPr>
        <w:pStyle w:val="13"/>
        <w:numPr>
          <w:ilvl w:val="0"/>
          <w:numId w:val="1226"/>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逾期后，三十日以上六十日以内改正的。</w:t>
      </w:r>
    </w:p>
    <w:p>
      <w:pPr>
        <w:pStyle w:val="13"/>
        <w:numPr>
          <w:ilvl w:val="0"/>
          <w:numId w:val="1226"/>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color w:val="auto"/>
        </w:rPr>
        <w:t>5</w:t>
      </w:r>
      <w:r>
        <w:rPr>
          <w:color w:val="auto"/>
          <w:spacing w:val="-18"/>
        </w:rPr>
        <w:t>、【特别严重】</w:t>
      </w:r>
    </w:p>
    <w:p>
      <w:pPr>
        <w:pStyle w:val="13"/>
        <w:numPr>
          <w:ilvl w:val="0"/>
          <w:numId w:val="122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逾期后，六十日以上改正或拒不改正的。</w:t>
      </w:r>
    </w:p>
    <w:p>
      <w:pPr>
        <w:pStyle w:val="13"/>
        <w:numPr>
          <w:ilvl w:val="0"/>
          <w:numId w:val="122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处 8 万元以上 10 万元以下罚款。</w:t>
      </w:r>
    </w:p>
    <w:p>
      <w:pPr>
        <w:pStyle w:val="2"/>
        <w:spacing w:before="192"/>
        <w:rPr>
          <w:color w:val="auto"/>
        </w:rPr>
      </w:pPr>
      <w:bookmarkStart w:id="1168" w:name="_bookmark583"/>
      <w:bookmarkEnd w:id="1168"/>
      <w:bookmarkStart w:id="1169" w:name="五百七十一、未制定特种设备事故应急专项预案"/>
      <w:bookmarkEnd w:id="1169"/>
      <w:r>
        <w:rPr>
          <w:color w:val="auto"/>
        </w:rPr>
        <w:t>五百七十一、未制定特种设备事故应急专项预案</w:t>
      </w:r>
    </w:p>
    <w:p>
      <w:pPr>
        <w:spacing w:before="194"/>
        <w:ind w:left="581" w:right="0" w:firstLine="0"/>
        <w:jc w:val="left"/>
        <w:rPr>
          <w:b/>
          <w:color w:val="auto"/>
          <w:sz w:val="24"/>
        </w:rPr>
      </w:pPr>
      <w:r>
        <w:rPr>
          <w:b/>
          <w:color w:val="auto"/>
          <w:sz w:val="24"/>
        </w:rPr>
        <w:t>（一）处罚依据</w:t>
      </w:r>
    </w:p>
    <w:p>
      <w:pPr>
        <w:pStyle w:val="4"/>
        <w:spacing w:before="191" w:line="391" w:lineRule="auto"/>
        <w:ind w:right="268" w:firstLine="470"/>
        <w:jc w:val="both"/>
        <w:rPr>
          <w:color w:val="auto"/>
        </w:rPr>
      </w:pPr>
      <w:r>
        <w:rPr>
          <w:color w:val="auto"/>
          <w:spacing w:val="-5"/>
        </w:rPr>
        <w:t>《特种设备安全法》第八十三条“违反本法规定，特种设备使用单位有下列行为</w:t>
      </w:r>
      <w:r>
        <w:rPr>
          <w:color w:val="auto"/>
          <w:spacing w:val="-7"/>
        </w:rPr>
        <w:t>之一的，责令限期改正；逾期未改正的，责令停止使用有关特种设备，处一万元以上</w:t>
      </w:r>
      <w:r>
        <w:rPr>
          <w:color w:val="auto"/>
          <w:spacing w:val="-15"/>
        </w:rPr>
        <w:t>十万元以下罚款：</w:t>
      </w:r>
      <w:r>
        <w:rPr>
          <w:color w:val="auto"/>
        </w:rPr>
        <w:t>（六）</w:t>
      </w:r>
      <w:r>
        <w:rPr>
          <w:color w:val="auto"/>
          <w:spacing w:val="-8"/>
        </w:rPr>
        <w:t>未制定特种设备事故应急专项预案的。”</w:t>
      </w:r>
    </w:p>
    <w:p>
      <w:pPr>
        <w:spacing w:before="0" w:line="388" w:lineRule="auto"/>
        <w:ind w:left="471" w:right="6957" w:firstLine="110"/>
        <w:jc w:val="left"/>
        <w:rPr>
          <w:color w:val="auto"/>
          <w:sz w:val="24"/>
        </w:rPr>
      </w:pPr>
      <w:r>
        <w:rPr>
          <w:b/>
          <w:color w:val="auto"/>
          <w:sz w:val="24"/>
        </w:rPr>
        <w:t>（二）裁量标准</w:t>
      </w:r>
      <w:r>
        <w:rPr>
          <w:color w:val="auto"/>
          <w:sz w:val="24"/>
        </w:rPr>
        <w:t>1、【较轻】</w:t>
      </w:r>
    </w:p>
    <w:p>
      <w:pPr>
        <w:pStyle w:val="13"/>
        <w:numPr>
          <w:ilvl w:val="0"/>
          <w:numId w:val="1228"/>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逾期后，七日内改正的。</w:t>
      </w:r>
    </w:p>
    <w:p>
      <w:pPr>
        <w:pStyle w:val="13"/>
        <w:numPr>
          <w:ilvl w:val="0"/>
          <w:numId w:val="122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282" w:hanging="10"/>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2</w:t>
      </w:r>
      <w:r>
        <w:rPr>
          <w:color w:val="auto"/>
          <w:spacing w:val="-24"/>
        </w:rPr>
        <w:t>、【一般】</w:t>
      </w:r>
    </w:p>
    <w:p>
      <w:pPr>
        <w:pStyle w:val="13"/>
        <w:numPr>
          <w:ilvl w:val="0"/>
          <w:numId w:val="122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逾期后，七日以上十四日以内改正的。</w:t>
      </w:r>
    </w:p>
    <w:p>
      <w:pPr>
        <w:pStyle w:val="13"/>
        <w:numPr>
          <w:ilvl w:val="0"/>
          <w:numId w:val="122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3</w:t>
      </w:r>
      <w:r>
        <w:rPr>
          <w:color w:val="auto"/>
          <w:spacing w:val="-24"/>
        </w:rPr>
        <w:t>、【较重】</w:t>
      </w:r>
    </w:p>
    <w:p>
      <w:pPr>
        <w:pStyle w:val="13"/>
        <w:numPr>
          <w:ilvl w:val="0"/>
          <w:numId w:val="123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逾期后，十四日以上三十日以内改正的。</w:t>
      </w:r>
    </w:p>
    <w:p>
      <w:pPr>
        <w:pStyle w:val="13"/>
        <w:numPr>
          <w:ilvl w:val="0"/>
          <w:numId w:val="123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4</w:t>
      </w:r>
      <w:r>
        <w:rPr>
          <w:color w:val="auto"/>
          <w:spacing w:val="-20"/>
        </w:rPr>
        <w:t xml:space="preserve"> 万元以上 </w:t>
      </w:r>
      <w:r>
        <w:rPr>
          <w:color w:val="auto"/>
        </w:rPr>
        <w:t>6</w:t>
      </w:r>
      <w:r>
        <w:rPr>
          <w:color w:val="auto"/>
          <w:spacing w:val="-10"/>
        </w:rPr>
        <w:t xml:space="preserve"> 万元以下罚款。</w:t>
      </w:r>
      <w:r>
        <w:rPr>
          <w:color w:val="auto"/>
        </w:rPr>
        <w:t>4</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1231"/>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逾期后，三十日以上六十日以内改正的。</w:t>
      </w:r>
    </w:p>
    <w:p>
      <w:pPr>
        <w:pStyle w:val="13"/>
        <w:numPr>
          <w:ilvl w:val="0"/>
          <w:numId w:val="123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6</w:t>
      </w:r>
      <w:r>
        <w:rPr>
          <w:color w:val="auto"/>
          <w:spacing w:val="-20"/>
        </w:rPr>
        <w:t xml:space="preserve"> 万元以上 </w:t>
      </w:r>
      <w:r>
        <w:rPr>
          <w:color w:val="auto"/>
        </w:rPr>
        <w:t>8</w:t>
      </w:r>
      <w:r>
        <w:rPr>
          <w:color w:val="auto"/>
          <w:spacing w:val="-10"/>
        </w:rPr>
        <w:t xml:space="preserve"> 万元以下罚款。</w:t>
      </w:r>
      <w:r>
        <w:rPr>
          <w:color w:val="auto"/>
        </w:rPr>
        <w:t>5</w:t>
      </w:r>
      <w:r>
        <w:rPr>
          <w:color w:val="auto"/>
          <w:spacing w:val="-18"/>
        </w:rPr>
        <w:t>、【特别严重】</w:t>
      </w:r>
    </w:p>
    <w:p>
      <w:pPr>
        <w:pStyle w:val="13"/>
        <w:numPr>
          <w:ilvl w:val="0"/>
          <w:numId w:val="123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逾期后，六十日以上改正或拒不改正的。</w:t>
      </w:r>
    </w:p>
    <w:p>
      <w:pPr>
        <w:pStyle w:val="13"/>
        <w:numPr>
          <w:ilvl w:val="0"/>
          <w:numId w:val="123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81"/>
        <w:rPr>
          <w:color w:val="auto"/>
        </w:rPr>
      </w:pPr>
      <w:r>
        <w:rPr>
          <w:color w:val="auto"/>
        </w:rPr>
        <w:t>处 8 万元以上 10 万元以下罚款。</w:t>
      </w:r>
    </w:p>
    <w:p>
      <w:pPr>
        <w:pStyle w:val="2"/>
        <w:spacing w:before="192" w:line="391" w:lineRule="auto"/>
        <w:ind w:left="111" w:right="240" w:firstLine="480"/>
        <w:rPr>
          <w:color w:val="auto"/>
        </w:rPr>
      </w:pPr>
      <w:bookmarkStart w:id="1170" w:name="_bookmark584"/>
      <w:bookmarkEnd w:id="1170"/>
      <w:bookmarkStart w:id="1171" w:name="五百七十二、使用未取得许可生产，未经检验或者检验不合格的特种设备，或者国家明令淘"/>
      <w:bookmarkEnd w:id="1171"/>
      <w:r>
        <w:rPr>
          <w:color w:val="auto"/>
          <w:spacing w:val="-7"/>
        </w:rPr>
        <w:t>五百七十二、使用未取得许可生产，未经检验或者检验不合格的特种设备，或者国家明令淘汰、已经报废的特种设备</w:t>
      </w:r>
    </w:p>
    <w:p>
      <w:pPr>
        <w:spacing w:before="0" w:line="306" w:lineRule="exact"/>
        <w:ind w:left="58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5"/>
        </w:rPr>
        <w:t>《特种设备安全法》第八十四条“违反本法规定，特种设备使用单位有下列行为</w:t>
      </w:r>
      <w:r>
        <w:rPr>
          <w:color w:val="auto"/>
          <w:spacing w:val="-3"/>
        </w:rPr>
        <w:t>之一的，责令停止使用有关特种设备，处三万元以上三十万元以下罚款：</w:t>
      </w:r>
      <w:r>
        <w:rPr>
          <w:color w:val="auto"/>
          <w:spacing w:val="2"/>
        </w:rPr>
        <w:t>（一）</w:t>
      </w:r>
      <w:r>
        <w:rPr>
          <w:color w:val="auto"/>
          <w:spacing w:val="1"/>
        </w:rPr>
        <w:t>使用</w:t>
      </w:r>
      <w:r>
        <w:rPr>
          <w:color w:val="auto"/>
          <w:spacing w:val="-4"/>
        </w:rPr>
        <w:t>未取得许可生产，未经检验或者检验不合格的特种设备，或者国家明令淘汰、已经报</w:t>
      </w:r>
      <w:r>
        <w:rPr>
          <w:color w:val="auto"/>
          <w:spacing w:val="-14"/>
        </w:rPr>
        <w:t>废的特种设备的。”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3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初次违法，且违法行为持续时间较短和所涉特种设备数量较少的。</w:t>
      </w:r>
    </w:p>
    <w:p>
      <w:pPr>
        <w:pStyle w:val="13"/>
        <w:numPr>
          <w:ilvl w:val="0"/>
          <w:numId w:val="123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2152"/>
        <w:rPr>
          <w:color w:val="auto"/>
        </w:rPr>
      </w:pPr>
      <w:r>
        <w:rPr>
          <w:color w:val="auto"/>
          <w:spacing w:val="-4"/>
        </w:rPr>
        <w:t xml:space="preserve">责令停止使用有关特种设备，处 </w:t>
      </w:r>
      <w:r>
        <w:rPr>
          <w:color w:val="auto"/>
        </w:rPr>
        <w:t>3</w:t>
      </w:r>
      <w:r>
        <w:rPr>
          <w:color w:val="auto"/>
          <w:spacing w:val="-20"/>
        </w:rPr>
        <w:t xml:space="preserve"> 万元以上 </w:t>
      </w:r>
      <w:r>
        <w:rPr>
          <w:color w:val="auto"/>
        </w:rPr>
        <w:t>8</w:t>
      </w:r>
      <w:r>
        <w:rPr>
          <w:color w:val="auto"/>
          <w:spacing w:val="-10"/>
        </w:rPr>
        <w:t xml:space="preserve"> 万元以下罚款。</w:t>
      </w:r>
      <w:r>
        <w:rPr>
          <w:color w:val="auto"/>
        </w:rPr>
        <w:t>2</w:t>
      </w:r>
      <w:r>
        <w:rPr>
          <w:color w:val="auto"/>
          <w:spacing w:val="-24"/>
        </w:rPr>
        <w:t>、【一般】</w:t>
      </w:r>
    </w:p>
    <w:p>
      <w:pPr>
        <w:pStyle w:val="13"/>
        <w:numPr>
          <w:ilvl w:val="0"/>
          <w:numId w:val="123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有两次违法行为，且违法行为持续时间较短和所涉特种设备数量较少的。</w:t>
      </w:r>
    </w:p>
    <w:p>
      <w:pPr>
        <w:pStyle w:val="13"/>
        <w:numPr>
          <w:ilvl w:val="0"/>
          <w:numId w:val="123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2032"/>
        <w:rPr>
          <w:color w:val="auto"/>
        </w:rPr>
      </w:pPr>
      <w:r>
        <w:rPr>
          <w:color w:val="auto"/>
          <w:spacing w:val="-4"/>
        </w:rPr>
        <w:t xml:space="preserve">责令停止使用有关特种设备，处 </w:t>
      </w:r>
      <w:r>
        <w:rPr>
          <w:color w:val="auto"/>
        </w:rPr>
        <w:t>8</w:t>
      </w:r>
      <w:r>
        <w:rPr>
          <w:color w:val="auto"/>
          <w:spacing w:val="-20"/>
        </w:rPr>
        <w:t xml:space="preserve"> 万元以上 </w:t>
      </w:r>
      <w:r>
        <w:rPr>
          <w:color w:val="auto"/>
        </w:rPr>
        <w:t>15</w:t>
      </w:r>
      <w:r>
        <w:rPr>
          <w:color w:val="auto"/>
          <w:spacing w:val="-10"/>
        </w:rPr>
        <w:t xml:space="preserve"> 万元以下罚款。</w:t>
      </w:r>
      <w:r>
        <w:rPr>
          <w:color w:val="auto"/>
        </w:rPr>
        <w:t>3</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1235"/>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违法行为持续时间较长或所涉特种设备数量较多的。</w:t>
      </w:r>
    </w:p>
    <w:p>
      <w:pPr>
        <w:pStyle w:val="13"/>
        <w:numPr>
          <w:ilvl w:val="0"/>
          <w:numId w:val="123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1912"/>
        <w:rPr>
          <w:color w:val="auto"/>
        </w:rPr>
      </w:pPr>
      <w:r>
        <w:rPr>
          <w:color w:val="auto"/>
          <w:spacing w:val="-4"/>
        </w:rPr>
        <w:t xml:space="preserve">责令停止使用有关特种设备，处 </w:t>
      </w:r>
      <w:r>
        <w:rPr>
          <w:color w:val="auto"/>
        </w:rPr>
        <w:t>15</w:t>
      </w:r>
      <w:r>
        <w:rPr>
          <w:color w:val="auto"/>
          <w:spacing w:val="-20"/>
        </w:rPr>
        <w:t xml:space="preserve"> 万元以上 </w:t>
      </w:r>
      <w:r>
        <w:rPr>
          <w:color w:val="auto"/>
        </w:rPr>
        <w:t>20</w:t>
      </w:r>
      <w:r>
        <w:rPr>
          <w:color w:val="auto"/>
          <w:spacing w:val="-10"/>
        </w:rPr>
        <w:t xml:space="preserve"> 万元以下罚款。</w:t>
      </w:r>
      <w:r>
        <w:rPr>
          <w:color w:val="auto"/>
        </w:rPr>
        <w:t>4</w:t>
      </w:r>
      <w:r>
        <w:rPr>
          <w:color w:val="auto"/>
          <w:spacing w:val="-24"/>
        </w:rPr>
        <w:t>、【严重】</w:t>
      </w:r>
    </w:p>
    <w:p>
      <w:pPr>
        <w:pStyle w:val="13"/>
        <w:numPr>
          <w:ilvl w:val="0"/>
          <w:numId w:val="123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违法行为持续时间较长且所涉特种设备数量较多的。</w:t>
      </w:r>
    </w:p>
    <w:p>
      <w:pPr>
        <w:pStyle w:val="13"/>
        <w:numPr>
          <w:ilvl w:val="0"/>
          <w:numId w:val="123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1912"/>
        <w:rPr>
          <w:color w:val="auto"/>
        </w:rPr>
      </w:pPr>
      <w:r>
        <w:rPr>
          <w:color w:val="auto"/>
          <w:spacing w:val="-4"/>
        </w:rPr>
        <w:t xml:space="preserve">责令停止使用有关特种设备，处 </w:t>
      </w:r>
      <w:r>
        <w:rPr>
          <w:color w:val="auto"/>
        </w:rPr>
        <w:t>20</w:t>
      </w:r>
      <w:r>
        <w:rPr>
          <w:color w:val="auto"/>
          <w:spacing w:val="-20"/>
        </w:rPr>
        <w:t xml:space="preserve"> 万元以上 </w:t>
      </w:r>
      <w:r>
        <w:rPr>
          <w:color w:val="auto"/>
        </w:rPr>
        <w:t>25</w:t>
      </w:r>
      <w:r>
        <w:rPr>
          <w:color w:val="auto"/>
          <w:spacing w:val="-10"/>
        </w:rPr>
        <w:t xml:space="preserve"> 万元以下罚款。</w:t>
      </w:r>
      <w:r>
        <w:rPr>
          <w:color w:val="auto"/>
        </w:rPr>
        <w:t>5</w:t>
      </w:r>
      <w:r>
        <w:rPr>
          <w:color w:val="auto"/>
          <w:spacing w:val="-18"/>
        </w:rPr>
        <w:t>、【特别严重】</w:t>
      </w:r>
    </w:p>
    <w:p>
      <w:pPr>
        <w:pStyle w:val="13"/>
        <w:numPr>
          <w:ilvl w:val="0"/>
          <w:numId w:val="123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造成不良后果或情节严重的；</w:t>
      </w:r>
    </w:p>
    <w:p>
      <w:pPr>
        <w:pStyle w:val="13"/>
        <w:numPr>
          <w:ilvl w:val="0"/>
          <w:numId w:val="123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责令停止使用有关特种设备，处 25 万元以上 30 万元以下罚款。</w:t>
      </w:r>
    </w:p>
    <w:p>
      <w:pPr>
        <w:pStyle w:val="2"/>
        <w:spacing w:before="192" w:line="388" w:lineRule="auto"/>
        <w:ind w:left="111" w:right="240" w:firstLine="480"/>
        <w:rPr>
          <w:color w:val="auto"/>
        </w:rPr>
      </w:pPr>
      <w:bookmarkStart w:id="1172" w:name="_bookmark585"/>
      <w:bookmarkEnd w:id="1172"/>
      <w:bookmarkStart w:id="1173" w:name="五百七十三、特种设备出现故障或者发生异常情况，未对其进行全面检查、消除事故隐患，"/>
      <w:bookmarkEnd w:id="1173"/>
      <w:r>
        <w:rPr>
          <w:color w:val="auto"/>
          <w:spacing w:val="-6"/>
        </w:rPr>
        <w:t>五百七十三、特种设备出现故障或者发生异常情况，未对其进行全面检查、消除事故隐患，继续使用</w:t>
      </w:r>
    </w:p>
    <w:p>
      <w:pPr>
        <w:spacing w:before="5"/>
        <w:ind w:left="581" w:right="0" w:firstLine="0"/>
        <w:jc w:val="left"/>
        <w:rPr>
          <w:b/>
          <w:color w:val="auto"/>
          <w:sz w:val="24"/>
        </w:rPr>
      </w:pPr>
      <w:r>
        <w:rPr>
          <w:b/>
          <w:color w:val="auto"/>
          <w:w w:val="95"/>
          <w:sz w:val="24"/>
        </w:rPr>
        <w:t>（一）处罚依据</w:t>
      </w:r>
    </w:p>
    <w:p>
      <w:pPr>
        <w:pStyle w:val="4"/>
        <w:spacing w:before="191" w:line="391" w:lineRule="auto"/>
        <w:ind w:right="148" w:firstLine="470"/>
        <w:jc w:val="both"/>
        <w:rPr>
          <w:color w:val="auto"/>
        </w:rPr>
      </w:pPr>
      <w:r>
        <w:rPr>
          <w:color w:val="auto"/>
          <w:spacing w:val="-4"/>
        </w:rPr>
        <w:t>《特种设备安全法》第八十四条“违反本法规定，特种设备使用单位有下列行为</w:t>
      </w:r>
      <w:r>
        <w:rPr>
          <w:color w:val="auto"/>
          <w:spacing w:val="-3"/>
        </w:rPr>
        <w:t>之一的，责令停止使用有关特种设备，处三万元以上三十万元以下罚款：</w:t>
      </w:r>
      <w:r>
        <w:rPr>
          <w:color w:val="auto"/>
          <w:spacing w:val="2"/>
        </w:rPr>
        <w:t>（二）</w:t>
      </w:r>
      <w:r>
        <w:rPr>
          <w:color w:val="auto"/>
          <w:spacing w:val="1"/>
        </w:rPr>
        <w:t>特种</w:t>
      </w:r>
      <w:r>
        <w:rPr>
          <w:color w:val="auto"/>
          <w:spacing w:val="-16"/>
        </w:rPr>
        <w:t>设备出现故障或者发生异常情况，未对其进行全面检查、消除事故隐患，继续使用的。”</w:t>
      </w:r>
    </w:p>
    <w:p>
      <w:pPr>
        <w:spacing w:before="0" w:line="388" w:lineRule="auto"/>
        <w:ind w:left="581" w:right="6948" w:firstLine="9"/>
        <w:jc w:val="left"/>
        <w:rPr>
          <w:color w:val="auto"/>
          <w:sz w:val="24"/>
        </w:rPr>
      </w:pPr>
      <w:r>
        <w:rPr>
          <w:b/>
          <w:color w:val="auto"/>
          <w:sz w:val="24"/>
        </w:rPr>
        <w:t>（二）裁量标准</w:t>
      </w:r>
      <w:r>
        <w:rPr>
          <w:color w:val="auto"/>
          <w:sz w:val="24"/>
        </w:rPr>
        <w:t>1、【一般】</w:t>
      </w:r>
    </w:p>
    <w:p>
      <w:pPr>
        <w:pStyle w:val="13"/>
        <w:numPr>
          <w:ilvl w:val="0"/>
          <w:numId w:val="1238"/>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已实施检查、消除事故隐患工作，但未全面到位，且继续使用的。</w:t>
      </w:r>
    </w:p>
    <w:p>
      <w:pPr>
        <w:pStyle w:val="13"/>
        <w:numPr>
          <w:ilvl w:val="0"/>
          <w:numId w:val="123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81" w:right="2042"/>
        <w:rPr>
          <w:color w:val="auto"/>
        </w:rPr>
      </w:pPr>
      <w:r>
        <w:rPr>
          <w:color w:val="auto"/>
          <w:spacing w:val="-4"/>
        </w:rPr>
        <w:t xml:space="preserve">责令停止使用有关特种设备，处 </w:t>
      </w:r>
      <w:r>
        <w:rPr>
          <w:color w:val="auto"/>
        </w:rPr>
        <w:t>3</w:t>
      </w:r>
      <w:r>
        <w:rPr>
          <w:color w:val="auto"/>
          <w:spacing w:val="-20"/>
        </w:rPr>
        <w:t xml:space="preserve"> 万元以上 </w:t>
      </w:r>
      <w:r>
        <w:rPr>
          <w:color w:val="auto"/>
        </w:rPr>
        <w:t>10</w:t>
      </w:r>
      <w:r>
        <w:rPr>
          <w:color w:val="auto"/>
          <w:spacing w:val="-10"/>
        </w:rPr>
        <w:t xml:space="preserve"> 万元以下罚款。</w:t>
      </w:r>
      <w:r>
        <w:rPr>
          <w:color w:val="auto"/>
        </w:rPr>
        <w:t>2</w:t>
      </w:r>
      <w:r>
        <w:rPr>
          <w:color w:val="auto"/>
          <w:spacing w:val="-24"/>
        </w:rPr>
        <w:t>、【较重】</w:t>
      </w:r>
    </w:p>
    <w:p>
      <w:pPr>
        <w:pStyle w:val="13"/>
        <w:numPr>
          <w:ilvl w:val="0"/>
          <w:numId w:val="1239"/>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未采取措施，继续使用的。</w:t>
      </w:r>
    </w:p>
    <w:p>
      <w:pPr>
        <w:pStyle w:val="13"/>
        <w:numPr>
          <w:ilvl w:val="0"/>
          <w:numId w:val="123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81" w:right="1922"/>
        <w:rPr>
          <w:color w:val="auto"/>
        </w:rPr>
      </w:pPr>
      <w:r>
        <w:rPr>
          <w:color w:val="auto"/>
          <w:spacing w:val="-4"/>
        </w:rPr>
        <w:t xml:space="preserve">责令停止使用有关特种设备，处 </w:t>
      </w:r>
      <w:r>
        <w:rPr>
          <w:color w:val="auto"/>
        </w:rPr>
        <w:t>10</w:t>
      </w:r>
      <w:r>
        <w:rPr>
          <w:color w:val="auto"/>
          <w:spacing w:val="-20"/>
        </w:rPr>
        <w:t xml:space="preserve"> 万元以上 </w:t>
      </w:r>
      <w:r>
        <w:rPr>
          <w:color w:val="auto"/>
        </w:rPr>
        <w:t>20</w:t>
      </w:r>
      <w:r>
        <w:rPr>
          <w:color w:val="auto"/>
          <w:spacing w:val="-10"/>
        </w:rPr>
        <w:t xml:space="preserve"> 万元以下罚款。</w:t>
      </w:r>
      <w:r>
        <w:rPr>
          <w:color w:val="auto"/>
        </w:rPr>
        <w:t>3</w:t>
      </w:r>
      <w:r>
        <w:rPr>
          <w:color w:val="auto"/>
          <w:spacing w:val="-24"/>
        </w:rPr>
        <w:t>、【严重】</w:t>
      </w:r>
    </w:p>
    <w:p>
      <w:pPr>
        <w:pStyle w:val="13"/>
        <w:numPr>
          <w:ilvl w:val="0"/>
          <w:numId w:val="1240"/>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造成不良后果或情节严重的。</w:t>
      </w:r>
    </w:p>
    <w:p>
      <w:pPr>
        <w:pStyle w:val="13"/>
        <w:numPr>
          <w:ilvl w:val="0"/>
          <w:numId w:val="124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责令停止使用有关特种设备，处 20 万元以上 30 万元以下罚款。</w:t>
      </w:r>
    </w:p>
    <w:p>
      <w:pPr>
        <w:pStyle w:val="2"/>
        <w:spacing w:before="192" w:line="388" w:lineRule="auto"/>
        <w:ind w:left="111" w:right="193" w:firstLine="480"/>
        <w:rPr>
          <w:color w:val="auto"/>
        </w:rPr>
      </w:pPr>
      <w:bookmarkStart w:id="1174" w:name="_bookmark586"/>
      <w:bookmarkEnd w:id="1174"/>
      <w:bookmarkStart w:id="1175" w:name="五百七十四、特种设备存在严重事故隐患，无改造、修理价值，或者达到安全技术规范规定"/>
      <w:bookmarkEnd w:id="1175"/>
      <w:r>
        <w:rPr>
          <w:color w:val="auto"/>
        </w:rPr>
        <w:t>五百七十四、特种设备存在严重事故隐患，无改造、修理价值，或者达到安全技术规范规定的其他报废条件，未依法履行报废义务并办理使用登记证书注销手续</w:t>
      </w:r>
    </w:p>
    <w:p>
      <w:pPr>
        <w:spacing w:before="5"/>
        <w:ind w:left="58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spacing w:val="-5"/>
        </w:rPr>
        <w:t>《特种设备安全法》第八十四条“违反本法规定，特种设备使用单位有下列行为</w:t>
      </w:r>
      <w:r>
        <w:rPr>
          <w:color w:val="auto"/>
          <w:spacing w:val="-3"/>
        </w:rPr>
        <w:t>之一的，责令停止使用有关特种设备，处三万元以上三十万元以下罚款：</w:t>
      </w:r>
      <w:r>
        <w:rPr>
          <w:color w:val="auto"/>
          <w:spacing w:val="2"/>
        </w:rPr>
        <w:t>（三）</w:t>
      </w:r>
      <w:r>
        <w:rPr>
          <w:color w:val="auto"/>
          <w:spacing w:val="1"/>
        </w:rPr>
        <w:t>特种</w:t>
      </w:r>
      <w:r>
        <w:rPr>
          <w:color w:val="auto"/>
          <w:spacing w:val="-4"/>
        </w:rPr>
        <w:t>设备存在严重事故隐患，无改造、修理价值，或者达到安全技术规范规定的其他报废</w:t>
      </w:r>
      <w:r>
        <w:rPr>
          <w:color w:val="auto"/>
          <w:spacing w:val="-5"/>
        </w:rPr>
        <w:t>条件，未依法履行报废义务，并办理使用登记证书注销手续的。”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24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已报废未办理使用登记注销手续的。</w:t>
      </w:r>
    </w:p>
    <w:p>
      <w:pPr>
        <w:pStyle w:val="13"/>
        <w:numPr>
          <w:ilvl w:val="0"/>
          <w:numId w:val="124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2162" w:hanging="10"/>
        <w:rPr>
          <w:color w:val="auto"/>
        </w:rPr>
      </w:pPr>
      <w:r>
        <w:rPr>
          <w:color w:val="auto"/>
          <w:spacing w:val="-4"/>
        </w:rPr>
        <w:t xml:space="preserve">责令停止使用有关特种设备，处 </w:t>
      </w:r>
      <w:r>
        <w:rPr>
          <w:color w:val="auto"/>
        </w:rPr>
        <w:t>3</w:t>
      </w:r>
      <w:r>
        <w:rPr>
          <w:color w:val="auto"/>
          <w:spacing w:val="-20"/>
        </w:rPr>
        <w:t xml:space="preserve"> 万元以上 </w:t>
      </w:r>
      <w:r>
        <w:rPr>
          <w:color w:val="auto"/>
        </w:rPr>
        <w:t>5</w:t>
      </w:r>
      <w:r>
        <w:rPr>
          <w:color w:val="auto"/>
          <w:spacing w:val="-10"/>
        </w:rPr>
        <w:t xml:space="preserve"> 万元以下罚款。</w:t>
      </w:r>
      <w:r>
        <w:rPr>
          <w:color w:val="auto"/>
        </w:rPr>
        <w:t>2</w:t>
      </w:r>
      <w:r>
        <w:rPr>
          <w:color w:val="auto"/>
          <w:spacing w:val="-24"/>
        </w:rPr>
        <w:t>、【较重】</w:t>
      </w:r>
    </w:p>
    <w:p>
      <w:pPr>
        <w:pStyle w:val="13"/>
        <w:numPr>
          <w:ilvl w:val="0"/>
          <w:numId w:val="1242"/>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未履行报废义务，且未办理使用登记注销手续的。</w:t>
      </w:r>
    </w:p>
    <w:p>
      <w:pPr>
        <w:pStyle w:val="13"/>
        <w:numPr>
          <w:ilvl w:val="0"/>
          <w:numId w:val="124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2032"/>
        <w:rPr>
          <w:color w:val="auto"/>
        </w:rPr>
      </w:pPr>
      <w:r>
        <w:rPr>
          <w:color w:val="auto"/>
          <w:spacing w:val="-4"/>
        </w:rPr>
        <w:t xml:space="preserve">责令停止使用有关特种设备，处 </w:t>
      </w:r>
      <w:r>
        <w:rPr>
          <w:color w:val="auto"/>
        </w:rPr>
        <w:t>5</w:t>
      </w:r>
      <w:r>
        <w:rPr>
          <w:color w:val="auto"/>
          <w:spacing w:val="-20"/>
        </w:rPr>
        <w:t xml:space="preserve"> 万元以上 </w:t>
      </w:r>
      <w:r>
        <w:rPr>
          <w:color w:val="auto"/>
        </w:rPr>
        <w:t>15</w:t>
      </w:r>
      <w:r>
        <w:rPr>
          <w:color w:val="auto"/>
          <w:spacing w:val="-10"/>
        </w:rPr>
        <w:t xml:space="preserve"> 万元以下罚款。</w:t>
      </w:r>
      <w:r>
        <w:rPr>
          <w:color w:val="auto"/>
        </w:rPr>
        <w:t>3</w:t>
      </w:r>
      <w:r>
        <w:rPr>
          <w:color w:val="auto"/>
          <w:spacing w:val="-24"/>
        </w:rPr>
        <w:t>、【严重】</w:t>
      </w:r>
    </w:p>
    <w:p>
      <w:pPr>
        <w:spacing w:after="0" w:line="388" w:lineRule="auto"/>
        <w:rPr>
          <w:color w:val="auto"/>
        </w:rPr>
        <w:sectPr>
          <w:footerReference r:id="rId137" w:type="default"/>
          <w:footerReference r:id="rId138" w:type="even"/>
          <w:pgSz w:w="11910" w:h="16840"/>
          <w:pgMar w:top="1520" w:right="1260" w:bottom="1720" w:left="1420" w:header="0" w:footer="1526" w:gutter="0"/>
          <w:pgNumType w:start="558"/>
        </w:sectPr>
      </w:pPr>
    </w:p>
    <w:p>
      <w:pPr>
        <w:pStyle w:val="4"/>
        <w:spacing w:before="39"/>
        <w:ind w:left="581"/>
        <w:rPr>
          <w:color w:val="auto"/>
        </w:rPr>
      </w:pPr>
      <w:r>
        <w:rPr>
          <w:color w:val="auto"/>
        </w:rPr>
        <w:t>已造成不良后果的。</w:t>
      </w:r>
    </w:p>
    <w:p>
      <w:pPr>
        <w:pStyle w:val="4"/>
        <w:spacing w:before="195"/>
        <w:ind w:left="591"/>
        <w:rPr>
          <w:color w:val="auto"/>
        </w:rPr>
      </w:pPr>
      <w:r>
        <w:rPr>
          <w:color w:val="auto"/>
        </w:rPr>
        <w:t>（2）处罚标准</w:t>
      </w:r>
    </w:p>
    <w:p>
      <w:pPr>
        <w:pStyle w:val="4"/>
        <w:spacing w:before="191"/>
        <w:ind w:left="591"/>
        <w:rPr>
          <w:color w:val="auto"/>
        </w:rPr>
      </w:pPr>
      <w:r>
        <w:rPr>
          <w:color w:val="auto"/>
        </w:rPr>
        <w:t>责令停止使用有关特种设备，处 15 万元以上 30 万元以下罚款。</w:t>
      </w:r>
    </w:p>
    <w:p>
      <w:pPr>
        <w:pStyle w:val="2"/>
        <w:spacing w:before="192" w:line="391" w:lineRule="auto"/>
        <w:ind w:left="111" w:right="240" w:firstLine="480"/>
        <w:rPr>
          <w:color w:val="auto"/>
        </w:rPr>
      </w:pPr>
      <w:bookmarkStart w:id="1176" w:name="五百七十五、移动式压力容器、气瓶充装单位未依法实施充装前后的检查、记录制度"/>
      <w:bookmarkEnd w:id="1176"/>
      <w:bookmarkStart w:id="1177" w:name="_bookmark587"/>
      <w:bookmarkEnd w:id="1177"/>
      <w:r>
        <w:rPr>
          <w:color w:val="auto"/>
          <w:spacing w:val="-7"/>
        </w:rPr>
        <w:t>五百七十五、移动式压力容器、气瓶充装单位未依法实施充装前后的检查、记录制度</w:t>
      </w:r>
    </w:p>
    <w:p>
      <w:pPr>
        <w:spacing w:before="0" w:line="306" w:lineRule="exact"/>
        <w:ind w:left="58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6"/>
        </w:rPr>
        <w:t>《特种设备安全法》第八十五条第一款“违反本法规定，移动式压力容器、气瓶</w:t>
      </w:r>
      <w:r>
        <w:rPr>
          <w:color w:val="auto"/>
          <w:spacing w:val="-4"/>
        </w:rPr>
        <w:t>充装单位有下列行为之一的，责令改正，处二万元以上二十万元以下罚款；情节严重</w:t>
      </w:r>
      <w:r>
        <w:rPr>
          <w:color w:val="auto"/>
          <w:spacing w:val="-12"/>
        </w:rPr>
        <w:t>的，吊销充装许可证：</w:t>
      </w:r>
      <w:r>
        <w:rPr>
          <w:color w:val="auto"/>
        </w:rPr>
        <w:t>（一）</w:t>
      </w:r>
      <w:r>
        <w:rPr>
          <w:color w:val="auto"/>
          <w:spacing w:val="-6"/>
        </w:rPr>
        <w:t>未按照规定实施充装前后的检查、记录制度的。”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4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实施充装前后的检查、记录制度，但不全面不到位的。</w:t>
      </w:r>
    </w:p>
    <w:p>
      <w:pPr>
        <w:pStyle w:val="13"/>
        <w:numPr>
          <w:ilvl w:val="0"/>
          <w:numId w:val="124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072"/>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0"/>
        </w:rPr>
        <w:t xml:space="preserve"> 万元以下罚款。</w:t>
      </w:r>
      <w:r>
        <w:rPr>
          <w:color w:val="auto"/>
        </w:rPr>
        <w:t>2</w:t>
      </w:r>
      <w:r>
        <w:rPr>
          <w:color w:val="auto"/>
          <w:spacing w:val="-24"/>
        </w:rPr>
        <w:t>、【一般】</w:t>
      </w:r>
    </w:p>
    <w:p>
      <w:pPr>
        <w:pStyle w:val="13"/>
        <w:numPr>
          <w:ilvl w:val="0"/>
          <w:numId w:val="1244"/>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未实施充装前后的检查、记录制度的。</w:t>
      </w:r>
    </w:p>
    <w:p>
      <w:pPr>
        <w:pStyle w:val="13"/>
        <w:numPr>
          <w:ilvl w:val="0"/>
          <w:numId w:val="124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left="591" w:right="3952"/>
        <w:rPr>
          <w:color w:val="auto"/>
        </w:rPr>
      </w:pPr>
      <w:r>
        <w:rPr>
          <w:color w:val="auto"/>
          <w:spacing w:val="-9"/>
        </w:rPr>
        <w:t xml:space="preserve">责令改正，处 </w:t>
      </w:r>
      <w:r>
        <w:rPr>
          <w:color w:val="auto"/>
        </w:rPr>
        <w:t>5</w:t>
      </w:r>
      <w:r>
        <w:rPr>
          <w:color w:val="auto"/>
          <w:spacing w:val="-20"/>
        </w:rPr>
        <w:t xml:space="preserve"> 万元以上 </w:t>
      </w:r>
      <w:r>
        <w:rPr>
          <w:color w:val="auto"/>
        </w:rPr>
        <w:t>10</w:t>
      </w:r>
      <w:r>
        <w:rPr>
          <w:color w:val="auto"/>
          <w:spacing w:val="-10"/>
        </w:rPr>
        <w:t xml:space="preserve"> 万元以下罚款。</w:t>
      </w:r>
      <w:r>
        <w:rPr>
          <w:color w:val="auto"/>
        </w:rPr>
        <w:t>3</w:t>
      </w:r>
      <w:r>
        <w:rPr>
          <w:color w:val="auto"/>
          <w:spacing w:val="-24"/>
        </w:rPr>
        <w:t>、【严重】</w:t>
      </w:r>
    </w:p>
    <w:p>
      <w:pPr>
        <w:pStyle w:val="13"/>
        <w:numPr>
          <w:ilvl w:val="0"/>
          <w:numId w:val="124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造成不良后果或情节严重的。</w:t>
      </w:r>
    </w:p>
    <w:p>
      <w:pPr>
        <w:pStyle w:val="13"/>
        <w:numPr>
          <w:ilvl w:val="0"/>
          <w:numId w:val="124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10 万元以上 20 万元以下罚款，建议原发证机关吊销充装许可证。</w:t>
      </w:r>
    </w:p>
    <w:p>
      <w:pPr>
        <w:pStyle w:val="2"/>
        <w:spacing w:before="194" w:line="388" w:lineRule="auto"/>
        <w:ind w:left="111" w:right="237" w:firstLine="480"/>
        <w:rPr>
          <w:color w:val="auto"/>
        </w:rPr>
      </w:pPr>
      <w:bookmarkStart w:id="1178" w:name="五百七十六、移动式压力容器、气瓶充装单位对不符合安全技术规范要求的移动式压力容器"/>
      <w:bookmarkEnd w:id="1178"/>
      <w:bookmarkStart w:id="1179" w:name="_bookmark588"/>
      <w:bookmarkEnd w:id="1179"/>
      <w:r>
        <w:rPr>
          <w:color w:val="auto"/>
          <w:spacing w:val="-8"/>
        </w:rPr>
        <w:t>五百七十六、移动式压力容器、气瓶充装单位对不符合安全技术规范要求的移动式压力容器和气瓶进行充装</w:t>
      </w:r>
    </w:p>
    <w:p>
      <w:pPr>
        <w:spacing w:before="2"/>
        <w:ind w:left="581"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68" w:firstLine="480"/>
        <w:jc w:val="both"/>
        <w:rPr>
          <w:color w:val="auto"/>
        </w:rPr>
      </w:pPr>
      <w:r>
        <w:rPr>
          <w:color w:val="auto"/>
          <w:spacing w:val="-6"/>
        </w:rPr>
        <w:t>《特种设备安全法》第八十五条第一款“违反本法规定，移动式压力容器、气瓶</w:t>
      </w:r>
      <w:r>
        <w:rPr>
          <w:color w:val="auto"/>
          <w:spacing w:val="-4"/>
        </w:rPr>
        <w:t>充装单位有下列行为之一的，责令改正，处二万元以上二十万元以下罚款；情节严重</w:t>
      </w:r>
      <w:r>
        <w:rPr>
          <w:color w:val="auto"/>
          <w:spacing w:val="-11"/>
        </w:rPr>
        <w:t>的，吊销充装许可证：</w:t>
      </w:r>
      <w:r>
        <w:rPr>
          <w:color w:val="auto"/>
          <w:spacing w:val="2"/>
        </w:rPr>
        <w:t>（二）</w:t>
      </w:r>
      <w:r>
        <w:rPr>
          <w:color w:val="auto"/>
        </w:rPr>
        <w:t>对不符合安全技术规范要求的移动式压力容器和气瓶进</w:t>
      </w:r>
      <w:r>
        <w:rPr>
          <w:color w:val="auto"/>
          <w:spacing w:val="-20"/>
        </w:rPr>
        <w:t>行充装的。”</w:t>
      </w:r>
    </w:p>
    <w:p>
      <w:pPr>
        <w:spacing w:before="0" w:line="388" w:lineRule="auto"/>
        <w:ind w:left="471" w:right="6948" w:firstLine="120"/>
        <w:jc w:val="left"/>
        <w:rPr>
          <w:color w:val="auto"/>
          <w:sz w:val="24"/>
        </w:rPr>
      </w:pPr>
      <w:r>
        <w:rPr>
          <w:b/>
          <w:color w:val="auto"/>
          <w:sz w:val="24"/>
        </w:rPr>
        <w:t>（二）裁量标准</w:t>
      </w:r>
      <w:r>
        <w:rPr>
          <w:color w:val="auto"/>
          <w:sz w:val="24"/>
        </w:rPr>
        <w:t>1、【较轻】</w:t>
      </w:r>
    </w:p>
    <w:p>
      <w:pPr>
        <w:pStyle w:val="13"/>
        <w:numPr>
          <w:ilvl w:val="0"/>
          <w:numId w:val="1246"/>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充装检验合格的移动式压力容器或气瓶，且数量较少的。</w:t>
      </w:r>
    </w:p>
    <w:p>
      <w:pPr>
        <w:pStyle w:val="13"/>
        <w:numPr>
          <w:ilvl w:val="0"/>
          <w:numId w:val="124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4072"/>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0"/>
        </w:rPr>
        <w:t xml:space="preserve"> 万元以下罚款。</w:t>
      </w:r>
      <w:r>
        <w:rPr>
          <w:color w:val="auto"/>
        </w:rPr>
        <w:t>2</w:t>
      </w:r>
      <w:r>
        <w:rPr>
          <w:color w:val="auto"/>
          <w:spacing w:val="-24"/>
        </w:rPr>
        <w:t>、【一般】</w:t>
      </w:r>
    </w:p>
    <w:p>
      <w:pPr>
        <w:pStyle w:val="13"/>
        <w:numPr>
          <w:ilvl w:val="0"/>
          <w:numId w:val="124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充装非自有产权气瓶的；或者充装检验合格的移动式压力容器或气瓶，且数量较多的。</w:t>
      </w:r>
    </w:p>
    <w:p>
      <w:pPr>
        <w:pStyle w:val="13"/>
        <w:numPr>
          <w:ilvl w:val="0"/>
          <w:numId w:val="124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4072"/>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0"/>
        </w:rPr>
        <w:t xml:space="preserve"> 万元以下罚款。</w:t>
      </w:r>
      <w:r>
        <w:rPr>
          <w:color w:val="auto"/>
        </w:rPr>
        <w:t>3</w:t>
      </w:r>
      <w:r>
        <w:rPr>
          <w:color w:val="auto"/>
          <w:spacing w:val="-24"/>
        </w:rPr>
        <w:t>、【较重】</w:t>
      </w:r>
    </w:p>
    <w:p>
      <w:pPr>
        <w:pStyle w:val="13"/>
        <w:numPr>
          <w:ilvl w:val="0"/>
          <w:numId w:val="124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充装未经定期检验或检验不合格的移动式压力容器或气瓶，且数量较少的。</w:t>
      </w:r>
    </w:p>
    <w:p>
      <w:pPr>
        <w:pStyle w:val="13"/>
        <w:numPr>
          <w:ilvl w:val="0"/>
          <w:numId w:val="124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952"/>
        <w:rPr>
          <w:color w:val="auto"/>
        </w:rPr>
      </w:pPr>
      <w:r>
        <w:rPr>
          <w:color w:val="auto"/>
          <w:spacing w:val="-9"/>
        </w:rPr>
        <w:t xml:space="preserve">责令改正，处 </w:t>
      </w:r>
      <w:r>
        <w:rPr>
          <w:color w:val="auto"/>
        </w:rPr>
        <w:t>8</w:t>
      </w:r>
      <w:r>
        <w:rPr>
          <w:color w:val="auto"/>
          <w:spacing w:val="-20"/>
        </w:rPr>
        <w:t xml:space="preserve"> 万元以上 </w:t>
      </w:r>
      <w:r>
        <w:rPr>
          <w:color w:val="auto"/>
        </w:rPr>
        <w:t>10</w:t>
      </w:r>
      <w:r>
        <w:rPr>
          <w:color w:val="auto"/>
          <w:spacing w:val="-10"/>
        </w:rPr>
        <w:t xml:space="preserve"> 万元以下罚款。</w:t>
      </w:r>
      <w:r>
        <w:rPr>
          <w:color w:val="auto"/>
        </w:rPr>
        <w:t>4</w:t>
      </w:r>
      <w:r>
        <w:rPr>
          <w:color w:val="auto"/>
          <w:spacing w:val="-24"/>
        </w:rPr>
        <w:t>、【严重】</w:t>
      </w:r>
    </w:p>
    <w:p>
      <w:pPr>
        <w:pStyle w:val="13"/>
        <w:numPr>
          <w:ilvl w:val="0"/>
          <w:numId w:val="124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充装未经定期检验或检验不合格的移动式压力容器或气瓶，且数量较多的。</w:t>
      </w:r>
    </w:p>
    <w:p>
      <w:pPr>
        <w:pStyle w:val="13"/>
        <w:numPr>
          <w:ilvl w:val="0"/>
          <w:numId w:val="124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9"/>
        </w:rPr>
        <w:t xml:space="preserve">责令改正，处 </w:t>
      </w:r>
      <w:r>
        <w:rPr>
          <w:color w:val="auto"/>
        </w:rPr>
        <w:t>10</w:t>
      </w:r>
      <w:r>
        <w:rPr>
          <w:color w:val="auto"/>
          <w:spacing w:val="-20"/>
        </w:rPr>
        <w:t xml:space="preserve"> 万元以上 </w:t>
      </w:r>
      <w:r>
        <w:rPr>
          <w:color w:val="auto"/>
        </w:rPr>
        <w:t>15</w:t>
      </w:r>
      <w:r>
        <w:rPr>
          <w:color w:val="auto"/>
          <w:spacing w:val="-10"/>
        </w:rPr>
        <w:t xml:space="preserve"> 万元以下罚款。</w:t>
      </w:r>
      <w:r>
        <w:rPr>
          <w:color w:val="auto"/>
        </w:rPr>
        <w:t>5</w:t>
      </w:r>
      <w:r>
        <w:rPr>
          <w:color w:val="auto"/>
          <w:spacing w:val="-18"/>
        </w:rPr>
        <w:t>、【特别严重】</w:t>
      </w:r>
    </w:p>
    <w:p>
      <w:pPr>
        <w:spacing w:after="0" w:line="388" w:lineRule="auto"/>
        <w:rPr>
          <w:color w:val="auto"/>
        </w:rPr>
        <w:sectPr>
          <w:footerReference r:id="rId139" w:type="default"/>
          <w:footerReference r:id="rId140" w:type="even"/>
          <w:pgSz w:w="11910" w:h="16840"/>
          <w:pgMar w:top="1520" w:right="1260" w:bottom="1720" w:left="1420" w:header="0" w:footer="1526" w:gutter="0"/>
          <w:pgNumType w:start="560"/>
        </w:sectPr>
      </w:pPr>
    </w:p>
    <w:p>
      <w:pPr>
        <w:pStyle w:val="4"/>
        <w:spacing w:before="39"/>
        <w:ind w:left="591"/>
        <w:rPr>
          <w:color w:val="auto"/>
        </w:rPr>
      </w:pPr>
      <w:r>
        <w:rPr>
          <w:color w:val="auto"/>
        </w:rPr>
        <w:t>已造成不良后果的。</w:t>
      </w:r>
    </w:p>
    <w:p>
      <w:pPr>
        <w:pStyle w:val="4"/>
        <w:spacing w:before="195"/>
        <w:ind w:left="591"/>
        <w:rPr>
          <w:color w:val="auto"/>
        </w:rPr>
      </w:pPr>
      <w:r>
        <w:rPr>
          <w:color w:val="auto"/>
        </w:rPr>
        <w:t>（2）处罚标准</w:t>
      </w:r>
    </w:p>
    <w:p>
      <w:pPr>
        <w:spacing w:before="191" w:line="388" w:lineRule="auto"/>
        <w:ind w:left="591" w:right="1406" w:firstLine="0"/>
        <w:jc w:val="left"/>
        <w:rPr>
          <w:b/>
          <w:color w:val="auto"/>
          <w:sz w:val="24"/>
        </w:rPr>
      </w:pPr>
      <w:r>
        <w:rPr>
          <w:color w:val="auto"/>
          <w:spacing w:val="-30"/>
          <w:sz w:val="24"/>
        </w:rPr>
        <w:t xml:space="preserve">处 </w:t>
      </w:r>
      <w:r>
        <w:rPr>
          <w:color w:val="auto"/>
          <w:sz w:val="24"/>
        </w:rPr>
        <w:t>15</w:t>
      </w:r>
      <w:r>
        <w:rPr>
          <w:color w:val="auto"/>
          <w:spacing w:val="-20"/>
          <w:sz w:val="24"/>
        </w:rPr>
        <w:t xml:space="preserve"> 万元以上 </w:t>
      </w:r>
      <w:r>
        <w:rPr>
          <w:color w:val="auto"/>
          <w:sz w:val="24"/>
        </w:rPr>
        <w:t>20</w:t>
      </w:r>
      <w:r>
        <w:rPr>
          <w:color w:val="auto"/>
          <w:spacing w:val="-8"/>
          <w:sz w:val="24"/>
        </w:rPr>
        <w:t xml:space="preserve"> 万元以下罚款，建议原发证机关吊销充装许可证。</w:t>
      </w:r>
      <w:bookmarkStart w:id="1180" w:name="_bookmark589"/>
      <w:bookmarkEnd w:id="1180"/>
      <w:bookmarkStart w:id="1181" w:name="五百七十七、未经许可，擅自从事移动式压力容器或者气瓶充装活动"/>
      <w:bookmarkEnd w:id="1181"/>
      <w:r>
        <w:rPr>
          <w:b/>
          <w:color w:val="auto"/>
          <w:spacing w:val="-9"/>
          <w:sz w:val="24"/>
        </w:rPr>
        <w:t>五百七十七、未经许可，擅自从事移动式压力容器或者气瓶充装活动</w:t>
      </w:r>
    </w:p>
    <w:p>
      <w:pPr>
        <w:pStyle w:val="2"/>
        <w:spacing w:before="5"/>
        <w:ind w:left="581"/>
        <w:rPr>
          <w:color w:val="auto"/>
        </w:rPr>
      </w:pPr>
      <w:r>
        <w:rPr>
          <w:color w:val="auto"/>
        </w:rPr>
        <w:t>（一）处罚依据</w:t>
      </w:r>
    </w:p>
    <w:p>
      <w:pPr>
        <w:pStyle w:val="4"/>
        <w:spacing w:before="192" w:line="391" w:lineRule="auto"/>
        <w:ind w:right="268" w:firstLine="480"/>
        <w:jc w:val="both"/>
        <w:rPr>
          <w:color w:val="auto"/>
        </w:rPr>
      </w:pPr>
      <w:r>
        <w:rPr>
          <w:color w:val="auto"/>
          <w:spacing w:val="-6"/>
        </w:rPr>
        <w:t>《特种设备安全法》第八十五条第二款“违反本法规定，未经许可，擅自从事移</w:t>
      </w:r>
      <w:r>
        <w:rPr>
          <w:color w:val="auto"/>
          <w:spacing w:val="-4"/>
        </w:rPr>
        <w:t>动式压力容器或者气瓶充装活动的，予以取缔，没收违法充装的气瓶，处十万元以上</w:t>
      </w:r>
      <w:r>
        <w:rPr>
          <w:color w:val="auto"/>
          <w:spacing w:val="-6"/>
        </w:rPr>
        <w:t>五十万元以下罚款；有违法所得的，没收违法所得。”</w:t>
      </w:r>
    </w:p>
    <w:p>
      <w:pPr>
        <w:spacing w:before="0" w:line="388" w:lineRule="auto"/>
        <w:ind w:left="591" w:right="7075" w:hanging="128"/>
        <w:jc w:val="left"/>
        <w:rPr>
          <w:color w:val="auto"/>
          <w:sz w:val="24"/>
        </w:rPr>
      </w:pPr>
      <w:r>
        <w:rPr>
          <w:b/>
          <w:color w:val="auto"/>
          <w:sz w:val="24"/>
        </w:rPr>
        <w:t>（二）裁量标准</w:t>
      </w:r>
      <w:r>
        <w:rPr>
          <w:color w:val="auto"/>
          <w:sz w:val="24"/>
        </w:rPr>
        <w:t>1、【一般】</w:t>
      </w:r>
    </w:p>
    <w:p>
      <w:pPr>
        <w:pStyle w:val="13"/>
        <w:numPr>
          <w:ilvl w:val="0"/>
          <w:numId w:val="1250"/>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充装数量较少，违法行为较轻的。</w:t>
      </w:r>
    </w:p>
    <w:p>
      <w:pPr>
        <w:pStyle w:val="13"/>
        <w:numPr>
          <w:ilvl w:val="0"/>
          <w:numId w:val="125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8"/>
        </w:rPr>
        <w:t xml:space="preserve">予以取缔，没收违法充装的气瓶，处 </w:t>
      </w:r>
      <w:r>
        <w:rPr>
          <w:color w:val="auto"/>
        </w:rPr>
        <w:t>10</w:t>
      </w:r>
      <w:r>
        <w:rPr>
          <w:color w:val="auto"/>
          <w:spacing w:val="-20"/>
        </w:rPr>
        <w:t xml:space="preserve"> 万元以上 </w:t>
      </w:r>
      <w:r>
        <w:rPr>
          <w:color w:val="auto"/>
        </w:rPr>
        <w:t>20</w:t>
      </w:r>
      <w:r>
        <w:rPr>
          <w:color w:val="auto"/>
          <w:spacing w:val="-10"/>
        </w:rPr>
        <w:t xml:space="preserve"> 万元以下罚款；没收违法所</w:t>
      </w:r>
      <w:r>
        <w:rPr>
          <w:color w:val="auto"/>
        </w:rPr>
        <w:t>得。</w:t>
      </w:r>
    </w:p>
    <w:p>
      <w:pPr>
        <w:pStyle w:val="4"/>
        <w:spacing w:before="2"/>
        <w:ind w:left="591"/>
        <w:rPr>
          <w:color w:val="auto"/>
        </w:rPr>
      </w:pPr>
      <w:r>
        <w:rPr>
          <w:color w:val="auto"/>
        </w:rPr>
        <w:t>2、【较重】</w:t>
      </w:r>
    </w:p>
    <w:p>
      <w:pPr>
        <w:pStyle w:val="13"/>
        <w:numPr>
          <w:ilvl w:val="0"/>
          <w:numId w:val="1251"/>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充装数量较多的。</w:t>
      </w:r>
    </w:p>
    <w:p>
      <w:pPr>
        <w:pStyle w:val="13"/>
        <w:numPr>
          <w:ilvl w:val="0"/>
          <w:numId w:val="125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right="268" w:firstLine="480"/>
        <w:rPr>
          <w:color w:val="auto"/>
        </w:rPr>
      </w:pPr>
      <w:r>
        <w:rPr>
          <w:color w:val="auto"/>
          <w:spacing w:val="-8"/>
        </w:rPr>
        <w:t xml:space="preserve">予以取缔，没收违法充装的气瓶，处 </w:t>
      </w:r>
      <w:r>
        <w:rPr>
          <w:color w:val="auto"/>
        </w:rPr>
        <w:t>20</w:t>
      </w:r>
      <w:r>
        <w:rPr>
          <w:color w:val="auto"/>
          <w:spacing w:val="-20"/>
        </w:rPr>
        <w:t xml:space="preserve"> 万元以上 </w:t>
      </w:r>
      <w:r>
        <w:rPr>
          <w:color w:val="auto"/>
        </w:rPr>
        <w:t>40</w:t>
      </w:r>
      <w:r>
        <w:rPr>
          <w:color w:val="auto"/>
          <w:spacing w:val="-10"/>
        </w:rPr>
        <w:t xml:space="preserve"> 万元以下罚款；没收违法所</w:t>
      </w:r>
      <w:r>
        <w:rPr>
          <w:color w:val="auto"/>
        </w:rPr>
        <w:t>得。</w:t>
      </w:r>
    </w:p>
    <w:p>
      <w:pPr>
        <w:pStyle w:val="4"/>
        <w:spacing w:before="2"/>
        <w:ind w:left="591"/>
        <w:rPr>
          <w:color w:val="auto"/>
        </w:rPr>
      </w:pPr>
      <w:r>
        <w:rPr>
          <w:color w:val="auto"/>
        </w:rPr>
        <w:t>3、【严重】</w:t>
      </w:r>
    </w:p>
    <w:p>
      <w:pPr>
        <w:pStyle w:val="13"/>
        <w:numPr>
          <w:ilvl w:val="0"/>
          <w:numId w:val="125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已造成不良后果的。</w:t>
      </w:r>
    </w:p>
    <w:p>
      <w:pPr>
        <w:pStyle w:val="13"/>
        <w:numPr>
          <w:ilvl w:val="0"/>
          <w:numId w:val="125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rPr>
          <w:color w:val="auto"/>
        </w:rPr>
      </w:pPr>
      <w:r>
        <w:rPr>
          <w:color w:val="auto"/>
          <w:spacing w:val="-8"/>
        </w:rPr>
        <w:t xml:space="preserve">予以取缔，没收违法充装的气瓶，处 </w:t>
      </w:r>
      <w:r>
        <w:rPr>
          <w:color w:val="auto"/>
        </w:rPr>
        <w:t>40</w:t>
      </w:r>
      <w:r>
        <w:rPr>
          <w:color w:val="auto"/>
          <w:spacing w:val="-20"/>
        </w:rPr>
        <w:t xml:space="preserve"> 万元以上 </w:t>
      </w:r>
      <w:r>
        <w:rPr>
          <w:color w:val="auto"/>
        </w:rPr>
        <w:t>50</w:t>
      </w:r>
      <w:r>
        <w:rPr>
          <w:color w:val="auto"/>
          <w:spacing w:val="-10"/>
        </w:rPr>
        <w:t xml:space="preserve"> 万元以下罚款；没收违法所</w:t>
      </w:r>
      <w:r>
        <w:rPr>
          <w:color w:val="auto"/>
        </w:rPr>
        <w:t>得。</w:t>
      </w:r>
    </w:p>
    <w:p>
      <w:pPr>
        <w:pStyle w:val="2"/>
        <w:spacing w:before="2"/>
        <w:rPr>
          <w:color w:val="auto"/>
        </w:rPr>
      </w:pPr>
      <w:bookmarkStart w:id="1182" w:name="五百七十八、特种设备生产、经营、使用单位未配备具有相应资格的特种设备安全管理人员"/>
      <w:bookmarkEnd w:id="1182"/>
      <w:bookmarkStart w:id="1183" w:name="_bookmark590"/>
      <w:bookmarkEnd w:id="1183"/>
      <w:r>
        <w:rPr>
          <w:color w:val="auto"/>
        </w:rPr>
        <w:t>五百七十八、特种设备生产、经营、使用单位未配备具有相应资格的特种设备安</w:t>
      </w:r>
    </w:p>
    <w:p>
      <w:pPr>
        <w:spacing w:after="0"/>
        <w:rPr>
          <w:color w:val="auto"/>
        </w:rPr>
        <w:sectPr>
          <w:pgSz w:w="11910" w:h="16840"/>
          <w:pgMar w:top="1520" w:right="1260" w:bottom="1220" w:left="1420" w:header="0" w:footer="1034" w:gutter="0"/>
        </w:sectPr>
      </w:pPr>
    </w:p>
    <w:p>
      <w:pPr>
        <w:spacing w:before="39"/>
        <w:ind w:left="111" w:right="0" w:firstLine="0"/>
        <w:jc w:val="left"/>
        <w:rPr>
          <w:b/>
          <w:color w:val="auto"/>
          <w:sz w:val="24"/>
        </w:rPr>
      </w:pPr>
      <w:r>
        <w:rPr>
          <w:b/>
          <w:color w:val="auto"/>
          <w:sz w:val="24"/>
        </w:rPr>
        <w:t>全管理人员、检测人员和作业人员</w:t>
      </w:r>
    </w:p>
    <w:p>
      <w:pPr>
        <w:spacing w:before="195"/>
        <w:ind w:left="581" w:right="0" w:firstLine="0"/>
        <w:jc w:val="left"/>
        <w:rPr>
          <w:b/>
          <w:color w:val="auto"/>
          <w:sz w:val="24"/>
        </w:rPr>
      </w:pPr>
      <w:r>
        <w:rPr>
          <w:b/>
          <w:color w:val="auto"/>
          <w:sz w:val="24"/>
        </w:rPr>
        <w:t>（一）处罚依据</w:t>
      </w:r>
    </w:p>
    <w:p>
      <w:pPr>
        <w:pStyle w:val="4"/>
        <w:spacing w:before="191" w:line="391" w:lineRule="auto"/>
        <w:ind w:right="266" w:firstLine="480"/>
        <w:jc w:val="both"/>
        <w:rPr>
          <w:color w:val="auto"/>
        </w:rPr>
      </w:pPr>
      <w:r>
        <w:rPr>
          <w:color w:val="auto"/>
          <w:spacing w:val="-6"/>
        </w:rPr>
        <w:t>《特种设备安全法》第八十六条“违反本法规定，特种设备生产、经营、使用单</w:t>
      </w:r>
      <w:r>
        <w:rPr>
          <w:color w:val="auto"/>
          <w:spacing w:val="-5"/>
        </w:rPr>
        <w:t>位有下列情形之一的，责令限期改正；逾期未改正的，责令停止使用有关特种设备或者停产停业整顿，处一万元以上五万元以下罚款：</w:t>
      </w:r>
      <w:r>
        <w:rPr>
          <w:color w:val="auto"/>
          <w:spacing w:val="2"/>
        </w:rPr>
        <w:t>（一）</w:t>
      </w:r>
      <w:r>
        <w:rPr>
          <w:color w:val="auto"/>
          <w:spacing w:val="1"/>
        </w:rPr>
        <w:t>未配备具有相应资格的特种</w:t>
      </w:r>
      <w:r>
        <w:rPr>
          <w:color w:val="auto"/>
          <w:spacing w:val="-6"/>
        </w:rPr>
        <w:t>设备安全管理人员、检测人员和作业人员的。”</w:t>
      </w:r>
    </w:p>
    <w:p>
      <w:pPr>
        <w:spacing w:before="0" w:line="391" w:lineRule="auto"/>
        <w:ind w:left="591" w:right="6957" w:hanging="10"/>
        <w:jc w:val="left"/>
        <w:rPr>
          <w:color w:val="auto"/>
          <w:sz w:val="24"/>
        </w:rPr>
      </w:pPr>
      <w:r>
        <w:rPr>
          <w:b/>
          <w:color w:val="auto"/>
          <w:sz w:val="24"/>
        </w:rPr>
        <w:t>（二）裁量标准</w:t>
      </w:r>
      <w:r>
        <w:rPr>
          <w:color w:val="auto"/>
          <w:sz w:val="24"/>
        </w:rPr>
        <w:t>1、【较轻】</w:t>
      </w:r>
    </w:p>
    <w:p>
      <w:pPr>
        <w:pStyle w:val="13"/>
        <w:numPr>
          <w:ilvl w:val="0"/>
          <w:numId w:val="125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逾期后，七日内改正的。</w:t>
      </w:r>
    </w:p>
    <w:p>
      <w:pPr>
        <w:pStyle w:val="13"/>
        <w:numPr>
          <w:ilvl w:val="0"/>
          <w:numId w:val="125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42" w:hanging="10"/>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、【一般】</w:t>
      </w:r>
    </w:p>
    <w:p>
      <w:pPr>
        <w:pStyle w:val="13"/>
        <w:numPr>
          <w:ilvl w:val="0"/>
          <w:numId w:val="1254"/>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逾期后，七日以上十四日以内改正的。</w:t>
      </w:r>
    </w:p>
    <w:p>
      <w:pPr>
        <w:pStyle w:val="13"/>
        <w:numPr>
          <w:ilvl w:val="0"/>
          <w:numId w:val="125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42" w:hanging="10"/>
        <w:rPr>
          <w:color w:val="auto"/>
        </w:rPr>
      </w:pPr>
      <w:r>
        <w:rPr>
          <w:color w:val="auto"/>
          <w:spacing w:val="-30"/>
        </w:rPr>
        <w:t xml:space="preserve">处 </w:t>
      </w:r>
      <w:r>
        <w:rPr>
          <w:color w:val="auto"/>
        </w:rPr>
        <w:t>1.5</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、【较重】</w:t>
      </w:r>
    </w:p>
    <w:p>
      <w:pPr>
        <w:pStyle w:val="13"/>
        <w:numPr>
          <w:ilvl w:val="0"/>
          <w:numId w:val="125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逾期后，十四日以上三十日以内改正的。</w:t>
      </w:r>
    </w:p>
    <w:p>
      <w:pPr>
        <w:pStyle w:val="13"/>
        <w:numPr>
          <w:ilvl w:val="0"/>
          <w:numId w:val="125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24"/>
        </w:rPr>
        <w:t>、【严重】</w:t>
      </w:r>
    </w:p>
    <w:p>
      <w:pPr>
        <w:pStyle w:val="13"/>
        <w:numPr>
          <w:ilvl w:val="0"/>
          <w:numId w:val="125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逾期后，三十日以上六十日以内改正的。</w:t>
      </w:r>
    </w:p>
    <w:p>
      <w:pPr>
        <w:pStyle w:val="13"/>
        <w:numPr>
          <w:ilvl w:val="0"/>
          <w:numId w:val="125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3</w:t>
      </w:r>
      <w:r>
        <w:rPr>
          <w:color w:val="auto"/>
          <w:spacing w:val="-20"/>
        </w:rPr>
        <w:t xml:space="preserve"> 万元以上 </w:t>
      </w:r>
      <w:r>
        <w:rPr>
          <w:color w:val="auto"/>
        </w:rPr>
        <w:t>4</w:t>
      </w:r>
      <w:r>
        <w:rPr>
          <w:color w:val="auto"/>
          <w:spacing w:val="-10"/>
        </w:rPr>
        <w:t xml:space="preserve"> 万元以下罚款。</w:t>
      </w:r>
      <w:r>
        <w:rPr>
          <w:color w:val="auto"/>
        </w:rPr>
        <w:t>5</w:t>
      </w:r>
      <w:r>
        <w:rPr>
          <w:color w:val="auto"/>
          <w:spacing w:val="-18"/>
        </w:rPr>
        <w:t>、【特别严重】</w:t>
      </w:r>
    </w:p>
    <w:p>
      <w:pPr>
        <w:spacing w:after="0" w:line="388" w:lineRule="auto"/>
        <w:rPr>
          <w:color w:val="auto"/>
        </w:rPr>
        <w:sectPr>
          <w:footerReference r:id="rId141" w:type="default"/>
          <w:footerReference r:id="rId142" w:type="even"/>
          <w:pgSz w:w="11910" w:h="16840"/>
          <w:pgMar w:top="1520" w:right="1260" w:bottom="1220" w:left="1420" w:header="0" w:footer="1034" w:gutter="0"/>
          <w:pgNumType w:start="562"/>
        </w:sectPr>
      </w:pPr>
    </w:p>
    <w:p>
      <w:pPr>
        <w:pStyle w:val="13"/>
        <w:numPr>
          <w:ilvl w:val="0"/>
          <w:numId w:val="1257"/>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逾期后，六十日以上改正或拒不改正的。</w:t>
      </w:r>
    </w:p>
    <w:p>
      <w:pPr>
        <w:pStyle w:val="13"/>
        <w:numPr>
          <w:ilvl w:val="0"/>
          <w:numId w:val="125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处 4 万元以上 5 万元以下罚款。</w:t>
      </w:r>
    </w:p>
    <w:p>
      <w:pPr>
        <w:pStyle w:val="2"/>
        <w:spacing w:before="194" w:line="388" w:lineRule="auto"/>
        <w:ind w:left="111" w:right="237" w:firstLine="480"/>
        <w:rPr>
          <w:color w:val="auto"/>
        </w:rPr>
      </w:pPr>
      <w:bookmarkStart w:id="1184" w:name="五百七十九、特种设备使用单位使用未取得相应资格的人员从事特种设备安全管理、检测和"/>
      <w:bookmarkEnd w:id="1184"/>
      <w:bookmarkStart w:id="1185" w:name="_bookmark591"/>
      <w:bookmarkEnd w:id="1185"/>
      <w:r>
        <w:rPr>
          <w:color w:val="auto"/>
          <w:spacing w:val="-9"/>
        </w:rPr>
        <w:t>五百七十九、特种设备使用单位使用未取得相应资格的人员从事特种设备安全管理、检测和作业</w:t>
      </w:r>
    </w:p>
    <w:p>
      <w:pPr>
        <w:spacing w:before="2"/>
        <w:ind w:left="581" w:right="0" w:firstLine="0"/>
        <w:jc w:val="left"/>
        <w:rPr>
          <w:b/>
          <w:color w:val="auto"/>
          <w:sz w:val="24"/>
        </w:rPr>
      </w:pPr>
      <w:r>
        <w:rPr>
          <w:b/>
          <w:color w:val="auto"/>
          <w:sz w:val="24"/>
        </w:rPr>
        <w:t>（一）处罚依据</w:t>
      </w:r>
    </w:p>
    <w:p>
      <w:pPr>
        <w:pStyle w:val="4"/>
        <w:spacing w:before="194" w:line="391" w:lineRule="auto"/>
        <w:ind w:right="266" w:firstLine="470"/>
        <w:jc w:val="both"/>
        <w:rPr>
          <w:color w:val="auto"/>
        </w:rPr>
      </w:pPr>
      <w:r>
        <w:rPr>
          <w:color w:val="auto"/>
          <w:spacing w:val="-6"/>
        </w:rPr>
        <w:t>《特种设备安全法》第八十六条“违反本法规定，特种设备生产、经营、使用单</w:t>
      </w:r>
      <w:r>
        <w:rPr>
          <w:color w:val="auto"/>
          <w:spacing w:val="-5"/>
        </w:rPr>
        <w:t>位有下列情形之一的，责令限期改正；逾期未改正的，责令停止使用有关特种设备或者停产停业整顿，处一万元以上五万元以下罚款：</w:t>
      </w:r>
      <w:r>
        <w:rPr>
          <w:color w:val="auto"/>
          <w:spacing w:val="2"/>
        </w:rPr>
        <w:t>（二）</w:t>
      </w:r>
      <w:r>
        <w:rPr>
          <w:color w:val="auto"/>
          <w:spacing w:val="1"/>
        </w:rPr>
        <w:t>使用未取得相应资格的人员</w:t>
      </w:r>
      <w:r>
        <w:rPr>
          <w:color w:val="auto"/>
          <w:spacing w:val="-6"/>
        </w:rPr>
        <w:t>从事特种设备安全管理、检测和作业的。”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5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逾期后，七日内改正的。</w:t>
      </w:r>
    </w:p>
    <w:p>
      <w:pPr>
        <w:pStyle w:val="13"/>
        <w:numPr>
          <w:ilvl w:val="0"/>
          <w:numId w:val="125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line="388" w:lineRule="auto"/>
        <w:ind w:left="591" w:right="5042" w:hanging="10"/>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、【一般】</w:t>
      </w:r>
    </w:p>
    <w:p>
      <w:pPr>
        <w:pStyle w:val="13"/>
        <w:numPr>
          <w:ilvl w:val="0"/>
          <w:numId w:val="125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逾期后，七日以上十四日以内改正的。</w:t>
      </w:r>
    </w:p>
    <w:p>
      <w:pPr>
        <w:pStyle w:val="13"/>
        <w:numPr>
          <w:ilvl w:val="0"/>
          <w:numId w:val="125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042" w:hanging="10"/>
        <w:rPr>
          <w:color w:val="auto"/>
        </w:rPr>
      </w:pPr>
      <w:r>
        <w:rPr>
          <w:color w:val="auto"/>
          <w:spacing w:val="-30"/>
        </w:rPr>
        <w:t xml:space="preserve">处 </w:t>
      </w:r>
      <w:r>
        <w:rPr>
          <w:color w:val="auto"/>
        </w:rPr>
        <w:t>1.5</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、【较重】</w:t>
      </w:r>
    </w:p>
    <w:p>
      <w:pPr>
        <w:pStyle w:val="13"/>
        <w:numPr>
          <w:ilvl w:val="0"/>
          <w:numId w:val="126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逾期后，十四日以上三十日以内改正的。</w:t>
      </w:r>
    </w:p>
    <w:p>
      <w:pPr>
        <w:pStyle w:val="13"/>
        <w:numPr>
          <w:ilvl w:val="0"/>
          <w:numId w:val="126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1261"/>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逾期后，三十日以上六十日以内改正的。</w:t>
      </w:r>
    </w:p>
    <w:p>
      <w:pPr>
        <w:pStyle w:val="13"/>
        <w:numPr>
          <w:ilvl w:val="0"/>
          <w:numId w:val="126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3</w:t>
      </w:r>
      <w:r>
        <w:rPr>
          <w:color w:val="auto"/>
          <w:spacing w:val="-20"/>
        </w:rPr>
        <w:t xml:space="preserve"> 万元以上 </w:t>
      </w:r>
      <w:r>
        <w:rPr>
          <w:color w:val="auto"/>
        </w:rPr>
        <w:t>4</w:t>
      </w:r>
      <w:r>
        <w:rPr>
          <w:color w:val="auto"/>
          <w:spacing w:val="-10"/>
        </w:rPr>
        <w:t xml:space="preserve"> 万元以下罚款。</w:t>
      </w:r>
      <w:r>
        <w:rPr>
          <w:color w:val="auto"/>
        </w:rPr>
        <w:t>5</w:t>
      </w:r>
      <w:r>
        <w:rPr>
          <w:color w:val="auto"/>
          <w:spacing w:val="-18"/>
        </w:rPr>
        <w:t>、【特别严重】</w:t>
      </w:r>
    </w:p>
    <w:p>
      <w:pPr>
        <w:pStyle w:val="13"/>
        <w:numPr>
          <w:ilvl w:val="0"/>
          <w:numId w:val="126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逾期后，六十日以上改正或拒不改正的。</w:t>
      </w:r>
    </w:p>
    <w:p>
      <w:pPr>
        <w:pStyle w:val="13"/>
        <w:numPr>
          <w:ilvl w:val="0"/>
          <w:numId w:val="126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4 万元以上 5 万元以下罚款。</w:t>
      </w:r>
    </w:p>
    <w:p>
      <w:pPr>
        <w:pStyle w:val="2"/>
        <w:spacing w:before="192" w:line="391" w:lineRule="auto"/>
        <w:ind w:left="111" w:right="237" w:firstLine="480"/>
        <w:rPr>
          <w:color w:val="auto"/>
        </w:rPr>
      </w:pPr>
      <w:bookmarkStart w:id="1186" w:name="_bookmark592"/>
      <w:bookmarkEnd w:id="1186"/>
      <w:bookmarkStart w:id="1187" w:name="五百八十、特种设备使用单位未对特种设备安全管理人员、检测人员和作业人员进行安全教"/>
      <w:bookmarkEnd w:id="1187"/>
      <w:r>
        <w:rPr>
          <w:color w:val="auto"/>
          <w:spacing w:val="-7"/>
        </w:rPr>
        <w:t>五百八十、特种设备使用单位未对特种设备安全管理人员、检测人员和作业人员进行安全教育和技能培训</w:t>
      </w:r>
    </w:p>
    <w:p>
      <w:pPr>
        <w:spacing w:before="0" w:line="306" w:lineRule="exact"/>
        <w:ind w:left="581" w:right="0" w:firstLine="0"/>
        <w:jc w:val="left"/>
        <w:rPr>
          <w:b/>
          <w:color w:val="auto"/>
          <w:sz w:val="24"/>
        </w:rPr>
      </w:pPr>
      <w:r>
        <w:rPr>
          <w:b/>
          <w:color w:val="auto"/>
          <w:sz w:val="24"/>
        </w:rPr>
        <w:t>（一）处罚依据</w:t>
      </w:r>
    </w:p>
    <w:p>
      <w:pPr>
        <w:pStyle w:val="4"/>
        <w:spacing w:before="192" w:line="391" w:lineRule="auto"/>
        <w:ind w:right="148" w:firstLine="470"/>
        <w:rPr>
          <w:color w:val="auto"/>
        </w:rPr>
      </w:pPr>
      <w:r>
        <w:rPr>
          <w:color w:val="auto"/>
          <w:spacing w:val="-5"/>
        </w:rPr>
        <w:t>《特种设备安全法》第八十六条“违反本法规定，特种设备生产、经营、使用单</w:t>
      </w:r>
      <w:r>
        <w:rPr>
          <w:color w:val="auto"/>
          <w:spacing w:val="-8"/>
        </w:rPr>
        <w:t>位有下列情形之一的，责令限期改正；逾期未改正的，责令停止使用有关特种设备或</w:t>
      </w:r>
      <w:r>
        <w:rPr>
          <w:color w:val="auto"/>
          <w:spacing w:val="-14"/>
        </w:rPr>
        <w:t>者停产停业整顿，处一万元以上五万元以下罚款：</w:t>
      </w:r>
      <w:r>
        <w:rPr>
          <w:color w:val="auto"/>
        </w:rPr>
        <w:t>（三</w:t>
      </w:r>
      <w:r>
        <w:rPr>
          <w:color w:val="auto"/>
          <w:spacing w:val="-12"/>
        </w:rPr>
        <w:t>）</w:t>
      </w:r>
      <w:r>
        <w:rPr>
          <w:color w:val="auto"/>
          <w:spacing w:val="-2"/>
        </w:rPr>
        <w:t>未对特种设备安全管理人员、</w:t>
      </w:r>
      <w:r>
        <w:rPr>
          <w:color w:val="auto"/>
          <w:spacing w:val="-6"/>
        </w:rPr>
        <w:t>检测人员和作业人员进行安全教育和技能培训的。”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6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逾期后，七日内改正的。</w:t>
      </w:r>
    </w:p>
    <w:p>
      <w:pPr>
        <w:pStyle w:val="13"/>
        <w:numPr>
          <w:ilvl w:val="0"/>
          <w:numId w:val="126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042" w:hanging="10"/>
        <w:rPr>
          <w:color w:val="auto"/>
        </w:rPr>
      </w:pPr>
      <w:r>
        <w:rPr>
          <w:color w:val="auto"/>
          <w:spacing w:val="-30"/>
        </w:rPr>
        <w:t xml:space="preserve">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、【一般】</w:t>
      </w:r>
    </w:p>
    <w:p>
      <w:pPr>
        <w:pStyle w:val="13"/>
        <w:numPr>
          <w:ilvl w:val="0"/>
          <w:numId w:val="126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逾期后，七日以上十四日以内改正的。</w:t>
      </w:r>
    </w:p>
    <w:p>
      <w:pPr>
        <w:pStyle w:val="13"/>
        <w:numPr>
          <w:ilvl w:val="0"/>
          <w:numId w:val="126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42" w:hanging="10"/>
        <w:rPr>
          <w:color w:val="auto"/>
        </w:rPr>
      </w:pPr>
      <w:r>
        <w:rPr>
          <w:color w:val="auto"/>
          <w:spacing w:val="-30"/>
        </w:rPr>
        <w:t xml:space="preserve">处 </w:t>
      </w:r>
      <w:r>
        <w:rPr>
          <w:color w:val="auto"/>
        </w:rPr>
        <w:t>1.5</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1265"/>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逾期后，十四日以上三十日以内改正的。</w:t>
      </w:r>
    </w:p>
    <w:p>
      <w:pPr>
        <w:pStyle w:val="13"/>
        <w:numPr>
          <w:ilvl w:val="0"/>
          <w:numId w:val="126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82" w:hanging="10"/>
        <w:rPr>
          <w:color w:val="auto"/>
        </w:rPr>
      </w:pPr>
      <w:r>
        <w:rPr>
          <w:color w:val="auto"/>
          <w:spacing w:val="-30"/>
        </w:rPr>
        <w:t xml:space="preserve">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4</w:t>
      </w:r>
      <w:r>
        <w:rPr>
          <w:color w:val="auto"/>
          <w:spacing w:val="-24"/>
        </w:rPr>
        <w:t>、【严重】</w:t>
      </w:r>
    </w:p>
    <w:p>
      <w:pPr>
        <w:pStyle w:val="13"/>
        <w:numPr>
          <w:ilvl w:val="0"/>
          <w:numId w:val="126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逾期后，三十日以上六十日以内改正的。</w:t>
      </w:r>
    </w:p>
    <w:p>
      <w:pPr>
        <w:pStyle w:val="13"/>
        <w:numPr>
          <w:ilvl w:val="0"/>
          <w:numId w:val="126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282" w:hanging="10"/>
        <w:rPr>
          <w:color w:val="auto"/>
        </w:rPr>
      </w:pPr>
      <w:r>
        <w:rPr>
          <w:color w:val="auto"/>
          <w:spacing w:val="-30"/>
        </w:rPr>
        <w:t xml:space="preserve">处 </w:t>
      </w:r>
      <w:r>
        <w:rPr>
          <w:color w:val="auto"/>
        </w:rPr>
        <w:t>3</w:t>
      </w:r>
      <w:r>
        <w:rPr>
          <w:color w:val="auto"/>
          <w:spacing w:val="-20"/>
        </w:rPr>
        <w:t xml:space="preserve"> 万元以上 </w:t>
      </w:r>
      <w:r>
        <w:rPr>
          <w:color w:val="auto"/>
        </w:rPr>
        <w:t>4</w:t>
      </w:r>
      <w:r>
        <w:rPr>
          <w:color w:val="auto"/>
          <w:spacing w:val="-10"/>
        </w:rPr>
        <w:t xml:space="preserve"> 万元以下罚款。</w:t>
      </w:r>
      <w:r>
        <w:rPr>
          <w:color w:val="auto"/>
        </w:rPr>
        <w:t>5</w:t>
      </w:r>
      <w:r>
        <w:rPr>
          <w:color w:val="auto"/>
          <w:spacing w:val="-18"/>
        </w:rPr>
        <w:t>、【特别严重】</w:t>
      </w:r>
    </w:p>
    <w:p>
      <w:pPr>
        <w:pStyle w:val="13"/>
        <w:numPr>
          <w:ilvl w:val="0"/>
          <w:numId w:val="126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逾期后，六十日以上改正或拒不改正的。</w:t>
      </w:r>
    </w:p>
    <w:p>
      <w:pPr>
        <w:pStyle w:val="13"/>
        <w:numPr>
          <w:ilvl w:val="0"/>
          <w:numId w:val="126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4 万元以上 5 万元以下罚款。</w:t>
      </w:r>
    </w:p>
    <w:p>
      <w:pPr>
        <w:pStyle w:val="2"/>
        <w:spacing w:before="192" w:line="388" w:lineRule="auto"/>
        <w:ind w:left="111" w:right="240" w:firstLine="480"/>
        <w:rPr>
          <w:color w:val="auto"/>
        </w:rPr>
      </w:pPr>
      <w:bookmarkStart w:id="1188" w:name="五百八十一、电梯、客运索道、大型游乐设施的运营使用单位未设置特种设备安全管理机构"/>
      <w:bookmarkEnd w:id="1188"/>
      <w:bookmarkStart w:id="1189" w:name="_bookmark593"/>
      <w:bookmarkEnd w:id="1189"/>
      <w:r>
        <w:rPr>
          <w:color w:val="auto"/>
          <w:spacing w:val="-7"/>
        </w:rPr>
        <w:t>五百八十一、电梯、客运索道、大型游乐设施的运营使用单位未设置特种设备安全管理机构或者配备专职的特种设备安全管理人员</w:t>
      </w:r>
    </w:p>
    <w:p>
      <w:pPr>
        <w:spacing w:before="5"/>
        <w:ind w:left="581" w:right="0" w:firstLine="0"/>
        <w:jc w:val="left"/>
        <w:rPr>
          <w:b/>
          <w:color w:val="auto"/>
          <w:sz w:val="24"/>
        </w:rPr>
      </w:pPr>
      <w:r>
        <w:rPr>
          <w:b/>
          <w:color w:val="auto"/>
          <w:sz w:val="24"/>
        </w:rPr>
        <w:t>（一）处罚依据</w:t>
      </w:r>
    </w:p>
    <w:p>
      <w:pPr>
        <w:pStyle w:val="4"/>
        <w:spacing w:before="191" w:line="391" w:lineRule="auto"/>
        <w:ind w:right="266" w:firstLine="480"/>
        <w:jc w:val="both"/>
        <w:rPr>
          <w:color w:val="auto"/>
        </w:rPr>
      </w:pPr>
      <w:r>
        <w:rPr>
          <w:color w:val="auto"/>
          <w:spacing w:val="-6"/>
        </w:rPr>
        <w:t>《特种设备安全法》第八十七条“违反本法规定，电梯、客运索道、大型游乐设</w:t>
      </w:r>
      <w:r>
        <w:rPr>
          <w:color w:val="auto"/>
          <w:spacing w:val="-4"/>
        </w:rPr>
        <w:t>施的运营使用单位有下列情形之一的，责令限期改正；逾期未改正的，责令停止使用有关特种设备或者停产停业整顿，处二万元以上十万元以下罚款：</w:t>
      </w:r>
      <w:r>
        <w:rPr>
          <w:color w:val="auto"/>
          <w:spacing w:val="2"/>
        </w:rPr>
        <w:t>（一）</w:t>
      </w:r>
      <w:r>
        <w:rPr>
          <w:color w:val="auto"/>
          <w:spacing w:val="1"/>
        </w:rPr>
        <w:t>未设置特种</w:t>
      </w:r>
      <w:r>
        <w:rPr>
          <w:color w:val="auto"/>
          <w:spacing w:val="-4"/>
        </w:rPr>
        <w:t>设备安全管理机构或者配备专职的特种设备安全管理人员的。”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26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6"/>
        <w:ind w:left="591"/>
        <w:rPr>
          <w:color w:val="auto"/>
        </w:rPr>
      </w:pPr>
      <w:r>
        <w:rPr>
          <w:color w:val="auto"/>
        </w:rPr>
        <w:t>未设置特种设备安全管理机构或者配备专职的特种设备安全管理人员的。</w:t>
      </w:r>
    </w:p>
    <w:p>
      <w:pPr>
        <w:pStyle w:val="13"/>
        <w:numPr>
          <w:ilvl w:val="0"/>
          <w:numId w:val="126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right="232" w:firstLine="480"/>
        <w:rPr>
          <w:color w:val="auto"/>
        </w:rPr>
      </w:pPr>
      <w:r>
        <w:rPr>
          <w:color w:val="auto"/>
        </w:rPr>
        <w:t>责令限期改正；逾期未改正的，责令停止使用有关特种设备或者停产停业整顿， 处 2 万元以上 4 万元以下罚款。</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2、【严重】</w:t>
      </w:r>
    </w:p>
    <w:p>
      <w:pPr>
        <w:pStyle w:val="13"/>
        <w:numPr>
          <w:ilvl w:val="0"/>
          <w:numId w:val="1269"/>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已造成不良后果的。</w:t>
      </w:r>
    </w:p>
    <w:p>
      <w:pPr>
        <w:pStyle w:val="13"/>
        <w:numPr>
          <w:ilvl w:val="0"/>
          <w:numId w:val="126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32" w:firstLine="480"/>
        <w:jc w:val="both"/>
        <w:rPr>
          <w:color w:val="auto"/>
        </w:rPr>
      </w:pPr>
      <w:r>
        <w:rPr>
          <w:color w:val="auto"/>
        </w:rPr>
        <w:t>责令限期改正；逾期未改正的，责令停止使用有关特种设备或者停产停业整顿， 处 4 万元以上 10 万元以下罚款。</w:t>
      </w:r>
    </w:p>
    <w:p>
      <w:pPr>
        <w:pStyle w:val="2"/>
        <w:spacing w:before="2" w:line="391" w:lineRule="auto"/>
        <w:ind w:left="111" w:right="237" w:firstLine="480"/>
        <w:jc w:val="both"/>
        <w:rPr>
          <w:color w:val="auto"/>
        </w:rPr>
      </w:pPr>
      <w:bookmarkStart w:id="1190" w:name="五百八十二、客运索道、大型游乐设施的运营使用单位在客运索道、大型游乐设施每日投入"/>
      <w:bookmarkEnd w:id="1190"/>
      <w:bookmarkStart w:id="1191" w:name="_bookmark594"/>
      <w:bookmarkEnd w:id="1191"/>
      <w:r>
        <w:rPr>
          <w:color w:val="auto"/>
          <w:spacing w:val="-7"/>
        </w:rPr>
        <w:t>五百八十二、客运索道、大型游乐设施的运营使用单位在客运索道、大型游乐设</w:t>
      </w:r>
      <w:r>
        <w:rPr>
          <w:color w:val="auto"/>
          <w:spacing w:val="-11"/>
        </w:rPr>
        <w:t>施每日投入使用前，未进行试运行和例行安全检查，未对安全附件和安全保护装置进行检查确认</w:t>
      </w:r>
    </w:p>
    <w:p>
      <w:pPr>
        <w:spacing w:before="0" w:line="304" w:lineRule="exact"/>
        <w:ind w:left="581" w:right="0" w:firstLine="0"/>
        <w:jc w:val="left"/>
        <w:rPr>
          <w:b/>
          <w:color w:val="auto"/>
          <w:sz w:val="24"/>
        </w:rPr>
      </w:pPr>
      <w:r>
        <w:rPr>
          <w:b/>
          <w:color w:val="auto"/>
          <w:sz w:val="24"/>
        </w:rPr>
        <w:t>（一）处罚依据</w:t>
      </w:r>
    </w:p>
    <w:p>
      <w:pPr>
        <w:pStyle w:val="4"/>
        <w:spacing w:before="194" w:line="391" w:lineRule="auto"/>
        <w:ind w:right="266" w:firstLine="480"/>
        <w:jc w:val="both"/>
        <w:rPr>
          <w:color w:val="auto"/>
        </w:rPr>
      </w:pPr>
      <w:r>
        <w:rPr>
          <w:color w:val="auto"/>
          <w:spacing w:val="-6"/>
        </w:rPr>
        <w:t>《特种设备安全法》第八十七条“违反本法规定，电梯、客运索道、大型游乐设</w:t>
      </w:r>
      <w:r>
        <w:rPr>
          <w:color w:val="auto"/>
          <w:spacing w:val="-4"/>
        </w:rPr>
        <w:t>施的运营使用单位有下列情形之一的，责令限期改正；逾期未改正的，责令停止使用有关特种设备或者停产停业整顿，处二万元以上十万元以下罚款：</w:t>
      </w:r>
      <w:r>
        <w:rPr>
          <w:color w:val="auto"/>
          <w:spacing w:val="2"/>
        </w:rPr>
        <w:t>（二）</w:t>
      </w:r>
      <w:r>
        <w:rPr>
          <w:color w:val="auto"/>
          <w:spacing w:val="1"/>
        </w:rPr>
        <w:t>客运索道、</w:t>
      </w:r>
      <w:r>
        <w:rPr>
          <w:color w:val="auto"/>
          <w:spacing w:val="-3"/>
        </w:rPr>
        <w:t>大型游乐设施每日投入使用前，未进行试运行和例行安全检查，未对安全附件和安全</w:t>
      </w:r>
      <w:r>
        <w:rPr>
          <w:color w:val="auto"/>
          <w:spacing w:val="-10"/>
        </w:rPr>
        <w:t>保护装置进行检查确认的。”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27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line="391" w:lineRule="auto"/>
        <w:ind w:right="224" w:firstLine="480"/>
        <w:rPr>
          <w:color w:val="auto"/>
        </w:rPr>
      </w:pPr>
      <w:r>
        <w:rPr>
          <w:color w:val="auto"/>
        </w:rPr>
        <w:t>客运索道、大型游乐设施每日投入使用前，未进行试运行和例行安全检查，未对安全附件和安全保护装置进行检查确认的。</w:t>
      </w:r>
    </w:p>
    <w:p>
      <w:pPr>
        <w:pStyle w:val="13"/>
        <w:numPr>
          <w:ilvl w:val="0"/>
          <w:numId w:val="127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32" w:firstLine="480"/>
        <w:rPr>
          <w:color w:val="auto"/>
        </w:rPr>
      </w:pPr>
      <w:r>
        <w:rPr>
          <w:color w:val="auto"/>
        </w:rPr>
        <w:t>责令限期改正；逾期未改正的，责令停止使用有关特种设备或者停产停业整顿， 处 2 万元以上 4 万元以下罚款。</w:t>
      </w:r>
    </w:p>
    <w:p>
      <w:pPr>
        <w:pStyle w:val="4"/>
        <w:spacing w:line="306" w:lineRule="exact"/>
        <w:ind w:left="591"/>
        <w:rPr>
          <w:color w:val="auto"/>
        </w:rPr>
      </w:pPr>
      <w:r>
        <w:rPr>
          <w:color w:val="auto"/>
        </w:rPr>
        <w:t>2、【严重】</w:t>
      </w:r>
    </w:p>
    <w:p>
      <w:pPr>
        <w:pStyle w:val="13"/>
        <w:numPr>
          <w:ilvl w:val="0"/>
          <w:numId w:val="127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已造成不良后果的。</w:t>
      </w:r>
    </w:p>
    <w:p>
      <w:pPr>
        <w:pStyle w:val="13"/>
        <w:numPr>
          <w:ilvl w:val="0"/>
          <w:numId w:val="127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责令限期改正；逾期未改正的，责令停止使用有关特种设备或者停产停业整顿，</w:t>
      </w:r>
    </w:p>
    <w:p>
      <w:pPr>
        <w:spacing w:after="0"/>
        <w:rPr>
          <w:color w:val="auto"/>
        </w:rPr>
        <w:sectPr>
          <w:pgSz w:w="11910" w:h="16840"/>
          <w:pgMar w:top="1520" w:right="1260" w:bottom="1220" w:left="1420" w:header="0" w:footer="1034" w:gutter="0"/>
        </w:sectPr>
      </w:pPr>
    </w:p>
    <w:p>
      <w:pPr>
        <w:pStyle w:val="4"/>
        <w:spacing w:before="39"/>
        <w:jc w:val="both"/>
        <w:rPr>
          <w:color w:val="auto"/>
        </w:rPr>
      </w:pPr>
      <w:r>
        <w:rPr>
          <w:color w:val="auto"/>
        </w:rPr>
        <w:t>处 4 万元以上 10 万元以下罚款。</w:t>
      </w:r>
    </w:p>
    <w:p>
      <w:pPr>
        <w:pStyle w:val="2"/>
        <w:spacing w:before="195" w:line="388" w:lineRule="auto"/>
        <w:ind w:left="111" w:right="235" w:firstLine="480"/>
        <w:jc w:val="both"/>
        <w:rPr>
          <w:color w:val="auto"/>
        </w:rPr>
      </w:pPr>
      <w:bookmarkStart w:id="1192" w:name="_bookmark595"/>
      <w:bookmarkEnd w:id="1192"/>
      <w:bookmarkStart w:id="1193" w:name="五百八十三、电梯、客运索道、大型游乐设施的运营使用单位未将电梯、客运索道、大型游"/>
      <w:bookmarkEnd w:id="1193"/>
      <w:r>
        <w:rPr>
          <w:color w:val="auto"/>
          <w:spacing w:val="-7"/>
        </w:rPr>
        <w:t>五百八十三、电梯、客运索道、大型游乐设施的运营使用单位未将电梯、客运索</w:t>
      </w:r>
      <w:r>
        <w:rPr>
          <w:color w:val="auto"/>
          <w:spacing w:val="-9"/>
        </w:rPr>
        <w:t>道、大型游乐设施的安全使用说明、安全注意事项和警示标志置于易于为乘客注意的显著位置</w:t>
      </w:r>
    </w:p>
    <w:p>
      <w:pPr>
        <w:spacing w:before="5"/>
        <w:ind w:left="581" w:right="0" w:firstLine="0"/>
        <w:jc w:val="left"/>
        <w:rPr>
          <w:b/>
          <w:color w:val="auto"/>
          <w:sz w:val="24"/>
        </w:rPr>
      </w:pPr>
      <w:r>
        <w:rPr>
          <w:b/>
          <w:color w:val="auto"/>
          <w:sz w:val="24"/>
        </w:rPr>
        <w:t>（一）处罚依据</w:t>
      </w:r>
    </w:p>
    <w:p>
      <w:pPr>
        <w:pStyle w:val="4"/>
        <w:spacing w:before="192" w:line="391" w:lineRule="auto"/>
        <w:ind w:right="266" w:firstLine="480"/>
        <w:jc w:val="both"/>
        <w:rPr>
          <w:color w:val="auto"/>
        </w:rPr>
      </w:pPr>
      <w:r>
        <w:rPr>
          <w:color w:val="auto"/>
          <w:spacing w:val="-6"/>
        </w:rPr>
        <w:t>《特种设备安全法》第八十七条“违反本法规定，电梯、客运索道、大型游乐设</w:t>
      </w:r>
      <w:r>
        <w:rPr>
          <w:color w:val="auto"/>
          <w:spacing w:val="-4"/>
        </w:rPr>
        <w:t>施的运营使用单位有下列情形之一的，责令限期改正；逾期未改正的，责令停止使用有关特种设备或者停产停业整顿，处二万元以上十万元以下罚款：</w:t>
      </w:r>
      <w:r>
        <w:rPr>
          <w:color w:val="auto"/>
          <w:spacing w:val="2"/>
        </w:rPr>
        <w:t>（三）</w:t>
      </w:r>
      <w:r>
        <w:rPr>
          <w:color w:val="auto"/>
          <w:spacing w:val="1"/>
        </w:rPr>
        <w:t>未将电梯、</w:t>
      </w:r>
      <w:r>
        <w:rPr>
          <w:color w:val="auto"/>
          <w:spacing w:val="-6"/>
        </w:rPr>
        <w:t>客运索道、大型游乐设施的安全使用说明、安全注意事项和警示标志置于易于为乘客</w:t>
      </w:r>
      <w:r>
        <w:rPr>
          <w:color w:val="auto"/>
          <w:spacing w:val="-13"/>
        </w:rPr>
        <w:t>注意的显著位置的。”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272"/>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line="388" w:lineRule="auto"/>
        <w:ind w:right="224" w:firstLine="480"/>
        <w:rPr>
          <w:color w:val="auto"/>
        </w:rPr>
      </w:pPr>
      <w:r>
        <w:rPr>
          <w:color w:val="auto"/>
        </w:rPr>
        <w:t>未将电梯、客运索道、大型游乐设施的安全使用说明、安全注意事项和警示标志置于易于为乘客注意的显著位置的。</w:t>
      </w:r>
    </w:p>
    <w:p>
      <w:pPr>
        <w:pStyle w:val="13"/>
        <w:numPr>
          <w:ilvl w:val="0"/>
          <w:numId w:val="127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32" w:firstLine="480"/>
        <w:rPr>
          <w:color w:val="auto"/>
        </w:rPr>
      </w:pPr>
      <w:r>
        <w:rPr>
          <w:color w:val="auto"/>
        </w:rPr>
        <w:t>责令限期改正；逾期未改正的，责令停止使用有关特种设备或者停产停业整顿， 处 2 万元以上 4 万元以下罚款。</w:t>
      </w:r>
    </w:p>
    <w:p>
      <w:pPr>
        <w:pStyle w:val="4"/>
        <w:spacing w:before="2"/>
        <w:ind w:left="591"/>
        <w:rPr>
          <w:color w:val="auto"/>
        </w:rPr>
      </w:pPr>
      <w:r>
        <w:rPr>
          <w:color w:val="auto"/>
        </w:rPr>
        <w:t>2、【严重】</w:t>
      </w:r>
    </w:p>
    <w:p>
      <w:pPr>
        <w:pStyle w:val="13"/>
        <w:numPr>
          <w:ilvl w:val="0"/>
          <w:numId w:val="127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已造成不良后果的。</w:t>
      </w:r>
    </w:p>
    <w:p>
      <w:pPr>
        <w:pStyle w:val="13"/>
        <w:numPr>
          <w:ilvl w:val="0"/>
          <w:numId w:val="127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right="232" w:firstLine="480"/>
        <w:rPr>
          <w:color w:val="auto"/>
        </w:rPr>
      </w:pPr>
      <w:r>
        <w:rPr>
          <w:color w:val="auto"/>
        </w:rPr>
        <w:t>责令限期改正；逾期未改正的，责令停止使用有关特种设备或者停产停业整顿， 处 4 万元以上 10 万元以下罚款。</w:t>
      </w:r>
    </w:p>
    <w:p>
      <w:pPr>
        <w:pStyle w:val="2"/>
        <w:spacing w:before="2"/>
        <w:rPr>
          <w:color w:val="auto"/>
        </w:rPr>
      </w:pPr>
      <w:bookmarkStart w:id="1194" w:name="_bookmark596"/>
      <w:bookmarkEnd w:id="1194"/>
      <w:bookmarkStart w:id="1195" w:name="五百八十四、未经许可，擅自从事电梯维护保养"/>
      <w:bookmarkEnd w:id="1195"/>
      <w:r>
        <w:rPr>
          <w:color w:val="auto"/>
        </w:rPr>
        <w:t>五百八十四、未经许可，擅自从事电梯维护保养</w:t>
      </w:r>
    </w:p>
    <w:p>
      <w:pPr>
        <w:spacing w:before="194"/>
        <w:ind w:left="591" w:right="0" w:firstLine="0"/>
        <w:jc w:val="left"/>
        <w:rPr>
          <w:b/>
          <w:color w:val="auto"/>
          <w:sz w:val="24"/>
        </w:rPr>
      </w:pPr>
      <w:r>
        <w:rPr>
          <w:b/>
          <w:color w:val="auto"/>
          <w:sz w:val="24"/>
        </w:rPr>
        <w:t>（一）处罚依据</w:t>
      </w:r>
    </w:p>
    <w:p>
      <w:pPr>
        <w:pStyle w:val="4"/>
        <w:spacing w:before="192" w:line="388" w:lineRule="auto"/>
        <w:ind w:right="232" w:firstLine="480"/>
        <w:rPr>
          <w:color w:val="auto"/>
        </w:rPr>
      </w:pPr>
      <w:r>
        <w:rPr>
          <w:color w:val="auto"/>
        </w:rPr>
        <w:t>《特种设备安全法》第八十八条第一款“违反本法规定，未经许可，擅自从事电梯维护保养的，责令停止违法行为，处一万元以上十万元以下罚款；有违法所得的，</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没收违法所得。”</w:t>
      </w:r>
    </w:p>
    <w:p>
      <w:pPr>
        <w:spacing w:before="19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27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涉及电梯数量较少的。</w:t>
      </w:r>
    </w:p>
    <w:p>
      <w:pPr>
        <w:pStyle w:val="13"/>
        <w:numPr>
          <w:ilvl w:val="0"/>
          <w:numId w:val="127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1432"/>
        <w:rPr>
          <w:color w:val="auto"/>
        </w:rPr>
      </w:pPr>
      <w:r>
        <w:rPr>
          <w:color w:val="auto"/>
          <w:spacing w:val="-6"/>
        </w:rPr>
        <w:t xml:space="preserve">责令停止违法行为，处 </w:t>
      </w:r>
      <w:r>
        <w:rPr>
          <w:color w:val="auto"/>
        </w:rPr>
        <w:t>1</w:t>
      </w:r>
      <w:r>
        <w:rPr>
          <w:color w:val="auto"/>
          <w:spacing w:val="-20"/>
        </w:rPr>
        <w:t xml:space="preserve"> 万元以上 </w:t>
      </w:r>
      <w:r>
        <w:rPr>
          <w:color w:val="auto"/>
        </w:rPr>
        <w:t>3</w:t>
      </w:r>
      <w:r>
        <w:rPr>
          <w:color w:val="auto"/>
          <w:spacing w:val="-9"/>
        </w:rPr>
        <w:t xml:space="preserve"> 万元以下罚款；没收违法所得。</w:t>
      </w:r>
      <w:r>
        <w:rPr>
          <w:color w:val="auto"/>
        </w:rPr>
        <w:t>2</w:t>
      </w:r>
      <w:r>
        <w:rPr>
          <w:color w:val="auto"/>
          <w:spacing w:val="-24"/>
        </w:rPr>
        <w:t>、【较重】</w:t>
      </w:r>
    </w:p>
    <w:p>
      <w:pPr>
        <w:pStyle w:val="13"/>
        <w:numPr>
          <w:ilvl w:val="0"/>
          <w:numId w:val="127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81"/>
        <w:rPr>
          <w:color w:val="auto"/>
        </w:rPr>
      </w:pPr>
      <w:r>
        <w:rPr>
          <w:color w:val="auto"/>
        </w:rPr>
        <w:t>涉及电梯数量较多的。</w:t>
      </w:r>
    </w:p>
    <w:p>
      <w:pPr>
        <w:pStyle w:val="13"/>
        <w:numPr>
          <w:ilvl w:val="0"/>
          <w:numId w:val="127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1442" w:hanging="10"/>
        <w:rPr>
          <w:color w:val="auto"/>
        </w:rPr>
      </w:pPr>
      <w:r>
        <w:rPr>
          <w:color w:val="auto"/>
          <w:spacing w:val="-6"/>
        </w:rPr>
        <w:t xml:space="preserve">责令停止违法行为，处 </w:t>
      </w:r>
      <w:r>
        <w:rPr>
          <w:color w:val="auto"/>
        </w:rPr>
        <w:t>3</w:t>
      </w:r>
      <w:r>
        <w:rPr>
          <w:color w:val="auto"/>
          <w:spacing w:val="-20"/>
        </w:rPr>
        <w:t xml:space="preserve"> 万元以上 </w:t>
      </w:r>
      <w:r>
        <w:rPr>
          <w:color w:val="auto"/>
        </w:rPr>
        <w:t>6</w:t>
      </w:r>
      <w:r>
        <w:rPr>
          <w:color w:val="auto"/>
          <w:spacing w:val="-9"/>
        </w:rPr>
        <w:t xml:space="preserve"> 万元以下罚款；没收违法所得。</w:t>
      </w:r>
      <w:r>
        <w:rPr>
          <w:color w:val="auto"/>
        </w:rPr>
        <w:t>3</w:t>
      </w:r>
      <w:r>
        <w:rPr>
          <w:color w:val="auto"/>
          <w:spacing w:val="-24"/>
        </w:rPr>
        <w:t>、【严重】</w:t>
      </w:r>
    </w:p>
    <w:p>
      <w:pPr>
        <w:pStyle w:val="13"/>
        <w:numPr>
          <w:ilvl w:val="0"/>
          <w:numId w:val="1276"/>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81"/>
        <w:rPr>
          <w:color w:val="auto"/>
        </w:rPr>
      </w:pPr>
      <w:r>
        <w:rPr>
          <w:color w:val="auto"/>
        </w:rPr>
        <w:t>已造成不良后果的。</w:t>
      </w:r>
    </w:p>
    <w:p>
      <w:pPr>
        <w:pStyle w:val="13"/>
        <w:numPr>
          <w:ilvl w:val="0"/>
          <w:numId w:val="1276"/>
        </w:numPr>
        <w:tabs>
          <w:tab w:val="left" w:pos="1193"/>
        </w:tabs>
        <w:spacing w:before="192" w:after="0" w:line="240" w:lineRule="auto"/>
        <w:ind w:left="1192" w:right="0" w:hanging="602"/>
        <w:jc w:val="left"/>
        <w:rPr>
          <w:color w:val="auto"/>
          <w:sz w:val="24"/>
        </w:rPr>
      </w:pPr>
      <w:r>
        <w:rPr>
          <w:color w:val="auto"/>
          <w:sz w:val="24"/>
        </w:rPr>
        <w:t>处罚标准</w:t>
      </w:r>
    </w:p>
    <w:p>
      <w:pPr>
        <w:spacing w:before="194" w:line="388" w:lineRule="auto"/>
        <w:ind w:left="591" w:right="1322" w:hanging="10"/>
        <w:jc w:val="left"/>
        <w:rPr>
          <w:b/>
          <w:color w:val="auto"/>
          <w:sz w:val="24"/>
        </w:rPr>
      </w:pPr>
      <w:r>
        <w:rPr>
          <w:color w:val="auto"/>
          <w:spacing w:val="-6"/>
          <w:sz w:val="24"/>
        </w:rPr>
        <w:t xml:space="preserve">责令停止违法行为，处 </w:t>
      </w:r>
      <w:r>
        <w:rPr>
          <w:color w:val="auto"/>
          <w:sz w:val="24"/>
        </w:rPr>
        <w:t>6</w:t>
      </w:r>
      <w:r>
        <w:rPr>
          <w:color w:val="auto"/>
          <w:spacing w:val="-20"/>
          <w:sz w:val="24"/>
        </w:rPr>
        <w:t xml:space="preserve"> 万元以上 </w:t>
      </w:r>
      <w:r>
        <w:rPr>
          <w:color w:val="auto"/>
          <w:sz w:val="24"/>
        </w:rPr>
        <w:t>10</w:t>
      </w:r>
      <w:r>
        <w:rPr>
          <w:color w:val="auto"/>
          <w:spacing w:val="-9"/>
          <w:sz w:val="24"/>
        </w:rPr>
        <w:t xml:space="preserve"> 万元以下罚款；没收违法所得。</w:t>
      </w:r>
      <w:bookmarkStart w:id="1196" w:name="五百八十五、电梯的维护保养单位未按规定要求进行电梯维护保养"/>
      <w:bookmarkEnd w:id="1196"/>
      <w:bookmarkStart w:id="1197" w:name="_bookmark597"/>
      <w:bookmarkEnd w:id="1197"/>
      <w:r>
        <w:rPr>
          <w:b/>
          <w:color w:val="auto"/>
          <w:sz w:val="24"/>
        </w:rPr>
        <w:t>五百八十五、电梯的维护保养单位未按规定要求进行电梯维护保养</w:t>
      </w:r>
    </w:p>
    <w:p>
      <w:pPr>
        <w:pStyle w:val="2"/>
        <w:spacing w:before="2"/>
        <w:rPr>
          <w:color w:val="auto"/>
        </w:rPr>
      </w:pPr>
      <w:r>
        <w:rPr>
          <w:color w:val="auto"/>
        </w:rPr>
        <w:t>（一）处罚依据</w:t>
      </w:r>
    </w:p>
    <w:p>
      <w:pPr>
        <w:pStyle w:val="13"/>
        <w:numPr>
          <w:ilvl w:val="0"/>
          <w:numId w:val="1277"/>
        </w:numPr>
        <w:tabs>
          <w:tab w:val="left" w:pos="833"/>
        </w:tabs>
        <w:spacing w:before="194" w:after="0" w:line="388" w:lineRule="auto"/>
        <w:ind w:left="111" w:right="268" w:firstLine="480"/>
        <w:jc w:val="left"/>
        <w:rPr>
          <w:color w:val="auto"/>
          <w:sz w:val="24"/>
        </w:rPr>
      </w:pPr>
      <w:r>
        <w:rPr>
          <w:color w:val="auto"/>
          <w:spacing w:val="-4"/>
          <w:sz w:val="24"/>
        </w:rPr>
        <w:t>《特种设备安全法》第八十八条第二款“电梯的维护保养单位未按照本法规定</w:t>
      </w:r>
      <w:r>
        <w:rPr>
          <w:color w:val="auto"/>
          <w:sz w:val="24"/>
        </w:rPr>
        <w:t>以及安全技术规范的要求，进行电梯维护保养的，依照前款规定处罚。”</w:t>
      </w:r>
    </w:p>
    <w:p>
      <w:pPr>
        <w:pStyle w:val="13"/>
        <w:numPr>
          <w:ilvl w:val="0"/>
          <w:numId w:val="1277"/>
        </w:numPr>
        <w:tabs>
          <w:tab w:val="left" w:pos="833"/>
        </w:tabs>
        <w:spacing w:before="2" w:after="0" w:line="391" w:lineRule="auto"/>
        <w:ind w:left="111" w:right="148" w:firstLine="480"/>
        <w:jc w:val="left"/>
        <w:rPr>
          <w:color w:val="auto"/>
          <w:sz w:val="24"/>
        </w:rPr>
      </w:pPr>
      <w:r>
        <w:rPr>
          <w:color w:val="auto"/>
          <w:spacing w:val="-4"/>
          <w:sz w:val="24"/>
        </w:rPr>
        <w:t>《特种设备安全法》第八十八条第一款“违反本法规定，未经许可，擅自从事</w:t>
      </w:r>
      <w:r>
        <w:rPr>
          <w:color w:val="auto"/>
          <w:spacing w:val="-15"/>
          <w:sz w:val="24"/>
        </w:rPr>
        <w:t xml:space="preserve">电梯维护保养的，责令停止违法行为，处一万元以上十万元以下罚款；有违法所得的， </w:t>
      </w:r>
      <w:r>
        <w:rPr>
          <w:color w:val="auto"/>
          <w:sz w:val="24"/>
        </w:rPr>
        <w:t>没收违法所得。”</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27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81"/>
        <w:rPr>
          <w:color w:val="auto"/>
        </w:rPr>
      </w:pPr>
      <w:r>
        <w:rPr>
          <w:color w:val="auto"/>
        </w:rPr>
        <w:t>涉及电梯数量较少且持续时间较短的。</w:t>
      </w:r>
    </w:p>
    <w:p>
      <w:pPr>
        <w:spacing w:after="0"/>
        <w:rPr>
          <w:color w:val="auto"/>
        </w:rPr>
        <w:sectPr>
          <w:pgSz w:w="11910" w:h="16840"/>
          <w:pgMar w:top="1520" w:right="1260" w:bottom="1220" w:left="1420" w:header="0" w:footer="1034" w:gutter="0"/>
        </w:sectPr>
      </w:pPr>
    </w:p>
    <w:p>
      <w:pPr>
        <w:pStyle w:val="13"/>
        <w:numPr>
          <w:ilvl w:val="0"/>
          <w:numId w:val="1278"/>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line="388" w:lineRule="auto"/>
        <w:ind w:left="591" w:right="3592"/>
        <w:rPr>
          <w:color w:val="auto"/>
        </w:rPr>
      </w:pPr>
      <w:r>
        <w:rPr>
          <w:color w:val="auto"/>
          <w:spacing w:val="-30"/>
        </w:rPr>
        <w:t xml:space="preserve">处 </w:t>
      </w:r>
      <w:r>
        <w:rPr>
          <w:color w:val="auto"/>
        </w:rPr>
        <w:t>1</w:t>
      </w:r>
      <w:r>
        <w:rPr>
          <w:color w:val="auto"/>
          <w:spacing w:val="-20"/>
        </w:rPr>
        <w:t xml:space="preserve"> 万元以上 </w:t>
      </w:r>
      <w:r>
        <w:rPr>
          <w:color w:val="auto"/>
        </w:rPr>
        <w:t>3</w:t>
      </w:r>
      <w:r>
        <w:rPr>
          <w:color w:val="auto"/>
          <w:spacing w:val="-9"/>
        </w:rPr>
        <w:t xml:space="preserve"> 万元以下罚款；没收违法所得。</w:t>
      </w:r>
      <w:r>
        <w:rPr>
          <w:color w:val="auto"/>
        </w:rPr>
        <w:t>2</w:t>
      </w:r>
      <w:r>
        <w:rPr>
          <w:color w:val="auto"/>
          <w:spacing w:val="-24"/>
        </w:rPr>
        <w:t>、【较重】</w:t>
      </w:r>
    </w:p>
    <w:p>
      <w:pPr>
        <w:pStyle w:val="13"/>
        <w:numPr>
          <w:ilvl w:val="0"/>
          <w:numId w:val="1279"/>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81"/>
        <w:rPr>
          <w:color w:val="auto"/>
        </w:rPr>
      </w:pPr>
      <w:r>
        <w:rPr>
          <w:color w:val="auto"/>
        </w:rPr>
        <w:t>涉及电梯数量较多且持续时间较长的。</w:t>
      </w:r>
    </w:p>
    <w:p>
      <w:pPr>
        <w:pStyle w:val="13"/>
        <w:numPr>
          <w:ilvl w:val="0"/>
          <w:numId w:val="127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602" w:hanging="10"/>
        <w:rPr>
          <w:color w:val="auto"/>
        </w:rPr>
      </w:pPr>
      <w:r>
        <w:rPr>
          <w:color w:val="auto"/>
          <w:spacing w:val="-30"/>
        </w:rPr>
        <w:t xml:space="preserve">处 </w:t>
      </w:r>
      <w:r>
        <w:rPr>
          <w:color w:val="auto"/>
        </w:rPr>
        <w:t>3</w:t>
      </w:r>
      <w:r>
        <w:rPr>
          <w:color w:val="auto"/>
          <w:spacing w:val="-20"/>
        </w:rPr>
        <w:t xml:space="preserve"> 万元以上 </w:t>
      </w:r>
      <w:r>
        <w:rPr>
          <w:color w:val="auto"/>
        </w:rPr>
        <w:t>6</w:t>
      </w:r>
      <w:r>
        <w:rPr>
          <w:color w:val="auto"/>
          <w:spacing w:val="-9"/>
        </w:rPr>
        <w:t xml:space="preserve"> 万元以下罚款；没收违法所得。</w:t>
      </w:r>
      <w:r>
        <w:rPr>
          <w:color w:val="auto"/>
        </w:rPr>
        <w:t>3</w:t>
      </w:r>
      <w:r>
        <w:rPr>
          <w:color w:val="auto"/>
          <w:spacing w:val="-24"/>
        </w:rPr>
        <w:t>、【严重】</w:t>
      </w:r>
    </w:p>
    <w:p>
      <w:pPr>
        <w:pStyle w:val="13"/>
        <w:numPr>
          <w:ilvl w:val="0"/>
          <w:numId w:val="128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81"/>
        <w:rPr>
          <w:color w:val="auto"/>
        </w:rPr>
      </w:pPr>
      <w:r>
        <w:rPr>
          <w:color w:val="auto"/>
        </w:rPr>
        <w:t>造成不良后果或情节严重的。</w:t>
      </w:r>
    </w:p>
    <w:p>
      <w:pPr>
        <w:pStyle w:val="13"/>
        <w:numPr>
          <w:ilvl w:val="0"/>
          <w:numId w:val="128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处 6 万元以上 10 万元以下罚款；没收违法所得。</w:t>
      </w:r>
    </w:p>
    <w:p>
      <w:pPr>
        <w:pStyle w:val="2"/>
        <w:spacing w:before="191" w:line="391" w:lineRule="auto"/>
        <w:ind w:left="111" w:right="237" w:firstLine="480"/>
        <w:rPr>
          <w:color w:val="auto"/>
        </w:rPr>
      </w:pPr>
      <w:bookmarkStart w:id="1198" w:name="五百八十六、发生特种设备事故时，不立即组织抢救或者在事故调查处理期间擅离职守或者"/>
      <w:bookmarkEnd w:id="1198"/>
      <w:bookmarkStart w:id="1199" w:name="_bookmark598"/>
      <w:bookmarkEnd w:id="1199"/>
      <w:r>
        <w:rPr>
          <w:color w:val="auto"/>
          <w:spacing w:val="-8"/>
        </w:rPr>
        <w:t>五百八十六、发生特种设备事故时，不立即组织抢救或者在事故调查处理期间擅离职守或者逃匿</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6" w:firstLine="470"/>
        <w:jc w:val="both"/>
        <w:rPr>
          <w:color w:val="auto"/>
        </w:rPr>
      </w:pPr>
      <w:r>
        <w:rPr>
          <w:color w:val="auto"/>
          <w:spacing w:val="-6"/>
        </w:rPr>
        <w:t>《特种设备安全法》第八十九条“发生特种设备事故，有下列情形之一的，对单</w:t>
      </w:r>
      <w:r>
        <w:rPr>
          <w:color w:val="auto"/>
          <w:spacing w:val="-4"/>
        </w:rPr>
        <w:t>位处五万元以上二十万元以下罚款；对主要负责人处一万元以上五万元以下罚款；主</w:t>
      </w:r>
      <w:r>
        <w:rPr>
          <w:color w:val="auto"/>
          <w:spacing w:val="-3"/>
        </w:rPr>
        <w:t>要负责人属于国家工作人员的，并依法给予处分：</w:t>
      </w:r>
      <w:r>
        <w:rPr>
          <w:color w:val="auto"/>
          <w:spacing w:val="-8"/>
        </w:rPr>
        <w:t>（</w:t>
      </w:r>
      <w:r>
        <w:rPr>
          <w:color w:val="auto"/>
        </w:rPr>
        <w:t>一</w:t>
      </w:r>
      <w:r>
        <w:rPr>
          <w:color w:val="auto"/>
          <w:spacing w:val="-8"/>
        </w:rPr>
        <w:t>）</w:t>
      </w:r>
      <w:r>
        <w:rPr>
          <w:color w:val="auto"/>
          <w:spacing w:val="-2"/>
        </w:rPr>
        <w:t>发生特种设备事故时，不立</w:t>
      </w:r>
      <w:r>
        <w:rPr>
          <w:color w:val="auto"/>
        </w:rPr>
        <w:t>即组织抢救或者在事故调查处理期间擅离职守或者逃匿的。”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28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违法行为较轻，未造成严重后果的；</w:t>
      </w:r>
    </w:p>
    <w:p>
      <w:pPr>
        <w:pStyle w:val="13"/>
        <w:numPr>
          <w:ilvl w:val="0"/>
          <w:numId w:val="128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68" w:firstLine="480"/>
        <w:rPr>
          <w:color w:val="auto"/>
        </w:rPr>
      </w:pPr>
      <w:r>
        <w:rPr>
          <w:color w:val="auto"/>
          <w:spacing w:val="-11"/>
        </w:rPr>
        <w:t xml:space="preserve">对单位处 </w:t>
      </w:r>
      <w:r>
        <w:rPr>
          <w:color w:val="auto"/>
        </w:rPr>
        <w:t>5</w:t>
      </w:r>
      <w:r>
        <w:rPr>
          <w:color w:val="auto"/>
          <w:spacing w:val="-19"/>
        </w:rPr>
        <w:t xml:space="preserve"> 万元以上 </w:t>
      </w:r>
      <w:r>
        <w:rPr>
          <w:color w:val="auto"/>
        </w:rPr>
        <w:t>10</w:t>
      </w:r>
      <w:r>
        <w:rPr>
          <w:color w:val="auto"/>
          <w:spacing w:val="-10"/>
        </w:rPr>
        <w:t xml:space="preserve"> 万元以下罚款；对主要负责人处 </w:t>
      </w:r>
      <w:r>
        <w:rPr>
          <w:color w:val="auto"/>
        </w:rPr>
        <w:t>1</w:t>
      </w:r>
      <w:r>
        <w:rPr>
          <w:color w:val="auto"/>
          <w:spacing w:val="-19"/>
        </w:rPr>
        <w:t xml:space="preserve"> 万元以上 </w:t>
      </w:r>
      <w:r>
        <w:rPr>
          <w:color w:val="auto"/>
        </w:rPr>
        <w:t>2</w:t>
      </w:r>
      <w:r>
        <w:rPr>
          <w:color w:val="auto"/>
          <w:spacing w:val="-11"/>
        </w:rPr>
        <w:t xml:space="preserve"> 万元以下罚款。</w:t>
      </w:r>
    </w:p>
    <w:p>
      <w:pPr>
        <w:pStyle w:val="4"/>
        <w:spacing w:line="306" w:lineRule="exact"/>
        <w:ind w:left="591"/>
        <w:rPr>
          <w:color w:val="auto"/>
        </w:rPr>
      </w:pPr>
      <w:r>
        <w:rPr>
          <w:color w:val="auto"/>
        </w:rPr>
        <w:t>2、【严重】</w:t>
      </w:r>
    </w:p>
    <w:p>
      <w:pPr>
        <w:pStyle w:val="13"/>
        <w:numPr>
          <w:ilvl w:val="0"/>
          <w:numId w:val="1282"/>
        </w:numPr>
        <w:tabs>
          <w:tab w:val="left" w:pos="1193"/>
        </w:tabs>
        <w:spacing w:before="19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已造成严重后果的；</w:t>
      </w:r>
    </w:p>
    <w:p>
      <w:pPr>
        <w:pStyle w:val="13"/>
        <w:numPr>
          <w:ilvl w:val="0"/>
          <w:numId w:val="1282"/>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12"/>
        </w:rPr>
        <w:t xml:space="preserve">对单位处 </w:t>
      </w:r>
      <w:r>
        <w:rPr>
          <w:color w:val="auto"/>
        </w:rPr>
        <w:t>10</w:t>
      </w:r>
      <w:r>
        <w:rPr>
          <w:color w:val="auto"/>
          <w:spacing w:val="-20"/>
        </w:rPr>
        <w:t xml:space="preserve"> 万元以上 </w:t>
      </w:r>
      <w:r>
        <w:rPr>
          <w:color w:val="auto"/>
        </w:rPr>
        <w:t>20</w:t>
      </w:r>
      <w:r>
        <w:rPr>
          <w:color w:val="auto"/>
          <w:spacing w:val="-14"/>
        </w:rPr>
        <w:t xml:space="preserve"> 万元以下罚款；对主要负责人处 </w:t>
      </w:r>
      <w:r>
        <w:rPr>
          <w:color w:val="auto"/>
        </w:rPr>
        <w:t>2</w:t>
      </w:r>
      <w:r>
        <w:rPr>
          <w:color w:val="auto"/>
          <w:spacing w:val="-20"/>
        </w:rPr>
        <w:t xml:space="preserve"> 万元以上 </w:t>
      </w:r>
      <w:r>
        <w:rPr>
          <w:color w:val="auto"/>
        </w:rPr>
        <w:t>5</w:t>
      </w:r>
      <w:r>
        <w:rPr>
          <w:color w:val="auto"/>
          <w:spacing w:val="-16"/>
        </w:rPr>
        <w:t xml:space="preserve"> 万元以下</w:t>
      </w:r>
      <w:r>
        <w:rPr>
          <w:color w:val="auto"/>
        </w:rPr>
        <w:t>罚款。</w:t>
      </w:r>
    </w:p>
    <w:p>
      <w:pPr>
        <w:pStyle w:val="2"/>
        <w:spacing w:before="5"/>
        <w:rPr>
          <w:color w:val="auto"/>
        </w:rPr>
      </w:pPr>
      <w:bookmarkStart w:id="1200" w:name="_bookmark599"/>
      <w:bookmarkEnd w:id="1200"/>
      <w:bookmarkStart w:id="1201" w:name="五百八十七、发生特种设备事故时，对特种设备事故迟报、谎报或者瞒报"/>
      <w:bookmarkEnd w:id="1201"/>
      <w:r>
        <w:rPr>
          <w:color w:val="auto"/>
        </w:rPr>
        <w:t>五百八十七、发生特种设备事故时，对特种设备事故迟报、谎报或者瞒报</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spacing w:val="-6"/>
        </w:rPr>
        <w:t>《特种设备安全法》第八十九条“发生特种设备事故，有下列情形之一的，对单</w:t>
      </w:r>
      <w:r>
        <w:rPr>
          <w:color w:val="auto"/>
          <w:spacing w:val="-4"/>
        </w:rPr>
        <w:t>位处五万元以上二十万元以下罚款；对主要负责人处一万元以上五万元以下罚款；主</w:t>
      </w:r>
      <w:r>
        <w:rPr>
          <w:color w:val="auto"/>
          <w:spacing w:val="-5"/>
        </w:rPr>
        <w:t>要负责人属于国家工作人员的，并依法给予处分：</w:t>
      </w:r>
      <w:r>
        <w:rPr>
          <w:color w:val="auto"/>
          <w:spacing w:val="2"/>
        </w:rPr>
        <w:t>（二）</w:t>
      </w:r>
      <w:r>
        <w:rPr>
          <w:color w:val="auto"/>
          <w:spacing w:val="1"/>
        </w:rPr>
        <w:t>对特种设备事故迟报、谎报</w:t>
      </w:r>
      <w:r>
        <w:rPr>
          <w:color w:val="auto"/>
          <w:spacing w:val="-18"/>
        </w:rPr>
        <w:t>或者瞒报的。”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8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违法行为较轻，未造成严重后果的；</w:t>
      </w:r>
    </w:p>
    <w:p>
      <w:pPr>
        <w:pStyle w:val="13"/>
        <w:numPr>
          <w:ilvl w:val="0"/>
          <w:numId w:val="128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right="268" w:firstLine="480"/>
        <w:rPr>
          <w:color w:val="auto"/>
        </w:rPr>
      </w:pPr>
      <w:r>
        <w:rPr>
          <w:color w:val="auto"/>
          <w:spacing w:val="-11"/>
        </w:rPr>
        <w:t xml:space="preserve">对单位处 </w:t>
      </w:r>
      <w:r>
        <w:rPr>
          <w:color w:val="auto"/>
        </w:rPr>
        <w:t>5</w:t>
      </w:r>
      <w:r>
        <w:rPr>
          <w:color w:val="auto"/>
          <w:spacing w:val="-19"/>
        </w:rPr>
        <w:t xml:space="preserve"> 万元以上 </w:t>
      </w:r>
      <w:r>
        <w:rPr>
          <w:color w:val="auto"/>
        </w:rPr>
        <w:t>10</w:t>
      </w:r>
      <w:r>
        <w:rPr>
          <w:color w:val="auto"/>
          <w:spacing w:val="-10"/>
        </w:rPr>
        <w:t xml:space="preserve"> 万元以下罚款；对主要负责人处 </w:t>
      </w:r>
      <w:r>
        <w:rPr>
          <w:color w:val="auto"/>
        </w:rPr>
        <w:t>1</w:t>
      </w:r>
      <w:r>
        <w:rPr>
          <w:color w:val="auto"/>
          <w:spacing w:val="-19"/>
        </w:rPr>
        <w:t xml:space="preserve"> 万元以上 </w:t>
      </w:r>
      <w:r>
        <w:rPr>
          <w:color w:val="auto"/>
        </w:rPr>
        <w:t>2</w:t>
      </w:r>
      <w:r>
        <w:rPr>
          <w:color w:val="auto"/>
          <w:spacing w:val="-11"/>
        </w:rPr>
        <w:t xml:space="preserve"> 万元以下罚款。</w:t>
      </w:r>
    </w:p>
    <w:p>
      <w:pPr>
        <w:pStyle w:val="4"/>
        <w:spacing w:line="306" w:lineRule="exact"/>
        <w:ind w:left="591"/>
        <w:rPr>
          <w:color w:val="auto"/>
        </w:rPr>
      </w:pPr>
      <w:r>
        <w:rPr>
          <w:color w:val="auto"/>
        </w:rPr>
        <w:t>2、【严重】</w:t>
      </w:r>
    </w:p>
    <w:p>
      <w:pPr>
        <w:pStyle w:val="13"/>
        <w:numPr>
          <w:ilvl w:val="0"/>
          <w:numId w:val="128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已造成严重后果的；</w:t>
      </w:r>
    </w:p>
    <w:p>
      <w:pPr>
        <w:pStyle w:val="13"/>
        <w:numPr>
          <w:ilvl w:val="0"/>
          <w:numId w:val="128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rPr>
          <w:color w:val="auto"/>
        </w:rPr>
      </w:pPr>
      <w:r>
        <w:rPr>
          <w:color w:val="auto"/>
          <w:spacing w:val="-12"/>
        </w:rPr>
        <w:t xml:space="preserve">对单位处 </w:t>
      </w:r>
      <w:r>
        <w:rPr>
          <w:color w:val="auto"/>
        </w:rPr>
        <w:t>10</w:t>
      </w:r>
      <w:r>
        <w:rPr>
          <w:color w:val="auto"/>
          <w:spacing w:val="-20"/>
        </w:rPr>
        <w:t xml:space="preserve"> 万元以上 </w:t>
      </w:r>
      <w:r>
        <w:rPr>
          <w:color w:val="auto"/>
        </w:rPr>
        <w:t>20</w:t>
      </w:r>
      <w:r>
        <w:rPr>
          <w:color w:val="auto"/>
          <w:spacing w:val="-14"/>
        </w:rPr>
        <w:t xml:space="preserve"> 万元以下罚款；对主要负责人处 </w:t>
      </w:r>
      <w:r>
        <w:rPr>
          <w:color w:val="auto"/>
        </w:rPr>
        <w:t>2</w:t>
      </w:r>
      <w:r>
        <w:rPr>
          <w:color w:val="auto"/>
          <w:spacing w:val="-20"/>
        </w:rPr>
        <w:t xml:space="preserve"> 万元以上 </w:t>
      </w:r>
      <w:r>
        <w:rPr>
          <w:color w:val="auto"/>
        </w:rPr>
        <w:t>5</w:t>
      </w:r>
      <w:r>
        <w:rPr>
          <w:color w:val="auto"/>
          <w:spacing w:val="-16"/>
        </w:rPr>
        <w:t xml:space="preserve"> 万元以下</w:t>
      </w:r>
      <w:r>
        <w:rPr>
          <w:color w:val="auto"/>
        </w:rPr>
        <w:t>罚款。</w:t>
      </w:r>
    </w:p>
    <w:p>
      <w:pPr>
        <w:pStyle w:val="2"/>
        <w:spacing w:line="306" w:lineRule="exact"/>
        <w:rPr>
          <w:color w:val="auto"/>
        </w:rPr>
      </w:pPr>
      <w:bookmarkStart w:id="1202" w:name="_bookmark600"/>
      <w:bookmarkEnd w:id="1202"/>
      <w:bookmarkStart w:id="1203" w:name="五百八十八、单位对发生特种设备事故负有责任"/>
      <w:bookmarkEnd w:id="1203"/>
      <w:r>
        <w:rPr>
          <w:color w:val="auto"/>
        </w:rPr>
        <w:t>五百八十八、单位对发生特种设备事故负有责任</w:t>
      </w:r>
    </w:p>
    <w:p>
      <w:pPr>
        <w:spacing w:before="191"/>
        <w:ind w:left="591" w:right="0" w:firstLine="0"/>
        <w:jc w:val="left"/>
        <w:rPr>
          <w:b/>
          <w:color w:val="auto"/>
          <w:sz w:val="24"/>
        </w:rPr>
      </w:pPr>
      <w:r>
        <w:rPr>
          <w:b/>
          <w:color w:val="auto"/>
          <w:sz w:val="24"/>
        </w:rPr>
        <w:t>（一）处罚依据</w:t>
      </w:r>
    </w:p>
    <w:p>
      <w:pPr>
        <w:pStyle w:val="4"/>
        <w:spacing w:before="194" w:line="388" w:lineRule="auto"/>
        <w:ind w:right="268" w:firstLine="470"/>
        <w:rPr>
          <w:color w:val="auto"/>
        </w:rPr>
      </w:pPr>
      <w:r>
        <w:rPr>
          <w:color w:val="auto"/>
          <w:spacing w:val="-5"/>
        </w:rPr>
        <w:t>《特种设备安全法》第九十条“发生事故，对负有责任的单位除要求其依法承担</w:t>
      </w:r>
      <w:r>
        <w:rPr>
          <w:color w:val="auto"/>
        </w:rPr>
        <w:t>相应的赔偿等责任外，依照下列规定处以罚款：（一）</w:t>
      </w:r>
      <w:r>
        <w:rPr>
          <w:color w:val="auto"/>
          <w:spacing w:val="-3"/>
        </w:rPr>
        <w:t xml:space="preserve">发生一般事故的，处 </w:t>
      </w:r>
      <w:r>
        <w:rPr>
          <w:color w:val="auto"/>
        </w:rPr>
        <w:t>10</w:t>
      </w:r>
      <w:r>
        <w:rPr>
          <w:color w:val="auto"/>
          <w:spacing w:val="-9"/>
        </w:rPr>
        <w:t xml:space="preserve"> 万元</w:t>
      </w:r>
    </w:p>
    <w:p>
      <w:pPr>
        <w:pStyle w:val="4"/>
        <w:spacing w:before="3"/>
        <w:rPr>
          <w:color w:val="auto"/>
        </w:rPr>
      </w:pPr>
      <w:r>
        <w:rPr>
          <w:color w:val="auto"/>
          <w:spacing w:val="-17"/>
        </w:rPr>
        <w:t xml:space="preserve">以上 </w:t>
      </w:r>
      <w:r>
        <w:rPr>
          <w:color w:val="auto"/>
        </w:rPr>
        <w:t>20</w:t>
      </w:r>
      <w:r>
        <w:rPr>
          <w:color w:val="auto"/>
          <w:spacing w:val="-9"/>
        </w:rPr>
        <w:t xml:space="preserve"> 万元以下罚款</w:t>
      </w:r>
      <w:r>
        <w:rPr>
          <w:color w:val="auto"/>
        </w:rPr>
        <w:t>；（二）</w:t>
      </w:r>
      <w:r>
        <w:rPr>
          <w:color w:val="auto"/>
          <w:spacing w:val="-6"/>
        </w:rPr>
        <w:t xml:space="preserve">发生较大事故的，处 </w:t>
      </w:r>
      <w:r>
        <w:rPr>
          <w:color w:val="auto"/>
        </w:rPr>
        <w:t>20</w:t>
      </w:r>
      <w:r>
        <w:rPr>
          <w:color w:val="auto"/>
          <w:spacing w:val="-18"/>
        </w:rPr>
        <w:t xml:space="preserve"> 万元以上 </w:t>
      </w:r>
      <w:r>
        <w:rPr>
          <w:color w:val="auto"/>
        </w:rPr>
        <w:t>50</w:t>
      </w:r>
      <w:r>
        <w:rPr>
          <w:color w:val="auto"/>
          <w:spacing w:val="-7"/>
        </w:rPr>
        <w:t xml:space="preserve"> 万元以下罚款；</w:t>
      </w:r>
    </w:p>
    <w:p>
      <w:pPr>
        <w:spacing w:after="0"/>
        <w:rPr>
          <w:color w:val="auto"/>
        </w:rPr>
        <w:sectPr>
          <w:footerReference r:id="rId143" w:type="default"/>
          <w:footerReference r:id="rId144" w:type="even"/>
          <w:pgSz w:w="11910" w:h="16840"/>
          <w:pgMar w:top="1520" w:right="1260" w:bottom="1220" w:left="1420" w:header="0" w:footer="1034" w:gutter="0"/>
          <w:pgNumType w:start="570"/>
        </w:sectPr>
      </w:pPr>
    </w:p>
    <w:p>
      <w:pPr>
        <w:pStyle w:val="4"/>
        <w:spacing w:before="39"/>
        <w:rPr>
          <w:color w:val="auto"/>
        </w:rPr>
      </w:pPr>
      <w:r>
        <w:rPr>
          <w:color w:val="auto"/>
        </w:rPr>
        <w:t>（三）发生重大事故的，处 50 万元以上 200 万元以下罚款。”</w:t>
      </w:r>
    </w:p>
    <w:p>
      <w:pPr>
        <w:spacing w:before="19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28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发生一般事故的。</w:t>
      </w:r>
    </w:p>
    <w:p>
      <w:pPr>
        <w:pStyle w:val="13"/>
        <w:numPr>
          <w:ilvl w:val="0"/>
          <w:numId w:val="128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032"/>
        <w:rPr>
          <w:color w:val="auto"/>
        </w:rPr>
      </w:pPr>
      <w:r>
        <w:rPr>
          <w:color w:val="auto"/>
          <w:spacing w:val="-30"/>
        </w:rPr>
        <w:t xml:space="preserve">处 </w:t>
      </w:r>
      <w:r>
        <w:rPr>
          <w:color w:val="auto"/>
        </w:rPr>
        <w:t>10</w:t>
      </w:r>
      <w:r>
        <w:rPr>
          <w:color w:val="auto"/>
          <w:spacing w:val="-20"/>
        </w:rPr>
        <w:t xml:space="preserve"> 万元以上 </w:t>
      </w:r>
      <w:r>
        <w:rPr>
          <w:color w:val="auto"/>
        </w:rPr>
        <w:t>20</w:t>
      </w:r>
      <w:r>
        <w:rPr>
          <w:color w:val="auto"/>
          <w:spacing w:val="-10"/>
        </w:rPr>
        <w:t xml:space="preserve"> 万元以下罚款。</w:t>
      </w:r>
      <w:r>
        <w:rPr>
          <w:color w:val="auto"/>
        </w:rPr>
        <w:t>2</w:t>
      </w:r>
      <w:r>
        <w:rPr>
          <w:color w:val="auto"/>
          <w:spacing w:val="-24"/>
        </w:rPr>
        <w:t>、【较重】</w:t>
      </w:r>
    </w:p>
    <w:p>
      <w:pPr>
        <w:pStyle w:val="13"/>
        <w:numPr>
          <w:ilvl w:val="0"/>
          <w:numId w:val="128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发生较大事故的。</w:t>
      </w:r>
    </w:p>
    <w:p>
      <w:pPr>
        <w:pStyle w:val="13"/>
        <w:numPr>
          <w:ilvl w:val="0"/>
          <w:numId w:val="128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30"/>
        </w:rPr>
        <w:t xml:space="preserve">处 </w:t>
      </w:r>
      <w:r>
        <w:rPr>
          <w:color w:val="auto"/>
        </w:rPr>
        <w:t>20</w:t>
      </w:r>
      <w:r>
        <w:rPr>
          <w:color w:val="auto"/>
          <w:spacing w:val="-20"/>
        </w:rPr>
        <w:t xml:space="preserve"> 万元以上 </w:t>
      </w:r>
      <w:r>
        <w:rPr>
          <w:color w:val="auto"/>
        </w:rPr>
        <w:t>50</w:t>
      </w:r>
      <w:r>
        <w:rPr>
          <w:color w:val="auto"/>
          <w:spacing w:val="-10"/>
        </w:rPr>
        <w:t xml:space="preserve"> 万元以下罚款。</w:t>
      </w:r>
      <w:r>
        <w:rPr>
          <w:color w:val="auto"/>
        </w:rPr>
        <w:t>3</w:t>
      </w:r>
      <w:r>
        <w:rPr>
          <w:color w:val="auto"/>
          <w:spacing w:val="-24"/>
        </w:rPr>
        <w:t>、【严重】</w:t>
      </w:r>
    </w:p>
    <w:p>
      <w:pPr>
        <w:pStyle w:val="4"/>
        <w:spacing w:before="4"/>
        <w:ind w:left="591"/>
        <w:rPr>
          <w:color w:val="auto"/>
        </w:rPr>
      </w:pPr>
      <w:r>
        <w:rPr>
          <w:color w:val="auto"/>
        </w:rPr>
        <w:t>发生重大事故的。</w:t>
      </w:r>
    </w:p>
    <w:p>
      <w:pPr>
        <w:pStyle w:val="4"/>
        <w:spacing w:before="192"/>
        <w:ind w:left="591"/>
        <w:rPr>
          <w:color w:val="auto"/>
        </w:rPr>
      </w:pPr>
      <w:r>
        <w:rPr>
          <w:color w:val="auto"/>
        </w:rPr>
        <w:t>（2）处罚标准</w:t>
      </w:r>
    </w:p>
    <w:p>
      <w:pPr>
        <w:pStyle w:val="4"/>
        <w:spacing w:before="192"/>
        <w:ind w:left="591"/>
        <w:rPr>
          <w:color w:val="auto"/>
        </w:rPr>
      </w:pPr>
      <w:r>
        <w:rPr>
          <w:color w:val="auto"/>
        </w:rPr>
        <w:t>处 50 万元以上 200 万元以下罚款。</w:t>
      </w:r>
    </w:p>
    <w:p>
      <w:pPr>
        <w:pStyle w:val="2"/>
        <w:spacing w:before="194"/>
        <w:rPr>
          <w:color w:val="auto"/>
        </w:rPr>
      </w:pPr>
      <w:bookmarkStart w:id="1204" w:name="五百八十九、单位的主要负责人对发生特种设备事故负有责任"/>
      <w:bookmarkEnd w:id="1204"/>
      <w:bookmarkStart w:id="1205" w:name="_bookmark601"/>
      <w:bookmarkEnd w:id="1205"/>
      <w:r>
        <w:rPr>
          <w:color w:val="auto"/>
        </w:rPr>
        <w:t>五百八十九、单位的主要负责人对发生特种设备事故负有责任</w:t>
      </w:r>
    </w:p>
    <w:p>
      <w:pPr>
        <w:spacing w:before="191"/>
        <w:ind w:left="591" w:right="0" w:firstLine="0"/>
        <w:jc w:val="left"/>
        <w:rPr>
          <w:b/>
          <w:color w:val="auto"/>
          <w:sz w:val="24"/>
        </w:rPr>
      </w:pPr>
      <w:r>
        <w:rPr>
          <w:b/>
          <w:color w:val="auto"/>
          <w:sz w:val="24"/>
        </w:rPr>
        <w:t>（一）处罚依据</w:t>
      </w:r>
    </w:p>
    <w:p>
      <w:pPr>
        <w:pStyle w:val="4"/>
        <w:spacing w:before="192" w:line="391" w:lineRule="auto"/>
        <w:ind w:right="265" w:firstLine="470"/>
        <w:jc w:val="both"/>
        <w:rPr>
          <w:color w:val="auto"/>
        </w:rPr>
      </w:pPr>
      <w:r>
        <w:rPr>
          <w:color w:val="auto"/>
          <w:spacing w:val="-4"/>
        </w:rPr>
        <w:t>《特种设备安全法》第九十一条“对事故发生负有责任的单位的主要负责人未依法履行职责或者负有领导责任的，依照下列规定处以罚款；属于国家工作人员的，并</w:t>
      </w:r>
      <w:r>
        <w:rPr>
          <w:color w:val="auto"/>
          <w:spacing w:val="-1"/>
        </w:rPr>
        <w:t>依法给予处分：</w:t>
      </w:r>
      <w:r>
        <w:rPr>
          <w:color w:val="auto"/>
          <w:spacing w:val="-5"/>
        </w:rPr>
        <w:t>（</w:t>
      </w:r>
      <w:r>
        <w:rPr>
          <w:color w:val="auto"/>
        </w:rPr>
        <w:t>一</w:t>
      </w:r>
      <w:r>
        <w:rPr>
          <w:color w:val="auto"/>
          <w:spacing w:val="-5"/>
        </w:rPr>
        <w:t>）</w:t>
      </w:r>
      <w:r>
        <w:rPr>
          <w:color w:val="auto"/>
          <w:spacing w:val="-2"/>
        </w:rPr>
        <w:t>发生一般事故，处上一年年收入百分之三十的罚款；</w:t>
      </w:r>
      <w:r>
        <w:rPr>
          <w:color w:val="auto"/>
          <w:spacing w:val="-5"/>
        </w:rPr>
        <w:t>（</w:t>
      </w:r>
      <w:r>
        <w:rPr>
          <w:color w:val="auto"/>
        </w:rPr>
        <w:t>二</w:t>
      </w:r>
      <w:r>
        <w:rPr>
          <w:color w:val="auto"/>
          <w:spacing w:val="-5"/>
        </w:rPr>
        <w:t>）</w:t>
      </w:r>
      <w:r>
        <w:rPr>
          <w:color w:val="auto"/>
          <w:spacing w:val="-17"/>
        </w:rPr>
        <w:t>发</w:t>
      </w:r>
      <w:r>
        <w:rPr>
          <w:color w:val="auto"/>
          <w:spacing w:val="-3"/>
        </w:rPr>
        <w:t>生较大事故，处上一年年收入百分之四十的罚款；</w:t>
      </w:r>
      <w:r>
        <w:rPr>
          <w:color w:val="auto"/>
          <w:spacing w:val="-8"/>
        </w:rPr>
        <w:t>（</w:t>
      </w:r>
      <w:r>
        <w:rPr>
          <w:color w:val="auto"/>
        </w:rPr>
        <w:t>三</w:t>
      </w:r>
      <w:r>
        <w:rPr>
          <w:color w:val="auto"/>
          <w:spacing w:val="-8"/>
        </w:rPr>
        <w:t>）</w:t>
      </w:r>
      <w:r>
        <w:rPr>
          <w:color w:val="auto"/>
          <w:spacing w:val="-3"/>
        </w:rPr>
        <w:t>发生重大事故，处上一年年</w:t>
      </w:r>
      <w:r>
        <w:rPr>
          <w:color w:val="auto"/>
        </w:rPr>
        <w:t>收入百分之六十的罚款。”</w:t>
      </w:r>
    </w:p>
    <w:p>
      <w:pPr>
        <w:spacing w:before="0" w:line="388" w:lineRule="auto"/>
        <w:ind w:left="591" w:right="6957" w:hanging="10"/>
        <w:jc w:val="left"/>
        <w:rPr>
          <w:color w:val="auto"/>
          <w:sz w:val="24"/>
        </w:rPr>
      </w:pPr>
      <w:r>
        <w:rPr>
          <w:b/>
          <w:color w:val="auto"/>
          <w:sz w:val="24"/>
        </w:rPr>
        <w:t>（二）裁量标准</w:t>
      </w:r>
      <w:r>
        <w:rPr>
          <w:color w:val="auto"/>
          <w:sz w:val="24"/>
        </w:rPr>
        <w:t>1、【一般】</w:t>
      </w:r>
    </w:p>
    <w:p>
      <w:pPr>
        <w:pStyle w:val="4"/>
        <w:ind w:left="591"/>
        <w:rPr>
          <w:color w:val="auto"/>
        </w:rPr>
      </w:pPr>
      <w:r>
        <w:rPr>
          <w:color w:val="auto"/>
        </w:rPr>
        <w:t>（1）违法情形</w:t>
      </w:r>
    </w:p>
    <w:p>
      <w:pPr>
        <w:pStyle w:val="4"/>
        <w:spacing w:before="191"/>
        <w:ind w:left="591"/>
        <w:rPr>
          <w:color w:val="auto"/>
        </w:rPr>
      </w:pPr>
      <w:r>
        <w:rPr>
          <w:color w:val="auto"/>
        </w:rPr>
        <w:t>发生一般事故的。</w:t>
      </w:r>
    </w:p>
    <w:p>
      <w:pPr>
        <w:spacing w:after="0"/>
        <w:rPr>
          <w:color w:val="auto"/>
        </w:rPr>
        <w:sectPr>
          <w:pgSz w:w="11910" w:h="16840"/>
          <w:pgMar w:top="1520" w:right="1260" w:bottom="1720" w:left="1420" w:header="0" w:footer="1526" w:gutter="0"/>
        </w:sectPr>
      </w:pPr>
    </w:p>
    <w:p>
      <w:pPr>
        <w:pStyle w:val="4"/>
        <w:spacing w:before="39" w:line="391" w:lineRule="auto"/>
        <w:ind w:left="591" w:right="4792"/>
        <w:rPr>
          <w:color w:val="auto"/>
        </w:rPr>
      </w:pPr>
      <w:r>
        <w:rPr>
          <w:color w:val="auto"/>
        </w:rPr>
        <w:t>处上一年年收入百分之三十的罚款。2、【较重】</w:t>
      </w:r>
    </w:p>
    <w:p>
      <w:pPr>
        <w:pStyle w:val="13"/>
        <w:numPr>
          <w:ilvl w:val="0"/>
          <w:numId w:val="128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发生较大事故的。</w:t>
      </w:r>
    </w:p>
    <w:p>
      <w:pPr>
        <w:pStyle w:val="13"/>
        <w:numPr>
          <w:ilvl w:val="0"/>
          <w:numId w:val="128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792"/>
        <w:rPr>
          <w:color w:val="auto"/>
        </w:rPr>
      </w:pPr>
      <w:r>
        <w:rPr>
          <w:color w:val="auto"/>
        </w:rPr>
        <w:t>处上一年年收入百分之四十的罚款。3、【严重】</w:t>
      </w:r>
    </w:p>
    <w:p>
      <w:pPr>
        <w:pStyle w:val="4"/>
        <w:spacing w:before="4"/>
        <w:ind w:left="591"/>
        <w:rPr>
          <w:color w:val="auto"/>
        </w:rPr>
      </w:pPr>
      <w:r>
        <w:rPr>
          <w:color w:val="auto"/>
        </w:rPr>
        <w:t>发生重大事故的。</w:t>
      </w:r>
    </w:p>
    <w:p>
      <w:pPr>
        <w:pStyle w:val="4"/>
        <w:spacing w:before="192"/>
        <w:ind w:left="591"/>
        <w:rPr>
          <w:color w:val="auto"/>
        </w:rPr>
      </w:pPr>
      <w:r>
        <w:rPr>
          <w:color w:val="auto"/>
        </w:rPr>
        <w:t>（2）处罚标准</w:t>
      </w:r>
    </w:p>
    <w:p>
      <w:pPr>
        <w:pStyle w:val="4"/>
        <w:spacing w:before="192"/>
        <w:ind w:left="591"/>
        <w:rPr>
          <w:color w:val="auto"/>
        </w:rPr>
      </w:pPr>
      <w:r>
        <w:rPr>
          <w:color w:val="auto"/>
        </w:rPr>
        <w:t>处上一年年收入百分之六十的罚款。</w:t>
      </w:r>
    </w:p>
    <w:p>
      <w:pPr>
        <w:pStyle w:val="2"/>
        <w:spacing w:before="194" w:line="388" w:lineRule="auto"/>
        <w:ind w:left="111" w:right="170" w:firstLine="480"/>
        <w:rPr>
          <w:color w:val="auto"/>
        </w:rPr>
      </w:pPr>
      <w:bookmarkStart w:id="1206" w:name="五百九十、未经核准或者超出核准范围、使用未取得相应资格的人员从事检验、检测"/>
      <w:bookmarkEnd w:id="1206"/>
      <w:bookmarkStart w:id="1207" w:name="_bookmark602"/>
      <w:bookmarkEnd w:id="1207"/>
      <w:r>
        <w:rPr>
          <w:color w:val="auto"/>
        </w:rPr>
        <w:t>五百九十、未经核准或者超出核准范围、使用未取得相应资格的人员从事检验、检测</w:t>
      </w:r>
    </w:p>
    <w:p>
      <w:pPr>
        <w:spacing w:before="2"/>
        <w:ind w:left="591" w:right="0" w:firstLine="0"/>
        <w:jc w:val="left"/>
        <w:rPr>
          <w:b/>
          <w:color w:val="auto"/>
          <w:sz w:val="24"/>
        </w:rPr>
      </w:pPr>
      <w:r>
        <w:rPr>
          <w:b/>
          <w:color w:val="auto"/>
          <w:sz w:val="24"/>
        </w:rPr>
        <w:t>（一）处罚依据</w:t>
      </w:r>
    </w:p>
    <w:p>
      <w:pPr>
        <w:pStyle w:val="4"/>
        <w:spacing w:before="194" w:line="391" w:lineRule="auto"/>
        <w:ind w:right="266" w:firstLine="480"/>
        <w:jc w:val="both"/>
        <w:rPr>
          <w:color w:val="auto"/>
        </w:rPr>
      </w:pPr>
      <w:r>
        <w:rPr>
          <w:color w:val="auto"/>
          <w:spacing w:val="-6"/>
        </w:rPr>
        <w:t>《特种设备安全法》第九十三条第一款“违反本法规定，特种设备检验、检测机</w:t>
      </w:r>
      <w:r>
        <w:rPr>
          <w:color w:val="auto"/>
          <w:spacing w:val="-5"/>
        </w:rPr>
        <w:t>构及其检验、检测人员有下列行为之一的，责令改正，对机构处五万元以上二十万元</w:t>
      </w:r>
      <w:r>
        <w:rPr>
          <w:color w:val="auto"/>
          <w:spacing w:val="3"/>
        </w:rPr>
        <w:t>以下罚款，对直接负责的主管人员和其他直接责任人员处五千元以上五万元以下罚</w:t>
      </w:r>
      <w:r>
        <w:rPr>
          <w:color w:val="auto"/>
          <w:spacing w:val="-4"/>
        </w:rPr>
        <w:t>款；情节严重的，吊销机构资质和有关人员的资格：</w:t>
      </w:r>
      <w:r>
        <w:rPr>
          <w:color w:val="auto"/>
          <w:spacing w:val="-8"/>
        </w:rPr>
        <w:t>（</w:t>
      </w:r>
      <w:r>
        <w:rPr>
          <w:color w:val="auto"/>
        </w:rPr>
        <w:t>一</w:t>
      </w:r>
      <w:r>
        <w:rPr>
          <w:color w:val="auto"/>
          <w:spacing w:val="-8"/>
        </w:rPr>
        <w:t>）</w:t>
      </w:r>
      <w:r>
        <w:rPr>
          <w:color w:val="auto"/>
          <w:spacing w:val="-2"/>
        </w:rPr>
        <w:t>未经核准或者超出核准范</w:t>
      </w:r>
      <w:r>
        <w:rPr>
          <w:color w:val="auto"/>
        </w:rPr>
        <w:t>围、使用未取得相应资格的人员从事检验、检测的。”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8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实施违法行为 30 日以下的。</w:t>
      </w:r>
    </w:p>
    <w:p>
      <w:pPr>
        <w:pStyle w:val="13"/>
        <w:numPr>
          <w:ilvl w:val="0"/>
          <w:numId w:val="128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2"/>
        </w:rPr>
        <w:t xml:space="preserve">对机构处 </w:t>
      </w:r>
      <w:r>
        <w:rPr>
          <w:color w:val="auto"/>
        </w:rPr>
        <w:t>5</w:t>
      </w:r>
      <w:r>
        <w:rPr>
          <w:color w:val="auto"/>
          <w:spacing w:val="-20"/>
        </w:rPr>
        <w:t xml:space="preserve"> 万元以上 </w:t>
      </w:r>
      <w:r>
        <w:rPr>
          <w:color w:val="auto"/>
        </w:rPr>
        <w:t>8</w:t>
      </w:r>
      <w:r>
        <w:rPr>
          <w:color w:val="auto"/>
          <w:spacing w:val="-10"/>
        </w:rPr>
        <w:t xml:space="preserve"> 万元以下罚款，对直接负责的主管人员和其他直接责任人</w:t>
      </w:r>
    </w:p>
    <w:p>
      <w:pPr>
        <w:pStyle w:val="4"/>
        <w:spacing w:before="192" w:line="391" w:lineRule="auto"/>
        <w:ind w:left="591" w:right="5512" w:hanging="480"/>
        <w:rPr>
          <w:color w:val="auto"/>
        </w:rPr>
      </w:pPr>
      <w:r>
        <w:rPr>
          <w:color w:val="auto"/>
          <w:spacing w:val="-20"/>
        </w:rPr>
        <w:t xml:space="preserve">员处 </w:t>
      </w:r>
      <w:r>
        <w:rPr>
          <w:color w:val="auto"/>
        </w:rPr>
        <w:t>5</w:t>
      </w:r>
      <w:r>
        <w:rPr>
          <w:color w:val="auto"/>
          <w:spacing w:val="-20"/>
        </w:rPr>
        <w:t xml:space="preserve"> 千元以上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28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实施违法行为 30 日以上 90 日以下的。</w:t>
      </w:r>
    </w:p>
    <w:p>
      <w:pPr>
        <w:spacing w:after="0"/>
        <w:rPr>
          <w:color w:val="auto"/>
        </w:rPr>
        <w:sectPr>
          <w:pgSz w:w="11910" w:h="16840"/>
          <w:pgMar w:top="1520" w:right="1260" w:bottom="1220" w:left="1420" w:header="0" w:footer="1034" w:gutter="0"/>
        </w:sectPr>
      </w:pPr>
    </w:p>
    <w:p>
      <w:pPr>
        <w:pStyle w:val="13"/>
        <w:numPr>
          <w:ilvl w:val="0"/>
          <w:numId w:val="1289"/>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对机构处 8 万元以上 14 万元以下罚款，对直接负责的主管人员和其他直接责任</w:t>
      </w:r>
    </w:p>
    <w:p>
      <w:pPr>
        <w:pStyle w:val="4"/>
        <w:spacing w:before="191" w:line="388" w:lineRule="auto"/>
        <w:ind w:left="591" w:right="5272" w:hanging="480"/>
        <w:rPr>
          <w:color w:val="auto"/>
        </w:rPr>
      </w:pPr>
      <w:r>
        <w:rPr>
          <w:color w:val="auto"/>
          <w:spacing w:val="-15"/>
        </w:rPr>
        <w:t xml:space="preserve">人员处 </w:t>
      </w:r>
      <w:r>
        <w:rPr>
          <w:color w:val="auto"/>
        </w:rPr>
        <w:t>1</w:t>
      </w:r>
      <w:r>
        <w:rPr>
          <w:color w:val="auto"/>
          <w:spacing w:val="-20"/>
        </w:rPr>
        <w:t xml:space="preserve"> 万元以上 </w:t>
      </w:r>
      <w:r>
        <w:rPr>
          <w:color w:val="auto"/>
        </w:rPr>
        <w:t>3</w:t>
      </w:r>
      <w:r>
        <w:rPr>
          <w:color w:val="auto"/>
          <w:spacing w:val="-10"/>
        </w:rPr>
        <w:t xml:space="preserve"> 万元以下罚款。</w:t>
      </w:r>
      <w:r>
        <w:rPr>
          <w:color w:val="auto"/>
        </w:rPr>
        <w:t>3</w:t>
      </w:r>
      <w:r>
        <w:rPr>
          <w:color w:val="auto"/>
          <w:spacing w:val="-24"/>
        </w:rPr>
        <w:t>、【严重】</w:t>
      </w:r>
    </w:p>
    <w:p>
      <w:pPr>
        <w:pStyle w:val="13"/>
        <w:numPr>
          <w:ilvl w:val="0"/>
          <w:numId w:val="1290"/>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实施违法行为 90 日以上、且造成严重不良后果或情节严重的。</w:t>
      </w:r>
    </w:p>
    <w:p>
      <w:pPr>
        <w:pStyle w:val="13"/>
        <w:numPr>
          <w:ilvl w:val="0"/>
          <w:numId w:val="129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12"/>
        </w:rPr>
        <w:t xml:space="preserve">对机构处 </w:t>
      </w:r>
      <w:r>
        <w:rPr>
          <w:color w:val="auto"/>
        </w:rPr>
        <w:t>14</w:t>
      </w:r>
      <w:r>
        <w:rPr>
          <w:color w:val="auto"/>
          <w:spacing w:val="-20"/>
        </w:rPr>
        <w:t xml:space="preserve"> 万元以上 </w:t>
      </w:r>
      <w:r>
        <w:rPr>
          <w:color w:val="auto"/>
        </w:rPr>
        <w:t>20</w:t>
      </w:r>
      <w:r>
        <w:rPr>
          <w:color w:val="auto"/>
          <w:spacing w:val="-10"/>
        </w:rPr>
        <w:t xml:space="preserve"> 万元以下罚款，吊销机构资质；对直接负责的主管人员</w:t>
      </w:r>
    </w:p>
    <w:p>
      <w:pPr>
        <w:pStyle w:val="4"/>
        <w:spacing w:before="192"/>
        <w:rPr>
          <w:color w:val="auto"/>
        </w:rPr>
      </w:pPr>
      <w:r>
        <w:rPr>
          <w:color w:val="auto"/>
        </w:rPr>
        <w:t>和其他直接责任人员处 3 万元以上 5 万元以下罚款，吊销人员资格。</w:t>
      </w:r>
    </w:p>
    <w:p>
      <w:pPr>
        <w:pStyle w:val="2"/>
        <w:spacing w:before="192" w:line="391" w:lineRule="auto"/>
        <w:ind w:left="111" w:right="240" w:firstLine="480"/>
        <w:rPr>
          <w:color w:val="auto"/>
        </w:rPr>
      </w:pPr>
      <w:bookmarkStart w:id="1208" w:name="_bookmark603"/>
      <w:bookmarkEnd w:id="1208"/>
      <w:bookmarkStart w:id="1209" w:name="五百九十一、特种设备检验、检测机构及其检验、检测人员未按照安全技术规范的要求进行"/>
      <w:bookmarkEnd w:id="1209"/>
      <w:r>
        <w:rPr>
          <w:color w:val="auto"/>
          <w:spacing w:val="-7"/>
        </w:rPr>
        <w:t>五百九十一、特种设备检验、检测机构及其检验、检测人员未按照安全技术规范的要求进行检验、检测</w:t>
      </w:r>
    </w:p>
    <w:p>
      <w:pPr>
        <w:spacing w:before="0" w:line="306" w:lineRule="exact"/>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spacing w:val="-6"/>
        </w:rPr>
        <w:t>《特种设备安全法》第九十三条第一款“违反本法规定，特种设备检验、检测机</w:t>
      </w:r>
      <w:r>
        <w:rPr>
          <w:color w:val="auto"/>
          <w:spacing w:val="-5"/>
        </w:rPr>
        <w:t>构及其检验、检测人员有下列行为之一的，责令改正，对机构处五万元以上二十万元</w:t>
      </w:r>
      <w:r>
        <w:rPr>
          <w:color w:val="auto"/>
          <w:spacing w:val="3"/>
        </w:rPr>
        <w:t>以下罚款，对直接负责的主管人员和其他直接责任人员处五千元以上五万元以下罚</w:t>
      </w:r>
      <w:r>
        <w:rPr>
          <w:color w:val="auto"/>
          <w:spacing w:val="-5"/>
        </w:rPr>
        <w:t>款；情节严重的，吊销机构资质和有关人员的资格：</w:t>
      </w:r>
      <w:r>
        <w:rPr>
          <w:color w:val="auto"/>
          <w:spacing w:val="2"/>
        </w:rPr>
        <w:t>（二）</w:t>
      </w:r>
      <w:r>
        <w:rPr>
          <w:color w:val="auto"/>
          <w:spacing w:val="1"/>
        </w:rPr>
        <w:t>未按照安全技术规范的要</w:t>
      </w:r>
      <w:r>
        <w:rPr>
          <w:color w:val="auto"/>
          <w:spacing w:val="-11"/>
        </w:rPr>
        <w:t>求进行检验、检测的。”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9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违法行为较轻，未造成不良后果的。</w:t>
      </w:r>
    </w:p>
    <w:p>
      <w:pPr>
        <w:pStyle w:val="13"/>
        <w:numPr>
          <w:ilvl w:val="0"/>
          <w:numId w:val="129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12"/>
        </w:rPr>
        <w:t xml:space="preserve">对机构处 </w:t>
      </w:r>
      <w:r>
        <w:rPr>
          <w:color w:val="auto"/>
        </w:rPr>
        <w:t>5</w:t>
      </w:r>
      <w:r>
        <w:rPr>
          <w:color w:val="auto"/>
          <w:spacing w:val="-20"/>
        </w:rPr>
        <w:t xml:space="preserve"> 万元以上 </w:t>
      </w:r>
      <w:r>
        <w:rPr>
          <w:color w:val="auto"/>
        </w:rPr>
        <w:t>8</w:t>
      </w:r>
      <w:r>
        <w:rPr>
          <w:color w:val="auto"/>
          <w:spacing w:val="-10"/>
        </w:rPr>
        <w:t xml:space="preserve"> 万元以下罚款，对直接负责的主管人员和其他直接责任人</w:t>
      </w:r>
    </w:p>
    <w:p>
      <w:pPr>
        <w:pStyle w:val="4"/>
        <w:spacing w:before="192" w:line="388" w:lineRule="auto"/>
        <w:ind w:left="591" w:right="5512" w:hanging="480"/>
        <w:rPr>
          <w:color w:val="auto"/>
        </w:rPr>
      </w:pPr>
      <w:r>
        <w:rPr>
          <w:color w:val="auto"/>
          <w:spacing w:val="-20"/>
        </w:rPr>
        <w:t xml:space="preserve">员处 </w:t>
      </w:r>
      <w:r>
        <w:rPr>
          <w:color w:val="auto"/>
        </w:rPr>
        <w:t>5</w:t>
      </w:r>
      <w:r>
        <w:rPr>
          <w:color w:val="auto"/>
          <w:spacing w:val="-20"/>
        </w:rPr>
        <w:t xml:space="preserve"> 千元以上 </w:t>
      </w:r>
      <w:r>
        <w:rPr>
          <w:color w:val="auto"/>
        </w:rPr>
        <w:t>1</w:t>
      </w:r>
      <w:r>
        <w:rPr>
          <w:color w:val="auto"/>
          <w:spacing w:val="-10"/>
        </w:rPr>
        <w:t xml:space="preserve"> 万元以下罚款。</w:t>
      </w:r>
      <w:r>
        <w:rPr>
          <w:color w:val="auto"/>
        </w:rPr>
        <w:t>2</w:t>
      </w:r>
      <w:r>
        <w:rPr>
          <w:color w:val="auto"/>
          <w:spacing w:val="-24"/>
        </w:rPr>
        <w:t>、【一般】</w:t>
      </w:r>
    </w:p>
    <w:p>
      <w:pPr>
        <w:pStyle w:val="4"/>
        <w:spacing w:before="4"/>
        <w:ind w:left="591"/>
        <w:rPr>
          <w:color w:val="auto"/>
        </w:rPr>
      </w:pPr>
      <w:r>
        <w:rPr>
          <w:color w:val="auto"/>
        </w:rPr>
        <w:t>（1）违法情形</w:t>
      </w:r>
    </w:p>
    <w:p>
      <w:pPr>
        <w:pStyle w:val="4"/>
        <w:spacing w:before="192"/>
        <w:ind w:left="591"/>
        <w:rPr>
          <w:color w:val="auto"/>
        </w:rPr>
      </w:pPr>
      <w:r>
        <w:rPr>
          <w:color w:val="auto"/>
        </w:rPr>
        <w:t>造成一定不良后果的。</w:t>
      </w:r>
    </w:p>
    <w:p>
      <w:pPr>
        <w:spacing w:after="0"/>
        <w:rPr>
          <w:color w:val="auto"/>
        </w:rPr>
        <w:sectPr>
          <w:pgSz w:w="11910" w:h="16840"/>
          <w:pgMar w:top="1520" w:right="1260" w:bottom="1720" w:left="1420" w:header="0" w:footer="1526" w:gutter="0"/>
        </w:sectPr>
      </w:pPr>
    </w:p>
    <w:p>
      <w:pPr>
        <w:pStyle w:val="4"/>
        <w:spacing w:before="39"/>
        <w:ind w:left="591"/>
        <w:rPr>
          <w:color w:val="auto"/>
        </w:rPr>
      </w:pPr>
      <w:r>
        <w:rPr>
          <w:color w:val="auto"/>
        </w:rPr>
        <w:t>对机构处 8 万元以上 14 万元以下罚款，对直接负责的主管人员和其他直接责任</w:t>
      </w:r>
    </w:p>
    <w:p>
      <w:pPr>
        <w:pStyle w:val="4"/>
        <w:spacing w:before="195" w:line="388" w:lineRule="auto"/>
        <w:ind w:left="591" w:right="5272" w:hanging="480"/>
        <w:rPr>
          <w:color w:val="auto"/>
        </w:rPr>
      </w:pPr>
      <w:r>
        <w:rPr>
          <w:color w:val="auto"/>
          <w:spacing w:val="-15"/>
        </w:rPr>
        <w:t xml:space="preserve">人员处 </w:t>
      </w:r>
      <w:r>
        <w:rPr>
          <w:color w:val="auto"/>
        </w:rPr>
        <w:t>1</w:t>
      </w:r>
      <w:r>
        <w:rPr>
          <w:color w:val="auto"/>
          <w:spacing w:val="-20"/>
        </w:rPr>
        <w:t xml:space="preserve"> 万元以上 </w:t>
      </w:r>
      <w:r>
        <w:rPr>
          <w:color w:val="auto"/>
        </w:rPr>
        <w:t>3</w:t>
      </w:r>
      <w:r>
        <w:rPr>
          <w:color w:val="auto"/>
          <w:spacing w:val="-10"/>
        </w:rPr>
        <w:t xml:space="preserve"> 万元以下罚款。</w:t>
      </w:r>
      <w:r>
        <w:rPr>
          <w:color w:val="auto"/>
        </w:rPr>
        <w:t>3</w:t>
      </w:r>
      <w:r>
        <w:rPr>
          <w:color w:val="auto"/>
          <w:spacing w:val="-24"/>
        </w:rPr>
        <w:t>、【严重】</w:t>
      </w:r>
    </w:p>
    <w:p>
      <w:pPr>
        <w:pStyle w:val="13"/>
        <w:numPr>
          <w:ilvl w:val="0"/>
          <w:numId w:val="129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已造成严重不良后果的。</w:t>
      </w:r>
    </w:p>
    <w:p>
      <w:pPr>
        <w:pStyle w:val="13"/>
        <w:numPr>
          <w:ilvl w:val="0"/>
          <w:numId w:val="129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spacing w:val="-12"/>
        </w:rPr>
        <w:t xml:space="preserve">对机构处 </w:t>
      </w:r>
      <w:r>
        <w:rPr>
          <w:color w:val="auto"/>
        </w:rPr>
        <w:t>14</w:t>
      </w:r>
      <w:r>
        <w:rPr>
          <w:color w:val="auto"/>
          <w:spacing w:val="-20"/>
        </w:rPr>
        <w:t xml:space="preserve"> 万元以上 </w:t>
      </w:r>
      <w:r>
        <w:rPr>
          <w:color w:val="auto"/>
        </w:rPr>
        <w:t>20</w:t>
      </w:r>
      <w:r>
        <w:rPr>
          <w:color w:val="auto"/>
          <w:spacing w:val="-10"/>
        </w:rPr>
        <w:t xml:space="preserve"> 万元以下罚款，吊销机构资质；对直接负责的主管人员</w:t>
      </w:r>
    </w:p>
    <w:p>
      <w:pPr>
        <w:pStyle w:val="4"/>
        <w:spacing w:before="194"/>
        <w:rPr>
          <w:color w:val="auto"/>
        </w:rPr>
      </w:pPr>
      <w:r>
        <w:rPr>
          <w:color w:val="auto"/>
        </w:rPr>
        <w:t>和其他直接责任人员处 3 万元以上 5 万元以下罚款，吊销人员资格。</w:t>
      </w:r>
    </w:p>
    <w:p>
      <w:pPr>
        <w:pStyle w:val="2"/>
        <w:spacing w:before="192" w:line="388" w:lineRule="auto"/>
        <w:ind w:left="111" w:right="193" w:firstLine="480"/>
        <w:rPr>
          <w:color w:val="auto"/>
        </w:rPr>
      </w:pPr>
      <w:bookmarkStart w:id="1210" w:name="五百九十二、特种设备检验、检测机构及其检验、检测人员出具虚假的检验、检测结果和鉴"/>
      <w:bookmarkEnd w:id="1210"/>
      <w:bookmarkStart w:id="1211" w:name="_bookmark604"/>
      <w:bookmarkEnd w:id="1211"/>
      <w:r>
        <w:rPr>
          <w:color w:val="auto"/>
        </w:rPr>
        <w:t>五百九十二、特种设备检验、检测机构及其检验、检测人员出具虚假的检验、检测结果和鉴定结论或者检验、检测结果和鉴定结论严重失实</w:t>
      </w:r>
    </w:p>
    <w:p>
      <w:pPr>
        <w:spacing w:before="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spacing w:val="-6"/>
        </w:rPr>
        <w:t>《特种设备安全法》第九十三条第一款“违反本法规定，特种设备检验、检测机</w:t>
      </w:r>
      <w:r>
        <w:rPr>
          <w:color w:val="auto"/>
          <w:spacing w:val="-5"/>
        </w:rPr>
        <w:t>构及其检验、检测人员有下列行为之一的，责令改正，对机构处五万元以上二十万元</w:t>
      </w:r>
      <w:r>
        <w:rPr>
          <w:color w:val="auto"/>
          <w:spacing w:val="3"/>
        </w:rPr>
        <w:t>以下罚款，对直接负责的主管人员和其他直接责任人员处五千元以上五万元以下罚</w:t>
      </w:r>
      <w:r>
        <w:rPr>
          <w:color w:val="auto"/>
          <w:spacing w:val="-5"/>
        </w:rPr>
        <w:t>款；情节严重的，吊销机构资质和有关人员的资格：</w:t>
      </w:r>
      <w:r>
        <w:rPr>
          <w:color w:val="auto"/>
          <w:spacing w:val="2"/>
        </w:rPr>
        <w:t>（三）</w:t>
      </w:r>
      <w:r>
        <w:rPr>
          <w:color w:val="auto"/>
          <w:spacing w:val="1"/>
        </w:rPr>
        <w:t>出具虚假的检验、检测结</w:t>
      </w:r>
      <w:r>
        <w:rPr>
          <w:color w:val="auto"/>
          <w:spacing w:val="-4"/>
        </w:rPr>
        <w:t>果和鉴定结论或者检验、检测结果和鉴定结论严重失实的。”</w:t>
      </w:r>
    </w:p>
    <w:p>
      <w:pPr>
        <w:spacing w:before="0" w:line="388" w:lineRule="auto"/>
        <w:ind w:left="591" w:right="7188" w:hanging="240"/>
        <w:jc w:val="left"/>
        <w:rPr>
          <w:color w:val="auto"/>
          <w:sz w:val="24"/>
        </w:rPr>
      </w:pPr>
      <w:r>
        <w:rPr>
          <w:b/>
          <w:color w:val="auto"/>
          <w:sz w:val="24"/>
        </w:rPr>
        <w:t>（二）裁量标准</w:t>
      </w:r>
      <w:r>
        <w:rPr>
          <w:color w:val="auto"/>
          <w:sz w:val="24"/>
        </w:rPr>
        <w:t>1、【较轻】</w:t>
      </w:r>
    </w:p>
    <w:p>
      <w:pPr>
        <w:pStyle w:val="13"/>
        <w:numPr>
          <w:ilvl w:val="0"/>
          <w:numId w:val="129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初次违法，情节较轻，未造成不良后果的。</w:t>
      </w:r>
    </w:p>
    <w:p>
      <w:pPr>
        <w:pStyle w:val="13"/>
        <w:numPr>
          <w:ilvl w:val="0"/>
          <w:numId w:val="129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spacing w:val="-12"/>
        </w:rPr>
        <w:t xml:space="preserve">对机构处 </w:t>
      </w:r>
      <w:r>
        <w:rPr>
          <w:color w:val="auto"/>
        </w:rPr>
        <w:t>5</w:t>
      </w:r>
      <w:r>
        <w:rPr>
          <w:color w:val="auto"/>
          <w:spacing w:val="-20"/>
        </w:rPr>
        <w:t xml:space="preserve"> 万元以上 </w:t>
      </w:r>
      <w:r>
        <w:rPr>
          <w:color w:val="auto"/>
        </w:rPr>
        <w:t>8</w:t>
      </w:r>
      <w:r>
        <w:rPr>
          <w:color w:val="auto"/>
          <w:spacing w:val="-10"/>
        </w:rPr>
        <w:t xml:space="preserve"> 万元以下罚款，对直接负责的主管人员和其他直接责任人</w:t>
      </w:r>
    </w:p>
    <w:p>
      <w:pPr>
        <w:pStyle w:val="4"/>
        <w:spacing w:before="195" w:line="388" w:lineRule="auto"/>
        <w:ind w:left="591" w:right="5512" w:hanging="480"/>
        <w:rPr>
          <w:color w:val="auto"/>
        </w:rPr>
      </w:pPr>
      <w:r>
        <w:rPr>
          <w:color w:val="auto"/>
          <w:spacing w:val="-20"/>
        </w:rPr>
        <w:t xml:space="preserve">员处 </w:t>
      </w:r>
      <w:r>
        <w:rPr>
          <w:color w:val="auto"/>
        </w:rPr>
        <w:t>5</w:t>
      </w:r>
      <w:r>
        <w:rPr>
          <w:color w:val="auto"/>
          <w:spacing w:val="-20"/>
        </w:rPr>
        <w:t xml:space="preserve"> 千元以上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29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初次违法，造成一定不良后果的。</w:t>
      </w:r>
    </w:p>
    <w:p>
      <w:pPr>
        <w:pStyle w:val="13"/>
        <w:numPr>
          <w:ilvl w:val="0"/>
          <w:numId w:val="129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对机构处 8 万元以上 14 万元以下罚款，对直接负责的主管人员和其他直接责任</w:t>
      </w:r>
    </w:p>
    <w:p>
      <w:pPr>
        <w:spacing w:after="0"/>
        <w:rPr>
          <w:color w:val="auto"/>
        </w:rPr>
        <w:sectPr>
          <w:pgSz w:w="11910" w:h="16840"/>
          <w:pgMar w:top="1520" w:right="1260" w:bottom="1220" w:left="1420" w:header="0" w:footer="1034" w:gutter="0"/>
        </w:sectPr>
      </w:pPr>
    </w:p>
    <w:p>
      <w:pPr>
        <w:pStyle w:val="4"/>
        <w:spacing w:before="39" w:line="391" w:lineRule="auto"/>
        <w:ind w:left="591" w:right="5272" w:hanging="480"/>
        <w:rPr>
          <w:color w:val="auto"/>
        </w:rPr>
      </w:pPr>
      <w:r>
        <w:rPr>
          <w:color w:val="auto"/>
          <w:spacing w:val="-15"/>
        </w:rPr>
        <w:t xml:space="preserve">人员处 </w:t>
      </w:r>
      <w:r>
        <w:rPr>
          <w:color w:val="auto"/>
        </w:rPr>
        <w:t>1</w:t>
      </w:r>
      <w:r>
        <w:rPr>
          <w:color w:val="auto"/>
          <w:spacing w:val="-20"/>
        </w:rPr>
        <w:t xml:space="preserve"> 万元以上 </w:t>
      </w:r>
      <w:r>
        <w:rPr>
          <w:color w:val="auto"/>
        </w:rPr>
        <w:t>3</w:t>
      </w:r>
      <w:r>
        <w:rPr>
          <w:color w:val="auto"/>
          <w:spacing w:val="-10"/>
        </w:rPr>
        <w:t xml:space="preserve"> 万元以下罚款。</w:t>
      </w:r>
      <w:r>
        <w:rPr>
          <w:color w:val="auto"/>
        </w:rPr>
        <w:t>3</w:t>
      </w:r>
      <w:r>
        <w:rPr>
          <w:color w:val="auto"/>
          <w:spacing w:val="-24"/>
        </w:rPr>
        <w:t>、【严重】</w:t>
      </w:r>
    </w:p>
    <w:p>
      <w:pPr>
        <w:pStyle w:val="13"/>
        <w:numPr>
          <w:ilvl w:val="0"/>
          <w:numId w:val="129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屡次违法，或已造成严重不良后果的。</w:t>
      </w:r>
    </w:p>
    <w:p>
      <w:pPr>
        <w:pStyle w:val="13"/>
        <w:numPr>
          <w:ilvl w:val="0"/>
          <w:numId w:val="129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2"/>
        </w:rPr>
        <w:t xml:space="preserve">对机构处 </w:t>
      </w:r>
      <w:r>
        <w:rPr>
          <w:color w:val="auto"/>
        </w:rPr>
        <w:t>14</w:t>
      </w:r>
      <w:r>
        <w:rPr>
          <w:color w:val="auto"/>
          <w:spacing w:val="-20"/>
        </w:rPr>
        <w:t xml:space="preserve"> 万元以上 </w:t>
      </w:r>
      <w:r>
        <w:rPr>
          <w:color w:val="auto"/>
        </w:rPr>
        <w:t>20</w:t>
      </w:r>
      <w:r>
        <w:rPr>
          <w:color w:val="auto"/>
          <w:spacing w:val="-10"/>
        </w:rPr>
        <w:t xml:space="preserve"> 万元以下罚款，吊销机构资质；对直接负责的主管人员</w:t>
      </w:r>
    </w:p>
    <w:p>
      <w:pPr>
        <w:pStyle w:val="4"/>
        <w:spacing w:before="192"/>
        <w:rPr>
          <w:color w:val="auto"/>
        </w:rPr>
      </w:pPr>
      <w:r>
        <w:rPr>
          <w:color w:val="auto"/>
        </w:rPr>
        <w:t>和其他直接责任人员处 3 万元以上 5 万元以下罚款，吊销人员资格。</w:t>
      </w:r>
    </w:p>
    <w:p>
      <w:pPr>
        <w:pStyle w:val="2"/>
        <w:spacing w:before="194" w:line="388" w:lineRule="auto"/>
        <w:ind w:left="111" w:right="240" w:firstLine="480"/>
        <w:rPr>
          <w:color w:val="auto"/>
        </w:rPr>
      </w:pPr>
      <w:bookmarkStart w:id="1212" w:name="_bookmark605"/>
      <w:bookmarkEnd w:id="1212"/>
      <w:bookmarkStart w:id="1213" w:name="五百九十三、特种设备检验、检测机构及其检验、检测人员发现特种设备存在严重事故隐患"/>
      <w:bookmarkEnd w:id="1213"/>
      <w:r>
        <w:rPr>
          <w:color w:val="auto"/>
          <w:spacing w:val="-7"/>
        </w:rPr>
        <w:t>五百九十三、特种设备检验、检测机构及其检验、检测人员发现特种设备存在严</w:t>
      </w:r>
      <w:r>
        <w:rPr>
          <w:color w:val="auto"/>
          <w:spacing w:val="-11"/>
        </w:rPr>
        <w:t>重事故隐患，未及时告知相关单位，并立即向负责特种设备安全监督管理的部门报告</w:t>
      </w:r>
    </w:p>
    <w:p>
      <w:pPr>
        <w:spacing w:before="2"/>
        <w:ind w:left="591" w:right="0" w:firstLine="0"/>
        <w:jc w:val="left"/>
        <w:rPr>
          <w:b/>
          <w:color w:val="auto"/>
          <w:sz w:val="24"/>
        </w:rPr>
      </w:pPr>
      <w:r>
        <w:rPr>
          <w:b/>
          <w:color w:val="auto"/>
          <w:sz w:val="24"/>
        </w:rPr>
        <w:t>（一）处罚依据</w:t>
      </w:r>
    </w:p>
    <w:p>
      <w:pPr>
        <w:pStyle w:val="4"/>
        <w:spacing w:before="194" w:line="391" w:lineRule="auto"/>
        <w:ind w:right="148" w:firstLine="480"/>
        <w:jc w:val="both"/>
        <w:rPr>
          <w:color w:val="auto"/>
        </w:rPr>
      </w:pPr>
      <w:r>
        <w:rPr>
          <w:color w:val="auto"/>
          <w:spacing w:val="-5"/>
        </w:rPr>
        <w:t>《特种设备安全法》第九十三条第一款“违反本法规定，特种设备检验、检测机</w:t>
      </w:r>
      <w:r>
        <w:rPr>
          <w:color w:val="auto"/>
          <w:spacing w:val="-8"/>
        </w:rPr>
        <w:t>构及其检验、检测人员有下列行为之一的，责令改正，对机构处五万元以上二十万元</w:t>
      </w:r>
      <w:r>
        <w:rPr>
          <w:color w:val="auto"/>
          <w:spacing w:val="3"/>
        </w:rPr>
        <w:t>以下罚款，对直接负责的主管人员和其他直接责任人员处五千元以上五万元以下罚</w:t>
      </w:r>
      <w:r>
        <w:rPr>
          <w:color w:val="auto"/>
          <w:spacing w:val="-5"/>
        </w:rPr>
        <w:t>款；情节严重的，吊销机构资质和有关人员的资格：</w:t>
      </w:r>
      <w:r>
        <w:rPr>
          <w:color w:val="auto"/>
          <w:spacing w:val="2"/>
        </w:rPr>
        <w:t>（四）</w:t>
      </w:r>
      <w:r>
        <w:rPr>
          <w:color w:val="auto"/>
          <w:spacing w:val="1"/>
        </w:rPr>
        <w:t>发现特种设备存在严重事</w:t>
      </w:r>
      <w:r>
        <w:rPr>
          <w:color w:val="auto"/>
          <w:spacing w:val="-10"/>
        </w:rPr>
        <w:t>故隐患，未及时告知相关单位，并立即向负责特种设备安全监督管理的部门报告的。”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9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已实施报告和告知程序，但不符合立即、及时要求的。</w:t>
      </w:r>
    </w:p>
    <w:p>
      <w:pPr>
        <w:pStyle w:val="13"/>
        <w:numPr>
          <w:ilvl w:val="0"/>
          <w:numId w:val="129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2"/>
        </w:rPr>
        <w:t xml:space="preserve">对机构处 </w:t>
      </w:r>
      <w:r>
        <w:rPr>
          <w:color w:val="auto"/>
        </w:rPr>
        <w:t>5</w:t>
      </w:r>
      <w:r>
        <w:rPr>
          <w:color w:val="auto"/>
          <w:spacing w:val="-20"/>
        </w:rPr>
        <w:t xml:space="preserve"> 万元以上 </w:t>
      </w:r>
      <w:r>
        <w:rPr>
          <w:color w:val="auto"/>
        </w:rPr>
        <w:t>8</w:t>
      </w:r>
      <w:r>
        <w:rPr>
          <w:color w:val="auto"/>
          <w:spacing w:val="-10"/>
        </w:rPr>
        <w:t xml:space="preserve"> 万元以下罚款，对直接负责的主管人员和其他直接责任人</w:t>
      </w:r>
    </w:p>
    <w:p>
      <w:pPr>
        <w:pStyle w:val="4"/>
        <w:spacing w:before="191" w:line="391" w:lineRule="auto"/>
        <w:ind w:left="591" w:right="5512" w:hanging="480"/>
        <w:rPr>
          <w:color w:val="auto"/>
        </w:rPr>
      </w:pPr>
      <w:r>
        <w:rPr>
          <w:color w:val="auto"/>
          <w:spacing w:val="-20"/>
        </w:rPr>
        <w:t xml:space="preserve">员处 </w:t>
      </w:r>
      <w:r>
        <w:rPr>
          <w:color w:val="auto"/>
        </w:rPr>
        <w:t>5</w:t>
      </w:r>
      <w:r>
        <w:rPr>
          <w:color w:val="auto"/>
          <w:spacing w:val="-20"/>
        </w:rPr>
        <w:t xml:space="preserve"> 千元以上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29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未实施告知和报告程序的。</w:t>
      </w:r>
    </w:p>
    <w:p>
      <w:pPr>
        <w:pStyle w:val="13"/>
        <w:numPr>
          <w:ilvl w:val="0"/>
          <w:numId w:val="129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对机构处 8 万元以上 14 万元以下罚款，对直接负责的主管人员和其他直接责任</w:t>
      </w:r>
    </w:p>
    <w:p>
      <w:pPr>
        <w:pStyle w:val="4"/>
        <w:spacing w:before="192"/>
        <w:rPr>
          <w:color w:val="auto"/>
        </w:rPr>
      </w:pPr>
      <w:r>
        <w:rPr>
          <w:color w:val="auto"/>
        </w:rPr>
        <w:t>人员处 1 万元以上 3 万元以下罚款。</w:t>
      </w:r>
    </w:p>
    <w:p>
      <w:pPr>
        <w:spacing w:after="0"/>
        <w:rPr>
          <w:color w:val="auto"/>
        </w:rPr>
        <w:sectPr>
          <w:footerReference r:id="rId145" w:type="default"/>
          <w:footerReference r:id="rId146" w:type="even"/>
          <w:pgSz w:w="11910" w:h="16840"/>
          <w:pgMar w:top="1520" w:right="1260" w:bottom="1220" w:left="1420" w:header="0" w:footer="1034" w:gutter="0"/>
          <w:pgNumType w:start="575"/>
        </w:sectPr>
      </w:pPr>
    </w:p>
    <w:p>
      <w:pPr>
        <w:pStyle w:val="4"/>
        <w:spacing w:before="39"/>
        <w:ind w:left="591"/>
        <w:rPr>
          <w:color w:val="auto"/>
        </w:rPr>
      </w:pPr>
      <w:r>
        <w:rPr>
          <w:color w:val="auto"/>
        </w:rPr>
        <w:t>3、【严重】</w:t>
      </w:r>
    </w:p>
    <w:p>
      <w:pPr>
        <w:pStyle w:val="13"/>
        <w:numPr>
          <w:ilvl w:val="0"/>
          <w:numId w:val="1298"/>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造成严重不良后果或情节严重的。</w:t>
      </w:r>
    </w:p>
    <w:p>
      <w:pPr>
        <w:pStyle w:val="13"/>
        <w:numPr>
          <w:ilvl w:val="0"/>
          <w:numId w:val="129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12"/>
        </w:rPr>
        <w:t xml:space="preserve">对机构处 </w:t>
      </w:r>
      <w:r>
        <w:rPr>
          <w:color w:val="auto"/>
        </w:rPr>
        <w:t>14</w:t>
      </w:r>
      <w:r>
        <w:rPr>
          <w:color w:val="auto"/>
          <w:spacing w:val="-20"/>
        </w:rPr>
        <w:t xml:space="preserve"> 万元以上 </w:t>
      </w:r>
      <w:r>
        <w:rPr>
          <w:color w:val="auto"/>
        </w:rPr>
        <w:t>20</w:t>
      </w:r>
      <w:r>
        <w:rPr>
          <w:color w:val="auto"/>
          <w:spacing w:val="-10"/>
        </w:rPr>
        <w:t xml:space="preserve"> 万元以下罚款，吊销机构资质；对直接负责的主管人员</w:t>
      </w:r>
    </w:p>
    <w:p>
      <w:pPr>
        <w:pStyle w:val="4"/>
        <w:spacing w:before="192"/>
        <w:rPr>
          <w:color w:val="auto"/>
        </w:rPr>
      </w:pPr>
      <w:r>
        <w:rPr>
          <w:color w:val="auto"/>
        </w:rPr>
        <w:t>和其他直接责任人员处 3 万元以上 5 万元以下罚款，吊销人员资格。</w:t>
      </w:r>
    </w:p>
    <w:p>
      <w:pPr>
        <w:pStyle w:val="2"/>
        <w:spacing w:before="191" w:line="391" w:lineRule="auto"/>
        <w:ind w:left="111" w:right="193" w:firstLine="480"/>
        <w:rPr>
          <w:color w:val="auto"/>
        </w:rPr>
      </w:pPr>
      <w:bookmarkStart w:id="1214" w:name="_bookmark606"/>
      <w:bookmarkEnd w:id="1214"/>
      <w:bookmarkStart w:id="1215" w:name="五百九十四、特种设备检验、检测机构及其检验、检测人员泄露检验、检测过程中知悉的商"/>
      <w:bookmarkEnd w:id="1215"/>
      <w:r>
        <w:rPr>
          <w:color w:val="auto"/>
        </w:rPr>
        <w:t>五百九十四、特种设备检验、检测机构及其检验、检测人员泄露检验、检测过程中知悉的商业秘密</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6"/>
        </w:rPr>
        <w:t>《特种设备安全法》第九十三条第一款“违反本法规定，特种设备检验、检测机</w:t>
      </w:r>
      <w:r>
        <w:rPr>
          <w:color w:val="auto"/>
          <w:spacing w:val="-5"/>
        </w:rPr>
        <w:t>构及其检验、检测人员有下列行为之一的，责令改正，对机构处五万元以上二十万元</w:t>
      </w:r>
      <w:r>
        <w:rPr>
          <w:color w:val="auto"/>
          <w:spacing w:val="3"/>
        </w:rPr>
        <w:t>以下罚款，对直接负责的主管人员和其他直接责任人员处五千元以上五万元以下罚</w:t>
      </w:r>
      <w:r>
        <w:rPr>
          <w:color w:val="auto"/>
          <w:spacing w:val="-5"/>
        </w:rPr>
        <w:t>款；情节严重的，吊销机构资质和有关人员的资格：</w:t>
      </w:r>
      <w:r>
        <w:rPr>
          <w:color w:val="auto"/>
          <w:spacing w:val="2"/>
        </w:rPr>
        <w:t>（五）</w:t>
      </w:r>
      <w:r>
        <w:rPr>
          <w:color w:val="auto"/>
          <w:spacing w:val="1"/>
        </w:rPr>
        <w:t>泄露检验、检测过程中知</w:t>
      </w:r>
      <w:r>
        <w:rPr>
          <w:color w:val="auto"/>
          <w:spacing w:val="-14"/>
        </w:rPr>
        <w:t>悉的商业秘密的。”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299"/>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违法行为较轻，未造成不良后果的。</w:t>
      </w:r>
    </w:p>
    <w:p>
      <w:pPr>
        <w:pStyle w:val="13"/>
        <w:numPr>
          <w:ilvl w:val="0"/>
          <w:numId w:val="129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12"/>
        </w:rPr>
        <w:t xml:space="preserve">对机构处 </w:t>
      </w:r>
      <w:r>
        <w:rPr>
          <w:color w:val="auto"/>
        </w:rPr>
        <w:t>5</w:t>
      </w:r>
      <w:r>
        <w:rPr>
          <w:color w:val="auto"/>
          <w:spacing w:val="-20"/>
        </w:rPr>
        <w:t xml:space="preserve"> 万元以上 </w:t>
      </w:r>
      <w:r>
        <w:rPr>
          <w:color w:val="auto"/>
        </w:rPr>
        <w:t>8</w:t>
      </w:r>
      <w:r>
        <w:rPr>
          <w:color w:val="auto"/>
          <w:spacing w:val="-10"/>
        </w:rPr>
        <w:t xml:space="preserve"> 万元以下罚款，对直接负责的主管人员和其他直接责任人</w:t>
      </w:r>
    </w:p>
    <w:p>
      <w:pPr>
        <w:pStyle w:val="4"/>
        <w:spacing w:before="192" w:line="388" w:lineRule="auto"/>
        <w:ind w:left="591" w:right="5512" w:hanging="480"/>
        <w:rPr>
          <w:color w:val="auto"/>
        </w:rPr>
      </w:pPr>
      <w:r>
        <w:rPr>
          <w:color w:val="auto"/>
          <w:spacing w:val="-20"/>
        </w:rPr>
        <w:t xml:space="preserve">员处 </w:t>
      </w:r>
      <w:r>
        <w:rPr>
          <w:color w:val="auto"/>
        </w:rPr>
        <w:t>5</w:t>
      </w:r>
      <w:r>
        <w:rPr>
          <w:color w:val="auto"/>
          <w:spacing w:val="-20"/>
        </w:rPr>
        <w:t xml:space="preserve"> 千元以上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30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造成一定不良后果的。</w:t>
      </w:r>
    </w:p>
    <w:p>
      <w:pPr>
        <w:pStyle w:val="13"/>
        <w:numPr>
          <w:ilvl w:val="0"/>
          <w:numId w:val="130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对机构处 8 万元以上 14 万元以下罚款，对直接负责的主管人员和其他直接责任</w:t>
      </w:r>
    </w:p>
    <w:p>
      <w:pPr>
        <w:pStyle w:val="4"/>
        <w:spacing w:before="191" w:line="388" w:lineRule="auto"/>
        <w:ind w:left="591" w:right="5272" w:hanging="480"/>
        <w:rPr>
          <w:color w:val="auto"/>
        </w:rPr>
      </w:pPr>
      <w:r>
        <w:rPr>
          <w:color w:val="auto"/>
          <w:spacing w:val="-15"/>
        </w:rPr>
        <w:t xml:space="preserve">人员处 </w:t>
      </w:r>
      <w:r>
        <w:rPr>
          <w:color w:val="auto"/>
        </w:rPr>
        <w:t>1</w:t>
      </w:r>
      <w:r>
        <w:rPr>
          <w:color w:val="auto"/>
          <w:spacing w:val="-20"/>
        </w:rPr>
        <w:t xml:space="preserve"> 万元以上 </w:t>
      </w:r>
      <w:r>
        <w:rPr>
          <w:color w:val="auto"/>
        </w:rPr>
        <w:t>3</w:t>
      </w:r>
      <w:r>
        <w:rPr>
          <w:color w:val="auto"/>
          <w:spacing w:val="-10"/>
        </w:rPr>
        <w:t xml:space="preserve"> 万元以下罚款。</w:t>
      </w:r>
      <w:r>
        <w:rPr>
          <w:color w:val="auto"/>
        </w:rPr>
        <w:t>3</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1301"/>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已造成严重不良后果的。</w:t>
      </w:r>
    </w:p>
    <w:p>
      <w:pPr>
        <w:pStyle w:val="13"/>
        <w:numPr>
          <w:ilvl w:val="0"/>
          <w:numId w:val="130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2"/>
        </w:rPr>
        <w:t xml:space="preserve">对机构处 </w:t>
      </w:r>
      <w:r>
        <w:rPr>
          <w:color w:val="auto"/>
        </w:rPr>
        <w:t>14</w:t>
      </w:r>
      <w:r>
        <w:rPr>
          <w:color w:val="auto"/>
          <w:spacing w:val="-20"/>
        </w:rPr>
        <w:t xml:space="preserve"> 万元以上 </w:t>
      </w:r>
      <w:r>
        <w:rPr>
          <w:color w:val="auto"/>
        </w:rPr>
        <w:t>20</w:t>
      </w:r>
      <w:r>
        <w:rPr>
          <w:color w:val="auto"/>
          <w:spacing w:val="-10"/>
        </w:rPr>
        <w:t xml:space="preserve"> 万元以下罚款，吊销机构资质；对直接负责的主管人员</w:t>
      </w:r>
    </w:p>
    <w:p>
      <w:pPr>
        <w:pStyle w:val="4"/>
        <w:spacing w:before="194"/>
        <w:rPr>
          <w:color w:val="auto"/>
        </w:rPr>
      </w:pPr>
      <w:r>
        <w:rPr>
          <w:color w:val="auto"/>
        </w:rPr>
        <w:t>和其他直接责任人员处 3 万元以上 5 万元以下罚款，吊销人员资格。</w:t>
      </w:r>
    </w:p>
    <w:p>
      <w:pPr>
        <w:pStyle w:val="2"/>
        <w:spacing w:before="192" w:line="388" w:lineRule="auto"/>
        <w:ind w:left="111" w:right="240" w:firstLine="480"/>
        <w:rPr>
          <w:color w:val="auto"/>
        </w:rPr>
      </w:pPr>
      <w:bookmarkStart w:id="1216" w:name="五百九十五、特种设备检验、检测机构及其检验、检测人员从事有关特种设备的生产、经营"/>
      <w:bookmarkEnd w:id="1216"/>
      <w:bookmarkStart w:id="1217" w:name="_bookmark607"/>
      <w:bookmarkEnd w:id="1217"/>
      <w:r>
        <w:rPr>
          <w:color w:val="auto"/>
          <w:spacing w:val="-7"/>
        </w:rPr>
        <w:t>五百九十五、特种设备检验、检测机构及其检验、检测人员从事有关特种设备的生产、经营活动</w:t>
      </w:r>
    </w:p>
    <w:p>
      <w:pPr>
        <w:spacing w:before="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spacing w:val="-5"/>
        </w:rPr>
        <w:t>《特种设备安全法》第九十三条第一款“违反本法规定，特种设备检验、检测机</w:t>
      </w:r>
      <w:r>
        <w:rPr>
          <w:color w:val="auto"/>
          <w:spacing w:val="-8"/>
        </w:rPr>
        <w:t>构及其检验、检测人员有下列行为之一的，责令改正，对机构处五万元以上二十万元</w:t>
      </w:r>
      <w:r>
        <w:rPr>
          <w:color w:val="auto"/>
          <w:spacing w:val="3"/>
        </w:rPr>
        <w:t>以下罚款，对直接负责的主管人员和其他直接责任人员处五千元以上五万元以下罚</w:t>
      </w:r>
      <w:r>
        <w:rPr>
          <w:color w:val="auto"/>
          <w:spacing w:val="-10"/>
        </w:rPr>
        <w:t>款；情节严重的，吊销机构资质和有关人员的资格：</w:t>
      </w:r>
      <w:r>
        <w:rPr>
          <w:color w:val="auto"/>
        </w:rPr>
        <w:t>（六</w:t>
      </w:r>
      <w:r>
        <w:rPr>
          <w:color w:val="auto"/>
          <w:spacing w:val="-10"/>
        </w:rPr>
        <w:t>）</w:t>
      </w:r>
      <w:r>
        <w:rPr>
          <w:color w:val="auto"/>
          <w:spacing w:val="-2"/>
        </w:rPr>
        <w:t>从事有关特种设备的生产、</w:t>
      </w:r>
      <w:r>
        <w:rPr>
          <w:color w:val="auto"/>
          <w:spacing w:val="-18"/>
        </w:rPr>
        <w:t>经营活动的。”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02"/>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违法行为较轻，未造成不良后果的。</w:t>
      </w:r>
    </w:p>
    <w:p>
      <w:pPr>
        <w:pStyle w:val="13"/>
        <w:numPr>
          <w:ilvl w:val="0"/>
          <w:numId w:val="130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spacing w:val="-12"/>
        </w:rPr>
        <w:t xml:space="preserve">对机构处 </w:t>
      </w:r>
      <w:r>
        <w:rPr>
          <w:color w:val="auto"/>
        </w:rPr>
        <w:t>5</w:t>
      </w:r>
      <w:r>
        <w:rPr>
          <w:color w:val="auto"/>
          <w:spacing w:val="-20"/>
        </w:rPr>
        <w:t xml:space="preserve"> 万元以上 </w:t>
      </w:r>
      <w:r>
        <w:rPr>
          <w:color w:val="auto"/>
        </w:rPr>
        <w:t>8</w:t>
      </w:r>
      <w:r>
        <w:rPr>
          <w:color w:val="auto"/>
          <w:spacing w:val="-10"/>
        </w:rPr>
        <w:t xml:space="preserve"> 万元以下罚款，对直接负责的主管人员和其他直接责任人</w:t>
      </w:r>
    </w:p>
    <w:p>
      <w:pPr>
        <w:pStyle w:val="4"/>
        <w:spacing w:before="194" w:line="388" w:lineRule="auto"/>
        <w:ind w:left="591" w:right="5512" w:hanging="480"/>
        <w:rPr>
          <w:color w:val="auto"/>
        </w:rPr>
      </w:pPr>
      <w:r>
        <w:rPr>
          <w:color w:val="auto"/>
          <w:spacing w:val="-20"/>
        </w:rPr>
        <w:t xml:space="preserve">员处 </w:t>
      </w:r>
      <w:r>
        <w:rPr>
          <w:color w:val="auto"/>
        </w:rPr>
        <w:t>5</w:t>
      </w:r>
      <w:r>
        <w:rPr>
          <w:color w:val="auto"/>
          <w:spacing w:val="-20"/>
        </w:rPr>
        <w:t xml:space="preserve"> 千元以上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303"/>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造成一定不良后果的。</w:t>
      </w:r>
    </w:p>
    <w:p>
      <w:pPr>
        <w:pStyle w:val="13"/>
        <w:numPr>
          <w:ilvl w:val="0"/>
          <w:numId w:val="130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对机构处 8 万元以上 14 万元以下罚款，对直接负责的主管人员和其他直接责任</w:t>
      </w:r>
    </w:p>
    <w:p>
      <w:pPr>
        <w:pStyle w:val="4"/>
        <w:spacing w:before="194" w:line="388" w:lineRule="auto"/>
        <w:ind w:left="591" w:right="5272" w:hanging="480"/>
        <w:rPr>
          <w:color w:val="auto"/>
        </w:rPr>
      </w:pPr>
      <w:r>
        <w:rPr>
          <w:color w:val="auto"/>
          <w:spacing w:val="-15"/>
        </w:rPr>
        <w:t xml:space="preserve">人员处 </w:t>
      </w:r>
      <w:r>
        <w:rPr>
          <w:color w:val="auto"/>
        </w:rPr>
        <w:t>1</w:t>
      </w:r>
      <w:r>
        <w:rPr>
          <w:color w:val="auto"/>
          <w:spacing w:val="-20"/>
        </w:rPr>
        <w:t xml:space="preserve"> 万元以上 </w:t>
      </w:r>
      <w:r>
        <w:rPr>
          <w:color w:val="auto"/>
        </w:rPr>
        <w:t>3</w:t>
      </w:r>
      <w:r>
        <w:rPr>
          <w:color w:val="auto"/>
          <w:spacing w:val="-10"/>
        </w:rPr>
        <w:t xml:space="preserve"> 万元以下罚款。</w:t>
      </w:r>
      <w:r>
        <w:rPr>
          <w:color w:val="auto"/>
        </w:rPr>
        <w:t>3</w:t>
      </w:r>
      <w:r>
        <w:rPr>
          <w:color w:val="auto"/>
          <w:spacing w:val="-24"/>
        </w:rPr>
        <w:t>、【严重】</w:t>
      </w:r>
    </w:p>
    <w:p>
      <w:pPr>
        <w:pStyle w:val="13"/>
        <w:numPr>
          <w:ilvl w:val="0"/>
          <w:numId w:val="1304"/>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已造成严重不良后果的。</w:t>
      </w:r>
    </w:p>
    <w:p>
      <w:pPr>
        <w:pStyle w:val="13"/>
        <w:numPr>
          <w:ilvl w:val="0"/>
          <w:numId w:val="1304"/>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spacing w:val="-12"/>
        </w:rPr>
        <w:t xml:space="preserve">对机构处 </w:t>
      </w:r>
      <w:r>
        <w:rPr>
          <w:color w:val="auto"/>
        </w:rPr>
        <w:t>14</w:t>
      </w:r>
      <w:r>
        <w:rPr>
          <w:color w:val="auto"/>
          <w:spacing w:val="-20"/>
        </w:rPr>
        <w:t xml:space="preserve"> 万元以上 </w:t>
      </w:r>
      <w:r>
        <w:rPr>
          <w:color w:val="auto"/>
        </w:rPr>
        <w:t>20</w:t>
      </w:r>
      <w:r>
        <w:rPr>
          <w:color w:val="auto"/>
          <w:spacing w:val="-10"/>
        </w:rPr>
        <w:t xml:space="preserve"> 万元以下罚款，吊销机构资质；对直接负责的主管人员</w:t>
      </w:r>
    </w:p>
    <w:p>
      <w:pPr>
        <w:pStyle w:val="4"/>
        <w:spacing w:before="192"/>
        <w:rPr>
          <w:color w:val="auto"/>
        </w:rPr>
      </w:pPr>
      <w:r>
        <w:rPr>
          <w:color w:val="auto"/>
        </w:rPr>
        <w:t>和其他直接责任人员处 3 万元以上 5 万元以下罚款，吊销人员资格。</w:t>
      </w:r>
    </w:p>
    <w:p>
      <w:pPr>
        <w:pStyle w:val="2"/>
        <w:spacing w:before="194" w:line="388" w:lineRule="auto"/>
        <w:ind w:left="111" w:right="193" w:firstLine="480"/>
        <w:rPr>
          <w:color w:val="auto"/>
        </w:rPr>
      </w:pPr>
      <w:bookmarkStart w:id="1218" w:name="五百九十六、特种设备检验、检测机构及其检验、检测人员推荐或者监制、监销特种设备"/>
      <w:bookmarkEnd w:id="1218"/>
      <w:bookmarkStart w:id="1219" w:name="_bookmark608"/>
      <w:bookmarkEnd w:id="1219"/>
      <w:r>
        <w:rPr>
          <w:color w:val="auto"/>
        </w:rPr>
        <w:t>五百九十六、特种设备检验、检测机构及其检验、检测人员推荐或者监制、监销特种设备</w:t>
      </w:r>
    </w:p>
    <w:p>
      <w:pPr>
        <w:spacing w:before="2"/>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spacing w:val="-6"/>
        </w:rPr>
        <w:t>《特种设备安全法》第九十三条第一款“违反本法规定，特种设备检验、检测机</w:t>
      </w:r>
      <w:r>
        <w:rPr>
          <w:color w:val="auto"/>
          <w:spacing w:val="-5"/>
        </w:rPr>
        <w:t>构及其检验、检测人员有下列行为之一的，责令改正，对机构处五万元以上二十万元</w:t>
      </w:r>
      <w:r>
        <w:rPr>
          <w:color w:val="auto"/>
          <w:spacing w:val="3"/>
        </w:rPr>
        <w:t>以下罚款，对直接负责的主管人员和其他直接责任人员处五千元以上五万元以下罚</w:t>
      </w:r>
      <w:r>
        <w:rPr>
          <w:color w:val="auto"/>
          <w:spacing w:val="-5"/>
        </w:rPr>
        <w:t>款；情节严重的，吊销机构资质和有关人员的资格：</w:t>
      </w:r>
      <w:r>
        <w:rPr>
          <w:color w:val="auto"/>
          <w:spacing w:val="2"/>
        </w:rPr>
        <w:t>（七）</w:t>
      </w:r>
      <w:r>
        <w:rPr>
          <w:color w:val="auto"/>
          <w:spacing w:val="1"/>
        </w:rPr>
        <w:t>推荐或者监制、监销特种</w:t>
      </w:r>
      <w:r>
        <w:rPr>
          <w:color w:val="auto"/>
          <w:spacing w:val="-24"/>
        </w:rPr>
        <w:t>设备的。”</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0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违法行为较轻，未造成不良后果的。</w:t>
      </w:r>
    </w:p>
    <w:p>
      <w:pPr>
        <w:pStyle w:val="13"/>
        <w:numPr>
          <w:ilvl w:val="0"/>
          <w:numId w:val="130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spacing w:val="-12"/>
        </w:rPr>
        <w:t xml:space="preserve">对机构处 </w:t>
      </w:r>
      <w:r>
        <w:rPr>
          <w:color w:val="auto"/>
        </w:rPr>
        <w:t>5</w:t>
      </w:r>
      <w:r>
        <w:rPr>
          <w:color w:val="auto"/>
          <w:spacing w:val="-20"/>
        </w:rPr>
        <w:t xml:space="preserve"> 万元以上 </w:t>
      </w:r>
      <w:r>
        <w:rPr>
          <w:color w:val="auto"/>
        </w:rPr>
        <w:t>8</w:t>
      </w:r>
      <w:r>
        <w:rPr>
          <w:color w:val="auto"/>
          <w:spacing w:val="-10"/>
        </w:rPr>
        <w:t xml:space="preserve"> 万元以下罚款，对直接负责的主管人员和其他直接责任人</w:t>
      </w:r>
    </w:p>
    <w:p>
      <w:pPr>
        <w:pStyle w:val="4"/>
        <w:spacing w:before="192" w:line="391" w:lineRule="auto"/>
        <w:ind w:left="591" w:right="5512" w:hanging="480"/>
        <w:rPr>
          <w:color w:val="auto"/>
        </w:rPr>
      </w:pPr>
      <w:r>
        <w:rPr>
          <w:color w:val="auto"/>
          <w:spacing w:val="-20"/>
        </w:rPr>
        <w:t xml:space="preserve">员处 </w:t>
      </w:r>
      <w:r>
        <w:rPr>
          <w:color w:val="auto"/>
        </w:rPr>
        <w:t>5</w:t>
      </w:r>
      <w:r>
        <w:rPr>
          <w:color w:val="auto"/>
          <w:spacing w:val="-20"/>
        </w:rPr>
        <w:t xml:space="preserve"> 千元以上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30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造成一定不良后果的。</w:t>
      </w:r>
    </w:p>
    <w:p>
      <w:pPr>
        <w:pStyle w:val="13"/>
        <w:numPr>
          <w:ilvl w:val="0"/>
          <w:numId w:val="1306"/>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对机构处 8 万元以上 14 万元以下罚款，对直接负责的主管人员和其他直接责任</w:t>
      </w:r>
    </w:p>
    <w:p>
      <w:pPr>
        <w:pStyle w:val="4"/>
        <w:spacing w:before="192" w:line="391" w:lineRule="auto"/>
        <w:ind w:left="591" w:right="5272" w:hanging="480"/>
        <w:rPr>
          <w:color w:val="auto"/>
        </w:rPr>
      </w:pPr>
      <w:r>
        <w:rPr>
          <w:color w:val="auto"/>
          <w:spacing w:val="-15"/>
        </w:rPr>
        <w:t xml:space="preserve">人员处 </w:t>
      </w:r>
      <w:r>
        <w:rPr>
          <w:color w:val="auto"/>
        </w:rPr>
        <w:t>1</w:t>
      </w:r>
      <w:r>
        <w:rPr>
          <w:color w:val="auto"/>
          <w:spacing w:val="-20"/>
        </w:rPr>
        <w:t xml:space="preserve"> 万元以上 </w:t>
      </w:r>
      <w:r>
        <w:rPr>
          <w:color w:val="auto"/>
        </w:rPr>
        <w:t>3</w:t>
      </w:r>
      <w:r>
        <w:rPr>
          <w:color w:val="auto"/>
          <w:spacing w:val="-10"/>
        </w:rPr>
        <w:t xml:space="preserve"> 万元以下罚款。</w:t>
      </w:r>
      <w:r>
        <w:rPr>
          <w:color w:val="auto"/>
        </w:rPr>
        <w:t>3</w:t>
      </w:r>
      <w:r>
        <w:rPr>
          <w:color w:val="auto"/>
          <w:spacing w:val="-24"/>
        </w:rPr>
        <w:t>、【严重】</w:t>
      </w:r>
    </w:p>
    <w:p>
      <w:pPr>
        <w:pStyle w:val="13"/>
        <w:numPr>
          <w:ilvl w:val="0"/>
          <w:numId w:val="130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已造成严重不良后果的。</w:t>
      </w:r>
    </w:p>
    <w:p>
      <w:pPr>
        <w:spacing w:after="0"/>
        <w:rPr>
          <w:color w:val="auto"/>
        </w:rPr>
        <w:sectPr>
          <w:pgSz w:w="11910" w:h="16840"/>
          <w:pgMar w:top="1520" w:right="1260" w:bottom="1220" w:left="1420" w:header="0" w:footer="1034" w:gutter="0"/>
        </w:sectPr>
      </w:pPr>
    </w:p>
    <w:p>
      <w:pPr>
        <w:pStyle w:val="13"/>
        <w:numPr>
          <w:ilvl w:val="0"/>
          <w:numId w:val="130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spacing w:val="-12"/>
        </w:rPr>
        <w:t xml:space="preserve">对机构处 </w:t>
      </w:r>
      <w:r>
        <w:rPr>
          <w:color w:val="auto"/>
        </w:rPr>
        <w:t>14</w:t>
      </w:r>
      <w:r>
        <w:rPr>
          <w:color w:val="auto"/>
          <w:spacing w:val="-20"/>
        </w:rPr>
        <w:t xml:space="preserve"> 万元以上 </w:t>
      </w:r>
      <w:r>
        <w:rPr>
          <w:color w:val="auto"/>
        </w:rPr>
        <w:t>20</w:t>
      </w:r>
      <w:r>
        <w:rPr>
          <w:color w:val="auto"/>
          <w:spacing w:val="-10"/>
        </w:rPr>
        <w:t xml:space="preserve"> 万元以下罚款，吊销机构资质；对直接负责的主管人员</w:t>
      </w:r>
    </w:p>
    <w:p>
      <w:pPr>
        <w:pStyle w:val="4"/>
        <w:spacing w:before="191"/>
        <w:rPr>
          <w:color w:val="auto"/>
        </w:rPr>
      </w:pPr>
      <w:r>
        <w:rPr>
          <w:color w:val="auto"/>
        </w:rPr>
        <w:t>和其他直接责任人员处 3 万元以上 5 万元以下罚款，吊销人员资格。</w:t>
      </w:r>
    </w:p>
    <w:p>
      <w:pPr>
        <w:pStyle w:val="2"/>
        <w:spacing w:before="192" w:line="391" w:lineRule="auto"/>
        <w:ind w:left="111" w:right="240" w:firstLine="480"/>
        <w:rPr>
          <w:color w:val="auto"/>
        </w:rPr>
      </w:pPr>
      <w:bookmarkStart w:id="1220" w:name="五百九十七、特种设备检验、检测机构及其检验、检测人员利用检验工作故意刁难相关单位"/>
      <w:bookmarkEnd w:id="1220"/>
      <w:bookmarkStart w:id="1221" w:name="_bookmark609"/>
      <w:bookmarkEnd w:id="1221"/>
      <w:r>
        <w:rPr>
          <w:color w:val="auto"/>
          <w:spacing w:val="-7"/>
        </w:rPr>
        <w:t>五百九十七、特种设备检验、检测机构及其检验、检测人员利用检验工作故意刁难相关单位</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6"/>
        </w:rPr>
        <w:t>《特种设备安全法》第九十三条第一款“违反本法规定，特种设备检验、检测机</w:t>
      </w:r>
      <w:r>
        <w:rPr>
          <w:color w:val="auto"/>
          <w:spacing w:val="-5"/>
        </w:rPr>
        <w:t>构及其检验、检测人员有下列行为之一的，责令改正，对机构处五万元以上二十万元</w:t>
      </w:r>
      <w:r>
        <w:rPr>
          <w:color w:val="auto"/>
          <w:spacing w:val="3"/>
        </w:rPr>
        <w:t>以下罚款，对直接负责的主管人员和其他直接责任人员处五千元以上五万元以下罚</w:t>
      </w:r>
      <w:r>
        <w:rPr>
          <w:color w:val="auto"/>
          <w:spacing w:val="-5"/>
        </w:rPr>
        <w:t>款；情节严重的，吊销机构资质和有关人员的资格：</w:t>
      </w:r>
      <w:r>
        <w:rPr>
          <w:color w:val="auto"/>
          <w:spacing w:val="2"/>
        </w:rPr>
        <w:t>（八）</w:t>
      </w:r>
      <w:r>
        <w:rPr>
          <w:color w:val="auto"/>
          <w:spacing w:val="1"/>
        </w:rPr>
        <w:t>利用检验工作故意刁难相</w:t>
      </w:r>
      <w:r>
        <w:rPr>
          <w:color w:val="auto"/>
          <w:spacing w:val="-20"/>
        </w:rPr>
        <w:t>关单位的。”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08"/>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违法行为较轻，未造成不良后果的。</w:t>
      </w:r>
    </w:p>
    <w:p>
      <w:pPr>
        <w:pStyle w:val="13"/>
        <w:numPr>
          <w:ilvl w:val="0"/>
          <w:numId w:val="130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spacing w:val="-12"/>
        </w:rPr>
        <w:t xml:space="preserve">对机构处 </w:t>
      </w:r>
      <w:r>
        <w:rPr>
          <w:color w:val="auto"/>
        </w:rPr>
        <w:t>5</w:t>
      </w:r>
      <w:r>
        <w:rPr>
          <w:color w:val="auto"/>
          <w:spacing w:val="-20"/>
        </w:rPr>
        <w:t xml:space="preserve"> 万元以上 </w:t>
      </w:r>
      <w:r>
        <w:rPr>
          <w:color w:val="auto"/>
        </w:rPr>
        <w:t>8</w:t>
      </w:r>
      <w:r>
        <w:rPr>
          <w:color w:val="auto"/>
          <w:spacing w:val="-10"/>
        </w:rPr>
        <w:t xml:space="preserve"> 万元以下罚款，对直接负责的主管人员和其他直接责任人</w:t>
      </w:r>
    </w:p>
    <w:p>
      <w:pPr>
        <w:pStyle w:val="4"/>
        <w:spacing w:before="192" w:line="388" w:lineRule="auto"/>
        <w:ind w:left="591" w:right="5512" w:hanging="480"/>
        <w:rPr>
          <w:color w:val="auto"/>
        </w:rPr>
      </w:pPr>
      <w:r>
        <w:rPr>
          <w:color w:val="auto"/>
          <w:spacing w:val="-20"/>
        </w:rPr>
        <w:t xml:space="preserve">员处 </w:t>
      </w:r>
      <w:r>
        <w:rPr>
          <w:color w:val="auto"/>
        </w:rPr>
        <w:t>5</w:t>
      </w:r>
      <w:r>
        <w:rPr>
          <w:color w:val="auto"/>
          <w:spacing w:val="-20"/>
        </w:rPr>
        <w:t xml:space="preserve"> 千元以上 </w:t>
      </w:r>
      <w:r>
        <w:rPr>
          <w:color w:val="auto"/>
        </w:rPr>
        <w:t>1</w:t>
      </w:r>
      <w:r>
        <w:rPr>
          <w:color w:val="auto"/>
          <w:spacing w:val="-10"/>
        </w:rPr>
        <w:t xml:space="preserve"> 万元以下罚款； </w:t>
      </w:r>
      <w:r>
        <w:rPr>
          <w:color w:val="auto"/>
        </w:rPr>
        <w:t>2</w:t>
      </w:r>
      <w:r>
        <w:rPr>
          <w:color w:val="auto"/>
          <w:spacing w:val="-24"/>
        </w:rPr>
        <w:t>、【一般】</w:t>
      </w:r>
    </w:p>
    <w:p>
      <w:pPr>
        <w:pStyle w:val="13"/>
        <w:numPr>
          <w:ilvl w:val="0"/>
          <w:numId w:val="130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造成一定不良后果的。</w:t>
      </w:r>
    </w:p>
    <w:p>
      <w:pPr>
        <w:pStyle w:val="13"/>
        <w:numPr>
          <w:ilvl w:val="0"/>
          <w:numId w:val="130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对机构处 8 万元以上 14 万元以下罚款，对直接负责的主管人员和其他直接责任</w:t>
      </w:r>
    </w:p>
    <w:p>
      <w:pPr>
        <w:pStyle w:val="4"/>
        <w:spacing w:before="192" w:line="388" w:lineRule="auto"/>
        <w:ind w:left="591" w:right="5272" w:hanging="480"/>
        <w:rPr>
          <w:color w:val="auto"/>
        </w:rPr>
      </w:pPr>
      <w:r>
        <w:rPr>
          <w:color w:val="auto"/>
          <w:spacing w:val="-15"/>
        </w:rPr>
        <w:t xml:space="preserve">人员处 </w:t>
      </w:r>
      <w:r>
        <w:rPr>
          <w:color w:val="auto"/>
        </w:rPr>
        <w:t>1</w:t>
      </w:r>
      <w:r>
        <w:rPr>
          <w:color w:val="auto"/>
          <w:spacing w:val="-20"/>
        </w:rPr>
        <w:t xml:space="preserve"> 万元以上 </w:t>
      </w:r>
      <w:r>
        <w:rPr>
          <w:color w:val="auto"/>
        </w:rPr>
        <w:t>3</w:t>
      </w:r>
      <w:r>
        <w:rPr>
          <w:color w:val="auto"/>
          <w:spacing w:val="-10"/>
        </w:rPr>
        <w:t xml:space="preserve"> 万元以下罚款； </w:t>
      </w:r>
      <w:r>
        <w:rPr>
          <w:color w:val="auto"/>
        </w:rPr>
        <w:t>3</w:t>
      </w:r>
      <w:r>
        <w:rPr>
          <w:color w:val="auto"/>
          <w:spacing w:val="-24"/>
        </w:rPr>
        <w:t>、【严重】</w:t>
      </w:r>
    </w:p>
    <w:p>
      <w:pPr>
        <w:pStyle w:val="13"/>
        <w:numPr>
          <w:ilvl w:val="0"/>
          <w:numId w:val="131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已造成严重不良后果的。</w:t>
      </w:r>
    </w:p>
    <w:p>
      <w:pPr>
        <w:pStyle w:val="13"/>
        <w:numPr>
          <w:ilvl w:val="0"/>
          <w:numId w:val="1310"/>
        </w:numPr>
        <w:tabs>
          <w:tab w:val="left" w:pos="1193"/>
        </w:tabs>
        <w:spacing w:before="192" w:after="0" w:line="240" w:lineRule="auto"/>
        <w:ind w:left="1192"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spacing w:val="-12"/>
        </w:rPr>
        <w:t xml:space="preserve">对机构处 </w:t>
      </w:r>
      <w:r>
        <w:rPr>
          <w:color w:val="auto"/>
        </w:rPr>
        <w:t>14</w:t>
      </w:r>
      <w:r>
        <w:rPr>
          <w:color w:val="auto"/>
          <w:spacing w:val="-20"/>
        </w:rPr>
        <w:t xml:space="preserve"> 万元以上 </w:t>
      </w:r>
      <w:r>
        <w:rPr>
          <w:color w:val="auto"/>
        </w:rPr>
        <w:t>20</w:t>
      </w:r>
      <w:r>
        <w:rPr>
          <w:color w:val="auto"/>
          <w:spacing w:val="-10"/>
        </w:rPr>
        <w:t xml:space="preserve"> 万元以下罚款，吊销机构资质；对直接负责的主管人员</w:t>
      </w:r>
    </w:p>
    <w:p>
      <w:pPr>
        <w:pStyle w:val="4"/>
        <w:spacing w:before="195"/>
        <w:rPr>
          <w:color w:val="auto"/>
        </w:rPr>
      </w:pPr>
      <w:r>
        <w:rPr>
          <w:color w:val="auto"/>
        </w:rPr>
        <w:t>和其他直接责任人员处 3 万元以上 5 万元以下罚款，吊销人员资格。</w:t>
      </w:r>
    </w:p>
    <w:p>
      <w:pPr>
        <w:pStyle w:val="2"/>
        <w:spacing w:before="191" w:line="388" w:lineRule="auto"/>
        <w:ind w:left="111" w:right="170" w:firstLine="480"/>
        <w:rPr>
          <w:color w:val="auto"/>
        </w:rPr>
      </w:pPr>
      <w:bookmarkStart w:id="1222" w:name="_bookmark610"/>
      <w:bookmarkEnd w:id="1222"/>
      <w:bookmarkStart w:id="1223" w:name="五百九十八、特种设备检验、检测机构的检验、检测人员同时在两个以上检验、检测机构中"/>
      <w:bookmarkEnd w:id="1223"/>
      <w:r>
        <w:rPr>
          <w:color w:val="auto"/>
        </w:rPr>
        <w:t>五百九十八、特种设备检验、检测机构的检验、检测人员同时在两个以上检验、检测机构中执业</w:t>
      </w:r>
    </w:p>
    <w:p>
      <w:pPr>
        <w:spacing w:before="5"/>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6"/>
        </w:rPr>
        <w:t>《特种设备安全法》第九十三条第二款“违反本法规定，特种设备检验、检测机构的检验、检测人员同时在两个以上检验、检测机构中执业的，处五千元以上五万元</w:t>
      </w:r>
      <w:r>
        <w:rPr>
          <w:color w:val="auto"/>
          <w:spacing w:val="-8"/>
        </w:rPr>
        <w:t>以下罚款；情节严重的，吊销其资格。”</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1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违法执业时间较短的。</w:t>
      </w:r>
    </w:p>
    <w:p>
      <w:pPr>
        <w:pStyle w:val="13"/>
        <w:numPr>
          <w:ilvl w:val="0"/>
          <w:numId w:val="131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152"/>
        <w:rPr>
          <w:color w:val="auto"/>
        </w:rPr>
      </w:pPr>
      <w:r>
        <w:rPr>
          <w:color w:val="auto"/>
          <w:spacing w:val="-30"/>
        </w:rPr>
        <w:t xml:space="preserve">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2</w:t>
      </w:r>
      <w:r>
        <w:rPr>
          <w:color w:val="auto"/>
          <w:spacing w:val="-24"/>
        </w:rPr>
        <w:t>、【一般】</w:t>
      </w:r>
    </w:p>
    <w:p>
      <w:pPr>
        <w:pStyle w:val="13"/>
        <w:numPr>
          <w:ilvl w:val="0"/>
          <w:numId w:val="131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违法执业时间较长的，未造成不良社会影响的。</w:t>
      </w:r>
    </w:p>
    <w:p>
      <w:pPr>
        <w:pStyle w:val="13"/>
        <w:numPr>
          <w:ilvl w:val="0"/>
          <w:numId w:val="131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5272"/>
        <w:rPr>
          <w:color w:val="auto"/>
        </w:rPr>
      </w:pPr>
      <w:r>
        <w:rPr>
          <w:color w:val="auto"/>
          <w:spacing w:val="-30"/>
        </w:rPr>
        <w:t xml:space="preserve">处 </w:t>
      </w:r>
      <w:r>
        <w:rPr>
          <w:color w:val="auto"/>
        </w:rPr>
        <w:t>1</w:t>
      </w:r>
      <w:r>
        <w:rPr>
          <w:color w:val="auto"/>
          <w:spacing w:val="-20"/>
        </w:rPr>
        <w:t xml:space="preserve"> 万元以上 </w:t>
      </w:r>
      <w:r>
        <w:rPr>
          <w:color w:val="auto"/>
        </w:rPr>
        <w:t>3</w:t>
      </w:r>
      <w:r>
        <w:rPr>
          <w:color w:val="auto"/>
          <w:spacing w:val="-10"/>
        </w:rPr>
        <w:t xml:space="preserve"> 万元以下罚款。</w:t>
      </w:r>
      <w:r>
        <w:rPr>
          <w:color w:val="auto"/>
        </w:rPr>
        <w:t>3</w:t>
      </w:r>
      <w:r>
        <w:rPr>
          <w:color w:val="auto"/>
          <w:spacing w:val="-24"/>
        </w:rPr>
        <w:t>、【严重】</w:t>
      </w:r>
    </w:p>
    <w:p>
      <w:pPr>
        <w:pStyle w:val="13"/>
        <w:numPr>
          <w:ilvl w:val="0"/>
          <w:numId w:val="131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已造成不良后果的。</w:t>
      </w:r>
    </w:p>
    <w:p>
      <w:pPr>
        <w:pStyle w:val="13"/>
        <w:numPr>
          <w:ilvl w:val="0"/>
          <w:numId w:val="131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3 万元以上 5 万元以下罚款，建议原发证机关吊销其资格。</w:t>
      </w:r>
    </w:p>
    <w:p>
      <w:pPr>
        <w:pStyle w:val="2"/>
        <w:spacing w:before="192" w:line="391" w:lineRule="auto"/>
        <w:ind w:left="111" w:right="193" w:firstLine="480"/>
        <w:rPr>
          <w:color w:val="auto"/>
        </w:rPr>
      </w:pPr>
      <w:bookmarkStart w:id="1224" w:name="五百九十九、特种设备生产、经营、使用单位或者检验、检测机构拒不接受负责特种设备安"/>
      <w:bookmarkEnd w:id="1224"/>
      <w:bookmarkStart w:id="1225" w:name="_bookmark611"/>
      <w:bookmarkEnd w:id="1225"/>
      <w:r>
        <w:rPr>
          <w:color w:val="auto"/>
        </w:rPr>
        <w:t>五百九十九、特种设备生产、经营、使用单位或者检验、检测机构拒不接受负责特种设备安全监督管理的部门依法实施的监督检查</w:t>
      </w:r>
    </w:p>
    <w:p>
      <w:pPr>
        <w:spacing w:before="0" w:line="306" w:lineRule="exact"/>
        <w:ind w:left="591" w:right="0" w:firstLine="0"/>
        <w:jc w:val="left"/>
        <w:rPr>
          <w:b/>
          <w:color w:val="auto"/>
          <w:sz w:val="24"/>
        </w:rPr>
      </w:pPr>
      <w:r>
        <w:rPr>
          <w:b/>
          <w:color w:val="auto"/>
          <w:sz w:val="24"/>
        </w:rPr>
        <w:t>（一）处罚依据</w:t>
      </w:r>
    </w:p>
    <w:p>
      <w:pPr>
        <w:pStyle w:val="4"/>
        <w:spacing w:before="191"/>
        <w:ind w:left="591"/>
        <w:rPr>
          <w:color w:val="auto"/>
        </w:rPr>
      </w:pPr>
      <w:r>
        <w:rPr>
          <w:color w:val="auto"/>
        </w:rPr>
        <w:t>《特种设备安全法》第九十五条第一款“违反本法规定，特种设备生产、经营、</w:t>
      </w:r>
    </w:p>
    <w:p>
      <w:pPr>
        <w:spacing w:after="0"/>
        <w:rPr>
          <w:color w:val="auto"/>
        </w:rPr>
        <w:sectPr>
          <w:footerReference r:id="rId147" w:type="default"/>
          <w:footerReference r:id="rId148" w:type="even"/>
          <w:pgSz w:w="11910" w:h="16840"/>
          <w:pgMar w:top="1520" w:right="1260" w:bottom="1220" w:left="1420" w:header="0" w:footer="1034" w:gutter="0"/>
          <w:pgNumType w:start="580"/>
        </w:sectPr>
      </w:pPr>
    </w:p>
    <w:p>
      <w:pPr>
        <w:pStyle w:val="4"/>
        <w:spacing w:before="39" w:line="391" w:lineRule="auto"/>
        <w:ind w:right="268"/>
        <w:jc w:val="both"/>
        <w:rPr>
          <w:color w:val="auto"/>
        </w:rPr>
      </w:pPr>
      <w:r>
        <w:rPr>
          <w:color w:val="auto"/>
          <w:spacing w:val="-5"/>
        </w:rPr>
        <w:t>使用单位或者检验、检测机构拒不接受负责特种设备安全监督管理的部门依法实施的</w:t>
      </w:r>
      <w:r>
        <w:rPr>
          <w:color w:val="auto"/>
          <w:spacing w:val="-6"/>
        </w:rPr>
        <w:t>监督检查的，责令限期改正；逾期未改正的，责令停产停业整顿，处二万元以上二十</w:t>
      </w:r>
      <w:r>
        <w:rPr>
          <w:color w:val="auto"/>
          <w:spacing w:val="-16"/>
        </w:rPr>
        <w:t>万元以下罚款。”</w:t>
      </w:r>
    </w:p>
    <w:p>
      <w:pPr>
        <w:spacing w:before="0"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14"/>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逾期后，经说服教育能够配合监督检查的。</w:t>
      </w:r>
    </w:p>
    <w:p>
      <w:pPr>
        <w:pStyle w:val="13"/>
        <w:numPr>
          <w:ilvl w:val="0"/>
          <w:numId w:val="1314"/>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3112"/>
        <w:rPr>
          <w:color w:val="auto"/>
        </w:rPr>
      </w:pPr>
      <w:r>
        <w:rPr>
          <w:color w:val="auto"/>
          <w:spacing w:val="-6"/>
        </w:rPr>
        <w:t xml:space="preserve">责令停产停业整顿，处 </w:t>
      </w:r>
      <w:r>
        <w:rPr>
          <w:color w:val="auto"/>
        </w:rPr>
        <w:t>2</w:t>
      </w:r>
      <w:r>
        <w:rPr>
          <w:color w:val="auto"/>
          <w:spacing w:val="-20"/>
        </w:rPr>
        <w:t xml:space="preserve"> 万元以上 </w:t>
      </w:r>
      <w:r>
        <w:rPr>
          <w:color w:val="auto"/>
        </w:rPr>
        <w:t>5</w:t>
      </w:r>
      <w:r>
        <w:rPr>
          <w:color w:val="auto"/>
          <w:spacing w:val="-10"/>
        </w:rPr>
        <w:t xml:space="preserve"> 万元以下罚款。</w:t>
      </w:r>
      <w:r>
        <w:rPr>
          <w:color w:val="auto"/>
        </w:rPr>
        <w:t>2</w:t>
      </w:r>
      <w:r>
        <w:rPr>
          <w:color w:val="auto"/>
          <w:spacing w:val="-24"/>
        </w:rPr>
        <w:t>、【一般】</w:t>
      </w:r>
    </w:p>
    <w:p>
      <w:pPr>
        <w:pStyle w:val="13"/>
        <w:numPr>
          <w:ilvl w:val="0"/>
          <w:numId w:val="1315"/>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逾期后，仍不接受监督检查的。</w:t>
      </w:r>
    </w:p>
    <w:p>
      <w:pPr>
        <w:pStyle w:val="13"/>
        <w:numPr>
          <w:ilvl w:val="0"/>
          <w:numId w:val="131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2992"/>
        <w:rPr>
          <w:color w:val="auto"/>
        </w:rPr>
      </w:pPr>
      <w:r>
        <w:rPr>
          <w:color w:val="auto"/>
          <w:spacing w:val="-6"/>
        </w:rPr>
        <w:t xml:space="preserve">责令停产停业整顿，处 </w:t>
      </w:r>
      <w:r>
        <w:rPr>
          <w:color w:val="auto"/>
        </w:rPr>
        <w:t>5</w:t>
      </w:r>
      <w:r>
        <w:rPr>
          <w:color w:val="auto"/>
          <w:spacing w:val="-20"/>
        </w:rPr>
        <w:t xml:space="preserve"> 万元以上 </w:t>
      </w:r>
      <w:r>
        <w:rPr>
          <w:color w:val="auto"/>
        </w:rPr>
        <w:t>10</w:t>
      </w:r>
      <w:r>
        <w:rPr>
          <w:color w:val="auto"/>
          <w:spacing w:val="-10"/>
        </w:rPr>
        <w:t xml:space="preserve"> 万元以下罚款。</w:t>
      </w:r>
      <w:r>
        <w:rPr>
          <w:color w:val="auto"/>
        </w:rPr>
        <w:t>3</w:t>
      </w:r>
      <w:r>
        <w:rPr>
          <w:color w:val="auto"/>
          <w:spacing w:val="-24"/>
        </w:rPr>
        <w:t>、【严重】</w:t>
      </w:r>
    </w:p>
    <w:p>
      <w:pPr>
        <w:pStyle w:val="13"/>
        <w:numPr>
          <w:ilvl w:val="0"/>
          <w:numId w:val="131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逾期后，仍不接受监督检查，且已造成一定影响的。</w:t>
      </w:r>
    </w:p>
    <w:p>
      <w:pPr>
        <w:pStyle w:val="13"/>
        <w:numPr>
          <w:ilvl w:val="0"/>
          <w:numId w:val="1316"/>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2872"/>
        <w:rPr>
          <w:color w:val="auto"/>
        </w:rPr>
      </w:pPr>
      <w:r>
        <w:rPr>
          <w:color w:val="auto"/>
          <w:spacing w:val="-6"/>
        </w:rPr>
        <w:t xml:space="preserve">责令停产停业整顿，处 </w:t>
      </w:r>
      <w:r>
        <w:rPr>
          <w:color w:val="auto"/>
        </w:rPr>
        <w:t>10</w:t>
      </w:r>
      <w:r>
        <w:rPr>
          <w:color w:val="auto"/>
          <w:spacing w:val="-20"/>
        </w:rPr>
        <w:t xml:space="preserve"> 万元以上 </w:t>
      </w:r>
      <w:r>
        <w:rPr>
          <w:color w:val="auto"/>
        </w:rPr>
        <w:t>15</w:t>
      </w:r>
      <w:r>
        <w:rPr>
          <w:color w:val="auto"/>
          <w:spacing w:val="-10"/>
        </w:rPr>
        <w:t xml:space="preserve"> 万元以下罚款。</w:t>
      </w:r>
      <w:r>
        <w:rPr>
          <w:color w:val="auto"/>
        </w:rPr>
        <w:t>4</w:t>
      </w:r>
      <w:r>
        <w:rPr>
          <w:color w:val="auto"/>
          <w:spacing w:val="-18"/>
        </w:rPr>
        <w:t>、【特别严重】</w:t>
      </w:r>
    </w:p>
    <w:p>
      <w:pPr>
        <w:pStyle w:val="13"/>
        <w:numPr>
          <w:ilvl w:val="0"/>
          <w:numId w:val="131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已造成不良后果的。</w:t>
      </w:r>
    </w:p>
    <w:p>
      <w:pPr>
        <w:pStyle w:val="13"/>
        <w:numPr>
          <w:ilvl w:val="0"/>
          <w:numId w:val="131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责令停产停业整顿，处 15 万元以上 20 万元以下罚款。</w:t>
      </w:r>
    </w:p>
    <w:p>
      <w:pPr>
        <w:pStyle w:val="2"/>
        <w:spacing w:before="192" w:line="391" w:lineRule="auto"/>
        <w:ind w:left="111" w:right="242" w:firstLine="480"/>
        <w:rPr>
          <w:color w:val="auto"/>
        </w:rPr>
      </w:pPr>
      <w:bookmarkStart w:id="1226" w:name="六百、特种设备生产、经营、使用单位擅自动用、调换、转移、损毁被查封、扣押的特种设"/>
      <w:bookmarkEnd w:id="1226"/>
      <w:bookmarkStart w:id="1227" w:name="_bookmark612"/>
      <w:bookmarkEnd w:id="1227"/>
      <w:r>
        <w:rPr>
          <w:color w:val="auto"/>
          <w:spacing w:val="-8"/>
        </w:rPr>
        <w:t>六百、特种设备生产、经营、使用单位擅自动用、调换、转移、损毁被查封、扣押的特种设备或者其主要部件</w:t>
      </w:r>
    </w:p>
    <w:p>
      <w:pPr>
        <w:spacing w:before="0" w:line="306" w:lineRule="exact"/>
        <w:ind w:left="591" w:right="0" w:firstLine="0"/>
        <w:jc w:val="left"/>
        <w:rPr>
          <w:b/>
          <w:color w:val="auto"/>
          <w:sz w:val="24"/>
        </w:rPr>
      </w:pPr>
      <w:r>
        <w:rPr>
          <w:b/>
          <w:color w:val="auto"/>
          <w:sz w:val="24"/>
        </w:rPr>
        <w:t>（一）处罚依据</w:t>
      </w:r>
    </w:p>
    <w:p>
      <w:pPr>
        <w:pStyle w:val="4"/>
        <w:spacing w:before="192"/>
        <w:ind w:left="591"/>
        <w:rPr>
          <w:color w:val="auto"/>
        </w:rPr>
      </w:pPr>
      <w:r>
        <w:rPr>
          <w:color w:val="auto"/>
        </w:rPr>
        <w:t>《特种设备安全法》第九十五条第二款“特种设备生产、经营、使用单位擅自动</w:t>
      </w:r>
    </w:p>
    <w:p>
      <w:pPr>
        <w:spacing w:after="0"/>
        <w:rPr>
          <w:color w:val="auto"/>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7"/>
        </w:rPr>
        <w:t>用、调换、转移、损毁被查封、扣押的特种设备或者其主要部件的，责令改正，处五</w:t>
      </w:r>
      <w:r>
        <w:rPr>
          <w:color w:val="auto"/>
          <w:spacing w:val="-4"/>
        </w:rPr>
        <w:t>万元以上二十万元以下罚款；情节严重的，吊销生产许可证，注销特种设备使用登记</w:t>
      </w:r>
      <w:r>
        <w:rPr>
          <w:color w:val="auto"/>
          <w:spacing w:val="-30"/>
        </w:rPr>
        <w:t>证书。”</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1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可以改正且责令改正后及时改正的；</w:t>
      </w:r>
    </w:p>
    <w:p>
      <w:pPr>
        <w:pStyle w:val="13"/>
        <w:numPr>
          <w:ilvl w:val="0"/>
          <w:numId w:val="131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152"/>
        <w:rPr>
          <w:color w:val="auto"/>
        </w:rPr>
      </w:pPr>
      <w:r>
        <w:rPr>
          <w:color w:val="auto"/>
          <w:spacing w:val="-30"/>
        </w:rPr>
        <w:t xml:space="preserve">处 </w:t>
      </w:r>
      <w:r>
        <w:rPr>
          <w:color w:val="auto"/>
        </w:rPr>
        <w:t>5</w:t>
      </w:r>
      <w:r>
        <w:rPr>
          <w:color w:val="auto"/>
          <w:spacing w:val="-20"/>
        </w:rPr>
        <w:t xml:space="preserve"> 万元以上 </w:t>
      </w:r>
      <w:r>
        <w:rPr>
          <w:color w:val="auto"/>
        </w:rPr>
        <w:t>12</w:t>
      </w:r>
      <w:r>
        <w:rPr>
          <w:color w:val="auto"/>
          <w:spacing w:val="-10"/>
        </w:rPr>
        <w:t xml:space="preserve"> 万元以下罚款。</w:t>
      </w:r>
      <w:r>
        <w:rPr>
          <w:color w:val="auto"/>
        </w:rPr>
        <w:t>2</w:t>
      </w:r>
      <w:r>
        <w:rPr>
          <w:color w:val="auto"/>
          <w:spacing w:val="-24"/>
        </w:rPr>
        <w:t>、【严重】</w:t>
      </w:r>
    </w:p>
    <w:p>
      <w:pPr>
        <w:pStyle w:val="13"/>
        <w:numPr>
          <w:ilvl w:val="0"/>
          <w:numId w:val="131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无法改正或拒不改正的；</w:t>
      </w:r>
    </w:p>
    <w:p>
      <w:pPr>
        <w:pStyle w:val="13"/>
        <w:numPr>
          <w:ilvl w:val="0"/>
          <w:numId w:val="1319"/>
        </w:numPr>
        <w:tabs>
          <w:tab w:val="left" w:pos="1193"/>
        </w:tabs>
        <w:spacing w:before="191" w:after="0" w:line="240" w:lineRule="auto"/>
        <w:ind w:left="1192" w:right="0" w:hanging="602"/>
        <w:jc w:val="left"/>
        <w:rPr>
          <w:color w:val="auto"/>
          <w:sz w:val="24"/>
        </w:rPr>
      </w:pPr>
      <w:r>
        <w:rPr>
          <w:color w:val="auto"/>
          <w:sz w:val="24"/>
        </w:rPr>
        <w:t>处罚标准</w:t>
      </w:r>
    </w:p>
    <w:p>
      <w:pPr>
        <w:spacing w:before="194" w:line="388" w:lineRule="auto"/>
        <w:ind w:left="591" w:right="148" w:firstLine="0"/>
        <w:jc w:val="left"/>
        <w:rPr>
          <w:b/>
          <w:color w:val="auto"/>
          <w:sz w:val="24"/>
        </w:rPr>
      </w:pPr>
      <w:r>
        <w:rPr>
          <w:color w:val="auto"/>
          <w:spacing w:val="-35"/>
          <w:sz w:val="24"/>
        </w:rPr>
        <w:t xml:space="preserve">处 </w:t>
      </w:r>
      <w:r>
        <w:rPr>
          <w:color w:val="auto"/>
          <w:sz w:val="24"/>
        </w:rPr>
        <w:t>12</w:t>
      </w:r>
      <w:r>
        <w:rPr>
          <w:color w:val="auto"/>
          <w:spacing w:val="-24"/>
          <w:sz w:val="24"/>
        </w:rPr>
        <w:t xml:space="preserve"> 万元以上 </w:t>
      </w:r>
      <w:r>
        <w:rPr>
          <w:color w:val="auto"/>
          <w:sz w:val="24"/>
        </w:rPr>
        <w:t>20</w:t>
      </w:r>
      <w:r>
        <w:rPr>
          <w:color w:val="auto"/>
          <w:spacing w:val="-15"/>
          <w:sz w:val="24"/>
        </w:rPr>
        <w:t xml:space="preserve"> 万元以下罚款，吊销生产许可证或注销特种设备使用登记证书。</w:t>
      </w:r>
      <w:bookmarkStart w:id="1228" w:name="六百零一、已经取得许可、核准的特种设备生产单位、检验检测机构未按照安全技术规范的"/>
      <w:bookmarkEnd w:id="1228"/>
      <w:bookmarkStart w:id="1229" w:name="_bookmark613"/>
      <w:bookmarkEnd w:id="1229"/>
      <w:r>
        <w:rPr>
          <w:b/>
          <w:color w:val="auto"/>
          <w:spacing w:val="-8"/>
          <w:sz w:val="24"/>
        </w:rPr>
        <w:t>六百零一、已经取得许可、核准的特种设备生产单位、检验检测机构未按照安全</w:t>
      </w:r>
    </w:p>
    <w:p>
      <w:pPr>
        <w:pStyle w:val="2"/>
        <w:spacing w:before="2"/>
        <w:ind w:left="111"/>
        <w:rPr>
          <w:color w:val="auto"/>
        </w:rPr>
      </w:pPr>
      <w:r>
        <w:rPr>
          <w:color w:val="auto"/>
        </w:rPr>
        <w:t>技术规范的要求办理许可证变更手续</w:t>
      </w:r>
    </w:p>
    <w:p>
      <w:pPr>
        <w:spacing w:before="195"/>
        <w:ind w:left="591" w:right="0" w:firstLine="0"/>
        <w:jc w:val="left"/>
        <w:rPr>
          <w:b/>
          <w:color w:val="auto"/>
          <w:sz w:val="24"/>
        </w:rPr>
      </w:pPr>
      <w:r>
        <w:rPr>
          <w:b/>
          <w:color w:val="auto"/>
          <w:sz w:val="24"/>
        </w:rPr>
        <w:t>（一）处罚依据</w:t>
      </w:r>
    </w:p>
    <w:p>
      <w:pPr>
        <w:pStyle w:val="4"/>
        <w:spacing w:before="191" w:line="388" w:lineRule="auto"/>
        <w:ind w:right="213" w:firstLine="470"/>
        <w:rPr>
          <w:color w:val="auto"/>
        </w:rPr>
      </w:pPr>
      <w:r>
        <w:rPr>
          <w:color w:val="auto"/>
        </w:rPr>
        <w:t>《特种设备安全监察条例》第八十二条“已经取得许可、核准的特种设备生产单位、检验检测机构有下列行为之一的，由特种设备安全监督管理部门责令改正，处 2</w:t>
      </w:r>
    </w:p>
    <w:p>
      <w:pPr>
        <w:pStyle w:val="4"/>
        <w:spacing w:before="5" w:line="388" w:lineRule="auto"/>
        <w:ind w:right="215"/>
        <w:rPr>
          <w:color w:val="auto"/>
        </w:rPr>
      </w:pPr>
      <w:r>
        <w:rPr>
          <w:color w:val="auto"/>
        </w:rPr>
        <w:t>万元以上 10 万元以下罚款；情节严重的，撤销其相应资格：（一）未按照安全技术规范的要求办理许可证变更手续的。”</w:t>
      </w:r>
    </w:p>
    <w:p>
      <w:pPr>
        <w:spacing w:before="2" w:line="391"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20"/>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违法行为持续时间在一个月以内的。</w:t>
      </w:r>
    </w:p>
    <w:p>
      <w:pPr>
        <w:pStyle w:val="13"/>
        <w:numPr>
          <w:ilvl w:val="0"/>
          <w:numId w:val="1320"/>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4072"/>
        <w:rPr>
          <w:color w:val="auto"/>
        </w:rPr>
      </w:pPr>
      <w:r>
        <w:rPr>
          <w:color w:val="auto"/>
          <w:spacing w:val="-9"/>
        </w:rPr>
        <w:t xml:space="preserve">责令改正，处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2</w:t>
      </w:r>
      <w:r>
        <w:rPr>
          <w:color w:val="auto"/>
          <w:spacing w:val="-24"/>
        </w:rPr>
        <w:t>、【一般】</w:t>
      </w:r>
    </w:p>
    <w:p>
      <w:pPr>
        <w:spacing w:after="0" w:line="388" w:lineRule="auto"/>
        <w:rPr>
          <w:color w:val="auto"/>
        </w:rPr>
        <w:sectPr>
          <w:pgSz w:w="11910" w:h="16840"/>
          <w:pgMar w:top="1520" w:right="1260" w:bottom="1220" w:left="1420" w:header="0" w:footer="1034" w:gutter="0"/>
        </w:sectPr>
      </w:pPr>
    </w:p>
    <w:p>
      <w:pPr>
        <w:pStyle w:val="13"/>
        <w:numPr>
          <w:ilvl w:val="0"/>
          <w:numId w:val="1321"/>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违法行为持续时间在一个月以上三个月以内的。</w:t>
      </w:r>
    </w:p>
    <w:p>
      <w:pPr>
        <w:pStyle w:val="13"/>
        <w:numPr>
          <w:ilvl w:val="0"/>
          <w:numId w:val="132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4072"/>
        <w:rPr>
          <w:color w:val="auto"/>
        </w:rPr>
      </w:pPr>
      <w:r>
        <w:rPr>
          <w:color w:val="auto"/>
          <w:spacing w:val="-9"/>
        </w:rPr>
        <w:t xml:space="preserve">责令改正，处 </w:t>
      </w:r>
      <w:r>
        <w:rPr>
          <w:color w:val="auto"/>
        </w:rPr>
        <w:t>3</w:t>
      </w:r>
      <w:r>
        <w:rPr>
          <w:color w:val="auto"/>
          <w:spacing w:val="-20"/>
        </w:rPr>
        <w:t xml:space="preserve"> 万元以上 </w:t>
      </w:r>
      <w:r>
        <w:rPr>
          <w:color w:val="auto"/>
        </w:rPr>
        <w:t>4</w:t>
      </w:r>
      <w:r>
        <w:rPr>
          <w:color w:val="auto"/>
          <w:spacing w:val="-10"/>
        </w:rPr>
        <w:t xml:space="preserve"> 万元以下罚款。</w:t>
      </w:r>
      <w:r>
        <w:rPr>
          <w:color w:val="auto"/>
        </w:rPr>
        <w:t>3</w:t>
      </w:r>
      <w:r>
        <w:rPr>
          <w:color w:val="auto"/>
          <w:spacing w:val="-24"/>
        </w:rPr>
        <w:t>、【较重】</w:t>
      </w:r>
    </w:p>
    <w:p>
      <w:pPr>
        <w:pStyle w:val="13"/>
        <w:numPr>
          <w:ilvl w:val="0"/>
          <w:numId w:val="132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违法行为持续时间在三个月以上六个月以内的。</w:t>
      </w:r>
    </w:p>
    <w:p>
      <w:pPr>
        <w:pStyle w:val="13"/>
        <w:numPr>
          <w:ilvl w:val="0"/>
          <w:numId w:val="1322"/>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4072"/>
        <w:rPr>
          <w:color w:val="auto"/>
        </w:rPr>
      </w:pPr>
      <w:r>
        <w:rPr>
          <w:color w:val="auto"/>
          <w:spacing w:val="-9"/>
        </w:rPr>
        <w:t xml:space="preserve">责令改正，处 </w:t>
      </w:r>
      <w:r>
        <w:rPr>
          <w:color w:val="auto"/>
        </w:rPr>
        <w:t>4</w:t>
      </w:r>
      <w:r>
        <w:rPr>
          <w:color w:val="auto"/>
          <w:spacing w:val="-20"/>
        </w:rPr>
        <w:t xml:space="preserve"> 万元以上 </w:t>
      </w:r>
      <w:r>
        <w:rPr>
          <w:color w:val="auto"/>
        </w:rPr>
        <w:t>6</w:t>
      </w:r>
      <w:r>
        <w:rPr>
          <w:color w:val="auto"/>
          <w:spacing w:val="-10"/>
        </w:rPr>
        <w:t xml:space="preserve"> 万元以下罚款。</w:t>
      </w:r>
      <w:r>
        <w:rPr>
          <w:color w:val="auto"/>
        </w:rPr>
        <w:t>4</w:t>
      </w:r>
      <w:r>
        <w:rPr>
          <w:color w:val="auto"/>
          <w:spacing w:val="-24"/>
        </w:rPr>
        <w:t>、【严重】</w:t>
      </w:r>
    </w:p>
    <w:p>
      <w:pPr>
        <w:pStyle w:val="13"/>
        <w:numPr>
          <w:ilvl w:val="0"/>
          <w:numId w:val="132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违法行为持续时间在六个月以上的。</w:t>
      </w:r>
    </w:p>
    <w:p>
      <w:pPr>
        <w:pStyle w:val="13"/>
        <w:numPr>
          <w:ilvl w:val="0"/>
          <w:numId w:val="132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4072"/>
        <w:rPr>
          <w:color w:val="auto"/>
        </w:rPr>
      </w:pPr>
      <w:r>
        <w:rPr>
          <w:color w:val="auto"/>
          <w:spacing w:val="-9"/>
        </w:rPr>
        <w:t xml:space="preserve">责令改正，处 </w:t>
      </w:r>
      <w:r>
        <w:rPr>
          <w:color w:val="auto"/>
        </w:rPr>
        <w:t>6</w:t>
      </w:r>
      <w:r>
        <w:rPr>
          <w:color w:val="auto"/>
          <w:spacing w:val="-20"/>
        </w:rPr>
        <w:t xml:space="preserve"> 万元以上 </w:t>
      </w:r>
      <w:r>
        <w:rPr>
          <w:color w:val="auto"/>
        </w:rPr>
        <w:t>8</w:t>
      </w:r>
      <w:r>
        <w:rPr>
          <w:color w:val="auto"/>
          <w:spacing w:val="-10"/>
        </w:rPr>
        <w:t xml:space="preserve"> 万元以下罚款。</w:t>
      </w:r>
      <w:r>
        <w:rPr>
          <w:color w:val="auto"/>
        </w:rPr>
        <w:t>5</w:t>
      </w:r>
      <w:r>
        <w:rPr>
          <w:color w:val="auto"/>
          <w:spacing w:val="-18"/>
        </w:rPr>
        <w:t>、【特别严重】</w:t>
      </w:r>
    </w:p>
    <w:p>
      <w:pPr>
        <w:pStyle w:val="13"/>
        <w:numPr>
          <w:ilvl w:val="0"/>
          <w:numId w:val="1324"/>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拒不整改的，或已造成不良后果的。</w:t>
      </w:r>
    </w:p>
    <w:p>
      <w:pPr>
        <w:pStyle w:val="13"/>
        <w:numPr>
          <w:ilvl w:val="0"/>
          <w:numId w:val="132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8 万元以上 10 万元以下罚款，建议原发证机关撤销其相应资格。</w:t>
      </w:r>
    </w:p>
    <w:p>
      <w:pPr>
        <w:pStyle w:val="2"/>
        <w:spacing w:before="194" w:line="388" w:lineRule="auto"/>
        <w:ind w:left="111" w:right="237" w:firstLine="480"/>
        <w:rPr>
          <w:color w:val="auto"/>
        </w:rPr>
      </w:pPr>
      <w:bookmarkStart w:id="1230" w:name="_bookmark614"/>
      <w:bookmarkEnd w:id="1230"/>
      <w:bookmarkStart w:id="1231" w:name="六百零二、特种设备使用单位使用的特种设备不符合能效指标，未及时采取相应措施进行整"/>
      <w:bookmarkEnd w:id="1231"/>
      <w:r>
        <w:rPr>
          <w:color w:val="auto"/>
          <w:spacing w:val="-7"/>
        </w:rPr>
        <w:t>六百零二、特种设备使用单位使用的特种设备不符合能效指标，未及时采取相应措施进行整改</w:t>
      </w:r>
    </w:p>
    <w:p>
      <w:pPr>
        <w:spacing w:before="2"/>
        <w:ind w:left="591" w:right="0" w:firstLine="0"/>
        <w:jc w:val="left"/>
        <w:rPr>
          <w:b/>
          <w:color w:val="auto"/>
          <w:sz w:val="24"/>
        </w:rPr>
      </w:pPr>
      <w:r>
        <w:rPr>
          <w:b/>
          <w:color w:val="auto"/>
          <w:sz w:val="24"/>
        </w:rPr>
        <w:t>（一）处罚依据</w:t>
      </w:r>
    </w:p>
    <w:p>
      <w:pPr>
        <w:pStyle w:val="4"/>
        <w:spacing w:before="194" w:line="391" w:lineRule="auto"/>
        <w:ind w:right="242" w:firstLine="470"/>
        <w:jc w:val="both"/>
        <w:rPr>
          <w:color w:val="auto"/>
        </w:rPr>
      </w:pPr>
      <w:r>
        <w:rPr>
          <w:color w:val="auto"/>
          <w:spacing w:val="-1"/>
        </w:rPr>
        <w:t xml:space="preserve">《特种设备安全监察条例》第八十三条“特种设备使用单位有下列情形之一的， </w:t>
      </w:r>
      <w:r>
        <w:rPr>
          <w:color w:val="auto"/>
          <w:spacing w:val="-2"/>
        </w:rPr>
        <w:t xml:space="preserve">由特种设备安全监督管理部门责令限期改正；逾期未改正的，处 </w:t>
      </w:r>
      <w:r>
        <w:rPr>
          <w:color w:val="auto"/>
        </w:rPr>
        <w:t>2000</w:t>
      </w:r>
      <w:r>
        <w:rPr>
          <w:color w:val="auto"/>
          <w:spacing w:val="-19"/>
        </w:rPr>
        <w:t xml:space="preserve"> 元以上 </w:t>
      </w:r>
      <w:r>
        <w:rPr>
          <w:color w:val="auto"/>
        </w:rPr>
        <w:t>2</w:t>
      </w:r>
      <w:r>
        <w:rPr>
          <w:color w:val="auto"/>
          <w:spacing w:val="-16"/>
        </w:rPr>
        <w:t xml:space="preserve"> 万元</w:t>
      </w:r>
      <w:r>
        <w:rPr>
          <w:color w:val="auto"/>
          <w:spacing w:val="-9"/>
        </w:rPr>
        <w:t>以下罚款；情节严重的，责令停止使用或者停产停业整顿：</w:t>
      </w:r>
      <w:r>
        <w:rPr>
          <w:color w:val="auto"/>
          <w:spacing w:val="-8"/>
        </w:rPr>
        <w:t>（</w:t>
      </w:r>
      <w:r>
        <w:rPr>
          <w:color w:val="auto"/>
        </w:rPr>
        <w:t>十</w:t>
      </w:r>
      <w:r>
        <w:rPr>
          <w:color w:val="auto"/>
          <w:spacing w:val="-8"/>
        </w:rPr>
        <w:t>）</w:t>
      </w:r>
      <w:r>
        <w:rPr>
          <w:color w:val="auto"/>
        </w:rPr>
        <w:t>特种设备不符合能效指标，未及时采取相应措施进行整改的。”</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1325"/>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逾期后，15</w:t>
      </w:r>
      <w:r>
        <w:rPr>
          <w:color w:val="auto"/>
          <w:spacing w:val="-9"/>
        </w:rPr>
        <w:t xml:space="preserve"> 日内改正的。</w:t>
      </w:r>
    </w:p>
    <w:p>
      <w:pPr>
        <w:pStyle w:val="13"/>
        <w:numPr>
          <w:ilvl w:val="0"/>
          <w:numId w:val="1325"/>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5272"/>
        <w:rPr>
          <w:color w:val="auto"/>
        </w:rPr>
      </w:pPr>
      <w:r>
        <w:rPr>
          <w:color w:val="auto"/>
          <w:spacing w:val="-30"/>
        </w:rPr>
        <w:t xml:space="preserve">处 </w:t>
      </w:r>
      <w:r>
        <w:rPr>
          <w:color w:val="auto"/>
        </w:rPr>
        <w:t>2</w:t>
      </w:r>
      <w:r>
        <w:rPr>
          <w:color w:val="auto"/>
          <w:spacing w:val="-20"/>
        </w:rPr>
        <w:t xml:space="preserve"> 千元以上 </w:t>
      </w:r>
      <w:r>
        <w:rPr>
          <w:color w:val="auto"/>
        </w:rPr>
        <w:t>5</w:t>
      </w:r>
      <w:r>
        <w:rPr>
          <w:color w:val="auto"/>
          <w:spacing w:val="-10"/>
        </w:rPr>
        <w:t xml:space="preserve"> 千元以下罚款。</w:t>
      </w:r>
      <w:r>
        <w:rPr>
          <w:color w:val="auto"/>
        </w:rPr>
        <w:t>2</w:t>
      </w:r>
      <w:r>
        <w:rPr>
          <w:color w:val="auto"/>
          <w:spacing w:val="-24"/>
        </w:rPr>
        <w:t>、【一般】</w:t>
      </w:r>
    </w:p>
    <w:p>
      <w:pPr>
        <w:pStyle w:val="13"/>
        <w:numPr>
          <w:ilvl w:val="0"/>
          <w:numId w:val="132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逾期后，30</w:t>
      </w:r>
      <w:r>
        <w:rPr>
          <w:color w:val="auto"/>
          <w:spacing w:val="-9"/>
        </w:rPr>
        <w:t xml:space="preserve"> 日内改正的。</w:t>
      </w:r>
    </w:p>
    <w:p>
      <w:pPr>
        <w:pStyle w:val="13"/>
        <w:numPr>
          <w:ilvl w:val="0"/>
          <w:numId w:val="132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5152"/>
        <w:rPr>
          <w:color w:val="auto"/>
        </w:rPr>
      </w:pPr>
      <w:r>
        <w:rPr>
          <w:color w:val="auto"/>
          <w:spacing w:val="-30"/>
        </w:rPr>
        <w:t xml:space="preserve">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3</w:t>
      </w:r>
      <w:r>
        <w:rPr>
          <w:color w:val="auto"/>
          <w:spacing w:val="-24"/>
        </w:rPr>
        <w:t>、【较重】</w:t>
      </w:r>
    </w:p>
    <w:p>
      <w:pPr>
        <w:pStyle w:val="13"/>
        <w:numPr>
          <w:ilvl w:val="0"/>
          <w:numId w:val="132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逾期后，45</w:t>
      </w:r>
      <w:r>
        <w:rPr>
          <w:color w:val="auto"/>
          <w:spacing w:val="-9"/>
        </w:rPr>
        <w:t xml:space="preserve"> 日内改正的。</w:t>
      </w:r>
    </w:p>
    <w:p>
      <w:pPr>
        <w:pStyle w:val="13"/>
        <w:numPr>
          <w:ilvl w:val="0"/>
          <w:numId w:val="132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1</w:t>
      </w:r>
      <w:r>
        <w:rPr>
          <w:color w:val="auto"/>
          <w:spacing w:val="-20"/>
        </w:rPr>
        <w:t xml:space="preserve"> 万元以上 </w:t>
      </w:r>
      <w:r>
        <w:rPr>
          <w:color w:val="auto"/>
        </w:rPr>
        <w:t>1.2</w:t>
      </w:r>
      <w:r>
        <w:rPr>
          <w:color w:val="auto"/>
          <w:spacing w:val="-10"/>
        </w:rPr>
        <w:t xml:space="preserve"> 万元以下罚款。</w:t>
      </w:r>
      <w:r>
        <w:rPr>
          <w:color w:val="auto"/>
        </w:rPr>
        <w:t>4</w:t>
      </w:r>
      <w:r>
        <w:rPr>
          <w:color w:val="auto"/>
          <w:spacing w:val="-24"/>
        </w:rPr>
        <w:t>、【严重】</w:t>
      </w:r>
    </w:p>
    <w:p>
      <w:pPr>
        <w:pStyle w:val="13"/>
        <w:numPr>
          <w:ilvl w:val="0"/>
          <w:numId w:val="1328"/>
        </w:numPr>
        <w:tabs>
          <w:tab w:val="left" w:pos="1193"/>
        </w:tabs>
        <w:spacing w:before="3"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逾期后，60</w:t>
      </w:r>
      <w:r>
        <w:rPr>
          <w:color w:val="auto"/>
          <w:spacing w:val="-9"/>
        </w:rPr>
        <w:t xml:space="preserve"> 日内改正的。</w:t>
      </w:r>
    </w:p>
    <w:p>
      <w:pPr>
        <w:pStyle w:val="13"/>
        <w:numPr>
          <w:ilvl w:val="0"/>
          <w:numId w:val="1328"/>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4792"/>
        <w:rPr>
          <w:color w:val="auto"/>
        </w:rPr>
      </w:pPr>
      <w:r>
        <w:rPr>
          <w:color w:val="auto"/>
          <w:spacing w:val="-30"/>
        </w:rPr>
        <w:t xml:space="preserve">处 </w:t>
      </w:r>
      <w:r>
        <w:rPr>
          <w:color w:val="auto"/>
        </w:rPr>
        <w:t>1.2</w:t>
      </w:r>
      <w:r>
        <w:rPr>
          <w:color w:val="auto"/>
          <w:spacing w:val="-20"/>
        </w:rPr>
        <w:t xml:space="preserve"> 万元以上 </w:t>
      </w:r>
      <w:r>
        <w:rPr>
          <w:color w:val="auto"/>
        </w:rPr>
        <w:t>1.5</w:t>
      </w:r>
      <w:r>
        <w:rPr>
          <w:color w:val="auto"/>
          <w:spacing w:val="-10"/>
        </w:rPr>
        <w:t xml:space="preserve"> 万元以下罚款。</w:t>
      </w:r>
      <w:r>
        <w:rPr>
          <w:color w:val="auto"/>
        </w:rPr>
        <w:t>5</w:t>
      </w:r>
      <w:r>
        <w:rPr>
          <w:color w:val="auto"/>
          <w:spacing w:val="-18"/>
        </w:rPr>
        <w:t>、【特别严重】</w:t>
      </w:r>
    </w:p>
    <w:p>
      <w:pPr>
        <w:pStyle w:val="13"/>
        <w:numPr>
          <w:ilvl w:val="0"/>
          <w:numId w:val="132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逾期后，60 日以上改正或拒不整改的。</w:t>
      </w:r>
    </w:p>
    <w:p>
      <w:pPr>
        <w:pStyle w:val="13"/>
        <w:numPr>
          <w:ilvl w:val="0"/>
          <w:numId w:val="132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1.5 万元以上 2 万元以下罚款，责令停止使用或者停产停业整顿。</w:t>
      </w:r>
    </w:p>
    <w:p>
      <w:pPr>
        <w:pStyle w:val="2"/>
        <w:spacing w:before="191" w:line="391" w:lineRule="auto"/>
        <w:ind w:left="111" w:right="240" w:firstLine="480"/>
        <w:rPr>
          <w:color w:val="auto"/>
        </w:rPr>
      </w:pPr>
      <w:bookmarkStart w:id="1232" w:name="六百零三、在进行特种设备检验检测中，发现能耗严重超标，未及时告知特种设备使用单位"/>
      <w:bookmarkEnd w:id="1232"/>
      <w:bookmarkStart w:id="1233" w:name="_bookmark615"/>
      <w:bookmarkEnd w:id="1233"/>
      <w:r>
        <w:rPr>
          <w:color w:val="auto"/>
          <w:spacing w:val="-7"/>
        </w:rPr>
        <w:t>六百零三、在进行特种设备检验检测中，发现能耗严重超标，未及时告知特种设备使用单位，并立即向特种设备安全监督管理部门报告</w:t>
      </w:r>
    </w:p>
    <w:p>
      <w:pPr>
        <w:spacing w:before="0" w:line="306" w:lineRule="exact"/>
        <w:ind w:left="591" w:right="0" w:firstLine="0"/>
        <w:jc w:val="left"/>
        <w:rPr>
          <w:b/>
          <w:color w:val="auto"/>
          <w:sz w:val="24"/>
        </w:rPr>
      </w:pPr>
      <w:r>
        <w:rPr>
          <w:b/>
          <w:color w:val="auto"/>
          <w:sz w:val="24"/>
        </w:rPr>
        <w:t>（一）处罚依据</w:t>
      </w:r>
    </w:p>
    <w:p>
      <w:pPr>
        <w:pStyle w:val="4"/>
        <w:spacing w:before="192"/>
        <w:ind w:left="591"/>
        <w:rPr>
          <w:color w:val="auto"/>
        </w:rPr>
      </w:pPr>
      <w:r>
        <w:rPr>
          <w:color w:val="auto"/>
        </w:rPr>
        <w:t>《特种设备安全监察条例》第九十二条“特种设备检验检测机构，有下列情形之</w:t>
      </w:r>
    </w:p>
    <w:p>
      <w:pPr>
        <w:spacing w:after="0"/>
        <w:rPr>
          <w:color w:val="auto"/>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3"/>
        </w:rPr>
        <w:t xml:space="preserve">一的，由特种设备安全监督管理部门处 </w:t>
      </w:r>
      <w:r>
        <w:rPr>
          <w:color w:val="auto"/>
        </w:rPr>
        <w:t>2</w:t>
      </w:r>
      <w:r>
        <w:rPr>
          <w:color w:val="auto"/>
          <w:spacing w:val="-16"/>
        </w:rPr>
        <w:t xml:space="preserve"> 万元以上 </w:t>
      </w:r>
      <w:r>
        <w:rPr>
          <w:color w:val="auto"/>
        </w:rPr>
        <w:t>10</w:t>
      </w:r>
      <w:r>
        <w:rPr>
          <w:color w:val="auto"/>
          <w:spacing w:val="-7"/>
        </w:rPr>
        <w:t xml:space="preserve"> 万元以下罚款；情节严重的， </w:t>
      </w:r>
      <w:r>
        <w:rPr>
          <w:color w:val="auto"/>
          <w:spacing w:val="-11"/>
        </w:rPr>
        <w:t>撤销其检验检测资格：</w:t>
      </w:r>
      <w:r>
        <w:rPr>
          <w:color w:val="auto"/>
          <w:spacing w:val="2"/>
        </w:rPr>
        <w:t>（二）</w:t>
      </w:r>
      <w:r>
        <w:rPr>
          <w:color w:val="auto"/>
          <w:spacing w:val="1"/>
        </w:rPr>
        <w:t>在进行特种设备检验检测中，发现…能耗严重超标，未</w:t>
      </w:r>
      <w:r>
        <w:rPr>
          <w:color w:val="auto"/>
          <w:spacing w:val="-3"/>
        </w:rPr>
        <w:t>及时告知特种设备使用单位，并立即向特种设备安全监督管理部门报告的。”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30"/>
        </w:numPr>
        <w:tabs>
          <w:tab w:val="left" w:pos="1193"/>
        </w:tabs>
        <w:spacing w:before="0" w:after="0" w:line="388" w:lineRule="auto"/>
        <w:ind w:left="591" w:right="7072" w:firstLine="0"/>
        <w:jc w:val="left"/>
        <w:rPr>
          <w:color w:val="auto"/>
          <w:sz w:val="24"/>
        </w:rPr>
      </w:pPr>
      <w:r>
        <w:rPr>
          <w:color w:val="auto"/>
          <w:spacing w:val="-5"/>
          <w:sz w:val="24"/>
        </w:rPr>
        <w:t>违法情形</w:t>
      </w:r>
      <w:r>
        <w:rPr>
          <w:color w:val="auto"/>
          <w:sz w:val="24"/>
        </w:rPr>
        <w:t>初次违法的。</w:t>
      </w:r>
    </w:p>
    <w:p>
      <w:pPr>
        <w:pStyle w:val="13"/>
        <w:numPr>
          <w:ilvl w:val="0"/>
          <w:numId w:val="1330"/>
        </w:numPr>
        <w:tabs>
          <w:tab w:val="left" w:pos="1193"/>
        </w:tabs>
        <w:spacing w:before="0" w:after="0" w:line="240" w:lineRule="auto"/>
        <w:ind w:left="1192" w:right="0" w:hanging="602"/>
        <w:jc w:val="left"/>
        <w:rPr>
          <w:color w:val="auto"/>
          <w:sz w:val="24"/>
        </w:rPr>
      </w:pPr>
      <w:r>
        <w:rPr>
          <w:color w:val="auto"/>
          <w:sz w:val="24"/>
        </w:rPr>
        <w:t>处罚标准</w:t>
      </w:r>
    </w:p>
    <w:p>
      <w:pPr>
        <w:pStyle w:val="4"/>
        <w:spacing w:before="191" w:line="388"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4</w:t>
      </w:r>
      <w:r>
        <w:rPr>
          <w:color w:val="auto"/>
          <w:spacing w:val="-10"/>
        </w:rPr>
        <w:t xml:space="preserve"> 万元以下罚款。</w:t>
      </w:r>
      <w:r>
        <w:rPr>
          <w:color w:val="auto"/>
        </w:rPr>
        <w:t>2</w:t>
      </w:r>
      <w:r>
        <w:rPr>
          <w:color w:val="auto"/>
          <w:spacing w:val="-24"/>
        </w:rPr>
        <w:t>、【较重】</w:t>
      </w:r>
    </w:p>
    <w:p>
      <w:pPr>
        <w:pStyle w:val="13"/>
        <w:numPr>
          <w:ilvl w:val="0"/>
          <w:numId w:val="1331"/>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两次及以上违法的。</w:t>
      </w:r>
    </w:p>
    <w:p>
      <w:pPr>
        <w:pStyle w:val="13"/>
        <w:numPr>
          <w:ilvl w:val="0"/>
          <w:numId w:val="1331"/>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5272"/>
        <w:rPr>
          <w:color w:val="auto"/>
        </w:rPr>
      </w:pPr>
      <w:r>
        <w:rPr>
          <w:color w:val="auto"/>
          <w:spacing w:val="-30"/>
        </w:rPr>
        <w:t xml:space="preserve">处 </w:t>
      </w:r>
      <w:r>
        <w:rPr>
          <w:color w:val="auto"/>
        </w:rPr>
        <w:t>4</w:t>
      </w:r>
      <w:r>
        <w:rPr>
          <w:color w:val="auto"/>
          <w:spacing w:val="-20"/>
        </w:rPr>
        <w:t xml:space="preserve"> 万元以上 </w:t>
      </w:r>
      <w:r>
        <w:rPr>
          <w:color w:val="auto"/>
        </w:rPr>
        <w:t>7</w:t>
      </w:r>
      <w:r>
        <w:rPr>
          <w:color w:val="auto"/>
          <w:spacing w:val="-10"/>
        </w:rPr>
        <w:t xml:space="preserve"> 万元以下罚款。</w:t>
      </w:r>
      <w:r>
        <w:rPr>
          <w:color w:val="auto"/>
        </w:rPr>
        <w:t>3</w:t>
      </w:r>
      <w:r>
        <w:rPr>
          <w:color w:val="auto"/>
          <w:spacing w:val="-24"/>
        </w:rPr>
        <w:t>、【严重】</w:t>
      </w:r>
    </w:p>
    <w:p>
      <w:pPr>
        <w:pStyle w:val="13"/>
        <w:numPr>
          <w:ilvl w:val="0"/>
          <w:numId w:val="133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已造成不良后果的。</w:t>
      </w:r>
    </w:p>
    <w:p>
      <w:pPr>
        <w:pStyle w:val="13"/>
        <w:numPr>
          <w:ilvl w:val="0"/>
          <w:numId w:val="1332"/>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处 7 万元以上 10 万元以下罚款，撤销其检验检测资格。</w:t>
      </w:r>
    </w:p>
    <w:p>
      <w:pPr>
        <w:pStyle w:val="2"/>
        <w:spacing w:before="194"/>
        <w:rPr>
          <w:color w:val="auto"/>
        </w:rPr>
      </w:pPr>
      <w:bookmarkStart w:id="1234" w:name="六百零四、制造单位没有采用符合安全技术规范要求的起重机械设计文件"/>
      <w:bookmarkEnd w:id="1234"/>
      <w:bookmarkStart w:id="1235" w:name="_bookmark616"/>
      <w:bookmarkEnd w:id="1235"/>
      <w:r>
        <w:rPr>
          <w:color w:val="auto"/>
        </w:rPr>
        <w:t>六百零四、制造单位没有采用符合安全技术规范要求的起重机械设计文件</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70"/>
        <w:rPr>
          <w:color w:val="auto"/>
        </w:rPr>
      </w:pPr>
      <w:r>
        <w:rPr>
          <w:color w:val="auto"/>
        </w:rPr>
        <w:t>1、《起重机械安全监察规定》第三十三条“违反本规定第六条规定的，责令改正，处以 2 万元以上 3 万元以下罚款。”</w:t>
      </w:r>
    </w:p>
    <w:p>
      <w:pPr>
        <w:pStyle w:val="4"/>
        <w:spacing w:line="388" w:lineRule="auto"/>
        <w:ind w:right="271" w:firstLine="470"/>
        <w:rPr>
          <w:color w:val="auto"/>
        </w:rPr>
      </w:pPr>
      <w:r>
        <w:rPr>
          <w:color w:val="auto"/>
        </w:rPr>
        <w:t>2、《起重机械安全监察规定》第六条“制造单位应当采用符合安全技术规范要求的起重机械设计文件。”</w:t>
      </w:r>
    </w:p>
    <w:p>
      <w:pPr>
        <w:spacing w:before="3" w:line="388" w:lineRule="auto"/>
        <w:ind w:left="591" w:right="6948" w:firstLine="0"/>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footerReference r:id="rId149" w:type="default"/>
          <w:footerReference r:id="rId150" w:type="even"/>
          <w:pgSz w:w="11910" w:h="16840"/>
          <w:pgMar w:top="1520" w:right="1260" w:bottom="1720" w:left="1420" w:header="0" w:footer="1526" w:gutter="0"/>
          <w:pgNumType w:start="585"/>
        </w:sectPr>
      </w:pPr>
    </w:p>
    <w:p>
      <w:pPr>
        <w:pStyle w:val="4"/>
        <w:spacing w:before="39"/>
        <w:ind w:left="591"/>
        <w:rPr>
          <w:color w:val="auto"/>
        </w:rPr>
      </w:pPr>
      <w:r>
        <w:rPr>
          <w:color w:val="auto"/>
        </w:rPr>
        <w:t>初次违反规定。</w:t>
      </w:r>
    </w:p>
    <w:p>
      <w:pPr>
        <w:pStyle w:val="4"/>
        <w:spacing w:before="195"/>
        <w:ind w:left="591"/>
        <w:rPr>
          <w:color w:val="auto"/>
        </w:rPr>
      </w:pPr>
      <w:r>
        <w:rPr>
          <w:color w:val="auto"/>
        </w:rPr>
        <w:t>（2）处罚标准</w:t>
      </w:r>
    </w:p>
    <w:p>
      <w:pPr>
        <w:pStyle w:val="4"/>
        <w:spacing w:before="191" w:line="388" w:lineRule="auto"/>
        <w:ind w:left="591" w:right="5752"/>
        <w:rPr>
          <w:color w:val="auto"/>
        </w:rPr>
      </w:pPr>
      <w:r>
        <w:rPr>
          <w:color w:val="auto"/>
          <w:spacing w:val="-9"/>
        </w:rPr>
        <w:t xml:space="preserve">责令改正，处 </w:t>
      </w:r>
      <w:r>
        <w:rPr>
          <w:color w:val="auto"/>
        </w:rPr>
        <w:t>2</w:t>
      </w:r>
      <w:r>
        <w:rPr>
          <w:color w:val="auto"/>
          <w:spacing w:val="-13"/>
        </w:rPr>
        <w:t xml:space="preserve"> 万元罚款。</w:t>
      </w:r>
      <w:r>
        <w:rPr>
          <w:color w:val="auto"/>
        </w:rPr>
        <w:t>2</w:t>
      </w:r>
      <w:r>
        <w:rPr>
          <w:color w:val="auto"/>
          <w:spacing w:val="-24"/>
        </w:rPr>
        <w:t>、【一般】</w:t>
      </w:r>
    </w:p>
    <w:p>
      <w:pPr>
        <w:pStyle w:val="13"/>
        <w:numPr>
          <w:ilvl w:val="0"/>
          <w:numId w:val="133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违反规定，造成一定影响的。</w:t>
      </w:r>
    </w:p>
    <w:p>
      <w:pPr>
        <w:pStyle w:val="13"/>
        <w:numPr>
          <w:ilvl w:val="0"/>
          <w:numId w:val="1333"/>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9"/>
        </w:rPr>
        <w:t xml:space="preserve">责令改正，处 </w:t>
      </w:r>
      <w:r>
        <w:rPr>
          <w:color w:val="auto"/>
        </w:rPr>
        <w:t>2</w:t>
      </w:r>
      <w:r>
        <w:rPr>
          <w:color w:val="auto"/>
          <w:spacing w:val="-20"/>
        </w:rPr>
        <w:t xml:space="preserve"> 万元以上 </w:t>
      </w:r>
      <w:r>
        <w:rPr>
          <w:color w:val="auto"/>
        </w:rPr>
        <w:t>2.5</w:t>
      </w:r>
      <w:r>
        <w:rPr>
          <w:color w:val="auto"/>
          <w:spacing w:val="-10"/>
        </w:rPr>
        <w:t xml:space="preserve"> 万元以下罚款。</w:t>
      </w:r>
      <w:r>
        <w:rPr>
          <w:color w:val="auto"/>
        </w:rPr>
        <w:t>3</w:t>
      </w:r>
      <w:r>
        <w:rPr>
          <w:color w:val="auto"/>
          <w:spacing w:val="-24"/>
        </w:rPr>
        <w:t>、【严重】</w:t>
      </w:r>
    </w:p>
    <w:p>
      <w:pPr>
        <w:pStyle w:val="13"/>
        <w:numPr>
          <w:ilvl w:val="0"/>
          <w:numId w:val="133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已造成不良后果的。</w:t>
      </w:r>
    </w:p>
    <w:p>
      <w:pPr>
        <w:pStyle w:val="13"/>
        <w:numPr>
          <w:ilvl w:val="0"/>
          <w:numId w:val="1334"/>
        </w:numPr>
        <w:tabs>
          <w:tab w:val="left" w:pos="1193"/>
        </w:tabs>
        <w:spacing w:before="191" w:after="0" w:line="240" w:lineRule="auto"/>
        <w:ind w:left="1192" w:right="0" w:hanging="602"/>
        <w:jc w:val="left"/>
        <w:rPr>
          <w:color w:val="auto"/>
          <w:sz w:val="24"/>
        </w:rPr>
      </w:pPr>
      <w:r>
        <w:rPr>
          <w:color w:val="auto"/>
          <w:sz w:val="24"/>
        </w:rPr>
        <w:t>处罚标准</w:t>
      </w:r>
    </w:p>
    <w:p>
      <w:pPr>
        <w:spacing w:before="192" w:line="391" w:lineRule="auto"/>
        <w:ind w:left="591" w:right="3816" w:firstLine="0"/>
        <w:jc w:val="left"/>
        <w:rPr>
          <w:b/>
          <w:color w:val="auto"/>
          <w:sz w:val="24"/>
        </w:rPr>
      </w:pPr>
      <w:r>
        <w:rPr>
          <w:color w:val="auto"/>
          <w:spacing w:val="-9"/>
          <w:sz w:val="24"/>
        </w:rPr>
        <w:t xml:space="preserve">责令改正，处 </w:t>
      </w:r>
      <w:r>
        <w:rPr>
          <w:color w:val="auto"/>
          <w:sz w:val="24"/>
        </w:rPr>
        <w:t>2.5</w:t>
      </w:r>
      <w:r>
        <w:rPr>
          <w:color w:val="auto"/>
          <w:spacing w:val="-20"/>
          <w:sz w:val="24"/>
        </w:rPr>
        <w:t xml:space="preserve"> 万元以上 </w:t>
      </w:r>
      <w:r>
        <w:rPr>
          <w:color w:val="auto"/>
          <w:sz w:val="24"/>
        </w:rPr>
        <w:t>3</w:t>
      </w:r>
      <w:r>
        <w:rPr>
          <w:color w:val="auto"/>
          <w:spacing w:val="-8"/>
          <w:sz w:val="24"/>
        </w:rPr>
        <w:t xml:space="preserve"> 万元以下罚款。</w:t>
      </w:r>
      <w:bookmarkStart w:id="1236" w:name="六百零五、未在被许可的场所内制造起重机械"/>
      <w:bookmarkEnd w:id="1236"/>
      <w:bookmarkStart w:id="1237" w:name="_bookmark617"/>
      <w:bookmarkEnd w:id="1237"/>
      <w:r>
        <w:rPr>
          <w:b/>
          <w:color w:val="auto"/>
          <w:spacing w:val="-9"/>
          <w:sz w:val="24"/>
        </w:rPr>
        <w:t>六百零五、未在被许可的场所内制造起重机械</w:t>
      </w:r>
    </w:p>
    <w:p>
      <w:pPr>
        <w:pStyle w:val="2"/>
        <w:spacing w:line="306" w:lineRule="exact"/>
        <w:rPr>
          <w:color w:val="auto"/>
        </w:rPr>
      </w:pPr>
      <w:r>
        <w:rPr>
          <w:color w:val="auto"/>
        </w:rPr>
        <w:t>（一）处罚依据</w:t>
      </w:r>
    </w:p>
    <w:p>
      <w:pPr>
        <w:pStyle w:val="4"/>
        <w:spacing w:before="192" w:line="391" w:lineRule="auto"/>
        <w:ind w:right="232" w:firstLine="470"/>
        <w:jc w:val="right"/>
        <w:rPr>
          <w:color w:val="auto"/>
        </w:rPr>
      </w:pPr>
      <w:r>
        <w:rPr>
          <w:color w:val="auto"/>
          <w:spacing w:val="-4"/>
        </w:rPr>
        <w:t>1</w:t>
      </w:r>
      <w:r>
        <w:rPr>
          <w:color w:val="auto"/>
          <w:spacing w:val="-5"/>
        </w:rPr>
        <w:t>.《起重机械安全监察规定》第三十四条“制造单位违反本规定第九条规定，未</w:t>
      </w:r>
      <w:r>
        <w:rPr>
          <w:color w:val="auto"/>
          <w:spacing w:val="-8"/>
        </w:rPr>
        <w:t xml:space="preserve">在被许可的场所内制造起重机械的，责令改正，处以 </w:t>
      </w:r>
      <w:r>
        <w:rPr>
          <w:color w:val="auto"/>
        </w:rPr>
        <w:t>2</w:t>
      </w:r>
      <w:r>
        <w:rPr>
          <w:color w:val="auto"/>
          <w:spacing w:val="-20"/>
        </w:rPr>
        <w:t xml:space="preserve"> 万元以上 </w:t>
      </w:r>
      <w:r>
        <w:rPr>
          <w:color w:val="auto"/>
        </w:rPr>
        <w:t>3</w:t>
      </w:r>
      <w:r>
        <w:rPr>
          <w:color w:val="auto"/>
          <w:spacing w:val="-9"/>
        </w:rPr>
        <w:t xml:space="preserve"> 万元以下罚款。”</w:t>
      </w:r>
      <w:r>
        <w:rPr>
          <w:color w:val="auto"/>
        </w:rPr>
        <w:t xml:space="preserve"> </w:t>
      </w:r>
      <w:r>
        <w:rPr>
          <w:color w:val="auto"/>
          <w:spacing w:val="-5"/>
        </w:rPr>
        <w:t>2</w:t>
      </w:r>
      <w:r>
        <w:rPr>
          <w:color w:val="auto"/>
          <w:spacing w:val="-4"/>
        </w:rPr>
        <w:t>.《起重机械安全监察规定》第九条“制造单位应当在被许可的场所内制造起重</w:t>
      </w:r>
    </w:p>
    <w:p>
      <w:pPr>
        <w:pStyle w:val="4"/>
        <w:spacing w:line="391" w:lineRule="auto"/>
        <w:ind w:right="230"/>
        <w:rPr>
          <w:color w:val="auto"/>
        </w:rPr>
      </w:pPr>
      <w:r>
        <w:rPr>
          <w:color w:val="auto"/>
        </w:rPr>
        <w:t>机械；但结构不可拆分且运输超限的，可以在使用现场制造，由制造现场所在地的检验检测机构按照安全技术规范等要求进行监督检验。”</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35"/>
        </w:numPr>
        <w:tabs>
          <w:tab w:val="left" w:pos="1193"/>
        </w:tabs>
        <w:spacing w:before="0" w:after="0" w:line="388" w:lineRule="auto"/>
        <w:ind w:left="591" w:right="6952" w:firstLine="0"/>
        <w:jc w:val="left"/>
        <w:rPr>
          <w:color w:val="auto"/>
          <w:sz w:val="24"/>
        </w:rPr>
      </w:pPr>
      <w:r>
        <w:rPr>
          <w:color w:val="auto"/>
          <w:sz w:val="24"/>
        </w:rPr>
        <w:t>违法情形</w:t>
      </w:r>
      <w:r>
        <w:rPr>
          <w:color w:val="auto"/>
          <w:spacing w:val="-3"/>
          <w:sz w:val="24"/>
        </w:rPr>
        <w:t>初次违反规定。</w:t>
      </w:r>
    </w:p>
    <w:p>
      <w:pPr>
        <w:pStyle w:val="13"/>
        <w:numPr>
          <w:ilvl w:val="0"/>
          <w:numId w:val="1335"/>
        </w:numPr>
        <w:tabs>
          <w:tab w:val="left" w:pos="1193"/>
        </w:tabs>
        <w:spacing w:before="1" w:after="0" w:line="240" w:lineRule="auto"/>
        <w:ind w:left="1192" w:right="0" w:hanging="602"/>
        <w:jc w:val="left"/>
        <w:rPr>
          <w:color w:val="auto"/>
          <w:sz w:val="24"/>
        </w:rPr>
      </w:pPr>
      <w:r>
        <w:rPr>
          <w:color w:val="auto"/>
          <w:sz w:val="24"/>
        </w:rPr>
        <w:t>处罚标准</w:t>
      </w:r>
    </w:p>
    <w:p>
      <w:pPr>
        <w:pStyle w:val="4"/>
        <w:spacing w:before="194" w:line="388" w:lineRule="auto"/>
        <w:ind w:left="591" w:right="5752"/>
        <w:rPr>
          <w:color w:val="auto"/>
        </w:rPr>
      </w:pPr>
      <w:r>
        <w:rPr>
          <w:color w:val="auto"/>
          <w:spacing w:val="-9"/>
        </w:rPr>
        <w:t xml:space="preserve">责令改正，处 </w:t>
      </w:r>
      <w:r>
        <w:rPr>
          <w:color w:val="auto"/>
        </w:rPr>
        <w:t>2</w:t>
      </w:r>
      <w:r>
        <w:rPr>
          <w:color w:val="auto"/>
          <w:spacing w:val="-13"/>
        </w:rPr>
        <w:t xml:space="preserve"> 万元罚款。</w:t>
      </w:r>
      <w:r>
        <w:rPr>
          <w:color w:val="auto"/>
        </w:rPr>
        <w:t>2</w:t>
      </w:r>
      <w:r>
        <w:rPr>
          <w:color w:val="auto"/>
          <w:spacing w:val="-24"/>
        </w:rPr>
        <w:t>、【一般】</w:t>
      </w:r>
    </w:p>
    <w:p>
      <w:pPr>
        <w:pStyle w:val="13"/>
        <w:numPr>
          <w:ilvl w:val="0"/>
          <w:numId w:val="1336"/>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违反规定，造成一定影响的。</w:t>
      </w:r>
    </w:p>
    <w:p>
      <w:pPr>
        <w:pStyle w:val="13"/>
        <w:numPr>
          <w:ilvl w:val="0"/>
          <w:numId w:val="1336"/>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3832"/>
        <w:rPr>
          <w:color w:val="auto"/>
        </w:rPr>
      </w:pPr>
      <w:r>
        <w:rPr>
          <w:color w:val="auto"/>
          <w:spacing w:val="-9"/>
        </w:rPr>
        <w:t xml:space="preserve">责令改正，处 </w:t>
      </w:r>
      <w:r>
        <w:rPr>
          <w:color w:val="auto"/>
        </w:rPr>
        <w:t>2</w:t>
      </w:r>
      <w:r>
        <w:rPr>
          <w:color w:val="auto"/>
          <w:spacing w:val="-20"/>
        </w:rPr>
        <w:t xml:space="preserve"> 万元以上 </w:t>
      </w:r>
      <w:r>
        <w:rPr>
          <w:color w:val="auto"/>
        </w:rPr>
        <w:t>2.5</w:t>
      </w:r>
      <w:r>
        <w:rPr>
          <w:color w:val="auto"/>
          <w:spacing w:val="-10"/>
        </w:rPr>
        <w:t xml:space="preserve"> 万元以下罚款。</w:t>
      </w:r>
      <w:r>
        <w:rPr>
          <w:color w:val="auto"/>
        </w:rPr>
        <w:t>3</w:t>
      </w:r>
      <w:r>
        <w:rPr>
          <w:color w:val="auto"/>
          <w:spacing w:val="-24"/>
        </w:rPr>
        <w:t>、【严重】</w:t>
      </w:r>
    </w:p>
    <w:p>
      <w:pPr>
        <w:pStyle w:val="13"/>
        <w:numPr>
          <w:ilvl w:val="0"/>
          <w:numId w:val="133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已造成不良后果的。</w:t>
      </w:r>
    </w:p>
    <w:p>
      <w:pPr>
        <w:pStyle w:val="13"/>
        <w:numPr>
          <w:ilvl w:val="0"/>
          <w:numId w:val="133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jc w:val="both"/>
        <w:rPr>
          <w:color w:val="auto"/>
        </w:rPr>
      </w:pPr>
      <w:r>
        <w:rPr>
          <w:color w:val="auto"/>
        </w:rPr>
        <w:t>责令改正，处 2.5 万元以上 3 万元以下罚款。</w:t>
      </w:r>
    </w:p>
    <w:p>
      <w:pPr>
        <w:pStyle w:val="2"/>
        <w:spacing w:before="192" w:line="391" w:lineRule="auto"/>
        <w:ind w:left="111" w:right="235" w:firstLine="480"/>
        <w:jc w:val="both"/>
        <w:rPr>
          <w:color w:val="auto"/>
        </w:rPr>
      </w:pPr>
      <w:bookmarkStart w:id="1238" w:name="_bookmark618"/>
      <w:bookmarkEnd w:id="1238"/>
      <w:bookmarkStart w:id="1239" w:name="六百零六、制造单位违反规定将主要受力结构件全部委托加工或者购买并用于起重机械制造"/>
      <w:bookmarkEnd w:id="1239"/>
      <w:r>
        <w:rPr>
          <w:color w:val="auto"/>
          <w:spacing w:val="-9"/>
        </w:rPr>
        <w:t>六百零六、制造单位违反规定将主要受力结构件全部委托加工或者购买并用于起</w:t>
      </w:r>
      <w:r>
        <w:rPr>
          <w:color w:val="auto"/>
          <w:spacing w:val="-10"/>
        </w:rPr>
        <w:t>重机械制造；主要受力结构件需要部分委托加工或者购买，制造单位委托未取得相应</w:t>
      </w:r>
      <w:r>
        <w:rPr>
          <w:color w:val="auto"/>
          <w:spacing w:val="3"/>
          <w:w w:val="95"/>
        </w:rPr>
        <w:t xml:space="preserve">起重机械类型和级别资质的制造单位加工或者购买其加工的主要受力结构件并用于  </w:t>
      </w:r>
      <w:r>
        <w:rPr>
          <w:color w:val="auto"/>
          <w:spacing w:val="3"/>
        </w:rPr>
        <w:t>起重机械制造</w:t>
      </w:r>
    </w:p>
    <w:p>
      <w:pPr>
        <w:spacing w:before="0" w:line="302" w:lineRule="exact"/>
        <w:ind w:left="591" w:right="0" w:firstLine="0"/>
        <w:jc w:val="left"/>
        <w:rPr>
          <w:b/>
          <w:color w:val="auto"/>
          <w:sz w:val="24"/>
        </w:rPr>
      </w:pPr>
      <w:r>
        <w:rPr>
          <w:b/>
          <w:color w:val="auto"/>
          <w:sz w:val="24"/>
        </w:rPr>
        <w:t>（一）处罚依据</w:t>
      </w:r>
    </w:p>
    <w:p>
      <w:pPr>
        <w:pStyle w:val="4"/>
        <w:spacing w:before="194" w:line="388" w:lineRule="auto"/>
        <w:ind w:right="268" w:firstLine="470"/>
        <w:rPr>
          <w:color w:val="auto"/>
        </w:rPr>
      </w:pPr>
      <w:r>
        <w:rPr>
          <w:color w:val="auto"/>
        </w:rPr>
        <w:t>1、《起重机械安全监察规定》第三十五条“违反本规定第十条第一款或者第二款规定的，责令改正，处以 1 万元以上 3 万元以下罚款。”</w:t>
      </w:r>
    </w:p>
    <w:p>
      <w:pPr>
        <w:pStyle w:val="4"/>
        <w:spacing w:before="2" w:line="391" w:lineRule="auto"/>
        <w:ind w:right="109" w:firstLine="470"/>
        <w:rPr>
          <w:color w:val="auto"/>
        </w:rPr>
      </w:pPr>
      <w:r>
        <w:rPr>
          <w:color w:val="auto"/>
        </w:rPr>
        <w:t>2、《起重机械安全监察规定》第十条“制造单位不得将主要受力结构件（主梁、主副吊臂、主支撑腿、标准节，下同）全部委托加工或者购买并用于起重机械制造。</w:t>
      </w:r>
    </w:p>
    <w:p>
      <w:pPr>
        <w:pStyle w:val="4"/>
        <w:spacing w:line="391" w:lineRule="auto"/>
        <w:ind w:right="268" w:firstLine="470"/>
        <w:jc w:val="both"/>
        <w:rPr>
          <w:color w:val="auto"/>
        </w:rPr>
      </w:pPr>
      <w:r>
        <w:rPr>
          <w:color w:val="auto"/>
          <w:spacing w:val="-3"/>
        </w:rPr>
        <w:t>主要受力结构件需要部分委托加工或者购买的，制造单位应当委托取得相应起重</w:t>
      </w:r>
      <w:r>
        <w:rPr>
          <w:color w:val="auto"/>
          <w:spacing w:val="3"/>
        </w:rPr>
        <w:t>机械类型和级别资质的制造单位加工或者购买其加工的主要受力结构件并用于起重机械制造。”</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38"/>
        </w:numPr>
        <w:tabs>
          <w:tab w:val="left" w:pos="1193"/>
        </w:tabs>
        <w:spacing w:before="0" w:after="0" w:line="388" w:lineRule="auto"/>
        <w:ind w:left="591" w:right="6952" w:firstLine="0"/>
        <w:jc w:val="left"/>
        <w:rPr>
          <w:color w:val="auto"/>
          <w:sz w:val="24"/>
        </w:rPr>
      </w:pPr>
      <w:r>
        <w:rPr>
          <w:color w:val="auto"/>
          <w:sz w:val="24"/>
        </w:rPr>
        <w:t>违法情形</w:t>
      </w:r>
      <w:r>
        <w:rPr>
          <w:color w:val="auto"/>
          <w:spacing w:val="-3"/>
          <w:sz w:val="24"/>
        </w:rPr>
        <w:t>初次违反规定。</w:t>
      </w:r>
    </w:p>
    <w:p>
      <w:pPr>
        <w:pStyle w:val="13"/>
        <w:numPr>
          <w:ilvl w:val="0"/>
          <w:numId w:val="1338"/>
        </w:numPr>
        <w:tabs>
          <w:tab w:val="left" w:pos="1193"/>
        </w:tabs>
        <w:spacing w:before="1" w:after="0" w:line="240" w:lineRule="auto"/>
        <w:ind w:left="1192" w:right="0" w:hanging="602"/>
        <w:jc w:val="left"/>
        <w:rPr>
          <w:color w:val="auto"/>
          <w:sz w:val="24"/>
        </w:rPr>
      </w:pPr>
      <w:r>
        <w:rPr>
          <w:color w:val="auto"/>
          <w:sz w:val="24"/>
        </w:rPr>
        <w:t>处罚标准</w:t>
      </w:r>
    </w:p>
    <w:p>
      <w:pPr>
        <w:pStyle w:val="4"/>
        <w:spacing w:before="195" w:line="388" w:lineRule="auto"/>
        <w:ind w:left="591" w:right="5752"/>
        <w:rPr>
          <w:color w:val="auto"/>
        </w:rPr>
      </w:pPr>
      <w:r>
        <w:rPr>
          <w:color w:val="auto"/>
          <w:spacing w:val="-9"/>
        </w:rPr>
        <w:t xml:space="preserve">责令改正，处 </w:t>
      </w:r>
      <w:r>
        <w:rPr>
          <w:color w:val="auto"/>
        </w:rPr>
        <w:t>1</w:t>
      </w:r>
      <w:r>
        <w:rPr>
          <w:color w:val="auto"/>
          <w:spacing w:val="-13"/>
        </w:rPr>
        <w:t xml:space="preserve"> 万元罚款。</w:t>
      </w:r>
      <w:r>
        <w:rPr>
          <w:color w:val="auto"/>
        </w:rPr>
        <w:t>2</w:t>
      </w:r>
      <w:r>
        <w:rPr>
          <w:color w:val="auto"/>
          <w:spacing w:val="-24"/>
        </w:rPr>
        <w:t>、【一般】</w:t>
      </w:r>
    </w:p>
    <w:p>
      <w:pPr>
        <w:spacing w:after="0" w:line="388" w:lineRule="auto"/>
        <w:rPr>
          <w:color w:val="auto"/>
        </w:rPr>
        <w:sectPr>
          <w:pgSz w:w="11910" w:h="16840"/>
          <w:pgMar w:top="1520" w:right="1260" w:bottom="1720" w:left="1420" w:header="0" w:footer="1526" w:gutter="0"/>
        </w:sectPr>
      </w:pPr>
    </w:p>
    <w:p>
      <w:pPr>
        <w:pStyle w:val="4"/>
        <w:spacing w:before="39"/>
        <w:ind w:left="591"/>
        <w:rPr>
          <w:color w:val="auto"/>
        </w:rPr>
      </w:pPr>
      <w:r>
        <w:rPr>
          <w:color w:val="auto"/>
        </w:rPr>
        <w:t>违反规定，造成一定影响的。</w:t>
      </w:r>
    </w:p>
    <w:p>
      <w:pPr>
        <w:pStyle w:val="4"/>
        <w:spacing w:before="195"/>
        <w:ind w:left="591"/>
        <w:rPr>
          <w:color w:val="auto"/>
        </w:rPr>
      </w:pPr>
      <w:r>
        <w:rPr>
          <w:color w:val="auto"/>
        </w:rPr>
        <w:t>（2）处罚标准</w:t>
      </w:r>
    </w:p>
    <w:p>
      <w:pPr>
        <w:pStyle w:val="4"/>
        <w:spacing w:before="191" w:line="388" w:lineRule="auto"/>
        <w:ind w:left="591" w:right="4072"/>
        <w:rPr>
          <w:color w:val="auto"/>
        </w:rPr>
      </w:pPr>
      <w:r>
        <w:rPr>
          <w:color w:val="auto"/>
          <w:spacing w:val="-9"/>
        </w:rPr>
        <w:t xml:space="preserve">责令改正，处 </w:t>
      </w:r>
      <w:r>
        <w:rPr>
          <w:color w:val="auto"/>
        </w:rPr>
        <w:t>1</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339"/>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已造成不良后果的。</w:t>
      </w:r>
    </w:p>
    <w:p>
      <w:pPr>
        <w:pStyle w:val="13"/>
        <w:numPr>
          <w:ilvl w:val="0"/>
          <w:numId w:val="133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责令改正，处 2 万元以上 3 万元以下罚款。</w:t>
      </w:r>
    </w:p>
    <w:p>
      <w:pPr>
        <w:pStyle w:val="2"/>
        <w:spacing w:before="192" w:line="388" w:lineRule="auto"/>
        <w:ind w:left="111" w:right="240" w:firstLine="480"/>
        <w:rPr>
          <w:color w:val="auto"/>
        </w:rPr>
      </w:pPr>
      <w:bookmarkStart w:id="1240" w:name="六百零七、起重机械拆卸施工单位施工前，未制定周密的拆卸作业指导书，未按照拆卸作业"/>
      <w:bookmarkEnd w:id="1240"/>
      <w:bookmarkStart w:id="1241" w:name="_bookmark619"/>
      <w:bookmarkEnd w:id="1241"/>
      <w:r>
        <w:rPr>
          <w:color w:val="auto"/>
          <w:spacing w:val="-7"/>
        </w:rPr>
        <w:t>六百零七、起重机械拆卸施工单位施工前，未制定周密的拆卸作业指导书，未按照拆卸作业指导书的要求进行施工</w:t>
      </w:r>
    </w:p>
    <w:p>
      <w:pPr>
        <w:spacing w:before="5"/>
        <w:ind w:left="591" w:right="0" w:firstLine="0"/>
        <w:jc w:val="left"/>
        <w:rPr>
          <w:b/>
          <w:color w:val="auto"/>
          <w:sz w:val="24"/>
        </w:rPr>
      </w:pPr>
      <w:r>
        <w:rPr>
          <w:b/>
          <w:color w:val="auto"/>
          <w:sz w:val="24"/>
        </w:rPr>
        <w:t>（一）处罚依据</w:t>
      </w:r>
    </w:p>
    <w:p>
      <w:pPr>
        <w:pStyle w:val="4"/>
        <w:spacing w:before="191" w:line="388" w:lineRule="auto"/>
        <w:ind w:right="268" w:firstLine="470"/>
        <w:jc w:val="both"/>
        <w:rPr>
          <w:color w:val="auto"/>
        </w:rPr>
      </w:pPr>
      <w:r>
        <w:rPr>
          <w:color w:val="auto"/>
        </w:rPr>
        <w:t>1、《起重机械安全监察规定》第三十九条“违反本规定第二十五条第二款规定的，责令改正，处以 1 万元以下罚款。”</w:t>
      </w:r>
    </w:p>
    <w:p>
      <w:pPr>
        <w:pStyle w:val="4"/>
        <w:spacing w:before="5" w:line="388" w:lineRule="auto"/>
        <w:ind w:right="268" w:firstLine="470"/>
        <w:jc w:val="both"/>
        <w:rPr>
          <w:color w:val="auto"/>
        </w:rPr>
      </w:pPr>
      <w:r>
        <w:rPr>
          <w:color w:val="auto"/>
        </w:rPr>
        <w:t>2、《起重机械安全监察规定》第二十五条第二款“起重机械拆卸施工前，应当</w:t>
      </w:r>
      <w:r>
        <w:rPr>
          <w:color w:val="auto"/>
          <w:spacing w:val="-4"/>
        </w:rPr>
        <w:t>制定周密的拆卸作业指导书，按照拆卸作业指导书的要求进行施工，保证起重机械拆</w:t>
      </w:r>
      <w:r>
        <w:rPr>
          <w:color w:val="auto"/>
        </w:rPr>
        <w:t>卸过程的安全。”</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40"/>
        </w:numPr>
        <w:tabs>
          <w:tab w:val="left" w:pos="1193"/>
        </w:tabs>
        <w:spacing w:before="2" w:after="0" w:line="391" w:lineRule="auto"/>
        <w:ind w:left="591" w:right="6952" w:firstLine="0"/>
        <w:jc w:val="left"/>
        <w:rPr>
          <w:color w:val="auto"/>
          <w:sz w:val="24"/>
        </w:rPr>
      </w:pPr>
      <w:r>
        <w:rPr>
          <w:color w:val="auto"/>
          <w:sz w:val="24"/>
        </w:rPr>
        <w:t>违法情形</w:t>
      </w:r>
      <w:r>
        <w:rPr>
          <w:color w:val="auto"/>
          <w:spacing w:val="-3"/>
          <w:sz w:val="24"/>
        </w:rPr>
        <w:t>初次违反规定。</w:t>
      </w:r>
    </w:p>
    <w:p>
      <w:pPr>
        <w:pStyle w:val="13"/>
        <w:numPr>
          <w:ilvl w:val="0"/>
          <w:numId w:val="134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left="591" w:right="5152"/>
        <w:rPr>
          <w:color w:val="auto"/>
        </w:rPr>
      </w:pPr>
      <w:r>
        <w:rPr>
          <w:color w:val="auto"/>
          <w:spacing w:val="-9"/>
        </w:rPr>
        <w:t xml:space="preserve">责令改正，处 </w:t>
      </w:r>
      <w:r>
        <w:rPr>
          <w:color w:val="auto"/>
        </w:rPr>
        <w:t>3000</w:t>
      </w:r>
      <w:r>
        <w:rPr>
          <w:color w:val="auto"/>
          <w:spacing w:val="-11"/>
        </w:rPr>
        <w:t xml:space="preserve"> 元以下罚款。</w:t>
      </w:r>
      <w:r>
        <w:rPr>
          <w:color w:val="auto"/>
        </w:rPr>
        <w:t>2</w:t>
      </w:r>
      <w:r>
        <w:rPr>
          <w:color w:val="auto"/>
          <w:spacing w:val="-24"/>
        </w:rPr>
        <w:t>、【较重】</w:t>
      </w:r>
    </w:p>
    <w:p>
      <w:pPr>
        <w:pStyle w:val="13"/>
        <w:numPr>
          <w:ilvl w:val="0"/>
          <w:numId w:val="1341"/>
        </w:numPr>
        <w:tabs>
          <w:tab w:val="left" w:pos="1193"/>
        </w:tabs>
        <w:spacing w:before="0" w:after="0" w:line="388" w:lineRule="auto"/>
        <w:ind w:left="591" w:right="6952" w:firstLine="0"/>
        <w:jc w:val="left"/>
        <w:rPr>
          <w:color w:val="auto"/>
          <w:sz w:val="24"/>
        </w:rPr>
      </w:pPr>
      <w:r>
        <w:rPr>
          <w:color w:val="auto"/>
          <w:sz w:val="24"/>
        </w:rPr>
        <w:t>违法情形</w:t>
      </w:r>
      <w:r>
        <w:rPr>
          <w:color w:val="auto"/>
          <w:spacing w:val="-3"/>
          <w:sz w:val="24"/>
        </w:rPr>
        <w:t>屡次违反规定。</w:t>
      </w:r>
    </w:p>
    <w:p>
      <w:pPr>
        <w:pStyle w:val="13"/>
        <w:numPr>
          <w:ilvl w:val="0"/>
          <w:numId w:val="1341"/>
        </w:numPr>
        <w:tabs>
          <w:tab w:val="left" w:pos="1193"/>
        </w:tabs>
        <w:spacing w:before="3" w:after="0" w:line="240" w:lineRule="auto"/>
        <w:ind w:left="1192" w:right="0" w:hanging="602"/>
        <w:jc w:val="left"/>
        <w:rPr>
          <w:color w:val="auto"/>
          <w:sz w:val="24"/>
        </w:rPr>
      </w:pPr>
      <w:r>
        <w:rPr>
          <w:color w:val="auto"/>
          <w:sz w:val="24"/>
        </w:rPr>
        <w:t>处罚标准</w:t>
      </w:r>
    </w:p>
    <w:p>
      <w:pPr>
        <w:pStyle w:val="4"/>
        <w:spacing w:before="192" w:line="388" w:lineRule="auto"/>
        <w:ind w:left="591" w:right="3832"/>
        <w:rPr>
          <w:color w:val="auto"/>
        </w:rPr>
      </w:pPr>
      <w:r>
        <w:rPr>
          <w:color w:val="auto"/>
          <w:spacing w:val="-9"/>
        </w:rPr>
        <w:t xml:space="preserve">责令改正，处 </w:t>
      </w:r>
      <w:r>
        <w:rPr>
          <w:color w:val="auto"/>
        </w:rPr>
        <w:t>3000</w:t>
      </w:r>
      <w:r>
        <w:rPr>
          <w:color w:val="auto"/>
          <w:spacing w:val="-24"/>
        </w:rPr>
        <w:t xml:space="preserve"> 元以上 </w:t>
      </w:r>
      <w:r>
        <w:rPr>
          <w:color w:val="auto"/>
        </w:rPr>
        <w:t>6000</w:t>
      </w:r>
      <w:r>
        <w:rPr>
          <w:color w:val="auto"/>
          <w:spacing w:val="-11"/>
        </w:rPr>
        <w:t xml:space="preserve"> 元以下罚款。</w:t>
      </w:r>
      <w:r>
        <w:rPr>
          <w:color w:val="auto"/>
        </w:rPr>
        <w:t>3</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1342"/>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已造成一定后果的。</w:t>
      </w:r>
    </w:p>
    <w:p>
      <w:pPr>
        <w:pStyle w:val="13"/>
        <w:numPr>
          <w:ilvl w:val="0"/>
          <w:numId w:val="1342"/>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责令改正，处 6000 元以上 1 万元以下罚款。</w:t>
      </w:r>
    </w:p>
    <w:p>
      <w:pPr>
        <w:pStyle w:val="2"/>
        <w:spacing w:before="194"/>
        <w:rPr>
          <w:color w:val="auto"/>
        </w:rPr>
      </w:pPr>
      <w:bookmarkStart w:id="1242" w:name="六百零八、对使用过的非重复充装气瓶再次进行充装"/>
      <w:bookmarkEnd w:id="1242"/>
      <w:bookmarkStart w:id="1243" w:name="_bookmark620"/>
      <w:bookmarkEnd w:id="1243"/>
      <w:r>
        <w:rPr>
          <w:color w:val="auto"/>
        </w:rPr>
        <w:t>六百零八、对使用过的非重复充装气瓶再次进行充装</w:t>
      </w:r>
    </w:p>
    <w:p>
      <w:pPr>
        <w:spacing w:before="192"/>
        <w:ind w:left="591" w:right="0" w:firstLine="0"/>
        <w:jc w:val="left"/>
        <w:rPr>
          <w:b/>
          <w:color w:val="auto"/>
          <w:sz w:val="24"/>
        </w:rPr>
      </w:pPr>
      <w:r>
        <w:rPr>
          <w:b/>
          <w:color w:val="auto"/>
          <w:sz w:val="24"/>
        </w:rPr>
        <w:t>（一）处罚依据</w:t>
      </w:r>
    </w:p>
    <w:p>
      <w:pPr>
        <w:pStyle w:val="4"/>
        <w:spacing w:before="191" w:line="391" w:lineRule="auto"/>
        <w:ind w:right="148" w:firstLine="470"/>
        <w:jc w:val="both"/>
        <w:rPr>
          <w:color w:val="auto"/>
        </w:rPr>
      </w:pPr>
      <w:r>
        <w:rPr>
          <w:color w:val="auto"/>
          <w:spacing w:val="-12"/>
        </w:rPr>
        <w:t xml:space="preserve">《气瓶安全监察规定》第四十八条“气瓶充装单位有下列行为之一的，责令改正， </w:t>
      </w:r>
      <w:r>
        <w:rPr>
          <w:color w:val="auto"/>
          <w:spacing w:val="-30"/>
        </w:rPr>
        <w:t xml:space="preserve">处 </w:t>
      </w:r>
      <w:r>
        <w:rPr>
          <w:color w:val="auto"/>
        </w:rPr>
        <w:t>1</w:t>
      </w:r>
      <w:r>
        <w:rPr>
          <w:color w:val="auto"/>
          <w:spacing w:val="-20"/>
        </w:rPr>
        <w:t xml:space="preserve"> 万元以上 </w:t>
      </w:r>
      <w:r>
        <w:rPr>
          <w:color w:val="auto"/>
        </w:rPr>
        <w:t>3</w:t>
      </w:r>
      <w:r>
        <w:rPr>
          <w:color w:val="auto"/>
          <w:spacing w:val="-19"/>
        </w:rPr>
        <w:t xml:space="preserve"> 万元以下罚款。情节严重的，暂停充装，直至吊销其充装许可证</w:t>
      </w:r>
      <w:r>
        <w:rPr>
          <w:color w:val="auto"/>
          <w:spacing w:val="-156"/>
        </w:rPr>
        <w:t>：</w:t>
      </w:r>
      <w:r>
        <w:rPr>
          <w:color w:val="auto"/>
        </w:rPr>
        <w:t>（二</w:t>
      </w:r>
      <w:r>
        <w:rPr>
          <w:color w:val="auto"/>
          <w:spacing w:val="-15"/>
        </w:rPr>
        <w:t>）</w:t>
      </w:r>
      <w:r>
        <w:rPr>
          <w:color w:val="auto"/>
        </w:rPr>
        <w:t>对使用过的非重复充装气瓶再次进行充装。”</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4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初次违反规定，数量较少。</w:t>
      </w:r>
    </w:p>
    <w:p>
      <w:pPr>
        <w:pStyle w:val="13"/>
        <w:numPr>
          <w:ilvl w:val="0"/>
          <w:numId w:val="134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3832"/>
        <w:rPr>
          <w:color w:val="auto"/>
        </w:rPr>
      </w:pPr>
      <w:r>
        <w:rPr>
          <w:color w:val="auto"/>
          <w:spacing w:val="-9"/>
        </w:rPr>
        <w:t xml:space="preserve">责令改正，处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、【较重】</w:t>
      </w:r>
    </w:p>
    <w:p>
      <w:pPr>
        <w:pStyle w:val="13"/>
        <w:numPr>
          <w:ilvl w:val="0"/>
          <w:numId w:val="1344"/>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初次违反规定，数量较多。</w:t>
      </w:r>
    </w:p>
    <w:p>
      <w:pPr>
        <w:pStyle w:val="13"/>
        <w:numPr>
          <w:ilvl w:val="0"/>
          <w:numId w:val="134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9"/>
        </w:rPr>
        <w:t xml:space="preserve">责令改正，处 </w:t>
      </w:r>
      <w:r>
        <w:rPr>
          <w:color w:val="auto"/>
        </w:rPr>
        <w:t>1.5</w:t>
      </w:r>
      <w:r>
        <w:rPr>
          <w:color w:val="auto"/>
          <w:spacing w:val="-20"/>
        </w:rPr>
        <w:t xml:space="preserve"> 万元以上 </w:t>
      </w:r>
      <w:r>
        <w:rPr>
          <w:color w:val="auto"/>
        </w:rPr>
        <w:t>2</w:t>
      </w:r>
      <w:r>
        <w:rPr>
          <w:color w:val="auto"/>
          <w:spacing w:val="-10"/>
        </w:rPr>
        <w:t xml:space="preserve"> 万元以下罚款。</w:t>
      </w:r>
      <w:r>
        <w:rPr>
          <w:color w:val="auto"/>
        </w:rPr>
        <w:t>3</w:t>
      </w:r>
      <w:r>
        <w:rPr>
          <w:color w:val="auto"/>
          <w:spacing w:val="-24"/>
        </w:rPr>
        <w:t>、【严重】</w:t>
      </w:r>
    </w:p>
    <w:p>
      <w:pPr>
        <w:pStyle w:val="13"/>
        <w:numPr>
          <w:ilvl w:val="0"/>
          <w:numId w:val="134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已造成不良后果的。</w:t>
      </w:r>
    </w:p>
    <w:p>
      <w:pPr>
        <w:pStyle w:val="13"/>
        <w:numPr>
          <w:ilvl w:val="0"/>
          <w:numId w:val="1345"/>
        </w:numPr>
        <w:tabs>
          <w:tab w:val="left" w:pos="1193"/>
        </w:tabs>
        <w:spacing w:before="191" w:after="0" w:line="240" w:lineRule="auto"/>
        <w:ind w:left="1192" w:right="0" w:hanging="602"/>
        <w:jc w:val="left"/>
        <w:rPr>
          <w:color w:val="auto"/>
          <w:sz w:val="24"/>
        </w:rPr>
      </w:pPr>
      <w:r>
        <w:rPr>
          <w:color w:val="auto"/>
          <w:sz w:val="24"/>
        </w:rPr>
        <w:t>处罚标准</w:t>
      </w:r>
    </w:p>
    <w:p>
      <w:pPr>
        <w:spacing w:before="192" w:line="391" w:lineRule="auto"/>
        <w:ind w:left="591" w:right="232" w:firstLine="0"/>
        <w:jc w:val="left"/>
        <w:rPr>
          <w:b/>
          <w:color w:val="auto"/>
          <w:sz w:val="24"/>
        </w:rPr>
      </w:pPr>
      <w:r>
        <w:rPr>
          <w:color w:val="auto"/>
          <w:spacing w:val="-9"/>
          <w:sz w:val="24"/>
        </w:rPr>
        <w:t xml:space="preserve">责令改正，处 </w:t>
      </w:r>
      <w:r>
        <w:rPr>
          <w:color w:val="auto"/>
          <w:sz w:val="24"/>
        </w:rPr>
        <w:t>2</w:t>
      </w:r>
      <w:r>
        <w:rPr>
          <w:color w:val="auto"/>
          <w:spacing w:val="-20"/>
          <w:sz w:val="24"/>
        </w:rPr>
        <w:t xml:space="preserve"> 万元以上 </w:t>
      </w:r>
      <w:r>
        <w:rPr>
          <w:color w:val="auto"/>
          <w:sz w:val="24"/>
        </w:rPr>
        <w:t>3</w:t>
      </w:r>
      <w:r>
        <w:rPr>
          <w:color w:val="auto"/>
          <w:spacing w:val="-9"/>
          <w:sz w:val="24"/>
        </w:rPr>
        <w:t xml:space="preserve"> 万元以下罚款。暂停充装，直至吊销其充装许可证。</w:t>
      </w:r>
      <w:bookmarkStart w:id="1244" w:name="_bookmark621"/>
      <w:bookmarkEnd w:id="1244"/>
      <w:bookmarkStart w:id="1245" w:name="六百零九、气瓶检验机构对定期检验不合格应予报废的气瓶，未进行破坏性处理而直接退回"/>
      <w:bookmarkEnd w:id="1245"/>
      <w:r>
        <w:rPr>
          <w:b/>
          <w:color w:val="auto"/>
          <w:spacing w:val="-8"/>
          <w:sz w:val="24"/>
        </w:rPr>
        <w:t>六百零九、气瓶检验机构对定期检验不合格应予报废的气瓶，未进行破坏性处理</w:t>
      </w:r>
    </w:p>
    <w:p>
      <w:pPr>
        <w:pStyle w:val="2"/>
        <w:spacing w:line="306" w:lineRule="exact"/>
        <w:ind w:left="111"/>
        <w:rPr>
          <w:color w:val="auto"/>
        </w:rPr>
      </w:pPr>
      <w:r>
        <w:rPr>
          <w:color w:val="auto"/>
        </w:rPr>
        <w:t>而直接退回气瓶送检单位或者转卖给其他单位或个人</w:t>
      </w:r>
    </w:p>
    <w:p>
      <w:pPr>
        <w:spacing w:before="192"/>
        <w:ind w:left="591" w:right="0" w:firstLine="0"/>
        <w:jc w:val="left"/>
        <w:rPr>
          <w:b/>
          <w:color w:val="auto"/>
          <w:sz w:val="24"/>
        </w:rPr>
      </w:pPr>
      <w:r>
        <w:rPr>
          <w:b/>
          <w:color w:val="auto"/>
          <w:sz w:val="24"/>
        </w:rPr>
        <w:t>（一）处罚依据</w:t>
      </w:r>
    </w:p>
    <w:p>
      <w:pPr>
        <w:spacing w:after="0"/>
        <w:jc w:val="left"/>
        <w:rPr>
          <w:color w:val="auto"/>
          <w:sz w:val="24"/>
        </w:rPr>
        <w:sectPr>
          <w:footerReference r:id="rId151" w:type="default"/>
          <w:footerReference r:id="rId152" w:type="even"/>
          <w:pgSz w:w="11910" w:h="16840"/>
          <w:pgMar w:top="1520" w:right="1260" w:bottom="1220" w:left="1420" w:header="0" w:footer="1034" w:gutter="0"/>
          <w:pgNumType w:start="589"/>
        </w:sectPr>
      </w:pPr>
    </w:p>
    <w:p>
      <w:pPr>
        <w:pStyle w:val="4"/>
        <w:spacing w:before="39" w:line="391" w:lineRule="auto"/>
        <w:ind w:right="268" w:firstLine="470"/>
        <w:jc w:val="both"/>
        <w:rPr>
          <w:color w:val="auto"/>
        </w:rPr>
      </w:pPr>
      <w:r>
        <w:rPr>
          <w:color w:val="auto"/>
          <w:spacing w:val="-4"/>
        </w:rPr>
        <w:t>《气瓶安全监察规定》第四十九条“气瓶检验机构对定期检验不合格应予报废的</w:t>
      </w:r>
      <w:r>
        <w:rPr>
          <w:color w:val="auto"/>
          <w:spacing w:val="-7"/>
        </w:rPr>
        <w:t>气瓶，未进行破坏性处理而直接退回气瓶送检单位或者转卖给其他单位或个人的，责</w:t>
      </w:r>
      <w:r>
        <w:rPr>
          <w:color w:val="auto"/>
          <w:spacing w:val="-9"/>
        </w:rPr>
        <w:t xml:space="preserve">令改正，处以 </w:t>
      </w:r>
      <w:r>
        <w:rPr>
          <w:color w:val="auto"/>
        </w:rPr>
        <w:t>1000</w:t>
      </w:r>
      <w:r>
        <w:rPr>
          <w:color w:val="auto"/>
          <w:spacing w:val="-12"/>
        </w:rPr>
        <w:t xml:space="preserve"> 元以上 </w:t>
      </w:r>
      <w:r>
        <w:rPr>
          <w:color w:val="auto"/>
        </w:rPr>
        <w:t>1 万元以下罚款。情节严重的，取消其检验资格。”</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4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9"/>
        <w:ind w:left="591"/>
        <w:rPr>
          <w:color w:val="auto"/>
        </w:rPr>
      </w:pPr>
      <w:r>
        <w:rPr>
          <w:color w:val="auto"/>
        </w:rPr>
        <w:t>初次违反规定，数量较少的。</w:t>
      </w:r>
    </w:p>
    <w:p>
      <w:pPr>
        <w:pStyle w:val="13"/>
        <w:numPr>
          <w:ilvl w:val="0"/>
          <w:numId w:val="134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line="388" w:lineRule="auto"/>
        <w:ind w:left="591" w:right="3832"/>
        <w:rPr>
          <w:color w:val="auto"/>
        </w:rPr>
      </w:pPr>
      <w:r>
        <w:rPr>
          <w:color w:val="auto"/>
          <w:spacing w:val="-9"/>
        </w:rPr>
        <w:t xml:space="preserve">责令改正，处 </w:t>
      </w:r>
      <w:r>
        <w:rPr>
          <w:color w:val="auto"/>
        </w:rPr>
        <w:t>1000</w:t>
      </w:r>
      <w:r>
        <w:rPr>
          <w:color w:val="auto"/>
          <w:spacing w:val="-24"/>
        </w:rPr>
        <w:t xml:space="preserve"> 元以上 </w:t>
      </w:r>
      <w:r>
        <w:rPr>
          <w:color w:val="auto"/>
        </w:rPr>
        <w:t>3000</w:t>
      </w:r>
      <w:r>
        <w:rPr>
          <w:color w:val="auto"/>
          <w:spacing w:val="-11"/>
        </w:rPr>
        <w:t xml:space="preserve"> 元以下罚款。</w:t>
      </w:r>
      <w:r>
        <w:rPr>
          <w:color w:val="auto"/>
        </w:rPr>
        <w:t>2</w:t>
      </w:r>
      <w:r>
        <w:rPr>
          <w:color w:val="auto"/>
          <w:spacing w:val="-24"/>
        </w:rPr>
        <w:t>、【较重】</w:t>
      </w:r>
    </w:p>
    <w:p>
      <w:pPr>
        <w:pStyle w:val="13"/>
        <w:numPr>
          <w:ilvl w:val="0"/>
          <w:numId w:val="1347"/>
        </w:numPr>
        <w:tabs>
          <w:tab w:val="left" w:pos="1193"/>
        </w:tabs>
        <w:spacing w:before="5" w:after="0" w:line="388" w:lineRule="auto"/>
        <w:ind w:left="591" w:right="7072" w:firstLine="0"/>
        <w:jc w:val="left"/>
        <w:rPr>
          <w:color w:val="auto"/>
          <w:sz w:val="24"/>
        </w:rPr>
      </w:pPr>
      <w:r>
        <w:rPr>
          <w:color w:val="auto"/>
          <w:spacing w:val="-5"/>
          <w:sz w:val="24"/>
        </w:rPr>
        <w:t>违法情形</w:t>
      </w:r>
      <w:r>
        <w:rPr>
          <w:color w:val="auto"/>
          <w:sz w:val="24"/>
        </w:rPr>
        <w:t>数量较多的。</w:t>
      </w:r>
    </w:p>
    <w:p>
      <w:pPr>
        <w:pStyle w:val="13"/>
        <w:numPr>
          <w:ilvl w:val="0"/>
          <w:numId w:val="134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9"/>
        </w:rPr>
        <w:t xml:space="preserve">责令改正，处 </w:t>
      </w:r>
      <w:r>
        <w:rPr>
          <w:color w:val="auto"/>
        </w:rPr>
        <w:t>3000</w:t>
      </w:r>
      <w:r>
        <w:rPr>
          <w:color w:val="auto"/>
          <w:spacing w:val="-24"/>
        </w:rPr>
        <w:t xml:space="preserve"> 元以上 </w:t>
      </w:r>
      <w:r>
        <w:rPr>
          <w:color w:val="auto"/>
        </w:rPr>
        <w:t>6000</w:t>
      </w:r>
      <w:r>
        <w:rPr>
          <w:color w:val="auto"/>
          <w:spacing w:val="-11"/>
        </w:rPr>
        <w:t xml:space="preserve"> 元以下罚款。</w:t>
      </w:r>
      <w:r>
        <w:rPr>
          <w:color w:val="auto"/>
        </w:rPr>
        <w:t>3</w:t>
      </w:r>
      <w:r>
        <w:rPr>
          <w:color w:val="auto"/>
          <w:spacing w:val="-24"/>
        </w:rPr>
        <w:t>、【严重】</w:t>
      </w:r>
    </w:p>
    <w:p>
      <w:pPr>
        <w:pStyle w:val="13"/>
        <w:numPr>
          <w:ilvl w:val="0"/>
          <w:numId w:val="134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已造成不良后果的。</w:t>
      </w:r>
    </w:p>
    <w:p>
      <w:pPr>
        <w:pStyle w:val="13"/>
        <w:numPr>
          <w:ilvl w:val="0"/>
          <w:numId w:val="134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责令改正，处 6000 元以上 1 万元以下罚款。取消其检验资格。</w:t>
      </w:r>
    </w:p>
    <w:p>
      <w:pPr>
        <w:pStyle w:val="2"/>
        <w:spacing w:before="194" w:line="388" w:lineRule="auto"/>
        <w:ind w:left="111" w:right="237" w:firstLine="480"/>
        <w:rPr>
          <w:color w:val="auto"/>
        </w:rPr>
      </w:pPr>
      <w:bookmarkStart w:id="1246" w:name="_bookmark622"/>
      <w:bookmarkEnd w:id="1246"/>
      <w:bookmarkStart w:id="1247" w:name="六百一十、气瓶或者瓶装气体销售单位或者个人收购、销售未经破坏性处理的报废气瓶或者"/>
      <w:bookmarkEnd w:id="1247"/>
      <w:r>
        <w:rPr>
          <w:color w:val="auto"/>
          <w:spacing w:val="-8"/>
        </w:rPr>
        <w:t>六百一十、气瓶或者瓶装气体销售单位或者个人收购、销售未经破坏性处理的报废气瓶或者使用过的非重复充装气瓶以及其他不符合安全要求的气瓶</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4"/>
        </w:rPr>
        <w:t>《气瓶安全监察规定》第五十条“气瓶或者瓶装气体销售单位或者个人有下列行</w:t>
      </w:r>
      <w:r>
        <w:rPr>
          <w:color w:val="auto"/>
          <w:spacing w:val="-8"/>
        </w:rPr>
        <w:t xml:space="preserve">为之一的，责令改正，处 </w:t>
      </w:r>
      <w:r>
        <w:rPr>
          <w:color w:val="auto"/>
        </w:rPr>
        <w:t>1</w:t>
      </w:r>
      <w:r>
        <w:rPr>
          <w:color w:val="auto"/>
          <w:spacing w:val="-9"/>
        </w:rPr>
        <w:t xml:space="preserve"> 万元以下罚款：</w:t>
      </w:r>
      <w:r>
        <w:rPr>
          <w:color w:val="auto"/>
          <w:spacing w:val="-6"/>
        </w:rPr>
        <w:t>（</w:t>
      </w:r>
      <w:r>
        <w:rPr>
          <w:color w:val="auto"/>
        </w:rPr>
        <w:t>二</w:t>
      </w:r>
      <w:r>
        <w:rPr>
          <w:color w:val="auto"/>
          <w:spacing w:val="-8"/>
        </w:rPr>
        <w:t>）</w:t>
      </w:r>
      <w:r>
        <w:rPr>
          <w:color w:val="auto"/>
          <w:spacing w:val="-3"/>
        </w:rPr>
        <w:t>收购、销售未经破坏性处理的报废</w:t>
      </w:r>
      <w:r>
        <w:rPr>
          <w:color w:val="auto"/>
        </w:rPr>
        <w:t>气瓶或者使用过的非重复充装气瓶以及其他不符合安全要求的气瓶。”</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49"/>
        </w:numPr>
        <w:tabs>
          <w:tab w:val="left" w:pos="1193"/>
        </w:tabs>
        <w:spacing w:before="3"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初次违反规定，数量较少的。</w:t>
      </w:r>
    </w:p>
    <w:p>
      <w:pPr>
        <w:pStyle w:val="13"/>
        <w:numPr>
          <w:ilvl w:val="0"/>
          <w:numId w:val="134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5152"/>
        <w:rPr>
          <w:color w:val="auto"/>
        </w:rPr>
      </w:pPr>
      <w:r>
        <w:rPr>
          <w:color w:val="auto"/>
          <w:spacing w:val="-9"/>
        </w:rPr>
        <w:t xml:space="preserve">责令改正，处 </w:t>
      </w:r>
      <w:r>
        <w:rPr>
          <w:color w:val="auto"/>
        </w:rPr>
        <w:t>3000</w:t>
      </w:r>
      <w:r>
        <w:rPr>
          <w:color w:val="auto"/>
          <w:spacing w:val="-11"/>
        </w:rPr>
        <w:t xml:space="preserve"> 元以下罚款。</w:t>
      </w:r>
      <w:r>
        <w:rPr>
          <w:color w:val="auto"/>
        </w:rPr>
        <w:t>2</w:t>
      </w:r>
      <w:r>
        <w:rPr>
          <w:color w:val="auto"/>
          <w:spacing w:val="-24"/>
        </w:rPr>
        <w:t>、【较重】</w:t>
      </w:r>
    </w:p>
    <w:p>
      <w:pPr>
        <w:pStyle w:val="13"/>
        <w:numPr>
          <w:ilvl w:val="0"/>
          <w:numId w:val="1350"/>
        </w:numPr>
        <w:tabs>
          <w:tab w:val="left" w:pos="1193"/>
        </w:tabs>
        <w:spacing w:before="5" w:after="0" w:line="388" w:lineRule="auto"/>
        <w:ind w:left="591" w:right="7072" w:firstLine="0"/>
        <w:jc w:val="left"/>
        <w:rPr>
          <w:color w:val="auto"/>
          <w:sz w:val="24"/>
        </w:rPr>
      </w:pPr>
      <w:r>
        <w:rPr>
          <w:color w:val="auto"/>
          <w:spacing w:val="-5"/>
          <w:sz w:val="24"/>
        </w:rPr>
        <w:t>违法情形</w:t>
      </w:r>
      <w:r>
        <w:rPr>
          <w:color w:val="auto"/>
          <w:sz w:val="24"/>
        </w:rPr>
        <w:t>数量较多的。</w:t>
      </w:r>
    </w:p>
    <w:p>
      <w:pPr>
        <w:pStyle w:val="13"/>
        <w:numPr>
          <w:ilvl w:val="0"/>
          <w:numId w:val="135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left="591" w:right="3832"/>
        <w:rPr>
          <w:color w:val="auto"/>
        </w:rPr>
      </w:pPr>
      <w:r>
        <w:rPr>
          <w:color w:val="auto"/>
          <w:spacing w:val="-9"/>
        </w:rPr>
        <w:t xml:space="preserve">责令改正，处 </w:t>
      </w:r>
      <w:r>
        <w:rPr>
          <w:color w:val="auto"/>
        </w:rPr>
        <w:t>3000</w:t>
      </w:r>
      <w:r>
        <w:rPr>
          <w:color w:val="auto"/>
          <w:spacing w:val="-24"/>
        </w:rPr>
        <w:t xml:space="preserve"> 元以上 </w:t>
      </w:r>
      <w:r>
        <w:rPr>
          <w:color w:val="auto"/>
        </w:rPr>
        <w:t>6000</w:t>
      </w:r>
      <w:r>
        <w:rPr>
          <w:color w:val="auto"/>
          <w:spacing w:val="-11"/>
        </w:rPr>
        <w:t xml:space="preserve"> 元以下罚款。</w:t>
      </w:r>
      <w:r>
        <w:rPr>
          <w:color w:val="auto"/>
        </w:rPr>
        <w:t>3</w:t>
      </w:r>
      <w:r>
        <w:rPr>
          <w:color w:val="auto"/>
          <w:spacing w:val="-24"/>
        </w:rPr>
        <w:t>、【严重】</w:t>
      </w:r>
    </w:p>
    <w:p>
      <w:pPr>
        <w:pStyle w:val="13"/>
        <w:numPr>
          <w:ilvl w:val="0"/>
          <w:numId w:val="1351"/>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已造成不良后果的。</w:t>
      </w:r>
    </w:p>
    <w:p>
      <w:pPr>
        <w:pStyle w:val="13"/>
        <w:numPr>
          <w:ilvl w:val="0"/>
          <w:numId w:val="135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责令改正，处 6000 元以上 1 万元以下罚款。</w:t>
      </w:r>
    </w:p>
    <w:p>
      <w:pPr>
        <w:pStyle w:val="2"/>
        <w:spacing w:before="194" w:line="388" w:lineRule="auto"/>
        <w:ind w:left="111" w:right="117" w:firstLine="480"/>
        <w:rPr>
          <w:color w:val="auto"/>
        </w:rPr>
      </w:pPr>
      <w:bookmarkStart w:id="1248" w:name="六百一十一、非法印制、伪造、涂改、倒卖、出租、出借《特种设备作业人员证》，或者使"/>
      <w:bookmarkEnd w:id="1248"/>
      <w:bookmarkStart w:id="1249" w:name="_bookmark623"/>
      <w:bookmarkEnd w:id="1249"/>
      <w:r>
        <w:rPr>
          <w:color w:val="auto"/>
          <w:spacing w:val="-23"/>
        </w:rPr>
        <w:t>六百一十一、非法印制、伪造、涂改、倒卖、出租、出借《特种设备作业人员证》， 或者使用非法印制、伪造、涂改、倒卖、出租、出借《特种设备作业人员证》</w:t>
      </w:r>
    </w:p>
    <w:p>
      <w:pPr>
        <w:spacing w:before="2"/>
        <w:ind w:left="591" w:right="0" w:firstLine="0"/>
        <w:jc w:val="left"/>
        <w:rPr>
          <w:b/>
          <w:color w:val="auto"/>
          <w:sz w:val="24"/>
        </w:rPr>
      </w:pPr>
      <w:r>
        <w:rPr>
          <w:b/>
          <w:color w:val="auto"/>
          <w:sz w:val="24"/>
        </w:rPr>
        <w:t>（一）处罚依据</w:t>
      </w:r>
    </w:p>
    <w:p>
      <w:pPr>
        <w:pStyle w:val="4"/>
        <w:spacing w:before="194" w:line="391" w:lineRule="auto"/>
        <w:ind w:right="146" w:firstLine="470"/>
        <w:rPr>
          <w:color w:val="auto"/>
        </w:rPr>
      </w:pPr>
      <w:r>
        <w:rPr>
          <w:color w:val="auto"/>
          <w:spacing w:val="-9"/>
        </w:rPr>
        <w:t>《特种设备作业人员监督管理办法》第三十二条“非法印制、伪造、涂改、倒卖、</w:t>
      </w:r>
      <w:r>
        <w:rPr>
          <w:color w:val="auto"/>
          <w:spacing w:val="-13"/>
        </w:rPr>
        <w:t>出租、出借《特种设备作业人员证》，或者使用非法印制、伪造、涂改、倒卖、出租、</w:t>
      </w:r>
      <w:r>
        <w:rPr>
          <w:color w:val="auto"/>
          <w:spacing w:val="-3"/>
        </w:rPr>
        <w:t xml:space="preserve">出借《特种设备作业人员证》的，处 </w:t>
      </w:r>
      <w:r>
        <w:rPr>
          <w:color w:val="auto"/>
        </w:rPr>
        <w:t>1000</w:t>
      </w:r>
      <w:r>
        <w:rPr>
          <w:color w:val="auto"/>
          <w:spacing w:val="-7"/>
        </w:rPr>
        <w:t xml:space="preserve"> 元以下罚款；构成犯罪的，依法追究刑事责任。”</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13"/>
        <w:numPr>
          <w:ilvl w:val="0"/>
          <w:numId w:val="1352"/>
        </w:numPr>
        <w:tabs>
          <w:tab w:val="left" w:pos="1193"/>
        </w:tabs>
        <w:spacing w:before="0" w:after="0" w:line="388" w:lineRule="auto"/>
        <w:ind w:left="591" w:right="7072" w:firstLine="0"/>
        <w:jc w:val="left"/>
        <w:rPr>
          <w:color w:val="auto"/>
          <w:sz w:val="24"/>
        </w:rPr>
      </w:pPr>
      <w:r>
        <w:rPr>
          <w:color w:val="auto"/>
          <w:spacing w:val="-5"/>
          <w:sz w:val="24"/>
        </w:rPr>
        <w:t>违法情形</w:t>
      </w:r>
      <w:r>
        <w:rPr>
          <w:color w:val="auto"/>
          <w:sz w:val="24"/>
        </w:rPr>
        <w:t>初次违规的。</w:t>
      </w:r>
    </w:p>
    <w:p>
      <w:pPr>
        <w:pStyle w:val="13"/>
        <w:numPr>
          <w:ilvl w:val="0"/>
          <w:numId w:val="1352"/>
        </w:numPr>
        <w:tabs>
          <w:tab w:val="left" w:pos="1193"/>
        </w:tabs>
        <w:spacing w:before="1" w:after="0" w:line="240" w:lineRule="auto"/>
        <w:ind w:left="1192" w:right="0" w:hanging="602"/>
        <w:jc w:val="left"/>
        <w:rPr>
          <w:color w:val="auto"/>
          <w:sz w:val="24"/>
        </w:rPr>
      </w:pPr>
      <w:r>
        <w:rPr>
          <w:color w:val="auto"/>
          <w:sz w:val="24"/>
        </w:rPr>
        <w:t>处罚标准</w:t>
      </w:r>
    </w:p>
    <w:p>
      <w:pPr>
        <w:pStyle w:val="4"/>
        <w:spacing w:before="194" w:line="388" w:lineRule="auto"/>
        <w:ind w:left="591" w:right="6472"/>
        <w:rPr>
          <w:color w:val="auto"/>
        </w:rPr>
      </w:pPr>
      <w:r>
        <w:rPr>
          <w:color w:val="auto"/>
          <w:spacing w:val="-30"/>
        </w:rPr>
        <w:t xml:space="preserve">处 </w:t>
      </w:r>
      <w:r>
        <w:rPr>
          <w:color w:val="auto"/>
        </w:rPr>
        <w:t>200</w:t>
      </w:r>
      <w:r>
        <w:rPr>
          <w:color w:val="auto"/>
          <w:spacing w:val="-11"/>
        </w:rPr>
        <w:t xml:space="preserve"> 元以下罚款。</w:t>
      </w:r>
      <w:r>
        <w:rPr>
          <w:color w:val="auto"/>
        </w:rPr>
        <w:t>2</w:t>
      </w:r>
      <w:r>
        <w:rPr>
          <w:color w:val="auto"/>
          <w:spacing w:val="-24"/>
        </w:rPr>
        <w:t>、【一般】</w:t>
      </w:r>
    </w:p>
    <w:p>
      <w:pPr>
        <w:pStyle w:val="13"/>
        <w:numPr>
          <w:ilvl w:val="0"/>
          <w:numId w:val="1353"/>
        </w:numPr>
        <w:tabs>
          <w:tab w:val="left" w:pos="1193"/>
        </w:tabs>
        <w:spacing w:before="2" w:after="0" w:line="240" w:lineRule="auto"/>
        <w:ind w:left="1192" w:right="0" w:hanging="602"/>
        <w:jc w:val="left"/>
        <w:rPr>
          <w:color w:val="auto"/>
          <w:sz w:val="24"/>
        </w:rPr>
      </w:pPr>
      <w:r>
        <w:rPr>
          <w:color w:val="auto"/>
          <w:sz w:val="24"/>
        </w:rPr>
        <w:t>违法情形</w:t>
      </w:r>
    </w:p>
    <w:p>
      <w:pPr>
        <w:spacing w:after="0" w:line="240" w:lineRule="auto"/>
        <w:jc w:val="left"/>
        <w:rPr>
          <w:color w:val="auto"/>
          <w:sz w:val="24"/>
        </w:rPr>
        <w:sectPr>
          <w:footerReference r:id="rId153" w:type="default"/>
          <w:footerReference r:id="rId154" w:type="even"/>
          <w:pgSz w:w="11910" w:h="16840"/>
          <w:pgMar w:top="1520" w:right="1260" w:bottom="1220" w:left="1420" w:header="0" w:footer="1034" w:gutter="0"/>
          <w:pgNumType w:start="591"/>
        </w:sectPr>
      </w:pPr>
    </w:p>
    <w:p>
      <w:pPr>
        <w:pStyle w:val="4"/>
        <w:spacing w:before="39"/>
        <w:ind w:left="591"/>
        <w:rPr>
          <w:color w:val="auto"/>
        </w:rPr>
      </w:pPr>
      <w:r>
        <w:rPr>
          <w:color w:val="auto"/>
        </w:rPr>
        <w:t>多次违规的。</w:t>
      </w:r>
    </w:p>
    <w:p>
      <w:pPr>
        <w:pStyle w:val="13"/>
        <w:numPr>
          <w:ilvl w:val="0"/>
          <w:numId w:val="1353"/>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5272"/>
        <w:rPr>
          <w:color w:val="auto"/>
        </w:rPr>
      </w:pPr>
      <w:r>
        <w:rPr>
          <w:color w:val="auto"/>
          <w:spacing w:val="-30"/>
        </w:rPr>
        <w:t xml:space="preserve">处 </w:t>
      </w:r>
      <w:r>
        <w:rPr>
          <w:color w:val="auto"/>
        </w:rPr>
        <w:t>200</w:t>
      </w:r>
      <w:r>
        <w:rPr>
          <w:color w:val="auto"/>
          <w:spacing w:val="-24"/>
        </w:rPr>
        <w:t xml:space="preserve"> 元以上 </w:t>
      </w:r>
      <w:r>
        <w:rPr>
          <w:color w:val="auto"/>
        </w:rPr>
        <w:t>500</w:t>
      </w:r>
      <w:r>
        <w:rPr>
          <w:color w:val="auto"/>
          <w:spacing w:val="-11"/>
        </w:rPr>
        <w:t xml:space="preserve"> 元以下罚款。</w:t>
      </w:r>
      <w:r>
        <w:rPr>
          <w:color w:val="auto"/>
        </w:rPr>
        <w:t>3</w:t>
      </w:r>
      <w:r>
        <w:rPr>
          <w:color w:val="auto"/>
          <w:spacing w:val="-24"/>
        </w:rPr>
        <w:t>、【严重】</w:t>
      </w:r>
    </w:p>
    <w:p>
      <w:pPr>
        <w:pStyle w:val="13"/>
        <w:numPr>
          <w:ilvl w:val="0"/>
          <w:numId w:val="1354"/>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已造成不良后果的。</w:t>
      </w:r>
    </w:p>
    <w:p>
      <w:pPr>
        <w:pStyle w:val="13"/>
        <w:numPr>
          <w:ilvl w:val="0"/>
          <w:numId w:val="135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500 元以上 1000 元以下罚款。</w:t>
      </w:r>
    </w:p>
    <w:p>
      <w:pPr>
        <w:pStyle w:val="2"/>
        <w:spacing w:before="192"/>
        <w:rPr>
          <w:color w:val="auto"/>
        </w:rPr>
      </w:pPr>
      <w:bookmarkStart w:id="1250" w:name="六百一十二、发生特种设备事故，伪造或者故意破坏事故现场"/>
      <w:bookmarkEnd w:id="1250"/>
      <w:bookmarkStart w:id="1251" w:name="_bookmark624"/>
      <w:bookmarkEnd w:id="1251"/>
      <w:r>
        <w:rPr>
          <w:color w:val="auto"/>
        </w:rPr>
        <w:t>六百一十二、发生特种设备事故，伪造或者故意破坏事故现场</w:t>
      </w:r>
    </w:p>
    <w:p>
      <w:pPr>
        <w:spacing w:before="192"/>
        <w:ind w:left="59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rPr>
        <w:t>《特种设备事故报告和调查处理规定》第四十六条“发生特种设备事故，有下列行为之一，构成犯罪的，依法追究刑事责任；构成有关法律法规规定的违法行为的， 依法予以行政处罚；未构成有关法律法规规定的违法行为的，由质量技术监督部门等处以 4000 元以上 2 万元以下的罚款：（一）伪造或者故意破坏事故现场的。”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55"/>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未对事故调查造成影响的。</w:t>
      </w:r>
    </w:p>
    <w:p>
      <w:pPr>
        <w:pStyle w:val="13"/>
        <w:numPr>
          <w:ilvl w:val="0"/>
          <w:numId w:val="135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5032"/>
        <w:rPr>
          <w:color w:val="auto"/>
        </w:rPr>
      </w:pPr>
      <w:r>
        <w:rPr>
          <w:color w:val="auto"/>
          <w:spacing w:val="-30"/>
        </w:rPr>
        <w:t xml:space="preserve">处 </w:t>
      </w:r>
      <w:r>
        <w:rPr>
          <w:color w:val="auto"/>
        </w:rPr>
        <w:t>4000</w:t>
      </w:r>
      <w:r>
        <w:rPr>
          <w:color w:val="auto"/>
          <w:spacing w:val="-24"/>
        </w:rPr>
        <w:t xml:space="preserve"> 元以上 </w:t>
      </w:r>
      <w:r>
        <w:rPr>
          <w:color w:val="auto"/>
        </w:rPr>
        <w:t>8000</w:t>
      </w:r>
      <w:r>
        <w:rPr>
          <w:color w:val="auto"/>
          <w:spacing w:val="-11"/>
        </w:rPr>
        <w:t xml:space="preserve"> 元以下罚款。</w:t>
      </w:r>
      <w:r>
        <w:rPr>
          <w:color w:val="auto"/>
        </w:rPr>
        <w:t>2</w:t>
      </w:r>
      <w:r>
        <w:rPr>
          <w:color w:val="auto"/>
          <w:spacing w:val="-24"/>
        </w:rPr>
        <w:t>、【较重】</w:t>
      </w:r>
    </w:p>
    <w:p>
      <w:pPr>
        <w:pStyle w:val="13"/>
        <w:numPr>
          <w:ilvl w:val="0"/>
          <w:numId w:val="135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造成一定影响的。</w:t>
      </w:r>
    </w:p>
    <w:p>
      <w:pPr>
        <w:pStyle w:val="13"/>
        <w:numPr>
          <w:ilvl w:val="0"/>
          <w:numId w:val="135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4912"/>
        <w:rPr>
          <w:color w:val="auto"/>
        </w:rPr>
      </w:pPr>
      <w:r>
        <w:rPr>
          <w:color w:val="auto"/>
          <w:spacing w:val="-30"/>
        </w:rPr>
        <w:t xml:space="preserve">处 </w:t>
      </w:r>
      <w:r>
        <w:rPr>
          <w:color w:val="auto"/>
        </w:rPr>
        <w:t>8000</w:t>
      </w:r>
      <w:r>
        <w:rPr>
          <w:color w:val="auto"/>
          <w:spacing w:val="-24"/>
        </w:rPr>
        <w:t xml:space="preserve"> 元以上 </w:t>
      </w:r>
      <w:r>
        <w:rPr>
          <w:color w:val="auto"/>
        </w:rPr>
        <w:t>1.2</w:t>
      </w:r>
      <w:r>
        <w:rPr>
          <w:color w:val="auto"/>
          <w:spacing w:val="-10"/>
        </w:rPr>
        <w:t xml:space="preserve"> 万元以下罚款。</w:t>
      </w:r>
      <w:r>
        <w:rPr>
          <w:color w:val="auto"/>
        </w:rPr>
        <w:t>3</w:t>
      </w:r>
      <w:r>
        <w:rPr>
          <w:color w:val="auto"/>
          <w:spacing w:val="-24"/>
        </w:rPr>
        <w:t>、【严重】</w:t>
      </w:r>
    </w:p>
    <w:p>
      <w:pPr>
        <w:pStyle w:val="13"/>
        <w:numPr>
          <w:ilvl w:val="0"/>
          <w:numId w:val="1357"/>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已造成不良后果的。</w:t>
      </w:r>
    </w:p>
    <w:p>
      <w:pPr>
        <w:spacing w:after="0"/>
        <w:rPr>
          <w:color w:val="auto"/>
        </w:rPr>
        <w:sectPr>
          <w:pgSz w:w="11910" w:h="16840"/>
          <w:pgMar w:top="1520" w:right="1260" w:bottom="1220" w:left="1420" w:header="0" w:footer="1034" w:gutter="0"/>
        </w:sectPr>
      </w:pPr>
    </w:p>
    <w:p>
      <w:pPr>
        <w:pStyle w:val="13"/>
        <w:numPr>
          <w:ilvl w:val="0"/>
          <w:numId w:val="1357"/>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处 1.2 万元以上 2 万元以下罚款。</w:t>
      </w:r>
    </w:p>
    <w:p>
      <w:pPr>
        <w:pStyle w:val="2"/>
        <w:spacing w:before="191"/>
        <w:rPr>
          <w:color w:val="auto"/>
        </w:rPr>
      </w:pPr>
      <w:bookmarkStart w:id="1252" w:name="_bookmark625"/>
      <w:bookmarkEnd w:id="1252"/>
      <w:bookmarkStart w:id="1253" w:name="六百一十三、发生特种设备事故，拒绝接受调查或者拒绝提供有关情况或者资料"/>
      <w:bookmarkEnd w:id="1253"/>
      <w:r>
        <w:rPr>
          <w:color w:val="auto"/>
        </w:rPr>
        <w:t>六百一十三、发生特种设备事故，拒绝接受调查或者拒绝提供有关情况或者资料</w:t>
      </w:r>
    </w:p>
    <w:p>
      <w:pPr>
        <w:spacing w:before="192"/>
        <w:ind w:left="59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spacing w:val="-3"/>
        </w:rPr>
        <w:t>《特种设备事故报告和调查处理规定》第四十六条“发生特种设备事故，有下列</w:t>
      </w:r>
      <w:r>
        <w:rPr>
          <w:color w:val="auto"/>
          <w:spacing w:val="-4"/>
        </w:rPr>
        <w:t>行为之一，构成犯罪的，依法追究刑事责任；构成有关法律法规规定的违法行为的， 依法予以行政处罚；未构成有关法律法规规定的违法行为的，由质量技术监督部门等</w:t>
      </w:r>
      <w:r>
        <w:rPr>
          <w:color w:val="auto"/>
          <w:spacing w:val="-19"/>
        </w:rPr>
        <w:t xml:space="preserve">处以 </w:t>
      </w:r>
      <w:r>
        <w:rPr>
          <w:color w:val="auto"/>
        </w:rPr>
        <w:t>4000</w:t>
      </w:r>
      <w:r>
        <w:rPr>
          <w:color w:val="auto"/>
          <w:spacing w:val="-19"/>
        </w:rPr>
        <w:t xml:space="preserve"> 元以上 </w:t>
      </w:r>
      <w:r>
        <w:rPr>
          <w:color w:val="auto"/>
        </w:rPr>
        <w:t>2</w:t>
      </w:r>
      <w:r>
        <w:rPr>
          <w:color w:val="auto"/>
          <w:spacing w:val="-7"/>
        </w:rPr>
        <w:t xml:space="preserve"> 万元以下的罚款</w:t>
      </w:r>
      <w:r>
        <w:rPr>
          <w:color w:val="auto"/>
        </w:rPr>
        <w:t>：（二）拒绝接受调查或者拒绝提供有关情况或者资料的。”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58"/>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4"/>
        <w:ind w:left="591"/>
        <w:rPr>
          <w:color w:val="auto"/>
        </w:rPr>
      </w:pPr>
      <w:r>
        <w:rPr>
          <w:color w:val="auto"/>
        </w:rPr>
        <w:t>未对事故调查造成影响的。</w:t>
      </w:r>
    </w:p>
    <w:p>
      <w:pPr>
        <w:pStyle w:val="13"/>
        <w:numPr>
          <w:ilvl w:val="0"/>
          <w:numId w:val="135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5032"/>
        <w:rPr>
          <w:color w:val="auto"/>
        </w:rPr>
      </w:pPr>
      <w:r>
        <w:rPr>
          <w:color w:val="auto"/>
          <w:spacing w:val="-30"/>
        </w:rPr>
        <w:t xml:space="preserve">处 </w:t>
      </w:r>
      <w:r>
        <w:rPr>
          <w:color w:val="auto"/>
        </w:rPr>
        <w:t>4000</w:t>
      </w:r>
      <w:r>
        <w:rPr>
          <w:color w:val="auto"/>
          <w:spacing w:val="-24"/>
        </w:rPr>
        <w:t xml:space="preserve"> 元以上 </w:t>
      </w:r>
      <w:r>
        <w:rPr>
          <w:color w:val="auto"/>
        </w:rPr>
        <w:t>8000</w:t>
      </w:r>
      <w:r>
        <w:rPr>
          <w:color w:val="auto"/>
          <w:spacing w:val="-11"/>
        </w:rPr>
        <w:t xml:space="preserve"> 元以下罚款。</w:t>
      </w:r>
      <w:r>
        <w:rPr>
          <w:color w:val="auto"/>
        </w:rPr>
        <w:t>2</w:t>
      </w:r>
      <w:r>
        <w:rPr>
          <w:color w:val="auto"/>
          <w:spacing w:val="-24"/>
        </w:rPr>
        <w:t>、【较重】</w:t>
      </w:r>
    </w:p>
    <w:p>
      <w:pPr>
        <w:pStyle w:val="13"/>
        <w:numPr>
          <w:ilvl w:val="0"/>
          <w:numId w:val="1359"/>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造成一定影响的。</w:t>
      </w:r>
    </w:p>
    <w:p>
      <w:pPr>
        <w:pStyle w:val="13"/>
        <w:numPr>
          <w:ilvl w:val="0"/>
          <w:numId w:val="1359"/>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912"/>
        <w:rPr>
          <w:color w:val="auto"/>
        </w:rPr>
      </w:pPr>
      <w:r>
        <w:rPr>
          <w:color w:val="auto"/>
          <w:spacing w:val="-30"/>
        </w:rPr>
        <w:t xml:space="preserve">处 </w:t>
      </w:r>
      <w:r>
        <w:rPr>
          <w:color w:val="auto"/>
        </w:rPr>
        <w:t>8000</w:t>
      </w:r>
      <w:r>
        <w:rPr>
          <w:color w:val="auto"/>
          <w:spacing w:val="-24"/>
        </w:rPr>
        <w:t xml:space="preserve"> 元以上 </w:t>
      </w:r>
      <w:r>
        <w:rPr>
          <w:color w:val="auto"/>
        </w:rPr>
        <w:t>1.2</w:t>
      </w:r>
      <w:r>
        <w:rPr>
          <w:color w:val="auto"/>
          <w:spacing w:val="-10"/>
        </w:rPr>
        <w:t xml:space="preserve"> 万元以下罚款。</w:t>
      </w:r>
      <w:r>
        <w:rPr>
          <w:color w:val="auto"/>
        </w:rPr>
        <w:t>3</w:t>
      </w:r>
      <w:r>
        <w:rPr>
          <w:color w:val="auto"/>
          <w:spacing w:val="-24"/>
        </w:rPr>
        <w:t>、【严重】</w:t>
      </w:r>
    </w:p>
    <w:p>
      <w:pPr>
        <w:pStyle w:val="13"/>
        <w:numPr>
          <w:ilvl w:val="0"/>
          <w:numId w:val="136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已造成不良后果的。</w:t>
      </w:r>
    </w:p>
    <w:p>
      <w:pPr>
        <w:pStyle w:val="13"/>
        <w:numPr>
          <w:ilvl w:val="0"/>
          <w:numId w:val="136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1.2 万元以上 2 万元以下罚款。</w:t>
      </w:r>
    </w:p>
    <w:p>
      <w:pPr>
        <w:pStyle w:val="2"/>
        <w:spacing w:before="195"/>
        <w:rPr>
          <w:color w:val="auto"/>
        </w:rPr>
      </w:pPr>
      <w:bookmarkStart w:id="1254" w:name="六百一十四、发生特种设备事故，阻挠、干涉特种设备事故报告和调查处理工作"/>
      <w:bookmarkEnd w:id="1254"/>
      <w:bookmarkStart w:id="1255" w:name="_bookmark626"/>
      <w:bookmarkEnd w:id="1255"/>
      <w:r>
        <w:rPr>
          <w:color w:val="auto"/>
        </w:rPr>
        <w:t>六百一十四、发生特种设备事故，阻挠、干涉特种设备事故报告和调查处理工作</w:t>
      </w:r>
    </w:p>
    <w:p>
      <w:pPr>
        <w:spacing w:before="191"/>
        <w:ind w:left="591" w:right="0" w:firstLine="0"/>
        <w:jc w:val="left"/>
        <w:rPr>
          <w:b/>
          <w:color w:val="auto"/>
          <w:sz w:val="24"/>
        </w:rPr>
      </w:pPr>
      <w:r>
        <w:rPr>
          <w:b/>
          <w:color w:val="auto"/>
          <w:sz w:val="24"/>
        </w:rPr>
        <w:t>（一）处罚依据</w:t>
      </w:r>
    </w:p>
    <w:p>
      <w:pPr>
        <w:pStyle w:val="4"/>
        <w:spacing w:before="192"/>
        <w:ind w:left="581"/>
        <w:rPr>
          <w:color w:val="auto"/>
        </w:rPr>
      </w:pPr>
      <w:r>
        <w:rPr>
          <w:color w:val="auto"/>
        </w:rPr>
        <w:t>《特种设备事故报告和调查处理规定》第四十六条“发生特种设备事故，有下列</w:t>
      </w:r>
    </w:p>
    <w:p>
      <w:pPr>
        <w:spacing w:after="0"/>
        <w:rPr>
          <w:color w:val="auto"/>
        </w:rPr>
        <w:sectPr>
          <w:pgSz w:w="11910" w:h="16840"/>
          <w:pgMar w:top="1520" w:right="1260" w:bottom="1220" w:left="1420" w:header="0" w:footer="1034" w:gutter="0"/>
        </w:sectPr>
      </w:pPr>
    </w:p>
    <w:p>
      <w:pPr>
        <w:pStyle w:val="4"/>
        <w:spacing w:before="39" w:line="391" w:lineRule="auto"/>
        <w:ind w:right="232"/>
        <w:jc w:val="both"/>
        <w:rPr>
          <w:color w:val="auto"/>
        </w:rPr>
      </w:pPr>
      <w:r>
        <w:rPr>
          <w:color w:val="auto"/>
          <w:spacing w:val="-1"/>
        </w:rPr>
        <w:t xml:space="preserve">行为之一，构成犯罪的，依法追究刑事责任；构成有关法律法规规定的违法行为的， </w:t>
      </w:r>
      <w:r>
        <w:rPr>
          <w:color w:val="auto"/>
          <w:spacing w:val="-4"/>
        </w:rPr>
        <w:t>依法予以行政处罚；未构成有关法律法规规定的违法行为的，由质量技术监督部门等</w:t>
      </w:r>
      <w:r>
        <w:rPr>
          <w:color w:val="auto"/>
          <w:spacing w:val="-19"/>
        </w:rPr>
        <w:t xml:space="preserve">处以 </w:t>
      </w:r>
      <w:r>
        <w:rPr>
          <w:color w:val="auto"/>
        </w:rPr>
        <w:t>4000</w:t>
      </w:r>
      <w:r>
        <w:rPr>
          <w:color w:val="auto"/>
          <w:spacing w:val="-19"/>
        </w:rPr>
        <w:t xml:space="preserve"> 元以上 </w:t>
      </w:r>
      <w:r>
        <w:rPr>
          <w:color w:val="auto"/>
        </w:rPr>
        <w:t>2</w:t>
      </w:r>
      <w:r>
        <w:rPr>
          <w:color w:val="auto"/>
          <w:spacing w:val="-7"/>
        </w:rPr>
        <w:t xml:space="preserve"> 万元以下的罚款</w:t>
      </w:r>
      <w:r>
        <w:rPr>
          <w:color w:val="auto"/>
        </w:rPr>
        <w:t>：（三）阻挠、干涉特种设备事故报告和调查处理工作的。”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61"/>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未对事故调查造成影响的。</w:t>
      </w:r>
    </w:p>
    <w:p>
      <w:pPr>
        <w:pStyle w:val="13"/>
        <w:numPr>
          <w:ilvl w:val="0"/>
          <w:numId w:val="136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5032"/>
        <w:rPr>
          <w:color w:val="auto"/>
        </w:rPr>
      </w:pPr>
      <w:r>
        <w:rPr>
          <w:color w:val="auto"/>
          <w:spacing w:val="-30"/>
        </w:rPr>
        <w:t xml:space="preserve">处 </w:t>
      </w:r>
      <w:r>
        <w:rPr>
          <w:color w:val="auto"/>
        </w:rPr>
        <w:t>4000</w:t>
      </w:r>
      <w:r>
        <w:rPr>
          <w:color w:val="auto"/>
          <w:spacing w:val="-24"/>
        </w:rPr>
        <w:t xml:space="preserve"> 元以上 </w:t>
      </w:r>
      <w:r>
        <w:rPr>
          <w:color w:val="auto"/>
        </w:rPr>
        <w:t>8000</w:t>
      </w:r>
      <w:r>
        <w:rPr>
          <w:color w:val="auto"/>
          <w:spacing w:val="-11"/>
        </w:rPr>
        <w:t xml:space="preserve"> 元以下罚款。</w:t>
      </w:r>
      <w:r>
        <w:rPr>
          <w:color w:val="auto"/>
        </w:rPr>
        <w:t>2</w:t>
      </w:r>
      <w:r>
        <w:rPr>
          <w:color w:val="auto"/>
          <w:spacing w:val="-24"/>
        </w:rPr>
        <w:t>、【较重】</w:t>
      </w:r>
    </w:p>
    <w:p>
      <w:pPr>
        <w:pStyle w:val="13"/>
        <w:numPr>
          <w:ilvl w:val="0"/>
          <w:numId w:val="1362"/>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造成一定影响的。</w:t>
      </w:r>
    </w:p>
    <w:p>
      <w:pPr>
        <w:pStyle w:val="13"/>
        <w:numPr>
          <w:ilvl w:val="0"/>
          <w:numId w:val="1362"/>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line="388" w:lineRule="auto"/>
        <w:ind w:left="591" w:right="4912"/>
        <w:rPr>
          <w:color w:val="auto"/>
        </w:rPr>
      </w:pPr>
      <w:r>
        <w:rPr>
          <w:color w:val="auto"/>
          <w:spacing w:val="-30"/>
        </w:rPr>
        <w:t xml:space="preserve">处 </w:t>
      </w:r>
      <w:r>
        <w:rPr>
          <w:color w:val="auto"/>
        </w:rPr>
        <w:t>8000</w:t>
      </w:r>
      <w:r>
        <w:rPr>
          <w:color w:val="auto"/>
          <w:spacing w:val="-24"/>
        </w:rPr>
        <w:t xml:space="preserve"> 元以上 </w:t>
      </w:r>
      <w:r>
        <w:rPr>
          <w:color w:val="auto"/>
        </w:rPr>
        <w:t>1.2</w:t>
      </w:r>
      <w:r>
        <w:rPr>
          <w:color w:val="auto"/>
          <w:spacing w:val="-10"/>
        </w:rPr>
        <w:t xml:space="preserve"> 万元以下罚款。</w:t>
      </w:r>
      <w:r>
        <w:rPr>
          <w:color w:val="auto"/>
        </w:rPr>
        <w:t>3</w:t>
      </w:r>
      <w:r>
        <w:rPr>
          <w:color w:val="auto"/>
          <w:spacing w:val="-24"/>
        </w:rPr>
        <w:t>、【严重】</w:t>
      </w:r>
    </w:p>
    <w:p>
      <w:pPr>
        <w:pStyle w:val="13"/>
        <w:numPr>
          <w:ilvl w:val="0"/>
          <w:numId w:val="1363"/>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已造成不良后果的。</w:t>
      </w:r>
    </w:p>
    <w:p>
      <w:pPr>
        <w:pStyle w:val="13"/>
        <w:numPr>
          <w:ilvl w:val="0"/>
          <w:numId w:val="136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1.2 万元以上 2 万元以下罚款。</w:t>
      </w:r>
    </w:p>
    <w:p>
      <w:pPr>
        <w:pStyle w:val="2"/>
        <w:spacing w:before="192" w:line="388" w:lineRule="auto"/>
        <w:ind w:left="111" w:right="117" w:firstLine="480"/>
        <w:rPr>
          <w:color w:val="auto"/>
        </w:rPr>
      </w:pPr>
      <w:bookmarkStart w:id="1256" w:name="_bookmark627"/>
      <w:bookmarkEnd w:id="1256"/>
      <w:bookmarkStart w:id="1257" w:name="六百一十五、大型游乐设施制造、安装单位未对大型游乐设施设计进行安全评价，提出安全"/>
      <w:bookmarkEnd w:id="1257"/>
      <w:r>
        <w:rPr>
          <w:color w:val="auto"/>
          <w:spacing w:val="-15"/>
        </w:rPr>
        <w:t>六百一十五、大型游乐设施制造、安装单位未对大型游乐设施设计进行安全评价， 提出安全风险防控措施</w:t>
      </w:r>
    </w:p>
    <w:p>
      <w:pPr>
        <w:spacing w:before="4"/>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《大型游乐设施安全监察规定》第三十八条“大型游乐设施制造、安装单位违反</w:t>
      </w:r>
      <w:r>
        <w:rPr>
          <w:color w:val="auto"/>
          <w:spacing w:val="-7"/>
        </w:rPr>
        <w:t xml:space="preserve">本规定，有下列情形之一的，予以警告，处 </w:t>
      </w:r>
      <w:r>
        <w:rPr>
          <w:color w:val="auto"/>
        </w:rPr>
        <w:t>1</w:t>
      </w:r>
      <w:r>
        <w:rPr>
          <w:color w:val="auto"/>
          <w:spacing w:val="-20"/>
        </w:rPr>
        <w:t xml:space="preserve"> 万元以上 </w:t>
      </w:r>
      <w:r>
        <w:rPr>
          <w:color w:val="auto"/>
        </w:rPr>
        <w:t>3</w:t>
      </w:r>
      <w:r>
        <w:rPr>
          <w:color w:val="auto"/>
          <w:spacing w:val="-9"/>
        </w:rPr>
        <w:t xml:space="preserve"> 万元以下罚款：</w:t>
      </w:r>
      <w:r>
        <w:rPr>
          <w:color w:val="auto"/>
          <w:spacing w:val="-6"/>
        </w:rPr>
        <w:t>（</w:t>
      </w:r>
      <w:r>
        <w:rPr>
          <w:color w:val="auto"/>
        </w:rPr>
        <w:t>一</w:t>
      </w:r>
      <w:r>
        <w:rPr>
          <w:color w:val="auto"/>
          <w:spacing w:val="-5"/>
        </w:rPr>
        <w:t>）</w:t>
      </w:r>
      <w:r>
        <w:rPr>
          <w:color w:val="auto"/>
          <w:spacing w:val="-8"/>
        </w:rPr>
        <w:t>未对</w:t>
      </w:r>
      <w:r>
        <w:rPr>
          <w:color w:val="auto"/>
        </w:rPr>
        <w:t>设计进行安全评价，提出安全风险防控措施的。”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1364"/>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未造成不良影响的。</w:t>
      </w:r>
    </w:p>
    <w:p>
      <w:pPr>
        <w:pStyle w:val="13"/>
        <w:numPr>
          <w:ilvl w:val="0"/>
          <w:numId w:val="1364"/>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left="591" w:right="4312"/>
        <w:rPr>
          <w:color w:val="auto"/>
        </w:rPr>
      </w:pPr>
      <w:r>
        <w:rPr>
          <w:color w:val="auto"/>
          <w:spacing w:val="-12"/>
        </w:rPr>
        <w:t xml:space="preserve">警告，处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、【严重】</w:t>
      </w:r>
    </w:p>
    <w:p>
      <w:pPr>
        <w:pStyle w:val="13"/>
        <w:numPr>
          <w:ilvl w:val="0"/>
          <w:numId w:val="1365"/>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造成不良影响的。</w:t>
      </w:r>
    </w:p>
    <w:p>
      <w:pPr>
        <w:pStyle w:val="13"/>
        <w:numPr>
          <w:ilvl w:val="0"/>
          <w:numId w:val="1365"/>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警告，处 1.5 万元以上 3 万元以下罚款。</w:t>
      </w:r>
    </w:p>
    <w:p>
      <w:pPr>
        <w:pStyle w:val="2"/>
        <w:spacing w:before="192" w:line="391" w:lineRule="auto"/>
        <w:ind w:left="111" w:right="237" w:firstLine="480"/>
        <w:rPr>
          <w:color w:val="auto"/>
        </w:rPr>
      </w:pPr>
      <w:bookmarkStart w:id="1258" w:name="_bookmark628"/>
      <w:bookmarkEnd w:id="1258"/>
      <w:bookmarkStart w:id="1259" w:name="六百一十六、大型游乐设施制造、安装单位未对大型游乐设施设计中首次使用的新技术进行"/>
      <w:bookmarkEnd w:id="1259"/>
      <w:r>
        <w:rPr>
          <w:color w:val="auto"/>
          <w:spacing w:val="-8"/>
        </w:rPr>
        <w:t>六百一十六、大型游乐设施制造、安装单位未对大型游乐设施设计中首次使用的新技术进行安全性能验证</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《大型游乐设施安全监察规定》第三十八条“大型游乐设施制造、安装单位违反</w:t>
      </w:r>
      <w:r>
        <w:rPr>
          <w:color w:val="auto"/>
          <w:spacing w:val="-7"/>
        </w:rPr>
        <w:t xml:space="preserve">本规定，有下列情形之一的，予以警告，处 </w:t>
      </w:r>
      <w:r>
        <w:rPr>
          <w:color w:val="auto"/>
        </w:rPr>
        <w:t>1</w:t>
      </w:r>
      <w:r>
        <w:rPr>
          <w:color w:val="auto"/>
          <w:spacing w:val="-20"/>
        </w:rPr>
        <w:t xml:space="preserve"> 万元以上 </w:t>
      </w:r>
      <w:r>
        <w:rPr>
          <w:color w:val="auto"/>
        </w:rPr>
        <w:t>3</w:t>
      </w:r>
      <w:r>
        <w:rPr>
          <w:color w:val="auto"/>
          <w:spacing w:val="-9"/>
        </w:rPr>
        <w:t xml:space="preserve"> 万元以下罚款：</w:t>
      </w:r>
      <w:r>
        <w:rPr>
          <w:color w:val="auto"/>
          <w:spacing w:val="-6"/>
        </w:rPr>
        <w:t>（</w:t>
      </w:r>
      <w:r>
        <w:rPr>
          <w:color w:val="auto"/>
        </w:rPr>
        <w:t>二</w:t>
      </w:r>
      <w:r>
        <w:rPr>
          <w:color w:val="auto"/>
          <w:spacing w:val="-5"/>
        </w:rPr>
        <w:t>）</w:t>
      </w:r>
      <w:r>
        <w:rPr>
          <w:color w:val="auto"/>
          <w:spacing w:val="-8"/>
        </w:rPr>
        <w:t>未对</w:t>
      </w:r>
      <w:r>
        <w:rPr>
          <w:color w:val="auto"/>
        </w:rPr>
        <w:t>设计中首次使用的新技术进行安全性能验证的。”</w:t>
      </w:r>
    </w:p>
    <w:p>
      <w:pPr>
        <w:spacing w:before="0" w:line="391"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6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88"/>
        <w:ind w:left="591"/>
        <w:rPr>
          <w:color w:val="auto"/>
        </w:rPr>
      </w:pPr>
      <w:r>
        <w:rPr>
          <w:color w:val="auto"/>
        </w:rPr>
        <w:t>未造成不良后果的。</w:t>
      </w:r>
    </w:p>
    <w:p>
      <w:pPr>
        <w:pStyle w:val="13"/>
        <w:numPr>
          <w:ilvl w:val="0"/>
          <w:numId w:val="1366"/>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4312"/>
        <w:rPr>
          <w:color w:val="auto"/>
        </w:rPr>
      </w:pPr>
      <w:r>
        <w:rPr>
          <w:color w:val="auto"/>
          <w:spacing w:val="-12"/>
        </w:rPr>
        <w:t xml:space="preserve">警告，处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、【严重】</w:t>
      </w:r>
    </w:p>
    <w:p>
      <w:pPr>
        <w:pStyle w:val="13"/>
        <w:numPr>
          <w:ilvl w:val="0"/>
          <w:numId w:val="1367"/>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造成不良后果的。</w:t>
      </w:r>
    </w:p>
    <w:p>
      <w:pPr>
        <w:pStyle w:val="13"/>
        <w:numPr>
          <w:ilvl w:val="0"/>
          <w:numId w:val="136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警告，处 1.5 万元以上 3 万元以下罚款。</w:t>
      </w:r>
    </w:p>
    <w:p>
      <w:pPr>
        <w:pStyle w:val="2"/>
        <w:spacing w:before="191" w:line="388" w:lineRule="auto"/>
        <w:ind w:left="111" w:right="242" w:firstLine="480"/>
        <w:rPr>
          <w:color w:val="auto"/>
        </w:rPr>
      </w:pPr>
      <w:bookmarkStart w:id="1260" w:name="六百一十七、大型游乐设施制造、安装单位未明确大型游乐设施整机、主要受力部件的设计"/>
      <w:bookmarkEnd w:id="1260"/>
      <w:bookmarkStart w:id="1261" w:name="_bookmark629"/>
      <w:bookmarkEnd w:id="1261"/>
      <w:r>
        <w:rPr>
          <w:color w:val="auto"/>
          <w:spacing w:val="-7"/>
        </w:rPr>
        <w:t>六百一十七、大型游乐设施制造、安装单位未明确大型游乐设施整机、主要受力部件的设计使用期限</w:t>
      </w:r>
    </w:p>
    <w:p>
      <w:pPr>
        <w:spacing w:after="0" w:line="388" w:lineRule="auto"/>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4"/>
        <w:spacing w:before="195" w:line="388" w:lineRule="auto"/>
        <w:ind w:right="268" w:firstLine="470"/>
        <w:jc w:val="both"/>
        <w:rPr>
          <w:color w:val="auto"/>
        </w:rPr>
      </w:pPr>
      <w:r>
        <w:rPr>
          <w:color w:val="auto"/>
          <w:spacing w:val="-4"/>
        </w:rPr>
        <w:t>《大型游乐设施安全监察规定》第三十八条“大型游乐设施制造、安装单位违反</w:t>
      </w:r>
      <w:r>
        <w:rPr>
          <w:color w:val="auto"/>
          <w:spacing w:val="-7"/>
        </w:rPr>
        <w:t xml:space="preserve">本规定，有下列情形之一的，予以警告，处 </w:t>
      </w:r>
      <w:r>
        <w:rPr>
          <w:color w:val="auto"/>
        </w:rPr>
        <w:t>1</w:t>
      </w:r>
      <w:r>
        <w:rPr>
          <w:color w:val="auto"/>
          <w:spacing w:val="-20"/>
        </w:rPr>
        <w:t xml:space="preserve"> 万元以上 </w:t>
      </w:r>
      <w:r>
        <w:rPr>
          <w:color w:val="auto"/>
        </w:rPr>
        <w:t>3</w:t>
      </w:r>
      <w:r>
        <w:rPr>
          <w:color w:val="auto"/>
          <w:spacing w:val="-9"/>
        </w:rPr>
        <w:t xml:space="preserve"> 万元以下罚款：</w:t>
      </w:r>
      <w:r>
        <w:rPr>
          <w:color w:val="auto"/>
          <w:spacing w:val="-6"/>
        </w:rPr>
        <w:t>（</w:t>
      </w:r>
      <w:r>
        <w:rPr>
          <w:color w:val="auto"/>
        </w:rPr>
        <w:t>三</w:t>
      </w:r>
      <w:r>
        <w:rPr>
          <w:color w:val="auto"/>
          <w:spacing w:val="-5"/>
        </w:rPr>
        <w:t>）</w:t>
      </w:r>
      <w:r>
        <w:rPr>
          <w:color w:val="auto"/>
          <w:spacing w:val="-8"/>
        </w:rPr>
        <w:t>未明</w:t>
      </w:r>
      <w:r>
        <w:rPr>
          <w:color w:val="auto"/>
        </w:rPr>
        <w:t>确整机、主要受力部件的设计使用期限的。”</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6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设计使用期限标注不全的。</w:t>
      </w:r>
    </w:p>
    <w:p>
      <w:pPr>
        <w:pStyle w:val="13"/>
        <w:numPr>
          <w:ilvl w:val="0"/>
          <w:numId w:val="136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4312"/>
        <w:rPr>
          <w:color w:val="auto"/>
        </w:rPr>
      </w:pPr>
      <w:r>
        <w:rPr>
          <w:color w:val="auto"/>
          <w:spacing w:val="-12"/>
        </w:rPr>
        <w:t xml:space="preserve">警告，处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、【严重】</w:t>
      </w:r>
    </w:p>
    <w:p>
      <w:pPr>
        <w:pStyle w:val="13"/>
        <w:numPr>
          <w:ilvl w:val="0"/>
          <w:numId w:val="136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未明确设计使用期限的。</w:t>
      </w:r>
    </w:p>
    <w:p>
      <w:pPr>
        <w:pStyle w:val="13"/>
        <w:numPr>
          <w:ilvl w:val="0"/>
          <w:numId w:val="136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警告，处 1.5 万元以上 3 万元以下罚款。</w:t>
      </w:r>
    </w:p>
    <w:p>
      <w:pPr>
        <w:pStyle w:val="2"/>
        <w:spacing w:before="192" w:line="391" w:lineRule="auto"/>
        <w:ind w:left="111" w:right="193" w:firstLine="480"/>
        <w:rPr>
          <w:color w:val="auto"/>
        </w:rPr>
      </w:pPr>
      <w:bookmarkStart w:id="1262" w:name="_bookmark630"/>
      <w:bookmarkEnd w:id="1262"/>
      <w:bookmarkStart w:id="1263" w:name="六百一十八、大型游乐设施制造、安装单位对因设计、制造、安装原因，存在质量安全问题"/>
      <w:bookmarkEnd w:id="1263"/>
      <w:r>
        <w:rPr>
          <w:color w:val="auto"/>
        </w:rPr>
        <w:t>六百一十八、大型游乐设施制造、安装单位对因设计、制造、安装原因，存在质量安全问题隐患的大型游乐设施，未按照规定要求进行排查处理</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《大型游乐设施安全监察规定》第三十八条“大型游乐设施制造、安装单位违反</w:t>
      </w:r>
      <w:r>
        <w:rPr>
          <w:color w:val="auto"/>
          <w:spacing w:val="-7"/>
        </w:rPr>
        <w:t xml:space="preserve">本规定，有下列情形之一的，予以警告，处 </w:t>
      </w:r>
      <w:r>
        <w:rPr>
          <w:color w:val="auto"/>
        </w:rPr>
        <w:t>1</w:t>
      </w:r>
      <w:r>
        <w:rPr>
          <w:color w:val="auto"/>
          <w:spacing w:val="-20"/>
        </w:rPr>
        <w:t xml:space="preserve"> 万元以上 </w:t>
      </w:r>
      <w:r>
        <w:rPr>
          <w:color w:val="auto"/>
        </w:rPr>
        <w:t>3</w:t>
      </w:r>
      <w:r>
        <w:rPr>
          <w:color w:val="auto"/>
          <w:spacing w:val="-9"/>
        </w:rPr>
        <w:t xml:space="preserve"> 万元以下罚款：</w:t>
      </w:r>
      <w:r>
        <w:rPr>
          <w:color w:val="auto"/>
          <w:spacing w:val="-6"/>
        </w:rPr>
        <w:t>（</w:t>
      </w:r>
      <w:r>
        <w:rPr>
          <w:color w:val="auto"/>
        </w:rPr>
        <w:t>六</w:t>
      </w:r>
      <w:r>
        <w:rPr>
          <w:color w:val="auto"/>
          <w:spacing w:val="-5"/>
        </w:rPr>
        <w:t>）</w:t>
      </w:r>
      <w:r>
        <w:rPr>
          <w:color w:val="auto"/>
          <w:spacing w:val="-8"/>
        </w:rPr>
        <w:t>对因设计、制造、安装原因，存在质量安全问题隐患的，未按照本规定要求进行排查处理</w:t>
      </w:r>
      <w:r>
        <w:rPr>
          <w:color w:val="auto"/>
        </w:rPr>
        <w:t>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70"/>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3"/>
        <w:ind w:left="591"/>
        <w:rPr>
          <w:color w:val="auto"/>
        </w:rPr>
      </w:pPr>
      <w:r>
        <w:rPr>
          <w:color w:val="auto"/>
        </w:rPr>
        <w:t>未造成不良后果的。</w:t>
      </w:r>
    </w:p>
    <w:p>
      <w:pPr>
        <w:pStyle w:val="13"/>
        <w:numPr>
          <w:ilvl w:val="0"/>
          <w:numId w:val="137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警告，处 1 万元以上 1.5 万元以下罚款。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2、【严重】</w:t>
      </w:r>
    </w:p>
    <w:p>
      <w:pPr>
        <w:pStyle w:val="13"/>
        <w:numPr>
          <w:ilvl w:val="0"/>
          <w:numId w:val="1371"/>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造成不良后果的。</w:t>
      </w:r>
    </w:p>
    <w:p>
      <w:pPr>
        <w:pStyle w:val="13"/>
        <w:numPr>
          <w:ilvl w:val="0"/>
          <w:numId w:val="137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警告，处 1.5 万元以上 3 万元以下罚款。</w:t>
      </w:r>
    </w:p>
    <w:p>
      <w:pPr>
        <w:pStyle w:val="2"/>
        <w:spacing w:before="192"/>
        <w:rPr>
          <w:color w:val="auto"/>
        </w:rPr>
      </w:pPr>
      <w:bookmarkStart w:id="1264" w:name="_bookmark631"/>
      <w:bookmarkEnd w:id="1264"/>
      <w:bookmarkStart w:id="1265" w:name="六百一十九、大型游乐设施运营使用单位在设备运营期间，无安全管理人员在岗"/>
      <w:bookmarkEnd w:id="1265"/>
      <w:r>
        <w:rPr>
          <w:color w:val="auto"/>
        </w:rPr>
        <w:t>六百一十九、大型游乐设施运营使用单位在设备运营期间，无安全管理人员在岗</w:t>
      </w:r>
    </w:p>
    <w:p>
      <w:pPr>
        <w:spacing w:before="191"/>
        <w:ind w:left="591" w:right="0" w:firstLine="0"/>
        <w:jc w:val="left"/>
        <w:rPr>
          <w:b/>
          <w:color w:val="auto"/>
          <w:sz w:val="24"/>
        </w:rPr>
      </w:pPr>
      <w:r>
        <w:rPr>
          <w:b/>
          <w:color w:val="auto"/>
          <w:sz w:val="24"/>
        </w:rPr>
        <w:t>（一）处罚依据</w:t>
      </w:r>
    </w:p>
    <w:p>
      <w:pPr>
        <w:pStyle w:val="4"/>
        <w:spacing w:before="195" w:line="388" w:lineRule="auto"/>
        <w:ind w:right="268" w:firstLine="470"/>
        <w:jc w:val="both"/>
        <w:rPr>
          <w:color w:val="auto"/>
        </w:rPr>
      </w:pPr>
      <w:r>
        <w:rPr>
          <w:color w:val="auto"/>
          <w:spacing w:val="-4"/>
        </w:rPr>
        <w:t>《大型游乐设施安全监察规定》第四十条“大型游乐设施运营使用单位违反本规</w:t>
      </w:r>
      <w:r>
        <w:rPr>
          <w:color w:val="auto"/>
          <w:spacing w:val="-9"/>
        </w:rPr>
        <w:t xml:space="preserve">定，有下列情形之一的，予以警告，处 </w:t>
      </w:r>
      <w:r>
        <w:rPr>
          <w:color w:val="auto"/>
        </w:rPr>
        <w:t>1</w:t>
      </w:r>
      <w:r>
        <w:rPr>
          <w:color w:val="auto"/>
          <w:spacing w:val="-20"/>
        </w:rPr>
        <w:t xml:space="preserve"> 万元以上 </w:t>
      </w:r>
      <w:r>
        <w:rPr>
          <w:color w:val="auto"/>
        </w:rPr>
        <w:t>3</w:t>
      </w:r>
      <w:r>
        <w:rPr>
          <w:color w:val="auto"/>
          <w:spacing w:val="-9"/>
        </w:rPr>
        <w:t xml:space="preserve"> 万元以下罚款：</w:t>
      </w:r>
      <w:r>
        <w:rPr>
          <w:color w:val="auto"/>
          <w:spacing w:val="-6"/>
        </w:rPr>
        <w:t>（</w:t>
      </w:r>
      <w:r>
        <w:rPr>
          <w:color w:val="auto"/>
        </w:rPr>
        <w:t>二</w:t>
      </w:r>
      <w:r>
        <w:rPr>
          <w:color w:val="auto"/>
          <w:spacing w:val="-5"/>
        </w:rPr>
        <w:t>）</w:t>
      </w:r>
      <w:r>
        <w:rPr>
          <w:color w:val="auto"/>
          <w:spacing w:val="-4"/>
        </w:rPr>
        <w:t>设备运营</w:t>
      </w:r>
      <w:r>
        <w:rPr>
          <w:color w:val="auto"/>
        </w:rPr>
        <w:t>期间，无安全管理人员在岗的。”</w:t>
      </w:r>
    </w:p>
    <w:p>
      <w:pPr>
        <w:spacing w:before="5"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72"/>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未造成不良后果的；</w:t>
      </w:r>
    </w:p>
    <w:p>
      <w:pPr>
        <w:pStyle w:val="13"/>
        <w:numPr>
          <w:ilvl w:val="0"/>
          <w:numId w:val="137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left="591" w:right="4312"/>
        <w:rPr>
          <w:color w:val="auto"/>
        </w:rPr>
      </w:pPr>
      <w:r>
        <w:rPr>
          <w:color w:val="auto"/>
          <w:spacing w:val="-12"/>
        </w:rPr>
        <w:t xml:space="preserve">警告，处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、【严重】</w:t>
      </w:r>
    </w:p>
    <w:p>
      <w:pPr>
        <w:pStyle w:val="13"/>
        <w:numPr>
          <w:ilvl w:val="0"/>
          <w:numId w:val="137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1"/>
        <w:ind w:left="591"/>
        <w:rPr>
          <w:color w:val="auto"/>
        </w:rPr>
      </w:pPr>
      <w:r>
        <w:rPr>
          <w:color w:val="auto"/>
        </w:rPr>
        <w:t>造成不良后果的。</w:t>
      </w:r>
    </w:p>
    <w:p>
      <w:pPr>
        <w:pStyle w:val="13"/>
        <w:numPr>
          <w:ilvl w:val="0"/>
          <w:numId w:val="1373"/>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81"/>
        <w:rPr>
          <w:color w:val="auto"/>
        </w:rPr>
      </w:pPr>
      <w:r>
        <w:rPr>
          <w:color w:val="auto"/>
        </w:rPr>
        <w:t>警告，处 1.5 万元以上 3 万元以下罚款。</w:t>
      </w:r>
    </w:p>
    <w:p>
      <w:pPr>
        <w:pStyle w:val="2"/>
        <w:spacing w:before="192" w:line="391" w:lineRule="auto"/>
        <w:ind w:left="111" w:right="237" w:firstLine="480"/>
        <w:rPr>
          <w:color w:val="auto"/>
        </w:rPr>
      </w:pPr>
      <w:bookmarkStart w:id="1266" w:name="_bookmark632"/>
      <w:bookmarkEnd w:id="1266"/>
      <w:bookmarkStart w:id="1267" w:name="六百二十、大型游乐设施运营使用单位未及时更换超过设计使用期限要求的主要受力部件"/>
      <w:bookmarkEnd w:id="1267"/>
      <w:r>
        <w:rPr>
          <w:color w:val="auto"/>
          <w:spacing w:val="-9"/>
        </w:rPr>
        <w:t>六百二十、大型游乐设施运营使用单位未及时更换超过设计使用期限要求的主要受力部件</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70"/>
        <w:jc w:val="both"/>
        <w:rPr>
          <w:color w:val="auto"/>
        </w:rPr>
      </w:pPr>
      <w:r>
        <w:rPr>
          <w:color w:val="auto"/>
          <w:spacing w:val="-4"/>
        </w:rPr>
        <w:t>《大型游乐设施安全监察规定》第四十条“大型游乐设施运营使用单位违反本规</w:t>
      </w:r>
      <w:r>
        <w:rPr>
          <w:color w:val="auto"/>
          <w:spacing w:val="-9"/>
        </w:rPr>
        <w:t xml:space="preserve">定，有下列情形之一的，予以警告，处 </w:t>
      </w:r>
      <w:r>
        <w:rPr>
          <w:color w:val="auto"/>
        </w:rPr>
        <w:t>1</w:t>
      </w:r>
      <w:r>
        <w:rPr>
          <w:color w:val="auto"/>
          <w:spacing w:val="-20"/>
        </w:rPr>
        <w:t xml:space="preserve"> 万元以上 </w:t>
      </w:r>
      <w:r>
        <w:rPr>
          <w:color w:val="auto"/>
        </w:rPr>
        <w:t>3</w:t>
      </w:r>
      <w:r>
        <w:rPr>
          <w:color w:val="auto"/>
          <w:spacing w:val="-9"/>
        </w:rPr>
        <w:t xml:space="preserve"> 万元以下罚款：</w:t>
      </w:r>
      <w:r>
        <w:rPr>
          <w:color w:val="auto"/>
          <w:spacing w:val="-6"/>
        </w:rPr>
        <w:t>（</w:t>
      </w:r>
      <w:r>
        <w:rPr>
          <w:color w:val="auto"/>
        </w:rPr>
        <w:t>四</w:t>
      </w:r>
      <w:r>
        <w:rPr>
          <w:color w:val="auto"/>
          <w:spacing w:val="-5"/>
        </w:rPr>
        <w:t>）</w:t>
      </w:r>
      <w:r>
        <w:rPr>
          <w:color w:val="auto"/>
          <w:spacing w:val="-4"/>
        </w:rPr>
        <w:t>未及时更</w:t>
      </w:r>
      <w:r>
        <w:rPr>
          <w:color w:val="auto"/>
        </w:rPr>
        <w:t>换超过设计使用期限要求的主要受力部件的。”</w:t>
      </w:r>
    </w:p>
    <w:p>
      <w:pPr>
        <w:pStyle w:val="2"/>
        <w:spacing w:line="304" w:lineRule="exact"/>
        <w:rPr>
          <w:color w:val="auto"/>
        </w:rPr>
      </w:pPr>
      <w:r>
        <w:rPr>
          <w:color w:val="auto"/>
        </w:rPr>
        <w:t>（二）裁量标准</w:t>
      </w:r>
    </w:p>
    <w:p>
      <w:pPr>
        <w:spacing w:after="0" w:line="304" w:lineRule="exact"/>
        <w:rPr>
          <w:color w:val="auto"/>
        </w:rPr>
        <w:sectPr>
          <w:pgSz w:w="11910" w:h="16840"/>
          <w:pgMar w:top="1520" w:right="1260" w:bottom="1220" w:left="1420" w:header="0" w:footer="1034" w:gutter="0"/>
        </w:sectPr>
      </w:pPr>
    </w:p>
    <w:p>
      <w:pPr>
        <w:pStyle w:val="4"/>
        <w:spacing w:before="39"/>
        <w:ind w:left="591"/>
        <w:rPr>
          <w:color w:val="auto"/>
        </w:rPr>
      </w:pPr>
      <w:r>
        <w:rPr>
          <w:color w:val="auto"/>
        </w:rPr>
        <w:t>1、【一般】</w:t>
      </w:r>
    </w:p>
    <w:p>
      <w:pPr>
        <w:pStyle w:val="13"/>
        <w:numPr>
          <w:ilvl w:val="0"/>
          <w:numId w:val="1374"/>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未造成不良后果的。</w:t>
      </w:r>
    </w:p>
    <w:p>
      <w:pPr>
        <w:pStyle w:val="13"/>
        <w:numPr>
          <w:ilvl w:val="0"/>
          <w:numId w:val="1374"/>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312"/>
        <w:rPr>
          <w:color w:val="auto"/>
        </w:rPr>
      </w:pPr>
      <w:r>
        <w:rPr>
          <w:color w:val="auto"/>
          <w:spacing w:val="-12"/>
        </w:rPr>
        <w:t xml:space="preserve">警告，处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、【严重】</w:t>
      </w:r>
    </w:p>
    <w:p>
      <w:pPr>
        <w:pStyle w:val="13"/>
        <w:numPr>
          <w:ilvl w:val="0"/>
          <w:numId w:val="1375"/>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造成不良后果的。</w:t>
      </w:r>
    </w:p>
    <w:p>
      <w:pPr>
        <w:pStyle w:val="13"/>
        <w:numPr>
          <w:ilvl w:val="0"/>
          <w:numId w:val="1375"/>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警告，处 1.5 万元以上 3 万元以下罚款。</w:t>
      </w:r>
    </w:p>
    <w:p>
      <w:pPr>
        <w:pStyle w:val="2"/>
        <w:spacing w:before="194" w:line="388" w:lineRule="auto"/>
        <w:ind w:left="111" w:right="237" w:firstLine="480"/>
        <w:rPr>
          <w:color w:val="auto"/>
        </w:rPr>
      </w:pPr>
      <w:bookmarkStart w:id="1268" w:name="六百二十一、租借场地开展大型游乐设施经营的单位，未与场地提供单位签订安全管理协议"/>
      <w:bookmarkEnd w:id="1268"/>
      <w:bookmarkStart w:id="1269" w:name="_bookmark633"/>
      <w:bookmarkEnd w:id="1269"/>
      <w:r>
        <w:rPr>
          <w:color w:val="auto"/>
          <w:spacing w:val="-8"/>
        </w:rPr>
        <w:t>六百二十一、租借场地开展大型游乐设施经营的单位，未与场地提供单位签订安全管理协议，落实安全管理制度</w:t>
      </w:r>
    </w:p>
    <w:p>
      <w:pPr>
        <w:spacing w:before="2"/>
        <w:ind w:left="591" w:right="0" w:firstLine="0"/>
        <w:jc w:val="left"/>
        <w:rPr>
          <w:b/>
          <w:color w:val="auto"/>
          <w:sz w:val="24"/>
        </w:rPr>
      </w:pPr>
      <w:r>
        <w:rPr>
          <w:b/>
          <w:color w:val="auto"/>
          <w:sz w:val="24"/>
        </w:rPr>
        <w:t>（一）处罚依据</w:t>
      </w:r>
    </w:p>
    <w:p>
      <w:pPr>
        <w:pStyle w:val="4"/>
        <w:spacing w:before="194" w:line="391" w:lineRule="auto"/>
        <w:ind w:right="268" w:firstLine="470"/>
        <w:jc w:val="both"/>
        <w:rPr>
          <w:color w:val="auto"/>
        </w:rPr>
      </w:pPr>
      <w:r>
        <w:rPr>
          <w:color w:val="auto"/>
          <w:spacing w:val="-4"/>
        </w:rPr>
        <w:t>《大型游乐设施安全监察规定》第四十条“大型游乐设施运营使用单位违反本规</w:t>
      </w:r>
      <w:r>
        <w:rPr>
          <w:color w:val="auto"/>
          <w:spacing w:val="-9"/>
        </w:rPr>
        <w:t xml:space="preserve">定，有下列情形之一的，予以警告，处 </w:t>
      </w:r>
      <w:r>
        <w:rPr>
          <w:color w:val="auto"/>
        </w:rPr>
        <w:t>1</w:t>
      </w:r>
      <w:r>
        <w:rPr>
          <w:color w:val="auto"/>
          <w:spacing w:val="-20"/>
        </w:rPr>
        <w:t xml:space="preserve"> 万元以上 </w:t>
      </w:r>
      <w:r>
        <w:rPr>
          <w:color w:val="auto"/>
        </w:rPr>
        <w:t>3</w:t>
      </w:r>
      <w:r>
        <w:rPr>
          <w:color w:val="auto"/>
          <w:spacing w:val="-9"/>
        </w:rPr>
        <w:t xml:space="preserve"> 万元以下罚款：</w:t>
      </w:r>
      <w:r>
        <w:rPr>
          <w:color w:val="auto"/>
          <w:spacing w:val="-6"/>
        </w:rPr>
        <w:t>（</w:t>
      </w:r>
      <w:r>
        <w:rPr>
          <w:color w:val="auto"/>
        </w:rPr>
        <w:t>五</w:t>
      </w:r>
      <w:r>
        <w:rPr>
          <w:color w:val="auto"/>
          <w:spacing w:val="-5"/>
        </w:rPr>
        <w:t>）</w:t>
      </w:r>
      <w:r>
        <w:rPr>
          <w:color w:val="auto"/>
          <w:spacing w:val="-4"/>
        </w:rPr>
        <w:t>租借场地开展大型游乐设施经营的，未与场地提供单位签订安全管理协议，落实安全管理制度</w:t>
      </w:r>
      <w:r>
        <w:rPr>
          <w:color w:val="auto"/>
        </w:rPr>
        <w:t>的。”</w:t>
      </w:r>
    </w:p>
    <w:p>
      <w:pPr>
        <w:spacing w:before="0" w:line="388" w:lineRule="auto"/>
        <w:ind w:left="591" w:right="6948" w:firstLine="0"/>
        <w:jc w:val="left"/>
        <w:rPr>
          <w:color w:val="auto"/>
          <w:sz w:val="24"/>
        </w:rPr>
      </w:pPr>
      <w:r>
        <w:rPr>
          <w:b/>
          <w:color w:val="auto"/>
          <w:sz w:val="24"/>
        </w:rPr>
        <w:t>（二）裁量标准</w:t>
      </w:r>
      <w:r>
        <w:rPr>
          <w:color w:val="auto"/>
          <w:sz w:val="24"/>
        </w:rPr>
        <w:t>1、【一般】</w:t>
      </w:r>
    </w:p>
    <w:p>
      <w:pPr>
        <w:pStyle w:val="13"/>
        <w:numPr>
          <w:ilvl w:val="0"/>
          <w:numId w:val="1376"/>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0"/>
        <w:ind w:left="591"/>
        <w:rPr>
          <w:color w:val="auto"/>
        </w:rPr>
      </w:pPr>
      <w:r>
        <w:rPr>
          <w:color w:val="auto"/>
        </w:rPr>
        <w:t>签订安全管理协议，未落实安全管理制度的。</w:t>
      </w:r>
    </w:p>
    <w:p>
      <w:pPr>
        <w:pStyle w:val="13"/>
        <w:numPr>
          <w:ilvl w:val="0"/>
          <w:numId w:val="137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591" w:right="4312"/>
        <w:rPr>
          <w:color w:val="auto"/>
        </w:rPr>
      </w:pPr>
      <w:r>
        <w:rPr>
          <w:color w:val="auto"/>
          <w:spacing w:val="-12"/>
        </w:rPr>
        <w:t xml:space="preserve">警告，处 </w:t>
      </w:r>
      <w:r>
        <w:rPr>
          <w:color w:val="auto"/>
        </w:rPr>
        <w:t>1</w:t>
      </w:r>
      <w:r>
        <w:rPr>
          <w:color w:val="auto"/>
          <w:spacing w:val="-20"/>
        </w:rPr>
        <w:t xml:space="preserve"> 万元以上 </w:t>
      </w:r>
      <w:r>
        <w:rPr>
          <w:color w:val="auto"/>
        </w:rPr>
        <w:t>1.2</w:t>
      </w:r>
      <w:r>
        <w:rPr>
          <w:color w:val="auto"/>
          <w:spacing w:val="-10"/>
        </w:rPr>
        <w:t xml:space="preserve"> 万元以下罚款。</w:t>
      </w:r>
      <w:r>
        <w:rPr>
          <w:color w:val="auto"/>
        </w:rPr>
        <w:t>2</w:t>
      </w:r>
      <w:r>
        <w:rPr>
          <w:color w:val="auto"/>
          <w:spacing w:val="-24"/>
        </w:rPr>
        <w:t>、【较重】</w:t>
      </w:r>
    </w:p>
    <w:p>
      <w:pPr>
        <w:pStyle w:val="13"/>
        <w:numPr>
          <w:ilvl w:val="0"/>
          <w:numId w:val="137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未签订安全管理协议的。</w:t>
      </w:r>
    </w:p>
    <w:p>
      <w:pPr>
        <w:pStyle w:val="13"/>
        <w:numPr>
          <w:ilvl w:val="0"/>
          <w:numId w:val="1377"/>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警告，处 1.2 万元以上 2 万元以下罚款。</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3、【严重】</w:t>
      </w:r>
    </w:p>
    <w:p>
      <w:pPr>
        <w:pStyle w:val="13"/>
        <w:numPr>
          <w:ilvl w:val="0"/>
          <w:numId w:val="1378"/>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造成不良后果的。</w:t>
      </w:r>
    </w:p>
    <w:p>
      <w:pPr>
        <w:pStyle w:val="13"/>
        <w:numPr>
          <w:ilvl w:val="0"/>
          <w:numId w:val="137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警告，处 2 万元以上 3 万元以下罚款。</w:t>
      </w:r>
    </w:p>
    <w:p>
      <w:pPr>
        <w:pStyle w:val="2"/>
        <w:spacing w:before="192" w:line="388" w:lineRule="auto"/>
        <w:ind w:left="111" w:right="237" w:firstLine="480"/>
        <w:rPr>
          <w:color w:val="auto"/>
        </w:rPr>
      </w:pPr>
      <w:bookmarkStart w:id="1270" w:name="六百二十二、大型游乐设施运营使用单位未按照安全技术规范和使用维护说明书等要求进行"/>
      <w:bookmarkEnd w:id="1270"/>
      <w:bookmarkStart w:id="1271" w:name="_bookmark634"/>
      <w:bookmarkEnd w:id="1271"/>
      <w:r>
        <w:rPr>
          <w:color w:val="auto"/>
          <w:spacing w:val="-9"/>
        </w:rPr>
        <w:t>六百二十二、大型游乐设施运营使用单位未按照安全技术规范和使用维护说明书等要求进行重大修理</w:t>
      </w:r>
    </w:p>
    <w:p>
      <w:pPr>
        <w:spacing w:before="4"/>
        <w:ind w:left="591" w:right="0" w:firstLine="0"/>
        <w:jc w:val="left"/>
        <w:rPr>
          <w:b/>
          <w:color w:val="auto"/>
          <w:sz w:val="24"/>
        </w:rPr>
      </w:pPr>
      <w:r>
        <w:rPr>
          <w:b/>
          <w:color w:val="auto"/>
          <w:w w:val="95"/>
          <w:sz w:val="24"/>
        </w:rPr>
        <w:t>（一）处罚依据</w:t>
      </w:r>
    </w:p>
    <w:p>
      <w:pPr>
        <w:pStyle w:val="4"/>
        <w:spacing w:before="192" w:line="391" w:lineRule="auto"/>
        <w:ind w:right="268" w:firstLine="470"/>
        <w:jc w:val="both"/>
        <w:rPr>
          <w:color w:val="auto"/>
        </w:rPr>
      </w:pPr>
      <w:r>
        <w:rPr>
          <w:color w:val="auto"/>
          <w:spacing w:val="-4"/>
        </w:rPr>
        <w:t>《大型游乐设施安全监察规定》第四十条“大型游乐设施运营使用单位违反本规</w:t>
      </w:r>
      <w:r>
        <w:rPr>
          <w:color w:val="auto"/>
          <w:spacing w:val="-9"/>
        </w:rPr>
        <w:t xml:space="preserve">定，有下列情形之一的，予以警告，处 </w:t>
      </w:r>
      <w:r>
        <w:rPr>
          <w:color w:val="auto"/>
        </w:rPr>
        <w:t>1</w:t>
      </w:r>
      <w:r>
        <w:rPr>
          <w:color w:val="auto"/>
          <w:spacing w:val="-20"/>
        </w:rPr>
        <w:t xml:space="preserve"> 万元以上 </w:t>
      </w:r>
      <w:r>
        <w:rPr>
          <w:color w:val="auto"/>
        </w:rPr>
        <w:t>3</w:t>
      </w:r>
      <w:r>
        <w:rPr>
          <w:color w:val="auto"/>
          <w:spacing w:val="-9"/>
        </w:rPr>
        <w:t xml:space="preserve"> 万元以下罚款：</w:t>
      </w:r>
      <w:r>
        <w:rPr>
          <w:color w:val="auto"/>
          <w:spacing w:val="-6"/>
        </w:rPr>
        <w:t>（</w:t>
      </w:r>
      <w:r>
        <w:rPr>
          <w:color w:val="auto"/>
        </w:rPr>
        <w:t>六</w:t>
      </w:r>
      <w:r>
        <w:rPr>
          <w:color w:val="auto"/>
          <w:spacing w:val="-5"/>
        </w:rPr>
        <w:t>）</w:t>
      </w:r>
      <w:r>
        <w:rPr>
          <w:color w:val="auto"/>
          <w:spacing w:val="-4"/>
        </w:rPr>
        <w:t>未按照安</w:t>
      </w:r>
      <w:r>
        <w:rPr>
          <w:color w:val="auto"/>
        </w:rPr>
        <w:t>全技术规范和使用维护说明书等要求进行重大修理的。”</w:t>
      </w:r>
    </w:p>
    <w:p>
      <w:pPr>
        <w:spacing w:before="0" w:line="388" w:lineRule="auto"/>
        <w:ind w:left="591" w:right="6957" w:hanging="10"/>
        <w:jc w:val="left"/>
        <w:rPr>
          <w:color w:val="auto"/>
          <w:sz w:val="24"/>
        </w:rPr>
      </w:pPr>
      <w:r>
        <w:rPr>
          <w:b/>
          <w:color w:val="auto"/>
          <w:sz w:val="24"/>
        </w:rPr>
        <w:t>（二）裁量标准</w:t>
      </w:r>
      <w:r>
        <w:rPr>
          <w:color w:val="auto"/>
          <w:sz w:val="24"/>
        </w:rPr>
        <w:t>1、【一般】</w:t>
      </w:r>
    </w:p>
    <w:p>
      <w:pPr>
        <w:pStyle w:val="13"/>
        <w:numPr>
          <w:ilvl w:val="0"/>
          <w:numId w:val="1379"/>
        </w:numPr>
        <w:tabs>
          <w:tab w:val="left" w:pos="1193"/>
        </w:tabs>
        <w:spacing w:before="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未造成不良后果的。</w:t>
      </w:r>
    </w:p>
    <w:p>
      <w:pPr>
        <w:pStyle w:val="13"/>
        <w:numPr>
          <w:ilvl w:val="0"/>
          <w:numId w:val="1379"/>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4" w:line="388" w:lineRule="auto"/>
        <w:ind w:left="591" w:right="4312"/>
        <w:rPr>
          <w:color w:val="auto"/>
        </w:rPr>
      </w:pPr>
      <w:r>
        <w:rPr>
          <w:color w:val="auto"/>
          <w:spacing w:val="-12"/>
        </w:rPr>
        <w:t xml:space="preserve">警告，处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2</w:t>
      </w:r>
      <w:r>
        <w:rPr>
          <w:color w:val="auto"/>
          <w:spacing w:val="-24"/>
        </w:rPr>
        <w:t>、【严重】</w:t>
      </w:r>
    </w:p>
    <w:p>
      <w:pPr>
        <w:pStyle w:val="13"/>
        <w:numPr>
          <w:ilvl w:val="0"/>
          <w:numId w:val="1380"/>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5"/>
        <w:ind w:left="591"/>
        <w:rPr>
          <w:color w:val="auto"/>
        </w:rPr>
      </w:pPr>
      <w:r>
        <w:rPr>
          <w:color w:val="auto"/>
        </w:rPr>
        <w:t>造成不良后果的。</w:t>
      </w:r>
    </w:p>
    <w:p>
      <w:pPr>
        <w:pStyle w:val="13"/>
        <w:numPr>
          <w:ilvl w:val="0"/>
          <w:numId w:val="1380"/>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ind w:left="581"/>
        <w:rPr>
          <w:color w:val="auto"/>
        </w:rPr>
      </w:pPr>
      <w:r>
        <w:rPr>
          <w:color w:val="auto"/>
        </w:rPr>
        <w:t>警告，处 1.5 万元以上 3 万元以下罚款。</w:t>
      </w:r>
    </w:p>
    <w:p>
      <w:pPr>
        <w:pStyle w:val="2"/>
        <w:spacing w:before="194" w:line="388" w:lineRule="auto"/>
        <w:ind w:left="111" w:right="237" w:firstLine="480"/>
        <w:rPr>
          <w:color w:val="auto"/>
        </w:rPr>
      </w:pPr>
      <w:bookmarkStart w:id="1272" w:name="六百二十三、安装、改造和重大修理施工现场的作业人员数量不能满足施工要求或具有相应"/>
      <w:bookmarkEnd w:id="1272"/>
      <w:bookmarkStart w:id="1273" w:name="_bookmark635"/>
      <w:bookmarkEnd w:id="1273"/>
      <w:r>
        <w:rPr>
          <w:color w:val="auto"/>
          <w:spacing w:val="-9"/>
        </w:rPr>
        <w:t>六百二十三、安装、改造和重大修理施工现场的作业人员数量不能满足施工要求或具有相应特种设备作业人员资格的人数不符合安全技术规范要求</w:t>
      </w:r>
    </w:p>
    <w:p>
      <w:pPr>
        <w:spacing w:before="2"/>
        <w:ind w:left="58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4"/>
        </w:rPr>
        <w:t>《大型游乐设施安全监察规定》第四十一条“违反本规定安装、改造和重大修理</w:t>
      </w:r>
      <w:r>
        <w:rPr>
          <w:color w:val="auto"/>
          <w:spacing w:val="3"/>
        </w:rPr>
        <w:t>施工现场的作业人员数量不能满足施工要求或具有相应特种设备作业人员资格的人</w:t>
      </w:r>
      <w:r>
        <w:rPr>
          <w:color w:val="auto"/>
        </w:rPr>
        <w:t>数不符合安全技术规范要求的，予以警告，处 5</w:t>
      </w:r>
      <w:r>
        <w:rPr>
          <w:color w:val="auto"/>
          <w:spacing w:val="-20"/>
        </w:rPr>
        <w:t xml:space="preserve"> 千元以上 </w:t>
      </w:r>
      <w:r>
        <w:rPr>
          <w:color w:val="auto"/>
        </w:rPr>
        <w:t>1</w:t>
      </w:r>
      <w:r>
        <w:rPr>
          <w:color w:val="auto"/>
          <w:spacing w:val="-8"/>
        </w:rPr>
        <w:t xml:space="preserve"> 万元以下罚款。”</w:t>
      </w:r>
    </w:p>
    <w:p>
      <w:pPr>
        <w:spacing w:after="0" w:line="388" w:lineRule="auto"/>
        <w:jc w:val="both"/>
        <w:rPr>
          <w:color w:val="auto"/>
        </w:rPr>
        <w:sectPr>
          <w:pgSz w:w="11910" w:h="16840"/>
          <w:pgMar w:top="1520" w:right="1260" w:bottom="1220" w:left="1420" w:header="0" w:footer="1034" w:gutter="0"/>
        </w:sectPr>
      </w:pPr>
    </w:p>
    <w:p>
      <w:pPr>
        <w:spacing w:before="39" w:line="391" w:lineRule="auto"/>
        <w:ind w:left="591" w:right="6957" w:hanging="10"/>
        <w:jc w:val="left"/>
        <w:rPr>
          <w:color w:val="auto"/>
          <w:sz w:val="24"/>
        </w:rPr>
      </w:pPr>
      <w:r>
        <w:rPr>
          <w:b/>
          <w:color w:val="auto"/>
          <w:sz w:val="24"/>
        </w:rPr>
        <w:t>（二）裁量标准</w:t>
      </w:r>
      <w:r>
        <w:rPr>
          <w:color w:val="auto"/>
          <w:sz w:val="24"/>
        </w:rPr>
        <w:t>1、【一般】</w:t>
      </w:r>
    </w:p>
    <w:p>
      <w:pPr>
        <w:pStyle w:val="13"/>
        <w:numPr>
          <w:ilvl w:val="0"/>
          <w:numId w:val="1381"/>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未造成不良后果的。</w:t>
      </w:r>
    </w:p>
    <w:p>
      <w:pPr>
        <w:pStyle w:val="13"/>
        <w:numPr>
          <w:ilvl w:val="0"/>
          <w:numId w:val="138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6112"/>
        <w:rPr>
          <w:color w:val="auto"/>
        </w:rPr>
      </w:pPr>
      <w:r>
        <w:rPr>
          <w:color w:val="auto"/>
          <w:spacing w:val="-12"/>
        </w:rPr>
        <w:t xml:space="preserve">警告，处 </w:t>
      </w:r>
      <w:r>
        <w:rPr>
          <w:color w:val="auto"/>
        </w:rPr>
        <w:t>5000</w:t>
      </w:r>
      <w:r>
        <w:rPr>
          <w:color w:val="auto"/>
          <w:spacing w:val="-16"/>
        </w:rPr>
        <w:t xml:space="preserve"> 元罚款。</w:t>
      </w:r>
      <w:r>
        <w:rPr>
          <w:color w:val="auto"/>
        </w:rPr>
        <w:t>2</w:t>
      </w:r>
      <w:r>
        <w:rPr>
          <w:color w:val="auto"/>
          <w:spacing w:val="-24"/>
        </w:rPr>
        <w:t>、【严重】</w:t>
      </w:r>
    </w:p>
    <w:p>
      <w:pPr>
        <w:pStyle w:val="13"/>
        <w:numPr>
          <w:ilvl w:val="0"/>
          <w:numId w:val="1382"/>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已造成不良后果的。</w:t>
      </w:r>
    </w:p>
    <w:p>
      <w:pPr>
        <w:pStyle w:val="13"/>
        <w:numPr>
          <w:ilvl w:val="0"/>
          <w:numId w:val="138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警告，处 5000 元以上 1 万元以下罚款。</w:t>
      </w:r>
    </w:p>
    <w:p>
      <w:pPr>
        <w:pStyle w:val="2"/>
        <w:spacing w:before="192"/>
        <w:rPr>
          <w:color w:val="auto"/>
        </w:rPr>
      </w:pPr>
      <w:bookmarkStart w:id="1274" w:name="六百二十四、公众聚集场所的电梯未配置使用监控系统，逾期未改"/>
      <w:bookmarkEnd w:id="1274"/>
      <w:bookmarkStart w:id="1275" w:name="_bookmark636"/>
      <w:bookmarkEnd w:id="1275"/>
      <w:r>
        <w:rPr>
          <w:color w:val="auto"/>
        </w:rPr>
        <w:t>六百二十四、公众聚集场所的电梯未配置使用监控系统，逾期未改</w:t>
      </w:r>
    </w:p>
    <w:p>
      <w:pPr>
        <w:spacing w:before="191"/>
        <w:ind w:left="591" w:right="0" w:firstLine="0"/>
        <w:jc w:val="left"/>
        <w:rPr>
          <w:b/>
          <w:color w:val="auto"/>
          <w:sz w:val="24"/>
        </w:rPr>
      </w:pPr>
      <w:r>
        <w:rPr>
          <w:b/>
          <w:color w:val="auto"/>
          <w:sz w:val="24"/>
        </w:rPr>
        <w:t>（一）处罚依据</w:t>
      </w:r>
    </w:p>
    <w:p>
      <w:pPr>
        <w:pStyle w:val="4"/>
        <w:spacing w:before="194" w:line="391" w:lineRule="auto"/>
        <w:ind w:right="232" w:firstLine="470"/>
        <w:jc w:val="both"/>
        <w:rPr>
          <w:color w:val="auto"/>
        </w:rPr>
      </w:pPr>
      <w:r>
        <w:rPr>
          <w:color w:val="auto"/>
        </w:rPr>
        <w:t>《山东省特种设备安全条例》第五十六条“违反本条例规定，客运索道、大型游乐设施和学校、幼儿园、医院、机场、车站、客运码头、商场、体育场馆、展览馆、公园等公众聚集场所的电梯未配置使用监控系统的，由特种设备安全监督管理部门责令限期改正；逾期未改正的，处二千元以上一万元以下罚款。”</w:t>
      </w:r>
    </w:p>
    <w:p>
      <w:pPr>
        <w:spacing w:before="0" w:line="388" w:lineRule="auto"/>
        <w:ind w:left="591" w:right="6957" w:hanging="10"/>
        <w:jc w:val="left"/>
        <w:rPr>
          <w:color w:val="auto"/>
          <w:sz w:val="24"/>
        </w:rPr>
      </w:pPr>
      <w:r>
        <w:rPr>
          <w:b/>
          <w:color w:val="auto"/>
          <w:sz w:val="24"/>
        </w:rPr>
        <w:t>（二）裁量标准</w:t>
      </w:r>
      <w:r>
        <w:rPr>
          <w:color w:val="auto"/>
          <w:sz w:val="24"/>
        </w:rPr>
        <w:t>1、【一般】</w:t>
      </w:r>
    </w:p>
    <w:p>
      <w:pPr>
        <w:pStyle w:val="13"/>
        <w:numPr>
          <w:ilvl w:val="0"/>
          <w:numId w:val="1383"/>
        </w:numPr>
        <w:tabs>
          <w:tab w:val="left" w:pos="1193"/>
        </w:tabs>
        <w:spacing w:before="0"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逾期后已开始整改但未整改到位的.</w:t>
      </w:r>
    </w:p>
    <w:p>
      <w:pPr>
        <w:pStyle w:val="13"/>
        <w:numPr>
          <w:ilvl w:val="0"/>
          <w:numId w:val="138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line="388" w:lineRule="auto"/>
        <w:ind w:left="751" w:right="5032" w:hanging="161"/>
        <w:rPr>
          <w:color w:val="auto"/>
        </w:rPr>
      </w:pPr>
      <w:r>
        <w:rPr>
          <w:color w:val="auto"/>
          <w:spacing w:val="-30"/>
        </w:rPr>
        <w:t xml:space="preserve">处 </w:t>
      </w:r>
      <w:r>
        <w:rPr>
          <w:color w:val="auto"/>
        </w:rPr>
        <w:t>2000</w:t>
      </w:r>
      <w:r>
        <w:rPr>
          <w:color w:val="auto"/>
          <w:spacing w:val="-24"/>
        </w:rPr>
        <w:t xml:space="preserve"> 元以上 </w:t>
      </w:r>
      <w:r>
        <w:rPr>
          <w:color w:val="auto"/>
        </w:rPr>
        <w:t>5000</w:t>
      </w:r>
      <w:r>
        <w:rPr>
          <w:color w:val="auto"/>
          <w:spacing w:val="-11"/>
        </w:rPr>
        <w:t xml:space="preserve"> 元以下罚款。</w:t>
      </w:r>
      <w:r>
        <w:rPr>
          <w:color w:val="auto"/>
        </w:rPr>
        <w:t>2</w:t>
      </w:r>
      <w:r>
        <w:rPr>
          <w:color w:val="auto"/>
          <w:spacing w:val="-24"/>
        </w:rPr>
        <w:t>、【较重】</w:t>
      </w:r>
    </w:p>
    <w:p>
      <w:pPr>
        <w:pStyle w:val="13"/>
        <w:numPr>
          <w:ilvl w:val="1"/>
          <w:numId w:val="1383"/>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逾期后未实施整改措施的。</w:t>
      </w:r>
    </w:p>
    <w:p>
      <w:pPr>
        <w:pStyle w:val="13"/>
        <w:numPr>
          <w:ilvl w:val="1"/>
          <w:numId w:val="1383"/>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ind w:left="737"/>
        <w:rPr>
          <w:color w:val="auto"/>
        </w:rPr>
      </w:pPr>
      <w:r>
        <w:rPr>
          <w:color w:val="auto"/>
        </w:rPr>
        <w:t>处 5000 元以上 8000 元以下罚款。</w:t>
      </w:r>
    </w:p>
    <w:p>
      <w:pPr>
        <w:spacing w:after="0"/>
        <w:rPr>
          <w:color w:val="auto"/>
        </w:rPr>
        <w:sectPr>
          <w:footerReference r:id="rId155" w:type="default"/>
          <w:footerReference r:id="rId156" w:type="even"/>
          <w:pgSz w:w="11910" w:h="16840"/>
          <w:pgMar w:top="1520" w:right="1260" w:bottom="1220" w:left="1420" w:header="0" w:footer="1034" w:gutter="0"/>
          <w:pgNumType w:start="600"/>
        </w:sectPr>
      </w:pPr>
    </w:p>
    <w:p>
      <w:pPr>
        <w:pStyle w:val="4"/>
        <w:spacing w:before="39"/>
        <w:ind w:left="751"/>
        <w:rPr>
          <w:color w:val="auto"/>
        </w:rPr>
      </w:pPr>
      <w:r>
        <w:rPr>
          <w:color w:val="auto"/>
        </w:rPr>
        <w:t>3、【严重】</w:t>
      </w:r>
    </w:p>
    <w:p>
      <w:pPr>
        <w:pStyle w:val="13"/>
        <w:numPr>
          <w:ilvl w:val="0"/>
          <w:numId w:val="1384"/>
        </w:numPr>
        <w:tabs>
          <w:tab w:val="left" w:pos="1353"/>
        </w:tabs>
        <w:spacing w:before="195"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情节严重或造成不良后果的。</w:t>
      </w:r>
    </w:p>
    <w:p>
      <w:pPr>
        <w:pStyle w:val="13"/>
        <w:numPr>
          <w:ilvl w:val="0"/>
          <w:numId w:val="1384"/>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ind w:left="581"/>
        <w:jc w:val="both"/>
        <w:rPr>
          <w:color w:val="auto"/>
        </w:rPr>
      </w:pPr>
      <w:r>
        <w:rPr>
          <w:color w:val="auto"/>
        </w:rPr>
        <w:t>处 8000 元以上 1 万元以下罚款。</w:t>
      </w:r>
    </w:p>
    <w:p>
      <w:pPr>
        <w:pStyle w:val="2"/>
        <w:spacing w:before="192" w:line="391" w:lineRule="auto"/>
        <w:ind w:left="111" w:right="237" w:firstLine="480"/>
        <w:jc w:val="both"/>
        <w:rPr>
          <w:color w:val="auto"/>
        </w:rPr>
      </w:pPr>
      <w:bookmarkStart w:id="1276" w:name="_bookmark637"/>
      <w:bookmarkEnd w:id="1276"/>
      <w:bookmarkStart w:id="1277" w:name="六百二十五、电梯运营使用单位不能保证电梯紧急报警装置有效使用，不能保持电梯紧急报"/>
      <w:bookmarkEnd w:id="1277"/>
      <w:r>
        <w:rPr>
          <w:color w:val="auto"/>
          <w:spacing w:val="-7"/>
        </w:rPr>
        <w:t>六百二十五、电梯运营使用单位不能保证电梯紧急报警装置有效使用，不能保持</w:t>
      </w:r>
      <w:r>
        <w:rPr>
          <w:color w:val="auto"/>
          <w:spacing w:val="-11"/>
        </w:rPr>
        <w:t>电梯紧急报警装置与值班人员通讯畅通，或在电梯轿厢、机房、井道内安装、放置与电梯运行无关的设施和物品，逾期未改</w:t>
      </w:r>
    </w:p>
    <w:p>
      <w:pPr>
        <w:spacing w:before="0" w:line="304" w:lineRule="exact"/>
        <w:ind w:left="0" w:right="6356" w:firstLine="0"/>
        <w:jc w:val="center"/>
        <w:rPr>
          <w:b/>
          <w:color w:val="auto"/>
          <w:sz w:val="24"/>
        </w:rPr>
      </w:pPr>
      <w:r>
        <w:rPr>
          <w:b/>
          <w:color w:val="auto"/>
          <w:sz w:val="24"/>
        </w:rPr>
        <w:t>（一）处罚依据</w:t>
      </w:r>
    </w:p>
    <w:p>
      <w:pPr>
        <w:pStyle w:val="4"/>
        <w:spacing w:before="191" w:line="391" w:lineRule="auto"/>
        <w:ind w:right="232" w:firstLine="470"/>
        <w:jc w:val="both"/>
        <w:rPr>
          <w:color w:val="auto"/>
        </w:rPr>
      </w:pPr>
      <w:r>
        <w:rPr>
          <w:color w:val="auto"/>
          <w:spacing w:val="-3"/>
        </w:rPr>
        <w:t>《山东省特种设备安全条例》第五十七条“违反本条例规定，电梯运营使用单位</w:t>
      </w:r>
      <w:r>
        <w:rPr>
          <w:color w:val="auto"/>
          <w:spacing w:val="-6"/>
        </w:rPr>
        <w:t>有下列情形之一的，由特种设备安全监督管理部门责令限期改正；逾期未改正的，处二千元以上一万元以下罚款：（一）不能保证电梯紧急报警装置有效使用的；（二</w:t>
      </w:r>
      <w:r>
        <w:rPr>
          <w:color w:val="auto"/>
          <w:spacing w:val="-17"/>
        </w:rPr>
        <w:t xml:space="preserve">） </w:t>
      </w:r>
      <w:r>
        <w:rPr>
          <w:color w:val="auto"/>
          <w:spacing w:val="-1"/>
        </w:rPr>
        <w:t>不能保持电梯紧急报警装置与值班人员通讯畅通的；</w:t>
      </w:r>
      <w:r>
        <w:rPr>
          <w:color w:val="auto"/>
          <w:spacing w:val="-8"/>
        </w:rPr>
        <w:t>（</w:t>
      </w:r>
      <w:r>
        <w:rPr>
          <w:color w:val="auto"/>
        </w:rPr>
        <w:t>三</w:t>
      </w:r>
      <w:r>
        <w:rPr>
          <w:color w:val="auto"/>
          <w:spacing w:val="-8"/>
        </w:rPr>
        <w:t>）</w:t>
      </w:r>
      <w:r>
        <w:rPr>
          <w:color w:val="auto"/>
          <w:spacing w:val="-3"/>
        </w:rPr>
        <w:t>在电梯轿厢、机房、井道内安装、放置与电梯运行无关的设施和物品的。”</w:t>
      </w:r>
    </w:p>
    <w:p>
      <w:pPr>
        <w:spacing w:before="0" w:line="388" w:lineRule="auto"/>
        <w:ind w:left="581" w:right="6957" w:firstLine="0"/>
        <w:jc w:val="center"/>
        <w:rPr>
          <w:color w:val="auto"/>
          <w:sz w:val="24"/>
        </w:rPr>
      </w:pPr>
      <w:r>
        <w:rPr>
          <w:b/>
          <w:color w:val="auto"/>
          <w:sz w:val="24"/>
        </w:rPr>
        <w:t>（二）裁量标准</w:t>
      </w:r>
      <w:r>
        <w:rPr>
          <w:color w:val="auto"/>
          <w:sz w:val="24"/>
        </w:rPr>
        <w:t>1、【一般】</w:t>
      </w:r>
    </w:p>
    <w:p>
      <w:pPr>
        <w:pStyle w:val="13"/>
        <w:numPr>
          <w:ilvl w:val="0"/>
          <w:numId w:val="1385"/>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逾期后已开始整改但未整改到位的一个月未改，且尚未造成不良后果的。</w:t>
      </w:r>
    </w:p>
    <w:p>
      <w:pPr>
        <w:pStyle w:val="13"/>
        <w:numPr>
          <w:ilvl w:val="0"/>
          <w:numId w:val="1385"/>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873"/>
        <w:rPr>
          <w:color w:val="auto"/>
        </w:rPr>
      </w:pPr>
      <w:r>
        <w:rPr>
          <w:color w:val="auto"/>
          <w:spacing w:val="-30"/>
        </w:rPr>
        <w:t xml:space="preserve">处 </w:t>
      </w:r>
      <w:r>
        <w:rPr>
          <w:color w:val="auto"/>
        </w:rPr>
        <w:t>2000</w:t>
      </w:r>
      <w:r>
        <w:rPr>
          <w:color w:val="auto"/>
          <w:spacing w:val="-24"/>
        </w:rPr>
        <w:t xml:space="preserve"> 元以上 </w:t>
      </w:r>
      <w:r>
        <w:rPr>
          <w:color w:val="auto"/>
        </w:rPr>
        <w:t>5000</w:t>
      </w:r>
      <w:r>
        <w:rPr>
          <w:color w:val="auto"/>
          <w:spacing w:val="-12"/>
        </w:rPr>
        <w:t xml:space="preserve"> 元以下罚款。</w:t>
      </w:r>
      <w:r>
        <w:rPr>
          <w:color w:val="auto"/>
        </w:rPr>
        <w:t>2</w:t>
      </w:r>
      <w:r>
        <w:rPr>
          <w:color w:val="auto"/>
          <w:spacing w:val="-24"/>
        </w:rPr>
        <w:t>、【较重】</w:t>
      </w:r>
    </w:p>
    <w:p>
      <w:pPr>
        <w:pStyle w:val="13"/>
        <w:numPr>
          <w:ilvl w:val="0"/>
          <w:numId w:val="138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逾期后未实施整改措施的。</w:t>
      </w:r>
    </w:p>
    <w:p>
      <w:pPr>
        <w:pStyle w:val="13"/>
        <w:numPr>
          <w:ilvl w:val="0"/>
          <w:numId w:val="1386"/>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4886" w:hanging="15"/>
        <w:rPr>
          <w:color w:val="auto"/>
        </w:rPr>
      </w:pPr>
      <w:r>
        <w:rPr>
          <w:color w:val="auto"/>
          <w:spacing w:val="-30"/>
        </w:rPr>
        <w:t xml:space="preserve">处 </w:t>
      </w:r>
      <w:r>
        <w:rPr>
          <w:color w:val="auto"/>
        </w:rPr>
        <w:t>5000</w:t>
      </w:r>
      <w:r>
        <w:rPr>
          <w:color w:val="auto"/>
          <w:spacing w:val="-24"/>
        </w:rPr>
        <w:t xml:space="preserve"> 元以上 </w:t>
      </w:r>
      <w:r>
        <w:rPr>
          <w:color w:val="auto"/>
        </w:rPr>
        <w:t>8000</w:t>
      </w:r>
      <w:r>
        <w:rPr>
          <w:color w:val="auto"/>
          <w:spacing w:val="-11"/>
        </w:rPr>
        <w:t xml:space="preserve"> 元以下罚款。</w:t>
      </w:r>
      <w:r>
        <w:rPr>
          <w:color w:val="auto"/>
        </w:rPr>
        <w:t>3</w:t>
      </w:r>
      <w:r>
        <w:rPr>
          <w:color w:val="auto"/>
          <w:spacing w:val="-24"/>
        </w:rPr>
        <w:t>、【严重】</w:t>
      </w:r>
    </w:p>
    <w:p>
      <w:pPr>
        <w:pStyle w:val="13"/>
        <w:numPr>
          <w:ilvl w:val="0"/>
          <w:numId w:val="138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逾期未改超过一个月或情节严重或造成不良后果的。</w:t>
      </w:r>
    </w:p>
    <w:p>
      <w:pPr>
        <w:spacing w:after="0"/>
        <w:rPr>
          <w:color w:val="auto"/>
        </w:rPr>
        <w:sectPr>
          <w:pgSz w:w="11910" w:h="16840"/>
          <w:pgMar w:top="1520" w:right="1260" w:bottom="1220" w:left="1420" w:header="0" w:footer="1034" w:gutter="0"/>
        </w:sectPr>
      </w:pPr>
    </w:p>
    <w:p>
      <w:pPr>
        <w:pStyle w:val="13"/>
        <w:numPr>
          <w:ilvl w:val="0"/>
          <w:numId w:val="1387"/>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ind w:left="581"/>
        <w:rPr>
          <w:color w:val="auto"/>
        </w:rPr>
      </w:pPr>
      <w:r>
        <w:rPr>
          <w:color w:val="auto"/>
        </w:rPr>
        <w:t>处 8000 元以上 1 万元以下罚款。</w:t>
      </w:r>
    </w:p>
    <w:p>
      <w:pPr>
        <w:pStyle w:val="2"/>
        <w:spacing w:before="191"/>
        <w:rPr>
          <w:color w:val="auto"/>
        </w:rPr>
      </w:pPr>
      <w:bookmarkStart w:id="1278" w:name="_bookmark638"/>
      <w:bookmarkEnd w:id="1278"/>
      <w:bookmarkStart w:id="1279" w:name="六百二十六、电梯维护保养单位违法转包、分包维护保养业务"/>
      <w:bookmarkEnd w:id="1279"/>
      <w:r>
        <w:rPr>
          <w:color w:val="auto"/>
        </w:rPr>
        <w:t>六百二十六、电梯维护保养单位违法转包、分包维护保养业务</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470"/>
        <w:jc w:val="both"/>
        <w:rPr>
          <w:color w:val="auto"/>
        </w:rPr>
      </w:pPr>
      <w:r>
        <w:rPr>
          <w:color w:val="auto"/>
          <w:spacing w:val="-4"/>
        </w:rPr>
        <w:t>《山东省特种设备安全条例》第五十八条“违反本条例规定，电梯维护保养单位</w:t>
      </w:r>
      <w:r>
        <w:rPr>
          <w:color w:val="auto"/>
          <w:spacing w:val="-6"/>
        </w:rPr>
        <w:t>转包、分包维护保养业务的，由特种设备安全监督管理部门责令停止违法行为，处一</w:t>
      </w:r>
      <w:r>
        <w:rPr>
          <w:color w:val="auto"/>
        </w:rPr>
        <w:t>万元以上五万元以下罚款；有违法所得的，没收违法所得。”</w:t>
      </w:r>
    </w:p>
    <w:p>
      <w:pPr>
        <w:spacing w:before="6" w:line="388" w:lineRule="auto"/>
        <w:ind w:left="591" w:right="6957" w:hanging="10"/>
        <w:jc w:val="left"/>
        <w:rPr>
          <w:color w:val="auto"/>
          <w:sz w:val="24"/>
        </w:rPr>
      </w:pPr>
      <w:r>
        <w:rPr>
          <w:b/>
          <w:color w:val="auto"/>
          <w:sz w:val="24"/>
        </w:rPr>
        <w:t>（二）裁量标准</w:t>
      </w:r>
      <w:r>
        <w:rPr>
          <w:color w:val="auto"/>
          <w:sz w:val="24"/>
        </w:rPr>
        <w:t>1、【一般】</w:t>
      </w:r>
    </w:p>
    <w:p>
      <w:pPr>
        <w:pStyle w:val="13"/>
        <w:numPr>
          <w:ilvl w:val="0"/>
          <w:numId w:val="1388"/>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首次违法，且涉及电梯数量较少。</w:t>
      </w:r>
    </w:p>
    <w:p>
      <w:pPr>
        <w:pStyle w:val="13"/>
        <w:numPr>
          <w:ilvl w:val="0"/>
          <w:numId w:val="1388"/>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line="391" w:lineRule="auto"/>
        <w:ind w:left="591" w:right="3592"/>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9"/>
        </w:rPr>
        <w:t xml:space="preserve"> 万元以下罚款；没收违法所得。</w:t>
      </w:r>
      <w:r>
        <w:rPr>
          <w:color w:val="auto"/>
        </w:rPr>
        <w:t>2</w:t>
      </w:r>
      <w:r>
        <w:rPr>
          <w:color w:val="auto"/>
          <w:spacing w:val="-24"/>
        </w:rPr>
        <w:t>、【较重】</w:t>
      </w:r>
    </w:p>
    <w:p>
      <w:pPr>
        <w:pStyle w:val="13"/>
        <w:numPr>
          <w:ilvl w:val="0"/>
          <w:numId w:val="1389"/>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两次以上违法或涉及电梯数量较多的；</w:t>
      </w:r>
    </w:p>
    <w:p>
      <w:pPr>
        <w:pStyle w:val="13"/>
        <w:numPr>
          <w:ilvl w:val="0"/>
          <w:numId w:val="138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88" w:lineRule="auto"/>
        <w:ind w:left="591" w:right="3602" w:hanging="10"/>
        <w:rPr>
          <w:color w:val="auto"/>
        </w:rPr>
      </w:pPr>
      <w:r>
        <w:rPr>
          <w:color w:val="auto"/>
          <w:spacing w:val="-30"/>
        </w:rPr>
        <w:t xml:space="preserve">处 </w:t>
      </w:r>
      <w:r>
        <w:rPr>
          <w:color w:val="auto"/>
        </w:rPr>
        <w:t>2</w:t>
      </w:r>
      <w:r>
        <w:rPr>
          <w:color w:val="auto"/>
          <w:spacing w:val="-20"/>
        </w:rPr>
        <w:t xml:space="preserve"> 万元以上 </w:t>
      </w:r>
      <w:r>
        <w:rPr>
          <w:color w:val="auto"/>
        </w:rPr>
        <w:t>3</w:t>
      </w:r>
      <w:r>
        <w:rPr>
          <w:color w:val="auto"/>
          <w:spacing w:val="-9"/>
        </w:rPr>
        <w:t xml:space="preserve"> 万元以下罚款；没收违法所得。</w:t>
      </w:r>
      <w:r>
        <w:rPr>
          <w:color w:val="auto"/>
        </w:rPr>
        <w:t>3</w:t>
      </w:r>
      <w:r>
        <w:rPr>
          <w:color w:val="auto"/>
          <w:spacing w:val="-24"/>
        </w:rPr>
        <w:t>、【严重】</w:t>
      </w:r>
    </w:p>
    <w:p>
      <w:pPr>
        <w:pStyle w:val="13"/>
        <w:numPr>
          <w:ilvl w:val="0"/>
          <w:numId w:val="1390"/>
        </w:numPr>
        <w:tabs>
          <w:tab w:val="left" w:pos="1193"/>
        </w:tabs>
        <w:spacing w:before="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有下列情形之一的：1、造成不良后果的；2、三次以上违法的。</w:t>
      </w:r>
    </w:p>
    <w:p>
      <w:pPr>
        <w:pStyle w:val="13"/>
        <w:numPr>
          <w:ilvl w:val="0"/>
          <w:numId w:val="1390"/>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81"/>
        <w:rPr>
          <w:color w:val="auto"/>
        </w:rPr>
      </w:pPr>
      <w:r>
        <w:rPr>
          <w:color w:val="auto"/>
        </w:rPr>
        <w:t>处 3 万元以上 5 万元以下罚款；没收违法所得。</w:t>
      </w:r>
    </w:p>
    <w:p>
      <w:pPr>
        <w:pStyle w:val="2"/>
        <w:spacing w:before="191" w:line="388" w:lineRule="auto"/>
        <w:ind w:left="111" w:right="240" w:firstLine="480"/>
        <w:rPr>
          <w:color w:val="auto"/>
        </w:rPr>
      </w:pPr>
      <w:bookmarkStart w:id="1280" w:name="_bookmark639"/>
      <w:bookmarkEnd w:id="1280"/>
      <w:bookmarkStart w:id="1281" w:name="六百二十七、机构或个人倒卖、出租、出借或者以其他形式非法转让核准资质和资格"/>
      <w:bookmarkEnd w:id="1281"/>
      <w:r>
        <w:rPr>
          <w:color w:val="auto"/>
          <w:spacing w:val="-7"/>
        </w:rPr>
        <w:t>六百二十七、机构或个人倒卖、出租、出借或者以其他形式非法转让核准资质和资格</w:t>
      </w:r>
    </w:p>
    <w:p>
      <w:pPr>
        <w:spacing w:before="5"/>
        <w:ind w:left="591" w:right="0" w:firstLine="0"/>
        <w:jc w:val="left"/>
        <w:rPr>
          <w:b/>
          <w:color w:val="auto"/>
          <w:sz w:val="24"/>
        </w:rPr>
      </w:pPr>
      <w:r>
        <w:rPr>
          <w:b/>
          <w:color w:val="auto"/>
          <w:sz w:val="24"/>
        </w:rPr>
        <w:t>（一）处罚依据</w:t>
      </w:r>
    </w:p>
    <w:p>
      <w:pPr>
        <w:pStyle w:val="4"/>
        <w:spacing w:before="192" w:line="388" w:lineRule="auto"/>
        <w:ind w:right="214" w:firstLine="470"/>
        <w:rPr>
          <w:color w:val="auto"/>
        </w:rPr>
      </w:pPr>
      <w:r>
        <w:rPr>
          <w:color w:val="auto"/>
        </w:rPr>
        <w:t>《山东省特种设备安全条例》第五十九条“违反本条例规定，特种设备检验、检测机构或者检验、检测人员，倒卖、出租、出借或者以其他形式非法转让核准资质和</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30"/>
        <w:rPr>
          <w:color w:val="auto"/>
        </w:rPr>
      </w:pPr>
      <w:r>
        <w:rPr>
          <w:color w:val="auto"/>
        </w:rPr>
        <w:t>资格的，由特种设备安全监督管理部门责令停止违法行为，对机构处一万元以上五万元以下罚款，对个人处五千元以上二万元以下罚款。”</w:t>
      </w:r>
    </w:p>
    <w:p>
      <w:pPr>
        <w:spacing w:before="0" w:line="388" w:lineRule="auto"/>
        <w:ind w:left="591" w:right="6957" w:hanging="10"/>
        <w:jc w:val="left"/>
        <w:rPr>
          <w:color w:val="auto"/>
          <w:sz w:val="24"/>
        </w:rPr>
      </w:pPr>
      <w:r>
        <w:rPr>
          <w:b/>
          <w:color w:val="auto"/>
          <w:sz w:val="24"/>
        </w:rPr>
        <w:t>（二）裁量标准</w:t>
      </w:r>
      <w:r>
        <w:rPr>
          <w:color w:val="auto"/>
          <w:sz w:val="24"/>
        </w:rPr>
        <w:t>1、【一般】</w:t>
      </w:r>
    </w:p>
    <w:p>
      <w:pPr>
        <w:pStyle w:val="13"/>
        <w:numPr>
          <w:ilvl w:val="0"/>
          <w:numId w:val="1391"/>
        </w:numPr>
        <w:tabs>
          <w:tab w:val="left" w:pos="1193"/>
        </w:tabs>
        <w:spacing w:before="3" w:after="0" w:line="388" w:lineRule="auto"/>
        <w:ind w:left="591" w:right="7072" w:firstLine="0"/>
        <w:jc w:val="left"/>
        <w:rPr>
          <w:color w:val="auto"/>
          <w:sz w:val="24"/>
        </w:rPr>
      </w:pPr>
      <w:r>
        <w:rPr>
          <w:color w:val="auto"/>
          <w:spacing w:val="-5"/>
          <w:sz w:val="24"/>
        </w:rPr>
        <w:t>违法情形</w:t>
      </w:r>
      <w:r>
        <w:rPr>
          <w:color w:val="auto"/>
          <w:sz w:val="24"/>
        </w:rPr>
        <w:t>初次违法。</w:t>
      </w:r>
    </w:p>
    <w:p>
      <w:pPr>
        <w:pStyle w:val="13"/>
        <w:numPr>
          <w:ilvl w:val="0"/>
          <w:numId w:val="139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line="388" w:lineRule="auto"/>
        <w:ind w:left="591" w:right="352"/>
        <w:rPr>
          <w:color w:val="auto"/>
        </w:rPr>
      </w:pPr>
      <w:r>
        <w:rPr>
          <w:color w:val="auto"/>
          <w:spacing w:val="-12"/>
        </w:rPr>
        <w:t xml:space="preserve">对机构处 </w:t>
      </w:r>
      <w:r>
        <w:rPr>
          <w:color w:val="auto"/>
        </w:rPr>
        <w:t>1</w:t>
      </w:r>
      <w:r>
        <w:rPr>
          <w:color w:val="auto"/>
          <w:spacing w:val="-20"/>
        </w:rPr>
        <w:t xml:space="preserve"> 万元以上 </w:t>
      </w:r>
      <w:r>
        <w:rPr>
          <w:color w:val="auto"/>
        </w:rPr>
        <w:t>2</w:t>
      </w:r>
      <w:r>
        <w:rPr>
          <w:color w:val="auto"/>
          <w:spacing w:val="-12"/>
        </w:rPr>
        <w:t xml:space="preserve"> 万元以下罚款；对个人处 </w:t>
      </w:r>
      <w:r>
        <w:rPr>
          <w:color w:val="auto"/>
        </w:rPr>
        <w:t>5000</w:t>
      </w:r>
      <w:r>
        <w:rPr>
          <w:color w:val="auto"/>
          <w:spacing w:val="-24"/>
        </w:rPr>
        <w:t xml:space="preserve"> 元以上 </w:t>
      </w:r>
      <w:r>
        <w:rPr>
          <w:color w:val="auto"/>
        </w:rPr>
        <w:t>1</w:t>
      </w:r>
      <w:r>
        <w:rPr>
          <w:color w:val="auto"/>
          <w:spacing w:val="-10"/>
        </w:rPr>
        <w:t xml:space="preserve"> 万元以下罚款。</w:t>
      </w:r>
      <w:r>
        <w:rPr>
          <w:color w:val="auto"/>
        </w:rPr>
        <w:t>2</w:t>
      </w:r>
      <w:r>
        <w:rPr>
          <w:color w:val="auto"/>
          <w:spacing w:val="-24"/>
        </w:rPr>
        <w:t>、【较重】</w:t>
      </w:r>
    </w:p>
    <w:p>
      <w:pPr>
        <w:pStyle w:val="13"/>
        <w:numPr>
          <w:ilvl w:val="0"/>
          <w:numId w:val="1392"/>
        </w:numPr>
        <w:tabs>
          <w:tab w:val="left" w:pos="1193"/>
        </w:tabs>
        <w:spacing w:before="2" w:after="0" w:line="391" w:lineRule="auto"/>
        <w:ind w:left="591" w:right="7072" w:firstLine="0"/>
        <w:jc w:val="left"/>
        <w:rPr>
          <w:color w:val="auto"/>
          <w:sz w:val="24"/>
        </w:rPr>
      </w:pPr>
      <w:r>
        <w:rPr>
          <w:color w:val="auto"/>
          <w:spacing w:val="-5"/>
          <w:sz w:val="24"/>
        </w:rPr>
        <w:t>违法情形</w:t>
      </w:r>
      <w:r>
        <w:rPr>
          <w:color w:val="auto"/>
          <w:sz w:val="24"/>
        </w:rPr>
        <w:t>两次违法。</w:t>
      </w:r>
    </w:p>
    <w:p>
      <w:pPr>
        <w:pStyle w:val="13"/>
        <w:numPr>
          <w:ilvl w:val="0"/>
          <w:numId w:val="139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line="391" w:lineRule="auto"/>
        <w:ind w:left="591" w:right="242" w:hanging="10"/>
        <w:rPr>
          <w:color w:val="auto"/>
        </w:rPr>
      </w:pPr>
      <w:r>
        <w:rPr>
          <w:color w:val="auto"/>
          <w:spacing w:val="-12"/>
        </w:rPr>
        <w:t xml:space="preserve">对机构处 </w:t>
      </w:r>
      <w:r>
        <w:rPr>
          <w:color w:val="auto"/>
        </w:rPr>
        <w:t>2</w:t>
      </w:r>
      <w:r>
        <w:rPr>
          <w:color w:val="auto"/>
          <w:spacing w:val="-20"/>
        </w:rPr>
        <w:t xml:space="preserve"> 万元以上 </w:t>
      </w:r>
      <w:r>
        <w:rPr>
          <w:color w:val="auto"/>
        </w:rPr>
        <w:t>3</w:t>
      </w:r>
      <w:r>
        <w:rPr>
          <w:color w:val="auto"/>
          <w:spacing w:val="-12"/>
        </w:rPr>
        <w:t xml:space="preserve"> 万元以下罚款；对个人处 </w:t>
      </w:r>
      <w:r>
        <w:rPr>
          <w:color w:val="auto"/>
        </w:rPr>
        <w:t>1</w:t>
      </w:r>
      <w:r>
        <w:rPr>
          <w:color w:val="auto"/>
          <w:spacing w:val="-20"/>
        </w:rPr>
        <w:t xml:space="preserve"> 万元以上 </w:t>
      </w:r>
      <w:r>
        <w:rPr>
          <w:color w:val="auto"/>
        </w:rPr>
        <w:t>1.5</w:t>
      </w:r>
      <w:r>
        <w:rPr>
          <w:color w:val="auto"/>
          <w:spacing w:val="-10"/>
        </w:rPr>
        <w:t xml:space="preserve"> 万元以下罚款。</w:t>
      </w:r>
      <w:r>
        <w:rPr>
          <w:color w:val="auto"/>
        </w:rPr>
        <w:t>3</w:t>
      </w:r>
      <w:r>
        <w:rPr>
          <w:color w:val="auto"/>
          <w:spacing w:val="-24"/>
        </w:rPr>
        <w:t>、【严重】</w:t>
      </w:r>
    </w:p>
    <w:p>
      <w:pPr>
        <w:pStyle w:val="13"/>
        <w:numPr>
          <w:ilvl w:val="0"/>
          <w:numId w:val="1393"/>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ind w:left="591"/>
        <w:rPr>
          <w:color w:val="auto"/>
        </w:rPr>
      </w:pPr>
      <w:r>
        <w:rPr>
          <w:color w:val="auto"/>
        </w:rPr>
        <w:t>有下列情形之一的：1、造成不良后果的；2、实施违法行为情节严重的。</w:t>
      </w:r>
    </w:p>
    <w:p>
      <w:pPr>
        <w:pStyle w:val="13"/>
        <w:numPr>
          <w:ilvl w:val="0"/>
          <w:numId w:val="1393"/>
        </w:numPr>
        <w:tabs>
          <w:tab w:val="left" w:pos="1193"/>
        </w:tabs>
        <w:spacing w:before="194" w:after="0" w:line="240" w:lineRule="auto"/>
        <w:ind w:left="1192" w:right="0" w:hanging="602"/>
        <w:jc w:val="left"/>
        <w:rPr>
          <w:color w:val="auto"/>
          <w:sz w:val="24"/>
        </w:rPr>
      </w:pPr>
      <w:r>
        <w:rPr>
          <w:color w:val="auto"/>
          <w:sz w:val="24"/>
        </w:rPr>
        <w:t>处罚标准</w:t>
      </w:r>
    </w:p>
    <w:p>
      <w:pPr>
        <w:spacing w:before="192" w:line="388" w:lineRule="auto"/>
        <w:ind w:left="591" w:right="242" w:hanging="10"/>
        <w:jc w:val="left"/>
        <w:rPr>
          <w:b/>
          <w:color w:val="auto"/>
          <w:sz w:val="24"/>
        </w:rPr>
      </w:pPr>
      <w:r>
        <w:rPr>
          <w:color w:val="auto"/>
          <w:spacing w:val="-12"/>
          <w:sz w:val="24"/>
        </w:rPr>
        <w:t xml:space="preserve">对机构处 </w:t>
      </w:r>
      <w:r>
        <w:rPr>
          <w:color w:val="auto"/>
          <w:sz w:val="24"/>
        </w:rPr>
        <w:t>3</w:t>
      </w:r>
      <w:r>
        <w:rPr>
          <w:color w:val="auto"/>
          <w:spacing w:val="-20"/>
          <w:sz w:val="24"/>
        </w:rPr>
        <w:t xml:space="preserve"> 万元以上 </w:t>
      </w:r>
      <w:r>
        <w:rPr>
          <w:color w:val="auto"/>
          <w:sz w:val="24"/>
        </w:rPr>
        <w:t>5</w:t>
      </w:r>
      <w:r>
        <w:rPr>
          <w:color w:val="auto"/>
          <w:spacing w:val="-12"/>
          <w:sz w:val="24"/>
        </w:rPr>
        <w:t xml:space="preserve"> 万元以下罚款；对个人处 </w:t>
      </w:r>
      <w:r>
        <w:rPr>
          <w:color w:val="auto"/>
          <w:sz w:val="24"/>
        </w:rPr>
        <w:t>1.5</w:t>
      </w:r>
      <w:r>
        <w:rPr>
          <w:color w:val="auto"/>
          <w:spacing w:val="-20"/>
          <w:sz w:val="24"/>
        </w:rPr>
        <w:t xml:space="preserve"> 万元以上 </w:t>
      </w:r>
      <w:r>
        <w:rPr>
          <w:color w:val="auto"/>
          <w:sz w:val="24"/>
        </w:rPr>
        <w:t>2</w:t>
      </w:r>
      <w:r>
        <w:rPr>
          <w:color w:val="auto"/>
          <w:spacing w:val="-10"/>
          <w:sz w:val="24"/>
        </w:rPr>
        <w:t xml:space="preserve"> 万元以下罚款。</w:t>
      </w:r>
      <w:bookmarkStart w:id="1282" w:name="_bookmark640"/>
      <w:bookmarkEnd w:id="1282"/>
      <w:bookmarkStart w:id="1283" w:name="六百二十八、客运索道使用单位未按照规定开展应急救援演练，逾期未改"/>
      <w:bookmarkEnd w:id="1283"/>
      <w:r>
        <w:rPr>
          <w:b/>
          <w:color w:val="auto"/>
          <w:sz w:val="24"/>
        </w:rPr>
        <w:t>六百二十八、客运索道使用单位未按照规定开展应急救援演练，逾期未改</w:t>
      </w:r>
    </w:p>
    <w:p>
      <w:pPr>
        <w:pStyle w:val="2"/>
        <w:spacing w:before="4"/>
        <w:rPr>
          <w:color w:val="auto"/>
        </w:rPr>
      </w:pPr>
      <w:r>
        <w:rPr>
          <w:color w:val="auto"/>
        </w:rPr>
        <w:t>（一）处罚依据</w:t>
      </w:r>
    </w:p>
    <w:p>
      <w:pPr>
        <w:pStyle w:val="4"/>
        <w:spacing w:before="192" w:line="388" w:lineRule="auto"/>
        <w:ind w:right="218" w:firstLine="470"/>
        <w:rPr>
          <w:color w:val="auto"/>
        </w:rPr>
      </w:pPr>
      <w:r>
        <w:rPr>
          <w:color w:val="auto"/>
        </w:rPr>
        <w:t>《客运索道安全监督管理规定》第三十六条“客运索道使用单位未按照本规定开展应急救援演练的，责令限期改正；逾期未改正的，处三万元罚款。”</w:t>
      </w:r>
    </w:p>
    <w:p>
      <w:pPr>
        <w:spacing w:before="5" w:line="388" w:lineRule="auto"/>
        <w:ind w:left="591" w:right="6952" w:hanging="10"/>
        <w:jc w:val="left"/>
        <w:rPr>
          <w:color w:val="auto"/>
          <w:sz w:val="24"/>
        </w:rPr>
      </w:pPr>
      <w:r>
        <w:rPr>
          <w:b/>
          <w:color w:val="auto"/>
          <w:sz w:val="24"/>
        </w:rPr>
        <w:t>（二）裁量标准</w:t>
      </w:r>
      <w:r>
        <w:rPr>
          <w:color w:val="auto"/>
          <w:sz w:val="24"/>
        </w:rPr>
        <w:t>处三万元罚款。</w:t>
      </w:r>
    </w:p>
    <w:p>
      <w:pPr>
        <w:pStyle w:val="4"/>
        <w:ind w:left="0"/>
        <w:rPr>
          <w:color w:val="auto"/>
        </w:rPr>
      </w:pPr>
    </w:p>
    <w:p>
      <w:pPr>
        <w:pStyle w:val="4"/>
        <w:tabs>
          <w:tab w:val="left" w:pos="1199"/>
        </w:tabs>
        <w:spacing w:before="196"/>
        <w:ind w:left="0" w:right="161"/>
        <w:jc w:val="center"/>
        <w:rPr>
          <w:rFonts w:hint="eastAsia" w:ascii="黑体" w:eastAsia="黑体"/>
          <w:color w:val="auto"/>
        </w:rPr>
      </w:pPr>
      <w:bookmarkStart w:id="1284" w:name="第十四章  纤维监管"/>
      <w:bookmarkEnd w:id="1284"/>
      <w:bookmarkStart w:id="1285" w:name="_bookmark641"/>
      <w:bookmarkEnd w:id="1285"/>
      <w:r>
        <w:rPr>
          <w:rFonts w:hint="eastAsia" w:ascii="黑体" w:eastAsia="黑体"/>
          <w:color w:val="auto"/>
        </w:rPr>
        <w:t>第十四章</w:t>
      </w:r>
      <w:r>
        <w:rPr>
          <w:rFonts w:hint="eastAsia" w:ascii="黑体" w:eastAsia="黑体"/>
          <w:color w:val="auto"/>
        </w:rPr>
        <w:tab/>
      </w:r>
      <w:r>
        <w:rPr>
          <w:rFonts w:hint="eastAsia" w:ascii="黑体" w:eastAsia="黑体"/>
          <w:color w:val="auto"/>
        </w:rPr>
        <w:t>纤维监管</w:t>
      </w:r>
    </w:p>
    <w:p>
      <w:pPr>
        <w:pStyle w:val="4"/>
        <w:ind w:left="0"/>
        <w:rPr>
          <w:rFonts w:ascii="黑体"/>
          <w:color w:val="auto"/>
        </w:rPr>
      </w:pPr>
    </w:p>
    <w:p>
      <w:pPr>
        <w:pStyle w:val="4"/>
        <w:spacing w:before="11"/>
        <w:ind w:left="0"/>
        <w:rPr>
          <w:rFonts w:ascii="黑体"/>
          <w:color w:val="auto"/>
          <w:sz w:val="29"/>
        </w:rPr>
      </w:pPr>
    </w:p>
    <w:p>
      <w:pPr>
        <w:pStyle w:val="2"/>
        <w:spacing w:before="1"/>
        <w:rPr>
          <w:color w:val="auto"/>
        </w:rPr>
      </w:pPr>
      <w:bookmarkStart w:id="1286" w:name="_bookmark642"/>
      <w:bookmarkEnd w:id="1286"/>
      <w:bookmarkStart w:id="1287" w:name="六百二十九、棉花经营者收购棉花，未按照国家标准和技术规范排除异性纤维和其他有害物"/>
      <w:bookmarkEnd w:id="1287"/>
      <w:r>
        <w:rPr>
          <w:color w:val="auto"/>
        </w:rPr>
        <w:t>六百二十九、棉花经营者收购棉花，未按照国家标准和技术规范排除异性纤维和</w:t>
      </w:r>
    </w:p>
    <w:p>
      <w:pPr>
        <w:spacing w:after="0"/>
        <w:rPr>
          <w:color w:val="auto"/>
        </w:rPr>
        <w:sectPr>
          <w:pgSz w:w="11910" w:h="16840"/>
          <w:pgMar w:top="1520" w:right="1260" w:bottom="1220" w:left="1420" w:header="0" w:footer="1034" w:gutter="0"/>
        </w:sectPr>
      </w:pPr>
    </w:p>
    <w:p>
      <w:pPr>
        <w:spacing w:before="39" w:line="391" w:lineRule="auto"/>
        <w:ind w:left="111" w:right="180" w:firstLine="0"/>
        <w:jc w:val="left"/>
        <w:rPr>
          <w:b/>
          <w:color w:val="auto"/>
          <w:sz w:val="24"/>
        </w:rPr>
      </w:pPr>
      <w:r>
        <w:rPr>
          <w:b/>
          <w:color w:val="auto"/>
          <w:sz w:val="24"/>
        </w:rPr>
        <w:t>其他有害物质后确定所收购棉花的类别、等级、数量，或者对所收购的超出国家规定水分标准的棉花不进行技术处理，或者对所收购的棉花不分类别、分等级置放</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、《棉花质量监督管理条例》第二十四条“棉花经营者收购棉花，违反本条例第七条第二款、第三款的规定，不按照国家标准和技术规范排除异性纤维和其他有害</w:t>
      </w:r>
      <w:r>
        <w:rPr>
          <w:color w:val="auto"/>
          <w:spacing w:val="-4"/>
        </w:rPr>
        <w:t>物质后确定所收购棉花的类别、等级、数量，或者对所收购的超出国家规定水分标准</w:t>
      </w:r>
      <w:r>
        <w:rPr>
          <w:color w:val="auto"/>
          <w:spacing w:val="-5"/>
        </w:rPr>
        <w:t xml:space="preserve">的棉花不进行技术处理，或者对所收购的棉花不分类别、分等级置放的，由棉花质量监督机构责令改正，可以处 </w:t>
      </w:r>
      <w:r>
        <w:rPr>
          <w:color w:val="auto"/>
        </w:rPr>
        <w:t>3</w:t>
      </w:r>
      <w:r>
        <w:rPr>
          <w:color w:val="auto"/>
          <w:spacing w:val="-19"/>
        </w:rPr>
        <w:t xml:space="preserve"> 万元以下的罚款。”</w:t>
      </w:r>
    </w:p>
    <w:p>
      <w:pPr>
        <w:pStyle w:val="4"/>
        <w:spacing w:line="391" w:lineRule="auto"/>
        <w:ind w:right="157" w:firstLine="640"/>
        <w:rPr>
          <w:color w:val="auto"/>
        </w:rPr>
      </w:pPr>
      <w:r>
        <w:rPr>
          <w:color w:val="auto"/>
        </w:rPr>
        <w:t>2</w:t>
      </w:r>
      <w:r>
        <w:rPr>
          <w:color w:val="auto"/>
          <w:spacing w:val="-15"/>
        </w:rPr>
        <w:t xml:space="preserve">、《棉花质量监督管理条例》第七条第二款、第三款“棉花经营者收购棉花时， </w:t>
      </w:r>
      <w:r>
        <w:rPr>
          <w:color w:val="auto"/>
          <w:spacing w:val="4"/>
        </w:rPr>
        <w:t>应当按照国家标准和技术规范，排除异性纤维和其他有害物质后确定所收购棉花</w:t>
      </w:r>
      <w:r>
        <w:rPr>
          <w:color w:val="auto"/>
          <w:spacing w:val="13"/>
        </w:rPr>
        <w:t>的类别、等级、数量；所收购的棉花超出国家规定水分标准的，应当进行晾晒、</w:t>
      </w:r>
      <w:r>
        <w:rPr>
          <w:color w:val="auto"/>
          <w:spacing w:val="4"/>
        </w:rPr>
        <w:t>烘干等技术处理，保证棉花质量。”</w:t>
      </w:r>
    </w:p>
    <w:p>
      <w:pPr>
        <w:pStyle w:val="13"/>
        <w:numPr>
          <w:ilvl w:val="0"/>
          <w:numId w:val="1394"/>
        </w:numPr>
        <w:tabs>
          <w:tab w:val="left" w:pos="849"/>
        </w:tabs>
        <w:spacing w:before="0" w:after="0" w:line="391" w:lineRule="auto"/>
        <w:ind w:left="111" w:right="285" w:firstLine="496"/>
        <w:jc w:val="left"/>
        <w:rPr>
          <w:color w:val="auto"/>
          <w:sz w:val="24"/>
        </w:rPr>
      </w:pPr>
      <w:r>
        <w:rPr>
          <w:color w:val="auto"/>
          <w:spacing w:val="-2"/>
          <w:sz w:val="24"/>
        </w:rPr>
        <w:t>《棉花质量监督管理条例》第七条第三款“棉花经营者应当分类别、分等级</w:t>
      </w:r>
      <w:r>
        <w:rPr>
          <w:color w:val="auto"/>
          <w:sz w:val="24"/>
        </w:rPr>
        <w:t>置放所收购的棉花。”</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1"/>
          <w:numId w:val="1394"/>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84" w:line="391" w:lineRule="auto"/>
        <w:ind w:right="268" w:firstLine="640"/>
        <w:jc w:val="both"/>
        <w:rPr>
          <w:color w:val="auto"/>
        </w:rPr>
      </w:pPr>
      <w:r>
        <w:rPr>
          <w:color w:val="auto"/>
          <w:spacing w:val="-2"/>
        </w:rPr>
        <w:t>有下列情形之一的：</w:t>
      </w:r>
      <w:r>
        <w:rPr>
          <w:color w:val="auto"/>
          <w:spacing w:val="-14"/>
        </w:rPr>
        <w:t>1</w:t>
      </w:r>
      <w:r>
        <w:rPr>
          <w:color w:val="auto"/>
          <w:spacing w:val="-8"/>
        </w:rPr>
        <w:t>、收购棉花时注意排除异性纤维和其他有害物质，并确定</w:t>
      </w:r>
      <w:r>
        <w:rPr>
          <w:color w:val="auto"/>
        </w:rPr>
        <w:t>了所收购棉花的类别、等级、数量，但达不到国家标准和技术规范的要求；2、对所</w:t>
      </w:r>
      <w:r>
        <w:rPr>
          <w:color w:val="auto"/>
          <w:spacing w:val="-3"/>
        </w:rPr>
        <w:t>收购的超出国家规定水分标准的棉花进行了技术处理，但是不符合国家规定要求且超</w:t>
      </w:r>
      <w:r>
        <w:rPr>
          <w:color w:val="auto"/>
          <w:spacing w:val="-7"/>
        </w:rPr>
        <w:t xml:space="preserve">出标准规定不大于 </w:t>
      </w:r>
      <w:r>
        <w:rPr>
          <w:color w:val="auto"/>
        </w:rPr>
        <w:t>20%的；3、仅对所收购的棉花不分类别、分等级置放的。</w:t>
      </w:r>
    </w:p>
    <w:p>
      <w:pPr>
        <w:pStyle w:val="13"/>
        <w:numPr>
          <w:ilvl w:val="1"/>
          <w:numId w:val="1394"/>
        </w:numPr>
        <w:tabs>
          <w:tab w:val="left" w:pos="1353"/>
        </w:tabs>
        <w:spacing w:before="0" w:after="0" w:line="302" w:lineRule="exact"/>
        <w:ind w:left="1353" w:right="0" w:hanging="602"/>
        <w:jc w:val="left"/>
        <w:rPr>
          <w:color w:val="auto"/>
          <w:sz w:val="24"/>
        </w:rPr>
      </w:pPr>
      <w:r>
        <w:rPr>
          <w:color w:val="auto"/>
          <w:sz w:val="24"/>
        </w:rPr>
        <w:t>处罚标准</w:t>
      </w:r>
    </w:p>
    <w:p>
      <w:pPr>
        <w:pStyle w:val="4"/>
        <w:spacing w:before="194" w:line="388" w:lineRule="auto"/>
        <w:ind w:left="751" w:right="4993" w:firstLine="120"/>
        <w:rPr>
          <w:color w:val="auto"/>
        </w:rPr>
      </w:pPr>
      <w:r>
        <w:rPr>
          <w:color w:val="auto"/>
          <w:spacing w:val="-9"/>
        </w:rPr>
        <w:t xml:space="preserve">责令改正，处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395"/>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jc w:val="both"/>
        <w:rPr>
          <w:color w:val="auto"/>
        </w:rPr>
      </w:pPr>
      <w:r>
        <w:rPr>
          <w:color w:val="auto"/>
          <w:spacing w:val="-3"/>
        </w:rPr>
        <w:t>有下列情形之一的：</w:t>
      </w:r>
      <w:r>
        <w:rPr>
          <w:color w:val="auto"/>
          <w:spacing w:val="-20"/>
        </w:rPr>
        <w:t>1</w:t>
      </w:r>
      <w:r>
        <w:rPr>
          <w:color w:val="auto"/>
          <w:spacing w:val="-8"/>
        </w:rPr>
        <w:t>、不按照国家标准和技术规范排除异性纤维和其他有害物</w:t>
      </w:r>
      <w:r>
        <w:rPr>
          <w:color w:val="auto"/>
        </w:rPr>
        <w:t>质；2、对所收购的超出国家规定水分标准的棉花不进行技术处理，但水分超出标准</w:t>
      </w:r>
      <w:r>
        <w:rPr>
          <w:color w:val="auto"/>
          <w:spacing w:val="-10"/>
        </w:rPr>
        <w:t xml:space="preserve">规定不大于 </w:t>
      </w:r>
      <w:r>
        <w:rPr>
          <w:color w:val="auto"/>
        </w:rPr>
        <w:t>20%的。</w:t>
      </w:r>
    </w:p>
    <w:p>
      <w:pPr>
        <w:spacing w:after="0" w:line="388" w:lineRule="auto"/>
        <w:jc w:val="both"/>
        <w:rPr>
          <w:color w:val="auto"/>
        </w:rPr>
        <w:sectPr>
          <w:pgSz w:w="11910" w:h="16840"/>
          <w:pgMar w:top="1520" w:right="1260" w:bottom="1220" w:left="1420" w:header="0" w:footer="1034" w:gutter="0"/>
        </w:sectPr>
      </w:pPr>
    </w:p>
    <w:p>
      <w:pPr>
        <w:pStyle w:val="13"/>
        <w:numPr>
          <w:ilvl w:val="0"/>
          <w:numId w:val="1395"/>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line="388" w:lineRule="auto"/>
        <w:ind w:left="751" w:right="3913"/>
        <w:rPr>
          <w:color w:val="auto"/>
        </w:rPr>
      </w:pPr>
      <w:r>
        <w:rPr>
          <w:color w:val="auto"/>
          <w:spacing w:val="-9"/>
        </w:rPr>
        <w:t xml:space="preserve">责令改正，处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39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jc w:val="both"/>
        <w:rPr>
          <w:color w:val="auto"/>
        </w:rPr>
      </w:pPr>
      <w:r>
        <w:rPr>
          <w:color w:val="auto"/>
        </w:rPr>
        <w:t>有下列情形之一的：1、有本条例第二十四条所列 2 项及以上违法行为的；2、</w:t>
      </w:r>
    </w:p>
    <w:p>
      <w:pPr>
        <w:pStyle w:val="4"/>
        <w:spacing w:before="192" w:line="391" w:lineRule="auto"/>
        <w:ind w:right="266"/>
        <w:jc w:val="both"/>
        <w:rPr>
          <w:color w:val="auto"/>
        </w:rPr>
      </w:pPr>
      <w:r>
        <w:rPr>
          <w:color w:val="auto"/>
          <w:spacing w:val="-2"/>
        </w:rPr>
        <w:t xml:space="preserve">对所收购的超出国家规定水分标准的棉花不进行技术处理，且水分超出标准规定 </w:t>
      </w:r>
      <w:r>
        <w:rPr>
          <w:color w:val="auto"/>
        </w:rPr>
        <w:t xml:space="preserve">20% </w:t>
      </w:r>
      <w:r>
        <w:rPr>
          <w:color w:val="auto"/>
          <w:spacing w:val="-1"/>
        </w:rPr>
        <w:t>以上的；</w:t>
      </w:r>
      <w:r>
        <w:rPr>
          <w:color w:val="auto"/>
          <w:spacing w:val="-4"/>
        </w:rPr>
        <w:t>3、有本条违法行为，经责令改正后拒不改正的；4、两年内发生两次本条规</w:t>
      </w:r>
      <w:r>
        <w:rPr>
          <w:color w:val="auto"/>
        </w:rPr>
        <w:t>定违法行为的。</w:t>
      </w:r>
    </w:p>
    <w:p>
      <w:pPr>
        <w:pStyle w:val="13"/>
        <w:numPr>
          <w:ilvl w:val="0"/>
          <w:numId w:val="1396"/>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1"/>
        <w:ind w:left="751"/>
        <w:jc w:val="both"/>
        <w:rPr>
          <w:color w:val="auto"/>
        </w:rPr>
      </w:pPr>
      <w:r>
        <w:rPr>
          <w:color w:val="auto"/>
        </w:rPr>
        <w:t>责令改正，处 2 万元以上 3 万元以下罚款。</w:t>
      </w:r>
    </w:p>
    <w:p>
      <w:pPr>
        <w:pStyle w:val="2"/>
        <w:spacing w:before="194" w:line="388" w:lineRule="auto"/>
        <w:ind w:left="111" w:right="237" w:firstLine="480"/>
        <w:jc w:val="both"/>
        <w:rPr>
          <w:color w:val="auto"/>
        </w:rPr>
      </w:pPr>
      <w:bookmarkStart w:id="1288" w:name="_bookmark643"/>
      <w:bookmarkEnd w:id="1288"/>
      <w:bookmarkStart w:id="1289" w:name="六百三十、棉花经营者加工棉花，未按照国家标准分拣、排除异性纤维和其他有害物质，或"/>
      <w:bookmarkEnd w:id="1289"/>
      <w:r>
        <w:rPr>
          <w:color w:val="auto"/>
          <w:spacing w:val="-8"/>
        </w:rPr>
        <w:t>六百三十、棉花经营者加工棉花，未按照国家标准分拣、排除异性纤维和其他有</w:t>
      </w:r>
      <w:r>
        <w:rPr>
          <w:color w:val="auto"/>
          <w:spacing w:val="-9"/>
        </w:rPr>
        <w:t>害物质，或者未按照国家标准对棉花分等级加工、进行包装并标注标识，或者未按照国家标准成包组批放置</w:t>
      </w:r>
    </w:p>
    <w:p>
      <w:pPr>
        <w:spacing w:before="6"/>
        <w:ind w:left="754" w:right="0" w:firstLine="0"/>
        <w:jc w:val="left"/>
        <w:rPr>
          <w:b/>
          <w:color w:val="auto"/>
          <w:sz w:val="24"/>
        </w:rPr>
      </w:pPr>
      <w:r>
        <w:rPr>
          <w:b/>
          <w:color w:val="auto"/>
          <w:sz w:val="24"/>
        </w:rPr>
        <w:t>（一）处罚依据</w:t>
      </w:r>
    </w:p>
    <w:p>
      <w:pPr>
        <w:pStyle w:val="13"/>
        <w:numPr>
          <w:ilvl w:val="0"/>
          <w:numId w:val="1397"/>
        </w:numPr>
        <w:tabs>
          <w:tab w:val="left" w:pos="993"/>
        </w:tabs>
        <w:spacing w:before="192" w:after="0" w:line="391" w:lineRule="auto"/>
        <w:ind w:left="111" w:right="232" w:firstLine="640"/>
        <w:jc w:val="both"/>
        <w:rPr>
          <w:color w:val="auto"/>
          <w:sz w:val="24"/>
        </w:rPr>
      </w:pPr>
      <w:r>
        <w:rPr>
          <w:color w:val="auto"/>
          <w:sz w:val="24"/>
        </w:rPr>
        <w:t>《棉花质量监督管理条例》第二十五条第一款“棉花经营者加工棉花，违反</w:t>
      </w:r>
      <w:r>
        <w:rPr>
          <w:color w:val="auto"/>
          <w:spacing w:val="-1"/>
          <w:sz w:val="24"/>
        </w:rPr>
        <w:t xml:space="preserve">本条例第八条第一款的规定，不按照国家标准分拣、排除异性纤维和其他有害物质， </w:t>
      </w:r>
      <w:r>
        <w:rPr>
          <w:color w:val="auto"/>
          <w:spacing w:val="-3"/>
          <w:sz w:val="24"/>
        </w:rPr>
        <w:t>不按照国家标准对棉花分等级加工、进行包装并标注标识，或者不按照国家标准成包</w:t>
      </w:r>
      <w:r>
        <w:rPr>
          <w:color w:val="auto"/>
          <w:spacing w:val="-5"/>
          <w:sz w:val="24"/>
        </w:rPr>
        <w:t xml:space="preserve">组批放置的，由棉花质量监督机构责令改正，并可以根据情节轻重，处 </w:t>
      </w:r>
      <w:r>
        <w:rPr>
          <w:color w:val="auto"/>
          <w:sz w:val="24"/>
        </w:rPr>
        <w:t>10</w:t>
      </w:r>
      <w:r>
        <w:rPr>
          <w:color w:val="auto"/>
          <w:spacing w:val="-8"/>
          <w:sz w:val="24"/>
        </w:rPr>
        <w:t xml:space="preserve"> 万元以下</w:t>
      </w:r>
      <w:r>
        <w:rPr>
          <w:color w:val="auto"/>
          <w:spacing w:val="-29"/>
          <w:sz w:val="24"/>
        </w:rPr>
        <w:t>的罚款。”</w:t>
      </w:r>
    </w:p>
    <w:p>
      <w:pPr>
        <w:pStyle w:val="13"/>
        <w:numPr>
          <w:ilvl w:val="0"/>
          <w:numId w:val="1397"/>
        </w:numPr>
        <w:tabs>
          <w:tab w:val="left" w:pos="993"/>
        </w:tabs>
        <w:spacing w:before="0" w:after="0" w:line="391" w:lineRule="auto"/>
        <w:ind w:left="111" w:right="268" w:firstLine="640"/>
        <w:jc w:val="both"/>
        <w:rPr>
          <w:color w:val="auto"/>
          <w:sz w:val="24"/>
        </w:rPr>
      </w:pPr>
      <w:r>
        <w:rPr>
          <w:color w:val="auto"/>
          <w:sz w:val="24"/>
        </w:rPr>
        <w:t>《棉花质量监督管理条例》第八条第一款“棉花经营者加工棉花，必须符合</w:t>
      </w:r>
      <w:r>
        <w:rPr>
          <w:color w:val="auto"/>
          <w:spacing w:val="-23"/>
          <w:sz w:val="24"/>
        </w:rPr>
        <w:t>下列要求：</w:t>
      </w:r>
      <w:r>
        <w:rPr>
          <w:color w:val="auto"/>
          <w:spacing w:val="2"/>
          <w:sz w:val="24"/>
        </w:rPr>
        <w:t>（一）</w:t>
      </w:r>
      <w:r>
        <w:rPr>
          <w:color w:val="auto"/>
          <w:sz w:val="24"/>
        </w:rPr>
        <w:t>按照国家标准，对所加工棉花中的异性纤维和其他有害物质进行分</w:t>
      </w:r>
      <w:r>
        <w:rPr>
          <w:color w:val="auto"/>
          <w:spacing w:val="-14"/>
          <w:sz w:val="24"/>
        </w:rPr>
        <w:t>拣，并予以排除；</w:t>
      </w:r>
      <w:r>
        <w:rPr>
          <w:color w:val="auto"/>
          <w:spacing w:val="2"/>
          <w:sz w:val="24"/>
        </w:rPr>
        <w:t>（二）</w:t>
      </w:r>
      <w:r>
        <w:rPr>
          <w:color w:val="auto"/>
          <w:sz w:val="24"/>
        </w:rPr>
        <w:t>按照国家标准，对棉花分等级加工，并对加工后的棉花进行</w:t>
      </w:r>
      <w:r>
        <w:rPr>
          <w:color w:val="auto"/>
          <w:spacing w:val="-5"/>
          <w:sz w:val="24"/>
        </w:rPr>
        <w:t>包装并标注标识，标识应当与棉花质量相符；</w:t>
      </w:r>
      <w:r>
        <w:rPr>
          <w:color w:val="auto"/>
          <w:spacing w:val="2"/>
          <w:sz w:val="24"/>
        </w:rPr>
        <w:t>（三）</w:t>
      </w:r>
      <w:r>
        <w:rPr>
          <w:color w:val="auto"/>
          <w:spacing w:val="1"/>
          <w:sz w:val="24"/>
        </w:rPr>
        <w:t>按照国家标准，将加工后的棉花</w:t>
      </w:r>
      <w:r>
        <w:rPr>
          <w:color w:val="auto"/>
          <w:spacing w:val="-15"/>
          <w:sz w:val="24"/>
        </w:rPr>
        <w:t>成包组批放置。”</w:t>
      </w:r>
    </w:p>
    <w:p>
      <w:pPr>
        <w:spacing w:before="0"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39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78"/>
        <w:ind w:left="751"/>
        <w:rPr>
          <w:color w:val="auto"/>
        </w:rPr>
      </w:pPr>
      <w:r>
        <w:rPr>
          <w:color w:val="auto"/>
        </w:rPr>
        <w:t>有下列情形之一的：1、加工棉花时注意分拣、排除异性纤维和其他有害物质，</w:t>
      </w:r>
    </w:p>
    <w:p>
      <w:pPr>
        <w:spacing w:after="0"/>
        <w:rPr>
          <w:color w:val="auto"/>
        </w:rPr>
        <w:sectPr>
          <w:pgSz w:w="11910" w:h="16840"/>
          <w:pgMar w:top="1520" w:right="1260" w:bottom="1220" w:left="1420" w:header="0" w:footer="1034" w:gutter="0"/>
        </w:sectPr>
      </w:pPr>
    </w:p>
    <w:p>
      <w:pPr>
        <w:pStyle w:val="4"/>
        <w:spacing w:before="39" w:line="391" w:lineRule="auto"/>
        <w:ind w:right="268"/>
        <w:rPr>
          <w:color w:val="auto"/>
        </w:rPr>
      </w:pPr>
      <w:r>
        <w:rPr>
          <w:color w:val="auto"/>
        </w:rPr>
        <w:t>但达不到国家标准要求的；2、棉花包装标识轻微不符合国家标准的（包装布经纬密</w:t>
      </w:r>
      <w:r>
        <w:rPr>
          <w:color w:val="auto"/>
          <w:spacing w:val="-5"/>
        </w:rPr>
        <w:t xml:space="preserve">度低于标准不超过 </w:t>
      </w:r>
      <w:r>
        <w:rPr>
          <w:color w:val="auto"/>
        </w:rPr>
        <w:t>20</w:t>
      </w:r>
      <w:r>
        <w:rPr>
          <w:color w:val="auto"/>
          <w:spacing w:val="-10"/>
        </w:rPr>
        <w:t xml:space="preserve"> 根或者含有少量化纤纤维，标识缺少 </w:t>
      </w:r>
      <w:r>
        <w:rPr>
          <w:color w:val="auto"/>
        </w:rPr>
        <w:t>2</w:t>
      </w:r>
      <w:r>
        <w:rPr>
          <w:color w:val="auto"/>
          <w:spacing w:val="-7"/>
        </w:rPr>
        <w:t xml:space="preserve"> 项以下或者少量棉包标</w:t>
      </w:r>
    </w:p>
    <w:p>
      <w:pPr>
        <w:pStyle w:val="4"/>
        <w:spacing w:line="388" w:lineRule="auto"/>
        <w:ind w:right="268"/>
        <w:rPr>
          <w:color w:val="auto"/>
        </w:rPr>
      </w:pPr>
      <w:r>
        <w:rPr>
          <w:color w:val="auto"/>
          <w:spacing w:val="2"/>
        </w:rPr>
        <w:t>识不全</w:t>
      </w:r>
      <w:r>
        <w:rPr>
          <w:color w:val="auto"/>
          <w:spacing w:val="-118"/>
        </w:rPr>
        <w:t>）</w:t>
      </w:r>
      <w:r>
        <w:rPr>
          <w:color w:val="auto"/>
        </w:rPr>
        <w:t>；</w:t>
      </w:r>
      <w:r>
        <w:rPr>
          <w:color w:val="auto"/>
          <w:spacing w:val="2"/>
        </w:rPr>
        <w:t>3</w:t>
      </w:r>
      <w:r>
        <w:rPr>
          <w:color w:val="auto"/>
          <w:spacing w:val="1"/>
        </w:rPr>
        <w:t>、仅不按照国家标准对加工棉花成包组批放置的；</w:t>
      </w:r>
      <w:r>
        <w:rPr>
          <w:color w:val="auto"/>
          <w:spacing w:val="2"/>
        </w:rPr>
        <w:t>4</w:t>
      </w:r>
      <w:r>
        <w:rPr>
          <w:color w:val="auto"/>
          <w:spacing w:val="-9"/>
        </w:rPr>
        <w:t xml:space="preserve">、涉案数量 </w:t>
      </w:r>
      <w:r>
        <w:rPr>
          <w:color w:val="auto"/>
        </w:rPr>
        <w:t>200</w:t>
      </w:r>
      <w:r>
        <w:rPr>
          <w:color w:val="auto"/>
          <w:spacing w:val="-19"/>
        </w:rPr>
        <w:t xml:space="preserve"> 包皮棉以下的。</w:t>
      </w:r>
    </w:p>
    <w:p>
      <w:pPr>
        <w:pStyle w:val="13"/>
        <w:numPr>
          <w:ilvl w:val="0"/>
          <w:numId w:val="1398"/>
        </w:numPr>
        <w:tabs>
          <w:tab w:val="left" w:pos="1353"/>
        </w:tabs>
        <w:spacing w:before="3" w:after="0" w:line="240" w:lineRule="auto"/>
        <w:ind w:left="1353" w:right="0" w:hanging="602"/>
        <w:jc w:val="left"/>
        <w:rPr>
          <w:color w:val="auto"/>
          <w:sz w:val="24"/>
        </w:rPr>
      </w:pPr>
      <w:r>
        <w:rPr>
          <w:color w:val="auto"/>
          <w:sz w:val="24"/>
        </w:rPr>
        <w:t>处罚标准</w:t>
      </w:r>
    </w:p>
    <w:p>
      <w:pPr>
        <w:pStyle w:val="4"/>
        <w:spacing w:before="192"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399"/>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line="391" w:lineRule="auto"/>
        <w:ind w:right="146" w:firstLine="640"/>
        <w:rPr>
          <w:color w:val="auto"/>
        </w:rPr>
      </w:pPr>
      <w:r>
        <w:rPr>
          <w:color w:val="auto"/>
          <w:spacing w:val="-4"/>
        </w:rPr>
        <w:t>有下列情形之一的：</w:t>
      </w:r>
      <w:r>
        <w:rPr>
          <w:color w:val="auto"/>
          <w:spacing w:val="-34"/>
        </w:rPr>
        <w:t>1</w:t>
      </w:r>
      <w:r>
        <w:rPr>
          <w:color w:val="auto"/>
          <w:spacing w:val="-14"/>
        </w:rPr>
        <w:t xml:space="preserve">、加工棉花时未按照分拣、排除异性纤维和其他有害物质， </w:t>
      </w:r>
      <w:r>
        <w:rPr>
          <w:color w:val="auto"/>
        </w:rPr>
        <w:t>且达不到国家标准要求的</w:t>
      </w:r>
      <w:r>
        <w:rPr>
          <w:color w:val="auto"/>
          <w:spacing w:val="4"/>
        </w:rPr>
        <w:t>；2</w:t>
      </w:r>
      <w:r>
        <w:rPr>
          <w:color w:val="auto"/>
          <w:spacing w:val="-3"/>
        </w:rPr>
        <w:t xml:space="preserve">、未按照国家标准对棉花分等级加工的，颜色级相差 </w:t>
      </w:r>
      <w:r>
        <w:rPr>
          <w:color w:val="auto"/>
        </w:rPr>
        <w:t>2 个级以下的；3、棉花包装标识严重不符合国家标准的（包装布经纬密度均低于标准</w:t>
      </w:r>
      <w:r>
        <w:rPr>
          <w:color w:val="auto"/>
          <w:spacing w:val="-20"/>
        </w:rPr>
        <w:t xml:space="preserve">超过 </w:t>
      </w:r>
      <w:r>
        <w:rPr>
          <w:color w:val="auto"/>
        </w:rPr>
        <w:t>20</w:t>
      </w:r>
      <w:r>
        <w:rPr>
          <w:color w:val="auto"/>
          <w:spacing w:val="-10"/>
        </w:rPr>
        <w:t xml:space="preserve"> 根或者化纤纤维含量较高，大部分或者全部棉包标识缺少 </w:t>
      </w:r>
      <w:r>
        <w:rPr>
          <w:color w:val="auto"/>
        </w:rPr>
        <w:t>2</w:t>
      </w:r>
      <w:r>
        <w:rPr>
          <w:color w:val="auto"/>
          <w:spacing w:val="-15"/>
        </w:rPr>
        <w:t xml:space="preserve"> 项以上</w:t>
      </w:r>
      <w:r>
        <w:rPr>
          <w:color w:val="auto"/>
          <w:spacing w:val="-120"/>
        </w:rPr>
        <w:t>）</w:t>
      </w:r>
      <w:r>
        <w:rPr>
          <w:color w:val="auto"/>
        </w:rPr>
        <w:t>。</w:t>
      </w:r>
    </w:p>
    <w:p>
      <w:pPr>
        <w:pStyle w:val="13"/>
        <w:numPr>
          <w:ilvl w:val="0"/>
          <w:numId w:val="1399"/>
        </w:numPr>
        <w:tabs>
          <w:tab w:val="left" w:pos="1353"/>
        </w:tabs>
        <w:spacing w:before="0" w:after="0" w:line="302" w:lineRule="exact"/>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4</w:t>
      </w:r>
      <w:r>
        <w:rPr>
          <w:color w:val="auto"/>
          <w:spacing w:val="-11"/>
        </w:rPr>
        <w:t xml:space="preserve"> 万元以下罚款。</w:t>
      </w:r>
      <w:r>
        <w:rPr>
          <w:color w:val="auto"/>
        </w:rPr>
        <w:t>3</w:t>
      </w:r>
      <w:r>
        <w:rPr>
          <w:color w:val="auto"/>
          <w:spacing w:val="-24"/>
        </w:rPr>
        <w:t>、【较重】</w:t>
      </w:r>
    </w:p>
    <w:p>
      <w:pPr>
        <w:pStyle w:val="13"/>
        <w:numPr>
          <w:ilvl w:val="0"/>
          <w:numId w:val="1400"/>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spacing w:val="-2"/>
        </w:rPr>
        <w:t>有下列情形之一的：</w:t>
      </w:r>
      <w:r>
        <w:rPr>
          <w:color w:val="auto"/>
          <w:spacing w:val="-14"/>
        </w:rPr>
        <w:t>1</w:t>
      </w:r>
      <w:r>
        <w:rPr>
          <w:color w:val="auto"/>
          <w:spacing w:val="-10"/>
        </w:rPr>
        <w:t xml:space="preserve">、有违反本条例第八条第一款规定的 </w:t>
      </w:r>
      <w:r>
        <w:rPr>
          <w:color w:val="auto"/>
        </w:rPr>
        <w:t>2</w:t>
      </w:r>
      <w:r>
        <w:rPr>
          <w:color w:val="auto"/>
          <w:spacing w:val="-10"/>
        </w:rPr>
        <w:t xml:space="preserve"> 项违法行为的；</w:t>
      </w:r>
      <w:r>
        <w:rPr>
          <w:color w:val="auto"/>
          <w:spacing w:val="-13"/>
        </w:rPr>
        <w:t>2</w:t>
      </w:r>
      <w:r>
        <w:rPr>
          <w:color w:val="auto"/>
        </w:rPr>
        <w:t>、</w:t>
      </w:r>
    </w:p>
    <w:p>
      <w:pPr>
        <w:pStyle w:val="4"/>
        <w:spacing w:before="191"/>
        <w:rPr>
          <w:color w:val="auto"/>
        </w:rPr>
      </w:pPr>
      <w:r>
        <w:rPr>
          <w:color w:val="auto"/>
        </w:rPr>
        <w:t>未按照国家标准对棉花分等级加工的，籽棉颜色级相差 2 个级以上的。</w:t>
      </w:r>
    </w:p>
    <w:p>
      <w:pPr>
        <w:pStyle w:val="13"/>
        <w:numPr>
          <w:ilvl w:val="0"/>
          <w:numId w:val="140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4</w:t>
      </w:r>
      <w:r>
        <w:rPr>
          <w:color w:val="auto"/>
          <w:spacing w:val="-20"/>
        </w:rPr>
        <w:t xml:space="preserve"> 万元以上 </w:t>
      </w:r>
      <w:r>
        <w:rPr>
          <w:color w:val="auto"/>
        </w:rPr>
        <w:t>6</w:t>
      </w:r>
      <w:r>
        <w:rPr>
          <w:color w:val="auto"/>
          <w:spacing w:val="-11"/>
        </w:rPr>
        <w:t xml:space="preserve"> 万元以下罚款。</w:t>
      </w:r>
      <w:r>
        <w:rPr>
          <w:color w:val="auto"/>
        </w:rPr>
        <w:t>4</w:t>
      </w:r>
      <w:r>
        <w:rPr>
          <w:color w:val="auto"/>
          <w:spacing w:val="-24"/>
        </w:rPr>
        <w:t>、【严重】</w:t>
      </w:r>
    </w:p>
    <w:p>
      <w:pPr>
        <w:pStyle w:val="4"/>
        <w:spacing w:before="2"/>
        <w:ind w:left="751"/>
        <w:rPr>
          <w:color w:val="auto"/>
        </w:rPr>
      </w:pPr>
      <w:r>
        <w:rPr>
          <w:color w:val="auto"/>
          <w:spacing w:val="-11"/>
        </w:rPr>
        <w:t>有下列情形之一的：</w:t>
      </w:r>
      <w:r>
        <w:rPr>
          <w:color w:val="auto"/>
        </w:rPr>
        <w:t>1</w:t>
      </w:r>
      <w:r>
        <w:rPr>
          <w:color w:val="auto"/>
          <w:spacing w:val="-14"/>
        </w:rPr>
        <w:t xml:space="preserve">、有违反本条例第八条第一款规定的 </w:t>
      </w:r>
      <w:r>
        <w:rPr>
          <w:color w:val="auto"/>
        </w:rPr>
        <w:t>2</w:t>
      </w:r>
      <w:r>
        <w:rPr>
          <w:color w:val="auto"/>
          <w:spacing w:val="-8"/>
        </w:rPr>
        <w:t xml:space="preserve"> 项以上违法行为的；</w:t>
      </w:r>
    </w:p>
    <w:p>
      <w:pPr>
        <w:pStyle w:val="4"/>
        <w:spacing w:before="194"/>
        <w:rPr>
          <w:color w:val="auto"/>
        </w:rPr>
      </w:pPr>
      <w:r>
        <w:rPr>
          <w:color w:val="auto"/>
        </w:rPr>
        <w:t>2、两年内出现 2 次本条规定违法行为，造成一定社会影响的。</w:t>
      </w:r>
    </w:p>
    <w:p>
      <w:pPr>
        <w:pStyle w:val="4"/>
        <w:spacing w:before="192"/>
        <w:ind w:left="751"/>
        <w:rPr>
          <w:color w:val="auto"/>
        </w:rPr>
      </w:pPr>
      <w:r>
        <w:rPr>
          <w:color w:val="auto"/>
        </w:rPr>
        <w:t>（2）处罚标准</w:t>
      </w:r>
    </w:p>
    <w:p>
      <w:pPr>
        <w:pStyle w:val="4"/>
        <w:spacing w:before="192" w:line="391" w:lineRule="auto"/>
        <w:ind w:left="751" w:right="3913"/>
        <w:rPr>
          <w:color w:val="auto"/>
        </w:rPr>
      </w:pPr>
      <w:r>
        <w:rPr>
          <w:color w:val="auto"/>
          <w:spacing w:val="-9"/>
        </w:rPr>
        <w:t xml:space="preserve">责令改正，处 </w:t>
      </w:r>
      <w:r>
        <w:rPr>
          <w:color w:val="auto"/>
        </w:rPr>
        <w:t>6</w:t>
      </w:r>
      <w:r>
        <w:rPr>
          <w:color w:val="auto"/>
          <w:spacing w:val="-20"/>
        </w:rPr>
        <w:t xml:space="preserve"> 万元以上 </w:t>
      </w:r>
      <w:r>
        <w:rPr>
          <w:color w:val="auto"/>
        </w:rPr>
        <w:t>8</w:t>
      </w:r>
      <w:r>
        <w:rPr>
          <w:color w:val="auto"/>
          <w:spacing w:val="-11"/>
        </w:rPr>
        <w:t xml:space="preserve"> 万元以下罚款。</w:t>
      </w:r>
      <w:r>
        <w:rPr>
          <w:color w:val="auto"/>
        </w:rPr>
        <w:t>5</w:t>
      </w:r>
      <w:r>
        <w:rPr>
          <w:color w:val="auto"/>
          <w:spacing w:val="-18"/>
        </w:rPr>
        <w:t>、【特别严重】</w:t>
      </w:r>
    </w:p>
    <w:p>
      <w:pPr>
        <w:pStyle w:val="13"/>
        <w:numPr>
          <w:ilvl w:val="0"/>
          <w:numId w:val="1401"/>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有下列情形之一的：1、行政处罚实施机关作出责令改正违法行为后，继续实施</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违法行为的；2、两年内出现多次本条规定违法行为，造成重大社会影响的。</w:t>
      </w:r>
    </w:p>
    <w:p>
      <w:pPr>
        <w:pStyle w:val="13"/>
        <w:numPr>
          <w:ilvl w:val="0"/>
          <w:numId w:val="1401"/>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责令改正，处 8 万元以上 10 万元以下罚款。</w:t>
      </w:r>
    </w:p>
    <w:p>
      <w:pPr>
        <w:pStyle w:val="2"/>
        <w:spacing w:before="192"/>
        <w:rPr>
          <w:color w:val="auto"/>
        </w:rPr>
      </w:pPr>
      <w:bookmarkStart w:id="1290" w:name="_bookmark644"/>
      <w:bookmarkEnd w:id="1290"/>
      <w:bookmarkStart w:id="1291" w:name="六百三十一、棉花经营者加工棉花使用国家明令禁止的棉花加工设备"/>
      <w:bookmarkEnd w:id="1291"/>
      <w:r>
        <w:rPr>
          <w:color w:val="auto"/>
        </w:rPr>
        <w:t>六百三十一、棉花经营者加工棉花使用国家明令禁止的棉花加工设备</w:t>
      </w:r>
    </w:p>
    <w:p>
      <w:pPr>
        <w:spacing w:before="194"/>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、《棉花质量监督管理条例》第二十五条第二款“棉花经营者加工棉花，违反</w:t>
      </w:r>
      <w:r>
        <w:rPr>
          <w:color w:val="auto"/>
          <w:spacing w:val="-15"/>
        </w:rPr>
        <w:t>本条例第八条第二款的规定，使用国家明令禁止的棉花加工设备的，由棉花质量监督</w:t>
      </w:r>
      <w:r>
        <w:rPr>
          <w:color w:val="auto"/>
          <w:spacing w:val="-2"/>
        </w:rPr>
        <w:t xml:space="preserve">机构没收并监督销毁禁止的棉花加工设备，并处非法设备实际价值 </w:t>
      </w:r>
      <w:r>
        <w:rPr>
          <w:color w:val="auto"/>
        </w:rPr>
        <w:t>2</w:t>
      </w:r>
      <w:r>
        <w:rPr>
          <w:color w:val="auto"/>
          <w:spacing w:val="-18"/>
        </w:rPr>
        <w:t xml:space="preserve"> 倍以上 </w:t>
      </w:r>
      <w:r>
        <w:rPr>
          <w:color w:val="auto"/>
        </w:rPr>
        <w:t>10</w:t>
      </w:r>
      <w:r>
        <w:rPr>
          <w:color w:val="auto"/>
          <w:spacing w:val="-15"/>
        </w:rPr>
        <w:t xml:space="preserve"> 倍以</w:t>
      </w:r>
      <w:r>
        <w:rPr>
          <w:color w:val="auto"/>
          <w:spacing w:val="-30"/>
        </w:rPr>
        <w:t>下的罚款。”</w:t>
      </w:r>
    </w:p>
    <w:p>
      <w:pPr>
        <w:pStyle w:val="4"/>
        <w:spacing w:line="391" w:lineRule="auto"/>
        <w:ind w:right="268" w:firstLine="640"/>
        <w:rPr>
          <w:color w:val="auto"/>
        </w:rPr>
      </w:pPr>
      <w:r>
        <w:rPr>
          <w:color w:val="auto"/>
        </w:rPr>
        <w:t>2</w:t>
      </w:r>
      <w:r>
        <w:rPr>
          <w:color w:val="auto"/>
          <w:spacing w:val="-12"/>
        </w:rPr>
        <w:t>、《棉花质量监督管理条例》第八条第二款“棉花经营者不得使用国家明令禁</w:t>
      </w:r>
      <w:r>
        <w:rPr>
          <w:color w:val="auto"/>
          <w:spacing w:val="-16"/>
        </w:rPr>
        <w:t>止的皮辊机、轧花机、打包机以及其他棉花加工设备加工棉花。”</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02"/>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89"/>
        <w:ind w:left="751"/>
        <w:rPr>
          <w:color w:val="auto"/>
        </w:rPr>
      </w:pPr>
      <w:r>
        <w:rPr>
          <w:color w:val="auto"/>
        </w:rPr>
        <w:t>使用小皮辊机、小锯齿机、土打包机数量较少；或者加工棉花货值金额较小的。</w:t>
      </w:r>
    </w:p>
    <w:p>
      <w:pPr>
        <w:pStyle w:val="13"/>
        <w:numPr>
          <w:ilvl w:val="0"/>
          <w:numId w:val="1402"/>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right="268" w:firstLine="640"/>
        <w:rPr>
          <w:color w:val="auto"/>
        </w:rPr>
      </w:pPr>
      <w:r>
        <w:rPr>
          <w:color w:val="auto"/>
          <w:spacing w:val="-2"/>
        </w:rPr>
        <w:t xml:space="preserve">没收并监督销毁禁止的棉花加工设备，处非法设备实际价值 </w:t>
      </w:r>
      <w:r>
        <w:rPr>
          <w:color w:val="auto"/>
        </w:rPr>
        <w:t>2</w:t>
      </w:r>
      <w:r>
        <w:rPr>
          <w:color w:val="auto"/>
          <w:spacing w:val="-21"/>
        </w:rPr>
        <w:t xml:space="preserve"> 倍以上 </w:t>
      </w:r>
      <w:r>
        <w:rPr>
          <w:color w:val="auto"/>
        </w:rPr>
        <w:t>4</w:t>
      </w:r>
      <w:r>
        <w:rPr>
          <w:color w:val="auto"/>
          <w:spacing w:val="-13"/>
        </w:rPr>
        <w:t xml:space="preserve"> 倍以下罚款。</w:t>
      </w:r>
    </w:p>
    <w:p>
      <w:pPr>
        <w:pStyle w:val="4"/>
        <w:spacing w:before="3"/>
        <w:ind w:left="751"/>
        <w:rPr>
          <w:color w:val="auto"/>
        </w:rPr>
      </w:pPr>
      <w:r>
        <w:rPr>
          <w:color w:val="auto"/>
        </w:rPr>
        <w:t>2、【一般】</w:t>
      </w:r>
    </w:p>
    <w:p>
      <w:pPr>
        <w:pStyle w:val="13"/>
        <w:numPr>
          <w:ilvl w:val="0"/>
          <w:numId w:val="1403"/>
        </w:numPr>
        <w:tabs>
          <w:tab w:val="left" w:pos="1353"/>
        </w:tabs>
        <w:spacing w:before="194"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使用小皮辊机、小锯齿机、土打包机数量较多或者加工棉花货值金额较大的。</w:t>
      </w:r>
    </w:p>
    <w:p>
      <w:pPr>
        <w:pStyle w:val="13"/>
        <w:numPr>
          <w:ilvl w:val="0"/>
          <w:numId w:val="1403"/>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right="268" w:firstLine="640"/>
        <w:rPr>
          <w:color w:val="auto"/>
        </w:rPr>
      </w:pPr>
      <w:r>
        <w:rPr>
          <w:color w:val="auto"/>
          <w:spacing w:val="-2"/>
        </w:rPr>
        <w:t xml:space="preserve">没收并监督销毁禁止的棉花加工设备，处非法设备实际价值 </w:t>
      </w:r>
      <w:r>
        <w:rPr>
          <w:color w:val="auto"/>
        </w:rPr>
        <w:t>4</w:t>
      </w:r>
      <w:r>
        <w:rPr>
          <w:color w:val="auto"/>
          <w:spacing w:val="-21"/>
        </w:rPr>
        <w:t xml:space="preserve"> 倍以上 </w:t>
      </w:r>
      <w:r>
        <w:rPr>
          <w:color w:val="auto"/>
        </w:rPr>
        <w:t>6</w:t>
      </w:r>
      <w:r>
        <w:rPr>
          <w:color w:val="auto"/>
          <w:spacing w:val="-13"/>
        </w:rPr>
        <w:t xml:space="preserve"> 倍以下罚款。</w:t>
      </w:r>
    </w:p>
    <w:p>
      <w:pPr>
        <w:pStyle w:val="4"/>
        <w:spacing w:before="2"/>
        <w:ind w:left="751"/>
        <w:rPr>
          <w:color w:val="auto"/>
        </w:rPr>
      </w:pPr>
      <w:r>
        <w:rPr>
          <w:color w:val="auto"/>
        </w:rPr>
        <w:t>3、【较重】</w:t>
      </w:r>
    </w:p>
    <w:p>
      <w:pPr>
        <w:pStyle w:val="4"/>
        <w:spacing w:before="194"/>
        <w:ind w:left="751"/>
        <w:rPr>
          <w:color w:val="auto"/>
        </w:rPr>
      </w:pPr>
      <w:r>
        <w:rPr>
          <w:color w:val="auto"/>
        </w:rPr>
        <w:t>（1）违法情形</w:t>
      </w:r>
    </w:p>
    <w:p>
      <w:pPr>
        <w:pStyle w:val="4"/>
        <w:spacing w:before="192" w:line="388" w:lineRule="auto"/>
        <w:ind w:right="270" w:firstLine="636"/>
        <w:rPr>
          <w:color w:val="auto"/>
        </w:rPr>
      </w:pPr>
      <w:r>
        <w:rPr>
          <w:color w:val="auto"/>
          <w:spacing w:val="-1"/>
        </w:rPr>
        <w:t>使用小皮辊机、小锯齿机、土打包机数量较多且加工棉花货值金额较大的，造</w:t>
      </w:r>
      <w:r>
        <w:rPr>
          <w:color w:val="auto"/>
        </w:rPr>
        <w:t>成一定社会影响的。</w:t>
      </w:r>
    </w:p>
    <w:p>
      <w:pPr>
        <w:spacing w:after="0" w:line="388" w:lineRule="auto"/>
        <w:rPr>
          <w:color w:val="auto"/>
        </w:rPr>
        <w:sectPr>
          <w:pgSz w:w="11910" w:h="16840"/>
          <w:pgMar w:top="1520" w:right="1260" w:bottom="1220" w:left="1420" w:header="0" w:footer="1034" w:gutter="0"/>
        </w:sectPr>
      </w:pPr>
    </w:p>
    <w:p>
      <w:pPr>
        <w:pStyle w:val="13"/>
        <w:numPr>
          <w:ilvl w:val="0"/>
          <w:numId w:val="1404"/>
        </w:numPr>
        <w:tabs>
          <w:tab w:val="left" w:pos="1190"/>
        </w:tabs>
        <w:spacing w:before="39" w:after="0" w:line="240" w:lineRule="auto"/>
        <w:ind w:left="1189" w:right="0" w:hanging="602"/>
        <w:jc w:val="left"/>
        <w:rPr>
          <w:color w:val="auto"/>
          <w:sz w:val="24"/>
        </w:rPr>
      </w:pPr>
      <w:r>
        <w:rPr>
          <w:color w:val="auto"/>
          <w:sz w:val="24"/>
        </w:rPr>
        <w:t>处罚标准</w:t>
      </w:r>
    </w:p>
    <w:p>
      <w:pPr>
        <w:pStyle w:val="4"/>
        <w:spacing w:before="195" w:line="388" w:lineRule="auto"/>
        <w:ind w:right="268" w:firstLine="640"/>
        <w:rPr>
          <w:color w:val="auto"/>
        </w:rPr>
      </w:pPr>
      <w:r>
        <w:rPr>
          <w:color w:val="auto"/>
          <w:spacing w:val="-2"/>
        </w:rPr>
        <w:t xml:space="preserve">没收并监督销毁禁止的棉花加工设备，处非法设备实际价值 </w:t>
      </w:r>
      <w:r>
        <w:rPr>
          <w:color w:val="auto"/>
        </w:rPr>
        <w:t>6</w:t>
      </w:r>
      <w:r>
        <w:rPr>
          <w:color w:val="auto"/>
          <w:spacing w:val="-21"/>
        </w:rPr>
        <w:t xml:space="preserve"> 倍以上 </w:t>
      </w:r>
      <w:r>
        <w:rPr>
          <w:color w:val="auto"/>
        </w:rPr>
        <w:t>8</w:t>
      </w:r>
      <w:r>
        <w:rPr>
          <w:color w:val="auto"/>
          <w:spacing w:val="-13"/>
        </w:rPr>
        <w:t xml:space="preserve"> 倍以下罚款。</w:t>
      </w:r>
    </w:p>
    <w:p>
      <w:pPr>
        <w:pStyle w:val="4"/>
        <w:spacing w:before="2"/>
        <w:ind w:left="751"/>
        <w:rPr>
          <w:color w:val="auto"/>
        </w:rPr>
      </w:pPr>
      <w:r>
        <w:rPr>
          <w:color w:val="auto"/>
        </w:rPr>
        <w:t>3、【严重】</w:t>
      </w:r>
    </w:p>
    <w:p>
      <w:pPr>
        <w:pStyle w:val="13"/>
        <w:numPr>
          <w:ilvl w:val="1"/>
          <w:numId w:val="1404"/>
        </w:numPr>
        <w:tabs>
          <w:tab w:val="left" w:pos="1353"/>
        </w:tabs>
        <w:spacing w:before="194" w:after="0" w:line="240" w:lineRule="auto"/>
        <w:ind w:left="1353" w:right="0" w:hanging="602"/>
        <w:jc w:val="left"/>
        <w:rPr>
          <w:color w:val="auto"/>
          <w:sz w:val="24"/>
        </w:rPr>
      </w:pPr>
      <w:r>
        <w:rPr>
          <w:color w:val="auto"/>
          <w:sz w:val="24"/>
        </w:rPr>
        <w:t>违法情形</w:t>
      </w:r>
    </w:p>
    <w:p>
      <w:pPr>
        <w:pStyle w:val="4"/>
        <w:spacing w:before="192" w:line="388" w:lineRule="auto"/>
        <w:ind w:right="268" w:firstLine="640"/>
        <w:rPr>
          <w:color w:val="auto"/>
        </w:rPr>
      </w:pPr>
      <w:r>
        <w:rPr>
          <w:color w:val="auto"/>
        </w:rPr>
        <w:t>棉花经营者加工棉花，使用国家明令禁止的棉花加工设备，被相关部门查处后继续实施该违法行为，造成较大社会影响的，或者造成严重后果的。</w:t>
      </w:r>
    </w:p>
    <w:p>
      <w:pPr>
        <w:pStyle w:val="13"/>
        <w:numPr>
          <w:ilvl w:val="1"/>
          <w:numId w:val="1404"/>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line="388" w:lineRule="auto"/>
        <w:ind w:right="268" w:firstLine="640"/>
        <w:rPr>
          <w:color w:val="auto"/>
        </w:rPr>
      </w:pPr>
      <w:r>
        <w:rPr>
          <w:color w:val="auto"/>
          <w:spacing w:val="-8"/>
        </w:rPr>
        <w:t xml:space="preserve">没收并监督销毁禁止的棉花加工设备，处非法设备实际价值 </w:t>
      </w:r>
      <w:r>
        <w:rPr>
          <w:color w:val="auto"/>
        </w:rPr>
        <w:t>8</w:t>
      </w:r>
      <w:r>
        <w:rPr>
          <w:color w:val="auto"/>
          <w:spacing w:val="-24"/>
        </w:rPr>
        <w:t xml:space="preserve"> 倍以上 </w:t>
      </w:r>
      <w:r>
        <w:rPr>
          <w:color w:val="auto"/>
        </w:rPr>
        <w:t>10</w:t>
      </w:r>
      <w:r>
        <w:rPr>
          <w:color w:val="auto"/>
          <w:spacing w:val="-19"/>
        </w:rPr>
        <w:t xml:space="preserve"> 倍以下</w:t>
      </w:r>
      <w:r>
        <w:rPr>
          <w:color w:val="auto"/>
        </w:rPr>
        <w:t>罚款。</w:t>
      </w:r>
    </w:p>
    <w:p>
      <w:pPr>
        <w:pStyle w:val="2"/>
        <w:spacing w:before="4" w:line="388" w:lineRule="auto"/>
        <w:ind w:left="111" w:right="235" w:firstLine="480"/>
        <w:jc w:val="both"/>
        <w:rPr>
          <w:color w:val="auto"/>
        </w:rPr>
      </w:pPr>
      <w:bookmarkStart w:id="1292" w:name="六百三十二、棉花经营者销售的每批棉花没有质量凭证，或者其包装、标识不符合国家标准"/>
      <w:bookmarkEnd w:id="1292"/>
      <w:bookmarkStart w:id="1293" w:name="_bookmark645"/>
      <w:bookmarkEnd w:id="1293"/>
      <w:r>
        <w:rPr>
          <w:color w:val="auto"/>
          <w:spacing w:val="-6"/>
        </w:rPr>
        <w:t>六百三十二、棉花经营者销售的每批棉花没有质量凭证，或者其包装、标识不符</w:t>
      </w:r>
      <w:r>
        <w:rPr>
          <w:color w:val="auto"/>
          <w:spacing w:val="-10"/>
        </w:rPr>
        <w:t>合国家标准，或者质量凭证、标识与实物不符，或者经公证检验的棉花没有公证检验证书、国家储备棉没有粘贴公证检验标志</w:t>
      </w:r>
    </w:p>
    <w:p>
      <w:pPr>
        <w:spacing w:before="6"/>
        <w:ind w:left="754" w:right="0" w:firstLine="0"/>
        <w:jc w:val="left"/>
        <w:rPr>
          <w:b/>
          <w:color w:val="auto"/>
          <w:sz w:val="24"/>
        </w:rPr>
      </w:pPr>
      <w:r>
        <w:rPr>
          <w:b/>
          <w:color w:val="auto"/>
          <w:w w:val="95"/>
          <w:sz w:val="24"/>
        </w:rPr>
        <w:t>（一）处罚依据</w:t>
      </w:r>
    </w:p>
    <w:p>
      <w:pPr>
        <w:pStyle w:val="4"/>
        <w:spacing w:before="191" w:line="391" w:lineRule="auto"/>
        <w:ind w:right="268" w:firstLine="640"/>
        <w:jc w:val="both"/>
        <w:rPr>
          <w:color w:val="auto"/>
        </w:rPr>
      </w:pPr>
      <w:r>
        <w:rPr>
          <w:color w:val="auto"/>
        </w:rPr>
        <w:t>1</w:t>
      </w:r>
      <w:r>
        <w:rPr>
          <w:color w:val="auto"/>
          <w:spacing w:val="-12"/>
        </w:rPr>
        <w:t>、《棉花质量监督管理条例》第二十六条“棉花经营者销售棉花，违反本条例</w:t>
      </w:r>
      <w:r>
        <w:rPr>
          <w:color w:val="auto"/>
          <w:spacing w:val="-11"/>
        </w:rPr>
        <w:t>第九条的规定，销售的棉花没有质量凭证，或者其包装、标识不符合国家标准，或者</w:t>
      </w:r>
      <w:r>
        <w:rPr>
          <w:color w:val="auto"/>
          <w:spacing w:val="-6"/>
        </w:rPr>
        <w:t>质量凭证、标识与实物不符，或者经公证检验的棉花没有公证检验证书、国家储备棉</w:t>
      </w:r>
      <w:r>
        <w:rPr>
          <w:color w:val="auto"/>
          <w:spacing w:val="-4"/>
        </w:rPr>
        <w:t>没有粘贴公证检验标志的，由棉花质量监督机构责令改正，并可以根据情节轻重，处</w:t>
      </w:r>
      <w:r>
        <w:rPr>
          <w:color w:val="auto"/>
        </w:rPr>
        <w:t>10</w:t>
      </w:r>
      <w:r>
        <w:rPr>
          <w:color w:val="auto"/>
          <w:spacing w:val="-19"/>
        </w:rPr>
        <w:t xml:space="preserve"> 万元以下的罚款。”</w:t>
      </w:r>
    </w:p>
    <w:p>
      <w:pPr>
        <w:pStyle w:val="4"/>
        <w:spacing w:line="391" w:lineRule="auto"/>
        <w:ind w:right="268" w:firstLine="640"/>
        <w:jc w:val="both"/>
        <w:rPr>
          <w:color w:val="auto"/>
        </w:rPr>
      </w:pPr>
      <w:r>
        <w:rPr>
          <w:color w:val="auto"/>
        </w:rPr>
        <w:t>2</w:t>
      </w:r>
      <w:r>
        <w:rPr>
          <w:color w:val="auto"/>
          <w:spacing w:val="-12"/>
        </w:rPr>
        <w:t>、《棉花质量监督管理条例》第九条“棉花经营者销售棉花，必须符合下列要</w:t>
      </w:r>
      <w:r>
        <w:rPr>
          <w:color w:val="auto"/>
          <w:spacing w:val="-59"/>
        </w:rPr>
        <w:t>求：</w:t>
      </w:r>
      <w:r>
        <w:rPr>
          <w:color w:val="auto"/>
          <w:spacing w:val="2"/>
        </w:rPr>
        <w:t>（一）</w:t>
      </w:r>
      <w:r>
        <w:rPr>
          <w:color w:val="auto"/>
          <w:spacing w:val="-10"/>
        </w:rPr>
        <w:t>每批棉花附有质量凭证；</w:t>
      </w:r>
      <w:r>
        <w:rPr>
          <w:color w:val="auto"/>
          <w:spacing w:val="2"/>
        </w:rPr>
        <w:t>（二）</w:t>
      </w:r>
      <w:r>
        <w:rPr>
          <w:color w:val="auto"/>
          <w:spacing w:val="-8"/>
        </w:rPr>
        <w:t>棉花包装、标识符合国家标准；</w:t>
      </w:r>
      <w:r>
        <w:rPr>
          <w:color w:val="auto"/>
          <w:spacing w:val="2"/>
        </w:rPr>
        <w:t>（三）</w:t>
      </w:r>
      <w:r>
        <w:rPr>
          <w:color w:val="auto"/>
          <w:spacing w:val="1"/>
        </w:rPr>
        <w:t>棉花</w:t>
      </w:r>
      <w:r>
        <w:rPr>
          <w:color w:val="auto"/>
          <w:spacing w:val="-6"/>
        </w:rPr>
        <w:t>类别、等级、重量与质量凭证、标识相符；</w:t>
      </w:r>
      <w:r>
        <w:rPr>
          <w:color w:val="auto"/>
          <w:spacing w:val="2"/>
        </w:rPr>
        <w:t>（四）</w:t>
      </w:r>
      <w:r>
        <w:rPr>
          <w:color w:val="auto"/>
          <w:spacing w:val="1"/>
        </w:rPr>
        <w:t>经公证检验的棉花，附有公证检验</w:t>
      </w:r>
      <w:r>
        <w:rPr>
          <w:color w:val="auto"/>
          <w:spacing w:val="-5"/>
        </w:rPr>
        <w:t>证书，其中国家储备棉还应当粘贴公证检验标志。”</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05"/>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86" w:line="388" w:lineRule="auto"/>
        <w:ind w:right="268" w:firstLine="640"/>
        <w:rPr>
          <w:color w:val="auto"/>
        </w:rPr>
      </w:pPr>
      <w:r>
        <w:rPr>
          <w:color w:val="auto"/>
          <w:spacing w:val="-2"/>
        </w:rPr>
        <w:t>有下列情形之一的：</w:t>
      </w:r>
      <w:r>
        <w:rPr>
          <w:color w:val="auto"/>
          <w:spacing w:val="-10"/>
        </w:rPr>
        <w:t>1</w:t>
      </w:r>
      <w:r>
        <w:rPr>
          <w:color w:val="auto"/>
          <w:spacing w:val="-9"/>
        </w:rPr>
        <w:t>、销售是棉花没有质量凭证，但及时改正，能达到质量凭</w:t>
      </w:r>
      <w:r>
        <w:rPr>
          <w:color w:val="auto"/>
        </w:rPr>
        <w:t>证、标识与实物相符的要求的；2、包装、标识轻微不符合国家标准的（包装布经纬</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5"/>
        </w:rPr>
        <w:t xml:space="preserve">密度低于标准不超过 </w:t>
      </w:r>
      <w:r>
        <w:rPr>
          <w:color w:val="auto"/>
        </w:rPr>
        <w:t>20</w:t>
      </w:r>
      <w:r>
        <w:rPr>
          <w:color w:val="auto"/>
          <w:spacing w:val="-9"/>
        </w:rPr>
        <w:t xml:space="preserve"> 根或者含有少量化纤纤维，标识缺少 </w:t>
      </w:r>
      <w:r>
        <w:rPr>
          <w:color w:val="auto"/>
        </w:rPr>
        <w:t>2</w:t>
      </w:r>
      <w:r>
        <w:rPr>
          <w:color w:val="auto"/>
          <w:spacing w:val="-7"/>
        </w:rPr>
        <w:t xml:space="preserve"> 项以下或者少量棉包</w:t>
      </w:r>
      <w:r>
        <w:rPr>
          <w:color w:val="auto"/>
          <w:spacing w:val="2"/>
        </w:rPr>
        <w:t>标识不全</w:t>
      </w:r>
      <w:r>
        <w:rPr>
          <w:color w:val="auto"/>
          <w:spacing w:val="-120"/>
        </w:rPr>
        <w:t>）</w:t>
      </w:r>
      <w:r>
        <w:rPr>
          <w:color w:val="auto"/>
          <w:spacing w:val="2"/>
        </w:rPr>
        <w:t>；3</w:t>
      </w:r>
      <w:r>
        <w:rPr>
          <w:color w:val="auto"/>
          <w:spacing w:val="1"/>
        </w:rPr>
        <w:t>、取得公证检验证书，但证书未随货同行，能及时改正的</w:t>
      </w:r>
      <w:r>
        <w:rPr>
          <w:color w:val="auto"/>
          <w:spacing w:val="2"/>
        </w:rPr>
        <w:t>；4</w:t>
      </w:r>
      <w:r>
        <w:rPr>
          <w:color w:val="auto"/>
          <w:spacing w:val="1"/>
        </w:rPr>
        <w:t>、国家储备棉有少量未拈贴公证检验标志的。</w:t>
      </w:r>
    </w:p>
    <w:p>
      <w:pPr>
        <w:pStyle w:val="13"/>
        <w:numPr>
          <w:ilvl w:val="0"/>
          <w:numId w:val="1405"/>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5"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0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72" w:firstLine="640"/>
        <w:rPr>
          <w:color w:val="auto"/>
        </w:rPr>
      </w:pPr>
      <w:r>
        <w:rPr>
          <w:color w:val="auto"/>
        </w:rPr>
        <w:t>有下列情形之一的：1、销售是棉花没有质量凭证，不能及时改正的；2、包装、标识严重不符合国家标准的（包装布经纬密度均低于标准超过 20 根或者化纤纤维含</w:t>
      </w:r>
    </w:p>
    <w:p>
      <w:pPr>
        <w:pStyle w:val="4"/>
        <w:spacing w:before="2" w:line="391" w:lineRule="auto"/>
        <w:ind w:right="268"/>
        <w:rPr>
          <w:color w:val="auto"/>
        </w:rPr>
      </w:pPr>
      <w:r>
        <w:rPr>
          <w:color w:val="auto"/>
          <w:spacing w:val="-7"/>
        </w:rPr>
        <w:t xml:space="preserve">量较高，大部分或者全部棉包标识缺少 </w:t>
      </w:r>
      <w:r>
        <w:rPr>
          <w:color w:val="auto"/>
        </w:rPr>
        <w:t>2</w:t>
      </w:r>
      <w:r>
        <w:rPr>
          <w:color w:val="auto"/>
          <w:spacing w:val="-15"/>
        </w:rPr>
        <w:t xml:space="preserve"> 项以上</w:t>
      </w:r>
      <w:r>
        <w:rPr>
          <w:color w:val="auto"/>
          <w:spacing w:val="-120"/>
        </w:rPr>
        <w:t>）</w:t>
      </w:r>
      <w:r>
        <w:rPr>
          <w:color w:val="auto"/>
          <w:spacing w:val="-10"/>
        </w:rPr>
        <w:t>；</w:t>
      </w:r>
      <w:r>
        <w:rPr>
          <w:color w:val="auto"/>
        </w:rPr>
        <w:t>3</w:t>
      </w:r>
      <w:r>
        <w:rPr>
          <w:color w:val="auto"/>
          <w:spacing w:val="-5"/>
        </w:rPr>
        <w:t>、取得公证检验证书，证书未随</w:t>
      </w:r>
      <w:r>
        <w:rPr>
          <w:color w:val="auto"/>
        </w:rPr>
        <w:t>货同行，不能及时改正的。</w:t>
      </w:r>
    </w:p>
    <w:p>
      <w:pPr>
        <w:pStyle w:val="13"/>
        <w:numPr>
          <w:ilvl w:val="0"/>
          <w:numId w:val="1406"/>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line="391"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4</w:t>
      </w:r>
      <w:r>
        <w:rPr>
          <w:color w:val="auto"/>
          <w:spacing w:val="-11"/>
        </w:rPr>
        <w:t xml:space="preserve"> 万元以下罚款。</w:t>
      </w:r>
      <w:r>
        <w:rPr>
          <w:color w:val="auto"/>
        </w:rPr>
        <w:t>3</w:t>
      </w:r>
      <w:r>
        <w:rPr>
          <w:color w:val="auto"/>
          <w:spacing w:val="-24"/>
        </w:rPr>
        <w:t>、【较重】</w:t>
      </w:r>
    </w:p>
    <w:p>
      <w:pPr>
        <w:pStyle w:val="13"/>
        <w:numPr>
          <w:ilvl w:val="0"/>
          <w:numId w:val="140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line="391" w:lineRule="auto"/>
        <w:ind w:right="100" w:firstLine="640"/>
        <w:rPr>
          <w:color w:val="auto"/>
        </w:rPr>
      </w:pPr>
      <w:r>
        <w:rPr>
          <w:color w:val="auto"/>
        </w:rPr>
        <w:t>有下列情形之一的：1、本条规定的 2 项违法行为的；2、质量凭证、标识与实物的质量、数量严重不符，不构成以次充好的；3、国家储备棉没附有公证检验证书， 且未粘贴或者大量未粘贴检验标志的。</w:t>
      </w:r>
    </w:p>
    <w:p>
      <w:pPr>
        <w:pStyle w:val="13"/>
        <w:numPr>
          <w:ilvl w:val="0"/>
          <w:numId w:val="1407"/>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4</w:t>
      </w:r>
      <w:r>
        <w:rPr>
          <w:color w:val="auto"/>
          <w:spacing w:val="-20"/>
        </w:rPr>
        <w:t xml:space="preserve"> 万元以上 </w:t>
      </w:r>
      <w:r>
        <w:rPr>
          <w:color w:val="auto"/>
        </w:rPr>
        <w:t>6</w:t>
      </w:r>
      <w:r>
        <w:rPr>
          <w:color w:val="auto"/>
          <w:spacing w:val="-11"/>
        </w:rPr>
        <w:t xml:space="preserve"> 万元以下罚款。</w:t>
      </w:r>
      <w:r>
        <w:rPr>
          <w:color w:val="auto"/>
        </w:rPr>
        <w:t>4</w:t>
      </w:r>
      <w:r>
        <w:rPr>
          <w:color w:val="auto"/>
          <w:spacing w:val="-24"/>
        </w:rPr>
        <w:t>、【严重】</w:t>
      </w:r>
    </w:p>
    <w:p>
      <w:pPr>
        <w:pStyle w:val="13"/>
        <w:numPr>
          <w:ilvl w:val="0"/>
          <w:numId w:val="1408"/>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5" w:line="388" w:lineRule="auto"/>
        <w:ind w:right="195" w:firstLine="640"/>
        <w:rPr>
          <w:color w:val="auto"/>
        </w:rPr>
      </w:pPr>
      <w:r>
        <w:rPr>
          <w:color w:val="auto"/>
        </w:rPr>
        <w:t>有下列情形之一的：1、有本条规定的 2 项以上违法行为的；2、两年内出现 2 次本条规定违法行为，造成较大社会影响的。</w:t>
      </w:r>
    </w:p>
    <w:p>
      <w:pPr>
        <w:pStyle w:val="13"/>
        <w:numPr>
          <w:ilvl w:val="0"/>
          <w:numId w:val="1408"/>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6</w:t>
      </w:r>
      <w:r>
        <w:rPr>
          <w:color w:val="auto"/>
          <w:spacing w:val="-20"/>
        </w:rPr>
        <w:t xml:space="preserve"> 万元以上 </w:t>
      </w:r>
      <w:r>
        <w:rPr>
          <w:color w:val="auto"/>
        </w:rPr>
        <w:t>8</w:t>
      </w:r>
      <w:r>
        <w:rPr>
          <w:color w:val="auto"/>
          <w:spacing w:val="-11"/>
        </w:rPr>
        <w:t xml:space="preserve"> 万元以下罚款。</w:t>
      </w:r>
      <w:r>
        <w:rPr>
          <w:color w:val="auto"/>
        </w:rPr>
        <w:t>5</w:t>
      </w:r>
      <w:r>
        <w:rPr>
          <w:color w:val="auto"/>
          <w:spacing w:val="-18"/>
        </w:rPr>
        <w:t>、【特别严重】</w:t>
      </w:r>
    </w:p>
    <w:p>
      <w:pPr>
        <w:pStyle w:val="13"/>
        <w:numPr>
          <w:ilvl w:val="0"/>
          <w:numId w:val="1409"/>
        </w:numPr>
        <w:tabs>
          <w:tab w:val="left" w:pos="1353"/>
        </w:tabs>
        <w:spacing w:before="2" w:after="0" w:line="240" w:lineRule="auto"/>
        <w:ind w:left="1353"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68" w:firstLine="640"/>
        <w:rPr>
          <w:color w:val="auto"/>
        </w:rPr>
      </w:pPr>
      <w:r>
        <w:rPr>
          <w:color w:val="auto"/>
        </w:rPr>
        <w:t>行政处罚实施机关作出责令改正违法行为后，继续实施违法行为的；造成严重社会影响或者造成严重危害后果的。</w:t>
      </w:r>
    </w:p>
    <w:p>
      <w:pPr>
        <w:pStyle w:val="13"/>
        <w:numPr>
          <w:ilvl w:val="0"/>
          <w:numId w:val="1409"/>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jc w:val="both"/>
        <w:rPr>
          <w:color w:val="auto"/>
        </w:rPr>
      </w:pPr>
      <w:r>
        <w:rPr>
          <w:color w:val="auto"/>
        </w:rPr>
        <w:t>责令改正，处 8 万元以上 10 万元以下罚款。</w:t>
      </w:r>
    </w:p>
    <w:p>
      <w:pPr>
        <w:pStyle w:val="2"/>
        <w:spacing w:before="194" w:line="391" w:lineRule="auto"/>
        <w:ind w:left="111" w:right="237" w:firstLine="480"/>
        <w:jc w:val="both"/>
        <w:rPr>
          <w:color w:val="auto"/>
        </w:rPr>
      </w:pPr>
      <w:bookmarkStart w:id="1294" w:name="_bookmark646"/>
      <w:bookmarkEnd w:id="1294"/>
      <w:bookmarkStart w:id="1295" w:name="六百三十三、棉花经营者承储国家储备棉，未建立棉花入库、出库质量检查验收制度，或者"/>
      <w:bookmarkEnd w:id="1295"/>
      <w:r>
        <w:rPr>
          <w:color w:val="auto"/>
          <w:spacing w:val="-6"/>
        </w:rPr>
        <w:t>六百三十三、棉花经营者承储国家储备棉，未建立棉花入库、出库质量检查验收</w:t>
      </w:r>
      <w:r>
        <w:rPr>
          <w:color w:val="auto"/>
          <w:spacing w:val="-9"/>
        </w:rPr>
        <w:t>制度，或者入库、出库的国家储备棉实物与公证检验证书、标志不符，或者不按照国</w:t>
      </w:r>
      <w:r>
        <w:rPr>
          <w:color w:val="auto"/>
          <w:spacing w:val="-11"/>
        </w:rPr>
        <w:t>家规定维护、保养承储设施致使国家储备棉质量变异，或者将未经公证检验的棉花作为国家储备棉入库、出库</w:t>
      </w:r>
    </w:p>
    <w:p>
      <w:pPr>
        <w:spacing w:before="0" w:line="302" w:lineRule="exact"/>
        <w:ind w:left="754" w:right="0" w:firstLine="0"/>
        <w:jc w:val="left"/>
        <w:rPr>
          <w:b/>
          <w:color w:val="auto"/>
          <w:sz w:val="24"/>
        </w:rPr>
      </w:pPr>
      <w:r>
        <w:rPr>
          <w:b/>
          <w:color w:val="auto"/>
          <w:sz w:val="24"/>
        </w:rPr>
        <w:t>（一）处罚依据</w:t>
      </w:r>
    </w:p>
    <w:p>
      <w:pPr>
        <w:pStyle w:val="13"/>
        <w:numPr>
          <w:ilvl w:val="0"/>
          <w:numId w:val="1410"/>
        </w:numPr>
        <w:tabs>
          <w:tab w:val="left" w:pos="980"/>
        </w:tabs>
        <w:spacing w:before="192" w:after="0" w:line="391" w:lineRule="auto"/>
        <w:ind w:left="111" w:right="268" w:firstLine="626"/>
        <w:jc w:val="both"/>
        <w:rPr>
          <w:color w:val="auto"/>
          <w:sz w:val="24"/>
        </w:rPr>
      </w:pPr>
      <w:r>
        <w:rPr>
          <w:color w:val="auto"/>
          <w:sz w:val="24"/>
        </w:rPr>
        <w:t>《棉花质量监督管理条例》第二十七条“棉花经营者承储国家储备棉，违反</w:t>
      </w:r>
      <w:r>
        <w:rPr>
          <w:color w:val="auto"/>
          <w:spacing w:val="-5"/>
          <w:sz w:val="24"/>
        </w:rPr>
        <w:t>本条例第十条第一款、第二款、第三款的规定，未建立棉花入库、出库质量检查验收</w:t>
      </w:r>
      <w:r>
        <w:rPr>
          <w:color w:val="auto"/>
          <w:spacing w:val="-7"/>
          <w:sz w:val="24"/>
        </w:rPr>
        <w:t>制度，或者入库、出库的国家储备棉实物与公证检验证书、标志不符，或者不按照国</w:t>
      </w:r>
      <w:r>
        <w:rPr>
          <w:color w:val="auto"/>
          <w:spacing w:val="-6"/>
          <w:sz w:val="24"/>
        </w:rPr>
        <w:t>家规定维护、保养承储设施致使国家储备棉质量变异，或者将未经公证检验的棉花作</w:t>
      </w:r>
      <w:r>
        <w:rPr>
          <w:color w:val="auto"/>
          <w:spacing w:val="-2"/>
          <w:sz w:val="24"/>
        </w:rPr>
        <w:t xml:space="preserve">为国家储备棉入库、出库的，由棉花质量监督机构责令改正，可以处 </w:t>
      </w:r>
      <w:r>
        <w:rPr>
          <w:color w:val="auto"/>
          <w:sz w:val="24"/>
        </w:rPr>
        <w:t>10</w:t>
      </w:r>
      <w:r>
        <w:rPr>
          <w:color w:val="auto"/>
          <w:spacing w:val="-6"/>
          <w:sz w:val="24"/>
        </w:rPr>
        <w:t xml:space="preserve"> 万元以下的</w:t>
      </w:r>
      <w:r>
        <w:rPr>
          <w:color w:val="auto"/>
          <w:spacing w:val="-8"/>
          <w:sz w:val="24"/>
        </w:rPr>
        <w:t>罚款；造成重大损失的，对负责的主管人员和其他直接责任人员给予降级以上的纪律</w:t>
      </w:r>
      <w:r>
        <w:rPr>
          <w:color w:val="auto"/>
          <w:spacing w:val="-7"/>
          <w:sz w:val="24"/>
        </w:rPr>
        <w:t>处分；构成犯罪的，依法追究刑事责任。”</w:t>
      </w:r>
    </w:p>
    <w:p>
      <w:pPr>
        <w:pStyle w:val="13"/>
        <w:numPr>
          <w:ilvl w:val="0"/>
          <w:numId w:val="1410"/>
        </w:numPr>
        <w:tabs>
          <w:tab w:val="left" w:pos="980"/>
        </w:tabs>
        <w:spacing w:before="0" w:after="0" w:line="388" w:lineRule="auto"/>
        <w:ind w:left="111" w:right="268" w:firstLine="626"/>
        <w:jc w:val="both"/>
        <w:rPr>
          <w:color w:val="auto"/>
          <w:sz w:val="24"/>
        </w:rPr>
      </w:pPr>
      <w:r>
        <w:rPr>
          <w:color w:val="auto"/>
          <w:sz w:val="24"/>
        </w:rPr>
        <w:t>《棉花质量监督管理条例》第十条第一款“棉花经营者承储国家储备棉，应</w:t>
      </w:r>
      <w:r>
        <w:rPr>
          <w:color w:val="auto"/>
          <w:spacing w:val="-7"/>
          <w:sz w:val="24"/>
        </w:rPr>
        <w:t>当建立、健全棉花入库、出库质量检查验收制度，保证入库、出库的国家储备棉的类</w:t>
      </w:r>
      <w:r>
        <w:rPr>
          <w:color w:val="auto"/>
          <w:spacing w:val="-5"/>
          <w:sz w:val="24"/>
        </w:rPr>
        <w:t>别、等级、数量与公证检验证书、公证检验标志相符。”</w:t>
      </w:r>
    </w:p>
    <w:p>
      <w:pPr>
        <w:pStyle w:val="13"/>
        <w:numPr>
          <w:ilvl w:val="0"/>
          <w:numId w:val="1410"/>
        </w:numPr>
        <w:tabs>
          <w:tab w:val="left" w:pos="980"/>
        </w:tabs>
        <w:spacing w:before="0" w:after="0" w:line="388" w:lineRule="auto"/>
        <w:ind w:left="111" w:right="268" w:firstLine="626"/>
        <w:jc w:val="both"/>
        <w:rPr>
          <w:color w:val="auto"/>
          <w:sz w:val="24"/>
        </w:rPr>
      </w:pPr>
      <w:r>
        <w:rPr>
          <w:color w:val="auto"/>
          <w:sz w:val="24"/>
        </w:rPr>
        <w:t>《棉花质量监督管理条例》第十条第二款“棉花经营者承储国家储备棉，应</w:t>
      </w:r>
      <w:r>
        <w:rPr>
          <w:color w:val="auto"/>
          <w:spacing w:val="-4"/>
          <w:sz w:val="24"/>
        </w:rPr>
        <w:t>当按照国家规定维护、保养承储设施，保证国家储备棉质量免受人为因素造成的质量</w:t>
      </w:r>
      <w:r>
        <w:rPr>
          <w:color w:val="auto"/>
          <w:spacing w:val="-30"/>
          <w:sz w:val="24"/>
        </w:rPr>
        <w:t>变异。”</w:t>
      </w:r>
    </w:p>
    <w:p>
      <w:pPr>
        <w:pStyle w:val="13"/>
        <w:numPr>
          <w:ilvl w:val="0"/>
          <w:numId w:val="1410"/>
        </w:numPr>
        <w:tabs>
          <w:tab w:val="left" w:pos="980"/>
        </w:tabs>
        <w:spacing w:before="4" w:after="0" w:line="388" w:lineRule="auto"/>
        <w:ind w:left="111" w:right="271" w:firstLine="626"/>
        <w:jc w:val="left"/>
        <w:rPr>
          <w:color w:val="auto"/>
          <w:sz w:val="24"/>
        </w:rPr>
      </w:pPr>
      <w:r>
        <w:rPr>
          <w:color w:val="auto"/>
          <w:sz w:val="24"/>
        </w:rPr>
        <w:t>《棉花质量监督管理条例》第十条第三款“棉花经营者不得将未经棉花质量</w:t>
      </w:r>
      <w:r>
        <w:rPr>
          <w:color w:val="auto"/>
          <w:spacing w:val="-6"/>
          <w:sz w:val="24"/>
        </w:rPr>
        <w:t>公证检验的棉花作为国家储备棉入库、出库。”</w:t>
      </w:r>
    </w:p>
    <w:p>
      <w:pPr>
        <w:spacing w:before="2"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11"/>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有下列情形之一的：1、未建立棉花入库、出库质量检查验收制度的；2、入库、</w:t>
      </w:r>
    </w:p>
    <w:p>
      <w:pPr>
        <w:spacing w:after="0"/>
        <w:rPr>
          <w:color w:val="auto"/>
        </w:rPr>
        <w:sectPr>
          <w:footerReference r:id="rId157" w:type="default"/>
          <w:footerReference r:id="rId158" w:type="even"/>
          <w:pgSz w:w="11910" w:h="16840"/>
          <w:pgMar w:top="1520" w:right="1260" w:bottom="1220" w:left="1420" w:header="0" w:footer="1034" w:gutter="0"/>
          <w:pgNumType w:start="610"/>
        </w:sectPr>
      </w:pPr>
    </w:p>
    <w:p>
      <w:pPr>
        <w:pStyle w:val="4"/>
        <w:spacing w:before="39"/>
        <w:rPr>
          <w:color w:val="auto"/>
        </w:rPr>
      </w:pPr>
      <w:r>
        <w:rPr>
          <w:color w:val="auto"/>
        </w:rPr>
        <w:t>出库的国储棉实物与公证检验证书、标志轻微不符的。</w:t>
      </w:r>
    </w:p>
    <w:p>
      <w:pPr>
        <w:pStyle w:val="13"/>
        <w:numPr>
          <w:ilvl w:val="0"/>
          <w:numId w:val="1411"/>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12"/>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line="391" w:lineRule="auto"/>
        <w:ind w:right="268" w:firstLine="640"/>
        <w:jc w:val="both"/>
        <w:rPr>
          <w:color w:val="auto"/>
        </w:rPr>
      </w:pPr>
      <w:r>
        <w:rPr>
          <w:color w:val="auto"/>
          <w:spacing w:val="-2"/>
        </w:rPr>
        <w:t>有下列情形之一的：</w:t>
      </w:r>
      <w:r>
        <w:rPr>
          <w:color w:val="auto"/>
          <w:spacing w:val="-10"/>
        </w:rPr>
        <w:t>1</w:t>
      </w:r>
      <w:r>
        <w:rPr>
          <w:color w:val="auto"/>
          <w:spacing w:val="-9"/>
        </w:rPr>
        <w:t>、入库、出库的国储棉实物与公证检验证书、标志严重不</w:t>
      </w:r>
      <w:r>
        <w:rPr>
          <w:color w:val="auto"/>
        </w:rPr>
        <w:t>符，未造成危害后果的；2、不按照国家规定维护、保养承储设施致使国家储备棉变异，财产损失不大的。</w:t>
      </w:r>
    </w:p>
    <w:p>
      <w:pPr>
        <w:pStyle w:val="13"/>
        <w:numPr>
          <w:ilvl w:val="0"/>
          <w:numId w:val="1412"/>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1" w:line="391"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4</w:t>
      </w:r>
      <w:r>
        <w:rPr>
          <w:color w:val="auto"/>
          <w:spacing w:val="-11"/>
        </w:rPr>
        <w:t xml:space="preserve"> 万元以下罚款。</w:t>
      </w:r>
      <w:r>
        <w:rPr>
          <w:color w:val="auto"/>
        </w:rPr>
        <w:t>3</w:t>
      </w:r>
      <w:r>
        <w:rPr>
          <w:color w:val="auto"/>
          <w:spacing w:val="-24"/>
        </w:rPr>
        <w:t>、【较重】</w:t>
      </w:r>
    </w:p>
    <w:p>
      <w:pPr>
        <w:pStyle w:val="13"/>
        <w:numPr>
          <w:ilvl w:val="0"/>
          <w:numId w:val="141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jc w:val="both"/>
        <w:rPr>
          <w:color w:val="auto"/>
        </w:rPr>
      </w:pPr>
      <w:r>
        <w:rPr>
          <w:color w:val="auto"/>
        </w:rPr>
        <w:t>有下列情形之一的：1</w:t>
      </w:r>
      <w:r>
        <w:rPr>
          <w:color w:val="auto"/>
          <w:spacing w:val="-6"/>
        </w:rPr>
        <w:t xml:space="preserve">、有本条规定的 </w:t>
      </w:r>
      <w:r>
        <w:rPr>
          <w:color w:val="auto"/>
        </w:rPr>
        <w:t>2</w:t>
      </w:r>
      <w:r>
        <w:rPr>
          <w:color w:val="auto"/>
          <w:spacing w:val="-7"/>
        </w:rPr>
        <w:t xml:space="preserve"> 项违法行为的；</w:t>
      </w:r>
      <w:r>
        <w:rPr>
          <w:color w:val="auto"/>
        </w:rPr>
        <w:t>2、入库、出库的国储棉实物与公证检验证书、标志严重不符，造成一定危害后果的；3、不按照国家规定维护、保养承储设施致使国家储备棉变异，造成一定财产损失的。</w:t>
      </w:r>
    </w:p>
    <w:p>
      <w:pPr>
        <w:pStyle w:val="13"/>
        <w:numPr>
          <w:ilvl w:val="0"/>
          <w:numId w:val="1413"/>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4</w:t>
      </w:r>
      <w:r>
        <w:rPr>
          <w:color w:val="auto"/>
          <w:spacing w:val="-20"/>
        </w:rPr>
        <w:t xml:space="preserve"> 万元以上 </w:t>
      </w:r>
      <w:r>
        <w:rPr>
          <w:color w:val="auto"/>
        </w:rPr>
        <w:t>6</w:t>
      </w:r>
      <w:r>
        <w:rPr>
          <w:color w:val="auto"/>
          <w:spacing w:val="-11"/>
        </w:rPr>
        <w:t xml:space="preserve"> 万元以下罚款。</w:t>
      </w:r>
      <w:r>
        <w:rPr>
          <w:color w:val="auto"/>
        </w:rPr>
        <w:t>4</w:t>
      </w:r>
      <w:r>
        <w:rPr>
          <w:color w:val="auto"/>
          <w:spacing w:val="-24"/>
        </w:rPr>
        <w:t>、【严重】</w:t>
      </w:r>
    </w:p>
    <w:p>
      <w:pPr>
        <w:pStyle w:val="13"/>
        <w:numPr>
          <w:ilvl w:val="0"/>
          <w:numId w:val="1414"/>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jc w:val="both"/>
        <w:rPr>
          <w:color w:val="auto"/>
        </w:rPr>
      </w:pPr>
      <w:r>
        <w:rPr>
          <w:color w:val="auto"/>
        </w:rPr>
        <w:t>有下列情形之一的：1</w:t>
      </w:r>
      <w:r>
        <w:rPr>
          <w:color w:val="auto"/>
          <w:spacing w:val="-6"/>
        </w:rPr>
        <w:t xml:space="preserve">、有本条规定的 </w:t>
      </w:r>
      <w:r>
        <w:rPr>
          <w:color w:val="auto"/>
        </w:rPr>
        <w:t>3</w:t>
      </w:r>
      <w:r>
        <w:rPr>
          <w:color w:val="auto"/>
          <w:spacing w:val="-7"/>
        </w:rPr>
        <w:t xml:space="preserve"> 项以上违法行为的</w:t>
      </w:r>
      <w:r>
        <w:rPr>
          <w:color w:val="auto"/>
        </w:rPr>
        <w:t>；2、入库、出库的国储棉实物与公证检验证书、标志严重不符，造成较严重危害后果的；3、不按照国家规定维护、保养承储设施致使国家储备棉变异，造成较大财产损失的。</w:t>
      </w:r>
    </w:p>
    <w:p>
      <w:pPr>
        <w:pStyle w:val="13"/>
        <w:numPr>
          <w:ilvl w:val="0"/>
          <w:numId w:val="1414"/>
        </w:numPr>
        <w:tabs>
          <w:tab w:val="left" w:pos="1353"/>
        </w:tabs>
        <w:spacing w:before="6" w:after="0" w:line="240" w:lineRule="auto"/>
        <w:ind w:left="1353" w:right="0" w:hanging="602"/>
        <w:jc w:val="left"/>
        <w:rPr>
          <w:color w:val="auto"/>
          <w:sz w:val="24"/>
        </w:rPr>
      </w:pPr>
      <w:r>
        <w:rPr>
          <w:color w:val="auto"/>
          <w:sz w:val="24"/>
        </w:rPr>
        <w:t>处罚标准</w:t>
      </w:r>
    </w:p>
    <w:p>
      <w:pPr>
        <w:pStyle w:val="4"/>
        <w:spacing w:before="191" w:line="388" w:lineRule="auto"/>
        <w:ind w:left="751" w:right="3913"/>
        <w:rPr>
          <w:color w:val="auto"/>
        </w:rPr>
      </w:pPr>
      <w:r>
        <w:rPr>
          <w:color w:val="auto"/>
          <w:spacing w:val="-9"/>
        </w:rPr>
        <w:t xml:space="preserve">责令改正，处 </w:t>
      </w:r>
      <w:r>
        <w:rPr>
          <w:color w:val="auto"/>
        </w:rPr>
        <w:t>6</w:t>
      </w:r>
      <w:r>
        <w:rPr>
          <w:color w:val="auto"/>
          <w:spacing w:val="-20"/>
        </w:rPr>
        <w:t xml:space="preserve"> 万元以上 </w:t>
      </w:r>
      <w:r>
        <w:rPr>
          <w:color w:val="auto"/>
        </w:rPr>
        <w:t>8</w:t>
      </w:r>
      <w:r>
        <w:rPr>
          <w:color w:val="auto"/>
          <w:spacing w:val="-11"/>
        </w:rPr>
        <w:t xml:space="preserve"> 万元以下罚款。</w:t>
      </w:r>
      <w:r>
        <w:rPr>
          <w:color w:val="auto"/>
        </w:rPr>
        <w:t>5</w:t>
      </w:r>
      <w:r>
        <w:rPr>
          <w:color w:val="auto"/>
          <w:spacing w:val="-18"/>
        </w:rPr>
        <w:t>、【特别严重】</w:t>
      </w:r>
    </w:p>
    <w:p>
      <w:pPr>
        <w:pStyle w:val="13"/>
        <w:numPr>
          <w:ilvl w:val="0"/>
          <w:numId w:val="1415"/>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line="388" w:lineRule="auto"/>
        <w:ind w:right="195" w:firstLine="640"/>
        <w:rPr>
          <w:color w:val="auto"/>
        </w:rPr>
      </w:pPr>
      <w:r>
        <w:rPr>
          <w:color w:val="auto"/>
        </w:rPr>
        <w:t>有下列情形之一的：1、行政处罚实施机关作出责令改正违法行为后，继续实施违法行为的；2、造成重大财产损失或严重社会影响的。</w:t>
      </w:r>
    </w:p>
    <w:p>
      <w:pPr>
        <w:spacing w:after="0" w:line="388" w:lineRule="auto"/>
        <w:rPr>
          <w:color w:val="auto"/>
        </w:rPr>
        <w:sectPr>
          <w:pgSz w:w="11910" w:h="16840"/>
          <w:pgMar w:top="1520" w:right="1260" w:bottom="1220" w:left="1420" w:header="0" w:footer="1034" w:gutter="0"/>
        </w:sectPr>
      </w:pPr>
    </w:p>
    <w:p>
      <w:pPr>
        <w:pStyle w:val="13"/>
        <w:numPr>
          <w:ilvl w:val="0"/>
          <w:numId w:val="1415"/>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line="388" w:lineRule="auto"/>
        <w:ind w:right="268" w:firstLine="640"/>
        <w:rPr>
          <w:color w:val="auto"/>
        </w:rPr>
      </w:pPr>
      <w:r>
        <w:rPr>
          <w:color w:val="auto"/>
          <w:spacing w:val="-15"/>
        </w:rPr>
        <w:t xml:space="preserve">责令改正，处 </w:t>
      </w:r>
      <w:r>
        <w:rPr>
          <w:color w:val="auto"/>
        </w:rPr>
        <w:t>8</w:t>
      </w:r>
      <w:r>
        <w:rPr>
          <w:color w:val="auto"/>
          <w:spacing w:val="-20"/>
        </w:rPr>
        <w:t xml:space="preserve"> 万元以上 </w:t>
      </w:r>
      <w:r>
        <w:rPr>
          <w:color w:val="auto"/>
        </w:rPr>
        <w:t>10</w:t>
      </w:r>
      <w:r>
        <w:rPr>
          <w:color w:val="auto"/>
          <w:spacing w:val="-11"/>
        </w:rPr>
        <w:t xml:space="preserve"> 万元以下的罚款，对负责的主管人员和其他直接责</w:t>
      </w:r>
      <w:r>
        <w:rPr>
          <w:color w:val="auto"/>
        </w:rPr>
        <w:t>任人员给予降级以上的纪律处分。</w:t>
      </w:r>
    </w:p>
    <w:p>
      <w:pPr>
        <w:pStyle w:val="2"/>
        <w:spacing w:before="2"/>
        <w:rPr>
          <w:color w:val="auto"/>
        </w:rPr>
      </w:pPr>
      <w:bookmarkStart w:id="1296" w:name="_bookmark647"/>
      <w:bookmarkEnd w:id="1296"/>
      <w:bookmarkStart w:id="1297" w:name="六百三十四、棉花经营者隐匿、转移、损毁被棉花质量监督机构查封、扣押的物品"/>
      <w:bookmarkEnd w:id="1297"/>
      <w:r>
        <w:rPr>
          <w:color w:val="auto"/>
        </w:rPr>
        <w:t>六百三十四、棉花经营者隐匿、转移、损毁被棉花质量监督机构查封、扣押的物</w:t>
      </w:r>
    </w:p>
    <w:p>
      <w:pPr>
        <w:spacing w:before="194"/>
        <w:ind w:left="111" w:right="0" w:firstLine="0"/>
        <w:jc w:val="left"/>
        <w:rPr>
          <w:b/>
          <w:color w:val="auto"/>
          <w:sz w:val="24"/>
        </w:rPr>
      </w:pPr>
      <w:r>
        <w:rPr>
          <w:b/>
          <w:color w:val="auto"/>
          <w:w w:val="99"/>
          <w:sz w:val="24"/>
        </w:rPr>
        <w:t>品</w:t>
      </w:r>
    </w:p>
    <w:p>
      <w:pPr>
        <w:spacing w:before="192"/>
        <w:ind w:left="754" w:right="0" w:firstLine="0"/>
        <w:jc w:val="left"/>
        <w:rPr>
          <w:b/>
          <w:color w:val="auto"/>
          <w:sz w:val="24"/>
        </w:rPr>
      </w:pPr>
      <w:r>
        <w:rPr>
          <w:b/>
          <w:color w:val="auto"/>
          <w:sz w:val="24"/>
        </w:rPr>
        <w:t>（一）处罚依据</w:t>
      </w:r>
    </w:p>
    <w:p>
      <w:pPr>
        <w:pStyle w:val="4"/>
        <w:spacing w:before="191" w:line="391" w:lineRule="auto"/>
        <w:ind w:right="268" w:firstLine="640"/>
        <w:jc w:val="both"/>
        <w:rPr>
          <w:color w:val="auto"/>
        </w:rPr>
      </w:pPr>
      <w:r>
        <w:rPr>
          <w:color w:val="auto"/>
        </w:rPr>
        <w:t>《棉花质量监督管理条例》第二十八条“棉花经营者隐匿、转移、损毁被棉花</w:t>
      </w:r>
      <w:r>
        <w:rPr>
          <w:color w:val="auto"/>
          <w:spacing w:val="-6"/>
        </w:rPr>
        <w:t>质量监督机构查封、扣押的物品的，由棉花质量监督机构处被隐匿、转移、损毁物品</w:t>
      </w:r>
      <w:r>
        <w:rPr>
          <w:color w:val="auto"/>
          <w:spacing w:val="-12"/>
        </w:rPr>
        <w:t xml:space="preserve">货值金额 </w:t>
      </w:r>
      <w:r>
        <w:rPr>
          <w:color w:val="auto"/>
        </w:rPr>
        <w:t>2</w:t>
      </w:r>
      <w:r>
        <w:rPr>
          <w:color w:val="auto"/>
          <w:spacing w:val="-24"/>
        </w:rPr>
        <w:t xml:space="preserve"> 倍以上 </w:t>
      </w:r>
      <w:r>
        <w:rPr>
          <w:color w:val="auto"/>
        </w:rPr>
        <w:t>5</w:t>
      </w:r>
      <w:r>
        <w:rPr>
          <w:color w:val="auto"/>
          <w:spacing w:val="-13"/>
        </w:rPr>
        <w:t xml:space="preserve"> 倍以下的罚款；构成犯罪的，依法追究刑事责任。”</w:t>
      </w:r>
    </w:p>
    <w:p>
      <w:pPr>
        <w:spacing w:before="0"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41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8" w:line="391" w:lineRule="auto"/>
        <w:ind w:right="268" w:firstLine="640"/>
        <w:rPr>
          <w:color w:val="auto"/>
        </w:rPr>
      </w:pPr>
      <w:r>
        <w:rPr>
          <w:color w:val="auto"/>
        </w:rPr>
        <w:t>棉花经营者隐匿、转移、损毁被棉花质量监督机构查封、扣押的物品的，能及时主动改正的。</w:t>
      </w:r>
    </w:p>
    <w:p>
      <w:pPr>
        <w:pStyle w:val="13"/>
        <w:numPr>
          <w:ilvl w:val="0"/>
          <w:numId w:val="1416"/>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10"/>
        </w:rPr>
        <w:t xml:space="preserve">处货值金额 </w:t>
      </w:r>
      <w:r>
        <w:rPr>
          <w:color w:val="auto"/>
        </w:rPr>
        <w:t>2</w:t>
      </w:r>
      <w:r>
        <w:rPr>
          <w:color w:val="auto"/>
          <w:spacing w:val="-24"/>
        </w:rPr>
        <w:t xml:space="preserve"> 倍以上 </w:t>
      </w:r>
      <w:r>
        <w:rPr>
          <w:color w:val="auto"/>
        </w:rPr>
        <w:t>3</w:t>
      </w:r>
      <w:r>
        <w:rPr>
          <w:color w:val="auto"/>
          <w:spacing w:val="-12"/>
        </w:rPr>
        <w:t xml:space="preserve"> 倍以下罚款。</w:t>
      </w:r>
      <w:r>
        <w:rPr>
          <w:color w:val="auto"/>
        </w:rPr>
        <w:t>2</w:t>
      </w:r>
      <w:r>
        <w:rPr>
          <w:color w:val="auto"/>
          <w:spacing w:val="-24"/>
        </w:rPr>
        <w:t>、【较重】</w:t>
      </w:r>
    </w:p>
    <w:p>
      <w:pPr>
        <w:pStyle w:val="13"/>
        <w:numPr>
          <w:ilvl w:val="0"/>
          <w:numId w:val="141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棉花经营者隐匿、转移、损毁被棉花质量监督机构查封、扣押的物品的，经责令改正，拒不改正的。</w:t>
      </w:r>
    </w:p>
    <w:p>
      <w:pPr>
        <w:pStyle w:val="13"/>
        <w:numPr>
          <w:ilvl w:val="0"/>
          <w:numId w:val="1417"/>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line="391" w:lineRule="auto"/>
        <w:ind w:left="751" w:right="4633"/>
        <w:rPr>
          <w:color w:val="auto"/>
        </w:rPr>
      </w:pPr>
      <w:r>
        <w:rPr>
          <w:color w:val="auto"/>
          <w:spacing w:val="-10"/>
        </w:rPr>
        <w:t xml:space="preserve">处货值金额 </w:t>
      </w:r>
      <w:r>
        <w:rPr>
          <w:color w:val="auto"/>
        </w:rPr>
        <w:t>3</w:t>
      </w:r>
      <w:r>
        <w:rPr>
          <w:color w:val="auto"/>
          <w:spacing w:val="-24"/>
        </w:rPr>
        <w:t xml:space="preserve"> 倍以上 </w:t>
      </w:r>
      <w:r>
        <w:rPr>
          <w:color w:val="auto"/>
        </w:rPr>
        <w:t>4</w:t>
      </w:r>
      <w:r>
        <w:rPr>
          <w:color w:val="auto"/>
          <w:spacing w:val="-12"/>
        </w:rPr>
        <w:t xml:space="preserve"> 倍以下罚款。</w:t>
      </w:r>
      <w:r>
        <w:rPr>
          <w:color w:val="auto"/>
        </w:rPr>
        <w:t>3</w:t>
      </w:r>
      <w:r>
        <w:rPr>
          <w:color w:val="auto"/>
          <w:spacing w:val="-24"/>
        </w:rPr>
        <w:t>、【严重】</w:t>
      </w:r>
    </w:p>
    <w:p>
      <w:pPr>
        <w:pStyle w:val="13"/>
        <w:numPr>
          <w:ilvl w:val="0"/>
          <w:numId w:val="141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棉花经营者隐匿、转移、损毁被棉花质量监督机构查封、扣押的物品，造成严重后果的。</w:t>
      </w:r>
    </w:p>
    <w:p>
      <w:pPr>
        <w:pStyle w:val="13"/>
        <w:numPr>
          <w:ilvl w:val="0"/>
          <w:numId w:val="1418"/>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处货值金额 4 倍以上 5 倍以下罚款。</w:t>
      </w:r>
    </w:p>
    <w:p>
      <w:pPr>
        <w:spacing w:after="0"/>
        <w:rPr>
          <w:color w:val="auto"/>
        </w:rPr>
        <w:sectPr>
          <w:pgSz w:w="11910" w:h="16840"/>
          <w:pgMar w:top="1520" w:right="1260" w:bottom="1220" w:left="1420" w:header="0" w:footer="1034" w:gutter="0"/>
        </w:sectPr>
      </w:pPr>
    </w:p>
    <w:p>
      <w:pPr>
        <w:pStyle w:val="2"/>
        <w:spacing w:before="39" w:line="391" w:lineRule="auto"/>
        <w:ind w:left="111" w:right="121" w:firstLine="480"/>
        <w:rPr>
          <w:color w:val="auto"/>
        </w:rPr>
      </w:pPr>
      <w:bookmarkStart w:id="1298" w:name="六百三十五、棉花经营者伪造、变造、冒用棉花质量凭证、标识、公证检验证书、公证检验"/>
      <w:bookmarkEnd w:id="1298"/>
      <w:bookmarkStart w:id="1299" w:name="_bookmark648"/>
      <w:bookmarkEnd w:id="1299"/>
      <w:r>
        <w:rPr>
          <w:color w:val="auto"/>
          <w:spacing w:val="-13"/>
        </w:rPr>
        <w:t>六百三十五、棉花经营者伪造、变造、冒用棉花质量凭证、标识、公证检验证书、公证检验标志</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5" w:firstLine="640"/>
        <w:jc w:val="both"/>
        <w:rPr>
          <w:color w:val="auto"/>
        </w:rPr>
      </w:pPr>
      <w:r>
        <w:rPr>
          <w:color w:val="auto"/>
        </w:rPr>
        <w:t>《棉花质量监督管理条例》第二十九条“棉花经营者违反本条例第十一条的规</w:t>
      </w:r>
      <w:r>
        <w:rPr>
          <w:color w:val="auto"/>
          <w:spacing w:val="-6"/>
        </w:rPr>
        <w:t>定，伪造、变造、冒用棉花质量凭证、标识、公证检验证书、公证检验标志的，由棉</w:t>
      </w:r>
      <w:r>
        <w:rPr>
          <w:color w:val="auto"/>
          <w:spacing w:val="-5"/>
        </w:rPr>
        <w:t xml:space="preserve">花质量监督机构处 </w:t>
      </w:r>
      <w:r>
        <w:rPr>
          <w:color w:val="auto"/>
        </w:rPr>
        <w:t>5</w:t>
      </w:r>
      <w:r>
        <w:rPr>
          <w:color w:val="auto"/>
          <w:spacing w:val="-16"/>
        </w:rPr>
        <w:t xml:space="preserve"> 万元以上 </w:t>
      </w:r>
      <w:r>
        <w:rPr>
          <w:color w:val="auto"/>
        </w:rPr>
        <w:t>10</w:t>
      </w:r>
      <w:r>
        <w:rPr>
          <w:color w:val="auto"/>
          <w:spacing w:val="-7"/>
        </w:rPr>
        <w:t xml:space="preserve"> 万元以下的罚款；情节严重的，移送工商行政管理</w:t>
      </w:r>
      <w:r>
        <w:rPr>
          <w:color w:val="auto"/>
          <w:spacing w:val="-12"/>
        </w:rPr>
        <w:t>机关吊销营业执照；构成犯罪的，依法追究刑事责任。”</w:t>
      </w:r>
    </w:p>
    <w:p>
      <w:pPr>
        <w:spacing w:before="0" w:line="388" w:lineRule="auto"/>
        <w:ind w:left="588" w:right="6784" w:firstLine="165"/>
        <w:jc w:val="left"/>
        <w:rPr>
          <w:color w:val="auto"/>
          <w:sz w:val="24"/>
        </w:rPr>
      </w:pPr>
      <w:r>
        <w:rPr>
          <w:b/>
          <w:color w:val="auto"/>
          <w:sz w:val="24"/>
        </w:rPr>
        <w:t>（二）裁量标准</w:t>
      </w:r>
      <w:r>
        <w:rPr>
          <w:color w:val="auto"/>
          <w:sz w:val="24"/>
        </w:rPr>
        <w:t>1、【较轻】</w:t>
      </w:r>
    </w:p>
    <w:p>
      <w:pPr>
        <w:pStyle w:val="13"/>
        <w:numPr>
          <w:ilvl w:val="0"/>
          <w:numId w:val="1419"/>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3" w:line="388" w:lineRule="auto"/>
        <w:ind w:right="145" w:firstLine="640"/>
        <w:rPr>
          <w:color w:val="auto"/>
        </w:rPr>
      </w:pPr>
      <w:r>
        <w:rPr>
          <w:color w:val="auto"/>
          <w:spacing w:val="-4"/>
        </w:rPr>
        <w:t>有下列情形之一的：</w:t>
      </w:r>
      <w:r>
        <w:rPr>
          <w:color w:val="auto"/>
          <w:spacing w:val="-33"/>
        </w:rPr>
        <w:t>1</w:t>
      </w:r>
      <w:r>
        <w:rPr>
          <w:color w:val="auto"/>
          <w:spacing w:val="-21"/>
        </w:rPr>
        <w:t>、伪造、变造、冒用棉花质量凭证</w:t>
      </w:r>
      <w:r>
        <w:rPr>
          <w:color w:val="auto"/>
        </w:rPr>
        <w:t>（不包括公证检验证书</w:t>
      </w:r>
      <w:r>
        <w:rPr>
          <w:color w:val="auto"/>
          <w:spacing w:val="-118"/>
        </w:rPr>
        <w:t>）</w:t>
      </w:r>
      <w:r>
        <w:rPr>
          <w:color w:val="auto"/>
          <w:spacing w:val="-15"/>
        </w:rPr>
        <w:t>、</w:t>
      </w:r>
      <w:r>
        <w:rPr>
          <w:color w:val="auto"/>
        </w:rPr>
        <w:t>标识，且货值金额较小的；2、产品尚未销售的，检查后及时改正违法行为，未造成危害后果的。</w:t>
      </w:r>
    </w:p>
    <w:p>
      <w:pPr>
        <w:pStyle w:val="13"/>
        <w:numPr>
          <w:ilvl w:val="0"/>
          <w:numId w:val="1419"/>
        </w:numPr>
        <w:tabs>
          <w:tab w:val="left" w:pos="1353"/>
        </w:tabs>
        <w:spacing w:before="6" w:after="0" w:line="240" w:lineRule="auto"/>
        <w:ind w:left="1353" w:right="0" w:hanging="602"/>
        <w:jc w:val="left"/>
        <w:rPr>
          <w:color w:val="auto"/>
          <w:sz w:val="24"/>
        </w:rPr>
      </w:pPr>
      <w:r>
        <w:rPr>
          <w:color w:val="auto"/>
          <w:sz w:val="24"/>
        </w:rPr>
        <w:t>处罚标准</w:t>
      </w:r>
    </w:p>
    <w:p>
      <w:pPr>
        <w:pStyle w:val="4"/>
        <w:spacing w:before="191" w:line="388" w:lineRule="auto"/>
        <w:ind w:left="751" w:right="5113"/>
        <w:rPr>
          <w:color w:val="auto"/>
        </w:rPr>
      </w:pPr>
      <w:r>
        <w:rPr>
          <w:color w:val="auto"/>
          <w:spacing w:val="-30"/>
        </w:rPr>
        <w:t xml:space="preserve">处 </w:t>
      </w:r>
      <w:r>
        <w:rPr>
          <w:color w:val="auto"/>
        </w:rPr>
        <w:t>5</w:t>
      </w:r>
      <w:r>
        <w:rPr>
          <w:color w:val="auto"/>
          <w:spacing w:val="-20"/>
        </w:rPr>
        <w:t xml:space="preserve"> 万元以上 </w:t>
      </w:r>
      <w:r>
        <w:rPr>
          <w:color w:val="auto"/>
        </w:rPr>
        <w:t>6</w:t>
      </w:r>
      <w:r>
        <w:rPr>
          <w:color w:val="auto"/>
          <w:spacing w:val="-11"/>
        </w:rPr>
        <w:t xml:space="preserve"> 万元以下罚款。</w:t>
      </w:r>
      <w:r>
        <w:rPr>
          <w:color w:val="auto"/>
        </w:rPr>
        <w:t>2</w:t>
      </w:r>
      <w:r>
        <w:rPr>
          <w:color w:val="auto"/>
          <w:spacing w:val="-24"/>
        </w:rPr>
        <w:t>、【一般】</w:t>
      </w:r>
    </w:p>
    <w:p>
      <w:pPr>
        <w:pStyle w:val="13"/>
        <w:numPr>
          <w:ilvl w:val="0"/>
          <w:numId w:val="1420"/>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line="391" w:lineRule="auto"/>
        <w:ind w:right="145" w:firstLine="640"/>
        <w:jc w:val="both"/>
        <w:rPr>
          <w:color w:val="auto"/>
        </w:rPr>
      </w:pPr>
      <w:r>
        <w:rPr>
          <w:color w:val="auto"/>
          <w:spacing w:val="-4"/>
        </w:rPr>
        <w:t>有下列情形之一的：</w:t>
      </w:r>
      <w:r>
        <w:rPr>
          <w:color w:val="auto"/>
          <w:spacing w:val="-33"/>
        </w:rPr>
        <w:t>1</w:t>
      </w:r>
      <w:r>
        <w:rPr>
          <w:color w:val="auto"/>
          <w:spacing w:val="-21"/>
        </w:rPr>
        <w:t>、伪造、变造、冒用棉花质量凭证</w:t>
      </w:r>
      <w:r>
        <w:rPr>
          <w:color w:val="auto"/>
        </w:rPr>
        <w:t>（不包括公证检验证书</w:t>
      </w:r>
      <w:r>
        <w:rPr>
          <w:color w:val="auto"/>
          <w:spacing w:val="-118"/>
        </w:rPr>
        <w:t>）</w:t>
      </w:r>
      <w:r>
        <w:rPr>
          <w:color w:val="auto"/>
          <w:spacing w:val="-15"/>
        </w:rPr>
        <w:t>、</w:t>
      </w:r>
      <w:r>
        <w:rPr>
          <w:color w:val="auto"/>
          <w:spacing w:val="-3"/>
        </w:rPr>
        <w:t>标识，且货值金额较大的；2</w:t>
      </w:r>
      <w:r>
        <w:rPr>
          <w:color w:val="auto"/>
          <w:spacing w:val="-6"/>
        </w:rPr>
        <w:t xml:space="preserve">、伪造、变造、冒用棉花公证检验证书、公证检验标志， </w:t>
      </w:r>
      <w:r>
        <w:rPr>
          <w:color w:val="auto"/>
        </w:rPr>
        <w:t>且货值金额较小的。</w:t>
      </w:r>
    </w:p>
    <w:p>
      <w:pPr>
        <w:pStyle w:val="13"/>
        <w:numPr>
          <w:ilvl w:val="0"/>
          <w:numId w:val="1420"/>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1" w:line="391" w:lineRule="auto"/>
        <w:ind w:left="751" w:right="5113"/>
        <w:rPr>
          <w:color w:val="auto"/>
        </w:rPr>
      </w:pPr>
      <w:r>
        <w:rPr>
          <w:color w:val="auto"/>
          <w:spacing w:val="-30"/>
        </w:rPr>
        <w:t xml:space="preserve">处 </w:t>
      </w:r>
      <w:r>
        <w:rPr>
          <w:color w:val="auto"/>
        </w:rPr>
        <w:t>6</w:t>
      </w:r>
      <w:r>
        <w:rPr>
          <w:color w:val="auto"/>
          <w:spacing w:val="-20"/>
        </w:rPr>
        <w:t xml:space="preserve"> 万元以上 </w:t>
      </w:r>
      <w:r>
        <w:rPr>
          <w:color w:val="auto"/>
        </w:rPr>
        <w:t>7</w:t>
      </w:r>
      <w:r>
        <w:rPr>
          <w:color w:val="auto"/>
          <w:spacing w:val="-11"/>
        </w:rPr>
        <w:t xml:space="preserve"> 万元以下罚款。</w:t>
      </w:r>
      <w:r>
        <w:rPr>
          <w:color w:val="auto"/>
        </w:rPr>
        <w:t>3</w:t>
      </w:r>
      <w:r>
        <w:rPr>
          <w:color w:val="auto"/>
          <w:spacing w:val="-24"/>
        </w:rPr>
        <w:t>、【较重】</w:t>
      </w:r>
    </w:p>
    <w:p>
      <w:pPr>
        <w:pStyle w:val="13"/>
        <w:numPr>
          <w:ilvl w:val="0"/>
          <w:numId w:val="1421"/>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伪造、变造、冒用棉花公证检验证书、公证检验标志，且货值金额较大的。</w:t>
      </w:r>
    </w:p>
    <w:p>
      <w:pPr>
        <w:pStyle w:val="13"/>
        <w:numPr>
          <w:ilvl w:val="0"/>
          <w:numId w:val="1421"/>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5113"/>
        <w:rPr>
          <w:color w:val="auto"/>
        </w:rPr>
      </w:pPr>
      <w:r>
        <w:rPr>
          <w:color w:val="auto"/>
          <w:spacing w:val="-30"/>
        </w:rPr>
        <w:t xml:space="preserve">处 </w:t>
      </w:r>
      <w:r>
        <w:rPr>
          <w:color w:val="auto"/>
        </w:rPr>
        <w:t>7</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1422"/>
        </w:numPr>
        <w:tabs>
          <w:tab w:val="left" w:pos="1353"/>
        </w:tabs>
        <w:spacing w:before="39" w:after="0" w:line="240" w:lineRule="auto"/>
        <w:ind w:left="1353" w:right="0" w:hanging="602"/>
        <w:jc w:val="left"/>
        <w:rPr>
          <w:color w:val="auto"/>
          <w:sz w:val="24"/>
        </w:rPr>
      </w:pPr>
      <w:r>
        <w:rPr>
          <w:color w:val="auto"/>
          <w:sz w:val="24"/>
        </w:rPr>
        <w:t>违法情形</w:t>
      </w:r>
    </w:p>
    <w:p>
      <w:pPr>
        <w:pStyle w:val="4"/>
        <w:spacing w:before="195" w:line="388" w:lineRule="auto"/>
        <w:ind w:right="148" w:firstLine="640"/>
        <w:rPr>
          <w:color w:val="auto"/>
        </w:rPr>
      </w:pPr>
      <w:r>
        <w:rPr>
          <w:color w:val="auto"/>
          <w:spacing w:val="-1"/>
        </w:rPr>
        <w:t>有下列情形之一的：</w:t>
      </w:r>
      <w:r>
        <w:rPr>
          <w:color w:val="auto"/>
          <w:spacing w:val="-8"/>
        </w:rPr>
        <w:t>1、伪造、变造、冒用的棉花质量凭证、标识、公证检验证</w:t>
      </w:r>
      <w:r>
        <w:rPr>
          <w:color w:val="auto"/>
          <w:spacing w:val="-6"/>
        </w:rPr>
        <w:t>书、公证检验标志，造成较大危害后果的；</w:t>
      </w:r>
      <w:r>
        <w:rPr>
          <w:color w:val="auto"/>
          <w:spacing w:val="-4"/>
        </w:rPr>
        <w:t>2、两年内发生两次本条规定违法行为的。</w:t>
      </w:r>
    </w:p>
    <w:p>
      <w:pPr>
        <w:pStyle w:val="13"/>
        <w:numPr>
          <w:ilvl w:val="0"/>
          <w:numId w:val="1422"/>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30"/>
        </w:rPr>
        <w:t xml:space="preserve">处 </w:t>
      </w:r>
      <w:r>
        <w:rPr>
          <w:color w:val="auto"/>
        </w:rPr>
        <w:t>8</w:t>
      </w:r>
      <w:r>
        <w:rPr>
          <w:color w:val="auto"/>
          <w:spacing w:val="-20"/>
        </w:rPr>
        <w:t xml:space="preserve"> 万元以上 </w:t>
      </w:r>
      <w:r>
        <w:rPr>
          <w:color w:val="auto"/>
        </w:rPr>
        <w:t>9</w:t>
      </w:r>
      <w:r>
        <w:rPr>
          <w:color w:val="auto"/>
          <w:spacing w:val="-9"/>
        </w:rPr>
        <w:t xml:space="preserve"> 万元以下罚款，吊销营业执照。</w:t>
      </w:r>
      <w:r>
        <w:rPr>
          <w:color w:val="auto"/>
        </w:rPr>
        <w:t>5</w:t>
      </w:r>
      <w:r>
        <w:rPr>
          <w:color w:val="auto"/>
          <w:spacing w:val="-18"/>
        </w:rPr>
        <w:t>、【特别严重】</w:t>
      </w:r>
    </w:p>
    <w:p>
      <w:pPr>
        <w:pStyle w:val="13"/>
        <w:numPr>
          <w:ilvl w:val="0"/>
          <w:numId w:val="1423"/>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195" w:firstLine="640"/>
        <w:rPr>
          <w:color w:val="auto"/>
        </w:rPr>
      </w:pPr>
      <w:r>
        <w:rPr>
          <w:color w:val="auto"/>
        </w:rPr>
        <w:t>有下列情形之一的：1、行政处罚实施机关作出责令改正违法行为后，继续实施违法行为的；2、造成重大财产损失或严重社会影响的。</w:t>
      </w:r>
    </w:p>
    <w:p>
      <w:pPr>
        <w:pStyle w:val="13"/>
        <w:numPr>
          <w:ilvl w:val="0"/>
          <w:numId w:val="1423"/>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处 9 万元以上 10 万元以下罚款，吊销营业执照。</w:t>
      </w:r>
    </w:p>
    <w:p>
      <w:pPr>
        <w:pStyle w:val="2"/>
        <w:spacing w:before="192"/>
        <w:rPr>
          <w:color w:val="auto"/>
        </w:rPr>
      </w:pPr>
      <w:bookmarkStart w:id="1300" w:name="_bookmark649"/>
      <w:bookmarkEnd w:id="1300"/>
      <w:bookmarkStart w:id="1301" w:name="六百三十六、棉花经营活动中掺杂掺假、以次充好、以假充真"/>
      <w:bookmarkEnd w:id="1301"/>
      <w:r>
        <w:rPr>
          <w:color w:val="auto"/>
        </w:rPr>
        <w:t>六百三十六、棉花经营活动中掺杂掺假、以次充好、以假充真</w:t>
      </w:r>
    </w:p>
    <w:p>
      <w:pPr>
        <w:spacing w:before="192"/>
        <w:ind w:left="754" w:right="0" w:firstLine="0"/>
        <w:jc w:val="left"/>
        <w:rPr>
          <w:b/>
          <w:color w:val="auto"/>
          <w:sz w:val="24"/>
        </w:rPr>
      </w:pPr>
      <w:r>
        <w:rPr>
          <w:b/>
          <w:color w:val="auto"/>
          <w:sz w:val="24"/>
        </w:rPr>
        <w:t>（一）处罚依据</w:t>
      </w:r>
    </w:p>
    <w:p>
      <w:pPr>
        <w:pStyle w:val="13"/>
        <w:numPr>
          <w:ilvl w:val="0"/>
          <w:numId w:val="1424"/>
        </w:numPr>
        <w:tabs>
          <w:tab w:val="left" w:pos="993"/>
        </w:tabs>
        <w:spacing w:before="194" w:after="0" w:line="391" w:lineRule="auto"/>
        <w:ind w:left="111" w:right="266" w:firstLine="640"/>
        <w:jc w:val="both"/>
        <w:rPr>
          <w:color w:val="auto"/>
          <w:sz w:val="24"/>
        </w:rPr>
      </w:pPr>
      <w:r>
        <w:rPr>
          <w:color w:val="auto"/>
          <w:sz w:val="24"/>
        </w:rPr>
        <w:t>《棉花质量监督管理条例》第三十条“棉花经营者违反本条例第十二条的规</w:t>
      </w:r>
      <w:r>
        <w:rPr>
          <w:color w:val="auto"/>
          <w:spacing w:val="-8"/>
          <w:sz w:val="24"/>
        </w:rPr>
        <w:t>定，在棉花经营活动中掺杂掺假、以次充好、以假充真，构成犯罪的，依法追究刑事</w:t>
      </w:r>
      <w:r>
        <w:rPr>
          <w:color w:val="auto"/>
          <w:spacing w:val="-7"/>
          <w:sz w:val="24"/>
        </w:rPr>
        <w:t xml:space="preserve">责任；尚不构成犯罪的，由棉花质量监督机构没收掺杂掺假、以次充好、以假充真的棉花和违法所得，并处违法货值金额 </w:t>
      </w:r>
      <w:r>
        <w:rPr>
          <w:color w:val="auto"/>
          <w:sz w:val="24"/>
        </w:rPr>
        <w:t>2</w:t>
      </w:r>
      <w:r>
        <w:rPr>
          <w:color w:val="auto"/>
          <w:spacing w:val="-24"/>
          <w:sz w:val="24"/>
        </w:rPr>
        <w:t xml:space="preserve"> 倍以上 </w:t>
      </w:r>
      <w:r>
        <w:rPr>
          <w:color w:val="auto"/>
          <w:sz w:val="24"/>
        </w:rPr>
        <w:t>5</w:t>
      </w:r>
      <w:r>
        <w:rPr>
          <w:color w:val="auto"/>
          <w:spacing w:val="-10"/>
          <w:sz w:val="24"/>
        </w:rPr>
        <w:t xml:space="preserve"> 倍以下的罚款，并移送工商行政管理</w:t>
      </w:r>
      <w:r>
        <w:rPr>
          <w:color w:val="auto"/>
          <w:spacing w:val="-11"/>
          <w:sz w:val="24"/>
        </w:rPr>
        <w:t>机关依法吊销营业执照。”</w:t>
      </w:r>
    </w:p>
    <w:p>
      <w:pPr>
        <w:pStyle w:val="13"/>
        <w:numPr>
          <w:ilvl w:val="0"/>
          <w:numId w:val="1424"/>
        </w:numPr>
        <w:tabs>
          <w:tab w:val="left" w:pos="993"/>
        </w:tabs>
        <w:spacing w:before="0" w:after="0" w:line="391" w:lineRule="auto"/>
        <w:ind w:left="111" w:right="146" w:firstLine="640"/>
        <w:jc w:val="left"/>
        <w:rPr>
          <w:color w:val="auto"/>
          <w:sz w:val="24"/>
        </w:rPr>
      </w:pPr>
      <w:r>
        <w:rPr>
          <w:color w:val="auto"/>
          <w:spacing w:val="-6"/>
          <w:sz w:val="24"/>
        </w:rPr>
        <w:t>《棉花质量监督管理条例》第十二条“严禁棉花经营者在收购、加工、销售、</w:t>
      </w:r>
      <w:r>
        <w:rPr>
          <w:color w:val="auto"/>
          <w:spacing w:val="-5"/>
          <w:sz w:val="24"/>
        </w:rPr>
        <w:t>承储等棉花经营活动中掺杂掺假、以次充好、以假充真。”</w:t>
      </w:r>
    </w:p>
    <w:p>
      <w:pPr>
        <w:spacing w:before="0"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425"/>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87" w:line="391" w:lineRule="auto"/>
        <w:ind w:right="268" w:firstLine="640"/>
        <w:jc w:val="both"/>
        <w:rPr>
          <w:color w:val="auto"/>
        </w:rPr>
      </w:pPr>
      <w:r>
        <w:rPr>
          <w:color w:val="auto"/>
        </w:rPr>
        <w:t>有下列情形之一的：1、初次违法经营，且产品未售出的；2、主动追回已售出产品的；3、掺入杂质为长度较短的棉纤维、掺入数量较少，对棉花品质和使用价值影响不大的 4、冒充高 1 个颜色级的棉花。</w:t>
      </w:r>
    </w:p>
    <w:p>
      <w:pPr>
        <w:pStyle w:val="13"/>
        <w:numPr>
          <w:ilvl w:val="0"/>
          <w:numId w:val="1425"/>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1"/>
        <w:ind w:left="751"/>
        <w:rPr>
          <w:color w:val="auto"/>
        </w:rPr>
      </w:pPr>
      <w:r>
        <w:rPr>
          <w:color w:val="auto"/>
        </w:rPr>
        <w:t>没收掺杂掺假、以次充好、以假充真的棉花和违法所得，处违法货值金额 2 倍</w:t>
      </w:r>
    </w:p>
    <w:p>
      <w:pPr>
        <w:spacing w:after="0"/>
        <w:rPr>
          <w:color w:val="auto"/>
        </w:rPr>
        <w:sectPr>
          <w:pgSz w:w="11910" w:h="16840"/>
          <w:pgMar w:top="1520" w:right="1260" w:bottom="1220" w:left="1420" w:header="0" w:footer="1034" w:gutter="0"/>
        </w:sectPr>
      </w:pPr>
    </w:p>
    <w:p>
      <w:pPr>
        <w:pStyle w:val="4"/>
        <w:spacing w:before="39" w:line="391" w:lineRule="auto"/>
        <w:ind w:left="751" w:right="5032" w:hanging="641"/>
        <w:rPr>
          <w:color w:val="auto"/>
        </w:rPr>
      </w:pPr>
      <w:r>
        <w:rPr>
          <w:color w:val="auto"/>
          <w:spacing w:val="-20"/>
        </w:rPr>
        <w:t xml:space="preserve">以上 </w:t>
      </w:r>
      <w:r>
        <w:rPr>
          <w:color w:val="auto"/>
        </w:rPr>
        <w:t>3</w:t>
      </w:r>
      <w:r>
        <w:rPr>
          <w:color w:val="auto"/>
          <w:spacing w:val="-9"/>
        </w:rPr>
        <w:t xml:space="preserve"> 倍以下的罚款，吊销营业执照。</w:t>
      </w:r>
      <w:r>
        <w:rPr>
          <w:color w:val="auto"/>
        </w:rPr>
        <w:t>2</w:t>
      </w:r>
      <w:r>
        <w:rPr>
          <w:color w:val="auto"/>
          <w:spacing w:val="-24"/>
        </w:rPr>
        <w:t>、【较重】</w:t>
      </w:r>
    </w:p>
    <w:p>
      <w:pPr>
        <w:pStyle w:val="13"/>
        <w:numPr>
          <w:ilvl w:val="0"/>
          <w:numId w:val="1426"/>
        </w:numPr>
        <w:tabs>
          <w:tab w:val="left" w:pos="1193"/>
        </w:tabs>
        <w:spacing w:before="0" w:after="0" w:line="306" w:lineRule="exact"/>
        <w:ind w:left="1192" w:right="0" w:hanging="602"/>
        <w:jc w:val="left"/>
        <w:rPr>
          <w:color w:val="auto"/>
          <w:sz w:val="24"/>
        </w:rPr>
      </w:pPr>
      <w:r>
        <w:rPr>
          <w:color w:val="auto"/>
          <w:sz w:val="24"/>
        </w:rPr>
        <w:t>违法情形</w:t>
      </w:r>
    </w:p>
    <w:p>
      <w:pPr>
        <w:pStyle w:val="4"/>
        <w:spacing w:before="192" w:line="391" w:lineRule="auto"/>
        <w:ind w:right="193" w:firstLine="640"/>
        <w:rPr>
          <w:color w:val="auto"/>
        </w:rPr>
      </w:pPr>
      <w:r>
        <w:rPr>
          <w:color w:val="auto"/>
        </w:rPr>
        <w:t>有下列情形之一的：1、掺入杂质后严重影响了棉花使用；2、冒充高 2 个颜色级以上棉花的；3、以非棉纤维冒充棉花的。</w:t>
      </w:r>
    </w:p>
    <w:p>
      <w:pPr>
        <w:pStyle w:val="13"/>
        <w:numPr>
          <w:ilvl w:val="0"/>
          <w:numId w:val="142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751"/>
        <w:rPr>
          <w:color w:val="auto"/>
        </w:rPr>
      </w:pPr>
      <w:r>
        <w:rPr>
          <w:color w:val="auto"/>
        </w:rPr>
        <w:t>没收掺杂掺假、以次充好、以假充真的棉花和违法所得，处违法货值金额 3 倍</w:t>
      </w:r>
    </w:p>
    <w:p>
      <w:pPr>
        <w:pStyle w:val="4"/>
        <w:spacing w:before="194" w:line="388" w:lineRule="auto"/>
        <w:ind w:left="751" w:right="5032" w:hanging="641"/>
        <w:rPr>
          <w:color w:val="auto"/>
        </w:rPr>
      </w:pPr>
      <w:r>
        <w:rPr>
          <w:color w:val="auto"/>
          <w:spacing w:val="-20"/>
        </w:rPr>
        <w:t xml:space="preserve">以上 </w:t>
      </w:r>
      <w:r>
        <w:rPr>
          <w:color w:val="auto"/>
        </w:rPr>
        <w:t>4</w:t>
      </w:r>
      <w:r>
        <w:rPr>
          <w:color w:val="auto"/>
          <w:spacing w:val="-9"/>
        </w:rPr>
        <w:t xml:space="preserve"> 倍以下的罚款，吊销营业执照。</w:t>
      </w:r>
      <w:r>
        <w:rPr>
          <w:color w:val="auto"/>
        </w:rPr>
        <w:t>3</w:t>
      </w:r>
      <w:r>
        <w:rPr>
          <w:color w:val="auto"/>
          <w:spacing w:val="-24"/>
        </w:rPr>
        <w:t>、【严重】</w:t>
      </w:r>
    </w:p>
    <w:p>
      <w:pPr>
        <w:pStyle w:val="13"/>
        <w:numPr>
          <w:ilvl w:val="0"/>
          <w:numId w:val="1427"/>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71" w:firstLine="640"/>
        <w:rPr>
          <w:color w:val="auto"/>
        </w:rPr>
      </w:pPr>
      <w:r>
        <w:rPr>
          <w:color w:val="auto"/>
        </w:rPr>
        <w:t>有下列情形之一的：1、掺入杂质为有毒、有害物质的；2、造成严重后果或者造成较大社会影响的。</w:t>
      </w:r>
    </w:p>
    <w:p>
      <w:pPr>
        <w:pStyle w:val="13"/>
        <w:numPr>
          <w:ilvl w:val="0"/>
          <w:numId w:val="142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751"/>
        <w:rPr>
          <w:color w:val="auto"/>
        </w:rPr>
      </w:pPr>
      <w:r>
        <w:rPr>
          <w:color w:val="auto"/>
        </w:rPr>
        <w:t>没收掺杂掺假、以次充好、以假充真的棉花和违法所得，处违法货值金额 4 倍</w:t>
      </w:r>
    </w:p>
    <w:p>
      <w:pPr>
        <w:pStyle w:val="4"/>
        <w:spacing w:before="192"/>
        <w:rPr>
          <w:color w:val="auto"/>
        </w:rPr>
      </w:pPr>
      <w:r>
        <w:rPr>
          <w:color w:val="auto"/>
        </w:rPr>
        <w:t>以上 5 倍以下的罚款，吊销营业执照。</w:t>
      </w:r>
    </w:p>
    <w:p>
      <w:pPr>
        <w:pStyle w:val="2"/>
        <w:spacing w:before="192"/>
        <w:rPr>
          <w:color w:val="auto"/>
        </w:rPr>
      </w:pPr>
      <w:bookmarkStart w:id="1302" w:name="_bookmark650"/>
      <w:bookmarkEnd w:id="1302"/>
      <w:bookmarkStart w:id="1303" w:name="六百三十七、毛绒纤维经营者在经营活动中掺杂掺假、以假充真、以次充好"/>
      <w:bookmarkEnd w:id="1303"/>
      <w:r>
        <w:rPr>
          <w:color w:val="auto"/>
        </w:rPr>
        <w:t>六百三十七、毛绒纤维经营者在经营活动中掺杂掺假、以假充真、以次充好</w:t>
      </w:r>
    </w:p>
    <w:p>
      <w:pPr>
        <w:spacing w:before="194"/>
        <w:ind w:left="754" w:right="0" w:firstLine="0"/>
        <w:jc w:val="left"/>
        <w:rPr>
          <w:b/>
          <w:color w:val="auto"/>
          <w:sz w:val="24"/>
        </w:rPr>
      </w:pPr>
      <w:r>
        <w:rPr>
          <w:b/>
          <w:color w:val="auto"/>
          <w:sz w:val="24"/>
        </w:rPr>
        <w:t>（一）处罚依据</w:t>
      </w:r>
    </w:p>
    <w:p>
      <w:pPr>
        <w:pStyle w:val="4"/>
        <w:spacing w:before="192" w:line="391" w:lineRule="auto"/>
        <w:ind w:right="232" w:firstLine="626"/>
        <w:jc w:val="both"/>
        <w:rPr>
          <w:color w:val="auto"/>
        </w:rPr>
      </w:pPr>
      <w:r>
        <w:rPr>
          <w:color w:val="auto"/>
        </w:rPr>
        <w:t>《毛绒纤维质量监督管理办法》第十九条第一款“毛绒纤维经营者违反本办法</w:t>
      </w:r>
      <w:r>
        <w:rPr>
          <w:color w:val="auto"/>
          <w:spacing w:val="-5"/>
        </w:rPr>
        <w:t>第四条规定，在毛绒纤维经营活动中掺杂掺假、以假充真、以次充好构成犯罪的，依</w:t>
      </w:r>
      <w:r>
        <w:rPr>
          <w:color w:val="auto"/>
          <w:spacing w:val="-6"/>
        </w:rPr>
        <w:t>法追究刑事责任；尚不构成犯罪的，由纤维质量监督机构没收掺杂掺假、以假充真、</w:t>
      </w:r>
      <w:r>
        <w:rPr>
          <w:color w:val="auto"/>
          <w:spacing w:val="-5"/>
        </w:rPr>
        <w:t xml:space="preserve">以次充好的毛绒纤维和违法所得，并处违法货值金额 </w:t>
      </w:r>
      <w:r>
        <w:rPr>
          <w:color w:val="auto"/>
        </w:rPr>
        <w:t>2</w:t>
      </w:r>
      <w:r>
        <w:rPr>
          <w:color w:val="auto"/>
          <w:spacing w:val="-24"/>
        </w:rPr>
        <w:t xml:space="preserve"> 倍以上 </w:t>
      </w:r>
      <w:r>
        <w:rPr>
          <w:color w:val="auto"/>
        </w:rPr>
        <w:t>5</w:t>
      </w:r>
      <w:r>
        <w:rPr>
          <w:color w:val="auto"/>
          <w:spacing w:val="-9"/>
        </w:rPr>
        <w:t xml:space="preserve"> 倍以下的罚款；建议</w:t>
      </w:r>
      <w:r>
        <w:rPr>
          <w:color w:val="auto"/>
          <w:spacing w:val="-16"/>
        </w:rPr>
        <w:t>工商行政管理机关吊销营业执照。”</w:t>
      </w:r>
    </w:p>
    <w:p>
      <w:pPr>
        <w:spacing w:before="0"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1"/>
          <w:numId w:val="1427"/>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0"/>
        <w:ind w:left="751"/>
        <w:rPr>
          <w:color w:val="auto"/>
        </w:rPr>
      </w:pPr>
      <w:r>
        <w:rPr>
          <w:color w:val="auto"/>
        </w:rPr>
        <w:t>产品尚未销售的，或者违法货值金额较小的。</w:t>
      </w:r>
    </w:p>
    <w:p>
      <w:pPr>
        <w:pStyle w:val="13"/>
        <w:numPr>
          <w:ilvl w:val="1"/>
          <w:numId w:val="142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没收掺杂掺假、以假充真、以次充好的毛绒纤维和违法所得，并处违法货值金</w:t>
      </w:r>
    </w:p>
    <w:p>
      <w:pPr>
        <w:spacing w:after="0"/>
        <w:rPr>
          <w:color w:val="auto"/>
        </w:rPr>
        <w:sectPr>
          <w:pgSz w:w="11910" w:h="16840"/>
          <w:pgMar w:top="1520" w:right="1260" w:bottom="1220" w:left="1420" w:header="0" w:footer="1034" w:gutter="0"/>
        </w:sectPr>
      </w:pPr>
    </w:p>
    <w:p>
      <w:pPr>
        <w:pStyle w:val="4"/>
        <w:spacing w:before="39" w:line="391" w:lineRule="auto"/>
        <w:ind w:left="751" w:right="4312" w:hanging="641"/>
        <w:rPr>
          <w:color w:val="auto"/>
        </w:rPr>
      </w:pPr>
      <w:r>
        <w:rPr>
          <w:color w:val="auto"/>
          <w:spacing w:val="-30"/>
        </w:rPr>
        <w:t xml:space="preserve">额 </w:t>
      </w:r>
      <w:r>
        <w:rPr>
          <w:color w:val="auto"/>
        </w:rPr>
        <w:t>2</w:t>
      </w:r>
      <w:r>
        <w:rPr>
          <w:color w:val="auto"/>
          <w:spacing w:val="-24"/>
        </w:rPr>
        <w:t xml:space="preserve"> 倍以上 </w:t>
      </w:r>
      <w:r>
        <w:rPr>
          <w:color w:val="auto"/>
        </w:rPr>
        <w:t>3</w:t>
      </w:r>
      <w:r>
        <w:rPr>
          <w:color w:val="auto"/>
          <w:spacing w:val="-9"/>
        </w:rPr>
        <w:t xml:space="preserve"> 倍以下的罚款，吊销营业执照。</w:t>
      </w:r>
      <w:r>
        <w:rPr>
          <w:color w:val="auto"/>
        </w:rPr>
        <w:t>2</w:t>
      </w:r>
      <w:r>
        <w:rPr>
          <w:color w:val="auto"/>
          <w:spacing w:val="-24"/>
        </w:rPr>
        <w:t>、【较重】</w:t>
      </w:r>
    </w:p>
    <w:p>
      <w:pPr>
        <w:pStyle w:val="13"/>
        <w:numPr>
          <w:ilvl w:val="0"/>
          <w:numId w:val="142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148" w:firstLine="640"/>
        <w:rPr>
          <w:color w:val="auto"/>
        </w:rPr>
      </w:pPr>
      <w:r>
        <w:rPr>
          <w:color w:val="auto"/>
          <w:spacing w:val="-2"/>
        </w:rPr>
        <w:t>有下列情形之一的：</w:t>
      </w:r>
      <w:r>
        <w:rPr>
          <w:color w:val="auto"/>
          <w:spacing w:val="-14"/>
        </w:rPr>
        <w:t>1</w:t>
      </w:r>
      <w:r>
        <w:rPr>
          <w:color w:val="auto"/>
          <w:spacing w:val="-8"/>
        </w:rPr>
        <w:t>、掺杂掺假的杂质系无毒无害物质，对产品使用性能影响</w:t>
      </w:r>
      <w:r>
        <w:rPr>
          <w:color w:val="auto"/>
          <w:spacing w:val="-7"/>
        </w:rPr>
        <w:t>不大，且已经销售的。</w:t>
      </w:r>
      <w:r>
        <w:rPr>
          <w:color w:val="auto"/>
        </w:rPr>
        <w:t>2</w:t>
      </w:r>
      <w:r>
        <w:rPr>
          <w:color w:val="auto"/>
          <w:spacing w:val="-4"/>
        </w:rPr>
        <w:t>、以低档次产品冒充相近等级和档次的产品的且已经销售的。</w:t>
      </w:r>
    </w:p>
    <w:p>
      <w:pPr>
        <w:pStyle w:val="13"/>
        <w:numPr>
          <w:ilvl w:val="0"/>
          <w:numId w:val="1428"/>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line="391" w:lineRule="auto"/>
        <w:ind w:right="268" w:firstLine="640"/>
        <w:rPr>
          <w:color w:val="auto"/>
        </w:rPr>
      </w:pPr>
      <w:r>
        <w:rPr>
          <w:color w:val="auto"/>
        </w:rPr>
        <w:t>没收掺杂掺假、以假充真、以次充好的毛绒纤维和违法所得，并处违法货值金额 3 倍以上 4 倍以下的罚款，吊销营业执照。</w:t>
      </w:r>
    </w:p>
    <w:p>
      <w:pPr>
        <w:pStyle w:val="4"/>
        <w:spacing w:line="306" w:lineRule="exact"/>
        <w:ind w:left="751"/>
        <w:rPr>
          <w:color w:val="auto"/>
        </w:rPr>
      </w:pPr>
      <w:r>
        <w:rPr>
          <w:color w:val="auto"/>
        </w:rPr>
        <w:t>3、【严重】</w:t>
      </w:r>
    </w:p>
    <w:p>
      <w:pPr>
        <w:pStyle w:val="13"/>
        <w:numPr>
          <w:ilvl w:val="0"/>
          <w:numId w:val="1429"/>
        </w:numPr>
        <w:tabs>
          <w:tab w:val="left" w:pos="1353"/>
        </w:tabs>
        <w:spacing w:before="192" w:after="0" w:line="240" w:lineRule="auto"/>
        <w:ind w:left="1353" w:right="0" w:hanging="602"/>
        <w:jc w:val="left"/>
        <w:rPr>
          <w:color w:val="auto"/>
          <w:sz w:val="24"/>
        </w:rPr>
      </w:pPr>
      <w:r>
        <w:rPr>
          <w:color w:val="auto"/>
          <w:sz w:val="24"/>
        </w:rPr>
        <w:t>违法情形</w:t>
      </w:r>
    </w:p>
    <w:p>
      <w:pPr>
        <w:pStyle w:val="4"/>
        <w:spacing w:before="194" w:line="388" w:lineRule="auto"/>
        <w:ind w:right="271" w:firstLine="640"/>
        <w:rPr>
          <w:color w:val="auto"/>
        </w:rPr>
      </w:pPr>
      <w:r>
        <w:rPr>
          <w:color w:val="auto"/>
        </w:rPr>
        <w:t>有下列情形之一的：1、掺入杂质含有毒有害物质，严重影响产品使用的；2、造成较大危害后果的，或者造成较大社会影响的。</w:t>
      </w:r>
    </w:p>
    <w:p>
      <w:pPr>
        <w:pStyle w:val="13"/>
        <w:numPr>
          <w:ilvl w:val="0"/>
          <w:numId w:val="1429"/>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line="388" w:lineRule="auto"/>
        <w:ind w:right="268" w:firstLine="640"/>
        <w:rPr>
          <w:color w:val="auto"/>
        </w:rPr>
      </w:pPr>
      <w:r>
        <w:rPr>
          <w:color w:val="auto"/>
        </w:rPr>
        <w:t>没收掺杂掺假、以假充真、以次充好的毛绒纤维和违法所得，并处违法货值金额 4 倍以上 5 倍以下的罚款；吊销营业执照。</w:t>
      </w:r>
    </w:p>
    <w:p>
      <w:pPr>
        <w:pStyle w:val="2"/>
        <w:spacing w:before="2" w:line="391" w:lineRule="auto"/>
        <w:ind w:left="111" w:right="193" w:firstLine="480"/>
        <w:rPr>
          <w:color w:val="auto"/>
        </w:rPr>
      </w:pPr>
      <w:bookmarkStart w:id="1304" w:name="六百三十八、毛绒纤维经营者收购毛绒纤维，未按照国家标准、技术规范真实确定所收购毛"/>
      <w:bookmarkEnd w:id="1304"/>
      <w:bookmarkStart w:id="1305" w:name="_bookmark651"/>
      <w:bookmarkEnd w:id="1305"/>
      <w:r>
        <w:rPr>
          <w:color w:val="auto"/>
        </w:rPr>
        <w:t>六百三十八、毛绒纤维经营者收购毛绒纤维，未按照国家标准、技术规范真实确定所收购毛绒纤维的类别、等级、重量</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6" w:firstLine="626"/>
        <w:jc w:val="both"/>
        <w:rPr>
          <w:color w:val="auto"/>
        </w:rPr>
      </w:pPr>
      <w:r>
        <w:rPr>
          <w:color w:val="auto"/>
        </w:rPr>
        <w:t>1</w:t>
      </w:r>
      <w:r>
        <w:rPr>
          <w:color w:val="auto"/>
          <w:spacing w:val="-12"/>
        </w:rPr>
        <w:t>、《毛绒纤维质量监督管理办法》第二十条“毛绒纤维经营者在收购毛绒纤维</w:t>
      </w:r>
      <w:r>
        <w:rPr>
          <w:color w:val="auto"/>
          <w:spacing w:val="-7"/>
        </w:rPr>
        <w:t>活动中，违反本办法第十四条第</w:t>
      </w:r>
      <w:r>
        <w:rPr>
          <w:color w:val="auto"/>
        </w:rPr>
        <w:t>（一</w:t>
      </w:r>
      <w:r>
        <w:rPr>
          <w:color w:val="auto"/>
          <w:spacing w:val="-8"/>
        </w:rPr>
        <w:t>）</w:t>
      </w:r>
      <w:r>
        <w:rPr>
          <w:color w:val="auto"/>
          <w:spacing w:val="-3"/>
        </w:rPr>
        <w:t>至第</w:t>
      </w:r>
      <w:r>
        <w:rPr>
          <w:color w:val="auto"/>
        </w:rPr>
        <w:t>（四</w:t>
      </w:r>
      <w:r>
        <w:rPr>
          <w:color w:val="auto"/>
          <w:spacing w:val="-8"/>
        </w:rPr>
        <w:t>）</w:t>
      </w:r>
      <w:r>
        <w:rPr>
          <w:color w:val="auto"/>
          <w:spacing w:val="-2"/>
        </w:rPr>
        <w:t>项规定的，由纤维质量监督机构责</w:t>
      </w:r>
      <w:r>
        <w:rPr>
          <w:color w:val="auto"/>
          <w:spacing w:val="-10"/>
        </w:rPr>
        <w:t xml:space="preserve">令改正，可以处 </w:t>
      </w:r>
      <w:r>
        <w:rPr>
          <w:color w:val="auto"/>
        </w:rPr>
        <w:t>3</w:t>
      </w:r>
      <w:r>
        <w:rPr>
          <w:color w:val="auto"/>
          <w:spacing w:val="-8"/>
        </w:rPr>
        <w:t xml:space="preserve"> 万元以下的罚款；违反本办法第十四条第</w:t>
      </w:r>
      <w:r>
        <w:rPr>
          <w:color w:val="auto"/>
        </w:rPr>
        <w:t>（五</w:t>
      </w:r>
      <w:r>
        <w:rPr>
          <w:color w:val="auto"/>
          <w:spacing w:val="-8"/>
        </w:rPr>
        <w:t>）</w:t>
      </w:r>
      <w:r>
        <w:rPr>
          <w:color w:val="auto"/>
          <w:spacing w:val="-4"/>
        </w:rPr>
        <w:t>项规定的，由纤维</w:t>
      </w:r>
    </w:p>
    <w:p>
      <w:pPr>
        <w:pStyle w:val="4"/>
        <w:spacing w:line="304" w:lineRule="exact"/>
        <w:jc w:val="both"/>
        <w:rPr>
          <w:color w:val="auto"/>
        </w:rPr>
      </w:pPr>
      <w:r>
        <w:rPr>
          <w:color w:val="auto"/>
        </w:rPr>
        <w:t>质量监督机构责令改正，拒不改正的，处以 3 万元以下罚款。”</w:t>
      </w:r>
    </w:p>
    <w:p>
      <w:pPr>
        <w:pStyle w:val="4"/>
        <w:spacing w:before="194" w:line="388" w:lineRule="auto"/>
        <w:ind w:right="268" w:firstLine="626"/>
        <w:jc w:val="both"/>
        <w:rPr>
          <w:color w:val="auto"/>
        </w:rPr>
      </w:pPr>
      <w:r>
        <w:rPr>
          <w:color w:val="auto"/>
        </w:rPr>
        <w:t>2</w:t>
      </w:r>
      <w:r>
        <w:rPr>
          <w:color w:val="auto"/>
          <w:spacing w:val="-12"/>
        </w:rPr>
        <w:t>、《毛绒纤维质量监督管理办法》第十四条第</w:t>
      </w:r>
      <w:r>
        <w:rPr>
          <w:color w:val="auto"/>
        </w:rPr>
        <w:t>（一）项“毛绒纤维经营者收购</w:t>
      </w:r>
      <w:r>
        <w:rPr>
          <w:color w:val="auto"/>
          <w:spacing w:val="-7"/>
        </w:rPr>
        <w:t>毛绒纤维，应当符合下列要求：(一)按照国家标准、技术规范真实确定所收购毛绒纤</w:t>
      </w:r>
      <w:r>
        <w:rPr>
          <w:color w:val="auto"/>
          <w:spacing w:val="-11"/>
        </w:rPr>
        <w:t>维的类别、等级、重量。”</w:t>
      </w:r>
    </w:p>
    <w:p>
      <w:pPr>
        <w:spacing w:before="5"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30"/>
        </w:numPr>
        <w:tabs>
          <w:tab w:val="left" w:pos="1353"/>
        </w:tabs>
        <w:spacing w:before="2" w:after="0" w:line="240" w:lineRule="auto"/>
        <w:ind w:left="1353"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751"/>
        <w:rPr>
          <w:color w:val="auto"/>
        </w:rPr>
      </w:pPr>
      <w:r>
        <w:rPr>
          <w:color w:val="auto"/>
        </w:rPr>
        <w:t>初次违法的，检查后及时改正违法行为的。</w:t>
      </w:r>
    </w:p>
    <w:p>
      <w:pPr>
        <w:pStyle w:val="13"/>
        <w:numPr>
          <w:ilvl w:val="0"/>
          <w:numId w:val="1430"/>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6313"/>
        <w:rPr>
          <w:color w:val="auto"/>
        </w:rPr>
      </w:pPr>
      <w:r>
        <w:rPr>
          <w:color w:val="auto"/>
          <w:spacing w:val="-30"/>
        </w:rPr>
        <w:t xml:space="preserve">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431"/>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再次违法，检查后及时改正违法行为的。</w:t>
      </w:r>
    </w:p>
    <w:p>
      <w:pPr>
        <w:pStyle w:val="13"/>
        <w:numPr>
          <w:ilvl w:val="0"/>
          <w:numId w:val="1431"/>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left="751" w:right="5113"/>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432"/>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5" w:line="388" w:lineRule="auto"/>
        <w:ind w:right="271" w:firstLine="640"/>
        <w:rPr>
          <w:color w:val="auto"/>
        </w:rPr>
      </w:pPr>
      <w:r>
        <w:rPr>
          <w:color w:val="auto"/>
        </w:rPr>
        <w:t>有下列情形之一的：1、经责令改正，拒不改正的；2、两年内再次出现相同违法行为的。</w:t>
      </w:r>
    </w:p>
    <w:p>
      <w:pPr>
        <w:pStyle w:val="13"/>
        <w:numPr>
          <w:ilvl w:val="0"/>
          <w:numId w:val="1432"/>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处 2 万元以上 3 万元以下罚款。</w:t>
      </w:r>
    </w:p>
    <w:p>
      <w:pPr>
        <w:pStyle w:val="2"/>
        <w:spacing w:before="191" w:line="388" w:lineRule="auto"/>
        <w:ind w:left="111" w:right="170" w:firstLine="480"/>
        <w:rPr>
          <w:color w:val="auto"/>
        </w:rPr>
      </w:pPr>
      <w:bookmarkStart w:id="1306" w:name="_bookmark652"/>
      <w:bookmarkEnd w:id="1306"/>
      <w:bookmarkStart w:id="1307" w:name="六百三十九、毛绒纤维经营者收购毛绒纤维，未按照国家标准、技术规范挑拣、排除导致质"/>
      <w:bookmarkEnd w:id="1307"/>
      <w:r>
        <w:rPr>
          <w:color w:val="auto"/>
        </w:rPr>
        <w:t>六百三十九、毛绒纤维经营者收购毛绒纤维，未按照国家标准、技术规范挑拣、排除导致质量下降的异性纤维及其他非毛绒纤维物质</w:t>
      </w:r>
    </w:p>
    <w:p>
      <w:pPr>
        <w:spacing w:before="5"/>
        <w:ind w:left="754" w:right="0" w:firstLine="0"/>
        <w:jc w:val="left"/>
        <w:rPr>
          <w:b/>
          <w:color w:val="auto"/>
          <w:sz w:val="24"/>
        </w:rPr>
      </w:pPr>
      <w:r>
        <w:rPr>
          <w:b/>
          <w:color w:val="auto"/>
          <w:sz w:val="24"/>
        </w:rPr>
        <w:t>（一）处罚依据</w:t>
      </w:r>
    </w:p>
    <w:p>
      <w:pPr>
        <w:pStyle w:val="4"/>
        <w:spacing w:before="192" w:line="391" w:lineRule="auto"/>
        <w:ind w:right="266" w:firstLine="626"/>
        <w:jc w:val="both"/>
        <w:rPr>
          <w:color w:val="auto"/>
        </w:rPr>
      </w:pPr>
      <w:r>
        <w:rPr>
          <w:color w:val="auto"/>
        </w:rPr>
        <w:t>1</w:t>
      </w:r>
      <w:r>
        <w:rPr>
          <w:color w:val="auto"/>
          <w:spacing w:val="-12"/>
        </w:rPr>
        <w:t>、《毛绒纤维质量监督管理办法》第二十条“毛绒纤维经营者在收购毛绒纤维</w:t>
      </w:r>
      <w:r>
        <w:rPr>
          <w:color w:val="auto"/>
          <w:spacing w:val="-7"/>
        </w:rPr>
        <w:t>活动中，违反本办法第十四条第</w:t>
      </w:r>
      <w:r>
        <w:rPr>
          <w:color w:val="auto"/>
        </w:rPr>
        <w:t>（一</w:t>
      </w:r>
      <w:r>
        <w:rPr>
          <w:color w:val="auto"/>
          <w:spacing w:val="-8"/>
        </w:rPr>
        <w:t>）</w:t>
      </w:r>
      <w:r>
        <w:rPr>
          <w:color w:val="auto"/>
          <w:spacing w:val="-3"/>
        </w:rPr>
        <w:t>至第</w:t>
      </w:r>
      <w:r>
        <w:rPr>
          <w:color w:val="auto"/>
        </w:rPr>
        <w:t>（四</w:t>
      </w:r>
      <w:r>
        <w:rPr>
          <w:color w:val="auto"/>
          <w:spacing w:val="-8"/>
        </w:rPr>
        <w:t>）</w:t>
      </w:r>
      <w:r>
        <w:rPr>
          <w:color w:val="auto"/>
          <w:spacing w:val="-2"/>
        </w:rPr>
        <w:t>项规定的，由纤维质量监督机构责</w:t>
      </w:r>
      <w:r>
        <w:rPr>
          <w:color w:val="auto"/>
          <w:spacing w:val="-10"/>
        </w:rPr>
        <w:t xml:space="preserve">令改正，可以处 </w:t>
      </w:r>
      <w:r>
        <w:rPr>
          <w:color w:val="auto"/>
        </w:rPr>
        <w:t>3</w:t>
      </w:r>
      <w:r>
        <w:rPr>
          <w:color w:val="auto"/>
          <w:spacing w:val="-8"/>
        </w:rPr>
        <w:t xml:space="preserve"> 万元以下的罚款；违反本办法第十四条第</w:t>
      </w:r>
      <w:r>
        <w:rPr>
          <w:color w:val="auto"/>
        </w:rPr>
        <w:t>（五</w:t>
      </w:r>
      <w:r>
        <w:rPr>
          <w:color w:val="auto"/>
          <w:spacing w:val="-8"/>
        </w:rPr>
        <w:t>）</w:t>
      </w:r>
      <w:r>
        <w:rPr>
          <w:color w:val="auto"/>
          <w:spacing w:val="-4"/>
        </w:rPr>
        <w:t>项规定的，由纤维</w:t>
      </w:r>
    </w:p>
    <w:p>
      <w:pPr>
        <w:pStyle w:val="4"/>
        <w:spacing w:line="304" w:lineRule="exact"/>
        <w:jc w:val="both"/>
        <w:rPr>
          <w:color w:val="auto"/>
        </w:rPr>
      </w:pPr>
      <w:r>
        <w:rPr>
          <w:color w:val="auto"/>
        </w:rPr>
        <w:t>质量监督机构责令改正，拒不改正的，处以 3 万元以下罚款。”</w:t>
      </w:r>
    </w:p>
    <w:p>
      <w:pPr>
        <w:pStyle w:val="4"/>
        <w:spacing w:before="191" w:line="391" w:lineRule="auto"/>
        <w:ind w:right="268" w:firstLine="626"/>
        <w:jc w:val="both"/>
        <w:rPr>
          <w:color w:val="auto"/>
        </w:rPr>
      </w:pPr>
      <w:r>
        <w:rPr>
          <w:color w:val="auto"/>
        </w:rPr>
        <w:t>2</w:t>
      </w:r>
      <w:r>
        <w:rPr>
          <w:color w:val="auto"/>
          <w:spacing w:val="-12"/>
        </w:rPr>
        <w:t>、《毛绒纤维质量监督管理办法》第十四条第</w:t>
      </w:r>
      <w:r>
        <w:rPr>
          <w:color w:val="auto"/>
        </w:rPr>
        <w:t>（二）项“毛绒纤维经营者收购</w:t>
      </w:r>
      <w:r>
        <w:rPr>
          <w:color w:val="auto"/>
          <w:spacing w:val="-7"/>
        </w:rPr>
        <w:t>毛绒纤维，应当符合下列要求：(二)按照国家标准、技术规范挑拣、排除导致质量下</w:t>
      </w:r>
      <w:r>
        <w:rPr>
          <w:color w:val="auto"/>
          <w:spacing w:val="-8"/>
        </w:rPr>
        <w:t>降的异性纤维及其他非毛绒纤维物质。”</w:t>
      </w:r>
    </w:p>
    <w:p>
      <w:pPr>
        <w:spacing w:before="0"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43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8"/>
        <w:ind w:left="751"/>
        <w:rPr>
          <w:color w:val="auto"/>
        </w:rPr>
      </w:pPr>
      <w:r>
        <w:rPr>
          <w:color w:val="auto"/>
        </w:rPr>
        <w:t>初次违法，货值金额不足 5 万元的。</w:t>
      </w:r>
    </w:p>
    <w:p>
      <w:pPr>
        <w:spacing w:after="0"/>
        <w:rPr>
          <w:color w:val="auto"/>
        </w:rPr>
        <w:sectPr>
          <w:pgSz w:w="11910" w:h="16840"/>
          <w:pgMar w:top="1520" w:right="1260" w:bottom="1220" w:left="1420" w:header="0" w:footer="1034" w:gutter="0"/>
        </w:sectPr>
      </w:pPr>
    </w:p>
    <w:p>
      <w:pPr>
        <w:pStyle w:val="13"/>
        <w:numPr>
          <w:ilvl w:val="0"/>
          <w:numId w:val="1433"/>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line="388" w:lineRule="auto"/>
        <w:ind w:left="751" w:right="6313"/>
        <w:rPr>
          <w:color w:val="auto"/>
        </w:rPr>
      </w:pPr>
      <w:r>
        <w:rPr>
          <w:color w:val="auto"/>
          <w:spacing w:val="-30"/>
        </w:rPr>
        <w:t xml:space="preserve">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434"/>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 5 万元以上 20 万元以下的。</w:t>
      </w:r>
    </w:p>
    <w:p>
      <w:pPr>
        <w:pStyle w:val="13"/>
        <w:numPr>
          <w:ilvl w:val="0"/>
          <w:numId w:val="1434"/>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5113"/>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43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两年内再次出现相同违法行为的，或者货值金额 20 万元以上的。</w:t>
      </w:r>
    </w:p>
    <w:p>
      <w:pPr>
        <w:pStyle w:val="13"/>
        <w:numPr>
          <w:ilvl w:val="0"/>
          <w:numId w:val="1435"/>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处 2 万元以上 3 万元以下罚款。</w:t>
      </w:r>
    </w:p>
    <w:p>
      <w:pPr>
        <w:pStyle w:val="2"/>
        <w:spacing w:before="191" w:line="391" w:lineRule="auto"/>
        <w:ind w:left="111" w:right="237" w:firstLine="480"/>
        <w:rPr>
          <w:color w:val="auto"/>
        </w:rPr>
      </w:pPr>
      <w:bookmarkStart w:id="1308" w:name="_bookmark653"/>
      <w:bookmarkEnd w:id="1308"/>
      <w:bookmarkStart w:id="1309" w:name="六百四十、毛绒纤维经营者对收购的水分含量超过国家标准规定的毛绒纤维，未进行晾晒、"/>
      <w:bookmarkEnd w:id="1309"/>
      <w:r>
        <w:rPr>
          <w:color w:val="auto"/>
          <w:spacing w:val="-7"/>
        </w:rPr>
        <w:t>六百四十、毛绒纤维经营者对收购的水分含量超过国家标准规定的毛绒纤维，未进行晾晒、烘干等技术处理</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6" w:firstLine="626"/>
        <w:jc w:val="both"/>
        <w:rPr>
          <w:color w:val="auto"/>
        </w:rPr>
      </w:pPr>
      <w:r>
        <w:rPr>
          <w:color w:val="auto"/>
        </w:rPr>
        <w:t>1</w:t>
      </w:r>
      <w:r>
        <w:rPr>
          <w:color w:val="auto"/>
          <w:spacing w:val="-12"/>
        </w:rPr>
        <w:t>、《毛绒纤维质量监督管理办法》第二十条“毛绒纤维经营者在收购毛绒纤维</w:t>
      </w:r>
      <w:r>
        <w:rPr>
          <w:color w:val="auto"/>
          <w:spacing w:val="-7"/>
        </w:rPr>
        <w:t>活动中，违反本办法第十四条第</w:t>
      </w:r>
      <w:r>
        <w:rPr>
          <w:color w:val="auto"/>
        </w:rPr>
        <w:t>（一</w:t>
      </w:r>
      <w:r>
        <w:rPr>
          <w:color w:val="auto"/>
          <w:spacing w:val="-8"/>
        </w:rPr>
        <w:t>）</w:t>
      </w:r>
      <w:r>
        <w:rPr>
          <w:color w:val="auto"/>
          <w:spacing w:val="-3"/>
        </w:rPr>
        <w:t>至第</w:t>
      </w:r>
      <w:r>
        <w:rPr>
          <w:color w:val="auto"/>
        </w:rPr>
        <w:t>（四</w:t>
      </w:r>
      <w:r>
        <w:rPr>
          <w:color w:val="auto"/>
          <w:spacing w:val="-8"/>
        </w:rPr>
        <w:t>）</w:t>
      </w:r>
      <w:r>
        <w:rPr>
          <w:color w:val="auto"/>
          <w:spacing w:val="-2"/>
        </w:rPr>
        <w:t>项规定的，由纤维质量监督机构责</w:t>
      </w:r>
      <w:r>
        <w:rPr>
          <w:color w:val="auto"/>
          <w:spacing w:val="-10"/>
        </w:rPr>
        <w:t xml:space="preserve">令改正，可以处 </w:t>
      </w:r>
      <w:r>
        <w:rPr>
          <w:color w:val="auto"/>
        </w:rPr>
        <w:t>3</w:t>
      </w:r>
      <w:r>
        <w:rPr>
          <w:color w:val="auto"/>
          <w:spacing w:val="-8"/>
        </w:rPr>
        <w:t xml:space="preserve"> 万元以下的罚款；违反本办法第十四条第</w:t>
      </w:r>
      <w:r>
        <w:rPr>
          <w:color w:val="auto"/>
        </w:rPr>
        <w:t>（五</w:t>
      </w:r>
      <w:r>
        <w:rPr>
          <w:color w:val="auto"/>
          <w:spacing w:val="-8"/>
        </w:rPr>
        <w:t>）</w:t>
      </w:r>
      <w:r>
        <w:rPr>
          <w:color w:val="auto"/>
          <w:spacing w:val="-4"/>
        </w:rPr>
        <w:t>项规定的，由纤维</w:t>
      </w:r>
    </w:p>
    <w:p>
      <w:pPr>
        <w:pStyle w:val="4"/>
        <w:spacing w:line="304" w:lineRule="exact"/>
        <w:jc w:val="both"/>
        <w:rPr>
          <w:color w:val="auto"/>
        </w:rPr>
      </w:pPr>
      <w:r>
        <w:rPr>
          <w:color w:val="auto"/>
        </w:rPr>
        <w:t>质量监督机构责令改正，拒不改正的，处以 3 万元以下罚款。”</w:t>
      </w:r>
    </w:p>
    <w:p>
      <w:pPr>
        <w:pStyle w:val="4"/>
        <w:spacing w:before="194" w:line="388" w:lineRule="auto"/>
        <w:ind w:right="268" w:firstLine="626"/>
        <w:jc w:val="both"/>
        <w:rPr>
          <w:color w:val="auto"/>
        </w:rPr>
      </w:pPr>
      <w:r>
        <w:rPr>
          <w:color w:val="auto"/>
        </w:rPr>
        <w:t>2</w:t>
      </w:r>
      <w:r>
        <w:rPr>
          <w:color w:val="auto"/>
          <w:spacing w:val="-12"/>
        </w:rPr>
        <w:t>、《毛绒纤维质量监督管理办法》第十四条第</w:t>
      </w:r>
      <w:r>
        <w:rPr>
          <w:color w:val="auto"/>
        </w:rPr>
        <w:t>（三）项“毛绒纤维经营者收购</w:t>
      </w:r>
      <w:r>
        <w:rPr>
          <w:color w:val="auto"/>
          <w:spacing w:val="-7"/>
        </w:rPr>
        <w:t>毛绒纤维，应当符合下列要求：(三)对所收购毛绒纤维的水分含量超过国家标准规定</w:t>
      </w:r>
      <w:r>
        <w:rPr>
          <w:color w:val="auto"/>
          <w:spacing w:val="-8"/>
        </w:rPr>
        <w:t>的，进行晾晒、烘干等技术处理。”</w:t>
      </w:r>
    </w:p>
    <w:p>
      <w:pPr>
        <w:spacing w:before="6"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43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 5 万元以下的。</w:t>
      </w:r>
    </w:p>
    <w:p>
      <w:pPr>
        <w:pStyle w:val="13"/>
        <w:numPr>
          <w:ilvl w:val="0"/>
          <w:numId w:val="1436"/>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处 1 万元以下罚款。</w:t>
      </w:r>
    </w:p>
    <w:p>
      <w:pPr>
        <w:spacing w:after="0"/>
        <w:rPr>
          <w:color w:val="auto"/>
        </w:rPr>
        <w:sectPr>
          <w:pgSz w:w="11910" w:h="16840"/>
          <w:pgMar w:top="1520" w:right="1260" w:bottom="1220" w:left="1420" w:header="0" w:footer="1034" w:gutter="0"/>
        </w:sectPr>
      </w:pPr>
    </w:p>
    <w:p>
      <w:pPr>
        <w:pStyle w:val="4"/>
        <w:spacing w:before="39"/>
        <w:ind w:left="751"/>
        <w:rPr>
          <w:color w:val="auto"/>
        </w:rPr>
      </w:pPr>
      <w:r>
        <w:rPr>
          <w:color w:val="auto"/>
        </w:rPr>
        <w:t>2、【较重】</w:t>
      </w:r>
    </w:p>
    <w:p>
      <w:pPr>
        <w:pStyle w:val="13"/>
        <w:numPr>
          <w:ilvl w:val="0"/>
          <w:numId w:val="1437"/>
        </w:numPr>
        <w:tabs>
          <w:tab w:val="left" w:pos="1353"/>
        </w:tabs>
        <w:spacing w:before="195"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初次违法，货值金额 5 万元以上 20 万元以下的。</w:t>
      </w:r>
    </w:p>
    <w:p>
      <w:pPr>
        <w:pStyle w:val="13"/>
        <w:numPr>
          <w:ilvl w:val="0"/>
          <w:numId w:val="143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5113"/>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438"/>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两年内再次出现相同违法行为的，或者货值金额 20 万元以上的。</w:t>
      </w:r>
    </w:p>
    <w:p>
      <w:pPr>
        <w:pStyle w:val="13"/>
        <w:numPr>
          <w:ilvl w:val="0"/>
          <w:numId w:val="1438"/>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处 2 万元以上 3 万元以下罚款。</w:t>
      </w:r>
    </w:p>
    <w:p>
      <w:pPr>
        <w:pStyle w:val="2"/>
        <w:spacing w:before="194" w:line="388" w:lineRule="auto"/>
        <w:ind w:left="111" w:right="193" w:firstLine="480"/>
        <w:rPr>
          <w:color w:val="auto"/>
        </w:rPr>
      </w:pPr>
      <w:bookmarkStart w:id="1310" w:name="六百四十一、毛绒纤维经营者未对所收购的毛绒纤维按类别、等级、型号分别置放并妥善保"/>
      <w:bookmarkEnd w:id="1310"/>
      <w:bookmarkStart w:id="1311" w:name="_bookmark654"/>
      <w:bookmarkEnd w:id="1311"/>
      <w:r>
        <w:rPr>
          <w:color w:val="auto"/>
        </w:rPr>
        <w:t>六百四十一、毛绒纤维经营者未对所收购的毛绒纤维按类别、等级、型号分别置放并妥善保管</w:t>
      </w:r>
    </w:p>
    <w:p>
      <w:pPr>
        <w:spacing w:before="2"/>
        <w:ind w:left="754" w:right="0" w:firstLine="0"/>
        <w:jc w:val="left"/>
        <w:rPr>
          <w:b/>
          <w:color w:val="auto"/>
          <w:sz w:val="24"/>
        </w:rPr>
      </w:pPr>
      <w:r>
        <w:rPr>
          <w:b/>
          <w:color w:val="auto"/>
          <w:sz w:val="24"/>
        </w:rPr>
        <w:t>（一）处罚依据</w:t>
      </w:r>
    </w:p>
    <w:p>
      <w:pPr>
        <w:pStyle w:val="4"/>
        <w:spacing w:before="194" w:line="388" w:lineRule="auto"/>
        <w:ind w:right="266" w:firstLine="626"/>
        <w:jc w:val="both"/>
        <w:rPr>
          <w:color w:val="auto"/>
        </w:rPr>
      </w:pPr>
      <w:r>
        <w:rPr>
          <w:color w:val="auto"/>
        </w:rPr>
        <w:t>1</w:t>
      </w:r>
      <w:r>
        <w:rPr>
          <w:color w:val="auto"/>
          <w:spacing w:val="-12"/>
        </w:rPr>
        <w:t>、《毛绒纤维质量监督管理办法》第二十条“毛绒纤维经营者在收购毛绒纤维</w:t>
      </w:r>
      <w:r>
        <w:rPr>
          <w:color w:val="auto"/>
          <w:spacing w:val="-7"/>
        </w:rPr>
        <w:t>活动中，违反本办法第十四条第</w:t>
      </w:r>
      <w:r>
        <w:rPr>
          <w:color w:val="auto"/>
        </w:rPr>
        <w:t>（一</w:t>
      </w:r>
      <w:r>
        <w:rPr>
          <w:color w:val="auto"/>
          <w:spacing w:val="-8"/>
        </w:rPr>
        <w:t>）</w:t>
      </w:r>
      <w:r>
        <w:rPr>
          <w:color w:val="auto"/>
          <w:spacing w:val="-3"/>
        </w:rPr>
        <w:t>至第</w:t>
      </w:r>
      <w:r>
        <w:rPr>
          <w:color w:val="auto"/>
        </w:rPr>
        <w:t>（四</w:t>
      </w:r>
      <w:r>
        <w:rPr>
          <w:color w:val="auto"/>
          <w:spacing w:val="-8"/>
        </w:rPr>
        <w:t>）</w:t>
      </w:r>
      <w:r>
        <w:rPr>
          <w:color w:val="auto"/>
          <w:spacing w:val="-2"/>
        </w:rPr>
        <w:t>项规定的，由纤维质量监督机构责</w:t>
      </w:r>
      <w:r>
        <w:rPr>
          <w:color w:val="auto"/>
          <w:spacing w:val="-10"/>
        </w:rPr>
        <w:t xml:space="preserve">令改正，可以处 </w:t>
      </w:r>
      <w:r>
        <w:rPr>
          <w:color w:val="auto"/>
        </w:rPr>
        <w:t>3</w:t>
      </w:r>
      <w:r>
        <w:rPr>
          <w:color w:val="auto"/>
          <w:spacing w:val="-8"/>
        </w:rPr>
        <w:t xml:space="preserve"> 万元以下的罚款；违反本办法第十四条第</w:t>
      </w:r>
      <w:r>
        <w:rPr>
          <w:color w:val="auto"/>
        </w:rPr>
        <w:t>（五</w:t>
      </w:r>
      <w:r>
        <w:rPr>
          <w:color w:val="auto"/>
          <w:spacing w:val="-8"/>
        </w:rPr>
        <w:t>）</w:t>
      </w:r>
      <w:r>
        <w:rPr>
          <w:color w:val="auto"/>
          <w:spacing w:val="-4"/>
        </w:rPr>
        <w:t>项规定的，由纤维</w:t>
      </w:r>
    </w:p>
    <w:p>
      <w:pPr>
        <w:pStyle w:val="4"/>
        <w:spacing w:before="6"/>
        <w:jc w:val="both"/>
        <w:rPr>
          <w:color w:val="auto"/>
        </w:rPr>
      </w:pPr>
      <w:r>
        <w:rPr>
          <w:color w:val="auto"/>
        </w:rPr>
        <w:t>质量监督机构责令改正，拒不改正的，处以 3 万元以下罚款。”</w:t>
      </w:r>
    </w:p>
    <w:p>
      <w:pPr>
        <w:pStyle w:val="4"/>
        <w:spacing w:before="191" w:line="391" w:lineRule="auto"/>
        <w:ind w:right="268" w:firstLine="626"/>
        <w:jc w:val="both"/>
        <w:rPr>
          <w:color w:val="auto"/>
        </w:rPr>
      </w:pPr>
      <w:r>
        <w:rPr>
          <w:color w:val="auto"/>
        </w:rPr>
        <w:t>2</w:t>
      </w:r>
      <w:r>
        <w:rPr>
          <w:color w:val="auto"/>
          <w:spacing w:val="-12"/>
        </w:rPr>
        <w:t>、《毛绒纤维质量监督管理办法》第十四条第</w:t>
      </w:r>
      <w:r>
        <w:rPr>
          <w:color w:val="auto"/>
        </w:rPr>
        <w:t>（四）项“毛绒纤维经营者收购毛绒纤维，应当符合下列要求：(四) 对所收购的毛绒纤维按类别、等级、型号分别</w:t>
      </w:r>
      <w:r>
        <w:rPr>
          <w:color w:val="auto"/>
          <w:spacing w:val="-13"/>
        </w:rPr>
        <w:t>置放，并妥善保管。”</w:t>
      </w:r>
    </w:p>
    <w:p>
      <w:pPr>
        <w:spacing w:before="0"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439"/>
        </w:numPr>
        <w:tabs>
          <w:tab w:val="left" w:pos="1353"/>
        </w:tabs>
        <w:spacing w:before="1"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万元以下的。</w:t>
      </w:r>
    </w:p>
    <w:p>
      <w:pPr>
        <w:pStyle w:val="13"/>
        <w:numPr>
          <w:ilvl w:val="0"/>
          <w:numId w:val="1439"/>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5" w:line="388" w:lineRule="auto"/>
        <w:ind w:left="751" w:right="6313"/>
        <w:rPr>
          <w:color w:val="auto"/>
        </w:rPr>
      </w:pPr>
      <w:r>
        <w:rPr>
          <w:color w:val="auto"/>
          <w:spacing w:val="-30"/>
        </w:rPr>
        <w:t xml:space="preserve">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440"/>
        </w:numPr>
        <w:tabs>
          <w:tab w:val="left" w:pos="1353"/>
        </w:tabs>
        <w:spacing w:before="2" w:after="0" w:line="240" w:lineRule="auto"/>
        <w:ind w:left="1353"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751"/>
        <w:rPr>
          <w:color w:val="auto"/>
        </w:rPr>
      </w:pPr>
      <w:r>
        <w:rPr>
          <w:color w:val="auto"/>
        </w:rPr>
        <w:t>初次违法，货值金额 5 万元以上 20 万元以下的。</w:t>
      </w:r>
    </w:p>
    <w:p>
      <w:pPr>
        <w:pStyle w:val="13"/>
        <w:numPr>
          <w:ilvl w:val="0"/>
          <w:numId w:val="1440"/>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5113"/>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441"/>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两年内再次出现相同违法行为的，或者货值金额 20 万元以上的。</w:t>
      </w:r>
    </w:p>
    <w:p>
      <w:pPr>
        <w:pStyle w:val="13"/>
        <w:numPr>
          <w:ilvl w:val="0"/>
          <w:numId w:val="1441"/>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处 2 万元以上 3 万元以下罚款。</w:t>
      </w:r>
    </w:p>
    <w:p>
      <w:pPr>
        <w:pStyle w:val="2"/>
        <w:spacing w:before="192"/>
        <w:rPr>
          <w:color w:val="auto"/>
        </w:rPr>
      </w:pPr>
      <w:bookmarkStart w:id="1312" w:name="_bookmark655"/>
      <w:bookmarkEnd w:id="1312"/>
      <w:bookmarkStart w:id="1313" w:name="六百四十二、毛绒纤维经营者未对所收购的毛绒纤维按净毛绒计算公量"/>
      <w:bookmarkEnd w:id="1313"/>
      <w:r>
        <w:rPr>
          <w:color w:val="auto"/>
        </w:rPr>
        <w:t>六百四十二、毛绒纤维经营者未对所收购的毛绒纤维按净毛绒计算公量</w:t>
      </w:r>
    </w:p>
    <w:p>
      <w:pPr>
        <w:spacing w:before="192"/>
        <w:ind w:left="754" w:right="0" w:firstLine="0"/>
        <w:jc w:val="left"/>
        <w:rPr>
          <w:b/>
          <w:color w:val="auto"/>
          <w:sz w:val="24"/>
        </w:rPr>
      </w:pPr>
      <w:r>
        <w:rPr>
          <w:b/>
          <w:color w:val="auto"/>
          <w:sz w:val="24"/>
        </w:rPr>
        <w:t>（一）处罚依据</w:t>
      </w:r>
    </w:p>
    <w:p>
      <w:pPr>
        <w:pStyle w:val="4"/>
        <w:spacing w:before="194" w:line="388" w:lineRule="auto"/>
        <w:ind w:right="266" w:firstLine="626"/>
        <w:jc w:val="both"/>
        <w:rPr>
          <w:color w:val="auto"/>
        </w:rPr>
      </w:pPr>
      <w:r>
        <w:rPr>
          <w:color w:val="auto"/>
        </w:rPr>
        <w:t>1</w:t>
      </w:r>
      <w:r>
        <w:rPr>
          <w:color w:val="auto"/>
          <w:spacing w:val="-12"/>
        </w:rPr>
        <w:t>、《毛绒纤维质量监督管理办法》第二十条“毛绒纤维经营者在收购毛绒纤维</w:t>
      </w:r>
      <w:r>
        <w:rPr>
          <w:color w:val="auto"/>
          <w:spacing w:val="-7"/>
        </w:rPr>
        <w:t>活动中，违反本办法第十四条第</w:t>
      </w:r>
      <w:r>
        <w:rPr>
          <w:color w:val="auto"/>
        </w:rPr>
        <w:t>（一</w:t>
      </w:r>
      <w:r>
        <w:rPr>
          <w:color w:val="auto"/>
          <w:spacing w:val="-8"/>
        </w:rPr>
        <w:t>）</w:t>
      </w:r>
      <w:r>
        <w:rPr>
          <w:color w:val="auto"/>
          <w:spacing w:val="-3"/>
        </w:rPr>
        <w:t>至第</w:t>
      </w:r>
      <w:r>
        <w:rPr>
          <w:color w:val="auto"/>
        </w:rPr>
        <w:t>（四</w:t>
      </w:r>
      <w:r>
        <w:rPr>
          <w:color w:val="auto"/>
          <w:spacing w:val="-8"/>
        </w:rPr>
        <w:t>）</w:t>
      </w:r>
      <w:r>
        <w:rPr>
          <w:color w:val="auto"/>
          <w:spacing w:val="-2"/>
        </w:rPr>
        <w:t>项规定的，由纤维质量监督机构责</w:t>
      </w:r>
      <w:r>
        <w:rPr>
          <w:color w:val="auto"/>
          <w:spacing w:val="-10"/>
        </w:rPr>
        <w:t xml:space="preserve">令改正，可以处 </w:t>
      </w:r>
      <w:r>
        <w:rPr>
          <w:color w:val="auto"/>
        </w:rPr>
        <w:t>3</w:t>
      </w:r>
      <w:r>
        <w:rPr>
          <w:color w:val="auto"/>
          <w:spacing w:val="-8"/>
        </w:rPr>
        <w:t xml:space="preserve"> 万元以下的罚款；违反本办法第十四条第</w:t>
      </w:r>
      <w:r>
        <w:rPr>
          <w:color w:val="auto"/>
        </w:rPr>
        <w:t>（五</w:t>
      </w:r>
      <w:r>
        <w:rPr>
          <w:color w:val="auto"/>
          <w:spacing w:val="-8"/>
        </w:rPr>
        <w:t>）</w:t>
      </w:r>
      <w:r>
        <w:rPr>
          <w:color w:val="auto"/>
          <w:spacing w:val="-4"/>
        </w:rPr>
        <w:t>项规定的，由纤维</w:t>
      </w:r>
    </w:p>
    <w:p>
      <w:pPr>
        <w:pStyle w:val="4"/>
        <w:spacing w:before="5"/>
        <w:jc w:val="both"/>
        <w:rPr>
          <w:color w:val="auto"/>
        </w:rPr>
      </w:pPr>
      <w:r>
        <w:rPr>
          <w:color w:val="auto"/>
        </w:rPr>
        <w:t>质量监督机构责令改正，拒不改正的，处以 3 万元以下罚款。”</w:t>
      </w:r>
    </w:p>
    <w:p>
      <w:pPr>
        <w:pStyle w:val="4"/>
        <w:spacing w:before="192" w:line="388" w:lineRule="auto"/>
        <w:ind w:right="268" w:firstLine="626"/>
        <w:rPr>
          <w:color w:val="auto"/>
        </w:rPr>
      </w:pPr>
      <w:r>
        <w:rPr>
          <w:color w:val="auto"/>
        </w:rPr>
        <w:t>2</w:t>
      </w:r>
      <w:r>
        <w:rPr>
          <w:color w:val="auto"/>
          <w:spacing w:val="-12"/>
        </w:rPr>
        <w:t>、《毛绒纤维质量监督管理办法》第十四条第</w:t>
      </w:r>
      <w:r>
        <w:rPr>
          <w:color w:val="auto"/>
        </w:rPr>
        <w:t>（五）项“毛绒纤维经营者收购</w:t>
      </w:r>
      <w:r>
        <w:rPr>
          <w:color w:val="auto"/>
          <w:spacing w:val="-4"/>
        </w:rPr>
        <w:t>毛绒纤维，应当符合下列要求：(五)对所收购的毛绒纤维按净毛绒计算公量。”</w:t>
      </w:r>
    </w:p>
    <w:p>
      <w:pPr>
        <w:spacing w:before="5"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42"/>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初次违法，没有造成危害结果，并能及时改正的。</w:t>
      </w:r>
    </w:p>
    <w:p>
      <w:pPr>
        <w:pStyle w:val="13"/>
        <w:numPr>
          <w:ilvl w:val="0"/>
          <w:numId w:val="1442"/>
        </w:numPr>
        <w:tabs>
          <w:tab w:val="left" w:pos="1353"/>
        </w:tabs>
        <w:spacing w:before="191" w:after="0" w:line="388" w:lineRule="auto"/>
        <w:ind w:left="751" w:right="6913" w:firstLine="0"/>
        <w:jc w:val="left"/>
        <w:rPr>
          <w:color w:val="auto"/>
          <w:sz w:val="24"/>
        </w:rPr>
      </w:pPr>
      <w:r>
        <w:rPr>
          <w:color w:val="auto"/>
          <w:spacing w:val="-5"/>
          <w:sz w:val="24"/>
        </w:rPr>
        <w:t>处罚标准</w:t>
      </w:r>
      <w:r>
        <w:rPr>
          <w:color w:val="auto"/>
          <w:sz w:val="24"/>
        </w:rPr>
        <w:t>责令改正。</w:t>
      </w:r>
    </w:p>
    <w:p>
      <w:pPr>
        <w:pStyle w:val="4"/>
        <w:spacing w:before="5"/>
        <w:ind w:left="751"/>
        <w:rPr>
          <w:color w:val="auto"/>
        </w:rPr>
      </w:pPr>
      <w:r>
        <w:rPr>
          <w:color w:val="auto"/>
        </w:rPr>
        <w:t>2、【一般】</w:t>
      </w:r>
    </w:p>
    <w:p>
      <w:pPr>
        <w:pStyle w:val="13"/>
        <w:numPr>
          <w:ilvl w:val="0"/>
          <w:numId w:val="1443"/>
        </w:numPr>
        <w:tabs>
          <w:tab w:val="left" w:pos="1353"/>
        </w:tabs>
        <w:spacing w:before="192"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初次违法，逾期一个月内未改正的。</w:t>
      </w:r>
    </w:p>
    <w:p>
      <w:pPr>
        <w:pStyle w:val="13"/>
        <w:numPr>
          <w:ilvl w:val="0"/>
          <w:numId w:val="1443"/>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6313"/>
        <w:rPr>
          <w:color w:val="auto"/>
        </w:rPr>
      </w:pPr>
      <w:r>
        <w:rPr>
          <w:color w:val="auto"/>
          <w:spacing w:val="-30"/>
        </w:rPr>
        <w:t xml:space="preserve">处 </w:t>
      </w:r>
      <w:r>
        <w:rPr>
          <w:color w:val="auto"/>
        </w:rPr>
        <w:t>1</w:t>
      </w:r>
      <w:r>
        <w:rPr>
          <w:color w:val="auto"/>
          <w:spacing w:val="-11"/>
        </w:rPr>
        <w:t xml:space="preserve"> 万元以下罚款。</w:t>
      </w:r>
      <w:r>
        <w:rPr>
          <w:color w:val="auto"/>
        </w:rPr>
        <w:t>3</w:t>
      </w:r>
      <w:r>
        <w:rPr>
          <w:color w:val="auto"/>
          <w:spacing w:val="-24"/>
        </w:rPr>
        <w:t>、【较重】</w:t>
      </w:r>
    </w:p>
    <w:p>
      <w:pPr>
        <w:spacing w:after="0" w:line="388" w:lineRule="auto"/>
        <w:rPr>
          <w:color w:val="auto"/>
        </w:rPr>
        <w:sectPr>
          <w:footerReference r:id="rId159" w:type="default"/>
          <w:footerReference r:id="rId160" w:type="even"/>
          <w:pgSz w:w="11910" w:h="16840"/>
          <w:pgMar w:top="1520" w:right="1260" w:bottom="1220" w:left="1420" w:header="0" w:footer="1034" w:gutter="0"/>
          <w:pgNumType w:start="620"/>
        </w:sectPr>
      </w:pPr>
    </w:p>
    <w:p>
      <w:pPr>
        <w:pStyle w:val="13"/>
        <w:numPr>
          <w:ilvl w:val="0"/>
          <w:numId w:val="1444"/>
        </w:numPr>
        <w:tabs>
          <w:tab w:val="left" w:pos="1353"/>
        </w:tabs>
        <w:spacing w:before="39"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初次违法，逾期二个月内未改正的。</w:t>
      </w:r>
    </w:p>
    <w:p>
      <w:pPr>
        <w:pStyle w:val="13"/>
        <w:numPr>
          <w:ilvl w:val="0"/>
          <w:numId w:val="1444"/>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5113"/>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4</w:t>
      </w:r>
      <w:r>
        <w:rPr>
          <w:color w:val="auto"/>
          <w:spacing w:val="-24"/>
        </w:rPr>
        <w:t>、【严重】</w:t>
      </w:r>
    </w:p>
    <w:p>
      <w:pPr>
        <w:pStyle w:val="13"/>
        <w:numPr>
          <w:ilvl w:val="0"/>
          <w:numId w:val="144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两年内再次出现相同违法行为的。</w:t>
      </w:r>
    </w:p>
    <w:p>
      <w:pPr>
        <w:pStyle w:val="13"/>
        <w:numPr>
          <w:ilvl w:val="0"/>
          <w:numId w:val="1445"/>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处 2 万元以上 3 万元以下罚款。</w:t>
      </w:r>
    </w:p>
    <w:p>
      <w:pPr>
        <w:pStyle w:val="2"/>
        <w:spacing w:before="192" w:line="391" w:lineRule="auto"/>
        <w:ind w:left="111" w:right="193" w:firstLine="480"/>
        <w:rPr>
          <w:color w:val="auto"/>
        </w:rPr>
      </w:pPr>
      <w:bookmarkStart w:id="1314" w:name="_bookmark656"/>
      <w:bookmarkEnd w:id="1314"/>
      <w:bookmarkStart w:id="1315" w:name="六百四十三、毛绒纤维经营者不具备符合规定的质量标准、检验设备和环境、检验人员、加"/>
      <w:bookmarkEnd w:id="1315"/>
      <w:r>
        <w:rPr>
          <w:color w:val="auto"/>
        </w:rPr>
        <w:t>六百四十三、毛绒纤维经营者不具备符合规定的质量标准、检验设备和环境、检验人员、加工机械和加工场所、质量保证制度以及国家规定的其他条件</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8" w:firstLine="626"/>
        <w:jc w:val="both"/>
        <w:rPr>
          <w:color w:val="auto"/>
        </w:rPr>
      </w:pPr>
      <w:r>
        <w:rPr>
          <w:color w:val="auto"/>
        </w:rPr>
        <w:t>1</w:t>
      </w:r>
      <w:r>
        <w:rPr>
          <w:color w:val="auto"/>
          <w:spacing w:val="-12"/>
        </w:rPr>
        <w:t>、《毛绒纤维质量监督管理办法》第二十一条第一款“毛绒纤维经营者在加工毛绒纤维活动中，违反本办法第十五条第一款第(一)项规定的，由纤维质量监督机构</w:t>
      </w:r>
      <w:r>
        <w:rPr>
          <w:color w:val="auto"/>
          <w:spacing w:val="-8"/>
        </w:rPr>
        <w:t xml:space="preserve">责令改正，拒不改正的，处以 </w:t>
      </w:r>
      <w:r>
        <w:rPr>
          <w:color w:val="auto"/>
        </w:rPr>
        <w:t>1</w:t>
      </w:r>
      <w:r>
        <w:rPr>
          <w:color w:val="auto"/>
          <w:spacing w:val="-10"/>
        </w:rPr>
        <w:t xml:space="preserve"> 万元以下的罚款；违反本办法第十五条第(二)项、第</w:t>
      </w:r>
      <w:r>
        <w:rPr>
          <w:color w:val="auto"/>
          <w:spacing w:val="-6"/>
        </w:rPr>
        <w:t>(三)项、第(四)项、第(五)项规定的，由纤维质量监督机构责令改正，并可以根据情</w:t>
      </w:r>
      <w:r>
        <w:rPr>
          <w:color w:val="auto"/>
          <w:spacing w:val="-10"/>
        </w:rPr>
        <w:t xml:space="preserve">节轻重，处 </w:t>
      </w:r>
      <w:r>
        <w:rPr>
          <w:color w:val="auto"/>
        </w:rPr>
        <w:t>10</w:t>
      </w:r>
      <w:r>
        <w:rPr>
          <w:color w:val="auto"/>
          <w:spacing w:val="-19"/>
        </w:rPr>
        <w:t xml:space="preserve"> 万元以下的罚款。”</w:t>
      </w:r>
    </w:p>
    <w:p>
      <w:pPr>
        <w:pStyle w:val="4"/>
        <w:spacing w:line="391" w:lineRule="auto"/>
        <w:ind w:right="268" w:firstLine="626"/>
        <w:jc w:val="both"/>
        <w:rPr>
          <w:color w:val="auto"/>
        </w:rPr>
      </w:pPr>
      <w:r>
        <w:rPr>
          <w:color w:val="auto"/>
        </w:rPr>
        <w:t>2</w:t>
      </w:r>
      <w:r>
        <w:rPr>
          <w:color w:val="auto"/>
          <w:spacing w:val="-12"/>
        </w:rPr>
        <w:t>、《毛绒纤维质量监督管理办法》第十五条第一款第</w:t>
      </w:r>
      <w:r>
        <w:rPr>
          <w:color w:val="auto"/>
        </w:rPr>
        <w:t>（一）项“毛绒纤维经营</w:t>
      </w:r>
      <w:r>
        <w:rPr>
          <w:color w:val="auto"/>
          <w:spacing w:val="-5"/>
        </w:rPr>
        <w:t>者从事毛绒纤维加工活动，应当符合下列要求：(一)具备符合规定的质量标准、检验设备和环境、检验人员、加工机械和加工场所、质量保证制度以及国家规定的其他条</w:t>
      </w:r>
      <w:r>
        <w:rPr>
          <w:color w:val="auto"/>
          <w:spacing w:val="-40"/>
        </w:rPr>
        <w:t>件。”</w:t>
      </w:r>
    </w:p>
    <w:p>
      <w:pPr>
        <w:spacing w:before="0"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44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1"/>
        <w:ind w:left="751"/>
        <w:rPr>
          <w:color w:val="auto"/>
        </w:rPr>
      </w:pPr>
      <w:r>
        <w:rPr>
          <w:color w:val="auto"/>
        </w:rPr>
        <w:t>逾期一个月不改正的。</w:t>
      </w:r>
    </w:p>
    <w:p>
      <w:pPr>
        <w:pStyle w:val="13"/>
        <w:numPr>
          <w:ilvl w:val="0"/>
          <w:numId w:val="1446"/>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6193"/>
        <w:rPr>
          <w:color w:val="auto"/>
        </w:rPr>
      </w:pPr>
      <w:r>
        <w:rPr>
          <w:color w:val="auto"/>
          <w:spacing w:val="-30"/>
        </w:rPr>
        <w:t xml:space="preserve">处 </w:t>
      </w:r>
      <w:r>
        <w:rPr>
          <w:color w:val="auto"/>
        </w:rPr>
        <w:t>5000</w:t>
      </w:r>
      <w:r>
        <w:rPr>
          <w:color w:val="auto"/>
          <w:spacing w:val="-12"/>
        </w:rPr>
        <w:t xml:space="preserve"> 元以下罚款。</w:t>
      </w:r>
      <w:r>
        <w:rPr>
          <w:color w:val="auto"/>
        </w:rPr>
        <w:t>2</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1447"/>
        </w:numPr>
        <w:tabs>
          <w:tab w:val="left" w:pos="1353"/>
        </w:tabs>
        <w:spacing w:before="39"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逾期二个月不改正的；或者两年内再次发生同一违法行为的。</w:t>
      </w:r>
    </w:p>
    <w:p>
      <w:pPr>
        <w:pStyle w:val="13"/>
        <w:numPr>
          <w:ilvl w:val="0"/>
          <w:numId w:val="1447"/>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处 5000 元以上 1 万元以下罚款。</w:t>
      </w:r>
    </w:p>
    <w:p>
      <w:pPr>
        <w:pStyle w:val="2"/>
        <w:spacing w:before="194" w:line="388" w:lineRule="auto"/>
        <w:ind w:left="111" w:right="240" w:firstLine="480"/>
        <w:rPr>
          <w:color w:val="auto"/>
        </w:rPr>
      </w:pPr>
      <w:bookmarkStart w:id="1316" w:name="_bookmark657"/>
      <w:bookmarkEnd w:id="1316"/>
      <w:bookmarkStart w:id="1317" w:name="六百四十四、毛绒纤维经营者未挑拣、排除毛绒纤维中导致质量下降的异性纤维及其他非毛"/>
      <w:bookmarkEnd w:id="1317"/>
      <w:r>
        <w:rPr>
          <w:color w:val="auto"/>
          <w:spacing w:val="-8"/>
        </w:rPr>
        <w:t>六百四十四、毛绒纤维经营者未挑拣、排除毛绒纤维中导致质量下降的异性纤维及其他非毛绒纤维物质</w:t>
      </w:r>
    </w:p>
    <w:p>
      <w:pPr>
        <w:spacing w:before="2"/>
        <w:ind w:left="754" w:right="0" w:firstLine="0"/>
        <w:jc w:val="left"/>
        <w:rPr>
          <w:b/>
          <w:color w:val="auto"/>
          <w:sz w:val="24"/>
        </w:rPr>
      </w:pPr>
      <w:r>
        <w:rPr>
          <w:b/>
          <w:color w:val="auto"/>
          <w:sz w:val="24"/>
        </w:rPr>
        <w:t>（一）处罚依据</w:t>
      </w:r>
    </w:p>
    <w:p>
      <w:pPr>
        <w:pStyle w:val="4"/>
        <w:spacing w:before="194" w:line="391" w:lineRule="auto"/>
        <w:ind w:right="268" w:firstLine="626"/>
        <w:jc w:val="both"/>
        <w:rPr>
          <w:color w:val="auto"/>
        </w:rPr>
      </w:pPr>
      <w:r>
        <w:rPr>
          <w:color w:val="auto"/>
        </w:rPr>
        <w:t>1</w:t>
      </w:r>
      <w:r>
        <w:rPr>
          <w:color w:val="auto"/>
          <w:spacing w:val="-12"/>
        </w:rPr>
        <w:t>、《毛绒纤维质量监督管理办法》第二十一条第一款“毛绒纤维经营者在加工毛绒纤维活动中，违反本办法第十五条第一款第(一)项规定的，由纤维质量监督机构</w:t>
      </w:r>
      <w:r>
        <w:rPr>
          <w:color w:val="auto"/>
          <w:spacing w:val="-8"/>
        </w:rPr>
        <w:t xml:space="preserve">责令改正，拒不改正的，处以 </w:t>
      </w:r>
      <w:r>
        <w:rPr>
          <w:color w:val="auto"/>
        </w:rPr>
        <w:t>1</w:t>
      </w:r>
      <w:r>
        <w:rPr>
          <w:color w:val="auto"/>
          <w:spacing w:val="-10"/>
        </w:rPr>
        <w:t xml:space="preserve"> 万元以下的罚款；违反本办法第十五条第(二)项、第</w:t>
      </w:r>
      <w:r>
        <w:rPr>
          <w:color w:val="auto"/>
          <w:spacing w:val="-6"/>
        </w:rPr>
        <w:t>(三)项、第(四)项、第(五)项规定的，由纤维质量监督机构责令改正，并可以根据情</w:t>
      </w:r>
      <w:r>
        <w:rPr>
          <w:color w:val="auto"/>
          <w:spacing w:val="-10"/>
        </w:rPr>
        <w:t xml:space="preserve">节轻重，处 </w:t>
      </w:r>
      <w:r>
        <w:rPr>
          <w:color w:val="auto"/>
        </w:rPr>
        <w:t>10</w:t>
      </w:r>
      <w:r>
        <w:rPr>
          <w:color w:val="auto"/>
          <w:spacing w:val="-19"/>
        </w:rPr>
        <w:t xml:space="preserve"> 万元以下的罚款。”</w:t>
      </w:r>
    </w:p>
    <w:p>
      <w:pPr>
        <w:pStyle w:val="4"/>
        <w:spacing w:line="391" w:lineRule="auto"/>
        <w:ind w:right="271" w:firstLine="626"/>
        <w:rPr>
          <w:color w:val="auto"/>
        </w:rPr>
      </w:pPr>
      <w:r>
        <w:rPr>
          <w:color w:val="auto"/>
        </w:rPr>
        <w:t>2</w:t>
      </w:r>
      <w:r>
        <w:rPr>
          <w:color w:val="auto"/>
          <w:spacing w:val="-12"/>
        </w:rPr>
        <w:t>、《毛绒纤维质量监督管理办法》第十五条第一款第</w:t>
      </w:r>
      <w:r>
        <w:rPr>
          <w:color w:val="auto"/>
        </w:rPr>
        <w:t>（二）项“毛绒纤维经营者从事毛绒纤维加工活动，应当符合下列要求：</w:t>
      </w:r>
    </w:p>
    <w:p>
      <w:pPr>
        <w:pStyle w:val="4"/>
        <w:spacing w:line="306" w:lineRule="exact"/>
        <w:rPr>
          <w:color w:val="auto"/>
        </w:rPr>
      </w:pPr>
      <w:r>
        <w:rPr>
          <w:color w:val="auto"/>
        </w:rPr>
        <w:t>（二）挑拣、排除毛绒纤维中导致质量下降的异性纤维及其他非毛绒纤维物质。”</w:t>
      </w:r>
    </w:p>
    <w:p>
      <w:pPr>
        <w:spacing w:before="184"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4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万以下的。</w:t>
      </w:r>
    </w:p>
    <w:p>
      <w:pPr>
        <w:pStyle w:val="13"/>
        <w:numPr>
          <w:ilvl w:val="0"/>
          <w:numId w:val="1448"/>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49"/>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spacing w:val="-12"/>
        </w:rPr>
        <w:t xml:space="preserve">初次违法，货值金额 </w:t>
      </w:r>
      <w:r>
        <w:rPr>
          <w:color w:val="auto"/>
        </w:rPr>
        <w:t>5</w:t>
      </w:r>
      <w:r>
        <w:rPr>
          <w:color w:val="auto"/>
          <w:spacing w:val="-20"/>
        </w:rPr>
        <w:t xml:space="preserve"> 万元以上 </w:t>
      </w:r>
      <w:r>
        <w:rPr>
          <w:color w:val="auto"/>
        </w:rPr>
        <w:t>20</w:t>
      </w:r>
      <w:r>
        <w:rPr>
          <w:color w:val="auto"/>
          <w:spacing w:val="-11"/>
        </w:rPr>
        <w:t xml:space="preserve"> 万元以下的；或者同时违反本办法第十五条</w:t>
      </w:r>
    </w:p>
    <w:p>
      <w:pPr>
        <w:pStyle w:val="4"/>
        <w:spacing w:before="192"/>
        <w:rPr>
          <w:color w:val="auto"/>
        </w:rPr>
      </w:pPr>
      <w:r>
        <w:rPr>
          <w:color w:val="auto"/>
        </w:rPr>
        <w:t>第(三)项、第(四)项、第(五)项规定的 1 项其他违法行为的。</w:t>
      </w:r>
    </w:p>
    <w:p>
      <w:pPr>
        <w:pStyle w:val="13"/>
        <w:numPr>
          <w:ilvl w:val="0"/>
          <w:numId w:val="1449"/>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1450"/>
        </w:numPr>
        <w:tabs>
          <w:tab w:val="left" w:pos="1353"/>
        </w:tabs>
        <w:spacing w:before="39"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初次违法，货值金额 20 万元以上，或者同时违反本办法第十五条第(三)项、第</w:t>
      </w:r>
    </w:p>
    <w:p>
      <w:pPr>
        <w:pStyle w:val="4"/>
        <w:spacing w:before="191"/>
        <w:rPr>
          <w:color w:val="auto"/>
        </w:rPr>
      </w:pPr>
      <w:r>
        <w:rPr>
          <w:color w:val="auto"/>
        </w:rPr>
        <w:t>(四)项、第(五)项规定的其他 2 项违法行为的。</w:t>
      </w:r>
    </w:p>
    <w:p>
      <w:pPr>
        <w:pStyle w:val="13"/>
        <w:numPr>
          <w:ilvl w:val="0"/>
          <w:numId w:val="145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18"/>
        </w:rPr>
        <w:t>、【特别严重】</w:t>
      </w:r>
    </w:p>
    <w:p>
      <w:pPr>
        <w:pStyle w:val="13"/>
        <w:numPr>
          <w:ilvl w:val="0"/>
          <w:numId w:val="145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两年内再次发生同一违法行为的；或者同时违反本办法第十五条第(三)项、第(四)项、第(五)项规定的其他 3 项违法行为的。</w:t>
      </w:r>
    </w:p>
    <w:p>
      <w:pPr>
        <w:pStyle w:val="13"/>
        <w:numPr>
          <w:ilvl w:val="0"/>
          <w:numId w:val="1451"/>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5"/>
        <w:ind w:left="751"/>
        <w:rPr>
          <w:color w:val="auto"/>
        </w:rPr>
      </w:pPr>
      <w:r>
        <w:rPr>
          <w:color w:val="auto"/>
        </w:rPr>
        <w:t>责令改正，处 8 万元以上 10 万元以下罚款。</w:t>
      </w:r>
    </w:p>
    <w:p>
      <w:pPr>
        <w:pStyle w:val="2"/>
        <w:spacing w:before="191" w:line="388" w:lineRule="auto"/>
        <w:ind w:left="111" w:right="170" w:firstLine="480"/>
        <w:rPr>
          <w:color w:val="auto"/>
        </w:rPr>
      </w:pPr>
      <w:bookmarkStart w:id="1318" w:name="_bookmark658"/>
      <w:bookmarkEnd w:id="1318"/>
      <w:bookmarkStart w:id="1319" w:name="六百四十五、毛绒纤维经营者未按照国家标准、技术规范，对毛绒纤维分类别、分等级加工"/>
      <w:bookmarkEnd w:id="1319"/>
      <w:r>
        <w:rPr>
          <w:color w:val="auto"/>
        </w:rPr>
        <w:t>六百四十五、毛绒纤维经营者未按照国家标准、技术规范，对毛绒纤维分类别、分等级加工和对加工后的毛绒纤维成包组批</w:t>
      </w:r>
    </w:p>
    <w:p>
      <w:pPr>
        <w:spacing w:before="5"/>
        <w:ind w:left="754" w:right="0" w:firstLine="0"/>
        <w:jc w:val="left"/>
        <w:rPr>
          <w:b/>
          <w:color w:val="auto"/>
          <w:sz w:val="24"/>
        </w:rPr>
      </w:pPr>
      <w:r>
        <w:rPr>
          <w:b/>
          <w:color w:val="auto"/>
          <w:sz w:val="24"/>
        </w:rPr>
        <w:t>（一）处罚依据</w:t>
      </w:r>
    </w:p>
    <w:p>
      <w:pPr>
        <w:pStyle w:val="4"/>
        <w:spacing w:before="191" w:line="391" w:lineRule="auto"/>
        <w:ind w:right="268" w:firstLine="626"/>
        <w:jc w:val="both"/>
        <w:rPr>
          <w:color w:val="auto"/>
        </w:rPr>
      </w:pPr>
      <w:r>
        <w:rPr>
          <w:color w:val="auto"/>
        </w:rPr>
        <w:t>1</w:t>
      </w:r>
      <w:r>
        <w:rPr>
          <w:color w:val="auto"/>
          <w:spacing w:val="-12"/>
        </w:rPr>
        <w:t>、《毛绒纤维质量监督管理办法》第二十一条第一款“毛绒纤维经营者在加工毛绒纤维活动中，违反本办法第十五条第一款第(一)项规定的，由纤维质量监督机构</w:t>
      </w:r>
      <w:r>
        <w:rPr>
          <w:color w:val="auto"/>
          <w:spacing w:val="-8"/>
        </w:rPr>
        <w:t xml:space="preserve">责令改正，拒不改正的，处以 </w:t>
      </w:r>
      <w:r>
        <w:rPr>
          <w:color w:val="auto"/>
        </w:rPr>
        <w:t>1</w:t>
      </w:r>
      <w:r>
        <w:rPr>
          <w:color w:val="auto"/>
          <w:spacing w:val="-10"/>
        </w:rPr>
        <w:t xml:space="preserve"> 万元以下的罚款；违反本办法第十五条第(二)项、第</w:t>
      </w:r>
      <w:r>
        <w:rPr>
          <w:color w:val="auto"/>
          <w:spacing w:val="-6"/>
        </w:rPr>
        <w:t>(三)项、第(四)项、第(五)项规定的，由纤维质量监督机构责令改正，并可以根据情</w:t>
      </w:r>
      <w:r>
        <w:rPr>
          <w:color w:val="auto"/>
          <w:spacing w:val="-10"/>
        </w:rPr>
        <w:t xml:space="preserve">节轻重，处 </w:t>
      </w:r>
      <w:r>
        <w:rPr>
          <w:color w:val="auto"/>
        </w:rPr>
        <w:t>10</w:t>
      </w:r>
      <w:r>
        <w:rPr>
          <w:color w:val="auto"/>
          <w:spacing w:val="-19"/>
        </w:rPr>
        <w:t xml:space="preserve"> 万元以下的罚款。”</w:t>
      </w:r>
    </w:p>
    <w:p>
      <w:pPr>
        <w:pStyle w:val="4"/>
        <w:spacing w:line="388" w:lineRule="auto"/>
        <w:ind w:right="271" w:firstLine="626"/>
        <w:rPr>
          <w:color w:val="auto"/>
        </w:rPr>
      </w:pPr>
      <w:r>
        <w:rPr>
          <w:color w:val="auto"/>
        </w:rPr>
        <w:t>2</w:t>
      </w:r>
      <w:r>
        <w:rPr>
          <w:color w:val="auto"/>
          <w:spacing w:val="-12"/>
        </w:rPr>
        <w:t>、《毛绒纤维质量监督管理办法》第十五条第一款第</w:t>
      </w:r>
      <w:r>
        <w:rPr>
          <w:color w:val="auto"/>
        </w:rPr>
        <w:t>（三）项“毛绒纤维经营者从事毛绒纤维加工活动，应当符合下列要求：</w:t>
      </w:r>
    </w:p>
    <w:p>
      <w:pPr>
        <w:pStyle w:val="4"/>
        <w:spacing w:line="391" w:lineRule="auto"/>
        <w:ind w:right="223"/>
        <w:rPr>
          <w:color w:val="auto"/>
        </w:rPr>
      </w:pPr>
      <w:r>
        <w:rPr>
          <w:color w:val="auto"/>
        </w:rPr>
        <w:t>(三)按照国家标准、技术规范，对毛绒纤维分类别、分等级加工，对加工后的毛绒纤维成包组批。”</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52"/>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万以下的。</w:t>
      </w:r>
    </w:p>
    <w:p>
      <w:pPr>
        <w:pStyle w:val="13"/>
        <w:numPr>
          <w:ilvl w:val="0"/>
          <w:numId w:val="1452"/>
        </w:numPr>
        <w:tabs>
          <w:tab w:val="left" w:pos="1353"/>
        </w:tabs>
        <w:spacing w:before="191"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5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spacing w:val="-12"/>
        </w:rPr>
        <w:t xml:space="preserve">初次违法，货值金额 </w:t>
      </w:r>
      <w:r>
        <w:rPr>
          <w:color w:val="auto"/>
        </w:rPr>
        <w:t>5</w:t>
      </w:r>
      <w:r>
        <w:rPr>
          <w:color w:val="auto"/>
          <w:spacing w:val="-20"/>
        </w:rPr>
        <w:t xml:space="preserve"> 万元以上 </w:t>
      </w:r>
      <w:r>
        <w:rPr>
          <w:color w:val="auto"/>
        </w:rPr>
        <w:t>20</w:t>
      </w:r>
      <w:r>
        <w:rPr>
          <w:color w:val="auto"/>
          <w:spacing w:val="-11"/>
        </w:rPr>
        <w:t xml:space="preserve"> 万元以下的；或者同时违反本办法第十五条</w:t>
      </w:r>
    </w:p>
    <w:p>
      <w:pPr>
        <w:pStyle w:val="4"/>
        <w:spacing w:before="194"/>
        <w:rPr>
          <w:color w:val="auto"/>
        </w:rPr>
      </w:pPr>
      <w:r>
        <w:rPr>
          <w:color w:val="auto"/>
        </w:rPr>
        <w:t>第(二)项、第(四)项、第(五)项规定的 1 项其他违法行为的。</w:t>
      </w:r>
    </w:p>
    <w:p>
      <w:pPr>
        <w:pStyle w:val="13"/>
        <w:numPr>
          <w:ilvl w:val="0"/>
          <w:numId w:val="1453"/>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、【严重】</w:t>
      </w:r>
    </w:p>
    <w:p>
      <w:pPr>
        <w:pStyle w:val="13"/>
        <w:numPr>
          <w:ilvl w:val="0"/>
          <w:numId w:val="1454"/>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初次违法，货值金额 20 万元以上，或者同时违反本办法第十五条第(二)项、第</w:t>
      </w:r>
    </w:p>
    <w:p>
      <w:pPr>
        <w:pStyle w:val="4"/>
        <w:spacing w:before="194"/>
        <w:rPr>
          <w:color w:val="auto"/>
        </w:rPr>
      </w:pPr>
      <w:r>
        <w:rPr>
          <w:color w:val="auto"/>
        </w:rPr>
        <w:t>(四)项、第(五)项规定的其他 2 项违法行为的。</w:t>
      </w:r>
    </w:p>
    <w:p>
      <w:pPr>
        <w:pStyle w:val="13"/>
        <w:numPr>
          <w:ilvl w:val="0"/>
          <w:numId w:val="1454"/>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18"/>
        </w:rPr>
        <w:t>、【特别严重】</w:t>
      </w:r>
    </w:p>
    <w:p>
      <w:pPr>
        <w:pStyle w:val="13"/>
        <w:numPr>
          <w:ilvl w:val="0"/>
          <w:numId w:val="145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两年内再次发生同一违法行为的；或者同时违反本办法第十五条第(二)项、第(四)项、第(五)项规定的其他 3 项违法行为的。</w:t>
      </w:r>
    </w:p>
    <w:p>
      <w:pPr>
        <w:pStyle w:val="13"/>
        <w:numPr>
          <w:ilvl w:val="0"/>
          <w:numId w:val="1455"/>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责令改正，处 8 万元以上 10 万元以下罚款。</w:t>
      </w:r>
    </w:p>
    <w:p>
      <w:pPr>
        <w:pStyle w:val="2"/>
        <w:spacing w:before="194" w:line="388" w:lineRule="auto"/>
        <w:ind w:left="111" w:right="237" w:firstLine="480"/>
        <w:rPr>
          <w:color w:val="auto"/>
        </w:rPr>
      </w:pPr>
      <w:bookmarkStart w:id="1320" w:name="_bookmark659"/>
      <w:bookmarkEnd w:id="1320"/>
      <w:bookmarkStart w:id="1321" w:name="六百四十六、毛绒纤维经营者未按国家标准、技术规范对加工后的毛绒纤维进行包装并标注"/>
      <w:bookmarkEnd w:id="1321"/>
      <w:r>
        <w:rPr>
          <w:color w:val="auto"/>
          <w:spacing w:val="-8"/>
        </w:rPr>
        <w:t>六百四十六、毛绒纤维经营者未按国家标准、技术规范对加工后的毛绒纤维进行包装并标注标识，或者标注的标识与毛绒纤维的质量、数量不符</w:t>
      </w:r>
    </w:p>
    <w:p>
      <w:pPr>
        <w:spacing w:before="2"/>
        <w:ind w:left="754" w:right="0" w:firstLine="0"/>
        <w:jc w:val="left"/>
        <w:rPr>
          <w:b/>
          <w:color w:val="auto"/>
          <w:sz w:val="24"/>
        </w:rPr>
      </w:pPr>
      <w:r>
        <w:rPr>
          <w:b/>
          <w:color w:val="auto"/>
          <w:sz w:val="24"/>
        </w:rPr>
        <w:t>（一）处罚依据</w:t>
      </w:r>
    </w:p>
    <w:p>
      <w:pPr>
        <w:pStyle w:val="4"/>
        <w:spacing w:before="195" w:line="391" w:lineRule="auto"/>
        <w:ind w:right="268" w:firstLine="626"/>
        <w:jc w:val="both"/>
        <w:rPr>
          <w:color w:val="auto"/>
        </w:rPr>
      </w:pPr>
      <w:r>
        <w:rPr>
          <w:color w:val="auto"/>
        </w:rPr>
        <w:t>1</w:t>
      </w:r>
      <w:r>
        <w:rPr>
          <w:color w:val="auto"/>
          <w:spacing w:val="-12"/>
        </w:rPr>
        <w:t>、《毛绒纤维质量监督管理办法》第二十一条第一款“毛绒纤维经营者在加工毛绒纤维活动中，违反本办法第十五条第一款第(一)项规定的，由纤维质量监督机构</w:t>
      </w:r>
      <w:r>
        <w:rPr>
          <w:color w:val="auto"/>
          <w:spacing w:val="-8"/>
        </w:rPr>
        <w:t xml:space="preserve">责令改正，拒不改正的，处以 </w:t>
      </w:r>
      <w:r>
        <w:rPr>
          <w:color w:val="auto"/>
        </w:rPr>
        <w:t>1</w:t>
      </w:r>
      <w:r>
        <w:rPr>
          <w:color w:val="auto"/>
          <w:spacing w:val="-10"/>
        </w:rPr>
        <w:t xml:space="preserve"> 万元以下的罚款；违反本办法第十五条第(二)项、第</w:t>
      </w:r>
      <w:r>
        <w:rPr>
          <w:color w:val="auto"/>
          <w:spacing w:val="-6"/>
        </w:rPr>
        <w:t>(三)项、第(四)项、第(五)项规定的，由纤维质量监督机构责令改正，并可以根据情</w:t>
      </w:r>
      <w:r>
        <w:rPr>
          <w:color w:val="auto"/>
          <w:spacing w:val="-10"/>
        </w:rPr>
        <w:t xml:space="preserve">节轻重，处 </w:t>
      </w:r>
      <w:r>
        <w:rPr>
          <w:color w:val="auto"/>
        </w:rPr>
        <w:t>10</w:t>
      </w:r>
      <w:r>
        <w:rPr>
          <w:color w:val="auto"/>
          <w:spacing w:val="-19"/>
        </w:rPr>
        <w:t xml:space="preserve"> 万元以下的罚款。”</w:t>
      </w:r>
    </w:p>
    <w:p>
      <w:pPr>
        <w:pStyle w:val="4"/>
        <w:spacing w:line="300" w:lineRule="exact"/>
        <w:ind w:left="737"/>
        <w:rPr>
          <w:color w:val="auto"/>
        </w:rPr>
      </w:pPr>
      <w:r>
        <w:rPr>
          <w:color w:val="auto"/>
        </w:rPr>
        <w:t>2、《毛绒纤维质量监督管理办法》第十五条第一款第（四）项“毛绒纤维经营</w:t>
      </w:r>
    </w:p>
    <w:p>
      <w:pPr>
        <w:spacing w:after="0" w:line="300" w:lineRule="exact"/>
        <w:rPr>
          <w:color w:val="auto"/>
        </w:rPr>
        <w:sectPr>
          <w:pgSz w:w="11910" w:h="16840"/>
          <w:pgMar w:top="1520" w:right="1260" w:bottom="1220" w:left="1420" w:header="0" w:footer="1034" w:gutter="0"/>
        </w:sectPr>
      </w:pPr>
    </w:p>
    <w:p>
      <w:pPr>
        <w:pStyle w:val="4"/>
        <w:spacing w:before="39" w:line="391" w:lineRule="auto"/>
        <w:ind w:right="148"/>
        <w:rPr>
          <w:color w:val="auto"/>
        </w:rPr>
      </w:pPr>
      <w:r>
        <w:rPr>
          <w:color w:val="auto"/>
        </w:rPr>
        <w:t>者从事毛绒纤维加工活动，应当符合下列要求：(四) 按国家标准、技术规范，对加</w:t>
      </w:r>
      <w:r>
        <w:rPr>
          <w:color w:val="auto"/>
          <w:spacing w:val="-9"/>
        </w:rPr>
        <w:t>工后的毛绒纤维进行包装并标注标识，且标识有中文标明的品种、等级、批次、包号、</w:t>
      </w:r>
      <w:r>
        <w:rPr>
          <w:color w:val="auto"/>
          <w:spacing w:val="-4"/>
        </w:rPr>
        <w:t>重量、生产日期、厂名、厂址；标识与毛绒纤维的质量、数量相符；”</w:t>
      </w:r>
    </w:p>
    <w:p>
      <w:pPr>
        <w:spacing w:before="0"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5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9"/>
        <w:ind w:left="751"/>
        <w:rPr>
          <w:color w:val="auto"/>
        </w:rPr>
      </w:pPr>
      <w:r>
        <w:rPr>
          <w:color w:val="auto"/>
        </w:rPr>
        <w:t>初次违法，货值金额 5 万以下的。</w:t>
      </w:r>
    </w:p>
    <w:p>
      <w:pPr>
        <w:pStyle w:val="13"/>
        <w:numPr>
          <w:ilvl w:val="0"/>
          <w:numId w:val="1456"/>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57"/>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spacing w:val="-12"/>
        </w:rPr>
        <w:t xml:space="preserve">初次违法，货值金额 </w:t>
      </w:r>
      <w:r>
        <w:rPr>
          <w:color w:val="auto"/>
        </w:rPr>
        <w:t>5</w:t>
      </w:r>
      <w:r>
        <w:rPr>
          <w:color w:val="auto"/>
          <w:spacing w:val="-20"/>
        </w:rPr>
        <w:t xml:space="preserve"> 万元以上 </w:t>
      </w:r>
      <w:r>
        <w:rPr>
          <w:color w:val="auto"/>
        </w:rPr>
        <w:t>20</w:t>
      </w:r>
      <w:r>
        <w:rPr>
          <w:color w:val="auto"/>
          <w:spacing w:val="-11"/>
        </w:rPr>
        <w:t xml:space="preserve"> 万元以下的；或者同时违反本办法第十五条</w:t>
      </w:r>
    </w:p>
    <w:p>
      <w:pPr>
        <w:pStyle w:val="4"/>
        <w:spacing w:before="191"/>
        <w:rPr>
          <w:color w:val="auto"/>
        </w:rPr>
      </w:pPr>
      <w:r>
        <w:rPr>
          <w:color w:val="auto"/>
        </w:rPr>
        <w:t>第(二)项、第(三)项、第(五)项规定的 1 项其他违法行为的。</w:t>
      </w:r>
    </w:p>
    <w:p>
      <w:pPr>
        <w:pStyle w:val="13"/>
        <w:numPr>
          <w:ilvl w:val="0"/>
          <w:numId w:val="1457"/>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、【严重】</w:t>
      </w:r>
    </w:p>
    <w:p>
      <w:pPr>
        <w:pStyle w:val="13"/>
        <w:numPr>
          <w:ilvl w:val="0"/>
          <w:numId w:val="1458"/>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初次违法，货值金额 20 万元以上，或者同时违反本办法第十五条第(二)项、第</w:t>
      </w:r>
    </w:p>
    <w:p>
      <w:pPr>
        <w:pStyle w:val="4"/>
        <w:spacing w:before="192"/>
        <w:rPr>
          <w:color w:val="auto"/>
        </w:rPr>
      </w:pPr>
      <w:r>
        <w:rPr>
          <w:color w:val="auto"/>
        </w:rPr>
        <w:t>(三)项、第(五)项规定的其他 2 项违法行为的。</w:t>
      </w:r>
    </w:p>
    <w:p>
      <w:pPr>
        <w:pStyle w:val="13"/>
        <w:numPr>
          <w:ilvl w:val="0"/>
          <w:numId w:val="1458"/>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18"/>
        </w:rPr>
        <w:t>、【特别严重】</w:t>
      </w:r>
    </w:p>
    <w:p>
      <w:pPr>
        <w:pStyle w:val="13"/>
        <w:numPr>
          <w:ilvl w:val="0"/>
          <w:numId w:val="1459"/>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line="388" w:lineRule="auto"/>
        <w:ind w:right="268" w:firstLine="640"/>
        <w:rPr>
          <w:color w:val="auto"/>
        </w:rPr>
      </w:pPr>
      <w:r>
        <w:rPr>
          <w:color w:val="auto"/>
        </w:rPr>
        <w:t>两年内再次发生同一违法行为的；或者同时违反本办法第十五条第(二)项、第(三)项、第(五)项规定的其他 3 项违法行为的。</w:t>
      </w:r>
    </w:p>
    <w:p>
      <w:pPr>
        <w:pStyle w:val="13"/>
        <w:numPr>
          <w:ilvl w:val="0"/>
          <w:numId w:val="1459"/>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责令改正，处 8 万元以上 10 万元以下罚款。</w:t>
      </w:r>
    </w:p>
    <w:p>
      <w:pPr>
        <w:pStyle w:val="2"/>
        <w:spacing w:before="192"/>
        <w:rPr>
          <w:color w:val="auto"/>
        </w:rPr>
      </w:pPr>
      <w:bookmarkStart w:id="1322" w:name="六百四十七、经毛绒纤维质量公证检验的毛绒纤维未附有毛绒纤维质量公证检验证书和标志"/>
      <w:bookmarkEnd w:id="1322"/>
      <w:bookmarkStart w:id="1323" w:name="_bookmark660"/>
      <w:bookmarkEnd w:id="1323"/>
      <w:r>
        <w:rPr>
          <w:color w:val="auto"/>
        </w:rPr>
        <w:t>六百四十七、经毛绒纤维质量公证检验的毛绒纤维未附有毛绒纤维质量公证检验</w:t>
      </w:r>
    </w:p>
    <w:p>
      <w:pPr>
        <w:spacing w:after="0"/>
        <w:rPr>
          <w:color w:val="auto"/>
        </w:rPr>
        <w:sectPr>
          <w:pgSz w:w="11910" w:h="16840"/>
          <w:pgMar w:top="1520" w:right="1260" w:bottom="1220" w:left="1420" w:header="0" w:footer="1034" w:gutter="0"/>
        </w:sectPr>
      </w:pPr>
    </w:p>
    <w:p>
      <w:pPr>
        <w:spacing w:before="39" w:line="391" w:lineRule="auto"/>
        <w:ind w:left="111" w:right="235" w:firstLine="0"/>
        <w:jc w:val="left"/>
        <w:rPr>
          <w:b/>
          <w:color w:val="auto"/>
          <w:sz w:val="24"/>
        </w:rPr>
      </w:pPr>
      <w:r>
        <w:rPr>
          <w:b/>
          <w:color w:val="auto"/>
          <w:spacing w:val="-9"/>
          <w:sz w:val="24"/>
        </w:rPr>
        <w:t>证书和标志，或者未经毛绒纤维质量公证检验的毛绒纤维未附有质量凭证或所附质量凭证与实物质量不符</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8" w:firstLine="626"/>
        <w:jc w:val="both"/>
        <w:rPr>
          <w:color w:val="auto"/>
        </w:rPr>
      </w:pPr>
      <w:r>
        <w:rPr>
          <w:color w:val="auto"/>
        </w:rPr>
        <w:t>1</w:t>
      </w:r>
      <w:r>
        <w:rPr>
          <w:color w:val="auto"/>
          <w:spacing w:val="-12"/>
        </w:rPr>
        <w:t>、《毛绒纤维质量监督管理办法》第二十一条第一款“毛绒纤维经营者在加工毛绒纤维活动中，违反本办法第十五条第一款第(一)项规定的，由纤维质量监督机构</w:t>
      </w:r>
      <w:r>
        <w:rPr>
          <w:color w:val="auto"/>
          <w:spacing w:val="-8"/>
        </w:rPr>
        <w:t xml:space="preserve">责令改正，拒不改正的，处以 </w:t>
      </w:r>
      <w:r>
        <w:rPr>
          <w:color w:val="auto"/>
        </w:rPr>
        <w:t>1</w:t>
      </w:r>
      <w:r>
        <w:rPr>
          <w:color w:val="auto"/>
          <w:spacing w:val="-10"/>
        </w:rPr>
        <w:t xml:space="preserve"> 万元以下的罚款；违反本办法第十五条第(二)项、第</w:t>
      </w:r>
      <w:r>
        <w:rPr>
          <w:color w:val="auto"/>
          <w:spacing w:val="-6"/>
        </w:rPr>
        <w:t>(三)项、第(四)项、第(五)项规定的，由纤维质量监督机构责令改正，并可以根据情</w:t>
      </w:r>
      <w:r>
        <w:rPr>
          <w:color w:val="auto"/>
          <w:spacing w:val="-10"/>
        </w:rPr>
        <w:t xml:space="preserve">节轻重，处 </w:t>
      </w:r>
      <w:r>
        <w:rPr>
          <w:color w:val="auto"/>
        </w:rPr>
        <w:t>10</w:t>
      </w:r>
      <w:r>
        <w:rPr>
          <w:color w:val="auto"/>
          <w:spacing w:val="-19"/>
        </w:rPr>
        <w:t xml:space="preserve"> 万元以下的罚款。”</w:t>
      </w:r>
    </w:p>
    <w:p>
      <w:pPr>
        <w:pStyle w:val="4"/>
        <w:spacing w:line="391" w:lineRule="auto"/>
        <w:ind w:right="268" w:firstLine="626"/>
        <w:jc w:val="both"/>
        <w:rPr>
          <w:color w:val="auto"/>
        </w:rPr>
      </w:pPr>
      <w:r>
        <w:rPr>
          <w:color w:val="auto"/>
        </w:rPr>
        <w:t>2</w:t>
      </w:r>
      <w:r>
        <w:rPr>
          <w:color w:val="auto"/>
          <w:spacing w:val="-12"/>
        </w:rPr>
        <w:t>、《毛绒纤维质量监督管理办法》第十五条第一款第</w:t>
      </w:r>
      <w:r>
        <w:rPr>
          <w:color w:val="auto"/>
        </w:rPr>
        <w:t>（五）项“毛绒纤维经营</w:t>
      </w:r>
      <w:r>
        <w:rPr>
          <w:color w:val="auto"/>
          <w:spacing w:val="-5"/>
        </w:rPr>
        <w:t>者从事毛绒纤维加工活动，应当符合下列要求：(五)经毛绒纤维质量公证检验的毛绒</w:t>
      </w:r>
      <w:r>
        <w:rPr>
          <w:color w:val="auto"/>
          <w:spacing w:val="-7"/>
        </w:rPr>
        <w:t>纤维，应附有毛绒纤维质量公证检验证书和标志；未经毛绒纤维质量公证检验的毛绒</w:t>
      </w:r>
      <w:r>
        <w:rPr>
          <w:color w:val="auto"/>
          <w:spacing w:val="-6"/>
        </w:rPr>
        <w:t>纤维，应附有质量凭证，质量凭证与实物质量相符。”</w:t>
      </w:r>
    </w:p>
    <w:p>
      <w:pPr>
        <w:spacing w:before="0"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60"/>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1"/>
        <w:ind w:left="751"/>
        <w:rPr>
          <w:color w:val="auto"/>
        </w:rPr>
      </w:pPr>
      <w:r>
        <w:rPr>
          <w:color w:val="auto"/>
        </w:rPr>
        <w:t>初次违法，货值金额 5 万以下的。</w:t>
      </w:r>
    </w:p>
    <w:p>
      <w:pPr>
        <w:pStyle w:val="13"/>
        <w:numPr>
          <w:ilvl w:val="0"/>
          <w:numId w:val="1460"/>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61"/>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spacing w:val="-12"/>
        </w:rPr>
        <w:t xml:space="preserve">初次违法，货值金额 </w:t>
      </w:r>
      <w:r>
        <w:rPr>
          <w:color w:val="auto"/>
        </w:rPr>
        <w:t>5</w:t>
      </w:r>
      <w:r>
        <w:rPr>
          <w:color w:val="auto"/>
          <w:spacing w:val="-20"/>
        </w:rPr>
        <w:t xml:space="preserve"> 万元以上 </w:t>
      </w:r>
      <w:r>
        <w:rPr>
          <w:color w:val="auto"/>
        </w:rPr>
        <w:t>20</w:t>
      </w:r>
      <w:r>
        <w:rPr>
          <w:color w:val="auto"/>
          <w:spacing w:val="-11"/>
        </w:rPr>
        <w:t xml:space="preserve"> 万元以下的；或者同时违反本办法第十五条</w:t>
      </w:r>
    </w:p>
    <w:p>
      <w:pPr>
        <w:pStyle w:val="4"/>
        <w:spacing w:before="192"/>
        <w:rPr>
          <w:color w:val="auto"/>
        </w:rPr>
      </w:pPr>
      <w:r>
        <w:rPr>
          <w:color w:val="auto"/>
        </w:rPr>
        <w:t>第(二)项、第(三)项、第(四)项规定的 1 项其他违法行为的。</w:t>
      </w:r>
    </w:p>
    <w:p>
      <w:pPr>
        <w:pStyle w:val="13"/>
        <w:numPr>
          <w:ilvl w:val="0"/>
          <w:numId w:val="1461"/>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、【严重】</w:t>
      </w:r>
    </w:p>
    <w:p>
      <w:pPr>
        <w:pStyle w:val="13"/>
        <w:numPr>
          <w:ilvl w:val="0"/>
          <w:numId w:val="1462"/>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20 万元以上，或者同时违反本办法第十五条第(二)项、第</w:t>
      </w:r>
    </w:p>
    <w:p>
      <w:pPr>
        <w:pStyle w:val="4"/>
        <w:spacing w:before="191"/>
        <w:rPr>
          <w:color w:val="auto"/>
        </w:rPr>
      </w:pPr>
      <w:r>
        <w:rPr>
          <w:color w:val="auto"/>
        </w:rPr>
        <w:t>(三)项、第(四)项规定的其他 2 项违法行为的。</w:t>
      </w:r>
    </w:p>
    <w:p>
      <w:pPr>
        <w:spacing w:after="0"/>
        <w:rPr>
          <w:color w:val="auto"/>
        </w:rPr>
        <w:sectPr>
          <w:pgSz w:w="11910" w:h="16840"/>
          <w:pgMar w:top="1520" w:right="1260" w:bottom="1220" w:left="1420" w:header="0" w:footer="1034" w:gutter="0"/>
        </w:sectPr>
      </w:pPr>
    </w:p>
    <w:p>
      <w:pPr>
        <w:pStyle w:val="13"/>
        <w:numPr>
          <w:ilvl w:val="0"/>
          <w:numId w:val="1462"/>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line="388"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18"/>
        </w:rPr>
        <w:t>、【特别严重】</w:t>
      </w:r>
    </w:p>
    <w:p>
      <w:pPr>
        <w:pStyle w:val="13"/>
        <w:numPr>
          <w:ilvl w:val="0"/>
          <w:numId w:val="1463"/>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两年内再次发生同一违法行为的；或者同时违反本办法第十五条第(二)项、第(三)项、第(四)项规定的其他 3 项违法行为的。</w:t>
      </w:r>
    </w:p>
    <w:p>
      <w:pPr>
        <w:pStyle w:val="13"/>
        <w:numPr>
          <w:ilvl w:val="0"/>
          <w:numId w:val="1463"/>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责令改正，处 8 万元以上 10 万元以下罚款。</w:t>
      </w:r>
    </w:p>
    <w:p>
      <w:pPr>
        <w:pStyle w:val="2"/>
        <w:spacing w:before="192"/>
        <w:rPr>
          <w:color w:val="auto"/>
        </w:rPr>
      </w:pPr>
      <w:bookmarkStart w:id="1324" w:name="_bookmark661"/>
      <w:bookmarkEnd w:id="1324"/>
      <w:bookmarkStart w:id="1325" w:name="六百四十八、从事毛绒纤维加工活动使用国家明令禁用的加工设备"/>
      <w:bookmarkEnd w:id="1325"/>
      <w:r>
        <w:rPr>
          <w:color w:val="auto"/>
        </w:rPr>
        <w:t>六百四十八、从事毛绒纤维加工活动使用国家明令禁用的加工设备</w:t>
      </w:r>
    </w:p>
    <w:p>
      <w:pPr>
        <w:spacing w:before="191"/>
        <w:ind w:left="754" w:right="0" w:firstLine="0"/>
        <w:jc w:val="left"/>
        <w:rPr>
          <w:b/>
          <w:color w:val="auto"/>
          <w:sz w:val="24"/>
        </w:rPr>
      </w:pPr>
      <w:r>
        <w:rPr>
          <w:b/>
          <w:color w:val="auto"/>
          <w:sz w:val="24"/>
        </w:rPr>
        <w:t>（一）处罚依据</w:t>
      </w:r>
    </w:p>
    <w:p>
      <w:pPr>
        <w:pStyle w:val="4"/>
        <w:spacing w:before="195" w:line="388" w:lineRule="auto"/>
        <w:ind w:right="268" w:firstLine="626"/>
        <w:jc w:val="both"/>
        <w:rPr>
          <w:color w:val="auto"/>
        </w:rPr>
      </w:pPr>
      <w:r>
        <w:rPr>
          <w:color w:val="auto"/>
        </w:rPr>
        <w:t>1</w:t>
      </w:r>
      <w:r>
        <w:rPr>
          <w:color w:val="auto"/>
          <w:spacing w:val="-12"/>
        </w:rPr>
        <w:t>、《毛绒纤维质量监督管理办法》第二十一条第二款“违反本办法第十五条第</w:t>
      </w:r>
      <w:r>
        <w:rPr>
          <w:color w:val="auto"/>
          <w:spacing w:val="-11"/>
        </w:rPr>
        <w:t>二款规定的，由纤维质量监督机构没收并监督销毁禁用的毛绒纤维加工设备，并处非</w:t>
      </w:r>
      <w:r>
        <w:rPr>
          <w:color w:val="auto"/>
          <w:spacing w:val="-6"/>
        </w:rPr>
        <w:t xml:space="preserve">法加工设备实际价值 </w:t>
      </w:r>
      <w:r>
        <w:rPr>
          <w:color w:val="auto"/>
        </w:rPr>
        <w:t>2</w:t>
      </w:r>
      <w:r>
        <w:rPr>
          <w:color w:val="auto"/>
          <w:spacing w:val="-24"/>
        </w:rPr>
        <w:t xml:space="preserve"> 倍以上 </w:t>
      </w:r>
      <w:r>
        <w:rPr>
          <w:color w:val="auto"/>
        </w:rPr>
        <w:t>10</w:t>
      </w:r>
      <w:r>
        <w:rPr>
          <w:color w:val="auto"/>
          <w:spacing w:val="-21"/>
        </w:rPr>
        <w:t xml:space="preserve"> 倍以下的罚款。”</w:t>
      </w:r>
    </w:p>
    <w:p>
      <w:pPr>
        <w:pStyle w:val="4"/>
        <w:spacing w:before="5" w:line="388" w:lineRule="auto"/>
        <w:ind w:right="268" w:firstLine="626"/>
        <w:rPr>
          <w:color w:val="auto"/>
        </w:rPr>
      </w:pPr>
      <w:r>
        <w:rPr>
          <w:color w:val="auto"/>
        </w:rPr>
        <w:t>2</w:t>
      </w:r>
      <w:r>
        <w:rPr>
          <w:color w:val="auto"/>
          <w:spacing w:val="-12"/>
        </w:rPr>
        <w:t xml:space="preserve">、《毛绒纤维质量监督管理办法》第十五条第二款“从事毛绒纤维加工活动， </w:t>
      </w:r>
      <w:r>
        <w:rPr>
          <w:color w:val="auto"/>
          <w:spacing w:val="-18"/>
        </w:rPr>
        <w:t>不得使用国家明令禁用的加工设备。”</w:t>
      </w:r>
    </w:p>
    <w:p>
      <w:pPr>
        <w:spacing w:before="2"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64"/>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使用小皮辊机、小锯齿机、土打包机数量较少；或者加工毛绒纤维货值金额较小的。</w:t>
      </w:r>
    </w:p>
    <w:p>
      <w:pPr>
        <w:pStyle w:val="13"/>
        <w:numPr>
          <w:ilvl w:val="0"/>
          <w:numId w:val="1464"/>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line="391" w:lineRule="auto"/>
        <w:ind w:right="271" w:firstLine="640"/>
        <w:rPr>
          <w:color w:val="auto"/>
        </w:rPr>
      </w:pPr>
      <w:r>
        <w:rPr>
          <w:color w:val="auto"/>
          <w:spacing w:val="-2"/>
        </w:rPr>
        <w:t xml:space="preserve">没收并监督销毁禁用的毛绒纤维加工设备，处非法设备实际价值 </w:t>
      </w:r>
      <w:r>
        <w:rPr>
          <w:color w:val="auto"/>
        </w:rPr>
        <w:t>2</w:t>
      </w:r>
      <w:r>
        <w:rPr>
          <w:color w:val="auto"/>
          <w:spacing w:val="-22"/>
        </w:rPr>
        <w:t xml:space="preserve"> 倍以上 </w:t>
      </w:r>
      <w:r>
        <w:rPr>
          <w:color w:val="auto"/>
        </w:rPr>
        <w:t>4</w:t>
      </w:r>
      <w:r>
        <w:rPr>
          <w:color w:val="auto"/>
          <w:spacing w:val="-31"/>
        </w:rPr>
        <w:t xml:space="preserve"> 倍</w:t>
      </w:r>
      <w:r>
        <w:rPr>
          <w:color w:val="auto"/>
        </w:rPr>
        <w:t>以下罚款。</w:t>
      </w:r>
    </w:p>
    <w:p>
      <w:pPr>
        <w:pStyle w:val="4"/>
        <w:spacing w:line="306" w:lineRule="exact"/>
        <w:ind w:left="751"/>
        <w:rPr>
          <w:color w:val="auto"/>
        </w:rPr>
      </w:pPr>
      <w:r>
        <w:rPr>
          <w:color w:val="auto"/>
        </w:rPr>
        <w:t>2、【一般】</w:t>
      </w:r>
    </w:p>
    <w:p>
      <w:pPr>
        <w:pStyle w:val="13"/>
        <w:numPr>
          <w:ilvl w:val="0"/>
          <w:numId w:val="1465"/>
        </w:numPr>
        <w:tabs>
          <w:tab w:val="left" w:pos="1353"/>
        </w:tabs>
        <w:spacing w:before="191"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使用小皮辊机、小锯齿机、土打包机数量较多或者加工毛绒纤维货值金额较大</w:t>
      </w:r>
    </w:p>
    <w:p>
      <w:pPr>
        <w:pStyle w:val="4"/>
        <w:spacing w:before="192"/>
        <w:rPr>
          <w:color w:val="auto"/>
        </w:rPr>
      </w:pPr>
      <w:r>
        <w:rPr>
          <w:color w:val="auto"/>
        </w:rPr>
        <w:t>的。</w:t>
      </w:r>
    </w:p>
    <w:p>
      <w:pPr>
        <w:pStyle w:val="13"/>
        <w:numPr>
          <w:ilvl w:val="0"/>
          <w:numId w:val="1465"/>
        </w:numPr>
        <w:tabs>
          <w:tab w:val="left" w:pos="1353"/>
        </w:tabs>
        <w:spacing w:before="192"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71" w:firstLine="640"/>
        <w:rPr>
          <w:color w:val="auto"/>
        </w:rPr>
      </w:pPr>
      <w:r>
        <w:rPr>
          <w:color w:val="auto"/>
          <w:spacing w:val="-2"/>
        </w:rPr>
        <w:t xml:space="preserve">没收并监督销毁禁用的毛绒纤维加工设备，处非法设备实际价值 </w:t>
      </w:r>
      <w:r>
        <w:rPr>
          <w:color w:val="auto"/>
        </w:rPr>
        <w:t>4</w:t>
      </w:r>
      <w:r>
        <w:rPr>
          <w:color w:val="auto"/>
          <w:spacing w:val="-22"/>
        </w:rPr>
        <w:t xml:space="preserve"> 倍以上 </w:t>
      </w:r>
      <w:r>
        <w:rPr>
          <w:color w:val="auto"/>
        </w:rPr>
        <w:t>6</w:t>
      </w:r>
      <w:r>
        <w:rPr>
          <w:color w:val="auto"/>
          <w:spacing w:val="-31"/>
        </w:rPr>
        <w:t xml:space="preserve"> 倍</w:t>
      </w:r>
      <w:r>
        <w:rPr>
          <w:color w:val="auto"/>
        </w:rPr>
        <w:t>以下罚款。</w:t>
      </w:r>
    </w:p>
    <w:p>
      <w:pPr>
        <w:pStyle w:val="4"/>
        <w:spacing w:line="306" w:lineRule="exact"/>
        <w:ind w:left="751"/>
        <w:rPr>
          <w:color w:val="auto"/>
        </w:rPr>
      </w:pPr>
      <w:r>
        <w:rPr>
          <w:color w:val="auto"/>
        </w:rPr>
        <w:t>3、【较重】</w:t>
      </w:r>
    </w:p>
    <w:p>
      <w:pPr>
        <w:pStyle w:val="13"/>
        <w:numPr>
          <w:ilvl w:val="0"/>
          <w:numId w:val="1466"/>
        </w:numPr>
        <w:tabs>
          <w:tab w:val="left" w:pos="1353"/>
        </w:tabs>
        <w:spacing w:before="19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使用小皮辊机、小锯齿机、土打包机数量较多，且加工毛绒纤维货值金额较大</w:t>
      </w:r>
    </w:p>
    <w:p>
      <w:pPr>
        <w:pStyle w:val="4"/>
        <w:spacing w:before="192"/>
        <w:rPr>
          <w:color w:val="auto"/>
        </w:rPr>
      </w:pPr>
      <w:r>
        <w:rPr>
          <w:color w:val="auto"/>
        </w:rPr>
        <w:t>的。</w:t>
      </w:r>
    </w:p>
    <w:p>
      <w:pPr>
        <w:pStyle w:val="13"/>
        <w:numPr>
          <w:ilvl w:val="0"/>
          <w:numId w:val="1466"/>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right="271" w:firstLine="640"/>
        <w:rPr>
          <w:color w:val="auto"/>
        </w:rPr>
      </w:pPr>
      <w:r>
        <w:rPr>
          <w:color w:val="auto"/>
          <w:spacing w:val="-2"/>
        </w:rPr>
        <w:t xml:space="preserve">没收并监督销毁禁用的毛绒纤维加工设备，处非法设备实际价值 </w:t>
      </w:r>
      <w:r>
        <w:rPr>
          <w:color w:val="auto"/>
        </w:rPr>
        <w:t>6</w:t>
      </w:r>
      <w:r>
        <w:rPr>
          <w:color w:val="auto"/>
          <w:spacing w:val="-22"/>
        </w:rPr>
        <w:t xml:space="preserve"> 倍以上 </w:t>
      </w:r>
      <w:r>
        <w:rPr>
          <w:color w:val="auto"/>
        </w:rPr>
        <w:t>8</w:t>
      </w:r>
      <w:r>
        <w:rPr>
          <w:color w:val="auto"/>
          <w:spacing w:val="-31"/>
        </w:rPr>
        <w:t xml:space="preserve"> 倍</w:t>
      </w:r>
      <w:r>
        <w:rPr>
          <w:color w:val="auto"/>
        </w:rPr>
        <w:t>以下罚款。</w:t>
      </w:r>
    </w:p>
    <w:p>
      <w:pPr>
        <w:pStyle w:val="4"/>
        <w:spacing w:before="2"/>
        <w:ind w:left="751"/>
        <w:rPr>
          <w:color w:val="auto"/>
        </w:rPr>
      </w:pPr>
      <w:r>
        <w:rPr>
          <w:color w:val="auto"/>
        </w:rPr>
        <w:t>3、【严重】</w:t>
      </w:r>
    </w:p>
    <w:p>
      <w:pPr>
        <w:pStyle w:val="13"/>
        <w:numPr>
          <w:ilvl w:val="0"/>
          <w:numId w:val="1467"/>
        </w:numPr>
        <w:tabs>
          <w:tab w:val="left" w:pos="1353"/>
        </w:tabs>
        <w:spacing w:before="194" w:after="0" w:line="240" w:lineRule="auto"/>
        <w:ind w:left="1353" w:right="0" w:hanging="602"/>
        <w:jc w:val="left"/>
        <w:rPr>
          <w:color w:val="auto"/>
          <w:sz w:val="24"/>
        </w:rPr>
      </w:pPr>
      <w:r>
        <w:rPr>
          <w:color w:val="auto"/>
          <w:sz w:val="24"/>
        </w:rPr>
        <w:t>违法情形</w:t>
      </w:r>
    </w:p>
    <w:p>
      <w:pPr>
        <w:pStyle w:val="4"/>
        <w:spacing w:before="192" w:line="388" w:lineRule="auto"/>
        <w:ind w:right="268" w:firstLine="640"/>
        <w:rPr>
          <w:color w:val="auto"/>
        </w:rPr>
      </w:pPr>
      <w:r>
        <w:rPr>
          <w:color w:val="auto"/>
        </w:rPr>
        <w:t>使用国家明令禁止的毛绒纤维加工设备，被相关部门查处后仍从事该活动或者违法行为社会影响重大的。</w:t>
      </w:r>
    </w:p>
    <w:p>
      <w:pPr>
        <w:pStyle w:val="13"/>
        <w:numPr>
          <w:ilvl w:val="0"/>
          <w:numId w:val="1467"/>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line="388" w:lineRule="auto"/>
        <w:ind w:right="268" w:firstLine="640"/>
        <w:rPr>
          <w:color w:val="auto"/>
        </w:rPr>
      </w:pPr>
      <w:r>
        <w:rPr>
          <w:color w:val="auto"/>
          <w:spacing w:val="-7"/>
        </w:rPr>
        <w:t xml:space="preserve">没收并监督销毁禁用的毛绒纤维加工设备，处非法设备实际价值 </w:t>
      </w:r>
      <w:r>
        <w:rPr>
          <w:color w:val="auto"/>
        </w:rPr>
        <w:t>8</w:t>
      </w:r>
      <w:r>
        <w:rPr>
          <w:color w:val="auto"/>
          <w:spacing w:val="-24"/>
        </w:rPr>
        <w:t xml:space="preserve"> 倍以上 </w:t>
      </w:r>
      <w:r>
        <w:rPr>
          <w:color w:val="auto"/>
        </w:rPr>
        <w:t>10</w:t>
      </w:r>
      <w:r>
        <w:rPr>
          <w:color w:val="auto"/>
          <w:spacing w:val="-38"/>
        </w:rPr>
        <w:t xml:space="preserve"> 倍</w:t>
      </w:r>
      <w:r>
        <w:rPr>
          <w:color w:val="auto"/>
        </w:rPr>
        <w:t>以下罚款。</w:t>
      </w:r>
    </w:p>
    <w:p>
      <w:pPr>
        <w:pStyle w:val="2"/>
        <w:spacing w:before="4" w:line="388" w:lineRule="auto"/>
        <w:ind w:left="111" w:right="237" w:firstLine="480"/>
        <w:rPr>
          <w:color w:val="auto"/>
        </w:rPr>
      </w:pPr>
      <w:bookmarkStart w:id="1326" w:name="_bookmark662"/>
      <w:bookmarkEnd w:id="1326"/>
      <w:bookmarkStart w:id="1327" w:name="六百四十九、毛绒纤维经营者对批量销售未经过加工的毛绒纤维进行包装，未防止异性纤维"/>
      <w:bookmarkEnd w:id="1327"/>
      <w:r>
        <w:rPr>
          <w:color w:val="auto"/>
          <w:spacing w:val="-7"/>
        </w:rPr>
        <w:t>六百四十九、毛绒纤维经营者对批量销售未经过加工的毛绒纤维进行包装，未防止异性纤维及其他非毛绒纤维物质混入包装</w:t>
      </w:r>
    </w:p>
    <w:p>
      <w:pPr>
        <w:spacing w:before="2"/>
        <w:ind w:left="754" w:right="0" w:firstLine="0"/>
        <w:jc w:val="left"/>
        <w:rPr>
          <w:b/>
          <w:color w:val="auto"/>
          <w:sz w:val="24"/>
        </w:rPr>
      </w:pPr>
      <w:r>
        <w:rPr>
          <w:b/>
          <w:color w:val="auto"/>
          <w:sz w:val="24"/>
        </w:rPr>
        <w:t>（一）处罚依据</w:t>
      </w:r>
    </w:p>
    <w:p>
      <w:pPr>
        <w:pStyle w:val="4"/>
        <w:spacing w:before="195" w:line="391" w:lineRule="auto"/>
        <w:ind w:right="148" w:firstLine="626"/>
        <w:rPr>
          <w:color w:val="auto"/>
        </w:rPr>
      </w:pPr>
      <w:r>
        <w:rPr>
          <w:color w:val="auto"/>
        </w:rPr>
        <w:t>1</w:t>
      </w:r>
      <w:r>
        <w:rPr>
          <w:color w:val="auto"/>
          <w:spacing w:val="-15"/>
        </w:rPr>
        <w:t xml:space="preserve">、《毛绒纤维质量监督管理办法》第二十二条“毛绒纤维经营者在销售活动中， </w:t>
      </w:r>
      <w:r>
        <w:rPr>
          <w:color w:val="auto"/>
          <w:spacing w:val="-3"/>
        </w:rPr>
        <w:t>违反本办法第十六条第一款第(一)项、第(二)项、第(三)项、第(六)项以及第二款规</w:t>
      </w:r>
      <w:r>
        <w:rPr>
          <w:color w:val="auto"/>
          <w:spacing w:val="-8"/>
        </w:rPr>
        <w:t xml:space="preserve">定的，由纤维质量监督机构责令改正，并可以根据情节轻重，处 </w:t>
      </w:r>
      <w:r>
        <w:rPr>
          <w:color w:val="auto"/>
        </w:rPr>
        <w:t>10</w:t>
      </w:r>
      <w:r>
        <w:rPr>
          <w:color w:val="auto"/>
          <w:spacing w:val="-9"/>
        </w:rPr>
        <w:t xml:space="preserve"> 万元以下的罚款； </w:t>
      </w:r>
      <w:r>
        <w:rPr>
          <w:color w:val="auto"/>
          <w:spacing w:val="-2"/>
        </w:rPr>
        <w:t>违反本办法第十六条第一款第(四)项规定的，由纤维质量监督机构责令改正，拒不改</w:t>
      </w:r>
      <w:r>
        <w:rPr>
          <w:color w:val="auto"/>
          <w:spacing w:val="-10"/>
        </w:rPr>
        <w:t xml:space="preserve">正的,处以 </w:t>
      </w:r>
      <w:r>
        <w:rPr>
          <w:color w:val="auto"/>
        </w:rPr>
        <w:t>3</w:t>
      </w:r>
      <w:r>
        <w:rPr>
          <w:color w:val="auto"/>
          <w:spacing w:val="-7"/>
        </w:rPr>
        <w:t xml:space="preserve"> 万元以下的罚款；违反本办法第十六条第三款规定的，由纤维质量监督</w:t>
      </w:r>
    </w:p>
    <w:p>
      <w:pPr>
        <w:pStyle w:val="4"/>
        <w:spacing w:line="300" w:lineRule="exact"/>
        <w:rPr>
          <w:color w:val="auto"/>
        </w:rPr>
      </w:pPr>
      <w:r>
        <w:rPr>
          <w:color w:val="auto"/>
        </w:rPr>
        <w:t>机构责令补办检验，对拒不补办的，处以 3 万元以下的罚款。”</w:t>
      </w:r>
    </w:p>
    <w:p>
      <w:pPr>
        <w:pStyle w:val="4"/>
        <w:spacing w:before="194" w:line="388" w:lineRule="auto"/>
        <w:ind w:right="268" w:firstLine="626"/>
        <w:jc w:val="both"/>
        <w:rPr>
          <w:color w:val="auto"/>
        </w:rPr>
      </w:pPr>
      <w:r>
        <w:rPr>
          <w:color w:val="auto"/>
        </w:rPr>
        <w:t>2</w:t>
      </w:r>
      <w:r>
        <w:rPr>
          <w:color w:val="auto"/>
          <w:spacing w:val="-12"/>
        </w:rPr>
        <w:t>、《毛绒纤维质量监督管理办法》第十六条第一款第</w:t>
      </w:r>
      <w:r>
        <w:rPr>
          <w:color w:val="auto"/>
        </w:rPr>
        <w:t>（一）项“毛绒纤维经营</w:t>
      </w:r>
      <w:r>
        <w:rPr>
          <w:color w:val="auto"/>
          <w:spacing w:val="-3"/>
        </w:rPr>
        <w:t>者批量销售未经过加工的毛绒纤维(以下统称原毛绒)应当符合以下要求：(一)进行包</w:t>
      </w:r>
      <w:r>
        <w:rPr>
          <w:color w:val="auto"/>
          <w:spacing w:val="-6"/>
        </w:rPr>
        <w:t>装要防止异性纤维及其他非毛绒纤维物质混入包装。”</w:t>
      </w:r>
    </w:p>
    <w:p>
      <w:pPr>
        <w:spacing w:after="0" w:line="388" w:lineRule="auto"/>
        <w:jc w:val="both"/>
        <w:rPr>
          <w:color w:val="auto"/>
        </w:rPr>
        <w:sectPr>
          <w:pgSz w:w="11910" w:h="16840"/>
          <w:pgMar w:top="1520" w:right="1260" w:bottom="1220" w:left="1420" w:header="0" w:footer="1034" w:gutter="0"/>
        </w:sectPr>
      </w:pPr>
    </w:p>
    <w:p>
      <w:pPr>
        <w:spacing w:before="39"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6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万以下的。</w:t>
      </w:r>
    </w:p>
    <w:p>
      <w:pPr>
        <w:pStyle w:val="13"/>
        <w:numPr>
          <w:ilvl w:val="0"/>
          <w:numId w:val="1468"/>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69"/>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spacing w:val="10"/>
        </w:rPr>
        <w:t>货值金额</w:t>
      </w:r>
      <w:r>
        <w:rPr>
          <w:color w:val="auto"/>
        </w:rPr>
        <w:t>5</w:t>
      </w:r>
      <w:r>
        <w:rPr>
          <w:color w:val="auto"/>
          <w:spacing w:val="-9"/>
        </w:rPr>
        <w:t xml:space="preserve"> 万元以上</w:t>
      </w:r>
      <w:r>
        <w:rPr>
          <w:color w:val="auto"/>
        </w:rPr>
        <w:t>20</w:t>
      </w:r>
      <w:r>
        <w:rPr>
          <w:color w:val="auto"/>
          <w:spacing w:val="-15"/>
        </w:rPr>
        <w:t xml:space="preserve"> 万元以下的；或者同时违反本办法第十六条第一款第(二)</w:t>
      </w:r>
    </w:p>
    <w:p>
      <w:pPr>
        <w:pStyle w:val="4"/>
        <w:spacing w:before="192"/>
        <w:rPr>
          <w:color w:val="auto"/>
        </w:rPr>
      </w:pPr>
      <w:r>
        <w:rPr>
          <w:color w:val="auto"/>
        </w:rPr>
        <w:t>项、第(三)项、第(六)项以及第二款规定的 1 项其他违法行为的。</w:t>
      </w:r>
    </w:p>
    <w:p>
      <w:pPr>
        <w:pStyle w:val="13"/>
        <w:numPr>
          <w:ilvl w:val="0"/>
          <w:numId w:val="1469"/>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470"/>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万元以上，或者同时违反本办法第十六条第一款第(二)项、第(三)</w:t>
      </w:r>
    </w:p>
    <w:p>
      <w:pPr>
        <w:pStyle w:val="4"/>
        <w:spacing w:before="192"/>
        <w:rPr>
          <w:color w:val="auto"/>
        </w:rPr>
      </w:pPr>
      <w:r>
        <w:rPr>
          <w:color w:val="auto"/>
        </w:rPr>
        <w:t>项、第(六)项以及第二款规定的其他 2 项违法行为的。</w:t>
      </w:r>
    </w:p>
    <w:p>
      <w:pPr>
        <w:pStyle w:val="13"/>
        <w:numPr>
          <w:ilvl w:val="0"/>
          <w:numId w:val="1470"/>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471"/>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line="388" w:lineRule="auto"/>
        <w:ind w:right="271" w:firstLine="640"/>
        <w:rPr>
          <w:color w:val="auto"/>
        </w:rPr>
      </w:pPr>
      <w:r>
        <w:rPr>
          <w:color w:val="auto"/>
        </w:rPr>
        <w:t>两年内再次发生同一违法行为的；或者同时违反本办法第十六条第一款第(二) 项、第(三)项、第(六)项以及第二款规定的其他 3 项及以上违法行为的。</w:t>
      </w:r>
    </w:p>
    <w:p>
      <w:pPr>
        <w:pStyle w:val="13"/>
        <w:numPr>
          <w:ilvl w:val="0"/>
          <w:numId w:val="1471"/>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责令改正，处 8 万元以上 10 万元以下罚款。</w:t>
      </w:r>
    </w:p>
    <w:p>
      <w:pPr>
        <w:pStyle w:val="2"/>
        <w:spacing w:before="191" w:line="391" w:lineRule="auto"/>
        <w:ind w:left="111" w:right="170" w:firstLine="480"/>
        <w:rPr>
          <w:color w:val="auto"/>
        </w:rPr>
      </w:pPr>
      <w:bookmarkStart w:id="1328" w:name="_bookmark663"/>
      <w:bookmarkEnd w:id="1328"/>
      <w:bookmarkStart w:id="1329" w:name="六百五十、毛绒纤维经营者批量销售的未经过加工的毛绒纤维，其类别、型号、等级、标识"/>
      <w:bookmarkEnd w:id="1329"/>
      <w:r>
        <w:rPr>
          <w:color w:val="auto"/>
        </w:rPr>
        <w:t>六百五十、毛绒纤维经营者批量销售的未经过加工的毛绒纤维，其类别、型号、等级、标识与国家标准、技术规范不一致</w:t>
      </w:r>
    </w:p>
    <w:p>
      <w:pPr>
        <w:spacing w:before="0" w:line="306" w:lineRule="exact"/>
        <w:ind w:left="754" w:right="0" w:firstLine="0"/>
        <w:jc w:val="left"/>
        <w:rPr>
          <w:b/>
          <w:color w:val="auto"/>
          <w:sz w:val="24"/>
        </w:rPr>
      </w:pPr>
      <w:r>
        <w:rPr>
          <w:b/>
          <w:color w:val="auto"/>
          <w:sz w:val="24"/>
        </w:rPr>
        <w:t>（一）处罚依据</w:t>
      </w:r>
    </w:p>
    <w:p>
      <w:pPr>
        <w:pStyle w:val="4"/>
        <w:spacing w:before="192"/>
        <w:ind w:left="737"/>
        <w:rPr>
          <w:color w:val="auto"/>
        </w:rPr>
      </w:pPr>
      <w:r>
        <w:rPr>
          <w:color w:val="auto"/>
        </w:rPr>
        <w:t>1</w:t>
      </w:r>
      <w:r>
        <w:rPr>
          <w:color w:val="auto"/>
          <w:spacing w:val="-15"/>
        </w:rPr>
        <w:t>、《毛绒纤维质量监督管理办法》第二十二条“毛绒纤维经营者在销售活动中，</w:t>
      </w:r>
    </w:p>
    <w:p>
      <w:pPr>
        <w:spacing w:after="0"/>
        <w:rPr>
          <w:color w:val="auto"/>
        </w:rPr>
        <w:sectPr>
          <w:pgSz w:w="11910" w:h="16840"/>
          <w:pgMar w:top="1520" w:right="1260" w:bottom="1220" w:left="1420" w:header="0" w:footer="1034" w:gutter="0"/>
        </w:sectPr>
      </w:pPr>
    </w:p>
    <w:p>
      <w:pPr>
        <w:pStyle w:val="4"/>
        <w:spacing w:before="39" w:line="391" w:lineRule="auto"/>
        <w:ind w:right="148"/>
        <w:rPr>
          <w:color w:val="auto"/>
        </w:rPr>
      </w:pPr>
      <w:r>
        <w:rPr>
          <w:color w:val="auto"/>
          <w:spacing w:val="-3"/>
        </w:rPr>
        <w:t>违反本办法第十六条第一款第(一)项、第(二)项、第(三)项、第(六)项以及第二款规</w:t>
      </w:r>
      <w:r>
        <w:rPr>
          <w:color w:val="auto"/>
          <w:spacing w:val="-8"/>
        </w:rPr>
        <w:t xml:space="preserve">定的，由纤维质量监督机构责令改正，并可以根据情节轻重，处 </w:t>
      </w:r>
      <w:r>
        <w:rPr>
          <w:color w:val="auto"/>
        </w:rPr>
        <w:t>10</w:t>
      </w:r>
      <w:r>
        <w:rPr>
          <w:color w:val="auto"/>
          <w:spacing w:val="-9"/>
        </w:rPr>
        <w:t xml:space="preserve"> 万元以下的罚款； </w:t>
      </w:r>
      <w:r>
        <w:rPr>
          <w:color w:val="auto"/>
          <w:spacing w:val="-2"/>
        </w:rPr>
        <w:t>违反本办法第十六条第一款第(四)项规定的，由纤维质量监督机构责令改正，拒不改</w:t>
      </w:r>
      <w:r>
        <w:rPr>
          <w:color w:val="auto"/>
          <w:spacing w:val="-10"/>
        </w:rPr>
        <w:t xml:space="preserve">正的,处以 </w:t>
      </w:r>
      <w:r>
        <w:rPr>
          <w:color w:val="auto"/>
        </w:rPr>
        <w:t>3</w:t>
      </w:r>
      <w:r>
        <w:rPr>
          <w:color w:val="auto"/>
          <w:spacing w:val="-7"/>
        </w:rPr>
        <w:t xml:space="preserve"> 万元以下的罚款；违反本办法第十六条第三款规定的，由纤维质量监督</w:t>
      </w:r>
    </w:p>
    <w:p>
      <w:pPr>
        <w:pStyle w:val="4"/>
        <w:spacing w:line="304" w:lineRule="exact"/>
        <w:rPr>
          <w:color w:val="auto"/>
        </w:rPr>
      </w:pPr>
      <w:r>
        <w:rPr>
          <w:color w:val="auto"/>
        </w:rPr>
        <w:t>机构责令补办检验，对拒不补办的，处以 3 万元以下的罚款。”</w:t>
      </w:r>
    </w:p>
    <w:p>
      <w:pPr>
        <w:pStyle w:val="4"/>
        <w:spacing w:before="192" w:line="391" w:lineRule="auto"/>
        <w:ind w:right="148" w:firstLine="626"/>
        <w:rPr>
          <w:color w:val="auto"/>
        </w:rPr>
      </w:pPr>
      <w:r>
        <w:rPr>
          <w:color w:val="auto"/>
        </w:rPr>
        <w:t>2</w:t>
      </w:r>
      <w:r>
        <w:rPr>
          <w:color w:val="auto"/>
          <w:spacing w:val="-12"/>
        </w:rPr>
        <w:t>、《毛绒纤维质量监督管理办法》第十六条第一款第</w:t>
      </w:r>
      <w:r>
        <w:rPr>
          <w:color w:val="auto"/>
        </w:rPr>
        <w:t>（二）项“毛绒纤维经营</w:t>
      </w:r>
      <w:r>
        <w:rPr>
          <w:color w:val="auto"/>
          <w:spacing w:val="-3"/>
        </w:rPr>
        <w:t>者批量销售未经过加工的毛绒纤维(以下统称原毛绒)应当符合以下要求： (二)类别、</w:t>
      </w:r>
      <w:r>
        <w:rPr>
          <w:color w:val="auto"/>
          <w:spacing w:val="-6"/>
        </w:rPr>
        <w:t>型号、等级、标识与国家标准、技术规范相一致。”</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72"/>
        </w:numPr>
        <w:tabs>
          <w:tab w:val="left" w:pos="1353"/>
        </w:tabs>
        <w:spacing w:before="1"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万以下的。</w:t>
      </w:r>
    </w:p>
    <w:p>
      <w:pPr>
        <w:pStyle w:val="13"/>
        <w:numPr>
          <w:ilvl w:val="0"/>
          <w:numId w:val="1472"/>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5"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73"/>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spacing w:val="10"/>
        </w:rPr>
        <w:t>货值金额</w:t>
      </w:r>
      <w:r>
        <w:rPr>
          <w:color w:val="auto"/>
        </w:rPr>
        <w:t>5</w:t>
      </w:r>
      <w:r>
        <w:rPr>
          <w:color w:val="auto"/>
          <w:spacing w:val="-9"/>
        </w:rPr>
        <w:t xml:space="preserve"> 万元以上</w:t>
      </w:r>
      <w:r>
        <w:rPr>
          <w:color w:val="auto"/>
        </w:rPr>
        <w:t>20</w:t>
      </w:r>
      <w:r>
        <w:rPr>
          <w:color w:val="auto"/>
          <w:spacing w:val="-15"/>
        </w:rPr>
        <w:t xml:space="preserve"> 万元以下的；或者同时违反本办法第十六条第一款第(一)</w:t>
      </w:r>
    </w:p>
    <w:p>
      <w:pPr>
        <w:pStyle w:val="4"/>
        <w:spacing w:before="191"/>
        <w:rPr>
          <w:color w:val="auto"/>
        </w:rPr>
      </w:pPr>
      <w:r>
        <w:rPr>
          <w:color w:val="auto"/>
        </w:rPr>
        <w:t>项、第(三)项、第(六)项以及第二款规定的 1 项其他违法行为的。</w:t>
      </w:r>
    </w:p>
    <w:p>
      <w:pPr>
        <w:pStyle w:val="13"/>
        <w:numPr>
          <w:ilvl w:val="0"/>
          <w:numId w:val="1473"/>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474"/>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20 万元以上，或者同时违反本办法第十六条第一款第(一)项、第(三)</w:t>
      </w:r>
    </w:p>
    <w:p>
      <w:pPr>
        <w:pStyle w:val="4"/>
        <w:spacing w:before="192"/>
        <w:rPr>
          <w:color w:val="auto"/>
        </w:rPr>
      </w:pPr>
      <w:r>
        <w:rPr>
          <w:color w:val="auto"/>
        </w:rPr>
        <w:t>项、第(六)项以及第二款规定的其他 2 项违法行为的。</w:t>
      </w:r>
    </w:p>
    <w:p>
      <w:pPr>
        <w:pStyle w:val="13"/>
        <w:numPr>
          <w:ilvl w:val="0"/>
          <w:numId w:val="1474"/>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475"/>
        </w:numPr>
        <w:tabs>
          <w:tab w:val="left" w:pos="1353"/>
        </w:tabs>
        <w:spacing w:before="2" w:after="0" w:line="240" w:lineRule="auto"/>
        <w:ind w:left="1353" w:right="0" w:hanging="602"/>
        <w:jc w:val="left"/>
        <w:rPr>
          <w:color w:val="auto"/>
          <w:sz w:val="24"/>
        </w:rPr>
      </w:pPr>
      <w:r>
        <w:rPr>
          <w:color w:val="auto"/>
          <w:sz w:val="24"/>
        </w:rPr>
        <w:t>违法情形</w:t>
      </w:r>
    </w:p>
    <w:p>
      <w:pPr>
        <w:spacing w:after="0" w:line="240" w:lineRule="auto"/>
        <w:jc w:val="left"/>
        <w:rPr>
          <w:color w:val="auto"/>
          <w:sz w:val="24"/>
        </w:rPr>
        <w:sectPr>
          <w:footerReference r:id="rId161" w:type="default"/>
          <w:footerReference r:id="rId162" w:type="even"/>
          <w:pgSz w:w="11910" w:h="16840"/>
          <w:pgMar w:top="1520" w:right="1260" w:bottom="1220" w:left="1420" w:header="0" w:footer="1034" w:gutter="0"/>
          <w:pgNumType w:start="630"/>
        </w:sectPr>
      </w:pPr>
    </w:p>
    <w:p>
      <w:pPr>
        <w:pStyle w:val="4"/>
        <w:spacing w:before="39" w:line="391" w:lineRule="auto"/>
        <w:ind w:right="271" w:firstLine="640"/>
        <w:rPr>
          <w:color w:val="auto"/>
        </w:rPr>
      </w:pPr>
      <w:r>
        <w:rPr>
          <w:color w:val="auto"/>
        </w:rPr>
        <w:t>两年内再次发生同一违法行为的；或者同时违反本办法第十六条第一款第(一) 项、第(三)项、第(六)项以及第二款规定的其他 3 项及以上违法行为的。</w:t>
      </w:r>
    </w:p>
    <w:p>
      <w:pPr>
        <w:pStyle w:val="13"/>
        <w:numPr>
          <w:ilvl w:val="0"/>
          <w:numId w:val="1475"/>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jc w:val="both"/>
        <w:rPr>
          <w:color w:val="auto"/>
        </w:rPr>
      </w:pPr>
      <w:r>
        <w:rPr>
          <w:color w:val="auto"/>
        </w:rPr>
        <w:t>责令改正，处 8 万元以上 10 万元以下罚款。</w:t>
      </w:r>
    </w:p>
    <w:p>
      <w:pPr>
        <w:pStyle w:val="2"/>
        <w:spacing w:before="194" w:line="391" w:lineRule="auto"/>
        <w:ind w:left="111" w:right="235" w:firstLine="480"/>
        <w:jc w:val="both"/>
        <w:rPr>
          <w:color w:val="auto"/>
        </w:rPr>
      </w:pPr>
      <w:bookmarkStart w:id="1330" w:name="_bookmark664"/>
      <w:bookmarkEnd w:id="1330"/>
      <w:bookmarkStart w:id="1331" w:name="六百五十一、经过质量公证检验或《毛绒纤维质量监督管理办法》第九条规定的检验的毛绒"/>
      <w:bookmarkEnd w:id="1331"/>
      <w:r>
        <w:rPr>
          <w:color w:val="auto"/>
          <w:spacing w:val="-7"/>
        </w:rPr>
        <w:t>六百五十一、经过质量公证检验或《毛绒纤维质量监督管理办法》第九条规定的</w:t>
      </w:r>
      <w:r>
        <w:rPr>
          <w:color w:val="auto"/>
          <w:spacing w:val="-10"/>
        </w:rPr>
        <w:t>检验的毛绒纤维，未附有毛绒纤维质量公证检验证书、标志或《毛绒纤维质量监督管理办法》第九条规定的检验证书；既未经过毛绒纤维质量公证检验也未经过《毛绒纤</w:t>
      </w:r>
      <w:r>
        <w:rPr>
          <w:color w:val="auto"/>
          <w:spacing w:val="-12"/>
        </w:rPr>
        <w:t>维质量监督管理办法》第九条规定的检验的毛绒纤维，未附有质量凭证或所附的质量凭证与实物质量不符</w:t>
      </w:r>
    </w:p>
    <w:p>
      <w:pPr>
        <w:spacing w:before="0" w:line="300" w:lineRule="exact"/>
        <w:ind w:left="754" w:right="0" w:firstLine="0"/>
        <w:jc w:val="left"/>
        <w:rPr>
          <w:b/>
          <w:color w:val="auto"/>
          <w:sz w:val="24"/>
        </w:rPr>
      </w:pPr>
      <w:r>
        <w:rPr>
          <w:b/>
          <w:color w:val="auto"/>
          <w:sz w:val="24"/>
        </w:rPr>
        <w:t>（一）处罚依据</w:t>
      </w:r>
    </w:p>
    <w:p>
      <w:pPr>
        <w:pStyle w:val="4"/>
        <w:spacing w:before="194" w:line="391" w:lineRule="auto"/>
        <w:ind w:right="148" w:firstLine="626"/>
        <w:rPr>
          <w:color w:val="auto"/>
        </w:rPr>
      </w:pPr>
      <w:r>
        <w:rPr>
          <w:color w:val="auto"/>
        </w:rPr>
        <w:t>1</w:t>
      </w:r>
      <w:r>
        <w:rPr>
          <w:color w:val="auto"/>
          <w:spacing w:val="-15"/>
        </w:rPr>
        <w:t xml:space="preserve">、《毛绒纤维质量监督管理办法》第二十二条“毛绒纤维经营者在销售活动中， </w:t>
      </w:r>
      <w:r>
        <w:rPr>
          <w:color w:val="auto"/>
          <w:spacing w:val="-3"/>
        </w:rPr>
        <w:t>违反本办法第十六条第一款第(一)项、第(二)项、第(三)项、第(六)项以及第二款规</w:t>
      </w:r>
      <w:r>
        <w:rPr>
          <w:color w:val="auto"/>
          <w:spacing w:val="-8"/>
        </w:rPr>
        <w:t xml:space="preserve">定的，由纤维质量监督机构责令改正，并可以根据情节轻重，处 </w:t>
      </w:r>
      <w:r>
        <w:rPr>
          <w:color w:val="auto"/>
        </w:rPr>
        <w:t>10</w:t>
      </w:r>
      <w:r>
        <w:rPr>
          <w:color w:val="auto"/>
          <w:spacing w:val="-9"/>
        </w:rPr>
        <w:t xml:space="preserve"> 万元以下的罚款； </w:t>
      </w:r>
      <w:r>
        <w:rPr>
          <w:color w:val="auto"/>
          <w:spacing w:val="-2"/>
        </w:rPr>
        <w:t>违反本办法第十六条第一款第(四)项规定的，由纤维质量监督机构责令改正，拒不改</w:t>
      </w:r>
      <w:r>
        <w:rPr>
          <w:color w:val="auto"/>
          <w:spacing w:val="-10"/>
        </w:rPr>
        <w:t xml:space="preserve">正的,处以 </w:t>
      </w:r>
      <w:r>
        <w:rPr>
          <w:color w:val="auto"/>
        </w:rPr>
        <w:t>3</w:t>
      </w:r>
      <w:r>
        <w:rPr>
          <w:color w:val="auto"/>
          <w:spacing w:val="-7"/>
        </w:rPr>
        <w:t xml:space="preserve"> 万元以下的罚款；违反本办法第十六条第三款规定的，由纤维质量监督</w:t>
      </w:r>
    </w:p>
    <w:p>
      <w:pPr>
        <w:pStyle w:val="4"/>
        <w:spacing w:line="300" w:lineRule="exact"/>
        <w:rPr>
          <w:color w:val="auto"/>
        </w:rPr>
      </w:pPr>
      <w:r>
        <w:rPr>
          <w:color w:val="auto"/>
        </w:rPr>
        <w:t>机构责令补办检验，对拒不补办的，处以 3 万元以下的罚款。”</w:t>
      </w:r>
    </w:p>
    <w:p>
      <w:pPr>
        <w:pStyle w:val="4"/>
        <w:spacing w:before="194" w:line="388" w:lineRule="auto"/>
        <w:ind w:right="268" w:firstLine="626"/>
        <w:jc w:val="both"/>
        <w:rPr>
          <w:color w:val="auto"/>
        </w:rPr>
      </w:pPr>
      <w:r>
        <w:rPr>
          <w:color w:val="auto"/>
        </w:rPr>
        <w:t>2</w:t>
      </w:r>
      <w:r>
        <w:rPr>
          <w:color w:val="auto"/>
          <w:spacing w:val="-12"/>
        </w:rPr>
        <w:t>、《毛绒纤维质量监督管理办法》第十六条第一款第</w:t>
      </w:r>
      <w:r>
        <w:rPr>
          <w:color w:val="auto"/>
        </w:rPr>
        <w:t>（三）项“毛绒纤维经营</w:t>
      </w:r>
      <w:r>
        <w:rPr>
          <w:color w:val="auto"/>
          <w:spacing w:val="-3"/>
        </w:rPr>
        <w:t>者批量销售未经过加工的毛绒纤维(以下统称原毛绒)应当符合以下要求：(三)经过毛绒纤维质量公证检验或本办法第九条规定的检验的毛绒纤维，须附有毛绒纤维质量公</w:t>
      </w:r>
      <w:r>
        <w:rPr>
          <w:color w:val="auto"/>
          <w:spacing w:val="-6"/>
        </w:rPr>
        <w:t>证检验证书、标志或本办法第九条规定的检验的证书；既未经过毛绒纤维质量公证检</w:t>
      </w:r>
      <w:r>
        <w:rPr>
          <w:color w:val="auto"/>
          <w:spacing w:val="-3"/>
        </w:rPr>
        <w:t>验也未经过本办法第九条规定的检验的毛绒纤维，附有质量凭证，质量凭证与实物质</w:t>
      </w:r>
      <w:r>
        <w:rPr>
          <w:color w:val="auto"/>
          <w:spacing w:val="-24"/>
        </w:rPr>
        <w:t>量相符。”</w:t>
      </w:r>
    </w:p>
    <w:p>
      <w:pPr>
        <w:spacing w:before="12"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7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5 万以下的。</w:t>
      </w:r>
    </w:p>
    <w:p>
      <w:pPr>
        <w:pStyle w:val="13"/>
        <w:numPr>
          <w:ilvl w:val="0"/>
          <w:numId w:val="1476"/>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责令改正，处 2 万元以下罚款。</w:t>
      </w:r>
    </w:p>
    <w:p>
      <w:pPr>
        <w:spacing w:after="0"/>
        <w:rPr>
          <w:color w:val="auto"/>
        </w:rPr>
        <w:sectPr>
          <w:pgSz w:w="11910" w:h="16840"/>
          <w:pgMar w:top="1520" w:right="1260" w:bottom="1220" w:left="1420" w:header="0" w:footer="1034" w:gutter="0"/>
        </w:sectPr>
      </w:pPr>
    </w:p>
    <w:p>
      <w:pPr>
        <w:pStyle w:val="4"/>
        <w:spacing w:before="39"/>
        <w:ind w:left="751"/>
        <w:rPr>
          <w:color w:val="auto"/>
        </w:rPr>
      </w:pPr>
      <w:r>
        <w:rPr>
          <w:color w:val="auto"/>
        </w:rPr>
        <w:t>2、【一般】</w:t>
      </w:r>
    </w:p>
    <w:p>
      <w:pPr>
        <w:pStyle w:val="13"/>
        <w:numPr>
          <w:ilvl w:val="0"/>
          <w:numId w:val="1477"/>
        </w:numPr>
        <w:tabs>
          <w:tab w:val="left" w:pos="1353"/>
        </w:tabs>
        <w:spacing w:before="195"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spacing w:val="10"/>
        </w:rPr>
        <w:t>货值金额</w:t>
      </w:r>
      <w:r>
        <w:rPr>
          <w:color w:val="auto"/>
        </w:rPr>
        <w:t>5</w:t>
      </w:r>
      <w:r>
        <w:rPr>
          <w:color w:val="auto"/>
          <w:spacing w:val="-9"/>
        </w:rPr>
        <w:t xml:space="preserve"> 万元以上</w:t>
      </w:r>
      <w:r>
        <w:rPr>
          <w:color w:val="auto"/>
        </w:rPr>
        <w:t>20</w:t>
      </w:r>
      <w:r>
        <w:rPr>
          <w:color w:val="auto"/>
          <w:spacing w:val="-15"/>
        </w:rPr>
        <w:t xml:space="preserve"> 万元以下的；或者同时违反本办法第十六条第一款第(一)</w:t>
      </w:r>
    </w:p>
    <w:p>
      <w:pPr>
        <w:pStyle w:val="4"/>
        <w:spacing w:before="192"/>
        <w:rPr>
          <w:color w:val="auto"/>
        </w:rPr>
      </w:pPr>
      <w:r>
        <w:rPr>
          <w:color w:val="auto"/>
        </w:rPr>
        <w:t>项、第(二)项、第(六)项以及第二款规定的 1 项其他违法行为的。</w:t>
      </w:r>
    </w:p>
    <w:p>
      <w:pPr>
        <w:pStyle w:val="13"/>
        <w:numPr>
          <w:ilvl w:val="0"/>
          <w:numId w:val="1477"/>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478"/>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万元以上，或者同时违反本办法第十六条第一款第(一)项、第(二)</w:t>
      </w:r>
    </w:p>
    <w:p>
      <w:pPr>
        <w:pStyle w:val="4"/>
        <w:spacing w:before="192"/>
        <w:rPr>
          <w:color w:val="auto"/>
        </w:rPr>
      </w:pPr>
      <w:r>
        <w:rPr>
          <w:color w:val="auto"/>
        </w:rPr>
        <w:t>项、第(六)项以及第二款规定的其他 2 项违法行为的。</w:t>
      </w:r>
    </w:p>
    <w:p>
      <w:pPr>
        <w:pStyle w:val="13"/>
        <w:numPr>
          <w:ilvl w:val="0"/>
          <w:numId w:val="1478"/>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479"/>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line="388" w:lineRule="auto"/>
        <w:ind w:right="271" w:firstLine="640"/>
        <w:rPr>
          <w:color w:val="auto"/>
        </w:rPr>
      </w:pPr>
      <w:r>
        <w:rPr>
          <w:color w:val="auto"/>
        </w:rPr>
        <w:t>两年内再次发生同一违法行为的；或者同时违反本办法第十六条第一款第(一) 项、第(二)项、第(六)项以及第二款规定的其他 3 项及以上违法行为的。</w:t>
      </w:r>
    </w:p>
    <w:p>
      <w:pPr>
        <w:pStyle w:val="13"/>
        <w:numPr>
          <w:ilvl w:val="0"/>
          <w:numId w:val="1479"/>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责令改正，处 8 万元以上 10 万元以下罚款。</w:t>
      </w:r>
    </w:p>
    <w:p>
      <w:pPr>
        <w:pStyle w:val="2"/>
        <w:spacing w:before="192" w:line="391" w:lineRule="auto"/>
        <w:ind w:left="111" w:right="237" w:firstLine="480"/>
        <w:rPr>
          <w:color w:val="auto"/>
        </w:rPr>
      </w:pPr>
      <w:bookmarkStart w:id="1332" w:name="_bookmark665"/>
      <w:bookmarkEnd w:id="1332"/>
      <w:bookmarkStart w:id="1333" w:name="六百五十二、毛绒纤维经营者批量销售未经过加工的毛绒纤维违反国家规定的其他要求"/>
      <w:bookmarkEnd w:id="1333"/>
      <w:r>
        <w:rPr>
          <w:color w:val="auto"/>
          <w:spacing w:val="-9"/>
        </w:rPr>
        <w:t>六百五十二、毛绒纤维经营者批量销售未经过加工的毛绒纤维违反国家规定的其他要求</w:t>
      </w:r>
    </w:p>
    <w:p>
      <w:pPr>
        <w:spacing w:before="0" w:line="306" w:lineRule="exact"/>
        <w:ind w:left="754" w:right="0" w:firstLine="0"/>
        <w:jc w:val="left"/>
        <w:rPr>
          <w:b/>
          <w:color w:val="auto"/>
          <w:sz w:val="24"/>
        </w:rPr>
      </w:pPr>
      <w:r>
        <w:rPr>
          <w:b/>
          <w:color w:val="auto"/>
          <w:sz w:val="24"/>
        </w:rPr>
        <w:t>（一）处罚依据</w:t>
      </w:r>
    </w:p>
    <w:p>
      <w:pPr>
        <w:pStyle w:val="4"/>
        <w:spacing w:before="191" w:line="391" w:lineRule="auto"/>
        <w:ind w:right="148" w:firstLine="626"/>
        <w:rPr>
          <w:color w:val="auto"/>
        </w:rPr>
      </w:pPr>
      <w:r>
        <w:rPr>
          <w:color w:val="auto"/>
        </w:rPr>
        <w:t>1</w:t>
      </w:r>
      <w:r>
        <w:rPr>
          <w:color w:val="auto"/>
          <w:spacing w:val="-15"/>
        </w:rPr>
        <w:t xml:space="preserve">、《毛绒纤维质量监督管理办法》第二十二条“毛绒纤维经营者在销售活动中， </w:t>
      </w:r>
      <w:r>
        <w:rPr>
          <w:color w:val="auto"/>
          <w:spacing w:val="-3"/>
        </w:rPr>
        <w:t>违反本办法第十六条第一款第(一)项、第(二)项、第(三)项、第(六)项以及第二款规</w:t>
      </w:r>
      <w:r>
        <w:rPr>
          <w:color w:val="auto"/>
          <w:spacing w:val="-8"/>
        </w:rPr>
        <w:t xml:space="preserve">定的，由纤维质量监督机构责令改正，并可以根据情节轻重，处 </w:t>
      </w:r>
      <w:r>
        <w:rPr>
          <w:color w:val="auto"/>
        </w:rPr>
        <w:t>10</w:t>
      </w:r>
      <w:r>
        <w:rPr>
          <w:color w:val="auto"/>
          <w:spacing w:val="-9"/>
        </w:rPr>
        <w:t xml:space="preserve"> 万元以下的罚款； </w:t>
      </w:r>
      <w:r>
        <w:rPr>
          <w:color w:val="auto"/>
          <w:spacing w:val="-2"/>
        </w:rPr>
        <w:t>违反本办法第十六条第一款第(四)项规定的，由纤维质量监督机构责令改正，拒不改</w:t>
      </w:r>
      <w:r>
        <w:rPr>
          <w:color w:val="auto"/>
          <w:spacing w:val="-10"/>
        </w:rPr>
        <w:t xml:space="preserve">正的,处以 </w:t>
      </w:r>
      <w:r>
        <w:rPr>
          <w:color w:val="auto"/>
        </w:rPr>
        <w:t>3</w:t>
      </w:r>
      <w:r>
        <w:rPr>
          <w:color w:val="auto"/>
          <w:spacing w:val="-7"/>
        </w:rPr>
        <w:t xml:space="preserve"> 万元以下的罚款；违反本办法第十六条第三款规定的，由纤维质量监督</w:t>
      </w:r>
    </w:p>
    <w:p>
      <w:pPr>
        <w:pStyle w:val="4"/>
        <w:spacing w:line="302" w:lineRule="exact"/>
        <w:rPr>
          <w:color w:val="auto"/>
        </w:rPr>
      </w:pPr>
      <w:r>
        <w:rPr>
          <w:color w:val="auto"/>
        </w:rPr>
        <w:t>机构责令补办检验，对拒不补办的，处以 3 万元以下的罚款。”</w:t>
      </w:r>
    </w:p>
    <w:p>
      <w:pPr>
        <w:pStyle w:val="4"/>
        <w:spacing w:before="192"/>
        <w:ind w:left="737"/>
        <w:rPr>
          <w:color w:val="auto"/>
        </w:rPr>
      </w:pPr>
      <w:r>
        <w:rPr>
          <w:color w:val="auto"/>
        </w:rPr>
        <w:t>2、《毛绒纤维质量监督管理办法》第十六条第一款第（六）项“毛绒纤维经营</w:t>
      </w:r>
    </w:p>
    <w:p>
      <w:pPr>
        <w:spacing w:after="0"/>
        <w:rPr>
          <w:color w:val="auto"/>
        </w:rPr>
        <w:sectPr>
          <w:pgSz w:w="11910" w:h="16840"/>
          <w:pgMar w:top="1520" w:right="1260" w:bottom="1220" w:left="1420" w:header="0" w:footer="1034" w:gutter="0"/>
        </w:sectPr>
      </w:pPr>
    </w:p>
    <w:p>
      <w:pPr>
        <w:pStyle w:val="4"/>
        <w:spacing w:before="39" w:line="391" w:lineRule="auto"/>
        <w:ind w:right="268"/>
        <w:rPr>
          <w:color w:val="auto"/>
        </w:rPr>
      </w:pPr>
      <w:r>
        <w:rPr>
          <w:color w:val="auto"/>
          <w:spacing w:val="-3"/>
        </w:rPr>
        <w:t>者批量销售未经过加工的毛绒纤维(以下统称原毛绒)应当符合以下要求：(六)国家规</w:t>
      </w:r>
      <w:r>
        <w:rPr>
          <w:color w:val="auto"/>
          <w:spacing w:val="-16"/>
        </w:rPr>
        <w:t>定的其他要求。”</w:t>
      </w:r>
    </w:p>
    <w:p>
      <w:pPr>
        <w:spacing w:before="0" w:line="388" w:lineRule="auto"/>
        <w:ind w:left="751" w:right="6784" w:firstLine="2"/>
        <w:jc w:val="left"/>
        <w:rPr>
          <w:color w:val="auto"/>
          <w:sz w:val="24"/>
        </w:rPr>
      </w:pPr>
      <w:r>
        <w:rPr>
          <w:b/>
          <w:color w:val="auto"/>
          <w:sz w:val="24"/>
        </w:rPr>
        <w:t>（二）</w:t>
      </w:r>
      <w:r>
        <w:rPr>
          <w:b/>
          <w:color w:val="auto"/>
          <w:spacing w:val="-4"/>
          <w:sz w:val="24"/>
        </w:rPr>
        <w:t>裁量标准</w:t>
      </w:r>
      <w:r>
        <w:rPr>
          <w:color w:val="auto"/>
          <w:sz w:val="24"/>
        </w:rPr>
        <w:t>1</w:t>
      </w:r>
      <w:r>
        <w:rPr>
          <w:color w:val="auto"/>
          <w:spacing w:val="-24"/>
          <w:sz w:val="24"/>
        </w:rPr>
        <w:t>、【较轻】</w:t>
      </w:r>
    </w:p>
    <w:p>
      <w:pPr>
        <w:pStyle w:val="13"/>
        <w:numPr>
          <w:ilvl w:val="0"/>
          <w:numId w:val="1480"/>
        </w:numPr>
        <w:tabs>
          <w:tab w:val="left" w:pos="1353"/>
        </w:tabs>
        <w:spacing w:before="3"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万以下的。</w:t>
      </w:r>
    </w:p>
    <w:p>
      <w:pPr>
        <w:pStyle w:val="13"/>
        <w:numPr>
          <w:ilvl w:val="0"/>
          <w:numId w:val="148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8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spacing w:val="10"/>
        </w:rPr>
        <w:t>货值金额</w:t>
      </w:r>
      <w:r>
        <w:rPr>
          <w:color w:val="auto"/>
        </w:rPr>
        <w:t>5</w:t>
      </w:r>
      <w:r>
        <w:rPr>
          <w:color w:val="auto"/>
          <w:spacing w:val="-9"/>
        </w:rPr>
        <w:t xml:space="preserve"> 万元以上</w:t>
      </w:r>
      <w:r>
        <w:rPr>
          <w:color w:val="auto"/>
        </w:rPr>
        <w:t>20</w:t>
      </w:r>
      <w:r>
        <w:rPr>
          <w:color w:val="auto"/>
          <w:spacing w:val="-15"/>
        </w:rPr>
        <w:t xml:space="preserve"> 万元以下的；或者同时违反本办法第十六条第一款第(一)</w:t>
      </w:r>
    </w:p>
    <w:p>
      <w:pPr>
        <w:pStyle w:val="4"/>
        <w:spacing w:before="192"/>
        <w:rPr>
          <w:color w:val="auto"/>
        </w:rPr>
      </w:pPr>
      <w:r>
        <w:rPr>
          <w:color w:val="auto"/>
        </w:rPr>
        <w:t>项、第(二)项、第(三)项以及第二款规定的 1 项其他违法行为的。</w:t>
      </w:r>
    </w:p>
    <w:p>
      <w:pPr>
        <w:pStyle w:val="13"/>
        <w:numPr>
          <w:ilvl w:val="0"/>
          <w:numId w:val="1481"/>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5" w:line="388"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482"/>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20 万元以上；或者同时违反本办法第十六条第一款第(一)项、第(二)</w:t>
      </w:r>
    </w:p>
    <w:p>
      <w:pPr>
        <w:pStyle w:val="4"/>
        <w:spacing w:before="191"/>
        <w:rPr>
          <w:color w:val="auto"/>
        </w:rPr>
      </w:pPr>
      <w:r>
        <w:rPr>
          <w:color w:val="auto"/>
        </w:rPr>
        <w:t>项、第(三)项以及第二款规定的其他 2 项违法行为的。</w:t>
      </w:r>
    </w:p>
    <w:p>
      <w:pPr>
        <w:pStyle w:val="13"/>
        <w:numPr>
          <w:ilvl w:val="0"/>
          <w:numId w:val="1482"/>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483"/>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71" w:firstLine="640"/>
        <w:rPr>
          <w:color w:val="auto"/>
        </w:rPr>
      </w:pPr>
      <w:r>
        <w:rPr>
          <w:color w:val="auto"/>
        </w:rPr>
        <w:t>两年内再次发生同一违法行为的；或者同时违反本办法第十六条第一款第(一) 项、第(二)项、第(三)项以及第二款规定的其他 3 项及以上违法行为的。</w:t>
      </w:r>
    </w:p>
    <w:p>
      <w:pPr>
        <w:pStyle w:val="13"/>
        <w:numPr>
          <w:ilvl w:val="0"/>
          <w:numId w:val="1483"/>
        </w:numPr>
        <w:tabs>
          <w:tab w:val="left" w:pos="1353"/>
        </w:tabs>
        <w:spacing w:before="3"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责令改正，处 8 万元以上 10 万元以下罚款。</w:t>
      </w:r>
    </w:p>
    <w:p>
      <w:pPr>
        <w:pStyle w:val="2"/>
        <w:spacing w:before="191" w:line="388" w:lineRule="auto"/>
        <w:ind w:left="111" w:right="193" w:firstLine="480"/>
        <w:rPr>
          <w:color w:val="auto"/>
        </w:rPr>
      </w:pPr>
      <w:bookmarkStart w:id="1334" w:name="_bookmark666"/>
      <w:bookmarkEnd w:id="1334"/>
      <w:bookmarkStart w:id="1335" w:name="六百五十三、毛绒纤维经营者销售的经过加工的毛绒纤维，未按国家标准、技术规范进行包"/>
      <w:bookmarkEnd w:id="1335"/>
      <w:r>
        <w:rPr>
          <w:color w:val="auto"/>
        </w:rPr>
        <w:t>六百五十三、毛绒纤维经营者销售的经过加工的毛绒纤维，未按国家标准、技术规范进行包装并标注标识，或者标注的标识与毛绒纤维的质量、数量不相符</w:t>
      </w:r>
    </w:p>
    <w:p>
      <w:pPr>
        <w:spacing w:after="0" w:line="388" w:lineRule="auto"/>
        <w:rPr>
          <w:color w:val="auto"/>
        </w:rPr>
        <w:sectPr>
          <w:pgSz w:w="11910" w:h="16840"/>
          <w:pgMar w:top="1520" w:right="1260" w:bottom="1220" w:left="1420" w:header="0" w:footer="1034" w:gutter="0"/>
        </w:sectPr>
      </w:pPr>
    </w:p>
    <w:p>
      <w:pPr>
        <w:spacing w:before="39"/>
        <w:ind w:left="754" w:right="0" w:firstLine="0"/>
        <w:jc w:val="left"/>
        <w:rPr>
          <w:b/>
          <w:color w:val="auto"/>
          <w:sz w:val="24"/>
        </w:rPr>
      </w:pPr>
      <w:r>
        <w:rPr>
          <w:b/>
          <w:color w:val="auto"/>
          <w:sz w:val="24"/>
        </w:rPr>
        <w:t>（一）处罚依据</w:t>
      </w:r>
    </w:p>
    <w:p>
      <w:pPr>
        <w:pStyle w:val="4"/>
        <w:spacing w:before="195" w:line="391" w:lineRule="auto"/>
        <w:ind w:right="146" w:firstLine="640"/>
        <w:rPr>
          <w:color w:val="auto"/>
        </w:rPr>
      </w:pPr>
      <w:r>
        <w:rPr>
          <w:color w:val="auto"/>
        </w:rPr>
        <w:t>1</w:t>
      </w:r>
      <w:r>
        <w:rPr>
          <w:color w:val="auto"/>
          <w:spacing w:val="-16"/>
        </w:rPr>
        <w:t xml:space="preserve">、《毛绒纤维质量监督管理办法》第二十二条“毛绒纤维经营者在销售活动中， </w:t>
      </w:r>
      <w:r>
        <w:rPr>
          <w:color w:val="auto"/>
          <w:spacing w:val="-3"/>
        </w:rPr>
        <w:t>违反本办法第十六条第一款第(一)项、第(二)项、第(三)项、第(六)项以及第二款规</w:t>
      </w:r>
      <w:r>
        <w:rPr>
          <w:color w:val="auto"/>
          <w:spacing w:val="-8"/>
        </w:rPr>
        <w:t xml:space="preserve">定的，由纤维质量监督机构责令改正，并可以根据情节轻重，处 </w:t>
      </w:r>
      <w:r>
        <w:rPr>
          <w:color w:val="auto"/>
        </w:rPr>
        <w:t>10</w:t>
      </w:r>
      <w:r>
        <w:rPr>
          <w:color w:val="auto"/>
          <w:spacing w:val="-9"/>
        </w:rPr>
        <w:t xml:space="preserve"> 万元以下的罚款； </w:t>
      </w:r>
      <w:r>
        <w:rPr>
          <w:color w:val="auto"/>
          <w:spacing w:val="-2"/>
        </w:rPr>
        <w:t>违反本办法第十六条第一款第(四)项规定的，由纤维质量监督机构责令改正，拒不改</w:t>
      </w:r>
      <w:r>
        <w:rPr>
          <w:color w:val="auto"/>
          <w:spacing w:val="-10"/>
        </w:rPr>
        <w:t xml:space="preserve">正的,处以 </w:t>
      </w:r>
      <w:r>
        <w:rPr>
          <w:color w:val="auto"/>
        </w:rPr>
        <w:t>3</w:t>
      </w:r>
      <w:r>
        <w:rPr>
          <w:color w:val="auto"/>
          <w:spacing w:val="-7"/>
        </w:rPr>
        <w:t xml:space="preserve"> 万元以下的罚款；违反本办法第十六条第三款规定的，由纤维质量监督</w:t>
      </w:r>
    </w:p>
    <w:p>
      <w:pPr>
        <w:pStyle w:val="4"/>
        <w:spacing w:line="300" w:lineRule="exact"/>
        <w:rPr>
          <w:color w:val="auto"/>
        </w:rPr>
      </w:pPr>
      <w:r>
        <w:rPr>
          <w:color w:val="auto"/>
        </w:rPr>
        <w:t>机构责令补办检验，对拒不补办的，处以 3 万元以下的罚款。”</w:t>
      </w:r>
    </w:p>
    <w:p>
      <w:pPr>
        <w:pStyle w:val="4"/>
        <w:spacing w:before="194" w:line="388" w:lineRule="auto"/>
        <w:ind w:right="268" w:firstLine="626"/>
        <w:jc w:val="both"/>
        <w:rPr>
          <w:color w:val="auto"/>
        </w:rPr>
      </w:pPr>
      <w:r>
        <w:rPr>
          <w:color w:val="auto"/>
        </w:rPr>
        <w:t>2</w:t>
      </w:r>
      <w:r>
        <w:rPr>
          <w:color w:val="auto"/>
          <w:spacing w:val="-12"/>
        </w:rPr>
        <w:t>、《毛绒纤维质量监督管理办法》第十六条第二款“毛绒纤维经营者销售经过加工的毛绒纤维，除应当保证所销售毛绒纤维符合前款要求外，还应当保证符合本办</w:t>
      </w:r>
      <w:r>
        <w:rPr>
          <w:color w:val="auto"/>
          <w:spacing w:val="-10"/>
        </w:rPr>
        <w:t>法第十五条第(四)项要求。”</w:t>
      </w:r>
    </w:p>
    <w:p>
      <w:pPr>
        <w:pStyle w:val="4"/>
        <w:spacing w:before="5" w:line="388" w:lineRule="auto"/>
        <w:ind w:right="232" w:firstLine="626"/>
        <w:jc w:val="both"/>
        <w:rPr>
          <w:color w:val="auto"/>
        </w:rPr>
      </w:pPr>
      <w:r>
        <w:rPr>
          <w:color w:val="auto"/>
        </w:rPr>
        <w:t>3</w:t>
      </w:r>
      <w:r>
        <w:rPr>
          <w:color w:val="auto"/>
          <w:spacing w:val="-12"/>
        </w:rPr>
        <w:t>、《毛绒纤维质量监督管理办法》第十五条第(四)项“(四)按国家标准、技术</w:t>
      </w:r>
      <w:r>
        <w:rPr>
          <w:color w:val="auto"/>
          <w:spacing w:val="-13"/>
        </w:rPr>
        <w:t>规范，对加工后的毛绒纤维进行包装并标注标识，且标识有中文标明的品种、等级、</w:t>
      </w:r>
      <w:r>
        <w:rPr>
          <w:color w:val="auto"/>
          <w:spacing w:val="-4"/>
        </w:rPr>
        <w:t>批次、包号、重量、生产日期、厂名、厂址；标识与毛绒纤维的质量、数量相符。”</w:t>
      </w:r>
    </w:p>
    <w:p>
      <w:pPr>
        <w:spacing w:before="6"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484"/>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5 万以下的。</w:t>
      </w:r>
    </w:p>
    <w:p>
      <w:pPr>
        <w:pStyle w:val="13"/>
        <w:numPr>
          <w:ilvl w:val="0"/>
          <w:numId w:val="1484"/>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8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spacing w:val="10"/>
        </w:rPr>
        <w:t>货值金额</w:t>
      </w:r>
      <w:r>
        <w:rPr>
          <w:color w:val="auto"/>
        </w:rPr>
        <w:t>5</w:t>
      </w:r>
      <w:r>
        <w:rPr>
          <w:color w:val="auto"/>
          <w:spacing w:val="-9"/>
        </w:rPr>
        <w:t xml:space="preserve"> 万元以上</w:t>
      </w:r>
      <w:r>
        <w:rPr>
          <w:color w:val="auto"/>
        </w:rPr>
        <w:t>20</w:t>
      </w:r>
      <w:r>
        <w:rPr>
          <w:color w:val="auto"/>
          <w:spacing w:val="-15"/>
        </w:rPr>
        <w:t xml:space="preserve"> 万元以下的；或者同时违反本办法第十六条第一款第(一)</w:t>
      </w:r>
    </w:p>
    <w:p>
      <w:pPr>
        <w:pStyle w:val="4"/>
        <w:spacing w:before="194"/>
        <w:rPr>
          <w:color w:val="auto"/>
        </w:rPr>
      </w:pPr>
      <w:r>
        <w:rPr>
          <w:color w:val="auto"/>
        </w:rPr>
        <w:t>项、第(二)项、第(三)项、第(六)项规定的 1 项其他违法行为的。</w:t>
      </w:r>
    </w:p>
    <w:p>
      <w:pPr>
        <w:pStyle w:val="13"/>
        <w:numPr>
          <w:ilvl w:val="0"/>
          <w:numId w:val="1485"/>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48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货值金额 20 万元以上；或者同时违反本办法第十六条第一款第(一)项、第(二)</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项、第(三)项、第(六)项规定的其他 2 项违法行为的。</w:t>
      </w:r>
    </w:p>
    <w:p>
      <w:pPr>
        <w:pStyle w:val="13"/>
        <w:numPr>
          <w:ilvl w:val="0"/>
          <w:numId w:val="1486"/>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3913"/>
        <w:rPr>
          <w:color w:val="auto"/>
        </w:rPr>
      </w:pPr>
      <w:r>
        <w:rPr>
          <w:color w:val="auto"/>
          <w:spacing w:val="-9"/>
        </w:rPr>
        <w:t xml:space="preserve">责令改正，处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487"/>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line="388" w:lineRule="auto"/>
        <w:ind w:right="271" w:firstLine="640"/>
        <w:rPr>
          <w:color w:val="auto"/>
        </w:rPr>
      </w:pPr>
      <w:r>
        <w:rPr>
          <w:color w:val="auto"/>
        </w:rPr>
        <w:t>两年内再次发生同一违法行为的；或者同时违反本办法第十六条第一款第(一) 项、第(二)项、第(三)项、第(六)项规定的其他 3 项及以上违法行为的。</w:t>
      </w:r>
    </w:p>
    <w:p>
      <w:pPr>
        <w:pStyle w:val="13"/>
        <w:numPr>
          <w:ilvl w:val="0"/>
          <w:numId w:val="1487"/>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责令改正，处 8 万元以上 10 万元以下罚款。</w:t>
      </w:r>
    </w:p>
    <w:p>
      <w:pPr>
        <w:pStyle w:val="2"/>
        <w:spacing w:before="191" w:line="391" w:lineRule="auto"/>
        <w:ind w:left="111" w:right="237" w:firstLine="480"/>
        <w:rPr>
          <w:color w:val="auto"/>
        </w:rPr>
      </w:pPr>
      <w:bookmarkStart w:id="1336" w:name="六百五十四、毛绒纤维经营者批量销售的未经过加工的毛绒纤维，未按净毛绒计算公量"/>
      <w:bookmarkEnd w:id="1336"/>
      <w:bookmarkStart w:id="1337" w:name="_bookmark667"/>
      <w:bookmarkEnd w:id="1337"/>
      <w:r>
        <w:rPr>
          <w:color w:val="auto"/>
          <w:spacing w:val="-7"/>
        </w:rPr>
        <w:t>六百五十四、毛绒纤维经营者批量销售的未经过加工的毛绒纤维，未按净毛绒计算公量</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148" w:firstLine="626"/>
        <w:rPr>
          <w:color w:val="auto"/>
        </w:rPr>
      </w:pPr>
      <w:r>
        <w:rPr>
          <w:color w:val="auto"/>
        </w:rPr>
        <w:t>1</w:t>
      </w:r>
      <w:r>
        <w:rPr>
          <w:color w:val="auto"/>
          <w:spacing w:val="-15"/>
        </w:rPr>
        <w:t xml:space="preserve">、《毛绒纤维质量监督管理办法》第二十二条“毛绒纤维经营者在销售活动中， </w:t>
      </w:r>
      <w:r>
        <w:rPr>
          <w:color w:val="auto"/>
          <w:spacing w:val="-3"/>
        </w:rPr>
        <w:t>违反本办法第十六条第一款第(一)项、第(二)项、第(三)项、第(六)项以及第二款规</w:t>
      </w:r>
      <w:r>
        <w:rPr>
          <w:color w:val="auto"/>
          <w:spacing w:val="-8"/>
        </w:rPr>
        <w:t xml:space="preserve">定的，由纤维质量监督机构责令改正，并可以根据情节轻重，处 </w:t>
      </w:r>
      <w:r>
        <w:rPr>
          <w:color w:val="auto"/>
        </w:rPr>
        <w:t>10</w:t>
      </w:r>
      <w:r>
        <w:rPr>
          <w:color w:val="auto"/>
          <w:spacing w:val="-9"/>
        </w:rPr>
        <w:t xml:space="preserve"> 万元以下的罚款； </w:t>
      </w:r>
      <w:r>
        <w:rPr>
          <w:color w:val="auto"/>
          <w:spacing w:val="-2"/>
        </w:rPr>
        <w:t>违反本办法第十六条第一款第(四)项规定的，由纤维质量监督机构责令改正，拒不改</w:t>
      </w:r>
      <w:r>
        <w:rPr>
          <w:color w:val="auto"/>
          <w:spacing w:val="-10"/>
        </w:rPr>
        <w:t xml:space="preserve">正的,处以 </w:t>
      </w:r>
      <w:r>
        <w:rPr>
          <w:color w:val="auto"/>
        </w:rPr>
        <w:t>3</w:t>
      </w:r>
      <w:r>
        <w:rPr>
          <w:color w:val="auto"/>
          <w:spacing w:val="-7"/>
        </w:rPr>
        <w:t xml:space="preserve"> 万元以下的罚款；违反本办法第十六条第三款规定的，由纤维质量监督</w:t>
      </w:r>
    </w:p>
    <w:p>
      <w:pPr>
        <w:pStyle w:val="4"/>
        <w:spacing w:line="302" w:lineRule="exact"/>
        <w:rPr>
          <w:color w:val="auto"/>
        </w:rPr>
      </w:pPr>
      <w:r>
        <w:rPr>
          <w:color w:val="auto"/>
        </w:rPr>
        <w:t>机构责令补办检验，对拒不补办的，处以 3 万元以下的罚款。”</w:t>
      </w:r>
    </w:p>
    <w:p>
      <w:pPr>
        <w:pStyle w:val="4"/>
        <w:spacing w:before="192" w:line="391" w:lineRule="auto"/>
        <w:ind w:right="268" w:firstLine="626"/>
        <w:jc w:val="both"/>
        <w:rPr>
          <w:color w:val="auto"/>
        </w:rPr>
      </w:pPr>
      <w:r>
        <w:rPr>
          <w:color w:val="auto"/>
        </w:rPr>
        <w:t>2</w:t>
      </w:r>
      <w:r>
        <w:rPr>
          <w:color w:val="auto"/>
          <w:spacing w:val="-12"/>
        </w:rPr>
        <w:t>、《毛绒纤维质量监督管理办法》第十六条第一款第</w:t>
      </w:r>
      <w:r>
        <w:rPr>
          <w:color w:val="auto"/>
        </w:rPr>
        <w:t>（四）项“毛绒纤维经营者批量销售未经过加工的毛绒纤维(以下统称原毛绒)应当符合以下要求： (四)对所</w:t>
      </w:r>
      <w:r>
        <w:rPr>
          <w:color w:val="auto"/>
          <w:spacing w:val="-8"/>
        </w:rPr>
        <w:t>销售的毛绒纤维按净毛绒计算公量。”</w:t>
      </w:r>
    </w:p>
    <w:p>
      <w:pPr>
        <w:spacing w:before="0"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48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8"/>
        <w:ind w:left="751"/>
        <w:rPr>
          <w:color w:val="auto"/>
        </w:rPr>
      </w:pPr>
      <w:r>
        <w:rPr>
          <w:color w:val="auto"/>
        </w:rPr>
        <w:t>货值金额 5 万元以下的，责令改正、拒不改正的。</w:t>
      </w:r>
    </w:p>
    <w:p>
      <w:pPr>
        <w:pStyle w:val="13"/>
        <w:numPr>
          <w:ilvl w:val="0"/>
          <w:numId w:val="1488"/>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6313"/>
        <w:rPr>
          <w:color w:val="auto"/>
        </w:rPr>
      </w:pPr>
      <w:r>
        <w:rPr>
          <w:color w:val="auto"/>
          <w:spacing w:val="-30"/>
        </w:rPr>
        <w:t xml:space="preserve">处 </w:t>
      </w:r>
      <w:r>
        <w:rPr>
          <w:color w:val="auto"/>
        </w:rPr>
        <w:t>1</w:t>
      </w:r>
      <w:r>
        <w:rPr>
          <w:color w:val="auto"/>
          <w:spacing w:val="-11"/>
        </w:rPr>
        <w:t xml:space="preserve"> 万元以下罚款。</w:t>
      </w:r>
      <w:r>
        <w:rPr>
          <w:color w:val="auto"/>
        </w:rPr>
        <w:t>2</w:t>
      </w:r>
      <w:r>
        <w:rPr>
          <w:color w:val="auto"/>
          <w:spacing w:val="-24"/>
        </w:rPr>
        <w:t>、【较重】</w:t>
      </w:r>
    </w:p>
    <w:p>
      <w:pPr>
        <w:spacing w:after="0" w:line="388" w:lineRule="auto"/>
        <w:rPr>
          <w:color w:val="auto"/>
        </w:rPr>
        <w:sectPr>
          <w:pgSz w:w="11910" w:h="16840"/>
          <w:pgMar w:top="1520" w:right="1260" w:bottom="1220" w:left="1420" w:header="0" w:footer="1034" w:gutter="0"/>
        </w:sectPr>
      </w:pPr>
    </w:p>
    <w:p>
      <w:pPr>
        <w:pStyle w:val="13"/>
        <w:numPr>
          <w:ilvl w:val="0"/>
          <w:numId w:val="1489"/>
        </w:numPr>
        <w:tabs>
          <w:tab w:val="left" w:pos="1353"/>
        </w:tabs>
        <w:spacing w:before="39"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货值金额 5 万元以上 20 万元以下的，责令改正、拒不改正的。</w:t>
      </w:r>
    </w:p>
    <w:p>
      <w:pPr>
        <w:pStyle w:val="13"/>
        <w:numPr>
          <w:ilvl w:val="0"/>
          <w:numId w:val="1489"/>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5113"/>
        <w:rPr>
          <w:color w:val="auto"/>
        </w:rPr>
      </w:pPr>
      <w:r>
        <w:rPr>
          <w:color w:val="auto"/>
          <w:spacing w:val="-30"/>
        </w:rPr>
        <w:t xml:space="preserve">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490"/>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万元以上的，责令改正、拒不改正的。</w:t>
      </w:r>
    </w:p>
    <w:p>
      <w:pPr>
        <w:pStyle w:val="13"/>
        <w:numPr>
          <w:ilvl w:val="0"/>
          <w:numId w:val="1490"/>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处 2 万元以上 3 万元以下罚款。</w:t>
      </w:r>
    </w:p>
    <w:p>
      <w:pPr>
        <w:pStyle w:val="2"/>
        <w:spacing w:before="192" w:line="391" w:lineRule="auto"/>
        <w:ind w:left="111" w:right="237" w:firstLine="480"/>
        <w:rPr>
          <w:color w:val="auto"/>
        </w:rPr>
      </w:pPr>
      <w:bookmarkStart w:id="1338" w:name="_bookmark668"/>
      <w:bookmarkEnd w:id="1338"/>
      <w:bookmarkStart w:id="1339" w:name="六百五十五、毛绒纤维经营者销售未实施公证检验的批量山羊绒，未向省级专业纤维检验机"/>
      <w:bookmarkEnd w:id="1339"/>
      <w:r>
        <w:rPr>
          <w:color w:val="auto"/>
          <w:spacing w:val="-7"/>
        </w:rPr>
        <w:t>六百五十五、毛绒纤维经营者销售未实施公证检验的批量山羊绒，未向省级专业纤维检验机构或者其指定的地（市）级以上专业纤维检验机构申请检验</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148" w:firstLine="626"/>
        <w:rPr>
          <w:color w:val="auto"/>
        </w:rPr>
      </w:pPr>
      <w:r>
        <w:rPr>
          <w:color w:val="auto"/>
        </w:rPr>
        <w:t>1</w:t>
      </w:r>
      <w:r>
        <w:rPr>
          <w:color w:val="auto"/>
          <w:spacing w:val="-15"/>
        </w:rPr>
        <w:t xml:space="preserve">、《毛绒纤维质量监督管理办法》第二十二条“毛绒纤维经营者在销售活动中， </w:t>
      </w:r>
      <w:r>
        <w:rPr>
          <w:color w:val="auto"/>
          <w:spacing w:val="-3"/>
        </w:rPr>
        <w:t>违反本办法第十六条第一款第(一)项、第(二)项、第(三)项、第(六)项以及第二款规</w:t>
      </w:r>
      <w:r>
        <w:rPr>
          <w:color w:val="auto"/>
          <w:spacing w:val="-8"/>
        </w:rPr>
        <w:t xml:space="preserve">定的，由纤维质量监督机构责令改正，并可以根据情节轻重，处 </w:t>
      </w:r>
      <w:r>
        <w:rPr>
          <w:color w:val="auto"/>
        </w:rPr>
        <w:t>10</w:t>
      </w:r>
      <w:r>
        <w:rPr>
          <w:color w:val="auto"/>
          <w:spacing w:val="-9"/>
        </w:rPr>
        <w:t xml:space="preserve"> 万元以下的罚款； </w:t>
      </w:r>
      <w:r>
        <w:rPr>
          <w:color w:val="auto"/>
          <w:spacing w:val="-2"/>
        </w:rPr>
        <w:t>违反本办法第十六条第一款第(四)项规定的，由纤维质量监督机构责令改正，拒不改</w:t>
      </w:r>
      <w:r>
        <w:rPr>
          <w:color w:val="auto"/>
          <w:spacing w:val="-10"/>
        </w:rPr>
        <w:t xml:space="preserve">正的,处以 </w:t>
      </w:r>
      <w:r>
        <w:rPr>
          <w:color w:val="auto"/>
        </w:rPr>
        <w:t>3</w:t>
      </w:r>
      <w:r>
        <w:rPr>
          <w:color w:val="auto"/>
          <w:spacing w:val="-7"/>
        </w:rPr>
        <w:t xml:space="preserve"> 万元以下的罚款；违反本办法第十六条第三款规定的，由纤维质量监督</w:t>
      </w:r>
    </w:p>
    <w:p>
      <w:pPr>
        <w:pStyle w:val="4"/>
        <w:spacing w:line="302" w:lineRule="exact"/>
        <w:rPr>
          <w:color w:val="auto"/>
        </w:rPr>
      </w:pPr>
      <w:r>
        <w:rPr>
          <w:color w:val="auto"/>
        </w:rPr>
        <w:t>机构责令补办检验，对拒不补办的，处以 3 万元以下的罚款。”</w:t>
      </w:r>
    </w:p>
    <w:p>
      <w:pPr>
        <w:pStyle w:val="4"/>
        <w:spacing w:before="192" w:line="391" w:lineRule="auto"/>
        <w:ind w:right="268" w:firstLine="626"/>
        <w:rPr>
          <w:color w:val="auto"/>
        </w:rPr>
      </w:pPr>
      <w:r>
        <w:rPr>
          <w:color w:val="auto"/>
        </w:rPr>
        <w:t>2</w:t>
      </w:r>
      <w:r>
        <w:rPr>
          <w:color w:val="auto"/>
          <w:spacing w:val="-12"/>
        </w:rPr>
        <w:t>、《毛绒纤维质量监督管理办法》第十六条第三款“山羊绒纤维经营者批量销</w:t>
      </w:r>
      <w:r>
        <w:rPr>
          <w:color w:val="auto"/>
          <w:spacing w:val="-18"/>
        </w:rPr>
        <w:t>售山羊绒的，应当符合本办法第九条的规定。”</w:t>
      </w:r>
    </w:p>
    <w:p>
      <w:pPr>
        <w:pStyle w:val="4"/>
        <w:spacing w:line="391" w:lineRule="auto"/>
        <w:ind w:right="268" w:firstLine="626"/>
        <w:jc w:val="both"/>
        <w:rPr>
          <w:color w:val="auto"/>
        </w:rPr>
      </w:pPr>
      <w:r>
        <w:rPr>
          <w:color w:val="auto"/>
        </w:rPr>
        <w:t>3</w:t>
      </w:r>
      <w:r>
        <w:rPr>
          <w:color w:val="auto"/>
          <w:spacing w:val="-12"/>
        </w:rPr>
        <w:t>、《毛绒纤维质量监督管理办法》第九条“毛绒纤维经营者销售未实施公证检验的批量山羊绒，须向省、自治区、直辖市专业纤维检验机构(以下简称省级专业纤</w:t>
      </w:r>
      <w:r>
        <w:rPr>
          <w:color w:val="auto"/>
          <w:spacing w:val="-16"/>
        </w:rPr>
        <w:t>维检验机构)或者其指定的地(市)级以上专业纤维检验机构申请检验。”</w:t>
      </w:r>
    </w:p>
    <w:p>
      <w:pPr>
        <w:spacing w:before="0" w:line="388" w:lineRule="auto"/>
        <w:ind w:left="751" w:right="6784" w:firstLine="2"/>
        <w:jc w:val="left"/>
        <w:rPr>
          <w:color w:val="auto"/>
          <w:sz w:val="24"/>
        </w:rPr>
      </w:pPr>
      <w:r>
        <w:rPr>
          <w:b/>
          <w:color w:val="auto"/>
          <w:sz w:val="24"/>
        </w:rPr>
        <w:t>（二）裁量标准</w:t>
      </w:r>
      <w:r>
        <w:rPr>
          <w:color w:val="auto"/>
          <w:sz w:val="24"/>
        </w:rPr>
        <w:t>1、【轻微】</w:t>
      </w:r>
    </w:p>
    <w:p>
      <w:pPr>
        <w:pStyle w:val="13"/>
        <w:numPr>
          <w:ilvl w:val="0"/>
          <w:numId w:val="1491"/>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0" w:line="388" w:lineRule="auto"/>
        <w:ind w:right="268" w:firstLine="640"/>
        <w:rPr>
          <w:color w:val="auto"/>
        </w:rPr>
      </w:pPr>
      <w:r>
        <w:rPr>
          <w:color w:val="auto"/>
        </w:rPr>
        <w:t>未向省级专业纤维检验机构或者其指定的地（市）级以上专业纤维检验机构申请检验的。</w:t>
      </w:r>
    </w:p>
    <w:p>
      <w:pPr>
        <w:spacing w:after="0" w:line="388" w:lineRule="auto"/>
        <w:rPr>
          <w:color w:val="auto"/>
        </w:rPr>
        <w:sectPr>
          <w:pgSz w:w="11910" w:h="16840"/>
          <w:pgMar w:top="1520" w:right="1260" w:bottom="1220" w:left="1420" w:header="0" w:footer="1034" w:gutter="0"/>
        </w:sectPr>
      </w:pPr>
    </w:p>
    <w:p>
      <w:pPr>
        <w:pStyle w:val="13"/>
        <w:numPr>
          <w:ilvl w:val="0"/>
          <w:numId w:val="1491"/>
        </w:numPr>
        <w:tabs>
          <w:tab w:val="left" w:pos="1353"/>
        </w:tabs>
        <w:spacing w:before="39" w:after="0" w:line="391" w:lineRule="auto"/>
        <w:ind w:left="751" w:right="6793" w:firstLine="0"/>
        <w:jc w:val="left"/>
        <w:rPr>
          <w:color w:val="auto"/>
          <w:sz w:val="24"/>
        </w:rPr>
      </w:pPr>
      <w:r>
        <w:rPr>
          <w:color w:val="auto"/>
          <w:sz w:val="24"/>
        </w:rPr>
        <w:t>处罚标准</w:t>
      </w:r>
      <w:r>
        <w:rPr>
          <w:color w:val="auto"/>
          <w:spacing w:val="-3"/>
          <w:sz w:val="24"/>
        </w:rPr>
        <w:t>责令补办检验。</w:t>
      </w:r>
      <w:r>
        <w:rPr>
          <w:color w:val="auto"/>
          <w:sz w:val="24"/>
        </w:rPr>
        <w:t>2</w:t>
      </w:r>
      <w:r>
        <w:rPr>
          <w:color w:val="auto"/>
          <w:spacing w:val="-24"/>
          <w:sz w:val="24"/>
        </w:rPr>
        <w:t>、【一般】</w:t>
      </w:r>
    </w:p>
    <w:p>
      <w:pPr>
        <w:pStyle w:val="13"/>
        <w:numPr>
          <w:ilvl w:val="0"/>
          <w:numId w:val="1492"/>
        </w:numPr>
        <w:tabs>
          <w:tab w:val="left" w:pos="1353"/>
        </w:tabs>
        <w:spacing w:before="0" w:after="0" w:line="304" w:lineRule="exact"/>
        <w:ind w:left="1353" w:right="0" w:hanging="602"/>
        <w:jc w:val="left"/>
        <w:rPr>
          <w:color w:val="auto"/>
          <w:sz w:val="24"/>
        </w:rPr>
      </w:pPr>
      <w:r>
        <w:rPr>
          <w:color w:val="auto"/>
          <w:sz w:val="24"/>
        </w:rPr>
        <w:t>违法情形</w:t>
      </w:r>
    </w:p>
    <w:p>
      <w:pPr>
        <w:pStyle w:val="4"/>
        <w:spacing w:before="195"/>
        <w:ind w:left="751"/>
        <w:rPr>
          <w:color w:val="auto"/>
        </w:rPr>
      </w:pPr>
      <w:r>
        <w:rPr>
          <w:color w:val="auto"/>
        </w:rPr>
        <w:t>逾期一个月内未补办的。</w:t>
      </w:r>
    </w:p>
    <w:p>
      <w:pPr>
        <w:pStyle w:val="13"/>
        <w:numPr>
          <w:ilvl w:val="0"/>
          <w:numId w:val="1492"/>
        </w:numPr>
        <w:tabs>
          <w:tab w:val="left" w:pos="1353"/>
        </w:tabs>
        <w:spacing w:before="191" w:after="0" w:line="391" w:lineRule="auto"/>
        <w:ind w:left="751" w:right="6793" w:firstLine="0"/>
        <w:jc w:val="left"/>
        <w:rPr>
          <w:color w:val="auto"/>
          <w:sz w:val="24"/>
        </w:rPr>
      </w:pPr>
      <w:r>
        <w:rPr>
          <w:color w:val="auto"/>
          <w:sz w:val="24"/>
        </w:rPr>
        <w:t>处罚标准</w:t>
      </w:r>
      <w:r>
        <w:rPr>
          <w:color w:val="auto"/>
          <w:spacing w:val="-30"/>
          <w:sz w:val="24"/>
        </w:rPr>
        <w:t xml:space="preserve">处 </w:t>
      </w:r>
      <w:r>
        <w:rPr>
          <w:color w:val="auto"/>
          <w:sz w:val="24"/>
        </w:rPr>
        <w:t>1</w:t>
      </w:r>
      <w:r>
        <w:rPr>
          <w:color w:val="auto"/>
          <w:spacing w:val="-13"/>
          <w:sz w:val="24"/>
        </w:rPr>
        <w:t xml:space="preserve"> 万元罚款。</w:t>
      </w:r>
      <w:r>
        <w:rPr>
          <w:color w:val="auto"/>
          <w:sz w:val="24"/>
        </w:rPr>
        <w:t>3</w:t>
      </w:r>
      <w:r>
        <w:rPr>
          <w:color w:val="auto"/>
          <w:spacing w:val="-24"/>
          <w:sz w:val="24"/>
        </w:rPr>
        <w:t>、【较重】</w:t>
      </w:r>
    </w:p>
    <w:p>
      <w:pPr>
        <w:pStyle w:val="13"/>
        <w:numPr>
          <w:ilvl w:val="0"/>
          <w:numId w:val="1493"/>
        </w:numPr>
        <w:tabs>
          <w:tab w:val="left" w:pos="1353"/>
        </w:tabs>
        <w:spacing w:before="0" w:after="0" w:line="304"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逾期二个月内未补办的。</w:t>
      </w:r>
    </w:p>
    <w:p>
      <w:pPr>
        <w:pStyle w:val="13"/>
        <w:numPr>
          <w:ilvl w:val="0"/>
          <w:numId w:val="1493"/>
        </w:numPr>
        <w:tabs>
          <w:tab w:val="left" w:pos="1353"/>
        </w:tabs>
        <w:spacing w:before="194" w:after="0" w:line="388" w:lineRule="auto"/>
        <w:ind w:left="751" w:right="6793" w:firstLine="0"/>
        <w:jc w:val="left"/>
        <w:rPr>
          <w:color w:val="auto"/>
          <w:sz w:val="24"/>
        </w:rPr>
      </w:pPr>
      <w:r>
        <w:rPr>
          <w:color w:val="auto"/>
          <w:sz w:val="24"/>
        </w:rPr>
        <w:t>处罚标准</w:t>
      </w:r>
      <w:r>
        <w:rPr>
          <w:color w:val="auto"/>
          <w:spacing w:val="-30"/>
          <w:sz w:val="24"/>
        </w:rPr>
        <w:t xml:space="preserve">处 </w:t>
      </w:r>
      <w:r>
        <w:rPr>
          <w:color w:val="auto"/>
          <w:sz w:val="24"/>
        </w:rPr>
        <w:t>2</w:t>
      </w:r>
      <w:r>
        <w:rPr>
          <w:color w:val="auto"/>
          <w:spacing w:val="-13"/>
          <w:sz w:val="24"/>
        </w:rPr>
        <w:t xml:space="preserve"> 万元罚款。</w:t>
      </w:r>
      <w:r>
        <w:rPr>
          <w:color w:val="auto"/>
          <w:sz w:val="24"/>
        </w:rPr>
        <w:t>4</w:t>
      </w:r>
      <w:r>
        <w:rPr>
          <w:color w:val="auto"/>
          <w:spacing w:val="-24"/>
          <w:sz w:val="24"/>
        </w:rPr>
        <w:t>、【严重】</w:t>
      </w:r>
    </w:p>
    <w:p>
      <w:pPr>
        <w:pStyle w:val="13"/>
        <w:numPr>
          <w:ilvl w:val="0"/>
          <w:numId w:val="1494"/>
        </w:numPr>
        <w:tabs>
          <w:tab w:val="left" w:pos="1353"/>
        </w:tabs>
        <w:spacing w:before="6"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逾期三个月以上未补办的。</w:t>
      </w:r>
    </w:p>
    <w:p>
      <w:pPr>
        <w:pStyle w:val="13"/>
        <w:numPr>
          <w:ilvl w:val="0"/>
          <w:numId w:val="1494"/>
        </w:numPr>
        <w:tabs>
          <w:tab w:val="left" w:pos="1353"/>
        </w:tabs>
        <w:spacing w:before="192" w:after="0" w:line="391" w:lineRule="auto"/>
        <w:ind w:left="751" w:right="6793" w:firstLine="0"/>
        <w:jc w:val="left"/>
        <w:rPr>
          <w:color w:val="auto"/>
          <w:sz w:val="24"/>
        </w:rPr>
      </w:pPr>
      <w:r>
        <w:rPr>
          <w:color w:val="auto"/>
          <w:sz w:val="24"/>
        </w:rPr>
        <w:t>处罚标准</w:t>
      </w:r>
      <w:r>
        <w:rPr>
          <w:color w:val="auto"/>
          <w:spacing w:val="-30"/>
          <w:sz w:val="24"/>
        </w:rPr>
        <w:t xml:space="preserve">处 </w:t>
      </w:r>
      <w:r>
        <w:rPr>
          <w:color w:val="auto"/>
          <w:sz w:val="24"/>
        </w:rPr>
        <w:t>3</w:t>
      </w:r>
      <w:r>
        <w:rPr>
          <w:color w:val="auto"/>
          <w:spacing w:val="-13"/>
          <w:sz w:val="24"/>
        </w:rPr>
        <w:t xml:space="preserve"> 万元罚款。</w:t>
      </w:r>
    </w:p>
    <w:p>
      <w:pPr>
        <w:pStyle w:val="2"/>
        <w:spacing w:line="391" w:lineRule="auto"/>
        <w:ind w:left="111" w:right="115" w:firstLine="480"/>
        <w:rPr>
          <w:color w:val="auto"/>
        </w:rPr>
      </w:pPr>
      <w:bookmarkStart w:id="1340" w:name="_bookmark669"/>
      <w:bookmarkEnd w:id="1340"/>
      <w:bookmarkStart w:id="1341" w:name="六百五十六、毛绒纤维经营者承储国家储备毛绒纤维，未建立健全毛绒纤维入库质量验收、"/>
      <w:bookmarkEnd w:id="1341"/>
      <w:r>
        <w:rPr>
          <w:color w:val="auto"/>
          <w:spacing w:val="-8"/>
        </w:rPr>
        <w:t>六百五十六、毛绒纤维经营者承储国家储备毛绒纤维，未建立健全毛绒纤维入库</w:t>
      </w:r>
      <w:r>
        <w:rPr>
          <w:color w:val="auto"/>
          <w:spacing w:val="-15"/>
        </w:rPr>
        <w:t>质量验收、出库质量检查制度，入库、出库的国家储备毛绒纤维的类别、型号、等级、数量、包装、标识等与质量凭证不相符</w:t>
      </w:r>
    </w:p>
    <w:p>
      <w:pPr>
        <w:spacing w:before="0" w:line="304" w:lineRule="exact"/>
        <w:ind w:left="754" w:right="0" w:firstLine="0"/>
        <w:jc w:val="left"/>
        <w:rPr>
          <w:b/>
          <w:color w:val="auto"/>
          <w:sz w:val="24"/>
        </w:rPr>
      </w:pPr>
      <w:r>
        <w:rPr>
          <w:b/>
          <w:color w:val="auto"/>
          <w:sz w:val="24"/>
        </w:rPr>
        <w:t>（一）处罚依据</w:t>
      </w:r>
    </w:p>
    <w:p>
      <w:pPr>
        <w:pStyle w:val="4"/>
        <w:spacing w:before="190" w:line="391" w:lineRule="auto"/>
        <w:ind w:right="268" w:firstLine="626"/>
        <w:jc w:val="both"/>
        <w:rPr>
          <w:color w:val="auto"/>
        </w:rPr>
      </w:pPr>
      <w:r>
        <w:rPr>
          <w:color w:val="auto"/>
        </w:rPr>
        <w:t>1</w:t>
      </w:r>
      <w:r>
        <w:rPr>
          <w:color w:val="auto"/>
          <w:spacing w:val="-12"/>
        </w:rPr>
        <w:t>、《毛绒纤维质量监督管理办法》第二十三条“毛绒纤维经营者在承储国家储</w:t>
      </w:r>
      <w:r>
        <w:rPr>
          <w:color w:val="auto"/>
          <w:spacing w:val="-13"/>
        </w:rPr>
        <w:t>备毛绒纤维活动中，违反本办法第十七条规定的，由纤维质量监督机构责令改正，可</w:t>
      </w:r>
      <w:r>
        <w:rPr>
          <w:color w:val="auto"/>
          <w:spacing w:val="-20"/>
        </w:rPr>
        <w:t xml:space="preserve">以处 </w:t>
      </w:r>
      <w:r>
        <w:rPr>
          <w:color w:val="auto"/>
        </w:rPr>
        <w:t>10</w:t>
      </w:r>
      <w:r>
        <w:rPr>
          <w:color w:val="auto"/>
          <w:spacing w:val="-13"/>
        </w:rPr>
        <w:t xml:space="preserve"> 万元以下的罚款；造成重大损失的，依法追究刑事责任。”</w:t>
      </w:r>
    </w:p>
    <w:p>
      <w:pPr>
        <w:pStyle w:val="4"/>
        <w:spacing w:line="391" w:lineRule="auto"/>
        <w:ind w:right="268" w:firstLine="626"/>
        <w:jc w:val="both"/>
        <w:rPr>
          <w:color w:val="auto"/>
        </w:rPr>
      </w:pPr>
      <w:r>
        <w:rPr>
          <w:color w:val="auto"/>
        </w:rPr>
        <w:t>2</w:t>
      </w:r>
      <w:r>
        <w:rPr>
          <w:color w:val="auto"/>
          <w:spacing w:val="-12"/>
        </w:rPr>
        <w:t>、《毛绒纤维质量监督管理办法》第十七条“毛绒纤维经营者承储国家储备毛</w:t>
      </w:r>
      <w:r>
        <w:rPr>
          <w:color w:val="auto"/>
          <w:spacing w:val="-10"/>
        </w:rPr>
        <w:t>绒纤维，应当建立健全毛绒纤维入库质量验收、出库质量检查制度，保证入库、出库</w:t>
      </w:r>
      <w:r>
        <w:rPr>
          <w:color w:val="auto"/>
          <w:spacing w:val="-4"/>
        </w:rPr>
        <w:t>的国家储备毛绒纤维的类别、型号、等级、数量、包装、标识等与质量凭证相符。”</w:t>
      </w:r>
    </w:p>
    <w:p>
      <w:pPr>
        <w:pStyle w:val="2"/>
        <w:spacing w:line="304" w:lineRule="exact"/>
        <w:ind w:left="754"/>
        <w:rPr>
          <w:color w:val="auto"/>
        </w:rPr>
      </w:pPr>
      <w:r>
        <w:rPr>
          <w:color w:val="auto"/>
        </w:rPr>
        <w:t>（二）裁量标准</w:t>
      </w:r>
    </w:p>
    <w:p>
      <w:pPr>
        <w:spacing w:after="0" w:line="304" w:lineRule="exact"/>
        <w:rPr>
          <w:color w:val="auto"/>
        </w:rPr>
        <w:sectPr>
          <w:pgSz w:w="11910" w:h="16840"/>
          <w:pgMar w:top="1520" w:right="1260" w:bottom="1220" w:left="1420" w:header="0" w:footer="1034" w:gutter="0"/>
        </w:sectPr>
      </w:pPr>
    </w:p>
    <w:p>
      <w:pPr>
        <w:pStyle w:val="4"/>
        <w:spacing w:before="39"/>
        <w:ind w:left="751"/>
        <w:rPr>
          <w:color w:val="auto"/>
        </w:rPr>
      </w:pPr>
      <w:r>
        <w:rPr>
          <w:color w:val="auto"/>
        </w:rPr>
        <w:t>1、【较轻】</w:t>
      </w:r>
    </w:p>
    <w:p>
      <w:pPr>
        <w:pStyle w:val="13"/>
        <w:numPr>
          <w:ilvl w:val="0"/>
          <w:numId w:val="1495"/>
        </w:numPr>
        <w:tabs>
          <w:tab w:val="left" w:pos="1353"/>
        </w:tabs>
        <w:spacing w:before="195" w:after="0" w:line="240" w:lineRule="auto"/>
        <w:ind w:left="1353" w:right="0" w:hanging="602"/>
        <w:jc w:val="left"/>
        <w:rPr>
          <w:color w:val="auto"/>
          <w:sz w:val="24"/>
        </w:rPr>
      </w:pPr>
      <w:r>
        <w:rPr>
          <w:color w:val="auto"/>
          <w:sz w:val="24"/>
        </w:rPr>
        <w:t>违法情形</w:t>
      </w:r>
    </w:p>
    <w:p>
      <w:pPr>
        <w:pStyle w:val="4"/>
        <w:spacing w:before="191" w:line="391" w:lineRule="auto"/>
        <w:ind w:right="146" w:firstLine="640"/>
        <w:rPr>
          <w:color w:val="auto"/>
        </w:rPr>
      </w:pPr>
      <w:r>
        <w:rPr>
          <w:color w:val="auto"/>
          <w:spacing w:val="-5"/>
        </w:rPr>
        <w:t>有下列情形之一的：</w:t>
      </w:r>
      <w:r>
        <w:rPr>
          <w:color w:val="auto"/>
          <w:spacing w:val="-45"/>
        </w:rPr>
        <w:t>1</w:t>
      </w:r>
      <w:r>
        <w:rPr>
          <w:color w:val="auto"/>
          <w:spacing w:val="-12"/>
        </w:rPr>
        <w:t xml:space="preserve">．未建立毛绒纤维入库质量验收、出库质量检查制度不全， </w:t>
      </w:r>
      <w:r>
        <w:rPr>
          <w:color w:val="auto"/>
          <w:spacing w:val="-15"/>
        </w:rPr>
        <w:t xml:space="preserve">其中 </w:t>
      </w:r>
      <w:r>
        <w:rPr>
          <w:color w:val="auto"/>
        </w:rPr>
        <w:t>1</w:t>
      </w:r>
      <w:r>
        <w:rPr>
          <w:color w:val="auto"/>
          <w:spacing w:val="-8"/>
        </w:rPr>
        <w:t xml:space="preserve"> 项未建立的；</w:t>
      </w:r>
      <w:r>
        <w:rPr>
          <w:color w:val="auto"/>
        </w:rPr>
        <w:t>2．仅入库、出库的国家储备毛绒纤维的类别、型号、等级、数量、包装、标识等与质量凭证轻微不相符的。</w:t>
      </w:r>
    </w:p>
    <w:p>
      <w:pPr>
        <w:pStyle w:val="13"/>
        <w:numPr>
          <w:ilvl w:val="0"/>
          <w:numId w:val="1495"/>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2" w:line="391" w:lineRule="auto"/>
        <w:ind w:left="751" w:right="5113"/>
        <w:rPr>
          <w:color w:val="auto"/>
        </w:rPr>
      </w:pPr>
      <w:r>
        <w:rPr>
          <w:color w:val="auto"/>
          <w:spacing w:val="-9"/>
        </w:rPr>
        <w:t xml:space="preserve">责令改正，处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49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入库、出库的国家储备毛绒纤维的类别、型号、等级、数量、包装、标识等与质量凭证严重不相符，未造成危害后果的。</w:t>
      </w:r>
    </w:p>
    <w:p>
      <w:pPr>
        <w:pStyle w:val="13"/>
        <w:numPr>
          <w:ilvl w:val="0"/>
          <w:numId w:val="1496"/>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line="391" w:lineRule="auto"/>
        <w:ind w:left="751" w:right="3913"/>
        <w:rPr>
          <w:color w:val="auto"/>
        </w:rPr>
      </w:pPr>
      <w:r>
        <w:rPr>
          <w:color w:val="auto"/>
          <w:spacing w:val="-9"/>
        </w:rPr>
        <w:t xml:space="preserve">责令改正，处 </w:t>
      </w:r>
      <w:r>
        <w:rPr>
          <w:color w:val="auto"/>
        </w:rPr>
        <w:t>2</w:t>
      </w:r>
      <w:r>
        <w:rPr>
          <w:color w:val="auto"/>
          <w:spacing w:val="-20"/>
        </w:rPr>
        <w:t xml:space="preserve"> 万元以上 </w:t>
      </w:r>
      <w:r>
        <w:rPr>
          <w:color w:val="auto"/>
        </w:rPr>
        <w:t>4</w:t>
      </w:r>
      <w:r>
        <w:rPr>
          <w:color w:val="auto"/>
          <w:spacing w:val="-11"/>
        </w:rPr>
        <w:t xml:space="preserve"> 万元以下罚款。</w:t>
      </w:r>
      <w:r>
        <w:rPr>
          <w:color w:val="auto"/>
        </w:rPr>
        <w:t>3</w:t>
      </w:r>
      <w:r>
        <w:rPr>
          <w:color w:val="auto"/>
          <w:spacing w:val="-24"/>
        </w:rPr>
        <w:t>、【较重】</w:t>
      </w:r>
    </w:p>
    <w:p>
      <w:pPr>
        <w:pStyle w:val="13"/>
        <w:numPr>
          <w:ilvl w:val="0"/>
          <w:numId w:val="149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jc w:val="both"/>
        <w:rPr>
          <w:color w:val="auto"/>
        </w:rPr>
      </w:pPr>
      <w:r>
        <w:rPr>
          <w:color w:val="auto"/>
        </w:rPr>
        <w:t>有下列情形之一的：1</w:t>
      </w:r>
      <w:r>
        <w:rPr>
          <w:color w:val="auto"/>
          <w:spacing w:val="-6"/>
        </w:rPr>
        <w:t xml:space="preserve">、有本条规定的 </w:t>
      </w:r>
      <w:r>
        <w:rPr>
          <w:color w:val="auto"/>
        </w:rPr>
        <w:t>2</w:t>
      </w:r>
      <w:r>
        <w:rPr>
          <w:color w:val="auto"/>
          <w:spacing w:val="-9"/>
        </w:rPr>
        <w:t xml:space="preserve"> 项行为的；</w:t>
      </w:r>
      <w:r>
        <w:rPr>
          <w:color w:val="auto"/>
        </w:rPr>
        <w:t>2、入库、出库的国家储备</w:t>
      </w:r>
      <w:r>
        <w:rPr>
          <w:color w:val="auto"/>
          <w:spacing w:val="-6"/>
        </w:rPr>
        <w:t>毛绒纤维的类别、型号、等级、数量、包装、标识等与质量凭证严重不相符，造成一</w:t>
      </w:r>
      <w:r>
        <w:rPr>
          <w:color w:val="auto"/>
        </w:rPr>
        <w:t>定危害后果的。</w:t>
      </w:r>
    </w:p>
    <w:p>
      <w:pPr>
        <w:pStyle w:val="13"/>
        <w:numPr>
          <w:ilvl w:val="0"/>
          <w:numId w:val="1497"/>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4</w:t>
      </w:r>
      <w:r>
        <w:rPr>
          <w:color w:val="auto"/>
          <w:spacing w:val="-20"/>
        </w:rPr>
        <w:t xml:space="preserve"> 万元以上 </w:t>
      </w:r>
      <w:r>
        <w:rPr>
          <w:color w:val="auto"/>
        </w:rPr>
        <w:t>6</w:t>
      </w:r>
      <w:r>
        <w:rPr>
          <w:color w:val="auto"/>
          <w:spacing w:val="-11"/>
        </w:rPr>
        <w:t xml:space="preserve"> 万元以下罚款。</w:t>
      </w:r>
      <w:r>
        <w:rPr>
          <w:color w:val="auto"/>
        </w:rPr>
        <w:t>4</w:t>
      </w:r>
      <w:r>
        <w:rPr>
          <w:color w:val="auto"/>
          <w:spacing w:val="-24"/>
        </w:rPr>
        <w:t>、【严重】</w:t>
      </w:r>
    </w:p>
    <w:p>
      <w:pPr>
        <w:pStyle w:val="13"/>
        <w:numPr>
          <w:ilvl w:val="0"/>
          <w:numId w:val="1498"/>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入库、出库的国家储备毛绒纤维的类别、型号、等级、数量、包装、标识等与质量凭证严重不相符，造成严重危害后果的。</w:t>
      </w:r>
    </w:p>
    <w:p>
      <w:pPr>
        <w:pStyle w:val="13"/>
        <w:numPr>
          <w:ilvl w:val="0"/>
          <w:numId w:val="1498"/>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5" w:line="388" w:lineRule="auto"/>
        <w:ind w:left="751" w:right="3913"/>
        <w:rPr>
          <w:color w:val="auto"/>
        </w:rPr>
      </w:pPr>
      <w:r>
        <w:rPr>
          <w:color w:val="auto"/>
          <w:spacing w:val="-9"/>
        </w:rPr>
        <w:t xml:space="preserve">责令改正，处 </w:t>
      </w:r>
      <w:r>
        <w:rPr>
          <w:color w:val="auto"/>
        </w:rPr>
        <w:t>6</w:t>
      </w:r>
      <w:r>
        <w:rPr>
          <w:color w:val="auto"/>
          <w:spacing w:val="-20"/>
        </w:rPr>
        <w:t xml:space="preserve"> 万元以上 </w:t>
      </w:r>
      <w:r>
        <w:rPr>
          <w:color w:val="auto"/>
        </w:rPr>
        <w:t>8</w:t>
      </w:r>
      <w:r>
        <w:rPr>
          <w:color w:val="auto"/>
          <w:spacing w:val="-11"/>
        </w:rPr>
        <w:t xml:space="preserve"> 万元以下罚款。</w:t>
      </w:r>
      <w:r>
        <w:rPr>
          <w:color w:val="auto"/>
        </w:rPr>
        <w:t>5</w:t>
      </w:r>
      <w:r>
        <w:rPr>
          <w:color w:val="auto"/>
          <w:spacing w:val="-18"/>
        </w:rPr>
        <w:t>、【特别严重】</w:t>
      </w:r>
    </w:p>
    <w:p>
      <w:pPr>
        <w:pStyle w:val="13"/>
        <w:numPr>
          <w:ilvl w:val="0"/>
          <w:numId w:val="1499"/>
        </w:numPr>
        <w:tabs>
          <w:tab w:val="left" w:pos="1353"/>
        </w:tabs>
        <w:spacing w:before="2" w:after="0" w:line="240" w:lineRule="auto"/>
        <w:ind w:left="1353" w:right="0" w:hanging="602"/>
        <w:jc w:val="left"/>
        <w:rPr>
          <w:color w:val="auto"/>
          <w:sz w:val="24"/>
        </w:rPr>
      </w:pPr>
      <w:r>
        <w:rPr>
          <w:color w:val="auto"/>
          <w:sz w:val="24"/>
        </w:rPr>
        <w:t>违法情形</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195" w:firstLine="640"/>
        <w:rPr>
          <w:color w:val="auto"/>
        </w:rPr>
      </w:pPr>
      <w:r>
        <w:rPr>
          <w:color w:val="auto"/>
        </w:rPr>
        <w:t>有下列情形之一的：1、行政处罚实施机关作出责令改正违法行为后，继续实施违法行为的；2、造成重大财产损失或严重社会影响的。</w:t>
      </w:r>
    </w:p>
    <w:p>
      <w:pPr>
        <w:pStyle w:val="13"/>
        <w:numPr>
          <w:ilvl w:val="0"/>
          <w:numId w:val="1499"/>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责令改正，处 8 万元以上 10 万元以下罚款。</w:t>
      </w:r>
    </w:p>
    <w:p>
      <w:pPr>
        <w:pStyle w:val="2"/>
        <w:spacing w:before="194" w:line="388" w:lineRule="auto"/>
        <w:ind w:left="111" w:right="241" w:firstLine="480"/>
        <w:rPr>
          <w:color w:val="auto"/>
        </w:rPr>
      </w:pPr>
      <w:bookmarkStart w:id="1342" w:name="六百五十七、毛绒纤维经营者在收购、加工、销售、承储活动中伪造、变造、冒用毛绒纤维"/>
      <w:bookmarkEnd w:id="1342"/>
      <w:bookmarkStart w:id="1343" w:name="_bookmark670"/>
      <w:bookmarkEnd w:id="1343"/>
      <w:r>
        <w:rPr>
          <w:color w:val="auto"/>
          <w:spacing w:val="-7"/>
        </w:rPr>
        <w:t>六百五十七、毛绒纤维经营者在收购、加工、销售、承储活动中伪造、变造、冒用毛绒纤维质量凭证、标识、毛绒纤维质量公证检验证书和标志</w:t>
      </w:r>
    </w:p>
    <w:p>
      <w:pPr>
        <w:spacing w:before="2"/>
        <w:ind w:left="754" w:right="0" w:firstLine="0"/>
        <w:jc w:val="left"/>
        <w:rPr>
          <w:b/>
          <w:color w:val="auto"/>
          <w:sz w:val="24"/>
        </w:rPr>
      </w:pPr>
      <w:r>
        <w:rPr>
          <w:b/>
          <w:color w:val="auto"/>
          <w:sz w:val="24"/>
        </w:rPr>
        <w:t>（一）处罚依据</w:t>
      </w:r>
    </w:p>
    <w:p>
      <w:pPr>
        <w:pStyle w:val="4"/>
        <w:spacing w:before="194" w:line="391" w:lineRule="auto"/>
        <w:ind w:right="148" w:firstLine="626"/>
        <w:rPr>
          <w:color w:val="auto"/>
        </w:rPr>
      </w:pPr>
      <w:r>
        <w:rPr>
          <w:color w:val="auto"/>
        </w:rPr>
        <w:t>1</w:t>
      </w:r>
      <w:r>
        <w:rPr>
          <w:color w:val="auto"/>
          <w:spacing w:val="-16"/>
        </w:rPr>
        <w:t>、《毛绒纤维质量监督管理办法》第二十四条“毛绒纤维经营者在收购、加工、</w:t>
      </w:r>
      <w:r>
        <w:rPr>
          <w:color w:val="auto"/>
          <w:spacing w:val="-11"/>
        </w:rPr>
        <w:t xml:space="preserve">销售、承储活动中违反本办法第十八条规定的，由纤维质量监督机构处 </w:t>
      </w:r>
      <w:r>
        <w:rPr>
          <w:color w:val="auto"/>
        </w:rPr>
        <w:t>5</w:t>
      </w:r>
      <w:r>
        <w:rPr>
          <w:color w:val="auto"/>
          <w:spacing w:val="-20"/>
        </w:rPr>
        <w:t xml:space="preserve"> 万元以上 </w:t>
      </w:r>
      <w:r>
        <w:rPr>
          <w:color w:val="auto"/>
        </w:rPr>
        <w:t xml:space="preserve">10 万元以下的罚款；情节严重的，建议工商行政管理机关吊销营业执照；构成犯罪的， </w:t>
      </w:r>
      <w:r>
        <w:rPr>
          <w:color w:val="auto"/>
          <w:spacing w:val="-13"/>
        </w:rPr>
        <w:t>依法追究刑事责任。”</w:t>
      </w:r>
    </w:p>
    <w:p>
      <w:pPr>
        <w:pStyle w:val="4"/>
        <w:spacing w:line="391" w:lineRule="auto"/>
        <w:ind w:right="148" w:firstLine="626"/>
        <w:rPr>
          <w:color w:val="auto"/>
        </w:rPr>
      </w:pPr>
      <w:r>
        <w:rPr>
          <w:color w:val="auto"/>
        </w:rPr>
        <w:t>2</w:t>
      </w:r>
      <w:r>
        <w:rPr>
          <w:color w:val="auto"/>
          <w:spacing w:val="-16"/>
        </w:rPr>
        <w:t>、《毛绒纤维质量监督管理办法》第十八条“任何单位或个人不得伪造、变造、</w:t>
      </w:r>
      <w:r>
        <w:rPr>
          <w:color w:val="auto"/>
          <w:spacing w:val="-4"/>
        </w:rPr>
        <w:t>冒用毛绒纤维质量凭证、标识、毛绒纤维质量公证检验证书和标志、本办法第九条规</w:t>
      </w:r>
      <w:r>
        <w:rPr>
          <w:color w:val="auto"/>
          <w:spacing w:val="-17"/>
        </w:rPr>
        <w:t>定的检验的证书。”</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00"/>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87" w:line="388" w:lineRule="auto"/>
        <w:ind w:right="268" w:firstLine="640"/>
        <w:rPr>
          <w:color w:val="auto"/>
        </w:rPr>
      </w:pPr>
      <w:r>
        <w:rPr>
          <w:color w:val="auto"/>
          <w:spacing w:val="-8"/>
        </w:rPr>
        <w:t>伪造、变造、冒用的毛绒纤维质量凭证</w:t>
      </w:r>
      <w:r>
        <w:rPr>
          <w:color w:val="auto"/>
        </w:rPr>
        <w:t>（毛绒纤维质量公证检验证书除外</w:t>
      </w:r>
      <w:r>
        <w:rPr>
          <w:color w:val="auto"/>
          <w:spacing w:val="-120"/>
        </w:rPr>
        <w:t>）</w:t>
      </w:r>
      <w:r>
        <w:rPr>
          <w:color w:val="auto"/>
          <w:spacing w:val="-17"/>
        </w:rPr>
        <w:t>、标</w:t>
      </w:r>
      <w:r>
        <w:rPr>
          <w:color w:val="auto"/>
        </w:rPr>
        <w:t>识数量较少的；检查后及时停止违法行为的。</w:t>
      </w:r>
    </w:p>
    <w:p>
      <w:pPr>
        <w:pStyle w:val="13"/>
        <w:numPr>
          <w:ilvl w:val="0"/>
          <w:numId w:val="1500"/>
        </w:numPr>
        <w:tabs>
          <w:tab w:val="left" w:pos="1353"/>
        </w:tabs>
        <w:spacing w:before="5" w:after="0" w:line="240" w:lineRule="auto"/>
        <w:ind w:left="1353" w:right="0" w:hanging="602"/>
        <w:jc w:val="left"/>
        <w:rPr>
          <w:color w:val="auto"/>
          <w:sz w:val="24"/>
        </w:rPr>
      </w:pPr>
      <w:r>
        <w:rPr>
          <w:color w:val="auto"/>
          <w:sz w:val="24"/>
        </w:rPr>
        <w:t>处罚标准</w:t>
      </w:r>
    </w:p>
    <w:p>
      <w:pPr>
        <w:pStyle w:val="4"/>
        <w:spacing w:before="192" w:line="388" w:lineRule="auto"/>
        <w:ind w:left="751" w:right="5113"/>
        <w:rPr>
          <w:color w:val="auto"/>
        </w:rPr>
      </w:pPr>
      <w:r>
        <w:rPr>
          <w:color w:val="auto"/>
          <w:spacing w:val="-30"/>
        </w:rPr>
        <w:t xml:space="preserve">处 </w:t>
      </w:r>
      <w:r>
        <w:rPr>
          <w:color w:val="auto"/>
        </w:rPr>
        <w:t>5</w:t>
      </w:r>
      <w:r>
        <w:rPr>
          <w:color w:val="auto"/>
          <w:spacing w:val="-20"/>
        </w:rPr>
        <w:t xml:space="preserve"> 万元以上 </w:t>
      </w:r>
      <w:r>
        <w:rPr>
          <w:color w:val="auto"/>
        </w:rPr>
        <w:t>6</w:t>
      </w:r>
      <w:r>
        <w:rPr>
          <w:color w:val="auto"/>
          <w:spacing w:val="-11"/>
        </w:rPr>
        <w:t xml:space="preserve"> 万元以下罚款。</w:t>
      </w:r>
      <w:r>
        <w:rPr>
          <w:color w:val="auto"/>
        </w:rPr>
        <w:t>2</w:t>
      </w:r>
      <w:r>
        <w:rPr>
          <w:color w:val="auto"/>
          <w:spacing w:val="-24"/>
        </w:rPr>
        <w:t>、【一般】</w:t>
      </w:r>
    </w:p>
    <w:p>
      <w:pPr>
        <w:pStyle w:val="13"/>
        <w:numPr>
          <w:ilvl w:val="0"/>
          <w:numId w:val="1501"/>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line="391" w:lineRule="auto"/>
        <w:ind w:right="264" w:firstLine="640"/>
        <w:jc w:val="both"/>
        <w:rPr>
          <w:color w:val="auto"/>
        </w:rPr>
      </w:pPr>
      <w:r>
        <w:rPr>
          <w:color w:val="auto"/>
          <w:spacing w:val="-1"/>
        </w:rPr>
        <w:t>有下列情形之一的：</w:t>
      </w:r>
      <w:r>
        <w:rPr>
          <w:color w:val="auto"/>
          <w:spacing w:val="-9"/>
        </w:rPr>
        <w:t>1、伪造、变造、冒用毛绒纤维质量凭证</w:t>
      </w:r>
      <w:r>
        <w:rPr>
          <w:color w:val="auto"/>
        </w:rPr>
        <w:t>（</w:t>
      </w:r>
      <w:r>
        <w:rPr>
          <w:color w:val="auto"/>
          <w:spacing w:val="-2"/>
        </w:rPr>
        <w:t>毛绒纤维质量公</w:t>
      </w:r>
      <w:r>
        <w:rPr>
          <w:color w:val="auto"/>
        </w:rPr>
        <w:t>证检验证书除外</w:t>
      </w:r>
      <w:r>
        <w:rPr>
          <w:color w:val="auto"/>
          <w:spacing w:val="-120"/>
        </w:rPr>
        <w:t>）</w:t>
      </w:r>
      <w:r>
        <w:rPr>
          <w:color w:val="auto"/>
          <w:spacing w:val="-4"/>
        </w:rPr>
        <w:t>、标识数量较大的；2</w:t>
      </w:r>
      <w:r>
        <w:rPr>
          <w:color w:val="auto"/>
          <w:spacing w:val="-6"/>
        </w:rPr>
        <w:t>、伪造、变造、冒用毛绒纤维质量公证检验证</w:t>
      </w:r>
      <w:r>
        <w:rPr>
          <w:color w:val="auto"/>
        </w:rPr>
        <w:t>书，数量较小的；3、伪造、变造、冒用毛绒纤维质量公证检验标志，数量较小的。</w:t>
      </w:r>
    </w:p>
    <w:p>
      <w:pPr>
        <w:pStyle w:val="13"/>
        <w:numPr>
          <w:ilvl w:val="0"/>
          <w:numId w:val="1501"/>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1"/>
        <w:ind w:left="751"/>
        <w:rPr>
          <w:color w:val="auto"/>
        </w:rPr>
      </w:pPr>
      <w:r>
        <w:rPr>
          <w:color w:val="auto"/>
        </w:rPr>
        <w:t>处 6 万元以上 7 万元以下罚款。</w:t>
      </w:r>
    </w:p>
    <w:p>
      <w:pPr>
        <w:spacing w:after="0"/>
        <w:rPr>
          <w:color w:val="auto"/>
        </w:rPr>
        <w:sectPr>
          <w:pgSz w:w="11910" w:h="16840"/>
          <w:pgMar w:top="1520" w:right="1260" w:bottom="1220" w:left="1420" w:header="0" w:footer="1034" w:gutter="0"/>
        </w:sectPr>
      </w:pPr>
    </w:p>
    <w:p>
      <w:pPr>
        <w:pStyle w:val="4"/>
        <w:spacing w:before="39"/>
        <w:ind w:left="751"/>
        <w:rPr>
          <w:color w:val="auto"/>
        </w:rPr>
      </w:pPr>
      <w:r>
        <w:rPr>
          <w:color w:val="auto"/>
        </w:rPr>
        <w:t>3、【较重】</w:t>
      </w:r>
    </w:p>
    <w:p>
      <w:pPr>
        <w:pStyle w:val="13"/>
        <w:numPr>
          <w:ilvl w:val="0"/>
          <w:numId w:val="1502"/>
        </w:numPr>
        <w:tabs>
          <w:tab w:val="left" w:pos="1353"/>
        </w:tabs>
        <w:spacing w:before="195" w:after="0" w:line="240" w:lineRule="auto"/>
        <w:ind w:left="1353" w:right="0" w:hanging="602"/>
        <w:jc w:val="left"/>
        <w:rPr>
          <w:color w:val="auto"/>
          <w:sz w:val="24"/>
        </w:rPr>
      </w:pPr>
      <w:r>
        <w:rPr>
          <w:color w:val="auto"/>
          <w:sz w:val="24"/>
        </w:rPr>
        <w:t>违法情形</w:t>
      </w:r>
    </w:p>
    <w:p>
      <w:pPr>
        <w:pStyle w:val="4"/>
        <w:spacing w:before="191" w:line="391" w:lineRule="auto"/>
        <w:ind w:right="146" w:firstLine="640"/>
        <w:rPr>
          <w:color w:val="auto"/>
        </w:rPr>
      </w:pPr>
      <w:r>
        <w:rPr>
          <w:color w:val="auto"/>
          <w:spacing w:val="-1"/>
        </w:rPr>
        <w:t>有下列情形之一的：</w:t>
      </w:r>
      <w:r>
        <w:rPr>
          <w:color w:val="auto"/>
          <w:spacing w:val="-9"/>
        </w:rPr>
        <w:t>1</w:t>
      </w:r>
      <w:r>
        <w:rPr>
          <w:color w:val="auto"/>
          <w:spacing w:val="-11"/>
        </w:rPr>
        <w:t xml:space="preserve">、有本条规定的 </w:t>
      </w:r>
      <w:r>
        <w:rPr>
          <w:color w:val="auto"/>
        </w:rPr>
        <w:t>2</w:t>
      </w:r>
      <w:r>
        <w:rPr>
          <w:color w:val="auto"/>
          <w:spacing w:val="-8"/>
        </w:rPr>
        <w:t xml:space="preserve"> 项及以上违法行为的；2、伪造、变造、</w:t>
      </w:r>
      <w:r>
        <w:rPr>
          <w:color w:val="auto"/>
        </w:rPr>
        <w:t>冒用毛绒纤维质量公证检验证书，数量较大的；3、伪造、变造、冒用毛绒纤维质量公证检验标志，数量较大的。</w:t>
      </w:r>
    </w:p>
    <w:p>
      <w:pPr>
        <w:pStyle w:val="13"/>
        <w:numPr>
          <w:ilvl w:val="0"/>
          <w:numId w:val="1502"/>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2" w:line="391" w:lineRule="auto"/>
        <w:ind w:left="751" w:right="2473"/>
        <w:rPr>
          <w:color w:val="auto"/>
        </w:rPr>
      </w:pPr>
      <w:r>
        <w:rPr>
          <w:color w:val="auto"/>
          <w:spacing w:val="-30"/>
        </w:rPr>
        <w:t xml:space="preserve">处 </w:t>
      </w:r>
      <w:r>
        <w:rPr>
          <w:color w:val="auto"/>
        </w:rPr>
        <w:t>7</w:t>
      </w:r>
      <w:r>
        <w:rPr>
          <w:color w:val="auto"/>
          <w:spacing w:val="-20"/>
        </w:rPr>
        <w:t xml:space="preserve"> 万元以上 </w:t>
      </w:r>
      <w:r>
        <w:rPr>
          <w:color w:val="auto"/>
        </w:rPr>
        <w:t>8</w:t>
      </w:r>
      <w:r>
        <w:rPr>
          <w:color w:val="auto"/>
          <w:spacing w:val="-9"/>
        </w:rPr>
        <w:t xml:space="preserve"> 万元以下罚款。通报营业执照发证部门。</w:t>
      </w:r>
      <w:r>
        <w:rPr>
          <w:color w:val="auto"/>
        </w:rPr>
        <w:t>4</w:t>
      </w:r>
      <w:r>
        <w:rPr>
          <w:color w:val="auto"/>
          <w:spacing w:val="-24"/>
        </w:rPr>
        <w:t>、【严重】</w:t>
      </w:r>
    </w:p>
    <w:p>
      <w:pPr>
        <w:pStyle w:val="13"/>
        <w:numPr>
          <w:ilvl w:val="0"/>
          <w:numId w:val="150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有下列情形之一的：1、两年内再次出现相同违法行为的；2、造成重大社会影响的。</w:t>
      </w:r>
    </w:p>
    <w:p>
      <w:pPr>
        <w:pStyle w:val="13"/>
        <w:numPr>
          <w:ilvl w:val="0"/>
          <w:numId w:val="1503"/>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ind w:left="751"/>
        <w:rPr>
          <w:color w:val="auto"/>
        </w:rPr>
      </w:pPr>
      <w:r>
        <w:rPr>
          <w:color w:val="auto"/>
        </w:rPr>
        <w:t>处 8 万元以上 10 万元以下罚款；吊销营业执照。</w:t>
      </w:r>
    </w:p>
    <w:p>
      <w:pPr>
        <w:pStyle w:val="2"/>
        <w:spacing w:before="194"/>
        <w:rPr>
          <w:color w:val="auto"/>
        </w:rPr>
      </w:pPr>
      <w:bookmarkStart w:id="1344" w:name="六百五十八、在麻类纤维经营活动中掺杂掺假、以假充真、以次充好"/>
      <w:bookmarkEnd w:id="1344"/>
      <w:bookmarkStart w:id="1345" w:name="_bookmark671"/>
      <w:bookmarkEnd w:id="1345"/>
      <w:r>
        <w:rPr>
          <w:color w:val="auto"/>
        </w:rPr>
        <w:t>六百五十八、在麻类纤维经营活动中掺杂掺假、以假充真、以次充好</w:t>
      </w:r>
    </w:p>
    <w:p>
      <w:pPr>
        <w:spacing w:before="192"/>
        <w:ind w:left="754" w:right="0" w:firstLine="0"/>
        <w:jc w:val="left"/>
        <w:rPr>
          <w:b/>
          <w:color w:val="auto"/>
          <w:sz w:val="24"/>
        </w:rPr>
      </w:pPr>
      <w:r>
        <w:rPr>
          <w:b/>
          <w:color w:val="auto"/>
          <w:sz w:val="24"/>
        </w:rPr>
        <w:t>（一）处罚依据</w:t>
      </w:r>
    </w:p>
    <w:p>
      <w:pPr>
        <w:pStyle w:val="4"/>
        <w:spacing w:before="192" w:line="391" w:lineRule="auto"/>
        <w:ind w:right="268" w:firstLine="626"/>
        <w:jc w:val="both"/>
        <w:rPr>
          <w:color w:val="auto"/>
        </w:rPr>
      </w:pPr>
      <w:r>
        <w:rPr>
          <w:color w:val="auto"/>
        </w:rPr>
        <w:t>《麻类纤维质量监督管理办法》第十九条“麻类纤维经营者违反本办法第四条</w:t>
      </w:r>
      <w:r>
        <w:rPr>
          <w:color w:val="auto"/>
          <w:spacing w:val="-7"/>
        </w:rPr>
        <w:t>规定，在麻类纤维经营活动中掺杂掺假、以假充真、以次充好构成犯罪的，依法追究</w:t>
      </w:r>
      <w:r>
        <w:rPr>
          <w:color w:val="auto"/>
          <w:spacing w:val="-6"/>
        </w:rPr>
        <w:t>刑事责任；尚不构成犯罪的，由纤维质量监督机构没收掺杂掺假、以假充真、以次充</w:t>
      </w:r>
      <w:r>
        <w:rPr>
          <w:color w:val="auto"/>
          <w:spacing w:val="-5"/>
        </w:rPr>
        <w:t xml:space="preserve">好的麻类纤维和违法所得，并处违法货值金额 </w:t>
      </w:r>
      <w:r>
        <w:rPr>
          <w:color w:val="auto"/>
        </w:rPr>
        <w:t>2</w:t>
      </w:r>
      <w:r>
        <w:rPr>
          <w:color w:val="auto"/>
          <w:spacing w:val="-24"/>
        </w:rPr>
        <w:t xml:space="preserve"> 倍以上 </w:t>
      </w:r>
      <w:r>
        <w:rPr>
          <w:color w:val="auto"/>
        </w:rPr>
        <w:t>5</w:t>
      </w:r>
      <w:r>
        <w:rPr>
          <w:color w:val="auto"/>
          <w:spacing w:val="-10"/>
        </w:rPr>
        <w:t xml:space="preserve"> 倍以下罚款；建议工商行政</w:t>
      </w:r>
      <w:r>
        <w:rPr>
          <w:color w:val="auto"/>
          <w:spacing w:val="-11"/>
        </w:rPr>
        <w:t>管理机关吊销营业执照。”</w:t>
      </w:r>
    </w:p>
    <w:p>
      <w:pPr>
        <w:spacing w:before="0"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04"/>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1" w:line="388" w:lineRule="auto"/>
        <w:ind w:right="268" w:firstLine="640"/>
        <w:rPr>
          <w:color w:val="auto"/>
        </w:rPr>
      </w:pPr>
      <w:r>
        <w:rPr>
          <w:color w:val="auto"/>
          <w:spacing w:val="-2"/>
        </w:rPr>
        <w:t>有下列情形之一的：</w:t>
      </w:r>
      <w:r>
        <w:rPr>
          <w:color w:val="auto"/>
          <w:spacing w:val="-14"/>
        </w:rPr>
        <w:t>1</w:t>
      </w:r>
      <w:r>
        <w:rPr>
          <w:color w:val="auto"/>
          <w:spacing w:val="-9"/>
        </w:rPr>
        <w:t>、掺入的杂质系低等级麻类纤维且数量较少，致使麻类纤</w:t>
      </w:r>
      <w:r>
        <w:rPr>
          <w:color w:val="auto"/>
        </w:rPr>
        <w:t>维等级与实物轻微不符的；2</w:t>
      </w:r>
      <w:r>
        <w:rPr>
          <w:color w:val="auto"/>
          <w:spacing w:val="-12"/>
        </w:rPr>
        <w:t xml:space="preserve">、冒充高 </w:t>
      </w:r>
      <w:r>
        <w:rPr>
          <w:color w:val="auto"/>
        </w:rPr>
        <w:t>1</w:t>
      </w:r>
      <w:r>
        <w:rPr>
          <w:color w:val="auto"/>
          <w:spacing w:val="-8"/>
        </w:rPr>
        <w:t xml:space="preserve"> 个等级的麻类纤维的。</w:t>
      </w:r>
    </w:p>
    <w:p>
      <w:pPr>
        <w:pStyle w:val="13"/>
        <w:numPr>
          <w:ilvl w:val="0"/>
          <w:numId w:val="1504"/>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没收掺杂掺假、以假充真、以次充好的麻类纤维和违法所得，并处货值金额 2</w:t>
      </w:r>
    </w:p>
    <w:p>
      <w:pPr>
        <w:pStyle w:val="4"/>
        <w:spacing w:before="192"/>
        <w:rPr>
          <w:color w:val="auto"/>
        </w:rPr>
      </w:pPr>
      <w:r>
        <w:rPr>
          <w:color w:val="auto"/>
        </w:rPr>
        <w:t>倍以上 3 倍以下罚款，吊销营业执照。</w:t>
      </w:r>
    </w:p>
    <w:p>
      <w:pPr>
        <w:spacing w:after="0"/>
        <w:rPr>
          <w:color w:val="auto"/>
        </w:rPr>
        <w:sectPr>
          <w:footerReference r:id="rId163" w:type="default"/>
          <w:footerReference r:id="rId164" w:type="even"/>
          <w:pgSz w:w="11910" w:h="16840"/>
          <w:pgMar w:top="1520" w:right="1260" w:bottom="1220" w:left="1420" w:header="0" w:footer="1034" w:gutter="0"/>
          <w:pgNumType w:start="640"/>
        </w:sectPr>
      </w:pPr>
    </w:p>
    <w:p>
      <w:pPr>
        <w:pStyle w:val="4"/>
        <w:spacing w:before="39"/>
        <w:ind w:left="751"/>
        <w:rPr>
          <w:color w:val="auto"/>
        </w:rPr>
      </w:pPr>
      <w:r>
        <w:rPr>
          <w:color w:val="auto"/>
        </w:rPr>
        <w:t>2、【较重】</w:t>
      </w:r>
    </w:p>
    <w:p>
      <w:pPr>
        <w:pStyle w:val="13"/>
        <w:numPr>
          <w:ilvl w:val="0"/>
          <w:numId w:val="1505"/>
        </w:numPr>
        <w:tabs>
          <w:tab w:val="left" w:pos="1353"/>
        </w:tabs>
        <w:spacing w:before="195" w:after="0" w:line="240" w:lineRule="auto"/>
        <w:ind w:left="1353" w:right="0" w:hanging="602"/>
        <w:jc w:val="left"/>
        <w:rPr>
          <w:color w:val="auto"/>
          <w:sz w:val="24"/>
        </w:rPr>
      </w:pPr>
      <w:r>
        <w:rPr>
          <w:color w:val="auto"/>
          <w:sz w:val="24"/>
        </w:rPr>
        <w:t>违法情形</w:t>
      </w:r>
    </w:p>
    <w:p>
      <w:pPr>
        <w:pStyle w:val="4"/>
        <w:spacing w:before="191" w:line="388" w:lineRule="auto"/>
        <w:ind w:right="193" w:firstLine="640"/>
        <w:rPr>
          <w:color w:val="auto"/>
        </w:rPr>
      </w:pPr>
      <w:r>
        <w:rPr>
          <w:color w:val="auto"/>
        </w:rPr>
        <w:t>有下列情形之一的：1、冒充高 2 个等级及以上的麻类纤维的；2、以非麻类纤维冒充麻类纤维的。</w:t>
      </w:r>
    </w:p>
    <w:p>
      <w:pPr>
        <w:pStyle w:val="13"/>
        <w:numPr>
          <w:ilvl w:val="0"/>
          <w:numId w:val="1505"/>
        </w:numPr>
        <w:tabs>
          <w:tab w:val="left" w:pos="1353"/>
        </w:tabs>
        <w:spacing w:before="5"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没收掺杂掺假、以假充真、以次充好的麻类纤维和违法所得并处货值金额 3 倍</w:t>
      </w:r>
    </w:p>
    <w:p>
      <w:pPr>
        <w:pStyle w:val="4"/>
        <w:spacing w:before="191" w:line="391" w:lineRule="auto"/>
        <w:ind w:left="751" w:right="5272" w:hanging="641"/>
        <w:rPr>
          <w:color w:val="auto"/>
        </w:rPr>
      </w:pPr>
      <w:r>
        <w:rPr>
          <w:color w:val="auto"/>
          <w:spacing w:val="-20"/>
        </w:rPr>
        <w:t xml:space="preserve">以上 </w:t>
      </w:r>
      <w:r>
        <w:rPr>
          <w:color w:val="auto"/>
        </w:rPr>
        <w:t>4</w:t>
      </w:r>
      <w:r>
        <w:rPr>
          <w:color w:val="auto"/>
          <w:spacing w:val="-9"/>
        </w:rPr>
        <w:t xml:space="preserve"> 倍以下罚款，吊销营业执照。</w:t>
      </w:r>
      <w:r>
        <w:rPr>
          <w:color w:val="auto"/>
        </w:rPr>
        <w:t>3</w:t>
      </w:r>
      <w:r>
        <w:rPr>
          <w:color w:val="auto"/>
          <w:spacing w:val="-24"/>
        </w:rPr>
        <w:t>、【严重】</w:t>
      </w:r>
    </w:p>
    <w:p>
      <w:pPr>
        <w:pStyle w:val="13"/>
        <w:numPr>
          <w:ilvl w:val="0"/>
          <w:numId w:val="150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193" w:firstLine="640"/>
        <w:rPr>
          <w:color w:val="auto"/>
        </w:rPr>
      </w:pPr>
      <w:r>
        <w:rPr>
          <w:color w:val="auto"/>
        </w:rPr>
        <w:t>有下列情形之一的：1、冒充高 2 个等级以上的麻类纤维的；2、掺入有毒有害物质的，产生危害后果的。</w:t>
      </w:r>
    </w:p>
    <w:p>
      <w:pPr>
        <w:pStyle w:val="13"/>
        <w:numPr>
          <w:ilvl w:val="0"/>
          <w:numId w:val="1506"/>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没收掺杂掺假、以假充真、以次充好的麻类纤维和违法所得并处货值金额 4 倍</w:t>
      </w:r>
    </w:p>
    <w:p>
      <w:pPr>
        <w:pStyle w:val="4"/>
        <w:spacing w:before="194"/>
        <w:rPr>
          <w:color w:val="auto"/>
        </w:rPr>
      </w:pPr>
      <w:r>
        <w:rPr>
          <w:color w:val="auto"/>
        </w:rPr>
        <w:t>以上 5 倍以下罚款，吊销营业执照。</w:t>
      </w:r>
    </w:p>
    <w:p>
      <w:pPr>
        <w:pStyle w:val="2"/>
        <w:spacing w:before="191" w:line="388" w:lineRule="auto"/>
        <w:ind w:left="111" w:right="117" w:firstLine="480"/>
        <w:rPr>
          <w:color w:val="auto"/>
        </w:rPr>
      </w:pPr>
      <w:bookmarkStart w:id="1346" w:name="六百五十九、麻类纤维经营者收购麻类纤维，不具备麻类纤维收购质量验收制度、相应的文"/>
      <w:bookmarkEnd w:id="1346"/>
      <w:bookmarkStart w:id="1347" w:name="_bookmark672"/>
      <w:bookmarkEnd w:id="1347"/>
      <w:r>
        <w:rPr>
          <w:color w:val="auto"/>
          <w:spacing w:val="-15"/>
        </w:rPr>
        <w:t>六百五十九、麻类纤维经营者收购麻类纤维，不具备麻类纤维收购质量验收制度、相应的文字标准和实物标准样品等质量保证基本条件</w:t>
      </w:r>
    </w:p>
    <w:p>
      <w:pPr>
        <w:spacing w:before="5"/>
        <w:ind w:left="754" w:right="0" w:firstLine="0"/>
        <w:jc w:val="left"/>
        <w:rPr>
          <w:b/>
          <w:color w:val="auto"/>
          <w:sz w:val="24"/>
        </w:rPr>
      </w:pPr>
      <w:r>
        <w:rPr>
          <w:b/>
          <w:color w:val="auto"/>
          <w:sz w:val="24"/>
        </w:rPr>
        <w:t>（一）处罚依据</w:t>
      </w:r>
    </w:p>
    <w:p>
      <w:pPr>
        <w:pStyle w:val="4"/>
        <w:spacing w:before="192" w:line="391" w:lineRule="auto"/>
        <w:ind w:right="265" w:firstLine="626"/>
        <w:jc w:val="both"/>
        <w:rPr>
          <w:color w:val="auto"/>
        </w:rPr>
      </w:pPr>
      <w:r>
        <w:rPr>
          <w:color w:val="auto"/>
        </w:rPr>
        <w:t>1</w:t>
      </w:r>
      <w:r>
        <w:rPr>
          <w:color w:val="auto"/>
          <w:spacing w:val="-12"/>
        </w:rPr>
        <w:t>、《麻类纤维质量监督管理办法》第二十条“麻类纤维经营者在收购麻类纤维</w:t>
      </w:r>
      <w:r>
        <w:rPr>
          <w:color w:val="auto"/>
          <w:spacing w:val="-8"/>
        </w:rPr>
        <w:t>活动中，违反本办法第十五条第</w:t>
      </w:r>
      <w:r>
        <w:rPr>
          <w:color w:val="auto"/>
        </w:rPr>
        <w:t>（一</w:t>
      </w:r>
      <w:r>
        <w:rPr>
          <w:color w:val="auto"/>
          <w:spacing w:val="-5"/>
        </w:rPr>
        <w:t>）项规定的，由纤维质量监督机构责令改正，拒</w:t>
      </w:r>
      <w:r>
        <w:rPr>
          <w:color w:val="auto"/>
          <w:spacing w:val="-10"/>
        </w:rPr>
        <w:t xml:space="preserve">不改正的，处以 </w:t>
      </w:r>
      <w:r>
        <w:rPr>
          <w:color w:val="auto"/>
        </w:rPr>
        <w:t>1</w:t>
      </w:r>
      <w:r>
        <w:rPr>
          <w:color w:val="auto"/>
          <w:spacing w:val="-8"/>
        </w:rPr>
        <w:t xml:space="preserve"> 万元以下的罚款；违反本办法第十五条第</w:t>
      </w:r>
      <w:r>
        <w:rPr>
          <w:color w:val="auto"/>
        </w:rPr>
        <w:t>（二</w:t>
      </w:r>
      <w:r>
        <w:rPr>
          <w:color w:val="auto"/>
          <w:spacing w:val="-5"/>
        </w:rPr>
        <w:t>）</w:t>
      </w:r>
      <w:r>
        <w:rPr>
          <w:color w:val="auto"/>
          <w:spacing w:val="-3"/>
        </w:rPr>
        <w:t>项至第</w:t>
      </w:r>
      <w:r>
        <w:rPr>
          <w:color w:val="auto"/>
        </w:rPr>
        <w:t>（四</w:t>
      </w:r>
      <w:r>
        <w:rPr>
          <w:color w:val="auto"/>
          <w:spacing w:val="-5"/>
        </w:rPr>
        <w:t>）</w:t>
      </w:r>
      <w:r>
        <w:rPr>
          <w:color w:val="auto"/>
          <w:spacing w:val="-6"/>
        </w:rPr>
        <w:t>项任</w:t>
      </w:r>
    </w:p>
    <w:p>
      <w:pPr>
        <w:pStyle w:val="4"/>
        <w:spacing w:line="304" w:lineRule="exact"/>
        <w:jc w:val="both"/>
        <w:rPr>
          <w:color w:val="auto"/>
        </w:rPr>
      </w:pPr>
      <w:r>
        <w:rPr>
          <w:color w:val="auto"/>
        </w:rPr>
        <w:t>何一项规定的，由纤维质量监督机构责令改正，并可以处以 3 万元以下罚款。”</w:t>
      </w:r>
    </w:p>
    <w:p>
      <w:pPr>
        <w:pStyle w:val="4"/>
        <w:spacing w:before="191" w:line="391" w:lineRule="auto"/>
        <w:ind w:right="268" w:firstLine="626"/>
        <w:jc w:val="both"/>
        <w:rPr>
          <w:color w:val="auto"/>
        </w:rPr>
      </w:pPr>
      <w:r>
        <w:rPr>
          <w:color w:val="auto"/>
        </w:rPr>
        <w:t>2</w:t>
      </w:r>
      <w:r>
        <w:rPr>
          <w:color w:val="auto"/>
          <w:spacing w:val="-12"/>
        </w:rPr>
        <w:t>、《麻类纤维质量监督管理办法》第十五条第</w:t>
      </w:r>
      <w:r>
        <w:rPr>
          <w:color w:val="auto"/>
        </w:rPr>
        <w:t>（一）项“麻类纤维经营者收购</w:t>
      </w:r>
      <w:r>
        <w:rPr>
          <w:color w:val="auto"/>
          <w:spacing w:val="-8"/>
        </w:rPr>
        <w:t>麻类纤维，应当符合下列要求：</w:t>
      </w:r>
      <w:r>
        <w:rPr>
          <w:color w:val="auto"/>
          <w:spacing w:val="2"/>
        </w:rPr>
        <w:t>（一）</w:t>
      </w:r>
      <w:r>
        <w:rPr>
          <w:color w:val="auto"/>
        </w:rPr>
        <w:t>具备麻类纤维收购质量验收制度、相应的文字</w:t>
      </w:r>
      <w:r>
        <w:rPr>
          <w:color w:val="auto"/>
          <w:spacing w:val="-7"/>
        </w:rPr>
        <w:t>标准和实物标准样品等质量保证基本条件。”</w:t>
      </w:r>
    </w:p>
    <w:p>
      <w:pPr>
        <w:spacing w:before="0" w:line="391" w:lineRule="auto"/>
        <w:ind w:left="751" w:right="6784" w:firstLine="2"/>
        <w:jc w:val="left"/>
        <w:rPr>
          <w:color w:val="auto"/>
          <w:sz w:val="24"/>
        </w:rPr>
      </w:pPr>
      <w:r>
        <w:rPr>
          <w:b/>
          <w:color w:val="auto"/>
          <w:sz w:val="24"/>
        </w:rPr>
        <w:t>（二）裁量标准</w:t>
      </w:r>
      <w:r>
        <w:rPr>
          <w:color w:val="auto"/>
          <w:sz w:val="24"/>
        </w:rPr>
        <w:t>1、【轻微】</w:t>
      </w:r>
    </w:p>
    <w:p>
      <w:pPr>
        <w:pStyle w:val="13"/>
        <w:numPr>
          <w:ilvl w:val="0"/>
          <w:numId w:val="150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8"/>
        <w:ind w:left="751"/>
        <w:rPr>
          <w:color w:val="auto"/>
        </w:rPr>
      </w:pPr>
      <w:r>
        <w:rPr>
          <w:color w:val="auto"/>
        </w:rPr>
        <w:t>建立了麻类纤维收购质量验收制度，有相应的文字标准和实物标准样品等，但</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相关制度及文字、实物标准不规范的。</w:t>
      </w:r>
    </w:p>
    <w:p>
      <w:pPr>
        <w:pStyle w:val="13"/>
        <w:numPr>
          <w:ilvl w:val="0"/>
          <w:numId w:val="1507"/>
        </w:numPr>
        <w:tabs>
          <w:tab w:val="left" w:pos="1353"/>
        </w:tabs>
        <w:spacing w:before="195" w:after="0" w:line="388" w:lineRule="auto"/>
        <w:ind w:left="751" w:right="6913" w:firstLine="0"/>
        <w:jc w:val="left"/>
        <w:rPr>
          <w:color w:val="auto"/>
          <w:sz w:val="24"/>
        </w:rPr>
      </w:pPr>
      <w:r>
        <w:rPr>
          <w:color w:val="auto"/>
          <w:spacing w:val="-5"/>
          <w:sz w:val="24"/>
        </w:rPr>
        <w:t>处罚标准</w:t>
      </w:r>
      <w:r>
        <w:rPr>
          <w:color w:val="auto"/>
          <w:sz w:val="24"/>
        </w:rPr>
        <w:t>责令改正。</w:t>
      </w:r>
    </w:p>
    <w:p>
      <w:pPr>
        <w:pStyle w:val="4"/>
        <w:spacing w:before="2"/>
        <w:ind w:left="751"/>
        <w:rPr>
          <w:color w:val="auto"/>
        </w:rPr>
      </w:pPr>
      <w:r>
        <w:rPr>
          <w:color w:val="auto"/>
        </w:rPr>
        <w:t>2、【一般】</w:t>
      </w:r>
    </w:p>
    <w:p>
      <w:pPr>
        <w:pStyle w:val="13"/>
        <w:numPr>
          <w:ilvl w:val="0"/>
          <w:numId w:val="1508"/>
        </w:numPr>
        <w:tabs>
          <w:tab w:val="left" w:pos="1353"/>
        </w:tabs>
        <w:spacing w:before="194" w:after="0" w:line="240" w:lineRule="auto"/>
        <w:ind w:left="1353" w:right="0" w:hanging="602"/>
        <w:jc w:val="left"/>
        <w:rPr>
          <w:color w:val="auto"/>
          <w:sz w:val="24"/>
        </w:rPr>
      </w:pPr>
      <w:r>
        <w:rPr>
          <w:color w:val="auto"/>
          <w:sz w:val="24"/>
        </w:rPr>
        <w:t>违法情形</w:t>
      </w:r>
    </w:p>
    <w:p>
      <w:pPr>
        <w:pStyle w:val="4"/>
        <w:spacing w:before="192" w:line="388" w:lineRule="auto"/>
        <w:ind w:right="268" w:firstLine="640"/>
        <w:rPr>
          <w:color w:val="auto"/>
        </w:rPr>
      </w:pPr>
      <w:r>
        <w:rPr>
          <w:color w:val="auto"/>
        </w:rPr>
        <w:t>不具备麻类纤维收购质量验收制度、相应的文字标准和实物标准样品等质量保证基本条件，逾期一个月不改正的。</w:t>
      </w:r>
    </w:p>
    <w:p>
      <w:pPr>
        <w:pStyle w:val="13"/>
        <w:numPr>
          <w:ilvl w:val="0"/>
          <w:numId w:val="1508"/>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line="388" w:lineRule="auto"/>
        <w:ind w:left="751" w:right="6193"/>
        <w:rPr>
          <w:color w:val="auto"/>
        </w:rPr>
      </w:pPr>
      <w:r>
        <w:rPr>
          <w:color w:val="auto"/>
          <w:spacing w:val="-30"/>
        </w:rPr>
        <w:t xml:space="preserve">处 </w:t>
      </w:r>
      <w:r>
        <w:rPr>
          <w:color w:val="auto"/>
        </w:rPr>
        <w:t>3000</w:t>
      </w:r>
      <w:r>
        <w:rPr>
          <w:color w:val="auto"/>
          <w:spacing w:val="-12"/>
        </w:rPr>
        <w:t xml:space="preserve"> 元以下罚款。</w:t>
      </w:r>
      <w:r>
        <w:rPr>
          <w:color w:val="auto"/>
        </w:rPr>
        <w:t>3</w:t>
      </w:r>
      <w:r>
        <w:rPr>
          <w:color w:val="auto"/>
          <w:spacing w:val="-24"/>
        </w:rPr>
        <w:t>、【较重】</w:t>
      </w:r>
    </w:p>
    <w:p>
      <w:pPr>
        <w:pStyle w:val="13"/>
        <w:numPr>
          <w:ilvl w:val="0"/>
          <w:numId w:val="1509"/>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line="388" w:lineRule="auto"/>
        <w:ind w:right="268" w:firstLine="640"/>
        <w:rPr>
          <w:color w:val="auto"/>
        </w:rPr>
      </w:pPr>
      <w:r>
        <w:rPr>
          <w:color w:val="auto"/>
        </w:rPr>
        <w:t>不具备麻类纤维收购质量验收制度、相应的文字标准和实物标准样品等质量保证基本条件，逾期二个月不改正的</w:t>
      </w:r>
    </w:p>
    <w:p>
      <w:pPr>
        <w:pStyle w:val="13"/>
        <w:numPr>
          <w:ilvl w:val="0"/>
          <w:numId w:val="1509"/>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line="388" w:lineRule="auto"/>
        <w:ind w:left="751" w:right="4873"/>
        <w:rPr>
          <w:color w:val="auto"/>
        </w:rPr>
      </w:pPr>
      <w:r>
        <w:rPr>
          <w:color w:val="auto"/>
          <w:spacing w:val="-30"/>
        </w:rPr>
        <w:t xml:space="preserve">处 </w:t>
      </w:r>
      <w:r>
        <w:rPr>
          <w:color w:val="auto"/>
        </w:rPr>
        <w:t>3000</w:t>
      </w:r>
      <w:r>
        <w:rPr>
          <w:color w:val="auto"/>
          <w:spacing w:val="-24"/>
        </w:rPr>
        <w:t xml:space="preserve"> 元以上 </w:t>
      </w:r>
      <w:r>
        <w:rPr>
          <w:color w:val="auto"/>
        </w:rPr>
        <w:t>7000</w:t>
      </w:r>
      <w:r>
        <w:rPr>
          <w:color w:val="auto"/>
          <w:spacing w:val="-12"/>
        </w:rPr>
        <w:t xml:space="preserve"> 元以下罚款。</w:t>
      </w:r>
      <w:r>
        <w:rPr>
          <w:color w:val="auto"/>
        </w:rPr>
        <w:t>4</w:t>
      </w:r>
      <w:r>
        <w:rPr>
          <w:color w:val="auto"/>
          <w:spacing w:val="-24"/>
        </w:rPr>
        <w:t>、【严重】</w:t>
      </w:r>
    </w:p>
    <w:p>
      <w:pPr>
        <w:pStyle w:val="13"/>
        <w:numPr>
          <w:ilvl w:val="0"/>
          <w:numId w:val="1510"/>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line="391" w:lineRule="auto"/>
        <w:ind w:right="266" w:firstLine="640"/>
        <w:jc w:val="both"/>
        <w:rPr>
          <w:color w:val="auto"/>
        </w:rPr>
      </w:pPr>
      <w:r>
        <w:rPr>
          <w:color w:val="auto"/>
          <w:spacing w:val="-2"/>
        </w:rPr>
        <w:t>有下列情形之一的：</w:t>
      </w:r>
      <w:r>
        <w:rPr>
          <w:color w:val="auto"/>
          <w:spacing w:val="-14"/>
        </w:rPr>
        <w:t>1</w:t>
      </w:r>
      <w:r>
        <w:rPr>
          <w:color w:val="auto"/>
          <w:spacing w:val="-9"/>
        </w:rPr>
        <w:t>、不具备麻类纤维收购质量验收制度、相应的文字标准和</w:t>
      </w:r>
      <w:r>
        <w:rPr>
          <w:color w:val="auto"/>
          <w:spacing w:val="-2"/>
        </w:rPr>
        <w:t>实物；</w:t>
      </w:r>
      <w:r>
        <w:rPr>
          <w:color w:val="auto"/>
          <w:spacing w:val="-4"/>
        </w:rPr>
        <w:t>2、标准样品等质量保证基本条件，逾期三个月不改正的；3</w:t>
      </w:r>
      <w:r>
        <w:rPr>
          <w:color w:val="auto"/>
          <w:spacing w:val="-5"/>
        </w:rPr>
        <w:t>、两年内再次出现</w:t>
      </w:r>
      <w:r>
        <w:rPr>
          <w:color w:val="auto"/>
        </w:rPr>
        <w:t>相同违法行为的。</w:t>
      </w:r>
    </w:p>
    <w:p>
      <w:pPr>
        <w:pStyle w:val="13"/>
        <w:numPr>
          <w:ilvl w:val="0"/>
          <w:numId w:val="1510"/>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处 7000 元以上 1 万元以下罚款。</w:t>
      </w:r>
    </w:p>
    <w:p>
      <w:pPr>
        <w:pStyle w:val="2"/>
        <w:spacing w:before="194" w:line="388" w:lineRule="auto"/>
        <w:ind w:left="111" w:right="240" w:firstLine="480"/>
        <w:rPr>
          <w:color w:val="auto"/>
        </w:rPr>
      </w:pPr>
      <w:bookmarkStart w:id="1348" w:name="六百六十、麻类纤维经营者收购麻类纤维，未按照国家标准、技术规范确定所收购麻类纤维"/>
      <w:bookmarkEnd w:id="1348"/>
      <w:bookmarkStart w:id="1349" w:name="_bookmark673"/>
      <w:bookmarkEnd w:id="1349"/>
      <w:r>
        <w:rPr>
          <w:color w:val="auto"/>
          <w:spacing w:val="-7"/>
        </w:rPr>
        <w:t>六百六十、麻类纤维经营者收购麻类纤维，未按照国家标准、技术规范确定所收购麻类纤维的品种、类别、季别、等级、重量并分别置放</w:t>
      </w:r>
    </w:p>
    <w:p>
      <w:pPr>
        <w:spacing w:before="2"/>
        <w:ind w:left="754" w:right="0" w:firstLine="0"/>
        <w:jc w:val="left"/>
        <w:rPr>
          <w:b/>
          <w:color w:val="auto"/>
          <w:sz w:val="24"/>
        </w:rPr>
      </w:pPr>
      <w:r>
        <w:rPr>
          <w:b/>
          <w:color w:val="auto"/>
          <w:sz w:val="24"/>
        </w:rPr>
        <w:t>（一）处罚依据</w:t>
      </w:r>
    </w:p>
    <w:p>
      <w:pPr>
        <w:pStyle w:val="4"/>
        <w:spacing w:before="194" w:line="388" w:lineRule="auto"/>
        <w:ind w:right="265" w:firstLine="626"/>
        <w:jc w:val="both"/>
        <w:rPr>
          <w:color w:val="auto"/>
        </w:rPr>
      </w:pPr>
      <w:r>
        <w:rPr>
          <w:color w:val="auto"/>
        </w:rPr>
        <w:t>1</w:t>
      </w:r>
      <w:r>
        <w:rPr>
          <w:color w:val="auto"/>
          <w:spacing w:val="-12"/>
        </w:rPr>
        <w:t>、《麻类纤维质量监督管理办法》第二十条“麻类纤维经营者在收购麻类纤维</w:t>
      </w:r>
      <w:r>
        <w:rPr>
          <w:color w:val="auto"/>
          <w:spacing w:val="-8"/>
        </w:rPr>
        <w:t>活动中，违反本办法第十五条第</w:t>
      </w:r>
      <w:r>
        <w:rPr>
          <w:color w:val="auto"/>
        </w:rPr>
        <w:t>（一</w:t>
      </w:r>
      <w:r>
        <w:rPr>
          <w:color w:val="auto"/>
          <w:spacing w:val="-5"/>
        </w:rPr>
        <w:t>）项规定的，由纤维质量监督机构责令改正，拒</w:t>
      </w:r>
      <w:r>
        <w:rPr>
          <w:color w:val="auto"/>
          <w:spacing w:val="-10"/>
        </w:rPr>
        <w:t xml:space="preserve">不改正的，处以 </w:t>
      </w:r>
      <w:r>
        <w:rPr>
          <w:color w:val="auto"/>
        </w:rPr>
        <w:t>1</w:t>
      </w:r>
      <w:r>
        <w:rPr>
          <w:color w:val="auto"/>
          <w:spacing w:val="-8"/>
        </w:rPr>
        <w:t xml:space="preserve"> 万元以下的罚款；违反本办法第十五条第</w:t>
      </w:r>
      <w:r>
        <w:rPr>
          <w:color w:val="auto"/>
        </w:rPr>
        <w:t>（二</w:t>
      </w:r>
      <w:r>
        <w:rPr>
          <w:color w:val="auto"/>
          <w:spacing w:val="-5"/>
        </w:rPr>
        <w:t>）</w:t>
      </w:r>
      <w:r>
        <w:rPr>
          <w:color w:val="auto"/>
          <w:spacing w:val="-3"/>
        </w:rPr>
        <w:t>项至第</w:t>
      </w:r>
      <w:r>
        <w:rPr>
          <w:color w:val="auto"/>
        </w:rPr>
        <w:t>（四</w:t>
      </w:r>
      <w:r>
        <w:rPr>
          <w:color w:val="auto"/>
          <w:spacing w:val="-5"/>
        </w:rPr>
        <w:t>）</w:t>
      </w:r>
      <w:r>
        <w:rPr>
          <w:color w:val="auto"/>
          <w:spacing w:val="-6"/>
        </w:rPr>
        <w:t>项任</w:t>
      </w:r>
    </w:p>
    <w:p>
      <w:pPr>
        <w:spacing w:after="0" w:line="388" w:lineRule="auto"/>
        <w:jc w:val="both"/>
        <w:rPr>
          <w:color w:val="auto"/>
        </w:rPr>
        <w:sectPr>
          <w:pgSz w:w="11910" w:h="16840"/>
          <w:pgMar w:top="1520" w:right="1260" w:bottom="1220" w:left="1420" w:header="0" w:footer="1034" w:gutter="0"/>
        </w:sectPr>
      </w:pPr>
    </w:p>
    <w:p>
      <w:pPr>
        <w:pStyle w:val="4"/>
        <w:spacing w:before="39"/>
        <w:jc w:val="both"/>
        <w:rPr>
          <w:color w:val="auto"/>
        </w:rPr>
      </w:pPr>
      <w:r>
        <w:rPr>
          <w:color w:val="auto"/>
        </w:rPr>
        <w:t>何一项规定的，由纤维质量监督机构责令改正，并可以处以 3 万元以下罚款。”</w:t>
      </w:r>
    </w:p>
    <w:p>
      <w:pPr>
        <w:pStyle w:val="4"/>
        <w:spacing w:before="195" w:line="388" w:lineRule="auto"/>
        <w:ind w:right="268" w:firstLine="626"/>
        <w:jc w:val="both"/>
        <w:rPr>
          <w:color w:val="auto"/>
        </w:rPr>
      </w:pPr>
      <w:r>
        <w:rPr>
          <w:color w:val="auto"/>
        </w:rPr>
        <w:t>2</w:t>
      </w:r>
      <w:r>
        <w:rPr>
          <w:color w:val="auto"/>
          <w:spacing w:val="-12"/>
        </w:rPr>
        <w:t>、《麻类纤维质量监督管理办法》第十五条第</w:t>
      </w:r>
      <w:r>
        <w:rPr>
          <w:color w:val="auto"/>
        </w:rPr>
        <w:t>（二）项“麻类纤维经营者收购</w:t>
      </w:r>
      <w:r>
        <w:rPr>
          <w:color w:val="auto"/>
          <w:spacing w:val="-8"/>
        </w:rPr>
        <w:t>麻类纤维，应当符合下列要求：</w:t>
      </w:r>
      <w:r>
        <w:rPr>
          <w:color w:val="auto"/>
          <w:spacing w:val="2"/>
        </w:rPr>
        <w:t>（二）</w:t>
      </w:r>
      <w:r>
        <w:rPr>
          <w:color w:val="auto"/>
        </w:rPr>
        <w:t>按照国家标准、技术规范确定所收购麻类纤维</w:t>
      </w:r>
      <w:r>
        <w:rPr>
          <w:color w:val="auto"/>
          <w:spacing w:val="-6"/>
        </w:rPr>
        <w:t>的品种、类别、季别、等级、重量，并分别置放。”</w:t>
      </w:r>
    </w:p>
    <w:p>
      <w:pPr>
        <w:spacing w:before="5"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1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初次违法，货值金额不足 5 万元的。</w:t>
      </w:r>
    </w:p>
    <w:p>
      <w:pPr>
        <w:pStyle w:val="13"/>
        <w:numPr>
          <w:ilvl w:val="0"/>
          <w:numId w:val="151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512"/>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初次违法，货值金额 5 万元以上 20 万元以下的。</w:t>
      </w:r>
    </w:p>
    <w:p>
      <w:pPr>
        <w:pStyle w:val="13"/>
        <w:numPr>
          <w:ilvl w:val="0"/>
          <w:numId w:val="1512"/>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513"/>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line="388" w:lineRule="auto"/>
        <w:ind w:right="266" w:firstLine="640"/>
        <w:rPr>
          <w:color w:val="auto"/>
        </w:rPr>
      </w:pPr>
      <w:r>
        <w:rPr>
          <w:color w:val="auto"/>
          <w:spacing w:val="-1"/>
        </w:rPr>
        <w:t>有下列情形之一的：</w:t>
      </w:r>
      <w:r>
        <w:rPr>
          <w:color w:val="auto"/>
          <w:spacing w:val="-9"/>
        </w:rPr>
        <w:t>1</w:t>
      </w:r>
      <w:r>
        <w:rPr>
          <w:color w:val="auto"/>
          <w:spacing w:val="-11"/>
        </w:rPr>
        <w:t xml:space="preserve">、初次违法，货值金额 </w:t>
      </w:r>
      <w:r>
        <w:rPr>
          <w:color w:val="auto"/>
        </w:rPr>
        <w:t>20</w:t>
      </w:r>
      <w:r>
        <w:rPr>
          <w:color w:val="auto"/>
          <w:spacing w:val="-10"/>
        </w:rPr>
        <w:t xml:space="preserve"> 万元以上的；</w:t>
      </w:r>
      <w:r>
        <w:rPr>
          <w:color w:val="auto"/>
          <w:spacing w:val="-9"/>
        </w:rPr>
        <w:t>2</w:t>
      </w:r>
      <w:r>
        <w:rPr>
          <w:color w:val="auto"/>
          <w:spacing w:val="-6"/>
        </w:rPr>
        <w:t>、两年内再次出</w:t>
      </w:r>
      <w:r>
        <w:rPr>
          <w:color w:val="auto"/>
        </w:rPr>
        <w:t>现相同违法行为的；3、社会影响较大的。</w:t>
      </w:r>
    </w:p>
    <w:p>
      <w:pPr>
        <w:pStyle w:val="13"/>
        <w:numPr>
          <w:ilvl w:val="0"/>
          <w:numId w:val="1513"/>
        </w:numPr>
        <w:tabs>
          <w:tab w:val="left" w:pos="1353"/>
        </w:tabs>
        <w:spacing w:before="5"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2 万元以上 3 万元以下罚款。</w:t>
      </w:r>
    </w:p>
    <w:p>
      <w:pPr>
        <w:pStyle w:val="2"/>
        <w:spacing w:before="191" w:line="391" w:lineRule="auto"/>
        <w:ind w:left="111" w:right="170" w:firstLine="480"/>
        <w:rPr>
          <w:color w:val="auto"/>
        </w:rPr>
      </w:pPr>
      <w:bookmarkStart w:id="1350" w:name="_bookmark674"/>
      <w:bookmarkEnd w:id="1350"/>
      <w:bookmarkStart w:id="1351" w:name="六百六十一、麻类纤维经营者收购麻类纤维，未按照国家标准、技术规范挑拣、排除麻类纤"/>
      <w:bookmarkEnd w:id="1351"/>
      <w:r>
        <w:rPr>
          <w:color w:val="auto"/>
        </w:rPr>
        <w:t>六百六十一、麻类纤维经营者收购麻类纤维，未按照国家标准、技术规范挑拣、排除麻类纤维中的异性纤维及其他非麻类纤维物质</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5" w:firstLine="626"/>
        <w:jc w:val="both"/>
        <w:rPr>
          <w:color w:val="auto"/>
        </w:rPr>
      </w:pPr>
      <w:r>
        <w:rPr>
          <w:color w:val="auto"/>
        </w:rPr>
        <w:t>1</w:t>
      </w:r>
      <w:r>
        <w:rPr>
          <w:color w:val="auto"/>
          <w:spacing w:val="-12"/>
        </w:rPr>
        <w:t>、《麻类纤维质量监督管理办法》第二十条“麻类纤维经营者在收购麻类纤维</w:t>
      </w:r>
      <w:r>
        <w:rPr>
          <w:color w:val="auto"/>
          <w:spacing w:val="-8"/>
        </w:rPr>
        <w:t>活动中，违反本办法第十五条第</w:t>
      </w:r>
      <w:r>
        <w:rPr>
          <w:color w:val="auto"/>
        </w:rPr>
        <w:t>（一</w:t>
      </w:r>
      <w:r>
        <w:rPr>
          <w:color w:val="auto"/>
          <w:spacing w:val="-5"/>
        </w:rPr>
        <w:t>）项规定的，由纤维质量监督机构责令改正，拒</w:t>
      </w:r>
      <w:r>
        <w:rPr>
          <w:color w:val="auto"/>
          <w:spacing w:val="-10"/>
        </w:rPr>
        <w:t xml:space="preserve">不改正的，处以 </w:t>
      </w:r>
      <w:r>
        <w:rPr>
          <w:color w:val="auto"/>
        </w:rPr>
        <w:t>1</w:t>
      </w:r>
      <w:r>
        <w:rPr>
          <w:color w:val="auto"/>
          <w:spacing w:val="-8"/>
        </w:rPr>
        <w:t xml:space="preserve"> 万元以下的罚款；违反本办法第十五条第</w:t>
      </w:r>
      <w:r>
        <w:rPr>
          <w:color w:val="auto"/>
        </w:rPr>
        <w:t>（二</w:t>
      </w:r>
      <w:r>
        <w:rPr>
          <w:color w:val="auto"/>
          <w:spacing w:val="-5"/>
        </w:rPr>
        <w:t>）</w:t>
      </w:r>
      <w:r>
        <w:rPr>
          <w:color w:val="auto"/>
          <w:spacing w:val="-3"/>
        </w:rPr>
        <w:t>项至第</w:t>
      </w:r>
      <w:r>
        <w:rPr>
          <w:color w:val="auto"/>
        </w:rPr>
        <w:t>（四</w:t>
      </w:r>
      <w:r>
        <w:rPr>
          <w:color w:val="auto"/>
          <w:spacing w:val="-5"/>
        </w:rPr>
        <w:t>）</w:t>
      </w:r>
      <w:r>
        <w:rPr>
          <w:color w:val="auto"/>
          <w:spacing w:val="-6"/>
        </w:rPr>
        <w:t>项任</w:t>
      </w:r>
    </w:p>
    <w:p>
      <w:pPr>
        <w:pStyle w:val="4"/>
        <w:spacing w:line="304" w:lineRule="exact"/>
        <w:jc w:val="both"/>
        <w:rPr>
          <w:color w:val="auto"/>
        </w:rPr>
      </w:pPr>
      <w:r>
        <w:rPr>
          <w:color w:val="auto"/>
        </w:rPr>
        <w:t>何一项规定的，由纤维质量监督机构责令改正，并可以处以 3 万元以下罚款。”</w:t>
      </w:r>
    </w:p>
    <w:p>
      <w:pPr>
        <w:spacing w:after="0" w:line="304" w:lineRule="exact"/>
        <w:jc w:val="both"/>
        <w:rPr>
          <w:color w:val="auto"/>
        </w:rPr>
        <w:sectPr>
          <w:pgSz w:w="11910" w:h="16840"/>
          <w:pgMar w:top="1520" w:right="1260" w:bottom="1220" w:left="1420" w:header="0" w:footer="1034" w:gutter="0"/>
        </w:sectPr>
      </w:pPr>
    </w:p>
    <w:p>
      <w:pPr>
        <w:pStyle w:val="4"/>
        <w:spacing w:before="39" w:line="391" w:lineRule="auto"/>
        <w:ind w:right="268" w:firstLine="626"/>
        <w:jc w:val="both"/>
        <w:rPr>
          <w:color w:val="auto"/>
        </w:rPr>
      </w:pPr>
      <w:r>
        <w:rPr>
          <w:color w:val="auto"/>
        </w:rPr>
        <w:t>2</w:t>
      </w:r>
      <w:r>
        <w:rPr>
          <w:color w:val="auto"/>
          <w:spacing w:val="-12"/>
        </w:rPr>
        <w:t>、《麻类纤维质量监督管理办法》第十五条第</w:t>
      </w:r>
      <w:r>
        <w:rPr>
          <w:color w:val="auto"/>
        </w:rPr>
        <w:t>（三</w:t>
      </w:r>
      <w:r>
        <w:rPr>
          <w:color w:val="auto"/>
          <w:spacing w:val="-15"/>
        </w:rPr>
        <w:t>）</w:t>
      </w:r>
      <w:r>
        <w:rPr>
          <w:color w:val="auto"/>
          <w:spacing w:val="-5"/>
        </w:rPr>
        <w:t>项“第十五条 麻类纤维经</w:t>
      </w:r>
      <w:r>
        <w:rPr>
          <w:color w:val="auto"/>
          <w:spacing w:val="-6"/>
        </w:rPr>
        <w:t>营者收购麻类纤维，应当符合下列要求：</w:t>
      </w:r>
      <w:r>
        <w:rPr>
          <w:color w:val="auto"/>
          <w:spacing w:val="2"/>
        </w:rPr>
        <w:t>（三）</w:t>
      </w:r>
      <w:r>
        <w:rPr>
          <w:color w:val="auto"/>
        </w:rPr>
        <w:t>按照国家标准、技术规范挑拣、排除</w:t>
      </w:r>
      <w:r>
        <w:rPr>
          <w:color w:val="auto"/>
          <w:spacing w:val="-6"/>
        </w:rPr>
        <w:t>麻类纤维中的异性纤维及其他非麻类纤维物质。”</w:t>
      </w:r>
    </w:p>
    <w:p>
      <w:pPr>
        <w:spacing w:before="0"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14"/>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9"/>
        <w:ind w:left="751"/>
        <w:rPr>
          <w:color w:val="auto"/>
        </w:rPr>
      </w:pPr>
      <w:r>
        <w:rPr>
          <w:color w:val="auto"/>
        </w:rPr>
        <w:t>初次违法，货值金额不足 5 万元的。</w:t>
      </w:r>
    </w:p>
    <w:p>
      <w:pPr>
        <w:pStyle w:val="13"/>
        <w:numPr>
          <w:ilvl w:val="0"/>
          <w:numId w:val="1514"/>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515"/>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万元以上 20 万元以下的。</w:t>
      </w:r>
    </w:p>
    <w:p>
      <w:pPr>
        <w:pStyle w:val="13"/>
        <w:numPr>
          <w:ilvl w:val="0"/>
          <w:numId w:val="1515"/>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51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5" w:line="388" w:lineRule="auto"/>
        <w:ind w:right="266" w:firstLine="640"/>
        <w:rPr>
          <w:color w:val="auto"/>
        </w:rPr>
      </w:pPr>
      <w:r>
        <w:rPr>
          <w:color w:val="auto"/>
          <w:spacing w:val="-1"/>
        </w:rPr>
        <w:t>有下列情形之一的：</w:t>
      </w:r>
      <w:r>
        <w:rPr>
          <w:color w:val="auto"/>
          <w:spacing w:val="-9"/>
        </w:rPr>
        <w:t>1</w:t>
      </w:r>
      <w:r>
        <w:rPr>
          <w:color w:val="auto"/>
          <w:spacing w:val="-11"/>
        </w:rPr>
        <w:t xml:space="preserve">、初次违法，货值金额 </w:t>
      </w:r>
      <w:r>
        <w:rPr>
          <w:color w:val="auto"/>
        </w:rPr>
        <w:t>20</w:t>
      </w:r>
      <w:r>
        <w:rPr>
          <w:color w:val="auto"/>
          <w:spacing w:val="-10"/>
        </w:rPr>
        <w:t xml:space="preserve"> 万元以上的；</w:t>
      </w:r>
      <w:r>
        <w:rPr>
          <w:color w:val="auto"/>
          <w:spacing w:val="-9"/>
        </w:rPr>
        <w:t>2</w:t>
      </w:r>
      <w:r>
        <w:rPr>
          <w:color w:val="auto"/>
          <w:spacing w:val="-6"/>
        </w:rPr>
        <w:t>、两年内再次出</w:t>
      </w:r>
      <w:r>
        <w:rPr>
          <w:color w:val="auto"/>
        </w:rPr>
        <w:t>现相同违法行为的；3、社会影响较大的。</w:t>
      </w:r>
    </w:p>
    <w:p>
      <w:pPr>
        <w:pStyle w:val="13"/>
        <w:numPr>
          <w:ilvl w:val="0"/>
          <w:numId w:val="1516"/>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责令改正，可以处 2 万元以上 3 万元以下罚款。</w:t>
      </w:r>
    </w:p>
    <w:p>
      <w:pPr>
        <w:pStyle w:val="2"/>
        <w:spacing w:before="191" w:line="388" w:lineRule="auto"/>
        <w:ind w:left="111" w:right="170" w:firstLine="480"/>
        <w:rPr>
          <w:color w:val="auto"/>
        </w:rPr>
      </w:pPr>
      <w:bookmarkStart w:id="1352" w:name="六百六十二、麻类纤维经营者对收购的水分含量超过国家标准规定的麻类纤维，未进行晾晒"/>
      <w:bookmarkEnd w:id="1352"/>
      <w:bookmarkStart w:id="1353" w:name="_bookmark675"/>
      <w:bookmarkEnd w:id="1353"/>
      <w:r>
        <w:rPr>
          <w:color w:val="auto"/>
        </w:rPr>
        <w:t>六百六十二、麻类纤维经营者对收购的水分含量超过国家标准规定的麻类纤维， 未进行晾晒等技术处理</w:t>
      </w:r>
    </w:p>
    <w:p>
      <w:pPr>
        <w:spacing w:before="5"/>
        <w:ind w:left="754" w:right="0" w:firstLine="0"/>
        <w:jc w:val="left"/>
        <w:rPr>
          <w:b/>
          <w:color w:val="auto"/>
          <w:sz w:val="24"/>
        </w:rPr>
      </w:pPr>
      <w:r>
        <w:rPr>
          <w:b/>
          <w:color w:val="auto"/>
          <w:sz w:val="24"/>
        </w:rPr>
        <w:t>（一）处罚依据</w:t>
      </w:r>
    </w:p>
    <w:p>
      <w:pPr>
        <w:pStyle w:val="4"/>
        <w:spacing w:before="192" w:line="391" w:lineRule="auto"/>
        <w:ind w:right="265" w:firstLine="626"/>
        <w:jc w:val="both"/>
        <w:rPr>
          <w:color w:val="auto"/>
        </w:rPr>
      </w:pPr>
      <w:r>
        <w:rPr>
          <w:color w:val="auto"/>
        </w:rPr>
        <w:t>1</w:t>
      </w:r>
      <w:r>
        <w:rPr>
          <w:color w:val="auto"/>
          <w:spacing w:val="-12"/>
        </w:rPr>
        <w:t>、《麻类纤维质量监督管理办法》第二十条“麻类纤维经营者在收购麻类纤维</w:t>
      </w:r>
      <w:r>
        <w:rPr>
          <w:color w:val="auto"/>
          <w:spacing w:val="-8"/>
        </w:rPr>
        <w:t>活动中，违反本办法第十五条第</w:t>
      </w:r>
      <w:r>
        <w:rPr>
          <w:color w:val="auto"/>
        </w:rPr>
        <w:t>（一</w:t>
      </w:r>
      <w:r>
        <w:rPr>
          <w:color w:val="auto"/>
          <w:spacing w:val="-5"/>
        </w:rPr>
        <w:t>）项规定的，由纤维质量监督机构责令改正，拒</w:t>
      </w:r>
      <w:r>
        <w:rPr>
          <w:color w:val="auto"/>
          <w:spacing w:val="-10"/>
        </w:rPr>
        <w:t xml:space="preserve">不改正的，处以 </w:t>
      </w:r>
      <w:r>
        <w:rPr>
          <w:color w:val="auto"/>
        </w:rPr>
        <w:t>1</w:t>
      </w:r>
      <w:r>
        <w:rPr>
          <w:color w:val="auto"/>
          <w:spacing w:val="-8"/>
        </w:rPr>
        <w:t xml:space="preserve"> 万元以下的罚款；违反本办法第十五条第</w:t>
      </w:r>
      <w:r>
        <w:rPr>
          <w:color w:val="auto"/>
        </w:rPr>
        <w:t>（二</w:t>
      </w:r>
      <w:r>
        <w:rPr>
          <w:color w:val="auto"/>
          <w:spacing w:val="-5"/>
        </w:rPr>
        <w:t>）</w:t>
      </w:r>
      <w:r>
        <w:rPr>
          <w:color w:val="auto"/>
          <w:spacing w:val="-3"/>
        </w:rPr>
        <w:t>项至第</w:t>
      </w:r>
      <w:r>
        <w:rPr>
          <w:color w:val="auto"/>
        </w:rPr>
        <w:t>（四</w:t>
      </w:r>
      <w:r>
        <w:rPr>
          <w:color w:val="auto"/>
          <w:spacing w:val="-5"/>
        </w:rPr>
        <w:t>）</w:t>
      </w:r>
      <w:r>
        <w:rPr>
          <w:color w:val="auto"/>
          <w:spacing w:val="-6"/>
        </w:rPr>
        <w:t>项任</w:t>
      </w:r>
    </w:p>
    <w:p>
      <w:pPr>
        <w:pStyle w:val="4"/>
        <w:spacing w:line="304" w:lineRule="exact"/>
        <w:jc w:val="both"/>
        <w:rPr>
          <w:color w:val="auto"/>
        </w:rPr>
      </w:pPr>
      <w:r>
        <w:rPr>
          <w:color w:val="auto"/>
        </w:rPr>
        <w:t>何一项规定的，由纤维质量监督机构责令改正，并可以处以 3 万元以下罚款。”</w:t>
      </w:r>
    </w:p>
    <w:p>
      <w:pPr>
        <w:pStyle w:val="4"/>
        <w:spacing w:before="191"/>
        <w:ind w:left="737"/>
        <w:rPr>
          <w:color w:val="auto"/>
        </w:rPr>
      </w:pPr>
      <w:r>
        <w:rPr>
          <w:color w:val="auto"/>
        </w:rPr>
        <w:t>2、《麻类纤维质量监督管理办法》第十五条第（四）项“麻类纤维经营者收购</w:t>
      </w:r>
    </w:p>
    <w:p>
      <w:pPr>
        <w:spacing w:after="0"/>
        <w:rPr>
          <w:color w:val="auto"/>
        </w:rPr>
        <w:sectPr>
          <w:pgSz w:w="11910" w:h="16840"/>
          <w:pgMar w:top="1520" w:right="1260" w:bottom="1220" w:left="1420" w:header="0" w:footer="1034" w:gutter="0"/>
        </w:sectPr>
      </w:pPr>
    </w:p>
    <w:p>
      <w:pPr>
        <w:pStyle w:val="4"/>
        <w:spacing w:before="39" w:line="391" w:lineRule="auto"/>
        <w:ind w:right="215"/>
        <w:rPr>
          <w:color w:val="auto"/>
        </w:rPr>
      </w:pPr>
      <w:r>
        <w:rPr>
          <w:color w:val="auto"/>
        </w:rPr>
        <w:t>麻类纤维，应当符合下列要求：（四）对所收购麻类纤维的水分含量超过国家标准规定的，进行晾晒等技术处理。”</w:t>
      </w:r>
    </w:p>
    <w:p>
      <w:pPr>
        <w:spacing w:before="0"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17"/>
        </w:numPr>
        <w:tabs>
          <w:tab w:val="left" w:pos="1353"/>
        </w:tabs>
        <w:spacing w:before="3"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初次违法，货值金额不足 5 万元的。</w:t>
      </w:r>
    </w:p>
    <w:p>
      <w:pPr>
        <w:pStyle w:val="13"/>
        <w:numPr>
          <w:ilvl w:val="0"/>
          <w:numId w:val="151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518"/>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 5 万元以上 20 万元以下的。</w:t>
      </w:r>
    </w:p>
    <w:p>
      <w:pPr>
        <w:pStyle w:val="13"/>
        <w:numPr>
          <w:ilvl w:val="0"/>
          <w:numId w:val="1518"/>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519"/>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6" w:firstLine="640"/>
        <w:rPr>
          <w:color w:val="auto"/>
        </w:rPr>
      </w:pPr>
      <w:r>
        <w:rPr>
          <w:color w:val="auto"/>
          <w:spacing w:val="-1"/>
        </w:rPr>
        <w:t>有下列情形之一的：</w:t>
      </w:r>
      <w:r>
        <w:rPr>
          <w:color w:val="auto"/>
          <w:spacing w:val="-9"/>
        </w:rPr>
        <w:t>1</w:t>
      </w:r>
      <w:r>
        <w:rPr>
          <w:color w:val="auto"/>
          <w:spacing w:val="-11"/>
        </w:rPr>
        <w:t xml:space="preserve">、初次违法，货值金额 </w:t>
      </w:r>
      <w:r>
        <w:rPr>
          <w:color w:val="auto"/>
        </w:rPr>
        <w:t>20</w:t>
      </w:r>
      <w:r>
        <w:rPr>
          <w:color w:val="auto"/>
          <w:spacing w:val="-10"/>
        </w:rPr>
        <w:t xml:space="preserve"> 万元以上的；</w:t>
      </w:r>
      <w:r>
        <w:rPr>
          <w:color w:val="auto"/>
          <w:spacing w:val="-9"/>
        </w:rPr>
        <w:t>2</w:t>
      </w:r>
      <w:r>
        <w:rPr>
          <w:color w:val="auto"/>
          <w:spacing w:val="-6"/>
        </w:rPr>
        <w:t>、两年内再次出</w:t>
      </w:r>
      <w:r>
        <w:rPr>
          <w:color w:val="auto"/>
        </w:rPr>
        <w:t>现相同违法行为的；3、社会影响较大的。</w:t>
      </w:r>
    </w:p>
    <w:p>
      <w:pPr>
        <w:pStyle w:val="13"/>
        <w:numPr>
          <w:ilvl w:val="0"/>
          <w:numId w:val="1519"/>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jc w:val="both"/>
        <w:rPr>
          <w:color w:val="auto"/>
        </w:rPr>
      </w:pPr>
      <w:r>
        <w:rPr>
          <w:color w:val="auto"/>
        </w:rPr>
        <w:t>责令改正，可以处 2 万元以上 3 万元以下罚款。</w:t>
      </w:r>
    </w:p>
    <w:p>
      <w:pPr>
        <w:pStyle w:val="2"/>
        <w:spacing w:before="194" w:line="388" w:lineRule="auto"/>
        <w:ind w:left="111" w:right="237" w:firstLine="480"/>
        <w:jc w:val="both"/>
        <w:rPr>
          <w:color w:val="auto"/>
        </w:rPr>
      </w:pPr>
      <w:bookmarkStart w:id="1354" w:name="六百六十三、麻类纤维经营者从事麻类纤维加工活动，不具备符合规定的质量标准、检验设"/>
      <w:bookmarkEnd w:id="1354"/>
      <w:bookmarkStart w:id="1355" w:name="_bookmark676"/>
      <w:bookmarkEnd w:id="1355"/>
      <w:r>
        <w:rPr>
          <w:color w:val="auto"/>
          <w:spacing w:val="-8"/>
        </w:rPr>
        <w:t>六百六十三、麻类纤维经营者从事麻类纤维加工活动，不具备符合规定的质量标</w:t>
      </w:r>
      <w:r>
        <w:rPr>
          <w:color w:val="auto"/>
          <w:spacing w:val="-9"/>
        </w:rPr>
        <w:t>准、检验设备和环境、检验人员、加工机械和加工场所、质量保证制度等质量保证基本条件</w:t>
      </w:r>
    </w:p>
    <w:p>
      <w:pPr>
        <w:spacing w:before="5"/>
        <w:ind w:left="754" w:right="0" w:firstLine="0"/>
        <w:jc w:val="left"/>
        <w:rPr>
          <w:b/>
          <w:color w:val="auto"/>
          <w:sz w:val="24"/>
        </w:rPr>
      </w:pPr>
      <w:r>
        <w:rPr>
          <w:b/>
          <w:color w:val="auto"/>
          <w:sz w:val="24"/>
        </w:rPr>
        <w:t>（一）处罚依据</w:t>
      </w:r>
    </w:p>
    <w:p>
      <w:pPr>
        <w:pStyle w:val="4"/>
        <w:spacing w:before="192" w:line="391" w:lineRule="auto"/>
        <w:ind w:right="232" w:firstLine="626"/>
        <w:jc w:val="both"/>
        <w:rPr>
          <w:color w:val="auto"/>
        </w:rPr>
      </w:pPr>
      <w:r>
        <w:rPr>
          <w:color w:val="auto"/>
        </w:rPr>
        <w:t>1</w:t>
      </w:r>
      <w:r>
        <w:rPr>
          <w:color w:val="auto"/>
          <w:spacing w:val="-12"/>
        </w:rPr>
        <w:t>、《麻类纤维质量监督管理办法》第二十一条“麻类纤维经营者在加工麻类纤维活动中，违反本办法第十六条第（一）</w:t>
      </w:r>
      <w:r>
        <w:rPr>
          <w:color w:val="auto"/>
          <w:spacing w:val="-13"/>
        </w:rPr>
        <w:t xml:space="preserve">项规定的，由纤维质量监督机构责令改正， </w:t>
      </w:r>
      <w:r>
        <w:rPr>
          <w:color w:val="auto"/>
          <w:spacing w:val="-9"/>
        </w:rPr>
        <w:t xml:space="preserve">拒不改正的，处以 </w:t>
      </w:r>
      <w:r>
        <w:rPr>
          <w:color w:val="auto"/>
        </w:rPr>
        <w:t>1</w:t>
      </w:r>
      <w:r>
        <w:rPr>
          <w:color w:val="auto"/>
          <w:spacing w:val="-8"/>
        </w:rPr>
        <w:t xml:space="preserve"> 万元以下的罚款；违反本办法第十六条第</w:t>
      </w:r>
      <w:r>
        <w:rPr>
          <w:color w:val="auto"/>
        </w:rPr>
        <w:t>（二</w:t>
      </w:r>
      <w:r>
        <w:rPr>
          <w:color w:val="auto"/>
          <w:spacing w:val="-5"/>
        </w:rPr>
        <w:t>）</w:t>
      </w:r>
      <w:r>
        <w:rPr>
          <w:color w:val="auto"/>
          <w:spacing w:val="-4"/>
        </w:rPr>
        <w:t>至第</w:t>
      </w:r>
      <w:r>
        <w:rPr>
          <w:color w:val="auto"/>
        </w:rPr>
        <w:t>（六</w:t>
      </w:r>
      <w:r>
        <w:rPr>
          <w:color w:val="auto"/>
          <w:spacing w:val="-5"/>
        </w:rPr>
        <w:t>）</w:t>
      </w:r>
      <w:r>
        <w:rPr>
          <w:color w:val="auto"/>
        </w:rPr>
        <w:t>项任</w:t>
      </w:r>
    </w:p>
    <w:p>
      <w:pPr>
        <w:pStyle w:val="4"/>
        <w:spacing w:line="304" w:lineRule="exact"/>
        <w:jc w:val="both"/>
        <w:rPr>
          <w:color w:val="auto"/>
        </w:rPr>
      </w:pPr>
      <w:r>
        <w:rPr>
          <w:color w:val="auto"/>
        </w:rPr>
        <w:t>何一项规定的，由纤维质量监督机构责令改正，并可以处以 3 万元以下罚款。”</w:t>
      </w:r>
    </w:p>
    <w:p>
      <w:pPr>
        <w:pStyle w:val="4"/>
        <w:spacing w:before="192"/>
        <w:ind w:left="737"/>
        <w:rPr>
          <w:color w:val="auto"/>
        </w:rPr>
      </w:pPr>
      <w:r>
        <w:rPr>
          <w:color w:val="auto"/>
        </w:rPr>
        <w:t>2、《麻类纤维质量监督管理办法》第十六条第（一）项“麻类纤维经营者从事</w:t>
      </w:r>
    </w:p>
    <w:p>
      <w:pPr>
        <w:spacing w:after="0"/>
        <w:rPr>
          <w:color w:val="auto"/>
        </w:rPr>
        <w:sectPr>
          <w:pgSz w:w="11910" w:h="16840"/>
          <w:pgMar w:top="1520" w:right="1260" w:bottom="1220" w:left="1420" w:header="0" w:footer="1034" w:gutter="0"/>
        </w:sectPr>
      </w:pPr>
    </w:p>
    <w:p>
      <w:pPr>
        <w:pStyle w:val="4"/>
        <w:spacing w:before="39" w:line="391" w:lineRule="auto"/>
        <w:ind w:right="215"/>
        <w:rPr>
          <w:color w:val="auto"/>
        </w:rPr>
      </w:pPr>
      <w:r>
        <w:rPr>
          <w:color w:val="auto"/>
        </w:rPr>
        <w:t>麻类纤维加工活动，应当符合下列要求：（一）具备符合规定的质量标准、检验设备和环境、检验人员、加工机械和加工场所、质量保证制度等质量保证基本条件。”</w:t>
      </w:r>
    </w:p>
    <w:p>
      <w:pPr>
        <w:spacing w:before="0" w:line="388" w:lineRule="auto"/>
        <w:ind w:left="751" w:right="6784" w:firstLine="2"/>
        <w:jc w:val="left"/>
        <w:rPr>
          <w:color w:val="auto"/>
          <w:sz w:val="24"/>
        </w:rPr>
      </w:pPr>
      <w:r>
        <w:rPr>
          <w:b/>
          <w:color w:val="auto"/>
          <w:sz w:val="24"/>
        </w:rPr>
        <w:t>（二）裁量标准</w:t>
      </w:r>
      <w:r>
        <w:rPr>
          <w:color w:val="auto"/>
          <w:sz w:val="24"/>
        </w:rPr>
        <w:t>1、【轻微】</w:t>
      </w:r>
    </w:p>
    <w:p>
      <w:pPr>
        <w:pStyle w:val="13"/>
        <w:numPr>
          <w:ilvl w:val="0"/>
          <w:numId w:val="1520"/>
        </w:numPr>
        <w:tabs>
          <w:tab w:val="left" w:pos="1353"/>
        </w:tabs>
        <w:spacing w:before="3" w:after="0" w:line="240" w:lineRule="auto"/>
        <w:ind w:left="1353" w:right="0" w:hanging="602"/>
        <w:jc w:val="left"/>
        <w:rPr>
          <w:color w:val="auto"/>
          <w:sz w:val="24"/>
        </w:rPr>
      </w:pPr>
      <w:r>
        <w:rPr>
          <w:color w:val="auto"/>
          <w:sz w:val="24"/>
        </w:rPr>
        <w:t>违法情形</w:t>
      </w:r>
    </w:p>
    <w:p>
      <w:pPr>
        <w:pStyle w:val="4"/>
        <w:spacing w:before="192" w:line="388" w:lineRule="auto"/>
        <w:ind w:right="268" w:firstLine="640"/>
        <w:rPr>
          <w:color w:val="auto"/>
        </w:rPr>
      </w:pPr>
      <w:r>
        <w:rPr>
          <w:color w:val="auto"/>
        </w:rPr>
        <w:t>不具备符合规定的质量标准、检验设备和环境、检验人员、加工机械和加工场所、质量保证制度等三项以下质量保证基本条件，且能够及时改正的。</w:t>
      </w:r>
    </w:p>
    <w:p>
      <w:pPr>
        <w:pStyle w:val="13"/>
        <w:numPr>
          <w:ilvl w:val="0"/>
          <w:numId w:val="1520"/>
        </w:numPr>
        <w:tabs>
          <w:tab w:val="left" w:pos="1353"/>
        </w:tabs>
        <w:spacing w:before="5" w:after="0" w:line="388" w:lineRule="auto"/>
        <w:ind w:left="751" w:right="6913" w:firstLine="0"/>
        <w:jc w:val="left"/>
        <w:rPr>
          <w:color w:val="auto"/>
          <w:sz w:val="24"/>
        </w:rPr>
      </w:pPr>
      <w:r>
        <w:rPr>
          <w:color w:val="auto"/>
          <w:spacing w:val="-5"/>
          <w:sz w:val="24"/>
        </w:rPr>
        <w:t>处罚标准</w:t>
      </w:r>
      <w:r>
        <w:rPr>
          <w:color w:val="auto"/>
          <w:sz w:val="24"/>
        </w:rPr>
        <w:t>责令改正。</w:t>
      </w:r>
    </w:p>
    <w:p>
      <w:pPr>
        <w:pStyle w:val="4"/>
        <w:spacing w:before="2"/>
        <w:ind w:left="751"/>
        <w:rPr>
          <w:color w:val="auto"/>
        </w:rPr>
      </w:pPr>
      <w:r>
        <w:rPr>
          <w:color w:val="auto"/>
        </w:rPr>
        <w:t>2、【一般】</w:t>
      </w:r>
    </w:p>
    <w:p>
      <w:pPr>
        <w:pStyle w:val="13"/>
        <w:numPr>
          <w:ilvl w:val="0"/>
          <w:numId w:val="1521"/>
        </w:numPr>
        <w:tabs>
          <w:tab w:val="left" w:pos="1353"/>
        </w:tabs>
        <w:spacing w:before="194"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逾期一个月不改正的。</w:t>
      </w:r>
    </w:p>
    <w:p>
      <w:pPr>
        <w:pStyle w:val="13"/>
        <w:numPr>
          <w:ilvl w:val="0"/>
          <w:numId w:val="152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273"/>
        <w:rPr>
          <w:color w:val="auto"/>
        </w:rPr>
      </w:pPr>
      <w:r>
        <w:rPr>
          <w:color w:val="auto"/>
          <w:spacing w:val="-6"/>
        </w:rPr>
        <w:t xml:space="preserve">责令改正，并可以处 </w:t>
      </w:r>
      <w:r>
        <w:rPr>
          <w:color w:val="auto"/>
        </w:rPr>
        <w:t>3000</w:t>
      </w:r>
      <w:r>
        <w:rPr>
          <w:color w:val="auto"/>
          <w:spacing w:val="-12"/>
        </w:rPr>
        <w:t xml:space="preserve"> 元以下罚款。</w:t>
      </w:r>
      <w:r>
        <w:rPr>
          <w:color w:val="auto"/>
        </w:rPr>
        <w:t>3</w:t>
      </w:r>
      <w:r>
        <w:rPr>
          <w:color w:val="auto"/>
          <w:spacing w:val="-24"/>
        </w:rPr>
        <w:t>、【较重】</w:t>
      </w:r>
    </w:p>
    <w:p>
      <w:pPr>
        <w:pStyle w:val="13"/>
        <w:numPr>
          <w:ilvl w:val="0"/>
          <w:numId w:val="1522"/>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逾期二个月不改正的。</w:t>
      </w:r>
    </w:p>
    <w:p>
      <w:pPr>
        <w:pStyle w:val="13"/>
        <w:numPr>
          <w:ilvl w:val="0"/>
          <w:numId w:val="1522"/>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4873"/>
        <w:rPr>
          <w:color w:val="auto"/>
        </w:rPr>
      </w:pPr>
      <w:r>
        <w:rPr>
          <w:color w:val="auto"/>
          <w:spacing w:val="-30"/>
        </w:rPr>
        <w:t xml:space="preserve">处 </w:t>
      </w:r>
      <w:r>
        <w:rPr>
          <w:color w:val="auto"/>
        </w:rPr>
        <w:t>3000</w:t>
      </w:r>
      <w:r>
        <w:rPr>
          <w:color w:val="auto"/>
          <w:spacing w:val="-24"/>
        </w:rPr>
        <w:t xml:space="preserve"> 元以上 </w:t>
      </w:r>
      <w:r>
        <w:rPr>
          <w:color w:val="auto"/>
        </w:rPr>
        <w:t>7000</w:t>
      </w:r>
      <w:r>
        <w:rPr>
          <w:color w:val="auto"/>
          <w:spacing w:val="-12"/>
        </w:rPr>
        <w:t xml:space="preserve"> 元以下罚款。</w:t>
      </w:r>
      <w:r>
        <w:rPr>
          <w:color w:val="auto"/>
        </w:rPr>
        <w:t>4</w:t>
      </w:r>
      <w:r>
        <w:rPr>
          <w:color w:val="auto"/>
          <w:spacing w:val="-24"/>
        </w:rPr>
        <w:t>、【严重】</w:t>
      </w:r>
    </w:p>
    <w:p>
      <w:pPr>
        <w:pStyle w:val="13"/>
        <w:numPr>
          <w:ilvl w:val="0"/>
          <w:numId w:val="152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71" w:firstLine="640"/>
        <w:rPr>
          <w:color w:val="auto"/>
        </w:rPr>
      </w:pPr>
      <w:r>
        <w:rPr>
          <w:color w:val="auto"/>
        </w:rPr>
        <w:t>有下列情形之一的：1、逾期三个月不改正的；2、两年内再次出现相同违法行为的。</w:t>
      </w:r>
    </w:p>
    <w:p>
      <w:pPr>
        <w:pStyle w:val="13"/>
        <w:numPr>
          <w:ilvl w:val="0"/>
          <w:numId w:val="1523"/>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ind w:left="751"/>
        <w:rPr>
          <w:color w:val="auto"/>
        </w:rPr>
      </w:pPr>
      <w:r>
        <w:rPr>
          <w:color w:val="auto"/>
        </w:rPr>
        <w:t>处 7000 元以上 1 万元以下罚款。</w:t>
      </w:r>
    </w:p>
    <w:p>
      <w:pPr>
        <w:pStyle w:val="2"/>
        <w:spacing w:before="194" w:line="388" w:lineRule="auto"/>
        <w:ind w:left="111" w:right="193" w:firstLine="480"/>
        <w:rPr>
          <w:color w:val="auto"/>
        </w:rPr>
      </w:pPr>
      <w:bookmarkStart w:id="1356" w:name="六百六十四、麻类纤维经营者从事麻类纤维加工活动，未挑拣、排除麻类纤维中的异性纤维"/>
      <w:bookmarkEnd w:id="1356"/>
      <w:bookmarkStart w:id="1357" w:name="_bookmark677"/>
      <w:bookmarkEnd w:id="1357"/>
      <w:r>
        <w:rPr>
          <w:color w:val="auto"/>
        </w:rPr>
        <w:t>六百六十四、麻类纤维经营者从事麻类纤维加工活动，未挑拣、排除麻类纤维中的异性纤维及其他非麻类纤维物质</w:t>
      </w:r>
    </w:p>
    <w:p>
      <w:pPr>
        <w:spacing w:before="2"/>
        <w:ind w:left="754"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232" w:firstLine="626"/>
        <w:jc w:val="both"/>
        <w:rPr>
          <w:color w:val="auto"/>
        </w:rPr>
      </w:pPr>
      <w:r>
        <w:rPr>
          <w:color w:val="auto"/>
        </w:rPr>
        <w:t>1</w:t>
      </w:r>
      <w:r>
        <w:rPr>
          <w:color w:val="auto"/>
          <w:spacing w:val="-12"/>
        </w:rPr>
        <w:t>、《麻类纤维质量监督管理办法》第二十一条“麻类纤维经营者在加工麻类纤维活动中，违反本办法第十六条第（一）</w:t>
      </w:r>
      <w:r>
        <w:rPr>
          <w:color w:val="auto"/>
          <w:spacing w:val="-13"/>
        </w:rPr>
        <w:t xml:space="preserve">项规定的，由纤维质量监督机构责令改正， </w:t>
      </w:r>
      <w:r>
        <w:rPr>
          <w:color w:val="auto"/>
          <w:spacing w:val="-9"/>
        </w:rPr>
        <w:t xml:space="preserve">拒不改正的，处以 </w:t>
      </w:r>
      <w:r>
        <w:rPr>
          <w:color w:val="auto"/>
        </w:rPr>
        <w:t>1</w:t>
      </w:r>
      <w:r>
        <w:rPr>
          <w:color w:val="auto"/>
          <w:spacing w:val="-8"/>
        </w:rPr>
        <w:t xml:space="preserve"> 万元以下的罚款；违反本办法第十六条第</w:t>
      </w:r>
      <w:r>
        <w:rPr>
          <w:color w:val="auto"/>
        </w:rPr>
        <w:t>（二</w:t>
      </w:r>
      <w:r>
        <w:rPr>
          <w:color w:val="auto"/>
          <w:spacing w:val="-5"/>
        </w:rPr>
        <w:t>）</w:t>
      </w:r>
      <w:r>
        <w:rPr>
          <w:color w:val="auto"/>
          <w:spacing w:val="-4"/>
        </w:rPr>
        <w:t>至第</w:t>
      </w:r>
      <w:r>
        <w:rPr>
          <w:color w:val="auto"/>
        </w:rPr>
        <w:t>（六</w:t>
      </w:r>
      <w:r>
        <w:rPr>
          <w:color w:val="auto"/>
          <w:spacing w:val="-5"/>
        </w:rPr>
        <w:t>）</w:t>
      </w:r>
      <w:r>
        <w:rPr>
          <w:color w:val="auto"/>
        </w:rPr>
        <w:t>项任</w:t>
      </w:r>
    </w:p>
    <w:p>
      <w:pPr>
        <w:pStyle w:val="4"/>
        <w:spacing w:line="304" w:lineRule="exact"/>
        <w:jc w:val="both"/>
        <w:rPr>
          <w:color w:val="auto"/>
        </w:rPr>
      </w:pPr>
      <w:r>
        <w:rPr>
          <w:color w:val="auto"/>
        </w:rPr>
        <w:t>何一项规定的，由纤维质量监督机构责令改正，并可以处以 3 万元以下罚款。”</w:t>
      </w:r>
    </w:p>
    <w:p>
      <w:pPr>
        <w:pStyle w:val="4"/>
        <w:spacing w:before="195" w:line="388" w:lineRule="auto"/>
        <w:ind w:right="268" w:firstLine="626"/>
        <w:jc w:val="both"/>
        <w:rPr>
          <w:color w:val="auto"/>
        </w:rPr>
      </w:pPr>
      <w:r>
        <w:rPr>
          <w:color w:val="auto"/>
        </w:rPr>
        <w:t>2</w:t>
      </w:r>
      <w:r>
        <w:rPr>
          <w:color w:val="auto"/>
          <w:spacing w:val="-12"/>
        </w:rPr>
        <w:t>、《麻类纤维质量监督管理办法》第十六条第</w:t>
      </w:r>
      <w:r>
        <w:rPr>
          <w:color w:val="auto"/>
        </w:rPr>
        <w:t>（二）项“麻类纤维经营者从事</w:t>
      </w:r>
      <w:r>
        <w:rPr>
          <w:color w:val="auto"/>
          <w:spacing w:val="-6"/>
        </w:rPr>
        <w:t>麻类纤维加工活动，应当符合下列要求：</w:t>
      </w:r>
      <w:r>
        <w:rPr>
          <w:color w:val="auto"/>
          <w:spacing w:val="2"/>
        </w:rPr>
        <w:t>（二）</w:t>
      </w:r>
      <w:r>
        <w:rPr>
          <w:color w:val="auto"/>
        </w:rPr>
        <w:t>挑拣、排除麻类纤维中的异性纤维及</w:t>
      </w:r>
      <w:r>
        <w:rPr>
          <w:color w:val="auto"/>
          <w:spacing w:val="-11"/>
        </w:rPr>
        <w:t>其他非麻类纤维物质。”</w:t>
      </w:r>
    </w:p>
    <w:p>
      <w:pPr>
        <w:spacing w:before="5"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24"/>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初次违法，货值金额不足 5 万元的。</w:t>
      </w:r>
    </w:p>
    <w:p>
      <w:pPr>
        <w:pStyle w:val="13"/>
        <w:numPr>
          <w:ilvl w:val="0"/>
          <w:numId w:val="1524"/>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52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初次违法，货值金额 5 万元以上 20 万元以下的。</w:t>
      </w:r>
    </w:p>
    <w:p>
      <w:pPr>
        <w:pStyle w:val="13"/>
        <w:numPr>
          <w:ilvl w:val="0"/>
          <w:numId w:val="1525"/>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526"/>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line="388" w:lineRule="auto"/>
        <w:ind w:right="266" w:firstLine="640"/>
        <w:rPr>
          <w:color w:val="auto"/>
        </w:rPr>
      </w:pPr>
      <w:r>
        <w:rPr>
          <w:color w:val="auto"/>
          <w:spacing w:val="-1"/>
        </w:rPr>
        <w:t>有下列情形之一的：</w:t>
      </w:r>
      <w:r>
        <w:rPr>
          <w:color w:val="auto"/>
          <w:spacing w:val="-9"/>
        </w:rPr>
        <w:t>1</w:t>
      </w:r>
      <w:r>
        <w:rPr>
          <w:color w:val="auto"/>
          <w:spacing w:val="-11"/>
        </w:rPr>
        <w:t xml:space="preserve">、初次违法，货值金额 </w:t>
      </w:r>
      <w:r>
        <w:rPr>
          <w:color w:val="auto"/>
        </w:rPr>
        <w:t>20</w:t>
      </w:r>
      <w:r>
        <w:rPr>
          <w:color w:val="auto"/>
          <w:spacing w:val="-10"/>
        </w:rPr>
        <w:t xml:space="preserve"> 万元以上的；</w:t>
      </w:r>
      <w:r>
        <w:rPr>
          <w:color w:val="auto"/>
          <w:spacing w:val="-9"/>
        </w:rPr>
        <w:t>2</w:t>
      </w:r>
      <w:r>
        <w:rPr>
          <w:color w:val="auto"/>
          <w:spacing w:val="-6"/>
        </w:rPr>
        <w:t>、两年内再次出</w:t>
      </w:r>
      <w:r>
        <w:rPr>
          <w:color w:val="auto"/>
        </w:rPr>
        <w:t>现相同违法行为的；3、社会影响较大的。</w:t>
      </w:r>
    </w:p>
    <w:p>
      <w:pPr>
        <w:pStyle w:val="13"/>
        <w:numPr>
          <w:ilvl w:val="0"/>
          <w:numId w:val="1526"/>
        </w:numPr>
        <w:tabs>
          <w:tab w:val="left" w:pos="1353"/>
        </w:tabs>
        <w:spacing w:before="5"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2 万元以上 3 万元以下罚款。</w:t>
      </w:r>
    </w:p>
    <w:p>
      <w:pPr>
        <w:pStyle w:val="2"/>
        <w:spacing w:before="191" w:line="391" w:lineRule="auto"/>
        <w:ind w:left="111" w:right="193" w:firstLine="480"/>
        <w:rPr>
          <w:color w:val="auto"/>
        </w:rPr>
      </w:pPr>
      <w:bookmarkStart w:id="1358" w:name="六百六十五、麻类纤维经营者从事麻类纤维加工活动，未按照国家标准、技术规范对麻类纤"/>
      <w:bookmarkEnd w:id="1358"/>
      <w:bookmarkStart w:id="1359" w:name="_bookmark678"/>
      <w:bookmarkEnd w:id="1359"/>
      <w:r>
        <w:rPr>
          <w:color w:val="auto"/>
        </w:rPr>
        <w:t>六百六十五、麻类纤维经营者从事麻类纤维加工活动，未按照国家标准、技术规范对麻类纤维分品种、分类别、分等级加工，或者未对加工后的麻类纤维组批置放</w:t>
      </w:r>
    </w:p>
    <w:p>
      <w:pPr>
        <w:spacing w:before="0" w:line="306" w:lineRule="exact"/>
        <w:ind w:left="754" w:right="0" w:firstLine="0"/>
        <w:jc w:val="left"/>
        <w:rPr>
          <w:b/>
          <w:color w:val="auto"/>
          <w:sz w:val="24"/>
        </w:rPr>
      </w:pPr>
      <w:r>
        <w:rPr>
          <w:b/>
          <w:color w:val="auto"/>
          <w:sz w:val="24"/>
        </w:rPr>
        <w:t>（一）处罚依据</w:t>
      </w:r>
    </w:p>
    <w:p>
      <w:pPr>
        <w:pStyle w:val="4"/>
        <w:spacing w:before="192"/>
        <w:ind w:left="737"/>
        <w:rPr>
          <w:color w:val="auto"/>
        </w:rPr>
      </w:pPr>
      <w:r>
        <w:rPr>
          <w:color w:val="auto"/>
        </w:rPr>
        <w:t>1、《麻类纤维质量监督管理办法》第二十一条“麻类纤维经营者在加工麻类纤</w:t>
      </w:r>
    </w:p>
    <w:p>
      <w:pPr>
        <w:spacing w:after="0"/>
        <w:rPr>
          <w:color w:val="auto"/>
        </w:rPr>
        <w:sectPr>
          <w:pgSz w:w="11910" w:h="16840"/>
          <w:pgMar w:top="1520" w:right="1260" w:bottom="1220" w:left="1420" w:header="0" w:footer="1034" w:gutter="0"/>
        </w:sectPr>
      </w:pPr>
    </w:p>
    <w:p>
      <w:pPr>
        <w:pStyle w:val="4"/>
        <w:spacing w:before="39" w:line="391" w:lineRule="auto"/>
        <w:ind w:right="232"/>
        <w:jc w:val="both"/>
        <w:rPr>
          <w:color w:val="auto"/>
        </w:rPr>
      </w:pPr>
      <w:r>
        <w:rPr>
          <w:color w:val="auto"/>
        </w:rPr>
        <w:t>维活动中，违反本办法第十六条第（一）</w:t>
      </w:r>
      <w:r>
        <w:rPr>
          <w:color w:val="auto"/>
          <w:spacing w:val="-1"/>
        </w:rPr>
        <w:t xml:space="preserve">项规定的，由纤维质量监督机构责令改正， </w:t>
      </w:r>
      <w:r>
        <w:rPr>
          <w:color w:val="auto"/>
          <w:spacing w:val="-9"/>
        </w:rPr>
        <w:t xml:space="preserve">拒不改正的，处以 </w:t>
      </w:r>
      <w:r>
        <w:rPr>
          <w:color w:val="auto"/>
        </w:rPr>
        <w:t>1</w:t>
      </w:r>
      <w:r>
        <w:rPr>
          <w:color w:val="auto"/>
          <w:spacing w:val="-8"/>
        </w:rPr>
        <w:t xml:space="preserve"> 万元以下的罚款；违反本办法第十六条第</w:t>
      </w:r>
      <w:r>
        <w:rPr>
          <w:color w:val="auto"/>
        </w:rPr>
        <w:t>（二</w:t>
      </w:r>
      <w:r>
        <w:rPr>
          <w:color w:val="auto"/>
          <w:spacing w:val="-5"/>
        </w:rPr>
        <w:t>）</w:t>
      </w:r>
      <w:r>
        <w:rPr>
          <w:color w:val="auto"/>
          <w:spacing w:val="-4"/>
        </w:rPr>
        <w:t>至第</w:t>
      </w:r>
      <w:r>
        <w:rPr>
          <w:color w:val="auto"/>
        </w:rPr>
        <w:t>（六</w:t>
      </w:r>
      <w:r>
        <w:rPr>
          <w:color w:val="auto"/>
          <w:spacing w:val="-5"/>
        </w:rPr>
        <w:t>）</w:t>
      </w:r>
      <w:r>
        <w:rPr>
          <w:color w:val="auto"/>
        </w:rPr>
        <w:t>项任</w:t>
      </w:r>
    </w:p>
    <w:p>
      <w:pPr>
        <w:pStyle w:val="4"/>
        <w:spacing w:line="306" w:lineRule="exact"/>
        <w:jc w:val="both"/>
        <w:rPr>
          <w:color w:val="auto"/>
        </w:rPr>
      </w:pPr>
      <w:r>
        <w:rPr>
          <w:color w:val="auto"/>
        </w:rPr>
        <w:t>何一项规定的，由纤维质量监督机构责令改正，并可以处以 3 万元以下罚款。”</w:t>
      </w:r>
    </w:p>
    <w:p>
      <w:pPr>
        <w:pStyle w:val="4"/>
        <w:spacing w:before="192" w:line="391" w:lineRule="auto"/>
        <w:ind w:right="268" w:firstLine="626"/>
        <w:jc w:val="both"/>
        <w:rPr>
          <w:color w:val="auto"/>
        </w:rPr>
      </w:pPr>
      <w:r>
        <w:rPr>
          <w:color w:val="auto"/>
        </w:rPr>
        <w:t>2</w:t>
      </w:r>
      <w:r>
        <w:rPr>
          <w:color w:val="auto"/>
          <w:spacing w:val="-12"/>
        </w:rPr>
        <w:t>、《麻类纤维质量监督管理办法》第十六条第</w:t>
      </w:r>
      <w:r>
        <w:rPr>
          <w:color w:val="auto"/>
        </w:rPr>
        <w:t>（三）项“麻类纤维经营者从事</w:t>
      </w:r>
      <w:r>
        <w:rPr>
          <w:color w:val="auto"/>
          <w:spacing w:val="-6"/>
        </w:rPr>
        <w:t>麻类纤维加工活动，应当符合下列要求：</w:t>
      </w:r>
      <w:r>
        <w:rPr>
          <w:color w:val="auto"/>
          <w:spacing w:val="2"/>
        </w:rPr>
        <w:t>（三）</w:t>
      </w:r>
      <w:r>
        <w:rPr>
          <w:color w:val="auto"/>
        </w:rPr>
        <w:t>按照国家标准、技术规范，对麻类纤</w:t>
      </w:r>
      <w:r>
        <w:rPr>
          <w:color w:val="auto"/>
          <w:spacing w:val="-4"/>
        </w:rPr>
        <w:t>维分品种、分类别、分季别、分等级加工，对加工后的麻类纤维组批置放。”</w:t>
      </w:r>
    </w:p>
    <w:p>
      <w:pPr>
        <w:spacing w:before="0"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2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8"/>
        <w:ind w:left="751"/>
        <w:rPr>
          <w:color w:val="auto"/>
        </w:rPr>
      </w:pPr>
      <w:r>
        <w:rPr>
          <w:color w:val="auto"/>
        </w:rPr>
        <w:t>初次违法，货值金额不足 5 万元的。</w:t>
      </w:r>
    </w:p>
    <w:p>
      <w:pPr>
        <w:pStyle w:val="13"/>
        <w:numPr>
          <w:ilvl w:val="0"/>
          <w:numId w:val="1527"/>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528"/>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初次违法，货值金额 5 万元以上 20 万元以下的。</w:t>
      </w:r>
    </w:p>
    <w:p>
      <w:pPr>
        <w:pStyle w:val="13"/>
        <w:numPr>
          <w:ilvl w:val="0"/>
          <w:numId w:val="1528"/>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529"/>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6" w:firstLine="640"/>
        <w:rPr>
          <w:color w:val="auto"/>
        </w:rPr>
      </w:pPr>
      <w:r>
        <w:rPr>
          <w:color w:val="auto"/>
          <w:spacing w:val="-1"/>
        </w:rPr>
        <w:t>有下列情形之一的：</w:t>
      </w:r>
      <w:r>
        <w:rPr>
          <w:color w:val="auto"/>
          <w:spacing w:val="-9"/>
        </w:rPr>
        <w:t>1</w:t>
      </w:r>
      <w:r>
        <w:rPr>
          <w:color w:val="auto"/>
          <w:spacing w:val="-11"/>
        </w:rPr>
        <w:t xml:space="preserve">、初次违法，货值金额 </w:t>
      </w:r>
      <w:r>
        <w:rPr>
          <w:color w:val="auto"/>
        </w:rPr>
        <w:t>20</w:t>
      </w:r>
      <w:r>
        <w:rPr>
          <w:color w:val="auto"/>
          <w:spacing w:val="-10"/>
        </w:rPr>
        <w:t xml:space="preserve"> 万元以上的；</w:t>
      </w:r>
      <w:r>
        <w:rPr>
          <w:color w:val="auto"/>
          <w:spacing w:val="-9"/>
        </w:rPr>
        <w:t>2</w:t>
      </w:r>
      <w:r>
        <w:rPr>
          <w:color w:val="auto"/>
          <w:spacing w:val="-6"/>
        </w:rPr>
        <w:t>、两年内再次出</w:t>
      </w:r>
      <w:r>
        <w:rPr>
          <w:color w:val="auto"/>
        </w:rPr>
        <w:t>现相同违法行为的；3、社会影响较大的。</w:t>
      </w:r>
    </w:p>
    <w:p>
      <w:pPr>
        <w:pStyle w:val="13"/>
        <w:numPr>
          <w:ilvl w:val="0"/>
          <w:numId w:val="1529"/>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责令改正，可以处 2 万元以上 3 万元以下罚款。</w:t>
      </w:r>
    </w:p>
    <w:p>
      <w:pPr>
        <w:pStyle w:val="2"/>
        <w:spacing w:before="192" w:line="388" w:lineRule="auto"/>
        <w:ind w:left="111" w:right="193" w:firstLine="480"/>
        <w:rPr>
          <w:color w:val="auto"/>
        </w:rPr>
      </w:pPr>
      <w:bookmarkStart w:id="1360" w:name="六百六十六、麻类纤维经营者从事麻类纤维加工活动，未按国家标准、技术规范对加工后的"/>
      <w:bookmarkEnd w:id="1360"/>
      <w:bookmarkStart w:id="1361" w:name="_bookmark679"/>
      <w:bookmarkEnd w:id="1361"/>
      <w:r>
        <w:rPr>
          <w:color w:val="auto"/>
        </w:rPr>
        <w:t>六百六十六、麻类纤维经营者从事麻类纤维加工活动，未按国家标准、技术规范对加工后的麻类纤维进行包装</w:t>
      </w:r>
    </w:p>
    <w:p>
      <w:pPr>
        <w:spacing w:after="0" w:line="388" w:lineRule="auto"/>
        <w:rPr>
          <w:color w:val="auto"/>
        </w:rPr>
        <w:sectPr>
          <w:footerReference r:id="rId165" w:type="default"/>
          <w:footerReference r:id="rId166" w:type="even"/>
          <w:pgSz w:w="11910" w:h="16840"/>
          <w:pgMar w:top="1520" w:right="1260" w:bottom="2720" w:left="1420" w:header="0" w:footer="2525" w:gutter="0"/>
          <w:pgNumType w:start="648"/>
        </w:sectPr>
      </w:pPr>
    </w:p>
    <w:p>
      <w:pPr>
        <w:pStyle w:val="4"/>
        <w:spacing w:before="39"/>
        <w:jc w:val="both"/>
        <w:rPr>
          <w:color w:val="auto"/>
        </w:rPr>
      </w:pPr>
      <w:r>
        <w:rPr>
          <w:color w:val="auto"/>
        </w:rPr>
        <w:t>拒不改正的，处以 1 万元以下的罚款；违反本办法第十六条第（二）至第（六）项任</w:t>
      </w:r>
    </w:p>
    <w:p>
      <w:pPr>
        <w:pStyle w:val="4"/>
        <w:spacing w:before="195"/>
        <w:jc w:val="both"/>
        <w:rPr>
          <w:color w:val="auto"/>
        </w:rPr>
      </w:pPr>
      <w:r>
        <w:rPr>
          <w:color w:val="auto"/>
        </w:rPr>
        <w:t>何一项规定的，由纤维质量监督机构责令改正，并可以处以 3 万元以下罚款。”</w:t>
      </w:r>
    </w:p>
    <w:p>
      <w:pPr>
        <w:pStyle w:val="4"/>
        <w:spacing w:before="191" w:line="391" w:lineRule="auto"/>
        <w:ind w:right="268" w:firstLine="626"/>
        <w:jc w:val="both"/>
        <w:rPr>
          <w:color w:val="auto"/>
        </w:rPr>
      </w:pPr>
      <w:r>
        <w:rPr>
          <w:color w:val="auto"/>
        </w:rPr>
        <w:t>2</w:t>
      </w:r>
      <w:r>
        <w:rPr>
          <w:color w:val="auto"/>
          <w:spacing w:val="-12"/>
        </w:rPr>
        <w:t>、《麻类纤维质量监督管理办法》第十六条第</w:t>
      </w:r>
      <w:r>
        <w:rPr>
          <w:color w:val="auto"/>
        </w:rPr>
        <w:t>（四）项“麻类纤维经营者从事</w:t>
      </w:r>
      <w:r>
        <w:rPr>
          <w:color w:val="auto"/>
          <w:spacing w:val="-6"/>
        </w:rPr>
        <w:t>麻类纤维加工活动，应当符合下列要求：</w:t>
      </w:r>
      <w:r>
        <w:rPr>
          <w:color w:val="auto"/>
          <w:spacing w:val="2"/>
        </w:rPr>
        <w:t>（四）</w:t>
      </w:r>
      <w:r>
        <w:rPr>
          <w:color w:val="auto"/>
        </w:rPr>
        <w:t>按照国家标准、技术规范，对加工后</w:t>
      </w:r>
      <w:r>
        <w:rPr>
          <w:color w:val="auto"/>
          <w:spacing w:val="-11"/>
        </w:rPr>
        <w:t>的麻类纤维进行包装。”</w:t>
      </w:r>
    </w:p>
    <w:p>
      <w:pPr>
        <w:spacing w:before="0"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30"/>
        </w:numPr>
        <w:tabs>
          <w:tab w:val="left" w:pos="1353"/>
        </w:tabs>
        <w:spacing w:before="1"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初次违法，货值金额不足 5 万元的。</w:t>
      </w:r>
    </w:p>
    <w:p>
      <w:pPr>
        <w:pStyle w:val="13"/>
        <w:numPr>
          <w:ilvl w:val="0"/>
          <w:numId w:val="153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53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 5 万元以上 20 万元以下的。</w:t>
      </w:r>
    </w:p>
    <w:p>
      <w:pPr>
        <w:pStyle w:val="13"/>
        <w:numPr>
          <w:ilvl w:val="0"/>
          <w:numId w:val="153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532"/>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6" w:firstLine="640"/>
        <w:rPr>
          <w:color w:val="auto"/>
        </w:rPr>
      </w:pPr>
      <w:r>
        <w:rPr>
          <w:color w:val="auto"/>
          <w:spacing w:val="-1"/>
        </w:rPr>
        <w:t>有下列情形之一的：</w:t>
      </w:r>
      <w:r>
        <w:rPr>
          <w:color w:val="auto"/>
          <w:spacing w:val="-9"/>
        </w:rPr>
        <w:t>1</w:t>
      </w:r>
      <w:r>
        <w:rPr>
          <w:color w:val="auto"/>
          <w:spacing w:val="-11"/>
        </w:rPr>
        <w:t xml:space="preserve">、初次违法，货值金额 </w:t>
      </w:r>
      <w:r>
        <w:rPr>
          <w:color w:val="auto"/>
        </w:rPr>
        <w:t>20</w:t>
      </w:r>
      <w:r>
        <w:rPr>
          <w:color w:val="auto"/>
          <w:spacing w:val="-10"/>
        </w:rPr>
        <w:t xml:space="preserve"> 万元以上的；</w:t>
      </w:r>
      <w:r>
        <w:rPr>
          <w:color w:val="auto"/>
          <w:spacing w:val="-9"/>
        </w:rPr>
        <w:t>2</w:t>
      </w:r>
      <w:r>
        <w:rPr>
          <w:color w:val="auto"/>
          <w:spacing w:val="-6"/>
        </w:rPr>
        <w:t>、两年内再次出</w:t>
      </w:r>
      <w:r>
        <w:rPr>
          <w:color w:val="auto"/>
        </w:rPr>
        <w:t>现相同违法行为的；3、社会影响较大的。</w:t>
      </w:r>
    </w:p>
    <w:p>
      <w:pPr>
        <w:pStyle w:val="13"/>
        <w:numPr>
          <w:ilvl w:val="0"/>
          <w:numId w:val="1532"/>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2 万元以上 3 万元以下罚款。</w:t>
      </w:r>
    </w:p>
    <w:p>
      <w:pPr>
        <w:pStyle w:val="2"/>
        <w:spacing w:before="194" w:line="388" w:lineRule="auto"/>
        <w:ind w:left="111" w:right="237" w:firstLine="480"/>
        <w:rPr>
          <w:color w:val="auto"/>
        </w:rPr>
      </w:pPr>
      <w:bookmarkStart w:id="1362" w:name="_bookmark680"/>
      <w:bookmarkEnd w:id="1362"/>
      <w:bookmarkStart w:id="1363" w:name="六百六十七、麻类纤维经营者从事麻类纤维加工活动，未按规定要求对加工后的麻类纤维标"/>
      <w:bookmarkEnd w:id="1363"/>
      <w:r>
        <w:rPr>
          <w:color w:val="auto"/>
          <w:spacing w:val="-8"/>
        </w:rPr>
        <w:t>六百六十七、麻类纤维经营者从事麻类纤维加工活动，未按规定要求对加工后的麻类纤维标注标识</w:t>
      </w:r>
    </w:p>
    <w:p>
      <w:pPr>
        <w:spacing w:before="2"/>
        <w:ind w:left="754" w:right="0" w:firstLine="0"/>
        <w:jc w:val="left"/>
        <w:rPr>
          <w:b/>
          <w:color w:val="auto"/>
          <w:sz w:val="24"/>
        </w:rPr>
      </w:pPr>
      <w:r>
        <w:rPr>
          <w:b/>
          <w:color w:val="auto"/>
          <w:sz w:val="24"/>
        </w:rPr>
        <w:t>（一）处罚依据</w:t>
      </w:r>
    </w:p>
    <w:p>
      <w:pPr>
        <w:pStyle w:val="4"/>
        <w:spacing w:before="194" w:line="388" w:lineRule="auto"/>
        <w:ind w:right="232" w:firstLine="626"/>
        <w:jc w:val="both"/>
        <w:rPr>
          <w:color w:val="auto"/>
        </w:rPr>
      </w:pPr>
      <w:r>
        <w:rPr>
          <w:color w:val="auto"/>
        </w:rPr>
        <w:t>1</w:t>
      </w:r>
      <w:r>
        <w:rPr>
          <w:color w:val="auto"/>
          <w:spacing w:val="-12"/>
        </w:rPr>
        <w:t>、《麻类纤维质量监督管理办法》第二十一条“麻类纤维经营者在加工麻类纤维活动中，违反本办法第十六条第（一）</w:t>
      </w:r>
      <w:r>
        <w:rPr>
          <w:color w:val="auto"/>
          <w:spacing w:val="-13"/>
        </w:rPr>
        <w:t xml:space="preserve">项规定的，由纤维质量监督机构责令改正， </w:t>
      </w:r>
      <w:r>
        <w:rPr>
          <w:color w:val="auto"/>
          <w:spacing w:val="-9"/>
        </w:rPr>
        <w:t xml:space="preserve">拒不改正的，处以 </w:t>
      </w:r>
      <w:r>
        <w:rPr>
          <w:color w:val="auto"/>
        </w:rPr>
        <w:t>1</w:t>
      </w:r>
      <w:r>
        <w:rPr>
          <w:color w:val="auto"/>
          <w:spacing w:val="-8"/>
        </w:rPr>
        <w:t xml:space="preserve"> 万元以下的罚款；违反本办法第十六条第</w:t>
      </w:r>
      <w:r>
        <w:rPr>
          <w:color w:val="auto"/>
        </w:rPr>
        <w:t>（二</w:t>
      </w:r>
      <w:r>
        <w:rPr>
          <w:color w:val="auto"/>
          <w:spacing w:val="-5"/>
        </w:rPr>
        <w:t>）</w:t>
      </w:r>
      <w:r>
        <w:rPr>
          <w:color w:val="auto"/>
          <w:spacing w:val="-4"/>
        </w:rPr>
        <w:t>至第</w:t>
      </w:r>
      <w:r>
        <w:rPr>
          <w:color w:val="auto"/>
        </w:rPr>
        <w:t>（六</w:t>
      </w:r>
      <w:r>
        <w:rPr>
          <w:color w:val="auto"/>
          <w:spacing w:val="-5"/>
        </w:rPr>
        <w:t>）</w:t>
      </w:r>
      <w:r>
        <w:rPr>
          <w:color w:val="auto"/>
        </w:rPr>
        <w:t>项任</w:t>
      </w:r>
    </w:p>
    <w:p>
      <w:pPr>
        <w:spacing w:after="0" w:line="388" w:lineRule="auto"/>
        <w:jc w:val="both"/>
        <w:rPr>
          <w:color w:val="auto"/>
        </w:rPr>
        <w:sectPr>
          <w:pgSz w:w="11910" w:h="16840"/>
          <w:pgMar w:top="1520" w:right="1260" w:bottom="1220" w:left="1420" w:header="0" w:footer="1034" w:gutter="0"/>
        </w:sectPr>
      </w:pPr>
    </w:p>
    <w:p>
      <w:pPr>
        <w:pStyle w:val="4"/>
        <w:spacing w:before="39"/>
        <w:jc w:val="both"/>
        <w:rPr>
          <w:color w:val="auto"/>
        </w:rPr>
      </w:pPr>
      <w:r>
        <w:rPr>
          <w:color w:val="auto"/>
        </w:rPr>
        <w:t>何一项规定的，由纤维质量监督机构责令改正，并可以处以 3 万元以下罚款。”</w:t>
      </w:r>
    </w:p>
    <w:p>
      <w:pPr>
        <w:pStyle w:val="4"/>
        <w:spacing w:before="195" w:line="391" w:lineRule="auto"/>
        <w:ind w:right="232" w:firstLine="626"/>
        <w:jc w:val="both"/>
        <w:rPr>
          <w:color w:val="auto"/>
        </w:rPr>
      </w:pPr>
      <w:r>
        <w:rPr>
          <w:color w:val="auto"/>
        </w:rPr>
        <w:t>2</w:t>
      </w:r>
      <w:r>
        <w:rPr>
          <w:color w:val="auto"/>
          <w:spacing w:val="-12"/>
        </w:rPr>
        <w:t>、《麻类纤维质量监督管理办法》第十六条第</w:t>
      </w:r>
      <w:r>
        <w:rPr>
          <w:color w:val="auto"/>
        </w:rPr>
        <w:t>（五）项“麻类纤维经营者从事</w:t>
      </w:r>
      <w:r>
        <w:rPr>
          <w:color w:val="auto"/>
          <w:spacing w:val="-6"/>
        </w:rPr>
        <w:t>麻类纤维加工活动，应当符合下列要求：</w:t>
      </w:r>
      <w:r>
        <w:rPr>
          <w:color w:val="auto"/>
          <w:spacing w:val="2"/>
        </w:rPr>
        <w:t>（五）</w:t>
      </w:r>
      <w:r>
        <w:rPr>
          <w:color w:val="auto"/>
        </w:rPr>
        <w:t>对加工后的麻类纤维标注标识，并且所标注标识应当有中文标明的产品名称、等级（规格型号</w:t>
      </w:r>
      <w:r>
        <w:rPr>
          <w:color w:val="auto"/>
          <w:spacing w:val="-118"/>
        </w:rPr>
        <w:t>）</w:t>
      </w:r>
      <w:r>
        <w:rPr>
          <w:color w:val="auto"/>
        </w:rPr>
        <w:t>、重量、批号、执行标准</w:t>
      </w:r>
      <w:r>
        <w:rPr>
          <w:color w:val="auto"/>
          <w:spacing w:val="-1"/>
        </w:rPr>
        <w:t xml:space="preserve">编号、加工者名称、地址、生产日期，国家有关麻类纤维标准对标识有其他规定的， </w:t>
      </w:r>
      <w:r>
        <w:rPr>
          <w:color w:val="auto"/>
          <w:spacing w:val="-13"/>
        </w:rPr>
        <w:t>还应当符合其规定。”</w:t>
      </w:r>
    </w:p>
    <w:p>
      <w:pPr>
        <w:spacing w:before="0"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3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4"/>
        <w:ind w:left="751"/>
        <w:rPr>
          <w:color w:val="auto"/>
        </w:rPr>
      </w:pPr>
      <w:r>
        <w:rPr>
          <w:color w:val="auto"/>
        </w:rPr>
        <w:t>初次违法，货值金额不足 5 万元的。</w:t>
      </w:r>
    </w:p>
    <w:p>
      <w:pPr>
        <w:pStyle w:val="13"/>
        <w:numPr>
          <w:ilvl w:val="0"/>
          <w:numId w:val="1533"/>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534"/>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万元以上 20 万元以下的。</w:t>
      </w:r>
    </w:p>
    <w:p>
      <w:pPr>
        <w:pStyle w:val="13"/>
        <w:numPr>
          <w:ilvl w:val="0"/>
          <w:numId w:val="1534"/>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535"/>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5" w:line="388" w:lineRule="auto"/>
        <w:ind w:right="266" w:firstLine="640"/>
        <w:rPr>
          <w:color w:val="auto"/>
        </w:rPr>
      </w:pPr>
      <w:r>
        <w:rPr>
          <w:color w:val="auto"/>
          <w:spacing w:val="-1"/>
        </w:rPr>
        <w:t>有下列情形之一的：</w:t>
      </w:r>
      <w:r>
        <w:rPr>
          <w:color w:val="auto"/>
          <w:spacing w:val="-9"/>
        </w:rPr>
        <w:t>1</w:t>
      </w:r>
      <w:r>
        <w:rPr>
          <w:color w:val="auto"/>
          <w:spacing w:val="-11"/>
        </w:rPr>
        <w:t xml:space="preserve">、初次违法，货值金额 </w:t>
      </w:r>
      <w:r>
        <w:rPr>
          <w:color w:val="auto"/>
        </w:rPr>
        <w:t>20</w:t>
      </w:r>
      <w:r>
        <w:rPr>
          <w:color w:val="auto"/>
          <w:spacing w:val="-10"/>
        </w:rPr>
        <w:t xml:space="preserve"> 万元以上的；</w:t>
      </w:r>
      <w:r>
        <w:rPr>
          <w:color w:val="auto"/>
          <w:spacing w:val="-9"/>
        </w:rPr>
        <w:t>2</w:t>
      </w:r>
      <w:r>
        <w:rPr>
          <w:color w:val="auto"/>
          <w:spacing w:val="-6"/>
        </w:rPr>
        <w:t>、两年内再次出</w:t>
      </w:r>
      <w:r>
        <w:rPr>
          <w:color w:val="auto"/>
        </w:rPr>
        <w:t>现相同违法行为的；3、社会影响较大的。</w:t>
      </w:r>
    </w:p>
    <w:p>
      <w:pPr>
        <w:pStyle w:val="13"/>
        <w:numPr>
          <w:ilvl w:val="0"/>
          <w:numId w:val="1535"/>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责令改正，可以处 2 万元以上 3 万元以下罚款。</w:t>
      </w:r>
    </w:p>
    <w:p>
      <w:pPr>
        <w:pStyle w:val="2"/>
        <w:spacing w:before="191" w:line="388" w:lineRule="auto"/>
        <w:ind w:left="111" w:right="193" w:firstLine="480"/>
        <w:rPr>
          <w:color w:val="auto"/>
        </w:rPr>
      </w:pPr>
      <w:bookmarkStart w:id="1364" w:name="_bookmark681"/>
      <w:bookmarkEnd w:id="1364"/>
      <w:bookmarkStart w:id="1365" w:name="六百六十八、麻类纤维经营者加工的麻类纤维，标识和质量凭证与质量、数量不相符"/>
      <w:bookmarkEnd w:id="1365"/>
      <w:r>
        <w:rPr>
          <w:color w:val="auto"/>
        </w:rPr>
        <w:t>六百六十八、麻类纤维经营者加工的麻类纤维，标识和质量凭证与质量、数量不相符</w:t>
      </w:r>
    </w:p>
    <w:p>
      <w:pPr>
        <w:spacing w:after="0" w:line="388" w:lineRule="auto"/>
        <w:rPr>
          <w:color w:val="auto"/>
        </w:rPr>
        <w:sectPr>
          <w:footerReference r:id="rId167" w:type="default"/>
          <w:footerReference r:id="rId168" w:type="even"/>
          <w:pgSz w:w="11910" w:h="16840"/>
          <w:pgMar w:top="1520" w:right="1260" w:bottom="2720" w:left="1420" w:header="0" w:footer="2525" w:gutter="0"/>
          <w:pgNumType w:start="650"/>
        </w:sectPr>
      </w:pPr>
    </w:p>
    <w:p>
      <w:pPr>
        <w:pStyle w:val="4"/>
        <w:spacing w:before="39"/>
        <w:jc w:val="both"/>
        <w:rPr>
          <w:color w:val="auto"/>
        </w:rPr>
      </w:pPr>
      <w:r>
        <w:rPr>
          <w:color w:val="auto"/>
        </w:rPr>
        <w:t>拒不改正的，处以 1 万元以下的罚款；违反本办法第十六条第（二）至第（六）项任</w:t>
      </w:r>
    </w:p>
    <w:p>
      <w:pPr>
        <w:pStyle w:val="4"/>
        <w:spacing w:before="195"/>
        <w:jc w:val="both"/>
        <w:rPr>
          <w:color w:val="auto"/>
        </w:rPr>
      </w:pPr>
      <w:r>
        <w:rPr>
          <w:color w:val="auto"/>
        </w:rPr>
        <w:t>何一项规定的，由纤维质量监督机构责令改正，并可以处以 3 万元以下罚款。”</w:t>
      </w:r>
    </w:p>
    <w:p>
      <w:pPr>
        <w:pStyle w:val="4"/>
        <w:spacing w:before="191" w:line="391" w:lineRule="auto"/>
        <w:ind w:right="268" w:firstLine="626"/>
        <w:jc w:val="both"/>
        <w:rPr>
          <w:color w:val="auto"/>
        </w:rPr>
      </w:pPr>
      <w:r>
        <w:rPr>
          <w:color w:val="auto"/>
        </w:rPr>
        <w:t>2</w:t>
      </w:r>
      <w:r>
        <w:rPr>
          <w:color w:val="auto"/>
          <w:spacing w:val="-12"/>
        </w:rPr>
        <w:t>、《麻类纤维质量监督管理办法》第十六条第</w:t>
      </w:r>
      <w:r>
        <w:rPr>
          <w:color w:val="auto"/>
        </w:rPr>
        <w:t>（六）项“麻类纤维经营者从事</w:t>
      </w:r>
      <w:r>
        <w:rPr>
          <w:color w:val="auto"/>
          <w:spacing w:val="-6"/>
        </w:rPr>
        <w:t>麻类纤维加工活动，应当符合下列要求：</w:t>
      </w:r>
      <w:r>
        <w:rPr>
          <w:color w:val="auto"/>
          <w:spacing w:val="2"/>
        </w:rPr>
        <w:t>（六）</w:t>
      </w:r>
      <w:r>
        <w:rPr>
          <w:color w:val="auto"/>
        </w:rPr>
        <w:t>标识和质量凭证与麻类纤维的质量、</w:t>
      </w:r>
      <w:r>
        <w:rPr>
          <w:color w:val="auto"/>
          <w:spacing w:val="-20"/>
        </w:rPr>
        <w:t>数量相符。”</w:t>
      </w:r>
    </w:p>
    <w:p>
      <w:pPr>
        <w:spacing w:before="0"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36"/>
        </w:numPr>
        <w:tabs>
          <w:tab w:val="left" w:pos="1353"/>
        </w:tabs>
        <w:spacing w:before="1"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初次违法，货值金额不足 5 万元的。</w:t>
      </w:r>
    </w:p>
    <w:p>
      <w:pPr>
        <w:pStyle w:val="13"/>
        <w:numPr>
          <w:ilvl w:val="0"/>
          <w:numId w:val="1536"/>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、【较重】</w:t>
      </w:r>
    </w:p>
    <w:p>
      <w:pPr>
        <w:pStyle w:val="13"/>
        <w:numPr>
          <w:ilvl w:val="0"/>
          <w:numId w:val="1537"/>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 5 万元以上 20 万元以下的。</w:t>
      </w:r>
    </w:p>
    <w:p>
      <w:pPr>
        <w:pStyle w:val="13"/>
        <w:numPr>
          <w:ilvl w:val="0"/>
          <w:numId w:val="153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53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6" w:firstLine="640"/>
        <w:rPr>
          <w:color w:val="auto"/>
        </w:rPr>
      </w:pPr>
      <w:r>
        <w:rPr>
          <w:color w:val="auto"/>
          <w:spacing w:val="-1"/>
        </w:rPr>
        <w:t>有下列情形之一的：</w:t>
      </w:r>
      <w:r>
        <w:rPr>
          <w:color w:val="auto"/>
          <w:spacing w:val="-9"/>
        </w:rPr>
        <w:t>1</w:t>
      </w:r>
      <w:r>
        <w:rPr>
          <w:color w:val="auto"/>
          <w:spacing w:val="-11"/>
        </w:rPr>
        <w:t xml:space="preserve">、初次违法，货值金额 </w:t>
      </w:r>
      <w:r>
        <w:rPr>
          <w:color w:val="auto"/>
        </w:rPr>
        <w:t>20</w:t>
      </w:r>
      <w:r>
        <w:rPr>
          <w:color w:val="auto"/>
          <w:spacing w:val="-10"/>
        </w:rPr>
        <w:t xml:space="preserve"> 万元以上的；</w:t>
      </w:r>
      <w:r>
        <w:rPr>
          <w:color w:val="auto"/>
          <w:spacing w:val="-9"/>
        </w:rPr>
        <w:t>2</w:t>
      </w:r>
      <w:r>
        <w:rPr>
          <w:color w:val="auto"/>
          <w:spacing w:val="-6"/>
        </w:rPr>
        <w:t>、两年内再次出</w:t>
      </w:r>
      <w:r>
        <w:rPr>
          <w:color w:val="auto"/>
        </w:rPr>
        <w:t>现相同违法行为的；3、社会影响较大的。</w:t>
      </w:r>
    </w:p>
    <w:p>
      <w:pPr>
        <w:pStyle w:val="13"/>
        <w:numPr>
          <w:ilvl w:val="0"/>
          <w:numId w:val="1538"/>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2 万元以上 3 万元以下罚款。</w:t>
      </w:r>
    </w:p>
    <w:p>
      <w:pPr>
        <w:pStyle w:val="2"/>
        <w:spacing w:before="194"/>
        <w:rPr>
          <w:color w:val="auto"/>
        </w:rPr>
      </w:pPr>
      <w:bookmarkStart w:id="1366" w:name="六百六十九、麻类纤维经营者销售的麻类纤维未每批附有质量凭证"/>
      <w:bookmarkEnd w:id="1366"/>
      <w:bookmarkStart w:id="1367" w:name="_bookmark682"/>
      <w:bookmarkEnd w:id="1367"/>
      <w:r>
        <w:rPr>
          <w:color w:val="auto"/>
        </w:rPr>
        <w:t>六百六十九、麻类纤维经营者销售的麻类纤维未每批附有质量凭证</w:t>
      </w:r>
    </w:p>
    <w:p>
      <w:pPr>
        <w:spacing w:before="191"/>
        <w:ind w:left="754" w:right="0" w:firstLine="0"/>
        <w:jc w:val="left"/>
        <w:rPr>
          <w:b/>
          <w:color w:val="auto"/>
          <w:sz w:val="24"/>
        </w:rPr>
      </w:pPr>
      <w:r>
        <w:rPr>
          <w:b/>
          <w:color w:val="auto"/>
          <w:sz w:val="24"/>
        </w:rPr>
        <w:t>（一）处罚依据</w:t>
      </w:r>
    </w:p>
    <w:p>
      <w:pPr>
        <w:pStyle w:val="4"/>
        <w:spacing w:before="192" w:line="391" w:lineRule="auto"/>
        <w:ind w:right="268" w:firstLine="626"/>
        <w:jc w:val="both"/>
        <w:rPr>
          <w:color w:val="auto"/>
        </w:rPr>
      </w:pPr>
      <w:r>
        <w:rPr>
          <w:color w:val="auto"/>
        </w:rPr>
        <w:t>1</w:t>
      </w:r>
      <w:r>
        <w:rPr>
          <w:color w:val="auto"/>
          <w:spacing w:val="-12"/>
        </w:rPr>
        <w:t>、《麻类纤维质量监督管理办法》第二十二条“麻类纤维经营者在销售麻类纤</w:t>
      </w:r>
      <w:r>
        <w:rPr>
          <w:color w:val="auto"/>
          <w:spacing w:val="-11"/>
        </w:rPr>
        <w:t>维活动中，违反本办法第十七条任何一项规定的，由纤维质量监督机构责令改正，并</w:t>
      </w:r>
      <w:r>
        <w:rPr>
          <w:color w:val="auto"/>
          <w:spacing w:val="-6"/>
        </w:rPr>
        <w:t xml:space="preserve">可以根据情节轻重，处 </w:t>
      </w:r>
      <w:r>
        <w:rPr>
          <w:color w:val="auto"/>
        </w:rPr>
        <w:t>10</w:t>
      </w:r>
      <w:r>
        <w:rPr>
          <w:color w:val="auto"/>
          <w:spacing w:val="-21"/>
        </w:rPr>
        <w:t xml:space="preserve"> 万元以下罚款。”</w:t>
      </w:r>
    </w:p>
    <w:p>
      <w:pPr>
        <w:pStyle w:val="4"/>
        <w:spacing w:line="304" w:lineRule="exact"/>
        <w:ind w:left="737"/>
        <w:rPr>
          <w:color w:val="auto"/>
        </w:rPr>
      </w:pPr>
      <w:r>
        <w:rPr>
          <w:color w:val="auto"/>
        </w:rPr>
        <w:t>2、《麻类纤维质量监督管理办法》第十七条第（一）项“麻类纤维经营者销售</w:t>
      </w:r>
    </w:p>
    <w:p>
      <w:pPr>
        <w:spacing w:after="0" w:line="304" w:lineRule="exact"/>
        <w:rPr>
          <w:color w:val="auto"/>
        </w:rPr>
        <w:sectPr>
          <w:pgSz w:w="11910" w:h="16840"/>
          <w:pgMar w:top="1520" w:right="1260" w:bottom="1220" w:left="1420" w:header="0" w:footer="1034" w:gutter="0"/>
        </w:sectPr>
      </w:pPr>
    </w:p>
    <w:p>
      <w:pPr>
        <w:pStyle w:val="4"/>
        <w:spacing w:before="39"/>
        <w:rPr>
          <w:color w:val="auto"/>
        </w:rPr>
      </w:pPr>
      <w:r>
        <w:rPr>
          <w:color w:val="auto"/>
          <w:spacing w:val="-9"/>
        </w:rPr>
        <w:t>麻类纤维，应当符合下列要求：</w:t>
      </w:r>
      <w:r>
        <w:rPr>
          <w:color w:val="auto"/>
        </w:rPr>
        <w:t>（一）</w:t>
      </w:r>
      <w:r>
        <w:rPr>
          <w:color w:val="auto"/>
          <w:spacing w:val="-9"/>
        </w:rPr>
        <w:t>每批麻类纤维应附有质量凭证。”</w:t>
      </w:r>
    </w:p>
    <w:p>
      <w:pPr>
        <w:spacing w:before="195"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39"/>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货值金额不足 5 万元的。</w:t>
      </w:r>
    </w:p>
    <w:p>
      <w:pPr>
        <w:pStyle w:val="13"/>
        <w:numPr>
          <w:ilvl w:val="0"/>
          <w:numId w:val="1539"/>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540"/>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万元以上 20 万元以下的。</w:t>
      </w:r>
    </w:p>
    <w:p>
      <w:pPr>
        <w:pStyle w:val="13"/>
        <w:numPr>
          <w:ilvl w:val="0"/>
          <w:numId w:val="1540"/>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541"/>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 50 万元以下的。</w:t>
      </w:r>
    </w:p>
    <w:p>
      <w:pPr>
        <w:pStyle w:val="13"/>
        <w:numPr>
          <w:ilvl w:val="0"/>
          <w:numId w:val="154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542"/>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50 万元以上的；两年内再次出现相同违法行为的。</w:t>
      </w:r>
    </w:p>
    <w:p>
      <w:pPr>
        <w:pStyle w:val="13"/>
        <w:numPr>
          <w:ilvl w:val="0"/>
          <w:numId w:val="1542"/>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责令改正，可以处 8 万元以上 10 万以下罚款。</w:t>
      </w:r>
    </w:p>
    <w:p>
      <w:pPr>
        <w:pStyle w:val="2"/>
        <w:spacing w:before="194" w:line="388" w:lineRule="auto"/>
        <w:ind w:left="111" w:right="240" w:firstLine="480"/>
        <w:rPr>
          <w:color w:val="auto"/>
        </w:rPr>
      </w:pPr>
      <w:bookmarkStart w:id="1368" w:name="六百七十、麻类纤维经营者销售麻类纤维，未按照国家标准、技术规范进行包装或标注标识"/>
      <w:bookmarkEnd w:id="1368"/>
      <w:bookmarkStart w:id="1369" w:name="_bookmark683"/>
      <w:bookmarkEnd w:id="1369"/>
      <w:r>
        <w:rPr>
          <w:color w:val="auto"/>
          <w:spacing w:val="-7"/>
        </w:rPr>
        <w:t>六百七十、麻类纤维经营者销售麻类纤维，未按照国家标准、技术规范进行包装或标注标识</w:t>
      </w:r>
    </w:p>
    <w:p>
      <w:pPr>
        <w:spacing w:before="2"/>
        <w:ind w:left="754" w:right="0" w:firstLine="0"/>
        <w:jc w:val="left"/>
        <w:rPr>
          <w:b/>
          <w:color w:val="auto"/>
          <w:sz w:val="24"/>
        </w:rPr>
      </w:pPr>
      <w:r>
        <w:rPr>
          <w:b/>
          <w:color w:val="auto"/>
          <w:sz w:val="24"/>
        </w:rPr>
        <w:t>（一）处罚依据</w:t>
      </w:r>
    </w:p>
    <w:p>
      <w:pPr>
        <w:pStyle w:val="13"/>
        <w:numPr>
          <w:ilvl w:val="0"/>
          <w:numId w:val="1543"/>
        </w:numPr>
        <w:tabs>
          <w:tab w:val="left" w:pos="980"/>
        </w:tabs>
        <w:spacing w:before="195" w:after="0" w:line="388" w:lineRule="auto"/>
        <w:ind w:left="111" w:right="268" w:firstLine="626"/>
        <w:jc w:val="both"/>
        <w:rPr>
          <w:color w:val="auto"/>
          <w:sz w:val="24"/>
        </w:rPr>
      </w:pPr>
      <w:r>
        <w:rPr>
          <w:color w:val="auto"/>
          <w:sz w:val="24"/>
        </w:rPr>
        <w:t>《麻类纤维质量监督管理办法》第二十二条“麻类纤维经营者在销售麻类纤</w:t>
      </w:r>
      <w:r>
        <w:rPr>
          <w:color w:val="auto"/>
          <w:spacing w:val="-6"/>
          <w:sz w:val="24"/>
        </w:rPr>
        <w:t xml:space="preserve">维活动中，违反本办法第十七条任何一项规定的，由纤维质量监督机构责令改正，并可以根据情节轻重，处 </w:t>
      </w:r>
      <w:r>
        <w:rPr>
          <w:color w:val="auto"/>
          <w:sz w:val="24"/>
        </w:rPr>
        <w:t>10</w:t>
      </w:r>
      <w:r>
        <w:rPr>
          <w:color w:val="auto"/>
          <w:spacing w:val="-21"/>
          <w:sz w:val="24"/>
        </w:rPr>
        <w:t xml:space="preserve"> 万元以下罚款。”</w:t>
      </w:r>
    </w:p>
    <w:p>
      <w:pPr>
        <w:spacing w:after="0" w:line="388" w:lineRule="auto"/>
        <w:jc w:val="both"/>
        <w:rPr>
          <w:color w:val="auto"/>
          <w:sz w:val="24"/>
        </w:rPr>
        <w:sectPr>
          <w:footerReference r:id="rId169" w:type="default"/>
          <w:footerReference r:id="rId170" w:type="even"/>
          <w:pgSz w:w="11910" w:h="16840"/>
          <w:pgMar w:top="1520" w:right="1260" w:bottom="1220" w:left="1420" w:header="0" w:footer="1034" w:gutter="0"/>
          <w:pgNumType w:start="652"/>
        </w:sectPr>
      </w:pPr>
    </w:p>
    <w:p>
      <w:pPr>
        <w:pStyle w:val="13"/>
        <w:numPr>
          <w:ilvl w:val="0"/>
          <w:numId w:val="1543"/>
        </w:numPr>
        <w:tabs>
          <w:tab w:val="left" w:pos="980"/>
        </w:tabs>
        <w:spacing w:before="39" w:after="0" w:line="391" w:lineRule="auto"/>
        <w:ind w:left="111" w:right="268" w:firstLine="626"/>
        <w:jc w:val="both"/>
        <w:rPr>
          <w:color w:val="auto"/>
          <w:sz w:val="24"/>
        </w:rPr>
      </w:pPr>
      <w:r>
        <w:rPr>
          <w:color w:val="auto"/>
          <w:sz w:val="24"/>
        </w:rPr>
        <w:t>《麻类纤维质量监督管理办法》第十七条第（二）项“麻类纤维经营者销售</w:t>
      </w:r>
      <w:r>
        <w:rPr>
          <w:color w:val="auto"/>
          <w:spacing w:val="-11"/>
          <w:sz w:val="24"/>
        </w:rPr>
        <w:t>麻类纤维，应当符合下列要求</w:t>
      </w:r>
      <w:r>
        <w:rPr>
          <w:color w:val="auto"/>
          <w:spacing w:val="-219"/>
          <w:sz w:val="24"/>
        </w:rPr>
        <w:t>：</w:t>
      </w:r>
      <w:r>
        <w:rPr>
          <w:color w:val="auto"/>
          <w:spacing w:val="-3"/>
          <w:sz w:val="24"/>
        </w:rPr>
        <w:t>（</w:t>
      </w:r>
      <w:r>
        <w:rPr>
          <w:color w:val="auto"/>
          <w:sz w:val="24"/>
        </w:rPr>
        <w:t>二</w:t>
      </w:r>
      <w:r>
        <w:rPr>
          <w:color w:val="auto"/>
          <w:spacing w:val="-99"/>
          <w:sz w:val="24"/>
        </w:rPr>
        <w:t>）</w:t>
      </w:r>
      <w:r>
        <w:rPr>
          <w:color w:val="auto"/>
          <w:spacing w:val="-12"/>
          <w:sz w:val="24"/>
        </w:rPr>
        <w:t>麻类纤维包装、标识应符合本办法第十六条第(四)</w:t>
      </w:r>
      <w:r>
        <w:rPr>
          <w:color w:val="auto"/>
          <w:spacing w:val="-11"/>
          <w:sz w:val="24"/>
        </w:rPr>
        <w:t>项、第(五)项的规定。”</w:t>
      </w:r>
    </w:p>
    <w:p>
      <w:pPr>
        <w:pStyle w:val="13"/>
        <w:numPr>
          <w:ilvl w:val="0"/>
          <w:numId w:val="1543"/>
        </w:numPr>
        <w:tabs>
          <w:tab w:val="left" w:pos="979"/>
        </w:tabs>
        <w:spacing w:before="0" w:after="0" w:line="391" w:lineRule="auto"/>
        <w:ind w:left="111" w:right="206" w:firstLine="626"/>
        <w:jc w:val="both"/>
        <w:rPr>
          <w:color w:val="auto"/>
          <w:sz w:val="24"/>
        </w:rPr>
      </w:pPr>
      <w:r>
        <w:rPr>
          <w:color w:val="auto"/>
          <w:spacing w:val="-7"/>
          <w:sz w:val="24"/>
        </w:rPr>
        <w:t>《麻类纤维质量监督管理办法》第十六条“</w:t>
      </w:r>
      <w:r>
        <w:rPr>
          <w:color w:val="auto"/>
          <w:sz w:val="24"/>
        </w:rPr>
        <w:t>（四）</w:t>
      </w:r>
      <w:r>
        <w:rPr>
          <w:color w:val="auto"/>
          <w:spacing w:val="-2"/>
          <w:sz w:val="24"/>
        </w:rPr>
        <w:t>按照国家标准、技术规范，</w:t>
      </w:r>
      <w:r>
        <w:rPr>
          <w:color w:val="auto"/>
          <w:spacing w:val="-8"/>
          <w:sz w:val="24"/>
        </w:rPr>
        <w:t>对加工后的麻类纤维进行包装；</w:t>
      </w:r>
      <w:r>
        <w:rPr>
          <w:color w:val="auto"/>
          <w:spacing w:val="2"/>
          <w:sz w:val="24"/>
        </w:rPr>
        <w:t>（五）</w:t>
      </w:r>
      <w:r>
        <w:rPr>
          <w:color w:val="auto"/>
          <w:sz w:val="24"/>
        </w:rPr>
        <w:t>对加工后的麻类纤维标注标识，并且所标注标识应当有中文标明的产品名称、等级（规格型号</w:t>
      </w:r>
      <w:r>
        <w:rPr>
          <w:color w:val="auto"/>
          <w:spacing w:val="-118"/>
          <w:sz w:val="24"/>
        </w:rPr>
        <w:t>）</w:t>
      </w:r>
      <w:r>
        <w:rPr>
          <w:color w:val="auto"/>
          <w:sz w:val="24"/>
        </w:rPr>
        <w:t>、重量、批号、执行标准编号、加</w:t>
      </w:r>
      <w:r>
        <w:rPr>
          <w:color w:val="auto"/>
          <w:spacing w:val="-5"/>
          <w:sz w:val="24"/>
        </w:rPr>
        <w:t>工者名称、地址、生产日期，国家有关麻类纤维标准对标识有其他规定的，还应当符</w:t>
      </w:r>
      <w:r>
        <w:rPr>
          <w:color w:val="auto"/>
          <w:spacing w:val="-24"/>
          <w:sz w:val="24"/>
        </w:rPr>
        <w:t>合其规定。”</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44"/>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88"/>
        <w:ind w:left="751"/>
        <w:rPr>
          <w:color w:val="auto"/>
        </w:rPr>
      </w:pPr>
      <w:r>
        <w:rPr>
          <w:color w:val="auto"/>
        </w:rPr>
        <w:t>货值金额不足 5 万元的。</w:t>
      </w:r>
    </w:p>
    <w:p>
      <w:pPr>
        <w:pStyle w:val="13"/>
        <w:numPr>
          <w:ilvl w:val="0"/>
          <w:numId w:val="1544"/>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545"/>
        </w:numPr>
        <w:tabs>
          <w:tab w:val="left" w:pos="1353"/>
        </w:tabs>
        <w:spacing w:before="3"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5 万元以上 20 万元以下的。</w:t>
      </w:r>
    </w:p>
    <w:p>
      <w:pPr>
        <w:pStyle w:val="13"/>
        <w:numPr>
          <w:ilvl w:val="0"/>
          <w:numId w:val="1545"/>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54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 50 万元以下的。</w:t>
      </w:r>
    </w:p>
    <w:p>
      <w:pPr>
        <w:pStyle w:val="13"/>
        <w:numPr>
          <w:ilvl w:val="0"/>
          <w:numId w:val="1546"/>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547"/>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50 万元以上的；两年内再次出现相同违法行为的。</w:t>
      </w:r>
    </w:p>
    <w:p>
      <w:pPr>
        <w:pStyle w:val="13"/>
        <w:numPr>
          <w:ilvl w:val="0"/>
          <w:numId w:val="1547"/>
        </w:numPr>
        <w:tabs>
          <w:tab w:val="left" w:pos="1353"/>
        </w:tabs>
        <w:spacing w:before="191"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751"/>
        <w:rPr>
          <w:color w:val="auto"/>
        </w:rPr>
      </w:pPr>
      <w:r>
        <w:rPr>
          <w:color w:val="auto"/>
        </w:rPr>
        <w:t>责令改正，可以处 8 万元以上 10 万元以下罚款。</w:t>
      </w:r>
    </w:p>
    <w:p>
      <w:pPr>
        <w:pStyle w:val="2"/>
        <w:spacing w:before="195" w:line="388" w:lineRule="auto"/>
        <w:ind w:left="111" w:right="170" w:firstLine="480"/>
        <w:rPr>
          <w:color w:val="auto"/>
        </w:rPr>
      </w:pPr>
      <w:bookmarkStart w:id="1370" w:name="六百七十一、麻类纤维经营者销售的麻类纤维，品种、等级、重量与质量凭证、标识不相符"/>
      <w:bookmarkEnd w:id="1370"/>
      <w:bookmarkStart w:id="1371" w:name="_bookmark684"/>
      <w:bookmarkEnd w:id="1371"/>
      <w:r>
        <w:rPr>
          <w:color w:val="auto"/>
        </w:rPr>
        <w:t>六百七十一、麻类纤维经营者销售的麻类纤维，品种、等级、重量与质量凭证、标识不相符</w:t>
      </w:r>
    </w:p>
    <w:p>
      <w:pPr>
        <w:spacing w:before="2"/>
        <w:ind w:left="754" w:right="0" w:firstLine="0"/>
        <w:jc w:val="left"/>
        <w:rPr>
          <w:b/>
          <w:color w:val="auto"/>
          <w:sz w:val="24"/>
        </w:rPr>
      </w:pPr>
      <w:r>
        <w:rPr>
          <w:b/>
          <w:color w:val="auto"/>
          <w:sz w:val="24"/>
        </w:rPr>
        <w:t>（一）处罚依据</w:t>
      </w:r>
    </w:p>
    <w:p>
      <w:pPr>
        <w:pStyle w:val="4"/>
        <w:spacing w:before="194" w:line="388" w:lineRule="auto"/>
        <w:ind w:right="268" w:firstLine="626"/>
        <w:jc w:val="both"/>
        <w:rPr>
          <w:color w:val="auto"/>
        </w:rPr>
      </w:pPr>
      <w:r>
        <w:rPr>
          <w:color w:val="auto"/>
        </w:rPr>
        <w:t>1</w:t>
      </w:r>
      <w:r>
        <w:rPr>
          <w:color w:val="auto"/>
          <w:spacing w:val="-12"/>
        </w:rPr>
        <w:t>、《麻类纤维质量监督管理办法》第二十二条“麻类纤维经营者在销售麻类纤</w:t>
      </w:r>
      <w:r>
        <w:rPr>
          <w:color w:val="auto"/>
          <w:spacing w:val="-11"/>
        </w:rPr>
        <w:t>维活动中，违反本办法第十七条任何一项规定的，由纤维质量监督机构责令改正，并</w:t>
      </w:r>
      <w:r>
        <w:rPr>
          <w:color w:val="auto"/>
          <w:spacing w:val="-6"/>
        </w:rPr>
        <w:t xml:space="preserve">可以根据情节轻重，处 </w:t>
      </w:r>
      <w:r>
        <w:rPr>
          <w:color w:val="auto"/>
        </w:rPr>
        <w:t>10</w:t>
      </w:r>
      <w:r>
        <w:rPr>
          <w:color w:val="auto"/>
          <w:spacing w:val="-21"/>
        </w:rPr>
        <w:t xml:space="preserve"> 万元以下罚款。”</w:t>
      </w:r>
    </w:p>
    <w:p>
      <w:pPr>
        <w:pStyle w:val="4"/>
        <w:spacing w:before="5" w:line="388" w:lineRule="auto"/>
        <w:ind w:right="268" w:firstLine="626"/>
        <w:jc w:val="both"/>
        <w:rPr>
          <w:color w:val="auto"/>
        </w:rPr>
      </w:pPr>
      <w:r>
        <w:rPr>
          <w:color w:val="auto"/>
        </w:rPr>
        <w:t>2</w:t>
      </w:r>
      <w:r>
        <w:rPr>
          <w:color w:val="auto"/>
          <w:spacing w:val="-12"/>
        </w:rPr>
        <w:t>、《麻类纤维质量监督管理办法》第十七条第</w:t>
      </w:r>
      <w:r>
        <w:rPr>
          <w:color w:val="auto"/>
        </w:rPr>
        <w:t>（三）项“麻类纤维经营者销售</w:t>
      </w:r>
      <w:r>
        <w:rPr>
          <w:color w:val="auto"/>
          <w:spacing w:val="-8"/>
        </w:rPr>
        <w:t>麻类纤维，应当符合下列要求：</w:t>
      </w:r>
      <w:r>
        <w:rPr>
          <w:color w:val="auto"/>
          <w:spacing w:val="2"/>
        </w:rPr>
        <w:t>（三）</w:t>
      </w:r>
      <w:r>
        <w:rPr>
          <w:color w:val="auto"/>
        </w:rPr>
        <w:t>麻类纤维品种、等级、重量与质量凭证、标识</w:t>
      </w:r>
      <w:r>
        <w:rPr>
          <w:color w:val="auto"/>
          <w:spacing w:val="-30"/>
        </w:rPr>
        <w:t>相符。”</w:t>
      </w:r>
    </w:p>
    <w:p>
      <w:pPr>
        <w:spacing w:before="6"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48"/>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货值金额不足 5 万元的。</w:t>
      </w:r>
    </w:p>
    <w:p>
      <w:pPr>
        <w:pStyle w:val="13"/>
        <w:numPr>
          <w:ilvl w:val="0"/>
          <w:numId w:val="1548"/>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549"/>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万元以上 20 万元以下的。</w:t>
      </w:r>
    </w:p>
    <w:p>
      <w:pPr>
        <w:pStyle w:val="13"/>
        <w:numPr>
          <w:ilvl w:val="0"/>
          <w:numId w:val="1549"/>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550"/>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 50 万元以下的。</w:t>
      </w:r>
    </w:p>
    <w:p>
      <w:pPr>
        <w:pStyle w:val="13"/>
        <w:numPr>
          <w:ilvl w:val="0"/>
          <w:numId w:val="155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spacing w:after="0" w:line="388" w:lineRule="auto"/>
        <w:rPr>
          <w:color w:val="auto"/>
        </w:rPr>
        <w:sectPr>
          <w:footerReference r:id="rId171" w:type="default"/>
          <w:footerReference r:id="rId172" w:type="even"/>
          <w:pgSz w:w="11910" w:h="16840"/>
          <w:pgMar w:top="1520" w:right="1260" w:bottom="1720" w:left="1420" w:header="0" w:footer="1526" w:gutter="0"/>
          <w:pgNumType w:start="654"/>
        </w:sectPr>
      </w:pPr>
    </w:p>
    <w:p>
      <w:pPr>
        <w:pStyle w:val="4"/>
        <w:spacing w:before="39"/>
        <w:ind w:left="751"/>
        <w:rPr>
          <w:color w:val="auto"/>
        </w:rPr>
      </w:pPr>
      <w:r>
        <w:rPr>
          <w:color w:val="auto"/>
        </w:rPr>
        <w:t>货值金额 50 万元以上的；两年内再次出现相同违法行为的。</w:t>
      </w:r>
    </w:p>
    <w:p>
      <w:pPr>
        <w:pStyle w:val="4"/>
        <w:spacing w:before="195"/>
        <w:ind w:left="751"/>
        <w:rPr>
          <w:color w:val="auto"/>
        </w:rPr>
      </w:pPr>
      <w:r>
        <w:rPr>
          <w:color w:val="auto"/>
        </w:rPr>
        <w:t>（2）处罚标准</w:t>
      </w:r>
    </w:p>
    <w:p>
      <w:pPr>
        <w:pStyle w:val="4"/>
        <w:spacing w:before="191"/>
        <w:ind w:left="751"/>
        <w:rPr>
          <w:color w:val="auto"/>
        </w:rPr>
      </w:pPr>
      <w:r>
        <w:rPr>
          <w:color w:val="auto"/>
        </w:rPr>
        <w:t>责令改正，可以处 8 万元以上 10 万元以下罚款。</w:t>
      </w:r>
    </w:p>
    <w:p>
      <w:pPr>
        <w:pStyle w:val="2"/>
        <w:spacing w:before="192" w:line="391" w:lineRule="auto"/>
        <w:ind w:left="111" w:right="117" w:firstLine="480"/>
        <w:rPr>
          <w:color w:val="auto"/>
        </w:rPr>
      </w:pPr>
      <w:bookmarkStart w:id="1372" w:name="_bookmark685"/>
      <w:bookmarkEnd w:id="1372"/>
      <w:bookmarkStart w:id="1373" w:name="六百七十二、麻类纤维经营者销售经公证检验的麻类纤维，未附有公证检验证书、公证检验"/>
      <w:bookmarkEnd w:id="1373"/>
      <w:r>
        <w:rPr>
          <w:color w:val="auto"/>
          <w:spacing w:val="-14"/>
        </w:rPr>
        <w:t>六百七十二、麻类纤维经营者销售经公证检验的麻类纤维，未附有公证检验证书、公证检验标志</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8" w:firstLine="626"/>
        <w:jc w:val="both"/>
        <w:rPr>
          <w:color w:val="auto"/>
        </w:rPr>
      </w:pPr>
      <w:r>
        <w:rPr>
          <w:color w:val="auto"/>
        </w:rPr>
        <w:t>1</w:t>
      </w:r>
      <w:r>
        <w:rPr>
          <w:color w:val="auto"/>
          <w:spacing w:val="-12"/>
        </w:rPr>
        <w:t>、《麻类纤维质量监督管理办法》第二十二条“麻类纤维经营者在销售麻类纤</w:t>
      </w:r>
      <w:r>
        <w:rPr>
          <w:color w:val="auto"/>
          <w:spacing w:val="-11"/>
        </w:rPr>
        <w:t>维活动中，违反本办法第十七条任何一项规定的，由纤维质量监督机构责令改正，并</w:t>
      </w:r>
      <w:r>
        <w:rPr>
          <w:color w:val="auto"/>
          <w:spacing w:val="-6"/>
        </w:rPr>
        <w:t xml:space="preserve">可以根据情节轻重，处 </w:t>
      </w:r>
      <w:r>
        <w:rPr>
          <w:color w:val="auto"/>
        </w:rPr>
        <w:t>10</w:t>
      </w:r>
      <w:r>
        <w:rPr>
          <w:color w:val="auto"/>
          <w:spacing w:val="-21"/>
        </w:rPr>
        <w:t xml:space="preserve"> 万元以下罚款。”</w:t>
      </w:r>
    </w:p>
    <w:p>
      <w:pPr>
        <w:pStyle w:val="4"/>
        <w:spacing w:line="391" w:lineRule="auto"/>
        <w:ind w:right="148" w:firstLine="626"/>
        <w:rPr>
          <w:color w:val="auto"/>
        </w:rPr>
      </w:pPr>
      <w:r>
        <w:rPr>
          <w:color w:val="auto"/>
        </w:rPr>
        <w:t>2</w:t>
      </w:r>
      <w:r>
        <w:rPr>
          <w:color w:val="auto"/>
          <w:spacing w:val="-12"/>
        </w:rPr>
        <w:t>、《麻类纤维质量监督管理办法》第十七条第</w:t>
      </w:r>
      <w:r>
        <w:rPr>
          <w:color w:val="auto"/>
        </w:rPr>
        <w:t>（四）项“麻类纤维经营者销售</w:t>
      </w:r>
      <w:r>
        <w:rPr>
          <w:color w:val="auto"/>
          <w:spacing w:val="-12"/>
        </w:rPr>
        <w:t>麻类纤维，应当符合下列要求：</w:t>
      </w:r>
      <w:r>
        <w:rPr>
          <w:color w:val="auto"/>
        </w:rPr>
        <w:t>（四</w:t>
      </w:r>
      <w:r>
        <w:rPr>
          <w:color w:val="auto"/>
          <w:spacing w:val="-8"/>
        </w:rPr>
        <w:t>）</w:t>
      </w:r>
      <w:r>
        <w:rPr>
          <w:color w:val="auto"/>
          <w:spacing w:val="-2"/>
        </w:rPr>
        <w:t>经公证检验的麻类纤维，应附有公证检验证书、</w:t>
      </w:r>
      <w:r>
        <w:rPr>
          <w:color w:val="auto"/>
          <w:spacing w:val="-16"/>
        </w:rPr>
        <w:t>公证检验标志。”</w:t>
      </w:r>
    </w:p>
    <w:p>
      <w:pPr>
        <w:spacing w:before="0" w:line="391" w:lineRule="auto"/>
        <w:ind w:left="751" w:right="6784" w:firstLine="2"/>
        <w:jc w:val="left"/>
        <w:rPr>
          <w:color w:val="auto"/>
          <w:sz w:val="24"/>
        </w:rPr>
      </w:pPr>
      <w:r>
        <w:rPr>
          <w:b/>
          <w:color w:val="auto"/>
          <w:sz w:val="24"/>
        </w:rPr>
        <w:t>（二）</w:t>
      </w:r>
      <w:r>
        <w:rPr>
          <w:b/>
          <w:color w:val="auto"/>
          <w:spacing w:val="-4"/>
          <w:sz w:val="24"/>
        </w:rPr>
        <w:t>裁量标准</w:t>
      </w:r>
      <w:r>
        <w:rPr>
          <w:color w:val="auto"/>
          <w:sz w:val="24"/>
        </w:rPr>
        <w:t>1</w:t>
      </w:r>
      <w:r>
        <w:rPr>
          <w:color w:val="auto"/>
          <w:spacing w:val="-24"/>
          <w:sz w:val="24"/>
        </w:rPr>
        <w:t>、【较轻】</w:t>
      </w:r>
    </w:p>
    <w:p>
      <w:pPr>
        <w:pStyle w:val="13"/>
        <w:numPr>
          <w:ilvl w:val="0"/>
          <w:numId w:val="1551"/>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4"/>
        <w:ind w:left="751"/>
        <w:rPr>
          <w:color w:val="auto"/>
        </w:rPr>
      </w:pPr>
      <w:r>
        <w:rPr>
          <w:color w:val="auto"/>
        </w:rPr>
        <w:t>货值金额不足 5 万元的。</w:t>
      </w:r>
    </w:p>
    <w:p>
      <w:pPr>
        <w:pStyle w:val="13"/>
        <w:numPr>
          <w:ilvl w:val="0"/>
          <w:numId w:val="1551"/>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552"/>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万元以上 20 万元以下的。</w:t>
      </w:r>
    </w:p>
    <w:p>
      <w:pPr>
        <w:pStyle w:val="13"/>
        <w:numPr>
          <w:ilvl w:val="0"/>
          <w:numId w:val="1552"/>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553"/>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20 万元以上 50 万元以下的。</w:t>
      </w:r>
    </w:p>
    <w:p>
      <w:pPr>
        <w:pStyle w:val="13"/>
        <w:numPr>
          <w:ilvl w:val="0"/>
          <w:numId w:val="1553"/>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责令改正，可以处 5 万元以上 8 万元以下罚款。</w:t>
      </w:r>
    </w:p>
    <w:p>
      <w:pPr>
        <w:spacing w:after="0"/>
        <w:rPr>
          <w:color w:val="auto"/>
        </w:rPr>
        <w:sectPr>
          <w:pgSz w:w="11910" w:h="16840"/>
          <w:pgMar w:top="1520" w:right="1260" w:bottom="1220" w:left="1420" w:header="0" w:footer="1034" w:gutter="0"/>
        </w:sectPr>
      </w:pPr>
    </w:p>
    <w:p>
      <w:pPr>
        <w:pStyle w:val="4"/>
        <w:spacing w:before="39"/>
        <w:ind w:left="751"/>
        <w:rPr>
          <w:color w:val="auto"/>
        </w:rPr>
      </w:pPr>
      <w:r>
        <w:rPr>
          <w:color w:val="auto"/>
        </w:rPr>
        <w:t>4、【严重】</w:t>
      </w:r>
    </w:p>
    <w:p>
      <w:pPr>
        <w:pStyle w:val="13"/>
        <w:numPr>
          <w:ilvl w:val="0"/>
          <w:numId w:val="1554"/>
        </w:numPr>
        <w:tabs>
          <w:tab w:val="left" w:pos="1353"/>
        </w:tabs>
        <w:spacing w:before="195"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货值金额 50 万元以上的；两年内再次出现相同违法行为的。</w:t>
      </w:r>
    </w:p>
    <w:p>
      <w:pPr>
        <w:pStyle w:val="13"/>
        <w:numPr>
          <w:ilvl w:val="0"/>
          <w:numId w:val="1554"/>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责令改正，可以处 8 万元以上 10 万元以下罚款。</w:t>
      </w:r>
    </w:p>
    <w:p>
      <w:pPr>
        <w:pStyle w:val="2"/>
        <w:spacing w:before="192" w:line="388" w:lineRule="auto"/>
        <w:ind w:left="111" w:right="240" w:firstLine="480"/>
        <w:rPr>
          <w:color w:val="auto"/>
        </w:rPr>
      </w:pPr>
      <w:bookmarkStart w:id="1374" w:name="_bookmark686"/>
      <w:bookmarkEnd w:id="1374"/>
      <w:bookmarkStart w:id="1375" w:name="六百七十三、伪造、变造、冒用麻类纤维质量凭证、标识、公证检验证书、公证检验标志"/>
      <w:bookmarkEnd w:id="1375"/>
      <w:r>
        <w:rPr>
          <w:color w:val="auto"/>
          <w:spacing w:val="-7"/>
        </w:rPr>
        <w:t>六百七十三、伪造、变造、冒用麻类纤维质量凭证、标识、公证检验证书、公证检验标志</w:t>
      </w:r>
    </w:p>
    <w:p>
      <w:pPr>
        <w:spacing w:before="4"/>
        <w:ind w:left="754" w:right="0" w:firstLine="0"/>
        <w:jc w:val="left"/>
        <w:rPr>
          <w:b/>
          <w:color w:val="auto"/>
          <w:sz w:val="24"/>
        </w:rPr>
      </w:pPr>
      <w:r>
        <w:rPr>
          <w:b/>
          <w:color w:val="auto"/>
          <w:sz w:val="24"/>
        </w:rPr>
        <w:t>（一）处罚依据</w:t>
      </w:r>
    </w:p>
    <w:p>
      <w:pPr>
        <w:pStyle w:val="4"/>
        <w:spacing w:before="192" w:line="391" w:lineRule="auto"/>
        <w:ind w:right="148" w:firstLine="626"/>
        <w:rPr>
          <w:color w:val="auto"/>
        </w:rPr>
      </w:pPr>
      <w:r>
        <w:rPr>
          <w:color w:val="auto"/>
        </w:rPr>
        <w:t>1</w:t>
      </w:r>
      <w:r>
        <w:rPr>
          <w:color w:val="auto"/>
          <w:spacing w:val="-12"/>
        </w:rPr>
        <w:t>、《麻类纤维质量监督管理办法》第二十三条“麻类纤维经营者违反本办法第</w:t>
      </w:r>
      <w:r>
        <w:rPr>
          <w:color w:val="auto"/>
          <w:spacing w:val="-13"/>
        </w:rPr>
        <w:t xml:space="preserve">十八条规定的，由纤维质量监督机构处 </w:t>
      </w:r>
      <w:r>
        <w:rPr>
          <w:color w:val="auto"/>
        </w:rPr>
        <w:t>5</w:t>
      </w:r>
      <w:r>
        <w:rPr>
          <w:color w:val="auto"/>
          <w:spacing w:val="-20"/>
        </w:rPr>
        <w:t xml:space="preserve"> 万元以上 </w:t>
      </w:r>
      <w:r>
        <w:rPr>
          <w:color w:val="auto"/>
        </w:rPr>
        <w:t>10</w:t>
      </w:r>
      <w:r>
        <w:rPr>
          <w:color w:val="auto"/>
          <w:spacing w:val="-10"/>
        </w:rPr>
        <w:t xml:space="preserve"> 万元以下的罚款；情节严重的， </w:t>
      </w:r>
      <w:r>
        <w:rPr>
          <w:color w:val="auto"/>
          <w:spacing w:val="-4"/>
        </w:rPr>
        <w:t>建议工商行政管理机关吊销营业执照；构成犯罪的，依法追究刑事责任。”</w:t>
      </w:r>
    </w:p>
    <w:p>
      <w:pPr>
        <w:pStyle w:val="4"/>
        <w:spacing w:line="388" w:lineRule="auto"/>
        <w:ind w:right="148" w:firstLine="626"/>
        <w:rPr>
          <w:color w:val="auto"/>
        </w:rPr>
      </w:pPr>
      <w:r>
        <w:rPr>
          <w:color w:val="auto"/>
        </w:rPr>
        <w:t>2</w:t>
      </w:r>
      <w:r>
        <w:rPr>
          <w:color w:val="auto"/>
          <w:spacing w:val="-16"/>
        </w:rPr>
        <w:t>、《麻类纤维质量监督管理办法》第十八条“任何单位和个人不得伪造、变造、</w:t>
      </w:r>
      <w:r>
        <w:rPr>
          <w:color w:val="auto"/>
          <w:spacing w:val="-5"/>
        </w:rPr>
        <w:t>冒用麻类纤维质量凭证、标识、公证检验证书、公证检验标志。”</w:t>
      </w:r>
    </w:p>
    <w:p>
      <w:pPr>
        <w:spacing w:before="1"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55"/>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193" w:firstLine="640"/>
        <w:rPr>
          <w:color w:val="auto"/>
        </w:rPr>
      </w:pPr>
      <w:r>
        <w:rPr>
          <w:color w:val="auto"/>
        </w:rPr>
        <w:t>有下列情形之一的：1、初次违法的；2、产品尚未销售的；3、积极配合查处并有悔改表现的。</w:t>
      </w:r>
    </w:p>
    <w:p>
      <w:pPr>
        <w:pStyle w:val="13"/>
        <w:numPr>
          <w:ilvl w:val="0"/>
          <w:numId w:val="1555"/>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line="388" w:lineRule="auto"/>
        <w:ind w:left="751" w:right="5113"/>
        <w:rPr>
          <w:color w:val="auto"/>
        </w:rPr>
      </w:pPr>
      <w:r>
        <w:rPr>
          <w:color w:val="auto"/>
          <w:spacing w:val="-30"/>
        </w:rPr>
        <w:t xml:space="preserve">处 </w:t>
      </w:r>
      <w:r>
        <w:rPr>
          <w:color w:val="auto"/>
        </w:rPr>
        <w:t>5</w:t>
      </w:r>
      <w:r>
        <w:rPr>
          <w:color w:val="auto"/>
          <w:spacing w:val="-20"/>
        </w:rPr>
        <w:t xml:space="preserve"> 万元以上 </w:t>
      </w:r>
      <w:r>
        <w:rPr>
          <w:color w:val="auto"/>
        </w:rPr>
        <w:t>6</w:t>
      </w:r>
      <w:r>
        <w:rPr>
          <w:color w:val="auto"/>
          <w:spacing w:val="-11"/>
        </w:rPr>
        <w:t xml:space="preserve"> 万元以下罚款。</w:t>
      </w:r>
      <w:r>
        <w:rPr>
          <w:color w:val="auto"/>
        </w:rPr>
        <w:t>2</w:t>
      </w:r>
      <w:r>
        <w:rPr>
          <w:color w:val="auto"/>
          <w:spacing w:val="-24"/>
        </w:rPr>
        <w:t>、【一般】</w:t>
      </w:r>
    </w:p>
    <w:p>
      <w:pPr>
        <w:pStyle w:val="13"/>
        <w:numPr>
          <w:ilvl w:val="0"/>
          <w:numId w:val="155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伪造、变造、冒用麻类质量凭证、标识产品已经销售，积极主动采取措施，避免危害后果发生的。</w:t>
      </w:r>
    </w:p>
    <w:p>
      <w:pPr>
        <w:pStyle w:val="13"/>
        <w:numPr>
          <w:ilvl w:val="0"/>
          <w:numId w:val="1556"/>
        </w:numPr>
        <w:tabs>
          <w:tab w:val="left" w:pos="1353"/>
        </w:tabs>
        <w:spacing w:before="3" w:after="0" w:line="240" w:lineRule="auto"/>
        <w:ind w:left="1353" w:right="0" w:hanging="602"/>
        <w:jc w:val="left"/>
        <w:rPr>
          <w:color w:val="auto"/>
          <w:sz w:val="24"/>
        </w:rPr>
      </w:pPr>
      <w:r>
        <w:rPr>
          <w:color w:val="auto"/>
          <w:sz w:val="24"/>
        </w:rPr>
        <w:t>处罚标准</w:t>
      </w:r>
    </w:p>
    <w:p>
      <w:pPr>
        <w:pStyle w:val="4"/>
        <w:spacing w:before="194" w:line="388" w:lineRule="auto"/>
        <w:ind w:left="751" w:right="2473"/>
        <w:rPr>
          <w:color w:val="auto"/>
        </w:rPr>
      </w:pPr>
      <w:r>
        <w:rPr>
          <w:color w:val="auto"/>
          <w:spacing w:val="-30"/>
        </w:rPr>
        <w:t xml:space="preserve">处 </w:t>
      </w:r>
      <w:r>
        <w:rPr>
          <w:color w:val="auto"/>
        </w:rPr>
        <w:t>6</w:t>
      </w:r>
      <w:r>
        <w:rPr>
          <w:color w:val="auto"/>
          <w:spacing w:val="-20"/>
        </w:rPr>
        <w:t xml:space="preserve"> 万元以上 </w:t>
      </w:r>
      <w:r>
        <w:rPr>
          <w:color w:val="auto"/>
        </w:rPr>
        <w:t>7</w:t>
      </w:r>
      <w:r>
        <w:rPr>
          <w:color w:val="auto"/>
          <w:spacing w:val="-9"/>
        </w:rPr>
        <w:t xml:space="preserve"> 万元以下罚款；通报营业执照发证部门。</w:t>
      </w:r>
      <w:r>
        <w:rPr>
          <w:color w:val="auto"/>
        </w:rPr>
        <w:t>3</w:t>
      </w:r>
      <w:r>
        <w:rPr>
          <w:color w:val="auto"/>
          <w:spacing w:val="-24"/>
        </w:rPr>
        <w:t>、【较重】</w:t>
      </w:r>
    </w:p>
    <w:p>
      <w:pPr>
        <w:spacing w:after="0" w:line="388" w:lineRule="auto"/>
        <w:rPr>
          <w:color w:val="auto"/>
        </w:rPr>
        <w:sectPr>
          <w:pgSz w:w="11910" w:h="16840"/>
          <w:pgMar w:top="1520" w:right="1260" w:bottom="1720" w:left="1420" w:header="0" w:footer="1526" w:gutter="0"/>
        </w:sectPr>
      </w:pPr>
    </w:p>
    <w:p>
      <w:pPr>
        <w:pStyle w:val="4"/>
        <w:spacing w:before="39" w:line="391" w:lineRule="auto"/>
        <w:ind w:right="271" w:firstLine="640"/>
        <w:rPr>
          <w:color w:val="auto"/>
        </w:rPr>
      </w:pPr>
      <w:r>
        <w:rPr>
          <w:color w:val="auto"/>
        </w:rPr>
        <w:t>有下列情形之一的：1．伪造、变造、冒用麻类公证检验证书的；2．伪造、变造、冒用麻类公证检验标志的。</w:t>
      </w:r>
    </w:p>
    <w:p>
      <w:pPr>
        <w:pStyle w:val="4"/>
        <w:spacing w:line="306" w:lineRule="exact"/>
        <w:ind w:left="751"/>
        <w:rPr>
          <w:color w:val="auto"/>
        </w:rPr>
      </w:pPr>
      <w:r>
        <w:rPr>
          <w:color w:val="auto"/>
        </w:rPr>
        <w:t>（2）处罚标准</w:t>
      </w:r>
    </w:p>
    <w:p>
      <w:pPr>
        <w:pStyle w:val="4"/>
        <w:spacing w:before="192" w:line="391" w:lineRule="auto"/>
        <w:ind w:left="751" w:right="2473"/>
        <w:rPr>
          <w:color w:val="auto"/>
        </w:rPr>
      </w:pPr>
      <w:r>
        <w:rPr>
          <w:color w:val="auto"/>
          <w:spacing w:val="-30"/>
        </w:rPr>
        <w:t xml:space="preserve">处 </w:t>
      </w:r>
      <w:r>
        <w:rPr>
          <w:color w:val="auto"/>
        </w:rPr>
        <w:t>7</w:t>
      </w:r>
      <w:r>
        <w:rPr>
          <w:color w:val="auto"/>
          <w:spacing w:val="-20"/>
        </w:rPr>
        <w:t xml:space="preserve"> 万元以上 </w:t>
      </w:r>
      <w:r>
        <w:rPr>
          <w:color w:val="auto"/>
        </w:rPr>
        <w:t>8</w:t>
      </w:r>
      <w:r>
        <w:rPr>
          <w:color w:val="auto"/>
          <w:spacing w:val="-9"/>
        </w:rPr>
        <w:t xml:space="preserve"> 万元以下罚款；通报营业执照发证部门。</w:t>
      </w:r>
      <w:r>
        <w:rPr>
          <w:color w:val="auto"/>
        </w:rPr>
        <w:t>4</w:t>
      </w:r>
      <w:r>
        <w:rPr>
          <w:color w:val="auto"/>
          <w:spacing w:val="-24"/>
        </w:rPr>
        <w:t>、【严重】</w:t>
      </w:r>
    </w:p>
    <w:p>
      <w:pPr>
        <w:pStyle w:val="13"/>
        <w:numPr>
          <w:ilvl w:val="0"/>
          <w:numId w:val="155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193" w:firstLine="640"/>
        <w:rPr>
          <w:color w:val="auto"/>
        </w:rPr>
      </w:pPr>
      <w:r>
        <w:rPr>
          <w:color w:val="auto"/>
        </w:rPr>
        <w:t>有下列情形之一的：1、伪造、变造、冒用麻类质量凭证、标识产品已经销售， 拒不改正违法行为的；2、伪造、变造、冒用麻类公证检验证书的，已经造成危害后果的；3．伪造、变造、冒用麻类公证检验标志的，已经造成危害后果的。</w:t>
      </w:r>
    </w:p>
    <w:p>
      <w:pPr>
        <w:pStyle w:val="13"/>
        <w:numPr>
          <w:ilvl w:val="0"/>
          <w:numId w:val="1557"/>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30"/>
        </w:rPr>
        <w:t xml:space="preserve">处 </w:t>
      </w:r>
      <w:r>
        <w:rPr>
          <w:color w:val="auto"/>
        </w:rPr>
        <w:t>8</w:t>
      </w:r>
      <w:r>
        <w:rPr>
          <w:color w:val="auto"/>
          <w:spacing w:val="-20"/>
        </w:rPr>
        <w:t xml:space="preserve"> 万元以上 </w:t>
      </w:r>
      <w:r>
        <w:rPr>
          <w:color w:val="auto"/>
        </w:rPr>
        <w:t>9</w:t>
      </w:r>
      <w:r>
        <w:rPr>
          <w:color w:val="auto"/>
          <w:spacing w:val="-9"/>
        </w:rPr>
        <w:t xml:space="preserve"> 万元以下罚款；吊销营业执照。</w:t>
      </w:r>
      <w:r>
        <w:rPr>
          <w:color w:val="auto"/>
        </w:rPr>
        <w:t>5</w:t>
      </w:r>
      <w:r>
        <w:rPr>
          <w:color w:val="auto"/>
          <w:spacing w:val="-18"/>
        </w:rPr>
        <w:t>、【特别严重】</w:t>
      </w:r>
    </w:p>
    <w:p>
      <w:pPr>
        <w:pStyle w:val="13"/>
        <w:numPr>
          <w:ilvl w:val="0"/>
          <w:numId w:val="1558"/>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有下列情形之一的：1、两年内再次出现相同违法行为的；2、造成人身伤害、财产损失或不良社会影响等严重危害后果的。</w:t>
      </w:r>
    </w:p>
    <w:p>
      <w:pPr>
        <w:pStyle w:val="13"/>
        <w:numPr>
          <w:ilvl w:val="0"/>
          <w:numId w:val="1558"/>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处 9 万元以上 10 万元以下的罚款；吊销营业执照。</w:t>
      </w:r>
    </w:p>
    <w:p>
      <w:pPr>
        <w:pStyle w:val="2"/>
        <w:spacing w:before="192"/>
        <w:rPr>
          <w:color w:val="auto"/>
        </w:rPr>
      </w:pPr>
      <w:bookmarkStart w:id="1376" w:name="六百七十四、隐匿、转移、损毁被纤维质量监督机构查封、扣押物品"/>
      <w:bookmarkEnd w:id="1376"/>
      <w:bookmarkStart w:id="1377" w:name="_bookmark687"/>
      <w:bookmarkEnd w:id="1377"/>
      <w:r>
        <w:rPr>
          <w:color w:val="auto"/>
        </w:rPr>
        <w:t>六百七十四、隐匿、转移、损毁被纤维质量监督机构查封、扣押物品</w:t>
      </w:r>
    </w:p>
    <w:p>
      <w:pPr>
        <w:spacing w:before="192"/>
        <w:ind w:left="754" w:right="0" w:firstLine="0"/>
        <w:jc w:val="left"/>
        <w:rPr>
          <w:b/>
          <w:color w:val="auto"/>
          <w:sz w:val="24"/>
        </w:rPr>
      </w:pPr>
      <w:r>
        <w:rPr>
          <w:b/>
          <w:color w:val="auto"/>
          <w:sz w:val="24"/>
        </w:rPr>
        <w:t>（一）处罚依据</w:t>
      </w:r>
    </w:p>
    <w:p>
      <w:pPr>
        <w:pStyle w:val="4"/>
        <w:spacing w:before="194" w:line="388" w:lineRule="auto"/>
        <w:ind w:right="268" w:firstLine="626"/>
        <w:jc w:val="both"/>
        <w:rPr>
          <w:color w:val="auto"/>
        </w:rPr>
      </w:pPr>
      <w:r>
        <w:rPr>
          <w:color w:val="auto"/>
        </w:rPr>
        <w:t>《麻类纤维质量监督管理办法》第二十四条“隐匿、转移、损毁被纤维质量监</w:t>
      </w:r>
      <w:r>
        <w:rPr>
          <w:color w:val="auto"/>
          <w:spacing w:val="-6"/>
        </w:rPr>
        <w:t>督机构查封、扣押物品的，由纤维质量监督机构处被隐匿、转移、损毁物品货值金额</w:t>
      </w:r>
      <w:r>
        <w:rPr>
          <w:color w:val="auto"/>
        </w:rPr>
        <w:t>2</w:t>
      </w:r>
      <w:r>
        <w:rPr>
          <w:color w:val="auto"/>
          <w:spacing w:val="-24"/>
        </w:rPr>
        <w:t xml:space="preserve"> 倍以上 </w:t>
      </w:r>
      <w:r>
        <w:rPr>
          <w:color w:val="auto"/>
        </w:rPr>
        <w:t>5</w:t>
      </w:r>
      <w:r>
        <w:rPr>
          <w:color w:val="auto"/>
          <w:spacing w:val="-14"/>
        </w:rPr>
        <w:t xml:space="preserve"> 倍以下罚款；构成犯罪的，依法追究刑事责任。”</w:t>
      </w:r>
    </w:p>
    <w:p>
      <w:pPr>
        <w:spacing w:before="5"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559"/>
        </w:numPr>
        <w:tabs>
          <w:tab w:val="left" w:pos="1353"/>
        </w:tabs>
        <w:spacing w:before="3"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隐匿、转移、损毁被纤维质量监督机构查封、扣押的物品的，能及时主动改正</w:t>
      </w:r>
    </w:p>
    <w:p>
      <w:pPr>
        <w:pStyle w:val="4"/>
        <w:spacing w:before="191"/>
        <w:rPr>
          <w:color w:val="auto"/>
        </w:rPr>
      </w:pPr>
      <w:r>
        <w:rPr>
          <w:color w:val="auto"/>
        </w:rPr>
        <w:t>的。</w:t>
      </w:r>
    </w:p>
    <w:p>
      <w:pPr>
        <w:pStyle w:val="13"/>
        <w:numPr>
          <w:ilvl w:val="0"/>
          <w:numId w:val="1559"/>
        </w:numPr>
        <w:tabs>
          <w:tab w:val="left" w:pos="1353"/>
        </w:tabs>
        <w:spacing w:before="192"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751" w:right="4633"/>
        <w:rPr>
          <w:color w:val="auto"/>
        </w:rPr>
      </w:pPr>
      <w:r>
        <w:rPr>
          <w:color w:val="auto"/>
          <w:spacing w:val="-10"/>
        </w:rPr>
        <w:t xml:space="preserve">处货值金额 </w:t>
      </w:r>
      <w:r>
        <w:rPr>
          <w:color w:val="auto"/>
        </w:rPr>
        <w:t>2</w:t>
      </w:r>
      <w:r>
        <w:rPr>
          <w:color w:val="auto"/>
          <w:spacing w:val="-24"/>
        </w:rPr>
        <w:t xml:space="preserve"> 倍以上 </w:t>
      </w:r>
      <w:r>
        <w:rPr>
          <w:color w:val="auto"/>
        </w:rPr>
        <w:t>3</w:t>
      </w:r>
      <w:r>
        <w:rPr>
          <w:color w:val="auto"/>
          <w:spacing w:val="-12"/>
        </w:rPr>
        <w:t xml:space="preserve"> 倍以下罚款。</w:t>
      </w:r>
      <w:r>
        <w:rPr>
          <w:color w:val="auto"/>
        </w:rPr>
        <w:t>2</w:t>
      </w:r>
      <w:r>
        <w:rPr>
          <w:color w:val="auto"/>
          <w:spacing w:val="-24"/>
        </w:rPr>
        <w:t>、【较重】</w:t>
      </w:r>
    </w:p>
    <w:p>
      <w:pPr>
        <w:pStyle w:val="13"/>
        <w:numPr>
          <w:ilvl w:val="0"/>
          <w:numId w:val="1560"/>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隐匿、转移、损毁被纤维质量监督机构查封、扣押的物品的，经责令改正，拒不改正的。</w:t>
      </w:r>
    </w:p>
    <w:p>
      <w:pPr>
        <w:pStyle w:val="13"/>
        <w:numPr>
          <w:ilvl w:val="0"/>
          <w:numId w:val="1560"/>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10"/>
        </w:rPr>
        <w:t xml:space="preserve">处货值金额 </w:t>
      </w:r>
      <w:r>
        <w:rPr>
          <w:color w:val="auto"/>
        </w:rPr>
        <w:t>3</w:t>
      </w:r>
      <w:r>
        <w:rPr>
          <w:color w:val="auto"/>
          <w:spacing w:val="-24"/>
        </w:rPr>
        <w:t xml:space="preserve"> 倍以上 </w:t>
      </w:r>
      <w:r>
        <w:rPr>
          <w:color w:val="auto"/>
        </w:rPr>
        <w:t>4</w:t>
      </w:r>
      <w:r>
        <w:rPr>
          <w:color w:val="auto"/>
          <w:spacing w:val="-12"/>
        </w:rPr>
        <w:t xml:space="preserve"> 倍以下罚款。</w:t>
      </w:r>
      <w:r>
        <w:rPr>
          <w:color w:val="auto"/>
        </w:rPr>
        <w:t>3</w:t>
      </w:r>
      <w:r>
        <w:rPr>
          <w:color w:val="auto"/>
          <w:spacing w:val="-24"/>
        </w:rPr>
        <w:t>、【严重】</w:t>
      </w:r>
    </w:p>
    <w:p>
      <w:pPr>
        <w:pStyle w:val="13"/>
        <w:numPr>
          <w:ilvl w:val="0"/>
          <w:numId w:val="1561"/>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148" w:firstLine="640"/>
        <w:rPr>
          <w:color w:val="auto"/>
        </w:rPr>
      </w:pPr>
      <w:r>
        <w:rPr>
          <w:color w:val="auto"/>
          <w:spacing w:val="-10"/>
        </w:rPr>
        <w:t xml:space="preserve">隐匿、转移、损毁被纤维质量监督机构查封、扣押的物品的，造成严重后果的， </w:t>
      </w:r>
      <w:r>
        <w:rPr>
          <w:color w:val="auto"/>
        </w:rPr>
        <w:t>或者较大社会影响的。</w:t>
      </w:r>
    </w:p>
    <w:p>
      <w:pPr>
        <w:pStyle w:val="13"/>
        <w:numPr>
          <w:ilvl w:val="0"/>
          <w:numId w:val="1561"/>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ind w:left="751"/>
        <w:rPr>
          <w:color w:val="auto"/>
        </w:rPr>
      </w:pPr>
      <w:r>
        <w:rPr>
          <w:color w:val="auto"/>
        </w:rPr>
        <w:t>处货值金额 4 倍以上 5 倍以下罚款。</w:t>
      </w:r>
    </w:p>
    <w:p>
      <w:pPr>
        <w:pStyle w:val="2"/>
        <w:spacing w:before="194" w:line="388" w:lineRule="auto"/>
        <w:ind w:left="111" w:right="170" w:firstLine="480"/>
        <w:rPr>
          <w:color w:val="auto"/>
        </w:rPr>
      </w:pPr>
      <w:bookmarkStart w:id="1378" w:name="_bookmark688"/>
      <w:bookmarkEnd w:id="1378"/>
      <w:bookmarkStart w:id="1379" w:name="六百七十五、茧丝经营者收购蚕茧不具备设施和环境、设备和仪器、从业人员、质量检验标"/>
      <w:bookmarkEnd w:id="1379"/>
      <w:r>
        <w:rPr>
          <w:color w:val="auto"/>
        </w:rPr>
        <w:t>六百七十五、茧丝经营者收购蚕茧不具备设施和环境、设备和仪器、从业人员、质量检验标准、内部质量保证制度等方面规定的条件</w:t>
      </w:r>
    </w:p>
    <w:p>
      <w:pPr>
        <w:spacing w:before="2"/>
        <w:ind w:left="754" w:right="0" w:firstLine="0"/>
        <w:jc w:val="left"/>
        <w:rPr>
          <w:b/>
          <w:color w:val="auto"/>
          <w:sz w:val="24"/>
        </w:rPr>
      </w:pPr>
      <w:r>
        <w:rPr>
          <w:b/>
          <w:color w:val="auto"/>
          <w:sz w:val="24"/>
        </w:rPr>
        <w:t>（一）处罚依据</w:t>
      </w:r>
    </w:p>
    <w:p>
      <w:pPr>
        <w:pStyle w:val="4"/>
        <w:spacing w:before="195" w:line="388" w:lineRule="auto"/>
        <w:ind w:right="139" w:firstLine="640"/>
        <w:jc w:val="both"/>
        <w:rPr>
          <w:color w:val="auto"/>
        </w:rPr>
      </w:pPr>
      <w:r>
        <w:rPr>
          <w:color w:val="auto"/>
        </w:rPr>
        <w:t>1</w:t>
      </w:r>
      <w:r>
        <w:rPr>
          <w:color w:val="auto"/>
          <w:spacing w:val="-12"/>
        </w:rPr>
        <w:t>、《茧丝质量监督管理办法》第二十一条“ 违反本办法第十三条第</w:t>
      </w:r>
      <w:r>
        <w:rPr>
          <w:color w:val="auto"/>
        </w:rPr>
        <w:t>（一）项、</w:t>
      </w:r>
      <w:r>
        <w:rPr>
          <w:color w:val="auto"/>
          <w:spacing w:val="-10"/>
        </w:rPr>
        <w:t>第</w:t>
      </w:r>
      <w:r>
        <w:rPr>
          <w:color w:val="auto"/>
          <w:spacing w:val="-3"/>
        </w:rPr>
        <w:t>（</w:t>
      </w:r>
      <w:r>
        <w:rPr>
          <w:color w:val="auto"/>
        </w:rPr>
        <w:t>二</w:t>
      </w:r>
      <w:r>
        <w:rPr>
          <w:color w:val="auto"/>
          <w:spacing w:val="-10"/>
        </w:rPr>
        <w:t>）</w:t>
      </w:r>
      <w:r>
        <w:rPr>
          <w:color w:val="auto"/>
          <w:spacing w:val="-8"/>
        </w:rPr>
        <w:t>项、第</w:t>
      </w:r>
      <w:r>
        <w:rPr>
          <w:color w:val="auto"/>
        </w:rPr>
        <w:t>（三</w:t>
      </w:r>
      <w:r>
        <w:rPr>
          <w:color w:val="auto"/>
          <w:spacing w:val="-10"/>
        </w:rPr>
        <w:t>）</w:t>
      </w:r>
      <w:r>
        <w:rPr>
          <w:color w:val="auto"/>
          <w:spacing w:val="-8"/>
        </w:rPr>
        <w:t>项、第</w:t>
      </w:r>
      <w:r>
        <w:rPr>
          <w:color w:val="auto"/>
        </w:rPr>
        <w:t>（四</w:t>
      </w:r>
      <w:r>
        <w:rPr>
          <w:color w:val="auto"/>
          <w:spacing w:val="-10"/>
        </w:rPr>
        <w:t>）</w:t>
      </w:r>
      <w:r>
        <w:rPr>
          <w:color w:val="auto"/>
          <w:spacing w:val="-8"/>
        </w:rPr>
        <w:t>项、第</w:t>
      </w:r>
      <w:r>
        <w:rPr>
          <w:color w:val="auto"/>
        </w:rPr>
        <w:t>（五</w:t>
      </w:r>
      <w:r>
        <w:rPr>
          <w:color w:val="auto"/>
          <w:spacing w:val="-10"/>
        </w:rPr>
        <w:t>）</w:t>
      </w:r>
      <w:r>
        <w:rPr>
          <w:color w:val="auto"/>
          <w:spacing w:val="-8"/>
        </w:rPr>
        <w:t>项、第</w:t>
      </w:r>
      <w:r>
        <w:rPr>
          <w:color w:val="auto"/>
        </w:rPr>
        <w:t>（七</w:t>
      </w:r>
      <w:r>
        <w:rPr>
          <w:color w:val="auto"/>
          <w:spacing w:val="-10"/>
        </w:rPr>
        <w:t>）</w:t>
      </w:r>
      <w:r>
        <w:rPr>
          <w:color w:val="auto"/>
          <w:spacing w:val="-3"/>
        </w:rPr>
        <w:t xml:space="preserve">项中任何一项规定的， 由纤维质量监督机构责令限期改正，可以处 </w:t>
      </w:r>
      <w:r>
        <w:rPr>
          <w:color w:val="auto"/>
        </w:rPr>
        <w:t>3</w:t>
      </w:r>
      <w:r>
        <w:rPr>
          <w:color w:val="auto"/>
          <w:spacing w:val="-21"/>
        </w:rPr>
        <w:t xml:space="preserve"> 万元以下罚款。”</w:t>
      </w:r>
    </w:p>
    <w:p>
      <w:pPr>
        <w:pStyle w:val="4"/>
        <w:spacing w:before="5" w:line="388" w:lineRule="auto"/>
        <w:ind w:right="268" w:firstLine="640"/>
        <w:rPr>
          <w:color w:val="auto"/>
        </w:rPr>
      </w:pPr>
      <w:r>
        <w:rPr>
          <w:color w:val="auto"/>
        </w:rPr>
        <w:t>2</w:t>
      </w:r>
      <w:r>
        <w:rPr>
          <w:color w:val="auto"/>
          <w:spacing w:val="-12"/>
        </w:rPr>
        <w:t>、《茧丝质量监督管理办法》第十三条“茧丝经营者收购蚕茧，必须符合下列</w:t>
      </w:r>
      <w:r>
        <w:rPr>
          <w:color w:val="auto"/>
          <w:spacing w:val="-49"/>
        </w:rPr>
        <w:t>要求：</w:t>
      </w:r>
      <w:r>
        <w:rPr>
          <w:color w:val="auto"/>
        </w:rPr>
        <w:t>（一）</w:t>
      </w:r>
      <w:r>
        <w:rPr>
          <w:color w:val="auto"/>
          <w:spacing w:val="-5"/>
        </w:rPr>
        <w:t>从事收购桑蚕鲜茧的，具备本办法第四条规定的质量保证条件。”</w:t>
      </w:r>
    </w:p>
    <w:p>
      <w:pPr>
        <w:pStyle w:val="4"/>
        <w:spacing w:before="2" w:line="391" w:lineRule="auto"/>
        <w:ind w:right="268" w:firstLine="640"/>
        <w:jc w:val="both"/>
        <w:rPr>
          <w:color w:val="auto"/>
        </w:rPr>
      </w:pPr>
      <w:r>
        <w:rPr>
          <w:color w:val="auto"/>
        </w:rPr>
        <w:t>3</w:t>
      </w:r>
      <w:r>
        <w:rPr>
          <w:color w:val="auto"/>
          <w:spacing w:val="-12"/>
        </w:rPr>
        <w:t>、《茧丝质量监督管理办法》第四条“桑蚕鲜茧收购、桑蚕干茧加工应当具备</w:t>
      </w:r>
      <w:r>
        <w:rPr>
          <w:color w:val="auto"/>
          <w:spacing w:val="2"/>
        </w:rPr>
        <w:t>基本的质量保证条件（</w:t>
      </w:r>
      <w:r>
        <w:rPr>
          <w:color w:val="auto"/>
          <w:spacing w:val="1"/>
        </w:rPr>
        <w:t>以下简称国家质量保证基本条件</w:t>
      </w:r>
      <w:r>
        <w:rPr>
          <w:color w:val="auto"/>
          <w:spacing w:val="-118"/>
        </w:rPr>
        <w:t>）</w:t>
      </w:r>
      <w:r>
        <w:rPr>
          <w:color w:val="auto"/>
          <w:spacing w:val="1"/>
        </w:rPr>
        <w:t>：茧丝经营者从事收购桑蚕</w:t>
      </w:r>
      <w:r>
        <w:rPr>
          <w:color w:val="auto"/>
          <w:spacing w:val="-4"/>
        </w:rPr>
        <w:t>鲜茧或者加工桑蚕干茧活动的，必须在设施和环境、设备和仪器、从业人员、质量检</w:t>
      </w:r>
      <w:r>
        <w:rPr>
          <w:color w:val="auto"/>
          <w:spacing w:val="-6"/>
        </w:rPr>
        <w:t>验标准、内部质量保证制度等方面具备规定的条件，并接受专业纤维检验机构的监督</w:t>
      </w:r>
      <w:r>
        <w:rPr>
          <w:color w:val="auto"/>
        </w:rPr>
        <w:t>检查。</w:t>
      </w:r>
    </w:p>
    <w:p>
      <w:pPr>
        <w:pStyle w:val="4"/>
        <w:spacing w:line="388" w:lineRule="auto"/>
        <w:ind w:right="213" w:firstLine="640"/>
        <w:rPr>
          <w:color w:val="auto"/>
        </w:rPr>
      </w:pPr>
      <w:r>
        <w:rPr>
          <w:color w:val="auto"/>
        </w:rPr>
        <w:t>桑蚕鲜茧收购、桑蚕干茧加工国家质量保证基本条件由国家质检总局会同国家经济贸易委员会制定；各地区的具体要求（以下简称地方质量保证条件）由省级质量</w:t>
      </w:r>
    </w:p>
    <w:p>
      <w:pPr>
        <w:spacing w:after="0" w:line="388" w:lineRule="auto"/>
        <w:rPr>
          <w:color w:val="auto"/>
        </w:rPr>
        <w:sectPr>
          <w:footerReference r:id="rId173" w:type="default"/>
          <w:footerReference r:id="rId174" w:type="even"/>
          <w:pgSz w:w="11910" w:h="16840"/>
          <w:pgMar w:top="1520" w:right="1260" w:bottom="1220" w:left="1420" w:header="0" w:footer="1034" w:gutter="0"/>
          <w:pgNumType w:start="658"/>
        </w:sectPr>
      </w:pPr>
    </w:p>
    <w:p>
      <w:pPr>
        <w:pStyle w:val="4"/>
        <w:spacing w:before="39" w:line="391" w:lineRule="auto"/>
        <w:ind w:right="268"/>
        <w:rPr>
          <w:color w:val="auto"/>
        </w:rPr>
      </w:pPr>
      <w:r>
        <w:rPr>
          <w:color w:val="auto"/>
          <w:spacing w:val="-3"/>
        </w:rPr>
        <w:t>技术监督部门会同同级经济贸易管理部门制定。地方质量保证条件不得低于国家质量</w:t>
      </w:r>
      <w:r>
        <w:rPr>
          <w:color w:val="auto"/>
          <w:spacing w:val="-16"/>
        </w:rPr>
        <w:t>保证基本条件。”</w:t>
      </w:r>
    </w:p>
    <w:p>
      <w:pPr>
        <w:spacing w:before="0" w:line="388" w:lineRule="auto"/>
        <w:ind w:left="751" w:right="6784" w:firstLine="2"/>
        <w:jc w:val="left"/>
        <w:rPr>
          <w:color w:val="auto"/>
          <w:sz w:val="24"/>
        </w:rPr>
      </w:pPr>
      <w:r>
        <w:rPr>
          <w:b/>
          <w:color w:val="auto"/>
          <w:sz w:val="24"/>
        </w:rPr>
        <w:t>（二）</w:t>
      </w:r>
      <w:r>
        <w:rPr>
          <w:b/>
          <w:color w:val="auto"/>
          <w:spacing w:val="-4"/>
          <w:sz w:val="24"/>
        </w:rPr>
        <w:t>裁量标准</w:t>
      </w:r>
      <w:r>
        <w:rPr>
          <w:color w:val="auto"/>
          <w:sz w:val="24"/>
        </w:rPr>
        <w:t>1</w:t>
      </w:r>
      <w:r>
        <w:rPr>
          <w:color w:val="auto"/>
          <w:spacing w:val="-24"/>
          <w:sz w:val="24"/>
        </w:rPr>
        <w:t>、【较轻】</w:t>
      </w:r>
    </w:p>
    <w:p>
      <w:pPr>
        <w:pStyle w:val="13"/>
        <w:numPr>
          <w:ilvl w:val="0"/>
          <w:numId w:val="1562"/>
        </w:numPr>
        <w:tabs>
          <w:tab w:val="left" w:pos="1353"/>
        </w:tabs>
        <w:spacing w:before="3"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万元以下的。</w:t>
      </w:r>
    </w:p>
    <w:p>
      <w:pPr>
        <w:pStyle w:val="13"/>
        <w:numPr>
          <w:ilvl w:val="0"/>
          <w:numId w:val="1562"/>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563"/>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 5 万元以上 20 万元以下的。</w:t>
      </w:r>
    </w:p>
    <w:p>
      <w:pPr>
        <w:pStyle w:val="13"/>
        <w:numPr>
          <w:ilvl w:val="0"/>
          <w:numId w:val="1563"/>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、【较重】</w:t>
      </w:r>
    </w:p>
    <w:p>
      <w:pPr>
        <w:pStyle w:val="13"/>
        <w:numPr>
          <w:ilvl w:val="0"/>
          <w:numId w:val="1564"/>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spacing w:val="-12"/>
        </w:rPr>
        <w:t xml:space="preserve">货值金额 </w:t>
      </w:r>
      <w:r>
        <w:rPr>
          <w:color w:val="auto"/>
        </w:rPr>
        <w:t>20</w:t>
      </w:r>
      <w:r>
        <w:rPr>
          <w:color w:val="auto"/>
          <w:spacing w:val="-14"/>
        </w:rPr>
        <w:t xml:space="preserve"> 万元以上的，两年内再次出现相同违法行为的，经责令改正拒不改</w:t>
      </w:r>
      <w:r>
        <w:rPr>
          <w:color w:val="auto"/>
        </w:rPr>
        <w:t>正的，造成较大社会影响的。</w:t>
      </w:r>
    </w:p>
    <w:p>
      <w:pPr>
        <w:pStyle w:val="13"/>
        <w:numPr>
          <w:ilvl w:val="0"/>
          <w:numId w:val="1564"/>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2 万元以上 3 万元以下罚款。</w:t>
      </w:r>
    </w:p>
    <w:p>
      <w:pPr>
        <w:pStyle w:val="2"/>
        <w:spacing w:before="194" w:line="388" w:lineRule="auto"/>
        <w:ind w:left="111" w:right="237" w:firstLine="480"/>
        <w:rPr>
          <w:color w:val="auto"/>
        </w:rPr>
      </w:pPr>
      <w:bookmarkStart w:id="1380" w:name="_bookmark689"/>
      <w:bookmarkEnd w:id="1380"/>
      <w:bookmarkStart w:id="1381" w:name="六百七十六、茧丝经营者收购蚕茧未按照国家标准、行业标准或者地方标准以及技术规范，"/>
      <w:bookmarkEnd w:id="1381"/>
      <w:r>
        <w:rPr>
          <w:color w:val="auto"/>
          <w:spacing w:val="-8"/>
        </w:rPr>
        <w:t>六百七十六、茧丝经营者收购蚕茧未按照国家标准、行业标准或者地方标准以及技术规范，保证收购蚕茧质量</w:t>
      </w:r>
    </w:p>
    <w:p>
      <w:pPr>
        <w:spacing w:before="2"/>
        <w:ind w:left="754" w:right="0" w:firstLine="0"/>
        <w:jc w:val="left"/>
        <w:rPr>
          <w:b/>
          <w:color w:val="auto"/>
          <w:sz w:val="24"/>
        </w:rPr>
      </w:pPr>
      <w:r>
        <w:rPr>
          <w:b/>
          <w:color w:val="auto"/>
          <w:sz w:val="24"/>
        </w:rPr>
        <w:t>（一）处罚依据</w:t>
      </w:r>
    </w:p>
    <w:p>
      <w:pPr>
        <w:pStyle w:val="4"/>
        <w:spacing w:before="194" w:line="388" w:lineRule="auto"/>
        <w:ind w:right="139" w:firstLine="640"/>
        <w:rPr>
          <w:color w:val="auto"/>
        </w:rPr>
      </w:pPr>
      <w:r>
        <w:rPr>
          <w:color w:val="auto"/>
        </w:rPr>
        <w:t>1</w:t>
      </w:r>
      <w:r>
        <w:rPr>
          <w:color w:val="auto"/>
          <w:spacing w:val="-12"/>
        </w:rPr>
        <w:t>、《茧丝质量监督管理办法》第二十一条“违反本办法第十三条第</w:t>
      </w:r>
      <w:r>
        <w:rPr>
          <w:color w:val="auto"/>
        </w:rPr>
        <w:t>（一）项、</w:t>
      </w:r>
      <w:r>
        <w:rPr>
          <w:color w:val="auto"/>
          <w:spacing w:val="-10"/>
        </w:rPr>
        <w:t>第</w:t>
      </w:r>
      <w:r>
        <w:rPr>
          <w:color w:val="auto"/>
          <w:spacing w:val="-3"/>
        </w:rPr>
        <w:t>（</w:t>
      </w:r>
      <w:r>
        <w:rPr>
          <w:color w:val="auto"/>
        </w:rPr>
        <w:t>二</w:t>
      </w:r>
      <w:r>
        <w:rPr>
          <w:color w:val="auto"/>
          <w:spacing w:val="-10"/>
        </w:rPr>
        <w:t>）</w:t>
      </w:r>
      <w:r>
        <w:rPr>
          <w:color w:val="auto"/>
          <w:spacing w:val="-8"/>
        </w:rPr>
        <w:t>项、第</w:t>
      </w:r>
      <w:r>
        <w:rPr>
          <w:color w:val="auto"/>
        </w:rPr>
        <w:t>（三</w:t>
      </w:r>
      <w:r>
        <w:rPr>
          <w:color w:val="auto"/>
          <w:spacing w:val="-10"/>
        </w:rPr>
        <w:t>）</w:t>
      </w:r>
      <w:r>
        <w:rPr>
          <w:color w:val="auto"/>
          <w:spacing w:val="-8"/>
        </w:rPr>
        <w:t>项、第</w:t>
      </w:r>
      <w:r>
        <w:rPr>
          <w:color w:val="auto"/>
        </w:rPr>
        <w:t>（四</w:t>
      </w:r>
      <w:r>
        <w:rPr>
          <w:color w:val="auto"/>
          <w:spacing w:val="-10"/>
        </w:rPr>
        <w:t>）</w:t>
      </w:r>
      <w:r>
        <w:rPr>
          <w:color w:val="auto"/>
          <w:spacing w:val="-8"/>
        </w:rPr>
        <w:t>项、第</w:t>
      </w:r>
      <w:r>
        <w:rPr>
          <w:color w:val="auto"/>
        </w:rPr>
        <w:t>（五</w:t>
      </w:r>
      <w:r>
        <w:rPr>
          <w:color w:val="auto"/>
          <w:spacing w:val="-10"/>
        </w:rPr>
        <w:t>）</w:t>
      </w:r>
      <w:r>
        <w:rPr>
          <w:color w:val="auto"/>
          <w:spacing w:val="-8"/>
        </w:rPr>
        <w:t>项、第</w:t>
      </w:r>
      <w:r>
        <w:rPr>
          <w:color w:val="auto"/>
        </w:rPr>
        <w:t>（七</w:t>
      </w:r>
      <w:r>
        <w:rPr>
          <w:color w:val="auto"/>
          <w:spacing w:val="-10"/>
        </w:rPr>
        <w:t>）</w:t>
      </w:r>
      <w:r>
        <w:rPr>
          <w:color w:val="auto"/>
          <w:spacing w:val="-3"/>
        </w:rPr>
        <w:t xml:space="preserve">项中任何一项规定的， 由纤维质量监督机构责令限期改正，可以处 </w:t>
      </w:r>
      <w:r>
        <w:rPr>
          <w:color w:val="auto"/>
        </w:rPr>
        <w:t>3</w:t>
      </w:r>
      <w:r>
        <w:rPr>
          <w:color w:val="auto"/>
          <w:spacing w:val="-21"/>
        </w:rPr>
        <w:t xml:space="preserve"> 万元以下罚款。”</w:t>
      </w:r>
    </w:p>
    <w:p>
      <w:pPr>
        <w:pStyle w:val="4"/>
        <w:spacing w:before="6" w:line="388" w:lineRule="auto"/>
        <w:ind w:right="268" w:firstLine="640"/>
        <w:jc w:val="both"/>
        <w:rPr>
          <w:color w:val="auto"/>
        </w:rPr>
      </w:pPr>
      <w:r>
        <w:rPr>
          <w:color w:val="auto"/>
        </w:rPr>
        <w:t>2</w:t>
      </w:r>
      <w:r>
        <w:rPr>
          <w:color w:val="auto"/>
          <w:spacing w:val="-16"/>
        </w:rPr>
        <w:t>、《茧丝质量监督管理办法》第十三条 “茧丝经营者收购蚕茧，必须符合下列</w:t>
      </w:r>
      <w:r>
        <w:rPr>
          <w:color w:val="auto"/>
          <w:spacing w:val="-39"/>
        </w:rPr>
        <w:t>要求：</w:t>
      </w:r>
      <w:r>
        <w:rPr>
          <w:color w:val="auto"/>
          <w:spacing w:val="2"/>
        </w:rPr>
        <w:t>（二）</w:t>
      </w:r>
      <w:r>
        <w:rPr>
          <w:color w:val="auto"/>
        </w:rPr>
        <w:t>按照国家标准、行业标准或者地方标准以及技术规范，保证收购蚕茧的</w:t>
      </w:r>
      <w:r>
        <w:rPr>
          <w:color w:val="auto"/>
          <w:spacing w:val="-30"/>
        </w:rPr>
        <w:t>质量。”</w:t>
      </w:r>
    </w:p>
    <w:p>
      <w:pPr>
        <w:spacing w:after="0" w:line="388" w:lineRule="auto"/>
        <w:jc w:val="both"/>
        <w:rPr>
          <w:color w:val="auto"/>
        </w:rPr>
        <w:sectPr>
          <w:pgSz w:w="11910" w:h="16840"/>
          <w:pgMar w:top="1520" w:right="1260" w:bottom="1220" w:left="1420" w:header="0" w:footer="1034" w:gutter="0"/>
        </w:sectPr>
      </w:pPr>
    </w:p>
    <w:p>
      <w:pPr>
        <w:spacing w:before="39"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6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万元以下的。</w:t>
      </w:r>
    </w:p>
    <w:p>
      <w:pPr>
        <w:pStyle w:val="13"/>
        <w:numPr>
          <w:ilvl w:val="0"/>
          <w:numId w:val="1565"/>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566"/>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万元以上 20 万元以下的。</w:t>
      </w:r>
    </w:p>
    <w:p>
      <w:pPr>
        <w:pStyle w:val="13"/>
        <w:numPr>
          <w:ilvl w:val="0"/>
          <w:numId w:val="1566"/>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、【较重】</w:t>
      </w:r>
    </w:p>
    <w:p>
      <w:pPr>
        <w:pStyle w:val="13"/>
        <w:numPr>
          <w:ilvl w:val="0"/>
          <w:numId w:val="1567"/>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20 万元以上的。</w:t>
      </w:r>
    </w:p>
    <w:p>
      <w:pPr>
        <w:pStyle w:val="13"/>
        <w:numPr>
          <w:ilvl w:val="0"/>
          <w:numId w:val="156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3</w:t>
      </w:r>
      <w:r>
        <w:rPr>
          <w:color w:val="auto"/>
          <w:spacing w:val="-11"/>
        </w:rPr>
        <w:t xml:space="preserve"> 万元以下罚款。</w:t>
      </w:r>
      <w:r>
        <w:rPr>
          <w:color w:val="auto"/>
        </w:rPr>
        <w:t>4</w:t>
      </w:r>
      <w:r>
        <w:rPr>
          <w:color w:val="auto"/>
          <w:spacing w:val="-24"/>
        </w:rPr>
        <w:t>、【严重】</w:t>
      </w:r>
    </w:p>
    <w:p>
      <w:pPr>
        <w:pStyle w:val="13"/>
        <w:numPr>
          <w:ilvl w:val="0"/>
          <w:numId w:val="156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两年内再次出现相同违法行为的，经责令改正拒不改正的，造成较大社会影响</w:t>
      </w:r>
    </w:p>
    <w:p>
      <w:pPr>
        <w:pStyle w:val="4"/>
        <w:ind w:left="0"/>
        <w:rPr>
          <w:color w:val="auto"/>
          <w:sz w:val="10"/>
        </w:rPr>
      </w:pPr>
    </w:p>
    <w:p>
      <w:pPr>
        <w:pStyle w:val="4"/>
        <w:spacing w:before="66"/>
        <w:rPr>
          <w:color w:val="auto"/>
        </w:rPr>
      </w:pPr>
      <w:r>
        <w:rPr>
          <w:color w:val="auto"/>
        </w:rPr>
        <w:t>的。</w:t>
      </w:r>
    </w:p>
    <w:p>
      <w:pPr>
        <w:pStyle w:val="4"/>
        <w:spacing w:before="10"/>
        <w:ind w:left="0"/>
        <w:rPr>
          <w:color w:val="auto"/>
          <w:sz w:val="9"/>
        </w:rPr>
      </w:pPr>
    </w:p>
    <w:p>
      <w:pPr>
        <w:pStyle w:val="13"/>
        <w:numPr>
          <w:ilvl w:val="0"/>
          <w:numId w:val="1568"/>
        </w:numPr>
        <w:tabs>
          <w:tab w:val="left" w:pos="1353"/>
        </w:tabs>
        <w:spacing w:before="67"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责令改正，可以处 3 万元罚款。</w:t>
      </w:r>
    </w:p>
    <w:p>
      <w:pPr>
        <w:pStyle w:val="2"/>
        <w:spacing w:before="194" w:line="388" w:lineRule="auto"/>
        <w:ind w:left="111" w:right="237" w:firstLine="480"/>
        <w:rPr>
          <w:color w:val="auto"/>
        </w:rPr>
      </w:pPr>
      <w:bookmarkStart w:id="1382" w:name="_bookmark690"/>
      <w:bookmarkEnd w:id="1382"/>
      <w:bookmarkStart w:id="1383" w:name="六百七十七、茧丝经营者收购蚕茧未按照国家标准、行业标准或者地方标准以及技术规范，"/>
      <w:bookmarkEnd w:id="1383"/>
      <w:r>
        <w:rPr>
          <w:color w:val="auto"/>
          <w:spacing w:val="-8"/>
        </w:rPr>
        <w:t>六百七十七、茧丝经营者收购蚕茧未按照国家标准、行业标准或者地方标准以及技术规范，对收购的桑蚕鲜茧进行仪评</w:t>
      </w:r>
    </w:p>
    <w:p>
      <w:pPr>
        <w:spacing w:before="3"/>
        <w:ind w:left="754" w:right="0" w:firstLine="0"/>
        <w:jc w:val="left"/>
        <w:rPr>
          <w:b/>
          <w:color w:val="auto"/>
          <w:sz w:val="24"/>
        </w:rPr>
      </w:pPr>
      <w:r>
        <w:rPr>
          <w:b/>
          <w:color w:val="auto"/>
          <w:sz w:val="24"/>
        </w:rPr>
        <w:t>（一）处罚依据</w:t>
      </w:r>
    </w:p>
    <w:p>
      <w:pPr>
        <w:pStyle w:val="4"/>
        <w:spacing w:before="194" w:line="388" w:lineRule="auto"/>
        <w:ind w:right="139" w:firstLine="640"/>
        <w:rPr>
          <w:color w:val="auto"/>
        </w:rPr>
      </w:pPr>
      <w:r>
        <w:rPr>
          <w:color w:val="auto"/>
        </w:rPr>
        <w:t>1</w:t>
      </w:r>
      <w:r>
        <w:rPr>
          <w:color w:val="auto"/>
          <w:spacing w:val="-12"/>
        </w:rPr>
        <w:t>、《茧丝质量监督管理办法》第二十一条“违反本办法第十三条第</w:t>
      </w:r>
      <w:r>
        <w:rPr>
          <w:color w:val="auto"/>
        </w:rPr>
        <w:t>（一）项、</w:t>
      </w:r>
      <w:r>
        <w:rPr>
          <w:color w:val="auto"/>
          <w:spacing w:val="-10"/>
        </w:rPr>
        <w:t>第</w:t>
      </w:r>
      <w:r>
        <w:rPr>
          <w:color w:val="auto"/>
          <w:spacing w:val="-3"/>
        </w:rPr>
        <w:t>（</w:t>
      </w:r>
      <w:r>
        <w:rPr>
          <w:color w:val="auto"/>
        </w:rPr>
        <w:t>二</w:t>
      </w:r>
      <w:r>
        <w:rPr>
          <w:color w:val="auto"/>
          <w:spacing w:val="-10"/>
        </w:rPr>
        <w:t>）</w:t>
      </w:r>
      <w:r>
        <w:rPr>
          <w:color w:val="auto"/>
          <w:spacing w:val="-8"/>
        </w:rPr>
        <w:t>项、第</w:t>
      </w:r>
      <w:r>
        <w:rPr>
          <w:color w:val="auto"/>
        </w:rPr>
        <w:t>（三</w:t>
      </w:r>
      <w:r>
        <w:rPr>
          <w:color w:val="auto"/>
          <w:spacing w:val="-10"/>
        </w:rPr>
        <w:t>）</w:t>
      </w:r>
      <w:r>
        <w:rPr>
          <w:color w:val="auto"/>
          <w:spacing w:val="-8"/>
        </w:rPr>
        <w:t>项、第</w:t>
      </w:r>
      <w:r>
        <w:rPr>
          <w:color w:val="auto"/>
        </w:rPr>
        <w:t>（四</w:t>
      </w:r>
      <w:r>
        <w:rPr>
          <w:color w:val="auto"/>
          <w:spacing w:val="-10"/>
        </w:rPr>
        <w:t>）</w:t>
      </w:r>
      <w:r>
        <w:rPr>
          <w:color w:val="auto"/>
          <w:spacing w:val="-8"/>
        </w:rPr>
        <w:t>项、第</w:t>
      </w:r>
      <w:r>
        <w:rPr>
          <w:color w:val="auto"/>
        </w:rPr>
        <w:t>（五</w:t>
      </w:r>
      <w:r>
        <w:rPr>
          <w:color w:val="auto"/>
          <w:spacing w:val="-10"/>
        </w:rPr>
        <w:t>）</w:t>
      </w:r>
      <w:r>
        <w:rPr>
          <w:color w:val="auto"/>
          <w:spacing w:val="-8"/>
        </w:rPr>
        <w:t>项、第</w:t>
      </w:r>
      <w:r>
        <w:rPr>
          <w:color w:val="auto"/>
        </w:rPr>
        <w:t>（七</w:t>
      </w:r>
      <w:r>
        <w:rPr>
          <w:color w:val="auto"/>
          <w:spacing w:val="-10"/>
        </w:rPr>
        <w:t>）</w:t>
      </w:r>
      <w:r>
        <w:rPr>
          <w:color w:val="auto"/>
          <w:spacing w:val="-3"/>
        </w:rPr>
        <w:t xml:space="preserve">项中任何一项规定的， 由纤维质量监督机构责令限期改正，可以处 </w:t>
      </w:r>
      <w:r>
        <w:rPr>
          <w:color w:val="auto"/>
        </w:rPr>
        <w:t>3</w:t>
      </w:r>
      <w:r>
        <w:rPr>
          <w:color w:val="auto"/>
          <w:spacing w:val="-21"/>
        </w:rPr>
        <w:t xml:space="preserve"> 万元以下罚款。”</w:t>
      </w:r>
    </w:p>
    <w:p>
      <w:pPr>
        <w:spacing w:after="0" w:line="388" w:lineRule="auto"/>
        <w:rPr>
          <w:color w:val="auto"/>
        </w:rPr>
        <w:sectPr>
          <w:footerReference r:id="rId175" w:type="default"/>
          <w:footerReference r:id="rId176" w:type="even"/>
          <w:pgSz w:w="11910" w:h="16840"/>
          <w:pgMar w:top="1520" w:right="1260" w:bottom="1220" w:left="1420" w:header="0" w:footer="1034" w:gutter="0"/>
          <w:pgNumType w:start="660"/>
        </w:sectPr>
      </w:pPr>
    </w:p>
    <w:p>
      <w:pPr>
        <w:pStyle w:val="4"/>
        <w:spacing w:before="39" w:line="391" w:lineRule="auto"/>
        <w:ind w:right="268" w:firstLine="640"/>
        <w:jc w:val="both"/>
        <w:rPr>
          <w:color w:val="auto"/>
        </w:rPr>
      </w:pPr>
      <w:r>
        <w:rPr>
          <w:color w:val="auto"/>
        </w:rPr>
        <w:t>2</w:t>
      </w:r>
      <w:r>
        <w:rPr>
          <w:color w:val="auto"/>
          <w:spacing w:val="-12"/>
        </w:rPr>
        <w:t>、《茧丝质量监督管理办法》第十三条“茧丝经营者收购蚕茧，必须符合下列</w:t>
      </w:r>
      <w:r>
        <w:rPr>
          <w:color w:val="auto"/>
          <w:spacing w:val="-39"/>
        </w:rPr>
        <w:t>要求：</w:t>
      </w:r>
      <w:r>
        <w:rPr>
          <w:color w:val="auto"/>
          <w:spacing w:val="2"/>
        </w:rPr>
        <w:t>（三）</w:t>
      </w:r>
      <w:r>
        <w:rPr>
          <w:color w:val="auto"/>
        </w:rPr>
        <w:t>按照国家标准、行业标准或者地方标准以及技术规范，对收购的桑蚕鲜</w:t>
      </w:r>
      <w:r>
        <w:rPr>
          <w:color w:val="auto"/>
          <w:spacing w:val="-18"/>
        </w:rPr>
        <w:t>茧进行仪评。”</w:t>
      </w:r>
    </w:p>
    <w:p>
      <w:pPr>
        <w:spacing w:before="0"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69"/>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9"/>
        <w:ind w:left="751"/>
        <w:rPr>
          <w:color w:val="auto"/>
        </w:rPr>
      </w:pPr>
      <w:r>
        <w:rPr>
          <w:color w:val="auto"/>
        </w:rPr>
        <w:t>初次违法，货值金额 5 万元以下的。</w:t>
      </w:r>
    </w:p>
    <w:p>
      <w:pPr>
        <w:pStyle w:val="13"/>
        <w:numPr>
          <w:ilvl w:val="0"/>
          <w:numId w:val="1569"/>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570"/>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万元以上 20 万元以下的。</w:t>
      </w:r>
    </w:p>
    <w:p>
      <w:pPr>
        <w:pStyle w:val="13"/>
        <w:numPr>
          <w:ilvl w:val="0"/>
          <w:numId w:val="1570"/>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、【较重】</w:t>
      </w:r>
    </w:p>
    <w:p>
      <w:pPr>
        <w:pStyle w:val="13"/>
        <w:numPr>
          <w:ilvl w:val="0"/>
          <w:numId w:val="157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货值金额 20 万元以上的。</w:t>
      </w:r>
    </w:p>
    <w:p>
      <w:pPr>
        <w:pStyle w:val="13"/>
        <w:numPr>
          <w:ilvl w:val="0"/>
          <w:numId w:val="1571"/>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3</w:t>
      </w:r>
      <w:r>
        <w:rPr>
          <w:color w:val="auto"/>
          <w:spacing w:val="-11"/>
        </w:rPr>
        <w:t xml:space="preserve"> 万元以下罚款。</w:t>
      </w:r>
      <w:r>
        <w:rPr>
          <w:color w:val="auto"/>
        </w:rPr>
        <w:t>4</w:t>
      </w:r>
      <w:r>
        <w:rPr>
          <w:color w:val="auto"/>
          <w:spacing w:val="-24"/>
        </w:rPr>
        <w:t>、【严重】</w:t>
      </w:r>
    </w:p>
    <w:p>
      <w:pPr>
        <w:pStyle w:val="13"/>
        <w:numPr>
          <w:ilvl w:val="0"/>
          <w:numId w:val="1572"/>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两年内再次出现相同违法行为的，经责令改正拒不改正的，造成较大社会影响</w:t>
      </w:r>
    </w:p>
    <w:p>
      <w:pPr>
        <w:pStyle w:val="4"/>
        <w:spacing w:before="194"/>
        <w:rPr>
          <w:color w:val="auto"/>
        </w:rPr>
      </w:pPr>
      <w:r>
        <w:rPr>
          <w:color w:val="auto"/>
        </w:rPr>
        <w:t>的。</w:t>
      </w:r>
    </w:p>
    <w:p>
      <w:pPr>
        <w:pStyle w:val="13"/>
        <w:numPr>
          <w:ilvl w:val="0"/>
          <w:numId w:val="1572"/>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3 万元罚款。</w:t>
      </w:r>
    </w:p>
    <w:p>
      <w:pPr>
        <w:pStyle w:val="2"/>
        <w:spacing w:before="194" w:line="388" w:lineRule="auto"/>
        <w:ind w:left="111" w:right="237" w:firstLine="480"/>
        <w:rPr>
          <w:color w:val="auto"/>
        </w:rPr>
      </w:pPr>
      <w:bookmarkStart w:id="1384" w:name="六百七十八、茧丝经营者收购蚕茧，不根据仪评的结果真实确定所收购桑蚕鲜茧的类别、等"/>
      <w:bookmarkEnd w:id="1384"/>
      <w:bookmarkStart w:id="1385" w:name="_bookmark691"/>
      <w:bookmarkEnd w:id="1385"/>
      <w:r>
        <w:rPr>
          <w:color w:val="auto"/>
          <w:spacing w:val="-8"/>
        </w:rPr>
        <w:t>六百七十八、茧丝经营者收购蚕茧，不根据仪评的结果真实确定所收购桑蚕鲜茧的类别、等级、数量并在与交售者结算前以书面形式将仪评结果告知交售者</w:t>
      </w:r>
    </w:p>
    <w:p>
      <w:pPr>
        <w:spacing w:before="2"/>
        <w:ind w:left="754" w:right="0" w:firstLine="0"/>
        <w:jc w:val="left"/>
        <w:rPr>
          <w:b/>
          <w:color w:val="auto"/>
          <w:sz w:val="24"/>
        </w:rPr>
      </w:pPr>
      <w:r>
        <w:rPr>
          <w:b/>
          <w:color w:val="auto"/>
          <w:sz w:val="24"/>
        </w:rPr>
        <w:t>（一）处罚依据</w:t>
      </w:r>
    </w:p>
    <w:p>
      <w:pPr>
        <w:spacing w:after="0"/>
        <w:jc w:val="left"/>
        <w:rPr>
          <w:color w:val="auto"/>
          <w:sz w:val="24"/>
        </w:rPr>
        <w:sectPr>
          <w:pgSz w:w="11910" w:h="16840"/>
          <w:pgMar w:top="1520" w:right="1260" w:bottom="1220" w:left="1420" w:header="0" w:footer="1034" w:gutter="0"/>
        </w:sectPr>
      </w:pPr>
    </w:p>
    <w:p>
      <w:pPr>
        <w:pStyle w:val="4"/>
        <w:spacing w:before="39" w:line="391" w:lineRule="auto"/>
        <w:ind w:right="139" w:firstLine="640"/>
        <w:rPr>
          <w:color w:val="auto"/>
        </w:rPr>
      </w:pPr>
      <w:r>
        <w:rPr>
          <w:color w:val="auto"/>
        </w:rPr>
        <w:t>1</w:t>
      </w:r>
      <w:r>
        <w:rPr>
          <w:color w:val="auto"/>
          <w:spacing w:val="-12"/>
        </w:rPr>
        <w:t>、《茧丝质量监督管理办法》第二十一条“违反本办法第十三条第</w:t>
      </w:r>
      <w:r>
        <w:rPr>
          <w:color w:val="auto"/>
        </w:rPr>
        <w:t>（一）项、</w:t>
      </w:r>
      <w:r>
        <w:rPr>
          <w:color w:val="auto"/>
          <w:spacing w:val="-10"/>
        </w:rPr>
        <w:t>第</w:t>
      </w:r>
      <w:r>
        <w:rPr>
          <w:color w:val="auto"/>
          <w:spacing w:val="-3"/>
        </w:rPr>
        <w:t>（</w:t>
      </w:r>
      <w:r>
        <w:rPr>
          <w:color w:val="auto"/>
        </w:rPr>
        <w:t>二</w:t>
      </w:r>
      <w:r>
        <w:rPr>
          <w:color w:val="auto"/>
          <w:spacing w:val="-10"/>
        </w:rPr>
        <w:t>）</w:t>
      </w:r>
      <w:r>
        <w:rPr>
          <w:color w:val="auto"/>
          <w:spacing w:val="-8"/>
        </w:rPr>
        <w:t>项、第</w:t>
      </w:r>
      <w:r>
        <w:rPr>
          <w:color w:val="auto"/>
        </w:rPr>
        <w:t>（三</w:t>
      </w:r>
      <w:r>
        <w:rPr>
          <w:color w:val="auto"/>
          <w:spacing w:val="-10"/>
        </w:rPr>
        <w:t>）</w:t>
      </w:r>
      <w:r>
        <w:rPr>
          <w:color w:val="auto"/>
          <w:spacing w:val="-8"/>
        </w:rPr>
        <w:t>项、第</w:t>
      </w:r>
      <w:r>
        <w:rPr>
          <w:color w:val="auto"/>
        </w:rPr>
        <w:t>（四</w:t>
      </w:r>
      <w:r>
        <w:rPr>
          <w:color w:val="auto"/>
          <w:spacing w:val="-10"/>
        </w:rPr>
        <w:t>）</w:t>
      </w:r>
      <w:r>
        <w:rPr>
          <w:color w:val="auto"/>
          <w:spacing w:val="-8"/>
        </w:rPr>
        <w:t>项、第</w:t>
      </w:r>
      <w:r>
        <w:rPr>
          <w:color w:val="auto"/>
        </w:rPr>
        <w:t>（五</w:t>
      </w:r>
      <w:r>
        <w:rPr>
          <w:color w:val="auto"/>
          <w:spacing w:val="-10"/>
        </w:rPr>
        <w:t>）</w:t>
      </w:r>
      <w:r>
        <w:rPr>
          <w:color w:val="auto"/>
          <w:spacing w:val="-8"/>
        </w:rPr>
        <w:t>项、第</w:t>
      </w:r>
      <w:r>
        <w:rPr>
          <w:color w:val="auto"/>
        </w:rPr>
        <w:t>（七</w:t>
      </w:r>
      <w:r>
        <w:rPr>
          <w:color w:val="auto"/>
          <w:spacing w:val="-10"/>
        </w:rPr>
        <w:t>）</w:t>
      </w:r>
      <w:r>
        <w:rPr>
          <w:color w:val="auto"/>
          <w:spacing w:val="-3"/>
        </w:rPr>
        <w:t xml:space="preserve">项中任何一项规定的， 由纤维质量监督机构责令限期改正，可以处 </w:t>
      </w:r>
      <w:r>
        <w:rPr>
          <w:color w:val="auto"/>
        </w:rPr>
        <w:t>3</w:t>
      </w:r>
      <w:r>
        <w:rPr>
          <w:color w:val="auto"/>
          <w:spacing w:val="-21"/>
        </w:rPr>
        <w:t xml:space="preserve"> 万元以下罚款。”</w:t>
      </w:r>
    </w:p>
    <w:p>
      <w:pPr>
        <w:pStyle w:val="4"/>
        <w:spacing w:line="391" w:lineRule="auto"/>
        <w:ind w:right="268" w:firstLine="640"/>
        <w:jc w:val="both"/>
        <w:rPr>
          <w:color w:val="auto"/>
        </w:rPr>
      </w:pPr>
      <w:r>
        <w:rPr>
          <w:color w:val="auto"/>
        </w:rPr>
        <w:t>2</w:t>
      </w:r>
      <w:r>
        <w:rPr>
          <w:color w:val="auto"/>
          <w:spacing w:val="-12"/>
        </w:rPr>
        <w:t>、《茧丝质量监督管理办法》第十三条“茧丝经营者收购蚕茧，必须符合下列</w:t>
      </w:r>
      <w:r>
        <w:rPr>
          <w:color w:val="auto"/>
          <w:spacing w:val="-39"/>
        </w:rPr>
        <w:t>要求：</w:t>
      </w:r>
      <w:r>
        <w:rPr>
          <w:color w:val="auto"/>
          <w:spacing w:val="2"/>
        </w:rPr>
        <w:t>（四）</w:t>
      </w:r>
      <w:r>
        <w:rPr>
          <w:color w:val="auto"/>
        </w:rPr>
        <w:t>根据仪评的结果真实确定所收购桑蚕鲜茧的类别、等级、数量，并在与</w:t>
      </w:r>
      <w:r>
        <w:rPr>
          <w:color w:val="auto"/>
          <w:spacing w:val="-6"/>
        </w:rPr>
        <w:t>交售者结算前以书面形式将仪评结果告知交售者。”</w:t>
      </w:r>
    </w:p>
    <w:p>
      <w:pPr>
        <w:spacing w:before="0"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7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5"/>
        <w:ind w:left="751"/>
        <w:rPr>
          <w:color w:val="auto"/>
        </w:rPr>
      </w:pPr>
      <w:r>
        <w:rPr>
          <w:color w:val="auto"/>
        </w:rPr>
        <w:t>初次违法，货值金额 5 万元以下的。</w:t>
      </w:r>
    </w:p>
    <w:p>
      <w:pPr>
        <w:pStyle w:val="13"/>
        <w:numPr>
          <w:ilvl w:val="0"/>
          <w:numId w:val="1573"/>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574"/>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初次违法，货值金额 5 万元以上 20 万元以下的。</w:t>
      </w:r>
    </w:p>
    <w:p>
      <w:pPr>
        <w:pStyle w:val="13"/>
        <w:numPr>
          <w:ilvl w:val="0"/>
          <w:numId w:val="1574"/>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、【较重】</w:t>
      </w:r>
    </w:p>
    <w:p>
      <w:pPr>
        <w:pStyle w:val="13"/>
        <w:numPr>
          <w:ilvl w:val="0"/>
          <w:numId w:val="1575"/>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20 万元以上的。</w:t>
      </w:r>
    </w:p>
    <w:p>
      <w:pPr>
        <w:pStyle w:val="13"/>
        <w:numPr>
          <w:ilvl w:val="0"/>
          <w:numId w:val="1575"/>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3</w:t>
      </w:r>
      <w:r>
        <w:rPr>
          <w:color w:val="auto"/>
          <w:spacing w:val="-11"/>
        </w:rPr>
        <w:t xml:space="preserve"> 万元以下罚款。</w:t>
      </w:r>
      <w:r>
        <w:rPr>
          <w:color w:val="auto"/>
        </w:rPr>
        <w:t>4</w:t>
      </w:r>
      <w:r>
        <w:rPr>
          <w:color w:val="auto"/>
          <w:spacing w:val="-24"/>
        </w:rPr>
        <w:t>、【严重】</w:t>
      </w:r>
    </w:p>
    <w:p>
      <w:pPr>
        <w:pStyle w:val="13"/>
        <w:numPr>
          <w:ilvl w:val="0"/>
          <w:numId w:val="157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两年内再次出现相同违法行为的，经责令改正拒不改正的，造成较大社会影响</w:t>
      </w:r>
    </w:p>
    <w:p>
      <w:pPr>
        <w:pStyle w:val="4"/>
        <w:spacing w:before="194"/>
        <w:rPr>
          <w:color w:val="auto"/>
        </w:rPr>
      </w:pPr>
      <w:r>
        <w:rPr>
          <w:color w:val="auto"/>
        </w:rPr>
        <w:t>的。</w:t>
      </w:r>
    </w:p>
    <w:p>
      <w:pPr>
        <w:pStyle w:val="13"/>
        <w:numPr>
          <w:ilvl w:val="0"/>
          <w:numId w:val="1576"/>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责令改正，可以处 3 万元罚款。</w:t>
      </w:r>
    </w:p>
    <w:p>
      <w:pPr>
        <w:spacing w:after="0"/>
        <w:rPr>
          <w:color w:val="auto"/>
        </w:rPr>
        <w:sectPr>
          <w:pgSz w:w="11910" w:h="16840"/>
          <w:pgMar w:top="1520" w:right="1260" w:bottom="1220" w:left="1420" w:header="0" w:footer="1034" w:gutter="0"/>
        </w:sectPr>
      </w:pPr>
    </w:p>
    <w:p>
      <w:pPr>
        <w:pStyle w:val="2"/>
        <w:spacing w:before="39"/>
        <w:rPr>
          <w:color w:val="auto"/>
        </w:rPr>
      </w:pPr>
      <w:bookmarkStart w:id="1386" w:name="六百七十九、茧丝经营者收购毛脚茧、过潮茧、统茧等有严重质量问题的蚕茧"/>
      <w:bookmarkEnd w:id="1386"/>
      <w:bookmarkStart w:id="1387" w:name="_bookmark692"/>
      <w:bookmarkEnd w:id="1387"/>
      <w:r>
        <w:rPr>
          <w:color w:val="auto"/>
        </w:rPr>
        <w:t>六百七十九、茧丝经营者收购毛脚茧、过潮茧、统茧等有严重质量问题的蚕茧</w:t>
      </w:r>
    </w:p>
    <w:p>
      <w:pPr>
        <w:spacing w:before="195"/>
        <w:ind w:left="754" w:right="0" w:firstLine="0"/>
        <w:jc w:val="left"/>
        <w:rPr>
          <w:b/>
          <w:color w:val="auto"/>
          <w:sz w:val="24"/>
        </w:rPr>
      </w:pPr>
      <w:r>
        <w:rPr>
          <w:b/>
          <w:color w:val="auto"/>
          <w:sz w:val="24"/>
        </w:rPr>
        <w:t>（一）处罚依据</w:t>
      </w:r>
    </w:p>
    <w:p>
      <w:pPr>
        <w:pStyle w:val="4"/>
        <w:spacing w:before="191" w:line="391" w:lineRule="auto"/>
        <w:ind w:right="139" w:firstLine="640"/>
        <w:rPr>
          <w:color w:val="auto"/>
        </w:rPr>
      </w:pPr>
      <w:r>
        <w:rPr>
          <w:color w:val="auto"/>
        </w:rPr>
        <w:t>1</w:t>
      </w:r>
      <w:r>
        <w:rPr>
          <w:color w:val="auto"/>
          <w:spacing w:val="-12"/>
        </w:rPr>
        <w:t>、《茧丝质量监督管理办法》第二十一条“违反本办法第十三条第</w:t>
      </w:r>
      <w:r>
        <w:rPr>
          <w:color w:val="auto"/>
        </w:rPr>
        <w:t>（一）项、</w:t>
      </w:r>
      <w:r>
        <w:rPr>
          <w:color w:val="auto"/>
          <w:spacing w:val="-10"/>
        </w:rPr>
        <w:t>第</w:t>
      </w:r>
      <w:r>
        <w:rPr>
          <w:color w:val="auto"/>
          <w:spacing w:val="-3"/>
        </w:rPr>
        <w:t>（</w:t>
      </w:r>
      <w:r>
        <w:rPr>
          <w:color w:val="auto"/>
        </w:rPr>
        <w:t>二</w:t>
      </w:r>
      <w:r>
        <w:rPr>
          <w:color w:val="auto"/>
          <w:spacing w:val="-10"/>
        </w:rPr>
        <w:t>）</w:t>
      </w:r>
      <w:r>
        <w:rPr>
          <w:color w:val="auto"/>
          <w:spacing w:val="-8"/>
        </w:rPr>
        <w:t>项、第</w:t>
      </w:r>
      <w:r>
        <w:rPr>
          <w:color w:val="auto"/>
        </w:rPr>
        <w:t>（三</w:t>
      </w:r>
      <w:r>
        <w:rPr>
          <w:color w:val="auto"/>
          <w:spacing w:val="-10"/>
        </w:rPr>
        <w:t>）</w:t>
      </w:r>
      <w:r>
        <w:rPr>
          <w:color w:val="auto"/>
          <w:spacing w:val="-8"/>
        </w:rPr>
        <w:t>项、第</w:t>
      </w:r>
      <w:r>
        <w:rPr>
          <w:color w:val="auto"/>
        </w:rPr>
        <w:t>（四</w:t>
      </w:r>
      <w:r>
        <w:rPr>
          <w:color w:val="auto"/>
          <w:spacing w:val="-10"/>
        </w:rPr>
        <w:t>）</w:t>
      </w:r>
      <w:r>
        <w:rPr>
          <w:color w:val="auto"/>
          <w:spacing w:val="-8"/>
        </w:rPr>
        <w:t>项、第</w:t>
      </w:r>
      <w:r>
        <w:rPr>
          <w:color w:val="auto"/>
        </w:rPr>
        <w:t>（五</w:t>
      </w:r>
      <w:r>
        <w:rPr>
          <w:color w:val="auto"/>
          <w:spacing w:val="-10"/>
        </w:rPr>
        <w:t>）</w:t>
      </w:r>
      <w:r>
        <w:rPr>
          <w:color w:val="auto"/>
          <w:spacing w:val="-8"/>
        </w:rPr>
        <w:t>项、第</w:t>
      </w:r>
      <w:r>
        <w:rPr>
          <w:color w:val="auto"/>
        </w:rPr>
        <w:t>（七</w:t>
      </w:r>
      <w:r>
        <w:rPr>
          <w:color w:val="auto"/>
          <w:spacing w:val="-10"/>
        </w:rPr>
        <w:t>）</w:t>
      </w:r>
      <w:r>
        <w:rPr>
          <w:color w:val="auto"/>
          <w:spacing w:val="-3"/>
        </w:rPr>
        <w:t xml:space="preserve">项中任何一项规定的， 由纤维质量监督机构责令限期改正，可以处 </w:t>
      </w:r>
      <w:r>
        <w:rPr>
          <w:color w:val="auto"/>
        </w:rPr>
        <w:t>3</w:t>
      </w:r>
      <w:r>
        <w:rPr>
          <w:color w:val="auto"/>
          <w:spacing w:val="-8"/>
        </w:rPr>
        <w:t xml:space="preserve"> 万元以下罚款”</w:t>
      </w:r>
    </w:p>
    <w:p>
      <w:pPr>
        <w:pStyle w:val="4"/>
        <w:spacing w:line="388" w:lineRule="auto"/>
        <w:ind w:right="268" w:firstLine="640"/>
        <w:rPr>
          <w:color w:val="auto"/>
        </w:rPr>
      </w:pPr>
      <w:r>
        <w:rPr>
          <w:color w:val="auto"/>
        </w:rPr>
        <w:t>2</w:t>
      </w:r>
      <w:r>
        <w:rPr>
          <w:color w:val="auto"/>
          <w:spacing w:val="-12"/>
        </w:rPr>
        <w:t>、《茧丝质量监督管理办法》第十三条“茧丝经营者收购蚕茧，必须符合下列</w:t>
      </w:r>
      <w:r>
        <w:rPr>
          <w:color w:val="auto"/>
          <w:spacing w:val="-49"/>
        </w:rPr>
        <w:t>要求：</w:t>
      </w:r>
      <w:r>
        <w:rPr>
          <w:color w:val="auto"/>
        </w:rPr>
        <w:t>（五）</w:t>
      </w:r>
      <w:r>
        <w:rPr>
          <w:color w:val="auto"/>
          <w:spacing w:val="-10"/>
        </w:rPr>
        <w:t>不得收购毛脚茧、过潮茧、统茧等有严重质量问题的蚕茧。”。</w:t>
      </w:r>
    </w:p>
    <w:p>
      <w:pPr>
        <w:spacing w:before="1"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77"/>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 2 万元以下的。</w:t>
      </w:r>
    </w:p>
    <w:p>
      <w:pPr>
        <w:pStyle w:val="13"/>
        <w:numPr>
          <w:ilvl w:val="0"/>
          <w:numId w:val="157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57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初次违法，货值金额 2 万元以上 5 万元以下的。</w:t>
      </w:r>
    </w:p>
    <w:p>
      <w:pPr>
        <w:pStyle w:val="13"/>
        <w:numPr>
          <w:ilvl w:val="0"/>
          <w:numId w:val="1578"/>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、【较重】</w:t>
      </w:r>
    </w:p>
    <w:p>
      <w:pPr>
        <w:pStyle w:val="13"/>
        <w:numPr>
          <w:ilvl w:val="0"/>
          <w:numId w:val="1579"/>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货值金额 5 万元以上的。</w:t>
      </w:r>
    </w:p>
    <w:p>
      <w:pPr>
        <w:pStyle w:val="13"/>
        <w:numPr>
          <w:ilvl w:val="0"/>
          <w:numId w:val="1579"/>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3</w:t>
      </w:r>
      <w:r>
        <w:rPr>
          <w:color w:val="auto"/>
          <w:spacing w:val="-11"/>
        </w:rPr>
        <w:t xml:space="preserve"> 万元以下罚款。</w:t>
      </w:r>
      <w:r>
        <w:rPr>
          <w:color w:val="auto"/>
        </w:rPr>
        <w:t>4</w:t>
      </w:r>
      <w:r>
        <w:rPr>
          <w:color w:val="auto"/>
          <w:spacing w:val="-24"/>
        </w:rPr>
        <w:t>、【严重】</w:t>
      </w:r>
    </w:p>
    <w:p>
      <w:pPr>
        <w:pStyle w:val="13"/>
        <w:numPr>
          <w:ilvl w:val="0"/>
          <w:numId w:val="1580"/>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两年内再次出现相同违法行为的，经责令改正拒不改正的，造成较大社会影响</w:t>
      </w:r>
    </w:p>
    <w:p>
      <w:pPr>
        <w:pStyle w:val="4"/>
        <w:spacing w:before="192"/>
        <w:rPr>
          <w:color w:val="auto"/>
        </w:rPr>
      </w:pPr>
      <w:r>
        <w:rPr>
          <w:color w:val="auto"/>
        </w:rPr>
        <w:t>的。</w:t>
      </w:r>
    </w:p>
    <w:p>
      <w:pPr>
        <w:pStyle w:val="13"/>
        <w:numPr>
          <w:ilvl w:val="0"/>
          <w:numId w:val="1580"/>
        </w:numPr>
        <w:tabs>
          <w:tab w:val="left" w:pos="1353"/>
        </w:tabs>
        <w:spacing w:before="192"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ind w:left="751"/>
        <w:rPr>
          <w:color w:val="auto"/>
        </w:rPr>
      </w:pPr>
      <w:r>
        <w:rPr>
          <w:color w:val="auto"/>
        </w:rPr>
        <w:t>责令改正，可以处 3 万元罚款。</w:t>
      </w:r>
    </w:p>
    <w:p>
      <w:pPr>
        <w:pStyle w:val="2"/>
        <w:spacing w:before="195"/>
        <w:rPr>
          <w:color w:val="auto"/>
        </w:rPr>
      </w:pPr>
      <w:bookmarkStart w:id="1388" w:name="_bookmark693"/>
      <w:bookmarkEnd w:id="1388"/>
      <w:bookmarkStart w:id="1389" w:name="六百八十、茧丝经营者未分类别、分等级置放所收购的蚕茧"/>
      <w:bookmarkEnd w:id="1389"/>
      <w:r>
        <w:rPr>
          <w:color w:val="auto"/>
        </w:rPr>
        <w:t>六百八十、茧丝经营者未分类别、分等级置放所收购的蚕茧</w:t>
      </w:r>
    </w:p>
    <w:p>
      <w:pPr>
        <w:spacing w:before="191"/>
        <w:ind w:left="754" w:right="0" w:firstLine="0"/>
        <w:jc w:val="left"/>
        <w:rPr>
          <w:b/>
          <w:color w:val="auto"/>
          <w:sz w:val="24"/>
        </w:rPr>
      </w:pPr>
      <w:r>
        <w:rPr>
          <w:b/>
          <w:color w:val="auto"/>
          <w:sz w:val="24"/>
        </w:rPr>
        <w:t>（一）处罚依据</w:t>
      </w:r>
    </w:p>
    <w:p>
      <w:pPr>
        <w:pStyle w:val="4"/>
        <w:spacing w:before="192" w:line="391" w:lineRule="auto"/>
        <w:ind w:right="139" w:firstLine="640"/>
        <w:rPr>
          <w:color w:val="auto"/>
        </w:rPr>
      </w:pPr>
      <w:r>
        <w:rPr>
          <w:color w:val="auto"/>
        </w:rPr>
        <w:t>1</w:t>
      </w:r>
      <w:r>
        <w:rPr>
          <w:color w:val="auto"/>
          <w:spacing w:val="-12"/>
        </w:rPr>
        <w:t>、《茧丝质量监督管理办法》第二十一条“违反本办法第十三条第</w:t>
      </w:r>
      <w:r>
        <w:rPr>
          <w:color w:val="auto"/>
        </w:rPr>
        <w:t>（一）项、</w:t>
      </w:r>
      <w:r>
        <w:rPr>
          <w:color w:val="auto"/>
          <w:spacing w:val="-10"/>
        </w:rPr>
        <w:t>第</w:t>
      </w:r>
      <w:r>
        <w:rPr>
          <w:color w:val="auto"/>
          <w:spacing w:val="-3"/>
        </w:rPr>
        <w:t>（</w:t>
      </w:r>
      <w:r>
        <w:rPr>
          <w:color w:val="auto"/>
        </w:rPr>
        <w:t>二</w:t>
      </w:r>
      <w:r>
        <w:rPr>
          <w:color w:val="auto"/>
          <w:spacing w:val="-10"/>
        </w:rPr>
        <w:t>）</w:t>
      </w:r>
      <w:r>
        <w:rPr>
          <w:color w:val="auto"/>
          <w:spacing w:val="-8"/>
        </w:rPr>
        <w:t>项、第</w:t>
      </w:r>
      <w:r>
        <w:rPr>
          <w:color w:val="auto"/>
        </w:rPr>
        <w:t>（三</w:t>
      </w:r>
      <w:r>
        <w:rPr>
          <w:color w:val="auto"/>
          <w:spacing w:val="-10"/>
        </w:rPr>
        <w:t>）</w:t>
      </w:r>
      <w:r>
        <w:rPr>
          <w:color w:val="auto"/>
          <w:spacing w:val="-8"/>
        </w:rPr>
        <w:t>项、第</w:t>
      </w:r>
      <w:r>
        <w:rPr>
          <w:color w:val="auto"/>
        </w:rPr>
        <w:t>（四</w:t>
      </w:r>
      <w:r>
        <w:rPr>
          <w:color w:val="auto"/>
          <w:spacing w:val="-10"/>
        </w:rPr>
        <w:t>）</w:t>
      </w:r>
      <w:r>
        <w:rPr>
          <w:color w:val="auto"/>
          <w:spacing w:val="-8"/>
        </w:rPr>
        <w:t>项、第</w:t>
      </w:r>
      <w:r>
        <w:rPr>
          <w:color w:val="auto"/>
        </w:rPr>
        <w:t>（五</w:t>
      </w:r>
      <w:r>
        <w:rPr>
          <w:color w:val="auto"/>
          <w:spacing w:val="-10"/>
        </w:rPr>
        <w:t>）</w:t>
      </w:r>
      <w:r>
        <w:rPr>
          <w:color w:val="auto"/>
          <w:spacing w:val="-8"/>
        </w:rPr>
        <w:t>项、第</w:t>
      </w:r>
      <w:r>
        <w:rPr>
          <w:color w:val="auto"/>
        </w:rPr>
        <w:t>（七</w:t>
      </w:r>
      <w:r>
        <w:rPr>
          <w:color w:val="auto"/>
          <w:spacing w:val="-10"/>
        </w:rPr>
        <w:t>）</w:t>
      </w:r>
      <w:r>
        <w:rPr>
          <w:color w:val="auto"/>
          <w:spacing w:val="-3"/>
        </w:rPr>
        <w:t xml:space="preserve">项中任何一项规定的， 由纤维质量监督机构责令限期改正，可以处 </w:t>
      </w:r>
      <w:r>
        <w:rPr>
          <w:color w:val="auto"/>
        </w:rPr>
        <w:t>3</w:t>
      </w:r>
      <w:r>
        <w:rPr>
          <w:color w:val="auto"/>
          <w:spacing w:val="-21"/>
        </w:rPr>
        <w:t xml:space="preserve"> 万元以下罚款。”</w:t>
      </w:r>
    </w:p>
    <w:p>
      <w:pPr>
        <w:pStyle w:val="4"/>
        <w:spacing w:line="391" w:lineRule="auto"/>
        <w:ind w:right="268" w:firstLine="640"/>
        <w:rPr>
          <w:color w:val="auto"/>
        </w:rPr>
      </w:pPr>
      <w:r>
        <w:rPr>
          <w:color w:val="auto"/>
        </w:rPr>
        <w:t>2</w:t>
      </w:r>
      <w:r>
        <w:rPr>
          <w:color w:val="auto"/>
          <w:spacing w:val="-12"/>
        </w:rPr>
        <w:t>、《茧丝质量监督管理办法》第十三条“茧丝经营者收购蚕茧，必须符合下列</w:t>
      </w:r>
      <w:r>
        <w:rPr>
          <w:color w:val="auto"/>
          <w:spacing w:val="-49"/>
        </w:rPr>
        <w:t>要求：</w:t>
      </w:r>
      <w:r>
        <w:rPr>
          <w:color w:val="auto"/>
        </w:rPr>
        <w:t>（七）</w:t>
      </w:r>
      <w:r>
        <w:rPr>
          <w:color w:val="auto"/>
          <w:spacing w:val="-8"/>
        </w:rPr>
        <w:t>分类别、分等级置放所收购的蚕茧。”</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81"/>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初次违法，货值金额 5 万元以下的。</w:t>
      </w:r>
    </w:p>
    <w:p>
      <w:pPr>
        <w:pStyle w:val="13"/>
        <w:numPr>
          <w:ilvl w:val="0"/>
          <w:numId w:val="158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633"/>
        <w:rPr>
          <w:color w:val="auto"/>
        </w:rPr>
      </w:pPr>
      <w:r>
        <w:rPr>
          <w:color w:val="auto"/>
          <w:spacing w:val="-7"/>
        </w:rPr>
        <w:t xml:space="preserve">责令改正，可以处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582"/>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初次违法，货值金额 5 万元以上 20 万元以下的。</w:t>
      </w:r>
    </w:p>
    <w:p>
      <w:pPr>
        <w:pStyle w:val="13"/>
        <w:numPr>
          <w:ilvl w:val="0"/>
          <w:numId w:val="1582"/>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3433"/>
        <w:rPr>
          <w:color w:val="auto"/>
        </w:rPr>
      </w:pPr>
      <w:r>
        <w:rPr>
          <w:color w:val="auto"/>
          <w:spacing w:val="-7"/>
        </w:rPr>
        <w:t xml:space="preserve">责令改正，可以处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、【较重】</w:t>
      </w:r>
    </w:p>
    <w:p>
      <w:pPr>
        <w:pStyle w:val="13"/>
        <w:numPr>
          <w:ilvl w:val="0"/>
          <w:numId w:val="158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万元以上的。</w:t>
      </w:r>
    </w:p>
    <w:p>
      <w:pPr>
        <w:pStyle w:val="13"/>
        <w:numPr>
          <w:ilvl w:val="0"/>
          <w:numId w:val="1583"/>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3</w:t>
      </w:r>
      <w:r>
        <w:rPr>
          <w:color w:val="auto"/>
          <w:spacing w:val="-11"/>
        </w:rPr>
        <w:t xml:space="preserve"> 万元以下罚款。</w:t>
      </w:r>
      <w:r>
        <w:rPr>
          <w:color w:val="auto"/>
        </w:rPr>
        <w:t>4</w:t>
      </w:r>
      <w:r>
        <w:rPr>
          <w:color w:val="auto"/>
          <w:spacing w:val="-24"/>
        </w:rPr>
        <w:t>、【严重】</w:t>
      </w:r>
    </w:p>
    <w:p>
      <w:pPr>
        <w:pStyle w:val="13"/>
        <w:numPr>
          <w:ilvl w:val="0"/>
          <w:numId w:val="1584"/>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两年内再次出现相同违法行为的，经责令改正拒不改正的，造成较大社会影响</w:t>
      </w:r>
    </w:p>
    <w:p>
      <w:pPr>
        <w:pStyle w:val="4"/>
        <w:spacing w:before="192"/>
        <w:rPr>
          <w:color w:val="auto"/>
        </w:rPr>
      </w:pPr>
      <w:r>
        <w:rPr>
          <w:color w:val="auto"/>
        </w:rPr>
        <w:t>的。</w:t>
      </w:r>
    </w:p>
    <w:p>
      <w:pPr>
        <w:spacing w:after="0"/>
        <w:rPr>
          <w:color w:val="auto"/>
        </w:rPr>
        <w:sectPr>
          <w:pgSz w:w="11910" w:h="16840"/>
          <w:pgMar w:top="1520" w:right="1260" w:bottom="1220" w:left="1420" w:header="0" w:footer="1034" w:gutter="0"/>
        </w:sectPr>
      </w:pPr>
    </w:p>
    <w:p>
      <w:pPr>
        <w:pStyle w:val="13"/>
        <w:numPr>
          <w:ilvl w:val="0"/>
          <w:numId w:val="1584"/>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ind w:left="751"/>
        <w:rPr>
          <w:color w:val="auto"/>
        </w:rPr>
      </w:pPr>
      <w:r>
        <w:rPr>
          <w:color w:val="auto"/>
        </w:rPr>
        <w:t>责令改正，可以处 3 万元罚款。</w:t>
      </w:r>
    </w:p>
    <w:p>
      <w:pPr>
        <w:pStyle w:val="2"/>
        <w:spacing w:before="191" w:line="388" w:lineRule="auto"/>
        <w:ind w:left="111" w:right="117" w:firstLine="480"/>
        <w:rPr>
          <w:color w:val="auto"/>
        </w:rPr>
      </w:pPr>
      <w:bookmarkStart w:id="1390" w:name="_bookmark694"/>
      <w:bookmarkEnd w:id="1390"/>
      <w:bookmarkStart w:id="1391" w:name="六百八十一、茧丝经营者从事桑蚕干茧加工，不具备在设施和环境、设备和仪器、从业人员"/>
      <w:bookmarkEnd w:id="1391"/>
      <w:r>
        <w:rPr>
          <w:color w:val="auto"/>
          <w:spacing w:val="-13"/>
        </w:rPr>
        <w:t>六百八十一、茧丝经营者从事桑蚕干茧加工，不具备在设施和环境、设备和仪器、从业人员、质量检验标准、内部质量保证制度等方面规定的条件</w:t>
      </w:r>
    </w:p>
    <w:p>
      <w:pPr>
        <w:spacing w:before="5"/>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、《茧丝质量监督管理办法》第二十二条第一款“违反本办法第十四条第一款</w:t>
      </w:r>
      <w:r>
        <w:rPr>
          <w:color w:val="auto"/>
          <w:spacing w:val="-13"/>
        </w:rPr>
        <w:t xml:space="preserve">规定的，由纤维质量监督机构责令改正，并可以根据情节轻重，处 </w:t>
      </w:r>
      <w:r>
        <w:rPr>
          <w:color w:val="auto"/>
        </w:rPr>
        <w:t>10</w:t>
      </w:r>
      <w:r>
        <w:rPr>
          <w:color w:val="auto"/>
          <w:spacing w:val="-6"/>
        </w:rPr>
        <w:t xml:space="preserve"> 万元以下的罚</w:t>
      </w:r>
      <w:r>
        <w:rPr>
          <w:color w:val="auto"/>
          <w:spacing w:val="-42"/>
        </w:rPr>
        <w:t>款。”</w:t>
      </w:r>
    </w:p>
    <w:p>
      <w:pPr>
        <w:pStyle w:val="4"/>
        <w:spacing w:line="391" w:lineRule="auto"/>
        <w:ind w:right="268" w:firstLine="640"/>
        <w:jc w:val="both"/>
        <w:rPr>
          <w:color w:val="auto"/>
        </w:rPr>
      </w:pPr>
      <w:r>
        <w:rPr>
          <w:color w:val="auto"/>
        </w:rPr>
        <w:t>2</w:t>
      </w:r>
      <w:r>
        <w:rPr>
          <w:color w:val="auto"/>
          <w:spacing w:val="-12"/>
        </w:rPr>
        <w:t>、《茧丝质量监督管理办法》第十四条第一款第</w:t>
      </w:r>
      <w:r>
        <w:rPr>
          <w:color w:val="auto"/>
        </w:rPr>
        <w:t>（一）项“茧丝经营者加工茧</w:t>
      </w:r>
      <w:r>
        <w:rPr>
          <w:color w:val="auto"/>
          <w:spacing w:val="-10"/>
        </w:rPr>
        <w:t>丝，必须符合下列要求：</w:t>
      </w:r>
      <w:r>
        <w:rPr>
          <w:color w:val="auto"/>
          <w:spacing w:val="2"/>
        </w:rPr>
        <w:t>（一）</w:t>
      </w:r>
      <w:r>
        <w:rPr>
          <w:color w:val="auto"/>
        </w:rPr>
        <w:t>从事桑蚕干茧加工，具备本办法第四条第一款规定的</w:t>
      </w:r>
      <w:r>
        <w:rPr>
          <w:color w:val="auto"/>
          <w:spacing w:val="-16"/>
        </w:rPr>
        <w:t>质量保证条件。”</w:t>
      </w:r>
    </w:p>
    <w:p>
      <w:pPr>
        <w:pStyle w:val="4"/>
        <w:spacing w:line="391" w:lineRule="auto"/>
        <w:ind w:right="232" w:firstLine="640"/>
        <w:jc w:val="both"/>
        <w:rPr>
          <w:color w:val="auto"/>
        </w:rPr>
      </w:pPr>
      <w:r>
        <w:rPr>
          <w:color w:val="auto"/>
        </w:rPr>
        <w:t>3</w:t>
      </w:r>
      <w:r>
        <w:rPr>
          <w:color w:val="auto"/>
          <w:spacing w:val="-12"/>
        </w:rPr>
        <w:t>、《茧丝质量监督管理办法》第四条第一款“桑蚕鲜茧收购、桑蚕干茧加工应</w:t>
      </w:r>
      <w:r>
        <w:rPr>
          <w:color w:val="auto"/>
          <w:spacing w:val="2"/>
        </w:rPr>
        <w:t>当具备基本的质量保证条件（</w:t>
      </w:r>
      <w:r>
        <w:rPr>
          <w:color w:val="auto"/>
          <w:spacing w:val="1"/>
        </w:rPr>
        <w:t>以下简称国家质量保证基本条件</w:t>
      </w:r>
      <w:r>
        <w:rPr>
          <w:color w:val="auto"/>
          <w:spacing w:val="-118"/>
        </w:rPr>
        <w:t>）</w:t>
      </w:r>
      <w:r>
        <w:rPr>
          <w:color w:val="auto"/>
          <w:spacing w:val="1"/>
        </w:rPr>
        <w:t>：茧丝经营者从事收</w:t>
      </w:r>
      <w:r>
        <w:rPr>
          <w:color w:val="auto"/>
        </w:rPr>
        <w:t>购桑蚕鲜茧或者加工桑蚕干茧活动的，必须在设施和环境、设备和仪器、从业人员、</w:t>
      </w:r>
      <w:r>
        <w:rPr>
          <w:color w:val="auto"/>
          <w:spacing w:val="-4"/>
        </w:rPr>
        <w:t>质量检验标准、内部质量保证制度等方面具备规定的条件，并接受专业纤维检验机构</w:t>
      </w:r>
      <w:r>
        <w:rPr>
          <w:color w:val="auto"/>
          <w:spacing w:val="-21"/>
        </w:rPr>
        <w:t>的监督检查。”</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85"/>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83"/>
        <w:ind w:left="751"/>
        <w:rPr>
          <w:color w:val="auto"/>
        </w:rPr>
      </w:pPr>
      <w:r>
        <w:rPr>
          <w:color w:val="auto"/>
        </w:rPr>
        <w:t>货值金额 5 万以下的。</w:t>
      </w:r>
    </w:p>
    <w:p>
      <w:pPr>
        <w:pStyle w:val="13"/>
        <w:numPr>
          <w:ilvl w:val="0"/>
          <w:numId w:val="1585"/>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58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有下列情形之一的：1、货值金额 5 万元以上 20 万元以下的；</w:t>
      </w:r>
    </w:p>
    <w:p>
      <w:pPr>
        <w:pStyle w:val="4"/>
        <w:spacing w:before="194"/>
        <w:rPr>
          <w:color w:val="auto"/>
        </w:rPr>
      </w:pPr>
      <w:r>
        <w:rPr>
          <w:color w:val="auto"/>
        </w:rPr>
        <w:t>2、同时违反本办法第十四条第一款规定的 1 项其他违法行为的。</w:t>
      </w:r>
    </w:p>
    <w:p>
      <w:pPr>
        <w:pStyle w:val="13"/>
        <w:numPr>
          <w:ilvl w:val="0"/>
          <w:numId w:val="1586"/>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2 万元以上 5 万元以下罚款。</w:t>
      </w:r>
    </w:p>
    <w:p>
      <w:pPr>
        <w:spacing w:after="0"/>
        <w:rPr>
          <w:color w:val="auto"/>
        </w:rPr>
        <w:sectPr>
          <w:pgSz w:w="11910" w:h="16840"/>
          <w:pgMar w:top="1520" w:right="1260" w:bottom="1220" w:left="1420" w:header="0" w:footer="1034" w:gutter="0"/>
        </w:sectPr>
      </w:pPr>
    </w:p>
    <w:p>
      <w:pPr>
        <w:pStyle w:val="4"/>
        <w:spacing w:before="39"/>
        <w:ind w:left="751"/>
        <w:rPr>
          <w:color w:val="auto"/>
        </w:rPr>
      </w:pPr>
      <w:r>
        <w:rPr>
          <w:color w:val="auto"/>
        </w:rPr>
        <w:t>3、【较重】</w:t>
      </w:r>
    </w:p>
    <w:p>
      <w:pPr>
        <w:pStyle w:val="13"/>
        <w:numPr>
          <w:ilvl w:val="0"/>
          <w:numId w:val="1587"/>
        </w:numPr>
        <w:tabs>
          <w:tab w:val="left" w:pos="1353"/>
        </w:tabs>
        <w:spacing w:before="195"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有下列情形之一的：1、货值金额 20 万元以上；2、同时违反本办法第十四条第</w:t>
      </w:r>
    </w:p>
    <w:p>
      <w:pPr>
        <w:pStyle w:val="4"/>
        <w:spacing w:before="192"/>
        <w:ind w:left="0" w:right="5401"/>
        <w:jc w:val="center"/>
        <w:rPr>
          <w:color w:val="auto"/>
        </w:rPr>
      </w:pPr>
      <w:r>
        <w:rPr>
          <w:color w:val="auto"/>
        </w:rPr>
        <w:t>一款规定的 2 项其他违法行为的。</w:t>
      </w:r>
    </w:p>
    <w:p>
      <w:pPr>
        <w:pStyle w:val="13"/>
        <w:numPr>
          <w:ilvl w:val="0"/>
          <w:numId w:val="1587"/>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588"/>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line="388" w:lineRule="auto"/>
        <w:ind w:right="268" w:firstLine="640"/>
        <w:rPr>
          <w:color w:val="auto"/>
        </w:rPr>
      </w:pPr>
      <w:r>
        <w:rPr>
          <w:color w:val="auto"/>
        </w:rPr>
        <w:t>有下列情形之一的：1、两年内再次发生同一违法行为的；2、同时违反本办法第十四条第一款规定的 3 项及以上其他违法行为的。</w:t>
      </w:r>
    </w:p>
    <w:p>
      <w:pPr>
        <w:pStyle w:val="13"/>
        <w:numPr>
          <w:ilvl w:val="0"/>
          <w:numId w:val="1588"/>
        </w:numPr>
        <w:tabs>
          <w:tab w:val="left" w:pos="1353"/>
        </w:tabs>
        <w:spacing w:before="5"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责令改正，可以处 8 万元以上 10 万元以下罚款。</w:t>
      </w:r>
    </w:p>
    <w:p>
      <w:pPr>
        <w:pStyle w:val="2"/>
        <w:spacing w:before="192"/>
        <w:rPr>
          <w:color w:val="auto"/>
        </w:rPr>
      </w:pPr>
      <w:bookmarkStart w:id="1392" w:name="六百八十二、茧丝经营者从事生丝生产，不具备相应的质量保证条件"/>
      <w:bookmarkEnd w:id="1392"/>
      <w:bookmarkStart w:id="1393" w:name="_bookmark695"/>
      <w:bookmarkEnd w:id="1393"/>
      <w:r>
        <w:rPr>
          <w:color w:val="auto"/>
        </w:rPr>
        <w:t>六百八十二、茧丝经营者从事生丝生产，不具备相应的质量保证条件</w:t>
      </w:r>
    </w:p>
    <w:p>
      <w:pPr>
        <w:spacing w:before="194"/>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、《茧丝质量监督管理办法》第二十二条第一款“违反本办法第十四条第一款</w:t>
      </w:r>
      <w:r>
        <w:rPr>
          <w:color w:val="auto"/>
          <w:spacing w:val="-13"/>
        </w:rPr>
        <w:t xml:space="preserve">规定的，由纤维质量监督机构责令改正，并可以根据情节轻重，处 </w:t>
      </w:r>
      <w:r>
        <w:rPr>
          <w:color w:val="auto"/>
        </w:rPr>
        <w:t>10</w:t>
      </w:r>
      <w:r>
        <w:rPr>
          <w:color w:val="auto"/>
          <w:spacing w:val="-6"/>
        </w:rPr>
        <w:t xml:space="preserve"> 万元以下的罚</w:t>
      </w:r>
      <w:r>
        <w:rPr>
          <w:color w:val="auto"/>
          <w:spacing w:val="-42"/>
        </w:rPr>
        <w:t>款。”</w:t>
      </w:r>
    </w:p>
    <w:p>
      <w:pPr>
        <w:pStyle w:val="4"/>
        <w:spacing w:line="388" w:lineRule="auto"/>
        <w:ind w:right="268" w:firstLine="640"/>
        <w:rPr>
          <w:color w:val="auto"/>
        </w:rPr>
      </w:pPr>
      <w:r>
        <w:rPr>
          <w:color w:val="auto"/>
        </w:rPr>
        <w:t>2</w:t>
      </w:r>
      <w:r>
        <w:rPr>
          <w:color w:val="auto"/>
          <w:spacing w:val="-12"/>
        </w:rPr>
        <w:t>、《茧丝质量监督管理办法》第十四条第一款第</w:t>
      </w:r>
      <w:r>
        <w:rPr>
          <w:color w:val="auto"/>
        </w:rPr>
        <w:t>（二）项“茧丝经营者加工茧</w:t>
      </w:r>
      <w:r>
        <w:rPr>
          <w:color w:val="auto"/>
          <w:spacing w:val="-11"/>
        </w:rPr>
        <w:t>丝，必须符合下列要求：</w:t>
      </w:r>
      <w:r>
        <w:rPr>
          <w:color w:val="auto"/>
        </w:rPr>
        <w:t>（二）</w:t>
      </w:r>
      <w:r>
        <w:rPr>
          <w:color w:val="auto"/>
          <w:spacing w:val="-7"/>
        </w:rPr>
        <w:t>从事生丝生产，具备相应的质量保证条件。”</w:t>
      </w:r>
    </w:p>
    <w:p>
      <w:pPr>
        <w:spacing w:before="1"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89"/>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0" w:right="5321"/>
        <w:jc w:val="center"/>
        <w:rPr>
          <w:color w:val="auto"/>
        </w:rPr>
      </w:pPr>
      <w:r>
        <w:rPr>
          <w:color w:val="auto"/>
        </w:rPr>
        <w:t>货值金额 5 万以下的。</w:t>
      </w:r>
    </w:p>
    <w:p>
      <w:pPr>
        <w:pStyle w:val="13"/>
        <w:numPr>
          <w:ilvl w:val="0"/>
          <w:numId w:val="1589"/>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590"/>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spacing w:val="-2"/>
        </w:rPr>
        <w:t>有下列情形之一的：</w:t>
      </w:r>
      <w:r>
        <w:rPr>
          <w:color w:val="auto"/>
          <w:spacing w:val="-10"/>
        </w:rPr>
        <w:t>1</w:t>
      </w:r>
      <w:r>
        <w:rPr>
          <w:color w:val="auto"/>
          <w:spacing w:val="-15"/>
        </w:rPr>
        <w:t xml:space="preserve">、货值金额 </w:t>
      </w:r>
      <w:r>
        <w:rPr>
          <w:color w:val="auto"/>
        </w:rPr>
        <w:t>5</w:t>
      </w:r>
      <w:r>
        <w:rPr>
          <w:color w:val="auto"/>
          <w:spacing w:val="-20"/>
        </w:rPr>
        <w:t xml:space="preserve"> 万元以上 </w:t>
      </w:r>
      <w:r>
        <w:rPr>
          <w:color w:val="auto"/>
        </w:rPr>
        <w:t>20</w:t>
      </w:r>
      <w:r>
        <w:rPr>
          <w:color w:val="auto"/>
          <w:spacing w:val="-10"/>
        </w:rPr>
        <w:t xml:space="preserve"> 万元以下的；2</w:t>
      </w:r>
      <w:r>
        <w:rPr>
          <w:color w:val="auto"/>
          <w:spacing w:val="-5"/>
        </w:rPr>
        <w:t>、同时违反本办</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法第十四条第一款规定的 1 项其他违法行为的。</w:t>
      </w:r>
    </w:p>
    <w:p>
      <w:pPr>
        <w:pStyle w:val="13"/>
        <w:numPr>
          <w:ilvl w:val="0"/>
          <w:numId w:val="1590"/>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591"/>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有下列情形之一的：1、货值金额 20 万元以上；2、同时违反本办法第十四条第</w:t>
      </w:r>
    </w:p>
    <w:p>
      <w:pPr>
        <w:pStyle w:val="4"/>
        <w:spacing w:before="191"/>
        <w:rPr>
          <w:color w:val="auto"/>
        </w:rPr>
      </w:pPr>
      <w:r>
        <w:rPr>
          <w:color w:val="auto"/>
        </w:rPr>
        <w:t>一款规定的 2 项其他违法行为的。</w:t>
      </w:r>
    </w:p>
    <w:p>
      <w:pPr>
        <w:pStyle w:val="13"/>
        <w:numPr>
          <w:ilvl w:val="0"/>
          <w:numId w:val="1591"/>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592"/>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line="388" w:lineRule="auto"/>
        <w:ind w:right="268" w:firstLine="640"/>
        <w:rPr>
          <w:color w:val="auto"/>
        </w:rPr>
      </w:pPr>
      <w:r>
        <w:rPr>
          <w:color w:val="auto"/>
        </w:rPr>
        <w:t>有下列情形之一的：1、两年内再次发生同一违法行为的；2、同时违反本办法第十四条第一款规定的 3 项及以上其他违法行为的。</w:t>
      </w:r>
    </w:p>
    <w:p>
      <w:pPr>
        <w:pStyle w:val="13"/>
        <w:numPr>
          <w:ilvl w:val="0"/>
          <w:numId w:val="1592"/>
        </w:numPr>
        <w:tabs>
          <w:tab w:val="left" w:pos="1353"/>
        </w:tabs>
        <w:spacing w:before="5"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责令改正，可以处 8 万元以上 10 万元以下罚款。</w:t>
      </w:r>
    </w:p>
    <w:p>
      <w:pPr>
        <w:pStyle w:val="2"/>
        <w:spacing w:before="192" w:line="391" w:lineRule="auto"/>
        <w:ind w:left="111" w:right="237" w:firstLine="480"/>
        <w:rPr>
          <w:color w:val="auto"/>
        </w:rPr>
      </w:pPr>
      <w:bookmarkStart w:id="1394" w:name="_bookmark696"/>
      <w:bookmarkEnd w:id="1394"/>
      <w:bookmarkStart w:id="1395" w:name="六百八十三、茧丝经营者未按照国家标准、行业标准或者地方标准以及技术规范对茧丝进行"/>
      <w:bookmarkEnd w:id="1395"/>
      <w:r>
        <w:rPr>
          <w:color w:val="auto"/>
          <w:spacing w:val="-8"/>
        </w:rPr>
        <w:t>六百八十三、茧丝经营者未按照国家标准、行业标准或者地方标准以及技术规范对茧丝进行加工，或者使用土灶加工等可能导致茧丝资源被破坏的方法加工茧丝</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、《茧丝质量监督管理办法》第二十二条第一款“违反本办法第十四条第一款</w:t>
      </w:r>
      <w:r>
        <w:rPr>
          <w:color w:val="auto"/>
          <w:spacing w:val="-13"/>
        </w:rPr>
        <w:t xml:space="preserve">规定的，由纤维质量监督机构责令改正，并可以根据情节轻重，处 </w:t>
      </w:r>
      <w:r>
        <w:rPr>
          <w:color w:val="auto"/>
        </w:rPr>
        <w:t>10</w:t>
      </w:r>
      <w:r>
        <w:rPr>
          <w:color w:val="auto"/>
          <w:spacing w:val="-6"/>
        </w:rPr>
        <w:t xml:space="preserve"> 万元以下的罚</w:t>
      </w:r>
      <w:r>
        <w:rPr>
          <w:color w:val="auto"/>
          <w:spacing w:val="-42"/>
        </w:rPr>
        <w:t>款。”</w:t>
      </w:r>
    </w:p>
    <w:p>
      <w:pPr>
        <w:pStyle w:val="4"/>
        <w:spacing w:line="391" w:lineRule="auto"/>
        <w:ind w:right="148" w:firstLine="640"/>
        <w:rPr>
          <w:color w:val="auto"/>
        </w:rPr>
      </w:pPr>
      <w:r>
        <w:rPr>
          <w:color w:val="auto"/>
        </w:rPr>
        <w:t>2</w:t>
      </w:r>
      <w:r>
        <w:rPr>
          <w:color w:val="auto"/>
          <w:spacing w:val="-12"/>
        </w:rPr>
        <w:t>、《茧丝质量监督管理办法》第十四条第一款第</w:t>
      </w:r>
      <w:r>
        <w:rPr>
          <w:color w:val="auto"/>
        </w:rPr>
        <w:t>（三）项“茧丝经营者加工茧</w:t>
      </w:r>
      <w:r>
        <w:rPr>
          <w:color w:val="auto"/>
          <w:spacing w:val="-15"/>
        </w:rPr>
        <w:t>丝，必须符合下列要求：</w:t>
      </w:r>
      <w:r>
        <w:rPr>
          <w:color w:val="auto"/>
        </w:rPr>
        <w:t>（三</w:t>
      </w:r>
      <w:r>
        <w:rPr>
          <w:color w:val="auto"/>
          <w:spacing w:val="-8"/>
        </w:rPr>
        <w:t>）</w:t>
      </w:r>
      <w:r>
        <w:rPr>
          <w:color w:val="auto"/>
          <w:spacing w:val="-3"/>
        </w:rPr>
        <w:t>按照国家标准、行业标准或者地方标准以及技术规范，</w:t>
      </w:r>
      <w:r>
        <w:rPr>
          <w:color w:val="auto"/>
          <w:spacing w:val="-4"/>
        </w:rPr>
        <w:t>对茧丝进行加工，不得使用土灶加工等可能导致茧丝资源被破坏的方法加工茧丝。”</w:t>
      </w:r>
    </w:p>
    <w:p>
      <w:pPr>
        <w:spacing w:before="0"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93"/>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4"/>
        <w:ind w:left="751"/>
        <w:rPr>
          <w:color w:val="auto"/>
        </w:rPr>
      </w:pPr>
      <w:r>
        <w:rPr>
          <w:color w:val="auto"/>
        </w:rPr>
        <w:t>货值金额 5 万以下的。</w:t>
      </w:r>
    </w:p>
    <w:p>
      <w:pPr>
        <w:spacing w:after="0"/>
        <w:rPr>
          <w:color w:val="auto"/>
        </w:rPr>
        <w:sectPr>
          <w:pgSz w:w="11910" w:h="16840"/>
          <w:pgMar w:top="1520" w:right="1260" w:bottom="1220" w:left="1420" w:header="0" w:footer="1034" w:gutter="0"/>
        </w:sectPr>
      </w:pPr>
    </w:p>
    <w:p>
      <w:pPr>
        <w:pStyle w:val="13"/>
        <w:numPr>
          <w:ilvl w:val="0"/>
          <w:numId w:val="1593"/>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594"/>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spacing w:val="-2"/>
        </w:rPr>
        <w:t>有下列情形之一的：</w:t>
      </w:r>
      <w:r>
        <w:rPr>
          <w:color w:val="auto"/>
          <w:spacing w:val="-10"/>
        </w:rPr>
        <w:t>1</w:t>
      </w:r>
      <w:r>
        <w:rPr>
          <w:color w:val="auto"/>
          <w:spacing w:val="-15"/>
        </w:rPr>
        <w:t xml:space="preserve">、货值金额 </w:t>
      </w:r>
      <w:r>
        <w:rPr>
          <w:color w:val="auto"/>
        </w:rPr>
        <w:t>5</w:t>
      </w:r>
      <w:r>
        <w:rPr>
          <w:color w:val="auto"/>
          <w:spacing w:val="-20"/>
        </w:rPr>
        <w:t xml:space="preserve"> 万元以上 </w:t>
      </w:r>
      <w:r>
        <w:rPr>
          <w:color w:val="auto"/>
        </w:rPr>
        <w:t>20</w:t>
      </w:r>
      <w:r>
        <w:rPr>
          <w:color w:val="auto"/>
          <w:spacing w:val="-10"/>
        </w:rPr>
        <w:t xml:space="preserve"> 万元以下的；2</w:t>
      </w:r>
      <w:r>
        <w:rPr>
          <w:color w:val="auto"/>
          <w:spacing w:val="-5"/>
        </w:rPr>
        <w:t>、同时违反本办</w:t>
      </w:r>
    </w:p>
    <w:p>
      <w:pPr>
        <w:pStyle w:val="4"/>
        <w:spacing w:before="192"/>
        <w:rPr>
          <w:color w:val="auto"/>
        </w:rPr>
      </w:pPr>
      <w:r>
        <w:rPr>
          <w:color w:val="auto"/>
        </w:rPr>
        <w:t>法第十四条第一款规定的 1 项其他违法行为的。</w:t>
      </w:r>
    </w:p>
    <w:p>
      <w:pPr>
        <w:pStyle w:val="13"/>
        <w:numPr>
          <w:ilvl w:val="0"/>
          <w:numId w:val="1594"/>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595"/>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有下列情形之一的：1、货值金额 20 万元以上；2、同时违反本办法第十四条第</w:t>
      </w:r>
    </w:p>
    <w:p>
      <w:pPr>
        <w:pStyle w:val="4"/>
        <w:spacing w:before="191"/>
        <w:rPr>
          <w:color w:val="auto"/>
        </w:rPr>
      </w:pPr>
      <w:r>
        <w:rPr>
          <w:color w:val="auto"/>
        </w:rPr>
        <w:t>一款规定的 2 项其他违法行为的。</w:t>
      </w:r>
    </w:p>
    <w:p>
      <w:pPr>
        <w:pStyle w:val="13"/>
        <w:numPr>
          <w:ilvl w:val="0"/>
          <w:numId w:val="1595"/>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59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有下列情形之一的：1、两年内再次发生同一违法行为的；2、同时违反本办法第十四条第一款规定的 3 项及以上其他违法行为的。</w:t>
      </w:r>
    </w:p>
    <w:p>
      <w:pPr>
        <w:pStyle w:val="13"/>
        <w:numPr>
          <w:ilvl w:val="0"/>
          <w:numId w:val="1596"/>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责令改正，可以处 8 万元以上 10 万元以下罚款。</w:t>
      </w:r>
    </w:p>
    <w:p>
      <w:pPr>
        <w:pStyle w:val="2"/>
        <w:spacing w:before="192"/>
        <w:rPr>
          <w:color w:val="auto"/>
        </w:rPr>
      </w:pPr>
      <w:bookmarkStart w:id="1396" w:name="六百八十四、茧丝经营者未按照规定要求对加工的茧丝进行包装"/>
      <w:bookmarkEnd w:id="1396"/>
      <w:bookmarkStart w:id="1397" w:name="_bookmark697"/>
      <w:bookmarkEnd w:id="1397"/>
      <w:r>
        <w:rPr>
          <w:color w:val="auto"/>
        </w:rPr>
        <w:t>六百八十四、茧丝经营者未按照规定要求对加工的茧丝进行包装</w:t>
      </w:r>
    </w:p>
    <w:p>
      <w:pPr>
        <w:spacing w:before="192"/>
        <w:ind w:left="754" w:right="0" w:firstLine="0"/>
        <w:jc w:val="left"/>
        <w:rPr>
          <w:b/>
          <w:color w:val="auto"/>
          <w:sz w:val="24"/>
        </w:rPr>
      </w:pPr>
      <w:r>
        <w:rPr>
          <w:b/>
          <w:color w:val="auto"/>
          <w:sz w:val="24"/>
        </w:rPr>
        <w:t>（一）处罚依据</w:t>
      </w:r>
    </w:p>
    <w:p>
      <w:pPr>
        <w:pStyle w:val="4"/>
        <w:spacing w:before="194" w:line="388" w:lineRule="auto"/>
        <w:ind w:right="268" w:firstLine="640"/>
        <w:jc w:val="both"/>
        <w:rPr>
          <w:color w:val="auto"/>
        </w:rPr>
      </w:pPr>
      <w:r>
        <w:rPr>
          <w:color w:val="auto"/>
        </w:rPr>
        <w:t>1</w:t>
      </w:r>
      <w:r>
        <w:rPr>
          <w:color w:val="auto"/>
          <w:spacing w:val="-12"/>
        </w:rPr>
        <w:t>、《茧丝质量监督管理办法》第二十二条第一款“违反本办法第十四条第一款</w:t>
      </w:r>
      <w:r>
        <w:rPr>
          <w:color w:val="auto"/>
          <w:spacing w:val="-13"/>
        </w:rPr>
        <w:t xml:space="preserve">规定的，由纤维质量监督机构责令改正，并可以根据情节轻重，处 </w:t>
      </w:r>
      <w:r>
        <w:rPr>
          <w:color w:val="auto"/>
        </w:rPr>
        <w:t>10</w:t>
      </w:r>
      <w:r>
        <w:rPr>
          <w:color w:val="auto"/>
          <w:spacing w:val="-6"/>
        </w:rPr>
        <w:t xml:space="preserve"> 万元以下的罚</w:t>
      </w:r>
      <w:r>
        <w:rPr>
          <w:color w:val="auto"/>
          <w:spacing w:val="-42"/>
        </w:rPr>
        <w:t>款。”</w:t>
      </w:r>
    </w:p>
    <w:p>
      <w:pPr>
        <w:pStyle w:val="4"/>
        <w:spacing w:before="5" w:line="388" w:lineRule="auto"/>
        <w:ind w:right="268" w:firstLine="640"/>
        <w:rPr>
          <w:color w:val="auto"/>
        </w:rPr>
      </w:pPr>
      <w:r>
        <w:rPr>
          <w:color w:val="auto"/>
        </w:rPr>
        <w:t>2</w:t>
      </w:r>
      <w:r>
        <w:rPr>
          <w:color w:val="auto"/>
          <w:spacing w:val="-12"/>
        </w:rPr>
        <w:t>、《茧丝质量监督管理办法》第十四条第一款第</w:t>
      </w:r>
      <w:r>
        <w:rPr>
          <w:color w:val="auto"/>
        </w:rPr>
        <w:t>（四）项“茧丝经营者加工茧</w:t>
      </w:r>
      <w:r>
        <w:rPr>
          <w:color w:val="auto"/>
          <w:spacing w:val="-11"/>
        </w:rPr>
        <w:t>丝，必须符合下列要求：</w:t>
      </w:r>
      <w:r>
        <w:rPr>
          <w:color w:val="auto"/>
        </w:rPr>
        <w:t>（四）</w:t>
      </w:r>
      <w:r>
        <w:rPr>
          <w:color w:val="auto"/>
          <w:spacing w:val="-6"/>
        </w:rPr>
        <w:t>按照本办法第十五条对加工的茧丝进行包装。”</w:t>
      </w:r>
    </w:p>
    <w:p>
      <w:pPr>
        <w:pStyle w:val="4"/>
        <w:spacing w:before="3"/>
        <w:ind w:left="751"/>
        <w:rPr>
          <w:color w:val="auto"/>
        </w:rPr>
      </w:pPr>
      <w:r>
        <w:rPr>
          <w:color w:val="auto"/>
        </w:rPr>
        <w:t>3、《茧丝质量监督管理办法》第十五条“对加工的茧丝进行包装应当符合国家</w:t>
      </w:r>
    </w:p>
    <w:p>
      <w:pPr>
        <w:spacing w:after="0"/>
        <w:rPr>
          <w:color w:val="auto"/>
        </w:rPr>
        <w:sectPr>
          <w:pgSz w:w="11910" w:h="16840"/>
          <w:pgMar w:top="1520" w:right="1260" w:bottom="1220" w:left="1420" w:header="0" w:footer="1034" w:gutter="0"/>
        </w:sectPr>
      </w:pPr>
    </w:p>
    <w:p>
      <w:pPr>
        <w:pStyle w:val="4"/>
        <w:spacing w:before="39" w:line="391" w:lineRule="auto"/>
        <w:ind w:right="148"/>
        <w:rPr>
          <w:color w:val="auto"/>
        </w:rPr>
      </w:pPr>
      <w:r>
        <w:rPr>
          <w:color w:val="auto"/>
          <w:spacing w:val="-12"/>
        </w:rPr>
        <w:t>标准、行业标准或者地方标准以及技术规范的规定，国家标准、行业标准、地方标准、</w:t>
      </w:r>
      <w:r>
        <w:rPr>
          <w:color w:val="auto"/>
          <w:spacing w:val="-6"/>
        </w:rPr>
        <w:t>技术规范中没有规定的，应当符合下列要求：</w:t>
      </w:r>
      <w:r>
        <w:rPr>
          <w:color w:val="auto"/>
        </w:rPr>
        <w:t>（一）</w:t>
      </w:r>
      <w:r>
        <w:rPr>
          <w:color w:val="auto"/>
          <w:spacing w:val="-10"/>
        </w:rPr>
        <w:t>包装物无毒、无害、清洁；</w:t>
      </w:r>
      <w:r>
        <w:rPr>
          <w:color w:val="auto"/>
        </w:rPr>
        <w:t>（二）</w:t>
      </w:r>
      <w:r>
        <w:rPr>
          <w:color w:val="auto"/>
          <w:spacing w:val="-2"/>
        </w:rPr>
        <w:t>有足够的牢固性，能够耐受正常的运输和贮存</w:t>
      </w:r>
      <w:r>
        <w:rPr>
          <w:color w:val="auto"/>
          <w:spacing w:val="-130"/>
        </w:rPr>
        <w:t>；</w:t>
      </w:r>
      <w:r>
        <w:rPr>
          <w:color w:val="auto"/>
        </w:rPr>
        <w:t>（三</w:t>
      </w:r>
      <w:r>
        <w:rPr>
          <w:color w:val="auto"/>
          <w:spacing w:val="-8"/>
        </w:rPr>
        <w:t>）</w:t>
      </w:r>
      <w:r>
        <w:rPr>
          <w:color w:val="auto"/>
          <w:spacing w:val="-2"/>
        </w:rPr>
        <w:t>能防止加工的茧丝受潮、霉变、</w:t>
      </w:r>
      <w:r>
        <w:rPr>
          <w:color w:val="auto"/>
          <w:spacing w:val="-8"/>
        </w:rPr>
        <w:t>被污染、被虫蛀鼠咬等质量损毁。”</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597"/>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3"/>
        <w:ind w:left="751"/>
        <w:rPr>
          <w:color w:val="auto"/>
        </w:rPr>
      </w:pPr>
      <w:r>
        <w:rPr>
          <w:color w:val="auto"/>
        </w:rPr>
        <w:t>货值金额 5 万以下的。</w:t>
      </w:r>
    </w:p>
    <w:p>
      <w:pPr>
        <w:pStyle w:val="13"/>
        <w:numPr>
          <w:ilvl w:val="0"/>
          <w:numId w:val="159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59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spacing w:val="-2"/>
        </w:rPr>
        <w:t>有下列情形之一的：</w:t>
      </w:r>
      <w:r>
        <w:rPr>
          <w:color w:val="auto"/>
          <w:spacing w:val="-10"/>
        </w:rPr>
        <w:t>1</w:t>
      </w:r>
      <w:r>
        <w:rPr>
          <w:color w:val="auto"/>
          <w:spacing w:val="-15"/>
        </w:rPr>
        <w:t xml:space="preserve">、货值金额 </w:t>
      </w:r>
      <w:r>
        <w:rPr>
          <w:color w:val="auto"/>
        </w:rPr>
        <w:t>5</w:t>
      </w:r>
      <w:r>
        <w:rPr>
          <w:color w:val="auto"/>
          <w:spacing w:val="-20"/>
        </w:rPr>
        <w:t xml:space="preserve"> 万元以上 </w:t>
      </w:r>
      <w:r>
        <w:rPr>
          <w:color w:val="auto"/>
        </w:rPr>
        <w:t>20</w:t>
      </w:r>
      <w:r>
        <w:rPr>
          <w:color w:val="auto"/>
          <w:spacing w:val="-10"/>
        </w:rPr>
        <w:t xml:space="preserve"> 万元以下的；2</w:t>
      </w:r>
      <w:r>
        <w:rPr>
          <w:color w:val="auto"/>
          <w:spacing w:val="-5"/>
        </w:rPr>
        <w:t>、同时违反本办</w:t>
      </w:r>
    </w:p>
    <w:p>
      <w:pPr>
        <w:pStyle w:val="4"/>
        <w:spacing w:before="195"/>
        <w:rPr>
          <w:color w:val="auto"/>
        </w:rPr>
      </w:pPr>
      <w:r>
        <w:rPr>
          <w:color w:val="auto"/>
        </w:rPr>
        <w:t>法第十四条第一款规定的 1 项其他违法行为的。</w:t>
      </w:r>
    </w:p>
    <w:p>
      <w:pPr>
        <w:pStyle w:val="13"/>
        <w:numPr>
          <w:ilvl w:val="0"/>
          <w:numId w:val="1598"/>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599"/>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有下列情形之一的：1、货值金额 20 万元以上；2、同时违反本办法第十四条第</w:t>
      </w:r>
    </w:p>
    <w:p>
      <w:pPr>
        <w:pStyle w:val="4"/>
        <w:spacing w:before="194"/>
        <w:rPr>
          <w:color w:val="auto"/>
        </w:rPr>
      </w:pPr>
      <w:r>
        <w:rPr>
          <w:color w:val="auto"/>
        </w:rPr>
        <w:t>一款规定的 2 项其他违法行为的。</w:t>
      </w:r>
    </w:p>
    <w:p>
      <w:pPr>
        <w:pStyle w:val="13"/>
        <w:numPr>
          <w:ilvl w:val="0"/>
          <w:numId w:val="1599"/>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600"/>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有下列情形之一的：1、两年内再次发生同一违法行为的；2、同时违反本办法第十四条第一款规定的 3 项及以上其他违法行为的。</w:t>
      </w:r>
    </w:p>
    <w:p>
      <w:pPr>
        <w:pStyle w:val="13"/>
        <w:numPr>
          <w:ilvl w:val="0"/>
          <w:numId w:val="1600"/>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8 万元以上 10 万元以下罚款。</w:t>
      </w:r>
    </w:p>
    <w:p>
      <w:pPr>
        <w:spacing w:after="0"/>
        <w:rPr>
          <w:color w:val="auto"/>
        </w:rPr>
        <w:sectPr>
          <w:pgSz w:w="11910" w:h="16840"/>
          <w:pgMar w:top="1520" w:right="1260" w:bottom="1220" w:left="1420" w:header="0" w:footer="1034" w:gutter="0"/>
        </w:sectPr>
      </w:pPr>
    </w:p>
    <w:p>
      <w:pPr>
        <w:pStyle w:val="2"/>
        <w:spacing w:before="39"/>
        <w:rPr>
          <w:color w:val="auto"/>
        </w:rPr>
      </w:pPr>
      <w:bookmarkStart w:id="1398" w:name="六百八十五、茧丝经营者不按照规定对加工的茧丝标注标识"/>
      <w:bookmarkEnd w:id="1398"/>
      <w:bookmarkStart w:id="1399" w:name="_bookmark698"/>
      <w:bookmarkEnd w:id="1399"/>
      <w:r>
        <w:rPr>
          <w:color w:val="auto"/>
        </w:rPr>
        <w:t>六百八十五、茧丝经营者不按照规定对加工的茧丝标注标识</w:t>
      </w:r>
    </w:p>
    <w:p>
      <w:pPr>
        <w:spacing w:before="195"/>
        <w:ind w:left="754" w:right="0" w:firstLine="0"/>
        <w:jc w:val="left"/>
        <w:rPr>
          <w:b/>
          <w:color w:val="auto"/>
          <w:sz w:val="24"/>
        </w:rPr>
      </w:pPr>
      <w:r>
        <w:rPr>
          <w:b/>
          <w:color w:val="auto"/>
          <w:sz w:val="24"/>
        </w:rPr>
        <w:t>（一）处罚依据</w:t>
      </w:r>
    </w:p>
    <w:p>
      <w:pPr>
        <w:pStyle w:val="4"/>
        <w:spacing w:before="191" w:line="391" w:lineRule="auto"/>
        <w:ind w:right="268" w:firstLine="640"/>
        <w:jc w:val="both"/>
        <w:rPr>
          <w:color w:val="auto"/>
        </w:rPr>
      </w:pPr>
      <w:r>
        <w:rPr>
          <w:color w:val="auto"/>
        </w:rPr>
        <w:t>1</w:t>
      </w:r>
      <w:r>
        <w:rPr>
          <w:color w:val="auto"/>
          <w:spacing w:val="-12"/>
        </w:rPr>
        <w:t>、《茧丝质量监督管理办法》第二十二条第一款“违反本办法第十四条第一款</w:t>
      </w:r>
      <w:r>
        <w:rPr>
          <w:color w:val="auto"/>
          <w:spacing w:val="-13"/>
        </w:rPr>
        <w:t xml:space="preserve">规定的，由纤维质量监督机构责令改正，并可以根据情节轻重，处 </w:t>
      </w:r>
      <w:r>
        <w:rPr>
          <w:color w:val="auto"/>
        </w:rPr>
        <w:t>10</w:t>
      </w:r>
      <w:r>
        <w:rPr>
          <w:color w:val="auto"/>
          <w:spacing w:val="-6"/>
        </w:rPr>
        <w:t xml:space="preserve"> 万元以下的罚</w:t>
      </w:r>
      <w:r>
        <w:rPr>
          <w:color w:val="auto"/>
          <w:spacing w:val="-42"/>
        </w:rPr>
        <w:t>款。”</w:t>
      </w:r>
    </w:p>
    <w:p>
      <w:pPr>
        <w:pStyle w:val="4"/>
        <w:spacing w:line="388" w:lineRule="auto"/>
        <w:ind w:right="268" w:firstLine="640"/>
        <w:rPr>
          <w:color w:val="auto"/>
        </w:rPr>
      </w:pPr>
      <w:r>
        <w:rPr>
          <w:color w:val="auto"/>
        </w:rPr>
        <w:t>2</w:t>
      </w:r>
      <w:r>
        <w:rPr>
          <w:color w:val="auto"/>
          <w:spacing w:val="-12"/>
        </w:rPr>
        <w:t>、《茧丝质量监督管理办法》第十四条第一款第</w:t>
      </w:r>
      <w:r>
        <w:rPr>
          <w:color w:val="auto"/>
        </w:rPr>
        <w:t>（五）项“茧丝经营者加工茧</w:t>
      </w:r>
      <w:r>
        <w:rPr>
          <w:color w:val="auto"/>
          <w:spacing w:val="-11"/>
        </w:rPr>
        <w:t>丝，必须符合下列要求：</w:t>
      </w:r>
      <w:r>
        <w:rPr>
          <w:color w:val="auto"/>
        </w:rPr>
        <w:t>（五）</w:t>
      </w:r>
      <w:r>
        <w:rPr>
          <w:color w:val="auto"/>
          <w:spacing w:val="-6"/>
        </w:rPr>
        <w:t>按照本办法第十六条规定对加工的茧丝标注标识。”</w:t>
      </w:r>
    </w:p>
    <w:p>
      <w:pPr>
        <w:pStyle w:val="4"/>
        <w:spacing w:before="1" w:line="391" w:lineRule="auto"/>
        <w:ind w:right="261" w:firstLine="640"/>
        <w:jc w:val="both"/>
        <w:rPr>
          <w:color w:val="auto"/>
        </w:rPr>
      </w:pPr>
      <w:r>
        <w:rPr>
          <w:color w:val="auto"/>
        </w:rPr>
        <w:t>3</w:t>
      </w:r>
      <w:r>
        <w:rPr>
          <w:color w:val="auto"/>
          <w:spacing w:val="-12"/>
        </w:rPr>
        <w:t>、《茧丝质量监督管理办法》第十六条“对加工的茧丝标注标识应当符合下列</w:t>
      </w:r>
      <w:r>
        <w:rPr>
          <w:color w:val="auto"/>
          <w:spacing w:val="-39"/>
        </w:rPr>
        <w:t>要求：</w:t>
      </w:r>
      <w:r>
        <w:rPr>
          <w:color w:val="auto"/>
          <w:spacing w:val="2"/>
        </w:rPr>
        <w:t>（一）</w:t>
      </w:r>
      <w:r>
        <w:rPr>
          <w:color w:val="auto"/>
          <w:spacing w:val="1"/>
        </w:rPr>
        <w:t>有中文标明的茧丝名称、原产地域、蚕茧收购期</w:t>
      </w:r>
      <w:r>
        <w:rPr>
          <w:color w:val="auto"/>
          <w:spacing w:val="2"/>
        </w:rPr>
        <w:t>（茧季</w:t>
      </w:r>
      <w:r>
        <w:rPr>
          <w:color w:val="auto"/>
          <w:spacing w:val="-118"/>
        </w:rPr>
        <w:t>）；</w:t>
      </w:r>
      <w:r>
        <w:rPr>
          <w:color w:val="auto"/>
          <w:spacing w:val="2"/>
        </w:rPr>
        <w:t>（二）</w:t>
      </w:r>
      <w:r>
        <w:rPr>
          <w:color w:val="auto"/>
          <w:spacing w:val="1"/>
        </w:rPr>
        <w:t>有中文</w:t>
      </w:r>
      <w:r>
        <w:rPr>
          <w:color w:val="auto"/>
          <w:spacing w:val="-4"/>
        </w:rPr>
        <w:t>标明的茧丝加工者的名称、地址、联系方法和加工日期；</w:t>
      </w:r>
      <w:r>
        <w:rPr>
          <w:color w:val="auto"/>
          <w:spacing w:val="2"/>
        </w:rPr>
        <w:t>（三）</w:t>
      </w:r>
      <w:r>
        <w:rPr>
          <w:color w:val="auto"/>
          <w:spacing w:val="1"/>
        </w:rPr>
        <w:t>标明茧丝的类别、等</w:t>
      </w:r>
      <w:r>
        <w:rPr>
          <w:color w:val="auto"/>
          <w:spacing w:val="-13"/>
        </w:rPr>
        <w:t>级、重量、批号、包号或者件号；</w:t>
      </w:r>
      <w:r>
        <w:rPr>
          <w:color w:val="auto"/>
        </w:rPr>
        <w:t>（四</w:t>
      </w:r>
      <w:r>
        <w:rPr>
          <w:color w:val="auto"/>
          <w:spacing w:val="-5"/>
        </w:rPr>
        <w:t>）</w:t>
      </w:r>
      <w:r>
        <w:rPr>
          <w:color w:val="auto"/>
          <w:spacing w:val="-16"/>
        </w:rPr>
        <w:t>执行的标准编号；</w:t>
      </w:r>
      <w:r>
        <w:rPr>
          <w:color w:val="auto"/>
        </w:rPr>
        <w:t>（五</w:t>
      </w:r>
      <w:r>
        <w:rPr>
          <w:color w:val="auto"/>
          <w:spacing w:val="-5"/>
        </w:rPr>
        <w:t>）</w:t>
      </w:r>
      <w:r>
        <w:rPr>
          <w:color w:val="auto"/>
          <w:spacing w:val="-2"/>
        </w:rPr>
        <w:t>按国家规定附有产品</w:t>
      </w:r>
      <w:r>
        <w:rPr>
          <w:color w:val="auto"/>
          <w:spacing w:val="-30"/>
        </w:rPr>
        <w:t>合格证；</w:t>
      </w:r>
      <w:r>
        <w:rPr>
          <w:color w:val="auto"/>
        </w:rPr>
        <w:t>（六）国家有关标注标识的其他规定。</w:t>
      </w:r>
    </w:p>
    <w:p>
      <w:pPr>
        <w:pStyle w:val="4"/>
        <w:spacing w:line="391" w:lineRule="auto"/>
        <w:ind w:right="73" w:firstLine="640"/>
        <w:rPr>
          <w:color w:val="auto"/>
        </w:rPr>
      </w:pPr>
      <w:r>
        <w:rPr>
          <w:color w:val="auto"/>
        </w:rPr>
        <w:t>茧丝的标识应当标注在茧丝或者其外包装的显著位置上，标识的字迹应当清楚、牢固、便于识别。”</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601"/>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87"/>
        <w:ind w:left="751"/>
        <w:rPr>
          <w:color w:val="auto"/>
        </w:rPr>
      </w:pPr>
      <w:r>
        <w:rPr>
          <w:color w:val="auto"/>
        </w:rPr>
        <w:t>货值金额 5 万以下的。</w:t>
      </w:r>
    </w:p>
    <w:p>
      <w:pPr>
        <w:pStyle w:val="13"/>
        <w:numPr>
          <w:ilvl w:val="0"/>
          <w:numId w:val="160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602"/>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spacing w:val="-2"/>
        </w:rPr>
        <w:t>有下列情形之一的：</w:t>
      </w:r>
      <w:r>
        <w:rPr>
          <w:color w:val="auto"/>
          <w:spacing w:val="-10"/>
        </w:rPr>
        <w:t>1</w:t>
      </w:r>
      <w:r>
        <w:rPr>
          <w:color w:val="auto"/>
          <w:spacing w:val="-15"/>
        </w:rPr>
        <w:t xml:space="preserve">、货值金额 </w:t>
      </w:r>
      <w:r>
        <w:rPr>
          <w:color w:val="auto"/>
        </w:rPr>
        <w:t>5</w:t>
      </w:r>
      <w:r>
        <w:rPr>
          <w:color w:val="auto"/>
          <w:spacing w:val="-20"/>
        </w:rPr>
        <w:t xml:space="preserve"> 万元以上 </w:t>
      </w:r>
      <w:r>
        <w:rPr>
          <w:color w:val="auto"/>
        </w:rPr>
        <w:t>20</w:t>
      </w:r>
      <w:r>
        <w:rPr>
          <w:color w:val="auto"/>
          <w:spacing w:val="-10"/>
        </w:rPr>
        <w:t xml:space="preserve"> 万元以下的；2</w:t>
      </w:r>
      <w:r>
        <w:rPr>
          <w:color w:val="auto"/>
          <w:spacing w:val="-5"/>
        </w:rPr>
        <w:t>、同时违反本办</w:t>
      </w:r>
    </w:p>
    <w:p>
      <w:pPr>
        <w:pStyle w:val="4"/>
        <w:spacing w:before="192"/>
        <w:rPr>
          <w:color w:val="auto"/>
        </w:rPr>
      </w:pPr>
      <w:r>
        <w:rPr>
          <w:color w:val="auto"/>
        </w:rPr>
        <w:t>法第十四条第一款规定的 1 项其他违法行为的。</w:t>
      </w:r>
    </w:p>
    <w:p>
      <w:pPr>
        <w:pStyle w:val="13"/>
        <w:numPr>
          <w:ilvl w:val="0"/>
          <w:numId w:val="1602"/>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603"/>
        </w:numPr>
        <w:tabs>
          <w:tab w:val="left" w:pos="1353"/>
        </w:tabs>
        <w:spacing w:before="3" w:after="0" w:line="240" w:lineRule="auto"/>
        <w:ind w:left="1353" w:right="0" w:hanging="602"/>
        <w:jc w:val="left"/>
        <w:rPr>
          <w:color w:val="auto"/>
          <w:sz w:val="24"/>
        </w:rPr>
      </w:pPr>
      <w:r>
        <w:rPr>
          <w:color w:val="auto"/>
          <w:sz w:val="24"/>
        </w:rPr>
        <w:t>违法情形</w:t>
      </w:r>
    </w:p>
    <w:p>
      <w:pPr>
        <w:spacing w:after="0" w:line="240" w:lineRule="auto"/>
        <w:jc w:val="left"/>
        <w:rPr>
          <w:color w:val="auto"/>
          <w:sz w:val="24"/>
        </w:rPr>
        <w:sectPr>
          <w:footerReference r:id="rId177" w:type="default"/>
          <w:footerReference r:id="rId178" w:type="even"/>
          <w:pgSz w:w="11910" w:h="16840"/>
          <w:pgMar w:top="1520" w:right="1260" w:bottom="1220" w:left="1420" w:header="0" w:footer="1034" w:gutter="0"/>
          <w:pgNumType w:start="670"/>
        </w:sectPr>
      </w:pPr>
    </w:p>
    <w:p>
      <w:pPr>
        <w:pStyle w:val="4"/>
        <w:spacing w:before="39"/>
        <w:ind w:left="751"/>
        <w:rPr>
          <w:color w:val="auto"/>
        </w:rPr>
      </w:pPr>
      <w:r>
        <w:rPr>
          <w:color w:val="auto"/>
        </w:rPr>
        <w:t>有下列情形之一的：1、货值金额 20 万元以上；2、同时违反本办法第十四条第</w:t>
      </w:r>
    </w:p>
    <w:p>
      <w:pPr>
        <w:pStyle w:val="4"/>
        <w:spacing w:before="195"/>
        <w:ind w:left="0" w:right="5401"/>
        <w:jc w:val="center"/>
        <w:rPr>
          <w:color w:val="auto"/>
        </w:rPr>
      </w:pPr>
      <w:r>
        <w:rPr>
          <w:color w:val="auto"/>
        </w:rPr>
        <w:t>一款规定的 2 项其他违法行为的。</w:t>
      </w:r>
    </w:p>
    <w:p>
      <w:pPr>
        <w:pStyle w:val="13"/>
        <w:numPr>
          <w:ilvl w:val="0"/>
          <w:numId w:val="1603"/>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604"/>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有下列情形之一的：1、两年内再次发生同一违法行为的；2、同时违反本办法第十四条第一款规定的 3 项及以上其他违法行为的。</w:t>
      </w:r>
    </w:p>
    <w:p>
      <w:pPr>
        <w:pStyle w:val="13"/>
        <w:numPr>
          <w:ilvl w:val="0"/>
          <w:numId w:val="1604"/>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责令改正，可以处 8 万元以上 10 万元以下罚款。</w:t>
      </w:r>
    </w:p>
    <w:p>
      <w:pPr>
        <w:pStyle w:val="2"/>
        <w:spacing w:before="194"/>
        <w:rPr>
          <w:color w:val="auto"/>
        </w:rPr>
      </w:pPr>
      <w:bookmarkStart w:id="1400" w:name="六百八十六、茧丝经营者标注的标识与茧丝的质量、数量不相符"/>
      <w:bookmarkEnd w:id="1400"/>
      <w:bookmarkStart w:id="1401" w:name="_bookmark699"/>
      <w:bookmarkEnd w:id="1401"/>
      <w:r>
        <w:rPr>
          <w:color w:val="auto"/>
        </w:rPr>
        <w:t>六百八十六、茧丝经营者标注的标识与茧丝的质量、数量不相符</w:t>
      </w:r>
    </w:p>
    <w:p>
      <w:pPr>
        <w:spacing w:before="192"/>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、《茧丝质量监督管理办法》第二十二条第一款“违反本办法第十四条第一款</w:t>
      </w:r>
      <w:r>
        <w:rPr>
          <w:color w:val="auto"/>
          <w:spacing w:val="-13"/>
        </w:rPr>
        <w:t xml:space="preserve">规定的，由纤维质量监督机构责令改正，并可以根据情节轻重，处 </w:t>
      </w:r>
      <w:r>
        <w:rPr>
          <w:color w:val="auto"/>
        </w:rPr>
        <w:t>10</w:t>
      </w:r>
      <w:r>
        <w:rPr>
          <w:color w:val="auto"/>
          <w:spacing w:val="-6"/>
        </w:rPr>
        <w:t xml:space="preserve"> 万元以下的罚</w:t>
      </w:r>
      <w:r>
        <w:rPr>
          <w:color w:val="auto"/>
          <w:spacing w:val="-42"/>
        </w:rPr>
        <w:t>款。”</w:t>
      </w:r>
    </w:p>
    <w:p>
      <w:pPr>
        <w:pStyle w:val="4"/>
        <w:spacing w:line="391" w:lineRule="auto"/>
        <w:ind w:right="268" w:firstLine="640"/>
        <w:rPr>
          <w:color w:val="auto"/>
        </w:rPr>
      </w:pPr>
      <w:r>
        <w:rPr>
          <w:color w:val="auto"/>
        </w:rPr>
        <w:t>2</w:t>
      </w:r>
      <w:r>
        <w:rPr>
          <w:color w:val="auto"/>
          <w:spacing w:val="-12"/>
        </w:rPr>
        <w:t>、《茧丝质量监督管理办法》第十四条第一款第</w:t>
      </w:r>
      <w:r>
        <w:rPr>
          <w:color w:val="auto"/>
        </w:rPr>
        <w:t>（六）项“茧丝经营者加工茧</w:t>
      </w:r>
      <w:r>
        <w:rPr>
          <w:color w:val="auto"/>
          <w:spacing w:val="-11"/>
        </w:rPr>
        <w:t>丝，必须符合下列要求：</w:t>
      </w:r>
      <w:r>
        <w:rPr>
          <w:color w:val="auto"/>
        </w:rPr>
        <w:t>（六）</w:t>
      </w:r>
      <w:r>
        <w:rPr>
          <w:color w:val="auto"/>
          <w:spacing w:val="-8"/>
        </w:rPr>
        <w:t>标注的标识与茧丝的质量、数量相符。”</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605"/>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1"/>
        <w:ind w:left="0" w:right="5321"/>
        <w:jc w:val="center"/>
        <w:rPr>
          <w:color w:val="auto"/>
        </w:rPr>
      </w:pPr>
      <w:r>
        <w:rPr>
          <w:color w:val="auto"/>
        </w:rPr>
        <w:t>货值金额 5 万以下的。</w:t>
      </w:r>
    </w:p>
    <w:p>
      <w:pPr>
        <w:pStyle w:val="13"/>
        <w:numPr>
          <w:ilvl w:val="0"/>
          <w:numId w:val="1605"/>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5"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606"/>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spacing w:val="-2"/>
        </w:rPr>
        <w:t>有下列情形之一的：</w:t>
      </w:r>
      <w:r>
        <w:rPr>
          <w:color w:val="auto"/>
          <w:spacing w:val="-10"/>
        </w:rPr>
        <w:t>1</w:t>
      </w:r>
      <w:r>
        <w:rPr>
          <w:color w:val="auto"/>
          <w:spacing w:val="-15"/>
        </w:rPr>
        <w:t xml:space="preserve">、货值金额 </w:t>
      </w:r>
      <w:r>
        <w:rPr>
          <w:color w:val="auto"/>
        </w:rPr>
        <w:t>5</w:t>
      </w:r>
      <w:r>
        <w:rPr>
          <w:color w:val="auto"/>
          <w:spacing w:val="-20"/>
        </w:rPr>
        <w:t xml:space="preserve"> 万元以上 </w:t>
      </w:r>
      <w:r>
        <w:rPr>
          <w:color w:val="auto"/>
        </w:rPr>
        <w:t>20</w:t>
      </w:r>
      <w:r>
        <w:rPr>
          <w:color w:val="auto"/>
          <w:spacing w:val="-10"/>
        </w:rPr>
        <w:t xml:space="preserve"> 万元以下的；2</w:t>
      </w:r>
      <w:r>
        <w:rPr>
          <w:color w:val="auto"/>
          <w:spacing w:val="-5"/>
        </w:rPr>
        <w:t>、同时违反本办</w:t>
      </w:r>
    </w:p>
    <w:p>
      <w:pPr>
        <w:pStyle w:val="4"/>
        <w:spacing w:before="191"/>
        <w:rPr>
          <w:color w:val="auto"/>
        </w:rPr>
      </w:pPr>
      <w:r>
        <w:rPr>
          <w:color w:val="auto"/>
        </w:rPr>
        <w:t>法第十四条第一款规定的 1 项其他违法行为的。</w:t>
      </w:r>
    </w:p>
    <w:p>
      <w:pPr>
        <w:pStyle w:val="13"/>
        <w:numPr>
          <w:ilvl w:val="0"/>
          <w:numId w:val="1606"/>
        </w:numPr>
        <w:tabs>
          <w:tab w:val="left" w:pos="1353"/>
        </w:tabs>
        <w:spacing w:before="192"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60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有下列情形之一的：1、货值金额 20 万元以上；2、同时违反本办法第十四条第</w:t>
      </w:r>
    </w:p>
    <w:p>
      <w:pPr>
        <w:pStyle w:val="4"/>
        <w:spacing w:before="194"/>
        <w:ind w:left="0" w:right="5401"/>
        <w:jc w:val="center"/>
        <w:rPr>
          <w:color w:val="auto"/>
        </w:rPr>
      </w:pPr>
      <w:r>
        <w:rPr>
          <w:color w:val="auto"/>
        </w:rPr>
        <w:t>一款规定的 2 项其他违法行为的。</w:t>
      </w:r>
    </w:p>
    <w:p>
      <w:pPr>
        <w:pStyle w:val="13"/>
        <w:numPr>
          <w:ilvl w:val="0"/>
          <w:numId w:val="160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60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line="391" w:lineRule="auto"/>
        <w:ind w:right="268" w:firstLine="640"/>
        <w:rPr>
          <w:color w:val="auto"/>
        </w:rPr>
      </w:pPr>
      <w:r>
        <w:rPr>
          <w:color w:val="auto"/>
        </w:rPr>
        <w:t>有下列情形之一的：1、两年内再次发生同一违法行为的；2、同时违反本办法第十四条第一款规定的 3 项及以上其他违法行为的。</w:t>
      </w:r>
    </w:p>
    <w:p>
      <w:pPr>
        <w:pStyle w:val="13"/>
        <w:numPr>
          <w:ilvl w:val="0"/>
          <w:numId w:val="1608"/>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8 万元以上 10 万元以下罚款。</w:t>
      </w:r>
    </w:p>
    <w:p>
      <w:pPr>
        <w:pStyle w:val="2"/>
        <w:spacing w:before="194"/>
        <w:rPr>
          <w:color w:val="auto"/>
        </w:rPr>
      </w:pPr>
      <w:bookmarkStart w:id="1402" w:name="_bookmark700"/>
      <w:bookmarkEnd w:id="1402"/>
      <w:bookmarkStart w:id="1403" w:name="六百八十七、茧丝经营者未按规定对加工后的桑蚕干茧进行合理放置"/>
      <w:bookmarkEnd w:id="1403"/>
      <w:r>
        <w:rPr>
          <w:color w:val="auto"/>
        </w:rPr>
        <w:t>六百八十七、茧丝经营者未按规定对加工后的桑蚕干茧进行合理放置</w:t>
      </w:r>
    </w:p>
    <w:p>
      <w:pPr>
        <w:spacing w:before="192"/>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、《茧丝质量监督管理办法》第二十二条第一款“违反本办法第十四条第一款</w:t>
      </w:r>
      <w:r>
        <w:rPr>
          <w:color w:val="auto"/>
          <w:spacing w:val="-13"/>
        </w:rPr>
        <w:t xml:space="preserve">规定的，由纤维质量监督机构责令改正，并可以根据情节轻重，处 </w:t>
      </w:r>
      <w:r>
        <w:rPr>
          <w:color w:val="auto"/>
        </w:rPr>
        <w:t>10</w:t>
      </w:r>
      <w:r>
        <w:rPr>
          <w:color w:val="auto"/>
          <w:spacing w:val="-6"/>
        </w:rPr>
        <w:t xml:space="preserve"> 万元以下的罚</w:t>
      </w:r>
      <w:r>
        <w:rPr>
          <w:color w:val="auto"/>
          <w:spacing w:val="-42"/>
        </w:rPr>
        <w:t>款。”</w:t>
      </w:r>
    </w:p>
    <w:p>
      <w:pPr>
        <w:pStyle w:val="4"/>
        <w:spacing w:line="391" w:lineRule="auto"/>
        <w:ind w:right="268" w:firstLine="640"/>
        <w:jc w:val="both"/>
        <w:rPr>
          <w:color w:val="auto"/>
        </w:rPr>
      </w:pPr>
      <w:r>
        <w:rPr>
          <w:color w:val="auto"/>
        </w:rPr>
        <w:t>2</w:t>
      </w:r>
      <w:r>
        <w:rPr>
          <w:color w:val="auto"/>
          <w:spacing w:val="-12"/>
        </w:rPr>
        <w:t>、《茧丝质量监督管理办法》第十四条第一款第</w:t>
      </w:r>
      <w:r>
        <w:rPr>
          <w:color w:val="auto"/>
        </w:rPr>
        <w:t>（七）项“茧丝经营者加工茧</w:t>
      </w:r>
      <w:r>
        <w:rPr>
          <w:color w:val="auto"/>
          <w:spacing w:val="-10"/>
        </w:rPr>
        <w:t>丝，必须符合下列要求：</w:t>
      </w:r>
      <w:r>
        <w:rPr>
          <w:color w:val="auto"/>
          <w:spacing w:val="2"/>
        </w:rPr>
        <w:t>（七）</w:t>
      </w:r>
      <w:r>
        <w:rPr>
          <w:color w:val="auto"/>
        </w:rPr>
        <w:t>对加工后的桑蚕干茧进行合理放置，保证放置在一起的桑蚕干茧的品种、类别、等级、蚕茧收购期（茧季</w:t>
      </w:r>
      <w:r>
        <w:rPr>
          <w:color w:val="auto"/>
          <w:spacing w:val="-120"/>
        </w:rPr>
        <w:t>）</w:t>
      </w:r>
      <w:r>
        <w:rPr>
          <w:color w:val="auto"/>
        </w:rPr>
        <w:t>、养殖地域（庄口）</w:t>
      </w:r>
      <w:r>
        <w:rPr>
          <w:color w:val="auto"/>
          <w:spacing w:val="-30"/>
        </w:rPr>
        <w:t>一致。”</w:t>
      </w:r>
    </w:p>
    <w:p>
      <w:pPr>
        <w:spacing w:before="0" w:line="391"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609"/>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4"/>
        <w:ind w:left="0" w:right="5321"/>
        <w:jc w:val="center"/>
        <w:rPr>
          <w:color w:val="auto"/>
        </w:rPr>
      </w:pPr>
      <w:r>
        <w:rPr>
          <w:color w:val="auto"/>
        </w:rPr>
        <w:t>货值金额 5 万以下的。</w:t>
      </w:r>
    </w:p>
    <w:p>
      <w:pPr>
        <w:pStyle w:val="13"/>
        <w:numPr>
          <w:ilvl w:val="0"/>
          <w:numId w:val="1609"/>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spacing w:after="0" w:line="388" w:lineRule="auto"/>
        <w:rPr>
          <w:color w:val="auto"/>
        </w:rPr>
        <w:sectPr>
          <w:pgSz w:w="11910" w:h="16840"/>
          <w:pgMar w:top="1520" w:right="1260" w:bottom="1220" w:left="1420" w:header="0" w:footer="1034" w:gutter="0"/>
        </w:sectPr>
      </w:pPr>
    </w:p>
    <w:p>
      <w:pPr>
        <w:pStyle w:val="13"/>
        <w:numPr>
          <w:ilvl w:val="0"/>
          <w:numId w:val="1610"/>
        </w:numPr>
        <w:tabs>
          <w:tab w:val="left" w:pos="1353"/>
        </w:tabs>
        <w:spacing w:before="39"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spacing w:val="-2"/>
        </w:rPr>
        <w:t>有下列情形之一的：</w:t>
      </w:r>
      <w:r>
        <w:rPr>
          <w:color w:val="auto"/>
          <w:spacing w:val="-10"/>
        </w:rPr>
        <w:t>1</w:t>
      </w:r>
      <w:r>
        <w:rPr>
          <w:color w:val="auto"/>
          <w:spacing w:val="-15"/>
        </w:rPr>
        <w:t xml:space="preserve">、货值金额 </w:t>
      </w:r>
      <w:r>
        <w:rPr>
          <w:color w:val="auto"/>
        </w:rPr>
        <w:t>5</w:t>
      </w:r>
      <w:r>
        <w:rPr>
          <w:color w:val="auto"/>
          <w:spacing w:val="-20"/>
        </w:rPr>
        <w:t xml:space="preserve"> 万元以上 </w:t>
      </w:r>
      <w:r>
        <w:rPr>
          <w:color w:val="auto"/>
        </w:rPr>
        <w:t>20</w:t>
      </w:r>
      <w:r>
        <w:rPr>
          <w:color w:val="auto"/>
          <w:spacing w:val="-10"/>
        </w:rPr>
        <w:t xml:space="preserve"> 万元以下的；2</w:t>
      </w:r>
      <w:r>
        <w:rPr>
          <w:color w:val="auto"/>
          <w:spacing w:val="-5"/>
        </w:rPr>
        <w:t>、同时违反本办</w:t>
      </w:r>
    </w:p>
    <w:p>
      <w:pPr>
        <w:pStyle w:val="4"/>
        <w:spacing w:before="191"/>
        <w:rPr>
          <w:color w:val="auto"/>
        </w:rPr>
      </w:pPr>
      <w:r>
        <w:rPr>
          <w:color w:val="auto"/>
        </w:rPr>
        <w:t>法第十四条第一款规定的 1 项其他违法行为的。</w:t>
      </w:r>
    </w:p>
    <w:p>
      <w:pPr>
        <w:pStyle w:val="13"/>
        <w:numPr>
          <w:ilvl w:val="0"/>
          <w:numId w:val="161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61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有下列情形之一的：1、货值金额 20 万元以上；2、同时违反本办法第十四条第</w:t>
      </w:r>
    </w:p>
    <w:p>
      <w:pPr>
        <w:pStyle w:val="4"/>
        <w:spacing w:before="192"/>
        <w:rPr>
          <w:color w:val="auto"/>
        </w:rPr>
      </w:pPr>
      <w:r>
        <w:rPr>
          <w:color w:val="auto"/>
        </w:rPr>
        <w:t>一款规定的 2 项其他违法行为的。</w:t>
      </w:r>
    </w:p>
    <w:p>
      <w:pPr>
        <w:pStyle w:val="13"/>
        <w:numPr>
          <w:ilvl w:val="0"/>
          <w:numId w:val="161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612"/>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有下列情形之一的：1、两年内再次发生同一违法行为的；2、同时违反本办法第十四条第一款规定的 3 项及以上其他违法行为的。</w:t>
      </w:r>
    </w:p>
    <w:p>
      <w:pPr>
        <w:pStyle w:val="13"/>
        <w:numPr>
          <w:ilvl w:val="0"/>
          <w:numId w:val="1612"/>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责令改正，可以处 8 万元以上 10 万元以下罚款。</w:t>
      </w:r>
    </w:p>
    <w:p>
      <w:pPr>
        <w:pStyle w:val="2"/>
        <w:spacing w:before="192" w:line="388" w:lineRule="auto"/>
        <w:ind w:left="111" w:right="193" w:firstLine="480"/>
        <w:rPr>
          <w:color w:val="auto"/>
        </w:rPr>
      </w:pPr>
      <w:bookmarkStart w:id="1404" w:name="_bookmark701"/>
      <w:bookmarkEnd w:id="1404"/>
      <w:bookmarkStart w:id="1405" w:name="六百八十八、茧丝经营者未合理贮存，致使茧丝受潮、霉变、被污染、虫蛀鼠咬等质量损毁"/>
      <w:bookmarkEnd w:id="1405"/>
      <w:r>
        <w:rPr>
          <w:color w:val="auto"/>
        </w:rPr>
        <w:t>六百八十八、茧丝经营者未合理贮存，致使茧丝受潮、霉变、被污染、虫蛀鼠咬等质量损毁</w:t>
      </w:r>
    </w:p>
    <w:p>
      <w:pPr>
        <w:spacing w:before="4"/>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、《茧丝质量监督管理办法》第二十二条第一款“违反本办法第十四条第一款</w:t>
      </w:r>
      <w:r>
        <w:rPr>
          <w:color w:val="auto"/>
          <w:spacing w:val="-13"/>
        </w:rPr>
        <w:t xml:space="preserve">规定的，由纤维质量监督机构责令改正，并可以根据情节轻重，处 </w:t>
      </w:r>
      <w:r>
        <w:rPr>
          <w:color w:val="auto"/>
        </w:rPr>
        <w:t>10</w:t>
      </w:r>
      <w:r>
        <w:rPr>
          <w:color w:val="auto"/>
          <w:spacing w:val="-6"/>
        </w:rPr>
        <w:t xml:space="preserve"> 万元以下的罚</w:t>
      </w:r>
      <w:r>
        <w:rPr>
          <w:color w:val="auto"/>
          <w:spacing w:val="-42"/>
        </w:rPr>
        <w:t>款。”</w:t>
      </w:r>
    </w:p>
    <w:p>
      <w:pPr>
        <w:pStyle w:val="4"/>
        <w:spacing w:line="391" w:lineRule="auto"/>
        <w:ind w:right="268" w:firstLine="640"/>
        <w:jc w:val="both"/>
        <w:rPr>
          <w:color w:val="auto"/>
        </w:rPr>
      </w:pPr>
      <w:r>
        <w:rPr>
          <w:color w:val="auto"/>
        </w:rPr>
        <w:t>2</w:t>
      </w:r>
      <w:r>
        <w:rPr>
          <w:color w:val="auto"/>
          <w:spacing w:val="-12"/>
        </w:rPr>
        <w:t>、《茧丝质量监督管理办法》第十四条第一款第</w:t>
      </w:r>
      <w:r>
        <w:rPr>
          <w:color w:val="auto"/>
        </w:rPr>
        <w:t>（八）项“茧丝经营者加工茧</w:t>
      </w:r>
      <w:r>
        <w:rPr>
          <w:color w:val="auto"/>
          <w:spacing w:val="-10"/>
        </w:rPr>
        <w:t>丝，必须符合下列要求：</w:t>
      </w:r>
      <w:r>
        <w:rPr>
          <w:color w:val="auto"/>
          <w:spacing w:val="2"/>
        </w:rPr>
        <w:t>（八）</w:t>
      </w:r>
      <w:r>
        <w:rPr>
          <w:color w:val="auto"/>
        </w:rPr>
        <w:t>合理贮存，防止茧丝受潮、霉变、被污染、虫蛀鼠咬</w:t>
      </w:r>
      <w:r>
        <w:rPr>
          <w:color w:val="auto"/>
          <w:spacing w:val="-18"/>
        </w:rPr>
        <w:t>等质量损毁。”</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1613"/>
        </w:numPr>
        <w:tabs>
          <w:tab w:val="left" w:pos="1353"/>
        </w:tabs>
        <w:spacing w:before="39"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货值金额 5 万以下的。</w:t>
      </w:r>
    </w:p>
    <w:p>
      <w:pPr>
        <w:pStyle w:val="13"/>
        <w:numPr>
          <w:ilvl w:val="0"/>
          <w:numId w:val="1613"/>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614"/>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spacing w:val="-2"/>
        </w:rPr>
        <w:t>有下列情形之一的：</w:t>
      </w:r>
      <w:r>
        <w:rPr>
          <w:color w:val="auto"/>
          <w:spacing w:val="-10"/>
        </w:rPr>
        <w:t>1</w:t>
      </w:r>
      <w:r>
        <w:rPr>
          <w:color w:val="auto"/>
          <w:spacing w:val="-15"/>
        </w:rPr>
        <w:t xml:space="preserve">、货值金额 </w:t>
      </w:r>
      <w:r>
        <w:rPr>
          <w:color w:val="auto"/>
        </w:rPr>
        <w:t>5</w:t>
      </w:r>
      <w:r>
        <w:rPr>
          <w:color w:val="auto"/>
          <w:spacing w:val="-20"/>
        </w:rPr>
        <w:t xml:space="preserve"> 万元以上 </w:t>
      </w:r>
      <w:r>
        <w:rPr>
          <w:color w:val="auto"/>
        </w:rPr>
        <w:t>20</w:t>
      </w:r>
      <w:r>
        <w:rPr>
          <w:color w:val="auto"/>
          <w:spacing w:val="-10"/>
        </w:rPr>
        <w:t xml:space="preserve"> 万元以下的；2</w:t>
      </w:r>
      <w:r>
        <w:rPr>
          <w:color w:val="auto"/>
          <w:spacing w:val="-5"/>
        </w:rPr>
        <w:t>、同时违反本办</w:t>
      </w:r>
    </w:p>
    <w:p>
      <w:pPr>
        <w:pStyle w:val="4"/>
        <w:spacing w:before="194"/>
        <w:rPr>
          <w:color w:val="auto"/>
        </w:rPr>
      </w:pPr>
      <w:r>
        <w:rPr>
          <w:color w:val="auto"/>
        </w:rPr>
        <w:t>法第十四条第一款规定的 1 项其他违法行为的。</w:t>
      </w:r>
    </w:p>
    <w:p>
      <w:pPr>
        <w:pStyle w:val="13"/>
        <w:numPr>
          <w:ilvl w:val="0"/>
          <w:numId w:val="1614"/>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61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有下列情形之一的：1、货值金额 20 万元以上；2、同时违反本办法第十四条第</w:t>
      </w:r>
    </w:p>
    <w:p>
      <w:pPr>
        <w:pStyle w:val="4"/>
        <w:spacing w:before="194"/>
        <w:rPr>
          <w:color w:val="auto"/>
        </w:rPr>
      </w:pPr>
      <w:r>
        <w:rPr>
          <w:color w:val="auto"/>
        </w:rPr>
        <w:t>一款规定的 2 项其他违法行为的。</w:t>
      </w:r>
    </w:p>
    <w:p>
      <w:pPr>
        <w:pStyle w:val="13"/>
        <w:numPr>
          <w:ilvl w:val="0"/>
          <w:numId w:val="1615"/>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line="391"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61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有下列情形之一的：1、两年内再次发生同一违法行为的；2、同时违反本办法第十四条第一款规定的 3 项及以上其他违法行为的。</w:t>
      </w:r>
    </w:p>
    <w:p>
      <w:pPr>
        <w:pStyle w:val="13"/>
        <w:numPr>
          <w:ilvl w:val="0"/>
          <w:numId w:val="1616"/>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8 万元以上 10 万元以下罚款。</w:t>
      </w:r>
    </w:p>
    <w:p>
      <w:pPr>
        <w:pStyle w:val="2"/>
        <w:spacing w:before="194"/>
        <w:rPr>
          <w:color w:val="auto"/>
        </w:rPr>
      </w:pPr>
      <w:bookmarkStart w:id="1406" w:name="六百八十九、茧丝经营者使用按国家规定应当淘汰、报废的生产设备生产生丝"/>
      <w:bookmarkEnd w:id="1406"/>
      <w:bookmarkStart w:id="1407" w:name="_bookmark702"/>
      <w:bookmarkEnd w:id="1407"/>
      <w:r>
        <w:rPr>
          <w:color w:val="auto"/>
        </w:rPr>
        <w:t>六百八十九、茧丝经营者使用按国家规定应当淘汰、报废的生产设备生产生丝</w:t>
      </w:r>
    </w:p>
    <w:p>
      <w:pPr>
        <w:spacing w:before="192"/>
        <w:ind w:left="754" w:right="0" w:firstLine="0"/>
        <w:jc w:val="left"/>
        <w:rPr>
          <w:b/>
          <w:color w:val="auto"/>
          <w:sz w:val="24"/>
        </w:rPr>
      </w:pPr>
      <w:r>
        <w:rPr>
          <w:b/>
          <w:color w:val="auto"/>
          <w:sz w:val="24"/>
        </w:rPr>
        <w:t>（一）处罚依据</w:t>
      </w:r>
    </w:p>
    <w:p>
      <w:pPr>
        <w:pStyle w:val="4"/>
        <w:spacing w:before="191" w:line="391" w:lineRule="auto"/>
        <w:ind w:right="148" w:firstLine="640"/>
        <w:rPr>
          <w:color w:val="auto"/>
        </w:rPr>
      </w:pPr>
      <w:r>
        <w:rPr>
          <w:color w:val="auto"/>
        </w:rPr>
        <w:t>1</w:t>
      </w:r>
      <w:r>
        <w:rPr>
          <w:color w:val="auto"/>
          <w:spacing w:val="-12"/>
        </w:rPr>
        <w:t>、《茧丝质量监督管理办法》第二十二条第二款“违反本办法第十四条第二款</w:t>
      </w:r>
      <w:r>
        <w:rPr>
          <w:color w:val="auto"/>
          <w:spacing w:val="-16"/>
        </w:rPr>
        <w:t xml:space="preserve">规定的，由纤维质量监督机构没收并监督销毁按国家规定应当淘汰、报废的生产设备， </w:t>
      </w:r>
      <w:r>
        <w:rPr>
          <w:color w:val="auto"/>
          <w:spacing w:val="-6"/>
        </w:rPr>
        <w:t xml:space="preserve">并处非法设备实际价值 </w:t>
      </w:r>
      <w:r>
        <w:rPr>
          <w:color w:val="auto"/>
        </w:rPr>
        <w:t>2</w:t>
      </w:r>
      <w:r>
        <w:rPr>
          <w:color w:val="auto"/>
          <w:spacing w:val="-24"/>
        </w:rPr>
        <w:t xml:space="preserve"> 倍以上 </w:t>
      </w:r>
      <w:r>
        <w:rPr>
          <w:color w:val="auto"/>
        </w:rPr>
        <w:t>10</w:t>
      </w:r>
      <w:r>
        <w:rPr>
          <w:color w:val="auto"/>
          <w:spacing w:val="-21"/>
        </w:rPr>
        <w:t xml:space="preserve"> 倍以下的罚款。”</w:t>
      </w:r>
    </w:p>
    <w:p>
      <w:pPr>
        <w:pStyle w:val="4"/>
        <w:spacing w:line="304" w:lineRule="exact"/>
        <w:ind w:left="751"/>
        <w:rPr>
          <w:color w:val="auto"/>
        </w:rPr>
      </w:pPr>
      <w:r>
        <w:rPr>
          <w:color w:val="auto"/>
        </w:rPr>
        <w:t>2、《茧丝质量监督管理办法》第十四条第二款“茧丝经营者不得使用按国家规</w:t>
      </w:r>
    </w:p>
    <w:p>
      <w:pPr>
        <w:spacing w:after="0" w:line="304" w:lineRule="exact"/>
        <w:rPr>
          <w:color w:val="auto"/>
        </w:rPr>
        <w:sectPr>
          <w:pgSz w:w="11910" w:h="16840"/>
          <w:pgMar w:top="1520" w:right="1260" w:bottom="1220" w:left="1420" w:header="0" w:footer="1034" w:gutter="0"/>
        </w:sectPr>
      </w:pPr>
    </w:p>
    <w:p>
      <w:pPr>
        <w:pStyle w:val="4"/>
        <w:spacing w:before="39"/>
        <w:rPr>
          <w:color w:val="auto"/>
        </w:rPr>
      </w:pPr>
      <w:r>
        <w:rPr>
          <w:color w:val="auto"/>
        </w:rPr>
        <w:t>定应当淘汰、报废的生产设备生产生丝。”</w:t>
      </w:r>
    </w:p>
    <w:p>
      <w:pPr>
        <w:spacing w:before="195"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617"/>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使用按国家规定应当淘汰、报废的生产设备数量较少；或者生产生丝货值金额较小的。</w:t>
      </w:r>
    </w:p>
    <w:p>
      <w:pPr>
        <w:pStyle w:val="13"/>
        <w:numPr>
          <w:ilvl w:val="0"/>
          <w:numId w:val="1617"/>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line="388" w:lineRule="auto"/>
        <w:ind w:right="313" w:firstLine="640"/>
        <w:rPr>
          <w:color w:val="auto"/>
        </w:rPr>
      </w:pPr>
      <w:r>
        <w:rPr>
          <w:color w:val="auto"/>
        </w:rPr>
        <w:t>没收并监督销毁按国家规定应当淘汰、报废的生产设备，处非法设备实际价值2 倍以上 4 倍以下罚款。</w:t>
      </w:r>
    </w:p>
    <w:p>
      <w:pPr>
        <w:pStyle w:val="4"/>
        <w:spacing w:before="2"/>
        <w:ind w:left="751"/>
        <w:rPr>
          <w:color w:val="auto"/>
        </w:rPr>
      </w:pPr>
      <w:r>
        <w:rPr>
          <w:color w:val="auto"/>
        </w:rPr>
        <w:t>2、【一般】</w:t>
      </w:r>
    </w:p>
    <w:p>
      <w:pPr>
        <w:pStyle w:val="13"/>
        <w:numPr>
          <w:ilvl w:val="0"/>
          <w:numId w:val="1618"/>
        </w:numPr>
        <w:tabs>
          <w:tab w:val="left" w:pos="1353"/>
        </w:tabs>
        <w:spacing w:before="194" w:after="0" w:line="240" w:lineRule="auto"/>
        <w:ind w:left="1353" w:right="0" w:hanging="602"/>
        <w:jc w:val="left"/>
        <w:rPr>
          <w:color w:val="auto"/>
          <w:sz w:val="24"/>
        </w:rPr>
      </w:pPr>
      <w:r>
        <w:rPr>
          <w:color w:val="auto"/>
          <w:sz w:val="24"/>
        </w:rPr>
        <w:t>违法情形</w:t>
      </w:r>
    </w:p>
    <w:p>
      <w:pPr>
        <w:pStyle w:val="4"/>
        <w:spacing w:before="192" w:line="388" w:lineRule="auto"/>
        <w:ind w:right="268" w:firstLine="640"/>
        <w:rPr>
          <w:color w:val="auto"/>
        </w:rPr>
      </w:pPr>
      <w:r>
        <w:rPr>
          <w:color w:val="auto"/>
        </w:rPr>
        <w:t>使用按国家规定应当淘汰、报废的生产设备数量较多；或者生产生丝货值金额较大的。</w:t>
      </w:r>
    </w:p>
    <w:p>
      <w:pPr>
        <w:pStyle w:val="13"/>
        <w:numPr>
          <w:ilvl w:val="0"/>
          <w:numId w:val="1618"/>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line="388" w:lineRule="auto"/>
        <w:ind w:right="313" w:firstLine="640"/>
        <w:rPr>
          <w:color w:val="auto"/>
        </w:rPr>
      </w:pPr>
      <w:r>
        <w:rPr>
          <w:color w:val="auto"/>
        </w:rPr>
        <w:t>没收并监督销毁按国家规定应当淘汰、报废的生产设备，处非法设备实际价值4 倍以上 6 倍以下罚款。</w:t>
      </w:r>
    </w:p>
    <w:p>
      <w:pPr>
        <w:pStyle w:val="4"/>
        <w:spacing w:before="5"/>
        <w:ind w:left="751"/>
        <w:rPr>
          <w:color w:val="auto"/>
        </w:rPr>
      </w:pPr>
      <w:r>
        <w:rPr>
          <w:color w:val="auto"/>
        </w:rPr>
        <w:t>3、【较重】</w:t>
      </w:r>
    </w:p>
    <w:p>
      <w:pPr>
        <w:pStyle w:val="13"/>
        <w:numPr>
          <w:ilvl w:val="0"/>
          <w:numId w:val="1619"/>
        </w:numPr>
        <w:tabs>
          <w:tab w:val="left" w:pos="1353"/>
        </w:tabs>
        <w:spacing w:before="191" w:after="0" w:line="240" w:lineRule="auto"/>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使用按国家规定应当淘汰、报废的生产设备数量较多，且生产生丝货值金额较大的。</w:t>
      </w:r>
    </w:p>
    <w:p>
      <w:pPr>
        <w:pStyle w:val="13"/>
        <w:numPr>
          <w:ilvl w:val="0"/>
          <w:numId w:val="1619"/>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line="391" w:lineRule="auto"/>
        <w:ind w:right="313" w:firstLine="640"/>
        <w:rPr>
          <w:color w:val="auto"/>
        </w:rPr>
      </w:pPr>
      <w:r>
        <w:rPr>
          <w:color w:val="auto"/>
        </w:rPr>
        <w:t>没收并监督销毁按国家规定应当淘汰、报废的生产设备，处非法设备实际价值6 倍以上 8 倍以下罚款。</w:t>
      </w:r>
    </w:p>
    <w:p>
      <w:pPr>
        <w:pStyle w:val="4"/>
        <w:spacing w:line="306" w:lineRule="exact"/>
        <w:ind w:left="751"/>
        <w:rPr>
          <w:color w:val="auto"/>
        </w:rPr>
      </w:pPr>
      <w:r>
        <w:rPr>
          <w:color w:val="auto"/>
        </w:rPr>
        <w:t>4、【严重】</w:t>
      </w:r>
    </w:p>
    <w:p>
      <w:pPr>
        <w:pStyle w:val="4"/>
        <w:spacing w:before="191"/>
        <w:ind w:left="751"/>
        <w:rPr>
          <w:color w:val="auto"/>
        </w:rPr>
      </w:pPr>
      <w:r>
        <w:rPr>
          <w:color w:val="auto"/>
        </w:rPr>
        <w:t>（1）违法情形</w:t>
      </w:r>
    </w:p>
    <w:p>
      <w:pPr>
        <w:pStyle w:val="4"/>
        <w:spacing w:before="194" w:line="388" w:lineRule="auto"/>
        <w:ind w:right="268" w:firstLine="640"/>
        <w:rPr>
          <w:color w:val="auto"/>
        </w:rPr>
      </w:pPr>
      <w:r>
        <w:rPr>
          <w:color w:val="auto"/>
        </w:rPr>
        <w:t>使用按国家规定应当淘汰、报废的生产设备生产生丝，被相关部门查处后仍从事该活动；或者违法行为社会影响重大的。</w:t>
      </w:r>
    </w:p>
    <w:p>
      <w:pPr>
        <w:spacing w:after="0" w:line="388" w:lineRule="auto"/>
        <w:rPr>
          <w:color w:val="auto"/>
        </w:rPr>
        <w:sectPr>
          <w:footerReference r:id="rId179" w:type="default"/>
          <w:footerReference r:id="rId180" w:type="even"/>
          <w:pgSz w:w="11910" w:h="16840"/>
          <w:pgMar w:top="1520" w:right="1260" w:bottom="1720" w:left="1420" w:header="0" w:footer="1526" w:gutter="0"/>
          <w:pgNumType w:start="675"/>
        </w:sectPr>
      </w:pPr>
    </w:p>
    <w:p>
      <w:pPr>
        <w:pStyle w:val="4"/>
        <w:spacing w:before="39" w:line="391" w:lineRule="auto"/>
        <w:ind w:right="313" w:firstLine="640"/>
        <w:rPr>
          <w:color w:val="auto"/>
        </w:rPr>
      </w:pPr>
      <w:r>
        <w:rPr>
          <w:color w:val="auto"/>
        </w:rPr>
        <w:t>没收并监督销毁按国家规定应当淘汰、报废的生产设备，处非法设备实际价值8 倍以上 10 倍以下罚款。</w:t>
      </w:r>
    </w:p>
    <w:p>
      <w:pPr>
        <w:pStyle w:val="2"/>
        <w:spacing w:line="306" w:lineRule="exact"/>
        <w:rPr>
          <w:color w:val="auto"/>
        </w:rPr>
      </w:pPr>
      <w:bookmarkStart w:id="1408" w:name="_bookmark703"/>
      <w:bookmarkEnd w:id="1408"/>
      <w:bookmarkStart w:id="1409" w:name="六百九十、茧丝经营者销售的茧丝未每批附有有效的质量凭证"/>
      <w:bookmarkEnd w:id="1409"/>
      <w:r>
        <w:rPr>
          <w:color w:val="auto"/>
        </w:rPr>
        <w:t>六百九十、茧丝经营者销售的茧丝未每批附有有效的质量凭证</w:t>
      </w:r>
    </w:p>
    <w:p>
      <w:pPr>
        <w:spacing w:before="192"/>
        <w:ind w:left="754" w:right="0" w:firstLine="0"/>
        <w:jc w:val="left"/>
        <w:rPr>
          <w:b/>
          <w:color w:val="auto"/>
          <w:sz w:val="24"/>
        </w:rPr>
      </w:pPr>
      <w:r>
        <w:rPr>
          <w:b/>
          <w:color w:val="auto"/>
          <w:sz w:val="24"/>
        </w:rPr>
        <w:t>（一）处罚依据</w:t>
      </w:r>
    </w:p>
    <w:p>
      <w:pPr>
        <w:pStyle w:val="4"/>
        <w:spacing w:before="194" w:line="388" w:lineRule="auto"/>
        <w:ind w:right="268" w:firstLine="640"/>
        <w:jc w:val="both"/>
        <w:rPr>
          <w:color w:val="auto"/>
        </w:rPr>
      </w:pPr>
      <w:r>
        <w:rPr>
          <w:color w:val="auto"/>
        </w:rPr>
        <w:t>1</w:t>
      </w:r>
      <w:r>
        <w:rPr>
          <w:color w:val="auto"/>
          <w:spacing w:val="-12"/>
        </w:rPr>
        <w:t>、《茧丝质量监督管理办法》第二十三条“违反本办法第十七条第</w:t>
      </w:r>
      <w:r>
        <w:rPr>
          <w:color w:val="auto"/>
        </w:rPr>
        <w:t>（二）项、</w:t>
      </w:r>
      <w:r>
        <w:rPr>
          <w:color w:val="auto"/>
          <w:spacing w:val="-5"/>
        </w:rPr>
        <w:t>第</w:t>
      </w:r>
      <w:r>
        <w:rPr>
          <w:color w:val="auto"/>
        </w:rPr>
        <w:t>（三</w:t>
      </w:r>
      <w:r>
        <w:rPr>
          <w:color w:val="auto"/>
          <w:spacing w:val="-3"/>
        </w:rPr>
        <w:t>）</w:t>
      </w:r>
      <w:r>
        <w:rPr>
          <w:color w:val="auto"/>
          <w:spacing w:val="-4"/>
        </w:rPr>
        <w:t>项、第</w:t>
      </w:r>
      <w:r>
        <w:rPr>
          <w:color w:val="auto"/>
        </w:rPr>
        <w:t>（四</w:t>
      </w:r>
      <w:r>
        <w:rPr>
          <w:color w:val="auto"/>
          <w:spacing w:val="-3"/>
        </w:rPr>
        <w:t>）</w:t>
      </w:r>
      <w:r>
        <w:rPr>
          <w:color w:val="auto"/>
          <w:spacing w:val="-4"/>
        </w:rPr>
        <w:t>项、第</w:t>
      </w:r>
      <w:r>
        <w:rPr>
          <w:color w:val="auto"/>
        </w:rPr>
        <w:t>（五</w:t>
      </w:r>
      <w:r>
        <w:rPr>
          <w:color w:val="auto"/>
          <w:spacing w:val="-3"/>
        </w:rPr>
        <w:t>）</w:t>
      </w:r>
      <w:r>
        <w:rPr>
          <w:color w:val="auto"/>
          <w:spacing w:val="-2"/>
        </w:rPr>
        <w:t>项中任何一项规定的，由纤维质量监督机构责令</w:t>
      </w:r>
      <w:r>
        <w:rPr>
          <w:color w:val="auto"/>
          <w:spacing w:val="-4"/>
        </w:rPr>
        <w:t xml:space="preserve">改正，并可以根据情节轻重，处以 </w:t>
      </w:r>
      <w:r>
        <w:rPr>
          <w:color w:val="auto"/>
        </w:rPr>
        <w:t>10</w:t>
      </w:r>
      <w:r>
        <w:rPr>
          <w:color w:val="auto"/>
          <w:spacing w:val="-19"/>
        </w:rPr>
        <w:t xml:space="preserve"> 万元以下的罚款。”</w:t>
      </w:r>
    </w:p>
    <w:p>
      <w:pPr>
        <w:pStyle w:val="4"/>
        <w:spacing w:before="6" w:line="391" w:lineRule="auto"/>
        <w:ind w:right="148" w:firstLine="640"/>
        <w:rPr>
          <w:color w:val="auto"/>
        </w:rPr>
      </w:pPr>
      <w:r>
        <w:rPr>
          <w:color w:val="auto"/>
        </w:rPr>
        <w:t>2</w:t>
      </w:r>
      <w:r>
        <w:rPr>
          <w:color w:val="auto"/>
          <w:spacing w:val="-12"/>
        </w:rPr>
        <w:t>、《茧丝质量监督管理办法》第十七条第</w:t>
      </w:r>
      <w:r>
        <w:rPr>
          <w:color w:val="auto"/>
        </w:rPr>
        <w:t>（二）项“茧丝经营者销售茧丝，必</w:t>
      </w:r>
      <w:r>
        <w:rPr>
          <w:color w:val="auto"/>
          <w:spacing w:val="-14"/>
        </w:rPr>
        <w:t>须符合下列要求：</w:t>
      </w:r>
      <w:r>
        <w:rPr>
          <w:color w:val="auto"/>
          <w:spacing w:val="2"/>
        </w:rPr>
        <w:t>（二）</w:t>
      </w:r>
      <w:r>
        <w:rPr>
          <w:color w:val="auto"/>
          <w:spacing w:val="-3"/>
        </w:rPr>
        <w:t xml:space="preserve">每批茧丝附有有效的质量凭证，质量凭证有效期为 </w:t>
      </w:r>
      <w:r>
        <w:rPr>
          <w:color w:val="auto"/>
        </w:rPr>
        <w:t>6</w:t>
      </w:r>
      <w:r>
        <w:rPr>
          <w:color w:val="auto"/>
          <w:spacing w:val="-14"/>
        </w:rPr>
        <w:t xml:space="preserve"> 个月；</w:t>
      </w:r>
      <w:r>
        <w:rPr>
          <w:color w:val="auto"/>
          <w:spacing w:val="-18"/>
        </w:rPr>
        <w:t xml:space="preserve">在质量凭证有效期内，发生茧丝受潮、霉变、被污染、虫蛀鼠咬等非正常质量变异的， </w:t>
      </w:r>
      <w:r>
        <w:rPr>
          <w:color w:val="auto"/>
          <w:spacing w:val="-13"/>
        </w:rPr>
        <w:t>质量凭证自行失效。”</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620"/>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0"/>
        <w:ind w:left="751"/>
        <w:rPr>
          <w:color w:val="auto"/>
        </w:rPr>
      </w:pPr>
      <w:r>
        <w:rPr>
          <w:color w:val="auto"/>
        </w:rPr>
        <w:t>货值金额不足 5 万元的。</w:t>
      </w:r>
    </w:p>
    <w:p>
      <w:pPr>
        <w:pStyle w:val="13"/>
        <w:numPr>
          <w:ilvl w:val="0"/>
          <w:numId w:val="162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62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5 万元以上 20 万元以下的。</w:t>
      </w:r>
    </w:p>
    <w:p>
      <w:pPr>
        <w:pStyle w:val="13"/>
        <w:numPr>
          <w:ilvl w:val="0"/>
          <w:numId w:val="162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622"/>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货值金额 20 万元以上 50 万元以下的。</w:t>
      </w:r>
    </w:p>
    <w:p>
      <w:pPr>
        <w:pStyle w:val="13"/>
        <w:numPr>
          <w:ilvl w:val="0"/>
          <w:numId w:val="1622"/>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spacing w:after="0" w:line="388" w:lineRule="auto"/>
        <w:rPr>
          <w:color w:val="auto"/>
        </w:rPr>
        <w:sectPr>
          <w:pgSz w:w="11910" w:h="16840"/>
          <w:pgMar w:top="1520" w:right="1260" w:bottom="1220" w:left="1420" w:header="0" w:footer="1034" w:gutter="0"/>
        </w:sectPr>
      </w:pPr>
    </w:p>
    <w:p>
      <w:pPr>
        <w:pStyle w:val="13"/>
        <w:numPr>
          <w:ilvl w:val="0"/>
          <w:numId w:val="1623"/>
        </w:numPr>
        <w:tabs>
          <w:tab w:val="left" w:pos="1353"/>
        </w:tabs>
        <w:spacing w:before="39"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货值金额 50 万元以上的；或者两年内再次出现相同违法行为的。</w:t>
      </w:r>
    </w:p>
    <w:p>
      <w:pPr>
        <w:pStyle w:val="13"/>
        <w:numPr>
          <w:ilvl w:val="0"/>
          <w:numId w:val="1623"/>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8 万元以上 10 万元以下罚款。</w:t>
      </w:r>
    </w:p>
    <w:p>
      <w:pPr>
        <w:pStyle w:val="2"/>
        <w:spacing w:before="194"/>
        <w:rPr>
          <w:color w:val="auto"/>
        </w:rPr>
      </w:pPr>
      <w:bookmarkStart w:id="1410" w:name="六百九十一、茧丝经营者销售的茧丝的包装、标识不符合相关规定"/>
      <w:bookmarkEnd w:id="1410"/>
      <w:bookmarkStart w:id="1411" w:name="_bookmark704"/>
      <w:bookmarkEnd w:id="1411"/>
      <w:r>
        <w:rPr>
          <w:color w:val="auto"/>
        </w:rPr>
        <w:t>六百九十一、茧丝经营者销售的茧丝的包装、标识不符合相关规定</w:t>
      </w:r>
    </w:p>
    <w:p>
      <w:pPr>
        <w:spacing w:before="192"/>
        <w:ind w:left="754" w:right="0" w:firstLine="0"/>
        <w:jc w:val="left"/>
        <w:rPr>
          <w:b/>
          <w:color w:val="auto"/>
          <w:sz w:val="24"/>
        </w:rPr>
      </w:pPr>
      <w:r>
        <w:rPr>
          <w:b/>
          <w:color w:val="auto"/>
          <w:sz w:val="24"/>
        </w:rPr>
        <w:t>（一）处罚依据</w:t>
      </w:r>
    </w:p>
    <w:p>
      <w:pPr>
        <w:pStyle w:val="13"/>
        <w:numPr>
          <w:ilvl w:val="0"/>
          <w:numId w:val="1624"/>
        </w:numPr>
        <w:tabs>
          <w:tab w:val="left" w:pos="993"/>
        </w:tabs>
        <w:spacing w:before="191" w:after="0" w:line="391" w:lineRule="auto"/>
        <w:ind w:left="111" w:right="268" w:firstLine="640"/>
        <w:jc w:val="both"/>
        <w:rPr>
          <w:color w:val="auto"/>
          <w:sz w:val="24"/>
        </w:rPr>
      </w:pPr>
      <w:r>
        <w:rPr>
          <w:color w:val="auto"/>
          <w:sz w:val="24"/>
        </w:rPr>
        <w:t>《茧丝质量监督管理办法》第二十三条“违反本办法第十七条第（二）项、</w:t>
      </w:r>
      <w:r>
        <w:rPr>
          <w:color w:val="auto"/>
          <w:spacing w:val="-5"/>
          <w:sz w:val="24"/>
        </w:rPr>
        <w:t>第</w:t>
      </w:r>
      <w:r>
        <w:rPr>
          <w:color w:val="auto"/>
          <w:sz w:val="24"/>
        </w:rPr>
        <w:t>（三</w:t>
      </w:r>
      <w:r>
        <w:rPr>
          <w:color w:val="auto"/>
          <w:spacing w:val="-3"/>
          <w:sz w:val="24"/>
        </w:rPr>
        <w:t>）</w:t>
      </w:r>
      <w:r>
        <w:rPr>
          <w:color w:val="auto"/>
          <w:spacing w:val="-4"/>
          <w:sz w:val="24"/>
        </w:rPr>
        <w:t>项、第</w:t>
      </w:r>
      <w:r>
        <w:rPr>
          <w:color w:val="auto"/>
          <w:sz w:val="24"/>
        </w:rPr>
        <w:t>（四</w:t>
      </w:r>
      <w:r>
        <w:rPr>
          <w:color w:val="auto"/>
          <w:spacing w:val="-3"/>
          <w:sz w:val="24"/>
        </w:rPr>
        <w:t>）</w:t>
      </w:r>
      <w:r>
        <w:rPr>
          <w:color w:val="auto"/>
          <w:spacing w:val="-4"/>
          <w:sz w:val="24"/>
        </w:rPr>
        <w:t>项、第</w:t>
      </w:r>
      <w:r>
        <w:rPr>
          <w:color w:val="auto"/>
          <w:sz w:val="24"/>
        </w:rPr>
        <w:t>（五</w:t>
      </w:r>
      <w:r>
        <w:rPr>
          <w:color w:val="auto"/>
          <w:spacing w:val="-3"/>
          <w:sz w:val="24"/>
        </w:rPr>
        <w:t>）</w:t>
      </w:r>
      <w:r>
        <w:rPr>
          <w:color w:val="auto"/>
          <w:spacing w:val="-2"/>
          <w:sz w:val="24"/>
        </w:rPr>
        <w:t>项中任何一项规定的，由纤维质量监督机构责令</w:t>
      </w:r>
      <w:r>
        <w:rPr>
          <w:color w:val="auto"/>
          <w:spacing w:val="-4"/>
          <w:sz w:val="24"/>
        </w:rPr>
        <w:t xml:space="preserve">改正，并可以根据情节轻重，处以 </w:t>
      </w:r>
      <w:r>
        <w:rPr>
          <w:color w:val="auto"/>
          <w:sz w:val="24"/>
        </w:rPr>
        <w:t>10</w:t>
      </w:r>
      <w:r>
        <w:rPr>
          <w:color w:val="auto"/>
          <w:spacing w:val="-19"/>
          <w:sz w:val="24"/>
        </w:rPr>
        <w:t xml:space="preserve"> 万元以下的罚款。”</w:t>
      </w:r>
    </w:p>
    <w:p>
      <w:pPr>
        <w:pStyle w:val="13"/>
        <w:numPr>
          <w:ilvl w:val="0"/>
          <w:numId w:val="1624"/>
        </w:numPr>
        <w:tabs>
          <w:tab w:val="left" w:pos="993"/>
        </w:tabs>
        <w:spacing w:before="0" w:after="0" w:line="391" w:lineRule="auto"/>
        <w:ind w:left="111" w:right="268" w:firstLine="640"/>
        <w:jc w:val="left"/>
        <w:rPr>
          <w:color w:val="auto"/>
          <w:sz w:val="24"/>
        </w:rPr>
      </w:pPr>
      <w:r>
        <w:rPr>
          <w:color w:val="auto"/>
          <w:sz w:val="24"/>
        </w:rPr>
        <w:t>《茧丝质量监督管理办法》第十七条第（三）项“茧丝经营者销售茧丝，必</w:t>
      </w:r>
      <w:r>
        <w:rPr>
          <w:color w:val="auto"/>
          <w:spacing w:val="-15"/>
          <w:sz w:val="24"/>
        </w:rPr>
        <w:t>须符合下列要求：</w:t>
      </w:r>
      <w:r>
        <w:rPr>
          <w:color w:val="auto"/>
          <w:sz w:val="24"/>
        </w:rPr>
        <w:t>（三）</w:t>
      </w:r>
      <w:r>
        <w:rPr>
          <w:color w:val="auto"/>
          <w:spacing w:val="-5"/>
          <w:sz w:val="24"/>
        </w:rPr>
        <w:t>茧丝包装、标识符合本办法第十五条、第十六条的规定。”</w:t>
      </w:r>
    </w:p>
    <w:p>
      <w:pPr>
        <w:pStyle w:val="13"/>
        <w:numPr>
          <w:ilvl w:val="0"/>
          <w:numId w:val="1624"/>
        </w:numPr>
        <w:tabs>
          <w:tab w:val="left" w:pos="993"/>
        </w:tabs>
        <w:spacing w:before="0" w:after="0" w:line="391" w:lineRule="auto"/>
        <w:ind w:left="111" w:right="148" w:firstLine="640"/>
        <w:jc w:val="left"/>
        <w:rPr>
          <w:color w:val="auto"/>
          <w:sz w:val="24"/>
        </w:rPr>
      </w:pPr>
      <w:r>
        <w:rPr>
          <w:color w:val="auto"/>
          <w:sz w:val="24"/>
        </w:rPr>
        <w:t>《茧丝质量监督管理办法》第十五条“对加工的茧丝进行包装应当符合国家</w:t>
      </w:r>
      <w:r>
        <w:rPr>
          <w:color w:val="auto"/>
          <w:spacing w:val="-12"/>
          <w:sz w:val="24"/>
        </w:rPr>
        <w:t>标准、行业标准或者地方标准以及技术规范的规定，国家标准、行业标准、地方标准。</w:t>
      </w:r>
      <w:r>
        <w:rPr>
          <w:color w:val="auto"/>
          <w:spacing w:val="-6"/>
          <w:sz w:val="24"/>
        </w:rPr>
        <w:t>技术规范中没有规定的，应当符合下列要求：</w:t>
      </w:r>
      <w:r>
        <w:rPr>
          <w:color w:val="auto"/>
          <w:sz w:val="24"/>
        </w:rPr>
        <w:t>（一）</w:t>
      </w:r>
      <w:r>
        <w:rPr>
          <w:color w:val="auto"/>
          <w:spacing w:val="-10"/>
          <w:sz w:val="24"/>
        </w:rPr>
        <w:t>包装物无毒、无害。清洁；</w:t>
      </w:r>
      <w:r>
        <w:rPr>
          <w:color w:val="auto"/>
          <w:sz w:val="24"/>
        </w:rPr>
        <w:t>（二）</w:t>
      </w:r>
      <w:r>
        <w:rPr>
          <w:color w:val="auto"/>
          <w:spacing w:val="-2"/>
          <w:sz w:val="24"/>
        </w:rPr>
        <w:t>有足够的牢固性，能够耐受正常的运输和贮存</w:t>
      </w:r>
      <w:r>
        <w:rPr>
          <w:color w:val="auto"/>
          <w:spacing w:val="-130"/>
          <w:sz w:val="24"/>
        </w:rPr>
        <w:t>；</w:t>
      </w:r>
      <w:r>
        <w:rPr>
          <w:color w:val="auto"/>
          <w:sz w:val="24"/>
        </w:rPr>
        <w:t>（三</w:t>
      </w:r>
      <w:r>
        <w:rPr>
          <w:color w:val="auto"/>
          <w:spacing w:val="-8"/>
          <w:sz w:val="24"/>
        </w:rPr>
        <w:t>）</w:t>
      </w:r>
      <w:r>
        <w:rPr>
          <w:color w:val="auto"/>
          <w:spacing w:val="-2"/>
          <w:sz w:val="24"/>
        </w:rPr>
        <w:t>能防止加工的茧丝受潮、霉变、</w:t>
      </w:r>
      <w:r>
        <w:rPr>
          <w:color w:val="auto"/>
          <w:spacing w:val="-8"/>
          <w:sz w:val="24"/>
        </w:rPr>
        <w:t>被污染、被虫蛀鼠咬等质量损毁。”</w:t>
      </w:r>
    </w:p>
    <w:p>
      <w:pPr>
        <w:pStyle w:val="13"/>
        <w:numPr>
          <w:ilvl w:val="0"/>
          <w:numId w:val="1624"/>
        </w:numPr>
        <w:tabs>
          <w:tab w:val="left" w:pos="993"/>
        </w:tabs>
        <w:spacing w:before="0" w:after="0" w:line="391" w:lineRule="auto"/>
        <w:ind w:left="111" w:right="261" w:firstLine="640"/>
        <w:jc w:val="both"/>
        <w:rPr>
          <w:color w:val="auto"/>
          <w:sz w:val="24"/>
        </w:rPr>
      </w:pPr>
      <w:r>
        <w:rPr>
          <w:color w:val="auto"/>
          <w:sz w:val="24"/>
        </w:rPr>
        <w:t>《茧丝质量监督管理办法》第十六条“对加工的茧丝标注标识应当符合下列</w:t>
      </w:r>
      <w:r>
        <w:rPr>
          <w:color w:val="auto"/>
          <w:spacing w:val="-39"/>
          <w:sz w:val="24"/>
        </w:rPr>
        <w:t>要求：</w:t>
      </w:r>
      <w:r>
        <w:rPr>
          <w:color w:val="auto"/>
          <w:spacing w:val="2"/>
          <w:sz w:val="24"/>
        </w:rPr>
        <w:t>（一）</w:t>
      </w:r>
      <w:r>
        <w:rPr>
          <w:color w:val="auto"/>
          <w:spacing w:val="1"/>
          <w:sz w:val="24"/>
        </w:rPr>
        <w:t>有中文标明的茧丝名称、原产地域、蚕茧收购期</w:t>
      </w:r>
      <w:r>
        <w:rPr>
          <w:color w:val="auto"/>
          <w:spacing w:val="2"/>
          <w:sz w:val="24"/>
        </w:rPr>
        <w:t>（茧季</w:t>
      </w:r>
      <w:r>
        <w:rPr>
          <w:color w:val="auto"/>
          <w:spacing w:val="-118"/>
          <w:sz w:val="24"/>
        </w:rPr>
        <w:t>）；</w:t>
      </w:r>
      <w:r>
        <w:rPr>
          <w:color w:val="auto"/>
          <w:spacing w:val="2"/>
          <w:sz w:val="24"/>
        </w:rPr>
        <w:t>（二）</w:t>
      </w:r>
      <w:r>
        <w:rPr>
          <w:color w:val="auto"/>
          <w:spacing w:val="1"/>
          <w:sz w:val="24"/>
        </w:rPr>
        <w:t>有中文</w:t>
      </w:r>
      <w:r>
        <w:rPr>
          <w:color w:val="auto"/>
          <w:spacing w:val="-4"/>
          <w:sz w:val="24"/>
        </w:rPr>
        <w:t>标明的茧丝加工者的名称、地址、联系方法和加工日期；</w:t>
      </w:r>
      <w:r>
        <w:rPr>
          <w:color w:val="auto"/>
          <w:spacing w:val="2"/>
          <w:sz w:val="24"/>
        </w:rPr>
        <w:t>（三）</w:t>
      </w:r>
      <w:r>
        <w:rPr>
          <w:color w:val="auto"/>
          <w:spacing w:val="1"/>
          <w:sz w:val="24"/>
        </w:rPr>
        <w:t>标明茧丝的类别、等</w:t>
      </w:r>
      <w:r>
        <w:rPr>
          <w:color w:val="auto"/>
          <w:spacing w:val="-13"/>
          <w:sz w:val="24"/>
        </w:rPr>
        <w:t>级、重量、批号、包号或者件号；</w:t>
      </w:r>
      <w:r>
        <w:rPr>
          <w:color w:val="auto"/>
          <w:sz w:val="24"/>
        </w:rPr>
        <w:t>（四</w:t>
      </w:r>
      <w:r>
        <w:rPr>
          <w:color w:val="auto"/>
          <w:spacing w:val="-5"/>
          <w:sz w:val="24"/>
        </w:rPr>
        <w:t>）</w:t>
      </w:r>
      <w:r>
        <w:rPr>
          <w:color w:val="auto"/>
          <w:spacing w:val="-16"/>
          <w:sz w:val="24"/>
        </w:rPr>
        <w:t>执行的标准编号；</w:t>
      </w:r>
      <w:r>
        <w:rPr>
          <w:color w:val="auto"/>
          <w:sz w:val="24"/>
        </w:rPr>
        <w:t>（五</w:t>
      </w:r>
      <w:r>
        <w:rPr>
          <w:color w:val="auto"/>
          <w:spacing w:val="-5"/>
          <w:sz w:val="24"/>
        </w:rPr>
        <w:t>）</w:t>
      </w:r>
      <w:r>
        <w:rPr>
          <w:color w:val="auto"/>
          <w:spacing w:val="-2"/>
          <w:sz w:val="24"/>
        </w:rPr>
        <w:t>按国家规定附有产品</w:t>
      </w:r>
      <w:r>
        <w:rPr>
          <w:color w:val="auto"/>
          <w:spacing w:val="-30"/>
          <w:sz w:val="24"/>
        </w:rPr>
        <w:t>合格证；</w:t>
      </w:r>
      <w:r>
        <w:rPr>
          <w:color w:val="auto"/>
          <w:sz w:val="24"/>
        </w:rPr>
        <w:t>（六）国家有关标注标识的其他规定。</w:t>
      </w:r>
    </w:p>
    <w:p>
      <w:pPr>
        <w:pStyle w:val="4"/>
        <w:spacing w:line="391" w:lineRule="auto"/>
        <w:ind w:right="148" w:firstLine="640"/>
        <w:rPr>
          <w:color w:val="auto"/>
        </w:rPr>
      </w:pPr>
      <w:r>
        <w:rPr>
          <w:color w:val="auto"/>
          <w:spacing w:val="-5"/>
        </w:rPr>
        <w:t>茧丝的标识应当标注在茧丝或者其外包装的显著位置上，标识的字迹应当清楚、</w:t>
      </w:r>
      <w:r>
        <w:rPr>
          <w:color w:val="auto"/>
          <w:spacing w:val="-16"/>
        </w:rPr>
        <w:t>牢固便于识别。”</w:t>
      </w:r>
    </w:p>
    <w:p>
      <w:pPr>
        <w:spacing w:before="0" w:line="388" w:lineRule="auto"/>
        <w:ind w:left="751" w:right="6784" w:firstLine="2"/>
        <w:jc w:val="left"/>
        <w:rPr>
          <w:color w:val="auto"/>
          <w:sz w:val="24"/>
        </w:rPr>
      </w:pPr>
      <w:r>
        <w:rPr>
          <w:b/>
          <w:color w:val="auto"/>
          <w:sz w:val="24"/>
        </w:rPr>
        <w:t>（二）</w:t>
      </w:r>
      <w:r>
        <w:rPr>
          <w:b/>
          <w:color w:val="auto"/>
          <w:spacing w:val="-4"/>
          <w:sz w:val="24"/>
        </w:rPr>
        <w:t>裁量标准</w:t>
      </w:r>
      <w:r>
        <w:rPr>
          <w:color w:val="auto"/>
          <w:sz w:val="24"/>
        </w:rPr>
        <w:t>1</w:t>
      </w:r>
      <w:r>
        <w:rPr>
          <w:color w:val="auto"/>
          <w:spacing w:val="-24"/>
          <w:sz w:val="24"/>
        </w:rPr>
        <w:t>、【较轻】</w:t>
      </w:r>
    </w:p>
    <w:p>
      <w:pPr>
        <w:pStyle w:val="4"/>
        <w:ind w:left="751"/>
        <w:rPr>
          <w:color w:val="auto"/>
        </w:rPr>
      </w:pPr>
      <w:r>
        <w:rPr>
          <w:color w:val="auto"/>
        </w:rPr>
        <w:t>（1）违法情形</w:t>
      </w:r>
    </w:p>
    <w:p>
      <w:pPr>
        <w:pStyle w:val="4"/>
        <w:spacing w:before="177"/>
        <w:ind w:left="751"/>
        <w:rPr>
          <w:color w:val="auto"/>
        </w:rPr>
      </w:pPr>
      <w:r>
        <w:rPr>
          <w:color w:val="auto"/>
        </w:rPr>
        <w:t>货值金额不足 5 万元的。</w:t>
      </w:r>
    </w:p>
    <w:p>
      <w:pPr>
        <w:spacing w:after="0"/>
        <w:rPr>
          <w:color w:val="auto"/>
        </w:rPr>
        <w:sectPr>
          <w:pgSz w:w="11910" w:h="16840"/>
          <w:pgMar w:top="1520" w:right="1260" w:bottom="1720" w:left="1420" w:header="0" w:footer="1526" w:gutter="0"/>
        </w:sectPr>
      </w:pPr>
    </w:p>
    <w:p>
      <w:pPr>
        <w:pStyle w:val="4"/>
        <w:spacing w:before="39" w:line="391"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62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万元以上 20 万元以下的。</w:t>
      </w:r>
    </w:p>
    <w:p>
      <w:pPr>
        <w:pStyle w:val="13"/>
        <w:numPr>
          <w:ilvl w:val="0"/>
          <w:numId w:val="1625"/>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626"/>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 50 万元以下的。</w:t>
      </w:r>
    </w:p>
    <w:p>
      <w:pPr>
        <w:pStyle w:val="13"/>
        <w:numPr>
          <w:ilvl w:val="0"/>
          <w:numId w:val="1626"/>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627"/>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50 万元以上的；或者两年内再次出现相同违法行为的。</w:t>
      </w:r>
    </w:p>
    <w:p>
      <w:pPr>
        <w:pStyle w:val="13"/>
        <w:numPr>
          <w:ilvl w:val="0"/>
          <w:numId w:val="1627"/>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8 万元以上 10 万元以下罚款。</w:t>
      </w:r>
    </w:p>
    <w:p>
      <w:pPr>
        <w:pStyle w:val="2"/>
        <w:spacing w:before="194"/>
        <w:rPr>
          <w:color w:val="auto"/>
        </w:rPr>
      </w:pPr>
      <w:bookmarkStart w:id="1412" w:name="六百九十二、茧丝经营者销售的茧丝的质量、数量与质量凭证、标识不相符"/>
      <w:bookmarkEnd w:id="1412"/>
      <w:bookmarkStart w:id="1413" w:name="_bookmark705"/>
      <w:bookmarkEnd w:id="1413"/>
      <w:r>
        <w:rPr>
          <w:color w:val="auto"/>
        </w:rPr>
        <w:t>六百九十二、茧丝经营者销售的茧丝的质量、数量与质量凭证、标识不相符</w:t>
      </w:r>
    </w:p>
    <w:p>
      <w:pPr>
        <w:spacing w:before="191"/>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、《茧丝质量监督管理办法》第二十三条“违反本办法第十七条第</w:t>
      </w:r>
      <w:r>
        <w:rPr>
          <w:color w:val="auto"/>
        </w:rPr>
        <w:t>（二）项、</w:t>
      </w:r>
      <w:r>
        <w:rPr>
          <w:color w:val="auto"/>
          <w:spacing w:val="-5"/>
        </w:rPr>
        <w:t>第</w:t>
      </w:r>
      <w:r>
        <w:rPr>
          <w:color w:val="auto"/>
        </w:rPr>
        <w:t>（三</w:t>
      </w:r>
      <w:r>
        <w:rPr>
          <w:color w:val="auto"/>
          <w:spacing w:val="-3"/>
        </w:rPr>
        <w:t>）</w:t>
      </w:r>
      <w:r>
        <w:rPr>
          <w:color w:val="auto"/>
          <w:spacing w:val="-4"/>
        </w:rPr>
        <w:t>项、第</w:t>
      </w:r>
      <w:r>
        <w:rPr>
          <w:color w:val="auto"/>
        </w:rPr>
        <w:t>（四</w:t>
      </w:r>
      <w:r>
        <w:rPr>
          <w:color w:val="auto"/>
          <w:spacing w:val="-3"/>
        </w:rPr>
        <w:t>）</w:t>
      </w:r>
      <w:r>
        <w:rPr>
          <w:color w:val="auto"/>
          <w:spacing w:val="-4"/>
        </w:rPr>
        <w:t>项、第</w:t>
      </w:r>
      <w:r>
        <w:rPr>
          <w:color w:val="auto"/>
        </w:rPr>
        <w:t>（五</w:t>
      </w:r>
      <w:r>
        <w:rPr>
          <w:color w:val="auto"/>
          <w:spacing w:val="-3"/>
        </w:rPr>
        <w:t>）</w:t>
      </w:r>
      <w:r>
        <w:rPr>
          <w:color w:val="auto"/>
          <w:spacing w:val="-2"/>
        </w:rPr>
        <w:t>项中任何一项规定的，由纤维质量监督机构责令</w:t>
      </w:r>
      <w:r>
        <w:rPr>
          <w:color w:val="auto"/>
          <w:spacing w:val="-4"/>
        </w:rPr>
        <w:t xml:space="preserve">改正，并可以根据情节轻重，处以 </w:t>
      </w:r>
      <w:r>
        <w:rPr>
          <w:color w:val="auto"/>
        </w:rPr>
        <w:t>10</w:t>
      </w:r>
      <w:r>
        <w:rPr>
          <w:color w:val="auto"/>
          <w:spacing w:val="-19"/>
        </w:rPr>
        <w:t xml:space="preserve"> 万元以下的罚款。”</w:t>
      </w:r>
    </w:p>
    <w:p>
      <w:pPr>
        <w:pStyle w:val="4"/>
        <w:spacing w:line="391" w:lineRule="auto"/>
        <w:ind w:right="195" w:firstLine="640"/>
        <w:rPr>
          <w:color w:val="auto"/>
        </w:rPr>
      </w:pPr>
      <w:r>
        <w:rPr>
          <w:color w:val="auto"/>
        </w:rPr>
        <w:t>2、《茧丝质量监督管理办法》第十七条第（四）项“茧丝经营者销售茧丝，必须符合下列要求：（四）茧丝的质量、数量与质量凭证、标识相符。”</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628"/>
        </w:numPr>
        <w:tabs>
          <w:tab w:val="left" w:pos="1353"/>
        </w:tabs>
        <w:spacing w:before="0" w:after="0" w:line="240" w:lineRule="auto"/>
        <w:ind w:left="1353" w:right="0" w:hanging="602"/>
        <w:jc w:val="left"/>
        <w:rPr>
          <w:color w:val="auto"/>
          <w:sz w:val="24"/>
        </w:rPr>
      </w:pPr>
      <w:r>
        <w:rPr>
          <w:color w:val="auto"/>
          <w:sz w:val="24"/>
        </w:rPr>
        <w:t>违法情形</w:t>
      </w:r>
    </w:p>
    <w:p>
      <w:pPr>
        <w:pStyle w:val="4"/>
        <w:spacing w:before="191"/>
        <w:ind w:left="751"/>
        <w:rPr>
          <w:color w:val="auto"/>
        </w:rPr>
      </w:pPr>
      <w:r>
        <w:rPr>
          <w:color w:val="auto"/>
        </w:rPr>
        <w:t>货值金额不足 5 万元的。</w:t>
      </w:r>
    </w:p>
    <w:p>
      <w:pPr>
        <w:pStyle w:val="13"/>
        <w:numPr>
          <w:ilvl w:val="0"/>
          <w:numId w:val="1628"/>
        </w:numPr>
        <w:tabs>
          <w:tab w:val="left" w:pos="1353"/>
        </w:tabs>
        <w:spacing w:before="192"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629"/>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万元以上 20 万元以下的。</w:t>
      </w:r>
    </w:p>
    <w:p>
      <w:pPr>
        <w:pStyle w:val="13"/>
        <w:numPr>
          <w:ilvl w:val="0"/>
          <w:numId w:val="1629"/>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630"/>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20 万元以上 50 万元以下的。</w:t>
      </w:r>
    </w:p>
    <w:p>
      <w:pPr>
        <w:pStyle w:val="13"/>
        <w:numPr>
          <w:ilvl w:val="0"/>
          <w:numId w:val="163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63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货值金额 50 万元以上的；或者两年内再次出现相同违法行为的。</w:t>
      </w:r>
    </w:p>
    <w:p>
      <w:pPr>
        <w:pStyle w:val="13"/>
        <w:numPr>
          <w:ilvl w:val="0"/>
          <w:numId w:val="163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责令改正，可以处 8 万元以上 10 万元以下罚款。</w:t>
      </w:r>
    </w:p>
    <w:p>
      <w:pPr>
        <w:pStyle w:val="2"/>
        <w:spacing w:before="194" w:line="388" w:lineRule="auto"/>
        <w:ind w:left="111" w:right="193" w:firstLine="480"/>
        <w:rPr>
          <w:color w:val="auto"/>
        </w:rPr>
      </w:pPr>
      <w:bookmarkStart w:id="1414" w:name="六百九十三、茧丝经营者销售经公证检验的茧丝，未附有公证检验证书，或者未附有公证检"/>
      <w:bookmarkEnd w:id="1414"/>
      <w:bookmarkStart w:id="1415" w:name="_bookmark706"/>
      <w:bookmarkEnd w:id="1415"/>
      <w:r>
        <w:rPr>
          <w:color w:val="auto"/>
        </w:rPr>
        <w:t>六百九十三、茧丝经营者销售经公证检验的茧丝，未附有公证检验证书，或者未附有公证检验标记</w:t>
      </w:r>
    </w:p>
    <w:p>
      <w:pPr>
        <w:spacing w:before="2"/>
        <w:ind w:left="754" w:right="0" w:firstLine="0"/>
        <w:jc w:val="left"/>
        <w:rPr>
          <w:b/>
          <w:color w:val="auto"/>
          <w:sz w:val="24"/>
        </w:rPr>
      </w:pPr>
      <w:r>
        <w:rPr>
          <w:b/>
          <w:color w:val="auto"/>
          <w:sz w:val="24"/>
        </w:rPr>
        <w:t>（一）处罚依据</w:t>
      </w:r>
    </w:p>
    <w:p>
      <w:pPr>
        <w:pStyle w:val="4"/>
        <w:spacing w:before="194" w:line="388" w:lineRule="auto"/>
        <w:ind w:right="268" w:firstLine="640"/>
        <w:jc w:val="both"/>
        <w:rPr>
          <w:color w:val="auto"/>
        </w:rPr>
      </w:pPr>
      <w:r>
        <w:rPr>
          <w:color w:val="auto"/>
        </w:rPr>
        <w:t>1</w:t>
      </w:r>
      <w:r>
        <w:rPr>
          <w:color w:val="auto"/>
          <w:spacing w:val="-12"/>
        </w:rPr>
        <w:t>、《茧丝质量监督管理办法》第二十三条“违反本办法第十七条第</w:t>
      </w:r>
      <w:r>
        <w:rPr>
          <w:color w:val="auto"/>
        </w:rPr>
        <w:t>（二）项、</w:t>
      </w:r>
      <w:r>
        <w:rPr>
          <w:color w:val="auto"/>
          <w:spacing w:val="-5"/>
        </w:rPr>
        <w:t>第</w:t>
      </w:r>
      <w:r>
        <w:rPr>
          <w:color w:val="auto"/>
        </w:rPr>
        <w:t>（三</w:t>
      </w:r>
      <w:r>
        <w:rPr>
          <w:color w:val="auto"/>
          <w:spacing w:val="-3"/>
        </w:rPr>
        <w:t>）</w:t>
      </w:r>
      <w:r>
        <w:rPr>
          <w:color w:val="auto"/>
          <w:spacing w:val="-4"/>
        </w:rPr>
        <w:t>项、第</w:t>
      </w:r>
      <w:r>
        <w:rPr>
          <w:color w:val="auto"/>
        </w:rPr>
        <w:t>（四</w:t>
      </w:r>
      <w:r>
        <w:rPr>
          <w:color w:val="auto"/>
          <w:spacing w:val="-3"/>
        </w:rPr>
        <w:t>）</w:t>
      </w:r>
      <w:r>
        <w:rPr>
          <w:color w:val="auto"/>
          <w:spacing w:val="-4"/>
        </w:rPr>
        <w:t>项、第</w:t>
      </w:r>
      <w:r>
        <w:rPr>
          <w:color w:val="auto"/>
        </w:rPr>
        <w:t>（五</w:t>
      </w:r>
      <w:r>
        <w:rPr>
          <w:color w:val="auto"/>
          <w:spacing w:val="-3"/>
        </w:rPr>
        <w:t>）</w:t>
      </w:r>
      <w:r>
        <w:rPr>
          <w:color w:val="auto"/>
          <w:spacing w:val="-2"/>
        </w:rPr>
        <w:t>项中任何一项规定的，由纤维质量监督机构责令</w:t>
      </w:r>
      <w:r>
        <w:rPr>
          <w:color w:val="auto"/>
          <w:spacing w:val="-4"/>
        </w:rPr>
        <w:t xml:space="preserve">改正，并可以根据情节轻重，处以 </w:t>
      </w:r>
      <w:r>
        <w:rPr>
          <w:color w:val="auto"/>
        </w:rPr>
        <w:t>10</w:t>
      </w:r>
      <w:r>
        <w:rPr>
          <w:color w:val="auto"/>
          <w:spacing w:val="-19"/>
        </w:rPr>
        <w:t xml:space="preserve"> 万元以下的罚款。”</w:t>
      </w:r>
    </w:p>
    <w:p>
      <w:pPr>
        <w:pStyle w:val="4"/>
        <w:spacing w:before="5" w:line="388" w:lineRule="auto"/>
        <w:ind w:right="271" w:firstLine="640"/>
        <w:jc w:val="both"/>
        <w:rPr>
          <w:color w:val="auto"/>
        </w:rPr>
      </w:pPr>
      <w:r>
        <w:rPr>
          <w:color w:val="auto"/>
        </w:rPr>
        <w:t>2</w:t>
      </w:r>
      <w:r>
        <w:rPr>
          <w:color w:val="auto"/>
          <w:spacing w:val="-12"/>
        </w:rPr>
        <w:t>、《茧丝质量监督管理办法》第十七条第</w:t>
      </w:r>
      <w:r>
        <w:rPr>
          <w:color w:val="auto"/>
        </w:rPr>
        <w:t>（五）项“茧丝经营者销售茧丝，必</w:t>
      </w:r>
      <w:r>
        <w:rPr>
          <w:color w:val="auto"/>
          <w:spacing w:val="-14"/>
        </w:rPr>
        <w:t>须符合下列要求：</w:t>
      </w:r>
      <w:r>
        <w:rPr>
          <w:color w:val="auto"/>
          <w:spacing w:val="2"/>
        </w:rPr>
        <w:t>（五）</w:t>
      </w:r>
      <w:r>
        <w:rPr>
          <w:color w:val="auto"/>
        </w:rPr>
        <w:t>经公证检验的茧丝，必须附有公证检验证书。有公证检验标</w:t>
      </w:r>
      <w:r>
        <w:rPr>
          <w:color w:val="auto"/>
          <w:spacing w:val="-7"/>
        </w:rPr>
        <w:t>记粘贴规定的，应当附有公证检验标记。”</w:t>
      </w:r>
    </w:p>
    <w:p>
      <w:pPr>
        <w:spacing w:before="6"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632"/>
        </w:numPr>
        <w:tabs>
          <w:tab w:val="left" w:pos="1353"/>
        </w:tabs>
        <w:spacing w:before="2" w:after="0" w:line="240" w:lineRule="auto"/>
        <w:ind w:left="1353" w:right="0" w:hanging="602"/>
        <w:jc w:val="left"/>
        <w:rPr>
          <w:color w:val="auto"/>
          <w:sz w:val="24"/>
        </w:rPr>
      </w:pPr>
      <w:r>
        <w:rPr>
          <w:color w:val="auto"/>
          <w:sz w:val="24"/>
        </w:rPr>
        <w:t>违法情形</w:t>
      </w:r>
    </w:p>
    <w:p>
      <w:pPr>
        <w:spacing w:after="0" w:line="240" w:lineRule="auto"/>
        <w:jc w:val="left"/>
        <w:rPr>
          <w:color w:val="auto"/>
          <w:sz w:val="24"/>
        </w:rPr>
        <w:sectPr>
          <w:footerReference r:id="rId181" w:type="default"/>
          <w:footerReference r:id="rId182" w:type="even"/>
          <w:pgSz w:w="11910" w:h="16840"/>
          <w:pgMar w:top="1520" w:right="1260" w:bottom="1220" w:left="1420" w:header="0" w:footer="1034" w:gutter="0"/>
          <w:pgNumType w:start="679"/>
        </w:sectPr>
      </w:pPr>
    </w:p>
    <w:p>
      <w:pPr>
        <w:pStyle w:val="4"/>
        <w:spacing w:before="39"/>
        <w:ind w:left="751"/>
        <w:rPr>
          <w:color w:val="auto"/>
        </w:rPr>
      </w:pPr>
      <w:r>
        <w:rPr>
          <w:color w:val="auto"/>
        </w:rPr>
        <w:t>货值金额不足 5 万元的。</w:t>
      </w:r>
    </w:p>
    <w:p>
      <w:pPr>
        <w:pStyle w:val="13"/>
        <w:numPr>
          <w:ilvl w:val="0"/>
          <w:numId w:val="1632"/>
        </w:numPr>
        <w:tabs>
          <w:tab w:val="left" w:pos="1353"/>
        </w:tabs>
        <w:spacing w:before="195" w:after="0" w:line="240" w:lineRule="auto"/>
        <w:ind w:left="1353" w:right="0" w:hanging="602"/>
        <w:jc w:val="left"/>
        <w:rPr>
          <w:color w:val="auto"/>
          <w:sz w:val="24"/>
        </w:rPr>
      </w:pPr>
      <w:r>
        <w:rPr>
          <w:color w:val="auto"/>
          <w:sz w:val="24"/>
        </w:rPr>
        <w:t>处罚标准</w:t>
      </w:r>
    </w:p>
    <w:p>
      <w:pPr>
        <w:pStyle w:val="4"/>
        <w:spacing w:before="191"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633"/>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 万元以上 20 万元以下的。</w:t>
      </w:r>
    </w:p>
    <w:p>
      <w:pPr>
        <w:pStyle w:val="13"/>
        <w:numPr>
          <w:ilvl w:val="0"/>
          <w:numId w:val="1633"/>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5</w:t>
      </w:r>
      <w:r>
        <w:rPr>
          <w:color w:val="auto"/>
          <w:spacing w:val="-11"/>
        </w:rPr>
        <w:t xml:space="preserve"> 万元以下罚款。</w:t>
      </w:r>
      <w:r>
        <w:rPr>
          <w:color w:val="auto"/>
        </w:rPr>
        <w:t>3</w:t>
      </w:r>
      <w:r>
        <w:rPr>
          <w:color w:val="auto"/>
          <w:spacing w:val="-24"/>
        </w:rPr>
        <w:t>、【较重】</w:t>
      </w:r>
    </w:p>
    <w:p>
      <w:pPr>
        <w:pStyle w:val="13"/>
        <w:numPr>
          <w:ilvl w:val="0"/>
          <w:numId w:val="1634"/>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5"/>
        <w:ind w:left="751"/>
        <w:rPr>
          <w:color w:val="auto"/>
        </w:rPr>
      </w:pPr>
      <w:r>
        <w:rPr>
          <w:color w:val="auto"/>
        </w:rPr>
        <w:t>货值金额 20 万元以上 50 万元以下的。</w:t>
      </w:r>
    </w:p>
    <w:p>
      <w:pPr>
        <w:pStyle w:val="13"/>
        <w:numPr>
          <w:ilvl w:val="0"/>
          <w:numId w:val="1634"/>
        </w:numPr>
        <w:tabs>
          <w:tab w:val="left" w:pos="1353"/>
        </w:tabs>
        <w:spacing w:before="191" w:after="0" w:line="240" w:lineRule="auto"/>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5</w:t>
      </w:r>
      <w:r>
        <w:rPr>
          <w:color w:val="auto"/>
          <w:spacing w:val="-20"/>
        </w:rPr>
        <w:t xml:space="preserve"> 万元以上 </w:t>
      </w:r>
      <w:r>
        <w:rPr>
          <w:color w:val="auto"/>
        </w:rPr>
        <w:t>8</w:t>
      </w:r>
      <w:r>
        <w:rPr>
          <w:color w:val="auto"/>
          <w:spacing w:val="-11"/>
        </w:rPr>
        <w:t xml:space="preserve"> 万元以下罚款。</w:t>
      </w:r>
      <w:r>
        <w:rPr>
          <w:color w:val="auto"/>
        </w:rPr>
        <w:t>4</w:t>
      </w:r>
      <w:r>
        <w:rPr>
          <w:color w:val="auto"/>
          <w:spacing w:val="-24"/>
        </w:rPr>
        <w:t>、【严重】</w:t>
      </w:r>
    </w:p>
    <w:p>
      <w:pPr>
        <w:pStyle w:val="13"/>
        <w:numPr>
          <w:ilvl w:val="0"/>
          <w:numId w:val="163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货值金额 50 万元以上的；或者两年内再次出现相同违法行为的。</w:t>
      </w:r>
    </w:p>
    <w:p>
      <w:pPr>
        <w:pStyle w:val="13"/>
        <w:numPr>
          <w:ilvl w:val="0"/>
          <w:numId w:val="1635"/>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责令改正，可以处 8 万元以上 10 万元以下罚款。</w:t>
      </w:r>
    </w:p>
    <w:p>
      <w:pPr>
        <w:pStyle w:val="2"/>
        <w:spacing w:before="192" w:line="391" w:lineRule="auto"/>
        <w:ind w:left="111" w:right="117" w:firstLine="480"/>
        <w:rPr>
          <w:color w:val="auto"/>
        </w:rPr>
      </w:pPr>
      <w:bookmarkStart w:id="1416" w:name="_bookmark707"/>
      <w:bookmarkEnd w:id="1416"/>
      <w:bookmarkStart w:id="1417" w:name="六百九十四、茧丝经营者承储国家储备茧丝，未建立健全茧丝入库、出库质量检查验收制度"/>
      <w:bookmarkEnd w:id="1417"/>
      <w:r>
        <w:rPr>
          <w:color w:val="auto"/>
          <w:spacing w:val="-6"/>
        </w:rPr>
        <w:t>六百九十四、茧丝经营者承储国家储备茧丝，未建立健全茧丝入库、出库质量检</w:t>
      </w:r>
      <w:r>
        <w:rPr>
          <w:color w:val="auto"/>
          <w:spacing w:val="-16"/>
        </w:rPr>
        <w:t>查验收制度，保证入库、出库的国家储备茧丝的质量、数量与标识、质量凭证相符的， 或者未按照国家规定维护、保养承储设施，保证国家储备茧丝质量免受人为因素造成质量变异</w:t>
      </w:r>
    </w:p>
    <w:p>
      <w:pPr>
        <w:spacing w:before="0" w:line="304" w:lineRule="exact"/>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、《茧丝质量监督管理办法》第二十四条“违反本办法第十八条中任何一项规</w:t>
      </w:r>
      <w:r>
        <w:rPr>
          <w:color w:val="auto"/>
          <w:spacing w:val="-13"/>
        </w:rPr>
        <w:t xml:space="preserve">定的，由纤维质量监督机构责令改正，可以处 </w:t>
      </w:r>
      <w:r>
        <w:rPr>
          <w:color w:val="auto"/>
        </w:rPr>
        <w:t>10</w:t>
      </w:r>
      <w:r>
        <w:rPr>
          <w:color w:val="auto"/>
          <w:spacing w:val="-6"/>
        </w:rPr>
        <w:t xml:space="preserve"> 万元以下罚款；造成重大损失或有</w:t>
      </w:r>
      <w:r>
        <w:rPr>
          <w:color w:val="auto"/>
          <w:spacing w:val="-10"/>
        </w:rPr>
        <w:t>其他严重情节的，建议主管部门对负责人员和其他直接责任人员给予相应的处分。”</w:t>
      </w:r>
    </w:p>
    <w:p>
      <w:pPr>
        <w:pStyle w:val="4"/>
        <w:spacing w:line="388" w:lineRule="auto"/>
        <w:ind w:right="268" w:firstLine="640"/>
        <w:rPr>
          <w:color w:val="auto"/>
        </w:rPr>
      </w:pPr>
      <w:r>
        <w:rPr>
          <w:color w:val="auto"/>
        </w:rPr>
        <w:t>2</w:t>
      </w:r>
      <w:r>
        <w:rPr>
          <w:color w:val="auto"/>
          <w:spacing w:val="-14"/>
        </w:rPr>
        <w:t>、《茧丝质量监督管理办法》第十八条第</w:t>
      </w:r>
      <w:r>
        <w:rPr>
          <w:color w:val="auto"/>
        </w:rPr>
        <w:t>（一</w:t>
      </w:r>
      <w:r>
        <w:rPr>
          <w:color w:val="auto"/>
          <w:spacing w:val="-132"/>
        </w:rPr>
        <w:t>）</w:t>
      </w:r>
      <w:r>
        <w:rPr>
          <w:color w:val="auto"/>
        </w:rPr>
        <w:t>（二</w:t>
      </w:r>
      <w:r>
        <w:rPr>
          <w:color w:val="auto"/>
          <w:spacing w:val="-12"/>
        </w:rPr>
        <w:t>）</w:t>
      </w:r>
      <w:r>
        <w:rPr>
          <w:color w:val="auto"/>
          <w:spacing w:val="-5"/>
        </w:rPr>
        <w:t>项“茧丝经营者承储国家</w:t>
      </w:r>
      <w:r>
        <w:rPr>
          <w:color w:val="auto"/>
          <w:spacing w:val="-8"/>
        </w:rPr>
        <w:t>储备茧丝，应当符合下列要求：</w:t>
      </w:r>
      <w:r>
        <w:rPr>
          <w:color w:val="auto"/>
          <w:spacing w:val="2"/>
        </w:rPr>
        <w:t>（一）</w:t>
      </w:r>
      <w:r>
        <w:rPr>
          <w:color w:val="auto"/>
        </w:rPr>
        <w:t>建立健全茧丝入库、出库质量检查验收制度，</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148"/>
        <w:rPr>
          <w:color w:val="auto"/>
        </w:rPr>
      </w:pPr>
      <w:r>
        <w:rPr>
          <w:color w:val="auto"/>
          <w:spacing w:val="-3"/>
        </w:rPr>
        <w:t>保证入库、出库的国家储备茧丝的质量、数量与标识、质量凭证相符；</w:t>
      </w:r>
      <w:r>
        <w:rPr>
          <w:color w:val="auto"/>
          <w:spacing w:val="2"/>
        </w:rPr>
        <w:t>（二）</w:t>
      </w:r>
      <w:r>
        <w:rPr>
          <w:color w:val="auto"/>
          <w:spacing w:val="1"/>
        </w:rPr>
        <w:t>按照国</w:t>
      </w:r>
      <w:r>
        <w:rPr>
          <w:color w:val="auto"/>
          <w:spacing w:val="-10"/>
        </w:rPr>
        <w:t>家规定维护、保养承储设施，保证国家储备茧丝质量免受人为因素造成的质量变异。”</w:t>
      </w:r>
    </w:p>
    <w:p>
      <w:pPr>
        <w:spacing w:before="0" w:line="388" w:lineRule="auto"/>
        <w:ind w:left="751" w:right="6784" w:firstLine="2"/>
        <w:jc w:val="left"/>
        <w:rPr>
          <w:color w:val="auto"/>
          <w:sz w:val="24"/>
        </w:rPr>
      </w:pPr>
      <w:r>
        <w:rPr>
          <w:b/>
          <w:color w:val="auto"/>
          <w:sz w:val="24"/>
        </w:rPr>
        <w:t>（二）裁量标准</w:t>
      </w:r>
      <w:r>
        <w:rPr>
          <w:color w:val="auto"/>
          <w:sz w:val="24"/>
        </w:rPr>
        <w:t>1、【较轻】</w:t>
      </w:r>
    </w:p>
    <w:p>
      <w:pPr>
        <w:pStyle w:val="13"/>
        <w:numPr>
          <w:ilvl w:val="0"/>
          <w:numId w:val="1636"/>
        </w:numPr>
        <w:tabs>
          <w:tab w:val="left" w:pos="1353"/>
        </w:tabs>
        <w:spacing w:before="3" w:after="0" w:line="240" w:lineRule="auto"/>
        <w:ind w:left="1353" w:right="0" w:hanging="602"/>
        <w:jc w:val="left"/>
        <w:rPr>
          <w:color w:val="auto"/>
          <w:sz w:val="24"/>
        </w:rPr>
      </w:pPr>
      <w:r>
        <w:rPr>
          <w:color w:val="auto"/>
          <w:sz w:val="24"/>
        </w:rPr>
        <w:t>违法情形</w:t>
      </w:r>
    </w:p>
    <w:p>
      <w:pPr>
        <w:pStyle w:val="4"/>
        <w:spacing w:before="192" w:line="388" w:lineRule="auto"/>
        <w:ind w:right="72" w:firstLine="640"/>
        <w:rPr>
          <w:color w:val="auto"/>
        </w:rPr>
      </w:pPr>
      <w:r>
        <w:rPr>
          <w:color w:val="auto"/>
        </w:rPr>
        <w:t>有下列情形之一的：1、未建立茧丝入库、出库质量检查验收制度的；2、入库、出库的国家储备茧丝实物与公证检验证书、标志轻微不符的。</w:t>
      </w:r>
    </w:p>
    <w:p>
      <w:pPr>
        <w:pStyle w:val="13"/>
        <w:numPr>
          <w:ilvl w:val="0"/>
          <w:numId w:val="1636"/>
        </w:numPr>
        <w:tabs>
          <w:tab w:val="left" w:pos="1353"/>
        </w:tabs>
        <w:spacing w:before="5" w:after="0" w:line="240" w:lineRule="auto"/>
        <w:ind w:left="1353" w:right="0" w:hanging="602"/>
        <w:jc w:val="left"/>
        <w:rPr>
          <w:color w:val="auto"/>
          <w:sz w:val="24"/>
        </w:rPr>
      </w:pPr>
      <w:r>
        <w:rPr>
          <w:color w:val="auto"/>
          <w:sz w:val="24"/>
        </w:rPr>
        <w:t>处罚标准</w:t>
      </w:r>
    </w:p>
    <w:p>
      <w:pPr>
        <w:pStyle w:val="4"/>
        <w:spacing w:before="191" w:line="388" w:lineRule="auto"/>
        <w:ind w:left="751" w:right="4633"/>
        <w:rPr>
          <w:color w:val="auto"/>
        </w:rPr>
      </w:pPr>
      <w:r>
        <w:rPr>
          <w:color w:val="auto"/>
          <w:spacing w:val="-7"/>
        </w:rPr>
        <w:t xml:space="preserve">责令改正，可以处 </w:t>
      </w:r>
      <w:r>
        <w:rPr>
          <w:color w:val="auto"/>
        </w:rPr>
        <w:t>2</w:t>
      </w:r>
      <w:r>
        <w:rPr>
          <w:color w:val="auto"/>
          <w:spacing w:val="-11"/>
        </w:rPr>
        <w:t xml:space="preserve"> 万元以下罚款。</w:t>
      </w:r>
      <w:r>
        <w:rPr>
          <w:color w:val="auto"/>
        </w:rPr>
        <w:t>2</w:t>
      </w:r>
      <w:r>
        <w:rPr>
          <w:color w:val="auto"/>
          <w:spacing w:val="-24"/>
        </w:rPr>
        <w:t>、【一般】</w:t>
      </w:r>
    </w:p>
    <w:p>
      <w:pPr>
        <w:pStyle w:val="13"/>
        <w:numPr>
          <w:ilvl w:val="0"/>
          <w:numId w:val="1637"/>
        </w:numPr>
        <w:tabs>
          <w:tab w:val="left" w:pos="1353"/>
        </w:tabs>
        <w:spacing w:before="5" w:after="0" w:line="240" w:lineRule="auto"/>
        <w:ind w:left="1353" w:right="0" w:hanging="602"/>
        <w:jc w:val="left"/>
        <w:rPr>
          <w:color w:val="auto"/>
          <w:sz w:val="24"/>
        </w:rPr>
      </w:pPr>
      <w:r>
        <w:rPr>
          <w:color w:val="auto"/>
          <w:sz w:val="24"/>
        </w:rPr>
        <w:t>违法情形</w:t>
      </w:r>
    </w:p>
    <w:p>
      <w:pPr>
        <w:pStyle w:val="4"/>
        <w:spacing w:before="191" w:line="391" w:lineRule="auto"/>
        <w:ind w:right="268" w:firstLine="640"/>
        <w:jc w:val="both"/>
        <w:rPr>
          <w:color w:val="auto"/>
        </w:rPr>
      </w:pPr>
      <w:r>
        <w:rPr>
          <w:color w:val="auto"/>
          <w:spacing w:val="-2"/>
        </w:rPr>
        <w:t>有下列情形之一的：</w:t>
      </w:r>
      <w:r>
        <w:rPr>
          <w:color w:val="auto"/>
          <w:spacing w:val="-10"/>
        </w:rPr>
        <w:t>1</w:t>
      </w:r>
      <w:r>
        <w:rPr>
          <w:color w:val="auto"/>
          <w:spacing w:val="-9"/>
        </w:rPr>
        <w:t>、入库、出库的国家储备茧丝实物与公证检验证书、标志</w:t>
      </w:r>
      <w:r>
        <w:rPr>
          <w:color w:val="auto"/>
        </w:rPr>
        <w:t>严重不符，未造成危害后果的；2、不按照国家规定维护、保养承储设施致使国家储备茧丝变异，财产损失较小的。</w:t>
      </w:r>
    </w:p>
    <w:p>
      <w:pPr>
        <w:pStyle w:val="13"/>
        <w:numPr>
          <w:ilvl w:val="0"/>
          <w:numId w:val="1637"/>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2" w:line="391" w:lineRule="auto"/>
        <w:ind w:left="751" w:right="3433"/>
        <w:rPr>
          <w:color w:val="auto"/>
        </w:rPr>
      </w:pPr>
      <w:r>
        <w:rPr>
          <w:color w:val="auto"/>
          <w:spacing w:val="-7"/>
        </w:rPr>
        <w:t xml:space="preserve">责令改正，可以处 </w:t>
      </w:r>
      <w:r>
        <w:rPr>
          <w:color w:val="auto"/>
        </w:rPr>
        <w:t>2</w:t>
      </w:r>
      <w:r>
        <w:rPr>
          <w:color w:val="auto"/>
          <w:spacing w:val="-20"/>
        </w:rPr>
        <w:t xml:space="preserve"> 万元以上 </w:t>
      </w:r>
      <w:r>
        <w:rPr>
          <w:color w:val="auto"/>
        </w:rPr>
        <w:t>4</w:t>
      </w:r>
      <w:r>
        <w:rPr>
          <w:color w:val="auto"/>
          <w:spacing w:val="-11"/>
        </w:rPr>
        <w:t xml:space="preserve"> 万元以下罚款。</w:t>
      </w:r>
      <w:r>
        <w:rPr>
          <w:color w:val="auto"/>
        </w:rPr>
        <w:t>3</w:t>
      </w:r>
      <w:r>
        <w:rPr>
          <w:color w:val="auto"/>
          <w:spacing w:val="-24"/>
        </w:rPr>
        <w:t>、【较重】</w:t>
      </w:r>
    </w:p>
    <w:p>
      <w:pPr>
        <w:pStyle w:val="13"/>
        <w:numPr>
          <w:ilvl w:val="0"/>
          <w:numId w:val="163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jc w:val="both"/>
        <w:rPr>
          <w:color w:val="auto"/>
        </w:rPr>
      </w:pPr>
      <w:r>
        <w:rPr>
          <w:color w:val="auto"/>
          <w:spacing w:val="-2"/>
        </w:rPr>
        <w:t>有下列情形之一的：</w:t>
      </w:r>
      <w:r>
        <w:rPr>
          <w:color w:val="auto"/>
          <w:spacing w:val="-10"/>
        </w:rPr>
        <w:t>1</w:t>
      </w:r>
      <w:r>
        <w:rPr>
          <w:color w:val="auto"/>
          <w:spacing w:val="-9"/>
        </w:rPr>
        <w:t>、入库、出库的国家储备茧丝实物与公证检验证书、标志</w:t>
      </w:r>
      <w:r>
        <w:rPr>
          <w:color w:val="auto"/>
        </w:rPr>
        <w:t>严重不符，造成一定危害后果的；2、不按照国家规定维护、保养承储设施致使国家储备茧丝变异，造成一定财产损失的。</w:t>
      </w:r>
    </w:p>
    <w:p>
      <w:pPr>
        <w:pStyle w:val="13"/>
        <w:numPr>
          <w:ilvl w:val="0"/>
          <w:numId w:val="1638"/>
        </w:numPr>
        <w:tabs>
          <w:tab w:val="left" w:pos="1353"/>
        </w:tabs>
        <w:spacing w:before="0" w:after="0" w:line="304" w:lineRule="exact"/>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7"/>
        </w:rPr>
        <w:t xml:space="preserve">责令改正，可以处 </w:t>
      </w:r>
      <w:r>
        <w:rPr>
          <w:color w:val="auto"/>
        </w:rPr>
        <w:t>4</w:t>
      </w:r>
      <w:r>
        <w:rPr>
          <w:color w:val="auto"/>
          <w:spacing w:val="-20"/>
        </w:rPr>
        <w:t xml:space="preserve"> 万元以上 </w:t>
      </w:r>
      <w:r>
        <w:rPr>
          <w:color w:val="auto"/>
        </w:rPr>
        <w:t>6</w:t>
      </w:r>
      <w:r>
        <w:rPr>
          <w:color w:val="auto"/>
          <w:spacing w:val="-11"/>
        </w:rPr>
        <w:t xml:space="preserve"> 万元以下罚款。</w:t>
      </w:r>
      <w:r>
        <w:rPr>
          <w:color w:val="auto"/>
        </w:rPr>
        <w:t>4</w:t>
      </w:r>
      <w:r>
        <w:rPr>
          <w:color w:val="auto"/>
          <w:spacing w:val="-24"/>
        </w:rPr>
        <w:t>、【严重】</w:t>
      </w:r>
    </w:p>
    <w:p>
      <w:pPr>
        <w:pStyle w:val="13"/>
        <w:numPr>
          <w:ilvl w:val="0"/>
          <w:numId w:val="1639"/>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8" w:firstLine="640"/>
        <w:jc w:val="both"/>
        <w:rPr>
          <w:color w:val="auto"/>
        </w:rPr>
      </w:pPr>
      <w:r>
        <w:rPr>
          <w:color w:val="auto"/>
        </w:rPr>
        <w:t>有下列情形之一的：1</w:t>
      </w:r>
      <w:r>
        <w:rPr>
          <w:color w:val="auto"/>
          <w:spacing w:val="-6"/>
        </w:rPr>
        <w:t xml:space="preserve">、有本条规定的 </w:t>
      </w:r>
      <w:r>
        <w:rPr>
          <w:color w:val="auto"/>
        </w:rPr>
        <w:t>2</w:t>
      </w:r>
      <w:r>
        <w:rPr>
          <w:color w:val="auto"/>
          <w:spacing w:val="-7"/>
        </w:rPr>
        <w:t xml:space="preserve"> 项违法行为的；</w:t>
      </w:r>
      <w:r>
        <w:rPr>
          <w:color w:val="auto"/>
        </w:rPr>
        <w:t>2、入库、出库的国储棉实物与公证检验证书、标志严重不符，造成较严重危害后果的；3、不按照国家规定维护、保养承储设施致使国家储备茧丝变异，造成较大财产损失的。</w:t>
      </w:r>
    </w:p>
    <w:p>
      <w:pPr>
        <w:spacing w:after="0" w:line="388" w:lineRule="auto"/>
        <w:jc w:val="both"/>
        <w:rPr>
          <w:color w:val="auto"/>
        </w:rPr>
        <w:sectPr>
          <w:footerReference r:id="rId183" w:type="default"/>
          <w:footerReference r:id="rId184" w:type="even"/>
          <w:pgSz w:w="11910" w:h="16840"/>
          <w:pgMar w:top="1520" w:right="1260" w:bottom="1220" w:left="1420" w:header="0" w:footer="1034" w:gutter="0"/>
          <w:pgNumType w:start="681"/>
        </w:sectPr>
      </w:pPr>
    </w:p>
    <w:p>
      <w:pPr>
        <w:pStyle w:val="13"/>
        <w:numPr>
          <w:ilvl w:val="0"/>
          <w:numId w:val="1639"/>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line="388" w:lineRule="auto"/>
        <w:ind w:right="268" w:firstLine="640"/>
        <w:rPr>
          <w:color w:val="auto"/>
        </w:rPr>
      </w:pPr>
      <w:r>
        <w:rPr>
          <w:color w:val="auto"/>
          <w:spacing w:val="-6"/>
        </w:rPr>
        <w:t xml:space="preserve">责令改正，可以处 </w:t>
      </w:r>
      <w:r>
        <w:rPr>
          <w:color w:val="auto"/>
        </w:rPr>
        <w:t>6</w:t>
      </w:r>
      <w:r>
        <w:rPr>
          <w:color w:val="auto"/>
          <w:spacing w:val="-19"/>
        </w:rPr>
        <w:t xml:space="preserve"> 万元以上 </w:t>
      </w:r>
      <w:r>
        <w:rPr>
          <w:color w:val="auto"/>
        </w:rPr>
        <w:t>8</w:t>
      </w:r>
      <w:r>
        <w:rPr>
          <w:color w:val="auto"/>
          <w:spacing w:val="-8"/>
        </w:rPr>
        <w:t xml:space="preserve"> 万元以下罚款，对负责的主管人员和其他直接责任人员给予降级以上的纪律处分。</w:t>
      </w:r>
    </w:p>
    <w:p>
      <w:pPr>
        <w:pStyle w:val="4"/>
        <w:spacing w:before="2"/>
        <w:ind w:left="751"/>
        <w:rPr>
          <w:color w:val="auto"/>
        </w:rPr>
      </w:pPr>
      <w:r>
        <w:rPr>
          <w:color w:val="auto"/>
        </w:rPr>
        <w:t>5、【特别严重】</w:t>
      </w:r>
    </w:p>
    <w:p>
      <w:pPr>
        <w:pStyle w:val="13"/>
        <w:numPr>
          <w:ilvl w:val="0"/>
          <w:numId w:val="1640"/>
        </w:numPr>
        <w:tabs>
          <w:tab w:val="left" w:pos="1353"/>
        </w:tabs>
        <w:spacing w:before="194" w:after="0" w:line="240" w:lineRule="auto"/>
        <w:ind w:left="1353" w:right="0" w:hanging="602"/>
        <w:jc w:val="left"/>
        <w:rPr>
          <w:color w:val="auto"/>
          <w:sz w:val="24"/>
        </w:rPr>
      </w:pPr>
      <w:r>
        <w:rPr>
          <w:color w:val="auto"/>
          <w:sz w:val="24"/>
        </w:rPr>
        <w:t>违法情形</w:t>
      </w:r>
    </w:p>
    <w:p>
      <w:pPr>
        <w:pStyle w:val="4"/>
        <w:spacing w:before="192" w:line="388" w:lineRule="auto"/>
        <w:ind w:right="195" w:firstLine="640"/>
        <w:rPr>
          <w:color w:val="auto"/>
        </w:rPr>
      </w:pPr>
      <w:r>
        <w:rPr>
          <w:color w:val="auto"/>
        </w:rPr>
        <w:t>有下列情形之一的：1、行政处罚实施机关作出责令改正违法行为后，继续实施违法行为的；2、造成重大财产损失或严重社会影响的。</w:t>
      </w:r>
    </w:p>
    <w:p>
      <w:pPr>
        <w:pStyle w:val="13"/>
        <w:numPr>
          <w:ilvl w:val="0"/>
          <w:numId w:val="1640"/>
        </w:numPr>
        <w:tabs>
          <w:tab w:val="left" w:pos="1353"/>
        </w:tabs>
        <w:spacing w:before="4" w:after="0" w:line="240" w:lineRule="auto"/>
        <w:ind w:left="1353" w:right="0" w:hanging="602"/>
        <w:jc w:val="left"/>
        <w:rPr>
          <w:color w:val="auto"/>
          <w:sz w:val="24"/>
        </w:rPr>
      </w:pPr>
      <w:r>
        <w:rPr>
          <w:color w:val="auto"/>
          <w:sz w:val="24"/>
        </w:rPr>
        <w:t>处罚标准</w:t>
      </w:r>
    </w:p>
    <w:p>
      <w:pPr>
        <w:pStyle w:val="4"/>
        <w:spacing w:before="192" w:line="388" w:lineRule="auto"/>
        <w:ind w:right="268" w:firstLine="640"/>
        <w:rPr>
          <w:color w:val="auto"/>
        </w:rPr>
      </w:pPr>
      <w:r>
        <w:rPr>
          <w:color w:val="auto"/>
          <w:spacing w:val="-12"/>
        </w:rPr>
        <w:t xml:space="preserve">责令改正，可以处 </w:t>
      </w:r>
      <w:r>
        <w:rPr>
          <w:color w:val="auto"/>
        </w:rPr>
        <w:t>8</w:t>
      </w:r>
      <w:r>
        <w:rPr>
          <w:color w:val="auto"/>
          <w:spacing w:val="-20"/>
        </w:rPr>
        <w:t xml:space="preserve"> 万元以上 </w:t>
      </w:r>
      <w:r>
        <w:rPr>
          <w:color w:val="auto"/>
        </w:rPr>
        <w:t>10</w:t>
      </w:r>
      <w:r>
        <w:rPr>
          <w:color w:val="auto"/>
          <w:spacing w:val="-11"/>
        </w:rPr>
        <w:t xml:space="preserve"> 万元以下罚款，对负责的主管人员和其他直接</w:t>
      </w:r>
      <w:r>
        <w:rPr>
          <w:color w:val="auto"/>
        </w:rPr>
        <w:t>责任人员给予降级以上的纪律处分。</w:t>
      </w:r>
    </w:p>
    <w:p>
      <w:pPr>
        <w:pStyle w:val="2"/>
        <w:spacing w:before="4" w:line="388" w:lineRule="auto"/>
        <w:ind w:left="111" w:right="237" w:firstLine="480"/>
        <w:jc w:val="both"/>
        <w:rPr>
          <w:color w:val="auto"/>
        </w:rPr>
      </w:pPr>
      <w:bookmarkStart w:id="1418" w:name="六百九十五、茧丝经营者收购蚕茧伪造、变造仪评的数据或结论，或者收购、加工、销售、"/>
      <w:bookmarkEnd w:id="1418"/>
      <w:bookmarkStart w:id="1419" w:name="_bookmark708"/>
      <w:bookmarkEnd w:id="1419"/>
      <w:r>
        <w:rPr>
          <w:color w:val="auto"/>
          <w:spacing w:val="-6"/>
        </w:rPr>
        <w:t>六百九十五、茧丝经营者收购蚕茧伪造、变造仪评的数据或结论，或者收购、加</w:t>
      </w:r>
      <w:r>
        <w:rPr>
          <w:color w:val="auto"/>
          <w:spacing w:val="-9"/>
        </w:rPr>
        <w:t>工、销售、承储茧丝伪造、变造、冒用质量保证条件审核意见书、茧丝质量凭证、标识、公证检验证书</w:t>
      </w:r>
    </w:p>
    <w:p>
      <w:pPr>
        <w:spacing w:before="6"/>
        <w:ind w:left="754" w:right="0" w:firstLine="0"/>
        <w:jc w:val="left"/>
        <w:rPr>
          <w:b/>
          <w:color w:val="auto"/>
          <w:sz w:val="24"/>
        </w:rPr>
      </w:pPr>
      <w:r>
        <w:rPr>
          <w:b/>
          <w:color w:val="auto"/>
          <w:sz w:val="24"/>
        </w:rPr>
        <w:t>（一）处罚依据</w:t>
      </w:r>
    </w:p>
    <w:p>
      <w:pPr>
        <w:pStyle w:val="4"/>
        <w:spacing w:before="191" w:line="391" w:lineRule="auto"/>
        <w:ind w:right="268" w:firstLine="640"/>
        <w:jc w:val="both"/>
        <w:rPr>
          <w:color w:val="auto"/>
        </w:rPr>
      </w:pPr>
      <w:r>
        <w:rPr>
          <w:color w:val="auto"/>
        </w:rPr>
        <w:t>1</w:t>
      </w:r>
      <w:r>
        <w:rPr>
          <w:color w:val="auto"/>
          <w:spacing w:val="-12"/>
        </w:rPr>
        <w:t>、《茧丝质量监督管理办法》第二十五条“违反本办法第十三条第</w:t>
      </w:r>
      <w:r>
        <w:rPr>
          <w:color w:val="auto"/>
        </w:rPr>
        <w:t>（六）项、</w:t>
      </w:r>
      <w:r>
        <w:rPr>
          <w:color w:val="auto"/>
          <w:spacing w:val="-3"/>
        </w:rPr>
        <w:t xml:space="preserve">第十九条规定的，由纤维质量监督机构处 </w:t>
      </w:r>
      <w:r>
        <w:rPr>
          <w:color w:val="auto"/>
        </w:rPr>
        <w:t>5</w:t>
      </w:r>
      <w:r>
        <w:rPr>
          <w:color w:val="auto"/>
          <w:spacing w:val="-16"/>
        </w:rPr>
        <w:t xml:space="preserve"> 万元以上 </w:t>
      </w:r>
      <w:r>
        <w:rPr>
          <w:color w:val="auto"/>
        </w:rPr>
        <w:t>10</w:t>
      </w:r>
      <w:r>
        <w:rPr>
          <w:color w:val="auto"/>
          <w:spacing w:val="-7"/>
        </w:rPr>
        <w:t xml:space="preserve"> 万元以下的罚款；情节严重</w:t>
      </w:r>
      <w:r>
        <w:rPr>
          <w:color w:val="auto"/>
          <w:spacing w:val="-11"/>
        </w:rPr>
        <w:t>的，建议工商行政管理机关吊销营业执照；构成犯罪的，依法追究刑事责任。”</w:t>
      </w:r>
    </w:p>
    <w:p>
      <w:pPr>
        <w:pStyle w:val="4"/>
        <w:spacing w:line="388" w:lineRule="auto"/>
        <w:ind w:right="195" w:firstLine="640"/>
        <w:rPr>
          <w:color w:val="auto"/>
        </w:rPr>
      </w:pPr>
      <w:r>
        <w:rPr>
          <w:color w:val="auto"/>
        </w:rPr>
        <w:t>2、《茧丝质量监督管理办法》第十三条第（六）项“茧丝经营者收购蚕茧，必须符合下列要求：（六）不得伪造、变造仪评的数据或结论。”</w:t>
      </w:r>
    </w:p>
    <w:p>
      <w:pPr>
        <w:pStyle w:val="4"/>
        <w:spacing w:before="1" w:line="388" w:lineRule="auto"/>
        <w:ind w:right="268" w:firstLine="640"/>
        <w:jc w:val="both"/>
        <w:rPr>
          <w:color w:val="auto"/>
        </w:rPr>
      </w:pPr>
      <w:r>
        <w:rPr>
          <w:color w:val="auto"/>
        </w:rPr>
        <w:t>3</w:t>
      </w:r>
      <w:r>
        <w:rPr>
          <w:color w:val="auto"/>
          <w:spacing w:val="-12"/>
        </w:rPr>
        <w:t>、《茧丝质量监督管理办法》第十九条“茧丝经营者收购、加工、销售、承储</w:t>
      </w:r>
      <w:r>
        <w:rPr>
          <w:color w:val="auto"/>
          <w:spacing w:val="-9"/>
        </w:rPr>
        <w:t>茧丝，不得伪造、变造、冒用质量保证条件审核意见书、茧丝质量凭证、标识、公证</w:t>
      </w:r>
      <w:r>
        <w:rPr>
          <w:color w:val="auto"/>
          <w:spacing w:val="-20"/>
        </w:rPr>
        <w:t>检验证书。”</w:t>
      </w:r>
    </w:p>
    <w:p>
      <w:pPr>
        <w:spacing w:before="6" w:line="388"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64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148" w:firstLine="640"/>
        <w:rPr>
          <w:color w:val="auto"/>
        </w:rPr>
      </w:pPr>
      <w:r>
        <w:rPr>
          <w:color w:val="auto"/>
          <w:spacing w:val="-2"/>
        </w:rPr>
        <w:t>有下列情形之一的：</w:t>
      </w:r>
      <w:r>
        <w:rPr>
          <w:color w:val="auto"/>
          <w:spacing w:val="-10"/>
        </w:rPr>
        <w:t>1</w:t>
      </w:r>
      <w:r>
        <w:rPr>
          <w:color w:val="auto"/>
          <w:spacing w:val="-11"/>
        </w:rPr>
        <w:t xml:space="preserve">、涉案茧丝货值金额 </w:t>
      </w:r>
      <w:r>
        <w:rPr>
          <w:color w:val="auto"/>
        </w:rPr>
        <w:t>5</w:t>
      </w:r>
      <w:r>
        <w:rPr>
          <w:color w:val="auto"/>
          <w:spacing w:val="-10"/>
        </w:rPr>
        <w:t xml:space="preserve"> 万元以下的；2</w:t>
      </w:r>
      <w:r>
        <w:rPr>
          <w:color w:val="auto"/>
          <w:spacing w:val="-6"/>
        </w:rPr>
        <w:t xml:space="preserve">、产品尚未销售的， </w:t>
      </w:r>
      <w:r>
        <w:rPr>
          <w:color w:val="auto"/>
        </w:rPr>
        <w:t>检查后及时改正违法行为，未造成损失的。</w:t>
      </w:r>
    </w:p>
    <w:p>
      <w:pPr>
        <w:pStyle w:val="13"/>
        <w:numPr>
          <w:ilvl w:val="0"/>
          <w:numId w:val="1641"/>
        </w:numPr>
        <w:tabs>
          <w:tab w:val="left" w:pos="1353"/>
        </w:tabs>
        <w:spacing w:before="2"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751" w:right="5113"/>
        <w:rPr>
          <w:color w:val="auto"/>
        </w:rPr>
      </w:pPr>
      <w:r>
        <w:rPr>
          <w:color w:val="auto"/>
          <w:spacing w:val="-30"/>
        </w:rPr>
        <w:t xml:space="preserve">处 </w:t>
      </w:r>
      <w:r>
        <w:rPr>
          <w:color w:val="auto"/>
        </w:rPr>
        <w:t>5</w:t>
      </w:r>
      <w:r>
        <w:rPr>
          <w:color w:val="auto"/>
          <w:spacing w:val="-20"/>
        </w:rPr>
        <w:t xml:space="preserve"> 万元以上 </w:t>
      </w:r>
      <w:r>
        <w:rPr>
          <w:color w:val="auto"/>
        </w:rPr>
        <w:t>6</w:t>
      </w:r>
      <w:r>
        <w:rPr>
          <w:color w:val="auto"/>
          <w:spacing w:val="-11"/>
        </w:rPr>
        <w:t xml:space="preserve"> 万元以下罚款。</w:t>
      </w:r>
      <w:r>
        <w:rPr>
          <w:color w:val="auto"/>
        </w:rPr>
        <w:t>2</w:t>
      </w:r>
      <w:r>
        <w:rPr>
          <w:color w:val="auto"/>
          <w:spacing w:val="-24"/>
        </w:rPr>
        <w:t>、【较重】</w:t>
      </w:r>
    </w:p>
    <w:p>
      <w:pPr>
        <w:pStyle w:val="13"/>
        <w:numPr>
          <w:ilvl w:val="0"/>
          <w:numId w:val="1642"/>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涉案茧丝货值金额 5 万元以上 30 万元以下的。</w:t>
      </w:r>
    </w:p>
    <w:p>
      <w:pPr>
        <w:pStyle w:val="13"/>
        <w:numPr>
          <w:ilvl w:val="0"/>
          <w:numId w:val="1642"/>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2473"/>
        <w:rPr>
          <w:color w:val="auto"/>
        </w:rPr>
      </w:pPr>
      <w:r>
        <w:rPr>
          <w:color w:val="auto"/>
          <w:spacing w:val="-30"/>
        </w:rPr>
        <w:t xml:space="preserve">处 </w:t>
      </w:r>
      <w:r>
        <w:rPr>
          <w:color w:val="auto"/>
        </w:rPr>
        <w:t>6</w:t>
      </w:r>
      <w:r>
        <w:rPr>
          <w:color w:val="auto"/>
          <w:spacing w:val="-20"/>
        </w:rPr>
        <w:t xml:space="preserve"> 万元以上 </w:t>
      </w:r>
      <w:r>
        <w:rPr>
          <w:color w:val="auto"/>
        </w:rPr>
        <w:t>7</w:t>
      </w:r>
      <w:r>
        <w:rPr>
          <w:color w:val="auto"/>
          <w:spacing w:val="-9"/>
        </w:rPr>
        <w:t xml:space="preserve"> 万元以下罚款，通报营业执照发证部门。</w:t>
      </w:r>
      <w:r>
        <w:rPr>
          <w:color w:val="auto"/>
        </w:rPr>
        <w:t>3</w:t>
      </w:r>
      <w:r>
        <w:rPr>
          <w:color w:val="auto"/>
          <w:spacing w:val="-24"/>
        </w:rPr>
        <w:t>、【严重】</w:t>
      </w:r>
    </w:p>
    <w:p>
      <w:pPr>
        <w:pStyle w:val="13"/>
        <w:numPr>
          <w:ilvl w:val="0"/>
          <w:numId w:val="1643"/>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涉案茧丝货值金额 30 万元以上的，造成较大危害后果的。</w:t>
      </w:r>
    </w:p>
    <w:p>
      <w:pPr>
        <w:pStyle w:val="13"/>
        <w:numPr>
          <w:ilvl w:val="0"/>
          <w:numId w:val="1643"/>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line="388" w:lineRule="auto"/>
        <w:ind w:left="751" w:right="3433"/>
        <w:rPr>
          <w:color w:val="auto"/>
        </w:rPr>
      </w:pPr>
      <w:r>
        <w:rPr>
          <w:color w:val="auto"/>
          <w:spacing w:val="-30"/>
        </w:rPr>
        <w:t xml:space="preserve">处 </w:t>
      </w:r>
      <w:r>
        <w:rPr>
          <w:color w:val="auto"/>
        </w:rPr>
        <w:t>7</w:t>
      </w:r>
      <w:r>
        <w:rPr>
          <w:color w:val="auto"/>
          <w:spacing w:val="-20"/>
        </w:rPr>
        <w:t xml:space="preserve"> 万元以上 </w:t>
      </w:r>
      <w:r>
        <w:rPr>
          <w:color w:val="auto"/>
        </w:rPr>
        <w:t>8</w:t>
      </w:r>
      <w:r>
        <w:rPr>
          <w:color w:val="auto"/>
          <w:spacing w:val="-9"/>
        </w:rPr>
        <w:t xml:space="preserve"> 万元以下罚款，吊销营业执照。</w:t>
      </w:r>
      <w:r>
        <w:rPr>
          <w:color w:val="auto"/>
        </w:rPr>
        <w:t>4</w:t>
      </w:r>
      <w:r>
        <w:rPr>
          <w:color w:val="auto"/>
          <w:spacing w:val="-18"/>
        </w:rPr>
        <w:t>、【特别严重】</w:t>
      </w:r>
    </w:p>
    <w:p>
      <w:pPr>
        <w:pStyle w:val="13"/>
        <w:numPr>
          <w:ilvl w:val="0"/>
          <w:numId w:val="1644"/>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line="388" w:lineRule="auto"/>
        <w:ind w:right="266" w:firstLine="640"/>
        <w:jc w:val="both"/>
        <w:rPr>
          <w:color w:val="auto"/>
        </w:rPr>
      </w:pPr>
      <w:r>
        <w:rPr>
          <w:color w:val="auto"/>
        </w:rPr>
        <w:t>有下列情形之一的：1</w:t>
      </w:r>
      <w:r>
        <w:rPr>
          <w:color w:val="auto"/>
          <w:spacing w:val="-5"/>
        </w:rPr>
        <w:t xml:space="preserve">、涉案茧丝货值金额 </w:t>
      </w:r>
      <w:r>
        <w:rPr>
          <w:color w:val="auto"/>
        </w:rPr>
        <w:t>30</w:t>
      </w:r>
      <w:r>
        <w:rPr>
          <w:color w:val="auto"/>
          <w:spacing w:val="-7"/>
        </w:rPr>
        <w:t xml:space="preserve"> 万元以上，且造成较大危害后果</w:t>
      </w:r>
      <w:r>
        <w:rPr>
          <w:color w:val="auto"/>
          <w:spacing w:val="-6"/>
        </w:rPr>
        <w:t>的；</w:t>
      </w:r>
      <w:r>
        <w:rPr>
          <w:color w:val="auto"/>
          <w:spacing w:val="-4"/>
        </w:rPr>
        <w:t>2、有本条违法行为，经责令改正后拒不改正的；3、两年内发生两次本条规定违</w:t>
      </w:r>
      <w:r>
        <w:rPr>
          <w:color w:val="auto"/>
        </w:rPr>
        <w:t>法行为的；4.造成严重危害后果的。</w:t>
      </w:r>
    </w:p>
    <w:p>
      <w:pPr>
        <w:pStyle w:val="13"/>
        <w:numPr>
          <w:ilvl w:val="0"/>
          <w:numId w:val="1644"/>
        </w:numPr>
        <w:tabs>
          <w:tab w:val="left" w:pos="1353"/>
        </w:tabs>
        <w:spacing w:before="6"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处 8 万元以上 10 万元以下罚款，吊销营业执照。</w:t>
      </w:r>
    </w:p>
    <w:p>
      <w:pPr>
        <w:pStyle w:val="2"/>
        <w:spacing w:before="192" w:line="391" w:lineRule="auto"/>
        <w:ind w:left="111" w:right="117" w:firstLine="480"/>
        <w:rPr>
          <w:color w:val="auto"/>
        </w:rPr>
      </w:pPr>
      <w:bookmarkStart w:id="1420" w:name="六百九十六、茧丝经营者在收购、加工、销售、承储等茧丝经营活动中掺杂掺假、以次充好"/>
      <w:bookmarkEnd w:id="1420"/>
      <w:bookmarkStart w:id="1421" w:name="_bookmark709"/>
      <w:bookmarkEnd w:id="1421"/>
      <w:r>
        <w:rPr>
          <w:color w:val="auto"/>
          <w:spacing w:val="-14"/>
        </w:rPr>
        <w:t>六百九十六、茧丝经营者在收购、加工、销售、承储等茧丝经营活动中掺杂掺假、以次充好、以假充真</w:t>
      </w:r>
    </w:p>
    <w:p>
      <w:pPr>
        <w:spacing w:before="0" w:line="306" w:lineRule="exact"/>
        <w:ind w:left="754"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、《茧丝质量监督管理办法》第二十六条“违反本办法第二十条规定构成犯罪</w:t>
      </w:r>
      <w:r>
        <w:rPr>
          <w:color w:val="auto"/>
          <w:spacing w:val="-9"/>
        </w:rPr>
        <w:t>的，依法追究刑事责任；尚不构成犯罪的，由纤维质量监督机构没收掺杂掺假、以次</w:t>
      </w:r>
      <w:r>
        <w:rPr>
          <w:color w:val="auto"/>
          <w:spacing w:val="-7"/>
        </w:rPr>
        <w:t xml:space="preserve">充好、以假充真的茧丝和违法所得，并处货值金额 </w:t>
      </w:r>
      <w:r>
        <w:rPr>
          <w:color w:val="auto"/>
        </w:rPr>
        <w:t>2</w:t>
      </w:r>
      <w:r>
        <w:rPr>
          <w:color w:val="auto"/>
          <w:spacing w:val="-24"/>
        </w:rPr>
        <w:t xml:space="preserve"> 倍以上 </w:t>
      </w:r>
      <w:r>
        <w:rPr>
          <w:color w:val="auto"/>
        </w:rPr>
        <w:t>5</w:t>
      </w:r>
      <w:r>
        <w:rPr>
          <w:color w:val="auto"/>
          <w:spacing w:val="-10"/>
        </w:rPr>
        <w:t xml:space="preserve"> 倍以下的罚款；建议工</w:t>
      </w:r>
      <w:r>
        <w:rPr>
          <w:color w:val="auto"/>
        </w:rPr>
        <w:t>商行政管理机关吊销营业执照。</w:t>
      </w:r>
    </w:p>
    <w:p>
      <w:pPr>
        <w:pStyle w:val="4"/>
        <w:spacing w:line="304" w:lineRule="exact"/>
        <w:ind w:left="751"/>
        <w:rPr>
          <w:color w:val="auto"/>
        </w:rPr>
      </w:pPr>
      <w:r>
        <w:rPr>
          <w:color w:val="auto"/>
        </w:rPr>
        <w:t>茧丝经营者经营掺杂掺假、以次充好、以假充真的茧丝的，依照上款处理。”</w:t>
      </w:r>
    </w:p>
    <w:p>
      <w:pPr>
        <w:pStyle w:val="4"/>
        <w:spacing w:before="192" w:line="388" w:lineRule="auto"/>
        <w:ind w:right="146" w:firstLine="640"/>
        <w:rPr>
          <w:color w:val="auto"/>
        </w:rPr>
      </w:pPr>
      <w:r>
        <w:rPr>
          <w:color w:val="auto"/>
        </w:rPr>
        <w:t>2</w:t>
      </w:r>
      <w:r>
        <w:rPr>
          <w:color w:val="auto"/>
          <w:spacing w:val="-16"/>
        </w:rPr>
        <w:t>、《茧丝质量监督管理办法》第二十条“严禁茧丝经营者在收购、加工、销售、</w:t>
      </w:r>
      <w:r>
        <w:rPr>
          <w:color w:val="auto"/>
          <w:spacing w:val="-5"/>
        </w:rPr>
        <w:t>承储等茧丝经营活动中掺杂掺假、以次充好、以假充真。”</w:t>
      </w:r>
    </w:p>
    <w:p>
      <w:pPr>
        <w:spacing w:after="0" w:line="388" w:lineRule="auto"/>
        <w:rPr>
          <w:color w:val="auto"/>
        </w:rPr>
        <w:sectPr>
          <w:pgSz w:w="11910" w:h="16840"/>
          <w:pgMar w:top="1520" w:right="1260" w:bottom="1220" w:left="1420" w:header="0" w:footer="1034" w:gutter="0"/>
        </w:sectPr>
      </w:pPr>
    </w:p>
    <w:p>
      <w:pPr>
        <w:spacing w:before="39"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0"/>
          <w:numId w:val="1645"/>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有下列情形之一的：1、初次违法，且产品未售出的；2、主动追回已售出产品的；3、掺入杂质对茧丝品质和使用价值影响不大的。</w:t>
      </w:r>
    </w:p>
    <w:p>
      <w:pPr>
        <w:pStyle w:val="13"/>
        <w:numPr>
          <w:ilvl w:val="0"/>
          <w:numId w:val="1645"/>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rPr>
          <w:color w:val="auto"/>
        </w:rPr>
      </w:pPr>
      <w:r>
        <w:rPr>
          <w:color w:val="auto"/>
        </w:rPr>
        <w:t>没收掺杂掺假、以次充好、以假充真的茧丝和违法所得，处违法货值金额 2 倍</w:t>
      </w:r>
    </w:p>
    <w:p>
      <w:pPr>
        <w:pStyle w:val="4"/>
        <w:spacing w:before="194" w:line="388" w:lineRule="auto"/>
        <w:ind w:left="751" w:right="5032" w:hanging="641"/>
        <w:rPr>
          <w:color w:val="auto"/>
        </w:rPr>
      </w:pPr>
      <w:r>
        <w:rPr>
          <w:color w:val="auto"/>
          <w:spacing w:val="-20"/>
        </w:rPr>
        <w:t xml:space="preserve">以上 </w:t>
      </w:r>
      <w:r>
        <w:rPr>
          <w:color w:val="auto"/>
        </w:rPr>
        <w:t>3</w:t>
      </w:r>
      <w:r>
        <w:rPr>
          <w:color w:val="auto"/>
          <w:spacing w:val="-9"/>
        </w:rPr>
        <w:t xml:space="preserve"> 倍以下的罚款，吊销营业执照。</w:t>
      </w:r>
      <w:r>
        <w:rPr>
          <w:color w:val="auto"/>
        </w:rPr>
        <w:t>2</w:t>
      </w:r>
      <w:r>
        <w:rPr>
          <w:color w:val="auto"/>
          <w:spacing w:val="-24"/>
        </w:rPr>
        <w:t>、【较重】</w:t>
      </w:r>
    </w:p>
    <w:p>
      <w:pPr>
        <w:pStyle w:val="13"/>
        <w:numPr>
          <w:ilvl w:val="0"/>
          <w:numId w:val="1646"/>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8" w:firstLine="640"/>
        <w:rPr>
          <w:color w:val="auto"/>
        </w:rPr>
      </w:pPr>
      <w:r>
        <w:rPr>
          <w:color w:val="auto"/>
        </w:rPr>
        <w:t>有下列情形之一的：1、掺入杂质后严重影响茧丝的使用；2、以非茧丝冒充茧丝的。</w:t>
      </w:r>
    </w:p>
    <w:p>
      <w:pPr>
        <w:pStyle w:val="13"/>
        <w:numPr>
          <w:ilvl w:val="0"/>
          <w:numId w:val="1646"/>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751"/>
        <w:rPr>
          <w:color w:val="auto"/>
        </w:rPr>
      </w:pPr>
      <w:r>
        <w:rPr>
          <w:color w:val="auto"/>
        </w:rPr>
        <w:t>没收掺杂掺假、以次充好、以假充真的茧丝和违法所得，处违法货值金额 3 倍</w:t>
      </w:r>
    </w:p>
    <w:p>
      <w:pPr>
        <w:pStyle w:val="4"/>
        <w:spacing w:before="192" w:line="388" w:lineRule="auto"/>
        <w:ind w:left="751" w:right="5032" w:hanging="641"/>
        <w:rPr>
          <w:color w:val="auto"/>
        </w:rPr>
      </w:pPr>
      <w:r>
        <w:rPr>
          <w:color w:val="auto"/>
          <w:spacing w:val="-20"/>
        </w:rPr>
        <w:t xml:space="preserve">以上 </w:t>
      </w:r>
      <w:r>
        <w:rPr>
          <w:color w:val="auto"/>
        </w:rPr>
        <w:t>4</w:t>
      </w:r>
      <w:r>
        <w:rPr>
          <w:color w:val="auto"/>
          <w:spacing w:val="-9"/>
        </w:rPr>
        <w:t xml:space="preserve"> 倍以下的罚款，吊销营业执照。</w:t>
      </w:r>
      <w:r>
        <w:rPr>
          <w:color w:val="auto"/>
        </w:rPr>
        <w:t>3</w:t>
      </w:r>
      <w:r>
        <w:rPr>
          <w:color w:val="auto"/>
          <w:spacing w:val="-24"/>
        </w:rPr>
        <w:t>、【严重】</w:t>
      </w:r>
    </w:p>
    <w:p>
      <w:pPr>
        <w:pStyle w:val="13"/>
        <w:numPr>
          <w:ilvl w:val="0"/>
          <w:numId w:val="1647"/>
        </w:numPr>
        <w:tabs>
          <w:tab w:val="left" w:pos="1193"/>
        </w:tabs>
        <w:spacing w:before="5" w:after="0" w:line="240" w:lineRule="auto"/>
        <w:ind w:left="1192" w:right="0" w:hanging="602"/>
        <w:jc w:val="left"/>
        <w:rPr>
          <w:color w:val="auto"/>
          <w:sz w:val="24"/>
        </w:rPr>
      </w:pPr>
      <w:r>
        <w:rPr>
          <w:color w:val="auto"/>
          <w:sz w:val="24"/>
        </w:rPr>
        <w:t>违法情形</w:t>
      </w:r>
    </w:p>
    <w:p>
      <w:pPr>
        <w:pStyle w:val="4"/>
        <w:spacing w:before="191"/>
        <w:ind w:left="751"/>
        <w:rPr>
          <w:color w:val="auto"/>
        </w:rPr>
      </w:pPr>
      <w:r>
        <w:rPr>
          <w:color w:val="auto"/>
        </w:rPr>
        <w:t>有下列情形之一的：1、掺入杂质为有毒、有害物质的；2、造成严重危害后果</w:t>
      </w:r>
    </w:p>
    <w:p>
      <w:pPr>
        <w:pStyle w:val="4"/>
        <w:spacing w:before="192"/>
        <w:rPr>
          <w:color w:val="auto"/>
        </w:rPr>
      </w:pPr>
      <w:r>
        <w:rPr>
          <w:color w:val="auto"/>
        </w:rPr>
        <w:t>的。</w:t>
      </w:r>
    </w:p>
    <w:p>
      <w:pPr>
        <w:pStyle w:val="13"/>
        <w:numPr>
          <w:ilvl w:val="0"/>
          <w:numId w:val="1647"/>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751"/>
        <w:rPr>
          <w:color w:val="auto"/>
        </w:rPr>
      </w:pPr>
      <w:r>
        <w:rPr>
          <w:color w:val="auto"/>
        </w:rPr>
        <w:t>没收掺杂掺假、以次充好、以假充真的茧丝和违法所得，处违法货值金额 4 倍</w:t>
      </w:r>
    </w:p>
    <w:p>
      <w:pPr>
        <w:pStyle w:val="4"/>
        <w:spacing w:before="191"/>
        <w:rPr>
          <w:color w:val="auto"/>
        </w:rPr>
      </w:pPr>
      <w:r>
        <w:rPr>
          <w:color w:val="auto"/>
        </w:rPr>
        <w:t>以上 5 倍以下的罚款，吊销营业执照。</w:t>
      </w:r>
    </w:p>
    <w:p>
      <w:pPr>
        <w:pStyle w:val="2"/>
        <w:spacing w:before="195"/>
        <w:rPr>
          <w:color w:val="auto"/>
        </w:rPr>
      </w:pPr>
      <w:bookmarkStart w:id="1422" w:name="_bookmark710"/>
      <w:bookmarkEnd w:id="1422"/>
      <w:bookmarkStart w:id="1423" w:name="六百九十七、茧丝经营者隐匿、转移、毁损被纤维质量监督机构查封、扣押的物品"/>
      <w:bookmarkEnd w:id="1423"/>
      <w:r>
        <w:rPr>
          <w:color w:val="auto"/>
        </w:rPr>
        <w:t>六百九十七、茧丝经营者隐匿、转移、毁损被纤维质量监督机构查封、扣押的物</w:t>
      </w:r>
    </w:p>
    <w:p>
      <w:pPr>
        <w:spacing w:before="191"/>
        <w:ind w:left="111" w:right="0" w:firstLine="0"/>
        <w:jc w:val="left"/>
        <w:rPr>
          <w:b/>
          <w:color w:val="auto"/>
          <w:sz w:val="24"/>
        </w:rPr>
      </w:pPr>
      <w:r>
        <w:rPr>
          <w:b/>
          <w:color w:val="auto"/>
          <w:w w:val="99"/>
          <w:sz w:val="24"/>
        </w:rPr>
        <w:t>品</w:t>
      </w:r>
    </w:p>
    <w:p>
      <w:pPr>
        <w:spacing w:before="192"/>
        <w:ind w:left="754" w:right="0" w:firstLine="0"/>
        <w:jc w:val="left"/>
        <w:rPr>
          <w:b/>
          <w:color w:val="auto"/>
          <w:sz w:val="24"/>
        </w:rPr>
      </w:pPr>
      <w:r>
        <w:rPr>
          <w:b/>
          <w:color w:val="auto"/>
          <w:sz w:val="24"/>
        </w:rPr>
        <w:t>（一）处罚依据</w:t>
      </w:r>
    </w:p>
    <w:p>
      <w:pPr>
        <w:pStyle w:val="4"/>
        <w:spacing w:before="194" w:line="388" w:lineRule="auto"/>
        <w:ind w:right="268" w:firstLine="640"/>
        <w:jc w:val="both"/>
        <w:rPr>
          <w:color w:val="auto"/>
        </w:rPr>
      </w:pPr>
      <w:r>
        <w:rPr>
          <w:color w:val="auto"/>
        </w:rPr>
        <w:t>《茧丝质量监督管理办法》第二十七条“茧丝经营者隐匿、转移、毁损被纤维</w:t>
      </w:r>
      <w:r>
        <w:rPr>
          <w:color w:val="auto"/>
          <w:spacing w:val="-6"/>
        </w:rPr>
        <w:t>质量监督机构查封、扣押的物品的，由纤维质量监督机构处被隐匿、转移、毁损物品</w:t>
      </w:r>
      <w:r>
        <w:rPr>
          <w:color w:val="auto"/>
          <w:spacing w:val="-12"/>
        </w:rPr>
        <w:t xml:space="preserve">货值金额 </w:t>
      </w:r>
      <w:r>
        <w:rPr>
          <w:color w:val="auto"/>
        </w:rPr>
        <w:t>2</w:t>
      </w:r>
      <w:r>
        <w:rPr>
          <w:color w:val="auto"/>
          <w:spacing w:val="-24"/>
        </w:rPr>
        <w:t xml:space="preserve"> 倍以上 </w:t>
      </w:r>
      <w:r>
        <w:rPr>
          <w:color w:val="auto"/>
        </w:rPr>
        <w:t>5</w:t>
      </w:r>
      <w:r>
        <w:rPr>
          <w:color w:val="auto"/>
          <w:spacing w:val="-13"/>
        </w:rPr>
        <w:t xml:space="preserve"> 倍以下的罚款；构成犯罪的，依法追究刑事责任。”</w:t>
      </w:r>
    </w:p>
    <w:p>
      <w:pPr>
        <w:spacing w:after="0" w:line="388" w:lineRule="auto"/>
        <w:jc w:val="both"/>
        <w:rPr>
          <w:color w:val="auto"/>
        </w:rPr>
        <w:sectPr>
          <w:pgSz w:w="11910" w:h="16840"/>
          <w:pgMar w:top="1520" w:right="1260" w:bottom="1220" w:left="1420" w:header="0" w:footer="1034" w:gutter="0"/>
        </w:sectPr>
      </w:pPr>
    </w:p>
    <w:p>
      <w:pPr>
        <w:spacing w:before="39" w:line="391" w:lineRule="auto"/>
        <w:ind w:left="751" w:right="6784" w:firstLine="2"/>
        <w:jc w:val="left"/>
        <w:rPr>
          <w:color w:val="auto"/>
          <w:sz w:val="24"/>
        </w:rPr>
      </w:pPr>
      <w:r>
        <w:rPr>
          <w:b/>
          <w:color w:val="auto"/>
          <w:sz w:val="24"/>
        </w:rPr>
        <w:t>（二）裁量标准</w:t>
      </w:r>
      <w:r>
        <w:rPr>
          <w:color w:val="auto"/>
          <w:sz w:val="24"/>
        </w:rPr>
        <w:t>1、【一般】</w:t>
      </w:r>
    </w:p>
    <w:p>
      <w:pPr>
        <w:pStyle w:val="13"/>
        <w:numPr>
          <w:ilvl w:val="1"/>
          <w:numId w:val="1647"/>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茧丝经营者隐匿、转移、损毁被纤维质量监督机构查封、扣押的物品的，能及时主动改正的。</w:t>
      </w:r>
    </w:p>
    <w:p>
      <w:pPr>
        <w:pStyle w:val="13"/>
        <w:numPr>
          <w:ilvl w:val="1"/>
          <w:numId w:val="1647"/>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line="391" w:lineRule="auto"/>
        <w:ind w:left="751" w:right="4633"/>
        <w:rPr>
          <w:color w:val="auto"/>
        </w:rPr>
      </w:pPr>
      <w:r>
        <w:rPr>
          <w:color w:val="auto"/>
          <w:spacing w:val="-10"/>
        </w:rPr>
        <w:t xml:space="preserve">处货值金额 </w:t>
      </w:r>
      <w:r>
        <w:rPr>
          <w:color w:val="auto"/>
        </w:rPr>
        <w:t>2</w:t>
      </w:r>
      <w:r>
        <w:rPr>
          <w:color w:val="auto"/>
          <w:spacing w:val="-24"/>
        </w:rPr>
        <w:t xml:space="preserve"> 倍以上 </w:t>
      </w:r>
      <w:r>
        <w:rPr>
          <w:color w:val="auto"/>
        </w:rPr>
        <w:t>3</w:t>
      </w:r>
      <w:r>
        <w:rPr>
          <w:color w:val="auto"/>
          <w:spacing w:val="-12"/>
        </w:rPr>
        <w:t xml:space="preserve"> 倍以下罚款。</w:t>
      </w:r>
      <w:r>
        <w:rPr>
          <w:color w:val="auto"/>
        </w:rPr>
        <w:t>2</w:t>
      </w:r>
      <w:r>
        <w:rPr>
          <w:color w:val="auto"/>
          <w:spacing w:val="-24"/>
        </w:rPr>
        <w:t>、【较重】</w:t>
      </w:r>
    </w:p>
    <w:p>
      <w:pPr>
        <w:pStyle w:val="13"/>
        <w:numPr>
          <w:ilvl w:val="0"/>
          <w:numId w:val="164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茧丝经营者隐匿、转移、损毁被棉花质量监督机构查封、扣押的物品的，经责令改正，拒不改正的。</w:t>
      </w:r>
    </w:p>
    <w:p>
      <w:pPr>
        <w:pStyle w:val="13"/>
        <w:numPr>
          <w:ilvl w:val="0"/>
          <w:numId w:val="1648"/>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line="391" w:lineRule="auto"/>
        <w:ind w:left="751" w:right="4633"/>
        <w:rPr>
          <w:color w:val="auto"/>
        </w:rPr>
      </w:pPr>
      <w:r>
        <w:rPr>
          <w:color w:val="auto"/>
          <w:spacing w:val="-10"/>
        </w:rPr>
        <w:t xml:space="preserve">处货值金额 </w:t>
      </w:r>
      <w:r>
        <w:rPr>
          <w:color w:val="auto"/>
        </w:rPr>
        <w:t>3</w:t>
      </w:r>
      <w:r>
        <w:rPr>
          <w:color w:val="auto"/>
          <w:spacing w:val="-24"/>
        </w:rPr>
        <w:t xml:space="preserve"> 倍以上 </w:t>
      </w:r>
      <w:r>
        <w:rPr>
          <w:color w:val="auto"/>
        </w:rPr>
        <w:t>4</w:t>
      </w:r>
      <w:r>
        <w:rPr>
          <w:color w:val="auto"/>
          <w:spacing w:val="-12"/>
        </w:rPr>
        <w:t xml:space="preserve"> 倍以下罚款。</w:t>
      </w:r>
      <w:r>
        <w:rPr>
          <w:color w:val="auto"/>
        </w:rPr>
        <w:t>3</w:t>
      </w:r>
      <w:r>
        <w:rPr>
          <w:color w:val="auto"/>
          <w:spacing w:val="-24"/>
        </w:rPr>
        <w:t>、【严重】</w:t>
      </w:r>
    </w:p>
    <w:p>
      <w:pPr>
        <w:pStyle w:val="13"/>
        <w:numPr>
          <w:ilvl w:val="0"/>
          <w:numId w:val="1649"/>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line="391" w:lineRule="auto"/>
        <w:ind w:right="268" w:firstLine="640"/>
        <w:rPr>
          <w:color w:val="auto"/>
        </w:rPr>
      </w:pPr>
      <w:r>
        <w:rPr>
          <w:color w:val="auto"/>
        </w:rPr>
        <w:t>茧丝经营者隐匿、转移、损毁被棉花质量监督机构查封、扣押的物品的，造成严重危害后果的。</w:t>
      </w:r>
    </w:p>
    <w:p>
      <w:pPr>
        <w:pStyle w:val="13"/>
        <w:numPr>
          <w:ilvl w:val="0"/>
          <w:numId w:val="1649"/>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ind w:left="751"/>
        <w:jc w:val="both"/>
        <w:rPr>
          <w:color w:val="auto"/>
        </w:rPr>
      </w:pPr>
      <w:r>
        <w:rPr>
          <w:color w:val="auto"/>
        </w:rPr>
        <w:t>处货值金额 4 倍以上 5 倍以下罚款。</w:t>
      </w:r>
    </w:p>
    <w:p>
      <w:pPr>
        <w:pStyle w:val="2"/>
        <w:spacing w:before="194" w:line="391" w:lineRule="auto"/>
        <w:ind w:left="111" w:right="237" w:firstLine="480"/>
        <w:jc w:val="both"/>
        <w:rPr>
          <w:color w:val="auto"/>
        </w:rPr>
      </w:pPr>
      <w:bookmarkStart w:id="1424" w:name="六百九十八、在公益活动中使用的纤维制品不符合保障人体健康和人身、财产安全的国家标"/>
      <w:bookmarkEnd w:id="1424"/>
      <w:bookmarkStart w:id="1425" w:name="_bookmark711"/>
      <w:bookmarkEnd w:id="1425"/>
      <w:r>
        <w:rPr>
          <w:color w:val="auto"/>
          <w:spacing w:val="-7"/>
        </w:rPr>
        <w:t>六百九十八、在公益活动中使用的纤维制品不符合保障人体健康和人身、财产安</w:t>
      </w:r>
      <w:r>
        <w:rPr>
          <w:color w:val="auto"/>
          <w:spacing w:val="-10"/>
        </w:rPr>
        <w:t>全的国家标准、行业标准，掺杂、掺假、以假充真、以次充好，以不合格产品冒充合</w:t>
      </w:r>
      <w:r>
        <w:rPr>
          <w:color w:val="auto"/>
          <w:spacing w:val="-11"/>
        </w:rPr>
        <w:t>格产品，伪造、冒用质量标志或者其他质量证明文件，伪造产地、伪造或者冒用他人的厂名、厂址</w:t>
      </w:r>
    </w:p>
    <w:p>
      <w:pPr>
        <w:spacing w:before="0" w:line="302" w:lineRule="exact"/>
        <w:ind w:left="591" w:right="0" w:firstLine="0"/>
        <w:jc w:val="left"/>
        <w:rPr>
          <w:b/>
          <w:color w:val="auto"/>
          <w:sz w:val="24"/>
        </w:rPr>
      </w:pPr>
      <w:r>
        <w:rPr>
          <w:b/>
          <w:color w:val="auto"/>
          <w:sz w:val="24"/>
        </w:rPr>
        <w:t>（一）处罚依据</w:t>
      </w:r>
    </w:p>
    <w:p>
      <w:pPr>
        <w:pStyle w:val="4"/>
        <w:spacing w:before="191" w:line="391" w:lineRule="auto"/>
        <w:ind w:right="148" w:firstLine="640"/>
        <w:rPr>
          <w:color w:val="auto"/>
        </w:rPr>
      </w:pPr>
      <w:r>
        <w:rPr>
          <w:color w:val="auto"/>
        </w:rPr>
        <w:t>1</w:t>
      </w:r>
      <w:r>
        <w:rPr>
          <w:color w:val="auto"/>
          <w:spacing w:val="-5"/>
        </w:rPr>
        <w:t>、《纤维制品质量监督管理办法》第三十条第三款“在公益活动中违反本办法</w:t>
      </w:r>
      <w:r>
        <w:rPr>
          <w:color w:val="auto"/>
          <w:spacing w:val="-13"/>
        </w:rPr>
        <w:t>第七条规定的，责令改正；逾期未改或改正后仍不符合要求的，处一千元以下罚款。”</w:t>
      </w:r>
    </w:p>
    <w:p>
      <w:pPr>
        <w:pStyle w:val="4"/>
        <w:spacing w:line="388" w:lineRule="auto"/>
        <w:ind w:right="195" w:firstLine="640"/>
        <w:rPr>
          <w:color w:val="auto"/>
        </w:rPr>
      </w:pPr>
      <w:r>
        <w:rPr>
          <w:color w:val="auto"/>
        </w:rPr>
        <w:t>2、《纤维制品质量监督管理办法》第七条“禁止生产、销售以及在经营性服务或者公益活动中使用下列纤维制品：（一）不符合保障人体健康和人身、财产安全的</w:t>
      </w:r>
    </w:p>
    <w:p>
      <w:pPr>
        <w:spacing w:after="0" w:line="388" w:lineRule="auto"/>
        <w:rPr>
          <w:color w:val="auto"/>
        </w:rPr>
        <w:sectPr>
          <w:pgSz w:w="11910" w:h="16840"/>
          <w:pgMar w:top="1520" w:right="1260" w:bottom="1220" w:left="1420" w:header="0" w:footer="1034" w:gutter="0"/>
        </w:sectPr>
      </w:pPr>
    </w:p>
    <w:p>
      <w:pPr>
        <w:pStyle w:val="4"/>
        <w:spacing w:before="39" w:line="391" w:lineRule="auto"/>
        <w:ind w:right="268"/>
        <w:jc w:val="both"/>
        <w:rPr>
          <w:color w:val="auto"/>
        </w:rPr>
      </w:pPr>
      <w:r>
        <w:rPr>
          <w:color w:val="auto"/>
          <w:spacing w:val="-13"/>
        </w:rPr>
        <w:t>国家标准、行业标准的；</w:t>
      </w:r>
      <w:r>
        <w:rPr>
          <w:color w:val="auto"/>
        </w:rPr>
        <w:t>（二</w:t>
      </w:r>
      <w:r>
        <w:rPr>
          <w:color w:val="auto"/>
          <w:spacing w:val="-5"/>
        </w:rPr>
        <w:t>）</w:t>
      </w:r>
      <w:r>
        <w:rPr>
          <w:color w:val="auto"/>
          <w:spacing w:val="-11"/>
        </w:rPr>
        <w:t>掺杂、掺假，以假充真，以次充好的；</w:t>
      </w:r>
      <w:r>
        <w:rPr>
          <w:color w:val="auto"/>
        </w:rPr>
        <w:t>（三</w:t>
      </w:r>
      <w:r>
        <w:rPr>
          <w:color w:val="auto"/>
          <w:spacing w:val="-5"/>
        </w:rPr>
        <w:t>）</w:t>
      </w:r>
      <w:r>
        <w:rPr>
          <w:color w:val="auto"/>
          <w:spacing w:val="-4"/>
        </w:rPr>
        <w:t>以不合格</w:t>
      </w:r>
      <w:r>
        <w:rPr>
          <w:color w:val="auto"/>
          <w:spacing w:val="-13"/>
        </w:rPr>
        <w:t>产品冒充合格产品的；</w:t>
      </w:r>
      <w:r>
        <w:rPr>
          <w:color w:val="auto"/>
        </w:rPr>
        <w:t>（四</w:t>
      </w:r>
      <w:r>
        <w:rPr>
          <w:color w:val="auto"/>
          <w:spacing w:val="-8"/>
        </w:rPr>
        <w:t>）</w:t>
      </w:r>
      <w:r>
        <w:rPr>
          <w:color w:val="auto"/>
          <w:spacing w:val="-9"/>
        </w:rPr>
        <w:t>伪造、冒用质量标志或者其他质量证明文件的；</w:t>
      </w:r>
      <w:r>
        <w:rPr>
          <w:color w:val="auto"/>
        </w:rPr>
        <w:t>（五</w:t>
      </w:r>
      <w:r>
        <w:rPr>
          <w:color w:val="auto"/>
          <w:spacing w:val="-10"/>
        </w:rPr>
        <w:t>）</w:t>
      </w:r>
      <w:r>
        <w:rPr>
          <w:color w:val="auto"/>
          <w:spacing w:val="-11"/>
        </w:rPr>
        <w:t>伪</w:t>
      </w:r>
      <w:r>
        <w:rPr>
          <w:color w:val="auto"/>
          <w:spacing w:val="-6"/>
        </w:rPr>
        <w:t>造产地，伪造或者冒用他人的厂名、厂址的。”</w:t>
      </w:r>
    </w:p>
    <w:p>
      <w:pPr>
        <w:spacing w:before="0" w:line="391" w:lineRule="auto"/>
        <w:ind w:left="751" w:right="6948" w:hanging="161"/>
        <w:jc w:val="left"/>
        <w:rPr>
          <w:color w:val="auto"/>
          <w:sz w:val="24"/>
        </w:rPr>
      </w:pPr>
      <w:r>
        <w:rPr>
          <w:b/>
          <w:color w:val="auto"/>
          <w:sz w:val="24"/>
        </w:rPr>
        <w:t>（二）裁量基准</w:t>
      </w:r>
      <w:r>
        <w:rPr>
          <w:color w:val="auto"/>
          <w:sz w:val="24"/>
        </w:rPr>
        <w:t>1、【一般】</w:t>
      </w:r>
    </w:p>
    <w:p>
      <w:pPr>
        <w:pStyle w:val="13"/>
        <w:numPr>
          <w:ilvl w:val="0"/>
          <w:numId w:val="1650"/>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9" w:line="391" w:lineRule="auto"/>
        <w:ind w:right="268" w:firstLine="640"/>
        <w:rPr>
          <w:color w:val="auto"/>
        </w:rPr>
      </w:pPr>
      <w:r>
        <w:rPr>
          <w:color w:val="auto"/>
        </w:rPr>
        <w:t>违法产品数量较少且未造成危害后果，责令改正后逾期未改或改正后仍不符合要求的。</w:t>
      </w:r>
    </w:p>
    <w:p>
      <w:pPr>
        <w:pStyle w:val="13"/>
        <w:numPr>
          <w:ilvl w:val="0"/>
          <w:numId w:val="1650"/>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1" w:line="391" w:lineRule="auto"/>
        <w:ind w:left="751" w:right="6313"/>
        <w:rPr>
          <w:color w:val="auto"/>
        </w:rPr>
      </w:pPr>
      <w:r>
        <w:rPr>
          <w:color w:val="auto"/>
          <w:spacing w:val="-30"/>
        </w:rPr>
        <w:t xml:space="preserve">处 </w:t>
      </w:r>
      <w:r>
        <w:rPr>
          <w:color w:val="auto"/>
        </w:rPr>
        <w:t>500</w:t>
      </w:r>
      <w:r>
        <w:rPr>
          <w:color w:val="auto"/>
          <w:spacing w:val="-12"/>
        </w:rPr>
        <w:t xml:space="preserve"> 元以下罚款。</w:t>
      </w:r>
      <w:r>
        <w:rPr>
          <w:color w:val="auto"/>
        </w:rPr>
        <w:t>2</w:t>
      </w:r>
      <w:r>
        <w:rPr>
          <w:color w:val="auto"/>
          <w:spacing w:val="-24"/>
        </w:rPr>
        <w:t>、【严重】</w:t>
      </w:r>
    </w:p>
    <w:p>
      <w:pPr>
        <w:pStyle w:val="4"/>
        <w:spacing w:line="306" w:lineRule="exact"/>
        <w:ind w:left="751"/>
        <w:rPr>
          <w:color w:val="auto"/>
        </w:rPr>
      </w:pPr>
      <w:r>
        <w:rPr>
          <w:color w:val="auto"/>
        </w:rPr>
        <w:t>（1）违法情形</w:t>
      </w:r>
    </w:p>
    <w:p>
      <w:pPr>
        <w:pStyle w:val="4"/>
        <w:spacing w:before="192"/>
        <w:ind w:left="751"/>
        <w:rPr>
          <w:color w:val="auto"/>
        </w:rPr>
      </w:pPr>
      <w:r>
        <w:rPr>
          <w:color w:val="auto"/>
        </w:rPr>
        <w:t>造成危害后果或情节严重的，责令改正后逾期未改或改正后仍不符合要求的。</w:t>
      </w:r>
    </w:p>
    <w:p>
      <w:pPr>
        <w:pStyle w:val="13"/>
        <w:numPr>
          <w:ilvl w:val="0"/>
          <w:numId w:val="1651"/>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jc w:val="both"/>
        <w:rPr>
          <w:color w:val="auto"/>
        </w:rPr>
      </w:pPr>
      <w:r>
        <w:rPr>
          <w:color w:val="auto"/>
        </w:rPr>
        <w:t>处 500 元以上 1000 元以下罚款。</w:t>
      </w:r>
    </w:p>
    <w:p>
      <w:pPr>
        <w:pStyle w:val="2"/>
        <w:spacing w:before="191"/>
        <w:rPr>
          <w:color w:val="auto"/>
        </w:rPr>
      </w:pPr>
      <w:bookmarkStart w:id="1426" w:name="六百九十九、纤维制品生产者未对用于生产的原辅材料进行进货检查验收和记录"/>
      <w:bookmarkEnd w:id="1426"/>
      <w:bookmarkStart w:id="1427" w:name="_bookmark712"/>
      <w:bookmarkEnd w:id="1427"/>
      <w:r>
        <w:rPr>
          <w:color w:val="auto"/>
        </w:rPr>
        <w:t>六百九十九、纤维制品生产者未对用于生产的原辅材料进行进货检查验收和记录</w:t>
      </w:r>
    </w:p>
    <w:p>
      <w:pPr>
        <w:spacing w:before="195"/>
        <w:ind w:left="751" w:right="0" w:firstLine="0"/>
        <w:jc w:val="left"/>
        <w:rPr>
          <w:b/>
          <w:color w:val="auto"/>
          <w:sz w:val="24"/>
        </w:rPr>
      </w:pPr>
      <w:r>
        <w:rPr>
          <w:b/>
          <w:color w:val="auto"/>
          <w:sz w:val="24"/>
        </w:rPr>
        <w:t>（一）处罚依据</w:t>
      </w:r>
    </w:p>
    <w:p>
      <w:pPr>
        <w:pStyle w:val="4"/>
        <w:spacing w:before="191" w:line="391" w:lineRule="auto"/>
        <w:ind w:right="268" w:firstLine="640"/>
        <w:jc w:val="both"/>
        <w:rPr>
          <w:color w:val="auto"/>
        </w:rPr>
      </w:pPr>
      <w:r>
        <w:rPr>
          <w:color w:val="auto"/>
        </w:rPr>
        <w:t>1</w:t>
      </w:r>
      <w:r>
        <w:rPr>
          <w:color w:val="auto"/>
          <w:spacing w:val="-12"/>
        </w:rPr>
        <w:t>、《纤维制品质量监督管理办法》第三十二条“违反本办法第十一条，未对原</w:t>
      </w:r>
      <w:r>
        <w:rPr>
          <w:color w:val="auto"/>
          <w:spacing w:val="-15"/>
        </w:rPr>
        <w:t>辅材料进行进货检查验收记录，或者未验明原辅材料符合相关质量要求以及包装、标</w:t>
      </w:r>
      <w:r>
        <w:rPr>
          <w:color w:val="auto"/>
          <w:spacing w:val="-5"/>
        </w:rPr>
        <w:t>识等要求进行生产的，责令改正，并处以三万元以下罚款。”</w:t>
      </w:r>
    </w:p>
    <w:p>
      <w:pPr>
        <w:pStyle w:val="4"/>
        <w:spacing w:line="388" w:lineRule="auto"/>
        <w:ind w:right="268" w:firstLine="640"/>
        <w:rPr>
          <w:color w:val="auto"/>
        </w:rPr>
      </w:pPr>
      <w:r>
        <w:rPr>
          <w:color w:val="auto"/>
        </w:rPr>
        <w:t>2</w:t>
      </w:r>
      <w:r>
        <w:rPr>
          <w:color w:val="auto"/>
          <w:spacing w:val="-12"/>
        </w:rPr>
        <w:t>、《纤维制品质量监督管理办法》第十一条“纤维制品生产者应当对用于生产</w:t>
      </w:r>
      <w:r>
        <w:rPr>
          <w:color w:val="auto"/>
          <w:spacing w:val="-16"/>
        </w:rPr>
        <w:t>的原辅材料进行进货检查验收和记录，保证符合相关质量要求。”</w:t>
      </w:r>
    </w:p>
    <w:p>
      <w:pPr>
        <w:spacing w:before="1" w:line="388" w:lineRule="auto"/>
        <w:ind w:left="751" w:right="6948" w:hanging="161"/>
        <w:jc w:val="left"/>
        <w:rPr>
          <w:color w:val="auto"/>
          <w:sz w:val="24"/>
        </w:rPr>
      </w:pPr>
      <w:r>
        <w:rPr>
          <w:b/>
          <w:color w:val="auto"/>
          <w:sz w:val="24"/>
        </w:rPr>
        <w:t>（二）裁量标准</w:t>
      </w:r>
      <w:r>
        <w:rPr>
          <w:color w:val="auto"/>
          <w:sz w:val="24"/>
        </w:rPr>
        <w:t>1、【较轻】</w:t>
      </w:r>
    </w:p>
    <w:p>
      <w:pPr>
        <w:pStyle w:val="13"/>
        <w:numPr>
          <w:ilvl w:val="1"/>
          <w:numId w:val="1651"/>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产品还未销售的。</w:t>
      </w:r>
    </w:p>
    <w:p>
      <w:pPr>
        <w:pStyle w:val="13"/>
        <w:numPr>
          <w:ilvl w:val="1"/>
          <w:numId w:val="1651"/>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责令改正，处 1 万元以下罚款。</w:t>
      </w:r>
    </w:p>
    <w:p>
      <w:pPr>
        <w:spacing w:after="0"/>
        <w:rPr>
          <w:color w:val="auto"/>
        </w:rPr>
        <w:sectPr>
          <w:pgSz w:w="11910" w:h="16840"/>
          <w:pgMar w:top="1520" w:right="1260" w:bottom="1220" w:left="1420" w:header="0" w:footer="1034" w:gutter="0"/>
        </w:sectPr>
      </w:pPr>
    </w:p>
    <w:p>
      <w:pPr>
        <w:pStyle w:val="4"/>
        <w:spacing w:before="39"/>
        <w:ind w:left="751"/>
        <w:rPr>
          <w:color w:val="auto"/>
        </w:rPr>
      </w:pPr>
      <w:r>
        <w:rPr>
          <w:color w:val="auto"/>
        </w:rPr>
        <w:t>2</w:t>
      </w:r>
      <w:r>
        <w:rPr>
          <w:color w:val="auto"/>
          <w:spacing w:val="-24"/>
        </w:rPr>
        <w:t>、【一般】</w:t>
      </w:r>
    </w:p>
    <w:p>
      <w:pPr>
        <w:pStyle w:val="13"/>
        <w:numPr>
          <w:ilvl w:val="0"/>
          <w:numId w:val="1652"/>
        </w:numPr>
        <w:tabs>
          <w:tab w:val="left" w:pos="1353"/>
        </w:tabs>
        <w:spacing w:before="195" w:after="0" w:line="388" w:lineRule="auto"/>
        <w:ind w:left="751" w:right="6793" w:firstLine="0"/>
        <w:jc w:val="left"/>
        <w:rPr>
          <w:color w:val="auto"/>
          <w:sz w:val="24"/>
        </w:rPr>
      </w:pPr>
      <w:r>
        <w:rPr>
          <w:color w:val="auto"/>
          <w:sz w:val="24"/>
        </w:rPr>
        <w:t>违法情形</w:t>
      </w:r>
      <w:r>
        <w:rPr>
          <w:color w:val="auto"/>
          <w:spacing w:val="-3"/>
          <w:sz w:val="24"/>
        </w:rPr>
        <w:t>产品已销售的。</w:t>
      </w:r>
    </w:p>
    <w:p>
      <w:pPr>
        <w:pStyle w:val="13"/>
        <w:numPr>
          <w:ilvl w:val="0"/>
          <w:numId w:val="1652"/>
        </w:numPr>
        <w:tabs>
          <w:tab w:val="left" w:pos="1353"/>
        </w:tabs>
        <w:spacing w:before="2" w:after="0" w:line="240" w:lineRule="auto"/>
        <w:ind w:left="1353" w:right="0" w:hanging="602"/>
        <w:jc w:val="left"/>
        <w:rPr>
          <w:color w:val="auto"/>
          <w:sz w:val="24"/>
        </w:rPr>
      </w:pPr>
      <w:r>
        <w:rPr>
          <w:color w:val="auto"/>
          <w:sz w:val="24"/>
        </w:rPr>
        <w:t>处罚标准</w:t>
      </w:r>
    </w:p>
    <w:p>
      <w:pPr>
        <w:pStyle w:val="4"/>
        <w:spacing w:before="194" w:line="388" w:lineRule="auto"/>
        <w:ind w:left="751" w:right="3913"/>
        <w:rPr>
          <w:color w:val="auto"/>
        </w:rPr>
      </w:pPr>
      <w:r>
        <w:rPr>
          <w:color w:val="auto"/>
          <w:spacing w:val="-9"/>
        </w:rPr>
        <w:t xml:space="preserve">责令改正，处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653"/>
        </w:numPr>
        <w:tabs>
          <w:tab w:val="left" w:pos="1353"/>
        </w:tabs>
        <w:spacing w:before="2" w:after="0" w:line="240" w:lineRule="auto"/>
        <w:ind w:left="1353" w:right="0" w:hanging="602"/>
        <w:jc w:val="left"/>
        <w:rPr>
          <w:color w:val="auto"/>
          <w:sz w:val="24"/>
        </w:rPr>
      </w:pPr>
      <w:r>
        <w:rPr>
          <w:color w:val="auto"/>
          <w:sz w:val="24"/>
        </w:rPr>
        <w:t>违法情形</w:t>
      </w:r>
    </w:p>
    <w:p>
      <w:pPr>
        <w:pStyle w:val="4"/>
        <w:spacing w:before="194"/>
        <w:ind w:left="751"/>
        <w:rPr>
          <w:color w:val="auto"/>
        </w:rPr>
      </w:pPr>
      <w:r>
        <w:rPr>
          <w:color w:val="auto"/>
        </w:rPr>
        <w:t>产品已销售且造成危害后果或不良社会影响的。</w:t>
      </w:r>
    </w:p>
    <w:p>
      <w:pPr>
        <w:pStyle w:val="13"/>
        <w:numPr>
          <w:ilvl w:val="0"/>
          <w:numId w:val="1653"/>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1"/>
        <w:ind w:left="751"/>
        <w:rPr>
          <w:color w:val="auto"/>
        </w:rPr>
      </w:pPr>
      <w:r>
        <w:rPr>
          <w:color w:val="auto"/>
        </w:rPr>
        <w:t>责令改正，处 2 万元以上 3 万元以下罚款。</w:t>
      </w:r>
    </w:p>
    <w:p>
      <w:pPr>
        <w:pStyle w:val="2"/>
        <w:spacing w:before="195"/>
        <w:rPr>
          <w:color w:val="auto"/>
        </w:rPr>
      </w:pPr>
      <w:bookmarkStart w:id="1428" w:name="_bookmark713"/>
      <w:bookmarkEnd w:id="1428"/>
      <w:bookmarkStart w:id="1429" w:name="七百、生活用絮用纤维制品生产者未对原辅材料进行进货检查验收和记录"/>
      <w:bookmarkEnd w:id="1429"/>
      <w:r>
        <w:rPr>
          <w:color w:val="auto"/>
        </w:rPr>
        <w:t>七百、生活用絮用纤维制品生产者未对原辅材料进行进货检查验收和记录</w:t>
      </w:r>
    </w:p>
    <w:p>
      <w:pPr>
        <w:spacing w:before="191"/>
        <w:ind w:left="591" w:right="0" w:firstLine="0"/>
        <w:jc w:val="left"/>
        <w:rPr>
          <w:b/>
          <w:color w:val="auto"/>
          <w:sz w:val="24"/>
        </w:rPr>
      </w:pPr>
      <w:r>
        <w:rPr>
          <w:b/>
          <w:color w:val="auto"/>
          <w:sz w:val="24"/>
        </w:rPr>
        <w:t>（一）处罚依据</w:t>
      </w:r>
    </w:p>
    <w:p>
      <w:pPr>
        <w:pStyle w:val="4"/>
        <w:spacing w:before="192" w:line="391" w:lineRule="auto"/>
        <w:ind w:right="268" w:firstLine="640"/>
        <w:jc w:val="both"/>
        <w:rPr>
          <w:color w:val="auto"/>
        </w:rPr>
      </w:pPr>
      <w:r>
        <w:rPr>
          <w:color w:val="auto"/>
        </w:rPr>
        <w:t>1</w:t>
      </w:r>
      <w:r>
        <w:rPr>
          <w:color w:val="auto"/>
          <w:spacing w:val="-12"/>
        </w:rPr>
        <w:t>、《纤维制品质量监督管理办法》第三十二条“违反本办法第十二条，未对原</w:t>
      </w:r>
      <w:r>
        <w:rPr>
          <w:color w:val="auto"/>
          <w:spacing w:val="-15"/>
        </w:rPr>
        <w:t>辅材料进行进货检查验收记录，或者未验明原辅材料符合相关质量要求以及包装、标</w:t>
      </w:r>
      <w:r>
        <w:rPr>
          <w:color w:val="auto"/>
          <w:spacing w:val="-5"/>
        </w:rPr>
        <w:t>识等要求进行生产的，责令改正，并处以三万元以下罚款。”</w:t>
      </w:r>
    </w:p>
    <w:p>
      <w:pPr>
        <w:pStyle w:val="4"/>
        <w:spacing w:line="391" w:lineRule="auto"/>
        <w:ind w:right="268" w:firstLine="640"/>
        <w:jc w:val="both"/>
        <w:rPr>
          <w:color w:val="auto"/>
        </w:rPr>
      </w:pPr>
      <w:r>
        <w:rPr>
          <w:color w:val="auto"/>
        </w:rPr>
        <w:t>2</w:t>
      </w:r>
      <w:r>
        <w:rPr>
          <w:color w:val="auto"/>
          <w:spacing w:val="-12"/>
        </w:rPr>
        <w:t>、《纤维制品质量监督管理办法》第十二条“生活用絮用纤维制品生产者应当对天然纤维、化学纤维及其加工成的絮片、垫毡等原辅材料进货检查验收和记录，验</w:t>
      </w:r>
      <w:r>
        <w:rPr>
          <w:color w:val="auto"/>
          <w:spacing w:val="-5"/>
        </w:rPr>
        <w:t>明原辅材料符合相关质量要求以及包装、标识等要求。”</w:t>
      </w:r>
    </w:p>
    <w:p>
      <w:pPr>
        <w:spacing w:before="0" w:line="391" w:lineRule="auto"/>
        <w:ind w:left="751" w:right="6948" w:hanging="161"/>
        <w:jc w:val="left"/>
        <w:rPr>
          <w:color w:val="auto"/>
          <w:sz w:val="24"/>
        </w:rPr>
      </w:pPr>
      <w:r>
        <w:rPr>
          <w:b/>
          <w:color w:val="auto"/>
          <w:sz w:val="24"/>
        </w:rPr>
        <w:t>（二）裁量标准</w:t>
      </w:r>
      <w:r>
        <w:rPr>
          <w:color w:val="auto"/>
          <w:sz w:val="24"/>
        </w:rPr>
        <w:t>1、【较轻】</w:t>
      </w:r>
    </w:p>
    <w:p>
      <w:pPr>
        <w:pStyle w:val="13"/>
        <w:numPr>
          <w:ilvl w:val="0"/>
          <w:numId w:val="1654"/>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84"/>
        <w:ind w:left="751"/>
        <w:rPr>
          <w:color w:val="auto"/>
        </w:rPr>
      </w:pPr>
      <w:r>
        <w:rPr>
          <w:color w:val="auto"/>
        </w:rPr>
        <w:t>产品还未销售的。</w:t>
      </w:r>
    </w:p>
    <w:p>
      <w:pPr>
        <w:pStyle w:val="13"/>
        <w:numPr>
          <w:ilvl w:val="0"/>
          <w:numId w:val="1654"/>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5113"/>
        <w:rPr>
          <w:color w:val="auto"/>
        </w:rPr>
      </w:pPr>
      <w:r>
        <w:rPr>
          <w:color w:val="auto"/>
          <w:spacing w:val="-9"/>
        </w:rPr>
        <w:t xml:space="preserve">责令改正，处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655"/>
        </w:numPr>
        <w:tabs>
          <w:tab w:val="left" w:pos="1353"/>
        </w:tabs>
        <w:spacing w:before="5" w:after="0" w:line="388" w:lineRule="auto"/>
        <w:ind w:left="751" w:right="6793" w:firstLine="0"/>
        <w:jc w:val="left"/>
        <w:rPr>
          <w:color w:val="auto"/>
          <w:sz w:val="24"/>
        </w:rPr>
      </w:pPr>
      <w:r>
        <w:rPr>
          <w:color w:val="auto"/>
          <w:sz w:val="24"/>
        </w:rPr>
        <w:t>违法情形</w:t>
      </w:r>
      <w:r>
        <w:rPr>
          <w:color w:val="auto"/>
          <w:spacing w:val="-3"/>
          <w:sz w:val="24"/>
        </w:rPr>
        <w:t>产品已销售的。</w:t>
      </w:r>
    </w:p>
    <w:p>
      <w:pPr>
        <w:pStyle w:val="13"/>
        <w:numPr>
          <w:ilvl w:val="0"/>
          <w:numId w:val="1655"/>
        </w:numPr>
        <w:tabs>
          <w:tab w:val="left" w:pos="1353"/>
        </w:tabs>
        <w:spacing w:before="2" w:after="0" w:line="240" w:lineRule="auto"/>
        <w:ind w:left="1353" w:right="0" w:hanging="602"/>
        <w:jc w:val="left"/>
        <w:rPr>
          <w:color w:val="auto"/>
          <w:sz w:val="24"/>
        </w:rPr>
      </w:pPr>
      <w:r>
        <w:rPr>
          <w:color w:val="auto"/>
          <w:sz w:val="24"/>
        </w:rPr>
        <w:t>处罚标准</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left="751" w:right="3913"/>
        <w:rPr>
          <w:color w:val="auto"/>
        </w:rPr>
      </w:pPr>
      <w:r>
        <w:rPr>
          <w:color w:val="auto"/>
          <w:spacing w:val="-9"/>
        </w:rPr>
        <w:t xml:space="preserve">责令改正，处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656"/>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产品已销售且造成危害后果或不良社会影响的。</w:t>
      </w:r>
    </w:p>
    <w:p>
      <w:pPr>
        <w:pStyle w:val="13"/>
        <w:numPr>
          <w:ilvl w:val="0"/>
          <w:numId w:val="1656"/>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ind w:left="751"/>
        <w:rPr>
          <w:color w:val="auto"/>
        </w:rPr>
      </w:pPr>
      <w:r>
        <w:rPr>
          <w:color w:val="auto"/>
        </w:rPr>
        <w:t>责令改正，处 2 万元以上 3 万元以下罚款。</w:t>
      </w:r>
    </w:p>
    <w:p>
      <w:pPr>
        <w:pStyle w:val="2"/>
        <w:spacing w:before="192"/>
        <w:rPr>
          <w:color w:val="auto"/>
        </w:rPr>
      </w:pPr>
      <w:bookmarkStart w:id="1430" w:name="_bookmark714"/>
      <w:bookmarkEnd w:id="1430"/>
      <w:bookmarkStart w:id="1431" w:name="七百零一、学生服原辅材料验收记录内容不符合规定"/>
      <w:bookmarkEnd w:id="1431"/>
      <w:r>
        <w:rPr>
          <w:color w:val="auto"/>
        </w:rPr>
        <w:t>七百零一、学生服原辅材料验收记录内容不符合规定</w:t>
      </w:r>
    </w:p>
    <w:p>
      <w:pPr>
        <w:spacing w:before="194"/>
        <w:ind w:left="591" w:right="0" w:firstLine="0"/>
        <w:jc w:val="left"/>
        <w:rPr>
          <w:b/>
          <w:color w:val="auto"/>
          <w:sz w:val="24"/>
        </w:rPr>
      </w:pPr>
      <w:r>
        <w:rPr>
          <w:b/>
          <w:color w:val="auto"/>
          <w:sz w:val="24"/>
        </w:rPr>
        <w:t>（一）处罚依据</w:t>
      </w:r>
    </w:p>
    <w:p>
      <w:pPr>
        <w:pStyle w:val="4"/>
        <w:spacing w:before="191" w:line="391" w:lineRule="auto"/>
        <w:ind w:right="268" w:firstLine="640"/>
        <w:jc w:val="both"/>
        <w:rPr>
          <w:color w:val="auto"/>
        </w:rPr>
      </w:pPr>
      <w:r>
        <w:rPr>
          <w:color w:val="auto"/>
        </w:rPr>
        <w:t>1</w:t>
      </w:r>
      <w:r>
        <w:rPr>
          <w:color w:val="auto"/>
          <w:spacing w:val="-12"/>
        </w:rPr>
        <w:t>、《纤维制品质量监督管理办法》第三十二条“违反本办法第十三条，未对原</w:t>
      </w:r>
      <w:r>
        <w:rPr>
          <w:color w:val="auto"/>
          <w:spacing w:val="-15"/>
        </w:rPr>
        <w:t>辅材料进行进货检查验收记录，或者未验明原辅材料符合相关质量要求以及包装、标</w:t>
      </w:r>
      <w:r>
        <w:rPr>
          <w:color w:val="auto"/>
          <w:spacing w:val="-5"/>
        </w:rPr>
        <w:t>识等要求进行生产的，责令改正，并处以三万元以下罚款。”</w:t>
      </w:r>
    </w:p>
    <w:p>
      <w:pPr>
        <w:pStyle w:val="4"/>
        <w:spacing w:line="391" w:lineRule="auto"/>
        <w:ind w:right="232" w:firstLine="640"/>
        <w:rPr>
          <w:color w:val="auto"/>
        </w:rPr>
      </w:pPr>
      <w:r>
        <w:rPr>
          <w:color w:val="auto"/>
        </w:rPr>
        <w:t>2</w:t>
      </w:r>
      <w:r>
        <w:rPr>
          <w:color w:val="auto"/>
          <w:spacing w:val="-12"/>
        </w:rPr>
        <w:t>、《纤维制品质量监督管理办法》第十三条“学生服原辅材料验收记录内容应</w:t>
      </w:r>
      <w:r>
        <w:rPr>
          <w:color w:val="auto"/>
          <w:spacing w:val="-39"/>
        </w:rPr>
        <w:t>当包括：</w:t>
      </w:r>
      <w:r>
        <w:rPr>
          <w:color w:val="auto"/>
        </w:rPr>
        <w:t>（一）</w:t>
      </w:r>
      <w:r>
        <w:rPr>
          <w:color w:val="auto"/>
          <w:spacing w:val="-7"/>
        </w:rPr>
        <w:t>原辅材料名称、规格、数量、购进日期等；</w:t>
      </w:r>
      <w:r>
        <w:rPr>
          <w:color w:val="auto"/>
        </w:rPr>
        <w:t>（二）</w:t>
      </w:r>
      <w:r>
        <w:rPr>
          <w:color w:val="auto"/>
          <w:spacing w:val="-2"/>
        </w:rPr>
        <w:t>供货者名称、地址、</w:t>
      </w:r>
      <w:r>
        <w:rPr>
          <w:color w:val="auto"/>
          <w:spacing w:val="-18"/>
        </w:rPr>
        <w:t>联系方式等。”</w:t>
      </w:r>
    </w:p>
    <w:p>
      <w:pPr>
        <w:spacing w:before="0" w:line="391" w:lineRule="auto"/>
        <w:ind w:left="751" w:right="6948" w:hanging="161"/>
        <w:jc w:val="left"/>
        <w:rPr>
          <w:color w:val="auto"/>
          <w:sz w:val="24"/>
        </w:rPr>
      </w:pPr>
      <w:r>
        <w:rPr>
          <w:b/>
          <w:color w:val="auto"/>
          <w:sz w:val="24"/>
        </w:rPr>
        <w:t>（二）</w:t>
      </w:r>
      <w:r>
        <w:rPr>
          <w:b/>
          <w:color w:val="auto"/>
          <w:spacing w:val="-4"/>
          <w:sz w:val="24"/>
        </w:rPr>
        <w:t>裁量标准</w:t>
      </w:r>
      <w:r>
        <w:rPr>
          <w:color w:val="auto"/>
          <w:sz w:val="24"/>
        </w:rPr>
        <w:t>1</w:t>
      </w:r>
      <w:r>
        <w:rPr>
          <w:color w:val="auto"/>
          <w:spacing w:val="-24"/>
          <w:sz w:val="24"/>
        </w:rPr>
        <w:t>、【较轻】(1)违法情形</w:t>
      </w:r>
    </w:p>
    <w:p>
      <w:pPr>
        <w:pStyle w:val="4"/>
        <w:spacing w:line="304" w:lineRule="exact"/>
        <w:ind w:left="751"/>
        <w:rPr>
          <w:color w:val="auto"/>
        </w:rPr>
      </w:pPr>
      <w:r>
        <w:rPr>
          <w:color w:val="auto"/>
        </w:rPr>
        <w:t>产品还未销售的。</w:t>
      </w:r>
    </w:p>
    <w:p>
      <w:pPr>
        <w:pStyle w:val="4"/>
        <w:spacing w:before="185"/>
        <w:ind w:left="751"/>
        <w:rPr>
          <w:color w:val="auto"/>
        </w:rPr>
      </w:pPr>
      <w:r>
        <w:rPr>
          <w:color w:val="auto"/>
        </w:rPr>
        <w:t>（2）处罚标准</w:t>
      </w:r>
    </w:p>
    <w:p>
      <w:pPr>
        <w:pStyle w:val="4"/>
        <w:spacing w:before="194" w:line="388" w:lineRule="auto"/>
        <w:ind w:left="751" w:right="5113"/>
        <w:rPr>
          <w:color w:val="auto"/>
        </w:rPr>
      </w:pPr>
      <w:r>
        <w:rPr>
          <w:color w:val="auto"/>
          <w:spacing w:val="-9"/>
        </w:rPr>
        <w:t xml:space="preserve">责令改正，处 </w:t>
      </w:r>
      <w:r>
        <w:rPr>
          <w:color w:val="auto"/>
        </w:rPr>
        <w:t>1</w:t>
      </w:r>
      <w:r>
        <w:rPr>
          <w:color w:val="auto"/>
          <w:spacing w:val="-11"/>
        </w:rPr>
        <w:t xml:space="preserve"> 万元以下罚款。</w:t>
      </w:r>
      <w:r>
        <w:rPr>
          <w:color w:val="auto"/>
        </w:rPr>
        <w:t>2</w:t>
      </w:r>
      <w:r>
        <w:rPr>
          <w:color w:val="auto"/>
          <w:spacing w:val="-24"/>
        </w:rPr>
        <w:t>、【一般】</w:t>
      </w:r>
    </w:p>
    <w:p>
      <w:pPr>
        <w:pStyle w:val="13"/>
        <w:numPr>
          <w:ilvl w:val="0"/>
          <w:numId w:val="1657"/>
        </w:numPr>
        <w:tabs>
          <w:tab w:val="left" w:pos="1353"/>
        </w:tabs>
        <w:spacing w:before="2" w:after="0" w:line="391" w:lineRule="auto"/>
        <w:ind w:left="751" w:right="6793" w:firstLine="0"/>
        <w:jc w:val="left"/>
        <w:rPr>
          <w:color w:val="auto"/>
          <w:sz w:val="24"/>
        </w:rPr>
      </w:pPr>
      <w:r>
        <w:rPr>
          <w:color w:val="auto"/>
          <w:sz w:val="24"/>
        </w:rPr>
        <w:t>违法情形</w:t>
      </w:r>
      <w:r>
        <w:rPr>
          <w:color w:val="auto"/>
          <w:spacing w:val="-3"/>
          <w:sz w:val="24"/>
        </w:rPr>
        <w:t>产品已销售的。</w:t>
      </w:r>
    </w:p>
    <w:p>
      <w:pPr>
        <w:pStyle w:val="13"/>
        <w:numPr>
          <w:ilvl w:val="0"/>
          <w:numId w:val="1657"/>
        </w:numPr>
        <w:tabs>
          <w:tab w:val="left" w:pos="1353"/>
        </w:tabs>
        <w:spacing w:before="0" w:after="0" w:line="306" w:lineRule="exact"/>
        <w:ind w:left="1353" w:right="0" w:hanging="602"/>
        <w:jc w:val="left"/>
        <w:rPr>
          <w:color w:val="auto"/>
          <w:sz w:val="24"/>
        </w:rPr>
      </w:pPr>
      <w:r>
        <w:rPr>
          <w:color w:val="auto"/>
          <w:sz w:val="24"/>
        </w:rPr>
        <w:t>处罚标准</w:t>
      </w:r>
    </w:p>
    <w:p>
      <w:pPr>
        <w:pStyle w:val="4"/>
        <w:spacing w:before="192" w:line="391" w:lineRule="auto"/>
        <w:ind w:left="751" w:right="3913"/>
        <w:rPr>
          <w:color w:val="auto"/>
        </w:rPr>
      </w:pPr>
      <w:r>
        <w:rPr>
          <w:color w:val="auto"/>
          <w:spacing w:val="-9"/>
        </w:rPr>
        <w:t xml:space="preserve">责令改正，处 </w:t>
      </w:r>
      <w:r>
        <w:rPr>
          <w:color w:val="auto"/>
        </w:rPr>
        <w:t>1</w:t>
      </w:r>
      <w:r>
        <w:rPr>
          <w:color w:val="auto"/>
          <w:spacing w:val="-20"/>
        </w:rPr>
        <w:t xml:space="preserve"> 万元以上 </w:t>
      </w:r>
      <w:r>
        <w:rPr>
          <w:color w:val="auto"/>
        </w:rPr>
        <w:t>2</w:t>
      </w:r>
      <w:r>
        <w:rPr>
          <w:color w:val="auto"/>
          <w:spacing w:val="-11"/>
        </w:rPr>
        <w:t xml:space="preserve"> 万元以下罚款。</w:t>
      </w:r>
      <w:r>
        <w:rPr>
          <w:color w:val="auto"/>
        </w:rPr>
        <w:t>3</w:t>
      </w:r>
      <w:r>
        <w:rPr>
          <w:color w:val="auto"/>
          <w:spacing w:val="-24"/>
        </w:rPr>
        <w:t>、【严重】</w:t>
      </w:r>
    </w:p>
    <w:p>
      <w:pPr>
        <w:pStyle w:val="13"/>
        <w:numPr>
          <w:ilvl w:val="0"/>
          <w:numId w:val="1658"/>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1"/>
        <w:ind w:left="751"/>
        <w:rPr>
          <w:color w:val="auto"/>
        </w:rPr>
      </w:pPr>
      <w:r>
        <w:rPr>
          <w:color w:val="auto"/>
        </w:rPr>
        <w:t>产品已销售且造成危害后果或不良社会影响的。</w:t>
      </w:r>
    </w:p>
    <w:p>
      <w:pPr>
        <w:spacing w:after="0"/>
        <w:rPr>
          <w:color w:val="auto"/>
        </w:rPr>
        <w:sectPr>
          <w:pgSz w:w="11910" w:h="16840"/>
          <w:pgMar w:top="1520" w:right="1260" w:bottom="1220" w:left="1420" w:header="0" w:footer="1034" w:gutter="0"/>
        </w:sectPr>
      </w:pPr>
    </w:p>
    <w:p>
      <w:pPr>
        <w:pStyle w:val="13"/>
        <w:numPr>
          <w:ilvl w:val="0"/>
          <w:numId w:val="1658"/>
        </w:numPr>
        <w:tabs>
          <w:tab w:val="left" w:pos="1353"/>
        </w:tabs>
        <w:spacing w:before="39" w:after="0" w:line="240" w:lineRule="auto"/>
        <w:ind w:left="1353" w:right="0" w:hanging="602"/>
        <w:jc w:val="left"/>
        <w:rPr>
          <w:color w:val="auto"/>
          <w:sz w:val="24"/>
        </w:rPr>
      </w:pPr>
      <w:r>
        <w:rPr>
          <w:color w:val="auto"/>
          <w:sz w:val="24"/>
        </w:rPr>
        <w:t>处罚标准</w:t>
      </w:r>
    </w:p>
    <w:p>
      <w:pPr>
        <w:pStyle w:val="4"/>
        <w:spacing w:before="195"/>
        <w:ind w:left="751"/>
        <w:rPr>
          <w:color w:val="auto"/>
        </w:rPr>
      </w:pPr>
      <w:r>
        <w:rPr>
          <w:color w:val="auto"/>
        </w:rPr>
        <w:t>责令改正，处 2 万元以上 3 万元以下罚款。</w:t>
      </w:r>
    </w:p>
    <w:p>
      <w:pPr>
        <w:pStyle w:val="2"/>
        <w:spacing w:before="191"/>
        <w:rPr>
          <w:color w:val="auto"/>
        </w:rPr>
      </w:pPr>
      <w:bookmarkStart w:id="1432" w:name="_bookmark715"/>
      <w:bookmarkEnd w:id="1432"/>
      <w:bookmarkStart w:id="1433" w:name="七百零二、学生服使用单位未履行检查验收和记录义务或未按规定委托送检"/>
      <w:bookmarkEnd w:id="1433"/>
      <w:r>
        <w:rPr>
          <w:color w:val="auto"/>
        </w:rPr>
        <w:t>七百零二、学生服使用单位未履行检查验收和记录义务或未按规定委托送检</w:t>
      </w:r>
    </w:p>
    <w:p>
      <w:pPr>
        <w:spacing w:before="192"/>
        <w:ind w:left="591" w:right="0" w:firstLine="0"/>
        <w:jc w:val="left"/>
        <w:rPr>
          <w:b/>
          <w:color w:val="auto"/>
          <w:sz w:val="24"/>
        </w:rPr>
      </w:pPr>
      <w:r>
        <w:rPr>
          <w:b/>
          <w:color w:val="auto"/>
          <w:sz w:val="24"/>
        </w:rPr>
        <w:t>（一）处罚依据</w:t>
      </w:r>
    </w:p>
    <w:p>
      <w:pPr>
        <w:pStyle w:val="4"/>
        <w:spacing w:before="194" w:line="388" w:lineRule="auto"/>
        <w:ind w:right="268" w:firstLine="640"/>
        <w:jc w:val="both"/>
        <w:rPr>
          <w:color w:val="auto"/>
        </w:rPr>
      </w:pPr>
      <w:r>
        <w:rPr>
          <w:color w:val="auto"/>
        </w:rPr>
        <w:t>1</w:t>
      </w:r>
      <w:r>
        <w:rPr>
          <w:color w:val="auto"/>
          <w:spacing w:val="-12"/>
        </w:rPr>
        <w:t>、《纤维制品质量监督管理办法》第三十四条“学生服使用单位违反本办法第</w:t>
      </w:r>
      <w:r>
        <w:rPr>
          <w:color w:val="auto"/>
          <w:spacing w:val="-10"/>
        </w:rPr>
        <w:t>十九条，未履行检查验收和记录义务或未按规定委托送检的，责令改正，并处以一万</w:t>
      </w:r>
      <w:r>
        <w:rPr>
          <w:color w:val="auto"/>
          <w:spacing w:val="-18"/>
        </w:rPr>
        <w:t>元以下罚款。”</w:t>
      </w:r>
    </w:p>
    <w:p>
      <w:pPr>
        <w:pStyle w:val="4"/>
        <w:spacing w:before="6" w:line="388" w:lineRule="auto"/>
        <w:ind w:right="268" w:firstLine="640"/>
        <w:rPr>
          <w:color w:val="auto"/>
        </w:rPr>
      </w:pPr>
      <w:r>
        <w:rPr>
          <w:color w:val="auto"/>
        </w:rPr>
        <w:t>2</w:t>
      </w:r>
      <w:r>
        <w:rPr>
          <w:color w:val="auto"/>
          <w:spacing w:val="-12"/>
        </w:rPr>
        <w:t>、《纤维制品质量监督管理办法》第十九条“学生服使用单位应当提供质量合格的学生服。</w:t>
      </w:r>
    </w:p>
    <w:p>
      <w:pPr>
        <w:pStyle w:val="4"/>
        <w:spacing w:before="2" w:line="391" w:lineRule="auto"/>
        <w:ind w:right="73" w:firstLine="640"/>
        <w:rPr>
          <w:color w:val="auto"/>
        </w:rPr>
      </w:pPr>
      <w:r>
        <w:rPr>
          <w:color w:val="auto"/>
        </w:rPr>
        <w:t>学生服使用单位应当履行检查验收和记录义务，验明并留存产品出厂检验报告， 确认产品标识符合国家规定要求。</w:t>
      </w:r>
    </w:p>
    <w:p>
      <w:pPr>
        <w:pStyle w:val="4"/>
        <w:spacing w:line="306" w:lineRule="exact"/>
        <w:ind w:left="751"/>
        <w:rPr>
          <w:color w:val="auto"/>
        </w:rPr>
      </w:pPr>
      <w:r>
        <w:rPr>
          <w:color w:val="auto"/>
        </w:rPr>
        <w:t>学生服使用单位应当委托具有法定资质的检验检测机构对学生服进行检验。”</w:t>
      </w:r>
    </w:p>
    <w:p>
      <w:pPr>
        <w:spacing w:before="191" w:line="391" w:lineRule="auto"/>
        <w:ind w:left="751" w:right="6948" w:hanging="161"/>
        <w:jc w:val="left"/>
        <w:rPr>
          <w:color w:val="auto"/>
          <w:sz w:val="24"/>
        </w:rPr>
      </w:pPr>
      <w:r>
        <w:rPr>
          <w:b/>
          <w:color w:val="auto"/>
          <w:sz w:val="24"/>
        </w:rPr>
        <w:t>（二）裁量标准</w:t>
      </w:r>
      <w:r>
        <w:rPr>
          <w:color w:val="auto"/>
          <w:sz w:val="24"/>
        </w:rPr>
        <w:t>1、【一般】</w:t>
      </w:r>
    </w:p>
    <w:p>
      <w:pPr>
        <w:pStyle w:val="13"/>
        <w:numPr>
          <w:ilvl w:val="0"/>
          <w:numId w:val="1659"/>
        </w:numPr>
        <w:tabs>
          <w:tab w:val="left" w:pos="1353"/>
        </w:tabs>
        <w:spacing w:before="0" w:after="0" w:line="306" w:lineRule="exact"/>
        <w:ind w:left="1353" w:right="0" w:hanging="602"/>
        <w:jc w:val="left"/>
        <w:rPr>
          <w:color w:val="auto"/>
          <w:sz w:val="24"/>
        </w:rPr>
      </w:pPr>
      <w:r>
        <w:rPr>
          <w:color w:val="auto"/>
          <w:sz w:val="24"/>
        </w:rPr>
        <w:t>违法情形</w:t>
      </w:r>
    </w:p>
    <w:p>
      <w:pPr>
        <w:pStyle w:val="4"/>
        <w:spacing w:before="192"/>
        <w:ind w:left="751"/>
        <w:rPr>
          <w:color w:val="auto"/>
        </w:rPr>
      </w:pPr>
      <w:r>
        <w:rPr>
          <w:color w:val="auto"/>
        </w:rPr>
        <w:t>数量较少，尚未造成危害后果或不良社会影响的。</w:t>
      </w:r>
    </w:p>
    <w:p>
      <w:pPr>
        <w:pStyle w:val="13"/>
        <w:numPr>
          <w:ilvl w:val="0"/>
          <w:numId w:val="1659"/>
        </w:numPr>
        <w:tabs>
          <w:tab w:val="left" w:pos="1353"/>
        </w:tabs>
        <w:spacing w:before="194" w:after="0" w:line="240" w:lineRule="auto"/>
        <w:ind w:left="1353" w:right="0" w:hanging="602"/>
        <w:jc w:val="left"/>
        <w:rPr>
          <w:color w:val="auto"/>
          <w:sz w:val="24"/>
        </w:rPr>
      </w:pPr>
      <w:r>
        <w:rPr>
          <w:color w:val="auto"/>
          <w:sz w:val="24"/>
        </w:rPr>
        <w:t>处罚标准</w:t>
      </w:r>
    </w:p>
    <w:p>
      <w:pPr>
        <w:pStyle w:val="4"/>
        <w:spacing w:before="192" w:line="388" w:lineRule="auto"/>
        <w:ind w:left="751" w:right="4993"/>
        <w:rPr>
          <w:color w:val="auto"/>
        </w:rPr>
      </w:pPr>
      <w:r>
        <w:rPr>
          <w:color w:val="auto"/>
          <w:spacing w:val="-9"/>
        </w:rPr>
        <w:t xml:space="preserve">责令改正，处 </w:t>
      </w:r>
      <w:r>
        <w:rPr>
          <w:color w:val="auto"/>
        </w:rPr>
        <w:t>5000</w:t>
      </w:r>
      <w:r>
        <w:rPr>
          <w:color w:val="auto"/>
          <w:spacing w:val="-12"/>
        </w:rPr>
        <w:t xml:space="preserve"> 元以下罚款。</w:t>
      </w:r>
      <w:r>
        <w:rPr>
          <w:color w:val="auto"/>
        </w:rPr>
        <w:t>2</w:t>
      </w:r>
      <w:r>
        <w:rPr>
          <w:color w:val="auto"/>
          <w:spacing w:val="-24"/>
        </w:rPr>
        <w:t>、【严重】</w:t>
      </w:r>
    </w:p>
    <w:p>
      <w:pPr>
        <w:pStyle w:val="13"/>
        <w:numPr>
          <w:ilvl w:val="0"/>
          <w:numId w:val="1660"/>
        </w:numPr>
        <w:tabs>
          <w:tab w:val="left" w:pos="1353"/>
        </w:tabs>
        <w:spacing w:before="4" w:after="0" w:line="240" w:lineRule="auto"/>
        <w:ind w:left="1353" w:right="0" w:hanging="602"/>
        <w:jc w:val="left"/>
        <w:rPr>
          <w:color w:val="auto"/>
          <w:sz w:val="24"/>
        </w:rPr>
      </w:pPr>
      <w:r>
        <w:rPr>
          <w:color w:val="auto"/>
          <w:sz w:val="24"/>
        </w:rPr>
        <w:t>违法情形</w:t>
      </w:r>
    </w:p>
    <w:p>
      <w:pPr>
        <w:pStyle w:val="4"/>
        <w:spacing w:before="192"/>
        <w:ind w:left="751"/>
        <w:rPr>
          <w:color w:val="auto"/>
        </w:rPr>
      </w:pPr>
      <w:r>
        <w:rPr>
          <w:color w:val="auto"/>
        </w:rPr>
        <w:t>造成社会影响或不良后果的。</w:t>
      </w:r>
    </w:p>
    <w:p>
      <w:pPr>
        <w:pStyle w:val="13"/>
        <w:numPr>
          <w:ilvl w:val="0"/>
          <w:numId w:val="1660"/>
        </w:numPr>
        <w:tabs>
          <w:tab w:val="left" w:pos="1353"/>
        </w:tabs>
        <w:spacing w:before="192" w:after="0" w:line="240" w:lineRule="auto"/>
        <w:ind w:left="1353" w:right="0" w:hanging="602"/>
        <w:jc w:val="left"/>
        <w:rPr>
          <w:color w:val="auto"/>
          <w:sz w:val="24"/>
        </w:rPr>
      </w:pPr>
      <w:r>
        <w:rPr>
          <w:color w:val="auto"/>
          <w:sz w:val="24"/>
        </w:rPr>
        <w:t>处罚标准</w:t>
      </w:r>
    </w:p>
    <w:p>
      <w:pPr>
        <w:pStyle w:val="4"/>
        <w:spacing w:before="194"/>
        <w:ind w:left="751"/>
        <w:rPr>
          <w:color w:val="auto"/>
        </w:rPr>
      </w:pPr>
      <w:r>
        <w:rPr>
          <w:color w:val="auto"/>
        </w:rPr>
        <w:t>责令改正，处 5000 元以上 10000 元以下罚款。</w:t>
      </w:r>
    </w:p>
    <w:p>
      <w:pPr>
        <w:pStyle w:val="4"/>
        <w:ind w:left="0"/>
        <w:rPr>
          <w:color w:val="auto"/>
        </w:rPr>
      </w:pPr>
    </w:p>
    <w:p>
      <w:pPr>
        <w:pStyle w:val="4"/>
        <w:spacing w:before="12"/>
        <w:ind w:left="0"/>
        <w:rPr>
          <w:color w:val="auto"/>
          <w:sz w:val="29"/>
        </w:rPr>
      </w:pPr>
    </w:p>
    <w:p>
      <w:pPr>
        <w:pStyle w:val="4"/>
        <w:tabs>
          <w:tab w:val="left" w:pos="1517"/>
        </w:tabs>
        <w:ind w:left="318"/>
        <w:jc w:val="center"/>
        <w:rPr>
          <w:rFonts w:hint="eastAsia" w:ascii="黑体" w:eastAsia="黑体"/>
          <w:color w:val="auto"/>
        </w:rPr>
      </w:pPr>
      <w:bookmarkStart w:id="1434" w:name="第十五章  价格监管"/>
      <w:bookmarkEnd w:id="1434"/>
      <w:bookmarkStart w:id="1435" w:name="_bookmark716"/>
      <w:bookmarkEnd w:id="1435"/>
      <w:r>
        <w:rPr>
          <w:rFonts w:hint="eastAsia" w:ascii="黑体" w:eastAsia="黑体"/>
          <w:color w:val="auto"/>
        </w:rPr>
        <w:t>第十五章</w:t>
      </w:r>
      <w:r>
        <w:rPr>
          <w:rFonts w:hint="eastAsia" w:ascii="黑体" w:eastAsia="黑体"/>
          <w:color w:val="auto"/>
        </w:rPr>
        <w:tab/>
      </w:r>
      <w:r>
        <w:rPr>
          <w:rFonts w:hint="eastAsia" w:ascii="黑体" w:eastAsia="黑体"/>
          <w:color w:val="auto"/>
        </w:rPr>
        <w:t>价格监管</w:t>
      </w:r>
    </w:p>
    <w:p>
      <w:pPr>
        <w:pStyle w:val="4"/>
        <w:ind w:left="0"/>
        <w:rPr>
          <w:rFonts w:ascii="黑体"/>
          <w:color w:val="auto"/>
        </w:rPr>
      </w:pPr>
    </w:p>
    <w:p>
      <w:pPr>
        <w:pStyle w:val="4"/>
        <w:ind w:left="0"/>
        <w:rPr>
          <w:rFonts w:ascii="黑体"/>
          <w:color w:val="auto"/>
        </w:rPr>
      </w:pPr>
    </w:p>
    <w:p>
      <w:pPr>
        <w:pStyle w:val="4"/>
        <w:ind w:left="0"/>
        <w:rPr>
          <w:rFonts w:ascii="黑体"/>
          <w:color w:val="auto"/>
        </w:rPr>
      </w:pPr>
    </w:p>
    <w:p>
      <w:pPr>
        <w:pStyle w:val="4"/>
        <w:spacing w:before="1"/>
        <w:ind w:left="0"/>
        <w:rPr>
          <w:rFonts w:ascii="黑体"/>
          <w:color w:val="auto"/>
          <w:sz w:val="21"/>
        </w:rPr>
      </w:pPr>
    </w:p>
    <w:p>
      <w:pPr>
        <w:pStyle w:val="2"/>
        <w:rPr>
          <w:color w:val="auto"/>
        </w:rPr>
      </w:pPr>
      <w:bookmarkStart w:id="1436" w:name="_bookmark717"/>
      <w:bookmarkEnd w:id="1436"/>
      <w:bookmarkStart w:id="1437" w:name="七百零三、经营者不执行政府指导价、政府定价"/>
      <w:bookmarkEnd w:id="1437"/>
      <w:r>
        <w:rPr>
          <w:color w:val="auto"/>
        </w:rPr>
        <w:t>七百零三、经营者不执行政府指导价、政府定价</w:t>
      </w:r>
    </w:p>
    <w:p>
      <w:pPr>
        <w:spacing w:after="0"/>
        <w:rPr>
          <w:color w:val="auto"/>
        </w:rPr>
        <w:sectPr>
          <w:pgSz w:w="11910" w:h="16840"/>
          <w:pgMar w:top="1520" w:right="1260" w:bottom="1220" w:left="1420" w:header="0" w:footer="1034" w:gutter="0"/>
        </w:sectPr>
      </w:pPr>
    </w:p>
    <w:p>
      <w:pPr>
        <w:spacing w:before="39"/>
        <w:ind w:left="591" w:right="0" w:firstLine="0"/>
        <w:jc w:val="left"/>
        <w:rPr>
          <w:b/>
          <w:color w:val="auto"/>
          <w:sz w:val="24"/>
        </w:rPr>
      </w:pPr>
      <w:r>
        <w:rPr>
          <w:b/>
          <w:color w:val="auto"/>
          <w:sz w:val="24"/>
        </w:rPr>
        <w:t>（一）处罚依据</w:t>
      </w:r>
    </w:p>
    <w:p>
      <w:pPr>
        <w:pStyle w:val="13"/>
        <w:numPr>
          <w:ilvl w:val="0"/>
          <w:numId w:val="1661"/>
        </w:numPr>
        <w:tabs>
          <w:tab w:val="left" w:pos="834"/>
        </w:tabs>
        <w:spacing w:before="195" w:after="0" w:line="388" w:lineRule="auto"/>
        <w:ind w:left="111" w:right="268" w:firstLine="480"/>
        <w:jc w:val="both"/>
        <w:rPr>
          <w:color w:val="auto"/>
          <w:sz w:val="24"/>
        </w:rPr>
      </w:pPr>
      <w:r>
        <w:rPr>
          <w:color w:val="auto"/>
          <w:sz w:val="24"/>
        </w:rPr>
        <w:t>《中华人民共和国价格法》 第三十九条“经营者不执行政府指导价、政府定</w:t>
      </w:r>
      <w:r>
        <w:rPr>
          <w:color w:val="auto"/>
          <w:spacing w:val="-8"/>
          <w:sz w:val="24"/>
        </w:rPr>
        <w:t xml:space="preserve">价的，责令改正，没收违法所得，可以并处违法所得 </w:t>
      </w:r>
      <w:r>
        <w:rPr>
          <w:color w:val="auto"/>
          <w:sz w:val="24"/>
        </w:rPr>
        <w:t>5</w:t>
      </w:r>
      <w:r>
        <w:rPr>
          <w:color w:val="auto"/>
          <w:spacing w:val="-10"/>
          <w:sz w:val="24"/>
        </w:rPr>
        <w:t xml:space="preserve"> 倍以下的罚款；没有违法所得</w:t>
      </w:r>
      <w:r>
        <w:rPr>
          <w:color w:val="auto"/>
          <w:sz w:val="24"/>
        </w:rPr>
        <w:t>的，可以处以罚款；情节严重的，责令停业整顿。”</w:t>
      </w:r>
    </w:p>
    <w:p>
      <w:pPr>
        <w:pStyle w:val="13"/>
        <w:numPr>
          <w:ilvl w:val="0"/>
          <w:numId w:val="1661"/>
        </w:numPr>
        <w:tabs>
          <w:tab w:val="left" w:pos="834"/>
        </w:tabs>
        <w:spacing w:before="5" w:after="0" w:line="388" w:lineRule="auto"/>
        <w:ind w:left="111" w:right="266" w:firstLine="480"/>
        <w:jc w:val="both"/>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3"/>
          <w:sz w:val="24"/>
        </w:rPr>
        <w:t xml:space="preserve"> 号</w:t>
      </w:r>
      <w:r>
        <w:rPr>
          <w:color w:val="auto"/>
          <w:sz w:val="24"/>
        </w:rPr>
        <w:t>） 第九条“经营者不执</w:t>
      </w:r>
      <w:r>
        <w:rPr>
          <w:color w:val="auto"/>
          <w:spacing w:val="-7"/>
          <w:sz w:val="24"/>
        </w:rPr>
        <w:t>行政府指导价、政府定价，有下列行为之一的，责令改正，没收违法所得，并处违法</w:t>
      </w:r>
      <w:r>
        <w:rPr>
          <w:color w:val="auto"/>
          <w:spacing w:val="-17"/>
          <w:sz w:val="24"/>
        </w:rPr>
        <w:t xml:space="preserve">所得 </w:t>
      </w:r>
      <w:r>
        <w:rPr>
          <w:color w:val="auto"/>
          <w:sz w:val="24"/>
        </w:rPr>
        <w:t>5</w:t>
      </w:r>
      <w:r>
        <w:rPr>
          <w:color w:val="auto"/>
          <w:spacing w:val="-11"/>
          <w:sz w:val="24"/>
        </w:rPr>
        <w:t xml:space="preserve"> 倍以下的罚款；没有违法所得的，处 </w:t>
      </w:r>
      <w:r>
        <w:rPr>
          <w:color w:val="auto"/>
          <w:sz w:val="24"/>
        </w:rPr>
        <w:t>5</w:t>
      </w:r>
      <w:r>
        <w:rPr>
          <w:color w:val="auto"/>
          <w:spacing w:val="-18"/>
          <w:sz w:val="24"/>
        </w:rPr>
        <w:t xml:space="preserve"> 万元以上 </w:t>
      </w:r>
      <w:r>
        <w:rPr>
          <w:color w:val="auto"/>
          <w:sz w:val="24"/>
        </w:rPr>
        <w:t>50</w:t>
      </w:r>
      <w:r>
        <w:rPr>
          <w:color w:val="auto"/>
          <w:spacing w:val="-8"/>
          <w:sz w:val="24"/>
        </w:rPr>
        <w:t xml:space="preserve"> 万元以下的罚款；情节较</w:t>
      </w:r>
    </w:p>
    <w:p>
      <w:pPr>
        <w:pStyle w:val="4"/>
        <w:spacing w:before="6"/>
        <w:jc w:val="both"/>
        <w:rPr>
          <w:color w:val="auto"/>
        </w:rPr>
      </w:pPr>
      <w:r>
        <w:rPr>
          <w:color w:val="auto"/>
        </w:rPr>
        <w:t>重的处 50 万元以上 200 万元以下的罚款；情节严重的，责令停业整顿：</w:t>
      </w:r>
    </w:p>
    <w:p>
      <w:pPr>
        <w:pStyle w:val="4"/>
        <w:spacing w:before="191"/>
        <w:ind w:left="591"/>
        <w:rPr>
          <w:color w:val="auto"/>
        </w:rPr>
      </w:pPr>
      <w:r>
        <w:rPr>
          <w:color w:val="auto"/>
        </w:rPr>
        <w:t>（一）超出政府指导价浮动幅度制定价格的；</w:t>
      </w:r>
    </w:p>
    <w:p>
      <w:pPr>
        <w:pStyle w:val="4"/>
        <w:spacing w:before="192"/>
        <w:ind w:left="591"/>
        <w:rPr>
          <w:color w:val="auto"/>
        </w:rPr>
      </w:pPr>
      <w:r>
        <w:rPr>
          <w:color w:val="auto"/>
        </w:rPr>
        <w:t>（二）高于或者低于政府定价制定价格的；</w:t>
      </w:r>
    </w:p>
    <w:p>
      <w:pPr>
        <w:pStyle w:val="4"/>
        <w:spacing w:before="194"/>
        <w:ind w:left="591"/>
        <w:rPr>
          <w:color w:val="auto"/>
        </w:rPr>
      </w:pPr>
      <w:r>
        <w:rPr>
          <w:color w:val="auto"/>
        </w:rPr>
        <w:t>（三）擅自制定属于政府指导价、政府定价范围内的商品或者服务价格的；</w:t>
      </w:r>
    </w:p>
    <w:p>
      <w:pPr>
        <w:pStyle w:val="4"/>
        <w:spacing w:before="192"/>
        <w:ind w:left="591"/>
        <w:rPr>
          <w:color w:val="auto"/>
        </w:rPr>
      </w:pPr>
      <w:r>
        <w:rPr>
          <w:color w:val="auto"/>
        </w:rPr>
        <w:t>（四）提前或者推迟执行政府指导价、政府定价的；</w:t>
      </w:r>
    </w:p>
    <w:p>
      <w:pPr>
        <w:pStyle w:val="4"/>
        <w:spacing w:before="192"/>
        <w:ind w:left="591"/>
        <w:rPr>
          <w:color w:val="auto"/>
        </w:rPr>
      </w:pPr>
      <w:r>
        <w:rPr>
          <w:color w:val="auto"/>
        </w:rPr>
        <w:t>（五）自立收费项目或者自定标准收费的；</w:t>
      </w:r>
    </w:p>
    <w:p>
      <w:pPr>
        <w:pStyle w:val="4"/>
        <w:spacing w:before="194"/>
        <w:ind w:left="591"/>
        <w:rPr>
          <w:color w:val="auto"/>
        </w:rPr>
      </w:pPr>
      <w:r>
        <w:rPr>
          <w:color w:val="auto"/>
        </w:rPr>
        <w:t>（六</w:t>
      </w:r>
      <w:r>
        <w:rPr>
          <w:color w:val="auto"/>
          <w:spacing w:val="-53"/>
        </w:rPr>
        <w:t>）</w:t>
      </w:r>
      <w:r>
        <w:rPr>
          <w:color w:val="auto"/>
          <w:spacing w:val="-10"/>
        </w:rPr>
        <w:t>采取分解收费项目、重复收费、扩大收费范围等方式变相提高收费标准的；</w:t>
      </w:r>
    </w:p>
    <w:p>
      <w:pPr>
        <w:pStyle w:val="4"/>
        <w:spacing w:before="191"/>
        <w:ind w:left="591"/>
        <w:rPr>
          <w:color w:val="auto"/>
        </w:rPr>
      </w:pPr>
      <w:r>
        <w:rPr>
          <w:color w:val="auto"/>
        </w:rPr>
        <w:t>（七）对政府明令取消的收费项目继续收费的；</w:t>
      </w:r>
    </w:p>
    <w:p>
      <w:pPr>
        <w:pStyle w:val="4"/>
        <w:spacing w:before="192"/>
        <w:ind w:left="591"/>
        <w:rPr>
          <w:color w:val="auto"/>
        </w:rPr>
      </w:pPr>
      <w:r>
        <w:rPr>
          <w:color w:val="auto"/>
        </w:rPr>
        <w:t>（八）违反规定以保证金、抵押金等形式变相收费的；</w:t>
      </w:r>
    </w:p>
    <w:p>
      <w:pPr>
        <w:pStyle w:val="4"/>
        <w:spacing w:before="194"/>
        <w:ind w:left="591"/>
        <w:rPr>
          <w:color w:val="auto"/>
        </w:rPr>
      </w:pPr>
      <w:r>
        <w:rPr>
          <w:color w:val="auto"/>
        </w:rPr>
        <w:t>（九）强制或者变相强制服务并收费的；</w:t>
      </w:r>
    </w:p>
    <w:p>
      <w:pPr>
        <w:pStyle w:val="4"/>
        <w:spacing w:before="192"/>
        <w:ind w:left="591"/>
        <w:rPr>
          <w:color w:val="auto"/>
        </w:rPr>
      </w:pPr>
      <w:r>
        <w:rPr>
          <w:color w:val="auto"/>
        </w:rPr>
        <w:t>（十）不按照规定提供服务而收取费用的；</w:t>
      </w:r>
    </w:p>
    <w:p>
      <w:pPr>
        <w:pStyle w:val="4"/>
        <w:spacing w:before="192"/>
        <w:ind w:left="591"/>
        <w:rPr>
          <w:color w:val="auto"/>
        </w:rPr>
      </w:pPr>
      <w:r>
        <w:rPr>
          <w:color w:val="auto"/>
        </w:rPr>
        <w:t>（十一）不执行政府指导价、政府定价的其他行为。”</w:t>
      </w:r>
    </w:p>
    <w:p>
      <w:pPr>
        <w:pStyle w:val="13"/>
        <w:numPr>
          <w:ilvl w:val="0"/>
          <w:numId w:val="1661"/>
        </w:numPr>
        <w:tabs>
          <w:tab w:val="left" w:pos="834"/>
        </w:tabs>
        <w:spacing w:before="194" w:after="0" w:line="388" w:lineRule="auto"/>
        <w:ind w:left="111" w:right="232" w:firstLine="480"/>
        <w:jc w:val="both"/>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4"/>
          <w:sz w:val="24"/>
        </w:rPr>
        <w:t xml:space="preserve"> 号</w:t>
      </w:r>
      <w:r>
        <w:rPr>
          <w:color w:val="auto"/>
          <w:sz w:val="24"/>
        </w:rPr>
        <w:t>） 第十一条“本规定第</w:t>
      </w:r>
      <w:r>
        <w:rPr>
          <w:color w:val="auto"/>
          <w:spacing w:val="-1"/>
          <w:sz w:val="24"/>
        </w:rPr>
        <w:t xml:space="preserve">四条、第七条至第九条规定中经营者为个人的，对其没有违法所得的价格违法行为， </w:t>
      </w:r>
      <w:r>
        <w:rPr>
          <w:color w:val="auto"/>
          <w:spacing w:val="-15"/>
          <w:sz w:val="24"/>
        </w:rPr>
        <w:t xml:space="preserve">可以处 </w:t>
      </w:r>
      <w:r>
        <w:rPr>
          <w:color w:val="auto"/>
          <w:sz w:val="24"/>
        </w:rPr>
        <w:t>10</w:t>
      </w:r>
      <w:r>
        <w:rPr>
          <w:color w:val="auto"/>
          <w:spacing w:val="-8"/>
          <w:sz w:val="24"/>
        </w:rPr>
        <w:t xml:space="preserve"> 万元以下的罚款。”</w:t>
      </w:r>
    </w:p>
    <w:p>
      <w:pPr>
        <w:pStyle w:val="13"/>
        <w:numPr>
          <w:ilvl w:val="0"/>
          <w:numId w:val="1661"/>
        </w:numPr>
        <w:tabs>
          <w:tab w:val="left" w:pos="833"/>
        </w:tabs>
        <w:spacing w:before="5"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88" w:lineRule="auto"/>
        <w:ind w:right="227" w:firstLine="480"/>
        <w:rPr>
          <w:color w:val="auto"/>
        </w:rPr>
      </w:pPr>
      <w:r>
        <w:rPr>
          <w:color w:val="auto"/>
        </w:rPr>
        <w:t>法律、法规和规章规定应当处或者并处罚款的，对于减轻处罚情形，有违法所得的，应当没收违法所得，可以不再并处罚款；没有违法所得的，处以低于规定处罚幅</w:t>
      </w:r>
    </w:p>
    <w:p>
      <w:pPr>
        <w:spacing w:after="0" w:line="388" w:lineRule="auto"/>
        <w:rPr>
          <w:color w:val="auto"/>
        </w:rPr>
        <w:sectPr>
          <w:footerReference r:id="rId185" w:type="default"/>
          <w:footerReference r:id="rId186" w:type="even"/>
          <w:pgSz w:w="11910" w:h="16840"/>
          <w:pgMar w:top="1520" w:right="1260" w:bottom="1220" w:left="1420" w:header="0" w:footer="1034" w:gutter="0"/>
          <w:pgNumType w:start="690"/>
        </w:sectPr>
      </w:pPr>
    </w:p>
    <w:p>
      <w:pPr>
        <w:pStyle w:val="4"/>
        <w:spacing w:before="39"/>
        <w:rPr>
          <w:color w:val="auto"/>
        </w:rPr>
      </w:pPr>
      <w:r>
        <w:rPr>
          <w:color w:val="auto"/>
        </w:rPr>
        <w:t>度的罚款，但不得低于罚款最低数额的 10%。</w:t>
      </w:r>
    </w:p>
    <w:p>
      <w:pPr>
        <w:pStyle w:val="4"/>
        <w:spacing w:before="195"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61"/>
        </w:numPr>
        <w:tabs>
          <w:tab w:val="left" w:pos="833"/>
        </w:tabs>
        <w:spacing w:before="2"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88" w:lineRule="auto"/>
        <w:ind w:right="271" w:firstLine="480"/>
        <w:jc w:val="both"/>
        <w:rPr>
          <w:color w:val="auto"/>
        </w:rPr>
      </w:pPr>
      <w:r>
        <w:rPr>
          <w:color w:val="auto"/>
          <w:spacing w:val="-5"/>
        </w:rPr>
        <w:t xml:space="preserve">没有违法所得的，处 </w:t>
      </w:r>
      <w:r>
        <w:rPr>
          <w:color w:val="auto"/>
        </w:rPr>
        <w:t>5000</w:t>
      </w:r>
      <w:r>
        <w:rPr>
          <w:color w:val="auto"/>
          <w:spacing w:val="-19"/>
        </w:rPr>
        <w:t xml:space="preserve"> 元以上 </w:t>
      </w:r>
      <w:r>
        <w:rPr>
          <w:color w:val="auto"/>
        </w:rPr>
        <w:t>5</w:t>
      </w:r>
      <w:r>
        <w:rPr>
          <w:color w:val="auto"/>
          <w:spacing w:val="-7"/>
        </w:rPr>
        <w:t xml:space="preserve"> 万元以下罚款；经营者为个人一般处罚、从重处罚的罚款幅度：</w:t>
      </w:r>
    </w:p>
    <w:p>
      <w:pPr>
        <w:pStyle w:val="4"/>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3"/>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1"/>
        <w:rPr>
          <w:color w:val="auto"/>
        </w:rPr>
      </w:pPr>
      <w:r>
        <w:rPr>
          <w:color w:val="auto"/>
        </w:rPr>
        <w:t>3 倍，从重处罚应当为违法所得的 4 倍或者 5 倍；</w:t>
      </w:r>
    </w:p>
    <w:p>
      <w:pPr>
        <w:pStyle w:val="4"/>
        <w:spacing w:before="192"/>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4"/>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88" w:lineRule="auto"/>
        <w:ind w:left="591" w:right="6948" w:firstLine="0"/>
        <w:jc w:val="left"/>
        <w:rPr>
          <w:color w:val="auto"/>
          <w:sz w:val="24"/>
        </w:rPr>
      </w:pPr>
      <w:r>
        <w:rPr>
          <w:b/>
          <w:color w:val="auto"/>
          <w:sz w:val="24"/>
        </w:rPr>
        <w:t>（二）裁量标准</w:t>
      </w:r>
      <w:r>
        <w:rPr>
          <w:color w:val="auto"/>
          <w:sz w:val="24"/>
        </w:rPr>
        <w:t>1.【减轻】</w:t>
      </w:r>
    </w:p>
    <w:p>
      <w:pPr>
        <w:pStyle w:val="4"/>
        <w:ind w:left="591"/>
        <w:rPr>
          <w:color w:val="auto"/>
        </w:rPr>
      </w:pPr>
      <w:r>
        <w:rPr>
          <w:color w:val="auto"/>
        </w:rPr>
        <w:t>有违法所得的，没收违法所得，不予罚款。</w:t>
      </w:r>
    </w:p>
    <w:p>
      <w:pPr>
        <w:pStyle w:val="4"/>
        <w:spacing w:before="189" w:line="388" w:lineRule="auto"/>
        <w:ind w:left="591" w:right="148"/>
        <w:rPr>
          <w:color w:val="auto"/>
        </w:rPr>
      </w:pPr>
      <w:r>
        <w:rPr>
          <w:color w:val="auto"/>
          <w:spacing w:val="-8"/>
        </w:rPr>
        <w:t xml:space="preserve">没有违法所得的，处 </w:t>
      </w:r>
      <w:r>
        <w:rPr>
          <w:color w:val="auto"/>
        </w:rPr>
        <w:t>5000</w:t>
      </w:r>
      <w:r>
        <w:rPr>
          <w:color w:val="auto"/>
          <w:spacing w:val="-24"/>
        </w:rPr>
        <w:t xml:space="preserve"> 元以上 </w:t>
      </w:r>
      <w:r>
        <w:rPr>
          <w:color w:val="auto"/>
        </w:rPr>
        <w:t>5</w:t>
      </w:r>
      <w:r>
        <w:rPr>
          <w:color w:val="auto"/>
          <w:spacing w:val="-11"/>
        </w:rPr>
        <w:t xml:space="preserve"> 万元以下罚款；经营者为个人的，不予罚款。</w:t>
      </w:r>
      <w:r>
        <w:rPr>
          <w:color w:val="auto"/>
        </w:rPr>
        <w:t>2.【从轻】</w:t>
      </w:r>
    </w:p>
    <w:p>
      <w:pPr>
        <w:pStyle w:val="4"/>
        <w:spacing w:before="4"/>
        <w:ind w:left="591"/>
        <w:rPr>
          <w:color w:val="auto"/>
        </w:rPr>
      </w:pPr>
      <w:r>
        <w:rPr>
          <w:color w:val="auto"/>
        </w:rPr>
        <w:t>有违法所得的，没收违法所得，并处违法所得 2 倍或者 1 倍以下罚款。</w:t>
      </w:r>
    </w:p>
    <w:p>
      <w:pPr>
        <w:pStyle w:val="4"/>
        <w:spacing w:before="192" w:line="388" w:lineRule="auto"/>
        <w:ind w:right="268" w:firstLine="480"/>
        <w:rPr>
          <w:color w:val="auto"/>
        </w:rPr>
      </w:pPr>
      <w:r>
        <w:rPr>
          <w:color w:val="auto"/>
          <w:spacing w:val="-5"/>
        </w:rPr>
        <w:t xml:space="preserve">没有违法所得的，处 </w:t>
      </w:r>
      <w:r>
        <w:rPr>
          <w:color w:val="auto"/>
        </w:rPr>
        <w:t>5</w:t>
      </w:r>
      <w:r>
        <w:rPr>
          <w:color w:val="auto"/>
          <w:spacing w:val="-18"/>
        </w:rPr>
        <w:t xml:space="preserve"> 万元以上 </w:t>
      </w:r>
      <w:r>
        <w:rPr>
          <w:color w:val="auto"/>
        </w:rPr>
        <w:t>20</w:t>
      </w:r>
      <w:r>
        <w:rPr>
          <w:color w:val="auto"/>
          <w:spacing w:val="-9"/>
        </w:rPr>
        <w:t xml:space="preserve"> 万元以下罚款；经营者为个人的，处 </w:t>
      </w:r>
      <w:r>
        <w:rPr>
          <w:color w:val="auto"/>
        </w:rPr>
        <w:t>4</w:t>
      </w:r>
      <w:r>
        <w:rPr>
          <w:color w:val="auto"/>
          <w:spacing w:val="-16"/>
        </w:rPr>
        <w:t xml:space="preserve"> 万元以下罚款。</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3.【一般】</w:t>
      </w:r>
    </w:p>
    <w:p>
      <w:pPr>
        <w:pStyle w:val="4"/>
        <w:spacing w:before="195"/>
        <w:ind w:left="591"/>
        <w:rPr>
          <w:color w:val="auto"/>
        </w:rPr>
      </w:pPr>
      <w:r>
        <w:rPr>
          <w:color w:val="auto"/>
        </w:rPr>
        <w:t>有违法所得的，没收违法所得，并处违法所得 3 倍罚款。</w:t>
      </w:r>
    </w:p>
    <w:p>
      <w:pPr>
        <w:pStyle w:val="4"/>
        <w:spacing w:before="191"/>
        <w:ind w:left="591"/>
        <w:rPr>
          <w:color w:val="auto"/>
        </w:rPr>
      </w:pPr>
      <w:r>
        <w:rPr>
          <w:color w:val="auto"/>
          <w:spacing w:val="-8"/>
        </w:rPr>
        <w:t xml:space="preserve">没有违法所得的，处 </w:t>
      </w:r>
      <w:r>
        <w:rPr>
          <w:color w:val="auto"/>
        </w:rPr>
        <w:t>20</w:t>
      </w:r>
      <w:r>
        <w:rPr>
          <w:color w:val="auto"/>
          <w:spacing w:val="-20"/>
        </w:rPr>
        <w:t xml:space="preserve"> 万元以上 </w:t>
      </w:r>
      <w:r>
        <w:rPr>
          <w:color w:val="auto"/>
        </w:rPr>
        <w:t>30</w:t>
      </w:r>
      <w:r>
        <w:rPr>
          <w:color w:val="auto"/>
          <w:spacing w:val="-13"/>
        </w:rPr>
        <w:t xml:space="preserve"> 万元以下罚款；经营者为个人的，处 </w:t>
      </w:r>
      <w:r>
        <w:rPr>
          <w:color w:val="auto"/>
        </w:rPr>
        <w:t>4</w:t>
      </w:r>
      <w:r>
        <w:rPr>
          <w:color w:val="auto"/>
          <w:spacing w:val="-20"/>
        </w:rPr>
        <w:t xml:space="preserve"> 万元</w:t>
      </w:r>
    </w:p>
    <w:p>
      <w:pPr>
        <w:pStyle w:val="4"/>
        <w:spacing w:before="192" w:line="391" w:lineRule="auto"/>
        <w:ind w:left="591" w:right="6712" w:hanging="480"/>
        <w:rPr>
          <w:color w:val="auto"/>
        </w:rPr>
      </w:pPr>
      <w:r>
        <w:rPr>
          <w:color w:val="auto"/>
          <w:spacing w:val="-20"/>
        </w:rPr>
        <w:t xml:space="preserve">以上 </w:t>
      </w:r>
      <w:r>
        <w:rPr>
          <w:color w:val="auto"/>
        </w:rPr>
        <w:t>6</w:t>
      </w:r>
      <w:r>
        <w:rPr>
          <w:color w:val="auto"/>
          <w:spacing w:val="-10"/>
        </w:rPr>
        <w:t xml:space="preserve"> 万元以下罚款。</w:t>
      </w:r>
      <w:r>
        <w:rPr>
          <w:color w:val="auto"/>
        </w:rPr>
        <w:t>4.【从重】</w:t>
      </w:r>
    </w:p>
    <w:p>
      <w:pPr>
        <w:pStyle w:val="4"/>
        <w:spacing w:line="306" w:lineRule="exact"/>
        <w:ind w:left="591"/>
        <w:rPr>
          <w:color w:val="auto"/>
        </w:rPr>
      </w:pPr>
      <w:r>
        <w:rPr>
          <w:color w:val="auto"/>
        </w:rPr>
        <w:t>有违法所得的，没收违法所得，并处违法所得 4 倍或者 5 倍罚款。</w:t>
      </w:r>
    </w:p>
    <w:p>
      <w:pPr>
        <w:pStyle w:val="4"/>
        <w:spacing w:before="192"/>
        <w:ind w:left="591"/>
        <w:rPr>
          <w:color w:val="auto"/>
        </w:rPr>
      </w:pPr>
      <w:r>
        <w:rPr>
          <w:color w:val="auto"/>
          <w:spacing w:val="-6"/>
        </w:rPr>
        <w:t xml:space="preserve">没有违法所得的，处 </w:t>
      </w:r>
      <w:r>
        <w:rPr>
          <w:color w:val="auto"/>
        </w:rPr>
        <w:t>30</w:t>
      </w:r>
      <w:r>
        <w:rPr>
          <w:color w:val="auto"/>
          <w:spacing w:val="-19"/>
        </w:rPr>
        <w:t xml:space="preserve"> 万元以上 </w:t>
      </w:r>
      <w:r>
        <w:rPr>
          <w:color w:val="auto"/>
        </w:rPr>
        <w:t>200</w:t>
      </w:r>
      <w:r>
        <w:rPr>
          <w:color w:val="auto"/>
          <w:spacing w:val="-10"/>
        </w:rPr>
        <w:t xml:space="preserve"> 万元以下罚款；经营者为个人的，处 </w:t>
      </w:r>
      <w:r>
        <w:rPr>
          <w:color w:val="auto"/>
        </w:rPr>
        <w:t>6</w:t>
      </w:r>
      <w:r>
        <w:rPr>
          <w:color w:val="auto"/>
          <w:spacing w:val="-27"/>
        </w:rPr>
        <w:t xml:space="preserve"> 万</w:t>
      </w:r>
    </w:p>
    <w:p>
      <w:pPr>
        <w:pStyle w:val="4"/>
        <w:spacing w:before="194" w:line="388" w:lineRule="auto"/>
        <w:ind w:left="591" w:right="6352" w:hanging="480"/>
        <w:rPr>
          <w:color w:val="auto"/>
        </w:rPr>
      </w:pPr>
      <w:r>
        <w:rPr>
          <w:color w:val="auto"/>
          <w:spacing w:val="-15"/>
        </w:rPr>
        <w:t xml:space="preserve">元以上 </w:t>
      </w:r>
      <w:r>
        <w:rPr>
          <w:color w:val="auto"/>
        </w:rPr>
        <w:t>10</w:t>
      </w:r>
      <w:r>
        <w:rPr>
          <w:color w:val="auto"/>
          <w:spacing w:val="-10"/>
        </w:rPr>
        <w:t xml:space="preserve"> 万元以下罚款。</w:t>
      </w:r>
      <w:r>
        <w:rPr>
          <w:color w:val="auto"/>
        </w:rPr>
        <w:t>责令停业整顿。</w:t>
      </w:r>
    </w:p>
    <w:p>
      <w:pPr>
        <w:pStyle w:val="2"/>
        <w:spacing w:before="2"/>
        <w:rPr>
          <w:color w:val="auto"/>
        </w:rPr>
      </w:pPr>
      <w:bookmarkStart w:id="1438" w:name="七百零四、经营者不执行法定的价格干预措施、紧急措施"/>
      <w:bookmarkEnd w:id="1438"/>
      <w:bookmarkStart w:id="1439" w:name="_bookmark718"/>
      <w:bookmarkEnd w:id="1439"/>
      <w:r>
        <w:rPr>
          <w:color w:val="auto"/>
        </w:rPr>
        <w:t>七百零四、经营者不执行法定的价格干预措施、紧急措施</w:t>
      </w:r>
    </w:p>
    <w:p>
      <w:pPr>
        <w:spacing w:before="194"/>
        <w:ind w:left="591" w:right="0" w:firstLine="0"/>
        <w:jc w:val="left"/>
        <w:rPr>
          <w:b/>
          <w:color w:val="auto"/>
          <w:sz w:val="24"/>
        </w:rPr>
      </w:pPr>
      <w:r>
        <w:rPr>
          <w:b/>
          <w:color w:val="auto"/>
          <w:sz w:val="24"/>
        </w:rPr>
        <w:t>（一）处罚依据</w:t>
      </w:r>
    </w:p>
    <w:p>
      <w:pPr>
        <w:pStyle w:val="13"/>
        <w:numPr>
          <w:ilvl w:val="0"/>
          <w:numId w:val="1662"/>
        </w:numPr>
        <w:tabs>
          <w:tab w:val="left" w:pos="833"/>
        </w:tabs>
        <w:spacing w:before="192" w:after="0" w:line="391" w:lineRule="auto"/>
        <w:ind w:left="111" w:right="148" w:firstLine="480"/>
        <w:jc w:val="left"/>
        <w:rPr>
          <w:color w:val="auto"/>
          <w:sz w:val="24"/>
        </w:rPr>
      </w:pPr>
      <w:r>
        <w:rPr>
          <w:color w:val="auto"/>
          <w:spacing w:val="-3"/>
          <w:sz w:val="24"/>
        </w:rPr>
        <w:t>《中华人民共和国价格法》 第三十九条“经营者不执行法定的价格干预措施、</w:t>
      </w:r>
      <w:r>
        <w:rPr>
          <w:color w:val="auto"/>
          <w:spacing w:val="-7"/>
          <w:sz w:val="24"/>
        </w:rPr>
        <w:t xml:space="preserve">紧急措施的，责令改正，没收违法所得，可以并处违法所得 </w:t>
      </w:r>
      <w:r>
        <w:rPr>
          <w:color w:val="auto"/>
          <w:sz w:val="24"/>
        </w:rPr>
        <w:t>5</w:t>
      </w:r>
      <w:r>
        <w:rPr>
          <w:color w:val="auto"/>
          <w:spacing w:val="-9"/>
          <w:sz w:val="24"/>
        </w:rPr>
        <w:t xml:space="preserve"> 倍以下的罚款；没有违法所得的，可以处以罚款；情节严重的，责令停业整顿。”</w:t>
      </w:r>
    </w:p>
    <w:p>
      <w:pPr>
        <w:pStyle w:val="13"/>
        <w:numPr>
          <w:ilvl w:val="0"/>
          <w:numId w:val="1662"/>
        </w:numPr>
        <w:tabs>
          <w:tab w:val="left" w:pos="834"/>
        </w:tabs>
        <w:spacing w:before="0" w:after="0" w:line="391" w:lineRule="auto"/>
        <w:ind w:left="111" w:right="148" w:firstLine="480"/>
        <w:jc w:val="left"/>
        <w:rPr>
          <w:color w:val="auto"/>
          <w:sz w:val="24"/>
        </w:rPr>
      </w:pPr>
      <w:r>
        <w:rPr>
          <w:color w:val="auto"/>
          <w:sz w:val="24"/>
        </w:rPr>
        <w:t>《价格违法行为行政处罚规定》（</w:t>
      </w:r>
      <w:r>
        <w:rPr>
          <w:color w:val="auto"/>
          <w:spacing w:val="-9"/>
          <w:sz w:val="24"/>
        </w:rPr>
        <w:t xml:space="preserve">国务院令第 </w:t>
      </w:r>
      <w:r>
        <w:rPr>
          <w:color w:val="auto"/>
          <w:sz w:val="24"/>
        </w:rPr>
        <w:t>585</w:t>
      </w:r>
      <w:r>
        <w:rPr>
          <w:color w:val="auto"/>
          <w:spacing w:val="-25"/>
          <w:sz w:val="24"/>
        </w:rPr>
        <w:t xml:space="preserve"> 号</w:t>
      </w:r>
      <w:r>
        <w:rPr>
          <w:color w:val="auto"/>
          <w:sz w:val="24"/>
        </w:rPr>
        <w:t>） 第十条“经营者不执</w:t>
      </w:r>
      <w:r>
        <w:rPr>
          <w:color w:val="auto"/>
          <w:spacing w:val="-11"/>
          <w:sz w:val="24"/>
        </w:rPr>
        <w:t xml:space="preserve">行法定的价格干预措施、紧急措施的，有下列行为之一的，责令改正，没收违法所得， </w:t>
      </w:r>
      <w:r>
        <w:rPr>
          <w:color w:val="auto"/>
          <w:spacing w:val="-9"/>
          <w:sz w:val="24"/>
        </w:rPr>
        <w:t xml:space="preserve">并处违法所得 </w:t>
      </w:r>
      <w:r>
        <w:rPr>
          <w:color w:val="auto"/>
          <w:sz w:val="24"/>
        </w:rPr>
        <w:t>5</w:t>
      </w:r>
      <w:r>
        <w:rPr>
          <w:color w:val="auto"/>
          <w:spacing w:val="-13"/>
          <w:sz w:val="24"/>
        </w:rPr>
        <w:t xml:space="preserve"> 倍以下的罚款；没有违法所得的，处 </w:t>
      </w:r>
      <w:r>
        <w:rPr>
          <w:color w:val="auto"/>
          <w:sz w:val="24"/>
        </w:rPr>
        <w:t>10</w:t>
      </w:r>
      <w:r>
        <w:rPr>
          <w:color w:val="auto"/>
          <w:spacing w:val="-20"/>
          <w:sz w:val="24"/>
        </w:rPr>
        <w:t xml:space="preserve"> 万元以上 </w:t>
      </w:r>
      <w:r>
        <w:rPr>
          <w:color w:val="auto"/>
          <w:sz w:val="24"/>
        </w:rPr>
        <w:t>100</w:t>
      </w:r>
      <w:r>
        <w:rPr>
          <w:color w:val="auto"/>
          <w:spacing w:val="-10"/>
          <w:sz w:val="24"/>
        </w:rPr>
        <w:t xml:space="preserve"> 万元以下罚款，</w:t>
      </w:r>
    </w:p>
    <w:p>
      <w:pPr>
        <w:pStyle w:val="4"/>
        <w:spacing w:line="304" w:lineRule="exact"/>
        <w:rPr>
          <w:color w:val="auto"/>
        </w:rPr>
      </w:pPr>
      <w:r>
        <w:rPr>
          <w:color w:val="auto"/>
        </w:rPr>
        <w:t>情节较重的处以 100 万元以上 500 万元以下的罚款；情节严重的，责令停业整顿：</w:t>
      </w:r>
    </w:p>
    <w:p>
      <w:pPr>
        <w:pStyle w:val="4"/>
        <w:spacing w:before="188"/>
        <w:ind w:left="591"/>
        <w:rPr>
          <w:color w:val="auto"/>
        </w:rPr>
      </w:pPr>
      <w:r>
        <w:rPr>
          <w:color w:val="auto"/>
        </w:rPr>
        <w:t>（一）不执行提价申报或者调价备案制度的；</w:t>
      </w:r>
    </w:p>
    <w:p>
      <w:pPr>
        <w:pStyle w:val="4"/>
        <w:spacing w:before="194"/>
        <w:ind w:left="591"/>
        <w:rPr>
          <w:color w:val="auto"/>
        </w:rPr>
      </w:pPr>
      <w:r>
        <w:rPr>
          <w:color w:val="auto"/>
        </w:rPr>
        <w:t>（二）超过规定的差价率、利润率幅度的；</w:t>
      </w:r>
    </w:p>
    <w:p>
      <w:pPr>
        <w:pStyle w:val="4"/>
        <w:spacing w:before="192"/>
        <w:ind w:left="591"/>
        <w:rPr>
          <w:color w:val="auto"/>
        </w:rPr>
      </w:pPr>
      <w:r>
        <w:rPr>
          <w:color w:val="auto"/>
        </w:rPr>
        <w:t>（三）不执行规定的限价、最低保护价的；</w:t>
      </w:r>
    </w:p>
    <w:p>
      <w:pPr>
        <w:pStyle w:val="4"/>
        <w:spacing w:before="191"/>
        <w:ind w:left="591"/>
        <w:rPr>
          <w:color w:val="auto"/>
        </w:rPr>
      </w:pPr>
      <w:r>
        <w:rPr>
          <w:color w:val="auto"/>
        </w:rPr>
        <w:t>（四）不执行集中定价权限措施的；</w:t>
      </w:r>
    </w:p>
    <w:p>
      <w:pPr>
        <w:pStyle w:val="4"/>
        <w:spacing w:before="194"/>
        <w:ind w:left="591"/>
        <w:rPr>
          <w:color w:val="auto"/>
        </w:rPr>
      </w:pPr>
      <w:r>
        <w:rPr>
          <w:color w:val="auto"/>
        </w:rPr>
        <w:t>（五）不执行冻结价格措施的；</w:t>
      </w:r>
    </w:p>
    <w:p>
      <w:pPr>
        <w:pStyle w:val="4"/>
        <w:spacing w:before="192"/>
        <w:ind w:left="591"/>
        <w:rPr>
          <w:color w:val="auto"/>
        </w:rPr>
      </w:pPr>
      <w:r>
        <w:rPr>
          <w:color w:val="auto"/>
        </w:rPr>
        <w:t>（六）不执行法定的价格干预措施、紧急措施的其他行为。”</w:t>
      </w:r>
    </w:p>
    <w:p>
      <w:pPr>
        <w:pStyle w:val="13"/>
        <w:numPr>
          <w:ilvl w:val="0"/>
          <w:numId w:val="1662"/>
        </w:numPr>
        <w:tabs>
          <w:tab w:val="left" w:pos="834"/>
        </w:tabs>
        <w:spacing w:before="192" w:after="0" w:line="391" w:lineRule="auto"/>
        <w:ind w:left="111" w:right="232" w:firstLine="480"/>
        <w:jc w:val="both"/>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4"/>
          <w:sz w:val="24"/>
        </w:rPr>
        <w:t xml:space="preserve"> 号</w:t>
      </w:r>
      <w:r>
        <w:rPr>
          <w:color w:val="auto"/>
          <w:sz w:val="24"/>
        </w:rPr>
        <w:t>） 第十一条“本规定第</w:t>
      </w:r>
      <w:r>
        <w:rPr>
          <w:color w:val="auto"/>
          <w:spacing w:val="-1"/>
          <w:sz w:val="24"/>
        </w:rPr>
        <w:t xml:space="preserve">四条、第七条至第九条规定中经营者为个人的，对其没收违法所得的价格违法行为， </w:t>
      </w:r>
      <w:r>
        <w:rPr>
          <w:color w:val="auto"/>
          <w:spacing w:val="-15"/>
          <w:sz w:val="24"/>
        </w:rPr>
        <w:t xml:space="preserve">可以处 </w:t>
      </w:r>
      <w:r>
        <w:rPr>
          <w:color w:val="auto"/>
          <w:sz w:val="24"/>
        </w:rPr>
        <w:t>10</w:t>
      </w:r>
      <w:r>
        <w:rPr>
          <w:color w:val="auto"/>
          <w:spacing w:val="-8"/>
          <w:sz w:val="24"/>
        </w:rPr>
        <w:t xml:space="preserve"> 万元以下的罚款。</w:t>
      </w:r>
    </w:p>
    <w:p>
      <w:pPr>
        <w:pStyle w:val="4"/>
        <w:spacing w:line="304" w:lineRule="exact"/>
        <w:ind w:left="591"/>
        <w:rPr>
          <w:color w:val="auto"/>
        </w:rPr>
      </w:pPr>
      <w:r>
        <w:rPr>
          <w:color w:val="auto"/>
        </w:rPr>
        <w:t>本规定第五条、第六条、第十条规定中经营者为个人的，对其没有违法所得的价</w:t>
      </w:r>
    </w:p>
    <w:p>
      <w:pPr>
        <w:spacing w:after="0" w:line="304" w:lineRule="exact"/>
        <w:rPr>
          <w:color w:val="auto"/>
        </w:rPr>
        <w:sectPr>
          <w:pgSz w:w="11910" w:h="16840"/>
          <w:pgMar w:top="1520" w:right="1260" w:bottom="1220" w:left="1420" w:header="0" w:footer="1034" w:gutter="0"/>
        </w:sectPr>
      </w:pPr>
    </w:p>
    <w:p>
      <w:pPr>
        <w:pStyle w:val="4"/>
        <w:spacing w:before="39"/>
        <w:jc w:val="both"/>
        <w:rPr>
          <w:color w:val="auto"/>
        </w:rPr>
      </w:pPr>
      <w:r>
        <w:rPr>
          <w:color w:val="auto"/>
          <w:spacing w:val="-3"/>
        </w:rPr>
        <w:t xml:space="preserve">格违法行为，按照前款规定处罚；情节严重，处 </w:t>
      </w:r>
      <w:r>
        <w:rPr>
          <w:color w:val="auto"/>
        </w:rPr>
        <w:t>10</w:t>
      </w:r>
      <w:r>
        <w:rPr>
          <w:color w:val="auto"/>
          <w:spacing w:val="-20"/>
        </w:rPr>
        <w:t xml:space="preserve"> 万元以上 </w:t>
      </w:r>
      <w:r>
        <w:rPr>
          <w:color w:val="auto"/>
        </w:rPr>
        <w:t>50</w:t>
      </w:r>
      <w:r>
        <w:rPr>
          <w:color w:val="auto"/>
          <w:spacing w:val="-8"/>
        </w:rPr>
        <w:t xml:space="preserve"> 万元以下的罚款。”</w:t>
      </w:r>
    </w:p>
    <w:p>
      <w:pPr>
        <w:pStyle w:val="13"/>
        <w:numPr>
          <w:ilvl w:val="0"/>
          <w:numId w:val="1662"/>
        </w:numPr>
        <w:tabs>
          <w:tab w:val="left" w:pos="952"/>
        </w:tabs>
        <w:spacing w:before="195" w:after="0" w:line="391" w:lineRule="auto"/>
        <w:ind w:left="111" w:right="264" w:firstLine="480"/>
        <w:jc w:val="both"/>
        <w:rPr>
          <w:color w:val="auto"/>
          <w:sz w:val="24"/>
        </w:rPr>
      </w:pPr>
      <w:r>
        <w:rPr>
          <w:color w:val="auto"/>
          <w:sz w:val="24"/>
        </w:rPr>
        <w:t>《国家发展改革委关于印发&lt;规范价格行政处罚权的若干规定&gt;的通知》（发</w:t>
      </w:r>
      <w:r>
        <w:rPr>
          <w:color w:val="auto"/>
          <w:spacing w:val="-6"/>
          <w:sz w:val="24"/>
        </w:rPr>
        <w:t>改价监〔</w:t>
      </w:r>
      <w:r>
        <w:rPr>
          <w:color w:val="auto"/>
          <w:sz w:val="24"/>
        </w:rPr>
        <w:t>2014</w:t>
      </w:r>
      <w:r>
        <w:rPr>
          <w:color w:val="auto"/>
          <w:spacing w:val="-20"/>
          <w:sz w:val="24"/>
        </w:rPr>
        <w:t>〕</w:t>
      </w:r>
      <w:r>
        <w:rPr>
          <w:color w:val="auto"/>
          <w:sz w:val="24"/>
        </w:rPr>
        <w:t>1223</w:t>
      </w:r>
      <w:r>
        <w:rPr>
          <w:color w:val="auto"/>
          <w:spacing w:val="-29"/>
          <w:sz w:val="24"/>
        </w:rPr>
        <w:t xml:space="preserve"> 号</w:t>
      </w:r>
      <w:r>
        <w:rPr>
          <w:color w:val="auto"/>
          <w:spacing w:val="-20"/>
          <w:sz w:val="24"/>
        </w:rPr>
        <w:t>）</w:t>
      </w:r>
      <w:r>
        <w:rPr>
          <w:color w:val="auto"/>
          <w:spacing w:val="-7"/>
          <w:sz w:val="24"/>
        </w:rPr>
        <w:t>第十一条“法律、法规和规章规定可以处或者可以并处罚款的，对于减轻处罚情形不再处或者并处罚款；对于从轻处罚情形可以不处或者不并处</w:t>
      </w:r>
      <w:r>
        <w:rPr>
          <w:color w:val="auto"/>
          <w:sz w:val="24"/>
        </w:rPr>
        <w:t>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62"/>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6"/>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5"/>
        <w:jc w:val="both"/>
        <w:rPr>
          <w:color w:val="auto"/>
        </w:rPr>
      </w:pPr>
      <w:r>
        <w:rPr>
          <w:color w:val="auto"/>
        </w:rPr>
        <w:t>3 倍，从重处罚应当为违法所得的 4 倍或者 5 倍；</w:t>
      </w:r>
    </w:p>
    <w:p>
      <w:pPr>
        <w:pStyle w:val="4"/>
        <w:spacing w:before="191"/>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4" w:line="388"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before="6" w:line="388"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5" w:line="388" w:lineRule="auto"/>
        <w:ind w:left="591" w:right="6948" w:firstLine="0"/>
        <w:jc w:val="left"/>
        <w:rPr>
          <w:color w:val="auto"/>
          <w:sz w:val="24"/>
        </w:rPr>
      </w:pPr>
      <w:r>
        <w:rPr>
          <w:b/>
          <w:color w:val="auto"/>
          <w:sz w:val="24"/>
        </w:rPr>
        <w:t>（二）裁量标准</w:t>
      </w:r>
      <w:r>
        <w:rPr>
          <w:color w:val="auto"/>
          <w:sz w:val="24"/>
        </w:rPr>
        <w:t>1.【减轻】</w:t>
      </w:r>
    </w:p>
    <w:p>
      <w:pPr>
        <w:pStyle w:val="4"/>
        <w:spacing w:before="2"/>
        <w:ind w:left="591"/>
        <w:rPr>
          <w:color w:val="auto"/>
        </w:rPr>
      </w:pPr>
      <w:r>
        <w:rPr>
          <w:color w:val="auto"/>
        </w:rPr>
        <w:t>有违法所得的，没收违法所得，不予罚款。</w:t>
      </w:r>
    </w:p>
    <w:p>
      <w:pPr>
        <w:spacing w:after="0"/>
        <w:rPr>
          <w:color w:val="auto"/>
        </w:rPr>
        <w:sectPr>
          <w:pgSz w:w="11910" w:h="16840"/>
          <w:pgMar w:top="1520" w:right="1260" w:bottom="1220" w:left="1420" w:header="0" w:footer="1034" w:gutter="0"/>
        </w:sectPr>
      </w:pPr>
    </w:p>
    <w:p>
      <w:pPr>
        <w:pStyle w:val="4"/>
        <w:spacing w:before="39" w:line="391" w:lineRule="auto"/>
        <w:ind w:left="591" w:right="148"/>
        <w:rPr>
          <w:color w:val="auto"/>
        </w:rPr>
      </w:pPr>
      <w:r>
        <w:rPr>
          <w:color w:val="auto"/>
          <w:spacing w:val="-8"/>
        </w:rPr>
        <w:t xml:space="preserve">没有违法所得的，处 </w:t>
      </w:r>
      <w:r>
        <w:rPr>
          <w:color w:val="auto"/>
        </w:rPr>
        <w:t>1</w:t>
      </w:r>
      <w:r>
        <w:rPr>
          <w:color w:val="auto"/>
          <w:spacing w:val="-20"/>
        </w:rPr>
        <w:t xml:space="preserve"> 万元以上 </w:t>
      </w:r>
      <w:r>
        <w:rPr>
          <w:color w:val="auto"/>
        </w:rPr>
        <w:t>10</w:t>
      </w:r>
      <w:r>
        <w:rPr>
          <w:color w:val="auto"/>
          <w:spacing w:val="-11"/>
        </w:rPr>
        <w:t xml:space="preserve"> 万元以下罚款；经营者为个人的，不予罚款。</w:t>
      </w:r>
      <w:r>
        <w:rPr>
          <w:color w:val="auto"/>
        </w:rPr>
        <w:t>2.【从轻】</w:t>
      </w:r>
    </w:p>
    <w:p>
      <w:pPr>
        <w:pStyle w:val="4"/>
        <w:spacing w:line="306" w:lineRule="exact"/>
        <w:ind w:left="591"/>
        <w:rPr>
          <w:color w:val="auto"/>
        </w:rPr>
      </w:pPr>
      <w:r>
        <w:rPr>
          <w:color w:val="auto"/>
        </w:rPr>
        <w:t>有违法所得的，没收违法所得，并处违法所得 2 倍或者 1 倍以下罚款。</w:t>
      </w:r>
    </w:p>
    <w:p>
      <w:pPr>
        <w:pStyle w:val="4"/>
        <w:spacing w:before="192" w:line="391" w:lineRule="auto"/>
        <w:ind w:right="268" w:firstLine="480"/>
        <w:rPr>
          <w:color w:val="auto"/>
        </w:rPr>
      </w:pPr>
      <w:r>
        <w:rPr>
          <w:color w:val="auto"/>
          <w:spacing w:val="-8"/>
        </w:rPr>
        <w:t xml:space="preserve">没有违法所得的，处 </w:t>
      </w:r>
      <w:r>
        <w:rPr>
          <w:color w:val="auto"/>
        </w:rPr>
        <w:t>10</w:t>
      </w:r>
      <w:r>
        <w:rPr>
          <w:color w:val="auto"/>
          <w:spacing w:val="-20"/>
        </w:rPr>
        <w:t xml:space="preserve"> 万元以上 </w:t>
      </w:r>
      <w:r>
        <w:rPr>
          <w:color w:val="auto"/>
        </w:rPr>
        <w:t>40</w:t>
      </w:r>
      <w:r>
        <w:rPr>
          <w:color w:val="auto"/>
          <w:spacing w:val="-13"/>
        </w:rPr>
        <w:t xml:space="preserve"> 万元以下罚款；经营者为个人的，处 </w:t>
      </w:r>
      <w:r>
        <w:rPr>
          <w:color w:val="auto"/>
        </w:rPr>
        <w:t>4</w:t>
      </w:r>
      <w:r>
        <w:rPr>
          <w:color w:val="auto"/>
          <w:spacing w:val="-26"/>
        </w:rPr>
        <w:t xml:space="preserve"> 万元</w:t>
      </w:r>
      <w:r>
        <w:rPr>
          <w:color w:val="auto"/>
        </w:rPr>
        <w:t>以下罚款。</w:t>
      </w:r>
    </w:p>
    <w:p>
      <w:pPr>
        <w:pStyle w:val="4"/>
        <w:spacing w:line="306" w:lineRule="exact"/>
        <w:ind w:left="591"/>
        <w:rPr>
          <w:color w:val="auto"/>
        </w:rPr>
      </w:pPr>
      <w:r>
        <w:rPr>
          <w:color w:val="auto"/>
        </w:rPr>
        <w:t>3.【一般】</w:t>
      </w:r>
    </w:p>
    <w:p>
      <w:pPr>
        <w:pStyle w:val="4"/>
        <w:spacing w:before="192"/>
        <w:ind w:left="591"/>
        <w:rPr>
          <w:color w:val="auto"/>
        </w:rPr>
      </w:pPr>
      <w:r>
        <w:rPr>
          <w:color w:val="auto"/>
        </w:rPr>
        <w:t>有违法所得的，没收违法所得，并处违法所得 3 倍罚款。</w:t>
      </w:r>
    </w:p>
    <w:p>
      <w:pPr>
        <w:pStyle w:val="4"/>
        <w:spacing w:before="194"/>
        <w:ind w:left="591"/>
        <w:rPr>
          <w:color w:val="auto"/>
        </w:rPr>
      </w:pPr>
      <w:r>
        <w:rPr>
          <w:color w:val="auto"/>
          <w:spacing w:val="-8"/>
        </w:rPr>
        <w:t xml:space="preserve">没有违法所得的，处 </w:t>
      </w:r>
      <w:r>
        <w:rPr>
          <w:color w:val="auto"/>
        </w:rPr>
        <w:t>40</w:t>
      </w:r>
      <w:r>
        <w:rPr>
          <w:color w:val="auto"/>
          <w:spacing w:val="-20"/>
        </w:rPr>
        <w:t xml:space="preserve"> 万元以上 </w:t>
      </w:r>
      <w:r>
        <w:rPr>
          <w:color w:val="auto"/>
        </w:rPr>
        <w:t>60</w:t>
      </w:r>
      <w:r>
        <w:rPr>
          <w:color w:val="auto"/>
          <w:spacing w:val="-13"/>
        </w:rPr>
        <w:t xml:space="preserve"> 万元以下罚款；经营者为个人的，处 </w:t>
      </w:r>
      <w:r>
        <w:rPr>
          <w:color w:val="auto"/>
        </w:rPr>
        <w:t>4</w:t>
      </w:r>
      <w:r>
        <w:rPr>
          <w:color w:val="auto"/>
          <w:spacing w:val="-20"/>
        </w:rPr>
        <w:t xml:space="preserve"> 万元</w:t>
      </w:r>
    </w:p>
    <w:p>
      <w:pPr>
        <w:pStyle w:val="4"/>
        <w:spacing w:before="192" w:line="388" w:lineRule="auto"/>
        <w:ind w:left="591" w:right="6712" w:hanging="480"/>
        <w:rPr>
          <w:color w:val="auto"/>
        </w:rPr>
      </w:pPr>
      <w:r>
        <w:rPr>
          <w:color w:val="auto"/>
          <w:spacing w:val="-20"/>
        </w:rPr>
        <w:t xml:space="preserve">以上 </w:t>
      </w:r>
      <w:r>
        <w:rPr>
          <w:color w:val="auto"/>
        </w:rPr>
        <w:t>6</w:t>
      </w:r>
      <w:r>
        <w:rPr>
          <w:color w:val="auto"/>
          <w:spacing w:val="-10"/>
        </w:rPr>
        <w:t xml:space="preserve"> 万元以下罚款。</w:t>
      </w:r>
      <w:r>
        <w:rPr>
          <w:color w:val="auto"/>
        </w:rPr>
        <w:t>4.【从重】</w:t>
      </w:r>
    </w:p>
    <w:p>
      <w:pPr>
        <w:pStyle w:val="4"/>
        <w:spacing w:before="4"/>
        <w:ind w:left="591"/>
        <w:rPr>
          <w:color w:val="auto"/>
        </w:rPr>
      </w:pPr>
      <w:r>
        <w:rPr>
          <w:color w:val="auto"/>
        </w:rPr>
        <w:t>有违法所得的，没收违法所得，并处违法所得 4 倍或者 5 倍罚款。</w:t>
      </w:r>
    </w:p>
    <w:p>
      <w:pPr>
        <w:pStyle w:val="4"/>
        <w:spacing w:before="192"/>
        <w:ind w:left="591"/>
        <w:rPr>
          <w:color w:val="auto"/>
        </w:rPr>
      </w:pPr>
      <w:r>
        <w:rPr>
          <w:color w:val="auto"/>
          <w:spacing w:val="-6"/>
        </w:rPr>
        <w:t xml:space="preserve">没有违法所得的，处 </w:t>
      </w:r>
      <w:r>
        <w:rPr>
          <w:color w:val="auto"/>
        </w:rPr>
        <w:t>60</w:t>
      </w:r>
      <w:r>
        <w:rPr>
          <w:color w:val="auto"/>
          <w:spacing w:val="-19"/>
        </w:rPr>
        <w:t xml:space="preserve"> 万元以上 </w:t>
      </w:r>
      <w:r>
        <w:rPr>
          <w:color w:val="auto"/>
        </w:rPr>
        <w:t>500</w:t>
      </w:r>
      <w:r>
        <w:rPr>
          <w:color w:val="auto"/>
          <w:spacing w:val="-10"/>
        </w:rPr>
        <w:t xml:space="preserve"> 万元以下罚款；经营者为个人的，处 </w:t>
      </w:r>
      <w:r>
        <w:rPr>
          <w:color w:val="auto"/>
        </w:rPr>
        <w:t>6</w:t>
      </w:r>
      <w:r>
        <w:rPr>
          <w:color w:val="auto"/>
          <w:spacing w:val="-27"/>
        </w:rPr>
        <w:t xml:space="preserve"> 万</w:t>
      </w:r>
    </w:p>
    <w:p>
      <w:pPr>
        <w:pStyle w:val="4"/>
        <w:spacing w:before="192" w:line="391" w:lineRule="auto"/>
        <w:ind w:left="591" w:right="6352" w:hanging="480"/>
        <w:rPr>
          <w:color w:val="auto"/>
        </w:rPr>
      </w:pPr>
      <w:r>
        <w:rPr>
          <w:color w:val="auto"/>
          <w:spacing w:val="-15"/>
        </w:rPr>
        <w:t xml:space="preserve">元以上 </w:t>
      </w:r>
      <w:r>
        <w:rPr>
          <w:color w:val="auto"/>
        </w:rPr>
        <w:t>50</w:t>
      </w:r>
      <w:r>
        <w:rPr>
          <w:color w:val="auto"/>
          <w:spacing w:val="-10"/>
        </w:rPr>
        <w:t xml:space="preserve"> 万元以下罚款。</w:t>
      </w:r>
      <w:r>
        <w:rPr>
          <w:color w:val="auto"/>
        </w:rPr>
        <w:t>责令停业整顿。</w:t>
      </w:r>
    </w:p>
    <w:p>
      <w:pPr>
        <w:pStyle w:val="2"/>
        <w:spacing w:line="306" w:lineRule="exact"/>
        <w:rPr>
          <w:color w:val="auto"/>
        </w:rPr>
      </w:pPr>
      <w:bookmarkStart w:id="1440" w:name="七百零五、经营者相互串通，操纵市场价格，造成商品价格较大幅度上涨"/>
      <w:bookmarkEnd w:id="1440"/>
      <w:bookmarkStart w:id="1441" w:name="_bookmark719"/>
      <w:bookmarkEnd w:id="1441"/>
      <w:r>
        <w:rPr>
          <w:color w:val="auto"/>
        </w:rPr>
        <w:t>七百零五、经营者相互串通，操纵市场价格，造成商品价格较大幅度上涨</w:t>
      </w:r>
    </w:p>
    <w:p>
      <w:pPr>
        <w:spacing w:before="191"/>
        <w:ind w:left="591" w:right="0" w:firstLine="0"/>
        <w:jc w:val="left"/>
        <w:rPr>
          <w:b/>
          <w:color w:val="auto"/>
          <w:sz w:val="24"/>
        </w:rPr>
      </w:pPr>
      <w:r>
        <w:rPr>
          <w:b/>
          <w:color w:val="auto"/>
          <w:sz w:val="24"/>
        </w:rPr>
        <w:t>（一）处罚依据</w:t>
      </w:r>
    </w:p>
    <w:p>
      <w:pPr>
        <w:pStyle w:val="13"/>
        <w:numPr>
          <w:ilvl w:val="0"/>
          <w:numId w:val="1663"/>
        </w:numPr>
        <w:tabs>
          <w:tab w:val="left" w:pos="833"/>
        </w:tabs>
        <w:spacing w:before="194" w:after="0" w:line="240" w:lineRule="auto"/>
        <w:ind w:left="832" w:right="0" w:hanging="242"/>
        <w:jc w:val="left"/>
        <w:rPr>
          <w:color w:val="auto"/>
          <w:sz w:val="24"/>
        </w:rPr>
      </w:pPr>
      <w:r>
        <w:rPr>
          <w:color w:val="auto"/>
          <w:sz w:val="24"/>
        </w:rPr>
        <w:t>《中华人民共和国价格法》第十四条“经营者不得有下列不正当价格行为</w:t>
      </w:r>
    </w:p>
    <w:p>
      <w:pPr>
        <w:pStyle w:val="4"/>
        <w:spacing w:before="192"/>
        <w:ind w:left="591"/>
        <w:rPr>
          <w:color w:val="auto"/>
        </w:rPr>
      </w:pPr>
      <w:r>
        <w:rPr>
          <w:color w:val="auto"/>
        </w:rPr>
        <w:t>（一）相互串通，操纵市场价格，损害其他经营者或者消费者的合法权益。”</w:t>
      </w:r>
    </w:p>
    <w:p>
      <w:pPr>
        <w:pStyle w:val="13"/>
        <w:numPr>
          <w:ilvl w:val="0"/>
          <w:numId w:val="1663"/>
        </w:numPr>
        <w:tabs>
          <w:tab w:val="left" w:pos="833"/>
        </w:tabs>
        <w:spacing w:before="192" w:after="0" w:line="391" w:lineRule="auto"/>
        <w:ind w:left="111" w:right="148" w:firstLine="480"/>
        <w:jc w:val="left"/>
        <w:rPr>
          <w:color w:val="auto"/>
          <w:sz w:val="24"/>
        </w:rPr>
      </w:pPr>
      <w:r>
        <w:rPr>
          <w:color w:val="auto"/>
          <w:spacing w:val="-8"/>
          <w:sz w:val="24"/>
        </w:rPr>
        <w:t xml:space="preserve">《中华人民共和国价格法》第四十条“经营者有本法第十四条所列行为之一的，责令改正，没收违法所得，可以并处违法所得五倍以下的罚款；没有违法所得的， </w:t>
      </w:r>
      <w:r>
        <w:rPr>
          <w:color w:val="auto"/>
          <w:sz w:val="24"/>
        </w:rPr>
        <w:t>予以警告，可以并处罚款；情节严重的，责令停业整顿，或者吊销营业执照。”</w:t>
      </w:r>
    </w:p>
    <w:p>
      <w:pPr>
        <w:pStyle w:val="13"/>
        <w:numPr>
          <w:ilvl w:val="0"/>
          <w:numId w:val="1663"/>
        </w:numPr>
        <w:tabs>
          <w:tab w:val="left" w:pos="833"/>
        </w:tabs>
        <w:spacing w:before="0" w:after="0" w:line="391" w:lineRule="auto"/>
        <w:ind w:left="111" w:right="266" w:firstLine="480"/>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5"/>
          <w:sz w:val="24"/>
        </w:rPr>
        <w:t>第五条“经营者违反价格法第十四条的规定，相互串通，操纵市场价格，造成商品价格较大幅度上涨的，责</w:t>
      </w:r>
      <w:r>
        <w:rPr>
          <w:color w:val="auto"/>
          <w:spacing w:val="-3"/>
          <w:sz w:val="24"/>
        </w:rPr>
        <w:t xml:space="preserve">令改正，没收违法所得，并处违法所得 </w:t>
      </w:r>
      <w:r>
        <w:rPr>
          <w:color w:val="auto"/>
          <w:sz w:val="24"/>
        </w:rPr>
        <w:t>5</w:t>
      </w:r>
      <w:r>
        <w:rPr>
          <w:color w:val="auto"/>
          <w:spacing w:val="-10"/>
          <w:sz w:val="24"/>
        </w:rPr>
        <w:t xml:space="preserve"> 倍以下的罚款；没有违法所得的，处 </w:t>
      </w:r>
      <w:r>
        <w:rPr>
          <w:color w:val="auto"/>
          <w:sz w:val="24"/>
        </w:rPr>
        <w:t>10</w:t>
      </w:r>
      <w:r>
        <w:rPr>
          <w:color w:val="auto"/>
          <w:spacing w:val="-22"/>
          <w:sz w:val="24"/>
        </w:rPr>
        <w:t xml:space="preserve"> 万</w:t>
      </w:r>
    </w:p>
    <w:p>
      <w:pPr>
        <w:pStyle w:val="4"/>
        <w:spacing w:line="391" w:lineRule="auto"/>
        <w:ind w:right="268"/>
        <w:jc w:val="both"/>
        <w:rPr>
          <w:color w:val="auto"/>
        </w:rPr>
      </w:pPr>
      <w:r>
        <w:rPr>
          <w:color w:val="auto"/>
          <w:spacing w:val="-15"/>
        </w:rPr>
        <w:t xml:space="preserve">元以上 </w:t>
      </w:r>
      <w:r>
        <w:rPr>
          <w:color w:val="auto"/>
        </w:rPr>
        <w:t>100</w:t>
      </w:r>
      <w:r>
        <w:rPr>
          <w:color w:val="auto"/>
          <w:spacing w:val="-13"/>
        </w:rPr>
        <w:t xml:space="preserve"> 万元以下的罚款，情节较重的处 </w:t>
      </w:r>
      <w:r>
        <w:rPr>
          <w:color w:val="auto"/>
        </w:rPr>
        <w:t>100</w:t>
      </w:r>
      <w:r>
        <w:rPr>
          <w:color w:val="auto"/>
          <w:spacing w:val="-20"/>
        </w:rPr>
        <w:t xml:space="preserve"> 万元以上 </w:t>
      </w:r>
      <w:r>
        <w:rPr>
          <w:color w:val="auto"/>
        </w:rPr>
        <w:t>500</w:t>
      </w:r>
      <w:r>
        <w:rPr>
          <w:color w:val="auto"/>
          <w:spacing w:val="-10"/>
        </w:rPr>
        <w:t xml:space="preserve"> 万元以下的罚款；情节</w:t>
      </w:r>
      <w:r>
        <w:rPr>
          <w:color w:val="auto"/>
        </w:rPr>
        <w:t>严重的，责令停业整顿，或者吊销营业执照。”</w:t>
      </w:r>
    </w:p>
    <w:p>
      <w:pPr>
        <w:pStyle w:val="13"/>
        <w:numPr>
          <w:ilvl w:val="0"/>
          <w:numId w:val="1663"/>
        </w:numPr>
        <w:tabs>
          <w:tab w:val="left" w:pos="833"/>
        </w:tabs>
        <w:spacing w:before="0" w:after="0" w:line="388" w:lineRule="auto"/>
        <w:ind w:left="111" w:right="266" w:firstLine="480"/>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4"/>
          <w:sz w:val="24"/>
        </w:rPr>
        <w:t>第十一条：本规定第四</w:t>
      </w:r>
      <w:r>
        <w:rPr>
          <w:color w:val="auto"/>
          <w:spacing w:val="-6"/>
          <w:sz w:val="24"/>
        </w:rPr>
        <w:t>条、第七条至第九条规定中经营者为个人的，对其没有违法所得的价格违法行为，可</w:t>
      </w:r>
    </w:p>
    <w:p>
      <w:pPr>
        <w:spacing w:after="0" w:line="388" w:lineRule="auto"/>
        <w:jc w:val="both"/>
        <w:rPr>
          <w:color w:val="auto"/>
          <w:sz w:val="24"/>
        </w:rPr>
        <w:sectPr>
          <w:pgSz w:w="11910" w:h="16840"/>
          <w:pgMar w:top="1520" w:right="1260" w:bottom="1220" w:left="1420" w:header="0" w:footer="1034" w:gutter="0"/>
        </w:sectPr>
      </w:pPr>
    </w:p>
    <w:p>
      <w:pPr>
        <w:pStyle w:val="4"/>
        <w:spacing w:before="39"/>
        <w:rPr>
          <w:color w:val="auto"/>
        </w:rPr>
      </w:pPr>
      <w:r>
        <w:rPr>
          <w:color w:val="auto"/>
        </w:rPr>
        <w:t>以处 10 万元以下的罚款。</w:t>
      </w:r>
    </w:p>
    <w:p>
      <w:pPr>
        <w:pStyle w:val="4"/>
        <w:spacing w:before="195" w:line="388" w:lineRule="auto"/>
        <w:ind w:right="213" w:firstLine="480"/>
        <w:rPr>
          <w:color w:val="auto"/>
        </w:rPr>
      </w:pPr>
      <w:r>
        <w:rPr>
          <w:color w:val="auto"/>
        </w:rPr>
        <w:t>本规定第五条、第六条、第十条规定中经营者为个人的，对其没有违法所得的价格违法行为，按照前款规定处罚；情节严重，处 10 万元以上 50 万元以下的罚款。</w:t>
      </w:r>
    </w:p>
    <w:p>
      <w:pPr>
        <w:pStyle w:val="13"/>
        <w:numPr>
          <w:ilvl w:val="0"/>
          <w:numId w:val="1663"/>
        </w:numPr>
        <w:tabs>
          <w:tab w:val="left" w:pos="833"/>
        </w:tabs>
        <w:spacing w:before="2"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before="2"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63"/>
        </w:numPr>
        <w:tabs>
          <w:tab w:val="left" w:pos="833"/>
        </w:tabs>
        <w:spacing w:before="2"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1"/>
        <w:rPr>
          <w:color w:val="auto"/>
        </w:rPr>
      </w:pPr>
      <w:r>
        <w:rPr>
          <w:color w:val="auto"/>
        </w:rPr>
        <w:t>3 倍，从重处罚应当为违法所得的 4 倍或者 5 倍；</w:t>
      </w:r>
    </w:p>
    <w:p>
      <w:pPr>
        <w:pStyle w:val="4"/>
        <w:spacing w:before="195"/>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1"/>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pStyle w:val="2"/>
        <w:spacing w:line="304" w:lineRule="exact"/>
        <w:rPr>
          <w:color w:val="auto"/>
        </w:rPr>
      </w:pPr>
      <w:r>
        <w:rPr>
          <w:color w:val="auto"/>
        </w:rPr>
        <w:t>（二）裁量标准</w:t>
      </w:r>
    </w:p>
    <w:p>
      <w:pPr>
        <w:spacing w:after="0" w:line="304" w:lineRule="exact"/>
        <w:rPr>
          <w:color w:val="auto"/>
        </w:rPr>
        <w:sectPr>
          <w:pgSz w:w="11910" w:h="16840"/>
          <w:pgMar w:top="1520" w:right="1260" w:bottom="1220" w:left="1420" w:header="0" w:footer="1034" w:gutter="0"/>
        </w:sectPr>
      </w:pPr>
    </w:p>
    <w:p>
      <w:pPr>
        <w:pStyle w:val="13"/>
        <w:numPr>
          <w:ilvl w:val="0"/>
          <w:numId w:val="1664"/>
        </w:numPr>
        <w:tabs>
          <w:tab w:val="left" w:pos="833"/>
        </w:tabs>
        <w:spacing w:before="39" w:after="0" w:line="240" w:lineRule="auto"/>
        <w:ind w:left="832" w:right="0" w:hanging="242"/>
        <w:jc w:val="left"/>
        <w:rPr>
          <w:color w:val="auto"/>
          <w:sz w:val="24"/>
        </w:rPr>
      </w:pPr>
      <w:r>
        <w:rPr>
          <w:color w:val="auto"/>
          <w:sz w:val="24"/>
        </w:rPr>
        <w:t>【减轻】</w:t>
      </w:r>
    </w:p>
    <w:p>
      <w:pPr>
        <w:pStyle w:val="4"/>
        <w:spacing w:before="195"/>
        <w:ind w:left="591"/>
        <w:rPr>
          <w:color w:val="auto"/>
        </w:rPr>
      </w:pPr>
      <w:r>
        <w:rPr>
          <w:color w:val="auto"/>
        </w:rPr>
        <w:t>有违法所得的，没收违法所得，不予罚款。</w:t>
      </w:r>
    </w:p>
    <w:p>
      <w:pPr>
        <w:pStyle w:val="4"/>
        <w:spacing w:before="191" w:line="388" w:lineRule="auto"/>
        <w:ind w:left="591" w:right="148"/>
        <w:rPr>
          <w:color w:val="auto"/>
        </w:rPr>
      </w:pPr>
      <w:r>
        <w:rPr>
          <w:color w:val="auto"/>
          <w:spacing w:val="-8"/>
        </w:rPr>
        <w:t xml:space="preserve">没有违法所得的，处 </w:t>
      </w:r>
      <w:r>
        <w:rPr>
          <w:color w:val="auto"/>
        </w:rPr>
        <w:t>1</w:t>
      </w:r>
      <w:r>
        <w:rPr>
          <w:color w:val="auto"/>
          <w:spacing w:val="-20"/>
        </w:rPr>
        <w:t xml:space="preserve"> 万元以上 </w:t>
      </w:r>
      <w:r>
        <w:rPr>
          <w:color w:val="auto"/>
        </w:rPr>
        <w:t>10</w:t>
      </w:r>
      <w:r>
        <w:rPr>
          <w:color w:val="auto"/>
          <w:spacing w:val="-11"/>
        </w:rPr>
        <w:t xml:space="preserve"> 万元以下罚款；经营者为个人的，不予罚款。</w:t>
      </w:r>
      <w:r>
        <w:rPr>
          <w:color w:val="auto"/>
        </w:rPr>
        <w:t>2.【从轻】</w:t>
      </w:r>
    </w:p>
    <w:p>
      <w:pPr>
        <w:pStyle w:val="4"/>
        <w:spacing w:before="5"/>
        <w:ind w:left="591"/>
        <w:rPr>
          <w:color w:val="auto"/>
        </w:rPr>
      </w:pPr>
      <w:r>
        <w:rPr>
          <w:color w:val="auto"/>
        </w:rPr>
        <w:t>有违法所得的，没收违法所得，并处违法所得 2 倍或者 1 倍以下罚款。</w:t>
      </w:r>
    </w:p>
    <w:p>
      <w:pPr>
        <w:pStyle w:val="4"/>
        <w:spacing w:before="192" w:line="388" w:lineRule="auto"/>
        <w:ind w:right="268" w:firstLine="480"/>
        <w:rPr>
          <w:color w:val="auto"/>
        </w:rPr>
      </w:pPr>
      <w:r>
        <w:rPr>
          <w:color w:val="auto"/>
          <w:spacing w:val="-8"/>
        </w:rPr>
        <w:t xml:space="preserve">没有违法所得的，处 </w:t>
      </w:r>
      <w:r>
        <w:rPr>
          <w:color w:val="auto"/>
        </w:rPr>
        <w:t>10</w:t>
      </w:r>
      <w:r>
        <w:rPr>
          <w:color w:val="auto"/>
          <w:spacing w:val="-20"/>
        </w:rPr>
        <w:t xml:space="preserve"> 万元以上 </w:t>
      </w:r>
      <w:r>
        <w:rPr>
          <w:color w:val="auto"/>
        </w:rPr>
        <w:t>40</w:t>
      </w:r>
      <w:r>
        <w:rPr>
          <w:color w:val="auto"/>
          <w:spacing w:val="-13"/>
        </w:rPr>
        <w:t xml:space="preserve"> 万元以下罚款；经营者为个人的，处 </w:t>
      </w:r>
      <w:r>
        <w:rPr>
          <w:color w:val="auto"/>
        </w:rPr>
        <w:t>4</w:t>
      </w:r>
      <w:r>
        <w:rPr>
          <w:color w:val="auto"/>
          <w:spacing w:val="-26"/>
        </w:rPr>
        <w:t xml:space="preserve"> 万元</w:t>
      </w:r>
      <w:r>
        <w:rPr>
          <w:color w:val="auto"/>
        </w:rPr>
        <w:t>以下罚款。</w:t>
      </w:r>
    </w:p>
    <w:p>
      <w:pPr>
        <w:pStyle w:val="4"/>
        <w:spacing w:before="4"/>
        <w:ind w:left="591"/>
        <w:rPr>
          <w:color w:val="auto"/>
        </w:rPr>
      </w:pPr>
      <w:r>
        <w:rPr>
          <w:color w:val="auto"/>
        </w:rPr>
        <w:t>3.【一般】</w:t>
      </w:r>
    </w:p>
    <w:p>
      <w:pPr>
        <w:pStyle w:val="4"/>
        <w:spacing w:before="192"/>
        <w:ind w:left="591"/>
        <w:rPr>
          <w:color w:val="auto"/>
        </w:rPr>
      </w:pPr>
      <w:r>
        <w:rPr>
          <w:color w:val="auto"/>
        </w:rPr>
        <w:t>有违法所得的，没收违法所得，并处违法所得 3 倍罚款。</w:t>
      </w:r>
    </w:p>
    <w:p>
      <w:pPr>
        <w:pStyle w:val="4"/>
        <w:spacing w:before="191"/>
        <w:ind w:left="591"/>
        <w:rPr>
          <w:color w:val="auto"/>
        </w:rPr>
      </w:pPr>
      <w:r>
        <w:rPr>
          <w:color w:val="auto"/>
          <w:spacing w:val="-8"/>
        </w:rPr>
        <w:t xml:space="preserve">没有违法所得的，处 </w:t>
      </w:r>
      <w:r>
        <w:rPr>
          <w:color w:val="auto"/>
        </w:rPr>
        <w:t>40</w:t>
      </w:r>
      <w:r>
        <w:rPr>
          <w:color w:val="auto"/>
          <w:spacing w:val="-20"/>
        </w:rPr>
        <w:t xml:space="preserve"> 万元以上 </w:t>
      </w:r>
      <w:r>
        <w:rPr>
          <w:color w:val="auto"/>
        </w:rPr>
        <w:t>60</w:t>
      </w:r>
      <w:r>
        <w:rPr>
          <w:color w:val="auto"/>
          <w:spacing w:val="-13"/>
        </w:rPr>
        <w:t xml:space="preserve"> 万元以下罚款；经营者为个人的，处 </w:t>
      </w:r>
      <w:r>
        <w:rPr>
          <w:color w:val="auto"/>
        </w:rPr>
        <w:t>4</w:t>
      </w:r>
      <w:r>
        <w:rPr>
          <w:color w:val="auto"/>
          <w:spacing w:val="-20"/>
        </w:rPr>
        <w:t xml:space="preserve"> 万元</w:t>
      </w:r>
    </w:p>
    <w:p>
      <w:pPr>
        <w:pStyle w:val="4"/>
        <w:spacing w:before="195" w:line="388" w:lineRule="auto"/>
        <w:ind w:left="591" w:right="6712" w:hanging="480"/>
        <w:rPr>
          <w:color w:val="auto"/>
        </w:rPr>
      </w:pPr>
      <w:r>
        <w:rPr>
          <w:color w:val="auto"/>
          <w:spacing w:val="-20"/>
        </w:rPr>
        <w:t xml:space="preserve">以上 </w:t>
      </w:r>
      <w:r>
        <w:rPr>
          <w:color w:val="auto"/>
        </w:rPr>
        <w:t>6</w:t>
      </w:r>
      <w:r>
        <w:rPr>
          <w:color w:val="auto"/>
          <w:spacing w:val="-10"/>
        </w:rPr>
        <w:t xml:space="preserve"> 万元以下罚款。</w:t>
      </w:r>
      <w:r>
        <w:rPr>
          <w:color w:val="auto"/>
        </w:rPr>
        <w:t>4.【从重】</w:t>
      </w:r>
    </w:p>
    <w:p>
      <w:pPr>
        <w:pStyle w:val="4"/>
        <w:spacing w:before="2"/>
        <w:ind w:left="591"/>
        <w:rPr>
          <w:color w:val="auto"/>
        </w:rPr>
      </w:pPr>
      <w:r>
        <w:rPr>
          <w:color w:val="auto"/>
        </w:rPr>
        <w:t>有违法所得的，没收违法所得，并处违法所得 4 倍或者 5 倍罚款。</w:t>
      </w:r>
    </w:p>
    <w:p>
      <w:pPr>
        <w:pStyle w:val="4"/>
        <w:spacing w:before="194"/>
        <w:ind w:left="591"/>
        <w:rPr>
          <w:color w:val="auto"/>
        </w:rPr>
      </w:pPr>
      <w:r>
        <w:rPr>
          <w:color w:val="auto"/>
          <w:spacing w:val="-6"/>
        </w:rPr>
        <w:t xml:space="preserve">没有违法所得的，处 </w:t>
      </w:r>
      <w:r>
        <w:rPr>
          <w:color w:val="auto"/>
        </w:rPr>
        <w:t>60</w:t>
      </w:r>
      <w:r>
        <w:rPr>
          <w:color w:val="auto"/>
          <w:spacing w:val="-19"/>
        </w:rPr>
        <w:t xml:space="preserve"> 万元以上 </w:t>
      </w:r>
      <w:r>
        <w:rPr>
          <w:color w:val="auto"/>
        </w:rPr>
        <w:t>500</w:t>
      </w:r>
      <w:r>
        <w:rPr>
          <w:color w:val="auto"/>
          <w:spacing w:val="-10"/>
        </w:rPr>
        <w:t xml:space="preserve"> 万元以下罚款；经营者为个人的，处 </w:t>
      </w:r>
      <w:r>
        <w:rPr>
          <w:color w:val="auto"/>
        </w:rPr>
        <w:t>6</w:t>
      </w:r>
      <w:r>
        <w:rPr>
          <w:color w:val="auto"/>
          <w:spacing w:val="-27"/>
        </w:rPr>
        <w:t xml:space="preserve"> 万</w:t>
      </w:r>
    </w:p>
    <w:p>
      <w:pPr>
        <w:pStyle w:val="4"/>
        <w:spacing w:before="191"/>
        <w:rPr>
          <w:color w:val="auto"/>
        </w:rPr>
      </w:pPr>
      <w:r>
        <w:rPr>
          <w:color w:val="auto"/>
        </w:rPr>
        <w:t>元以上 50 万元以下罚款。</w:t>
      </w:r>
    </w:p>
    <w:p>
      <w:pPr>
        <w:pStyle w:val="4"/>
        <w:spacing w:before="192"/>
        <w:ind w:left="591"/>
        <w:rPr>
          <w:color w:val="auto"/>
        </w:rPr>
      </w:pPr>
      <w:r>
        <w:rPr>
          <w:color w:val="auto"/>
        </w:rPr>
        <w:t>责令停业整顿，或者吊销营业执照。</w:t>
      </w:r>
    </w:p>
    <w:p>
      <w:pPr>
        <w:pStyle w:val="2"/>
        <w:spacing w:before="194" w:line="388" w:lineRule="auto"/>
        <w:ind w:left="111" w:right="240" w:firstLine="480"/>
        <w:rPr>
          <w:color w:val="auto"/>
        </w:rPr>
      </w:pPr>
      <w:bookmarkStart w:id="1442" w:name="_bookmark720"/>
      <w:bookmarkEnd w:id="1442"/>
      <w:bookmarkStart w:id="1443" w:name="七百零六、经营者相互串通，操纵市场价格，损害其他经营者或者消费者的合法权益"/>
      <w:bookmarkEnd w:id="1443"/>
      <w:r>
        <w:rPr>
          <w:color w:val="auto"/>
          <w:spacing w:val="-8"/>
        </w:rPr>
        <w:t>七百零六、经营者相互串通，操纵市场价格，损害其他经营者或者消费者的合法权益</w:t>
      </w:r>
    </w:p>
    <w:p>
      <w:pPr>
        <w:spacing w:before="2"/>
        <w:ind w:left="591" w:right="0" w:firstLine="0"/>
        <w:jc w:val="left"/>
        <w:rPr>
          <w:b/>
          <w:color w:val="auto"/>
          <w:sz w:val="24"/>
        </w:rPr>
      </w:pPr>
      <w:r>
        <w:rPr>
          <w:b/>
          <w:color w:val="auto"/>
          <w:sz w:val="24"/>
        </w:rPr>
        <w:t>（一）处罚依据</w:t>
      </w:r>
    </w:p>
    <w:p>
      <w:pPr>
        <w:pStyle w:val="13"/>
        <w:numPr>
          <w:ilvl w:val="0"/>
          <w:numId w:val="1665"/>
        </w:numPr>
        <w:tabs>
          <w:tab w:val="left" w:pos="833"/>
        </w:tabs>
        <w:spacing w:before="194" w:after="0" w:line="240" w:lineRule="auto"/>
        <w:ind w:left="832" w:right="0" w:hanging="242"/>
        <w:jc w:val="left"/>
        <w:rPr>
          <w:color w:val="auto"/>
          <w:sz w:val="24"/>
        </w:rPr>
      </w:pPr>
      <w:r>
        <w:rPr>
          <w:color w:val="auto"/>
          <w:sz w:val="24"/>
        </w:rPr>
        <w:t>《中华人民共和国价格法》第十四条“经营者不得有下列不正当价格行为</w:t>
      </w:r>
    </w:p>
    <w:p>
      <w:pPr>
        <w:pStyle w:val="4"/>
        <w:spacing w:before="192"/>
        <w:ind w:left="591"/>
        <w:rPr>
          <w:color w:val="auto"/>
        </w:rPr>
      </w:pPr>
      <w:r>
        <w:rPr>
          <w:color w:val="auto"/>
        </w:rPr>
        <w:t>（一）相互串通，操纵市场价格，损害其他经营者或者消费者的合法权益。”</w:t>
      </w:r>
    </w:p>
    <w:p>
      <w:pPr>
        <w:pStyle w:val="4"/>
        <w:spacing w:before="192" w:line="391" w:lineRule="auto"/>
        <w:ind w:right="232" w:firstLine="480"/>
        <w:jc w:val="both"/>
        <w:rPr>
          <w:color w:val="auto"/>
        </w:rPr>
      </w:pPr>
      <w:r>
        <w:rPr>
          <w:color w:val="auto"/>
        </w:rPr>
        <w:t>《中华人民共和国价格法》第四十条“经营者有本法第十四条所列行为之一的， 责令改正，没收违法所得，可以并处违法所得五倍以下的罚款；没有违法所得的，予以警告，可以并处罚款；情节严重的，责令停业整顿，或者吊销营业执照。”</w:t>
      </w:r>
    </w:p>
    <w:p>
      <w:pPr>
        <w:pStyle w:val="13"/>
        <w:numPr>
          <w:ilvl w:val="0"/>
          <w:numId w:val="1665"/>
        </w:numPr>
        <w:tabs>
          <w:tab w:val="left" w:pos="833"/>
        </w:tabs>
        <w:spacing w:before="0" w:after="0" w:line="391" w:lineRule="auto"/>
        <w:ind w:left="111" w:right="266" w:firstLine="480"/>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5"/>
          <w:sz w:val="24"/>
        </w:rPr>
        <w:t>第五条“除前款规定情</w:t>
      </w:r>
      <w:r>
        <w:rPr>
          <w:color w:val="auto"/>
          <w:spacing w:val="-7"/>
          <w:sz w:val="24"/>
        </w:rPr>
        <w:t>形外，经营者相互串通，操纵市场价格，损害其他经营者或者消费者合法权益的，依</w:t>
      </w:r>
      <w:r>
        <w:rPr>
          <w:color w:val="auto"/>
          <w:sz w:val="24"/>
        </w:rPr>
        <w:t>照本规定第四条的规定处罚。</w:t>
      </w:r>
    </w:p>
    <w:p>
      <w:pPr>
        <w:pStyle w:val="13"/>
        <w:numPr>
          <w:ilvl w:val="0"/>
          <w:numId w:val="1665"/>
        </w:numPr>
        <w:tabs>
          <w:tab w:val="left" w:pos="833"/>
        </w:tabs>
        <w:spacing w:before="0" w:after="0" w:line="304" w:lineRule="exact"/>
        <w:ind w:left="832" w:right="0" w:hanging="242"/>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3"/>
          <w:sz w:val="24"/>
        </w:rPr>
        <w:t>第四条“经营者违反价</w:t>
      </w:r>
    </w:p>
    <w:p>
      <w:pPr>
        <w:spacing w:after="0" w:line="304" w:lineRule="exact"/>
        <w:jc w:val="both"/>
        <w:rPr>
          <w:color w:val="auto"/>
          <w:sz w:val="24"/>
        </w:rPr>
        <w:sectPr>
          <w:pgSz w:w="11910" w:h="16840"/>
          <w:pgMar w:top="1520" w:right="1260" w:bottom="1220" w:left="1420" w:header="0" w:footer="1034" w:gutter="0"/>
        </w:sectPr>
      </w:pPr>
    </w:p>
    <w:p>
      <w:pPr>
        <w:pStyle w:val="4"/>
        <w:spacing w:before="39" w:line="391" w:lineRule="auto"/>
        <w:ind w:right="148"/>
        <w:rPr>
          <w:color w:val="auto"/>
        </w:rPr>
      </w:pPr>
      <w:r>
        <w:rPr>
          <w:color w:val="auto"/>
          <w:spacing w:val="-4"/>
        </w:rPr>
        <w:t>格法第十四条的规定，有下列行为之一的，责令改正，没收违法所得，并处违法所得 5</w:t>
      </w:r>
      <w:r>
        <w:rPr>
          <w:color w:val="auto"/>
          <w:spacing w:val="-19"/>
        </w:rPr>
        <w:t xml:space="preserve"> 倍以下的罚款；没有违法所得的，处 </w:t>
      </w:r>
      <w:r>
        <w:rPr>
          <w:color w:val="auto"/>
        </w:rPr>
        <w:t>10</w:t>
      </w:r>
      <w:r>
        <w:rPr>
          <w:color w:val="auto"/>
          <w:spacing w:val="-20"/>
        </w:rPr>
        <w:t xml:space="preserve"> 万元以上 </w:t>
      </w:r>
      <w:r>
        <w:rPr>
          <w:color w:val="auto"/>
        </w:rPr>
        <w:t>100</w:t>
      </w:r>
      <w:r>
        <w:rPr>
          <w:color w:val="auto"/>
          <w:spacing w:val="-13"/>
        </w:rPr>
        <w:t xml:space="preserve"> 万元以下的罚款；情节严重的， </w:t>
      </w:r>
      <w:r>
        <w:rPr>
          <w:color w:val="auto"/>
        </w:rPr>
        <w:t>责令停业整顿，或者吊销营业执照。”</w:t>
      </w:r>
    </w:p>
    <w:p>
      <w:pPr>
        <w:pStyle w:val="13"/>
        <w:numPr>
          <w:ilvl w:val="0"/>
          <w:numId w:val="1665"/>
        </w:numPr>
        <w:tabs>
          <w:tab w:val="left" w:pos="833"/>
        </w:tabs>
        <w:spacing w:before="0" w:after="0" w:line="391" w:lineRule="auto"/>
        <w:ind w:left="111" w:right="266" w:firstLine="480"/>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4"/>
          <w:sz w:val="24"/>
        </w:rPr>
        <w:t>第十一条“本规定第四</w:t>
      </w:r>
      <w:r>
        <w:rPr>
          <w:color w:val="auto"/>
          <w:spacing w:val="-6"/>
          <w:sz w:val="24"/>
        </w:rPr>
        <w:t>条、第七条至第九条规定中经营者为个人的，对其没有违法所得的价格违法行为，可</w:t>
      </w:r>
      <w:r>
        <w:rPr>
          <w:color w:val="auto"/>
          <w:spacing w:val="-20"/>
          <w:sz w:val="24"/>
        </w:rPr>
        <w:t xml:space="preserve">以处 </w:t>
      </w:r>
      <w:r>
        <w:rPr>
          <w:color w:val="auto"/>
          <w:sz w:val="24"/>
        </w:rPr>
        <w:t>10</w:t>
      </w:r>
      <w:r>
        <w:rPr>
          <w:color w:val="auto"/>
          <w:spacing w:val="-8"/>
          <w:sz w:val="24"/>
        </w:rPr>
        <w:t xml:space="preserve"> 万元以下的罚款。</w:t>
      </w:r>
    </w:p>
    <w:p>
      <w:pPr>
        <w:pStyle w:val="4"/>
        <w:spacing w:line="391" w:lineRule="auto"/>
        <w:ind w:right="232" w:firstLine="480"/>
        <w:jc w:val="right"/>
        <w:rPr>
          <w:color w:val="auto"/>
        </w:rPr>
      </w:pPr>
      <w:r>
        <w:rPr>
          <w:color w:val="auto"/>
          <w:spacing w:val="-4"/>
        </w:rPr>
        <w:t>本规定第五条、第六条、第十条规定中经营者为个人的，对其没有违法所得的价</w:t>
      </w:r>
      <w:r>
        <w:rPr>
          <w:color w:val="auto"/>
          <w:spacing w:val="-7"/>
        </w:rPr>
        <w:t xml:space="preserve">格违法行为，按照前款规定处罚；情节严重，处 </w:t>
      </w:r>
      <w:r>
        <w:rPr>
          <w:color w:val="auto"/>
        </w:rPr>
        <w:t>10</w:t>
      </w:r>
      <w:r>
        <w:rPr>
          <w:color w:val="auto"/>
          <w:spacing w:val="-20"/>
        </w:rPr>
        <w:t xml:space="preserve"> 万元以上 </w:t>
      </w:r>
      <w:r>
        <w:rPr>
          <w:color w:val="auto"/>
        </w:rPr>
        <w:t>50</w:t>
      </w:r>
      <w:r>
        <w:rPr>
          <w:color w:val="auto"/>
          <w:spacing w:val="-9"/>
        </w:rPr>
        <w:t xml:space="preserve"> 万元以下的罚款。”</w:t>
      </w:r>
      <w:r>
        <w:rPr>
          <w:color w:val="auto"/>
        </w:rPr>
        <w:t xml:space="preserve"> </w:t>
      </w:r>
      <w:r>
        <w:rPr>
          <w:color w:val="auto"/>
          <w:spacing w:val="-6"/>
        </w:rPr>
        <w:t>5</w:t>
      </w:r>
      <w:r>
        <w:rPr>
          <w:color w:val="auto"/>
          <w:spacing w:val="-3"/>
        </w:rPr>
        <w:t>.《国家发展改革委关于印发&lt;规范价格行政处罚权的若干规定&gt;的通知》</w:t>
      </w:r>
      <w:r>
        <w:rPr>
          <w:color w:val="auto"/>
        </w:rPr>
        <w:t>（发改</w:t>
      </w:r>
    </w:p>
    <w:p>
      <w:pPr>
        <w:pStyle w:val="4"/>
        <w:spacing w:line="391" w:lineRule="auto"/>
        <w:ind w:right="146"/>
        <w:rPr>
          <w:color w:val="auto"/>
        </w:rPr>
      </w:pPr>
      <w:r>
        <w:rPr>
          <w:color w:val="auto"/>
          <w:spacing w:val="-15"/>
        </w:rPr>
        <w:t>价监〔</w:t>
      </w:r>
      <w:r>
        <w:rPr>
          <w:color w:val="auto"/>
        </w:rPr>
        <w:t>2014</w:t>
      </w:r>
      <w:r>
        <w:rPr>
          <w:color w:val="auto"/>
          <w:spacing w:val="-44"/>
        </w:rPr>
        <w:t>〕</w:t>
      </w:r>
      <w:r>
        <w:rPr>
          <w:color w:val="auto"/>
        </w:rPr>
        <w:t>1223</w:t>
      </w:r>
      <w:r>
        <w:rPr>
          <w:color w:val="auto"/>
          <w:spacing w:val="-30"/>
        </w:rPr>
        <w:t xml:space="preserve"> 号</w:t>
      </w:r>
      <w:r>
        <w:rPr>
          <w:color w:val="auto"/>
          <w:spacing w:val="-44"/>
        </w:rPr>
        <w:t>）</w:t>
      </w:r>
      <w:r>
        <w:rPr>
          <w:color w:val="auto"/>
          <w:spacing w:val="-11"/>
        </w:rPr>
        <w:t xml:space="preserve">第十一条“法律、法规和规章规定可以处或者可以并处罚款的， </w:t>
      </w:r>
      <w:r>
        <w:rPr>
          <w:color w:val="auto"/>
          <w:spacing w:val="3"/>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91"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4"/>
        <w:spacing w:line="391" w:lineRule="auto"/>
        <w:ind w:right="266" w:firstLine="480"/>
        <w:jc w:val="both"/>
        <w:rPr>
          <w:color w:val="auto"/>
        </w:rPr>
      </w:pPr>
      <w:r>
        <w:rPr>
          <w:color w:val="auto"/>
          <w:spacing w:val="-6"/>
        </w:rPr>
        <w:t>6</w:t>
      </w:r>
      <w:r>
        <w:rPr>
          <w:color w:val="auto"/>
          <w:spacing w:val="-3"/>
        </w:rPr>
        <w:t>.《国家发展改革委关于印发&lt;规范价格行政处罚权的若干规定&gt;的通知》</w:t>
      </w:r>
      <w:r>
        <w:rPr>
          <w:color w:val="auto"/>
        </w:rPr>
        <w:t>（</w:t>
      </w:r>
      <w:r>
        <w:rPr>
          <w:color w:val="auto"/>
          <w:spacing w:val="-8"/>
        </w:rPr>
        <w:t>发改</w:t>
      </w:r>
      <w:r>
        <w:rPr>
          <w:color w:val="auto"/>
          <w:spacing w:val="-5"/>
        </w:rPr>
        <w:t>价监〔</w:t>
      </w:r>
      <w:r>
        <w:rPr>
          <w:color w:val="auto"/>
        </w:rPr>
        <w:t>2014</w:t>
      </w:r>
      <w:r>
        <w:rPr>
          <w:color w:val="auto"/>
          <w:spacing w:val="-10"/>
        </w:rPr>
        <w:t>〕</w:t>
      </w:r>
      <w:r>
        <w:rPr>
          <w:color w:val="auto"/>
        </w:rPr>
        <w:t>1223</w:t>
      </w:r>
      <w:r>
        <w:rPr>
          <w:color w:val="auto"/>
          <w:spacing w:val="-30"/>
        </w:rPr>
        <w:t xml:space="preserve"> 号</w:t>
      </w:r>
      <w:r>
        <w:rPr>
          <w:color w:val="auto"/>
          <w:spacing w:val="-10"/>
        </w:rPr>
        <w:t>）第十二条“对《价格法》、《价格违法行为行政处罚规定》规</w:t>
      </w:r>
      <w:r>
        <w:rPr>
          <w:color w:val="auto"/>
          <w:spacing w:val="-4"/>
        </w:rPr>
        <w:t>定一定幅度范围的罚款处罚，价格主管部门应当按照以下标准确定从轻处罚、一般处</w:t>
      </w:r>
      <w:r>
        <w:rPr>
          <w:color w:val="auto"/>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75"/>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1"/>
        <w:rPr>
          <w:color w:val="auto"/>
        </w:rPr>
      </w:pPr>
      <w:r>
        <w:rPr>
          <w:color w:val="auto"/>
        </w:rPr>
        <w:t>3 倍，从重处罚应当为违法所得的 4 倍或者 5 倍；</w:t>
      </w:r>
    </w:p>
    <w:p>
      <w:pPr>
        <w:pStyle w:val="4"/>
        <w:spacing w:before="192"/>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4"/>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88" w:lineRule="auto"/>
        <w:ind w:right="222" w:firstLine="480"/>
        <w:rPr>
          <w:color w:val="auto"/>
        </w:rPr>
      </w:pPr>
      <w:r>
        <w:rPr>
          <w:color w:val="auto"/>
        </w:rPr>
        <w:t>（三）《价格法》、《价格违法行为行政处罚规定》规定处最低数额以上和最高数额以下罚款的，从轻处罚应当低于最高数额的 40%且不低于最低数额，一般处罚应</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当为最高数额的 40%至 60%，从重处罚应当高于最高数额的 60%；</w:t>
      </w:r>
    </w:p>
    <w:p>
      <w:pPr>
        <w:pStyle w:val="4"/>
        <w:spacing w:before="195" w:line="388"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5" w:line="388" w:lineRule="auto"/>
        <w:ind w:left="591" w:right="6948" w:firstLine="0"/>
        <w:jc w:val="left"/>
        <w:rPr>
          <w:color w:val="auto"/>
          <w:sz w:val="24"/>
        </w:rPr>
      </w:pPr>
      <w:r>
        <w:rPr>
          <w:b/>
          <w:color w:val="auto"/>
          <w:sz w:val="24"/>
        </w:rPr>
        <w:t>（二）裁量标准</w:t>
      </w:r>
      <w:r>
        <w:rPr>
          <w:color w:val="auto"/>
          <w:sz w:val="24"/>
        </w:rPr>
        <w:t>1.【减轻】</w:t>
      </w:r>
    </w:p>
    <w:p>
      <w:pPr>
        <w:pStyle w:val="4"/>
        <w:spacing w:before="2"/>
        <w:ind w:left="591"/>
        <w:rPr>
          <w:color w:val="auto"/>
        </w:rPr>
      </w:pPr>
      <w:r>
        <w:rPr>
          <w:color w:val="auto"/>
        </w:rPr>
        <w:t>有违法所得的，没收违法所得，不予罚款。</w:t>
      </w:r>
    </w:p>
    <w:p>
      <w:pPr>
        <w:pStyle w:val="4"/>
        <w:spacing w:before="194" w:line="388" w:lineRule="auto"/>
        <w:ind w:left="591" w:right="148"/>
        <w:rPr>
          <w:color w:val="auto"/>
        </w:rPr>
      </w:pPr>
      <w:r>
        <w:rPr>
          <w:color w:val="auto"/>
          <w:spacing w:val="-8"/>
        </w:rPr>
        <w:t xml:space="preserve">没有违法所得的，处 </w:t>
      </w:r>
      <w:r>
        <w:rPr>
          <w:color w:val="auto"/>
        </w:rPr>
        <w:t>1</w:t>
      </w:r>
      <w:r>
        <w:rPr>
          <w:color w:val="auto"/>
          <w:spacing w:val="-20"/>
        </w:rPr>
        <w:t xml:space="preserve"> 万元以上 </w:t>
      </w:r>
      <w:r>
        <w:rPr>
          <w:color w:val="auto"/>
        </w:rPr>
        <w:t>10</w:t>
      </w:r>
      <w:r>
        <w:rPr>
          <w:color w:val="auto"/>
          <w:spacing w:val="-11"/>
        </w:rPr>
        <w:t xml:space="preserve"> 万元以下罚款；经营者为个人的，不予罚款。</w:t>
      </w:r>
      <w:r>
        <w:rPr>
          <w:color w:val="auto"/>
        </w:rPr>
        <w:t>2.【从轻】</w:t>
      </w:r>
    </w:p>
    <w:p>
      <w:pPr>
        <w:pStyle w:val="4"/>
        <w:spacing w:before="2"/>
        <w:ind w:left="591"/>
        <w:rPr>
          <w:color w:val="auto"/>
        </w:rPr>
      </w:pPr>
      <w:r>
        <w:rPr>
          <w:color w:val="auto"/>
        </w:rPr>
        <w:t>有违法所得的，没收违法所得，并处违法所得 2 倍或者 1 倍以下罚款。</w:t>
      </w:r>
    </w:p>
    <w:p>
      <w:pPr>
        <w:pStyle w:val="4"/>
        <w:spacing w:before="195" w:line="388" w:lineRule="auto"/>
        <w:ind w:right="268" w:firstLine="480"/>
        <w:rPr>
          <w:color w:val="auto"/>
        </w:rPr>
      </w:pPr>
      <w:r>
        <w:rPr>
          <w:color w:val="auto"/>
          <w:spacing w:val="-8"/>
        </w:rPr>
        <w:t xml:space="preserve">没有违法所得的，处 </w:t>
      </w:r>
      <w:r>
        <w:rPr>
          <w:color w:val="auto"/>
        </w:rPr>
        <w:t>10</w:t>
      </w:r>
      <w:r>
        <w:rPr>
          <w:color w:val="auto"/>
          <w:spacing w:val="-20"/>
        </w:rPr>
        <w:t xml:space="preserve"> 万元以上 </w:t>
      </w:r>
      <w:r>
        <w:rPr>
          <w:color w:val="auto"/>
        </w:rPr>
        <w:t>40</w:t>
      </w:r>
      <w:r>
        <w:rPr>
          <w:color w:val="auto"/>
          <w:spacing w:val="-13"/>
        </w:rPr>
        <w:t xml:space="preserve"> 万元以下罚款；经营者为个人的，处 </w:t>
      </w:r>
      <w:r>
        <w:rPr>
          <w:color w:val="auto"/>
        </w:rPr>
        <w:t>4</w:t>
      </w:r>
      <w:r>
        <w:rPr>
          <w:color w:val="auto"/>
          <w:spacing w:val="-26"/>
        </w:rPr>
        <w:t xml:space="preserve"> 万元</w:t>
      </w:r>
      <w:r>
        <w:rPr>
          <w:color w:val="auto"/>
        </w:rPr>
        <w:t>以下罚款。</w:t>
      </w:r>
    </w:p>
    <w:p>
      <w:pPr>
        <w:pStyle w:val="4"/>
        <w:spacing w:before="2"/>
        <w:ind w:left="591"/>
        <w:rPr>
          <w:color w:val="auto"/>
        </w:rPr>
      </w:pPr>
      <w:r>
        <w:rPr>
          <w:color w:val="auto"/>
        </w:rPr>
        <w:t>3.【一般】</w:t>
      </w:r>
    </w:p>
    <w:p>
      <w:pPr>
        <w:pStyle w:val="4"/>
        <w:spacing w:before="194"/>
        <w:ind w:left="591"/>
        <w:rPr>
          <w:color w:val="auto"/>
        </w:rPr>
      </w:pPr>
      <w:r>
        <w:rPr>
          <w:color w:val="auto"/>
        </w:rPr>
        <w:t>有违法所得的，没收违法所得，并处违法所得 3 倍罚款。</w:t>
      </w:r>
    </w:p>
    <w:p>
      <w:pPr>
        <w:pStyle w:val="4"/>
        <w:spacing w:before="191"/>
        <w:ind w:left="591"/>
        <w:rPr>
          <w:color w:val="auto"/>
        </w:rPr>
      </w:pPr>
      <w:r>
        <w:rPr>
          <w:color w:val="auto"/>
          <w:spacing w:val="-8"/>
        </w:rPr>
        <w:t xml:space="preserve">没有违法所得的，处 </w:t>
      </w:r>
      <w:r>
        <w:rPr>
          <w:color w:val="auto"/>
        </w:rPr>
        <w:t>40</w:t>
      </w:r>
      <w:r>
        <w:rPr>
          <w:color w:val="auto"/>
          <w:spacing w:val="-20"/>
        </w:rPr>
        <w:t xml:space="preserve"> 万元以上 </w:t>
      </w:r>
      <w:r>
        <w:rPr>
          <w:color w:val="auto"/>
        </w:rPr>
        <w:t>60</w:t>
      </w:r>
      <w:r>
        <w:rPr>
          <w:color w:val="auto"/>
          <w:spacing w:val="-13"/>
        </w:rPr>
        <w:t xml:space="preserve"> 万元以下罚款；经营者为个人的，处 </w:t>
      </w:r>
      <w:r>
        <w:rPr>
          <w:color w:val="auto"/>
        </w:rPr>
        <w:t>4</w:t>
      </w:r>
      <w:r>
        <w:rPr>
          <w:color w:val="auto"/>
          <w:spacing w:val="-20"/>
        </w:rPr>
        <w:t xml:space="preserve"> 万元</w:t>
      </w:r>
    </w:p>
    <w:p>
      <w:pPr>
        <w:pStyle w:val="4"/>
        <w:spacing w:before="192" w:line="391" w:lineRule="auto"/>
        <w:ind w:left="591" w:right="6712" w:hanging="480"/>
        <w:rPr>
          <w:color w:val="auto"/>
        </w:rPr>
      </w:pPr>
      <w:r>
        <w:rPr>
          <w:color w:val="auto"/>
          <w:spacing w:val="-20"/>
        </w:rPr>
        <w:t xml:space="preserve">以上 </w:t>
      </w:r>
      <w:r>
        <w:rPr>
          <w:color w:val="auto"/>
        </w:rPr>
        <w:t>6</w:t>
      </w:r>
      <w:r>
        <w:rPr>
          <w:color w:val="auto"/>
          <w:spacing w:val="-10"/>
        </w:rPr>
        <w:t xml:space="preserve"> 万元以下罚款。</w:t>
      </w:r>
      <w:r>
        <w:rPr>
          <w:color w:val="auto"/>
        </w:rPr>
        <w:t>4.【从重】</w:t>
      </w:r>
    </w:p>
    <w:p>
      <w:pPr>
        <w:pStyle w:val="4"/>
        <w:spacing w:line="306" w:lineRule="exact"/>
        <w:ind w:left="591"/>
        <w:rPr>
          <w:color w:val="auto"/>
        </w:rPr>
      </w:pPr>
      <w:r>
        <w:rPr>
          <w:color w:val="auto"/>
        </w:rPr>
        <w:t>有违法所得的，没收违法所得，并处违法所得 4 倍或者 5 倍罚款。</w:t>
      </w:r>
    </w:p>
    <w:p>
      <w:pPr>
        <w:pStyle w:val="4"/>
        <w:spacing w:before="192"/>
        <w:ind w:left="591"/>
        <w:rPr>
          <w:color w:val="auto"/>
        </w:rPr>
      </w:pPr>
      <w:r>
        <w:rPr>
          <w:color w:val="auto"/>
          <w:spacing w:val="-6"/>
        </w:rPr>
        <w:t xml:space="preserve">没有违法所得的，处 </w:t>
      </w:r>
      <w:r>
        <w:rPr>
          <w:color w:val="auto"/>
        </w:rPr>
        <w:t>60</w:t>
      </w:r>
      <w:r>
        <w:rPr>
          <w:color w:val="auto"/>
          <w:spacing w:val="-19"/>
        </w:rPr>
        <w:t xml:space="preserve"> 万元以上 </w:t>
      </w:r>
      <w:r>
        <w:rPr>
          <w:color w:val="auto"/>
        </w:rPr>
        <w:t>100</w:t>
      </w:r>
      <w:r>
        <w:rPr>
          <w:color w:val="auto"/>
          <w:spacing w:val="-10"/>
        </w:rPr>
        <w:t xml:space="preserve"> 万元以下罚款；经营者为个人的，处 </w:t>
      </w:r>
      <w:r>
        <w:rPr>
          <w:color w:val="auto"/>
        </w:rPr>
        <w:t>6</w:t>
      </w:r>
      <w:r>
        <w:rPr>
          <w:color w:val="auto"/>
          <w:spacing w:val="-27"/>
        </w:rPr>
        <w:t xml:space="preserve"> 万</w:t>
      </w:r>
    </w:p>
    <w:p>
      <w:pPr>
        <w:pStyle w:val="4"/>
        <w:spacing w:before="194"/>
        <w:rPr>
          <w:color w:val="auto"/>
        </w:rPr>
      </w:pPr>
      <w:r>
        <w:rPr>
          <w:color w:val="auto"/>
        </w:rPr>
        <w:t>元以上 10 万元以下罚款。</w:t>
      </w:r>
    </w:p>
    <w:p>
      <w:pPr>
        <w:pStyle w:val="4"/>
        <w:spacing w:before="192"/>
        <w:ind w:left="591"/>
        <w:rPr>
          <w:color w:val="auto"/>
        </w:rPr>
      </w:pPr>
      <w:r>
        <w:rPr>
          <w:color w:val="auto"/>
        </w:rPr>
        <w:t>责令停业整顿，或者吊销营业执照。</w:t>
      </w:r>
    </w:p>
    <w:p>
      <w:pPr>
        <w:pStyle w:val="2"/>
        <w:spacing w:before="191"/>
        <w:rPr>
          <w:color w:val="auto"/>
        </w:rPr>
      </w:pPr>
      <w:bookmarkStart w:id="1444" w:name="_bookmark721"/>
      <w:bookmarkEnd w:id="1444"/>
      <w:bookmarkStart w:id="1445" w:name="七百零七、行业协会或者其他单位组织经营者相互串通，操纵市场价格"/>
      <w:bookmarkEnd w:id="1445"/>
      <w:r>
        <w:rPr>
          <w:color w:val="auto"/>
        </w:rPr>
        <w:t>七百零七、行业协会或者其他单位组织经营者相互串通，操纵市场价格</w:t>
      </w:r>
    </w:p>
    <w:p>
      <w:pPr>
        <w:spacing w:before="194"/>
        <w:ind w:left="591" w:right="0" w:firstLine="0"/>
        <w:jc w:val="left"/>
        <w:rPr>
          <w:b/>
          <w:color w:val="auto"/>
          <w:sz w:val="24"/>
        </w:rPr>
      </w:pPr>
      <w:r>
        <w:rPr>
          <w:b/>
          <w:color w:val="auto"/>
          <w:sz w:val="24"/>
        </w:rPr>
        <w:t>（一）处罚依据</w:t>
      </w:r>
    </w:p>
    <w:p>
      <w:pPr>
        <w:pStyle w:val="13"/>
        <w:numPr>
          <w:ilvl w:val="0"/>
          <w:numId w:val="1666"/>
        </w:numPr>
        <w:tabs>
          <w:tab w:val="left" w:pos="833"/>
        </w:tabs>
        <w:spacing w:before="192" w:after="0" w:line="240" w:lineRule="auto"/>
        <w:ind w:left="832" w:right="0" w:hanging="242"/>
        <w:jc w:val="left"/>
        <w:rPr>
          <w:color w:val="auto"/>
          <w:sz w:val="24"/>
        </w:rPr>
      </w:pPr>
      <w:r>
        <w:rPr>
          <w:color w:val="auto"/>
          <w:sz w:val="24"/>
        </w:rPr>
        <w:t>《中华人民共和国价格法》第十四条“经营者不得有下列不正当价格行为</w:t>
      </w:r>
    </w:p>
    <w:p>
      <w:pPr>
        <w:pStyle w:val="4"/>
        <w:spacing w:before="192"/>
        <w:ind w:left="591"/>
        <w:rPr>
          <w:color w:val="auto"/>
        </w:rPr>
      </w:pPr>
      <w:r>
        <w:rPr>
          <w:color w:val="auto"/>
        </w:rPr>
        <w:t>（一）相互串通，操纵市场价格，损害其他经营者或者消费者的合法权益。”</w:t>
      </w:r>
    </w:p>
    <w:p>
      <w:pPr>
        <w:pStyle w:val="13"/>
        <w:numPr>
          <w:ilvl w:val="0"/>
          <w:numId w:val="1666"/>
        </w:numPr>
        <w:tabs>
          <w:tab w:val="left" w:pos="833"/>
        </w:tabs>
        <w:spacing w:before="194" w:after="0" w:line="388" w:lineRule="auto"/>
        <w:ind w:left="111" w:right="148" w:firstLine="480"/>
        <w:jc w:val="left"/>
        <w:rPr>
          <w:color w:val="auto"/>
          <w:sz w:val="24"/>
        </w:rPr>
      </w:pPr>
      <w:r>
        <w:rPr>
          <w:color w:val="auto"/>
          <w:spacing w:val="-8"/>
          <w:sz w:val="24"/>
        </w:rPr>
        <w:t xml:space="preserve">《中华人民共和国价格法》第四十条“经营者有本法第十四条所列行为之一的，责令改正，没收违法所得，可以并处违法所得五倍以下的罚款；没有违法所得的， </w:t>
      </w:r>
      <w:r>
        <w:rPr>
          <w:color w:val="auto"/>
          <w:sz w:val="24"/>
        </w:rPr>
        <w:t>予以警告，可以并处罚款；情节严重的，责令停业整顿，或者吊销营业执照。”</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1666"/>
        </w:numPr>
        <w:tabs>
          <w:tab w:val="left" w:pos="833"/>
        </w:tabs>
        <w:spacing w:before="39" w:after="0" w:line="391" w:lineRule="auto"/>
        <w:ind w:left="111" w:right="232" w:firstLine="480"/>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3"/>
          <w:sz w:val="24"/>
        </w:rPr>
        <w:t>第五条“行业协会或者</w:t>
      </w:r>
      <w:r>
        <w:rPr>
          <w:color w:val="auto"/>
          <w:spacing w:val="-4"/>
          <w:sz w:val="24"/>
        </w:rPr>
        <w:t xml:space="preserve">其他单位组织经营者相互串通，操纵市场价格的，对经营者依照前两款的规定处罚； </w:t>
      </w:r>
      <w:r>
        <w:rPr>
          <w:color w:val="auto"/>
          <w:spacing w:val="-3"/>
          <w:sz w:val="24"/>
        </w:rPr>
        <w:t xml:space="preserve">对行业协会或者其他单位，可以处 </w:t>
      </w:r>
      <w:r>
        <w:rPr>
          <w:color w:val="auto"/>
          <w:sz w:val="24"/>
        </w:rPr>
        <w:t>50</w:t>
      </w:r>
      <w:r>
        <w:rPr>
          <w:color w:val="auto"/>
          <w:spacing w:val="-6"/>
          <w:sz w:val="24"/>
        </w:rPr>
        <w:t xml:space="preserve"> 万元以下的罚款，情节严重的，由登记管理机关依法撤销登记、吊销执照。”</w:t>
      </w:r>
    </w:p>
    <w:p>
      <w:pPr>
        <w:pStyle w:val="13"/>
        <w:numPr>
          <w:ilvl w:val="0"/>
          <w:numId w:val="1666"/>
        </w:numPr>
        <w:tabs>
          <w:tab w:val="left" w:pos="833"/>
        </w:tabs>
        <w:spacing w:before="0" w:after="0" w:line="388" w:lineRule="auto"/>
        <w:ind w:left="111" w:right="266" w:firstLine="480"/>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4"/>
          <w:sz w:val="24"/>
        </w:rPr>
        <w:t>第十一条“本规定第四</w:t>
      </w:r>
      <w:r>
        <w:rPr>
          <w:color w:val="auto"/>
          <w:spacing w:val="-6"/>
          <w:sz w:val="24"/>
        </w:rPr>
        <w:t>条、第七条至第九条规定中经营者为个人的，对其没有违法所得的价格违法行为，可</w:t>
      </w:r>
      <w:r>
        <w:rPr>
          <w:color w:val="auto"/>
          <w:spacing w:val="-20"/>
          <w:sz w:val="24"/>
        </w:rPr>
        <w:t xml:space="preserve">以处 </w:t>
      </w:r>
      <w:r>
        <w:rPr>
          <w:color w:val="auto"/>
          <w:sz w:val="24"/>
        </w:rPr>
        <w:t>10</w:t>
      </w:r>
      <w:r>
        <w:rPr>
          <w:color w:val="auto"/>
          <w:spacing w:val="-8"/>
          <w:sz w:val="24"/>
        </w:rPr>
        <w:t xml:space="preserve"> 万元以下的罚款。</w:t>
      </w:r>
    </w:p>
    <w:p>
      <w:pPr>
        <w:pStyle w:val="4"/>
        <w:spacing w:before="3" w:line="388" w:lineRule="auto"/>
        <w:ind w:right="232" w:firstLine="480"/>
        <w:jc w:val="right"/>
        <w:rPr>
          <w:color w:val="auto"/>
        </w:rPr>
      </w:pPr>
      <w:r>
        <w:rPr>
          <w:color w:val="auto"/>
          <w:spacing w:val="-4"/>
        </w:rPr>
        <w:t>本规定第五条、第六条、第十条规定中经营者为个人的，对其没有违法所得的价</w:t>
      </w:r>
      <w:r>
        <w:rPr>
          <w:color w:val="auto"/>
          <w:spacing w:val="-7"/>
        </w:rPr>
        <w:t xml:space="preserve">格违法行为，按照前款规定处罚；情节严重，处 </w:t>
      </w:r>
      <w:r>
        <w:rPr>
          <w:color w:val="auto"/>
        </w:rPr>
        <w:t>10</w:t>
      </w:r>
      <w:r>
        <w:rPr>
          <w:color w:val="auto"/>
          <w:spacing w:val="-20"/>
        </w:rPr>
        <w:t xml:space="preserve"> 万元以上 </w:t>
      </w:r>
      <w:r>
        <w:rPr>
          <w:color w:val="auto"/>
        </w:rPr>
        <w:t>50</w:t>
      </w:r>
      <w:r>
        <w:rPr>
          <w:color w:val="auto"/>
          <w:spacing w:val="-9"/>
        </w:rPr>
        <w:t xml:space="preserve"> 万元以下的罚款。”</w:t>
      </w:r>
      <w:r>
        <w:rPr>
          <w:color w:val="auto"/>
        </w:rPr>
        <w:t xml:space="preserve"> </w:t>
      </w:r>
      <w:r>
        <w:rPr>
          <w:color w:val="auto"/>
          <w:spacing w:val="-6"/>
        </w:rPr>
        <w:t>5</w:t>
      </w:r>
      <w:r>
        <w:rPr>
          <w:color w:val="auto"/>
          <w:spacing w:val="-3"/>
        </w:rPr>
        <w:t>.《国家发展改革委关于印发&lt;规范价格行政处罚权的若干规定&gt;的通知》</w:t>
      </w:r>
      <w:r>
        <w:rPr>
          <w:color w:val="auto"/>
        </w:rPr>
        <w:t>（发改</w:t>
      </w:r>
    </w:p>
    <w:p>
      <w:pPr>
        <w:pStyle w:val="4"/>
        <w:spacing w:before="5" w:line="388" w:lineRule="auto"/>
        <w:ind w:right="146"/>
        <w:rPr>
          <w:color w:val="auto"/>
        </w:rPr>
      </w:pPr>
      <w:r>
        <w:rPr>
          <w:color w:val="auto"/>
          <w:spacing w:val="-15"/>
        </w:rPr>
        <w:t>价监〔</w:t>
      </w:r>
      <w:r>
        <w:rPr>
          <w:color w:val="auto"/>
        </w:rPr>
        <w:t>2014</w:t>
      </w:r>
      <w:r>
        <w:rPr>
          <w:color w:val="auto"/>
          <w:spacing w:val="-44"/>
        </w:rPr>
        <w:t>〕</w:t>
      </w:r>
      <w:r>
        <w:rPr>
          <w:color w:val="auto"/>
        </w:rPr>
        <w:t>1223</w:t>
      </w:r>
      <w:r>
        <w:rPr>
          <w:color w:val="auto"/>
          <w:spacing w:val="-30"/>
        </w:rPr>
        <w:t xml:space="preserve"> 号</w:t>
      </w:r>
      <w:r>
        <w:rPr>
          <w:color w:val="auto"/>
          <w:spacing w:val="-44"/>
        </w:rPr>
        <w:t>）</w:t>
      </w:r>
      <w:r>
        <w:rPr>
          <w:color w:val="auto"/>
          <w:spacing w:val="-11"/>
        </w:rPr>
        <w:t xml:space="preserve">第十一条“法律、法规和规章规定可以处或者可以并处罚款的， </w:t>
      </w:r>
      <w:r>
        <w:rPr>
          <w:color w:val="auto"/>
          <w:spacing w:val="3"/>
        </w:rPr>
        <w:t>对于减轻处罚情形不再处或者并处罚款；对于从轻处罚情形可以不处或者不并处罚款；对于一般处罚和从重处罚情形应当处或者并处罚款。</w:t>
      </w:r>
    </w:p>
    <w:p>
      <w:pPr>
        <w:pStyle w:val="4"/>
        <w:spacing w:before="6"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before="5"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4"/>
        <w:spacing w:before="2" w:line="391" w:lineRule="auto"/>
        <w:ind w:right="266" w:firstLine="480"/>
        <w:jc w:val="both"/>
        <w:rPr>
          <w:color w:val="auto"/>
        </w:rPr>
      </w:pPr>
      <w:r>
        <w:rPr>
          <w:color w:val="auto"/>
          <w:spacing w:val="-6"/>
        </w:rPr>
        <w:t>6</w:t>
      </w:r>
      <w:r>
        <w:rPr>
          <w:color w:val="auto"/>
          <w:spacing w:val="-3"/>
        </w:rPr>
        <w:t>.《国家发展改革委关于印发&lt;规范价格行政处罚权的若干规定&gt;的通知》</w:t>
      </w:r>
      <w:r>
        <w:rPr>
          <w:color w:val="auto"/>
        </w:rPr>
        <w:t>（</w:t>
      </w:r>
      <w:r>
        <w:rPr>
          <w:color w:val="auto"/>
          <w:spacing w:val="-8"/>
        </w:rPr>
        <w:t>发改</w:t>
      </w:r>
      <w:r>
        <w:rPr>
          <w:color w:val="auto"/>
          <w:spacing w:val="-5"/>
        </w:rPr>
        <w:t>价监〔</w:t>
      </w:r>
      <w:r>
        <w:rPr>
          <w:color w:val="auto"/>
        </w:rPr>
        <w:t>2014</w:t>
      </w:r>
      <w:r>
        <w:rPr>
          <w:color w:val="auto"/>
          <w:spacing w:val="-10"/>
        </w:rPr>
        <w:t>〕</w:t>
      </w:r>
      <w:r>
        <w:rPr>
          <w:color w:val="auto"/>
        </w:rPr>
        <w:t>1223</w:t>
      </w:r>
      <w:r>
        <w:rPr>
          <w:color w:val="auto"/>
          <w:spacing w:val="-30"/>
        </w:rPr>
        <w:t xml:space="preserve"> 号</w:t>
      </w:r>
      <w:r>
        <w:rPr>
          <w:color w:val="auto"/>
          <w:spacing w:val="-10"/>
        </w:rPr>
        <w:t>）第十二条“对《价格法》、《价格违法行为行政处罚规定》规</w:t>
      </w:r>
      <w:r>
        <w:rPr>
          <w:color w:val="auto"/>
          <w:spacing w:val="-4"/>
        </w:rPr>
        <w:t>定一定幅度范围的罚款处罚，价格主管部门应当按照以下标准确定从轻处罚、一般处</w:t>
      </w:r>
      <w:r>
        <w:rPr>
          <w:color w:val="auto"/>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rPr>
          <w:color w:val="auto"/>
        </w:rPr>
      </w:pPr>
      <w:r>
        <w:rPr>
          <w:color w:val="auto"/>
        </w:rPr>
        <w:t>3 倍，从重处罚应当为违法所得的 4 倍或者 5 倍；</w:t>
      </w:r>
    </w:p>
    <w:p>
      <w:pPr>
        <w:pStyle w:val="4"/>
        <w:spacing w:before="194"/>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1"/>
        <w:ind w:left="591"/>
        <w:rPr>
          <w:color w:val="auto"/>
        </w:rPr>
      </w:pPr>
      <w:r>
        <w:rPr>
          <w:color w:val="auto"/>
        </w:rPr>
        <w:t>（三）《价格法》、《价格违法行为行政处罚规定》规定处最低数额以上和最高</w:t>
      </w:r>
    </w:p>
    <w:p>
      <w:pPr>
        <w:spacing w:after="0"/>
        <w:rPr>
          <w:color w:val="auto"/>
        </w:rPr>
        <w:sectPr>
          <w:pgSz w:w="11910" w:h="16840"/>
          <w:pgMar w:top="1520" w:right="1260" w:bottom="1220" w:left="1420" w:header="0" w:footer="1034" w:gutter="0"/>
        </w:sectPr>
      </w:pPr>
    </w:p>
    <w:p>
      <w:pPr>
        <w:pStyle w:val="4"/>
        <w:spacing w:before="39" w:line="391" w:lineRule="auto"/>
        <w:ind w:right="213"/>
        <w:rPr>
          <w:color w:val="auto"/>
        </w:rPr>
      </w:pPr>
      <w:r>
        <w:rPr>
          <w:color w:val="auto"/>
        </w:rPr>
        <w:t>数额以下罚款的，从轻处罚应当低于最高数额的 40%且不低于最低数额，一般处罚应当为最高数额的 40%至 60%，从重处罚应当高于最高数额的 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1.【从轻】</w:t>
      </w:r>
    </w:p>
    <w:p>
      <w:pPr>
        <w:pStyle w:val="4"/>
        <w:spacing w:line="388" w:lineRule="auto"/>
        <w:ind w:left="591" w:right="6352"/>
        <w:rPr>
          <w:color w:val="auto"/>
        </w:rPr>
      </w:pPr>
      <w:r>
        <w:rPr>
          <w:color w:val="auto"/>
          <w:spacing w:val="-30"/>
        </w:rPr>
        <w:t xml:space="preserve">处 </w:t>
      </w:r>
      <w:r>
        <w:rPr>
          <w:color w:val="auto"/>
        </w:rPr>
        <w:t>20</w:t>
      </w:r>
      <w:r>
        <w:rPr>
          <w:color w:val="auto"/>
          <w:spacing w:val="-10"/>
        </w:rPr>
        <w:t xml:space="preserve"> 万元以下罚款。</w:t>
      </w:r>
      <w:r>
        <w:rPr>
          <w:color w:val="auto"/>
        </w:rPr>
        <w:t>2.【一般】</w:t>
      </w:r>
    </w:p>
    <w:p>
      <w:pPr>
        <w:pStyle w:val="4"/>
        <w:spacing w:before="2" w:line="391" w:lineRule="auto"/>
        <w:ind w:left="591" w:right="5032"/>
        <w:rPr>
          <w:color w:val="auto"/>
        </w:rPr>
      </w:pPr>
      <w:r>
        <w:rPr>
          <w:color w:val="auto"/>
          <w:spacing w:val="-30"/>
        </w:rPr>
        <w:t xml:space="preserve">处 </w:t>
      </w:r>
      <w:r>
        <w:rPr>
          <w:color w:val="auto"/>
        </w:rPr>
        <w:t>20</w:t>
      </w:r>
      <w:r>
        <w:rPr>
          <w:color w:val="auto"/>
          <w:spacing w:val="-20"/>
        </w:rPr>
        <w:t xml:space="preserve"> 万元以上 </w:t>
      </w:r>
      <w:r>
        <w:rPr>
          <w:color w:val="auto"/>
        </w:rPr>
        <w:t>30</w:t>
      </w:r>
      <w:r>
        <w:rPr>
          <w:color w:val="auto"/>
          <w:spacing w:val="-10"/>
        </w:rPr>
        <w:t xml:space="preserve"> 万元以下罚款。</w:t>
      </w:r>
      <w:r>
        <w:rPr>
          <w:color w:val="auto"/>
        </w:rPr>
        <w:t>3.【从重】</w:t>
      </w:r>
    </w:p>
    <w:p>
      <w:pPr>
        <w:pStyle w:val="4"/>
        <w:spacing w:line="306" w:lineRule="exact"/>
        <w:ind w:left="591"/>
        <w:rPr>
          <w:color w:val="auto"/>
        </w:rPr>
      </w:pPr>
      <w:r>
        <w:rPr>
          <w:color w:val="auto"/>
        </w:rPr>
        <w:t>处 30 万元以上 50 万元以下罚款。</w:t>
      </w:r>
    </w:p>
    <w:p>
      <w:pPr>
        <w:pStyle w:val="4"/>
        <w:spacing w:before="191"/>
        <w:ind w:left="591"/>
        <w:rPr>
          <w:color w:val="auto"/>
        </w:rPr>
      </w:pPr>
      <w:r>
        <w:rPr>
          <w:color w:val="auto"/>
        </w:rPr>
        <w:t>提请登记管理机关依法撤销登记、吊销执照。</w:t>
      </w:r>
    </w:p>
    <w:p>
      <w:pPr>
        <w:pStyle w:val="2"/>
        <w:spacing w:before="195" w:line="388" w:lineRule="auto"/>
        <w:ind w:left="111" w:right="115" w:firstLine="480"/>
        <w:jc w:val="both"/>
        <w:rPr>
          <w:color w:val="auto"/>
        </w:rPr>
      </w:pPr>
      <w:bookmarkStart w:id="1446" w:name="七百零八、经营者除依法降价处理鲜活商品、季节性商品、积压商品等商品外，为了排挤竞"/>
      <w:bookmarkEnd w:id="1446"/>
      <w:bookmarkStart w:id="1447" w:name="_bookmark722"/>
      <w:bookmarkEnd w:id="1447"/>
      <w:r>
        <w:rPr>
          <w:color w:val="auto"/>
        </w:rPr>
        <w:t xml:space="preserve">七百零八、经营者除依法降价处理鲜活商品、季节性商品、积压商品等商品外， </w:t>
      </w:r>
      <w:r>
        <w:rPr>
          <w:color w:val="auto"/>
          <w:spacing w:val="-11"/>
        </w:rPr>
        <w:t>为了排挤竞争对手或者独占市场，以低于成本的价格倾销，扰乱正常的生产经营秩序， 损害国家利益或者其他经营者的合法权益</w:t>
      </w:r>
    </w:p>
    <w:p>
      <w:pPr>
        <w:spacing w:before="5"/>
        <w:ind w:left="591" w:right="0" w:firstLine="0"/>
        <w:jc w:val="left"/>
        <w:rPr>
          <w:b/>
          <w:color w:val="auto"/>
          <w:sz w:val="24"/>
        </w:rPr>
      </w:pPr>
      <w:r>
        <w:rPr>
          <w:b/>
          <w:color w:val="auto"/>
          <w:sz w:val="24"/>
        </w:rPr>
        <w:t>（一）处罚依据</w:t>
      </w:r>
    </w:p>
    <w:p>
      <w:pPr>
        <w:pStyle w:val="13"/>
        <w:numPr>
          <w:ilvl w:val="0"/>
          <w:numId w:val="1667"/>
        </w:numPr>
        <w:tabs>
          <w:tab w:val="left" w:pos="833"/>
        </w:tabs>
        <w:spacing w:before="192" w:after="0" w:line="240" w:lineRule="auto"/>
        <w:ind w:left="832" w:right="0" w:hanging="242"/>
        <w:jc w:val="left"/>
        <w:rPr>
          <w:color w:val="auto"/>
          <w:sz w:val="24"/>
        </w:rPr>
      </w:pPr>
      <w:r>
        <w:rPr>
          <w:color w:val="auto"/>
          <w:sz w:val="24"/>
        </w:rPr>
        <w:t>《中华人民共和国价格法》第十四条“经营者不得有下列不正当价格行为</w:t>
      </w:r>
    </w:p>
    <w:p>
      <w:pPr>
        <w:pStyle w:val="4"/>
        <w:spacing w:before="192" w:line="391" w:lineRule="auto"/>
        <w:ind w:right="268" w:firstLine="480"/>
        <w:jc w:val="both"/>
        <w:rPr>
          <w:color w:val="auto"/>
        </w:rPr>
      </w:pPr>
      <w:r>
        <w:rPr>
          <w:color w:val="auto"/>
        </w:rPr>
        <w:t>（二</w:t>
      </w:r>
      <w:r>
        <w:rPr>
          <w:color w:val="auto"/>
          <w:spacing w:val="-10"/>
        </w:rPr>
        <w:t>）</w:t>
      </w:r>
      <w:r>
        <w:rPr>
          <w:color w:val="auto"/>
          <w:spacing w:val="-4"/>
        </w:rPr>
        <w:t>在依法降价处理鲜活商品、季节性商品、积压商品等商品外，为了排挤竞</w:t>
      </w:r>
      <w:r>
        <w:rPr>
          <w:color w:val="auto"/>
          <w:spacing w:val="-5"/>
        </w:rPr>
        <w:t>争对手或者独占市场，以低于成本的价格倾销，扰乱正常的生产经营秩序，损害国家</w:t>
      </w:r>
      <w:r>
        <w:rPr>
          <w:color w:val="auto"/>
        </w:rPr>
        <w:t>利益或者其他经营者的合法权益”。</w:t>
      </w:r>
    </w:p>
    <w:p>
      <w:pPr>
        <w:pStyle w:val="13"/>
        <w:numPr>
          <w:ilvl w:val="0"/>
          <w:numId w:val="1667"/>
        </w:numPr>
        <w:tabs>
          <w:tab w:val="left" w:pos="833"/>
        </w:tabs>
        <w:spacing w:before="0" w:after="0" w:line="391" w:lineRule="auto"/>
        <w:ind w:left="111" w:right="148" w:firstLine="480"/>
        <w:jc w:val="left"/>
        <w:rPr>
          <w:color w:val="auto"/>
          <w:sz w:val="24"/>
        </w:rPr>
      </w:pPr>
      <w:r>
        <w:rPr>
          <w:color w:val="auto"/>
          <w:spacing w:val="-8"/>
          <w:sz w:val="24"/>
        </w:rPr>
        <w:t xml:space="preserve">《中华人民共和国价格法》第四十条“经营者有本法第十四条所列行为之一的，责令改正，没收违法所得，可以并处违法所得五倍以下的罚款；没有违法所得的， </w:t>
      </w:r>
      <w:r>
        <w:rPr>
          <w:color w:val="auto"/>
          <w:sz w:val="24"/>
        </w:rPr>
        <w:t>予以警告，可以并处罚款；情节严重的，责令停业整顿，或者吊销营业执照。”</w:t>
      </w:r>
    </w:p>
    <w:p>
      <w:pPr>
        <w:pStyle w:val="13"/>
        <w:numPr>
          <w:ilvl w:val="0"/>
          <w:numId w:val="1667"/>
        </w:numPr>
        <w:tabs>
          <w:tab w:val="left" w:pos="833"/>
        </w:tabs>
        <w:spacing w:before="0" w:after="0" w:line="391" w:lineRule="auto"/>
        <w:ind w:left="111" w:right="148" w:firstLine="480"/>
        <w:jc w:val="left"/>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3"/>
          <w:sz w:val="24"/>
        </w:rPr>
        <w:t>第四条“经营者违反价</w:t>
      </w:r>
      <w:r>
        <w:rPr>
          <w:color w:val="auto"/>
          <w:spacing w:val="-7"/>
          <w:sz w:val="24"/>
        </w:rPr>
        <w:t>格法第十四条的规定，有下列行为之一的，责令改正，没收违法所得，并处违法所得 5</w:t>
      </w:r>
      <w:r>
        <w:rPr>
          <w:color w:val="auto"/>
          <w:spacing w:val="-19"/>
          <w:sz w:val="24"/>
        </w:rPr>
        <w:t xml:space="preserve"> 倍以下的罚款；没有违法所得的，处 </w:t>
      </w:r>
      <w:r>
        <w:rPr>
          <w:color w:val="auto"/>
          <w:sz w:val="24"/>
        </w:rPr>
        <w:t>10</w:t>
      </w:r>
      <w:r>
        <w:rPr>
          <w:color w:val="auto"/>
          <w:spacing w:val="-20"/>
          <w:sz w:val="24"/>
        </w:rPr>
        <w:t xml:space="preserve"> 万元以上 </w:t>
      </w:r>
      <w:r>
        <w:rPr>
          <w:color w:val="auto"/>
          <w:sz w:val="24"/>
        </w:rPr>
        <w:t>100</w:t>
      </w:r>
      <w:r>
        <w:rPr>
          <w:color w:val="auto"/>
          <w:spacing w:val="-13"/>
          <w:sz w:val="24"/>
        </w:rPr>
        <w:t xml:space="preserve"> 万元以下的罚款；情节严重的， </w:t>
      </w:r>
      <w:r>
        <w:rPr>
          <w:color w:val="auto"/>
          <w:sz w:val="24"/>
        </w:rPr>
        <w:t>责令停业整顿，或者吊销营业执照：</w:t>
      </w:r>
    </w:p>
    <w:p>
      <w:pPr>
        <w:spacing w:after="0" w:line="391" w:lineRule="auto"/>
        <w:jc w:val="left"/>
        <w:rPr>
          <w:color w:val="auto"/>
          <w:sz w:val="24"/>
        </w:rPr>
        <w:sectPr>
          <w:footerReference r:id="rId187" w:type="default"/>
          <w:footerReference r:id="rId188" w:type="even"/>
          <w:pgSz w:w="11910" w:h="16840"/>
          <w:pgMar w:top="1520" w:right="1260" w:bottom="1220" w:left="1420" w:header="0" w:footer="1034" w:gutter="0"/>
          <w:pgNumType w:start="700"/>
        </w:sectPr>
      </w:pPr>
    </w:p>
    <w:p>
      <w:pPr>
        <w:pStyle w:val="4"/>
        <w:spacing w:before="39" w:line="391" w:lineRule="auto"/>
        <w:ind w:right="266" w:firstLine="472"/>
        <w:jc w:val="both"/>
        <w:rPr>
          <w:color w:val="auto"/>
        </w:rPr>
      </w:pPr>
      <w:r>
        <w:rPr>
          <w:color w:val="auto"/>
        </w:rPr>
        <w:t>（一</w:t>
      </w:r>
      <w:r>
        <w:rPr>
          <w:color w:val="auto"/>
          <w:spacing w:val="-8"/>
        </w:rPr>
        <w:t>）</w:t>
      </w:r>
      <w:r>
        <w:rPr>
          <w:color w:val="auto"/>
          <w:spacing w:val="-4"/>
        </w:rPr>
        <w:t>除依法降价处理鲜活商品、季节性商品、积压商品等商品外，为了排挤竞</w:t>
      </w:r>
      <w:r>
        <w:rPr>
          <w:color w:val="auto"/>
          <w:spacing w:val="-5"/>
        </w:rPr>
        <w:t>争对手或者独占市场，以低于成本的价格倾销，扰乱正常的生产经营秩序，损害国家</w:t>
      </w:r>
      <w:r>
        <w:rPr>
          <w:color w:val="auto"/>
        </w:rPr>
        <w:t>利益或者其他经营者的合法权益的”。</w:t>
      </w:r>
    </w:p>
    <w:p>
      <w:pPr>
        <w:pStyle w:val="13"/>
        <w:numPr>
          <w:ilvl w:val="0"/>
          <w:numId w:val="1667"/>
        </w:numPr>
        <w:tabs>
          <w:tab w:val="left" w:pos="833"/>
        </w:tabs>
        <w:spacing w:before="0" w:after="0" w:line="391" w:lineRule="auto"/>
        <w:ind w:left="111" w:right="266" w:firstLine="480"/>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4"/>
          <w:sz w:val="24"/>
        </w:rPr>
        <w:t>第十一条“本规定第四</w:t>
      </w:r>
      <w:r>
        <w:rPr>
          <w:color w:val="auto"/>
          <w:spacing w:val="-6"/>
          <w:sz w:val="24"/>
        </w:rPr>
        <w:t>条、第七条至第九条规定中经营者为个人的，对其没有违法所得的价格违法行为，可</w:t>
      </w:r>
      <w:r>
        <w:rPr>
          <w:color w:val="auto"/>
          <w:spacing w:val="-20"/>
          <w:sz w:val="24"/>
        </w:rPr>
        <w:t xml:space="preserve">以处 </w:t>
      </w:r>
      <w:r>
        <w:rPr>
          <w:color w:val="auto"/>
          <w:sz w:val="24"/>
        </w:rPr>
        <w:t>10</w:t>
      </w:r>
      <w:r>
        <w:rPr>
          <w:color w:val="auto"/>
          <w:spacing w:val="-8"/>
          <w:sz w:val="24"/>
        </w:rPr>
        <w:t xml:space="preserve"> 万元以下的罚款。</w:t>
      </w:r>
    </w:p>
    <w:p>
      <w:pPr>
        <w:pStyle w:val="4"/>
        <w:spacing w:line="391" w:lineRule="auto"/>
        <w:ind w:right="232" w:firstLine="480"/>
        <w:jc w:val="right"/>
        <w:rPr>
          <w:color w:val="auto"/>
        </w:rPr>
      </w:pPr>
      <w:r>
        <w:rPr>
          <w:color w:val="auto"/>
          <w:spacing w:val="-4"/>
        </w:rPr>
        <w:t>本规定第五条、第六条、第十条规定中经营者为个人的，对其没有违法所得的价</w:t>
      </w:r>
      <w:r>
        <w:rPr>
          <w:color w:val="auto"/>
          <w:spacing w:val="-7"/>
        </w:rPr>
        <w:t xml:space="preserve">格违法行为，按照前款规定处罚；情节严重，处 </w:t>
      </w:r>
      <w:r>
        <w:rPr>
          <w:color w:val="auto"/>
        </w:rPr>
        <w:t>10</w:t>
      </w:r>
      <w:r>
        <w:rPr>
          <w:color w:val="auto"/>
          <w:spacing w:val="-20"/>
        </w:rPr>
        <w:t xml:space="preserve"> 万元以上 </w:t>
      </w:r>
      <w:r>
        <w:rPr>
          <w:color w:val="auto"/>
        </w:rPr>
        <w:t>50</w:t>
      </w:r>
      <w:r>
        <w:rPr>
          <w:color w:val="auto"/>
          <w:spacing w:val="-9"/>
        </w:rPr>
        <w:t xml:space="preserve"> 万元以下的罚款。”</w:t>
      </w:r>
      <w:r>
        <w:rPr>
          <w:color w:val="auto"/>
        </w:rPr>
        <w:t xml:space="preserve"> </w:t>
      </w:r>
      <w:r>
        <w:rPr>
          <w:color w:val="auto"/>
          <w:spacing w:val="-6"/>
        </w:rPr>
        <w:t>5</w:t>
      </w:r>
      <w:r>
        <w:rPr>
          <w:color w:val="auto"/>
          <w:spacing w:val="-3"/>
        </w:rPr>
        <w:t>.《国家发展改革委关于印发&lt;规范价格行政处罚权的若干规定&gt;的通知》</w:t>
      </w:r>
      <w:r>
        <w:rPr>
          <w:color w:val="auto"/>
        </w:rPr>
        <w:t>（发改</w:t>
      </w:r>
    </w:p>
    <w:p>
      <w:pPr>
        <w:pStyle w:val="4"/>
        <w:spacing w:line="391" w:lineRule="auto"/>
        <w:ind w:right="146"/>
        <w:rPr>
          <w:color w:val="auto"/>
        </w:rPr>
      </w:pPr>
      <w:r>
        <w:rPr>
          <w:color w:val="auto"/>
          <w:spacing w:val="-15"/>
        </w:rPr>
        <w:t>价监〔</w:t>
      </w:r>
      <w:r>
        <w:rPr>
          <w:color w:val="auto"/>
        </w:rPr>
        <w:t>2014</w:t>
      </w:r>
      <w:r>
        <w:rPr>
          <w:color w:val="auto"/>
          <w:spacing w:val="-44"/>
        </w:rPr>
        <w:t>〕</w:t>
      </w:r>
      <w:r>
        <w:rPr>
          <w:color w:val="auto"/>
        </w:rPr>
        <w:t>1223</w:t>
      </w:r>
      <w:r>
        <w:rPr>
          <w:color w:val="auto"/>
          <w:spacing w:val="-30"/>
        </w:rPr>
        <w:t xml:space="preserve"> 号</w:t>
      </w:r>
      <w:r>
        <w:rPr>
          <w:color w:val="auto"/>
          <w:spacing w:val="-44"/>
        </w:rPr>
        <w:t>）</w:t>
      </w:r>
      <w:r>
        <w:rPr>
          <w:color w:val="auto"/>
          <w:spacing w:val="-11"/>
        </w:rPr>
        <w:t xml:space="preserve">第十一条“法律、法规和规章规定可以处或者可以并处罚款的， </w:t>
      </w:r>
      <w:r>
        <w:rPr>
          <w:color w:val="auto"/>
          <w:spacing w:val="3"/>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91"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4"/>
        <w:spacing w:line="391" w:lineRule="auto"/>
        <w:ind w:right="266" w:firstLine="480"/>
        <w:jc w:val="both"/>
        <w:rPr>
          <w:color w:val="auto"/>
        </w:rPr>
      </w:pPr>
      <w:r>
        <w:rPr>
          <w:color w:val="auto"/>
          <w:spacing w:val="-6"/>
        </w:rPr>
        <w:t>6</w:t>
      </w:r>
      <w:r>
        <w:rPr>
          <w:color w:val="auto"/>
          <w:spacing w:val="-3"/>
        </w:rPr>
        <w:t>.《国家发展改革委关于印发&lt;规范价格行政处罚权的若干规定&gt;的通知》</w:t>
      </w:r>
      <w:r>
        <w:rPr>
          <w:color w:val="auto"/>
        </w:rPr>
        <w:t>（</w:t>
      </w:r>
      <w:r>
        <w:rPr>
          <w:color w:val="auto"/>
          <w:spacing w:val="-8"/>
        </w:rPr>
        <w:t>发改</w:t>
      </w:r>
      <w:r>
        <w:rPr>
          <w:color w:val="auto"/>
          <w:spacing w:val="-5"/>
        </w:rPr>
        <w:t>价监〔</w:t>
      </w:r>
      <w:r>
        <w:rPr>
          <w:color w:val="auto"/>
        </w:rPr>
        <w:t>2014</w:t>
      </w:r>
      <w:r>
        <w:rPr>
          <w:color w:val="auto"/>
          <w:spacing w:val="-10"/>
        </w:rPr>
        <w:t>〕</w:t>
      </w:r>
      <w:r>
        <w:rPr>
          <w:color w:val="auto"/>
        </w:rPr>
        <w:t>1223</w:t>
      </w:r>
      <w:r>
        <w:rPr>
          <w:color w:val="auto"/>
          <w:spacing w:val="-30"/>
        </w:rPr>
        <w:t xml:space="preserve"> 号</w:t>
      </w:r>
      <w:r>
        <w:rPr>
          <w:color w:val="auto"/>
          <w:spacing w:val="-10"/>
        </w:rPr>
        <w:t>）第十二条“对《价格法》、《价格违法行为行政处罚规定》规</w:t>
      </w:r>
      <w:r>
        <w:rPr>
          <w:color w:val="auto"/>
          <w:spacing w:val="-4"/>
        </w:rPr>
        <w:t>定一定幅度范围的罚款处罚，价格主管部门应当按照以下标准确定从轻处罚、一般处</w:t>
      </w:r>
      <w:r>
        <w:rPr>
          <w:color w:val="auto"/>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75"/>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1"/>
        <w:rPr>
          <w:color w:val="auto"/>
        </w:rPr>
      </w:pPr>
      <w:r>
        <w:rPr>
          <w:color w:val="auto"/>
        </w:rPr>
        <w:t>3 倍，从重处罚应当为违法所得的 4 倍或者 5 倍；</w:t>
      </w:r>
    </w:p>
    <w:p>
      <w:pPr>
        <w:pStyle w:val="4"/>
        <w:spacing w:before="192"/>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4"/>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88" w:lineRule="auto"/>
        <w:ind w:right="222" w:firstLine="480"/>
        <w:rPr>
          <w:color w:val="auto"/>
        </w:rPr>
      </w:pPr>
      <w:r>
        <w:rPr>
          <w:color w:val="auto"/>
        </w:rPr>
        <w:t>（三）《价格法》、《价格违法行为行政处罚规定》规定处最低数额以上和最高数额以下罚款的，从轻处罚应当低于最高数额的 40%且不低于最低数额，一般处罚应</w:t>
      </w:r>
    </w:p>
    <w:p>
      <w:pPr>
        <w:spacing w:after="0" w:line="388" w:lineRule="auto"/>
        <w:rPr>
          <w:color w:val="auto"/>
        </w:rPr>
        <w:sectPr>
          <w:pgSz w:w="11910" w:h="16840"/>
          <w:pgMar w:top="1520" w:right="1260" w:bottom="1220" w:left="1420" w:header="0" w:footer="1034" w:gutter="0"/>
        </w:sectPr>
      </w:pPr>
    </w:p>
    <w:p>
      <w:pPr>
        <w:pStyle w:val="4"/>
        <w:spacing w:before="39"/>
        <w:rPr>
          <w:color w:val="auto"/>
        </w:rPr>
      </w:pPr>
      <w:r>
        <w:rPr>
          <w:color w:val="auto"/>
        </w:rPr>
        <w:t>当为最高数额的 40%至 60%，从重处罚应当高于最高数额的 60%；</w:t>
      </w:r>
    </w:p>
    <w:p>
      <w:pPr>
        <w:pStyle w:val="4"/>
        <w:spacing w:before="195" w:line="388"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5" w:line="388" w:lineRule="auto"/>
        <w:ind w:left="591" w:right="6948" w:firstLine="0"/>
        <w:jc w:val="left"/>
        <w:rPr>
          <w:color w:val="auto"/>
          <w:sz w:val="24"/>
        </w:rPr>
      </w:pPr>
      <w:r>
        <w:rPr>
          <w:b/>
          <w:color w:val="auto"/>
          <w:sz w:val="24"/>
        </w:rPr>
        <w:t>（二）裁量标准</w:t>
      </w:r>
      <w:r>
        <w:rPr>
          <w:color w:val="auto"/>
          <w:sz w:val="24"/>
        </w:rPr>
        <w:t>1.【减轻】</w:t>
      </w:r>
    </w:p>
    <w:p>
      <w:pPr>
        <w:pStyle w:val="4"/>
        <w:spacing w:before="2"/>
        <w:ind w:left="591"/>
        <w:rPr>
          <w:color w:val="auto"/>
        </w:rPr>
      </w:pPr>
      <w:r>
        <w:rPr>
          <w:color w:val="auto"/>
        </w:rPr>
        <w:t>有违法所得的，没收违法所得，不予罚款。</w:t>
      </w:r>
    </w:p>
    <w:p>
      <w:pPr>
        <w:pStyle w:val="4"/>
        <w:spacing w:before="194" w:line="388" w:lineRule="auto"/>
        <w:ind w:left="591" w:right="148"/>
        <w:rPr>
          <w:color w:val="auto"/>
        </w:rPr>
      </w:pPr>
      <w:r>
        <w:rPr>
          <w:color w:val="auto"/>
          <w:spacing w:val="-8"/>
        </w:rPr>
        <w:t xml:space="preserve">没有违法所得的，处 </w:t>
      </w:r>
      <w:r>
        <w:rPr>
          <w:color w:val="auto"/>
        </w:rPr>
        <w:t>1</w:t>
      </w:r>
      <w:r>
        <w:rPr>
          <w:color w:val="auto"/>
          <w:spacing w:val="-20"/>
        </w:rPr>
        <w:t xml:space="preserve"> 万元以上 </w:t>
      </w:r>
      <w:r>
        <w:rPr>
          <w:color w:val="auto"/>
        </w:rPr>
        <w:t>10</w:t>
      </w:r>
      <w:r>
        <w:rPr>
          <w:color w:val="auto"/>
          <w:spacing w:val="-11"/>
        </w:rPr>
        <w:t xml:space="preserve"> 万元以下罚款；经营者为个人的，不予罚款。</w:t>
      </w:r>
      <w:r>
        <w:rPr>
          <w:color w:val="auto"/>
        </w:rPr>
        <w:t>2.【从轻】</w:t>
      </w:r>
    </w:p>
    <w:p>
      <w:pPr>
        <w:pStyle w:val="4"/>
        <w:spacing w:before="2"/>
        <w:ind w:left="591"/>
        <w:rPr>
          <w:color w:val="auto"/>
        </w:rPr>
      </w:pPr>
      <w:r>
        <w:rPr>
          <w:color w:val="auto"/>
        </w:rPr>
        <w:t>有违法所得的，没收违法所得，并处违法所得 2 倍或者 1 倍以下罚款。</w:t>
      </w:r>
    </w:p>
    <w:p>
      <w:pPr>
        <w:pStyle w:val="4"/>
        <w:spacing w:before="195" w:line="388" w:lineRule="auto"/>
        <w:ind w:right="268" w:firstLine="480"/>
        <w:rPr>
          <w:color w:val="auto"/>
        </w:rPr>
      </w:pPr>
      <w:r>
        <w:rPr>
          <w:color w:val="auto"/>
          <w:spacing w:val="-8"/>
        </w:rPr>
        <w:t xml:space="preserve">没有违法所得的，处 </w:t>
      </w:r>
      <w:r>
        <w:rPr>
          <w:color w:val="auto"/>
        </w:rPr>
        <w:t>10</w:t>
      </w:r>
      <w:r>
        <w:rPr>
          <w:color w:val="auto"/>
          <w:spacing w:val="-20"/>
        </w:rPr>
        <w:t xml:space="preserve"> 万元以上 </w:t>
      </w:r>
      <w:r>
        <w:rPr>
          <w:color w:val="auto"/>
        </w:rPr>
        <w:t>40</w:t>
      </w:r>
      <w:r>
        <w:rPr>
          <w:color w:val="auto"/>
          <w:spacing w:val="-13"/>
        </w:rPr>
        <w:t xml:space="preserve"> 万元以下罚款；经营者为个人的，处 </w:t>
      </w:r>
      <w:r>
        <w:rPr>
          <w:color w:val="auto"/>
        </w:rPr>
        <w:t>4</w:t>
      </w:r>
      <w:r>
        <w:rPr>
          <w:color w:val="auto"/>
          <w:spacing w:val="-26"/>
        </w:rPr>
        <w:t xml:space="preserve"> 万元</w:t>
      </w:r>
      <w:r>
        <w:rPr>
          <w:color w:val="auto"/>
        </w:rPr>
        <w:t>以下罚款。</w:t>
      </w:r>
    </w:p>
    <w:p>
      <w:pPr>
        <w:pStyle w:val="4"/>
        <w:spacing w:before="2"/>
        <w:ind w:left="591"/>
        <w:rPr>
          <w:color w:val="auto"/>
        </w:rPr>
      </w:pPr>
      <w:r>
        <w:rPr>
          <w:color w:val="auto"/>
        </w:rPr>
        <w:t>3.【一般】</w:t>
      </w:r>
    </w:p>
    <w:p>
      <w:pPr>
        <w:pStyle w:val="4"/>
        <w:spacing w:before="194"/>
        <w:ind w:left="591"/>
        <w:rPr>
          <w:color w:val="auto"/>
        </w:rPr>
      </w:pPr>
      <w:r>
        <w:rPr>
          <w:color w:val="auto"/>
        </w:rPr>
        <w:t>有违法所得的，没收违法所得，并处违法所得 3 倍罚款。</w:t>
      </w:r>
    </w:p>
    <w:p>
      <w:pPr>
        <w:pStyle w:val="4"/>
        <w:spacing w:before="191"/>
        <w:ind w:left="591"/>
        <w:rPr>
          <w:color w:val="auto"/>
        </w:rPr>
      </w:pPr>
      <w:r>
        <w:rPr>
          <w:color w:val="auto"/>
          <w:spacing w:val="-8"/>
        </w:rPr>
        <w:t xml:space="preserve">没有违法所得的，处 </w:t>
      </w:r>
      <w:r>
        <w:rPr>
          <w:color w:val="auto"/>
        </w:rPr>
        <w:t>40</w:t>
      </w:r>
      <w:r>
        <w:rPr>
          <w:color w:val="auto"/>
          <w:spacing w:val="-20"/>
        </w:rPr>
        <w:t xml:space="preserve"> 万元以上 </w:t>
      </w:r>
      <w:r>
        <w:rPr>
          <w:color w:val="auto"/>
        </w:rPr>
        <w:t>60</w:t>
      </w:r>
      <w:r>
        <w:rPr>
          <w:color w:val="auto"/>
          <w:spacing w:val="-13"/>
        </w:rPr>
        <w:t xml:space="preserve"> 万元以下罚款；经营者为个人的，处 </w:t>
      </w:r>
      <w:r>
        <w:rPr>
          <w:color w:val="auto"/>
        </w:rPr>
        <w:t>4</w:t>
      </w:r>
      <w:r>
        <w:rPr>
          <w:color w:val="auto"/>
          <w:spacing w:val="-20"/>
        </w:rPr>
        <w:t xml:space="preserve"> 万元</w:t>
      </w:r>
    </w:p>
    <w:p>
      <w:pPr>
        <w:pStyle w:val="4"/>
        <w:spacing w:before="192" w:line="391" w:lineRule="auto"/>
        <w:ind w:left="591" w:right="6712" w:hanging="480"/>
        <w:rPr>
          <w:color w:val="auto"/>
        </w:rPr>
      </w:pPr>
      <w:r>
        <w:rPr>
          <w:color w:val="auto"/>
          <w:spacing w:val="-20"/>
        </w:rPr>
        <w:t xml:space="preserve">以上 </w:t>
      </w:r>
      <w:r>
        <w:rPr>
          <w:color w:val="auto"/>
        </w:rPr>
        <w:t>6</w:t>
      </w:r>
      <w:r>
        <w:rPr>
          <w:color w:val="auto"/>
          <w:spacing w:val="-10"/>
        </w:rPr>
        <w:t xml:space="preserve"> 万元以下罚款。</w:t>
      </w:r>
      <w:r>
        <w:rPr>
          <w:color w:val="auto"/>
        </w:rPr>
        <w:t>4.【从重】</w:t>
      </w:r>
    </w:p>
    <w:p>
      <w:pPr>
        <w:pStyle w:val="4"/>
        <w:spacing w:line="306" w:lineRule="exact"/>
        <w:ind w:left="591"/>
        <w:rPr>
          <w:color w:val="auto"/>
        </w:rPr>
      </w:pPr>
      <w:r>
        <w:rPr>
          <w:color w:val="auto"/>
        </w:rPr>
        <w:t>有违法所得的，没收违法所得，并处违法所得 4 倍或者 5 倍罚款。</w:t>
      </w:r>
    </w:p>
    <w:p>
      <w:pPr>
        <w:pStyle w:val="4"/>
        <w:spacing w:before="192"/>
        <w:ind w:left="591"/>
        <w:rPr>
          <w:color w:val="auto"/>
        </w:rPr>
      </w:pPr>
      <w:r>
        <w:rPr>
          <w:color w:val="auto"/>
          <w:spacing w:val="-6"/>
        </w:rPr>
        <w:t xml:space="preserve">没有违法所得的，处 </w:t>
      </w:r>
      <w:r>
        <w:rPr>
          <w:color w:val="auto"/>
        </w:rPr>
        <w:t>60</w:t>
      </w:r>
      <w:r>
        <w:rPr>
          <w:color w:val="auto"/>
          <w:spacing w:val="-19"/>
        </w:rPr>
        <w:t xml:space="preserve"> 万元以上 </w:t>
      </w:r>
      <w:r>
        <w:rPr>
          <w:color w:val="auto"/>
        </w:rPr>
        <w:t>100</w:t>
      </w:r>
      <w:r>
        <w:rPr>
          <w:color w:val="auto"/>
          <w:spacing w:val="-10"/>
        </w:rPr>
        <w:t xml:space="preserve"> 万元以下罚款；经营者为个人的，处 </w:t>
      </w:r>
      <w:r>
        <w:rPr>
          <w:color w:val="auto"/>
        </w:rPr>
        <w:t>6</w:t>
      </w:r>
      <w:r>
        <w:rPr>
          <w:color w:val="auto"/>
          <w:spacing w:val="-27"/>
        </w:rPr>
        <w:t xml:space="preserve"> 万</w:t>
      </w:r>
    </w:p>
    <w:p>
      <w:pPr>
        <w:pStyle w:val="4"/>
        <w:spacing w:before="194"/>
        <w:rPr>
          <w:color w:val="auto"/>
        </w:rPr>
      </w:pPr>
      <w:r>
        <w:rPr>
          <w:color w:val="auto"/>
        </w:rPr>
        <w:t>元以上 10 万元以下罚款。</w:t>
      </w:r>
    </w:p>
    <w:p>
      <w:pPr>
        <w:pStyle w:val="4"/>
        <w:spacing w:before="192"/>
        <w:ind w:left="591"/>
        <w:rPr>
          <w:color w:val="auto"/>
        </w:rPr>
      </w:pPr>
      <w:r>
        <w:rPr>
          <w:color w:val="auto"/>
        </w:rPr>
        <w:t>责令停业整顿，或者吊销营业执照。</w:t>
      </w:r>
    </w:p>
    <w:p>
      <w:pPr>
        <w:pStyle w:val="2"/>
        <w:spacing w:before="191"/>
        <w:rPr>
          <w:color w:val="auto"/>
        </w:rPr>
      </w:pPr>
      <w:bookmarkStart w:id="1448" w:name="_bookmark723"/>
      <w:bookmarkEnd w:id="1448"/>
      <w:bookmarkStart w:id="1449" w:name="七百零九、捏造、散布涨价信息，囤积商品，哄抬价格，推动商品价格过高上涨"/>
      <w:bookmarkEnd w:id="1449"/>
      <w:r>
        <w:rPr>
          <w:color w:val="auto"/>
        </w:rPr>
        <w:t>七百零九、捏造、散布涨价信息，囤积商品，哄抬价格，推动商品价格过高上涨</w:t>
      </w:r>
    </w:p>
    <w:p>
      <w:pPr>
        <w:spacing w:before="194"/>
        <w:ind w:left="591" w:right="0" w:firstLine="0"/>
        <w:jc w:val="left"/>
        <w:rPr>
          <w:b/>
          <w:color w:val="auto"/>
          <w:sz w:val="24"/>
        </w:rPr>
      </w:pPr>
      <w:r>
        <w:rPr>
          <w:b/>
          <w:color w:val="auto"/>
          <w:sz w:val="24"/>
        </w:rPr>
        <w:t>（一）处罚依据</w:t>
      </w:r>
    </w:p>
    <w:p>
      <w:pPr>
        <w:pStyle w:val="13"/>
        <w:numPr>
          <w:ilvl w:val="0"/>
          <w:numId w:val="1668"/>
        </w:numPr>
        <w:tabs>
          <w:tab w:val="left" w:pos="833"/>
        </w:tabs>
        <w:spacing w:before="192" w:after="0" w:line="388" w:lineRule="auto"/>
        <w:ind w:left="591" w:right="472" w:firstLine="0"/>
        <w:jc w:val="left"/>
        <w:rPr>
          <w:color w:val="auto"/>
          <w:sz w:val="24"/>
        </w:rPr>
      </w:pPr>
      <w:r>
        <w:rPr>
          <w:color w:val="auto"/>
          <w:spacing w:val="-1"/>
          <w:sz w:val="24"/>
        </w:rPr>
        <w:t xml:space="preserve">《中华人民共和国价格法》第十四条“经营者不得有下列不正当价格行为： </w:t>
      </w:r>
      <w:r>
        <w:rPr>
          <w:color w:val="auto"/>
          <w:sz w:val="24"/>
        </w:rPr>
        <w:t>(三)捏造、散布涨价信息，哄抬价格，推动商品价格过高上涨的”。</w:t>
      </w:r>
    </w:p>
    <w:p>
      <w:pPr>
        <w:pStyle w:val="13"/>
        <w:numPr>
          <w:ilvl w:val="0"/>
          <w:numId w:val="1668"/>
        </w:numPr>
        <w:tabs>
          <w:tab w:val="left" w:pos="833"/>
        </w:tabs>
        <w:spacing w:before="5" w:after="0" w:line="388" w:lineRule="auto"/>
        <w:ind w:left="111" w:right="148" w:firstLine="480"/>
        <w:jc w:val="left"/>
        <w:rPr>
          <w:color w:val="auto"/>
          <w:sz w:val="24"/>
        </w:rPr>
      </w:pPr>
      <w:r>
        <w:rPr>
          <w:color w:val="auto"/>
          <w:spacing w:val="-8"/>
          <w:sz w:val="24"/>
        </w:rPr>
        <w:t xml:space="preserve">《中华人民共和国价格法》第四十条“经营者有本法第十四条所列行为之一的，责令改正，没收违法所得，可以并处违法所得五倍以下的罚款；没有违法所得的， </w:t>
      </w:r>
      <w:r>
        <w:rPr>
          <w:color w:val="auto"/>
          <w:sz w:val="24"/>
        </w:rPr>
        <w:t>予以警告，可以并处罚款；情节严重的，责令停业整顿，或者吊销营业执照。”</w:t>
      </w:r>
    </w:p>
    <w:p>
      <w:pPr>
        <w:spacing w:after="0" w:line="388" w:lineRule="auto"/>
        <w:jc w:val="left"/>
        <w:rPr>
          <w:color w:val="auto"/>
          <w:sz w:val="24"/>
        </w:rPr>
        <w:sectPr>
          <w:pgSz w:w="11910" w:h="16840"/>
          <w:pgMar w:top="1520" w:right="1260" w:bottom="1220" w:left="1420" w:header="0" w:footer="1034" w:gutter="0"/>
        </w:sectPr>
      </w:pPr>
    </w:p>
    <w:p>
      <w:pPr>
        <w:pStyle w:val="13"/>
        <w:numPr>
          <w:ilvl w:val="0"/>
          <w:numId w:val="1668"/>
        </w:numPr>
        <w:tabs>
          <w:tab w:val="left" w:pos="834"/>
        </w:tabs>
        <w:spacing w:before="39" w:after="0" w:line="391" w:lineRule="auto"/>
        <w:ind w:left="111" w:right="148" w:firstLine="480"/>
        <w:jc w:val="left"/>
        <w:rPr>
          <w:color w:val="auto"/>
          <w:sz w:val="24"/>
        </w:rPr>
      </w:pPr>
      <w:r>
        <w:rPr>
          <w:color w:val="auto"/>
          <w:sz w:val="24"/>
        </w:rPr>
        <w:t>《价格违法行为行政处罚规定》（</w:t>
      </w:r>
      <w:r>
        <w:rPr>
          <w:color w:val="auto"/>
          <w:spacing w:val="-9"/>
          <w:sz w:val="24"/>
        </w:rPr>
        <w:t xml:space="preserve">国务院令第 </w:t>
      </w:r>
      <w:r>
        <w:rPr>
          <w:color w:val="auto"/>
          <w:sz w:val="24"/>
        </w:rPr>
        <w:t>585</w:t>
      </w:r>
      <w:r>
        <w:rPr>
          <w:color w:val="auto"/>
          <w:spacing w:val="-25"/>
          <w:sz w:val="24"/>
        </w:rPr>
        <w:t xml:space="preserve"> 号</w:t>
      </w:r>
      <w:r>
        <w:rPr>
          <w:color w:val="auto"/>
          <w:sz w:val="24"/>
        </w:rPr>
        <w:t>） 第六条“经营者违反</w:t>
      </w:r>
      <w:r>
        <w:rPr>
          <w:color w:val="auto"/>
          <w:spacing w:val="-10"/>
          <w:sz w:val="24"/>
        </w:rPr>
        <w:t xml:space="preserve">价格法第十四条的规定，有下列推动商品价格过快、过高上涨行为之一的，责令改正， </w:t>
      </w:r>
      <w:r>
        <w:rPr>
          <w:color w:val="auto"/>
          <w:spacing w:val="-4"/>
          <w:sz w:val="24"/>
        </w:rPr>
        <w:t xml:space="preserve">没收违法所得，并处违法所得 </w:t>
      </w:r>
      <w:r>
        <w:rPr>
          <w:color w:val="auto"/>
          <w:sz w:val="24"/>
        </w:rPr>
        <w:t>5</w:t>
      </w:r>
      <w:r>
        <w:rPr>
          <w:color w:val="auto"/>
          <w:spacing w:val="-11"/>
          <w:sz w:val="24"/>
        </w:rPr>
        <w:t xml:space="preserve"> 倍以下罚款；没有违法所得的，处 </w:t>
      </w:r>
      <w:r>
        <w:rPr>
          <w:color w:val="auto"/>
          <w:sz w:val="24"/>
        </w:rPr>
        <w:t>5</w:t>
      </w:r>
      <w:r>
        <w:rPr>
          <w:color w:val="auto"/>
          <w:spacing w:val="-18"/>
          <w:sz w:val="24"/>
        </w:rPr>
        <w:t xml:space="preserve"> 万元以上 </w:t>
      </w:r>
      <w:r>
        <w:rPr>
          <w:color w:val="auto"/>
          <w:sz w:val="24"/>
        </w:rPr>
        <w:t>50</w:t>
      </w:r>
      <w:r>
        <w:rPr>
          <w:color w:val="auto"/>
          <w:spacing w:val="-26"/>
          <w:sz w:val="24"/>
        </w:rPr>
        <w:t xml:space="preserve"> 万</w:t>
      </w:r>
    </w:p>
    <w:p>
      <w:pPr>
        <w:pStyle w:val="4"/>
        <w:spacing w:line="391" w:lineRule="auto"/>
        <w:ind w:right="268"/>
        <w:rPr>
          <w:color w:val="auto"/>
        </w:rPr>
      </w:pPr>
      <w:r>
        <w:rPr>
          <w:color w:val="auto"/>
          <w:spacing w:val="-4"/>
        </w:rPr>
        <w:t xml:space="preserve">元以下的罚款，情节较重的处 </w:t>
      </w:r>
      <w:r>
        <w:rPr>
          <w:color w:val="auto"/>
        </w:rPr>
        <w:t>50</w:t>
      </w:r>
      <w:r>
        <w:rPr>
          <w:color w:val="auto"/>
          <w:spacing w:val="-16"/>
        </w:rPr>
        <w:t xml:space="preserve"> 万元以上 </w:t>
      </w:r>
      <w:r>
        <w:rPr>
          <w:color w:val="auto"/>
        </w:rPr>
        <w:t>300</w:t>
      </w:r>
      <w:r>
        <w:rPr>
          <w:color w:val="auto"/>
          <w:spacing w:val="-7"/>
        </w:rPr>
        <w:t xml:space="preserve"> 万元以下的罚款；情节严重的，责令停业整顿，或者吊销营业执照：</w:t>
      </w:r>
    </w:p>
    <w:p>
      <w:pPr>
        <w:pStyle w:val="4"/>
        <w:spacing w:line="306" w:lineRule="exact"/>
        <w:ind w:left="591"/>
        <w:rPr>
          <w:color w:val="auto"/>
        </w:rPr>
      </w:pPr>
      <w:r>
        <w:rPr>
          <w:color w:val="auto"/>
        </w:rPr>
        <w:t>（一）捏造、散布涨价信息，扰乱市场价格秩序的；</w:t>
      </w:r>
    </w:p>
    <w:p>
      <w:pPr>
        <w:pStyle w:val="4"/>
        <w:spacing w:before="189" w:line="391" w:lineRule="auto"/>
        <w:ind w:right="213" w:firstLine="480"/>
        <w:rPr>
          <w:color w:val="auto"/>
        </w:rPr>
      </w:pPr>
      <w:r>
        <w:rPr>
          <w:color w:val="auto"/>
        </w:rPr>
        <w:t>（二）除生产自用外，超出正常的存储数量或者存储周期，大量囤积市场供应紧张、价格发生异常波动的商品，经价格主管部门告诫仍继续囤积的；</w:t>
      </w:r>
    </w:p>
    <w:p>
      <w:pPr>
        <w:pStyle w:val="4"/>
        <w:spacing w:line="306" w:lineRule="exact"/>
        <w:ind w:left="591"/>
        <w:rPr>
          <w:color w:val="auto"/>
        </w:rPr>
      </w:pPr>
      <w:r>
        <w:rPr>
          <w:color w:val="auto"/>
        </w:rPr>
        <w:t>（三）利用其他手段哄抬价格，推动商品价格过快、过高上涨的。</w:t>
      </w:r>
    </w:p>
    <w:p>
      <w:pPr>
        <w:pStyle w:val="4"/>
        <w:spacing w:before="191" w:line="391" w:lineRule="auto"/>
        <w:ind w:right="268" w:firstLine="480"/>
        <w:jc w:val="both"/>
        <w:rPr>
          <w:color w:val="auto"/>
        </w:rPr>
      </w:pPr>
      <w:r>
        <w:rPr>
          <w:color w:val="auto"/>
          <w:spacing w:val="-2"/>
        </w:rPr>
        <w:t xml:space="preserve">行业协会或者为商品交易提供服务的单位有前款规定的违法行为可以处 </w:t>
      </w:r>
      <w:r>
        <w:rPr>
          <w:color w:val="auto"/>
        </w:rPr>
        <w:t>50</w:t>
      </w:r>
      <w:r>
        <w:rPr>
          <w:color w:val="auto"/>
          <w:spacing w:val="-11"/>
        </w:rPr>
        <w:t xml:space="preserve"> 万元以下的罚款；情节严重的，由登记机关依法撤销登记吊销执照。”</w:t>
      </w:r>
    </w:p>
    <w:p>
      <w:pPr>
        <w:pStyle w:val="13"/>
        <w:numPr>
          <w:ilvl w:val="0"/>
          <w:numId w:val="1668"/>
        </w:numPr>
        <w:tabs>
          <w:tab w:val="left" w:pos="833"/>
        </w:tabs>
        <w:spacing w:before="0" w:after="0" w:line="391" w:lineRule="auto"/>
        <w:ind w:left="111" w:right="266" w:firstLine="480"/>
        <w:jc w:val="both"/>
        <w:rPr>
          <w:color w:val="auto"/>
          <w:sz w:val="24"/>
        </w:rPr>
      </w:pPr>
      <w:r>
        <w:rPr>
          <w:color w:val="auto"/>
          <w:spacing w:val="-2"/>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8"/>
          <w:sz w:val="24"/>
        </w:rPr>
        <w:t>）</w:t>
      </w:r>
      <w:r>
        <w:rPr>
          <w:color w:val="auto"/>
          <w:spacing w:val="-4"/>
          <w:sz w:val="24"/>
        </w:rPr>
        <w:t>第十一条“本规定第四</w:t>
      </w:r>
      <w:r>
        <w:rPr>
          <w:color w:val="auto"/>
          <w:spacing w:val="-6"/>
          <w:sz w:val="24"/>
        </w:rPr>
        <w:t>条、第七条至第九条规定中经营者为个人的，对其没有违法所得的价格违法行为，可</w:t>
      </w:r>
      <w:r>
        <w:rPr>
          <w:color w:val="auto"/>
          <w:spacing w:val="-20"/>
          <w:sz w:val="24"/>
        </w:rPr>
        <w:t xml:space="preserve">以处 </w:t>
      </w:r>
      <w:r>
        <w:rPr>
          <w:color w:val="auto"/>
          <w:sz w:val="24"/>
        </w:rPr>
        <w:t>10</w:t>
      </w:r>
      <w:r>
        <w:rPr>
          <w:color w:val="auto"/>
          <w:spacing w:val="-8"/>
          <w:sz w:val="24"/>
        </w:rPr>
        <w:t xml:space="preserve"> 万元以下的罚款。</w:t>
      </w:r>
    </w:p>
    <w:p>
      <w:pPr>
        <w:pStyle w:val="4"/>
        <w:spacing w:line="391" w:lineRule="auto"/>
        <w:ind w:right="232" w:firstLine="480"/>
        <w:jc w:val="right"/>
        <w:rPr>
          <w:color w:val="auto"/>
        </w:rPr>
      </w:pPr>
      <w:r>
        <w:rPr>
          <w:color w:val="auto"/>
          <w:spacing w:val="-4"/>
        </w:rPr>
        <w:t>本规定第五条、第六条、第十条规定中经营者为个人的，对其没有违法所得的价</w:t>
      </w:r>
      <w:r>
        <w:rPr>
          <w:color w:val="auto"/>
          <w:spacing w:val="-7"/>
        </w:rPr>
        <w:t xml:space="preserve">格违法行为，按照前款规定处罚；情节严重，处 </w:t>
      </w:r>
      <w:r>
        <w:rPr>
          <w:color w:val="auto"/>
        </w:rPr>
        <w:t>10</w:t>
      </w:r>
      <w:r>
        <w:rPr>
          <w:color w:val="auto"/>
          <w:spacing w:val="-20"/>
        </w:rPr>
        <w:t xml:space="preserve"> 万元以上 </w:t>
      </w:r>
      <w:r>
        <w:rPr>
          <w:color w:val="auto"/>
        </w:rPr>
        <w:t>50</w:t>
      </w:r>
      <w:r>
        <w:rPr>
          <w:color w:val="auto"/>
          <w:spacing w:val="-9"/>
        </w:rPr>
        <w:t xml:space="preserve"> 万元以下的罚款。”</w:t>
      </w:r>
      <w:r>
        <w:rPr>
          <w:color w:val="auto"/>
        </w:rPr>
        <w:t xml:space="preserve"> </w:t>
      </w:r>
      <w:r>
        <w:rPr>
          <w:color w:val="auto"/>
          <w:spacing w:val="-6"/>
        </w:rPr>
        <w:t>5</w:t>
      </w:r>
      <w:r>
        <w:rPr>
          <w:color w:val="auto"/>
          <w:spacing w:val="-3"/>
        </w:rPr>
        <w:t>.《国家发展改革委关于印发&lt;规范价格行政处罚权的若干规定&gt;的通知》</w:t>
      </w:r>
      <w:r>
        <w:rPr>
          <w:color w:val="auto"/>
        </w:rPr>
        <w:t>（发改</w:t>
      </w:r>
    </w:p>
    <w:p>
      <w:pPr>
        <w:pStyle w:val="4"/>
        <w:spacing w:line="391" w:lineRule="auto"/>
        <w:ind w:right="146"/>
        <w:rPr>
          <w:color w:val="auto"/>
        </w:rPr>
      </w:pPr>
      <w:r>
        <w:rPr>
          <w:color w:val="auto"/>
          <w:spacing w:val="-15"/>
        </w:rPr>
        <w:t>价监〔</w:t>
      </w:r>
      <w:r>
        <w:rPr>
          <w:color w:val="auto"/>
        </w:rPr>
        <w:t>2014</w:t>
      </w:r>
      <w:r>
        <w:rPr>
          <w:color w:val="auto"/>
          <w:spacing w:val="-44"/>
        </w:rPr>
        <w:t>〕</w:t>
      </w:r>
      <w:r>
        <w:rPr>
          <w:color w:val="auto"/>
        </w:rPr>
        <w:t>1223</w:t>
      </w:r>
      <w:r>
        <w:rPr>
          <w:color w:val="auto"/>
          <w:spacing w:val="-30"/>
        </w:rPr>
        <w:t xml:space="preserve"> 号</w:t>
      </w:r>
      <w:r>
        <w:rPr>
          <w:color w:val="auto"/>
          <w:spacing w:val="-44"/>
        </w:rPr>
        <w:t>）</w:t>
      </w:r>
      <w:r>
        <w:rPr>
          <w:color w:val="auto"/>
          <w:spacing w:val="-11"/>
        </w:rPr>
        <w:t xml:space="preserve">第十一条“法律、法规和规章规定可以处或者可以并处罚款的， </w:t>
      </w:r>
      <w:r>
        <w:rPr>
          <w:color w:val="auto"/>
          <w:spacing w:val="3"/>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4"/>
        <w:spacing w:line="388" w:lineRule="auto"/>
        <w:ind w:right="266" w:firstLine="480"/>
        <w:jc w:val="both"/>
        <w:rPr>
          <w:color w:val="auto"/>
        </w:rPr>
      </w:pPr>
      <w:r>
        <w:rPr>
          <w:color w:val="auto"/>
          <w:spacing w:val="-6"/>
        </w:rPr>
        <w:t>6</w:t>
      </w:r>
      <w:r>
        <w:rPr>
          <w:color w:val="auto"/>
          <w:spacing w:val="-3"/>
        </w:rPr>
        <w:t>.《国家发展改革委关于印发&lt;规范价格行政处罚权的若干规定&gt;的通知》</w:t>
      </w:r>
      <w:r>
        <w:rPr>
          <w:color w:val="auto"/>
        </w:rPr>
        <w:t>（</w:t>
      </w:r>
      <w:r>
        <w:rPr>
          <w:color w:val="auto"/>
          <w:spacing w:val="-8"/>
        </w:rPr>
        <w:t>发改</w:t>
      </w:r>
      <w:r>
        <w:rPr>
          <w:color w:val="auto"/>
          <w:spacing w:val="-5"/>
        </w:rPr>
        <w:t>价监〔</w:t>
      </w:r>
      <w:r>
        <w:rPr>
          <w:color w:val="auto"/>
        </w:rPr>
        <w:t>2014</w:t>
      </w:r>
      <w:r>
        <w:rPr>
          <w:color w:val="auto"/>
          <w:spacing w:val="-10"/>
        </w:rPr>
        <w:t>〕</w:t>
      </w:r>
      <w:r>
        <w:rPr>
          <w:color w:val="auto"/>
        </w:rPr>
        <w:t>1223</w:t>
      </w:r>
      <w:r>
        <w:rPr>
          <w:color w:val="auto"/>
          <w:spacing w:val="-30"/>
        </w:rPr>
        <w:t xml:space="preserve"> 号</w:t>
      </w:r>
      <w:r>
        <w:rPr>
          <w:color w:val="auto"/>
          <w:spacing w:val="-10"/>
        </w:rPr>
        <w:t>）第十二条“对《价格法》、《价格违法行为行政处罚规定》规</w:t>
      </w:r>
      <w:r>
        <w:rPr>
          <w:color w:val="auto"/>
          <w:spacing w:val="-4"/>
        </w:rPr>
        <w:t>定一定幅度范围的罚款处罚，价格主管部门应当按照以下标准确定从轻处罚、一般处</w:t>
      </w:r>
    </w:p>
    <w:p>
      <w:pPr>
        <w:spacing w:after="0" w:line="388" w:lineRule="auto"/>
        <w:jc w:val="both"/>
        <w:rPr>
          <w:color w:val="auto"/>
        </w:rPr>
        <w:sectPr>
          <w:pgSz w:w="11910" w:h="16840"/>
          <w:pgMar w:top="1520" w:right="1260" w:bottom="1220" w:left="1420" w:header="0" w:footer="1034" w:gutter="0"/>
        </w:sectPr>
      </w:pPr>
    </w:p>
    <w:p>
      <w:pPr>
        <w:pStyle w:val="4"/>
        <w:spacing w:before="39"/>
        <w:rPr>
          <w:color w:val="auto"/>
        </w:rPr>
      </w:pPr>
      <w:r>
        <w:rPr>
          <w:color w:val="auto"/>
        </w:rPr>
        <w:t>罚、从重处罚的罚款幅度：</w:t>
      </w:r>
    </w:p>
    <w:p>
      <w:pPr>
        <w:pStyle w:val="4"/>
        <w:spacing w:before="195"/>
        <w:ind w:left="0" w:right="268"/>
        <w:jc w:val="right"/>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1"/>
        <w:ind w:left="0" w:right="268"/>
        <w:jc w:val="right"/>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rPr>
          <w:color w:val="auto"/>
        </w:rPr>
      </w:pPr>
      <w:r>
        <w:rPr>
          <w:color w:val="auto"/>
        </w:rPr>
        <w:t>3 倍，从重处罚应当为违法所得的 4 倍或者 5 倍；</w:t>
      </w:r>
    </w:p>
    <w:p>
      <w:pPr>
        <w:pStyle w:val="4"/>
        <w:spacing w:before="194"/>
        <w:ind w:left="0" w:right="268"/>
        <w:jc w:val="right"/>
        <w:rPr>
          <w:color w:val="auto"/>
        </w:rPr>
      </w:pPr>
      <w:r>
        <w:rPr>
          <w:color w:val="auto"/>
        </w:rPr>
        <w:t>（二）《价格法》规定处一定数额的 1 倍以上 3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1"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91" w:lineRule="auto"/>
        <w:ind w:left="591" w:right="6948" w:firstLine="0"/>
        <w:jc w:val="left"/>
        <w:rPr>
          <w:color w:val="auto"/>
          <w:sz w:val="24"/>
        </w:rPr>
      </w:pPr>
      <w:r>
        <w:rPr>
          <w:b/>
          <w:color w:val="auto"/>
          <w:sz w:val="24"/>
        </w:rPr>
        <w:t>（二）裁量标准</w:t>
      </w:r>
      <w:r>
        <w:rPr>
          <w:color w:val="auto"/>
          <w:sz w:val="24"/>
        </w:rPr>
        <w:t>1.【减轻】</w:t>
      </w:r>
    </w:p>
    <w:p>
      <w:pPr>
        <w:pStyle w:val="4"/>
        <w:spacing w:line="306" w:lineRule="exact"/>
        <w:ind w:left="591"/>
        <w:rPr>
          <w:color w:val="auto"/>
        </w:rPr>
      </w:pPr>
      <w:r>
        <w:rPr>
          <w:color w:val="auto"/>
        </w:rPr>
        <w:t>有违法所得的，没收违法所得，不予罚款。</w:t>
      </w:r>
    </w:p>
    <w:p>
      <w:pPr>
        <w:pStyle w:val="4"/>
        <w:spacing w:before="185" w:line="391" w:lineRule="auto"/>
        <w:ind w:left="591" w:right="148"/>
        <w:rPr>
          <w:color w:val="auto"/>
        </w:rPr>
      </w:pPr>
      <w:r>
        <w:rPr>
          <w:color w:val="auto"/>
          <w:spacing w:val="-8"/>
        </w:rPr>
        <w:t xml:space="preserve">没有违法所得的，处 </w:t>
      </w:r>
      <w:r>
        <w:rPr>
          <w:color w:val="auto"/>
        </w:rPr>
        <w:t>5000</w:t>
      </w:r>
      <w:r>
        <w:rPr>
          <w:color w:val="auto"/>
          <w:spacing w:val="-24"/>
        </w:rPr>
        <w:t xml:space="preserve"> 元以上 </w:t>
      </w:r>
      <w:r>
        <w:rPr>
          <w:color w:val="auto"/>
        </w:rPr>
        <w:t>5</w:t>
      </w:r>
      <w:r>
        <w:rPr>
          <w:color w:val="auto"/>
          <w:spacing w:val="-11"/>
        </w:rPr>
        <w:t xml:space="preserve"> 万元以下罚款；经营者为个人的，不予罚款。</w:t>
      </w:r>
      <w:r>
        <w:rPr>
          <w:color w:val="auto"/>
        </w:rPr>
        <w:t>对行业协会或者为商品交易提供服务的单位，不予罚款。</w:t>
      </w:r>
    </w:p>
    <w:p>
      <w:pPr>
        <w:pStyle w:val="4"/>
        <w:spacing w:line="306" w:lineRule="exact"/>
        <w:ind w:left="591"/>
        <w:rPr>
          <w:color w:val="auto"/>
        </w:rPr>
      </w:pPr>
      <w:r>
        <w:rPr>
          <w:color w:val="auto"/>
        </w:rPr>
        <w:t>2.【从轻】</w:t>
      </w:r>
    </w:p>
    <w:p>
      <w:pPr>
        <w:pStyle w:val="4"/>
        <w:spacing w:before="192"/>
        <w:ind w:left="591"/>
        <w:rPr>
          <w:color w:val="auto"/>
        </w:rPr>
      </w:pPr>
      <w:r>
        <w:rPr>
          <w:color w:val="auto"/>
        </w:rPr>
        <w:t>有违法所得的，没收违法所得，并处违法所得 2 倍或者 1 倍以下罚款。</w:t>
      </w:r>
    </w:p>
    <w:p>
      <w:pPr>
        <w:pStyle w:val="4"/>
        <w:spacing w:before="194" w:line="388" w:lineRule="auto"/>
        <w:ind w:right="268" w:firstLine="480"/>
        <w:rPr>
          <w:color w:val="auto"/>
        </w:rPr>
      </w:pPr>
      <w:r>
        <w:rPr>
          <w:color w:val="auto"/>
          <w:spacing w:val="-5"/>
        </w:rPr>
        <w:t xml:space="preserve">没有违法所得的，处 </w:t>
      </w:r>
      <w:r>
        <w:rPr>
          <w:color w:val="auto"/>
        </w:rPr>
        <w:t>5</w:t>
      </w:r>
      <w:r>
        <w:rPr>
          <w:color w:val="auto"/>
          <w:spacing w:val="-18"/>
        </w:rPr>
        <w:t xml:space="preserve"> 万元以上 </w:t>
      </w:r>
      <w:r>
        <w:rPr>
          <w:color w:val="auto"/>
        </w:rPr>
        <w:t>20</w:t>
      </w:r>
      <w:r>
        <w:rPr>
          <w:color w:val="auto"/>
          <w:spacing w:val="-9"/>
        </w:rPr>
        <w:t xml:space="preserve"> 万元以下罚款；经营者为个人的，处 </w:t>
      </w:r>
      <w:r>
        <w:rPr>
          <w:color w:val="auto"/>
        </w:rPr>
        <w:t>4</w:t>
      </w:r>
      <w:r>
        <w:rPr>
          <w:color w:val="auto"/>
          <w:spacing w:val="-16"/>
        </w:rPr>
        <w:t xml:space="preserve"> 万元以下罚款。</w:t>
      </w:r>
    </w:p>
    <w:p>
      <w:pPr>
        <w:pStyle w:val="4"/>
        <w:spacing w:before="2" w:line="391" w:lineRule="auto"/>
        <w:ind w:left="591" w:right="1552"/>
        <w:rPr>
          <w:color w:val="auto"/>
        </w:rPr>
      </w:pPr>
      <w:r>
        <w:rPr>
          <w:color w:val="auto"/>
          <w:spacing w:val="-3"/>
        </w:rPr>
        <w:t xml:space="preserve">对行业协会或者为商品交易提供服务的单位，处 </w:t>
      </w:r>
      <w:r>
        <w:rPr>
          <w:color w:val="auto"/>
        </w:rPr>
        <w:t>20</w:t>
      </w:r>
      <w:r>
        <w:rPr>
          <w:color w:val="auto"/>
          <w:spacing w:val="-10"/>
        </w:rPr>
        <w:t xml:space="preserve"> 万元以下罚款。</w:t>
      </w:r>
      <w:r>
        <w:rPr>
          <w:color w:val="auto"/>
        </w:rPr>
        <w:t>3.【一般】</w:t>
      </w:r>
    </w:p>
    <w:p>
      <w:pPr>
        <w:pStyle w:val="4"/>
        <w:spacing w:line="306" w:lineRule="exact"/>
        <w:ind w:left="591"/>
        <w:rPr>
          <w:color w:val="auto"/>
        </w:rPr>
      </w:pPr>
      <w:r>
        <w:rPr>
          <w:color w:val="auto"/>
        </w:rPr>
        <w:t>有违法所得的，没收违法所得，并处违法所得 3 倍罚款。</w:t>
      </w:r>
    </w:p>
    <w:p>
      <w:pPr>
        <w:pStyle w:val="4"/>
        <w:spacing w:before="191"/>
        <w:ind w:left="591"/>
        <w:rPr>
          <w:color w:val="auto"/>
        </w:rPr>
      </w:pPr>
      <w:r>
        <w:rPr>
          <w:color w:val="auto"/>
          <w:spacing w:val="-8"/>
        </w:rPr>
        <w:t xml:space="preserve">没有违法所得的，处 </w:t>
      </w:r>
      <w:r>
        <w:rPr>
          <w:color w:val="auto"/>
        </w:rPr>
        <w:t>20</w:t>
      </w:r>
      <w:r>
        <w:rPr>
          <w:color w:val="auto"/>
          <w:spacing w:val="-20"/>
        </w:rPr>
        <w:t xml:space="preserve"> 万元以上 </w:t>
      </w:r>
      <w:r>
        <w:rPr>
          <w:color w:val="auto"/>
        </w:rPr>
        <w:t>30</w:t>
      </w:r>
      <w:r>
        <w:rPr>
          <w:color w:val="auto"/>
          <w:spacing w:val="-13"/>
        </w:rPr>
        <w:t xml:space="preserve"> 万元以下罚款；经营者为个人的，处 </w:t>
      </w:r>
      <w:r>
        <w:rPr>
          <w:color w:val="auto"/>
        </w:rPr>
        <w:t>4</w:t>
      </w:r>
      <w:r>
        <w:rPr>
          <w:color w:val="auto"/>
          <w:spacing w:val="-20"/>
        </w:rPr>
        <w:t xml:space="preserve"> 万元</w:t>
      </w:r>
    </w:p>
    <w:p>
      <w:pPr>
        <w:pStyle w:val="4"/>
        <w:spacing w:before="195"/>
        <w:jc w:val="both"/>
        <w:rPr>
          <w:color w:val="auto"/>
        </w:rPr>
      </w:pPr>
      <w:r>
        <w:rPr>
          <w:color w:val="auto"/>
        </w:rPr>
        <w:t>以上 6 万元以下罚款。</w:t>
      </w:r>
    </w:p>
    <w:p>
      <w:pPr>
        <w:pStyle w:val="4"/>
        <w:spacing w:before="191" w:line="388" w:lineRule="auto"/>
        <w:ind w:left="591" w:right="148"/>
        <w:rPr>
          <w:color w:val="auto"/>
        </w:rPr>
      </w:pPr>
      <w:r>
        <w:rPr>
          <w:color w:val="auto"/>
          <w:spacing w:val="-9"/>
        </w:rPr>
        <w:t xml:space="preserve">对行业协会或者为商品交易提供服务的单位，处 </w:t>
      </w:r>
      <w:r>
        <w:rPr>
          <w:color w:val="auto"/>
        </w:rPr>
        <w:t>20</w:t>
      </w:r>
      <w:r>
        <w:rPr>
          <w:color w:val="auto"/>
          <w:spacing w:val="-24"/>
        </w:rPr>
        <w:t xml:space="preserve"> 万元以上 </w:t>
      </w:r>
      <w:r>
        <w:rPr>
          <w:color w:val="auto"/>
        </w:rPr>
        <w:t>30</w:t>
      </w:r>
      <w:r>
        <w:rPr>
          <w:color w:val="auto"/>
          <w:spacing w:val="-12"/>
        </w:rPr>
        <w:t xml:space="preserve"> 万元以下的罚款。</w:t>
      </w:r>
      <w:r>
        <w:rPr>
          <w:color w:val="auto"/>
        </w:rPr>
        <w:t>4.【从重】</w:t>
      </w:r>
    </w:p>
    <w:p>
      <w:pPr>
        <w:spacing w:after="0" w:line="388" w:lineRule="auto"/>
        <w:rPr>
          <w:color w:val="auto"/>
        </w:rPr>
        <w:sectPr>
          <w:pgSz w:w="11910" w:h="16840"/>
          <w:pgMar w:top="1520" w:right="1260" w:bottom="1220" w:left="1420" w:header="0" w:footer="1034" w:gutter="0"/>
        </w:sectPr>
      </w:pPr>
    </w:p>
    <w:p>
      <w:pPr>
        <w:pStyle w:val="4"/>
        <w:spacing w:before="39"/>
        <w:ind w:left="591"/>
        <w:rPr>
          <w:color w:val="auto"/>
        </w:rPr>
      </w:pPr>
      <w:r>
        <w:rPr>
          <w:color w:val="auto"/>
        </w:rPr>
        <w:t>有违法所得的，没收违法所得，并处违法所得 4 倍或者 5 倍罚款。</w:t>
      </w:r>
    </w:p>
    <w:p>
      <w:pPr>
        <w:pStyle w:val="4"/>
        <w:spacing w:before="195"/>
        <w:ind w:left="591"/>
        <w:rPr>
          <w:color w:val="auto"/>
        </w:rPr>
      </w:pPr>
      <w:r>
        <w:rPr>
          <w:color w:val="auto"/>
          <w:spacing w:val="-6"/>
        </w:rPr>
        <w:t xml:space="preserve">没有违法所得的，处 </w:t>
      </w:r>
      <w:r>
        <w:rPr>
          <w:color w:val="auto"/>
        </w:rPr>
        <w:t>30</w:t>
      </w:r>
      <w:r>
        <w:rPr>
          <w:color w:val="auto"/>
          <w:spacing w:val="-19"/>
        </w:rPr>
        <w:t xml:space="preserve"> 万元以上 </w:t>
      </w:r>
      <w:r>
        <w:rPr>
          <w:color w:val="auto"/>
        </w:rPr>
        <w:t>300</w:t>
      </w:r>
      <w:r>
        <w:rPr>
          <w:color w:val="auto"/>
          <w:spacing w:val="-10"/>
        </w:rPr>
        <w:t xml:space="preserve"> 万元以下罚款；经营者为个人的，处 </w:t>
      </w:r>
      <w:r>
        <w:rPr>
          <w:color w:val="auto"/>
        </w:rPr>
        <w:t>6</w:t>
      </w:r>
      <w:r>
        <w:rPr>
          <w:color w:val="auto"/>
          <w:spacing w:val="-27"/>
        </w:rPr>
        <w:t xml:space="preserve"> 万</w:t>
      </w:r>
    </w:p>
    <w:p>
      <w:pPr>
        <w:pStyle w:val="4"/>
        <w:spacing w:before="191"/>
        <w:jc w:val="both"/>
        <w:rPr>
          <w:color w:val="auto"/>
        </w:rPr>
      </w:pPr>
      <w:r>
        <w:rPr>
          <w:color w:val="auto"/>
        </w:rPr>
        <w:t>元以上 50 万元以下罚款。</w:t>
      </w:r>
    </w:p>
    <w:p>
      <w:pPr>
        <w:pStyle w:val="4"/>
        <w:spacing w:before="192"/>
        <w:ind w:left="591"/>
        <w:rPr>
          <w:color w:val="auto"/>
        </w:rPr>
      </w:pPr>
      <w:r>
        <w:rPr>
          <w:color w:val="auto"/>
        </w:rPr>
        <w:t>责令停业整顿，或者吊销营业执照。</w:t>
      </w:r>
    </w:p>
    <w:p>
      <w:pPr>
        <w:pStyle w:val="4"/>
        <w:spacing w:before="194" w:line="388" w:lineRule="auto"/>
        <w:ind w:left="591" w:right="292"/>
        <w:rPr>
          <w:color w:val="auto"/>
        </w:rPr>
      </w:pPr>
      <w:r>
        <w:rPr>
          <w:color w:val="auto"/>
        </w:rPr>
        <w:t>对行业协会或者为商品交易提供服务的单位，30</w:t>
      </w:r>
      <w:r>
        <w:rPr>
          <w:color w:val="auto"/>
          <w:spacing w:val="-20"/>
        </w:rPr>
        <w:t xml:space="preserve"> 万元以上 </w:t>
      </w:r>
      <w:r>
        <w:rPr>
          <w:color w:val="auto"/>
        </w:rPr>
        <w:t>50</w:t>
      </w:r>
      <w:r>
        <w:rPr>
          <w:color w:val="auto"/>
          <w:spacing w:val="-9"/>
        </w:rPr>
        <w:t xml:space="preserve"> 万元以下的罚款。</w:t>
      </w:r>
      <w:r>
        <w:rPr>
          <w:color w:val="auto"/>
        </w:rPr>
        <w:t>提请登记管理机关依法撤销登记、吊销执照。</w:t>
      </w:r>
    </w:p>
    <w:p>
      <w:pPr>
        <w:pStyle w:val="2"/>
        <w:spacing w:before="2" w:line="391" w:lineRule="auto"/>
        <w:ind w:left="111" w:right="237" w:firstLine="480"/>
        <w:rPr>
          <w:color w:val="auto"/>
        </w:rPr>
      </w:pPr>
      <w:bookmarkStart w:id="1450" w:name="_bookmark724"/>
      <w:bookmarkEnd w:id="1450"/>
      <w:bookmarkStart w:id="1451" w:name="七百一十、经营者利用虚假的或者使人误解的价格手段，诱骗消费者或者其他经营者与其进"/>
      <w:bookmarkEnd w:id="1451"/>
      <w:r>
        <w:rPr>
          <w:color w:val="auto"/>
          <w:spacing w:val="-8"/>
        </w:rPr>
        <w:t>七百一十、经营者利用虚假的或者使人误解的价格手段，诱骗消费者或者其他经营者与其进行交易</w:t>
      </w:r>
    </w:p>
    <w:p>
      <w:pPr>
        <w:spacing w:before="0" w:line="306" w:lineRule="exact"/>
        <w:ind w:left="591" w:right="0" w:firstLine="0"/>
        <w:jc w:val="left"/>
        <w:rPr>
          <w:b/>
          <w:color w:val="auto"/>
          <w:sz w:val="24"/>
        </w:rPr>
      </w:pPr>
      <w:r>
        <w:rPr>
          <w:b/>
          <w:color w:val="auto"/>
          <w:sz w:val="24"/>
        </w:rPr>
        <w:t>（一）处罚依据</w:t>
      </w:r>
    </w:p>
    <w:p>
      <w:pPr>
        <w:pStyle w:val="13"/>
        <w:numPr>
          <w:ilvl w:val="0"/>
          <w:numId w:val="1669"/>
        </w:numPr>
        <w:tabs>
          <w:tab w:val="left" w:pos="833"/>
        </w:tabs>
        <w:spacing w:before="192" w:after="0" w:line="240" w:lineRule="auto"/>
        <w:ind w:left="832" w:right="0" w:hanging="242"/>
        <w:jc w:val="left"/>
        <w:rPr>
          <w:color w:val="auto"/>
          <w:sz w:val="24"/>
        </w:rPr>
      </w:pPr>
      <w:r>
        <w:rPr>
          <w:color w:val="auto"/>
          <w:sz w:val="24"/>
        </w:rPr>
        <w:t>《中华人民共和国价格法》 第十四条“经营者不得有下列不正当价格行为：</w:t>
      </w:r>
    </w:p>
    <w:p>
      <w:pPr>
        <w:pStyle w:val="4"/>
        <w:spacing w:before="194" w:line="388" w:lineRule="auto"/>
        <w:ind w:right="268" w:firstLine="480"/>
        <w:rPr>
          <w:color w:val="auto"/>
        </w:rPr>
      </w:pPr>
      <w:r>
        <w:rPr>
          <w:color w:val="auto"/>
        </w:rPr>
        <w:t>（四</w:t>
      </w:r>
      <w:r>
        <w:rPr>
          <w:color w:val="auto"/>
          <w:spacing w:val="-20"/>
        </w:rPr>
        <w:t>）</w:t>
      </w:r>
      <w:r>
        <w:rPr>
          <w:color w:val="auto"/>
          <w:spacing w:val="-2"/>
        </w:rPr>
        <w:t>利用虚假的或者使人误解的价格手段，诱骗消费者或者其他经营者与其进</w:t>
      </w:r>
      <w:r>
        <w:rPr>
          <w:color w:val="auto"/>
        </w:rPr>
        <w:t>行交易。”</w:t>
      </w:r>
    </w:p>
    <w:p>
      <w:pPr>
        <w:pStyle w:val="13"/>
        <w:numPr>
          <w:ilvl w:val="0"/>
          <w:numId w:val="1669"/>
        </w:numPr>
        <w:tabs>
          <w:tab w:val="left" w:pos="834"/>
        </w:tabs>
        <w:spacing w:before="2" w:after="0" w:line="391" w:lineRule="auto"/>
        <w:ind w:left="111" w:right="148" w:firstLine="480"/>
        <w:jc w:val="left"/>
        <w:rPr>
          <w:color w:val="auto"/>
          <w:sz w:val="24"/>
        </w:rPr>
      </w:pPr>
      <w:r>
        <w:rPr>
          <w:color w:val="auto"/>
          <w:sz w:val="24"/>
        </w:rPr>
        <w:t>《中华人民共和国价格法》 第四十条“经营者有本法第十四条所列行为之一</w:t>
      </w:r>
      <w:r>
        <w:rPr>
          <w:color w:val="auto"/>
          <w:spacing w:val="-15"/>
          <w:sz w:val="24"/>
        </w:rPr>
        <w:t xml:space="preserve">的，责令改正，没收违法所得，可以并处违法所得五倍以下的罚款；没有违法所得的， </w:t>
      </w:r>
      <w:r>
        <w:rPr>
          <w:color w:val="auto"/>
          <w:spacing w:val="-6"/>
          <w:sz w:val="24"/>
        </w:rPr>
        <w:t>予以警告，可以并处罚款；情节严重的，责令停业整顿，或者吊销营业执照。有关法</w:t>
      </w:r>
      <w:r>
        <w:rPr>
          <w:color w:val="auto"/>
          <w:spacing w:val="-8"/>
          <w:sz w:val="24"/>
        </w:rPr>
        <w:t>律对本法第十四条所列行为的处罚及处罚机关另有规定的，可以依照有关法律的规定执行。”</w:t>
      </w:r>
    </w:p>
    <w:p>
      <w:pPr>
        <w:pStyle w:val="13"/>
        <w:numPr>
          <w:ilvl w:val="0"/>
          <w:numId w:val="1669"/>
        </w:numPr>
        <w:tabs>
          <w:tab w:val="left" w:pos="834"/>
        </w:tabs>
        <w:spacing w:before="0" w:after="0" w:line="391" w:lineRule="auto"/>
        <w:ind w:left="111" w:right="268" w:firstLine="480"/>
        <w:jc w:val="both"/>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3"/>
          <w:sz w:val="24"/>
        </w:rPr>
        <w:t xml:space="preserve"> 号</w:t>
      </w:r>
      <w:r>
        <w:rPr>
          <w:color w:val="auto"/>
          <w:sz w:val="24"/>
        </w:rPr>
        <w:t>） 第七条“经营者违反</w:t>
      </w:r>
      <w:r>
        <w:rPr>
          <w:color w:val="auto"/>
          <w:spacing w:val="-4"/>
          <w:sz w:val="24"/>
        </w:rPr>
        <w:t>价格法第十四条的规定，利用虚假的或者使人误解的价格手段，诱骗消费者或者其他</w:t>
      </w:r>
      <w:r>
        <w:rPr>
          <w:color w:val="auto"/>
          <w:spacing w:val="-5"/>
          <w:sz w:val="24"/>
        </w:rPr>
        <w:t xml:space="preserve">经营者与其进行交易，责令改正，没收违法所得，并处违法所得 </w:t>
      </w:r>
      <w:r>
        <w:rPr>
          <w:color w:val="auto"/>
          <w:sz w:val="24"/>
        </w:rPr>
        <w:t>5</w:t>
      </w:r>
      <w:r>
        <w:rPr>
          <w:color w:val="auto"/>
          <w:spacing w:val="-11"/>
          <w:sz w:val="24"/>
        </w:rPr>
        <w:t xml:space="preserve"> 倍以下的罚款；没</w:t>
      </w:r>
    </w:p>
    <w:p>
      <w:pPr>
        <w:pStyle w:val="4"/>
        <w:spacing w:line="388" w:lineRule="auto"/>
        <w:ind w:right="268"/>
        <w:jc w:val="both"/>
        <w:rPr>
          <w:color w:val="auto"/>
        </w:rPr>
      </w:pPr>
      <w:r>
        <w:rPr>
          <w:color w:val="auto"/>
          <w:spacing w:val="-5"/>
        </w:rPr>
        <w:t xml:space="preserve">有违法所得的，处 </w:t>
      </w:r>
      <w:r>
        <w:rPr>
          <w:color w:val="auto"/>
        </w:rPr>
        <w:t>5</w:t>
      </w:r>
      <w:r>
        <w:rPr>
          <w:color w:val="auto"/>
          <w:spacing w:val="-16"/>
        </w:rPr>
        <w:t xml:space="preserve"> 万元以上 </w:t>
      </w:r>
      <w:r>
        <w:rPr>
          <w:color w:val="auto"/>
        </w:rPr>
        <w:t>50</w:t>
      </w:r>
      <w:r>
        <w:rPr>
          <w:color w:val="auto"/>
          <w:spacing w:val="-7"/>
        </w:rPr>
        <w:t xml:space="preserve"> 万元以下的罚款；情节严重的，责令停业整顿，或者吊销营业执照。”</w:t>
      </w:r>
    </w:p>
    <w:p>
      <w:pPr>
        <w:pStyle w:val="13"/>
        <w:numPr>
          <w:ilvl w:val="0"/>
          <w:numId w:val="1669"/>
        </w:numPr>
        <w:tabs>
          <w:tab w:val="left" w:pos="834"/>
        </w:tabs>
        <w:spacing w:before="0" w:after="0" w:line="388" w:lineRule="auto"/>
        <w:ind w:left="111" w:right="232" w:firstLine="480"/>
        <w:jc w:val="both"/>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4"/>
          <w:sz w:val="24"/>
        </w:rPr>
        <w:t xml:space="preserve"> 号</w:t>
      </w:r>
      <w:r>
        <w:rPr>
          <w:color w:val="auto"/>
          <w:sz w:val="24"/>
        </w:rPr>
        <w:t>） 第十一条“本规定第</w:t>
      </w:r>
      <w:r>
        <w:rPr>
          <w:color w:val="auto"/>
          <w:spacing w:val="-1"/>
          <w:sz w:val="24"/>
        </w:rPr>
        <w:t xml:space="preserve">四条、第七条至第九条规定中经营者为个人的，对其没有违法所得的价格违法行为， </w:t>
      </w:r>
      <w:r>
        <w:rPr>
          <w:color w:val="auto"/>
          <w:spacing w:val="-15"/>
          <w:sz w:val="24"/>
        </w:rPr>
        <w:t xml:space="preserve">可以处 </w:t>
      </w:r>
      <w:r>
        <w:rPr>
          <w:color w:val="auto"/>
          <w:sz w:val="24"/>
        </w:rPr>
        <w:t>10</w:t>
      </w:r>
      <w:r>
        <w:rPr>
          <w:color w:val="auto"/>
          <w:spacing w:val="-8"/>
          <w:sz w:val="24"/>
        </w:rPr>
        <w:t xml:space="preserve"> 万元以下的罚款。”</w:t>
      </w:r>
    </w:p>
    <w:p>
      <w:pPr>
        <w:pStyle w:val="13"/>
        <w:numPr>
          <w:ilvl w:val="0"/>
          <w:numId w:val="1669"/>
        </w:numPr>
        <w:tabs>
          <w:tab w:val="left" w:pos="833"/>
        </w:tabs>
        <w:spacing w:before="1" w:after="0" w:line="388"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w:t>
      </w:r>
    </w:p>
    <w:p>
      <w:pPr>
        <w:spacing w:after="0" w:line="388" w:lineRule="auto"/>
        <w:jc w:val="left"/>
        <w:rPr>
          <w:color w:val="auto"/>
          <w:sz w:val="24"/>
        </w:rPr>
        <w:sectPr>
          <w:pgSz w:w="11910" w:h="16840"/>
          <w:pgMar w:top="1520" w:right="1260" w:bottom="1220" w:left="1420" w:header="0" w:footer="1034" w:gutter="0"/>
        </w:sectPr>
      </w:pPr>
    </w:p>
    <w:p>
      <w:pPr>
        <w:pStyle w:val="4"/>
        <w:spacing w:before="39"/>
        <w:rPr>
          <w:color w:val="auto"/>
        </w:rPr>
      </w:pPr>
      <w:r>
        <w:rPr>
          <w:color w:val="auto"/>
        </w:rPr>
        <w:t>款；对于一般处罚和从重处罚情形应当处或者并处罚款。</w:t>
      </w:r>
    </w:p>
    <w:p>
      <w:pPr>
        <w:pStyle w:val="4"/>
        <w:spacing w:before="195"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before="5"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69"/>
        </w:numPr>
        <w:tabs>
          <w:tab w:val="left" w:pos="833"/>
        </w:tabs>
        <w:spacing w:before="2"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rPr>
          <w:color w:val="auto"/>
        </w:rPr>
      </w:pPr>
      <w:r>
        <w:rPr>
          <w:color w:val="auto"/>
        </w:rPr>
        <w:t>3 倍，从重处罚应当为违法所得的 4 倍或者 5 倍；</w:t>
      </w:r>
    </w:p>
    <w:p>
      <w:pPr>
        <w:pStyle w:val="4"/>
        <w:spacing w:before="194"/>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1"/>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91" w:lineRule="auto"/>
        <w:ind w:left="591" w:right="6948" w:firstLine="0"/>
        <w:jc w:val="left"/>
        <w:rPr>
          <w:color w:val="auto"/>
          <w:sz w:val="24"/>
        </w:rPr>
      </w:pPr>
      <w:r>
        <w:rPr>
          <w:b/>
          <w:color w:val="auto"/>
          <w:sz w:val="24"/>
        </w:rPr>
        <w:t>（二）裁量标准</w:t>
      </w:r>
      <w:r>
        <w:rPr>
          <w:color w:val="auto"/>
          <w:sz w:val="24"/>
        </w:rPr>
        <w:t>1.【减轻】</w:t>
      </w:r>
    </w:p>
    <w:p>
      <w:pPr>
        <w:pStyle w:val="4"/>
        <w:spacing w:line="306" w:lineRule="exact"/>
        <w:ind w:left="591"/>
        <w:rPr>
          <w:color w:val="auto"/>
        </w:rPr>
      </w:pPr>
      <w:r>
        <w:rPr>
          <w:color w:val="auto"/>
        </w:rPr>
        <w:t>有违法所得的，没收违法所得，不予罚款。</w:t>
      </w:r>
    </w:p>
    <w:p>
      <w:pPr>
        <w:pStyle w:val="4"/>
        <w:spacing w:before="184" w:line="391" w:lineRule="auto"/>
        <w:ind w:left="591" w:right="148"/>
        <w:rPr>
          <w:color w:val="auto"/>
        </w:rPr>
      </w:pPr>
      <w:r>
        <w:rPr>
          <w:color w:val="auto"/>
          <w:spacing w:val="-8"/>
        </w:rPr>
        <w:t xml:space="preserve">没有违法所得的，处 </w:t>
      </w:r>
      <w:r>
        <w:rPr>
          <w:color w:val="auto"/>
        </w:rPr>
        <w:t>5000</w:t>
      </w:r>
      <w:r>
        <w:rPr>
          <w:color w:val="auto"/>
          <w:spacing w:val="-24"/>
        </w:rPr>
        <w:t xml:space="preserve"> 元以上 </w:t>
      </w:r>
      <w:r>
        <w:rPr>
          <w:color w:val="auto"/>
        </w:rPr>
        <w:t>5</w:t>
      </w:r>
      <w:r>
        <w:rPr>
          <w:color w:val="auto"/>
          <w:spacing w:val="-11"/>
        </w:rPr>
        <w:t xml:space="preserve"> 万元以下罚款；经营者为个人的，不予罚款。</w:t>
      </w:r>
      <w:r>
        <w:rPr>
          <w:color w:val="auto"/>
        </w:rPr>
        <w:t>2.【从轻】</w:t>
      </w:r>
    </w:p>
    <w:p>
      <w:pPr>
        <w:pStyle w:val="4"/>
        <w:spacing w:line="306" w:lineRule="exact"/>
        <w:ind w:left="591"/>
        <w:rPr>
          <w:color w:val="auto"/>
        </w:rPr>
      </w:pPr>
      <w:r>
        <w:rPr>
          <w:color w:val="auto"/>
        </w:rPr>
        <w:t>有违法所得的，没收违法所得，并处违法所得 2 倍或者 1 倍以下罚款。</w:t>
      </w:r>
    </w:p>
    <w:p>
      <w:pPr>
        <w:pStyle w:val="4"/>
        <w:spacing w:before="192"/>
        <w:ind w:left="591"/>
        <w:rPr>
          <w:color w:val="auto"/>
        </w:rPr>
      </w:pPr>
      <w:r>
        <w:rPr>
          <w:color w:val="auto"/>
          <w:spacing w:val="-6"/>
        </w:rPr>
        <w:t xml:space="preserve">没有违法所得的，处 </w:t>
      </w:r>
      <w:r>
        <w:rPr>
          <w:color w:val="auto"/>
        </w:rPr>
        <w:t>5</w:t>
      </w:r>
      <w:r>
        <w:rPr>
          <w:color w:val="auto"/>
          <w:spacing w:val="-19"/>
        </w:rPr>
        <w:t xml:space="preserve"> 万元以上 </w:t>
      </w:r>
      <w:r>
        <w:rPr>
          <w:color w:val="auto"/>
        </w:rPr>
        <w:t>20</w:t>
      </w:r>
      <w:r>
        <w:rPr>
          <w:color w:val="auto"/>
          <w:spacing w:val="-10"/>
        </w:rPr>
        <w:t xml:space="preserve"> 万元以下罚款；经营者为个人的，处 </w:t>
      </w:r>
      <w:r>
        <w:rPr>
          <w:color w:val="auto"/>
        </w:rPr>
        <w:t>4</w:t>
      </w:r>
      <w:r>
        <w:rPr>
          <w:color w:val="auto"/>
          <w:spacing w:val="-18"/>
        </w:rPr>
        <w:t xml:space="preserve"> 万元</w:t>
      </w:r>
    </w:p>
    <w:p>
      <w:pPr>
        <w:spacing w:after="0"/>
        <w:rPr>
          <w:color w:val="auto"/>
        </w:rPr>
        <w:sectPr>
          <w:pgSz w:w="11910" w:h="16840"/>
          <w:pgMar w:top="1520" w:right="1260" w:bottom="1220" w:left="1420" w:header="0" w:footer="1034" w:gutter="0"/>
        </w:sectPr>
      </w:pPr>
    </w:p>
    <w:p>
      <w:pPr>
        <w:pStyle w:val="4"/>
        <w:spacing w:before="39"/>
        <w:rPr>
          <w:color w:val="auto"/>
        </w:rPr>
      </w:pPr>
      <w:r>
        <w:rPr>
          <w:color w:val="auto"/>
        </w:rPr>
        <w:t>以下罚款。</w:t>
      </w:r>
    </w:p>
    <w:p>
      <w:pPr>
        <w:pStyle w:val="4"/>
        <w:spacing w:before="195"/>
        <w:ind w:left="591"/>
        <w:rPr>
          <w:color w:val="auto"/>
        </w:rPr>
      </w:pPr>
      <w:r>
        <w:rPr>
          <w:color w:val="auto"/>
        </w:rPr>
        <w:t>3.【一般】</w:t>
      </w:r>
    </w:p>
    <w:p>
      <w:pPr>
        <w:pStyle w:val="4"/>
        <w:spacing w:before="191"/>
        <w:ind w:left="591"/>
        <w:rPr>
          <w:color w:val="auto"/>
        </w:rPr>
      </w:pPr>
      <w:r>
        <w:rPr>
          <w:color w:val="auto"/>
        </w:rPr>
        <w:t>有违法所得的，没收违法所得，并处违法所得 3 倍罚款。</w:t>
      </w:r>
    </w:p>
    <w:p>
      <w:pPr>
        <w:pStyle w:val="4"/>
        <w:spacing w:before="192"/>
        <w:ind w:left="591"/>
        <w:rPr>
          <w:color w:val="auto"/>
        </w:rPr>
      </w:pPr>
      <w:r>
        <w:rPr>
          <w:color w:val="auto"/>
          <w:spacing w:val="-8"/>
        </w:rPr>
        <w:t xml:space="preserve">没有违法所得的，处 </w:t>
      </w:r>
      <w:r>
        <w:rPr>
          <w:color w:val="auto"/>
        </w:rPr>
        <w:t>20</w:t>
      </w:r>
      <w:r>
        <w:rPr>
          <w:color w:val="auto"/>
          <w:spacing w:val="-20"/>
        </w:rPr>
        <w:t xml:space="preserve"> 万元以上 </w:t>
      </w:r>
      <w:r>
        <w:rPr>
          <w:color w:val="auto"/>
        </w:rPr>
        <w:t>30</w:t>
      </w:r>
      <w:r>
        <w:rPr>
          <w:color w:val="auto"/>
          <w:spacing w:val="-13"/>
        </w:rPr>
        <w:t xml:space="preserve"> 万元以下罚款；经营者为个人的，处 </w:t>
      </w:r>
      <w:r>
        <w:rPr>
          <w:color w:val="auto"/>
        </w:rPr>
        <w:t>4</w:t>
      </w:r>
      <w:r>
        <w:rPr>
          <w:color w:val="auto"/>
          <w:spacing w:val="-20"/>
        </w:rPr>
        <w:t xml:space="preserve"> 万元</w:t>
      </w:r>
    </w:p>
    <w:p>
      <w:pPr>
        <w:pStyle w:val="4"/>
        <w:spacing w:before="194" w:line="388" w:lineRule="auto"/>
        <w:ind w:left="591" w:right="6712" w:hanging="480"/>
        <w:rPr>
          <w:color w:val="auto"/>
        </w:rPr>
      </w:pPr>
      <w:r>
        <w:rPr>
          <w:color w:val="auto"/>
          <w:spacing w:val="-20"/>
        </w:rPr>
        <w:t xml:space="preserve">以上 </w:t>
      </w:r>
      <w:r>
        <w:rPr>
          <w:color w:val="auto"/>
        </w:rPr>
        <w:t>6</w:t>
      </w:r>
      <w:r>
        <w:rPr>
          <w:color w:val="auto"/>
          <w:spacing w:val="-10"/>
        </w:rPr>
        <w:t xml:space="preserve"> 万元以下罚款。</w:t>
      </w:r>
      <w:r>
        <w:rPr>
          <w:color w:val="auto"/>
        </w:rPr>
        <w:t>4.【从重】</w:t>
      </w:r>
    </w:p>
    <w:p>
      <w:pPr>
        <w:pStyle w:val="4"/>
        <w:spacing w:before="2"/>
        <w:ind w:left="591"/>
        <w:rPr>
          <w:color w:val="auto"/>
        </w:rPr>
      </w:pPr>
      <w:r>
        <w:rPr>
          <w:color w:val="auto"/>
        </w:rPr>
        <w:t>有违法所得的，没收违法所得，并处违法所得 4 倍或者 5 倍罚款。</w:t>
      </w:r>
    </w:p>
    <w:p>
      <w:pPr>
        <w:pStyle w:val="4"/>
        <w:spacing w:before="194"/>
        <w:ind w:left="591"/>
        <w:rPr>
          <w:color w:val="auto"/>
        </w:rPr>
      </w:pPr>
      <w:r>
        <w:rPr>
          <w:color w:val="auto"/>
          <w:spacing w:val="-8"/>
        </w:rPr>
        <w:t xml:space="preserve">没有违法所得的，处 </w:t>
      </w:r>
      <w:r>
        <w:rPr>
          <w:color w:val="auto"/>
        </w:rPr>
        <w:t>30</w:t>
      </w:r>
      <w:r>
        <w:rPr>
          <w:color w:val="auto"/>
          <w:spacing w:val="-20"/>
        </w:rPr>
        <w:t xml:space="preserve"> 万元以上 </w:t>
      </w:r>
      <w:r>
        <w:rPr>
          <w:color w:val="auto"/>
        </w:rPr>
        <w:t>50</w:t>
      </w:r>
      <w:r>
        <w:rPr>
          <w:color w:val="auto"/>
          <w:spacing w:val="-13"/>
        </w:rPr>
        <w:t xml:space="preserve"> 万元以下罚款；经营者为个人的，处 </w:t>
      </w:r>
      <w:r>
        <w:rPr>
          <w:color w:val="auto"/>
        </w:rPr>
        <w:t>6</w:t>
      </w:r>
      <w:r>
        <w:rPr>
          <w:color w:val="auto"/>
          <w:spacing w:val="-20"/>
        </w:rPr>
        <w:t xml:space="preserve"> 万元</w:t>
      </w:r>
    </w:p>
    <w:p>
      <w:pPr>
        <w:pStyle w:val="4"/>
        <w:spacing w:before="192"/>
        <w:rPr>
          <w:color w:val="auto"/>
        </w:rPr>
      </w:pPr>
      <w:r>
        <w:rPr>
          <w:color w:val="auto"/>
        </w:rPr>
        <w:t>以上 10 万元以下罚款。</w:t>
      </w:r>
    </w:p>
    <w:p>
      <w:pPr>
        <w:pStyle w:val="4"/>
        <w:spacing w:before="192"/>
        <w:ind w:left="591"/>
        <w:rPr>
          <w:color w:val="auto"/>
        </w:rPr>
      </w:pPr>
      <w:r>
        <w:rPr>
          <w:color w:val="auto"/>
        </w:rPr>
        <w:t>责令停业整顿，或者吊销营业执照。</w:t>
      </w:r>
    </w:p>
    <w:p>
      <w:pPr>
        <w:pStyle w:val="2"/>
        <w:spacing w:before="194" w:line="388" w:lineRule="auto"/>
        <w:ind w:left="111" w:right="237" w:firstLine="480"/>
        <w:rPr>
          <w:color w:val="auto"/>
        </w:rPr>
      </w:pPr>
      <w:bookmarkStart w:id="1452" w:name="七百一十一、经营者提供相同商品或者服务，对具有同等交易条件的其他经营者实行价格歧"/>
      <w:bookmarkEnd w:id="1452"/>
      <w:bookmarkStart w:id="1453" w:name="_bookmark725"/>
      <w:bookmarkEnd w:id="1453"/>
      <w:r>
        <w:rPr>
          <w:color w:val="auto"/>
          <w:spacing w:val="-8"/>
        </w:rPr>
        <w:t>七百一十一、经营者提供相同商品或者服务，对具有同等交易条件的其他经营者实行价格歧视</w:t>
      </w:r>
    </w:p>
    <w:p>
      <w:pPr>
        <w:spacing w:before="2"/>
        <w:ind w:left="591" w:right="0" w:firstLine="0"/>
        <w:jc w:val="left"/>
        <w:rPr>
          <w:b/>
          <w:color w:val="auto"/>
          <w:sz w:val="24"/>
        </w:rPr>
      </w:pPr>
      <w:r>
        <w:rPr>
          <w:b/>
          <w:color w:val="auto"/>
          <w:sz w:val="24"/>
        </w:rPr>
        <w:t>（一）处罚依据</w:t>
      </w:r>
    </w:p>
    <w:p>
      <w:pPr>
        <w:pStyle w:val="13"/>
        <w:numPr>
          <w:ilvl w:val="0"/>
          <w:numId w:val="1670"/>
        </w:numPr>
        <w:tabs>
          <w:tab w:val="left" w:pos="833"/>
        </w:tabs>
        <w:spacing w:before="194" w:after="0" w:line="240" w:lineRule="auto"/>
        <w:ind w:left="832" w:right="0" w:hanging="242"/>
        <w:jc w:val="left"/>
        <w:rPr>
          <w:color w:val="auto"/>
          <w:sz w:val="24"/>
        </w:rPr>
      </w:pPr>
      <w:r>
        <w:rPr>
          <w:color w:val="auto"/>
          <w:sz w:val="24"/>
        </w:rPr>
        <w:t>《中华人民共和国价格法》 第十四条“经营者不得有下列不正当价格行为：</w:t>
      </w:r>
    </w:p>
    <w:p>
      <w:pPr>
        <w:pStyle w:val="4"/>
        <w:spacing w:before="192" w:line="388" w:lineRule="auto"/>
        <w:ind w:right="269" w:firstLine="480"/>
        <w:rPr>
          <w:color w:val="auto"/>
        </w:rPr>
      </w:pPr>
      <w:r>
        <w:rPr>
          <w:color w:val="auto"/>
        </w:rPr>
        <w:t>（五）提供相同商品或者服务，对具有同等交易条件的其他经营者实行价格歧视。”</w:t>
      </w:r>
    </w:p>
    <w:p>
      <w:pPr>
        <w:pStyle w:val="13"/>
        <w:numPr>
          <w:ilvl w:val="0"/>
          <w:numId w:val="1670"/>
        </w:numPr>
        <w:tabs>
          <w:tab w:val="left" w:pos="834"/>
        </w:tabs>
        <w:spacing w:before="4" w:after="0" w:line="391" w:lineRule="auto"/>
        <w:ind w:left="111" w:right="148" w:firstLine="480"/>
        <w:jc w:val="left"/>
        <w:rPr>
          <w:color w:val="auto"/>
          <w:sz w:val="24"/>
        </w:rPr>
      </w:pPr>
      <w:r>
        <w:rPr>
          <w:color w:val="auto"/>
          <w:sz w:val="24"/>
        </w:rPr>
        <w:t>《中华人民共和国价格法》 第四十条“经营者有本法第十四条所列行为之一</w:t>
      </w:r>
      <w:r>
        <w:rPr>
          <w:color w:val="auto"/>
          <w:spacing w:val="-15"/>
          <w:sz w:val="24"/>
        </w:rPr>
        <w:t xml:space="preserve">的，责令改正，没收违法所得，可以并处违法所得五倍以下的罚款；没有违法所得的， </w:t>
      </w:r>
      <w:r>
        <w:rPr>
          <w:color w:val="auto"/>
          <w:spacing w:val="-6"/>
          <w:sz w:val="24"/>
        </w:rPr>
        <w:t>予以警告，可以并处罚款；情节严重的，责令停业整顿，或者吊销营业执照。有关法</w:t>
      </w:r>
      <w:r>
        <w:rPr>
          <w:color w:val="auto"/>
          <w:spacing w:val="-8"/>
          <w:sz w:val="24"/>
        </w:rPr>
        <w:t>律对本法第十四条所列行为的处罚及处罚机关另有规定的，可以依照有关法律的规定执行。”</w:t>
      </w:r>
    </w:p>
    <w:p>
      <w:pPr>
        <w:pStyle w:val="13"/>
        <w:numPr>
          <w:ilvl w:val="0"/>
          <w:numId w:val="1670"/>
        </w:numPr>
        <w:tabs>
          <w:tab w:val="left" w:pos="834"/>
        </w:tabs>
        <w:spacing w:before="0" w:after="0" w:line="391" w:lineRule="auto"/>
        <w:ind w:left="111" w:right="268" w:firstLine="480"/>
        <w:jc w:val="both"/>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3"/>
          <w:sz w:val="24"/>
        </w:rPr>
        <w:t xml:space="preserve"> 号</w:t>
      </w:r>
      <w:r>
        <w:rPr>
          <w:color w:val="auto"/>
          <w:sz w:val="24"/>
        </w:rPr>
        <w:t>） 第四条“经营者违反</w:t>
      </w:r>
      <w:r>
        <w:rPr>
          <w:color w:val="auto"/>
          <w:spacing w:val="-5"/>
          <w:sz w:val="24"/>
        </w:rPr>
        <w:t>价格法第十四条的规定，有下列行为之一的，责令改正，没收违法所得，并处违法所</w:t>
      </w:r>
      <w:r>
        <w:rPr>
          <w:color w:val="auto"/>
          <w:spacing w:val="-25"/>
          <w:sz w:val="24"/>
        </w:rPr>
        <w:t xml:space="preserve">得 </w:t>
      </w:r>
      <w:r>
        <w:rPr>
          <w:color w:val="auto"/>
          <w:sz w:val="24"/>
        </w:rPr>
        <w:t>5</w:t>
      </w:r>
      <w:r>
        <w:rPr>
          <w:color w:val="auto"/>
          <w:spacing w:val="-11"/>
          <w:sz w:val="24"/>
        </w:rPr>
        <w:t xml:space="preserve"> 倍以下的罚款；没有违法所得的，处 </w:t>
      </w:r>
      <w:r>
        <w:rPr>
          <w:color w:val="auto"/>
          <w:sz w:val="24"/>
        </w:rPr>
        <w:t>10</w:t>
      </w:r>
      <w:r>
        <w:rPr>
          <w:color w:val="auto"/>
          <w:spacing w:val="-18"/>
          <w:sz w:val="24"/>
        </w:rPr>
        <w:t xml:space="preserve"> 万元以上 </w:t>
      </w:r>
      <w:r>
        <w:rPr>
          <w:color w:val="auto"/>
          <w:sz w:val="24"/>
        </w:rPr>
        <w:t>100</w:t>
      </w:r>
      <w:r>
        <w:rPr>
          <w:color w:val="auto"/>
          <w:spacing w:val="-8"/>
          <w:sz w:val="24"/>
        </w:rPr>
        <w:t xml:space="preserve"> 万元以下的罚款；情节严重的，责令停业整顿，或者吊销营业执照：</w:t>
      </w:r>
    </w:p>
    <w:p>
      <w:pPr>
        <w:pStyle w:val="4"/>
        <w:spacing w:line="388" w:lineRule="auto"/>
        <w:ind w:right="213" w:firstLine="480"/>
        <w:rPr>
          <w:color w:val="auto"/>
        </w:rPr>
      </w:pPr>
      <w:r>
        <w:rPr>
          <w:color w:val="auto"/>
        </w:rPr>
        <w:t>（二）提供相同商品或者服务，对具有同等交易条件的其他经营者实行价格歧视的。”</w:t>
      </w:r>
    </w:p>
    <w:p>
      <w:pPr>
        <w:pStyle w:val="13"/>
        <w:numPr>
          <w:ilvl w:val="0"/>
          <w:numId w:val="1670"/>
        </w:numPr>
        <w:tabs>
          <w:tab w:val="left" w:pos="834"/>
        </w:tabs>
        <w:spacing w:before="0" w:after="0" w:line="240" w:lineRule="auto"/>
        <w:ind w:left="833" w:right="0" w:hanging="243"/>
        <w:jc w:val="left"/>
        <w:rPr>
          <w:color w:val="auto"/>
          <w:sz w:val="24"/>
        </w:rPr>
      </w:pPr>
      <w:r>
        <w:rPr>
          <w:color w:val="auto"/>
          <w:sz w:val="24"/>
        </w:rPr>
        <w:t>《价格违法行为行政处罚规定》（</w:t>
      </w:r>
      <w:r>
        <w:rPr>
          <w:color w:val="auto"/>
          <w:spacing w:val="-9"/>
          <w:sz w:val="24"/>
        </w:rPr>
        <w:t xml:space="preserve">国务院令第 </w:t>
      </w:r>
      <w:r>
        <w:rPr>
          <w:color w:val="auto"/>
          <w:sz w:val="24"/>
        </w:rPr>
        <w:t>585</w:t>
      </w:r>
      <w:r>
        <w:rPr>
          <w:color w:val="auto"/>
          <w:spacing w:val="-26"/>
          <w:sz w:val="24"/>
        </w:rPr>
        <w:t xml:space="preserve"> 号</w:t>
      </w:r>
      <w:r>
        <w:rPr>
          <w:color w:val="auto"/>
          <w:sz w:val="24"/>
        </w:rPr>
        <w:t>） 第十一条第一款“本</w:t>
      </w:r>
    </w:p>
    <w:p>
      <w:pPr>
        <w:spacing w:after="0" w:line="240" w:lineRule="auto"/>
        <w:jc w:val="left"/>
        <w:rPr>
          <w:color w:val="auto"/>
          <w:sz w:val="24"/>
        </w:rPr>
        <w:sectPr>
          <w:pgSz w:w="11910" w:h="16840"/>
          <w:pgMar w:top="1520" w:right="1260" w:bottom="1220" w:left="1420" w:header="0" w:footer="1034" w:gutter="0"/>
        </w:sectPr>
      </w:pPr>
    </w:p>
    <w:p>
      <w:pPr>
        <w:pStyle w:val="4"/>
        <w:spacing w:before="39" w:line="391" w:lineRule="auto"/>
        <w:ind w:right="234"/>
        <w:rPr>
          <w:color w:val="auto"/>
        </w:rPr>
      </w:pPr>
      <w:r>
        <w:rPr>
          <w:color w:val="auto"/>
        </w:rPr>
        <w:t>规定第四条、第七条至第九条规定中经营者为个人的，对其没有违法所得的价格违法行为，可以处 10 万元以下的罚款。”</w:t>
      </w:r>
    </w:p>
    <w:p>
      <w:pPr>
        <w:pStyle w:val="13"/>
        <w:numPr>
          <w:ilvl w:val="0"/>
          <w:numId w:val="1670"/>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91"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0"/>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jc w:val="both"/>
        <w:rPr>
          <w:color w:val="auto"/>
        </w:rPr>
      </w:pPr>
      <w:r>
        <w:rPr>
          <w:color w:val="auto"/>
        </w:rPr>
        <w:t>3 倍，从重处罚应当为违法所得的 4 倍或者 5 倍；</w:t>
      </w:r>
    </w:p>
    <w:p>
      <w:pPr>
        <w:pStyle w:val="4"/>
        <w:spacing w:before="191"/>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4"/>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88" w:lineRule="auto"/>
        <w:ind w:left="591" w:right="6948" w:firstLine="0"/>
        <w:jc w:val="left"/>
        <w:rPr>
          <w:color w:val="auto"/>
          <w:sz w:val="24"/>
        </w:rPr>
      </w:pPr>
      <w:r>
        <w:rPr>
          <w:b/>
          <w:color w:val="auto"/>
          <w:sz w:val="24"/>
        </w:rPr>
        <w:t>（二）裁量标准</w:t>
      </w:r>
      <w:r>
        <w:rPr>
          <w:color w:val="auto"/>
          <w:sz w:val="24"/>
        </w:rPr>
        <w:t>1.【减轻】</w:t>
      </w:r>
    </w:p>
    <w:p>
      <w:pPr>
        <w:spacing w:after="0" w:line="388" w:lineRule="auto"/>
        <w:jc w:val="left"/>
        <w:rPr>
          <w:color w:val="auto"/>
          <w:sz w:val="24"/>
        </w:rPr>
        <w:sectPr>
          <w:pgSz w:w="11910" w:h="16840"/>
          <w:pgMar w:top="1520" w:right="1260" w:bottom="1220" w:left="1420" w:header="0" w:footer="1034" w:gutter="0"/>
        </w:sectPr>
      </w:pPr>
    </w:p>
    <w:p>
      <w:pPr>
        <w:pStyle w:val="4"/>
        <w:spacing w:before="39"/>
        <w:ind w:left="591"/>
        <w:rPr>
          <w:color w:val="auto"/>
        </w:rPr>
      </w:pPr>
      <w:r>
        <w:rPr>
          <w:color w:val="auto"/>
        </w:rPr>
        <w:t>有违法所得的，没收违法所得，不予罚款。</w:t>
      </w:r>
    </w:p>
    <w:p>
      <w:pPr>
        <w:pStyle w:val="4"/>
        <w:spacing w:before="195" w:line="388" w:lineRule="auto"/>
        <w:ind w:left="591" w:right="148"/>
        <w:rPr>
          <w:color w:val="auto"/>
        </w:rPr>
      </w:pPr>
      <w:r>
        <w:rPr>
          <w:color w:val="auto"/>
          <w:spacing w:val="-8"/>
        </w:rPr>
        <w:t xml:space="preserve">没有违法所得的，处 </w:t>
      </w:r>
      <w:r>
        <w:rPr>
          <w:color w:val="auto"/>
        </w:rPr>
        <w:t>1</w:t>
      </w:r>
      <w:r>
        <w:rPr>
          <w:color w:val="auto"/>
          <w:spacing w:val="-20"/>
        </w:rPr>
        <w:t xml:space="preserve"> 万元以上 </w:t>
      </w:r>
      <w:r>
        <w:rPr>
          <w:color w:val="auto"/>
        </w:rPr>
        <w:t>10</w:t>
      </w:r>
      <w:r>
        <w:rPr>
          <w:color w:val="auto"/>
          <w:spacing w:val="-11"/>
        </w:rPr>
        <w:t xml:space="preserve"> 万元以下罚款；经营者为个人的，不予罚款。</w:t>
      </w:r>
      <w:r>
        <w:rPr>
          <w:color w:val="auto"/>
        </w:rPr>
        <w:t>2.【从轻】</w:t>
      </w:r>
    </w:p>
    <w:p>
      <w:pPr>
        <w:pStyle w:val="4"/>
        <w:spacing w:before="2"/>
        <w:ind w:left="591"/>
        <w:rPr>
          <w:color w:val="auto"/>
        </w:rPr>
      </w:pPr>
      <w:r>
        <w:rPr>
          <w:color w:val="auto"/>
        </w:rPr>
        <w:t>有违法所得的，没收违法所得，并处违法所得 2 倍或者 1 倍以下罚款。</w:t>
      </w:r>
    </w:p>
    <w:p>
      <w:pPr>
        <w:pStyle w:val="4"/>
        <w:spacing w:before="194" w:line="388" w:lineRule="auto"/>
        <w:ind w:right="268" w:firstLine="480"/>
        <w:rPr>
          <w:color w:val="auto"/>
        </w:rPr>
      </w:pPr>
      <w:r>
        <w:rPr>
          <w:color w:val="auto"/>
          <w:spacing w:val="-8"/>
        </w:rPr>
        <w:t xml:space="preserve">没有违法所得的，处 </w:t>
      </w:r>
      <w:r>
        <w:rPr>
          <w:color w:val="auto"/>
        </w:rPr>
        <w:t>10</w:t>
      </w:r>
      <w:r>
        <w:rPr>
          <w:color w:val="auto"/>
          <w:spacing w:val="-20"/>
        </w:rPr>
        <w:t xml:space="preserve"> 万元以上 </w:t>
      </w:r>
      <w:r>
        <w:rPr>
          <w:color w:val="auto"/>
        </w:rPr>
        <w:t>40</w:t>
      </w:r>
      <w:r>
        <w:rPr>
          <w:color w:val="auto"/>
          <w:spacing w:val="-13"/>
        </w:rPr>
        <w:t xml:space="preserve"> 万元以下罚款；经营者为个人的，处 </w:t>
      </w:r>
      <w:r>
        <w:rPr>
          <w:color w:val="auto"/>
        </w:rPr>
        <w:t>4</w:t>
      </w:r>
      <w:r>
        <w:rPr>
          <w:color w:val="auto"/>
          <w:spacing w:val="-26"/>
        </w:rPr>
        <w:t xml:space="preserve"> 万元</w:t>
      </w:r>
      <w:r>
        <w:rPr>
          <w:color w:val="auto"/>
        </w:rPr>
        <w:t>以下罚款。</w:t>
      </w:r>
    </w:p>
    <w:p>
      <w:pPr>
        <w:pStyle w:val="4"/>
        <w:spacing w:before="2"/>
        <w:ind w:left="591"/>
        <w:rPr>
          <w:color w:val="auto"/>
        </w:rPr>
      </w:pPr>
      <w:r>
        <w:rPr>
          <w:color w:val="auto"/>
        </w:rPr>
        <w:t>3.【一般】</w:t>
      </w:r>
    </w:p>
    <w:p>
      <w:pPr>
        <w:pStyle w:val="4"/>
        <w:spacing w:before="194"/>
        <w:ind w:left="591"/>
        <w:rPr>
          <w:color w:val="auto"/>
        </w:rPr>
      </w:pPr>
      <w:r>
        <w:rPr>
          <w:color w:val="auto"/>
        </w:rPr>
        <w:t>有违法所得的，没收违法所得，并处违法所得 3 倍罚款。</w:t>
      </w:r>
    </w:p>
    <w:p>
      <w:pPr>
        <w:pStyle w:val="4"/>
        <w:spacing w:before="192"/>
        <w:ind w:left="591"/>
        <w:rPr>
          <w:color w:val="auto"/>
        </w:rPr>
      </w:pPr>
      <w:r>
        <w:rPr>
          <w:color w:val="auto"/>
          <w:spacing w:val="-8"/>
        </w:rPr>
        <w:t xml:space="preserve">没有违法所得的，处 </w:t>
      </w:r>
      <w:r>
        <w:rPr>
          <w:color w:val="auto"/>
        </w:rPr>
        <w:t>40</w:t>
      </w:r>
      <w:r>
        <w:rPr>
          <w:color w:val="auto"/>
          <w:spacing w:val="-20"/>
        </w:rPr>
        <w:t xml:space="preserve"> 万元以上 </w:t>
      </w:r>
      <w:r>
        <w:rPr>
          <w:color w:val="auto"/>
        </w:rPr>
        <w:t>60</w:t>
      </w:r>
      <w:r>
        <w:rPr>
          <w:color w:val="auto"/>
          <w:spacing w:val="-13"/>
        </w:rPr>
        <w:t xml:space="preserve"> 万元以下罚款；经营者为个人的，处 </w:t>
      </w:r>
      <w:r>
        <w:rPr>
          <w:color w:val="auto"/>
        </w:rPr>
        <w:t>4</w:t>
      </w:r>
      <w:r>
        <w:rPr>
          <w:color w:val="auto"/>
          <w:spacing w:val="-20"/>
        </w:rPr>
        <w:t xml:space="preserve"> 万元</w:t>
      </w:r>
    </w:p>
    <w:p>
      <w:pPr>
        <w:pStyle w:val="4"/>
        <w:spacing w:before="191" w:line="391" w:lineRule="auto"/>
        <w:ind w:left="591" w:right="6712" w:hanging="480"/>
        <w:rPr>
          <w:color w:val="auto"/>
        </w:rPr>
      </w:pPr>
      <w:r>
        <w:rPr>
          <w:color w:val="auto"/>
          <w:spacing w:val="-20"/>
        </w:rPr>
        <w:t xml:space="preserve">以上 </w:t>
      </w:r>
      <w:r>
        <w:rPr>
          <w:color w:val="auto"/>
        </w:rPr>
        <w:t>6</w:t>
      </w:r>
      <w:r>
        <w:rPr>
          <w:color w:val="auto"/>
          <w:spacing w:val="-10"/>
        </w:rPr>
        <w:t xml:space="preserve"> 万元以下罚款。</w:t>
      </w:r>
      <w:r>
        <w:rPr>
          <w:color w:val="auto"/>
        </w:rPr>
        <w:t>4.【从重】</w:t>
      </w:r>
    </w:p>
    <w:p>
      <w:pPr>
        <w:pStyle w:val="4"/>
        <w:spacing w:line="306" w:lineRule="exact"/>
        <w:ind w:left="591"/>
        <w:rPr>
          <w:color w:val="auto"/>
        </w:rPr>
      </w:pPr>
      <w:r>
        <w:rPr>
          <w:color w:val="auto"/>
        </w:rPr>
        <w:t>有违法所得的，没收违法所得，并处违法所得 4 倍或者 5 倍罚款。</w:t>
      </w:r>
    </w:p>
    <w:p>
      <w:pPr>
        <w:pStyle w:val="4"/>
        <w:spacing w:before="192"/>
        <w:ind w:left="591"/>
        <w:rPr>
          <w:color w:val="auto"/>
        </w:rPr>
      </w:pPr>
      <w:r>
        <w:rPr>
          <w:color w:val="auto"/>
          <w:spacing w:val="-6"/>
        </w:rPr>
        <w:t xml:space="preserve">没有违法所得的，处 </w:t>
      </w:r>
      <w:r>
        <w:rPr>
          <w:color w:val="auto"/>
        </w:rPr>
        <w:t>60</w:t>
      </w:r>
      <w:r>
        <w:rPr>
          <w:color w:val="auto"/>
          <w:spacing w:val="-19"/>
        </w:rPr>
        <w:t xml:space="preserve"> 万元以上 </w:t>
      </w:r>
      <w:r>
        <w:rPr>
          <w:color w:val="auto"/>
        </w:rPr>
        <w:t>100</w:t>
      </w:r>
      <w:r>
        <w:rPr>
          <w:color w:val="auto"/>
          <w:spacing w:val="-10"/>
        </w:rPr>
        <w:t xml:space="preserve"> 万元以下罚款；经营者为个人的，处 </w:t>
      </w:r>
      <w:r>
        <w:rPr>
          <w:color w:val="auto"/>
        </w:rPr>
        <w:t>6</w:t>
      </w:r>
      <w:r>
        <w:rPr>
          <w:color w:val="auto"/>
          <w:spacing w:val="-27"/>
        </w:rPr>
        <w:t xml:space="preserve"> 万</w:t>
      </w:r>
    </w:p>
    <w:p>
      <w:pPr>
        <w:pStyle w:val="4"/>
        <w:spacing w:before="194"/>
        <w:rPr>
          <w:color w:val="auto"/>
        </w:rPr>
      </w:pPr>
      <w:r>
        <w:rPr>
          <w:color w:val="auto"/>
        </w:rPr>
        <w:t>元以上 10 万元以下罚款。</w:t>
      </w:r>
    </w:p>
    <w:p>
      <w:pPr>
        <w:pStyle w:val="4"/>
        <w:spacing w:before="192"/>
        <w:ind w:left="591"/>
        <w:rPr>
          <w:color w:val="auto"/>
        </w:rPr>
      </w:pPr>
      <w:r>
        <w:rPr>
          <w:color w:val="auto"/>
        </w:rPr>
        <w:t>责令停业整顿，或者吊销营业执照。</w:t>
      </w:r>
    </w:p>
    <w:p>
      <w:pPr>
        <w:pStyle w:val="2"/>
        <w:spacing w:before="192" w:line="391" w:lineRule="auto"/>
        <w:ind w:left="111" w:right="240" w:firstLine="480"/>
        <w:rPr>
          <w:color w:val="auto"/>
        </w:rPr>
      </w:pPr>
      <w:bookmarkStart w:id="1454" w:name="_bookmark726"/>
      <w:bookmarkEnd w:id="1454"/>
      <w:bookmarkStart w:id="1455" w:name="七百一十二、经营者采取抬高等级或者压低等级等手段收购、销售商品或者提供服务，变相"/>
      <w:bookmarkEnd w:id="1455"/>
      <w:r>
        <w:rPr>
          <w:color w:val="auto"/>
          <w:spacing w:val="-8"/>
        </w:rPr>
        <w:t>七百一十二、经营者采取抬高等级或者压低等级等手段收购、销售商品或者提供服务，变相提高或者压低价格</w:t>
      </w:r>
    </w:p>
    <w:p>
      <w:pPr>
        <w:spacing w:before="0" w:line="306" w:lineRule="exact"/>
        <w:ind w:left="591" w:right="0" w:firstLine="0"/>
        <w:jc w:val="left"/>
        <w:rPr>
          <w:b/>
          <w:color w:val="auto"/>
          <w:sz w:val="24"/>
        </w:rPr>
      </w:pPr>
      <w:r>
        <w:rPr>
          <w:b/>
          <w:color w:val="auto"/>
          <w:sz w:val="24"/>
        </w:rPr>
        <w:t>（一）处罚依据</w:t>
      </w:r>
    </w:p>
    <w:p>
      <w:pPr>
        <w:pStyle w:val="13"/>
        <w:numPr>
          <w:ilvl w:val="0"/>
          <w:numId w:val="1671"/>
        </w:numPr>
        <w:tabs>
          <w:tab w:val="left" w:pos="833"/>
        </w:tabs>
        <w:spacing w:before="191" w:after="0" w:line="240" w:lineRule="auto"/>
        <w:ind w:left="832" w:right="0" w:hanging="242"/>
        <w:jc w:val="left"/>
        <w:rPr>
          <w:color w:val="auto"/>
          <w:sz w:val="24"/>
        </w:rPr>
      </w:pPr>
      <w:r>
        <w:rPr>
          <w:color w:val="auto"/>
          <w:sz w:val="24"/>
        </w:rPr>
        <w:t>《中华人民共和国价格法》 第十四条“经营者不得有下列不正当价格行为：</w:t>
      </w:r>
    </w:p>
    <w:p>
      <w:pPr>
        <w:pStyle w:val="4"/>
        <w:spacing w:before="194" w:line="388" w:lineRule="auto"/>
        <w:ind w:right="213" w:firstLine="480"/>
        <w:rPr>
          <w:color w:val="auto"/>
        </w:rPr>
      </w:pPr>
      <w:r>
        <w:rPr>
          <w:color w:val="auto"/>
        </w:rPr>
        <w:t>（六）采取抬高等级或者压低等级等手段收购、销售商品或者提供服务，变相提高或者压低价格。”</w:t>
      </w:r>
    </w:p>
    <w:p>
      <w:pPr>
        <w:pStyle w:val="13"/>
        <w:numPr>
          <w:ilvl w:val="0"/>
          <w:numId w:val="1671"/>
        </w:numPr>
        <w:tabs>
          <w:tab w:val="left" w:pos="834"/>
        </w:tabs>
        <w:spacing w:before="2" w:after="0" w:line="391" w:lineRule="auto"/>
        <w:ind w:left="111" w:right="148" w:firstLine="480"/>
        <w:jc w:val="left"/>
        <w:rPr>
          <w:color w:val="auto"/>
          <w:sz w:val="24"/>
        </w:rPr>
      </w:pPr>
      <w:r>
        <w:rPr>
          <w:color w:val="auto"/>
          <w:sz w:val="24"/>
        </w:rPr>
        <w:t>《中华人民共和国价格法》 第四十条“经营者有本法第十四条所列行为之一</w:t>
      </w:r>
      <w:r>
        <w:rPr>
          <w:color w:val="auto"/>
          <w:spacing w:val="-15"/>
          <w:sz w:val="24"/>
        </w:rPr>
        <w:t xml:space="preserve">的，责令改正，没收违法所得，可以并处违法所得五倍以下的罚款；没有违法所得的， </w:t>
      </w:r>
      <w:r>
        <w:rPr>
          <w:color w:val="auto"/>
          <w:spacing w:val="-6"/>
          <w:sz w:val="24"/>
        </w:rPr>
        <w:t>予以警告，可以并处罚款；情节严重的，责令停业整顿，或者吊销营业执照。有关法</w:t>
      </w:r>
      <w:r>
        <w:rPr>
          <w:color w:val="auto"/>
          <w:spacing w:val="-8"/>
          <w:sz w:val="24"/>
        </w:rPr>
        <w:t>律对本法第十四条所列行为的处罚及处罚机关另有规定的，可以依照有关法律的规定执行。”</w:t>
      </w:r>
    </w:p>
    <w:p>
      <w:pPr>
        <w:pStyle w:val="13"/>
        <w:numPr>
          <w:ilvl w:val="0"/>
          <w:numId w:val="1671"/>
        </w:numPr>
        <w:tabs>
          <w:tab w:val="left" w:pos="834"/>
        </w:tabs>
        <w:spacing w:before="0" w:after="0" w:line="388" w:lineRule="auto"/>
        <w:ind w:left="111" w:right="268" w:firstLine="480"/>
        <w:jc w:val="left"/>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3"/>
          <w:sz w:val="24"/>
        </w:rPr>
        <w:t xml:space="preserve"> 号</w:t>
      </w:r>
      <w:r>
        <w:rPr>
          <w:color w:val="auto"/>
          <w:sz w:val="24"/>
        </w:rPr>
        <w:t>） 第八条“经营者违反</w:t>
      </w:r>
      <w:r>
        <w:rPr>
          <w:color w:val="auto"/>
          <w:spacing w:val="-4"/>
          <w:sz w:val="24"/>
        </w:rPr>
        <w:t>价格法第十四条的规定，采取抬高等级或者压低等级等手段销售、收购商品或者提供</w:t>
      </w:r>
    </w:p>
    <w:p>
      <w:pPr>
        <w:spacing w:after="0" w:line="388" w:lineRule="auto"/>
        <w:jc w:val="left"/>
        <w:rPr>
          <w:color w:val="auto"/>
          <w:sz w:val="24"/>
        </w:rPr>
        <w:sectPr>
          <w:pgSz w:w="11910" w:h="16840"/>
          <w:pgMar w:top="1520" w:right="1260" w:bottom="1220" w:left="1420" w:header="0" w:footer="1034" w:gutter="0"/>
        </w:sectPr>
      </w:pPr>
    </w:p>
    <w:p>
      <w:pPr>
        <w:pStyle w:val="4"/>
        <w:spacing w:before="39"/>
        <w:jc w:val="both"/>
        <w:rPr>
          <w:color w:val="auto"/>
        </w:rPr>
      </w:pPr>
      <w:r>
        <w:rPr>
          <w:color w:val="auto"/>
        </w:rPr>
        <w:t>服务，变相提高或者压低价格的，责令改正，没收违法所得，并处违法所得 5 倍以下</w:t>
      </w:r>
    </w:p>
    <w:p>
      <w:pPr>
        <w:pStyle w:val="4"/>
        <w:spacing w:before="195" w:line="388" w:lineRule="auto"/>
        <w:ind w:right="268"/>
        <w:jc w:val="both"/>
        <w:rPr>
          <w:color w:val="auto"/>
        </w:rPr>
      </w:pPr>
      <w:r>
        <w:rPr>
          <w:color w:val="auto"/>
          <w:spacing w:val="-3"/>
        </w:rPr>
        <w:t xml:space="preserve">的罚款；没有违法所得的，给予警告，处 </w:t>
      </w:r>
      <w:r>
        <w:rPr>
          <w:color w:val="auto"/>
        </w:rPr>
        <w:t>2</w:t>
      </w:r>
      <w:r>
        <w:rPr>
          <w:color w:val="auto"/>
          <w:spacing w:val="-16"/>
        </w:rPr>
        <w:t xml:space="preserve"> 万元以上 </w:t>
      </w:r>
      <w:r>
        <w:rPr>
          <w:color w:val="auto"/>
        </w:rPr>
        <w:t>20</w:t>
      </w:r>
      <w:r>
        <w:rPr>
          <w:color w:val="auto"/>
          <w:spacing w:val="-7"/>
        </w:rPr>
        <w:t xml:space="preserve"> 万元以下的罚款；情节严重的，责令停业整顿，或者吊销营业执照。”</w:t>
      </w:r>
    </w:p>
    <w:p>
      <w:pPr>
        <w:pStyle w:val="13"/>
        <w:numPr>
          <w:ilvl w:val="0"/>
          <w:numId w:val="1671"/>
        </w:numPr>
        <w:tabs>
          <w:tab w:val="left" w:pos="834"/>
        </w:tabs>
        <w:spacing w:before="2" w:after="0" w:line="391" w:lineRule="auto"/>
        <w:ind w:left="111" w:right="268" w:firstLine="480"/>
        <w:jc w:val="both"/>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3"/>
          <w:sz w:val="24"/>
        </w:rPr>
        <w:t xml:space="preserve"> 号</w:t>
      </w:r>
      <w:r>
        <w:rPr>
          <w:color w:val="auto"/>
          <w:sz w:val="24"/>
        </w:rPr>
        <w:t>） 第十一条第一款“本</w:t>
      </w:r>
      <w:r>
        <w:rPr>
          <w:color w:val="auto"/>
          <w:spacing w:val="-6"/>
          <w:sz w:val="24"/>
        </w:rPr>
        <w:t>规定第四条、第七条至第九条规定中经营者为个人的，对其没有违法所得的价格违法</w:t>
      </w:r>
      <w:r>
        <w:rPr>
          <w:color w:val="auto"/>
          <w:spacing w:val="-9"/>
          <w:sz w:val="24"/>
        </w:rPr>
        <w:t xml:space="preserve">行为，可以处 </w:t>
      </w:r>
      <w:r>
        <w:rPr>
          <w:color w:val="auto"/>
          <w:sz w:val="24"/>
        </w:rPr>
        <w:t>10</w:t>
      </w:r>
      <w:r>
        <w:rPr>
          <w:color w:val="auto"/>
          <w:spacing w:val="-8"/>
          <w:sz w:val="24"/>
        </w:rPr>
        <w:t xml:space="preserve"> 万元以下的罚款。”</w:t>
      </w:r>
    </w:p>
    <w:p>
      <w:pPr>
        <w:pStyle w:val="13"/>
        <w:numPr>
          <w:ilvl w:val="0"/>
          <w:numId w:val="1671"/>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1"/>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jc w:val="both"/>
        <w:rPr>
          <w:color w:val="auto"/>
        </w:rPr>
      </w:pPr>
      <w:r>
        <w:rPr>
          <w:color w:val="auto"/>
        </w:rPr>
        <w:t>3 倍，从重处罚应当为违法所得的 4 倍或者 5 倍；</w:t>
      </w:r>
    </w:p>
    <w:p>
      <w:pPr>
        <w:pStyle w:val="4"/>
        <w:spacing w:before="194"/>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1"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04" w:lineRule="exact"/>
        <w:ind w:left="591"/>
        <w:rPr>
          <w:color w:val="auto"/>
        </w:rPr>
      </w:pPr>
      <w:r>
        <w:rPr>
          <w:color w:val="auto"/>
        </w:rPr>
        <w:t>（四</w:t>
      </w:r>
      <w:r>
        <w:rPr>
          <w:color w:val="auto"/>
          <w:spacing w:val="-53"/>
        </w:rPr>
        <w:t>）</w:t>
      </w:r>
      <w:r>
        <w:rPr>
          <w:color w:val="auto"/>
          <w:spacing w:val="-10"/>
        </w:rPr>
        <w:t>《价格法》、《价格违法行为行政处罚规定》规定处最高数额以下罚款的，</w:t>
      </w:r>
    </w:p>
    <w:p>
      <w:pPr>
        <w:spacing w:after="0" w:line="304" w:lineRule="exact"/>
        <w:rPr>
          <w:color w:val="auto"/>
        </w:rPr>
        <w:sectPr>
          <w:footerReference r:id="rId189" w:type="default"/>
          <w:footerReference r:id="rId190" w:type="even"/>
          <w:pgSz w:w="11910" w:h="16840"/>
          <w:pgMar w:top="1520" w:right="1260" w:bottom="1220" w:left="1420" w:header="0" w:footer="1034" w:gutter="0"/>
          <w:pgNumType w:start="710"/>
        </w:sectPr>
      </w:pPr>
    </w:p>
    <w:p>
      <w:pPr>
        <w:pStyle w:val="4"/>
        <w:spacing w:before="39" w:line="391" w:lineRule="auto"/>
        <w:ind w:right="268"/>
        <w:rPr>
          <w:color w:val="auto"/>
        </w:rPr>
      </w:pP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6"/>
        </w:rPr>
        <w:t xml:space="preserve">，从重处罚应当高于最高数额的 </w:t>
      </w:r>
      <w:r>
        <w:rPr>
          <w:color w:val="auto"/>
        </w:rPr>
        <w:t>60%。”</w:t>
      </w:r>
    </w:p>
    <w:p>
      <w:pPr>
        <w:spacing w:before="0" w:line="388" w:lineRule="auto"/>
        <w:ind w:left="591" w:right="6948" w:firstLine="0"/>
        <w:jc w:val="left"/>
        <w:rPr>
          <w:color w:val="auto"/>
          <w:sz w:val="24"/>
        </w:rPr>
      </w:pPr>
      <w:r>
        <w:rPr>
          <w:b/>
          <w:color w:val="auto"/>
          <w:sz w:val="24"/>
        </w:rPr>
        <w:t>（二）裁量标准</w:t>
      </w:r>
      <w:r>
        <w:rPr>
          <w:color w:val="auto"/>
          <w:sz w:val="24"/>
        </w:rPr>
        <w:t>1.【减轻】</w:t>
      </w:r>
    </w:p>
    <w:p>
      <w:pPr>
        <w:pStyle w:val="4"/>
        <w:spacing w:before="3"/>
        <w:ind w:left="591"/>
        <w:rPr>
          <w:color w:val="auto"/>
        </w:rPr>
      </w:pPr>
      <w:r>
        <w:rPr>
          <w:color w:val="auto"/>
        </w:rPr>
        <w:t>有违法所得的，没收违法所得，不予罚款。</w:t>
      </w:r>
    </w:p>
    <w:p>
      <w:pPr>
        <w:pStyle w:val="4"/>
        <w:spacing w:before="192" w:line="388" w:lineRule="auto"/>
        <w:ind w:left="591" w:right="148"/>
        <w:rPr>
          <w:color w:val="auto"/>
        </w:rPr>
      </w:pPr>
      <w:r>
        <w:rPr>
          <w:color w:val="auto"/>
          <w:spacing w:val="-8"/>
        </w:rPr>
        <w:t xml:space="preserve">没有违法所得的，处 </w:t>
      </w:r>
      <w:r>
        <w:rPr>
          <w:color w:val="auto"/>
        </w:rPr>
        <w:t>2000</w:t>
      </w:r>
      <w:r>
        <w:rPr>
          <w:color w:val="auto"/>
          <w:spacing w:val="-24"/>
        </w:rPr>
        <w:t xml:space="preserve"> 元以上 </w:t>
      </w:r>
      <w:r>
        <w:rPr>
          <w:color w:val="auto"/>
        </w:rPr>
        <w:t>2</w:t>
      </w:r>
      <w:r>
        <w:rPr>
          <w:color w:val="auto"/>
          <w:spacing w:val="-11"/>
        </w:rPr>
        <w:t xml:space="preserve"> 万元以下罚款；经营者为个人的，不予罚款。</w:t>
      </w:r>
      <w:r>
        <w:rPr>
          <w:color w:val="auto"/>
        </w:rPr>
        <w:t>2.【从轻】</w:t>
      </w:r>
    </w:p>
    <w:p>
      <w:pPr>
        <w:pStyle w:val="4"/>
        <w:spacing w:before="5"/>
        <w:ind w:left="591"/>
        <w:rPr>
          <w:color w:val="auto"/>
        </w:rPr>
      </w:pPr>
      <w:r>
        <w:rPr>
          <w:color w:val="auto"/>
        </w:rPr>
        <w:t>有违法所得的，没收违法所得，并处违法所得 2 倍或者 1 倍以下罚款。</w:t>
      </w:r>
    </w:p>
    <w:p>
      <w:pPr>
        <w:pStyle w:val="4"/>
        <w:spacing w:before="191" w:line="388" w:lineRule="auto"/>
        <w:ind w:right="268" w:firstLine="480"/>
        <w:rPr>
          <w:color w:val="auto"/>
        </w:rPr>
      </w:pPr>
      <w:r>
        <w:rPr>
          <w:color w:val="auto"/>
          <w:spacing w:val="-8"/>
        </w:rPr>
        <w:t xml:space="preserve">没有违法所得的，处 </w:t>
      </w:r>
      <w:r>
        <w:rPr>
          <w:color w:val="auto"/>
        </w:rPr>
        <w:t>2</w:t>
      </w:r>
      <w:r>
        <w:rPr>
          <w:color w:val="auto"/>
          <w:spacing w:val="-20"/>
        </w:rPr>
        <w:t xml:space="preserve"> 万元以上 </w:t>
      </w:r>
      <w:r>
        <w:rPr>
          <w:color w:val="auto"/>
        </w:rPr>
        <w:t>8</w:t>
      </w:r>
      <w:r>
        <w:rPr>
          <w:color w:val="auto"/>
          <w:spacing w:val="-13"/>
        </w:rPr>
        <w:t xml:space="preserve"> 万元以下罚款；经营者为个人的，处 </w:t>
      </w:r>
      <w:r>
        <w:rPr>
          <w:color w:val="auto"/>
        </w:rPr>
        <w:t>4</w:t>
      </w:r>
      <w:r>
        <w:rPr>
          <w:color w:val="auto"/>
          <w:spacing w:val="-20"/>
        </w:rPr>
        <w:t xml:space="preserve"> 万元以</w:t>
      </w:r>
      <w:r>
        <w:rPr>
          <w:color w:val="auto"/>
        </w:rPr>
        <w:t>下罚款。</w:t>
      </w:r>
    </w:p>
    <w:p>
      <w:pPr>
        <w:pStyle w:val="4"/>
        <w:spacing w:before="5"/>
        <w:ind w:left="591"/>
        <w:rPr>
          <w:color w:val="auto"/>
        </w:rPr>
      </w:pPr>
      <w:r>
        <w:rPr>
          <w:color w:val="auto"/>
        </w:rPr>
        <w:t>3.【一般】</w:t>
      </w:r>
    </w:p>
    <w:p>
      <w:pPr>
        <w:pStyle w:val="4"/>
        <w:spacing w:before="191"/>
        <w:ind w:left="591"/>
        <w:rPr>
          <w:color w:val="auto"/>
        </w:rPr>
      </w:pPr>
      <w:r>
        <w:rPr>
          <w:color w:val="auto"/>
        </w:rPr>
        <w:t>有违法所得的，没收违法所得，并处违法所得 3 倍罚款。</w:t>
      </w:r>
    </w:p>
    <w:p>
      <w:pPr>
        <w:pStyle w:val="4"/>
        <w:spacing w:before="192"/>
        <w:ind w:left="591"/>
        <w:rPr>
          <w:color w:val="auto"/>
        </w:rPr>
      </w:pPr>
      <w:r>
        <w:rPr>
          <w:color w:val="auto"/>
          <w:spacing w:val="-6"/>
        </w:rPr>
        <w:t xml:space="preserve">没有违法所得的，处 </w:t>
      </w:r>
      <w:r>
        <w:rPr>
          <w:color w:val="auto"/>
        </w:rPr>
        <w:t>8</w:t>
      </w:r>
      <w:r>
        <w:rPr>
          <w:color w:val="auto"/>
          <w:spacing w:val="-19"/>
        </w:rPr>
        <w:t xml:space="preserve"> 万元以上 </w:t>
      </w:r>
      <w:r>
        <w:rPr>
          <w:color w:val="auto"/>
        </w:rPr>
        <w:t>12</w:t>
      </w:r>
      <w:r>
        <w:rPr>
          <w:color w:val="auto"/>
          <w:spacing w:val="-10"/>
        </w:rPr>
        <w:t xml:space="preserve"> 万元以下罚款；经营者为个人的，处 </w:t>
      </w:r>
      <w:r>
        <w:rPr>
          <w:color w:val="auto"/>
        </w:rPr>
        <w:t>4</w:t>
      </w:r>
      <w:r>
        <w:rPr>
          <w:color w:val="auto"/>
          <w:spacing w:val="-18"/>
        </w:rPr>
        <w:t xml:space="preserve"> 万元</w:t>
      </w:r>
    </w:p>
    <w:p>
      <w:pPr>
        <w:pStyle w:val="4"/>
        <w:spacing w:before="194" w:line="388" w:lineRule="auto"/>
        <w:ind w:left="591" w:right="6712" w:hanging="480"/>
        <w:rPr>
          <w:color w:val="auto"/>
        </w:rPr>
      </w:pPr>
      <w:r>
        <w:rPr>
          <w:color w:val="auto"/>
          <w:spacing w:val="-20"/>
        </w:rPr>
        <w:t xml:space="preserve">以上 </w:t>
      </w:r>
      <w:r>
        <w:rPr>
          <w:color w:val="auto"/>
        </w:rPr>
        <w:t>6</w:t>
      </w:r>
      <w:r>
        <w:rPr>
          <w:color w:val="auto"/>
          <w:spacing w:val="-10"/>
        </w:rPr>
        <w:t xml:space="preserve"> 万元以下罚款。</w:t>
      </w:r>
      <w:r>
        <w:rPr>
          <w:color w:val="auto"/>
        </w:rPr>
        <w:t>4.【从重】</w:t>
      </w:r>
    </w:p>
    <w:p>
      <w:pPr>
        <w:pStyle w:val="4"/>
        <w:spacing w:before="2"/>
        <w:ind w:left="591"/>
        <w:rPr>
          <w:color w:val="auto"/>
        </w:rPr>
      </w:pPr>
      <w:r>
        <w:rPr>
          <w:color w:val="auto"/>
        </w:rPr>
        <w:t>有违法所得的，没收违法所得，并处违法所得 4 倍或者 5 倍罚款。</w:t>
      </w:r>
    </w:p>
    <w:p>
      <w:pPr>
        <w:pStyle w:val="4"/>
        <w:spacing w:before="194"/>
        <w:ind w:left="591"/>
        <w:rPr>
          <w:color w:val="auto"/>
        </w:rPr>
      </w:pPr>
      <w:r>
        <w:rPr>
          <w:color w:val="auto"/>
          <w:spacing w:val="-8"/>
        </w:rPr>
        <w:t xml:space="preserve">没有违法所得的，处 </w:t>
      </w:r>
      <w:r>
        <w:rPr>
          <w:color w:val="auto"/>
        </w:rPr>
        <w:t>12</w:t>
      </w:r>
      <w:r>
        <w:rPr>
          <w:color w:val="auto"/>
          <w:spacing w:val="-20"/>
        </w:rPr>
        <w:t xml:space="preserve"> 万元以上 </w:t>
      </w:r>
      <w:r>
        <w:rPr>
          <w:color w:val="auto"/>
        </w:rPr>
        <w:t>20</w:t>
      </w:r>
      <w:r>
        <w:rPr>
          <w:color w:val="auto"/>
          <w:spacing w:val="-13"/>
        </w:rPr>
        <w:t xml:space="preserve"> 万元以下罚款；经营者为个人的，处 </w:t>
      </w:r>
      <w:r>
        <w:rPr>
          <w:color w:val="auto"/>
        </w:rPr>
        <w:t>6</w:t>
      </w:r>
      <w:r>
        <w:rPr>
          <w:color w:val="auto"/>
          <w:spacing w:val="-20"/>
        </w:rPr>
        <w:t xml:space="preserve"> 万元</w:t>
      </w:r>
    </w:p>
    <w:p>
      <w:pPr>
        <w:pStyle w:val="4"/>
        <w:spacing w:before="192"/>
        <w:rPr>
          <w:color w:val="auto"/>
        </w:rPr>
      </w:pPr>
      <w:r>
        <w:rPr>
          <w:color w:val="auto"/>
        </w:rPr>
        <w:t>以上 10 万元以下罚款。</w:t>
      </w:r>
    </w:p>
    <w:p>
      <w:pPr>
        <w:pStyle w:val="4"/>
        <w:spacing w:before="192"/>
        <w:ind w:left="591"/>
        <w:rPr>
          <w:color w:val="auto"/>
        </w:rPr>
      </w:pPr>
      <w:r>
        <w:rPr>
          <w:color w:val="auto"/>
        </w:rPr>
        <w:t>责令停业整顿，或者吊销营业执照。</w:t>
      </w:r>
    </w:p>
    <w:p>
      <w:pPr>
        <w:pStyle w:val="2"/>
        <w:spacing w:before="194"/>
        <w:rPr>
          <w:color w:val="auto"/>
        </w:rPr>
      </w:pPr>
      <w:bookmarkStart w:id="1456" w:name="_bookmark727"/>
      <w:bookmarkEnd w:id="1456"/>
      <w:bookmarkStart w:id="1457" w:name="七百一十三、经营者违反法律、法规的规定牟取暴利"/>
      <w:bookmarkEnd w:id="1457"/>
      <w:r>
        <w:rPr>
          <w:color w:val="auto"/>
        </w:rPr>
        <w:t>七百一十三、经营者违反法律、法规的规定牟取暴利</w:t>
      </w:r>
    </w:p>
    <w:p>
      <w:pPr>
        <w:spacing w:before="192"/>
        <w:ind w:left="591" w:right="0" w:firstLine="0"/>
        <w:jc w:val="left"/>
        <w:rPr>
          <w:b/>
          <w:color w:val="auto"/>
          <w:sz w:val="24"/>
        </w:rPr>
      </w:pPr>
      <w:r>
        <w:rPr>
          <w:b/>
          <w:color w:val="auto"/>
          <w:sz w:val="24"/>
        </w:rPr>
        <w:t>（一）处罚依据</w:t>
      </w:r>
    </w:p>
    <w:p>
      <w:pPr>
        <w:pStyle w:val="13"/>
        <w:numPr>
          <w:ilvl w:val="0"/>
          <w:numId w:val="1672"/>
        </w:numPr>
        <w:tabs>
          <w:tab w:val="left" w:pos="833"/>
        </w:tabs>
        <w:spacing w:before="191" w:after="0" w:line="240" w:lineRule="auto"/>
        <w:ind w:left="832" w:right="0" w:hanging="242"/>
        <w:jc w:val="left"/>
        <w:rPr>
          <w:color w:val="auto"/>
          <w:sz w:val="24"/>
        </w:rPr>
      </w:pPr>
      <w:r>
        <w:rPr>
          <w:color w:val="auto"/>
          <w:sz w:val="24"/>
        </w:rPr>
        <w:t>《中华人民共和国价格法》第十四条“经营者不得有下列不正当价格行为：</w:t>
      </w:r>
    </w:p>
    <w:p>
      <w:pPr>
        <w:pStyle w:val="4"/>
        <w:spacing w:before="194"/>
        <w:ind w:left="591"/>
        <w:rPr>
          <w:color w:val="auto"/>
        </w:rPr>
      </w:pPr>
      <w:r>
        <w:rPr>
          <w:color w:val="auto"/>
        </w:rPr>
        <w:t>（七）违反法律、法规的规定牟取暴利。”</w:t>
      </w:r>
    </w:p>
    <w:p>
      <w:pPr>
        <w:pStyle w:val="13"/>
        <w:numPr>
          <w:ilvl w:val="0"/>
          <w:numId w:val="1672"/>
        </w:numPr>
        <w:tabs>
          <w:tab w:val="left" w:pos="833"/>
        </w:tabs>
        <w:spacing w:before="192" w:after="0" w:line="391" w:lineRule="auto"/>
        <w:ind w:left="111" w:right="148" w:firstLine="480"/>
        <w:jc w:val="left"/>
        <w:rPr>
          <w:color w:val="auto"/>
          <w:sz w:val="24"/>
        </w:rPr>
      </w:pPr>
      <w:r>
        <w:rPr>
          <w:color w:val="auto"/>
          <w:spacing w:val="-8"/>
          <w:sz w:val="24"/>
        </w:rPr>
        <w:t xml:space="preserve">《中华人民共和国价格法》第四十条“经营者有本法第十四条所列行为之一的，责令改正，没收违法所得，可以并处违法所得五倍以下的罚款；没有违法所得的， </w:t>
      </w:r>
      <w:r>
        <w:rPr>
          <w:color w:val="auto"/>
          <w:spacing w:val="-6"/>
          <w:sz w:val="24"/>
        </w:rPr>
        <w:t>予以警告，可以并处罚款；情节严重的，责令停业整顿，或者吊销营业执照。有关法</w:t>
      </w:r>
      <w:r>
        <w:rPr>
          <w:color w:val="auto"/>
          <w:spacing w:val="-8"/>
          <w:sz w:val="24"/>
        </w:rPr>
        <w:t>律对本法第十四条所列行为的处罚及处罚机关另有规定的，可以依照有关法律的规定执行。”</w:t>
      </w:r>
    </w:p>
    <w:p>
      <w:pPr>
        <w:spacing w:after="0" w:line="391" w:lineRule="auto"/>
        <w:jc w:val="left"/>
        <w:rPr>
          <w:color w:val="auto"/>
          <w:sz w:val="24"/>
        </w:rPr>
        <w:sectPr>
          <w:pgSz w:w="11910" w:h="16840"/>
          <w:pgMar w:top="1520" w:right="1260" w:bottom="1220" w:left="1420" w:header="0" w:footer="1034" w:gutter="0"/>
        </w:sectPr>
      </w:pPr>
    </w:p>
    <w:p>
      <w:pPr>
        <w:pStyle w:val="13"/>
        <w:numPr>
          <w:ilvl w:val="0"/>
          <w:numId w:val="1672"/>
        </w:numPr>
        <w:tabs>
          <w:tab w:val="left" w:pos="834"/>
        </w:tabs>
        <w:spacing w:before="39" w:after="0" w:line="391" w:lineRule="auto"/>
        <w:ind w:left="111" w:right="268" w:firstLine="480"/>
        <w:jc w:val="both"/>
        <w:rPr>
          <w:color w:val="auto"/>
          <w:sz w:val="24"/>
        </w:rPr>
      </w:pPr>
      <w:r>
        <w:rPr>
          <w:color w:val="auto"/>
          <w:sz w:val="24"/>
        </w:rPr>
        <w:t>《价格违法行为行政处罚规定》（</w:t>
      </w:r>
      <w:r>
        <w:rPr>
          <w:color w:val="auto"/>
          <w:spacing w:val="-8"/>
          <w:sz w:val="24"/>
        </w:rPr>
        <w:t xml:space="preserve">国务院令第 </w:t>
      </w:r>
      <w:r>
        <w:rPr>
          <w:color w:val="auto"/>
          <w:sz w:val="24"/>
        </w:rPr>
        <w:t>585</w:t>
      </w:r>
      <w:r>
        <w:rPr>
          <w:color w:val="auto"/>
          <w:spacing w:val="-23"/>
          <w:sz w:val="24"/>
        </w:rPr>
        <w:t xml:space="preserve"> 号</w:t>
      </w:r>
      <w:r>
        <w:rPr>
          <w:color w:val="auto"/>
          <w:sz w:val="24"/>
        </w:rPr>
        <w:t>） 第十二条“经营者违</w:t>
      </w:r>
      <w:r>
        <w:rPr>
          <w:color w:val="auto"/>
          <w:spacing w:val="-8"/>
          <w:sz w:val="24"/>
        </w:rPr>
        <w:t xml:space="preserve">反法律、法规的规定牟取暴利的，责令改正，没收违法所得，可以并处违法所得 </w:t>
      </w:r>
      <w:r>
        <w:rPr>
          <w:color w:val="auto"/>
          <w:sz w:val="24"/>
        </w:rPr>
        <w:t>5</w:t>
      </w:r>
      <w:r>
        <w:rPr>
          <w:color w:val="auto"/>
          <w:spacing w:val="-38"/>
          <w:sz w:val="24"/>
        </w:rPr>
        <w:t xml:space="preserve"> 倍</w:t>
      </w:r>
      <w:r>
        <w:rPr>
          <w:color w:val="auto"/>
          <w:sz w:val="24"/>
        </w:rPr>
        <w:t>以下的罚款；情节严重的，责令停业整顿，或者吊销营业执照。”</w:t>
      </w:r>
    </w:p>
    <w:p>
      <w:pPr>
        <w:pStyle w:val="13"/>
        <w:numPr>
          <w:ilvl w:val="0"/>
          <w:numId w:val="1672"/>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2"/>
        </w:numPr>
        <w:tabs>
          <w:tab w:val="left" w:pos="833"/>
        </w:tabs>
        <w:spacing w:before="1"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jc w:val="both"/>
        <w:rPr>
          <w:color w:val="auto"/>
        </w:rPr>
      </w:pPr>
      <w:r>
        <w:rPr>
          <w:color w:val="auto"/>
        </w:rPr>
        <w:t>3 倍，从重处罚应当为违法所得的 4 倍或者 5 倍；</w:t>
      </w:r>
    </w:p>
    <w:p>
      <w:pPr>
        <w:pStyle w:val="4"/>
        <w:spacing w:before="194"/>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1"/>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pStyle w:val="2"/>
        <w:spacing w:line="304" w:lineRule="exact"/>
        <w:rPr>
          <w:color w:val="auto"/>
        </w:rPr>
      </w:pPr>
      <w:r>
        <w:rPr>
          <w:color w:val="auto"/>
        </w:rPr>
        <w:t>（二）裁量标准</w:t>
      </w:r>
    </w:p>
    <w:p>
      <w:pPr>
        <w:spacing w:after="0" w:line="304" w:lineRule="exact"/>
        <w:rPr>
          <w:color w:val="auto"/>
        </w:rPr>
        <w:sectPr>
          <w:pgSz w:w="11910" w:h="16840"/>
          <w:pgMar w:top="1520" w:right="1260" w:bottom="1220" w:left="1420" w:header="0" w:footer="1034" w:gutter="0"/>
        </w:sectPr>
      </w:pPr>
    </w:p>
    <w:p>
      <w:pPr>
        <w:pStyle w:val="13"/>
        <w:numPr>
          <w:ilvl w:val="0"/>
          <w:numId w:val="1673"/>
        </w:numPr>
        <w:tabs>
          <w:tab w:val="left" w:pos="833"/>
        </w:tabs>
        <w:spacing w:before="39" w:after="0" w:line="240" w:lineRule="auto"/>
        <w:ind w:left="832" w:right="0" w:hanging="242"/>
        <w:jc w:val="left"/>
        <w:rPr>
          <w:color w:val="auto"/>
          <w:sz w:val="24"/>
        </w:rPr>
      </w:pPr>
      <w:r>
        <w:rPr>
          <w:color w:val="auto"/>
          <w:sz w:val="24"/>
        </w:rPr>
        <w:t>【减轻】</w:t>
      </w:r>
    </w:p>
    <w:p>
      <w:pPr>
        <w:pStyle w:val="4"/>
        <w:spacing w:before="195" w:line="388" w:lineRule="auto"/>
        <w:ind w:left="591" w:right="5752"/>
        <w:rPr>
          <w:color w:val="auto"/>
        </w:rPr>
      </w:pPr>
      <w:r>
        <w:rPr>
          <w:color w:val="auto"/>
          <w:spacing w:val="-2"/>
        </w:rPr>
        <w:t>没收违法所得，不予罚款。</w:t>
      </w:r>
      <w:r>
        <w:rPr>
          <w:color w:val="auto"/>
        </w:rPr>
        <w:t>2.【从轻】</w:t>
      </w:r>
    </w:p>
    <w:p>
      <w:pPr>
        <w:pStyle w:val="4"/>
        <w:spacing w:before="2" w:line="391" w:lineRule="auto"/>
        <w:ind w:left="591" w:right="2392"/>
        <w:rPr>
          <w:color w:val="auto"/>
        </w:rPr>
      </w:pPr>
      <w:r>
        <w:rPr>
          <w:color w:val="auto"/>
          <w:spacing w:val="-4"/>
        </w:rPr>
        <w:t xml:space="preserve">没收违法所得，可以并处违法所得 </w:t>
      </w:r>
      <w:r>
        <w:rPr>
          <w:color w:val="auto"/>
        </w:rPr>
        <w:t>2</w:t>
      </w:r>
      <w:r>
        <w:rPr>
          <w:color w:val="auto"/>
          <w:spacing w:val="-24"/>
        </w:rPr>
        <w:t xml:space="preserve"> 倍或者 </w:t>
      </w:r>
      <w:r>
        <w:rPr>
          <w:color w:val="auto"/>
        </w:rPr>
        <w:t>1</w:t>
      </w:r>
      <w:r>
        <w:rPr>
          <w:color w:val="auto"/>
          <w:spacing w:val="-11"/>
        </w:rPr>
        <w:t xml:space="preserve"> 倍以下罚款。</w:t>
      </w:r>
      <w:r>
        <w:rPr>
          <w:color w:val="auto"/>
        </w:rPr>
        <w:t>3.【一般】</w:t>
      </w:r>
    </w:p>
    <w:p>
      <w:pPr>
        <w:pStyle w:val="4"/>
        <w:spacing w:line="388" w:lineRule="auto"/>
        <w:ind w:left="591" w:right="4312"/>
        <w:rPr>
          <w:color w:val="auto"/>
        </w:rPr>
      </w:pPr>
      <w:r>
        <w:rPr>
          <w:color w:val="auto"/>
          <w:spacing w:val="-5"/>
        </w:rPr>
        <w:t xml:space="preserve">没收违法所得，并处违法所得 </w:t>
      </w:r>
      <w:r>
        <w:rPr>
          <w:color w:val="auto"/>
        </w:rPr>
        <w:t>3</w:t>
      </w:r>
      <w:r>
        <w:rPr>
          <w:color w:val="auto"/>
          <w:spacing w:val="-16"/>
        </w:rPr>
        <w:t xml:space="preserve"> 倍罚款。</w:t>
      </w:r>
      <w:r>
        <w:rPr>
          <w:color w:val="auto"/>
        </w:rPr>
        <w:t>4.【从重】</w:t>
      </w:r>
    </w:p>
    <w:p>
      <w:pPr>
        <w:pStyle w:val="4"/>
        <w:spacing w:before="3" w:line="388" w:lineRule="auto"/>
        <w:ind w:left="591" w:right="3352"/>
        <w:rPr>
          <w:color w:val="auto"/>
        </w:rPr>
      </w:pPr>
      <w:r>
        <w:rPr>
          <w:color w:val="auto"/>
          <w:spacing w:val="-5"/>
        </w:rPr>
        <w:t xml:space="preserve">没收违法所得，并处违法所得 </w:t>
      </w:r>
      <w:r>
        <w:rPr>
          <w:color w:val="auto"/>
        </w:rPr>
        <w:t>4</w:t>
      </w:r>
      <w:r>
        <w:rPr>
          <w:color w:val="auto"/>
          <w:spacing w:val="-24"/>
        </w:rPr>
        <w:t xml:space="preserve"> 倍或者 </w:t>
      </w:r>
      <w:r>
        <w:rPr>
          <w:color w:val="auto"/>
        </w:rPr>
        <w:t>5</w:t>
      </w:r>
      <w:r>
        <w:rPr>
          <w:color w:val="auto"/>
          <w:spacing w:val="-16"/>
        </w:rPr>
        <w:t xml:space="preserve"> 倍罚款。</w:t>
      </w:r>
      <w:r>
        <w:rPr>
          <w:color w:val="auto"/>
        </w:rPr>
        <w:t>责令停业整顿，或者吊销营业执照。</w:t>
      </w:r>
    </w:p>
    <w:p>
      <w:pPr>
        <w:pStyle w:val="2"/>
        <w:spacing w:before="2"/>
        <w:rPr>
          <w:color w:val="auto"/>
        </w:rPr>
      </w:pPr>
      <w:bookmarkStart w:id="1458" w:name="_bookmark728"/>
      <w:bookmarkEnd w:id="1458"/>
      <w:bookmarkStart w:id="1459" w:name="七百一十四、违反明码标价规定"/>
      <w:bookmarkEnd w:id="1459"/>
      <w:r>
        <w:rPr>
          <w:color w:val="auto"/>
        </w:rPr>
        <w:t>七百一十四、违反明码标价规定</w:t>
      </w:r>
    </w:p>
    <w:p>
      <w:pPr>
        <w:spacing w:before="194"/>
        <w:ind w:left="591" w:right="0" w:firstLine="0"/>
        <w:jc w:val="left"/>
        <w:rPr>
          <w:b/>
          <w:color w:val="auto"/>
          <w:sz w:val="24"/>
        </w:rPr>
      </w:pPr>
      <w:r>
        <w:rPr>
          <w:b/>
          <w:color w:val="auto"/>
          <w:sz w:val="24"/>
        </w:rPr>
        <w:t>（一）处罚依据</w:t>
      </w:r>
    </w:p>
    <w:p>
      <w:pPr>
        <w:pStyle w:val="13"/>
        <w:numPr>
          <w:ilvl w:val="0"/>
          <w:numId w:val="1674"/>
        </w:numPr>
        <w:tabs>
          <w:tab w:val="left" w:pos="833"/>
        </w:tabs>
        <w:spacing w:before="191" w:after="0" w:line="388" w:lineRule="auto"/>
        <w:ind w:left="111" w:right="266" w:firstLine="480"/>
        <w:jc w:val="left"/>
        <w:rPr>
          <w:color w:val="auto"/>
          <w:sz w:val="24"/>
        </w:rPr>
      </w:pPr>
      <w:r>
        <w:rPr>
          <w:color w:val="auto"/>
          <w:spacing w:val="-5"/>
          <w:sz w:val="24"/>
        </w:rPr>
        <w:t>《中华人民共和国价格法》第四十二条：“经营者违反明码标价规定的，责令</w:t>
      </w:r>
      <w:r>
        <w:rPr>
          <w:color w:val="auto"/>
          <w:sz w:val="24"/>
        </w:rPr>
        <w:t>改正，没收违法所得，可以并处五千元以下的罚款。”</w:t>
      </w:r>
    </w:p>
    <w:p>
      <w:pPr>
        <w:pStyle w:val="13"/>
        <w:numPr>
          <w:ilvl w:val="0"/>
          <w:numId w:val="1674"/>
        </w:numPr>
        <w:tabs>
          <w:tab w:val="left" w:pos="833"/>
        </w:tabs>
        <w:spacing w:before="5" w:after="0" w:line="240" w:lineRule="auto"/>
        <w:ind w:left="832" w:right="0" w:hanging="242"/>
        <w:jc w:val="left"/>
        <w:rPr>
          <w:color w:val="auto"/>
          <w:sz w:val="24"/>
        </w:rPr>
      </w:pPr>
      <w:r>
        <w:rPr>
          <w:color w:val="auto"/>
          <w:spacing w:val="-1"/>
          <w:sz w:val="24"/>
        </w:rPr>
        <w:t>《价格违法行为行政处罚规定》</w:t>
      </w:r>
      <w:r>
        <w:rPr>
          <w:color w:val="auto"/>
          <w:sz w:val="24"/>
        </w:rPr>
        <w:t>（</w:t>
      </w:r>
      <w:r>
        <w:rPr>
          <w:color w:val="auto"/>
          <w:spacing w:val="-10"/>
          <w:sz w:val="24"/>
        </w:rPr>
        <w:t xml:space="preserve">国务院令第 </w:t>
      </w:r>
      <w:r>
        <w:rPr>
          <w:color w:val="auto"/>
          <w:sz w:val="24"/>
        </w:rPr>
        <w:t>585</w:t>
      </w:r>
      <w:r>
        <w:rPr>
          <w:color w:val="auto"/>
          <w:spacing w:val="-30"/>
          <w:sz w:val="24"/>
        </w:rPr>
        <w:t xml:space="preserve"> 号</w:t>
      </w:r>
      <w:r>
        <w:rPr>
          <w:color w:val="auto"/>
          <w:spacing w:val="-5"/>
          <w:sz w:val="24"/>
        </w:rPr>
        <w:t>）</w:t>
      </w:r>
      <w:r>
        <w:rPr>
          <w:color w:val="auto"/>
          <w:spacing w:val="-3"/>
          <w:sz w:val="24"/>
        </w:rPr>
        <w:t>第十三条：“经营者违</w:t>
      </w:r>
    </w:p>
    <w:p>
      <w:pPr>
        <w:pStyle w:val="4"/>
        <w:spacing w:before="192" w:line="388" w:lineRule="auto"/>
        <w:ind w:right="213"/>
        <w:rPr>
          <w:color w:val="auto"/>
        </w:rPr>
      </w:pPr>
      <w:r>
        <w:rPr>
          <w:color w:val="auto"/>
        </w:rPr>
        <w:t>反明码标价规定，有下列行为之一的，责令改正，没收违法所得，可以并处 5000 元以下的罚款：</w:t>
      </w:r>
    </w:p>
    <w:p>
      <w:pPr>
        <w:pStyle w:val="4"/>
        <w:spacing w:before="4"/>
        <w:ind w:left="591"/>
        <w:rPr>
          <w:color w:val="auto"/>
        </w:rPr>
      </w:pPr>
      <w:r>
        <w:rPr>
          <w:color w:val="auto"/>
        </w:rPr>
        <w:t>（一）不标明价格的；</w:t>
      </w:r>
    </w:p>
    <w:p>
      <w:pPr>
        <w:pStyle w:val="4"/>
        <w:spacing w:before="192"/>
        <w:ind w:left="591"/>
        <w:rPr>
          <w:color w:val="auto"/>
        </w:rPr>
      </w:pPr>
      <w:r>
        <w:rPr>
          <w:color w:val="auto"/>
        </w:rPr>
        <w:t>（二）不按照规定的内容和方式明码标价的；</w:t>
      </w:r>
    </w:p>
    <w:p>
      <w:pPr>
        <w:pStyle w:val="4"/>
        <w:spacing w:before="192"/>
        <w:ind w:left="591"/>
        <w:rPr>
          <w:color w:val="auto"/>
        </w:rPr>
      </w:pPr>
      <w:r>
        <w:rPr>
          <w:color w:val="auto"/>
        </w:rPr>
        <w:t>（三）在标价之外加价出售商品或者收取未标明的费用的；</w:t>
      </w:r>
    </w:p>
    <w:p>
      <w:pPr>
        <w:pStyle w:val="4"/>
        <w:spacing w:before="194"/>
        <w:ind w:left="591"/>
        <w:rPr>
          <w:color w:val="auto"/>
        </w:rPr>
      </w:pPr>
      <w:r>
        <w:rPr>
          <w:color w:val="auto"/>
        </w:rPr>
        <w:t>（四）违反明码标价规定的其他行为。”</w:t>
      </w:r>
    </w:p>
    <w:p>
      <w:pPr>
        <w:pStyle w:val="13"/>
        <w:numPr>
          <w:ilvl w:val="0"/>
          <w:numId w:val="1674"/>
        </w:numPr>
        <w:tabs>
          <w:tab w:val="left" w:pos="833"/>
        </w:tabs>
        <w:spacing w:before="191" w:after="0" w:line="240" w:lineRule="auto"/>
        <w:ind w:left="832" w:right="0" w:hanging="242"/>
        <w:jc w:val="left"/>
        <w:rPr>
          <w:color w:val="auto"/>
          <w:sz w:val="24"/>
        </w:rPr>
      </w:pPr>
      <w:r>
        <w:rPr>
          <w:color w:val="auto"/>
          <w:sz w:val="24"/>
        </w:rPr>
        <w:t>《关于商品和服务实行明码标价的规定》（</w:t>
      </w:r>
      <w:r>
        <w:rPr>
          <w:color w:val="auto"/>
          <w:spacing w:val="-10"/>
          <w:sz w:val="24"/>
        </w:rPr>
        <w:t xml:space="preserve">国家计委第 </w:t>
      </w:r>
      <w:r>
        <w:rPr>
          <w:color w:val="auto"/>
          <w:sz w:val="24"/>
        </w:rPr>
        <w:t>8</w:t>
      </w:r>
      <w:r>
        <w:rPr>
          <w:color w:val="auto"/>
          <w:spacing w:val="-20"/>
          <w:sz w:val="24"/>
        </w:rPr>
        <w:t xml:space="preserve"> 号令</w:t>
      </w:r>
      <w:r>
        <w:rPr>
          <w:color w:val="auto"/>
          <w:sz w:val="24"/>
        </w:rPr>
        <w:t>）第二十一条：</w:t>
      </w:r>
    </w:p>
    <w:p>
      <w:pPr>
        <w:pStyle w:val="4"/>
        <w:spacing w:before="192"/>
        <w:rPr>
          <w:color w:val="auto"/>
        </w:rPr>
      </w:pPr>
      <w:r>
        <w:rPr>
          <w:color w:val="auto"/>
          <w:spacing w:val="-20"/>
        </w:rPr>
        <w:t xml:space="preserve">“经营者有下列行为之一的，由价格主管部门责令改正，没收违法所得，可以并处 </w:t>
      </w:r>
      <w:r>
        <w:rPr>
          <w:color w:val="auto"/>
        </w:rPr>
        <w:t>5000</w:t>
      </w:r>
    </w:p>
    <w:p>
      <w:pPr>
        <w:pStyle w:val="4"/>
        <w:spacing w:before="194"/>
        <w:rPr>
          <w:color w:val="auto"/>
        </w:rPr>
      </w:pPr>
      <w:r>
        <w:rPr>
          <w:color w:val="auto"/>
        </w:rPr>
        <w:t>元以下的罚款；没有违法所得的，可以处以 5000 元以下的罚款：</w:t>
      </w:r>
    </w:p>
    <w:p>
      <w:pPr>
        <w:pStyle w:val="4"/>
        <w:spacing w:before="192"/>
        <w:ind w:left="591"/>
        <w:rPr>
          <w:color w:val="auto"/>
        </w:rPr>
      </w:pPr>
      <w:r>
        <w:rPr>
          <w:color w:val="auto"/>
        </w:rPr>
        <w:t>（一）不明码标价的；</w:t>
      </w:r>
    </w:p>
    <w:p>
      <w:pPr>
        <w:pStyle w:val="4"/>
        <w:spacing w:before="192"/>
        <w:ind w:left="591"/>
        <w:rPr>
          <w:color w:val="auto"/>
        </w:rPr>
      </w:pPr>
      <w:r>
        <w:rPr>
          <w:color w:val="auto"/>
        </w:rPr>
        <w:t>（二）不按规定的内容和方式明码标价的；</w:t>
      </w:r>
    </w:p>
    <w:p>
      <w:pPr>
        <w:pStyle w:val="4"/>
        <w:spacing w:before="194"/>
        <w:ind w:left="591"/>
        <w:rPr>
          <w:color w:val="auto"/>
        </w:rPr>
      </w:pPr>
      <w:r>
        <w:rPr>
          <w:color w:val="auto"/>
        </w:rPr>
        <w:t>（三）在标价之外加价出售商品或收取未标明的费用的；</w:t>
      </w:r>
    </w:p>
    <w:p>
      <w:pPr>
        <w:pStyle w:val="4"/>
        <w:spacing w:before="191"/>
        <w:ind w:left="591"/>
        <w:rPr>
          <w:color w:val="auto"/>
        </w:rPr>
      </w:pPr>
      <w:r>
        <w:rPr>
          <w:color w:val="auto"/>
        </w:rPr>
        <w:t>（四）不能提供降价记录或者有关核定价格资料的；</w:t>
      </w:r>
    </w:p>
    <w:p>
      <w:pPr>
        <w:pStyle w:val="4"/>
        <w:spacing w:before="192"/>
        <w:ind w:left="591"/>
        <w:rPr>
          <w:color w:val="auto"/>
        </w:rPr>
      </w:pPr>
      <w:r>
        <w:rPr>
          <w:color w:val="auto"/>
        </w:rPr>
        <w:t>（五）擅自印制标价签或价目表的；</w:t>
      </w:r>
    </w:p>
    <w:p>
      <w:pPr>
        <w:spacing w:after="0"/>
        <w:rPr>
          <w:color w:val="auto"/>
        </w:rPr>
        <w:sectPr>
          <w:pgSz w:w="11910" w:h="16840"/>
          <w:pgMar w:top="1520" w:right="1260" w:bottom="1220" w:left="1420" w:header="0" w:footer="1034" w:gutter="0"/>
        </w:sectPr>
      </w:pPr>
    </w:p>
    <w:p>
      <w:pPr>
        <w:pStyle w:val="4"/>
        <w:spacing w:before="39"/>
        <w:ind w:left="591"/>
        <w:rPr>
          <w:color w:val="auto"/>
        </w:rPr>
      </w:pPr>
      <w:r>
        <w:rPr>
          <w:color w:val="auto"/>
        </w:rPr>
        <w:t>（六）使用未经监制的标价内容和方式的；</w:t>
      </w:r>
    </w:p>
    <w:p>
      <w:pPr>
        <w:pStyle w:val="4"/>
        <w:spacing w:before="195"/>
        <w:ind w:left="591"/>
        <w:rPr>
          <w:color w:val="auto"/>
        </w:rPr>
      </w:pPr>
      <w:r>
        <w:rPr>
          <w:color w:val="auto"/>
        </w:rPr>
        <w:t>（七）其他违反明码标价规定的行为。”</w:t>
      </w:r>
    </w:p>
    <w:p>
      <w:pPr>
        <w:pStyle w:val="13"/>
        <w:numPr>
          <w:ilvl w:val="0"/>
          <w:numId w:val="1674"/>
        </w:numPr>
        <w:tabs>
          <w:tab w:val="left" w:pos="833"/>
        </w:tabs>
        <w:spacing w:before="191"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91"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4"/>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3"/>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jc w:val="both"/>
        <w:rPr>
          <w:color w:val="auto"/>
        </w:rPr>
      </w:pPr>
      <w:r>
        <w:rPr>
          <w:color w:val="auto"/>
        </w:rPr>
        <w:t>3 倍，从重处罚应当为违法所得的 4 倍或者 5 倍；</w:t>
      </w:r>
    </w:p>
    <w:p>
      <w:pPr>
        <w:pStyle w:val="4"/>
        <w:spacing w:before="192"/>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4"/>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88" w:lineRule="auto"/>
        <w:ind w:left="591" w:right="6948" w:firstLine="0"/>
        <w:jc w:val="left"/>
        <w:rPr>
          <w:b/>
          <w:color w:val="auto"/>
          <w:sz w:val="24"/>
        </w:rPr>
      </w:pPr>
      <w:r>
        <w:rPr>
          <w:b/>
          <w:color w:val="auto"/>
          <w:sz w:val="24"/>
        </w:rPr>
        <w:t>（二）裁量标准</w:t>
      </w:r>
    </w:p>
    <w:p>
      <w:pPr>
        <w:spacing w:before="0" w:line="388" w:lineRule="auto"/>
        <w:ind w:left="591" w:right="6948" w:firstLine="0"/>
        <w:jc w:val="left"/>
        <w:rPr>
          <w:rFonts w:hint="default" w:eastAsia="宋体"/>
          <w:b/>
          <w:color w:val="auto"/>
          <w:sz w:val="24"/>
          <w:lang w:val="en-US" w:eastAsia="zh-CN"/>
        </w:rPr>
      </w:pPr>
      <w:r>
        <w:rPr>
          <w:rFonts w:hint="eastAsia"/>
          <w:b/>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left="480" w:leftChars="218" w:firstLine="240" w:firstLineChars="1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属于以下四种情形之一：明码标价不规范，但有证据证明事先充分保障了消费者的知情权与选择权；价格变动时个别标价签未能及时调整到位且非主观故意；未能做到价签价目齐全、标价内容真实明确，但有证据证明因厂家对产品产地、规格等内容进行调整后未及时发现并进行调整；提供服务的经营者公布服务项目、服务内容、等级或规格、服务价格等内容的位置不够醒目；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5</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没有违法所得 </w:t>
      </w:r>
    </w:p>
    <w:p>
      <w:pPr>
        <w:spacing w:before="0" w:line="388" w:lineRule="auto"/>
        <w:ind w:left="591" w:right="6948" w:firstLine="0"/>
        <w:jc w:val="left"/>
        <w:rPr>
          <w:color w:val="auto"/>
          <w:sz w:val="24"/>
        </w:rPr>
      </w:pPr>
      <w:r>
        <w:rPr>
          <w:rFonts w:hint="eastAsia"/>
          <w:color w:val="auto"/>
          <w:sz w:val="24"/>
          <w:lang w:val="en-US" w:eastAsia="zh-CN"/>
        </w:rPr>
        <w:t>2.</w:t>
      </w:r>
      <w:r>
        <w:rPr>
          <w:color w:val="auto"/>
          <w:sz w:val="24"/>
        </w:rPr>
        <w:t>【减轻】</w:t>
      </w:r>
    </w:p>
    <w:p>
      <w:pPr>
        <w:pStyle w:val="4"/>
        <w:spacing w:before="39" w:line="391" w:lineRule="auto"/>
        <w:ind w:left="591" w:right="4072"/>
        <w:rPr>
          <w:color w:val="auto"/>
        </w:rPr>
      </w:pPr>
      <w:r>
        <w:rPr>
          <w:color w:val="auto"/>
        </w:rPr>
        <w:t>有违法所得的，没收违法所得，不予罚款。</w:t>
      </w:r>
      <w:r>
        <w:rPr>
          <w:rFonts w:hint="eastAsia"/>
          <w:color w:val="auto"/>
          <w:lang w:val="en-US" w:eastAsia="zh-CN"/>
        </w:rPr>
        <w:t>3.</w:t>
      </w:r>
      <w:r>
        <w:rPr>
          <w:color w:val="auto"/>
        </w:rPr>
        <w:t>【从轻】</w:t>
      </w:r>
    </w:p>
    <w:p>
      <w:pPr>
        <w:pStyle w:val="4"/>
        <w:spacing w:line="306" w:lineRule="exact"/>
        <w:ind w:left="591"/>
        <w:rPr>
          <w:color w:val="auto"/>
        </w:rPr>
      </w:pPr>
      <w:r>
        <w:rPr>
          <w:color w:val="auto"/>
        </w:rPr>
        <w:t>有违法所得的，没收违法所得，可以并处 2000 元以下罚款。</w:t>
      </w:r>
    </w:p>
    <w:p>
      <w:pPr>
        <w:pStyle w:val="4"/>
        <w:spacing w:before="192" w:line="391" w:lineRule="auto"/>
        <w:ind w:left="591" w:right="4432"/>
        <w:rPr>
          <w:color w:val="auto"/>
        </w:rPr>
      </w:pPr>
      <w:r>
        <w:rPr>
          <w:color w:val="auto"/>
          <w:spacing w:val="-6"/>
        </w:rPr>
        <w:t xml:space="preserve">没有违法所得的，处 </w:t>
      </w:r>
      <w:r>
        <w:rPr>
          <w:color w:val="auto"/>
        </w:rPr>
        <w:t>2000</w:t>
      </w:r>
      <w:r>
        <w:rPr>
          <w:color w:val="auto"/>
          <w:spacing w:val="-11"/>
        </w:rPr>
        <w:t xml:space="preserve"> 元以下罚款。</w:t>
      </w:r>
      <w:r>
        <w:rPr>
          <w:rFonts w:hint="eastAsia"/>
          <w:color w:val="auto"/>
          <w:lang w:val="en-US" w:eastAsia="zh-CN"/>
        </w:rPr>
        <w:t>4</w:t>
      </w:r>
      <w:r>
        <w:rPr>
          <w:color w:val="auto"/>
        </w:rPr>
        <w:t>.【一般】</w:t>
      </w:r>
    </w:p>
    <w:p>
      <w:pPr>
        <w:pStyle w:val="4"/>
        <w:spacing w:line="306" w:lineRule="exact"/>
        <w:ind w:left="591"/>
        <w:rPr>
          <w:color w:val="auto"/>
        </w:rPr>
      </w:pPr>
      <w:r>
        <w:rPr>
          <w:color w:val="auto"/>
        </w:rPr>
        <w:t>有违法所得的，没收违法所得，并处 2000 元以上 3000 元以下罚款。</w:t>
      </w:r>
    </w:p>
    <w:p>
      <w:pPr>
        <w:pStyle w:val="4"/>
        <w:spacing w:before="192" w:line="391" w:lineRule="auto"/>
        <w:ind w:left="591" w:right="3112"/>
        <w:rPr>
          <w:color w:val="auto"/>
        </w:rPr>
      </w:pPr>
      <w:r>
        <w:rPr>
          <w:color w:val="auto"/>
          <w:spacing w:val="-6"/>
        </w:rPr>
        <w:t xml:space="preserve">没有违法所得的，处 </w:t>
      </w:r>
      <w:r>
        <w:rPr>
          <w:color w:val="auto"/>
        </w:rPr>
        <w:t>2000</w:t>
      </w:r>
      <w:r>
        <w:rPr>
          <w:color w:val="auto"/>
          <w:spacing w:val="-24"/>
        </w:rPr>
        <w:t xml:space="preserve"> 元以上 </w:t>
      </w:r>
      <w:r>
        <w:rPr>
          <w:color w:val="auto"/>
        </w:rPr>
        <w:t>3000</w:t>
      </w:r>
      <w:r>
        <w:rPr>
          <w:color w:val="auto"/>
          <w:spacing w:val="-11"/>
        </w:rPr>
        <w:t xml:space="preserve"> 元以下罚款。</w:t>
      </w:r>
      <w:r>
        <w:rPr>
          <w:rFonts w:hint="eastAsia"/>
          <w:color w:val="auto"/>
          <w:lang w:val="en-US" w:eastAsia="zh-CN"/>
        </w:rPr>
        <w:t>5</w:t>
      </w:r>
      <w:r>
        <w:rPr>
          <w:color w:val="auto"/>
        </w:rPr>
        <w:t>.【从重】</w:t>
      </w:r>
    </w:p>
    <w:p>
      <w:pPr>
        <w:pStyle w:val="4"/>
        <w:spacing w:line="306" w:lineRule="exact"/>
        <w:ind w:left="591"/>
        <w:rPr>
          <w:color w:val="auto"/>
        </w:rPr>
      </w:pPr>
      <w:r>
        <w:rPr>
          <w:color w:val="auto"/>
        </w:rPr>
        <w:t>有违法所得的，没收违法所得，并处 3000 元以上 5000 元以下罚款。</w:t>
      </w:r>
    </w:p>
    <w:p>
      <w:pPr>
        <w:pStyle w:val="4"/>
        <w:spacing w:before="192"/>
        <w:ind w:left="591"/>
        <w:rPr>
          <w:color w:val="auto"/>
        </w:rPr>
      </w:pPr>
      <w:r>
        <w:rPr>
          <w:color w:val="auto"/>
        </w:rPr>
        <w:t>没有违法所得的，处 3000 元以上 5000 元以下罚款。</w:t>
      </w:r>
    </w:p>
    <w:p>
      <w:pPr>
        <w:pStyle w:val="2"/>
        <w:spacing w:before="194" w:line="388" w:lineRule="auto"/>
        <w:ind w:left="111" w:right="193" w:firstLine="480"/>
        <w:rPr>
          <w:color w:val="auto"/>
        </w:rPr>
      </w:pPr>
      <w:bookmarkStart w:id="1460" w:name="七百一十五、经营者被责令暂行停业而不停止，或者转移、隐匿、销毁依法登记保存的财物"/>
      <w:bookmarkEnd w:id="1460"/>
      <w:bookmarkStart w:id="1461" w:name="_bookmark729"/>
      <w:bookmarkEnd w:id="1461"/>
      <w:r>
        <w:rPr>
          <w:color w:val="auto"/>
        </w:rPr>
        <w:t>七百一十五、经营者被责令暂行停业而不停止，或者转移、隐匿、销毁依法登记保存的财物</w:t>
      </w:r>
    </w:p>
    <w:p>
      <w:pPr>
        <w:spacing w:before="2"/>
        <w:ind w:left="591" w:right="0" w:firstLine="0"/>
        <w:jc w:val="left"/>
        <w:rPr>
          <w:b/>
          <w:color w:val="auto"/>
          <w:sz w:val="24"/>
        </w:rPr>
      </w:pPr>
      <w:r>
        <w:rPr>
          <w:b/>
          <w:color w:val="auto"/>
          <w:sz w:val="24"/>
        </w:rPr>
        <w:t>（一）处罚依据</w:t>
      </w:r>
    </w:p>
    <w:p>
      <w:pPr>
        <w:pStyle w:val="13"/>
        <w:numPr>
          <w:ilvl w:val="0"/>
          <w:numId w:val="1675"/>
        </w:numPr>
        <w:tabs>
          <w:tab w:val="left" w:pos="834"/>
        </w:tabs>
        <w:spacing w:before="194" w:after="0" w:line="388" w:lineRule="auto"/>
        <w:ind w:left="111" w:right="265" w:firstLine="480"/>
        <w:jc w:val="both"/>
        <w:rPr>
          <w:color w:val="auto"/>
          <w:sz w:val="24"/>
        </w:rPr>
      </w:pPr>
      <w:r>
        <w:rPr>
          <w:color w:val="auto"/>
          <w:sz w:val="24"/>
        </w:rPr>
        <w:t>《中华人民共和国价格法》 第四十三条“经营者被责令暂停相关营业而不停</w:t>
      </w:r>
      <w:r>
        <w:rPr>
          <w:color w:val="auto"/>
          <w:spacing w:val="-7"/>
          <w:sz w:val="24"/>
        </w:rPr>
        <w:t>止的，或者转移、隐匿、销毁依法登记保存的财物的，处相关营业所得或者转移、隐</w:t>
      </w:r>
      <w:r>
        <w:rPr>
          <w:color w:val="auto"/>
          <w:spacing w:val="-6"/>
          <w:sz w:val="24"/>
        </w:rPr>
        <w:t xml:space="preserve">匿、销毁的财物价值 </w:t>
      </w:r>
      <w:r>
        <w:rPr>
          <w:color w:val="auto"/>
          <w:sz w:val="24"/>
        </w:rPr>
        <w:t>1</w:t>
      </w:r>
      <w:r>
        <w:rPr>
          <w:color w:val="auto"/>
          <w:spacing w:val="-24"/>
          <w:sz w:val="24"/>
        </w:rPr>
        <w:t xml:space="preserve"> 倍以上 </w:t>
      </w:r>
      <w:r>
        <w:rPr>
          <w:color w:val="auto"/>
          <w:sz w:val="24"/>
        </w:rPr>
        <w:t>3</w:t>
      </w:r>
      <w:r>
        <w:rPr>
          <w:color w:val="auto"/>
          <w:spacing w:val="-8"/>
          <w:sz w:val="24"/>
        </w:rPr>
        <w:t xml:space="preserve"> 倍以下的罚款。”</w:t>
      </w:r>
    </w:p>
    <w:p>
      <w:pPr>
        <w:pStyle w:val="13"/>
        <w:numPr>
          <w:ilvl w:val="0"/>
          <w:numId w:val="1675"/>
        </w:numPr>
        <w:tabs>
          <w:tab w:val="left" w:pos="833"/>
        </w:tabs>
        <w:spacing w:before="5"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5"/>
        </w:numPr>
        <w:tabs>
          <w:tab w:val="left" w:pos="833"/>
        </w:tabs>
        <w:spacing w:before="0" w:after="0" w:line="388"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p>
    <w:p>
      <w:pPr>
        <w:pStyle w:val="4"/>
        <w:spacing w:before="39"/>
        <w:rPr>
          <w:color w:val="auto"/>
        </w:rPr>
      </w:pPr>
      <w:r>
        <w:rPr>
          <w:color w:val="auto"/>
        </w:rPr>
        <w:t>罚、从重处罚的罚款幅度：</w:t>
      </w:r>
    </w:p>
    <w:p>
      <w:pPr>
        <w:pStyle w:val="4"/>
        <w:spacing w:before="195"/>
        <w:ind w:left="0" w:right="268"/>
        <w:jc w:val="right"/>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1"/>
        <w:ind w:left="0" w:right="268"/>
        <w:jc w:val="right"/>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rPr>
          <w:color w:val="auto"/>
        </w:rPr>
      </w:pPr>
      <w:r>
        <w:rPr>
          <w:color w:val="auto"/>
        </w:rPr>
        <w:t>3 倍，从重处罚应当为违法所得的 4 倍或者 5 倍；</w:t>
      </w:r>
    </w:p>
    <w:p>
      <w:pPr>
        <w:pStyle w:val="4"/>
        <w:spacing w:before="194"/>
        <w:ind w:left="0" w:right="268"/>
        <w:jc w:val="right"/>
        <w:rPr>
          <w:color w:val="auto"/>
        </w:rPr>
      </w:pPr>
      <w:r>
        <w:rPr>
          <w:color w:val="auto"/>
        </w:rPr>
        <w:t>（二）《价格法》规定处一定数额的 1 倍以上 3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1"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1.【减轻】</w:t>
      </w:r>
    </w:p>
    <w:p>
      <w:pPr>
        <w:pStyle w:val="4"/>
        <w:spacing w:line="388" w:lineRule="auto"/>
        <w:ind w:left="591" w:right="472"/>
        <w:rPr>
          <w:color w:val="auto"/>
        </w:rPr>
      </w:pPr>
      <w:r>
        <w:rPr>
          <w:color w:val="auto"/>
          <w:spacing w:val="-3"/>
        </w:rPr>
        <w:t xml:space="preserve">处相关营业所得或者转移、隐匿、销毁的财物价值 </w:t>
      </w:r>
      <w:r>
        <w:rPr>
          <w:color w:val="auto"/>
        </w:rPr>
        <w:t>0.1</w:t>
      </w:r>
      <w:r>
        <w:rPr>
          <w:color w:val="auto"/>
          <w:spacing w:val="-24"/>
        </w:rPr>
        <w:t xml:space="preserve"> 倍以上 </w:t>
      </w:r>
      <w:r>
        <w:rPr>
          <w:color w:val="auto"/>
        </w:rPr>
        <w:t>1</w:t>
      </w:r>
      <w:r>
        <w:rPr>
          <w:color w:val="auto"/>
          <w:spacing w:val="-11"/>
        </w:rPr>
        <w:t xml:space="preserve"> 倍以下罚款。</w:t>
      </w:r>
      <w:r>
        <w:rPr>
          <w:color w:val="auto"/>
        </w:rPr>
        <w:t>2.【从轻】</w:t>
      </w:r>
    </w:p>
    <w:p>
      <w:pPr>
        <w:pStyle w:val="4"/>
        <w:spacing w:line="388" w:lineRule="auto"/>
        <w:ind w:left="591" w:right="2152"/>
        <w:rPr>
          <w:color w:val="auto"/>
        </w:rPr>
      </w:pPr>
      <w:r>
        <w:rPr>
          <w:color w:val="auto"/>
          <w:spacing w:val="-3"/>
        </w:rPr>
        <w:t xml:space="preserve">处相关营业所得或者转移、隐匿、销毁的财物价值 </w:t>
      </w:r>
      <w:r>
        <w:rPr>
          <w:color w:val="auto"/>
        </w:rPr>
        <w:t>1</w:t>
      </w:r>
      <w:r>
        <w:rPr>
          <w:color w:val="auto"/>
          <w:spacing w:val="-16"/>
        </w:rPr>
        <w:t xml:space="preserve"> 倍罚款。</w:t>
      </w:r>
      <w:r>
        <w:rPr>
          <w:color w:val="auto"/>
        </w:rPr>
        <w:t>3.【一般】</w:t>
      </w:r>
    </w:p>
    <w:p>
      <w:pPr>
        <w:pStyle w:val="4"/>
        <w:spacing w:line="391" w:lineRule="auto"/>
        <w:ind w:left="591" w:right="2152"/>
        <w:rPr>
          <w:color w:val="auto"/>
        </w:rPr>
      </w:pPr>
      <w:r>
        <w:rPr>
          <w:color w:val="auto"/>
          <w:spacing w:val="-3"/>
        </w:rPr>
        <w:t xml:space="preserve">处相关营业所得或者转移、隐匿、销毁的财物价值 </w:t>
      </w:r>
      <w:r>
        <w:rPr>
          <w:color w:val="auto"/>
        </w:rPr>
        <w:t>2</w:t>
      </w:r>
      <w:r>
        <w:rPr>
          <w:color w:val="auto"/>
          <w:spacing w:val="-16"/>
        </w:rPr>
        <w:t xml:space="preserve"> 倍罚款。</w:t>
      </w:r>
      <w:r>
        <w:rPr>
          <w:color w:val="auto"/>
        </w:rPr>
        <w:t>4.【从重】</w:t>
      </w:r>
    </w:p>
    <w:p>
      <w:pPr>
        <w:pStyle w:val="4"/>
        <w:spacing w:line="306" w:lineRule="exact"/>
        <w:ind w:left="591"/>
        <w:rPr>
          <w:color w:val="auto"/>
        </w:rPr>
      </w:pPr>
      <w:r>
        <w:rPr>
          <w:color w:val="auto"/>
        </w:rPr>
        <w:t>处相关营业所得或者转移、隐匿、销毁的财物价值 3 倍罚款。</w:t>
      </w:r>
    </w:p>
    <w:p>
      <w:pPr>
        <w:pStyle w:val="2"/>
        <w:spacing w:before="190"/>
        <w:rPr>
          <w:color w:val="auto"/>
        </w:rPr>
      </w:pPr>
      <w:bookmarkStart w:id="1462" w:name="七百一十六、经营者拒绝按照规定提供监督检查所需资料或者提供虚假资料"/>
      <w:bookmarkEnd w:id="1462"/>
      <w:bookmarkStart w:id="1463" w:name="_bookmark730"/>
      <w:bookmarkEnd w:id="1463"/>
      <w:r>
        <w:rPr>
          <w:color w:val="auto"/>
        </w:rPr>
        <w:t>七百一十六、经营者拒绝按照规定提供监督检查所需资料或者提供虚假资料</w:t>
      </w:r>
    </w:p>
    <w:p>
      <w:pPr>
        <w:spacing w:before="194"/>
        <w:ind w:left="591" w:right="0" w:firstLine="0"/>
        <w:jc w:val="left"/>
        <w:rPr>
          <w:b/>
          <w:color w:val="auto"/>
          <w:sz w:val="24"/>
        </w:rPr>
      </w:pPr>
      <w:r>
        <w:rPr>
          <w:b/>
          <w:color w:val="auto"/>
          <w:sz w:val="24"/>
        </w:rPr>
        <w:t>（一）处罚依据</w:t>
      </w:r>
    </w:p>
    <w:p>
      <w:pPr>
        <w:pStyle w:val="13"/>
        <w:numPr>
          <w:ilvl w:val="0"/>
          <w:numId w:val="1676"/>
        </w:numPr>
        <w:tabs>
          <w:tab w:val="left" w:pos="834"/>
        </w:tabs>
        <w:spacing w:before="192" w:after="0" w:line="388" w:lineRule="auto"/>
        <w:ind w:left="111" w:right="271" w:firstLine="480"/>
        <w:jc w:val="left"/>
        <w:rPr>
          <w:color w:val="auto"/>
          <w:sz w:val="24"/>
        </w:rPr>
      </w:pPr>
      <w:r>
        <w:rPr>
          <w:color w:val="auto"/>
          <w:sz w:val="24"/>
        </w:rPr>
        <w:t>《中华人民共和国价格法》 第四十四条“拒绝按照规定提供监督检查所需资料或者提供虚假资料的，责令改正，予以警告；逾期不改正的，可以处以罚款。”</w:t>
      </w:r>
    </w:p>
    <w:p>
      <w:pPr>
        <w:pStyle w:val="13"/>
        <w:numPr>
          <w:ilvl w:val="0"/>
          <w:numId w:val="1676"/>
        </w:numPr>
        <w:tabs>
          <w:tab w:val="left" w:pos="834"/>
        </w:tabs>
        <w:spacing w:before="4" w:after="0" w:line="388" w:lineRule="auto"/>
        <w:ind w:left="111" w:right="148" w:firstLine="480"/>
        <w:jc w:val="both"/>
        <w:rPr>
          <w:color w:val="auto"/>
          <w:sz w:val="24"/>
        </w:rPr>
      </w:pPr>
      <w:r>
        <w:rPr>
          <w:color w:val="auto"/>
          <w:sz w:val="24"/>
        </w:rPr>
        <w:t>《价格违法行为行政处罚规定》（</w:t>
      </w:r>
      <w:r>
        <w:rPr>
          <w:color w:val="auto"/>
          <w:spacing w:val="-9"/>
          <w:sz w:val="24"/>
        </w:rPr>
        <w:t xml:space="preserve">国务院令第 </w:t>
      </w:r>
      <w:r>
        <w:rPr>
          <w:color w:val="auto"/>
          <w:sz w:val="24"/>
        </w:rPr>
        <w:t>585</w:t>
      </w:r>
      <w:r>
        <w:rPr>
          <w:color w:val="auto"/>
          <w:spacing w:val="-25"/>
          <w:sz w:val="24"/>
        </w:rPr>
        <w:t xml:space="preserve"> 号</w:t>
      </w:r>
      <w:r>
        <w:rPr>
          <w:color w:val="auto"/>
          <w:sz w:val="24"/>
        </w:rPr>
        <w:t xml:space="preserve">） 第十四条“拒绝提供价格监督检查所需资料或者提供虚假资料的，责令改正，给予警告；逾期不改正的， </w:t>
      </w:r>
      <w:r>
        <w:rPr>
          <w:color w:val="auto"/>
          <w:spacing w:val="-15"/>
          <w:sz w:val="24"/>
        </w:rPr>
        <w:t xml:space="preserve">可以处 </w:t>
      </w:r>
      <w:r>
        <w:rPr>
          <w:color w:val="auto"/>
          <w:sz w:val="24"/>
        </w:rPr>
        <w:t>10</w:t>
      </w:r>
      <w:r>
        <w:rPr>
          <w:color w:val="auto"/>
          <w:spacing w:val="-11"/>
          <w:sz w:val="24"/>
        </w:rPr>
        <w:t xml:space="preserve"> 万元以下的罚款，对直接负责的主管人员和其他责任人员给予纪律处分。”</w:t>
      </w:r>
    </w:p>
    <w:p>
      <w:pPr>
        <w:pStyle w:val="13"/>
        <w:numPr>
          <w:ilvl w:val="0"/>
          <w:numId w:val="1676"/>
        </w:numPr>
        <w:tabs>
          <w:tab w:val="left" w:pos="833"/>
        </w:tabs>
        <w:spacing w:before="39"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before="3"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6"/>
        </w:numPr>
        <w:tabs>
          <w:tab w:val="left" w:pos="833"/>
        </w:tabs>
        <w:spacing w:before="2"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1"/>
        <w:jc w:val="both"/>
        <w:rPr>
          <w:color w:val="auto"/>
        </w:rPr>
      </w:pPr>
      <w:r>
        <w:rPr>
          <w:color w:val="auto"/>
        </w:rPr>
        <w:t>3 倍，从重处罚应当为违法所得的 4 倍或者 5 倍；</w:t>
      </w:r>
    </w:p>
    <w:p>
      <w:pPr>
        <w:pStyle w:val="4"/>
        <w:spacing w:before="194"/>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91" w:lineRule="auto"/>
        <w:ind w:left="591" w:right="6948" w:firstLine="0"/>
        <w:jc w:val="left"/>
        <w:rPr>
          <w:b/>
          <w:color w:val="auto"/>
          <w:sz w:val="24"/>
        </w:rPr>
      </w:pPr>
      <w:r>
        <w:rPr>
          <w:b/>
          <w:color w:val="auto"/>
          <w:sz w:val="24"/>
        </w:rPr>
        <w:t>（二）裁量标准</w:t>
      </w:r>
    </w:p>
    <w:p>
      <w:pPr>
        <w:spacing w:before="0" w:line="391" w:lineRule="auto"/>
        <w:ind w:left="591" w:right="6948" w:firstLine="0"/>
        <w:jc w:val="left"/>
        <w:rPr>
          <w:rFonts w:hint="default" w:eastAsia="宋体"/>
          <w:b/>
          <w:color w:val="auto"/>
          <w:sz w:val="24"/>
          <w:lang w:val="en-US" w:eastAsia="zh-CN"/>
        </w:rPr>
      </w:pPr>
      <w:r>
        <w:rPr>
          <w:rFonts w:hint="eastAsia"/>
          <w:b/>
          <w:color w:val="auto"/>
          <w:sz w:val="24"/>
          <w:lang w:val="en-US" w:eastAsia="zh-CN"/>
        </w:rPr>
        <w:t>1.【不予处罚】</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720" w:firstLineChars="3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 的期限内改正； </w:t>
      </w:r>
    </w:p>
    <w:p>
      <w:pPr>
        <w:keepNext w:val="0"/>
        <w:keepLines w:val="0"/>
        <w:widowControl/>
        <w:suppressLineNumbers w:val="0"/>
        <w:ind w:firstLine="720" w:firstLineChars="300"/>
        <w:jc w:val="left"/>
        <w:rPr>
          <w:color w:val="auto"/>
          <w:sz w:val="24"/>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没有危害后果 </w:t>
      </w:r>
    </w:p>
    <w:p>
      <w:pPr>
        <w:spacing w:before="0" w:line="391" w:lineRule="auto"/>
        <w:ind w:left="591" w:right="6948" w:firstLine="0"/>
        <w:jc w:val="left"/>
        <w:rPr>
          <w:color w:val="auto"/>
          <w:sz w:val="24"/>
        </w:rPr>
      </w:pPr>
      <w:r>
        <w:rPr>
          <w:rFonts w:hint="eastAsia"/>
          <w:color w:val="auto"/>
          <w:sz w:val="24"/>
          <w:lang w:val="en-US" w:eastAsia="zh-CN"/>
        </w:rPr>
        <w:t>2</w:t>
      </w:r>
      <w:r>
        <w:rPr>
          <w:color w:val="auto"/>
          <w:sz w:val="24"/>
        </w:rPr>
        <w:t>.【减轻】</w:t>
      </w:r>
    </w:p>
    <w:p>
      <w:pPr>
        <w:pStyle w:val="4"/>
        <w:spacing w:line="306" w:lineRule="exact"/>
        <w:ind w:left="591"/>
        <w:rPr>
          <w:color w:val="auto"/>
        </w:rPr>
      </w:pPr>
      <w:r>
        <w:rPr>
          <w:color w:val="auto"/>
        </w:rPr>
        <w:t>警告。</w:t>
      </w:r>
    </w:p>
    <w:p>
      <w:pPr>
        <w:pStyle w:val="4"/>
        <w:spacing w:before="184"/>
        <w:ind w:left="591"/>
        <w:rPr>
          <w:color w:val="auto"/>
        </w:rPr>
      </w:pPr>
      <w:r>
        <w:rPr>
          <w:rFonts w:hint="eastAsia"/>
          <w:color w:val="auto"/>
          <w:lang w:val="en-US" w:eastAsia="zh-CN"/>
        </w:rPr>
        <w:t>3</w:t>
      </w:r>
      <w:r>
        <w:rPr>
          <w:color w:val="auto"/>
        </w:rPr>
        <w:t>.【从轻】</w:t>
      </w:r>
    </w:p>
    <w:p>
      <w:pPr>
        <w:pStyle w:val="4"/>
        <w:spacing w:before="184"/>
        <w:ind w:left="591"/>
        <w:rPr>
          <w:color w:val="auto"/>
          <w:spacing w:val="-10"/>
        </w:rPr>
      </w:pPr>
      <w:r>
        <w:rPr>
          <w:color w:val="auto"/>
          <w:spacing w:val="-5"/>
        </w:rPr>
        <w:t xml:space="preserve">警告，逾期不改正的，处 </w:t>
      </w:r>
      <w:r>
        <w:rPr>
          <w:color w:val="auto"/>
        </w:rPr>
        <w:t>4</w:t>
      </w:r>
      <w:r>
        <w:rPr>
          <w:color w:val="auto"/>
          <w:spacing w:val="-10"/>
        </w:rPr>
        <w:t xml:space="preserve"> 万元以下罚款。</w:t>
      </w:r>
    </w:p>
    <w:p>
      <w:pPr>
        <w:pStyle w:val="4"/>
        <w:spacing w:before="184"/>
        <w:ind w:left="591"/>
        <w:rPr>
          <w:color w:val="auto"/>
        </w:rPr>
      </w:pPr>
      <w:r>
        <w:rPr>
          <w:rFonts w:hint="eastAsia"/>
          <w:color w:val="auto"/>
          <w:lang w:val="en-US" w:eastAsia="zh-CN"/>
        </w:rPr>
        <w:t>4</w:t>
      </w:r>
      <w:r>
        <w:rPr>
          <w:color w:val="auto"/>
        </w:rPr>
        <w:t>.【一般】</w:t>
      </w:r>
    </w:p>
    <w:p>
      <w:pPr>
        <w:pStyle w:val="4"/>
        <w:spacing w:line="388" w:lineRule="auto"/>
        <w:ind w:left="591" w:right="2872"/>
        <w:rPr>
          <w:color w:val="auto"/>
        </w:rPr>
      </w:pPr>
      <w:r>
        <w:rPr>
          <w:color w:val="auto"/>
          <w:spacing w:val="-5"/>
        </w:rPr>
        <w:t xml:space="preserve">警告，逾期不改正的，处 </w:t>
      </w:r>
      <w:r>
        <w:rPr>
          <w:color w:val="auto"/>
        </w:rPr>
        <w:t>4</w:t>
      </w:r>
      <w:r>
        <w:rPr>
          <w:color w:val="auto"/>
          <w:spacing w:val="-20"/>
        </w:rPr>
        <w:t xml:space="preserve"> 万元以上 </w:t>
      </w:r>
      <w:r>
        <w:rPr>
          <w:color w:val="auto"/>
        </w:rPr>
        <w:t>6</w:t>
      </w:r>
      <w:r>
        <w:rPr>
          <w:color w:val="auto"/>
          <w:spacing w:val="-10"/>
        </w:rPr>
        <w:t xml:space="preserve"> 万元以下罚款。</w:t>
      </w:r>
      <w:r>
        <w:rPr>
          <w:rFonts w:hint="eastAsia"/>
          <w:color w:val="auto"/>
          <w:lang w:val="en-US" w:eastAsia="zh-CN"/>
        </w:rPr>
        <w:t>5</w:t>
      </w:r>
      <w:r>
        <w:rPr>
          <w:color w:val="auto"/>
        </w:rPr>
        <w:t>.【从重】</w:t>
      </w:r>
    </w:p>
    <w:p>
      <w:pPr>
        <w:spacing w:before="3" w:line="388" w:lineRule="auto"/>
        <w:ind w:left="591" w:right="2752" w:firstLine="0"/>
        <w:jc w:val="left"/>
        <w:rPr>
          <w:b/>
          <w:color w:val="auto"/>
          <w:sz w:val="24"/>
        </w:rPr>
      </w:pPr>
      <w:r>
        <w:rPr>
          <w:color w:val="auto"/>
          <w:spacing w:val="-5"/>
          <w:sz w:val="24"/>
        </w:rPr>
        <w:t xml:space="preserve">警告，逾期不改正的，处 </w:t>
      </w:r>
      <w:r>
        <w:rPr>
          <w:color w:val="auto"/>
          <w:sz w:val="24"/>
        </w:rPr>
        <w:t>6</w:t>
      </w:r>
      <w:r>
        <w:rPr>
          <w:color w:val="auto"/>
          <w:spacing w:val="-20"/>
          <w:sz w:val="24"/>
        </w:rPr>
        <w:t xml:space="preserve"> 万元以上 </w:t>
      </w:r>
      <w:r>
        <w:rPr>
          <w:color w:val="auto"/>
          <w:sz w:val="24"/>
        </w:rPr>
        <w:t>10</w:t>
      </w:r>
      <w:r>
        <w:rPr>
          <w:color w:val="auto"/>
          <w:spacing w:val="-10"/>
          <w:sz w:val="24"/>
        </w:rPr>
        <w:t xml:space="preserve"> 万元以下罚款。</w:t>
      </w:r>
      <w:bookmarkStart w:id="1464" w:name="七百一十七、国家机关、事业单位违反规定乱收费"/>
      <w:bookmarkEnd w:id="1464"/>
      <w:bookmarkStart w:id="1465" w:name="_bookmark731"/>
      <w:bookmarkEnd w:id="1465"/>
      <w:r>
        <w:rPr>
          <w:b/>
          <w:color w:val="auto"/>
          <w:sz w:val="24"/>
        </w:rPr>
        <w:t>七百一十七、国家机关、事业单位违反规定乱收费</w:t>
      </w:r>
    </w:p>
    <w:p>
      <w:pPr>
        <w:pStyle w:val="2"/>
        <w:spacing w:before="2"/>
        <w:rPr>
          <w:color w:val="auto"/>
        </w:rPr>
      </w:pPr>
      <w:r>
        <w:rPr>
          <w:color w:val="auto"/>
        </w:rPr>
        <w:t>（一）处罚依据</w:t>
      </w:r>
    </w:p>
    <w:p>
      <w:pPr>
        <w:pStyle w:val="13"/>
        <w:numPr>
          <w:ilvl w:val="0"/>
          <w:numId w:val="1677"/>
        </w:numPr>
        <w:tabs>
          <w:tab w:val="left" w:pos="833"/>
        </w:tabs>
        <w:spacing w:before="195" w:after="0" w:line="388" w:lineRule="auto"/>
        <w:ind w:left="111" w:right="148" w:firstLine="480"/>
        <w:jc w:val="left"/>
        <w:rPr>
          <w:color w:val="auto"/>
          <w:sz w:val="24"/>
        </w:rPr>
      </w:pPr>
      <w:r>
        <w:rPr>
          <w:color w:val="auto"/>
          <w:spacing w:val="-5"/>
          <w:sz w:val="24"/>
        </w:rPr>
        <w:t>《山东省行政性事业性收费管理条例》</w:t>
      </w:r>
      <w:r>
        <w:rPr>
          <w:color w:val="auto"/>
          <w:sz w:val="24"/>
        </w:rPr>
        <w:t>（1990</w:t>
      </w:r>
      <w:r>
        <w:rPr>
          <w:color w:val="auto"/>
          <w:spacing w:val="-41"/>
          <w:sz w:val="24"/>
        </w:rPr>
        <w:t xml:space="preserve"> 年 </w:t>
      </w:r>
      <w:r>
        <w:rPr>
          <w:color w:val="auto"/>
          <w:sz w:val="24"/>
        </w:rPr>
        <w:t>12</w:t>
      </w:r>
      <w:r>
        <w:rPr>
          <w:color w:val="auto"/>
          <w:spacing w:val="-14"/>
          <w:sz w:val="24"/>
        </w:rPr>
        <w:t xml:space="preserve"> 月通过，</w:t>
      </w:r>
      <w:r>
        <w:rPr>
          <w:color w:val="auto"/>
          <w:spacing w:val="-8"/>
          <w:sz w:val="24"/>
        </w:rPr>
        <w:t>2016</w:t>
      </w:r>
      <w:r>
        <w:rPr>
          <w:color w:val="auto"/>
          <w:spacing w:val="-41"/>
          <w:sz w:val="24"/>
        </w:rPr>
        <w:t xml:space="preserve"> 年 </w:t>
      </w:r>
      <w:r>
        <w:rPr>
          <w:color w:val="auto"/>
          <w:sz w:val="24"/>
        </w:rPr>
        <w:t>3</w:t>
      </w:r>
      <w:r>
        <w:rPr>
          <w:color w:val="auto"/>
          <w:spacing w:val="-15"/>
          <w:sz w:val="24"/>
        </w:rPr>
        <w:t xml:space="preserve"> 月修正）</w:t>
      </w:r>
      <w:r>
        <w:rPr>
          <w:color w:val="auto"/>
          <w:spacing w:val="-6"/>
          <w:sz w:val="24"/>
        </w:rPr>
        <w:t>第五条：“省及其以下各级物价部门负责本行政区域内行政性、事业性收费的管理和监督检查，宣传贯彻有关法律、法规和方针政策。”</w:t>
      </w:r>
    </w:p>
    <w:p>
      <w:pPr>
        <w:pStyle w:val="13"/>
        <w:numPr>
          <w:ilvl w:val="0"/>
          <w:numId w:val="1677"/>
        </w:numPr>
        <w:tabs>
          <w:tab w:val="left" w:pos="833"/>
        </w:tabs>
        <w:spacing w:before="5" w:after="0" w:line="391" w:lineRule="auto"/>
        <w:ind w:left="111" w:right="148" w:firstLine="480"/>
        <w:jc w:val="left"/>
        <w:rPr>
          <w:color w:val="auto"/>
          <w:sz w:val="24"/>
        </w:rPr>
      </w:pPr>
      <w:r>
        <w:rPr>
          <w:color w:val="auto"/>
          <w:spacing w:val="-5"/>
          <w:sz w:val="24"/>
        </w:rPr>
        <w:t>《山东省行政性事业性收费管理条例》</w:t>
      </w:r>
      <w:r>
        <w:rPr>
          <w:color w:val="auto"/>
          <w:sz w:val="24"/>
        </w:rPr>
        <w:t>（1990</w:t>
      </w:r>
      <w:r>
        <w:rPr>
          <w:color w:val="auto"/>
          <w:spacing w:val="-41"/>
          <w:sz w:val="24"/>
        </w:rPr>
        <w:t xml:space="preserve"> 年 </w:t>
      </w:r>
      <w:r>
        <w:rPr>
          <w:color w:val="auto"/>
          <w:sz w:val="24"/>
        </w:rPr>
        <w:t>12</w:t>
      </w:r>
      <w:r>
        <w:rPr>
          <w:color w:val="auto"/>
          <w:spacing w:val="-14"/>
          <w:sz w:val="24"/>
        </w:rPr>
        <w:t xml:space="preserve"> 月通过，</w:t>
      </w:r>
      <w:r>
        <w:rPr>
          <w:color w:val="auto"/>
          <w:spacing w:val="-8"/>
          <w:sz w:val="24"/>
        </w:rPr>
        <w:t>2016</w:t>
      </w:r>
      <w:r>
        <w:rPr>
          <w:color w:val="auto"/>
          <w:spacing w:val="-41"/>
          <w:sz w:val="24"/>
        </w:rPr>
        <w:t xml:space="preserve"> 年 </w:t>
      </w:r>
      <w:r>
        <w:rPr>
          <w:color w:val="auto"/>
          <w:sz w:val="24"/>
        </w:rPr>
        <w:t>3</w:t>
      </w:r>
      <w:r>
        <w:rPr>
          <w:color w:val="auto"/>
          <w:spacing w:val="-15"/>
          <w:sz w:val="24"/>
        </w:rPr>
        <w:t xml:space="preserve"> 月修正）</w:t>
      </w:r>
      <w:r>
        <w:rPr>
          <w:color w:val="auto"/>
          <w:spacing w:val="-4"/>
          <w:sz w:val="24"/>
        </w:rPr>
        <w:t>第十九条：“下列行为属于乱收费行为：</w:t>
      </w:r>
      <w:r>
        <w:rPr>
          <w:color w:val="auto"/>
          <w:spacing w:val="-6"/>
          <w:sz w:val="24"/>
        </w:rPr>
        <w:t>（</w:t>
      </w:r>
      <w:r>
        <w:rPr>
          <w:color w:val="auto"/>
          <w:sz w:val="24"/>
        </w:rPr>
        <w:t>一</w:t>
      </w:r>
      <w:r>
        <w:rPr>
          <w:color w:val="auto"/>
          <w:spacing w:val="-8"/>
          <w:sz w:val="24"/>
        </w:rPr>
        <w:t>）</w:t>
      </w:r>
      <w:r>
        <w:rPr>
          <w:color w:val="auto"/>
          <w:sz w:val="24"/>
        </w:rPr>
        <w:t>超越管理权限设立收费项目或制定</w:t>
      </w:r>
      <w:r>
        <w:rPr>
          <w:color w:val="auto"/>
          <w:spacing w:val="-1"/>
          <w:sz w:val="24"/>
        </w:rPr>
        <w:t>收费标准的；</w:t>
      </w:r>
      <w:r>
        <w:rPr>
          <w:color w:val="auto"/>
          <w:spacing w:val="-5"/>
          <w:sz w:val="24"/>
        </w:rPr>
        <w:t>（</w:t>
      </w:r>
      <w:r>
        <w:rPr>
          <w:color w:val="auto"/>
          <w:sz w:val="24"/>
        </w:rPr>
        <w:t>二</w:t>
      </w:r>
      <w:r>
        <w:rPr>
          <w:color w:val="auto"/>
          <w:spacing w:val="-5"/>
          <w:sz w:val="24"/>
        </w:rPr>
        <w:t>）</w:t>
      </w:r>
      <w:r>
        <w:rPr>
          <w:color w:val="auto"/>
          <w:spacing w:val="-2"/>
          <w:sz w:val="24"/>
        </w:rPr>
        <w:t>违反收费审批程序的；</w:t>
      </w:r>
      <w:r>
        <w:rPr>
          <w:color w:val="auto"/>
          <w:spacing w:val="-5"/>
          <w:sz w:val="24"/>
        </w:rPr>
        <w:t>（</w:t>
      </w:r>
      <w:r>
        <w:rPr>
          <w:color w:val="auto"/>
          <w:sz w:val="24"/>
        </w:rPr>
        <w:t>三</w:t>
      </w:r>
      <w:r>
        <w:rPr>
          <w:color w:val="auto"/>
          <w:spacing w:val="-5"/>
          <w:sz w:val="24"/>
        </w:rPr>
        <w:t>）</w:t>
      </w:r>
      <w:r>
        <w:rPr>
          <w:color w:val="auto"/>
          <w:spacing w:val="-1"/>
          <w:sz w:val="24"/>
        </w:rPr>
        <w:t>超出规定的收费范围，擅自增加收</w:t>
      </w:r>
      <w:r>
        <w:rPr>
          <w:color w:val="auto"/>
          <w:spacing w:val="-3"/>
          <w:sz w:val="24"/>
        </w:rPr>
        <w:t>费项目、提高收费标准的；</w:t>
      </w:r>
      <w:r>
        <w:rPr>
          <w:color w:val="auto"/>
          <w:spacing w:val="-5"/>
          <w:sz w:val="24"/>
        </w:rPr>
        <w:t>（</w:t>
      </w:r>
      <w:r>
        <w:rPr>
          <w:color w:val="auto"/>
          <w:sz w:val="24"/>
        </w:rPr>
        <w:t>四</w:t>
      </w:r>
      <w:r>
        <w:rPr>
          <w:color w:val="auto"/>
          <w:spacing w:val="-5"/>
          <w:sz w:val="24"/>
        </w:rPr>
        <w:t>）</w:t>
      </w:r>
      <w:r>
        <w:rPr>
          <w:color w:val="auto"/>
          <w:spacing w:val="-1"/>
          <w:sz w:val="24"/>
        </w:rPr>
        <w:t>不实施管理行为或不提供服务而收费的；</w:t>
      </w:r>
      <w:r>
        <w:rPr>
          <w:color w:val="auto"/>
          <w:spacing w:val="-5"/>
          <w:sz w:val="24"/>
        </w:rPr>
        <w:t>（</w:t>
      </w:r>
      <w:r>
        <w:rPr>
          <w:color w:val="auto"/>
          <w:sz w:val="24"/>
        </w:rPr>
        <w:t>五</w:t>
      </w:r>
      <w:r>
        <w:rPr>
          <w:color w:val="auto"/>
          <w:spacing w:val="-5"/>
          <w:sz w:val="24"/>
        </w:rPr>
        <w:t>）</w:t>
      </w:r>
      <w:r>
        <w:rPr>
          <w:color w:val="auto"/>
          <w:sz w:val="24"/>
        </w:rPr>
        <w:t>不</w:t>
      </w:r>
      <w:r>
        <w:rPr>
          <w:color w:val="auto"/>
          <w:spacing w:val="-1"/>
          <w:sz w:val="24"/>
        </w:rPr>
        <w:t>使用规定的票据收费或擅自扩大票据适用范围的；</w:t>
      </w:r>
      <w:r>
        <w:rPr>
          <w:color w:val="auto"/>
          <w:spacing w:val="-12"/>
          <w:sz w:val="24"/>
        </w:rPr>
        <w:t>（</w:t>
      </w:r>
      <w:r>
        <w:rPr>
          <w:color w:val="auto"/>
          <w:sz w:val="24"/>
        </w:rPr>
        <w:t>六</w:t>
      </w:r>
      <w:r>
        <w:rPr>
          <w:color w:val="auto"/>
          <w:spacing w:val="-12"/>
          <w:sz w:val="24"/>
        </w:rPr>
        <w:t>）</w:t>
      </w:r>
      <w:r>
        <w:rPr>
          <w:color w:val="auto"/>
          <w:sz w:val="24"/>
        </w:rPr>
        <w:t>不按规定办理变更或注销登</w:t>
      </w:r>
      <w:r>
        <w:rPr>
          <w:color w:val="auto"/>
          <w:spacing w:val="-1"/>
          <w:sz w:val="24"/>
        </w:rPr>
        <w:t>记手续继续收费的；</w:t>
      </w:r>
      <w:r>
        <w:rPr>
          <w:color w:val="auto"/>
          <w:spacing w:val="-6"/>
          <w:sz w:val="24"/>
        </w:rPr>
        <w:t>（</w:t>
      </w:r>
      <w:r>
        <w:rPr>
          <w:color w:val="auto"/>
          <w:sz w:val="24"/>
        </w:rPr>
        <w:t>七</w:t>
      </w:r>
      <w:r>
        <w:rPr>
          <w:color w:val="auto"/>
          <w:spacing w:val="-8"/>
          <w:sz w:val="24"/>
        </w:rPr>
        <w:t>）</w:t>
      </w:r>
      <w:r>
        <w:rPr>
          <w:color w:val="auto"/>
          <w:spacing w:val="-1"/>
          <w:sz w:val="24"/>
        </w:rPr>
        <w:t>不按规定要求公布收费项目和收费标准的；</w:t>
      </w:r>
      <w:r>
        <w:rPr>
          <w:color w:val="auto"/>
          <w:spacing w:val="-6"/>
          <w:sz w:val="24"/>
        </w:rPr>
        <w:t>（</w:t>
      </w:r>
      <w:r>
        <w:rPr>
          <w:color w:val="auto"/>
          <w:sz w:val="24"/>
        </w:rPr>
        <w:t>八</w:t>
      </w:r>
      <w:r>
        <w:rPr>
          <w:color w:val="auto"/>
          <w:spacing w:val="-5"/>
          <w:sz w:val="24"/>
        </w:rPr>
        <w:t>）</w:t>
      </w:r>
      <w:r>
        <w:rPr>
          <w:color w:val="auto"/>
          <w:sz w:val="24"/>
        </w:rPr>
        <w:t>其他违反国家法律、法规和本条例规定的收费行为。”</w:t>
      </w:r>
    </w:p>
    <w:p>
      <w:pPr>
        <w:pStyle w:val="13"/>
        <w:numPr>
          <w:ilvl w:val="0"/>
          <w:numId w:val="1677"/>
        </w:numPr>
        <w:tabs>
          <w:tab w:val="left" w:pos="833"/>
        </w:tabs>
        <w:spacing w:before="0" w:after="0" w:line="391" w:lineRule="auto"/>
        <w:ind w:left="111" w:right="148" w:firstLine="480"/>
        <w:jc w:val="left"/>
        <w:rPr>
          <w:color w:val="auto"/>
          <w:sz w:val="24"/>
        </w:rPr>
      </w:pPr>
      <w:r>
        <w:rPr>
          <w:color w:val="auto"/>
          <w:spacing w:val="-5"/>
          <w:sz w:val="24"/>
        </w:rPr>
        <w:t>《山东省行政性事业性收费管理条例》</w:t>
      </w:r>
      <w:r>
        <w:rPr>
          <w:color w:val="auto"/>
          <w:sz w:val="24"/>
        </w:rPr>
        <w:t>（1990</w:t>
      </w:r>
      <w:r>
        <w:rPr>
          <w:color w:val="auto"/>
          <w:spacing w:val="-41"/>
          <w:sz w:val="24"/>
        </w:rPr>
        <w:t xml:space="preserve"> 年 </w:t>
      </w:r>
      <w:r>
        <w:rPr>
          <w:color w:val="auto"/>
          <w:sz w:val="24"/>
        </w:rPr>
        <w:t>12</w:t>
      </w:r>
      <w:r>
        <w:rPr>
          <w:color w:val="auto"/>
          <w:spacing w:val="-14"/>
          <w:sz w:val="24"/>
        </w:rPr>
        <w:t xml:space="preserve"> 月通过，</w:t>
      </w:r>
      <w:r>
        <w:rPr>
          <w:color w:val="auto"/>
          <w:spacing w:val="-8"/>
          <w:sz w:val="24"/>
        </w:rPr>
        <w:t>2016</w:t>
      </w:r>
      <w:r>
        <w:rPr>
          <w:color w:val="auto"/>
          <w:spacing w:val="-41"/>
          <w:sz w:val="24"/>
        </w:rPr>
        <w:t xml:space="preserve"> 年 </w:t>
      </w:r>
      <w:r>
        <w:rPr>
          <w:color w:val="auto"/>
          <w:sz w:val="24"/>
        </w:rPr>
        <w:t>3</w:t>
      </w:r>
      <w:r>
        <w:rPr>
          <w:color w:val="auto"/>
          <w:spacing w:val="-15"/>
          <w:sz w:val="24"/>
        </w:rPr>
        <w:t xml:space="preserve"> 月修正）</w:t>
      </w:r>
      <w:r>
        <w:rPr>
          <w:color w:val="auto"/>
          <w:spacing w:val="-6"/>
          <w:sz w:val="24"/>
        </w:rPr>
        <w:t>第二十条：“有前条行为之一的，由物价检查机关根据国家有关规定和情节轻重给予以下处罚：</w:t>
      </w:r>
      <w:r>
        <w:rPr>
          <w:color w:val="auto"/>
          <w:spacing w:val="-4"/>
          <w:sz w:val="24"/>
        </w:rPr>
        <w:t>（</w:t>
      </w:r>
      <w:r>
        <w:rPr>
          <w:color w:val="auto"/>
          <w:sz w:val="24"/>
        </w:rPr>
        <w:t>一</w:t>
      </w:r>
      <w:r>
        <w:rPr>
          <w:color w:val="auto"/>
          <w:spacing w:val="-5"/>
          <w:sz w:val="24"/>
        </w:rPr>
        <w:t>）</w:t>
      </w:r>
      <w:r>
        <w:rPr>
          <w:color w:val="auto"/>
          <w:spacing w:val="-1"/>
          <w:sz w:val="24"/>
        </w:rPr>
        <w:t>通报批评；</w:t>
      </w:r>
      <w:r>
        <w:rPr>
          <w:color w:val="auto"/>
          <w:spacing w:val="-4"/>
          <w:sz w:val="24"/>
        </w:rPr>
        <w:t>（</w:t>
      </w:r>
      <w:r>
        <w:rPr>
          <w:color w:val="auto"/>
          <w:sz w:val="24"/>
        </w:rPr>
        <w:t>二</w:t>
      </w:r>
      <w:r>
        <w:rPr>
          <w:color w:val="auto"/>
          <w:spacing w:val="-5"/>
          <w:sz w:val="24"/>
        </w:rPr>
        <w:t>）</w:t>
      </w:r>
      <w:r>
        <w:rPr>
          <w:color w:val="auto"/>
          <w:spacing w:val="-1"/>
          <w:sz w:val="24"/>
        </w:rPr>
        <w:t>责令停止或纠正乱收费行为；</w:t>
      </w:r>
      <w:r>
        <w:rPr>
          <w:color w:val="auto"/>
          <w:spacing w:val="-4"/>
          <w:sz w:val="24"/>
        </w:rPr>
        <w:t>（</w:t>
      </w:r>
      <w:r>
        <w:rPr>
          <w:color w:val="auto"/>
          <w:sz w:val="24"/>
        </w:rPr>
        <w:t>三</w:t>
      </w:r>
      <w:r>
        <w:rPr>
          <w:color w:val="auto"/>
          <w:spacing w:val="-5"/>
          <w:sz w:val="24"/>
        </w:rPr>
        <w:t>）</w:t>
      </w:r>
      <w:r>
        <w:rPr>
          <w:color w:val="auto"/>
          <w:sz w:val="24"/>
        </w:rPr>
        <w:t>责令将全</w:t>
      </w:r>
      <w:r>
        <w:rPr>
          <w:color w:val="auto"/>
          <w:spacing w:val="-3"/>
          <w:sz w:val="24"/>
        </w:rPr>
        <w:t>部非法收费款退还给交费单位或个人。无法退还的，由物价部门予以没收。当年无力</w:t>
      </w:r>
      <w:r>
        <w:rPr>
          <w:color w:val="auto"/>
          <w:spacing w:val="-5"/>
          <w:sz w:val="24"/>
        </w:rPr>
        <w:t>退还的，由财政部门扣减其翌年的行政事业经费；</w:t>
      </w:r>
      <w:r>
        <w:rPr>
          <w:color w:val="auto"/>
          <w:spacing w:val="-9"/>
          <w:sz w:val="24"/>
        </w:rPr>
        <w:t>（</w:t>
      </w:r>
      <w:r>
        <w:rPr>
          <w:color w:val="auto"/>
          <w:sz w:val="24"/>
        </w:rPr>
        <w:t>四</w:t>
      </w:r>
      <w:r>
        <w:rPr>
          <w:color w:val="auto"/>
          <w:spacing w:val="-10"/>
          <w:sz w:val="24"/>
        </w:rPr>
        <w:t>）</w:t>
      </w:r>
      <w:r>
        <w:rPr>
          <w:color w:val="auto"/>
          <w:sz w:val="24"/>
        </w:rPr>
        <w:t>对有乱收费行为的单位和直</w:t>
      </w:r>
      <w:r>
        <w:rPr>
          <w:color w:val="auto"/>
          <w:spacing w:val="-5"/>
          <w:sz w:val="24"/>
        </w:rPr>
        <w:t>接责任者处以罚款；</w:t>
      </w:r>
      <w:r>
        <w:rPr>
          <w:color w:val="auto"/>
          <w:spacing w:val="-40"/>
          <w:sz w:val="24"/>
        </w:rPr>
        <w:t>（</w:t>
      </w:r>
      <w:r>
        <w:rPr>
          <w:color w:val="auto"/>
          <w:sz w:val="24"/>
        </w:rPr>
        <w:t>五</w:t>
      </w:r>
      <w:r>
        <w:rPr>
          <w:color w:val="auto"/>
          <w:spacing w:val="-39"/>
          <w:sz w:val="24"/>
        </w:rPr>
        <w:t>）</w:t>
      </w:r>
      <w:r>
        <w:rPr>
          <w:color w:val="auto"/>
          <w:spacing w:val="-2"/>
          <w:sz w:val="24"/>
        </w:rPr>
        <w:t>建议监察或有关部门对直接责任者给予行政处分。以上处罚</w:t>
      </w:r>
      <w:r>
        <w:rPr>
          <w:color w:val="auto"/>
          <w:spacing w:val="-4"/>
          <w:sz w:val="24"/>
        </w:rPr>
        <w:t>，可以并处。罚没款，由物价部门缴同级财政。”</w:t>
      </w:r>
    </w:p>
    <w:p>
      <w:pPr>
        <w:pStyle w:val="13"/>
        <w:numPr>
          <w:ilvl w:val="0"/>
          <w:numId w:val="1677"/>
        </w:numPr>
        <w:tabs>
          <w:tab w:val="left" w:pos="833"/>
        </w:tabs>
        <w:spacing w:before="0" w:after="0" w:line="391" w:lineRule="auto"/>
        <w:ind w:left="111" w:right="232" w:firstLine="480"/>
        <w:jc w:val="both"/>
        <w:rPr>
          <w:color w:val="auto"/>
        </w:rPr>
      </w:pPr>
      <w:r>
        <w:rPr>
          <w:color w:val="auto"/>
          <w:spacing w:val="-4"/>
          <w:sz w:val="24"/>
        </w:rPr>
        <w:t>《山东省行政性事业性收费管理条例实施办法》</w:t>
      </w:r>
      <w:r>
        <w:rPr>
          <w:color w:val="auto"/>
          <w:sz w:val="24"/>
        </w:rPr>
        <w:t>（1994</w:t>
      </w:r>
      <w:r>
        <w:rPr>
          <w:color w:val="auto"/>
          <w:spacing w:val="-40"/>
          <w:sz w:val="24"/>
        </w:rPr>
        <w:t xml:space="preserve"> 年 </w:t>
      </w:r>
      <w:r>
        <w:rPr>
          <w:color w:val="auto"/>
          <w:sz w:val="24"/>
        </w:rPr>
        <w:t>1</w:t>
      </w:r>
      <w:r>
        <w:rPr>
          <w:color w:val="auto"/>
          <w:spacing w:val="-8"/>
          <w:sz w:val="24"/>
        </w:rPr>
        <w:t xml:space="preserve"> 月山东省人民政府</w:t>
      </w:r>
      <w:r>
        <w:rPr>
          <w:color w:val="auto"/>
          <w:spacing w:val="-25"/>
          <w:sz w:val="24"/>
        </w:rPr>
        <w:t xml:space="preserve">令第 </w:t>
      </w:r>
      <w:r>
        <w:rPr>
          <w:color w:val="auto"/>
          <w:sz w:val="24"/>
        </w:rPr>
        <w:t>47</w:t>
      </w:r>
      <w:r>
        <w:rPr>
          <w:color w:val="auto"/>
          <w:spacing w:val="-28"/>
          <w:sz w:val="24"/>
        </w:rPr>
        <w:t xml:space="preserve"> 号</w:t>
      </w:r>
      <w:r>
        <w:rPr>
          <w:color w:val="auto"/>
          <w:sz w:val="24"/>
        </w:rPr>
        <w:t>，2016</w:t>
      </w:r>
      <w:r>
        <w:rPr>
          <w:color w:val="auto"/>
          <w:spacing w:val="-38"/>
          <w:sz w:val="24"/>
        </w:rPr>
        <w:t xml:space="preserve"> 年 </w:t>
      </w:r>
      <w:r>
        <w:rPr>
          <w:color w:val="auto"/>
          <w:sz w:val="24"/>
        </w:rPr>
        <w:t>4</w:t>
      </w:r>
      <w:r>
        <w:rPr>
          <w:color w:val="auto"/>
          <w:spacing w:val="-15"/>
          <w:sz w:val="24"/>
        </w:rPr>
        <w:t xml:space="preserve"> 月修正</w:t>
      </w:r>
      <w:r>
        <w:rPr>
          <w:color w:val="auto"/>
          <w:sz w:val="24"/>
        </w:rPr>
        <w:t>）第十五条：“对乱收费行为的处罚，依照法律、法规</w:t>
      </w:r>
      <w:r>
        <w:rPr>
          <w:color w:val="auto"/>
          <w:spacing w:val="-5"/>
          <w:sz w:val="24"/>
        </w:rPr>
        <w:t>和规章的规定执行。凡违反《条例》和本办法而擅自收费的，由物价检查机构责令其</w:t>
      </w:r>
      <w:r>
        <w:rPr>
          <w:color w:val="auto"/>
          <w:spacing w:val="-6"/>
          <w:sz w:val="24"/>
        </w:rPr>
        <w:t>将全部非法收费款退还给交费单位或个人，无法退还的，由物价检查机构予以没收，</w:t>
      </w:r>
      <w:r>
        <w:rPr>
          <w:color w:val="auto"/>
          <w:spacing w:val="-8"/>
        </w:rPr>
        <w:t xml:space="preserve">并处以收费总额 </w:t>
      </w:r>
      <w:r>
        <w:rPr>
          <w:color w:val="auto"/>
        </w:rPr>
        <w:t>5%</w:t>
      </w:r>
      <w:r>
        <w:rPr>
          <w:color w:val="auto"/>
          <w:spacing w:val="-30"/>
        </w:rPr>
        <w:t xml:space="preserve">至 </w:t>
      </w:r>
      <w:r>
        <w:rPr>
          <w:color w:val="auto"/>
        </w:rPr>
        <w:t>30%</w:t>
      </w:r>
      <w:r>
        <w:rPr>
          <w:color w:val="auto"/>
          <w:spacing w:val="-6"/>
        </w:rPr>
        <w:t>的罚款。对继续擅自收费的，除按上述规定给予处罚外，对</w:t>
      </w:r>
      <w:r>
        <w:rPr>
          <w:color w:val="auto"/>
        </w:rPr>
        <w:t>直接责任者由监察部门给予行政处分。”</w:t>
      </w:r>
    </w:p>
    <w:p>
      <w:pPr>
        <w:pStyle w:val="13"/>
        <w:numPr>
          <w:ilvl w:val="0"/>
          <w:numId w:val="1677"/>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91"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7"/>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jc w:val="both"/>
        <w:rPr>
          <w:color w:val="auto"/>
        </w:rPr>
      </w:pPr>
      <w:r>
        <w:rPr>
          <w:color w:val="auto"/>
        </w:rPr>
        <w:t>3 倍，从重处罚应当为违法所得的 4 倍或者 5 倍；</w:t>
      </w:r>
    </w:p>
    <w:p>
      <w:pPr>
        <w:pStyle w:val="4"/>
        <w:spacing w:before="191"/>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4"/>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pStyle w:val="4"/>
        <w:spacing w:line="388" w:lineRule="auto"/>
        <w:ind w:left="591" w:right="6952"/>
        <w:rPr>
          <w:color w:val="auto"/>
        </w:rPr>
      </w:pPr>
      <w:r>
        <w:rPr>
          <w:color w:val="auto"/>
        </w:rPr>
        <w:t>（二）裁量标准1.【减轻】</w:t>
      </w:r>
    </w:p>
    <w:p>
      <w:pPr>
        <w:pStyle w:val="4"/>
        <w:spacing w:before="39" w:line="391" w:lineRule="auto"/>
        <w:ind w:left="591" w:right="3592"/>
        <w:rPr>
          <w:color w:val="auto"/>
        </w:rPr>
      </w:pPr>
      <w:r>
        <w:rPr>
          <w:color w:val="auto"/>
          <w:spacing w:val="-5"/>
        </w:rPr>
        <w:t xml:space="preserve">没收违法所得，并处收费总额 </w:t>
      </w:r>
      <w:r>
        <w:rPr>
          <w:color w:val="auto"/>
        </w:rPr>
        <w:t>0.5%</w:t>
      </w:r>
      <w:r>
        <w:rPr>
          <w:color w:val="auto"/>
          <w:spacing w:val="-30"/>
        </w:rPr>
        <w:t xml:space="preserve">至 </w:t>
      </w:r>
      <w:r>
        <w:rPr>
          <w:color w:val="auto"/>
        </w:rPr>
        <w:t>5%</w:t>
      </w:r>
      <w:r>
        <w:rPr>
          <w:color w:val="auto"/>
          <w:spacing w:val="-35"/>
        </w:rPr>
        <w:t>罚款。。</w:t>
      </w:r>
      <w:r>
        <w:rPr>
          <w:color w:val="auto"/>
        </w:rPr>
        <w:t>2.【从轻】</w:t>
      </w:r>
    </w:p>
    <w:p>
      <w:pPr>
        <w:pStyle w:val="4"/>
        <w:spacing w:line="388" w:lineRule="auto"/>
        <w:ind w:left="591" w:right="3832"/>
        <w:rPr>
          <w:color w:val="auto"/>
        </w:rPr>
      </w:pPr>
      <w:r>
        <w:rPr>
          <w:color w:val="auto"/>
          <w:spacing w:val="-5"/>
        </w:rPr>
        <w:t xml:space="preserve">没收违法所得，并处收费总额 </w:t>
      </w:r>
      <w:r>
        <w:rPr>
          <w:color w:val="auto"/>
        </w:rPr>
        <w:t>5%</w:t>
      </w:r>
      <w:r>
        <w:rPr>
          <w:color w:val="auto"/>
          <w:spacing w:val="-30"/>
        </w:rPr>
        <w:t xml:space="preserve">至 </w:t>
      </w:r>
      <w:r>
        <w:rPr>
          <w:color w:val="auto"/>
        </w:rPr>
        <w:t>12%</w:t>
      </w:r>
      <w:r>
        <w:rPr>
          <w:color w:val="auto"/>
          <w:spacing w:val="-6"/>
        </w:rPr>
        <w:t>罚款。</w:t>
      </w:r>
      <w:r>
        <w:rPr>
          <w:color w:val="auto"/>
        </w:rPr>
        <w:t>3.【一般】</w:t>
      </w:r>
    </w:p>
    <w:p>
      <w:pPr>
        <w:pStyle w:val="4"/>
        <w:spacing w:before="3" w:line="388" w:lineRule="auto"/>
        <w:ind w:left="591" w:right="3712"/>
        <w:rPr>
          <w:color w:val="auto"/>
        </w:rPr>
      </w:pPr>
      <w:r>
        <w:rPr>
          <w:color w:val="auto"/>
          <w:spacing w:val="-5"/>
        </w:rPr>
        <w:t xml:space="preserve">没收违法所得，并处收费总额 </w:t>
      </w:r>
      <w:r>
        <w:rPr>
          <w:color w:val="auto"/>
        </w:rPr>
        <w:t>12%</w:t>
      </w:r>
      <w:r>
        <w:rPr>
          <w:color w:val="auto"/>
          <w:spacing w:val="-30"/>
        </w:rPr>
        <w:t xml:space="preserve">至 </w:t>
      </w:r>
      <w:r>
        <w:rPr>
          <w:color w:val="auto"/>
        </w:rPr>
        <w:t>18%</w:t>
      </w:r>
      <w:r>
        <w:rPr>
          <w:color w:val="auto"/>
          <w:spacing w:val="-6"/>
        </w:rPr>
        <w:t>罚款。</w:t>
      </w:r>
      <w:r>
        <w:rPr>
          <w:color w:val="auto"/>
        </w:rPr>
        <w:t>4.【从重】</w:t>
      </w:r>
    </w:p>
    <w:p>
      <w:pPr>
        <w:pStyle w:val="4"/>
        <w:spacing w:before="2"/>
        <w:ind w:left="591"/>
        <w:rPr>
          <w:color w:val="auto"/>
        </w:rPr>
      </w:pPr>
      <w:r>
        <w:rPr>
          <w:color w:val="auto"/>
        </w:rPr>
        <w:t>没收违法所得，并处收费总额 18%至 30%罚款。</w:t>
      </w:r>
    </w:p>
    <w:p>
      <w:pPr>
        <w:pStyle w:val="2"/>
        <w:spacing w:before="195"/>
        <w:rPr>
          <w:color w:val="auto"/>
        </w:rPr>
      </w:pPr>
      <w:bookmarkStart w:id="1466" w:name="七百一十八、国家机关不按规定要求公布收费项目和收费标准"/>
      <w:bookmarkEnd w:id="1466"/>
      <w:bookmarkStart w:id="1467" w:name="_bookmark732"/>
      <w:bookmarkEnd w:id="1467"/>
      <w:r>
        <w:rPr>
          <w:color w:val="auto"/>
        </w:rPr>
        <w:t>七百一十八、国家机关不按规定要求公布收费项目和收费标准</w:t>
      </w:r>
    </w:p>
    <w:p>
      <w:pPr>
        <w:spacing w:before="191"/>
        <w:ind w:left="591" w:right="0" w:firstLine="0"/>
        <w:jc w:val="left"/>
        <w:rPr>
          <w:b/>
          <w:color w:val="auto"/>
          <w:sz w:val="24"/>
        </w:rPr>
      </w:pPr>
      <w:r>
        <w:rPr>
          <w:b/>
          <w:color w:val="auto"/>
          <w:sz w:val="24"/>
        </w:rPr>
        <w:t>（一）处罚依据</w:t>
      </w:r>
    </w:p>
    <w:p>
      <w:pPr>
        <w:pStyle w:val="13"/>
        <w:numPr>
          <w:ilvl w:val="0"/>
          <w:numId w:val="1678"/>
        </w:numPr>
        <w:tabs>
          <w:tab w:val="left" w:pos="833"/>
        </w:tabs>
        <w:spacing w:before="192" w:after="0" w:line="391" w:lineRule="auto"/>
        <w:ind w:left="111" w:right="148" w:firstLine="480"/>
        <w:jc w:val="left"/>
        <w:rPr>
          <w:color w:val="auto"/>
          <w:sz w:val="24"/>
        </w:rPr>
      </w:pPr>
      <w:r>
        <w:rPr>
          <w:color w:val="auto"/>
          <w:spacing w:val="-5"/>
          <w:sz w:val="24"/>
        </w:rPr>
        <w:t>《山东省行政性事业性收费管理条例》</w:t>
      </w:r>
      <w:r>
        <w:rPr>
          <w:color w:val="auto"/>
          <w:sz w:val="24"/>
        </w:rPr>
        <w:t>（1990</w:t>
      </w:r>
      <w:r>
        <w:rPr>
          <w:color w:val="auto"/>
          <w:spacing w:val="-41"/>
          <w:sz w:val="24"/>
        </w:rPr>
        <w:t xml:space="preserve"> 年 </w:t>
      </w:r>
      <w:r>
        <w:rPr>
          <w:color w:val="auto"/>
          <w:sz w:val="24"/>
        </w:rPr>
        <w:t>12</w:t>
      </w:r>
      <w:r>
        <w:rPr>
          <w:color w:val="auto"/>
          <w:spacing w:val="-14"/>
          <w:sz w:val="24"/>
        </w:rPr>
        <w:t xml:space="preserve"> 月通过，</w:t>
      </w:r>
      <w:r>
        <w:rPr>
          <w:color w:val="auto"/>
          <w:spacing w:val="-8"/>
          <w:sz w:val="24"/>
        </w:rPr>
        <w:t>2016</w:t>
      </w:r>
      <w:r>
        <w:rPr>
          <w:color w:val="auto"/>
          <w:spacing w:val="-41"/>
          <w:sz w:val="24"/>
        </w:rPr>
        <w:t xml:space="preserve"> 年 </w:t>
      </w:r>
      <w:r>
        <w:rPr>
          <w:color w:val="auto"/>
          <w:sz w:val="24"/>
        </w:rPr>
        <w:t>3</w:t>
      </w:r>
      <w:r>
        <w:rPr>
          <w:color w:val="auto"/>
          <w:spacing w:val="-15"/>
          <w:sz w:val="24"/>
        </w:rPr>
        <w:t xml:space="preserve"> 月修正）</w:t>
      </w:r>
      <w:r>
        <w:rPr>
          <w:color w:val="auto"/>
          <w:spacing w:val="-4"/>
          <w:sz w:val="24"/>
        </w:rPr>
        <w:t>第十九条：“下列行为属于乱收费行为：</w:t>
      </w:r>
      <w:r>
        <w:rPr>
          <w:color w:val="auto"/>
          <w:spacing w:val="-6"/>
          <w:sz w:val="24"/>
        </w:rPr>
        <w:t>（</w:t>
      </w:r>
      <w:r>
        <w:rPr>
          <w:color w:val="auto"/>
          <w:sz w:val="24"/>
        </w:rPr>
        <w:t>七</w:t>
      </w:r>
      <w:r>
        <w:rPr>
          <w:color w:val="auto"/>
          <w:spacing w:val="-8"/>
          <w:sz w:val="24"/>
        </w:rPr>
        <w:t>）</w:t>
      </w:r>
      <w:r>
        <w:rPr>
          <w:color w:val="auto"/>
          <w:sz w:val="24"/>
        </w:rPr>
        <w:t>不按规定要求公布收费项目和收费标准的”。</w:t>
      </w:r>
    </w:p>
    <w:p>
      <w:pPr>
        <w:pStyle w:val="13"/>
        <w:numPr>
          <w:ilvl w:val="0"/>
          <w:numId w:val="1678"/>
        </w:numPr>
        <w:tabs>
          <w:tab w:val="left" w:pos="833"/>
        </w:tabs>
        <w:spacing w:before="0" w:after="0" w:line="391" w:lineRule="auto"/>
        <w:ind w:left="111" w:right="148" w:firstLine="480"/>
        <w:jc w:val="left"/>
        <w:rPr>
          <w:color w:val="auto"/>
          <w:sz w:val="24"/>
        </w:rPr>
      </w:pPr>
      <w:r>
        <w:rPr>
          <w:color w:val="auto"/>
          <w:spacing w:val="-5"/>
          <w:sz w:val="24"/>
        </w:rPr>
        <w:t>《山东省行政性事业性收费管理条例》</w:t>
      </w:r>
      <w:r>
        <w:rPr>
          <w:color w:val="auto"/>
          <w:sz w:val="24"/>
        </w:rPr>
        <w:t>（1990</w:t>
      </w:r>
      <w:r>
        <w:rPr>
          <w:color w:val="auto"/>
          <w:spacing w:val="-41"/>
          <w:sz w:val="24"/>
        </w:rPr>
        <w:t xml:space="preserve"> 年 </w:t>
      </w:r>
      <w:r>
        <w:rPr>
          <w:color w:val="auto"/>
          <w:sz w:val="24"/>
        </w:rPr>
        <w:t>12</w:t>
      </w:r>
      <w:r>
        <w:rPr>
          <w:color w:val="auto"/>
          <w:spacing w:val="-14"/>
          <w:sz w:val="24"/>
        </w:rPr>
        <w:t xml:space="preserve"> 月通过，</w:t>
      </w:r>
      <w:r>
        <w:rPr>
          <w:color w:val="auto"/>
          <w:spacing w:val="-8"/>
          <w:sz w:val="24"/>
        </w:rPr>
        <w:t>2016</w:t>
      </w:r>
      <w:r>
        <w:rPr>
          <w:color w:val="auto"/>
          <w:spacing w:val="-41"/>
          <w:sz w:val="24"/>
        </w:rPr>
        <w:t xml:space="preserve"> 年 </w:t>
      </w:r>
      <w:r>
        <w:rPr>
          <w:color w:val="auto"/>
          <w:sz w:val="24"/>
        </w:rPr>
        <w:t>3</w:t>
      </w:r>
      <w:r>
        <w:rPr>
          <w:color w:val="auto"/>
          <w:spacing w:val="-15"/>
          <w:sz w:val="24"/>
        </w:rPr>
        <w:t xml:space="preserve"> 月修正）</w:t>
      </w:r>
      <w:r>
        <w:rPr>
          <w:color w:val="auto"/>
          <w:spacing w:val="-6"/>
          <w:sz w:val="24"/>
        </w:rPr>
        <w:t>第二十条：“有前条行为之一的，由物价检查机关根据国家有关规定和情节轻重给予以下处罚：</w:t>
      </w:r>
      <w:r>
        <w:rPr>
          <w:color w:val="auto"/>
          <w:spacing w:val="-4"/>
          <w:sz w:val="24"/>
        </w:rPr>
        <w:t>（</w:t>
      </w:r>
      <w:r>
        <w:rPr>
          <w:color w:val="auto"/>
          <w:sz w:val="24"/>
        </w:rPr>
        <w:t>一</w:t>
      </w:r>
      <w:r>
        <w:rPr>
          <w:color w:val="auto"/>
          <w:spacing w:val="-5"/>
          <w:sz w:val="24"/>
        </w:rPr>
        <w:t>）</w:t>
      </w:r>
      <w:r>
        <w:rPr>
          <w:color w:val="auto"/>
          <w:spacing w:val="-1"/>
          <w:sz w:val="24"/>
        </w:rPr>
        <w:t>通报批评；</w:t>
      </w:r>
      <w:r>
        <w:rPr>
          <w:color w:val="auto"/>
          <w:spacing w:val="-4"/>
          <w:sz w:val="24"/>
        </w:rPr>
        <w:t>（</w:t>
      </w:r>
      <w:r>
        <w:rPr>
          <w:color w:val="auto"/>
          <w:sz w:val="24"/>
        </w:rPr>
        <w:t>二</w:t>
      </w:r>
      <w:r>
        <w:rPr>
          <w:color w:val="auto"/>
          <w:spacing w:val="-5"/>
          <w:sz w:val="24"/>
        </w:rPr>
        <w:t>）</w:t>
      </w:r>
      <w:r>
        <w:rPr>
          <w:color w:val="auto"/>
          <w:spacing w:val="-1"/>
          <w:sz w:val="24"/>
        </w:rPr>
        <w:t>责令停止或纠正乱收费行为；</w:t>
      </w:r>
      <w:r>
        <w:rPr>
          <w:color w:val="auto"/>
          <w:spacing w:val="-4"/>
          <w:sz w:val="24"/>
        </w:rPr>
        <w:t>（</w:t>
      </w:r>
      <w:r>
        <w:rPr>
          <w:color w:val="auto"/>
          <w:sz w:val="24"/>
        </w:rPr>
        <w:t>三</w:t>
      </w:r>
      <w:r>
        <w:rPr>
          <w:color w:val="auto"/>
          <w:spacing w:val="-5"/>
          <w:sz w:val="24"/>
        </w:rPr>
        <w:t>）</w:t>
      </w:r>
      <w:r>
        <w:rPr>
          <w:color w:val="auto"/>
          <w:sz w:val="24"/>
        </w:rPr>
        <w:t>责令将全</w:t>
      </w:r>
      <w:r>
        <w:rPr>
          <w:color w:val="auto"/>
          <w:spacing w:val="-3"/>
          <w:sz w:val="24"/>
        </w:rPr>
        <w:t>部非法收费款退还给交费单位或个人。无法退还的，由物价部门予以没收。当年无力</w:t>
      </w:r>
      <w:r>
        <w:rPr>
          <w:color w:val="auto"/>
          <w:spacing w:val="-5"/>
          <w:sz w:val="24"/>
        </w:rPr>
        <w:t>退还的，由财政部门扣减其翌年的行政事业经费；</w:t>
      </w:r>
      <w:r>
        <w:rPr>
          <w:color w:val="auto"/>
          <w:spacing w:val="-9"/>
          <w:sz w:val="24"/>
        </w:rPr>
        <w:t>（</w:t>
      </w:r>
      <w:r>
        <w:rPr>
          <w:color w:val="auto"/>
          <w:sz w:val="24"/>
        </w:rPr>
        <w:t>四</w:t>
      </w:r>
      <w:r>
        <w:rPr>
          <w:color w:val="auto"/>
          <w:spacing w:val="-10"/>
          <w:sz w:val="24"/>
        </w:rPr>
        <w:t>）</w:t>
      </w:r>
      <w:r>
        <w:rPr>
          <w:color w:val="auto"/>
          <w:sz w:val="24"/>
        </w:rPr>
        <w:t>对有乱收费行为的单位和直</w:t>
      </w:r>
      <w:r>
        <w:rPr>
          <w:color w:val="auto"/>
          <w:spacing w:val="-5"/>
          <w:sz w:val="24"/>
        </w:rPr>
        <w:t>接责任者处以罚款；</w:t>
      </w:r>
      <w:r>
        <w:rPr>
          <w:color w:val="auto"/>
          <w:spacing w:val="-40"/>
          <w:sz w:val="24"/>
        </w:rPr>
        <w:t>（</w:t>
      </w:r>
      <w:r>
        <w:rPr>
          <w:color w:val="auto"/>
          <w:sz w:val="24"/>
        </w:rPr>
        <w:t>五</w:t>
      </w:r>
      <w:r>
        <w:rPr>
          <w:color w:val="auto"/>
          <w:spacing w:val="-39"/>
          <w:sz w:val="24"/>
        </w:rPr>
        <w:t>）</w:t>
      </w:r>
      <w:r>
        <w:rPr>
          <w:color w:val="auto"/>
          <w:spacing w:val="-2"/>
          <w:sz w:val="24"/>
        </w:rPr>
        <w:t>建议监察或有关部门对直接责任者给予行政处分。以上处罚</w:t>
      </w:r>
      <w:r>
        <w:rPr>
          <w:color w:val="auto"/>
          <w:spacing w:val="-4"/>
          <w:sz w:val="24"/>
        </w:rPr>
        <w:t>，可以并处。罚没款，由物价部门缴同级财政。”</w:t>
      </w:r>
    </w:p>
    <w:p>
      <w:pPr>
        <w:pStyle w:val="13"/>
        <w:numPr>
          <w:ilvl w:val="0"/>
          <w:numId w:val="1678"/>
        </w:numPr>
        <w:tabs>
          <w:tab w:val="left" w:pos="833"/>
        </w:tabs>
        <w:spacing w:before="0" w:after="0" w:line="388" w:lineRule="auto"/>
        <w:ind w:left="111" w:right="112" w:firstLine="480"/>
        <w:jc w:val="left"/>
        <w:rPr>
          <w:color w:val="auto"/>
          <w:sz w:val="24"/>
        </w:rPr>
      </w:pPr>
      <w:r>
        <w:rPr>
          <w:color w:val="auto"/>
          <w:spacing w:val="-4"/>
          <w:sz w:val="24"/>
        </w:rPr>
        <w:t>《山东省行政性事业性收费管理条例实施办法》</w:t>
      </w:r>
      <w:r>
        <w:rPr>
          <w:color w:val="auto"/>
          <w:sz w:val="24"/>
        </w:rPr>
        <w:t>（1994</w:t>
      </w:r>
      <w:r>
        <w:rPr>
          <w:color w:val="auto"/>
          <w:spacing w:val="-40"/>
          <w:sz w:val="24"/>
        </w:rPr>
        <w:t xml:space="preserve"> 年 </w:t>
      </w:r>
      <w:r>
        <w:rPr>
          <w:color w:val="auto"/>
          <w:sz w:val="24"/>
        </w:rPr>
        <w:t>1</w:t>
      </w:r>
      <w:r>
        <w:rPr>
          <w:color w:val="auto"/>
          <w:spacing w:val="-8"/>
          <w:sz w:val="24"/>
        </w:rPr>
        <w:t xml:space="preserve"> 月山东省人民政府</w:t>
      </w:r>
      <w:r>
        <w:rPr>
          <w:color w:val="auto"/>
          <w:spacing w:val="-25"/>
          <w:sz w:val="24"/>
        </w:rPr>
        <w:t xml:space="preserve">令第 </w:t>
      </w:r>
      <w:r>
        <w:rPr>
          <w:color w:val="auto"/>
          <w:sz w:val="24"/>
        </w:rPr>
        <w:t>47</w:t>
      </w:r>
      <w:r>
        <w:rPr>
          <w:color w:val="auto"/>
          <w:spacing w:val="-28"/>
          <w:sz w:val="24"/>
        </w:rPr>
        <w:t xml:space="preserve"> 号</w:t>
      </w:r>
      <w:r>
        <w:rPr>
          <w:color w:val="auto"/>
          <w:sz w:val="24"/>
        </w:rPr>
        <w:t>，2016</w:t>
      </w:r>
      <w:r>
        <w:rPr>
          <w:color w:val="auto"/>
          <w:spacing w:val="-38"/>
          <w:sz w:val="24"/>
        </w:rPr>
        <w:t xml:space="preserve"> 年 </w:t>
      </w:r>
      <w:r>
        <w:rPr>
          <w:color w:val="auto"/>
          <w:sz w:val="24"/>
        </w:rPr>
        <w:t>4</w:t>
      </w:r>
      <w:r>
        <w:rPr>
          <w:color w:val="auto"/>
          <w:spacing w:val="-15"/>
          <w:sz w:val="24"/>
        </w:rPr>
        <w:t xml:space="preserve"> 月修正</w:t>
      </w:r>
      <w:r>
        <w:rPr>
          <w:color w:val="auto"/>
          <w:sz w:val="24"/>
        </w:rPr>
        <w:t>）第十六条：“违反《条例》第十七条规定，未按要求</w:t>
      </w:r>
      <w:r>
        <w:rPr>
          <w:color w:val="auto"/>
          <w:spacing w:val="-8"/>
          <w:sz w:val="24"/>
        </w:rPr>
        <w:t>公布收费项目和收费标准的，按国家有关商品和收费实行明码标价制度的规定处罚。”</w:t>
      </w:r>
    </w:p>
    <w:p>
      <w:pPr>
        <w:pStyle w:val="13"/>
        <w:numPr>
          <w:ilvl w:val="0"/>
          <w:numId w:val="1678"/>
        </w:numPr>
        <w:tabs>
          <w:tab w:val="left" w:pos="833"/>
        </w:tabs>
        <w:spacing w:before="0" w:after="0" w:line="240" w:lineRule="auto"/>
        <w:ind w:left="832" w:right="0" w:hanging="242"/>
        <w:jc w:val="left"/>
        <w:rPr>
          <w:color w:val="auto"/>
          <w:sz w:val="24"/>
        </w:rPr>
      </w:pPr>
      <w:r>
        <w:rPr>
          <w:color w:val="auto"/>
          <w:sz w:val="24"/>
        </w:rPr>
        <w:t>《关于商品和服务实行明码标价的规定》（</w:t>
      </w:r>
      <w:r>
        <w:rPr>
          <w:color w:val="auto"/>
          <w:spacing w:val="-10"/>
          <w:sz w:val="24"/>
        </w:rPr>
        <w:t xml:space="preserve">国家计委第 </w:t>
      </w:r>
      <w:r>
        <w:rPr>
          <w:color w:val="auto"/>
          <w:sz w:val="24"/>
        </w:rPr>
        <w:t>8</w:t>
      </w:r>
      <w:r>
        <w:rPr>
          <w:color w:val="auto"/>
          <w:spacing w:val="-20"/>
          <w:sz w:val="24"/>
        </w:rPr>
        <w:t xml:space="preserve"> 号令</w:t>
      </w:r>
      <w:r>
        <w:rPr>
          <w:color w:val="auto"/>
          <w:sz w:val="24"/>
        </w:rPr>
        <w:t>）第二十一条：</w:t>
      </w:r>
    </w:p>
    <w:p>
      <w:pPr>
        <w:pStyle w:val="4"/>
        <w:spacing w:before="187"/>
        <w:rPr>
          <w:color w:val="auto"/>
        </w:rPr>
      </w:pPr>
      <w:r>
        <w:rPr>
          <w:color w:val="auto"/>
          <w:spacing w:val="-20"/>
        </w:rPr>
        <w:t xml:space="preserve">“经营者有下列行为之一的，由价格主管部门责令改正，没收违法所得，可以并处 </w:t>
      </w:r>
      <w:r>
        <w:rPr>
          <w:color w:val="auto"/>
        </w:rPr>
        <w:t>5000</w:t>
      </w:r>
    </w:p>
    <w:p>
      <w:pPr>
        <w:pStyle w:val="4"/>
        <w:spacing w:before="191"/>
        <w:rPr>
          <w:color w:val="auto"/>
        </w:rPr>
      </w:pPr>
      <w:r>
        <w:rPr>
          <w:color w:val="auto"/>
        </w:rPr>
        <w:t>元以下的罚款；没有违法所得的，可以处以 5000 元以下的罚款：</w:t>
      </w:r>
    </w:p>
    <w:p>
      <w:pPr>
        <w:pStyle w:val="4"/>
        <w:spacing w:before="194"/>
        <w:ind w:left="591"/>
        <w:rPr>
          <w:color w:val="auto"/>
        </w:rPr>
      </w:pPr>
      <w:r>
        <w:rPr>
          <w:color w:val="auto"/>
        </w:rPr>
        <w:t>（一）不明码标价的；</w:t>
      </w:r>
    </w:p>
    <w:p>
      <w:pPr>
        <w:pStyle w:val="4"/>
        <w:spacing w:before="192"/>
        <w:ind w:left="591"/>
        <w:rPr>
          <w:color w:val="auto"/>
        </w:rPr>
      </w:pPr>
      <w:r>
        <w:rPr>
          <w:color w:val="auto"/>
        </w:rPr>
        <w:t>（二）不按规定的内容和方式明码标价的；</w:t>
      </w:r>
    </w:p>
    <w:p>
      <w:pPr>
        <w:pStyle w:val="4"/>
        <w:spacing w:before="192"/>
        <w:ind w:left="591"/>
        <w:rPr>
          <w:color w:val="auto"/>
        </w:rPr>
      </w:pPr>
      <w:r>
        <w:rPr>
          <w:color w:val="auto"/>
        </w:rPr>
        <w:t>（三）在标价之外加价出售商品或收取未标明的费用的；</w:t>
      </w:r>
    </w:p>
    <w:p>
      <w:pPr>
        <w:pStyle w:val="4"/>
        <w:spacing w:before="39"/>
        <w:ind w:left="591"/>
        <w:rPr>
          <w:color w:val="auto"/>
        </w:rPr>
      </w:pPr>
      <w:r>
        <w:rPr>
          <w:color w:val="auto"/>
        </w:rPr>
        <w:t>（四）不能提供降价记录或者有关核定价格资料的；</w:t>
      </w:r>
    </w:p>
    <w:p>
      <w:pPr>
        <w:pStyle w:val="4"/>
        <w:spacing w:before="195"/>
        <w:ind w:left="591"/>
        <w:rPr>
          <w:color w:val="auto"/>
        </w:rPr>
      </w:pPr>
      <w:r>
        <w:rPr>
          <w:color w:val="auto"/>
        </w:rPr>
        <w:t>（五）擅自印制标价签或价目表的；</w:t>
      </w:r>
    </w:p>
    <w:p>
      <w:pPr>
        <w:pStyle w:val="4"/>
        <w:spacing w:before="191"/>
        <w:ind w:left="591"/>
        <w:rPr>
          <w:color w:val="auto"/>
        </w:rPr>
      </w:pPr>
      <w:r>
        <w:rPr>
          <w:color w:val="auto"/>
        </w:rPr>
        <w:t>（六）使用未经监制的标价内容和方式的；</w:t>
      </w:r>
    </w:p>
    <w:p>
      <w:pPr>
        <w:pStyle w:val="4"/>
        <w:spacing w:before="192"/>
        <w:ind w:left="591"/>
        <w:rPr>
          <w:color w:val="auto"/>
        </w:rPr>
      </w:pPr>
      <w:r>
        <w:rPr>
          <w:color w:val="auto"/>
        </w:rPr>
        <w:t>（七）其他违反明码标价规定的行为。”</w:t>
      </w:r>
    </w:p>
    <w:p>
      <w:pPr>
        <w:pStyle w:val="13"/>
        <w:numPr>
          <w:ilvl w:val="0"/>
          <w:numId w:val="1678"/>
        </w:numPr>
        <w:tabs>
          <w:tab w:val="left" w:pos="833"/>
        </w:tabs>
        <w:spacing w:before="194"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8"/>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7"/>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4"/>
        <w:jc w:val="both"/>
        <w:rPr>
          <w:color w:val="auto"/>
        </w:rPr>
      </w:pPr>
      <w:r>
        <w:rPr>
          <w:color w:val="auto"/>
        </w:rPr>
        <w:t>3 倍，从重处罚应当为违法所得的 4 倍或者 5 倍；</w:t>
      </w:r>
    </w:p>
    <w:p>
      <w:pPr>
        <w:pStyle w:val="4"/>
        <w:spacing w:before="192"/>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1"/>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4" w:line="388"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before="6" w:line="388"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39"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1.【减轻】</w:t>
      </w:r>
    </w:p>
    <w:p>
      <w:pPr>
        <w:pStyle w:val="4"/>
        <w:spacing w:line="388" w:lineRule="auto"/>
        <w:ind w:left="591" w:right="5272"/>
        <w:rPr>
          <w:color w:val="auto"/>
        </w:rPr>
      </w:pPr>
      <w:r>
        <w:rPr>
          <w:color w:val="auto"/>
          <w:spacing w:val="-2"/>
        </w:rPr>
        <w:t>有违法所得的，没收违法所得。</w:t>
      </w:r>
      <w:r>
        <w:rPr>
          <w:color w:val="auto"/>
        </w:rPr>
        <w:t>2.【从轻】</w:t>
      </w:r>
    </w:p>
    <w:p>
      <w:pPr>
        <w:pStyle w:val="4"/>
        <w:spacing w:before="3"/>
        <w:ind w:left="591"/>
        <w:rPr>
          <w:color w:val="auto"/>
        </w:rPr>
      </w:pPr>
      <w:r>
        <w:rPr>
          <w:color w:val="auto"/>
        </w:rPr>
        <w:t>有违法所得的，没收违法所得，处 2000 元以下罚款。</w:t>
      </w:r>
    </w:p>
    <w:p>
      <w:pPr>
        <w:pStyle w:val="4"/>
        <w:spacing w:before="192" w:line="388" w:lineRule="auto"/>
        <w:ind w:left="591" w:right="4432"/>
        <w:rPr>
          <w:color w:val="auto"/>
        </w:rPr>
      </w:pPr>
      <w:r>
        <w:rPr>
          <w:color w:val="auto"/>
          <w:spacing w:val="-6"/>
        </w:rPr>
        <w:t xml:space="preserve">没有违法所得的，处 </w:t>
      </w:r>
      <w:r>
        <w:rPr>
          <w:color w:val="auto"/>
        </w:rPr>
        <w:t>2000</w:t>
      </w:r>
      <w:r>
        <w:rPr>
          <w:color w:val="auto"/>
          <w:spacing w:val="-11"/>
        </w:rPr>
        <w:t xml:space="preserve"> 元以下罚款。</w:t>
      </w:r>
      <w:r>
        <w:rPr>
          <w:color w:val="auto"/>
        </w:rPr>
        <w:t>3.【一般】</w:t>
      </w:r>
    </w:p>
    <w:p>
      <w:pPr>
        <w:pStyle w:val="4"/>
        <w:spacing w:before="5"/>
        <w:ind w:left="591"/>
        <w:rPr>
          <w:color w:val="auto"/>
        </w:rPr>
      </w:pPr>
      <w:r>
        <w:rPr>
          <w:color w:val="auto"/>
        </w:rPr>
        <w:t>有违法所得的，没收违法所得，处 2000 元以上 3000 元以下罚款。</w:t>
      </w:r>
    </w:p>
    <w:p>
      <w:pPr>
        <w:pStyle w:val="4"/>
        <w:spacing w:before="191" w:line="388" w:lineRule="auto"/>
        <w:ind w:left="591" w:right="3112"/>
        <w:rPr>
          <w:color w:val="auto"/>
        </w:rPr>
      </w:pPr>
      <w:r>
        <w:rPr>
          <w:color w:val="auto"/>
          <w:spacing w:val="-6"/>
        </w:rPr>
        <w:t xml:space="preserve">没有违法所得的，处 </w:t>
      </w:r>
      <w:r>
        <w:rPr>
          <w:color w:val="auto"/>
        </w:rPr>
        <w:t>2000</w:t>
      </w:r>
      <w:r>
        <w:rPr>
          <w:color w:val="auto"/>
          <w:spacing w:val="-24"/>
        </w:rPr>
        <w:t xml:space="preserve"> 元以上 </w:t>
      </w:r>
      <w:r>
        <w:rPr>
          <w:color w:val="auto"/>
        </w:rPr>
        <w:t>3000</w:t>
      </w:r>
      <w:r>
        <w:rPr>
          <w:color w:val="auto"/>
          <w:spacing w:val="-11"/>
        </w:rPr>
        <w:t xml:space="preserve"> 元以下罚款。</w:t>
      </w:r>
      <w:r>
        <w:rPr>
          <w:color w:val="auto"/>
        </w:rPr>
        <w:t>4.【从重】</w:t>
      </w:r>
    </w:p>
    <w:p>
      <w:pPr>
        <w:pStyle w:val="4"/>
        <w:spacing w:before="5"/>
        <w:ind w:left="591"/>
        <w:rPr>
          <w:color w:val="auto"/>
        </w:rPr>
      </w:pPr>
      <w:r>
        <w:rPr>
          <w:color w:val="auto"/>
        </w:rPr>
        <w:t>有违法所得的，没收违法所得，处 3000 元以上 5000 元以下罚款。</w:t>
      </w:r>
    </w:p>
    <w:p>
      <w:pPr>
        <w:pStyle w:val="4"/>
        <w:spacing w:before="191"/>
        <w:ind w:left="591"/>
        <w:rPr>
          <w:color w:val="auto"/>
        </w:rPr>
      </w:pPr>
      <w:r>
        <w:rPr>
          <w:color w:val="auto"/>
        </w:rPr>
        <w:t>没有违法所得的，处 3000 元以上 5000 元以下罚款。</w:t>
      </w:r>
    </w:p>
    <w:p>
      <w:pPr>
        <w:pStyle w:val="2"/>
        <w:spacing w:before="192" w:line="391" w:lineRule="auto"/>
        <w:ind w:left="111" w:right="237" w:firstLine="480"/>
        <w:rPr>
          <w:color w:val="auto"/>
        </w:rPr>
      </w:pPr>
      <w:bookmarkStart w:id="1468" w:name="七百一十九、经营者依托国家机关或者以国家机关的名义强制或者变相强制服务并收费"/>
      <w:bookmarkEnd w:id="1468"/>
      <w:bookmarkStart w:id="1469" w:name="_bookmark733"/>
      <w:bookmarkEnd w:id="1469"/>
      <w:r>
        <w:rPr>
          <w:color w:val="auto"/>
          <w:spacing w:val="-9"/>
        </w:rPr>
        <w:t>七百一十九、经营者依托国家机关或者以国家机关的名义强制或者变相强制服务并收费</w:t>
      </w:r>
    </w:p>
    <w:p>
      <w:pPr>
        <w:spacing w:before="0" w:line="306" w:lineRule="exact"/>
        <w:ind w:left="591" w:right="0" w:firstLine="0"/>
        <w:jc w:val="left"/>
        <w:rPr>
          <w:b/>
          <w:color w:val="auto"/>
          <w:sz w:val="24"/>
        </w:rPr>
      </w:pPr>
      <w:r>
        <w:rPr>
          <w:b/>
          <w:color w:val="auto"/>
          <w:sz w:val="24"/>
        </w:rPr>
        <w:t>（一）处罚依据</w:t>
      </w:r>
    </w:p>
    <w:p>
      <w:pPr>
        <w:pStyle w:val="13"/>
        <w:numPr>
          <w:ilvl w:val="0"/>
          <w:numId w:val="1679"/>
        </w:numPr>
        <w:tabs>
          <w:tab w:val="left" w:pos="833"/>
        </w:tabs>
        <w:spacing w:before="192" w:after="0" w:line="391" w:lineRule="auto"/>
        <w:ind w:left="111" w:right="268" w:firstLine="480"/>
        <w:jc w:val="both"/>
        <w:rPr>
          <w:color w:val="auto"/>
          <w:sz w:val="24"/>
        </w:rPr>
      </w:pPr>
      <w:r>
        <w:rPr>
          <w:color w:val="auto"/>
          <w:spacing w:val="-3"/>
          <w:sz w:val="24"/>
        </w:rPr>
        <w:t>《山东省服务价格管理办法》第二十一条: 违反本办法规定，</w:t>
      </w:r>
      <w:r>
        <w:rPr>
          <w:color w:val="auto"/>
          <w:spacing w:val="-3"/>
          <w:sz w:val="24"/>
        </w:rPr>
        <w:t>经营者依托国家机关或者以国家机关的名义强制或者变相强制服务并收费的</w:t>
      </w:r>
      <w:r>
        <w:rPr>
          <w:color w:val="auto"/>
          <w:spacing w:val="-3"/>
          <w:sz w:val="24"/>
        </w:rPr>
        <w:t>，由县级以上人民政府价</w:t>
      </w:r>
      <w:r>
        <w:rPr>
          <w:color w:val="auto"/>
          <w:spacing w:val="-2"/>
          <w:sz w:val="24"/>
        </w:rPr>
        <w:t xml:space="preserve">格主管部门责令限期改正；逾期不改正的，给予警告，并可处以 </w:t>
      </w:r>
      <w:r>
        <w:rPr>
          <w:color w:val="auto"/>
          <w:sz w:val="24"/>
        </w:rPr>
        <w:t>2000</w:t>
      </w:r>
      <w:r>
        <w:rPr>
          <w:color w:val="auto"/>
          <w:spacing w:val="-21"/>
          <w:sz w:val="24"/>
        </w:rPr>
        <w:t xml:space="preserve"> 元以上 </w:t>
      </w:r>
      <w:r>
        <w:rPr>
          <w:color w:val="auto"/>
          <w:sz w:val="24"/>
        </w:rPr>
        <w:t>30000 元以下的罚款。</w:t>
      </w:r>
    </w:p>
    <w:p>
      <w:pPr>
        <w:pStyle w:val="13"/>
        <w:numPr>
          <w:ilvl w:val="0"/>
          <w:numId w:val="1679"/>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79"/>
        </w:numPr>
        <w:tabs>
          <w:tab w:val="left" w:pos="833"/>
        </w:tabs>
        <w:spacing w:before="39"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jc w:val="both"/>
        <w:rPr>
          <w:color w:val="auto"/>
        </w:rPr>
      </w:pPr>
      <w:r>
        <w:rPr>
          <w:color w:val="auto"/>
        </w:rPr>
        <w:t>3 倍，从重处罚应当为违法所得的 4 倍或者 5 倍；</w:t>
      </w:r>
    </w:p>
    <w:p>
      <w:pPr>
        <w:pStyle w:val="4"/>
        <w:spacing w:before="194"/>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1"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91" w:lineRule="auto"/>
        <w:ind w:left="591" w:right="6948" w:firstLine="0"/>
        <w:jc w:val="left"/>
        <w:rPr>
          <w:b/>
          <w:color w:val="auto"/>
          <w:sz w:val="24"/>
        </w:rPr>
      </w:pPr>
      <w:r>
        <w:rPr>
          <w:b/>
          <w:color w:val="auto"/>
          <w:sz w:val="24"/>
        </w:rPr>
        <w:t>（二）裁量标准</w:t>
      </w:r>
    </w:p>
    <w:p>
      <w:pPr>
        <w:spacing w:before="0" w:line="391" w:lineRule="auto"/>
        <w:ind w:left="591" w:right="6948" w:firstLine="0"/>
        <w:jc w:val="left"/>
        <w:rPr>
          <w:rFonts w:hint="default" w:eastAsia="宋体"/>
          <w:b w:val="0"/>
          <w:bCs/>
          <w:color w:val="auto"/>
          <w:sz w:val="24"/>
          <w:lang w:val="en-US" w:eastAsia="zh-CN"/>
        </w:rPr>
      </w:pPr>
      <w:r>
        <w:rPr>
          <w:rFonts w:hint="eastAsia"/>
          <w:b w:val="0"/>
          <w:bCs/>
          <w:color w:val="auto"/>
          <w:sz w:val="24"/>
          <w:lang w:val="en-US" w:eastAsia="zh-CN"/>
        </w:rPr>
        <w:t>1.【不予处罚】</w:t>
      </w:r>
    </w:p>
    <w:p>
      <w:pPr>
        <w:keepNext w:val="0"/>
        <w:keepLines w:val="0"/>
        <w:widowControl/>
        <w:suppressLineNumbers w:val="0"/>
        <w:ind w:firstLine="720" w:firstLineChars="300"/>
        <w:jc w:val="left"/>
        <w:rPr>
          <w:color w:val="auto"/>
          <w:sz w:val="24"/>
        </w:rPr>
      </w:pPr>
      <w:r>
        <w:rPr>
          <w:rFonts w:hint="eastAsia" w:ascii="宋体" w:hAnsi="宋体" w:eastAsia="宋体" w:cs="宋体"/>
          <w:color w:val="auto"/>
          <w:kern w:val="0"/>
          <w:sz w:val="24"/>
          <w:szCs w:val="24"/>
          <w:lang w:val="en-US" w:eastAsia="zh-CN" w:bidi="ar"/>
        </w:rPr>
        <w:t>自行改正或者在行政机关 责令改正的期限内改正</w:t>
      </w:r>
    </w:p>
    <w:p>
      <w:pPr>
        <w:spacing w:before="0" w:line="391" w:lineRule="auto"/>
        <w:ind w:left="591" w:right="6948" w:firstLine="0"/>
        <w:jc w:val="left"/>
        <w:rPr>
          <w:color w:val="auto"/>
          <w:sz w:val="24"/>
        </w:rPr>
      </w:pPr>
      <w:r>
        <w:rPr>
          <w:rFonts w:hint="eastAsia"/>
          <w:color w:val="auto"/>
          <w:sz w:val="24"/>
          <w:lang w:val="en-US" w:eastAsia="zh-CN"/>
        </w:rPr>
        <w:t>2</w:t>
      </w:r>
      <w:r>
        <w:rPr>
          <w:color w:val="auto"/>
          <w:sz w:val="24"/>
        </w:rPr>
        <w:t>.【减轻】</w:t>
      </w:r>
    </w:p>
    <w:p>
      <w:pPr>
        <w:pStyle w:val="4"/>
        <w:spacing w:line="306" w:lineRule="exact"/>
        <w:ind w:left="591"/>
        <w:rPr>
          <w:color w:val="auto"/>
        </w:rPr>
      </w:pPr>
      <w:r>
        <w:rPr>
          <w:color w:val="auto"/>
        </w:rPr>
        <w:t>警告。</w:t>
      </w:r>
    </w:p>
    <w:p>
      <w:pPr>
        <w:pStyle w:val="4"/>
        <w:spacing w:before="185"/>
        <w:ind w:left="591"/>
        <w:rPr>
          <w:color w:val="auto"/>
        </w:rPr>
      </w:pPr>
      <w:r>
        <w:rPr>
          <w:rFonts w:hint="eastAsia"/>
          <w:color w:val="auto"/>
          <w:lang w:val="en-US" w:eastAsia="zh-CN"/>
        </w:rPr>
        <w:t>3</w:t>
      </w:r>
      <w:r>
        <w:rPr>
          <w:color w:val="auto"/>
        </w:rPr>
        <w:t>.【从轻】</w:t>
      </w:r>
    </w:p>
    <w:p>
      <w:pPr>
        <w:pStyle w:val="4"/>
        <w:spacing w:before="194" w:line="388" w:lineRule="auto"/>
        <w:ind w:left="591" w:right="3712"/>
        <w:rPr>
          <w:color w:val="auto"/>
        </w:rPr>
      </w:pPr>
      <w:r>
        <w:rPr>
          <w:color w:val="auto"/>
          <w:spacing w:val="-9"/>
        </w:rPr>
        <w:t xml:space="preserve">警告，可以处 </w:t>
      </w:r>
      <w:r>
        <w:rPr>
          <w:color w:val="auto"/>
        </w:rPr>
        <w:t>2000</w:t>
      </w:r>
      <w:r>
        <w:rPr>
          <w:color w:val="auto"/>
          <w:spacing w:val="-24"/>
        </w:rPr>
        <w:t xml:space="preserve"> 元以上 </w:t>
      </w:r>
      <w:r>
        <w:rPr>
          <w:color w:val="auto"/>
        </w:rPr>
        <w:t>12000</w:t>
      </w:r>
      <w:r>
        <w:rPr>
          <w:color w:val="auto"/>
          <w:spacing w:val="-11"/>
        </w:rPr>
        <w:t xml:space="preserve"> 元以下罚款。</w:t>
      </w:r>
      <w:r>
        <w:rPr>
          <w:rFonts w:hint="eastAsia"/>
          <w:color w:val="auto"/>
          <w:lang w:val="en-US" w:eastAsia="zh-CN"/>
        </w:rPr>
        <w:t>4</w:t>
      </w:r>
      <w:r>
        <w:rPr>
          <w:color w:val="auto"/>
        </w:rPr>
        <w:t>.【一般】</w:t>
      </w:r>
    </w:p>
    <w:p>
      <w:pPr>
        <w:pStyle w:val="4"/>
        <w:spacing w:before="2" w:line="391" w:lineRule="auto"/>
        <w:ind w:left="591" w:right="3832"/>
        <w:rPr>
          <w:color w:val="auto"/>
        </w:rPr>
      </w:pPr>
      <w:r>
        <w:rPr>
          <w:color w:val="auto"/>
          <w:spacing w:val="-10"/>
        </w:rPr>
        <w:t xml:space="preserve">警告，并处 </w:t>
      </w:r>
      <w:r>
        <w:rPr>
          <w:color w:val="auto"/>
        </w:rPr>
        <w:t>12000</w:t>
      </w:r>
      <w:r>
        <w:rPr>
          <w:color w:val="auto"/>
          <w:spacing w:val="-24"/>
        </w:rPr>
        <w:t xml:space="preserve"> 元以上 </w:t>
      </w:r>
      <w:r>
        <w:rPr>
          <w:color w:val="auto"/>
        </w:rPr>
        <w:t>18000</w:t>
      </w:r>
      <w:r>
        <w:rPr>
          <w:color w:val="auto"/>
          <w:spacing w:val="-11"/>
        </w:rPr>
        <w:t xml:space="preserve"> 元以下罚款。</w:t>
      </w:r>
      <w:r>
        <w:rPr>
          <w:rFonts w:hint="eastAsia"/>
          <w:color w:val="auto"/>
          <w:lang w:val="en-US" w:eastAsia="zh-CN"/>
        </w:rPr>
        <w:t>5</w:t>
      </w:r>
      <w:r>
        <w:rPr>
          <w:color w:val="auto"/>
        </w:rPr>
        <w:t>.【从重】</w:t>
      </w:r>
    </w:p>
    <w:p>
      <w:pPr>
        <w:pStyle w:val="4"/>
        <w:spacing w:line="306" w:lineRule="exact"/>
        <w:ind w:left="591"/>
        <w:rPr>
          <w:color w:val="auto"/>
        </w:rPr>
      </w:pPr>
      <w:r>
        <w:rPr>
          <w:color w:val="auto"/>
        </w:rPr>
        <w:t>警告，并处 18000 元以上 30000 元以下罚款。</w:t>
      </w:r>
    </w:p>
    <w:p>
      <w:pPr>
        <w:pStyle w:val="2"/>
        <w:spacing w:before="192" w:line="391" w:lineRule="auto"/>
        <w:ind w:left="111" w:right="237" w:firstLine="480"/>
        <w:rPr>
          <w:color w:val="auto"/>
        </w:rPr>
      </w:pPr>
      <w:bookmarkStart w:id="1470" w:name="_bookmark734"/>
      <w:bookmarkEnd w:id="1470"/>
      <w:bookmarkStart w:id="1471" w:name="七百二十、物业服务企业未将前期物业服务合同或者调整后的物业服务收费标准报送备案"/>
      <w:bookmarkEnd w:id="1471"/>
      <w:r>
        <w:rPr>
          <w:color w:val="auto"/>
          <w:spacing w:val="-9"/>
        </w:rPr>
        <w:t>七百二十、物业服务企业未将前期物业服务合同或者调整后的物业服务收费标准报送备案</w:t>
      </w:r>
    </w:p>
    <w:p>
      <w:pPr>
        <w:spacing w:before="0" w:line="306" w:lineRule="exact"/>
        <w:ind w:left="591" w:right="0" w:firstLine="0"/>
        <w:jc w:val="left"/>
        <w:rPr>
          <w:b/>
          <w:color w:val="auto"/>
          <w:sz w:val="24"/>
        </w:rPr>
      </w:pPr>
      <w:r>
        <w:rPr>
          <w:b/>
          <w:color w:val="auto"/>
          <w:sz w:val="24"/>
        </w:rPr>
        <w:t>（一）处罚依据</w:t>
      </w:r>
    </w:p>
    <w:p>
      <w:pPr>
        <w:pStyle w:val="13"/>
        <w:numPr>
          <w:ilvl w:val="0"/>
          <w:numId w:val="1680"/>
        </w:numPr>
        <w:tabs>
          <w:tab w:val="left" w:pos="833"/>
        </w:tabs>
        <w:spacing w:before="191" w:after="0" w:line="240" w:lineRule="auto"/>
        <w:ind w:left="832" w:right="0" w:hanging="242"/>
        <w:jc w:val="left"/>
        <w:rPr>
          <w:color w:val="auto"/>
          <w:sz w:val="24"/>
        </w:rPr>
      </w:pPr>
      <w:r>
        <w:rPr>
          <w:color w:val="auto"/>
          <w:sz w:val="24"/>
        </w:rPr>
        <w:t>《山东省物业服务收费管理办法》（2018</w:t>
      </w:r>
      <w:r>
        <w:rPr>
          <w:color w:val="auto"/>
          <w:spacing w:val="-40"/>
          <w:sz w:val="24"/>
        </w:rPr>
        <w:t xml:space="preserve"> 年 </w:t>
      </w:r>
      <w:r>
        <w:rPr>
          <w:color w:val="auto"/>
          <w:sz w:val="24"/>
        </w:rPr>
        <w:t>5</w:t>
      </w:r>
      <w:r>
        <w:rPr>
          <w:color w:val="auto"/>
          <w:spacing w:val="-13"/>
          <w:sz w:val="24"/>
        </w:rPr>
        <w:t xml:space="preserve"> 月山东省人民政府令第 </w:t>
      </w:r>
      <w:r>
        <w:rPr>
          <w:color w:val="auto"/>
          <w:sz w:val="24"/>
        </w:rPr>
        <w:t>317</w:t>
      </w:r>
      <w:r>
        <w:rPr>
          <w:color w:val="auto"/>
          <w:spacing w:val="-30"/>
          <w:sz w:val="24"/>
        </w:rPr>
        <w:t xml:space="preserve"> 号</w:t>
      </w:r>
      <w:r>
        <w:rPr>
          <w:color w:val="auto"/>
          <w:sz w:val="24"/>
        </w:rPr>
        <w:t>）</w:t>
      </w:r>
    </w:p>
    <w:p>
      <w:pPr>
        <w:pStyle w:val="4"/>
        <w:spacing w:before="39" w:line="391" w:lineRule="auto"/>
        <w:ind w:right="268"/>
        <w:jc w:val="both"/>
        <w:rPr>
          <w:color w:val="auto"/>
        </w:rPr>
      </w:pPr>
      <w:r>
        <w:rPr>
          <w:color w:val="auto"/>
          <w:spacing w:val="-6"/>
        </w:rPr>
        <w:t>第四十五条“违反本办法规定，</w:t>
      </w:r>
      <w:r>
        <w:rPr>
          <w:color w:val="auto"/>
          <w:spacing w:val="-6"/>
        </w:rPr>
        <w:t>物业服务企业未将前期物业服务合同或者调整后的物</w:t>
      </w:r>
      <w:r>
        <w:rPr>
          <w:color w:val="auto"/>
          <w:spacing w:val="-4"/>
        </w:rPr>
        <w:t>业服务收费标准报送备案，</w:t>
      </w:r>
      <w:r>
        <w:rPr>
          <w:color w:val="auto"/>
          <w:spacing w:val="-4"/>
        </w:rPr>
        <w:t>或者未按规定公示物业共用部位、共用设施设备收益资金和车位场地使用费的，由县级以上人民政府价格主管部门责令限期改正；逾期不改正</w:t>
      </w:r>
      <w:r>
        <w:rPr>
          <w:color w:val="auto"/>
        </w:rPr>
        <w:t>的，处五千元以上一万元以下罚款。”</w:t>
      </w:r>
    </w:p>
    <w:p>
      <w:pPr>
        <w:pStyle w:val="13"/>
        <w:numPr>
          <w:ilvl w:val="0"/>
          <w:numId w:val="1680"/>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80"/>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4"/>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4"/>
        <w:jc w:val="both"/>
        <w:rPr>
          <w:color w:val="auto"/>
        </w:rPr>
      </w:pPr>
      <w:r>
        <w:rPr>
          <w:color w:val="auto"/>
        </w:rPr>
        <w:t>3 倍，从重处罚应当为违法所得的 4 倍或者 5 倍；</w:t>
      </w:r>
    </w:p>
    <w:p>
      <w:pPr>
        <w:pStyle w:val="4"/>
        <w:spacing w:before="192"/>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4" w:line="388"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before="5" w:line="388"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39" w:line="391" w:lineRule="auto"/>
        <w:ind w:left="591" w:right="7068" w:hanging="120"/>
        <w:jc w:val="left"/>
        <w:rPr>
          <w:b/>
          <w:color w:val="auto"/>
          <w:spacing w:val="-5"/>
          <w:sz w:val="24"/>
        </w:rPr>
      </w:pPr>
      <w:r>
        <w:rPr>
          <w:b/>
          <w:color w:val="auto"/>
          <w:sz w:val="24"/>
        </w:rPr>
        <w:t>（二）</w:t>
      </w:r>
      <w:r>
        <w:rPr>
          <w:b/>
          <w:color w:val="auto"/>
          <w:spacing w:val="-5"/>
          <w:sz w:val="24"/>
        </w:rPr>
        <w:t>裁量标准</w:t>
      </w:r>
    </w:p>
    <w:p>
      <w:pPr>
        <w:spacing w:before="39" w:line="391" w:lineRule="auto"/>
        <w:ind w:left="591" w:right="7068" w:hanging="120"/>
        <w:jc w:val="left"/>
        <w:rPr>
          <w:rFonts w:hint="default" w:eastAsia="宋体"/>
          <w:b/>
          <w:color w:val="auto"/>
          <w:spacing w:val="-5"/>
          <w:sz w:val="24"/>
          <w:lang w:val="en-US" w:eastAsia="zh-CN"/>
        </w:rPr>
      </w:pPr>
      <w:r>
        <w:rPr>
          <w:rFonts w:hint="eastAsia"/>
          <w:b/>
          <w:color w:val="auto"/>
          <w:spacing w:val="-5"/>
          <w:sz w:val="24"/>
          <w:lang w:val="en-US" w:eastAsia="zh-CN"/>
        </w:rPr>
        <w:t>1.【不予处罚</w:t>
      </w:r>
      <w:r>
        <w:rPr>
          <w:color w:val="auto"/>
          <w:sz w:val="24"/>
        </w:rPr>
        <w:t>】</w:t>
      </w:r>
    </w:p>
    <w:p>
      <w:pPr>
        <w:keepNext w:val="0"/>
        <w:keepLines w:val="0"/>
        <w:widowControl/>
        <w:suppressLineNumbers w:val="0"/>
        <w:ind w:firstLine="480" w:firstLineChars="200"/>
        <w:jc w:val="left"/>
        <w:rPr>
          <w:rFonts w:hint="eastAsia"/>
          <w:color w:val="auto"/>
          <w:sz w:val="24"/>
          <w:lang w:val="en-US" w:eastAsia="zh-CN"/>
        </w:rPr>
      </w:pP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spacing w:before="39" w:line="391" w:lineRule="auto"/>
        <w:ind w:left="591" w:right="7068" w:hanging="120"/>
        <w:jc w:val="left"/>
        <w:rPr>
          <w:color w:val="auto"/>
          <w:sz w:val="24"/>
        </w:rPr>
      </w:pPr>
      <w:r>
        <w:rPr>
          <w:rFonts w:hint="eastAsia"/>
          <w:color w:val="auto"/>
          <w:sz w:val="24"/>
          <w:lang w:val="en-US" w:eastAsia="zh-CN"/>
        </w:rPr>
        <w:t>2</w:t>
      </w:r>
      <w:r>
        <w:rPr>
          <w:color w:val="auto"/>
          <w:sz w:val="24"/>
        </w:rPr>
        <w:t>.【较轻】</w:t>
      </w:r>
    </w:p>
    <w:p>
      <w:pPr>
        <w:pStyle w:val="4"/>
        <w:spacing w:line="388" w:lineRule="auto"/>
        <w:ind w:left="591" w:right="5272"/>
        <w:rPr>
          <w:color w:val="auto"/>
        </w:rPr>
      </w:pPr>
      <w:r>
        <w:rPr>
          <w:color w:val="auto"/>
          <w:spacing w:val="-30"/>
        </w:rPr>
        <w:t xml:space="preserve">处 </w:t>
      </w:r>
      <w:r>
        <w:rPr>
          <w:color w:val="auto"/>
        </w:rPr>
        <w:t>5</w:t>
      </w:r>
      <w:r>
        <w:rPr>
          <w:color w:val="auto"/>
          <w:spacing w:val="-20"/>
        </w:rPr>
        <w:t xml:space="preserve"> 百元以上 </w:t>
      </w:r>
      <w:r>
        <w:rPr>
          <w:color w:val="auto"/>
        </w:rPr>
        <w:t>5</w:t>
      </w:r>
      <w:r>
        <w:rPr>
          <w:color w:val="auto"/>
          <w:spacing w:val="-10"/>
        </w:rPr>
        <w:t xml:space="preserve"> 千元以下罚款。</w:t>
      </w:r>
      <w:r>
        <w:rPr>
          <w:rFonts w:hint="eastAsia"/>
          <w:color w:val="auto"/>
          <w:lang w:val="en-US" w:eastAsia="zh-CN"/>
        </w:rPr>
        <w:t>3</w:t>
      </w:r>
      <w:r>
        <w:rPr>
          <w:color w:val="auto"/>
        </w:rPr>
        <w:t>.【一般】</w:t>
      </w:r>
    </w:p>
    <w:p>
      <w:pPr>
        <w:pStyle w:val="4"/>
        <w:spacing w:before="3" w:line="388" w:lineRule="auto"/>
        <w:ind w:left="591" w:right="5272"/>
        <w:rPr>
          <w:color w:val="auto"/>
        </w:rPr>
      </w:pPr>
      <w:r>
        <w:rPr>
          <w:color w:val="auto"/>
          <w:spacing w:val="-30"/>
        </w:rPr>
        <w:t xml:space="preserve">处 </w:t>
      </w:r>
      <w:r>
        <w:rPr>
          <w:color w:val="auto"/>
        </w:rPr>
        <w:t>5</w:t>
      </w:r>
      <w:r>
        <w:rPr>
          <w:color w:val="auto"/>
          <w:spacing w:val="-20"/>
        </w:rPr>
        <w:t xml:space="preserve"> 千元以上 </w:t>
      </w:r>
      <w:r>
        <w:rPr>
          <w:color w:val="auto"/>
        </w:rPr>
        <w:t>6</w:t>
      </w:r>
      <w:r>
        <w:rPr>
          <w:color w:val="auto"/>
          <w:spacing w:val="-10"/>
        </w:rPr>
        <w:t xml:space="preserve"> 千元以下罚款。</w:t>
      </w:r>
      <w:r>
        <w:rPr>
          <w:rFonts w:hint="eastAsia"/>
          <w:color w:val="auto"/>
          <w:lang w:val="en-US" w:eastAsia="zh-CN"/>
        </w:rPr>
        <w:t>4</w:t>
      </w:r>
      <w:r>
        <w:rPr>
          <w:color w:val="auto"/>
        </w:rPr>
        <w:t>.【较重】</w:t>
      </w:r>
    </w:p>
    <w:p>
      <w:pPr>
        <w:pStyle w:val="4"/>
        <w:spacing w:before="2" w:line="391" w:lineRule="auto"/>
        <w:ind w:left="591" w:right="5272"/>
        <w:rPr>
          <w:color w:val="auto"/>
        </w:rPr>
      </w:pPr>
      <w:r>
        <w:rPr>
          <w:color w:val="auto"/>
          <w:spacing w:val="-30"/>
        </w:rPr>
        <w:t xml:space="preserve">处 </w:t>
      </w:r>
      <w:r>
        <w:rPr>
          <w:color w:val="auto"/>
        </w:rPr>
        <w:t>6</w:t>
      </w:r>
      <w:r>
        <w:rPr>
          <w:color w:val="auto"/>
          <w:spacing w:val="-20"/>
        </w:rPr>
        <w:t xml:space="preserve"> 千元以上 </w:t>
      </w:r>
      <w:r>
        <w:rPr>
          <w:color w:val="auto"/>
        </w:rPr>
        <w:t>1</w:t>
      </w:r>
      <w:r>
        <w:rPr>
          <w:color w:val="auto"/>
          <w:spacing w:val="-10"/>
        </w:rPr>
        <w:t xml:space="preserve"> 万元以下罚款。</w:t>
      </w:r>
      <w:r>
        <w:rPr>
          <w:rFonts w:hint="eastAsia"/>
          <w:color w:val="auto"/>
          <w:lang w:val="en-US" w:eastAsia="zh-CN"/>
        </w:rPr>
        <w:t>5</w:t>
      </w:r>
      <w:r>
        <w:rPr>
          <w:color w:val="auto"/>
        </w:rPr>
        <w:t>.【严重】</w:t>
      </w:r>
    </w:p>
    <w:p>
      <w:pPr>
        <w:pStyle w:val="4"/>
        <w:spacing w:line="306" w:lineRule="exact"/>
        <w:ind w:left="591"/>
        <w:rPr>
          <w:color w:val="auto"/>
        </w:rPr>
      </w:pPr>
      <w:r>
        <w:rPr>
          <w:color w:val="auto"/>
          <w:spacing w:val="-30"/>
        </w:rPr>
        <w:t xml:space="preserve">处 </w:t>
      </w:r>
      <w:r>
        <w:rPr>
          <w:color w:val="auto"/>
        </w:rPr>
        <w:t>1</w:t>
      </w:r>
      <w:r>
        <w:rPr>
          <w:color w:val="auto"/>
          <w:spacing w:val="-10"/>
        </w:rPr>
        <w:t xml:space="preserve"> 万元罚款。</w:t>
      </w:r>
    </w:p>
    <w:p>
      <w:pPr>
        <w:pStyle w:val="2"/>
        <w:spacing w:before="192" w:line="391" w:lineRule="auto"/>
        <w:ind w:left="111" w:right="237" w:firstLine="480"/>
        <w:rPr>
          <w:color w:val="auto"/>
        </w:rPr>
      </w:pPr>
      <w:bookmarkStart w:id="1472" w:name="七百二十一、物业服务企业未按照规定公示物业共用部位、共用设施设备收益资金和车位场"/>
      <w:bookmarkEnd w:id="1472"/>
      <w:bookmarkStart w:id="1473" w:name="_bookmark735"/>
      <w:bookmarkEnd w:id="1473"/>
      <w:r>
        <w:rPr>
          <w:color w:val="auto"/>
          <w:spacing w:val="-7"/>
        </w:rPr>
        <w:t>七百二十一、物业服务企业未按照规定公示物业共用部位、共用设施设备收益资金和车位场地使用费</w:t>
      </w:r>
    </w:p>
    <w:p>
      <w:pPr>
        <w:spacing w:before="0" w:line="306" w:lineRule="exact"/>
        <w:ind w:left="591" w:right="0" w:firstLine="0"/>
        <w:jc w:val="left"/>
        <w:rPr>
          <w:b/>
          <w:color w:val="auto"/>
          <w:sz w:val="24"/>
        </w:rPr>
      </w:pPr>
      <w:r>
        <w:rPr>
          <w:b/>
          <w:color w:val="auto"/>
          <w:w w:val="95"/>
          <w:sz w:val="24"/>
        </w:rPr>
        <w:t>（一）处罚依据</w:t>
      </w:r>
    </w:p>
    <w:p>
      <w:pPr>
        <w:pStyle w:val="13"/>
        <w:numPr>
          <w:ilvl w:val="0"/>
          <w:numId w:val="1681"/>
        </w:numPr>
        <w:tabs>
          <w:tab w:val="left" w:pos="833"/>
        </w:tabs>
        <w:spacing w:before="192" w:after="0" w:line="391" w:lineRule="auto"/>
        <w:ind w:left="111" w:right="172" w:firstLine="480"/>
        <w:jc w:val="left"/>
        <w:rPr>
          <w:color w:val="auto"/>
          <w:sz w:val="24"/>
        </w:rPr>
      </w:pPr>
      <w:r>
        <w:rPr>
          <w:color w:val="auto"/>
          <w:sz w:val="24"/>
        </w:rPr>
        <w:t>《山东省物业服务收费管理办法》（2018</w:t>
      </w:r>
      <w:r>
        <w:rPr>
          <w:color w:val="auto"/>
          <w:spacing w:val="-40"/>
          <w:sz w:val="24"/>
        </w:rPr>
        <w:t xml:space="preserve"> 年 </w:t>
      </w:r>
      <w:r>
        <w:rPr>
          <w:color w:val="auto"/>
          <w:sz w:val="24"/>
        </w:rPr>
        <w:t>5</w:t>
      </w:r>
      <w:r>
        <w:rPr>
          <w:color w:val="auto"/>
          <w:spacing w:val="-13"/>
          <w:sz w:val="24"/>
        </w:rPr>
        <w:t xml:space="preserve"> 月山东省人民政府令第 </w:t>
      </w:r>
      <w:r>
        <w:rPr>
          <w:color w:val="auto"/>
          <w:sz w:val="24"/>
        </w:rPr>
        <w:t>317</w:t>
      </w:r>
      <w:r>
        <w:rPr>
          <w:color w:val="auto"/>
          <w:spacing w:val="-30"/>
          <w:sz w:val="24"/>
        </w:rPr>
        <w:t xml:space="preserve"> 号</w:t>
      </w:r>
      <w:r>
        <w:rPr>
          <w:color w:val="auto"/>
          <w:spacing w:val="-17"/>
          <w:sz w:val="24"/>
        </w:rPr>
        <w:t xml:space="preserve">） </w:t>
      </w:r>
      <w:r>
        <w:rPr>
          <w:color w:val="auto"/>
          <w:spacing w:val="-5"/>
          <w:sz w:val="24"/>
        </w:rPr>
        <w:t>第四十五条“违反本办法规定，物业服务企业未将前期物业服务合同或者调整后的物</w:t>
      </w:r>
      <w:r>
        <w:rPr>
          <w:color w:val="auto"/>
          <w:spacing w:val="-8"/>
          <w:sz w:val="24"/>
        </w:rPr>
        <w:t>业服务收费标准报送备案，</w:t>
      </w:r>
      <w:r>
        <w:rPr>
          <w:color w:val="auto"/>
          <w:spacing w:val="-8"/>
          <w:sz w:val="24"/>
        </w:rPr>
        <w:t>或者未按规定公示物业共用部位、共用设施设备收益资金</w:t>
      </w:r>
      <w:r>
        <w:rPr>
          <w:color w:val="auto"/>
          <w:spacing w:val="-11"/>
          <w:sz w:val="24"/>
        </w:rPr>
        <w:t>和车位场地使用费的</w:t>
      </w:r>
      <w:r>
        <w:rPr>
          <w:color w:val="auto"/>
          <w:spacing w:val="-11"/>
          <w:sz w:val="24"/>
        </w:rPr>
        <w:t>，由县级以上人民政府价格主管部门责令限期改正；逾期不改正的，处五千元以上一万元以下罚款。”</w:t>
      </w:r>
    </w:p>
    <w:p>
      <w:pPr>
        <w:pStyle w:val="13"/>
        <w:numPr>
          <w:ilvl w:val="0"/>
          <w:numId w:val="1681"/>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91"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81"/>
        </w:numPr>
        <w:tabs>
          <w:tab w:val="left" w:pos="833"/>
        </w:tabs>
        <w:spacing w:before="0" w:after="0" w:line="388" w:lineRule="auto"/>
        <w:ind w:left="111" w:right="266" w:firstLine="480"/>
        <w:jc w:val="left"/>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p>
    <w:p>
      <w:pPr>
        <w:pStyle w:val="4"/>
        <w:spacing w:before="39" w:line="391" w:lineRule="auto"/>
        <w:ind w:right="213"/>
        <w:rPr>
          <w:color w:val="auto"/>
        </w:rPr>
      </w:pPr>
      <w:r>
        <w:rPr>
          <w:color w:val="auto"/>
        </w:rPr>
        <w:t>定一定幅度范围的罚款处罚，价格主管部门应当按照以下标准确定从轻处罚、一般处罚、从重处罚的罚款幅度：</w:t>
      </w:r>
    </w:p>
    <w:p>
      <w:pPr>
        <w:pStyle w:val="4"/>
        <w:spacing w:line="306" w:lineRule="exact"/>
        <w:ind w:left="591"/>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4"/>
        <w:jc w:val="both"/>
        <w:rPr>
          <w:color w:val="auto"/>
        </w:rPr>
      </w:pPr>
      <w:r>
        <w:rPr>
          <w:color w:val="auto"/>
        </w:rPr>
        <w:t>3 倍，从重处罚应当为违法所得的 4 倍或者 5 倍；</w:t>
      </w:r>
    </w:p>
    <w:p>
      <w:pPr>
        <w:pStyle w:val="4"/>
        <w:spacing w:before="192"/>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4" w:line="388"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before="5" w:line="388"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6" w:line="388" w:lineRule="auto"/>
        <w:ind w:left="591" w:right="6948" w:firstLine="0"/>
        <w:jc w:val="left"/>
        <w:rPr>
          <w:b/>
          <w:color w:val="auto"/>
          <w:spacing w:val="-5"/>
          <w:sz w:val="24"/>
        </w:rPr>
      </w:pPr>
      <w:r>
        <w:rPr>
          <w:b/>
          <w:color w:val="auto"/>
          <w:sz w:val="24"/>
        </w:rPr>
        <w:t>（二）</w:t>
      </w:r>
      <w:r>
        <w:rPr>
          <w:b/>
          <w:color w:val="auto"/>
          <w:spacing w:val="-5"/>
          <w:sz w:val="24"/>
        </w:rPr>
        <w:t>裁量标准</w:t>
      </w:r>
    </w:p>
    <w:p>
      <w:pPr>
        <w:spacing w:before="6" w:line="388" w:lineRule="auto"/>
        <w:ind w:left="591" w:right="6948" w:firstLine="0"/>
        <w:jc w:val="left"/>
        <w:rPr>
          <w:rFonts w:hint="default" w:eastAsia="宋体"/>
          <w:b/>
          <w:color w:val="auto"/>
          <w:spacing w:val="-5"/>
          <w:sz w:val="24"/>
          <w:lang w:val="en-US" w:eastAsia="zh-CN"/>
        </w:rPr>
      </w:pPr>
      <w:r>
        <w:rPr>
          <w:rFonts w:hint="eastAsia"/>
          <w:b/>
          <w:color w:val="auto"/>
          <w:spacing w:val="-5"/>
          <w:sz w:val="24"/>
          <w:lang w:val="en-US" w:eastAsia="zh-CN"/>
        </w:rPr>
        <w:t>1.【不予处罚】</w:t>
      </w:r>
    </w:p>
    <w:p>
      <w:pPr>
        <w:keepNext w:val="0"/>
        <w:keepLines w:val="0"/>
        <w:widowControl/>
        <w:suppressLineNumbers w:val="0"/>
        <w:ind w:firstLine="720" w:firstLineChars="300"/>
        <w:jc w:val="left"/>
        <w:rPr>
          <w:color w:val="auto"/>
          <w:sz w:val="24"/>
        </w:rPr>
      </w:pP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spacing w:before="6" w:line="388" w:lineRule="auto"/>
        <w:ind w:left="591" w:right="6948" w:firstLine="0"/>
        <w:jc w:val="left"/>
        <w:rPr>
          <w:color w:val="auto"/>
          <w:sz w:val="24"/>
        </w:rPr>
      </w:pPr>
      <w:r>
        <w:rPr>
          <w:rFonts w:hint="eastAsia"/>
          <w:color w:val="auto"/>
          <w:sz w:val="24"/>
          <w:lang w:val="en-US" w:eastAsia="zh-CN"/>
        </w:rPr>
        <w:t>2</w:t>
      </w:r>
      <w:r>
        <w:rPr>
          <w:color w:val="auto"/>
          <w:sz w:val="24"/>
        </w:rPr>
        <w:t>.【较轻】</w:t>
      </w:r>
    </w:p>
    <w:p>
      <w:pPr>
        <w:pStyle w:val="4"/>
        <w:spacing w:before="2" w:line="391" w:lineRule="auto"/>
        <w:ind w:left="591" w:right="5272"/>
        <w:rPr>
          <w:color w:val="auto"/>
        </w:rPr>
      </w:pPr>
      <w:r>
        <w:rPr>
          <w:color w:val="auto"/>
          <w:spacing w:val="-30"/>
        </w:rPr>
        <w:t xml:space="preserve">处 </w:t>
      </w:r>
      <w:r>
        <w:rPr>
          <w:color w:val="auto"/>
        </w:rPr>
        <w:t>5</w:t>
      </w:r>
      <w:r>
        <w:rPr>
          <w:color w:val="auto"/>
          <w:spacing w:val="-20"/>
        </w:rPr>
        <w:t xml:space="preserve"> 百元以上 </w:t>
      </w:r>
      <w:r>
        <w:rPr>
          <w:color w:val="auto"/>
        </w:rPr>
        <w:t>5</w:t>
      </w:r>
      <w:r>
        <w:rPr>
          <w:color w:val="auto"/>
          <w:spacing w:val="-10"/>
        </w:rPr>
        <w:t xml:space="preserve"> 千元以下罚款。</w:t>
      </w:r>
      <w:r>
        <w:rPr>
          <w:rFonts w:hint="eastAsia"/>
          <w:color w:val="auto"/>
          <w:lang w:val="en-US" w:eastAsia="zh-CN"/>
        </w:rPr>
        <w:t>3</w:t>
      </w:r>
      <w:r>
        <w:rPr>
          <w:color w:val="auto"/>
        </w:rPr>
        <w:t>.【一般】</w:t>
      </w:r>
    </w:p>
    <w:p>
      <w:pPr>
        <w:pStyle w:val="4"/>
        <w:spacing w:line="388" w:lineRule="auto"/>
        <w:ind w:left="591" w:right="5272"/>
        <w:rPr>
          <w:color w:val="auto"/>
        </w:rPr>
      </w:pPr>
      <w:r>
        <w:rPr>
          <w:color w:val="auto"/>
          <w:spacing w:val="-30"/>
        </w:rPr>
        <w:t xml:space="preserve">处 </w:t>
      </w:r>
      <w:r>
        <w:rPr>
          <w:color w:val="auto"/>
        </w:rPr>
        <w:t>5</w:t>
      </w:r>
      <w:r>
        <w:rPr>
          <w:color w:val="auto"/>
          <w:spacing w:val="-20"/>
        </w:rPr>
        <w:t xml:space="preserve"> 千元以上 </w:t>
      </w:r>
      <w:r>
        <w:rPr>
          <w:color w:val="auto"/>
        </w:rPr>
        <w:t>6</w:t>
      </w:r>
      <w:r>
        <w:rPr>
          <w:color w:val="auto"/>
          <w:spacing w:val="-10"/>
        </w:rPr>
        <w:t xml:space="preserve"> 千元以下罚款。</w:t>
      </w:r>
      <w:r>
        <w:rPr>
          <w:rFonts w:hint="eastAsia"/>
          <w:color w:val="auto"/>
          <w:lang w:val="en-US" w:eastAsia="zh-CN"/>
        </w:rPr>
        <w:t>4</w:t>
      </w:r>
      <w:r>
        <w:rPr>
          <w:color w:val="auto"/>
        </w:rPr>
        <w:t>.【较重】</w:t>
      </w:r>
    </w:p>
    <w:p>
      <w:pPr>
        <w:pStyle w:val="4"/>
        <w:spacing w:before="3" w:line="388" w:lineRule="auto"/>
        <w:ind w:left="591" w:right="5272"/>
        <w:rPr>
          <w:color w:val="auto"/>
        </w:rPr>
      </w:pPr>
      <w:r>
        <w:rPr>
          <w:color w:val="auto"/>
          <w:spacing w:val="-30"/>
        </w:rPr>
        <w:t xml:space="preserve">处 </w:t>
      </w:r>
      <w:r>
        <w:rPr>
          <w:color w:val="auto"/>
        </w:rPr>
        <w:t>6</w:t>
      </w:r>
      <w:r>
        <w:rPr>
          <w:color w:val="auto"/>
          <w:spacing w:val="-20"/>
        </w:rPr>
        <w:t xml:space="preserve"> 千元以上 </w:t>
      </w:r>
      <w:r>
        <w:rPr>
          <w:color w:val="auto"/>
        </w:rPr>
        <w:t>1</w:t>
      </w:r>
      <w:r>
        <w:rPr>
          <w:color w:val="auto"/>
          <w:spacing w:val="-10"/>
        </w:rPr>
        <w:t xml:space="preserve"> 万元以下罚款。</w:t>
      </w:r>
      <w:r>
        <w:rPr>
          <w:rFonts w:hint="eastAsia"/>
          <w:color w:val="auto"/>
          <w:lang w:val="en-US" w:eastAsia="zh-CN"/>
        </w:rPr>
        <w:t>5</w:t>
      </w:r>
      <w:r>
        <w:rPr>
          <w:color w:val="auto"/>
        </w:rPr>
        <w:t>.【严重】</w:t>
      </w:r>
    </w:p>
    <w:p>
      <w:pPr>
        <w:pStyle w:val="4"/>
        <w:spacing w:before="2"/>
        <w:ind w:left="591"/>
        <w:rPr>
          <w:color w:val="auto"/>
        </w:rPr>
      </w:pPr>
      <w:r>
        <w:rPr>
          <w:color w:val="auto"/>
        </w:rPr>
        <w:t>处 1 万元罚款。</w:t>
      </w:r>
    </w:p>
    <w:p>
      <w:pPr>
        <w:pStyle w:val="2"/>
        <w:spacing w:before="194" w:line="388" w:lineRule="auto"/>
        <w:ind w:left="111" w:right="193" w:firstLine="480"/>
        <w:rPr>
          <w:color w:val="auto"/>
        </w:rPr>
      </w:pPr>
      <w:bookmarkStart w:id="1474" w:name="_bookmark736"/>
      <w:bookmarkEnd w:id="1474"/>
      <w:bookmarkStart w:id="1475" w:name="七百二十二、物业服务企业未按照规定使用、管理物业共用部位、共用设施设备收益资金和"/>
      <w:bookmarkEnd w:id="1475"/>
      <w:r>
        <w:rPr>
          <w:color w:val="auto"/>
        </w:rPr>
        <w:t>七百二十二、物业服务企业未按照规定使用、管理物业共用部位、共用设施设备收益资金和车位场地使用费</w:t>
      </w:r>
    </w:p>
    <w:p>
      <w:pPr>
        <w:spacing w:before="2"/>
        <w:ind w:left="591" w:right="0" w:firstLine="0"/>
        <w:jc w:val="left"/>
        <w:rPr>
          <w:b/>
          <w:color w:val="auto"/>
          <w:sz w:val="24"/>
        </w:rPr>
      </w:pPr>
      <w:r>
        <w:rPr>
          <w:b/>
          <w:color w:val="auto"/>
          <w:sz w:val="24"/>
        </w:rPr>
        <w:t>（一）处罚依据</w:t>
      </w:r>
    </w:p>
    <w:p>
      <w:pPr>
        <w:pStyle w:val="13"/>
        <w:numPr>
          <w:ilvl w:val="0"/>
          <w:numId w:val="1682"/>
        </w:numPr>
        <w:tabs>
          <w:tab w:val="left" w:pos="833"/>
        </w:tabs>
        <w:spacing w:before="194" w:after="0" w:line="388" w:lineRule="auto"/>
        <w:ind w:left="111" w:right="172" w:firstLine="480"/>
        <w:jc w:val="left"/>
        <w:rPr>
          <w:color w:val="auto"/>
        </w:rPr>
      </w:pPr>
      <w:r>
        <w:rPr>
          <w:color w:val="auto"/>
          <w:sz w:val="24"/>
        </w:rPr>
        <w:t>《山东省物业服务收费管理办法》（2018</w:t>
      </w:r>
      <w:r>
        <w:rPr>
          <w:color w:val="auto"/>
          <w:spacing w:val="-40"/>
          <w:sz w:val="24"/>
        </w:rPr>
        <w:t xml:space="preserve"> 年 </w:t>
      </w:r>
      <w:r>
        <w:rPr>
          <w:color w:val="auto"/>
          <w:sz w:val="24"/>
        </w:rPr>
        <w:t>5</w:t>
      </w:r>
      <w:r>
        <w:rPr>
          <w:color w:val="auto"/>
          <w:spacing w:val="-13"/>
          <w:sz w:val="24"/>
        </w:rPr>
        <w:t xml:space="preserve"> 月山东省人民政府令第 </w:t>
      </w:r>
      <w:r>
        <w:rPr>
          <w:color w:val="auto"/>
          <w:sz w:val="24"/>
        </w:rPr>
        <w:t>317</w:t>
      </w:r>
      <w:r>
        <w:rPr>
          <w:color w:val="auto"/>
          <w:spacing w:val="-30"/>
          <w:sz w:val="24"/>
        </w:rPr>
        <w:t xml:space="preserve"> 号</w:t>
      </w:r>
      <w:r>
        <w:rPr>
          <w:color w:val="auto"/>
          <w:spacing w:val="-17"/>
          <w:sz w:val="24"/>
        </w:rPr>
        <w:t xml:space="preserve">） </w:t>
      </w:r>
      <w:r>
        <w:rPr>
          <w:color w:val="auto"/>
          <w:spacing w:val="-5"/>
          <w:sz w:val="24"/>
        </w:rPr>
        <w:t>第四十七条：“违反本办法规定，物业服务企业未按照规定程序调整普通住宅前期物</w:t>
      </w:r>
      <w:r>
        <w:rPr>
          <w:color w:val="auto"/>
          <w:spacing w:val="-8"/>
          <w:sz w:val="24"/>
        </w:rPr>
        <w:t>业公共服务收费标准，或者未按照规定使用、管理物业共用部位、共用设施设备收益</w:t>
      </w:r>
      <w:r>
        <w:rPr>
          <w:color w:val="auto"/>
        </w:rPr>
        <w:t>资金和车位场地使用费的，由县级以上人民政府价格主管部门责令改正，处五万元以上十万元以下罚款；构成犯罪的，依法追究刑事责任。”</w:t>
      </w:r>
    </w:p>
    <w:p>
      <w:pPr>
        <w:pStyle w:val="13"/>
        <w:numPr>
          <w:ilvl w:val="0"/>
          <w:numId w:val="1682"/>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91"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82"/>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jc w:val="both"/>
        <w:rPr>
          <w:color w:val="auto"/>
        </w:rPr>
      </w:pPr>
      <w:r>
        <w:rPr>
          <w:color w:val="auto"/>
        </w:rPr>
        <w:t>3 倍，从重处罚应当为违法所得的 4 倍或者 5 倍；</w:t>
      </w:r>
    </w:p>
    <w:p>
      <w:pPr>
        <w:pStyle w:val="4"/>
        <w:spacing w:before="191"/>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4"/>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before="39" w:line="391" w:lineRule="auto"/>
        <w:ind w:left="591" w:right="5272"/>
        <w:rPr>
          <w:color w:val="auto"/>
        </w:rPr>
      </w:pPr>
      <w:r>
        <w:rPr>
          <w:color w:val="auto"/>
          <w:spacing w:val="-30"/>
        </w:rPr>
        <w:t xml:space="preserve">处 </w:t>
      </w:r>
      <w:r>
        <w:rPr>
          <w:color w:val="auto"/>
        </w:rPr>
        <w:t>5</w:t>
      </w:r>
      <w:r>
        <w:rPr>
          <w:color w:val="auto"/>
          <w:spacing w:val="-20"/>
        </w:rPr>
        <w:t xml:space="preserve"> 千元以上 </w:t>
      </w:r>
      <w:r>
        <w:rPr>
          <w:color w:val="auto"/>
        </w:rPr>
        <w:t>5</w:t>
      </w:r>
      <w:r>
        <w:rPr>
          <w:color w:val="auto"/>
          <w:spacing w:val="-10"/>
        </w:rPr>
        <w:t xml:space="preserve"> 万元以下罚款。</w:t>
      </w:r>
      <w:r>
        <w:rPr>
          <w:color w:val="auto"/>
        </w:rPr>
        <w:t>2.【一般】</w:t>
      </w:r>
    </w:p>
    <w:p>
      <w:pPr>
        <w:pStyle w:val="4"/>
        <w:spacing w:line="388" w:lineRule="auto"/>
        <w:ind w:left="591" w:right="5272"/>
        <w:rPr>
          <w:color w:val="auto"/>
        </w:rPr>
      </w:pPr>
      <w:r>
        <w:rPr>
          <w:color w:val="auto"/>
          <w:spacing w:val="-30"/>
        </w:rPr>
        <w:t xml:space="preserve">处 </w:t>
      </w:r>
      <w:r>
        <w:rPr>
          <w:color w:val="auto"/>
        </w:rPr>
        <w:t>5</w:t>
      </w:r>
      <w:r>
        <w:rPr>
          <w:color w:val="auto"/>
          <w:spacing w:val="-20"/>
        </w:rPr>
        <w:t xml:space="preserve"> 万元以上 </w:t>
      </w:r>
      <w:r>
        <w:rPr>
          <w:color w:val="auto"/>
        </w:rPr>
        <w:t>6</w:t>
      </w:r>
      <w:r>
        <w:rPr>
          <w:color w:val="auto"/>
          <w:spacing w:val="-10"/>
        </w:rPr>
        <w:t xml:space="preserve"> 万元以下罚款。</w:t>
      </w:r>
      <w:r>
        <w:rPr>
          <w:color w:val="auto"/>
        </w:rPr>
        <w:t>3.【较重】</w:t>
      </w:r>
    </w:p>
    <w:p>
      <w:pPr>
        <w:pStyle w:val="4"/>
        <w:spacing w:before="3" w:line="388" w:lineRule="auto"/>
        <w:ind w:left="591" w:right="5152"/>
        <w:rPr>
          <w:color w:val="auto"/>
        </w:rPr>
      </w:pPr>
      <w:r>
        <w:rPr>
          <w:color w:val="auto"/>
          <w:spacing w:val="-30"/>
        </w:rPr>
        <w:t xml:space="preserve">处 </w:t>
      </w:r>
      <w:r>
        <w:rPr>
          <w:color w:val="auto"/>
        </w:rPr>
        <w:t>6</w:t>
      </w:r>
      <w:r>
        <w:rPr>
          <w:color w:val="auto"/>
          <w:spacing w:val="-20"/>
        </w:rPr>
        <w:t xml:space="preserve"> 万元以上 </w:t>
      </w:r>
      <w:r>
        <w:rPr>
          <w:color w:val="auto"/>
        </w:rPr>
        <w:t>10</w:t>
      </w:r>
      <w:r>
        <w:rPr>
          <w:color w:val="auto"/>
          <w:spacing w:val="-10"/>
        </w:rPr>
        <w:t xml:space="preserve"> 万元以下罚款。</w:t>
      </w:r>
      <w:r>
        <w:rPr>
          <w:color w:val="auto"/>
        </w:rPr>
        <w:t>4.【严重】</w:t>
      </w:r>
    </w:p>
    <w:p>
      <w:pPr>
        <w:pStyle w:val="4"/>
        <w:spacing w:before="2"/>
        <w:ind w:left="591"/>
        <w:rPr>
          <w:color w:val="auto"/>
        </w:rPr>
      </w:pPr>
      <w:r>
        <w:rPr>
          <w:color w:val="auto"/>
        </w:rPr>
        <w:t>处 10 万元罚款。</w:t>
      </w:r>
    </w:p>
    <w:p>
      <w:pPr>
        <w:pStyle w:val="2"/>
        <w:spacing w:before="195" w:line="388" w:lineRule="auto"/>
        <w:ind w:left="111" w:right="237" w:firstLine="480"/>
        <w:rPr>
          <w:color w:val="auto"/>
        </w:rPr>
      </w:pPr>
      <w:bookmarkStart w:id="1476" w:name="七百二十三、物业服务企业未按照规定程序调整普通住宅前期物业公共服务收费标准"/>
      <w:bookmarkEnd w:id="1476"/>
      <w:bookmarkStart w:id="1477" w:name="_bookmark737"/>
      <w:bookmarkEnd w:id="1477"/>
      <w:r>
        <w:rPr>
          <w:color w:val="auto"/>
          <w:spacing w:val="-9"/>
        </w:rPr>
        <w:t>七百二十三、物业服务企业未按照规定程序调整普通住宅前期物业公共服务收费标准</w:t>
      </w:r>
    </w:p>
    <w:p>
      <w:pPr>
        <w:spacing w:before="2"/>
        <w:ind w:left="591" w:right="0" w:firstLine="0"/>
        <w:jc w:val="left"/>
        <w:rPr>
          <w:b/>
          <w:color w:val="auto"/>
          <w:sz w:val="24"/>
        </w:rPr>
      </w:pPr>
      <w:r>
        <w:rPr>
          <w:b/>
          <w:color w:val="auto"/>
          <w:sz w:val="24"/>
        </w:rPr>
        <w:t>（一）处罚依据</w:t>
      </w:r>
    </w:p>
    <w:p>
      <w:pPr>
        <w:pStyle w:val="13"/>
        <w:numPr>
          <w:ilvl w:val="0"/>
          <w:numId w:val="1683"/>
        </w:numPr>
        <w:tabs>
          <w:tab w:val="left" w:pos="833"/>
        </w:tabs>
        <w:spacing w:before="194" w:after="0" w:line="391" w:lineRule="auto"/>
        <w:ind w:left="111" w:right="172" w:firstLine="480"/>
        <w:jc w:val="left"/>
        <w:rPr>
          <w:color w:val="auto"/>
          <w:sz w:val="24"/>
        </w:rPr>
      </w:pPr>
      <w:r>
        <w:rPr>
          <w:color w:val="auto"/>
          <w:sz w:val="24"/>
        </w:rPr>
        <w:t>《山东省物业服务收费管理办法》（2018</w:t>
      </w:r>
      <w:r>
        <w:rPr>
          <w:color w:val="auto"/>
          <w:spacing w:val="-40"/>
          <w:sz w:val="24"/>
        </w:rPr>
        <w:t xml:space="preserve"> 年 </w:t>
      </w:r>
      <w:r>
        <w:rPr>
          <w:color w:val="auto"/>
          <w:sz w:val="24"/>
        </w:rPr>
        <w:t>5</w:t>
      </w:r>
      <w:r>
        <w:rPr>
          <w:color w:val="auto"/>
          <w:spacing w:val="-13"/>
          <w:sz w:val="24"/>
        </w:rPr>
        <w:t xml:space="preserve"> 月山东省人民政府令第 </w:t>
      </w:r>
      <w:r>
        <w:rPr>
          <w:color w:val="auto"/>
          <w:sz w:val="24"/>
        </w:rPr>
        <w:t>317</w:t>
      </w:r>
      <w:r>
        <w:rPr>
          <w:color w:val="auto"/>
          <w:spacing w:val="-30"/>
          <w:sz w:val="24"/>
        </w:rPr>
        <w:t xml:space="preserve"> 号</w:t>
      </w:r>
      <w:r>
        <w:rPr>
          <w:color w:val="auto"/>
          <w:spacing w:val="-17"/>
          <w:sz w:val="24"/>
        </w:rPr>
        <w:t xml:space="preserve">） </w:t>
      </w:r>
      <w:r>
        <w:rPr>
          <w:color w:val="auto"/>
          <w:spacing w:val="-5"/>
          <w:sz w:val="24"/>
        </w:rPr>
        <w:t>第四十七条：“违反本办法规定，物业服务企业未按照规定程序调整普通住宅前期物</w:t>
      </w:r>
      <w:r>
        <w:rPr>
          <w:color w:val="auto"/>
          <w:spacing w:val="-8"/>
          <w:sz w:val="24"/>
        </w:rPr>
        <w:t>业公共服务收费标准，或者未按照规定使用、管理物业共用部位、共用设施设备收益</w:t>
      </w:r>
      <w:r>
        <w:rPr>
          <w:color w:val="auto"/>
          <w:spacing w:val="-10"/>
          <w:sz w:val="24"/>
        </w:rPr>
        <w:t>资金和车位场地使用费的，由县级以上人民政府价格主管部门责令改正，处五万元以上十万元以下罚款；构成犯罪的，依法追究刑事责任。”</w:t>
      </w:r>
    </w:p>
    <w:p>
      <w:pPr>
        <w:pStyle w:val="13"/>
        <w:numPr>
          <w:ilvl w:val="0"/>
          <w:numId w:val="1683"/>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83"/>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before="39"/>
        <w:ind w:left="0" w:right="268"/>
        <w:jc w:val="right"/>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5"/>
        <w:ind w:left="0" w:right="268"/>
        <w:jc w:val="right"/>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1"/>
        <w:jc w:val="both"/>
        <w:rPr>
          <w:color w:val="auto"/>
        </w:rPr>
      </w:pPr>
      <w:r>
        <w:rPr>
          <w:color w:val="auto"/>
        </w:rPr>
        <w:t>3 倍，从重处罚应当为违法所得的 4 倍或者 5 倍；</w:t>
      </w:r>
    </w:p>
    <w:p>
      <w:pPr>
        <w:pStyle w:val="4"/>
        <w:spacing w:before="192"/>
        <w:ind w:left="0" w:right="268"/>
        <w:jc w:val="right"/>
        <w:rPr>
          <w:color w:val="auto"/>
        </w:rPr>
      </w:pPr>
      <w:r>
        <w:rPr>
          <w:color w:val="auto"/>
        </w:rPr>
        <w:t>（二）《价格法》规定处一定数额的 1 倍以上 3 倍以下罚款的，从轻处罚应当为</w:t>
      </w:r>
    </w:p>
    <w:p>
      <w:pPr>
        <w:pStyle w:val="4"/>
        <w:spacing w:before="194"/>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88"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5272"/>
        <w:rPr>
          <w:color w:val="auto"/>
        </w:rPr>
      </w:pPr>
      <w:r>
        <w:rPr>
          <w:color w:val="auto"/>
          <w:spacing w:val="-30"/>
        </w:rPr>
        <w:t xml:space="preserve">处 </w:t>
      </w:r>
      <w:r>
        <w:rPr>
          <w:color w:val="auto"/>
        </w:rPr>
        <w:t>5</w:t>
      </w:r>
      <w:r>
        <w:rPr>
          <w:color w:val="auto"/>
          <w:spacing w:val="-20"/>
        </w:rPr>
        <w:t xml:space="preserve"> 千元以上 </w:t>
      </w:r>
      <w:r>
        <w:rPr>
          <w:color w:val="auto"/>
        </w:rPr>
        <w:t>5</w:t>
      </w:r>
      <w:r>
        <w:rPr>
          <w:color w:val="auto"/>
          <w:spacing w:val="-10"/>
        </w:rPr>
        <w:t xml:space="preserve"> 万元以下罚款。</w:t>
      </w:r>
      <w:r>
        <w:rPr>
          <w:color w:val="auto"/>
        </w:rPr>
        <w:t>2.【一般】</w:t>
      </w:r>
    </w:p>
    <w:p>
      <w:pPr>
        <w:pStyle w:val="4"/>
        <w:spacing w:line="391" w:lineRule="auto"/>
        <w:ind w:left="591" w:right="5272"/>
        <w:rPr>
          <w:color w:val="auto"/>
        </w:rPr>
      </w:pPr>
      <w:r>
        <w:rPr>
          <w:color w:val="auto"/>
          <w:spacing w:val="-30"/>
        </w:rPr>
        <w:t xml:space="preserve">处 </w:t>
      </w:r>
      <w:r>
        <w:rPr>
          <w:color w:val="auto"/>
        </w:rPr>
        <w:t>5</w:t>
      </w:r>
      <w:r>
        <w:rPr>
          <w:color w:val="auto"/>
          <w:spacing w:val="-20"/>
        </w:rPr>
        <w:t xml:space="preserve"> 万元以上 </w:t>
      </w:r>
      <w:r>
        <w:rPr>
          <w:color w:val="auto"/>
        </w:rPr>
        <w:t>6</w:t>
      </w:r>
      <w:r>
        <w:rPr>
          <w:color w:val="auto"/>
          <w:spacing w:val="-10"/>
        </w:rPr>
        <w:t xml:space="preserve"> 万元以下罚款。</w:t>
      </w:r>
      <w:r>
        <w:rPr>
          <w:color w:val="auto"/>
        </w:rPr>
        <w:t>3.【较重】</w:t>
      </w:r>
    </w:p>
    <w:p>
      <w:pPr>
        <w:pStyle w:val="4"/>
        <w:spacing w:line="388" w:lineRule="auto"/>
        <w:ind w:left="591" w:right="5152"/>
        <w:rPr>
          <w:color w:val="auto"/>
        </w:rPr>
      </w:pPr>
      <w:r>
        <w:rPr>
          <w:color w:val="auto"/>
          <w:spacing w:val="-30"/>
        </w:rPr>
        <w:t xml:space="preserve">处 </w:t>
      </w:r>
      <w:r>
        <w:rPr>
          <w:color w:val="auto"/>
        </w:rPr>
        <w:t>6</w:t>
      </w:r>
      <w:r>
        <w:rPr>
          <w:color w:val="auto"/>
          <w:spacing w:val="-20"/>
        </w:rPr>
        <w:t xml:space="preserve"> 万元以上 </w:t>
      </w:r>
      <w:r>
        <w:rPr>
          <w:color w:val="auto"/>
        </w:rPr>
        <w:t>10</w:t>
      </w:r>
      <w:r>
        <w:rPr>
          <w:color w:val="auto"/>
          <w:spacing w:val="-10"/>
        </w:rPr>
        <w:t xml:space="preserve"> 万元以下罚款。</w:t>
      </w:r>
      <w:r>
        <w:rPr>
          <w:color w:val="auto"/>
        </w:rPr>
        <w:t>4.【严重】</w:t>
      </w:r>
    </w:p>
    <w:p>
      <w:pPr>
        <w:pStyle w:val="4"/>
        <w:spacing w:before="2"/>
        <w:ind w:left="591"/>
        <w:rPr>
          <w:color w:val="auto"/>
        </w:rPr>
      </w:pPr>
      <w:r>
        <w:rPr>
          <w:color w:val="auto"/>
        </w:rPr>
        <w:t>处 10 万元罚款。</w:t>
      </w:r>
    </w:p>
    <w:p>
      <w:pPr>
        <w:pStyle w:val="2"/>
        <w:spacing w:before="192" w:line="388" w:lineRule="auto"/>
        <w:ind w:left="111" w:right="237" w:firstLine="480"/>
        <w:rPr>
          <w:color w:val="auto"/>
        </w:rPr>
      </w:pPr>
      <w:bookmarkStart w:id="1478" w:name="_bookmark738"/>
      <w:bookmarkEnd w:id="1478"/>
      <w:bookmarkStart w:id="1479" w:name="七百二十四、建设单位未按照规定将物业公共服务费减免差额部分补偿给物业服务企业"/>
      <w:bookmarkEnd w:id="1479"/>
      <w:r>
        <w:rPr>
          <w:color w:val="auto"/>
          <w:spacing w:val="-9"/>
        </w:rPr>
        <w:t>七百二十四、建设单位未按照规定将物业公共服务费减免差额部分补偿给物业服务企业</w:t>
      </w:r>
    </w:p>
    <w:p>
      <w:pPr>
        <w:spacing w:before="4"/>
        <w:ind w:left="591" w:right="0" w:firstLine="0"/>
        <w:jc w:val="left"/>
        <w:rPr>
          <w:b/>
          <w:color w:val="auto"/>
          <w:sz w:val="24"/>
        </w:rPr>
      </w:pPr>
      <w:r>
        <w:rPr>
          <w:b/>
          <w:color w:val="auto"/>
          <w:sz w:val="24"/>
        </w:rPr>
        <w:t>（一）处罚依据</w:t>
      </w:r>
    </w:p>
    <w:p>
      <w:pPr>
        <w:pStyle w:val="13"/>
        <w:numPr>
          <w:ilvl w:val="0"/>
          <w:numId w:val="1684"/>
        </w:numPr>
        <w:tabs>
          <w:tab w:val="left" w:pos="833"/>
        </w:tabs>
        <w:spacing w:before="192" w:after="0" w:line="391" w:lineRule="auto"/>
        <w:ind w:left="111" w:right="172" w:firstLine="480"/>
        <w:jc w:val="left"/>
        <w:rPr>
          <w:color w:val="auto"/>
          <w:sz w:val="24"/>
        </w:rPr>
      </w:pPr>
      <w:r>
        <w:rPr>
          <w:color w:val="auto"/>
          <w:sz w:val="24"/>
        </w:rPr>
        <w:t>《山东省物业服务收费管理办法》（2018</w:t>
      </w:r>
      <w:r>
        <w:rPr>
          <w:color w:val="auto"/>
          <w:spacing w:val="-40"/>
          <w:sz w:val="24"/>
        </w:rPr>
        <w:t xml:space="preserve"> 年 </w:t>
      </w:r>
      <w:r>
        <w:rPr>
          <w:color w:val="auto"/>
          <w:sz w:val="24"/>
        </w:rPr>
        <w:t>5</w:t>
      </w:r>
      <w:r>
        <w:rPr>
          <w:color w:val="auto"/>
          <w:spacing w:val="-13"/>
          <w:sz w:val="24"/>
        </w:rPr>
        <w:t xml:space="preserve"> 月山东省人民政府令第 </w:t>
      </w:r>
      <w:r>
        <w:rPr>
          <w:color w:val="auto"/>
          <w:sz w:val="24"/>
        </w:rPr>
        <w:t>317</w:t>
      </w:r>
      <w:r>
        <w:rPr>
          <w:color w:val="auto"/>
          <w:spacing w:val="-30"/>
          <w:sz w:val="24"/>
        </w:rPr>
        <w:t xml:space="preserve"> 号</w:t>
      </w:r>
      <w:r>
        <w:rPr>
          <w:color w:val="auto"/>
          <w:spacing w:val="-17"/>
          <w:sz w:val="24"/>
        </w:rPr>
        <w:t xml:space="preserve">） </w:t>
      </w:r>
      <w:r>
        <w:rPr>
          <w:color w:val="auto"/>
          <w:spacing w:val="-6"/>
          <w:sz w:val="24"/>
        </w:rPr>
        <w:t>第四十六条：“违反本办法规定，因建设单位分期开发、分批交付使用等原因造成配</w:t>
      </w:r>
      <w:r>
        <w:rPr>
          <w:color w:val="auto"/>
          <w:spacing w:val="-9"/>
          <w:sz w:val="24"/>
        </w:rPr>
        <w:t>套设施设备、道路通行、绿化环境等未能达到房屋买卖合同约定标准，致使物业公共服务费减免，建设单位未按照规定将差额部分补偿给物业服务企业的，由县级以上人民政府价格主管部门责令改正，处二万元以上五万元以下罚款。”</w:t>
      </w:r>
    </w:p>
    <w:p>
      <w:pPr>
        <w:pStyle w:val="13"/>
        <w:numPr>
          <w:ilvl w:val="0"/>
          <w:numId w:val="1684"/>
        </w:numPr>
        <w:tabs>
          <w:tab w:val="left" w:pos="833"/>
        </w:tabs>
        <w:spacing w:before="39"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before="3"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84"/>
        </w:numPr>
        <w:tabs>
          <w:tab w:val="left" w:pos="833"/>
        </w:tabs>
        <w:spacing w:before="2"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2"/>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1"/>
        <w:jc w:val="both"/>
        <w:rPr>
          <w:color w:val="auto"/>
        </w:rPr>
      </w:pPr>
      <w:r>
        <w:rPr>
          <w:color w:val="auto"/>
        </w:rPr>
        <w:t>3 倍，从重处罚应当为违法所得的 4 倍或者 5 倍；</w:t>
      </w:r>
    </w:p>
    <w:p>
      <w:pPr>
        <w:pStyle w:val="4"/>
        <w:spacing w:before="194"/>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2"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5272"/>
        <w:rPr>
          <w:color w:val="auto"/>
        </w:rPr>
      </w:pPr>
      <w:r>
        <w:rPr>
          <w:color w:val="auto"/>
          <w:spacing w:val="-30"/>
        </w:rPr>
        <w:t xml:space="preserve">处 </w:t>
      </w:r>
      <w:r>
        <w:rPr>
          <w:color w:val="auto"/>
        </w:rPr>
        <w:t>2</w:t>
      </w:r>
      <w:r>
        <w:rPr>
          <w:color w:val="auto"/>
          <w:spacing w:val="-20"/>
        </w:rPr>
        <w:t xml:space="preserve"> 千元以上 </w:t>
      </w:r>
      <w:r>
        <w:rPr>
          <w:color w:val="auto"/>
        </w:rPr>
        <w:t>2</w:t>
      </w:r>
      <w:r>
        <w:rPr>
          <w:color w:val="auto"/>
          <w:spacing w:val="-10"/>
        </w:rPr>
        <w:t xml:space="preserve"> 万元以下罚款。</w:t>
      </w:r>
      <w:r>
        <w:rPr>
          <w:color w:val="auto"/>
        </w:rPr>
        <w:t>2.【一般】</w:t>
      </w:r>
    </w:p>
    <w:p>
      <w:pPr>
        <w:pStyle w:val="4"/>
        <w:spacing w:before="39" w:line="391" w:lineRule="auto"/>
        <w:ind w:left="591" w:right="5272"/>
        <w:rPr>
          <w:color w:val="auto"/>
        </w:rPr>
      </w:pPr>
      <w:r>
        <w:rPr>
          <w:color w:val="auto"/>
          <w:spacing w:val="-30"/>
        </w:rPr>
        <w:t xml:space="preserve">处 </w:t>
      </w:r>
      <w:r>
        <w:rPr>
          <w:color w:val="auto"/>
        </w:rPr>
        <w:t>2</w:t>
      </w:r>
      <w:r>
        <w:rPr>
          <w:color w:val="auto"/>
          <w:spacing w:val="-20"/>
        </w:rPr>
        <w:t xml:space="preserve"> 万元以上 </w:t>
      </w:r>
      <w:r>
        <w:rPr>
          <w:color w:val="auto"/>
        </w:rPr>
        <w:t>3</w:t>
      </w:r>
      <w:r>
        <w:rPr>
          <w:color w:val="auto"/>
          <w:spacing w:val="-10"/>
        </w:rPr>
        <w:t xml:space="preserve"> 万元以下罚款。</w:t>
      </w:r>
      <w:r>
        <w:rPr>
          <w:color w:val="auto"/>
        </w:rPr>
        <w:t>3.【较重】</w:t>
      </w:r>
    </w:p>
    <w:p>
      <w:pPr>
        <w:pStyle w:val="4"/>
        <w:spacing w:line="388" w:lineRule="auto"/>
        <w:ind w:left="591" w:right="5272"/>
        <w:rPr>
          <w:color w:val="auto"/>
        </w:rPr>
      </w:pPr>
      <w:r>
        <w:rPr>
          <w:color w:val="auto"/>
          <w:spacing w:val="-30"/>
        </w:rPr>
        <w:t xml:space="preserve">处 </w:t>
      </w:r>
      <w:r>
        <w:rPr>
          <w:color w:val="auto"/>
        </w:rPr>
        <w:t>3</w:t>
      </w:r>
      <w:r>
        <w:rPr>
          <w:color w:val="auto"/>
          <w:spacing w:val="-20"/>
        </w:rPr>
        <w:t xml:space="preserve"> 万元以上 </w:t>
      </w:r>
      <w:r>
        <w:rPr>
          <w:color w:val="auto"/>
        </w:rPr>
        <w:t>5</w:t>
      </w:r>
      <w:r>
        <w:rPr>
          <w:color w:val="auto"/>
          <w:spacing w:val="-10"/>
        </w:rPr>
        <w:t xml:space="preserve"> 万元以下罚款。</w:t>
      </w:r>
      <w:r>
        <w:rPr>
          <w:color w:val="auto"/>
        </w:rPr>
        <w:t>4.【严重】</w:t>
      </w:r>
    </w:p>
    <w:p>
      <w:pPr>
        <w:pStyle w:val="4"/>
        <w:spacing w:before="3"/>
        <w:ind w:left="591"/>
        <w:rPr>
          <w:color w:val="auto"/>
        </w:rPr>
      </w:pPr>
      <w:r>
        <w:rPr>
          <w:color w:val="auto"/>
        </w:rPr>
        <w:t>处 5 万元罚款。</w:t>
      </w:r>
    </w:p>
    <w:p>
      <w:pPr>
        <w:pStyle w:val="2"/>
        <w:spacing w:before="192"/>
        <w:rPr>
          <w:color w:val="auto"/>
        </w:rPr>
      </w:pPr>
      <w:bookmarkStart w:id="1480" w:name="七百二十五、物业服务企业未按照规定免费配备出入证件"/>
      <w:bookmarkEnd w:id="1480"/>
      <w:bookmarkStart w:id="1481" w:name="_bookmark739"/>
      <w:bookmarkEnd w:id="1481"/>
      <w:r>
        <w:rPr>
          <w:color w:val="auto"/>
        </w:rPr>
        <w:t>七百二十五、物业服务企业未按照规定免费配备出入证件</w:t>
      </w:r>
    </w:p>
    <w:p>
      <w:pPr>
        <w:spacing w:before="192"/>
        <w:ind w:left="591" w:right="0" w:firstLine="0"/>
        <w:jc w:val="left"/>
        <w:rPr>
          <w:b/>
          <w:color w:val="auto"/>
          <w:sz w:val="24"/>
        </w:rPr>
      </w:pPr>
      <w:r>
        <w:rPr>
          <w:b/>
          <w:color w:val="auto"/>
          <w:sz w:val="24"/>
        </w:rPr>
        <w:t>（一）处罚依据</w:t>
      </w:r>
    </w:p>
    <w:p>
      <w:pPr>
        <w:pStyle w:val="13"/>
        <w:numPr>
          <w:ilvl w:val="0"/>
          <w:numId w:val="1685"/>
        </w:numPr>
        <w:tabs>
          <w:tab w:val="left" w:pos="833"/>
        </w:tabs>
        <w:spacing w:before="194" w:after="0" w:line="388" w:lineRule="auto"/>
        <w:ind w:left="111" w:right="172" w:firstLine="480"/>
        <w:jc w:val="left"/>
        <w:rPr>
          <w:color w:val="auto"/>
          <w:sz w:val="24"/>
        </w:rPr>
      </w:pPr>
      <w:r>
        <w:rPr>
          <w:color w:val="auto"/>
          <w:sz w:val="24"/>
        </w:rPr>
        <w:t>《山东省物业服务收费管理办法》（2018</w:t>
      </w:r>
      <w:r>
        <w:rPr>
          <w:color w:val="auto"/>
          <w:spacing w:val="-40"/>
          <w:sz w:val="24"/>
        </w:rPr>
        <w:t xml:space="preserve"> 年 </w:t>
      </w:r>
      <w:r>
        <w:rPr>
          <w:color w:val="auto"/>
          <w:sz w:val="24"/>
        </w:rPr>
        <w:t>5</w:t>
      </w:r>
      <w:r>
        <w:rPr>
          <w:color w:val="auto"/>
          <w:spacing w:val="-13"/>
          <w:sz w:val="24"/>
        </w:rPr>
        <w:t xml:space="preserve"> 月山东省人民政府令第 </w:t>
      </w:r>
      <w:r>
        <w:rPr>
          <w:color w:val="auto"/>
          <w:sz w:val="24"/>
        </w:rPr>
        <w:t>317</w:t>
      </w:r>
      <w:r>
        <w:rPr>
          <w:color w:val="auto"/>
          <w:spacing w:val="-30"/>
          <w:sz w:val="24"/>
        </w:rPr>
        <w:t xml:space="preserve"> 号</w:t>
      </w:r>
      <w:r>
        <w:rPr>
          <w:color w:val="auto"/>
          <w:spacing w:val="-17"/>
          <w:sz w:val="24"/>
        </w:rPr>
        <w:t xml:space="preserve">） </w:t>
      </w:r>
      <w:r>
        <w:rPr>
          <w:color w:val="auto"/>
          <w:spacing w:val="-6"/>
          <w:sz w:val="24"/>
        </w:rPr>
        <w:t>第四十八条：“违反本办法规定，物业服务企业未按照规定免费配备出入证件的，由县级以上人民政府价格主管部门责令改正，处一万元以上三万元以下罚款。”</w:t>
      </w:r>
    </w:p>
    <w:p>
      <w:pPr>
        <w:pStyle w:val="13"/>
        <w:numPr>
          <w:ilvl w:val="0"/>
          <w:numId w:val="1685"/>
        </w:numPr>
        <w:tabs>
          <w:tab w:val="left" w:pos="833"/>
        </w:tabs>
        <w:spacing w:before="5"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85"/>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7"/>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4"/>
        <w:rPr>
          <w:color w:val="auto"/>
        </w:rPr>
      </w:pPr>
      <w:r>
        <w:rPr>
          <w:color w:val="auto"/>
        </w:rPr>
        <w:t>3 倍，从重处罚应当为违法所得的 4 倍或者 5 倍；</w:t>
      </w:r>
    </w:p>
    <w:p>
      <w:pPr>
        <w:pStyle w:val="4"/>
        <w:spacing w:before="192"/>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2"/>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39"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91" w:lineRule="auto"/>
        <w:ind w:left="591" w:right="6948" w:firstLine="0"/>
        <w:jc w:val="left"/>
        <w:rPr>
          <w:color w:val="auto"/>
          <w:sz w:val="24"/>
        </w:rPr>
      </w:pPr>
      <w:r>
        <w:rPr>
          <w:b/>
          <w:color w:val="auto"/>
          <w:sz w:val="24"/>
        </w:rPr>
        <w:t>（二）</w:t>
      </w:r>
      <w:r>
        <w:rPr>
          <w:b/>
          <w:color w:val="auto"/>
          <w:spacing w:val="-5"/>
          <w:sz w:val="24"/>
        </w:rPr>
        <w:t>裁量标准</w:t>
      </w:r>
      <w:r>
        <w:rPr>
          <w:color w:val="auto"/>
          <w:sz w:val="24"/>
        </w:rPr>
        <w:t>1.【较轻】</w:t>
      </w:r>
    </w:p>
    <w:p>
      <w:pPr>
        <w:pStyle w:val="4"/>
        <w:spacing w:line="388" w:lineRule="auto"/>
        <w:ind w:left="591" w:right="5032"/>
        <w:rPr>
          <w:color w:val="auto"/>
        </w:rPr>
      </w:pPr>
      <w:r>
        <w:rPr>
          <w:color w:val="auto"/>
          <w:spacing w:val="-30"/>
        </w:rPr>
        <w:t xml:space="preserve">处 </w:t>
      </w:r>
      <w:r>
        <w:rPr>
          <w:color w:val="auto"/>
        </w:rPr>
        <w:t>1</w:t>
      </w:r>
      <w:r>
        <w:rPr>
          <w:color w:val="auto"/>
          <w:spacing w:val="-20"/>
        </w:rPr>
        <w:t xml:space="preserve"> 千元以上 </w:t>
      </w:r>
      <w:r>
        <w:rPr>
          <w:color w:val="auto"/>
        </w:rPr>
        <w:t>1.2</w:t>
      </w:r>
      <w:r>
        <w:rPr>
          <w:color w:val="auto"/>
          <w:spacing w:val="-10"/>
        </w:rPr>
        <w:t xml:space="preserve"> 万元以下罚款。</w:t>
      </w:r>
      <w:r>
        <w:rPr>
          <w:color w:val="auto"/>
        </w:rPr>
        <w:t>2.【一般】</w:t>
      </w:r>
    </w:p>
    <w:p>
      <w:pPr>
        <w:pStyle w:val="4"/>
        <w:spacing w:line="388" w:lineRule="auto"/>
        <w:ind w:left="591" w:right="4792"/>
        <w:rPr>
          <w:color w:val="auto"/>
        </w:rPr>
      </w:pPr>
      <w:r>
        <w:rPr>
          <w:color w:val="auto"/>
          <w:spacing w:val="-30"/>
        </w:rPr>
        <w:t xml:space="preserve">处 </w:t>
      </w:r>
      <w:r>
        <w:rPr>
          <w:color w:val="auto"/>
        </w:rPr>
        <w:t>1.2</w:t>
      </w:r>
      <w:r>
        <w:rPr>
          <w:color w:val="auto"/>
          <w:spacing w:val="-20"/>
        </w:rPr>
        <w:t xml:space="preserve"> 万元以上 </w:t>
      </w:r>
      <w:r>
        <w:rPr>
          <w:color w:val="auto"/>
        </w:rPr>
        <w:t>1.8</w:t>
      </w:r>
      <w:r>
        <w:rPr>
          <w:color w:val="auto"/>
          <w:spacing w:val="-10"/>
        </w:rPr>
        <w:t xml:space="preserve"> 万元以下罚款。</w:t>
      </w:r>
      <w:r>
        <w:rPr>
          <w:color w:val="auto"/>
        </w:rPr>
        <w:t>3.【较重】</w:t>
      </w:r>
    </w:p>
    <w:p>
      <w:pPr>
        <w:pStyle w:val="4"/>
        <w:spacing w:line="391" w:lineRule="auto"/>
        <w:ind w:left="591" w:right="5032"/>
        <w:rPr>
          <w:color w:val="auto"/>
        </w:rPr>
      </w:pPr>
      <w:r>
        <w:rPr>
          <w:color w:val="auto"/>
          <w:spacing w:val="-30"/>
        </w:rPr>
        <w:t xml:space="preserve">处 </w:t>
      </w:r>
      <w:r>
        <w:rPr>
          <w:color w:val="auto"/>
        </w:rPr>
        <w:t>1.8</w:t>
      </w:r>
      <w:r>
        <w:rPr>
          <w:color w:val="auto"/>
          <w:spacing w:val="-20"/>
        </w:rPr>
        <w:t xml:space="preserve"> 万元以上 </w:t>
      </w:r>
      <w:r>
        <w:rPr>
          <w:color w:val="auto"/>
        </w:rPr>
        <w:t>3</w:t>
      </w:r>
      <w:r>
        <w:rPr>
          <w:color w:val="auto"/>
          <w:spacing w:val="-10"/>
        </w:rPr>
        <w:t xml:space="preserve"> 万元以下罚款。</w:t>
      </w:r>
      <w:r>
        <w:rPr>
          <w:color w:val="auto"/>
        </w:rPr>
        <w:t>4.【严重】</w:t>
      </w:r>
    </w:p>
    <w:p>
      <w:pPr>
        <w:pStyle w:val="4"/>
        <w:spacing w:line="306" w:lineRule="exact"/>
        <w:ind w:left="591"/>
        <w:rPr>
          <w:color w:val="auto"/>
        </w:rPr>
      </w:pPr>
      <w:r>
        <w:rPr>
          <w:color w:val="auto"/>
        </w:rPr>
        <w:t>处 3 万元罚款。</w:t>
      </w:r>
    </w:p>
    <w:p>
      <w:pPr>
        <w:pStyle w:val="2"/>
        <w:spacing w:before="190"/>
        <w:rPr>
          <w:color w:val="auto"/>
        </w:rPr>
      </w:pPr>
      <w:bookmarkStart w:id="1482" w:name="七百二十六、公共文化设施管理单位相关违法行为"/>
      <w:bookmarkEnd w:id="1482"/>
      <w:bookmarkStart w:id="1483" w:name="_bookmark740"/>
      <w:bookmarkEnd w:id="1483"/>
      <w:r>
        <w:rPr>
          <w:color w:val="auto"/>
        </w:rPr>
        <w:t>七百二十六、公共文化设施管理单位相关违法行为</w:t>
      </w:r>
    </w:p>
    <w:p>
      <w:pPr>
        <w:spacing w:before="194"/>
        <w:ind w:left="591" w:right="0" w:firstLine="0"/>
        <w:jc w:val="left"/>
        <w:rPr>
          <w:b/>
          <w:color w:val="auto"/>
          <w:sz w:val="24"/>
        </w:rPr>
      </w:pPr>
      <w:r>
        <w:rPr>
          <w:b/>
          <w:color w:val="auto"/>
          <w:sz w:val="24"/>
        </w:rPr>
        <w:t>（一）处罚依据</w:t>
      </w:r>
    </w:p>
    <w:p>
      <w:pPr>
        <w:pStyle w:val="13"/>
        <w:numPr>
          <w:ilvl w:val="0"/>
          <w:numId w:val="1686"/>
        </w:numPr>
        <w:tabs>
          <w:tab w:val="left" w:pos="833"/>
        </w:tabs>
        <w:spacing w:before="192" w:after="0" w:line="391" w:lineRule="auto"/>
        <w:ind w:left="111" w:right="121" w:firstLine="480"/>
        <w:jc w:val="left"/>
        <w:rPr>
          <w:color w:val="auto"/>
          <w:sz w:val="24"/>
        </w:rPr>
      </w:pPr>
      <w:r>
        <w:rPr>
          <w:color w:val="auto"/>
          <w:sz w:val="24"/>
        </w:rPr>
        <w:t>《公共文化服务保障法》（2016</w:t>
      </w:r>
      <w:r>
        <w:rPr>
          <w:color w:val="auto"/>
          <w:spacing w:val="-39"/>
          <w:sz w:val="24"/>
        </w:rPr>
        <w:t xml:space="preserve"> 年 </w:t>
      </w:r>
      <w:r>
        <w:rPr>
          <w:color w:val="auto"/>
          <w:sz w:val="24"/>
        </w:rPr>
        <w:t>12</w:t>
      </w:r>
      <w:r>
        <w:rPr>
          <w:color w:val="auto"/>
          <w:spacing w:val="-15"/>
          <w:sz w:val="24"/>
        </w:rPr>
        <w:t xml:space="preserve"> 月通过</w:t>
      </w:r>
      <w:r>
        <w:rPr>
          <w:color w:val="auto"/>
          <w:sz w:val="24"/>
        </w:rPr>
        <w:t xml:space="preserve">）第六十二条“违反本法规定， </w:t>
      </w:r>
      <w:r>
        <w:rPr>
          <w:color w:val="auto"/>
          <w:spacing w:val="-2"/>
          <w:sz w:val="24"/>
        </w:rPr>
        <w:t>公共文化设施管理单位有下列行为之一的，由其主管部门或者价格主管部门责令限期</w:t>
      </w:r>
      <w:r>
        <w:rPr>
          <w:color w:val="auto"/>
          <w:spacing w:val="-23"/>
          <w:sz w:val="24"/>
        </w:rPr>
        <w:t>改正，</w:t>
      </w:r>
      <w:r>
        <w:rPr>
          <w:b/>
          <w:color w:val="auto"/>
          <w:spacing w:val="-11"/>
          <w:sz w:val="24"/>
        </w:rPr>
        <w:t xml:space="preserve">没收违法所得，违法所得五千元以上的，并处违法所得两倍以上五倍以下罚款； </w:t>
      </w:r>
      <w:r>
        <w:rPr>
          <w:b/>
          <w:color w:val="auto"/>
          <w:spacing w:val="-12"/>
          <w:sz w:val="24"/>
        </w:rPr>
        <w:t>没有违法所得或者违法所得五千元以下的，可以处一万元以下的罚款</w:t>
      </w:r>
      <w:r>
        <w:rPr>
          <w:color w:val="auto"/>
          <w:spacing w:val="-6"/>
          <w:sz w:val="24"/>
        </w:rPr>
        <w:t>；对直接负责的</w:t>
      </w:r>
      <w:r>
        <w:rPr>
          <w:color w:val="auto"/>
          <w:spacing w:val="-8"/>
          <w:sz w:val="24"/>
        </w:rPr>
        <w:t>主管人员和其他直接责任人员，依法给予处分：（</w:t>
      </w:r>
      <w:r>
        <w:rPr>
          <w:color w:val="auto"/>
          <w:sz w:val="24"/>
        </w:rPr>
        <w:t>一</w:t>
      </w:r>
      <w:r>
        <w:rPr>
          <w:color w:val="auto"/>
          <w:spacing w:val="-8"/>
          <w:sz w:val="24"/>
        </w:rPr>
        <w:t>）</w:t>
      </w:r>
      <w:r>
        <w:rPr>
          <w:color w:val="auto"/>
          <w:spacing w:val="-1"/>
          <w:sz w:val="24"/>
        </w:rPr>
        <w:t>开展与公共文化设施功能、用途不符的服务活动的；（二）对应当免费开放的公共文化设施收费或者变相收费的；</w:t>
      </w:r>
    </w:p>
    <w:p>
      <w:pPr>
        <w:pStyle w:val="4"/>
        <w:spacing w:line="300" w:lineRule="exact"/>
        <w:rPr>
          <w:color w:val="auto"/>
        </w:rPr>
      </w:pPr>
      <w:r>
        <w:rPr>
          <w:color w:val="auto"/>
        </w:rPr>
        <w:t>（三）收取费用未用于公共文化设施的维护、管理和事业发展，挪作他用的。”</w:t>
      </w:r>
    </w:p>
    <w:p>
      <w:pPr>
        <w:pStyle w:val="13"/>
        <w:numPr>
          <w:ilvl w:val="0"/>
          <w:numId w:val="1686"/>
        </w:numPr>
        <w:tabs>
          <w:tab w:val="left" w:pos="833"/>
        </w:tabs>
        <w:spacing w:before="191"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before="39" w:line="391"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91"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86"/>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2"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89"/>
        <w:jc w:val="both"/>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jc w:val="both"/>
        <w:rPr>
          <w:color w:val="auto"/>
        </w:rPr>
      </w:pPr>
      <w:r>
        <w:rPr>
          <w:color w:val="auto"/>
        </w:rPr>
        <w:t>3 倍，从重处罚应当为违法所得的 4 倍或者 5 倍；</w:t>
      </w:r>
    </w:p>
    <w:p>
      <w:pPr>
        <w:pStyle w:val="4"/>
        <w:spacing w:before="192"/>
        <w:ind w:left="591"/>
        <w:jc w:val="both"/>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4"/>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1"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88" w:lineRule="auto"/>
        <w:ind w:left="591" w:right="6948" w:firstLine="0"/>
        <w:jc w:val="left"/>
        <w:rPr>
          <w:color w:val="auto"/>
          <w:sz w:val="24"/>
        </w:rPr>
      </w:pPr>
      <w:r>
        <w:rPr>
          <w:b/>
          <w:color w:val="auto"/>
          <w:sz w:val="24"/>
        </w:rPr>
        <w:t>（二）裁量标准</w:t>
      </w:r>
      <w:r>
        <w:rPr>
          <w:color w:val="auto"/>
          <w:sz w:val="24"/>
        </w:rPr>
        <w:t>1.【较轻】</w:t>
      </w:r>
    </w:p>
    <w:p>
      <w:pPr>
        <w:pStyle w:val="4"/>
        <w:spacing w:line="388" w:lineRule="auto"/>
        <w:ind w:right="268" w:firstLine="480"/>
        <w:rPr>
          <w:color w:val="auto"/>
        </w:rPr>
      </w:pPr>
      <w:r>
        <w:rPr>
          <w:color w:val="auto"/>
          <w:spacing w:val="-5"/>
        </w:rPr>
        <w:t xml:space="preserve">有违法所得且违法所得 </w:t>
      </w:r>
      <w:r>
        <w:rPr>
          <w:color w:val="auto"/>
        </w:rPr>
        <w:t>5000</w:t>
      </w:r>
      <w:r>
        <w:rPr>
          <w:color w:val="auto"/>
          <w:spacing w:val="-9"/>
        </w:rPr>
        <w:t xml:space="preserve"> 元以上的，没收违法所得，可以处违法所得 </w:t>
      </w:r>
      <w:r>
        <w:rPr>
          <w:color w:val="auto"/>
        </w:rPr>
        <w:t>2</w:t>
      </w:r>
      <w:r>
        <w:rPr>
          <w:color w:val="auto"/>
          <w:spacing w:val="-15"/>
        </w:rPr>
        <w:t xml:space="preserve"> 倍罚款。</w:t>
      </w:r>
    </w:p>
    <w:p>
      <w:pPr>
        <w:pStyle w:val="4"/>
        <w:spacing w:line="391" w:lineRule="auto"/>
        <w:ind w:left="591" w:right="1312"/>
        <w:rPr>
          <w:color w:val="auto"/>
        </w:rPr>
      </w:pPr>
      <w:r>
        <w:rPr>
          <w:color w:val="auto"/>
          <w:spacing w:val="-5"/>
        </w:rPr>
        <w:t xml:space="preserve">没有违法所得或者违法所得 </w:t>
      </w:r>
      <w:r>
        <w:rPr>
          <w:color w:val="auto"/>
        </w:rPr>
        <w:t>5000</w:t>
      </w:r>
      <w:r>
        <w:rPr>
          <w:color w:val="auto"/>
          <w:spacing w:val="-14"/>
        </w:rPr>
        <w:t xml:space="preserve"> 元以下的，可以处 </w:t>
      </w:r>
      <w:r>
        <w:rPr>
          <w:color w:val="auto"/>
        </w:rPr>
        <w:t>4</w:t>
      </w:r>
      <w:r>
        <w:rPr>
          <w:color w:val="auto"/>
          <w:spacing w:val="-10"/>
        </w:rPr>
        <w:t xml:space="preserve"> 千元以下罚款。</w:t>
      </w:r>
      <w:r>
        <w:rPr>
          <w:color w:val="auto"/>
        </w:rPr>
        <w:t>2.【一般】</w:t>
      </w:r>
    </w:p>
    <w:p>
      <w:pPr>
        <w:pStyle w:val="4"/>
        <w:spacing w:line="306" w:lineRule="exact"/>
        <w:ind w:left="591"/>
        <w:rPr>
          <w:color w:val="auto"/>
        </w:rPr>
      </w:pPr>
      <w:r>
        <w:rPr>
          <w:color w:val="auto"/>
          <w:spacing w:val="-6"/>
        </w:rPr>
        <w:t xml:space="preserve">有违法所得且违法所得 </w:t>
      </w:r>
      <w:r>
        <w:rPr>
          <w:color w:val="auto"/>
        </w:rPr>
        <w:t>5000</w:t>
      </w:r>
      <w:r>
        <w:rPr>
          <w:color w:val="auto"/>
          <w:spacing w:val="-13"/>
        </w:rPr>
        <w:t xml:space="preserve"> 元以上的，没收违法所得，并处违法所得 </w:t>
      </w:r>
      <w:r>
        <w:rPr>
          <w:color w:val="auto"/>
        </w:rPr>
        <w:t>3</w:t>
      </w:r>
      <w:r>
        <w:rPr>
          <w:color w:val="auto"/>
          <w:spacing w:val="-12"/>
        </w:rPr>
        <w:t xml:space="preserve"> 倍罚款。</w:t>
      </w:r>
    </w:p>
    <w:p>
      <w:pPr>
        <w:pStyle w:val="4"/>
        <w:spacing w:before="191"/>
        <w:ind w:left="591"/>
        <w:rPr>
          <w:color w:val="auto"/>
          <w:spacing w:val="-9"/>
        </w:rPr>
      </w:pPr>
      <w:r>
        <w:rPr>
          <w:color w:val="auto"/>
          <w:spacing w:val="-5"/>
        </w:rPr>
        <w:t xml:space="preserve">没有违法所得或者违法所得 </w:t>
      </w:r>
      <w:r>
        <w:rPr>
          <w:color w:val="auto"/>
        </w:rPr>
        <w:t>5000</w:t>
      </w:r>
      <w:r>
        <w:rPr>
          <w:color w:val="auto"/>
          <w:spacing w:val="-16"/>
        </w:rPr>
        <w:t xml:space="preserve"> 元以下的，处 </w:t>
      </w:r>
      <w:r>
        <w:rPr>
          <w:color w:val="auto"/>
        </w:rPr>
        <w:t>4000</w:t>
      </w:r>
      <w:r>
        <w:rPr>
          <w:color w:val="auto"/>
          <w:spacing w:val="-24"/>
        </w:rPr>
        <w:t xml:space="preserve"> 元以上 </w:t>
      </w:r>
      <w:r>
        <w:rPr>
          <w:color w:val="auto"/>
        </w:rPr>
        <w:t>6000</w:t>
      </w:r>
      <w:r>
        <w:rPr>
          <w:color w:val="auto"/>
          <w:spacing w:val="-9"/>
        </w:rPr>
        <w:t xml:space="preserve"> 元以下罚款。</w:t>
      </w:r>
    </w:p>
    <w:p>
      <w:pPr>
        <w:pStyle w:val="4"/>
        <w:spacing w:before="191"/>
        <w:ind w:left="591"/>
        <w:rPr>
          <w:color w:val="auto"/>
        </w:rPr>
      </w:pPr>
      <w:r>
        <w:rPr>
          <w:color w:val="auto"/>
        </w:rPr>
        <w:t>3.【较重】</w:t>
      </w:r>
    </w:p>
    <w:p>
      <w:pPr>
        <w:pStyle w:val="4"/>
        <w:spacing w:before="195"/>
        <w:ind w:left="591"/>
        <w:rPr>
          <w:color w:val="auto"/>
        </w:rPr>
      </w:pPr>
      <w:r>
        <w:rPr>
          <w:color w:val="auto"/>
          <w:spacing w:val="-6"/>
        </w:rPr>
        <w:t xml:space="preserve">有违法所得且违法所得 </w:t>
      </w:r>
      <w:r>
        <w:rPr>
          <w:color w:val="auto"/>
        </w:rPr>
        <w:t>5000</w:t>
      </w:r>
      <w:r>
        <w:rPr>
          <w:color w:val="auto"/>
          <w:spacing w:val="-13"/>
        </w:rPr>
        <w:t xml:space="preserve"> 元以上的，没收违法所得，并处违法所得 </w:t>
      </w:r>
      <w:r>
        <w:rPr>
          <w:color w:val="auto"/>
        </w:rPr>
        <w:t>4</w:t>
      </w:r>
      <w:r>
        <w:rPr>
          <w:color w:val="auto"/>
          <w:spacing w:val="-12"/>
        </w:rPr>
        <w:t xml:space="preserve"> 倍罚款。</w:t>
      </w:r>
    </w:p>
    <w:p>
      <w:pPr>
        <w:pStyle w:val="4"/>
        <w:spacing w:before="191" w:line="388" w:lineRule="auto"/>
        <w:ind w:left="591" w:right="592"/>
        <w:rPr>
          <w:color w:val="auto"/>
        </w:rPr>
      </w:pPr>
      <w:r>
        <w:rPr>
          <w:color w:val="auto"/>
          <w:spacing w:val="-5"/>
        </w:rPr>
        <w:t xml:space="preserve">没有违法所得或者违法所得 </w:t>
      </w:r>
      <w:r>
        <w:rPr>
          <w:color w:val="auto"/>
        </w:rPr>
        <w:t>5000</w:t>
      </w:r>
      <w:r>
        <w:rPr>
          <w:color w:val="auto"/>
          <w:spacing w:val="-16"/>
        </w:rPr>
        <w:t xml:space="preserve"> 元以下的，处 </w:t>
      </w:r>
      <w:r>
        <w:rPr>
          <w:color w:val="auto"/>
        </w:rPr>
        <w:t>6</w:t>
      </w:r>
      <w:r>
        <w:rPr>
          <w:color w:val="auto"/>
          <w:spacing w:val="-20"/>
        </w:rPr>
        <w:t xml:space="preserve"> 千元以上 </w:t>
      </w:r>
      <w:r>
        <w:rPr>
          <w:color w:val="auto"/>
        </w:rPr>
        <w:t>1</w:t>
      </w:r>
      <w:r>
        <w:rPr>
          <w:color w:val="auto"/>
          <w:spacing w:val="-10"/>
        </w:rPr>
        <w:t xml:space="preserve"> 万元以下罚款。</w:t>
      </w:r>
      <w:r>
        <w:rPr>
          <w:color w:val="auto"/>
        </w:rPr>
        <w:t>4.【严重】</w:t>
      </w:r>
    </w:p>
    <w:p>
      <w:pPr>
        <w:pStyle w:val="4"/>
        <w:spacing w:before="5"/>
        <w:ind w:left="591"/>
        <w:rPr>
          <w:color w:val="auto"/>
        </w:rPr>
      </w:pPr>
      <w:r>
        <w:rPr>
          <w:color w:val="auto"/>
          <w:spacing w:val="-6"/>
        </w:rPr>
        <w:t xml:space="preserve">有违法所得且违法所得 </w:t>
      </w:r>
      <w:r>
        <w:rPr>
          <w:color w:val="auto"/>
        </w:rPr>
        <w:t>5000</w:t>
      </w:r>
      <w:r>
        <w:rPr>
          <w:color w:val="auto"/>
          <w:spacing w:val="-13"/>
        </w:rPr>
        <w:t xml:space="preserve"> 元以上的，没收违法所得，并处违法所得 </w:t>
      </w:r>
      <w:r>
        <w:rPr>
          <w:color w:val="auto"/>
        </w:rPr>
        <w:t>5</w:t>
      </w:r>
      <w:r>
        <w:rPr>
          <w:color w:val="auto"/>
          <w:spacing w:val="-12"/>
        </w:rPr>
        <w:t xml:space="preserve"> 倍罚款。</w:t>
      </w:r>
    </w:p>
    <w:p>
      <w:pPr>
        <w:pStyle w:val="4"/>
        <w:spacing w:before="192"/>
        <w:ind w:left="591"/>
        <w:rPr>
          <w:color w:val="auto"/>
        </w:rPr>
      </w:pPr>
      <w:r>
        <w:rPr>
          <w:color w:val="auto"/>
        </w:rPr>
        <w:t>没有违法所得或者违法所得 5000 元以下的，处 1 万元罚款。</w:t>
      </w:r>
    </w:p>
    <w:p>
      <w:pPr>
        <w:pStyle w:val="2"/>
        <w:spacing w:before="191"/>
        <w:rPr>
          <w:color w:val="auto"/>
        </w:rPr>
      </w:pPr>
      <w:bookmarkStart w:id="1484" w:name="_bookmark741"/>
      <w:bookmarkEnd w:id="1484"/>
      <w:bookmarkStart w:id="1485" w:name="七百二十七、公共图书馆及其工作人员对应当免费提供的服务收费或者变相收费"/>
      <w:bookmarkEnd w:id="1485"/>
      <w:r>
        <w:rPr>
          <w:color w:val="auto"/>
        </w:rPr>
        <w:t>七百二十七、公共图书馆及其工作人员对应当免费提供的服务收费或者变相收费</w:t>
      </w:r>
    </w:p>
    <w:p>
      <w:pPr>
        <w:spacing w:before="194"/>
        <w:ind w:left="591" w:right="0" w:firstLine="0"/>
        <w:jc w:val="left"/>
        <w:rPr>
          <w:b/>
          <w:color w:val="auto"/>
          <w:sz w:val="24"/>
        </w:rPr>
      </w:pPr>
      <w:r>
        <w:rPr>
          <w:b/>
          <w:color w:val="auto"/>
          <w:sz w:val="24"/>
        </w:rPr>
        <w:t>（一）处罚依据</w:t>
      </w:r>
    </w:p>
    <w:p>
      <w:pPr>
        <w:pStyle w:val="13"/>
        <w:numPr>
          <w:ilvl w:val="0"/>
          <w:numId w:val="1687"/>
        </w:numPr>
        <w:tabs>
          <w:tab w:val="left" w:pos="833"/>
        </w:tabs>
        <w:spacing w:before="192" w:after="0" w:line="391" w:lineRule="auto"/>
        <w:ind w:left="111" w:right="146" w:firstLine="480"/>
        <w:jc w:val="left"/>
        <w:rPr>
          <w:color w:val="auto"/>
          <w:sz w:val="24"/>
        </w:rPr>
      </w:pPr>
      <w:r>
        <w:rPr>
          <w:color w:val="auto"/>
          <w:spacing w:val="-2"/>
          <w:sz w:val="24"/>
        </w:rPr>
        <w:t>《公共图书馆法》</w:t>
      </w:r>
      <w:r>
        <w:rPr>
          <w:color w:val="auto"/>
          <w:sz w:val="24"/>
        </w:rPr>
        <w:t>（2017</w:t>
      </w:r>
      <w:r>
        <w:rPr>
          <w:color w:val="auto"/>
          <w:spacing w:val="-41"/>
          <w:sz w:val="24"/>
        </w:rPr>
        <w:t xml:space="preserve"> 年 </w:t>
      </w:r>
      <w:r>
        <w:rPr>
          <w:color w:val="auto"/>
          <w:sz w:val="24"/>
        </w:rPr>
        <w:t>11</w:t>
      </w:r>
      <w:r>
        <w:rPr>
          <w:color w:val="auto"/>
          <w:spacing w:val="-12"/>
          <w:sz w:val="24"/>
        </w:rPr>
        <w:t xml:space="preserve"> 月通过，</w:t>
      </w:r>
      <w:r>
        <w:rPr>
          <w:color w:val="auto"/>
          <w:sz w:val="24"/>
        </w:rPr>
        <w:t>2018</w:t>
      </w:r>
      <w:r>
        <w:rPr>
          <w:color w:val="auto"/>
          <w:spacing w:val="-41"/>
          <w:sz w:val="24"/>
        </w:rPr>
        <w:t xml:space="preserve"> 年 </w:t>
      </w:r>
      <w:r>
        <w:rPr>
          <w:color w:val="auto"/>
          <w:sz w:val="24"/>
        </w:rPr>
        <w:t>10</w:t>
      </w:r>
      <w:r>
        <w:rPr>
          <w:color w:val="auto"/>
          <w:spacing w:val="-16"/>
          <w:sz w:val="24"/>
        </w:rPr>
        <w:t xml:space="preserve"> 月修订</w:t>
      </w:r>
      <w:r>
        <w:rPr>
          <w:color w:val="auto"/>
          <w:spacing w:val="-8"/>
          <w:sz w:val="24"/>
        </w:rPr>
        <w:t>）</w:t>
      </w:r>
      <w:r>
        <w:rPr>
          <w:color w:val="auto"/>
          <w:spacing w:val="-2"/>
          <w:sz w:val="24"/>
        </w:rPr>
        <w:t>第五十条第二款： “公共图书馆及其工作人员有下列行为之一的，由文化主管部门责令改正，没收违法</w:t>
      </w:r>
      <w:r>
        <w:rPr>
          <w:color w:val="auto"/>
          <w:spacing w:val="-6"/>
          <w:sz w:val="24"/>
        </w:rPr>
        <w:t>所得：…公共图书馆及其工作人员对应当免费提供的服务收费或者变相收费的，由价格主管部门依照前款规定给予处罚。”</w:t>
      </w:r>
    </w:p>
    <w:p>
      <w:pPr>
        <w:pStyle w:val="13"/>
        <w:numPr>
          <w:ilvl w:val="0"/>
          <w:numId w:val="1687"/>
        </w:numPr>
        <w:tabs>
          <w:tab w:val="left" w:pos="833"/>
        </w:tabs>
        <w:spacing w:before="0" w:after="0" w:line="391" w:lineRule="auto"/>
        <w:ind w:left="111" w:right="146" w:firstLine="480"/>
        <w:jc w:val="left"/>
        <w:rPr>
          <w:color w:val="auto"/>
          <w:sz w:val="24"/>
        </w:rPr>
      </w:pPr>
      <w:r>
        <w:rPr>
          <w:color w:val="auto"/>
          <w:spacing w:val="-1"/>
          <w:sz w:val="24"/>
        </w:rPr>
        <w:t>《国家发展改革委关于印发&lt;规范价格行政处罚权的若干规定&gt;的通知》</w:t>
      </w:r>
      <w:r>
        <w:rPr>
          <w:color w:val="auto"/>
          <w:sz w:val="24"/>
        </w:rPr>
        <w:t>（发改</w:t>
      </w:r>
      <w:r>
        <w:rPr>
          <w:color w:val="auto"/>
          <w:spacing w:val="-15"/>
          <w:sz w:val="24"/>
        </w:rPr>
        <w:t>价监〔</w:t>
      </w:r>
      <w:r>
        <w:rPr>
          <w:color w:val="auto"/>
          <w:sz w:val="24"/>
        </w:rPr>
        <w:t>2014</w:t>
      </w:r>
      <w:r>
        <w:rPr>
          <w:color w:val="auto"/>
          <w:spacing w:val="-44"/>
          <w:sz w:val="24"/>
        </w:rPr>
        <w:t>〕</w:t>
      </w:r>
      <w:r>
        <w:rPr>
          <w:color w:val="auto"/>
          <w:sz w:val="24"/>
        </w:rPr>
        <w:t>1223</w:t>
      </w:r>
      <w:r>
        <w:rPr>
          <w:color w:val="auto"/>
          <w:spacing w:val="-30"/>
          <w:sz w:val="24"/>
        </w:rPr>
        <w:t xml:space="preserve"> 号</w:t>
      </w:r>
      <w:r>
        <w:rPr>
          <w:color w:val="auto"/>
          <w:spacing w:val="-44"/>
          <w:sz w:val="24"/>
        </w:rPr>
        <w:t>）</w:t>
      </w:r>
      <w:r>
        <w:rPr>
          <w:color w:val="auto"/>
          <w:spacing w:val="-11"/>
          <w:sz w:val="24"/>
        </w:rPr>
        <w:t xml:space="preserve">第十一条“法律、法规和规章规定可以处或者可以并处罚款的， </w:t>
      </w:r>
      <w:r>
        <w:rPr>
          <w:color w:val="auto"/>
          <w:spacing w:val="3"/>
          <w:sz w:val="24"/>
        </w:rPr>
        <w:t>对于减轻处罚情形不再处或者并处罚款；对于从轻处罚情形可以不处或者不并处罚款；对于一般处罚和从重处罚情形应当处或者并处罚款。</w:t>
      </w:r>
    </w:p>
    <w:p>
      <w:pPr>
        <w:pStyle w:val="4"/>
        <w:spacing w:line="388" w:lineRule="auto"/>
        <w:ind w:right="268" w:firstLine="480"/>
        <w:jc w:val="both"/>
        <w:rPr>
          <w:color w:val="auto"/>
        </w:rPr>
      </w:pPr>
      <w:r>
        <w:rPr>
          <w:color w:val="auto"/>
          <w:spacing w:val="-6"/>
        </w:rPr>
        <w:t>法律、法规和规章规定应当处或者并处罚款的，对于减轻处罚情形，有违法所得</w:t>
      </w:r>
      <w:r>
        <w:rPr>
          <w:color w:val="auto"/>
          <w:spacing w:val="-7"/>
        </w:rPr>
        <w:t>的，应当没收违法所得，可以不再并处罚款；没有违法所得的，处以低于规定处罚幅</w:t>
      </w:r>
      <w:r>
        <w:rPr>
          <w:color w:val="auto"/>
          <w:spacing w:val="-4"/>
        </w:rPr>
        <w:t xml:space="preserve">度的罚款，但不得低于罚款最低数额的 </w:t>
      </w:r>
      <w:r>
        <w:rPr>
          <w:color w:val="auto"/>
        </w:rPr>
        <w:t>10%。</w:t>
      </w:r>
    </w:p>
    <w:p>
      <w:pPr>
        <w:pStyle w:val="4"/>
        <w:spacing w:line="388" w:lineRule="auto"/>
        <w:ind w:right="224" w:firstLine="480"/>
        <w:rPr>
          <w:color w:val="auto"/>
        </w:rPr>
      </w:pPr>
      <w:r>
        <w:rPr>
          <w:color w:val="auto"/>
        </w:rPr>
        <w:t>法律、法规和规章规定应当处或者并处罚款的，对于从轻处罚、一般处罚和从重处罚情形，有违法所得的，应当没收违法所得，并在规定处罚幅度内处以罚款。”</w:t>
      </w:r>
    </w:p>
    <w:p>
      <w:pPr>
        <w:pStyle w:val="13"/>
        <w:numPr>
          <w:ilvl w:val="0"/>
          <w:numId w:val="1687"/>
        </w:numPr>
        <w:tabs>
          <w:tab w:val="left" w:pos="833"/>
        </w:tabs>
        <w:spacing w:before="0" w:after="0" w:line="391" w:lineRule="auto"/>
        <w:ind w:left="111" w:right="266" w:firstLine="480"/>
        <w:jc w:val="both"/>
        <w:rPr>
          <w:color w:val="auto"/>
          <w:sz w:val="24"/>
        </w:rPr>
      </w:pPr>
      <w:r>
        <w:rPr>
          <w:color w:val="auto"/>
          <w:spacing w:val="-1"/>
          <w:sz w:val="24"/>
        </w:rPr>
        <w:t>《国家发展改革委关于印发&lt;规范价格行政处罚权的若干规定&gt;的通知》</w:t>
      </w:r>
      <w:r>
        <w:rPr>
          <w:color w:val="auto"/>
          <w:sz w:val="24"/>
        </w:rPr>
        <w:t>（</w:t>
      </w:r>
      <w:r>
        <w:rPr>
          <w:color w:val="auto"/>
          <w:spacing w:val="-8"/>
          <w:sz w:val="24"/>
        </w:rPr>
        <w:t>发改</w:t>
      </w:r>
      <w:r>
        <w:rPr>
          <w:color w:val="auto"/>
          <w:spacing w:val="-5"/>
          <w:sz w:val="24"/>
        </w:rPr>
        <w:t>价监〔</w:t>
      </w:r>
      <w:r>
        <w:rPr>
          <w:color w:val="auto"/>
          <w:sz w:val="24"/>
        </w:rPr>
        <w:t>2014</w:t>
      </w:r>
      <w:r>
        <w:rPr>
          <w:color w:val="auto"/>
          <w:spacing w:val="-10"/>
          <w:sz w:val="24"/>
        </w:rPr>
        <w:t>〕</w:t>
      </w:r>
      <w:r>
        <w:rPr>
          <w:color w:val="auto"/>
          <w:sz w:val="24"/>
        </w:rPr>
        <w:t>1223</w:t>
      </w:r>
      <w:r>
        <w:rPr>
          <w:color w:val="auto"/>
          <w:spacing w:val="-30"/>
          <w:sz w:val="24"/>
        </w:rPr>
        <w:t xml:space="preserve"> 号</w:t>
      </w:r>
      <w:r>
        <w:rPr>
          <w:color w:val="auto"/>
          <w:spacing w:val="-10"/>
          <w:sz w:val="24"/>
        </w:rPr>
        <w:t>）第十二条“对《价格法》、《价格违法行为行政处罚规定》规</w:t>
      </w:r>
      <w:r>
        <w:rPr>
          <w:color w:val="auto"/>
          <w:spacing w:val="-4"/>
          <w:sz w:val="24"/>
        </w:rPr>
        <w:t>定一定幅度范围的罚款处罚，价格主管部门应当按照以下标准确定从轻处罚、一般处</w:t>
      </w:r>
      <w:r>
        <w:rPr>
          <w:color w:val="auto"/>
          <w:sz w:val="24"/>
        </w:rPr>
        <w:t>罚、从重处罚的罚款幅度：</w:t>
      </w:r>
    </w:p>
    <w:p>
      <w:pPr>
        <w:pStyle w:val="4"/>
        <w:spacing w:line="304" w:lineRule="exact"/>
        <w:ind w:left="591"/>
        <w:jc w:val="both"/>
        <w:rPr>
          <w:color w:val="auto"/>
        </w:rPr>
      </w:pPr>
      <w:r>
        <w:rPr>
          <w:color w:val="auto"/>
        </w:rPr>
        <w:t>（一</w:t>
      </w:r>
      <w:r>
        <w:rPr>
          <w:color w:val="auto"/>
          <w:spacing w:val="-12"/>
        </w:rPr>
        <w:t>）</w:t>
      </w:r>
      <w:r>
        <w:rPr>
          <w:color w:val="auto"/>
          <w:spacing w:val="-7"/>
        </w:rPr>
        <w:t xml:space="preserve">《价格法》、《价格违法行为行政处罚规定》规定处违法所得 </w:t>
      </w:r>
      <w:r>
        <w:rPr>
          <w:color w:val="auto"/>
        </w:rPr>
        <w:t>5</w:t>
      </w:r>
      <w:r>
        <w:rPr>
          <w:color w:val="auto"/>
          <w:spacing w:val="-12"/>
        </w:rPr>
        <w:t xml:space="preserve"> 倍数以下</w:t>
      </w:r>
    </w:p>
    <w:p>
      <w:pPr>
        <w:pStyle w:val="4"/>
        <w:spacing w:before="190"/>
        <w:rPr>
          <w:color w:val="auto"/>
        </w:rPr>
      </w:pPr>
      <w:r>
        <w:rPr>
          <w:color w:val="auto"/>
          <w:spacing w:val="-8"/>
        </w:rPr>
        <w:t xml:space="preserve">罚款的，从轻处罚应当为违法所得的 </w:t>
      </w:r>
      <w:r>
        <w:rPr>
          <w:color w:val="auto"/>
        </w:rPr>
        <w:t>2</w:t>
      </w:r>
      <w:r>
        <w:rPr>
          <w:color w:val="auto"/>
          <w:spacing w:val="-24"/>
        </w:rPr>
        <w:t xml:space="preserve"> 倍或者 </w:t>
      </w:r>
      <w:r>
        <w:rPr>
          <w:color w:val="auto"/>
        </w:rPr>
        <w:t>1</w:t>
      </w:r>
      <w:r>
        <w:rPr>
          <w:color w:val="auto"/>
          <w:spacing w:val="-9"/>
        </w:rPr>
        <w:t xml:space="preserve"> 倍以下，一般处罚应当为违法所得的</w:t>
      </w:r>
    </w:p>
    <w:p>
      <w:pPr>
        <w:pStyle w:val="4"/>
        <w:spacing w:before="192"/>
        <w:rPr>
          <w:color w:val="auto"/>
        </w:rPr>
      </w:pPr>
      <w:r>
        <w:rPr>
          <w:color w:val="auto"/>
        </w:rPr>
        <w:t>3 倍，从重处罚应当为违法所得的 4 倍或者 5 倍；</w:t>
      </w:r>
    </w:p>
    <w:p>
      <w:pPr>
        <w:pStyle w:val="4"/>
        <w:spacing w:before="39"/>
        <w:ind w:left="591"/>
        <w:rPr>
          <w:color w:val="auto"/>
        </w:rPr>
      </w:pPr>
      <w:r>
        <w:rPr>
          <w:color w:val="auto"/>
        </w:rPr>
        <w:t>（二</w:t>
      </w:r>
      <w:r>
        <w:rPr>
          <w:color w:val="auto"/>
          <w:spacing w:val="-20"/>
        </w:rPr>
        <w:t>）</w:t>
      </w:r>
      <w:r>
        <w:rPr>
          <w:color w:val="auto"/>
          <w:spacing w:val="-7"/>
        </w:rPr>
        <w:t xml:space="preserve">《价格法》规定处一定数额的 </w:t>
      </w:r>
      <w:r>
        <w:rPr>
          <w:color w:val="auto"/>
        </w:rPr>
        <w:t>1</w:t>
      </w:r>
      <w:r>
        <w:rPr>
          <w:color w:val="auto"/>
          <w:spacing w:val="-24"/>
        </w:rPr>
        <w:t xml:space="preserve"> 倍以上 </w:t>
      </w:r>
      <w:r>
        <w:rPr>
          <w:color w:val="auto"/>
        </w:rPr>
        <w:t>3</w:t>
      </w:r>
      <w:r>
        <w:rPr>
          <w:color w:val="auto"/>
          <w:spacing w:val="-9"/>
        </w:rPr>
        <w:t xml:space="preserve"> 倍以下罚款的，从轻处罚应当为</w:t>
      </w:r>
    </w:p>
    <w:p>
      <w:pPr>
        <w:pStyle w:val="4"/>
        <w:spacing w:before="195"/>
        <w:jc w:val="both"/>
        <w:rPr>
          <w:color w:val="auto"/>
        </w:rPr>
      </w:pPr>
      <w:r>
        <w:rPr>
          <w:color w:val="auto"/>
          <w:spacing w:val="-10"/>
        </w:rPr>
        <w:t xml:space="preserve">一定数额的 </w:t>
      </w:r>
      <w:r>
        <w:rPr>
          <w:color w:val="auto"/>
        </w:rPr>
        <w:t>1</w:t>
      </w:r>
      <w:r>
        <w:rPr>
          <w:color w:val="auto"/>
          <w:spacing w:val="-16"/>
        </w:rPr>
        <w:t xml:space="preserve"> 倍，一般处罚应当为一定数额的 </w:t>
      </w:r>
      <w:r>
        <w:rPr>
          <w:color w:val="auto"/>
        </w:rPr>
        <w:t>2</w:t>
      </w:r>
      <w:r>
        <w:rPr>
          <w:color w:val="auto"/>
          <w:spacing w:val="-16"/>
        </w:rPr>
        <w:t xml:space="preserve"> 倍，从重处罚应当为一定数额的 </w:t>
      </w:r>
      <w:r>
        <w:rPr>
          <w:color w:val="auto"/>
        </w:rPr>
        <w:t>3</w:t>
      </w:r>
      <w:r>
        <w:rPr>
          <w:color w:val="auto"/>
          <w:spacing w:val="-20"/>
        </w:rPr>
        <w:t xml:space="preserve"> 倍；</w:t>
      </w:r>
    </w:p>
    <w:p>
      <w:pPr>
        <w:pStyle w:val="4"/>
        <w:spacing w:before="191" w:line="391" w:lineRule="auto"/>
        <w:ind w:right="268" w:firstLine="480"/>
        <w:jc w:val="both"/>
        <w:rPr>
          <w:color w:val="auto"/>
        </w:rPr>
      </w:pPr>
      <w:r>
        <w:rPr>
          <w:color w:val="auto"/>
        </w:rPr>
        <w:t>（三</w:t>
      </w:r>
      <w:r>
        <w:rPr>
          <w:color w:val="auto"/>
          <w:spacing w:val="-12"/>
        </w:rPr>
        <w:t>）</w:t>
      </w:r>
      <w:r>
        <w:rPr>
          <w:color w:val="auto"/>
          <w:spacing w:val="-6"/>
        </w:rPr>
        <w:t>《价格法》、《价格违法行为行政处罚规定》规定处最低数额以上和最高</w:t>
      </w:r>
      <w:r>
        <w:rPr>
          <w:color w:val="auto"/>
          <w:spacing w:val="-3"/>
        </w:rPr>
        <w:t xml:space="preserve">数额以下罚款的，从轻处罚应当低于最高数额的 </w:t>
      </w:r>
      <w:r>
        <w:rPr>
          <w:color w:val="auto"/>
        </w:rPr>
        <w:t>40%</w:t>
      </w:r>
      <w:r>
        <w:rPr>
          <w:color w:val="auto"/>
          <w:spacing w:val="-1"/>
        </w:rPr>
        <w:t>且不低于最低数额，一般处罚应</w:t>
      </w:r>
      <w:r>
        <w:rPr>
          <w:color w:val="auto"/>
          <w:spacing w:val="-8"/>
        </w:rPr>
        <w:t xml:space="preserve">当为最高数额的 </w:t>
      </w:r>
      <w:r>
        <w:rPr>
          <w:color w:val="auto"/>
        </w:rPr>
        <w:t>40%</w:t>
      </w:r>
      <w:r>
        <w:rPr>
          <w:color w:val="auto"/>
          <w:spacing w:val="-30"/>
        </w:rPr>
        <w:t xml:space="preserve">至 </w:t>
      </w:r>
      <w:r>
        <w:rPr>
          <w:color w:val="auto"/>
        </w:rPr>
        <w:t>60%，</w:t>
      </w:r>
      <w:r>
        <w:rPr>
          <w:color w:val="auto"/>
          <w:spacing w:val="-5"/>
        </w:rPr>
        <w:t xml:space="preserve">从重处罚应当高于最高数额的 </w:t>
      </w:r>
      <w:r>
        <w:rPr>
          <w:color w:val="auto"/>
        </w:rPr>
        <w:t>60%；</w:t>
      </w:r>
    </w:p>
    <w:p>
      <w:pPr>
        <w:pStyle w:val="4"/>
        <w:spacing w:line="391" w:lineRule="auto"/>
        <w:ind w:right="148" w:firstLine="480"/>
        <w:rPr>
          <w:color w:val="auto"/>
        </w:rPr>
      </w:pPr>
      <w:r>
        <w:rPr>
          <w:color w:val="auto"/>
        </w:rPr>
        <w:t>（四</w:t>
      </w:r>
      <w:r>
        <w:rPr>
          <w:color w:val="auto"/>
          <w:spacing w:val="-53"/>
        </w:rPr>
        <w:t>）</w:t>
      </w:r>
      <w:r>
        <w:rPr>
          <w:color w:val="auto"/>
          <w:spacing w:val="-11"/>
        </w:rPr>
        <w:t xml:space="preserve">《价格法》、《价格违法行为行政处罚规定》规定处最高数额以下罚款的， </w:t>
      </w:r>
      <w:r>
        <w:rPr>
          <w:color w:val="auto"/>
          <w:spacing w:val="-5"/>
        </w:rPr>
        <w:t xml:space="preserve">从轻处罚应当低于最高数额的 </w:t>
      </w:r>
      <w:r>
        <w:rPr>
          <w:color w:val="auto"/>
          <w:spacing w:val="-12"/>
        </w:rPr>
        <w:t>40%</w:t>
      </w:r>
      <w:r>
        <w:rPr>
          <w:color w:val="auto"/>
          <w:spacing w:val="-8"/>
        </w:rPr>
        <w:t xml:space="preserve">，一般处罚应当为最高数额的 </w:t>
      </w:r>
      <w:r>
        <w:rPr>
          <w:color w:val="auto"/>
        </w:rPr>
        <w:t>40%</w:t>
      </w:r>
      <w:r>
        <w:rPr>
          <w:color w:val="auto"/>
          <w:spacing w:val="-30"/>
        </w:rPr>
        <w:t xml:space="preserve">至 </w:t>
      </w:r>
      <w:r>
        <w:rPr>
          <w:color w:val="auto"/>
          <w:spacing w:val="-12"/>
        </w:rPr>
        <w:t>60%</w:t>
      </w:r>
      <w:r>
        <w:rPr>
          <w:color w:val="auto"/>
          <w:spacing w:val="-3"/>
        </w:rPr>
        <w:t>，从重处罚</w:t>
      </w:r>
      <w:r>
        <w:rPr>
          <w:color w:val="auto"/>
          <w:spacing w:val="-9"/>
        </w:rPr>
        <w:t xml:space="preserve">应当高于最高数额的 </w:t>
      </w:r>
      <w:r>
        <w:rPr>
          <w:color w:val="auto"/>
        </w:rPr>
        <w:t>60%。”</w:t>
      </w:r>
    </w:p>
    <w:p>
      <w:pPr>
        <w:spacing w:before="0" w:line="388" w:lineRule="auto"/>
        <w:ind w:left="591" w:right="6948" w:firstLine="0"/>
        <w:jc w:val="left"/>
        <w:rPr>
          <w:color w:val="auto"/>
        </w:rPr>
      </w:pPr>
      <w:r>
        <w:rPr>
          <w:b/>
          <w:color w:val="auto"/>
          <w:sz w:val="24"/>
        </w:rPr>
        <w:t>（二）裁量标准</w:t>
      </w:r>
      <w:r>
        <w:rPr>
          <w:color w:val="auto"/>
          <w:sz w:val="24"/>
        </w:rPr>
        <w:t>没收违法所得。</w:t>
      </w:r>
    </w:p>
    <w:p>
      <w:pPr>
        <w:pStyle w:val="4"/>
        <w:tabs>
          <w:tab w:val="left" w:pos="1199"/>
        </w:tabs>
        <w:spacing w:before="189"/>
        <w:ind w:left="0" w:right="161"/>
        <w:jc w:val="center"/>
        <w:rPr>
          <w:rFonts w:hint="eastAsia" w:ascii="黑体" w:eastAsia="黑体"/>
          <w:color w:val="auto"/>
        </w:rPr>
      </w:pPr>
      <w:bookmarkStart w:id="1486" w:name="第十六章  食品监管"/>
      <w:bookmarkEnd w:id="1486"/>
      <w:bookmarkStart w:id="1487" w:name="_bookmark742"/>
      <w:bookmarkEnd w:id="1487"/>
      <w:r>
        <w:rPr>
          <w:rFonts w:hint="eastAsia" w:ascii="黑体" w:eastAsia="黑体"/>
          <w:color w:val="auto"/>
        </w:rPr>
        <w:t>第十六章</w:t>
      </w:r>
      <w:r>
        <w:rPr>
          <w:rFonts w:hint="eastAsia" w:ascii="黑体" w:eastAsia="黑体"/>
          <w:color w:val="auto"/>
        </w:rPr>
        <w:tab/>
      </w:r>
      <w:r>
        <w:rPr>
          <w:rFonts w:hint="eastAsia" w:ascii="黑体" w:eastAsia="黑体"/>
          <w:color w:val="auto"/>
        </w:rPr>
        <w:t>食品监管</w:t>
      </w:r>
    </w:p>
    <w:p>
      <w:pPr>
        <w:pStyle w:val="4"/>
        <w:tabs>
          <w:tab w:val="left" w:pos="1199"/>
        </w:tabs>
        <w:spacing w:before="189"/>
        <w:ind w:left="0" w:right="161"/>
        <w:jc w:val="center"/>
        <w:rPr>
          <w:rFonts w:hint="eastAsia" w:ascii="黑体" w:eastAsia="黑体"/>
          <w:color w:val="auto"/>
        </w:rPr>
      </w:pPr>
    </w:p>
    <w:p>
      <w:pPr>
        <w:pStyle w:val="2"/>
        <w:spacing w:before="1" w:line="388" w:lineRule="auto"/>
        <w:ind w:left="111" w:right="237" w:firstLine="480"/>
        <w:rPr>
          <w:color w:val="auto"/>
        </w:rPr>
      </w:pPr>
      <w:bookmarkStart w:id="1488" w:name="_bookmark743"/>
      <w:bookmarkEnd w:id="1488"/>
      <w:bookmarkStart w:id="1489" w:name="七百二十八、未取得食品生产经营许可从事食品生产经营活动，或者未取得食品添加剂生产"/>
      <w:bookmarkEnd w:id="1489"/>
      <w:r>
        <w:rPr>
          <w:color w:val="auto"/>
          <w:spacing w:val="-7"/>
        </w:rPr>
        <w:t>七百二十八、未取得食品生产经营许可从事食品生产经营活动，或者未取得食品添加剂生产许可从事食品添加剂生产活动</w:t>
      </w:r>
    </w:p>
    <w:p>
      <w:pPr>
        <w:spacing w:before="2"/>
        <w:ind w:left="591" w:right="0" w:firstLine="0"/>
        <w:jc w:val="left"/>
        <w:rPr>
          <w:b/>
          <w:color w:val="auto"/>
          <w:sz w:val="24"/>
        </w:rPr>
      </w:pPr>
      <w:r>
        <w:rPr>
          <w:b/>
          <w:color w:val="auto"/>
          <w:sz w:val="24"/>
        </w:rPr>
        <w:t>（一）处罚依据</w:t>
      </w:r>
    </w:p>
    <w:p>
      <w:pPr>
        <w:pStyle w:val="13"/>
        <w:numPr>
          <w:ilvl w:val="0"/>
          <w:numId w:val="1688"/>
        </w:numPr>
        <w:tabs>
          <w:tab w:val="left" w:pos="833"/>
        </w:tabs>
        <w:spacing w:before="194" w:after="0" w:line="388" w:lineRule="auto"/>
        <w:ind w:left="111" w:right="268" w:firstLine="480"/>
        <w:jc w:val="both"/>
        <w:rPr>
          <w:color w:val="auto"/>
          <w:sz w:val="24"/>
        </w:rPr>
      </w:pPr>
      <w:r>
        <w:rPr>
          <w:color w:val="auto"/>
          <w:spacing w:val="-4"/>
          <w:sz w:val="24"/>
        </w:rPr>
        <w:t>《食品安全法》第一百二十二条第一款 违反本法规定，未取得食品生产经营许可从事食品生产经营活动，或者未取得食品添加剂生产许可从事食品添加剂生产活</w:t>
      </w:r>
      <w:r>
        <w:rPr>
          <w:color w:val="auto"/>
          <w:spacing w:val="-7"/>
          <w:sz w:val="24"/>
        </w:rPr>
        <w:t>动的，由县级以上人民政府食品安全监督管理部门没收违法所得和违法生产经营的食品、食品添加剂以及用于违法生产经营的工具、设备、原料等物品；违法生产经营的</w:t>
      </w:r>
      <w:r>
        <w:rPr>
          <w:color w:val="auto"/>
          <w:spacing w:val="-6"/>
          <w:sz w:val="24"/>
        </w:rPr>
        <w:t>食品、食品添加剂货值金额不足一万元的，并处五万元以上十万元以下罚款；货值金</w:t>
      </w:r>
      <w:r>
        <w:rPr>
          <w:color w:val="auto"/>
          <w:sz w:val="24"/>
        </w:rPr>
        <w:t>额一万元以上的，并处货值金额十倍以上二十倍以下罚款。</w:t>
      </w:r>
    </w:p>
    <w:p>
      <w:pPr>
        <w:pStyle w:val="13"/>
        <w:numPr>
          <w:ilvl w:val="0"/>
          <w:numId w:val="1688"/>
        </w:numPr>
        <w:tabs>
          <w:tab w:val="left" w:pos="833"/>
        </w:tabs>
        <w:spacing w:before="11" w:after="0" w:line="388" w:lineRule="auto"/>
        <w:ind w:left="111" w:right="268" w:firstLine="480"/>
        <w:jc w:val="both"/>
        <w:rPr>
          <w:color w:val="auto"/>
          <w:sz w:val="24"/>
        </w:rPr>
      </w:pPr>
      <w:r>
        <w:rPr>
          <w:color w:val="auto"/>
          <w:spacing w:val="-3"/>
          <w:sz w:val="24"/>
        </w:rPr>
        <w:t>《食品生产许可管理办法》第五十条 未取得食品生产许可从事食品生产活动</w:t>
      </w:r>
      <w:r>
        <w:rPr>
          <w:color w:val="auto"/>
          <w:spacing w:val="-6"/>
          <w:sz w:val="24"/>
        </w:rPr>
        <w:t>的，由县级以上地方食品药品监督管理部门依照《中华人民共和国食品安全法》第一</w:t>
      </w:r>
      <w:r>
        <w:rPr>
          <w:color w:val="auto"/>
          <w:sz w:val="24"/>
        </w:rPr>
        <w:t>百二十二条的规定给予处罚。</w:t>
      </w:r>
    </w:p>
    <w:p>
      <w:pPr>
        <w:pStyle w:val="13"/>
        <w:numPr>
          <w:ilvl w:val="0"/>
          <w:numId w:val="1688"/>
        </w:numPr>
        <w:tabs>
          <w:tab w:val="left" w:pos="833"/>
        </w:tabs>
        <w:spacing w:before="5" w:after="0" w:line="388" w:lineRule="auto"/>
        <w:ind w:left="111" w:right="268" w:firstLine="480"/>
        <w:jc w:val="both"/>
        <w:rPr>
          <w:color w:val="auto"/>
          <w:sz w:val="24"/>
        </w:rPr>
      </w:pPr>
      <w:r>
        <w:rPr>
          <w:color w:val="auto"/>
          <w:spacing w:val="-3"/>
          <w:sz w:val="24"/>
        </w:rPr>
        <w:t>《食品生产许可管理办法》第五十八条 食品添加剂的生产许可管理原则、程</w:t>
      </w:r>
      <w:r>
        <w:rPr>
          <w:color w:val="auto"/>
          <w:sz w:val="24"/>
        </w:rPr>
        <w:t>序、监督检查和法律责任，适用本办法有关食品生产许可的规定。</w:t>
      </w:r>
    </w:p>
    <w:p>
      <w:pPr>
        <w:pStyle w:val="13"/>
        <w:numPr>
          <w:ilvl w:val="0"/>
          <w:numId w:val="1688"/>
        </w:numPr>
        <w:tabs>
          <w:tab w:val="left" w:pos="833"/>
        </w:tabs>
        <w:spacing w:before="3" w:after="0" w:line="240" w:lineRule="auto"/>
        <w:ind w:left="832" w:right="0" w:hanging="242"/>
        <w:jc w:val="both"/>
        <w:rPr>
          <w:color w:val="auto"/>
          <w:sz w:val="24"/>
        </w:rPr>
      </w:pPr>
      <w:r>
        <w:rPr>
          <w:color w:val="auto"/>
          <w:spacing w:val="-2"/>
          <w:sz w:val="24"/>
        </w:rPr>
        <w:t>《食品经营许可管理办法》第四十五条 未取得食品经营许可从事食品经营活</w:t>
      </w:r>
    </w:p>
    <w:p>
      <w:pPr>
        <w:pStyle w:val="4"/>
        <w:spacing w:before="39" w:line="391" w:lineRule="auto"/>
        <w:ind w:right="230"/>
        <w:rPr>
          <w:color w:val="auto"/>
        </w:rPr>
      </w:pPr>
      <w:r>
        <w:rPr>
          <w:color w:val="auto"/>
        </w:rPr>
        <w:t>动的，由县级以上地方食品药品监督管理部门依照《中华人民共和国食品安全法》第一百二十二条的规定给予处罚。</w:t>
      </w:r>
    </w:p>
    <w:p>
      <w:pPr>
        <w:pStyle w:val="13"/>
        <w:numPr>
          <w:ilvl w:val="0"/>
          <w:numId w:val="1688"/>
        </w:numPr>
        <w:tabs>
          <w:tab w:val="left" w:pos="833"/>
        </w:tabs>
        <w:spacing w:before="0" w:after="0" w:line="391" w:lineRule="auto"/>
        <w:ind w:left="111" w:right="268" w:firstLine="480"/>
        <w:jc w:val="both"/>
        <w:rPr>
          <w:color w:val="auto"/>
          <w:sz w:val="24"/>
        </w:rPr>
      </w:pPr>
      <w:r>
        <w:rPr>
          <w:color w:val="auto"/>
          <w:spacing w:val="-3"/>
          <w:sz w:val="24"/>
        </w:rPr>
        <w:t>《食品经营许可管理办法》第二十七条第二款 经营场所发生变化的，应当重</w:t>
      </w:r>
      <w:r>
        <w:rPr>
          <w:color w:val="auto"/>
          <w:spacing w:val="-1"/>
          <w:sz w:val="24"/>
        </w:rPr>
        <w:t xml:space="preserve">新申请食品经营许可。外设仓库地址发生变化的，食品经营者应当在变化后 </w:t>
      </w:r>
      <w:r>
        <w:rPr>
          <w:color w:val="auto"/>
          <w:sz w:val="24"/>
        </w:rPr>
        <w:t>10</w:t>
      </w:r>
      <w:r>
        <w:rPr>
          <w:color w:val="auto"/>
          <w:spacing w:val="-10"/>
          <w:sz w:val="24"/>
        </w:rPr>
        <w:t xml:space="preserve"> 个工作日内向原发证的食品药品监督管理部门报告。</w:t>
      </w:r>
    </w:p>
    <w:p>
      <w:pPr>
        <w:spacing w:before="0" w:line="304" w:lineRule="exact"/>
        <w:ind w:left="591" w:right="0" w:firstLine="0"/>
        <w:jc w:val="left"/>
        <w:rPr>
          <w:b/>
          <w:color w:val="auto"/>
          <w:sz w:val="24"/>
        </w:rPr>
      </w:pPr>
      <w:r>
        <w:rPr>
          <w:color w:val="auto"/>
          <w:sz w:val="24"/>
        </w:rPr>
        <w:t>（二）</w:t>
      </w:r>
      <w:r>
        <w:rPr>
          <w:b/>
          <w:color w:val="auto"/>
          <w:sz w:val="24"/>
        </w:rPr>
        <w:t>裁量标准</w:t>
      </w:r>
    </w:p>
    <w:p>
      <w:pPr>
        <w:pStyle w:val="13"/>
        <w:numPr>
          <w:ilvl w:val="0"/>
          <w:numId w:val="1689"/>
        </w:numPr>
        <w:tabs>
          <w:tab w:val="left" w:pos="773"/>
        </w:tabs>
        <w:spacing w:before="191" w:after="0" w:line="240" w:lineRule="auto"/>
        <w:ind w:left="772" w:right="0" w:hanging="182"/>
        <w:jc w:val="left"/>
        <w:rPr>
          <w:rFonts w:ascii="Times New Roman" w:eastAsia="Times New Roman"/>
          <w:color w:val="auto"/>
          <w:sz w:val="22"/>
        </w:rPr>
      </w:pPr>
      <w:r>
        <w:rPr>
          <w:color w:val="auto"/>
          <w:sz w:val="24"/>
        </w:rPr>
        <w:t>【从轻】</w:t>
      </w:r>
    </w:p>
    <w:p>
      <w:pPr>
        <w:pStyle w:val="13"/>
        <w:numPr>
          <w:ilvl w:val="0"/>
          <w:numId w:val="1690"/>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91"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r>
        <w:rPr>
          <w:rFonts w:ascii="Times New Roman" w:eastAsia="Times New Roman"/>
          <w:color w:val="auto"/>
        </w:rPr>
        <w:t>;</w:t>
      </w:r>
      <w:r>
        <w:rPr>
          <w:color w:val="auto"/>
          <w:spacing w:val="-5"/>
        </w:rPr>
        <w:t>已经申请食品生产经营许可并经现场核查合格的，涉案食品质量符合食品安全标准的。</w:t>
      </w:r>
    </w:p>
    <w:p>
      <w:pPr>
        <w:pStyle w:val="13"/>
        <w:numPr>
          <w:ilvl w:val="0"/>
          <w:numId w:val="1690"/>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3"/>
        </w:rPr>
        <w:t>没收违法所得和违法生产经营的食品、食品添加剂以及用于违法生产经营的工</w:t>
      </w:r>
      <w:r>
        <w:rPr>
          <w:color w:val="auto"/>
          <w:spacing w:val="-10"/>
        </w:rPr>
        <w:t xml:space="preserve">具、设备、原料等物品；并处 </w:t>
      </w:r>
      <w:r>
        <w:rPr>
          <w:rFonts w:ascii="Times New Roman" w:eastAsia="Times New Roman"/>
          <w:color w:val="auto"/>
        </w:rPr>
        <w:t xml:space="preserve">5 </w:t>
      </w:r>
      <w:r>
        <w:rPr>
          <w:color w:val="auto"/>
          <w:spacing w:val="-12"/>
        </w:rPr>
        <w:t xml:space="preserve">万元以上 </w:t>
      </w:r>
      <w:r>
        <w:rPr>
          <w:rFonts w:ascii="Times New Roman" w:eastAsia="Times New Roman"/>
          <w:color w:val="auto"/>
        </w:rPr>
        <w:t xml:space="preserve">7 </w:t>
      </w:r>
      <w:r>
        <w:rPr>
          <w:color w:val="auto"/>
          <w:spacing w:val="-8"/>
        </w:rPr>
        <w:t xml:space="preserve">万元以下罚款；或者 </w:t>
      </w:r>
      <w:r>
        <w:rPr>
          <w:rFonts w:ascii="Times New Roman" w:eastAsia="Times New Roman"/>
          <w:color w:val="auto"/>
        </w:rPr>
        <w:t xml:space="preserve">10 </w:t>
      </w:r>
      <w:r>
        <w:rPr>
          <w:color w:val="auto"/>
          <w:spacing w:val="-15"/>
        </w:rPr>
        <w:t xml:space="preserve">倍以上 </w:t>
      </w:r>
      <w:r>
        <w:rPr>
          <w:rFonts w:ascii="Times New Roman" w:eastAsia="Times New Roman"/>
          <w:color w:val="auto"/>
        </w:rPr>
        <w:t xml:space="preserve">14 </w:t>
      </w:r>
      <w:r>
        <w:rPr>
          <w:color w:val="auto"/>
          <w:spacing w:val="-5"/>
        </w:rPr>
        <w:t>倍以下</w:t>
      </w:r>
      <w:r>
        <w:rPr>
          <w:color w:val="auto"/>
        </w:rPr>
        <w:t>罚款。</w:t>
      </w:r>
    </w:p>
    <w:p>
      <w:pPr>
        <w:pStyle w:val="13"/>
        <w:numPr>
          <w:ilvl w:val="0"/>
          <w:numId w:val="1689"/>
        </w:numPr>
        <w:tabs>
          <w:tab w:val="left" w:pos="773"/>
        </w:tabs>
        <w:spacing w:before="0" w:after="0" w:line="304" w:lineRule="exact"/>
        <w:ind w:left="772" w:right="0" w:hanging="182"/>
        <w:jc w:val="left"/>
        <w:rPr>
          <w:rFonts w:ascii="Times New Roman" w:eastAsia="Times New Roman"/>
          <w:color w:val="auto"/>
          <w:sz w:val="22"/>
        </w:rPr>
      </w:pPr>
      <w:r>
        <w:rPr>
          <w:color w:val="auto"/>
          <w:sz w:val="24"/>
        </w:rPr>
        <w:t>【一般】</w:t>
      </w:r>
    </w:p>
    <w:p>
      <w:pPr>
        <w:pStyle w:val="13"/>
        <w:numPr>
          <w:ilvl w:val="0"/>
          <w:numId w:val="1691"/>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352"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691"/>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3"/>
        </w:rPr>
        <w:t>没收违法所得和违法生产经营的食品、食品添加剂以及用于违法生产经营的工</w:t>
      </w:r>
      <w:r>
        <w:rPr>
          <w:color w:val="auto"/>
          <w:spacing w:val="-10"/>
        </w:rPr>
        <w:t xml:space="preserve">具、设备、原料等物品；并处 </w:t>
      </w:r>
      <w:r>
        <w:rPr>
          <w:color w:val="auto"/>
        </w:rPr>
        <w:t>7</w:t>
      </w:r>
      <w:r>
        <w:rPr>
          <w:color w:val="auto"/>
          <w:spacing w:val="-20"/>
        </w:rPr>
        <w:t xml:space="preserve"> 万元以上 </w:t>
      </w:r>
      <w:r>
        <w:rPr>
          <w:color w:val="auto"/>
        </w:rPr>
        <w:t>8</w:t>
      </w:r>
      <w:r>
        <w:rPr>
          <w:color w:val="auto"/>
          <w:spacing w:val="-14"/>
        </w:rPr>
        <w:t xml:space="preserve"> 万元以下罚款；或者 </w:t>
      </w:r>
      <w:r>
        <w:rPr>
          <w:color w:val="auto"/>
        </w:rPr>
        <w:t>14</w:t>
      </w:r>
      <w:r>
        <w:rPr>
          <w:color w:val="auto"/>
          <w:spacing w:val="-24"/>
        </w:rPr>
        <w:t xml:space="preserve"> 倍以上 </w:t>
      </w:r>
      <w:r>
        <w:rPr>
          <w:color w:val="auto"/>
        </w:rPr>
        <w:t>16</w:t>
      </w:r>
      <w:r>
        <w:rPr>
          <w:color w:val="auto"/>
          <w:spacing w:val="-19"/>
        </w:rPr>
        <w:t xml:space="preserve"> 倍以下</w:t>
      </w:r>
      <w:r>
        <w:rPr>
          <w:color w:val="auto"/>
        </w:rPr>
        <w:t>罚款。</w:t>
      </w:r>
    </w:p>
    <w:p>
      <w:pPr>
        <w:pStyle w:val="13"/>
        <w:numPr>
          <w:ilvl w:val="0"/>
          <w:numId w:val="1689"/>
        </w:numPr>
        <w:tabs>
          <w:tab w:val="left" w:pos="833"/>
        </w:tabs>
        <w:spacing w:before="0" w:after="0" w:line="304" w:lineRule="exact"/>
        <w:ind w:left="832" w:right="0" w:hanging="242"/>
        <w:jc w:val="left"/>
        <w:rPr>
          <w:color w:val="auto"/>
          <w:sz w:val="22"/>
        </w:rPr>
      </w:pPr>
      <w:r>
        <w:rPr>
          <w:color w:val="auto"/>
          <w:sz w:val="24"/>
        </w:rPr>
        <w:t>【从重】</w:t>
      </w:r>
    </w:p>
    <w:p>
      <w:pPr>
        <w:pStyle w:val="13"/>
        <w:numPr>
          <w:ilvl w:val="0"/>
          <w:numId w:val="169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352" w:firstLine="480"/>
        <w:rPr>
          <w:color w:val="auto"/>
        </w:rPr>
      </w:pPr>
      <w:r>
        <w:rPr>
          <w:color w:val="auto"/>
        </w:rPr>
        <w:t>符合《山东省市场监督管理局行使行政处罚裁量权适用规则（试行</w:t>
      </w:r>
      <w:r>
        <w:rPr>
          <w:color w:val="auto"/>
          <w:spacing w:val="-120"/>
        </w:rPr>
        <w:t>）</w:t>
      </w:r>
      <w:r>
        <w:rPr>
          <w:color w:val="auto"/>
          <w:spacing w:val="-4"/>
        </w:rPr>
        <w:t>》第十三条</w:t>
      </w:r>
      <w:r>
        <w:rPr>
          <w:color w:val="auto"/>
        </w:rPr>
        <w:t>规定情形的;导致食品安全事故的。</w:t>
      </w:r>
    </w:p>
    <w:p>
      <w:pPr>
        <w:pStyle w:val="13"/>
        <w:numPr>
          <w:ilvl w:val="0"/>
          <w:numId w:val="169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39" w:line="391" w:lineRule="auto"/>
        <w:ind w:right="268" w:firstLine="480"/>
        <w:jc w:val="both"/>
        <w:rPr>
          <w:color w:val="auto"/>
        </w:rPr>
      </w:pPr>
      <w:r>
        <w:rPr>
          <w:color w:val="auto"/>
          <w:spacing w:val="3"/>
        </w:rPr>
        <w:t>没收违法所得和违法生产经营的食品、食品添加剂以及用于违法生产经营的工</w:t>
      </w:r>
      <w:r>
        <w:rPr>
          <w:color w:val="auto"/>
          <w:spacing w:val="-1"/>
        </w:rPr>
        <w:t xml:space="preserve">具、设备、原料等物品；并处 </w:t>
      </w:r>
      <w:r>
        <w:rPr>
          <w:color w:val="auto"/>
        </w:rPr>
        <w:t>8</w:t>
      </w:r>
      <w:r>
        <w:rPr>
          <w:color w:val="auto"/>
          <w:spacing w:val="-19"/>
        </w:rPr>
        <w:t xml:space="preserve"> 万元以上 </w:t>
      </w:r>
      <w:r>
        <w:rPr>
          <w:color w:val="auto"/>
        </w:rPr>
        <w:t>10</w:t>
      </w:r>
      <w:r>
        <w:rPr>
          <w:color w:val="auto"/>
          <w:spacing w:val="-12"/>
        </w:rPr>
        <w:t xml:space="preserve"> 万元以下罚款；或者 </w:t>
      </w:r>
      <w:r>
        <w:rPr>
          <w:color w:val="auto"/>
        </w:rPr>
        <w:t>16</w:t>
      </w:r>
      <w:r>
        <w:rPr>
          <w:color w:val="auto"/>
          <w:spacing w:val="-22"/>
        </w:rPr>
        <w:t xml:space="preserve"> 倍以上 </w:t>
      </w:r>
      <w:r>
        <w:rPr>
          <w:color w:val="auto"/>
        </w:rPr>
        <w:t>20</w:t>
      </w:r>
      <w:r>
        <w:rPr>
          <w:color w:val="auto"/>
          <w:spacing w:val="-18"/>
        </w:rPr>
        <w:t xml:space="preserve"> 倍以下罚款。</w:t>
      </w:r>
    </w:p>
    <w:p>
      <w:pPr>
        <w:pStyle w:val="2"/>
        <w:spacing w:line="391" w:lineRule="auto"/>
        <w:ind w:left="111" w:right="242" w:firstLine="480"/>
        <w:rPr>
          <w:color w:val="auto"/>
        </w:rPr>
      </w:pPr>
      <w:r>
        <w:rPr>
          <w:color w:val="auto"/>
          <w:spacing w:val="-15"/>
          <w:w w:val="99"/>
        </w:rPr>
        <w:t>说明：在本章的处罚标准中，从轻的，“以下”不包括本数；从重的，“以上”不</w:t>
      </w:r>
      <w:r>
        <w:rPr>
          <w:color w:val="auto"/>
          <w:spacing w:val="-15"/>
        </w:rPr>
        <w:t>包括本数（下同</w:t>
      </w:r>
      <w:r>
        <w:rPr>
          <w:color w:val="auto"/>
          <w:spacing w:val="-118"/>
        </w:rPr>
        <w:t>）</w:t>
      </w:r>
      <w:r>
        <w:rPr>
          <w:color w:val="auto"/>
        </w:rPr>
        <w:t>。</w:t>
      </w:r>
    </w:p>
    <w:p>
      <w:pPr>
        <w:pStyle w:val="2"/>
        <w:spacing w:line="388" w:lineRule="auto"/>
        <w:ind w:left="111" w:right="240" w:firstLine="480"/>
        <w:rPr>
          <w:color w:val="auto"/>
        </w:rPr>
      </w:pPr>
      <w:bookmarkStart w:id="1490" w:name="七百二十九、明知食品生产经营者、食品添加剂生产者未取得许可，仍为其提供生产经营场"/>
      <w:bookmarkEnd w:id="1490"/>
      <w:bookmarkStart w:id="1491" w:name="_bookmark744"/>
      <w:bookmarkEnd w:id="1491"/>
      <w:r>
        <w:rPr>
          <w:color w:val="auto"/>
          <w:spacing w:val="-7"/>
        </w:rPr>
        <w:t>七百二十九、明知食品生产经营者、食品添加剂生产者未取得许可，仍为其提供生产经营场所或者其他条件</w:t>
      </w:r>
    </w:p>
    <w:p>
      <w:pPr>
        <w:spacing w:before="0"/>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spacing w:val="-5"/>
        </w:rPr>
        <w:t>《食品安全法》第一百二十二条第二款 明知从事前款规定的违法行为，仍为其</w:t>
      </w:r>
      <w:r>
        <w:rPr>
          <w:color w:val="auto"/>
          <w:spacing w:val="-4"/>
        </w:rPr>
        <w:t>提供生产经营场所或者其他条件的，由县级以上人民政府食品安全监督管理部门责令</w:t>
      </w:r>
      <w:r>
        <w:rPr>
          <w:color w:val="auto"/>
          <w:spacing w:val="-5"/>
        </w:rPr>
        <w:t>停止违法行为，没收违法所得，并处五万元以上十万元以下罚款；使消费者的合法权</w:t>
      </w:r>
      <w:r>
        <w:rPr>
          <w:color w:val="auto"/>
        </w:rPr>
        <w:t>益受到损害的，应当与食品、食品添加剂生产经营者承担连带责任。</w:t>
      </w:r>
    </w:p>
    <w:p>
      <w:pPr>
        <w:pStyle w:val="2"/>
        <w:spacing w:line="302" w:lineRule="exact"/>
        <w:rPr>
          <w:color w:val="auto"/>
        </w:rPr>
      </w:pPr>
      <w:r>
        <w:rPr>
          <w:color w:val="auto"/>
        </w:rPr>
        <w:t>（二）裁量标准</w:t>
      </w:r>
    </w:p>
    <w:p>
      <w:pPr>
        <w:pStyle w:val="4"/>
        <w:spacing w:before="194"/>
        <w:ind w:left="591"/>
        <w:rPr>
          <w:color w:val="auto"/>
        </w:rPr>
      </w:pPr>
      <w:r>
        <w:rPr>
          <w:color w:val="auto"/>
        </w:rPr>
        <w:t>1.【从轻】</w:t>
      </w:r>
    </w:p>
    <w:p>
      <w:pPr>
        <w:pStyle w:val="13"/>
        <w:numPr>
          <w:ilvl w:val="0"/>
          <w:numId w:val="169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9" w:firstLine="480"/>
        <w:jc w:val="both"/>
        <w:rPr>
          <w:color w:val="auto"/>
        </w:rPr>
      </w:pPr>
      <w:r>
        <w:rPr>
          <w:color w:val="auto"/>
          <w:spacing w:val="-7"/>
        </w:rPr>
        <w:t xml:space="preserve">违法所得 </w:t>
      </w:r>
      <w:r>
        <w:rPr>
          <w:color w:val="auto"/>
        </w:rPr>
        <w:t>1</w:t>
      </w:r>
      <w:r>
        <w:rPr>
          <w:color w:val="auto"/>
          <w:spacing w:val="-6"/>
        </w:rPr>
        <w:t xml:space="preserve"> 万元以下;未给消费者合法权益造成损害；涉案产品不属于有毒有害食品的；符合《山东省市场监督管理局行使行政处罚裁量权适用规则（试行</w:t>
      </w:r>
      <w:r>
        <w:rPr>
          <w:color w:val="auto"/>
          <w:spacing w:val="-118"/>
        </w:rPr>
        <w:t>）</w:t>
      </w:r>
      <w:r>
        <w:rPr>
          <w:color w:val="auto"/>
        </w:rPr>
        <w:t>》第十一条、第十二条规定情形的。</w:t>
      </w:r>
    </w:p>
    <w:p>
      <w:pPr>
        <w:pStyle w:val="13"/>
        <w:numPr>
          <w:ilvl w:val="0"/>
          <w:numId w:val="1693"/>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line="388" w:lineRule="auto"/>
        <w:ind w:left="591" w:right="3352"/>
        <w:rPr>
          <w:color w:val="auto"/>
        </w:rPr>
      </w:pPr>
      <w:r>
        <w:rPr>
          <w:color w:val="auto"/>
          <w:spacing w:val="-6"/>
        </w:rPr>
        <w:t xml:space="preserve">没收违法所得，并处 </w:t>
      </w:r>
      <w:r>
        <w:rPr>
          <w:color w:val="auto"/>
        </w:rPr>
        <w:t>5</w:t>
      </w:r>
      <w:r>
        <w:rPr>
          <w:color w:val="auto"/>
          <w:spacing w:val="-20"/>
        </w:rPr>
        <w:t xml:space="preserve"> 万元以上 </w:t>
      </w:r>
      <w:r>
        <w:rPr>
          <w:color w:val="auto"/>
        </w:rPr>
        <w:t>8</w:t>
      </w:r>
      <w:r>
        <w:rPr>
          <w:color w:val="auto"/>
          <w:spacing w:val="-10"/>
        </w:rPr>
        <w:t xml:space="preserve"> 万元以下罚款。</w:t>
      </w:r>
      <w:r>
        <w:rPr>
          <w:color w:val="auto"/>
        </w:rPr>
        <w:t>2.【从重】</w:t>
      </w:r>
    </w:p>
    <w:p>
      <w:pPr>
        <w:pStyle w:val="13"/>
        <w:numPr>
          <w:ilvl w:val="0"/>
          <w:numId w:val="1694"/>
        </w:numPr>
        <w:tabs>
          <w:tab w:val="left" w:pos="1193"/>
        </w:tabs>
        <w:spacing w:before="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jc w:val="both"/>
        <w:rPr>
          <w:color w:val="auto"/>
        </w:rPr>
      </w:pPr>
      <w:r>
        <w:rPr>
          <w:color w:val="auto"/>
          <w:spacing w:val="-7"/>
        </w:rPr>
        <w:t xml:space="preserve">违法所得 </w:t>
      </w:r>
      <w:r>
        <w:rPr>
          <w:color w:val="auto"/>
        </w:rPr>
        <w:t>1</w:t>
      </w:r>
      <w:r>
        <w:rPr>
          <w:color w:val="auto"/>
          <w:spacing w:val="-6"/>
        </w:rPr>
        <w:t xml:space="preserve"> 万元以上;给消费者合法权益造成损害；涉案产品属于有毒有害食品的；符合《山东省市场监督管理局行使行政处罚裁量权适用规则（试行</w:t>
      </w:r>
      <w:r>
        <w:rPr>
          <w:color w:val="auto"/>
          <w:spacing w:val="-118"/>
        </w:rPr>
        <w:t>）</w:t>
      </w:r>
      <w:r>
        <w:rPr>
          <w:color w:val="auto"/>
        </w:rPr>
        <w:t>》第十三条规定情形的。</w:t>
      </w:r>
    </w:p>
    <w:p>
      <w:pPr>
        <w:pStyle w:val="13"/>
        <w:numPr>
          <w:ilvl w:val="0"/>
          <w:numId w:val="1694"/>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没收违法所得，并处 8 万元以上 10 万元以下罚款。</w:t>
      </w:r>
    </w:p>
    <w:p>
      <w:pPr>
        <w:pStyle w:val="2"/>
        <w:spacing w:before="192"/>
        <w:rPr>
          <w:color w:val="auto"/>
        </w:rPr>
      </w:pPr>
      <w:bookmarkStart w:id="1492" w:name="七百三十、用非食品原料生产食品、在食品中添加食品添加剂以外的化学物质和其他可能危"/>
      <w:bookmarkEnd w:id="1492"/>
      <w:bookmarkStart w:id="1493" w:name="_bookmark745"/>
      <w:bookmarkEnd w:id="1493"/>
      <w:r>
        <w:rPr>
          <w:color w:val="auto"/>
        </w:rPr>
        <w:t>七百三十、用非食品原料生产食品、在食品中添加食品添加剂以外的化学物质和</w:t>
      </w:r>
    </w:p>
    <w:p>
      <w:pPr>
        <w:spacing w:before="39" w:line="391" w:lineRule="auto"/>
        <w:ind w:left="111" w:right="235" w:firstLine="0"/>
        <w:jc w:val="both"/>
        <w:rPr>
          <w:b/>
          <w:color w:val="auto"/>
          <w:sz w:val="24"/>
        </w:rPr>
      </w:pPr>
      <w:r>
        <w:rPr>
          <w:b/>
          <w:color w:val="auto"/>
          <w:spacing w:val="-5"/>
          <w:sz w:val="24"/>
        </w:rPr>
        <w:t>其他可能危害人体健康的物质，或者用回收食品作为原料生产食品，或者经营上述食</w:t>
      </w:r>
      <w:r>
        <w:rPr>
          <w:b/>
          <w:color w:val="auto"/>
          <w:spacing w:val="3"/>
          <w:w w:val="95"/>
          <w:sz w:val="24"/>
        </w:rPr>
        <w:t xml:space="preserve">品；生产经营营养成分不符合食品安全标准的专供婴幼儿和其他特定人群的主辅食  </w:t>
      </w:r>
      <w:r>
        <w:rPr>
          <w:b/>
          <w:color w:val="auto"/>
          <w:spacing w:val="-8"/>
          <w:sz w:val="24"/>
        </w:rPr>
        <w:t>品；经营病死、毒死或者死因不明的禽、畜、兽、水产动物肉类，或者生产经营其制</w:t>
      </w:r>
      <w:r>
        <w:rPr>
          <w:b/>
          <w:color w:val="auto"/>
          <w:spacing w:val="-9"/>
          <w:sz w:val="24"/>
        </w:rPr>
        <w:t>品；经营未按规定进行检疫或者检疫不合格的肉类，或者生产经营未经检验或者检验</w:t>
      </w:r>
      <w:r>
        <w:rPr>
          <w:b/>
          <w:color w:val="auto"/>
          <w:spacing w:val="-11"/>
          <w:sz w:val="24"/>
        </w:rPr>
        <w:t>不合格的肉类制品；生产经营国家为防病等特殊需要明令禁止生产经营的食品；生产经营添加药品的食品</w:t>
      </w:r>
    </w:p>
    <w:p>
      <w:pPr>
        <w:spacing w:before="0" w:line="300" w:lineRule="exact"/>
        <w:ind w:left="591" w:right="0" w:firstLine="0"/>
        <w:jc w:val="left"/>
        <w:rPr>
          <w:b/>
          <w:color w:val="auto"/>
          <w:sz w:val="24"/>
        </w:rPr>
      </w:pPr>
      <w:r>
        <w:rPr>
          <w:b/>
          <w:color w:val="auto"/>
          <w:w w:val="95"/>
          <w:sz w:val="24"/>
        </w:rPr>
        <w:t>（一）处罚依据</w:t>
      </w:r>
    </w:p>
    <w:p>
      <w:pPr>
        <w:pStyle w:val="4"/>
        <w:spacing w:before="195" w:line="391" w:lineRule="auto"/>
        <w:ind w:right="268" w:firstLine="480"/>
        <w:jc w:val="both"/>
        <w:rPr>
          <w:color w:val="auto"/>
        </w:rPr>
      </w:pPr>
      <w:r>
        <w:rPr>
          <w:color w:val="auto"/>
          <w:spacing w:val="-5"/>
        </w:rPr>
        <w:t>《食品安全法》第一百二十三条第一款 违反本法规定，有下列情形之一，尚不</w:t>
      </w:r>
      <w:r>
        <w:rPr>
          <w:color w:val="auto"/>
          <w:spacing w:val="-7"/>
        </w:rPr>
        <w:t>构成犯罪的，由县级以上人民政府食品安全监督管理部门没收违法所得和违法生产经</w:t>
      </w:r>
      <w:r>
        <w:rPr>
          <w:color w:val="auto"/>
          <w:spacing w:val="-6"/>
        </w:rPr>
        <w:t>营的食品，并可以没收用于违法生产经营的工具、设备、原料等物品；违法生产经营</w:t>
      </w:r>
      <w:r>
        <w:rPr>
          <w:color w:val="auto"/>
          <w:spacing w:val="-4"/>
        </w:rPr>
        <w:t>的食品货值金额不足一万元的，并处十万元以上十五万元以下罚款；货值金额一万元</w:t>
      </w:r>
      <w:r>
        <w:rPr>
          <w:color w:val="auto"/>
          <w:spacing w:val="-7"/>
        </w:rPr>
        <w:t>以上的，并处货值金额十五倍以上三十倍以下罚款；情节严重的，吊销许可证，并可</w:t>
      </w:r>
      <w:r>
        <w:rPr>
          <w:color w:val="auto"/>
          <w:spacing w:val="3"/>
        </w:rPr>
        <w:t>以由公安机关对其直接负责的主管人员和其他直接责任人员处五日以上十五日以下拘留：</w:t>
      </w:r>
    </w:p>
    <w:p>
      <w:pPr>
        <w:pStyle w:val="4"/>
        <w:spacing w:line="388" w:lineRule="auto"/>
        <w:ind w:right="232" w:firstLine="480"/>
        <w:rPr>
          <w:color w:val="auto"/>
        </w:rPr>
      </w:pPr>
      <w:r>
        <w:rPr>
          <w:color w:val="auto"/>
        </w:rPr>
        <w:t>（一）用非食品原料生产食品、在食品中添加食品添加剂以外的化学物质和其他可能危害人体健康的物质，或者用回收食品作为原料生产食品，或者经营上述食品；</w:t>
      </w:r>
    </w:p>
    <w:p>
      <w:pPr>
        <w:pStyle w:val="4"/>
        <w:spacing w:line="388" w:lineRule="auto"/>
        <w:ind w:right="213" w:firstLine="480"/>
        <w:rPr>
          <w:color w:val="auto"/>
        </w:rPr>
      </w:pPr>
      <w:r>
        <w:rPr>
          <w:color w:val="auto"/>
        </w:rPr>
        <w:t>（二）生产经营营养成分不符合食品安全标准的专供婴幼儿和其他特定人群的主辅食品；</w:t>
      </w:r>
    </w:p>
    <w:p>
      <w:pPr>
        <w:pStyle w:val="4"/>
        <w:spacing w:line="391" w:lineRule="auto"/>
        <w:ind w:right="219" w:firstLine="480"/>
        <w:rPr>
          <w:color w:val="auto"/>
        </w:rPr>
      </w:pPr>
      <w:r>
        <w:rPr>
          <w:color w:val="auto"/>
        </w:rPr>
        <w:t>（三）经营病死、毒死或者死因不明的禽、畜、兽、水产动物肉类，或者生产经营其制品；</w:t>
      </w:r>
    </w:p>
    <w:p>
      <w:pPr>
        <w:pStyle w:val="4"/>
        <w:spacing w:line="388" w:lineRule="auto"/>
        <w:ind w:right="213" w:firstLine="480"/>
        <w:rPr>
          <w:color w:val="auto"/>
        </w:rPr>
      </w:pPr>
      <w:r>
        <w:rPr>
          <w:color w:val="auto"/>
        </w:rPr>
        <w:t>（四）经营未按规定进行检疫或者检疫不合格的肉类，或者生产经营未经检验或者检验不合格的肉类制品；</w:t>
      </w:r>
    </w:p>
    <w:p>
      <w:pPr>
        <w:pStyle w:val="4"/>
        <w:ind w:left="591"/>
        <w:rPr>
          <w:color w:val="auto"/>
        </w:rPr>
      </w:pPr>
      <w:r>
        <w:rPr>
          <w:color w:val="auto"/>
        </w:rPr>
        <w:t>（五）生产经营国家为防病等特殊需要明令禁止生产经营的食品；</w:t>
      </w:r>
    </w:p>
    <w:p>
      <w:pPr>
        <w:pStyle w:val="4"/>
        <w:spacing w:before="191"/>
        <w:ind w:left="591"/>
        <w:rPr>
          <w:color w:val="auto"/>
        </w:rPr>
      </w:pPr>
      <w:r>
        <w:rPr>
          <w:color w:val="auto"/>
        </w:rPr>
        <w:t>（六）生产经营添加药品的食品。</w:t>
      </w:r>
    </w:p>
    <w:p>
      <w:pPr>
        <w:pStyle w:val="2"/>
        <w:spacing w:before="192"/>
        <w:rPr>
          <w:color w:val="auto"/>
        </w:rPr>
      </w:pPr>
      <w:r>
        <w:rPr>
          <w:color w:val="auto"/>
        </w:rPr>
        <w:t>（二）裁量标准</w:t>
      </w:r>
    </w:p>
    <w:p>
      <w:pPr>
        <w:pStyle w:val="13"/>
        <w:numPr>
          <w:ilvl w:val="0"/>
          <w:numId w:val="1695"/>
        </w:numPr>
        <w:tabs>
          <w:tab w:val="left" w:pos="833"/>
        </w:tabs>
        <w:spacing w:before="194" w:after="0" w:line="240" w:lineRule="auto"/>
        <w:ind w:left="832" w:right="0" w:hanging="242"/>
        <w:jc w:val="left"/>
        <w:rPr>
          <w:color w:val="auto"/>
          <w:sz w:val="24"/>
        </w:rPr>
      </w:pPr>
      <w:r>
        <w:rPr>
          <w:color w:val="auto"/>
          <w:sz w:val="24"/>
        </w:rPr>
        <w:t>【从轻】</w:t>
      </w:r>
    </w:p>
    <w:p>
      <w:pPr>
        <w:pStyle w:val="13"/>
        <w:numPr>
          <w:ilvl w:val="0"/>
          <w:numId w:val="169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12"/>
        <w:ind w:left="591"/>
        <w:rPr>
          <w:color w:val="auto"/>
        </w:rPr>
      </w:pPr>
      <w:r>
        <w:rPr>
          <w:color w:val="auto"/>
        </w:rPr>
        <w:t>食品生产者主动终止违法行为，且涉案产品未销售的;食品经营者符合《山东省</w:t>
      </w:r>
    </w:p>
    <w:p>
      <w:pPr>
        <w:pStyle w:val="4"/>
        <w:spacing w:before="40" w:line="312" w:lineRule="auto"/>
        <w:ind w:right="268"/>
        <w:rPr>
          <w:color w:val="auto"/>
        </w:rPr>
      </w:pPr>
      <w:r>
        <w:rPr>
          <w:color w:val="auto"/>
        </w:rPr>
        <w:t>市场监督管理局行使行政处罚裁量权适用规则（试行</w:t>
      </w:r>
      <w:r>
        <w:rPr>
          <w:color w:val="auto"/>
          <w:spacing w:val="-118"/>
        </w:rPr>
        <w:t>）</w:t>
      </w:r>
      <w:r>
        <w:rPr>
          <w:color w:val="auto"/>
        </w:rPr>
        <w:t>》第十一条、第十二条规定情形的。</w:t>
      </w:r>
    </w:p>
    <w:p>
      <w:pPr>
        <w:pStyle w:val="13"/>
        <w:numPr>
          <w:ilvl w:val="0"/>
          <w:numId w:val="1696"/>
        </w:numPr>
        <w:tabs>
          <w:tab w:val="left" w:pos="1193"/>
        </w:tabs>
        <w:spacing w:before="82" w:after="0" w:line="240" w:lineRule="auto"/>
        <w:ind w:left="1192" w:right="0" w:hanging="602"/>
        <w:jc w:val="left"/>
        <w:rPr>
          <w:color w:val="auto"/>
          <w:sz w:val="24"/>
        </w:rPr>
      </w:pPr>
      <w:r>
        <w:rPr>
          <w:color w:val="auto"/>
          <w:sz w:val="24"/>
        </w:rPr>
        <w:t>处罚标准</w:t>
      </w:r>
    </w:p>
    <w:p>
      <w:pPr>
        <w:pStyle w:val="4"/>
        <w:spacing w:before="112" w:line="312" w:lineRule="auto"/>
        <w:ind w:right="148" w:firstLine="480"/>
        <w:rPr>
          <w:color w:val="auto"/>
        </w:rPr>
      </w:pPr>
      <w:r>
        <w:rPr>
          <w:color w:val="auto"/>
          <w:spacing w:val="-3"/>
        </w:rPr>
        <w:t>没收违法所得和违法生产经营的食品，并可以没收用于违法生产经营的工具、设</w:t>
      </w:r>
      <w:r>
        <w:rPr>
          <w:color w:val="auto"/>
          <w:spacing w:val="-18"/>
        </w:rPr>
        <w:t xml:space="preserve">备、原料等物品；并处 </w:t>
      </w:r>
      <w:r>
        <w:rPr>
          <w:color w:val="auto"/>
        </w:rPr>
        <w:t>10</w:t>
      </w:r>
      <w:r>
        <w:rPr>
          <w:color w:val="auto"/>
          <w:spacing w:val="-20"/>
        </w:rPr>
        <w:t xml:space="preserve"> 万元以上 </w:t>
      </w:r>
      <w:r>
        <w:rPr>
          <w:color w:val="auto"/>
        </w:rPr>
        <w:t>12</w:t>
      </w:r>
      <w:r>
        <w:rPr>
          <w:color w:val="auto"/>
          <w:spacing w:val="-18"/>
        </w:rPr>
        <w:t xml:space="preserve"> 万元以下罚款；或者 </w:t>
      </w:r>
      <w:r>
        <w:rPr>
          <w:color w:val="auto"/>
        </w:rPr>
        <w:t>15</w:t>
      </w:r>
      <w:r>
        <w:rPr>
          <w:color w:val="auto"/>
          <w:spacing w:val="-24"/>
        </w:rPr>
        <w:t xml:space="preserve"> 倍以上 </w:t>
      </w:r>
      <w:r>
        <w:rPr>
          <w:color w:val="auto"/>
        </w:rPr>
        <w:t>20</w:t>
      </w:r>
      <w:r>
        <w:rPr>
          <w:color w:val="auto"/>
          <w:spacing w:val="-11"/>
        </w:rPr>
        <w:t xml:space="preserve"> 倍以下罚款。</w:t>
      </w:r>
    </w:p>
    <w:p>
      <w:pPr>
        <w:pStyle w:val="13"/>
        <w:numPr>
          <w:ilvl w:val="0"/>
          <w:numId w:val="1695"/>
        </w:numPr>
        <w:tabs>
          <w:tab w:val="left" w:pos="833"/>
        </w:tabs>
        <w:spacing w:before="0" w:after="0" w:line="307" w:lineRule="exact"/>
        <w:ind w:left="832" w:right="0" w:hanging="242"/>
        <w:jc w:val="left"/>
        <w:rPr>
          <w:color w:val="auto"/>
          <w:sz w:val="24"/>
        </w:rPr>
      </w:pPr>
      <w:r>
        <w:rPr>
          <w:color w:val="auto"/>
          <w:sz w:val="24"/>
        </w:rPr>
        <w:t>【一般】</w:t>
      </w:r>
    </w:p>
    <w:p>
      <w:pPr>
        <w:pStyle w:val="13"/>
        <w:numPr>
          <w:ilvl w:val="0"/>
          <w:numId w:val="1697"/>
        </w:numPr>
        <w:tabs>
          <w:tab w:val="left" w:pos="1193"/>
        </w:tabs>
        <w:spacing w:before="173" w:after="0" w:line="240" w:lineRule="auto"/>
        <w:ind w:left="1192" w:right="0" w:hanging="602"/>
        <w:jc w:val="left"/>
        <w:rPr>
          <w:color w:val="auto"/>
          <w:sz w:val="24"/>
        </w:rPr>
      </w:pPr>
      <w:r>
        <w:rPr>
          <w:color w:val="auto"/>
          <w:sz w:val="24"/>
        </w:rPr>
        <w:t>违法情形</w:t>
      </w:r>
    </w:p>
    <w:p>
      <w:pPr>
        <w:pStyle w:val="4"/>
        <w:spacing w:before="191" w:line="391" w:lineRule="auto"/>
        <w:ind w:right="271"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69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148" w:firstLine="480"/>
        <w:rPr>
          <w:color w:val="auto"/>
        </w:rPr>
      </w:pPr>
      <w:r>
        <w:rPr>
          <w:color w:val="auto"/>
          <w:spacing w:val="-3"/>
        </w:rPr>
        <w:t>没收违法所得和违法生产经营的食品，并可以没收用于违法生产经营的工具、设</w:t>
      </w:r>
      <w:r>
        <w:rPr>
          <w:color w:val="auto"/>
          <w:spacing w:val="-18"/>
        </w:rPr>
        <w:t xml:space="preserve">备、原料等物品；并处 </w:t>
      </w:r>
      <w:r>
        <w:rPr>
          <w:color w:val="auto"/>
        </w:rPr>
        <w:t>12</w:t>
      </w:r>
      <w:r>
        <w:rPr>
          <w:color w:val="auto"/>
          <w:spacing w:val="-20"/>
        </w:rPr>
        <w:t xml:space="preserve"> 万元以上 </w:t>
      </w:r>
      <w:r>
        <w:rPr>
          <w:color w:val="auto"/>
        </w:rPr>
        <w:t>13</w:t>
      </w:r>
      <w:r>
        <w:rPr>
          <w:color w:val="auto"/>
          <w:spacing w:val="-18"/>
        </w:rPr>
        <w:t xml:space="preserve"> 万元以下罚款；或者 </w:t>
      </w:r>
      <w:r>
        <w:rPr>
          <w:color w:val="auto"/>
        </w:rPr>
        <w:t>20</w:t>
      </w:r>
      <w:r>
        <w:rPr>
          <w:color w:val="auto"/>
          <w:spacing w:val="-24"/>
        </w:rPr>
        <w:t xml:space="preserve"> 倍以上 </w:t>
      </w:r>
      <w:r>
        <w:rPr>
          <w:color w:val="auto"/>
        </w:rPr>
        <w:t>25</w:t>
      </w:r>
      <w:r>
        <w:rPr>
          <w:color w:val="auto"/>
          <w:spacing w:val="-11"/>
        </w:rPr>
        <w:t xml:space="preserve"> 倍以下罚款。</w:t>
      </w:r>
    </w:p>
    <w:p>
      <w:pPr>
        <w:pStyle w:val="13"/>
        <w:numPr>
          <w:ilvl w:val="0"/>
          <w:numId w:val="1695"/>
        </w:numPr>
        <w:tabs>
          <w:tab w:val="left" w:pos="833"/>
        </w:tabs>
        <w:spacing w:before="0" w:after="0" w:line="306" w:lineRule="exact"/>
        <w:ind w:left="832" w:right="0" w:hanging="242"/>
        <w:jc w:val="left"/>
        <w:rPr>
          <w:color w:val="auto"/>
          <w:sz w:val="24"/>
        </w:rPr>
      </w:pPr>
      <w:r>
        <w:rPr>
          <w:color w:val="auto"/>
          <w:sz w:val="24"/>
        </w:rPr>
        <w:t>【从重】</w:t>
      </w:r>
    </w:p>
    <w:p>
      <w:pPr>
        <w:pStyle w:val="13"/>
        <w:numPr>
          <w:ilvl w:val="0"/>
          <w:numId w:val="169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3"/>
        </w:rPr>
        <w:t>食品生产者具有上述六种违法行为之一的；食品经营者有上述第三项违法行为</w:t>
      </w:r>
      <w:r>
        <w:rPr>
          <w:color w:val="auto"/>
          <w:spacing w:val="-5"/>
        </w:rPr>
        <w:t>的；食品经营者符合《山东省市场监督管理局行使行政处罚裁量权适用规则</w:t>
      </w:r>
      <w:r>
        <w:rPr>
          <w:color w:val="auto"/>
        </w:rPr>
        <w:t>（试行</w:t>
      </w:r>
      <w:r>
        <w:rPr>
          <w:color w:val="auto"/>
          <w:spacing w:val="-120"/>
        </w:rPr>
        <w:t>）</w:t>
      </w:r>
      <w:r>
        <w:rPr>
          <w:color w:val="auto"/>
          <w:spacing w:val="-17"/>
        </w:rPr>
        <w:t>》</w:t>
      </w:r>
      <w:r>
        <w:rPr>
          <w:color w:val="auto"/>
        </w:rPr>
        <w:t>第十三条规定情形的；导致食品安全事故的。</w:t>
      </w:r>
    </w:p>
    <w:p>
      <w:pPr>
        <w:pStyle w:val="13"/>
        <w:numPr>
          <w:ilvl w:val="0"/>
          <w:numId w:val="169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line="388" w:lineRule="auto"/>
        <w:ind w:right="213" w:firstLine="480"/>
        <w:rPr>
          <w:color w:val="auto"/>
        </w:rPr>
      </w:pPr>
      <w:r>
        <w:rPr>
          <w:color w:val="auto"/>
        </w:rPr>
        <w:t>没收违法所得和违法生产经营的食品，没收用于违法生产经营的工具、设备、原料等物品；并处 13 万元以上 15 万元以下罚款；或者 25 倍以上 30 倍以下罚款。</w:t>
      </w:r>
    </w:p>
    <w:p>
      <w:pPr>
        <w:pStyle w:val="13"/>
        <w:numPr>
          <w:ilvl w:val="0"/>
          <w:numId w:val="1695"/>
        </w:numPr>
        <w:tabs>
          <w:tab w:val="left" w:pos="833"/>
        </w:tabs>
        <w:spacing w:before="5" w:after="0" w:line="240" w:lineRule="auto"/>
        <w:ind w:left="832" w:right="0" w:hanging="242"/>
        <w:jc w:val="left"/>
        <w:rPr>
          <w:color w:val="auto"/>
          <w:sz w:val="24"/>
        </w:rPr>
      </w:pPr>
      <w:r>
        <w:rPr>
          <w:color w:val="auto"/>
          <w:sz w:val="24"/>
        </w:rPr>
        <w:t>【严重】</w:t>
      </w:r>
    </w:p>
    <w:p>
      <w:pPr>
        <w:pStyle w:val="13"/>
        <w:numPr>
          <w:ilvl w:val="0"/>
          <w:numId w:val="1699"/>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因上述违法行为造成严重后果的;法律法规规定的其他情形。</w:t>
      </w:r>
    </w:p>
    <w:p>
      <w:pPr>
        <w:pStyle w:val="13"/>
        <w:numPr>
          <w:ilvl w:val="0"/>
          <w:numId w:val="1699"/>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4"/>
        </w:rPr>
        <w:t>没收违法所得和违法生产经营的食品，没收用于违法生产经营的工具、设备、原</w:t>
      </w:r>
      <w:r>
        <w:rPr>
          <w:color w:val="auto"/>
          <w:spacing w:val="-11"/>
        </w:rPr>
        <w:t xml:space="preserve">料等物品；并处 </w:t>
      </w:r>
      <w:r>
        <w:rPr>
          <w:color w:val="auto"/>
        </w:rPr>
        <w:t>15</w:t>
      </w:r>
      <w:r>
        <w:rPr>
          <w:color w:val="auto"/>
          <w:spacing w:val="-20"/>
        </w:rPr>
        <w:t xml:space="preserve"> 万罚款或 </w:t>
      </w:r>
      <w:r>
        <w:rPr>
          <w:color w:val="auto"/>
        </w:rPr>
        <w:t>30</w:t>
      </w:r>
      <w:r>
        <w:rPr>
          <w:color w:val="auto"/>
          <w:spacing w:val="-11"/>
        </w:rPr>
        <w:t xml:space="preserve"> 倍罚款；吊销许可证，并可以由公安机关对其直接负</w:t>
      </w:r>
      <w:r>
        <w:rPr>
          <w:color w:val="auto"/>
        </w:rPr>
        <w:t>责的主管人员和其他直接责任人员处五日以上十五日以下拘留。</w:t>
      </w:r>
    </w:p>
    <w:p>
      <w:pPr>
        <w:pStyle w:val="2"/>
        <w:spacing w:line="388" w:lineRule="auto"/>
        <w:ind w:left="111" w:right="240" w:firstLine="480"/>
        <w:rPr>
          <w:color w:val="auto"/>
        </w:rPr>
      </w:pPr>
      <w:r>
        <w:rPr>
          <w:color w:val="auto"/>
          <w:spacing w:val="-7"/>
          <w:w w:val="99"/>
        </w:rPr>
        <w:t>说明：本章的“造成严重后果”，包括造成人员伤害后果以及社会危害程度严重</w:t>
      </w:r>
      <w:r>
        <w:rPr>
          <w:color w:val="auto"/>
          <w:spacing w:val="-7"/>
        </w:rPr>
        <w:t>的情形（下同</w:t>
      </w:r>
      <w:r>
        <w:rPr>
          <w:color w:val="auto"/>
          <w:spacing w:val="-120"/>
        </w:rPr>
        <w:t>）</w:t>
      </w:r>
      <w:r>
        <w:rPr>
          <w:color w:val="auto"/>
        </w:rPr>
        <w:t>。</w:t>
      </w:r>
      <w:bookmarkStart w:id="1494" w:name="_bookmark746"/>
      <w:bookmarkEnd w:id="1494"/>
      <w:bookmarkStart w:id="1495" w:name="七百三十一、明知从事《食品安全法》第一百二十三条第一款规定的违法行为，仍为其提供"/>
      <w:bookmarkEnd w:id="1495"/>
    </w:p>
    <w:p>
      <w:pPr>
        <w:pStyle w:val="2"/>
        <w:spacing w:line="388" w:lineRule="auto"/>
        <w:ind w:left="111" w:right="240" w:firstLine="480"/>
        <w:rPr>
          <w:color w:val="auto"/>
        </w:rPr>
      </w:pPr>
      <w:r>
        <w:rPr>
          <w:color w:val="auto"/>
        </w:rPr>
        <w:t>七百三十一、明知从事《食品安全法》第一百二十三条第一款规定的违法行为， 仍为其提供生产经营场所或者其他条件</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5"/>
        </w:rPr>
        <w:t>《食品安全法》第一百二十三条第二款 明知从事前款规定的违法行为，仍为其</w:t>
      </w:r>
      <w:r>
        <w:rPr>
          <w:color w:val="auto"/>
          <w:spacing w:val="-4"/>
        </w:rPr>
        <w:t>提供生产经营场所或者其他条件的，由县级以上人民政府食品安全监督管理部门责令</w:t>
      </w:r>
      <w:r>
        <w:rPr>
          <w:color w:val="auto"/>
          <w:spacing w:val="-5"/>
        </w:rPr>
        <w:t>停止违法行为，没收违法所得，并处十万元以上二十万元以下罚款；使消费者的合法</w:t>
      </w:r>
      <w:r>
        <w:rPr>
          <w:color w:val="auto"/>
        </w:rPr>
        <w:t>权益受到损害的，应当与食品生产经营者承担连带责任。</w:t>
      </w:r>
    </w:p>
    <w:p>
      <w:pPr>
        <w:pStyle w:val="2"/>
        <w:spacing w:line="304" w:lineRule="exact"/>
        <w:rPr>
          <w:color w:val="auto"/>
        </w:rPr>
      </w:pPr>
      <w:r>
        <w:rPr>
          <w:color w:val="auto"/>
        </w:rPr>
        <w:t>（二）裁量标准</w:t>
      </w:r>
    </w:p>
    <w:p>
      <w:pPr>
        <w:pStyle w:val="13"/>
        <w:numPr>
          <w:ilvl w:val="0"/>
          <w:numId w:val="1700"/>
        </w:numPr>
        <w:tabs>
          <w:tab w:val="left" w:pos="833"/>
        </w:tabs>
        <w:spacing w:before="192" w:after="0" w:line="240" w:lineRule="auto"/>
        <w:ind w:left="832" w:right="0" w:hanging="242"/>
        <w:jc w:val="left"/>
        <w:rPr>
          <w:color w:val="auto"/>
          <w:sz w:val="24"/>
        </w:rPr>
      </w:pPr>
      <w:r>
        <w:rPr>
          <w:color w:val="auto"/>
          <w:sz w:val="24"/>
        </w:rPr>
        <w:t>【从轻】</w:t>
      </w:r>
    </w:p>
    <w:p>
      <w:pPr>
        <w:pStyle w:val="13"/>
        <w:numPr>
          <w:ilvl w:val="0"/>
          <w:numId w:val="170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spacing w:val="-7"/>
        </w:rPr>
        <w:t xml:space="preserve">违法所得 </w:t>
      </w:r>
      <w:r>
        <w:rPr>
          <w:color w:val="auto"/>
        </w:rPr>
        <w:t>1</w:t>
      </w:r>
      <w:r>
        <w:rPr>
          <w:color w:val="auto"/>
          <w:spacing w:val="-6"/>
        </w:rPr>
        <w:t xml:space="preserve"> 万元以下;未给消费者合法权益造成损害；符合《山东省市场监督管理局行使行政处罚裁量权适用规则（试行</w:t>
      </w:r>
      <w:r>
        <w:rPr>
          <w:color w:val="auto"/>
          <w:spacing w:val="-120"/>
        </w:rPr>
        <w:t>）</w:t>
      </w:r>
      <w:r>
        <w:rPr>
          <w:color w:val="auto"/>
        </w:rPr>
        <w:t>》第十一条、第十二条规定情形的。</w:t>
      </w:r>
    </w:p>
    <w:p>
      <w:pPr>
        <w:pStyle w:val="13"/>
        <w:numPr>
          <w:ilvl w:val="0"/>
          <w:numId w:val="170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没收违法所得，并处 10 万元以上 15 万元以下罚款。</w:t>
      </w:r>
    </w:p>
    <w:p>
      <w:pPr>
        <w:pStyle w:val="13"/>
        <w:numPr>
          <w:ilvl w:val="0"/>
          <w:numId w:val="1700"/>
        </w:numPr>
        <w:tabs>
          <w:tab w:val="left" w:pos="833"/>
        </w:tabs>
        <w:spacing w:before="192" w:after="0" w:line="240" w:lineRule="auto"/>
        <w:ind w:left="832" w:right="0" w:hanging="242"/>
        <w:jc w:val="left"/>
        <w:rPr>
          <w:color w:val="auto"/>
          <w:sz w:val="24"/>
        </w:rPr>
      </w:pPr>
      <w:r>
        <w:rPr>
          <w:color w:val="auto"/>
          <w:sz w:val="24"/>
        </w:rPr>
        <w:t>【从重】</w:t>
      </w:r>
    </w:p>
    <w:p>
      <w:pPr>
        <w:pStyle w:val="13"/>
        <w:numPr>
          <w:ilvl w:val="0"/>
          <w:numId w:val="1702"/>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69" w:firstLine="480"/>
        <w:rPr>
          <w:color w:val="auto"/>
        </w:rPr>
      </w:pPr>
      <w:r>
        <w:rPr>
          <w:color w:val="auto"/>
          <w:spacing w:val="-7"/>
        </w:rPr>
        <w:t xml:space="preserve">违法所得 </w:t>
      </w:r>
      <w:r>
        <w:rPr>
          <w:color w:val="auto"/>
        </w:rPr>
        <w:t>1</w:t>
      </w:r>
      <w:r>
        <w:rPr>
          <w:color w:val="auto"/>
          <w:spacing w:val="-6"/>
        </w:rPr>
        <w:t xml:space="preserve"> 万元以上;给消费者合法权益造成损害；符合《山东省市场监督管理局行使行政处罚裁量权适用规则（试行</w:t>
      </w:r>
      <w:r>
        <w:rPr>
          <w:color w:val="auto"/>
          <w:spacing w:val="-120"/>
        </w:rPr>
        <w:t>）</w:t>
      </w:r>
      <w:r>
        <w:rPr>
          <w:color w:val="auto"/>
        </w:rPr>
        <w:t>》第十三条规定情形的。</w:t>
      </w:r>
    </w:p>
    <w:p>
      <w:pPr>
        <w:pStyle w:val="13"/>
        <w:numPr>
          <w:ilvl w:val="0"/>
          <w:numId w:val="1702"/>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jc w:val="both"/>
        <w:rPr>
          <w:color w:val="auto"/>
        </w:rPr>
      </w:pPr>
      <w:r>
        <w:rPr>
          <w:color w:val="auto"/>
        </w:rPr>
        <w:t>没收违法所得，并处 15 万元以上 20 万元以下罚款。</w:t>
      </w:r>
    </w:p>
    <w:p>
      <w:pPr>
        <w:pStyle w:val="2"/>
        <w:spacing w:before="191" w:line="391" w:lineRule="auto"/>
        <w:ind w:left="111" w:right="235" w:firstLine="480"/>
        <w:jc w:val="both"/>
        <w:rPr>
          <w:b/>
          <w:color w:val="auto"/>
          <w:sz w:val="24"/>
        </w:rPr>
      </w:pPr>
      <w:bookmarkStart w:id="1496" w:name="七百三十二、生产经营致病性微生物，农药残留、兽药残留、生物毒素、重金属等污染物质"/>
      <w:bookmarkEnd w:id="1496"/>
      <w:bookmarkStart w:id="1497" w:name="_bookmark747"/>
      <w:bookmarkEnd w:id="1497"/>
      <w:r>
        <w:rPr>
          <w:color w:val="auto"/>
          <w:spacing w:val="-6"/>
        </w:rPr>
        <w:t>七百三十二、生产经营致病性微生物，农药残留、兽药残留、生物毒素、重金属</w:t>
      </w:r>
      <w:r>
        <w:rPr>
          <w:color w:val="auto"/>
          <w:spacing w:val="-8"/>
        </w:rPr>
        <w:t>等污染物质以及其他危害人体健康的物质含量超过食品安全标准限量的食品、食品添</w:t>
      </w:r>
      <w:r>
        <w:rPr>
          <w:color w:val="auto"/>
          <w:spacing w:val="-9"/>
        </w:rPr>
        <w:t>加剂；用超过保质期的食品原料、食品添加剂生产食品、食品添加剂，或者经营上述食品、食品添加剂；生产经营超范围、超限量使用食品添加剂的食品；生产经营腐败</w:t>
      </w:r>
      <w:r>
        <w:rPr>
          <w:color w:val="auto"/>
          <w:spacing w:val="-10"/>
        </w:rPr>
        <w:t>变质、油脂酸败、霉变生虫、污秽不洁、混有异物、掺假掺杂或者感官性状异常的食</w:t>
      </w:r>
      <w:r>
        <w:rPr>
          <w:color w:val="auto"/>
          <w:spacing w:val="-9"/>
        </w:rPr>
        <w:t>品、食品添加剂；生产经营标注虚假生产日期、保质期或者超过保质期的食品、食品</w:t>
      </w:r>
      <w:r>
        <w:rPr>
          <w:color w:val="auto"/>
          <w:spacing w:val="-10"/>
        </w:rPr>
        <w:t>添加剂；生产经营未按规定注册的保健食品、特殊医学用途配方食品、婴幼儿配方乳</w:t>
      </w:r>
      <w:r>
        <w:rPr>
          <w:color w:val="auto"/>
          <w:spacing w:val="-9"/>
        </w:rPr>
        <w:t>粉，或者未按注册的产品配方、生产工艺等技术要求组织生产；以分装方式生产婴幼</w:t>
      </w:r>
      <w:r>
        <w:rPr>
          <w:b/>
          <w:color w:val="auto"/>
          <w:spacing w:val="-7"/>
          <w:sz w:val="24"/>
        </w:rPr>
        <w:t>儿配方乳粉，或者同一企业以同一配方生产不同品牌的婴幼儿配方乳粉；利用新的食</w:t>
      </w:r>
      <w:r>
        <w:rPr>
          <w:b/>
          <w:color w:val="auto"/>
          <w:spacing w:val="-10"/>
          <w:sz w:val="24"/>
        </w:rPr>
        <w:t>品原料生产食品，或者生产食品添加剂新品种，未通过安全性评估；食品生产经营者</w:t>
      </w:r>
      <w:r>
        <w:rPr>
          <w:b/>
          <w:color w:val="auto"/>
          <w:spacing w:val="-12"/>
          <w:sz w:val="24"/>
        </w:rPr>
        <w:t>在食品安全监督管理部门责令其召回或者停止经营后，仍拒不召回或者停止经营；生</w:t>
      </w:r>
      <w:r>
        <w:rPr>
          <w:b/>
          <w:color w:val="auto"/>
          <w:spacing w:val="-14"/>
          <w:sz w:val="24"/>
        </w:rPr>
        <w:t>产食品相关产品新品种，未通过安全性评估，或者生产不符合食品安全标准的食品相关产品</w:t>
      </w:r>
    </w:p>
    <w:p>
      <w:pPr>
        <w:spacing w:before="0" w:line="302" w:lineRule="exact"/>
        <w:ind w:left="591" w:right="0" w:firstLine="0"/>
        <w:jc w:val="left"/>
        <w:rPr>
          <w:b/>
          <w:color w:val="auto"/>
          <w:sz w:val="24"/>
        </w:rPr>
      </w:pPr>
      <w:r>
        <w:rPr>
          <w:b/>
          <w:color w:val="auto"/>
          <w:sz w:val="24"/>
        </w:rPr>
        <w:t>（一）处罚依据</w:t>
      </w:r>
    </w:p>
    <w:p>
      <w:pPr>
        <w:pStyle w:val="13"/>
        <w:numPr>
          <w:ilvl w:val="0"/>
          <w:numId w:val="1703"/>
        </w:numPr>
        <w:tabs>
          <w:tab w:val="left" w:pos="833"/>
          <w:tab w:val="left" w:pos="5131"/>
        </w:tabs>
        <w:spacing w:before="113" w:after="0" w:line="312" w:lineRule="auto"/>
        <w:ind w:left="111" w:right="148" w:firstLine="480"/>
        <w:jc w:val="left"/>
        <w:rPr>
          <w:color w:val="auto"/>
          <w:sz w:val="24"/>
        </w:rPr>
      </w:pPr>
      <w:r>
        <w:rPr>
          <w:color w:val="auto"/>
          <w:sz w:val="24"/>
        </w:rPr>
        <w:t>《食品安全法</w:t>
      </w:r>
      <w:r>
        <w:rPr>
          <w:color w:val="auto"/>
          <w:spacing w:val="-10"/>
          <w:sz w:val="24"/>
        </w:rPr>
        <w:t>》</w:t>
      </w:r>
      <w:r>
        <w:rPr>
          <w:color w:val="auto"/>
          <w:sz w:val="24"/>
        </w:rPr>
        <w:t>第一百二十四条第一款</w:t>
      </w:r>
      <w:r>
        <w:rPr>
          <w:color w:val="auto"/>
          <w:sz w:val="24"/>
        </w:rPr>
        <w:tab/>
      </w:r>
      <w:r>
        <w:rPr>
          <w:color w:val="auto"/>
          <w:sz w:val="24"/>
        </w:rPr>
        <w:t>违反本法规定</w:t>
      </w:r>
      <w:r>
        <w:rPr>
          <w:color w:val="auto"/>
          <w:spacing w:val="-8"/>
          <w:sz w:val="24"/>
        </w:rPr>
        <w:t>，</w:t>
      </w:r>
      <w:r>
        <w:rPr>
          <w:color w:val="auto"/>
          <w:sz w:val="24"/>
        </w:rPr>
        <w:t>有下列情形之一</w:t>
      </w:r>
      <w:r>
        <w:rPr>
          <w:color w:val="auto"/>
          <w:spacing w:val="-10"/>
          <w:sz w:val="24"/>
        </w:rPr>
        <w:t>，</w:t>
      </w:r>
      <w:r>
        <w:rPr>
          <w:color w:val="auto"/>
          <w:sz w:val="24"/>
        </w:rPr>
        <w:t>尚不构成犯罪的</w:t>
      </w:r>
      <w:r>
        <w:rPr>
          <w:color w:val="auto"/>
          <w:spacing w:val="-36"/>
          <w:sz w:val="24"/>
        </w:rPr>
        <w:t>，</w:t>
      </w:r>
      <w:r>
        <w:rPr>
          <w:color w:val="auto"/>
          <w:sz w:val="24"/>
        </w:rPr>
        <w:t>由县级以上人民政府食品安全监督管理部门没收违法所得和违法生产经营的食品</w:t>
      </w:r>
      <w:r>
        <w:rPr>
          <w:color w:val="auto"/>
          <w:spacing w:val="-39"/>
          <w:sz w:val="24"/>
        </w:rPr>
        <w:t>、</w:t>
      </w:r>
      <w:r>
        <w:rPr>
          <w:color w:val="auto"/>
          <w:sz w:val="24"/>
        </w:rPr>
        <w:t>食品添加剂</w:t>
      </w:r>
      <w:r>
        <w:rPr>
          <w:color w:val="auto"/>
          <w:spacing w:val="-41"/>
          <w:sz w:val="24"/>
        </w:rPr>
        <w:t>，</w:t>
      </w:r>
      <w:r>
        <w:rPr>
          <w:color w:val="auto"/>
          <w:sz w:val="24"/>
        </w:rPr>
        <w:t>并可以没收用于违法生产经营的工具</w:t>
      </w:r>
      <w:r>
        <w:rPr>
          <w:color w:val="auto"/>
          <w:spacing w:val="-39"/>
          <w:sz w:val="24"/>
        </w:rPr>
        <w:t>、</w:t>
      </w:r>
      <w:r>
        <w:rPr>
          <w:color w:val="auto"/>
          <w:sz w:val="24"/>
        </w:rPr>
        <w:t>设备</w:t>
      </w:r>
      <w:r>
        <w:rPr>
          <w:color w:val="auto"/>
          <w:spacing w:val="-39"/>
          <w:sz w:val="24"/>
        </w:rPr>
        <w:t>、</w:t>
      </w:r>
      <w:r>
        <w:rPr>
          <w:color w:val="auto"/>
          <w:sz w:val="24"/>
        </w:rPr>
        <w:t>原料等物品</w:t>
      </w:r>
      <w:r>
        <w:rPr>
          <w:color w:val="auto"/>
          <w:spacing w:val="-15"/>
          <w:sz w:val="24"/>
        </w:rPr>
        <w:t xml:space="preserve">； </w:t>
      </w:r>
      <w:r>
        <w:rPr>
          <w:color w:val="auto"/>
          <w:sz w:val="24"/>
        </w:rPr>
        <w:t>违法生产经营的食品</w:t>
      </w:r>
      <w:r>
        <w:rPr>
          <w:color w:val="auto"/>
          <w:spacing w:val="-20"/>
          <w:sz w:val="24"/>
        </w:rPr>
        <w:t>、</w:t>
      </w:r>
      <w:r>
        <w:rPr>
          <w:color w:val="auto"/>
          <w:sz w:val="24"/>
        </w:rPr>
        <w:t>食品添加剂货值金额不足一万元的</w:t>
      </w:r>
      <w:r>
        <w:rPr>
          <w:color w:val="auto"/>
          <w:spacing w:val="-17"/>
          <w:sz w:val="24"/>
        </w:rPr>
        <w:t>，</w:t>
      </w:r>
      <w:r>
        <w:rPr>
          <w:color w:val="auto"/>
          <w:sz w:val="24"/>
        </w:rPr>
        <w:t>并处五万元以上十万元以下罚款</w:t>
      </w:r>
      <w:r>
        <w:rPr>
          <w:color w:val="auto"/>
          <w:spacing w:val="-12"/>
          <w:sz w:val="24"/>
        </w:rPr>
        <w:t>；</w:t>
      </w:r>
      <w:r>
        <w:rPr>
          <w:color w:val="auto"/>
          <w:sz w:val="24"/>
        </w:rPr>
        <w:t>货值金额一万元以上的</w:t>
      </w:r>
      <w:r>
        <w:rPr>
          <w:color w:val="auto"/>
          <w:spacing w:val="-12"/>
          <w:sz w:val="24"/>
        </w:rPr>
        <w:t>，</w:t>
      </w:r>
      <w:r>
        <w:rPr>
          <w:color w:val="auto"/>
          <w:sz w:val="24"/>
        </w:rPr>
        <w:t>并处货值金额十倍以上二十倍以下罚款</w:t>
      </w:r>
      <w:r>
        <w:rPr>
          <w:color w:val="auto"/>
          <w:spacing w:val="-12"/>
          <w:sz w:val="24"/>
        </w:rPr>
        <w:t>；</w:t>
      </w:r>
      <w:r>
        <w:rPr>
          <w:color w:val="auto"/>
          <w:sz w:val="24"/>
        </w:rPr>
        <w:t>情节严重的，吊销许可证：</w:t>
      </w:r>
    </w:p>
    <w:p>
      <w:pPr>
        <w:pStyle w:val="4"/>
        <w:spacing w:before="1" w:line="312" w:lineRule="auto"/>
        <w:ind w:right="212"/>
        <w:rPr>
          <w:color w:val="auto"/>
        </w:rPr>
      </w:pPr>
      <w:r>
        <w:rPr>
          <w:color w:val="auto"/>
        </w:rPr>
        <w:t>（一）生产经营致病性微生物，农药残留、兽药残留、生物毒素、重金属等污染物质以及其他危害人体健康的物质含量超过食品安全标准限量的食品、食品添加剂；</w:t>
      </w:r>
    </w:p>
    <w:p>
      <w:pPr>
        <w:pStyle w:val="4"/>
        <w:spacing w:line="312" w:lineRule="auto"/>
        <w:ind w:right="213" w:firstLine="480"/>
        <w:rPr>
          <w:color w:val="auto"/>
        </w:rPr>
      </w:pPr>
      <w:r>
        <w:rPr>
          <w:color w:val="auto"/>
        </w:rPr>
        <w:t>（二）用超过保质期的食品原料、食品添加剂生产食品、食品添加剂，或者经营上述食品、食品添加剂；</w:t>
      </w:r>
    </w:p>
    <w:p>
      <w:pPr>
        <w:pStyle w:val="4"/>
        <w:spacing w:before="2"/>
        <w:ind w:left="591"/>
        <w:rPr>
          <w:color w:val="auto"/>
        </w:rPr>
      </w:pPr>
      <w:r>
        <w:rPr>
          <w:color w:val="auto"/>
        </w:rPr>
        <w:t>（三）生产经营超范围、超限量使用食品添加剂的食品；</w:t>
      </w:r>
    </w:p>
    <w:p>
      <w:pPr>
        <w:pStyle w:val="4"/>
        <w:spacing w:before="91" w:line="312" w:lineRule="auto"/>
        <w:ind w:right="219" w:firstLine="480"/>
        <w:rPr>
          <w:color w:val="auto"/>
        </w:rPr>
      </w:pPr>
      <w:r>
        <w:rPr>
          <w:color w:val="auto"/>
        </w:rPr>
        <w:t>（四）生产经营腐败变质、油脂酸败、霉变生虫、污秽不洁、混有异物、掺假掺杂或者感官性状异常的食品、食品添加剂；</w:t>
      </w:r>
    </w:p>
    <w:p>
      <w:pPr>
        <w:pStyle w:val="4"/>
        <w:spacing w:before="2"/>
        <w:ind w:left="591"/>
        <w:rPr>
          <w:color w:val="auto"/>
        </w:rPr>
      </w:pPr>
      <w:r>
        <w:rPr>
          <w:color w:val="auto"/>
        </w:rPr>
        <w:t>（五</w:t>
      </w:r>
      <w:r>
        <w:rPr>
          <w:color w:val="auto"/>
          <w:spacing w:val="-53"/>
        </w:rPr>
        <w:t>）</w:t>
      </w:r>
      <w:r>
        <w:rPr>
          <w:color w:val="auto"/>
          <w:spacing w:val="-6"/>
        </w:rPr>
        <w:t>生产经营标注虚假生产日期、保质期或者超过保质期的食品、食品添加剂；</w:t>
      </w:r>
    </w:p>
    <w:p>
      <w:pPr>
        <w:pStyle w:val="4"/>
        <w:spacing w:before="91" w:line="312" w:lineRule="auto"/>
        <w:ind w:right="213" w:firstLine="480"/>
        <w:rPr>
          <w:color w:val="auto"/>
        </w:rPr>
      </w:pPr>
      <w:r>
        <w:rPr>
          <w:color w:val="auto"/>
        </w:rPr>
        <w:t>（六）生产经营未按规定注册的保健食品、特殊医学用途配方食品、婴幼儿配方乳粉，或者未按注册的产品配方、生产工艺等技术要求组织生产；</w:t>
      </w:r>
    </w:p>
    <w:p>
      <w:pPr>
        <w:pStyle w:val="4"/>
        <w:spacing w:before="2" w:line="312" w:lineRule="auto"/>
        <w:ind w:right="213" w:firstLine="480"/>
        <w:rPr>
          <w:color w:val="auto"/>
        </w:rPr>
      </w:pPr>
      <w:r>
        <w:rPr>
          <w:color w:val="auto"/>
        </w:rPr>
        <w:t>（七）以分装方式生产婴幼儿配方乳粉，或者同一企业以同一配方生产不同品牌的婴幼儿配方乳粉；</w:t>
      </w:r>
    </w:p>
    <w:p>
      <w:pPr>
        <w:pStyle w:val="4"/>
        <w:spacing w:line="312" w:lineRule="auto"/>
        <w:ind w:right="213" w:firstLine="480"/>
        <w:rPr>
          <w:color w:val="auto"/>
        </w:rPr>
      </w:pPr>
      <w:r>
        <w:rPr>
          <w:color w:val="auto"/>
        </w:rPr>
        <w:t>（八）利用新的食品原料生产食品，或者生产食品添加剂新品种，未通过安全性评估；</w:t>
      </w:r>
    </w:p>
    <w:p>
      <w:pPr>
        <w:pStyle w:val="4"/>
        <w:spacing w:line="312" w:lineRule="auto"/>
        <w:ind w:right="213" w:firstLine="480"/>
        <w:rPr>
          <w:color w:val="auto"/>
        </w:rPr>
      </w:pPr>
      <w:r>
        <w:rPr>
          <w:color w:val="auto"/>
        </w:rPr>
        <w:t>（九）食品生产经营者在食品安全监督管理部门责令其召回或者停止经营后，仍拒不召回或者停止经营。</w:t>
      </w:r>
    </w:p>
    <w:p>
      <w:pPr>
        <w:pStyle w:val="13"/>
        <w:numPr>
          <w:ilvl w:val="0"/>
          <w:numId w:val="1703"/>
        </w:numPr>
        <w:tabs>
          <w:tab w:val="left" w:pos="833"/>
        </w:tabs>
        <w:spacing w:before="2" w:after="0" w:line="312" w:lineRule="auto"/>
        <w:ind w:left="111" w:right="268" w:firstLine="480"/>
        <w:jc w:val="both"/>
        <w:rPr>
          <w:color w:val="auto"/>
          <w:sz w:val="24"/>
        </w:rPr>
      </w:pPr>
      <w:r>
        <w:rPr>
          <w:color w:val="auto"/>
          <w:spacing w:val="-4"/>
          <w:sz w:val="24"/>
        </w:rPr>
        <w:t>《食品安全法》第一百二十四条第三款 生产食品相关产品新品种，未通过安</w:t>
      </w:r>
      <w:r>
        <w:rPr>
          <w:color w:val="auto"/>
          <w:spacing w:val="-6"/>
          <w:sz w:val="24"/>
        </w:rPr>
        <w:t>全性评估，或者生产不符合食品安全标准的食品相关产品的，由县级以上人民政府食</w:t>
      </w:r>
      <w:r>
        <w:rPr>
          <w:color w:val="auto"/>
          <w:sz w:val="24"/>
        </w:rPr>
        <w:t>品安全监督管理部门依照第一款规定给予处罚。</w:t>
      </w:r>
    </w:p>
    <w:p>
      <w:pPr>
        <w:pStyle w:val="2"/>
        <w:spacing w:before="80"/>
        <w:rPr>
          <w:color w:val="auto"/>
        </w:rPr>
      </w:pPr>
      <w:r>
        <w:rPr>
          <w:color w:val="auto"/>
        </w:rPr>
        <w:t>（二）裁量标准</w:t>
      </w:r>
    </w:p>
    <w:p>
      <w:pPr>
        <w:pStyle w:val="13"/>
        <w:numPr>
          <w:ilvl w:val="0"/>
          <w:numId w:val="1704"/>
        </w:numPr>
        <w:tabs>
          <w:tab w:val="left" w:pos="833"/>
        </w:tabs>
        <w:spacing w:before="112" w:after="0" w:line="240" w:lineRule="auto"/>
        <w:ind w:left="832" w:right="0" w:hanging="242"/>
        <w:jc w:val="left"/>
        <w:rPr>
          <w:color w:val="auto"/>
          <w:sz w:val="24"/>
        </w:rPr>
      </w:pPr>
      <w:r>
        <w:rPr>
          <w:color w:val="auto"/>
          <w:sz w:val="24"/>
        </w:rPr>
        <w:t>【从轻】</w:t>
      </w:r>
    </w:p>
    <w:p>
      <w:pPr>
        <w:pStyle w:val="13"/>
        <w:numPr>
          <w:ilvl w:val="0"/>
          <w:numId w:val="1705"/>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13" w:line="312" w:lineRule="auto"/>
        <w:ind w:right="148" w:firstLine="480"/>
        <w:rPr>
          <w:color w:val="auto"/>
        </w:rPr>
      </w:pPr>
      <w:r>
        <w:rPr>
          <w:color w:val="auto"/>
          <w:spacing w:val="-4"/>
        </w:rPr>
        <w:t>食品经营者符合《山东省市场监督管理局行使行政处罚裁量权适用规则</w:t>
      </w:r>
      <w:r>
        <w:rPr>
          <w:color w:val="auto"/>
        </w:rPr>
        <w:t>（试行</w:t>
      </w:r>
      <w:r>
        <w:rPr>
          <w:color w:val="auto"/>
          <w:spacing w:val="-120"/>
        </w:rPr>
        <w:t>）</w:t>
      </w:r>
      <w:r>
        <w:rPr>
          <w:color w:val="auto"/>
          <w:spacing w:val="-16"/>
        </w:rPr>
        <w:t>》</w:t>
      </w:r>
      <w:r>
        <w:rPr>
          <w:color w:val="auto"/>
        </w:rPr>
        <w:t>第十一条、第十二条规定情形的。</w:t>
      </w:r>
    </w:p>
    <w:p>
      <w:pPr>
        <w:pStyle w:val="13"/>
        <w:numPr>
          <w:ilvl w:val="0"/>
          <w:numId w:val="1705"/>
        </w:numPr>
        <w:tabs>
          <w:tab w:val="left" w:pos="1193"/>
        </w:tabs>
        <w:spacing w:before="81" w:after="0" w:line="240" w:lineRule="auto"/>
        <w:ind w:left="1192" w:right="0" w:hanging="602"/>
        <w:jc w:val="left"/>
        <w:rPr>
          <w:color w:val="auto"/>
          <w:sz w:val="24"/>
        </w:rPr>
      </w:pPr>
      <w:r>
        <w:rPr>
          <w:color w:val="auto"/>
          <w:sz w:val="24"/>
        </w:rPr>
        <w:t>处罚标准</w:t>
      </w:r>
    </w:p>
    <w:p>
      <w:pPr>
        <w:pStyle w:val="4"/>
        <w:spacing w:before="113" w:line="312" w:lineRule="auto"/>
        <w:ind w:right="268" w:firstLine="480"/>
        <w:jc w:val="both"/>
        <w:rPr>
          <w:color w:val="auto"/>
        </w:rPr>
      </w:pPr>
      <w:r>
        <w:rPr>
          <w:color w:val="auto"/>
          <w:spacing w:val="-4"/>
        </w:rPr>
        <w:t xml:space="preserve">没收违法所得和违法生产经营的食品、食品添加剂，并可以没收用于违法生产经营的工具、设备、原料等物品；并处 </w:t>
      </w:r>
      <w:r>
        <w:rPr>
          <w:color w:val="auto"/>
        </w:rPr>
        <w:t>5</w:t>
      </w:r>
      <w:r>
        <w:rPr>
          <w:color w:val="auto"/>
          <w:spacing w:val="-20"/>
        </w:rPr>
        <w:t xml:space="preserve"> 万元以上 </w:t>
      </w:r>
      <w:r>
        <w:rPr>
          <w:color w:val="auto"/>
        </w:rPr>
        <w:t>7</w:t>
      </w:r>
      <w:r>
        <w:rPr>
          <w:color w:val="auto"/>
          <w:spacing w:val="-13"/>
        </w:rPr>
        <w:t xml:space="preserve"> 万元以下罚款；或者 </w:t>
      </w:r>
      <w:r>
        <w:rPr>
          <w:color w:val="auto"/>
        </w:rPr>
        <w:t>10</w:t>
      </w:r>
      <w:r>
        <w:rPr>
          <w:color w:val="auto"/>
          <w:spacing w:val="-24"/>
        </w:rPr>
        <w:t xml:space="preserve"> 倍以上 </w:t>
      </w:r>
      <w:r>
        <w:rPr>
          <w:color w:val="auto"/>
        </w:rPr>
        <w:t>14 倍以下罚款。</w:t>
      </w:r>
    </w:p>
    <w:p>
      <w:pPr>
        <w:pStyle w:val="13"/>
        <w:numPr>
          <w:ilvl w:val="0"/>
          <w:numId w:val="1704"/>
        </w:numPr>
        <w:tabs>
          <w:tab w:val="left" w:pos="833"/>
        </w:tabs>
        <w:spacing w:before="1" w:after="0" w:line="240" w:lineRule="auto"/>
        <w:ind w:left="832" w:right="0" w:hanging="242"/>
        <w:jc w:val="left"/>
        <w:rPr>
          <w:color w:val="auto"/>
          <w:sz w:val="24"/>
        </w:rPr>
      </w:pPr>
      <w:r>
        <w:rPr>
          <w:color w:val="auto"/>
          <w:sz w:val="24"/>
        </w:rPr>
        <w:t>【一般】</w:t>
      </w:r>
    </w:p>
    <w:p>
      <w:pPr>
        <w:pStyle w:val="13"/>
        <w:numPr>
          <w:ilvl w:val="0"/>
          <w:numId w:val="1706"/>
        </w:numPr>
        <w:tabs>
          <w:tab w:val="left" w:pos="1193"/>
        </w:tabs>
        <w:spacing w:before="172" w:after="0" w:line="240" w:lineRule="auto"/>
        <w:ind w:left="1192" w:right="0" w:hanging="602"/>
        <w:jc w:val="left"/>
        <w:rPr>
          <w:color w:val="auto"/>
          <w:sz w:val="24"/>
        </w:rPr>
      </w:pPr>
      <w:r>
        <w:rPr>
          <w:color w:val="auto"/>
          <w:sz w:val="24"/>
        </w:rPr>
        <w:t>违法情形</w:t>
      </w:r>
    </w:p>
    <w:p>
      <w:pPr>
        <w:pStyle w:val="4"/>
        <w:spacing w:before="113" w:line="312" w:lineRule="auto"/>
        <w:ind w:right="271"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06"/>
        </w:numPr>
        <w:tabs>
          <w:tab w:val="left" w:pos="1193"/>
        </w:tabs>
        <w:spacing w:before="81" w:after="0" w:line="240" w:lineRule="auto"/>
        <w:ind w:left="1192" w:right="0" w:hanging="602"/>
        <w:jc w:val="left"/>
        <w:rPr>
          <w:color w:val="auto"/>
          <w:sz w:val="24"/>
        </w:rPr>
      </w:pPr>
      <w:r>
        <w:rPr>
          <w:color w:val="auto"/>
          <w:sz w:val="24"/>
        </w:rPr>
        <w:t>处罚标准</w:t>
      </w:r>
    </w:p>
    <w:p>
      <w:pPr>
        <w:pStyle w:val="4"/>
        <w:spacing w:before="112" w:line="312" w:lineRule="auto"/>
        <w:ind w:right="268" w:firstLine="480"/>
        <w:jc w:val="both"/>
        <w:rPr>
          <w:color w:val="auto"/>
        </w:rPr>
      </w:pPr>
      <w:r>
        <w:rPr>
          <w:color w:val="auto"/>
          <w:spacing w:val="-4"/>
        </w:rPr>
        <w:t xml:space="preserve">没收违法所得和违法生产经营的食品、食品添加剂，并可以没收用于违法生产经营的工具、设备、原料等物品；并处 </w:t>
      </w:r>
      <w:r>
        <w:rPr>
          <w:color w:val="auto"/>
        </w:rPr>
        <w:t>7</w:t>
      </w:r>
      <w:r>
        <w:rPr>
          <w:color w:val="auto"/>
          <w:spacing w:val="-20"/>
        </w:rPr>
        <w:t xml:space="preserve"> 万元以上 </w:t>
      </w:r>
      <w:r>
        <w:rPr>
          <w:color w:val="auto"/>
        </w:rPr>
        <w:t>8</w:t>
      </w:r>
      <w:r>
        <w:rPr>
          <w:color w:val="auto"/>
          <w:spacing w:val="-13"/>
        </w:rPr>
        <w:t xml:space="preserve"> 万元以下罚款；或者 </w:t>
      </w:r>
      <w:r>
        <w:rPr>
          <w:color w:val="auto"/>
        </w:rPr>
        <w:t>14</w:t>
      </w:r>
      <w:r>
        <w:rPr>
          <w:color w:val="auto"/>
          <w:spacing w:val="-24"/>
        </w:rPr>
        <w:t xml:space="preserve"> 倍以上 </w:t>
      </w:r>
      <w:r>
        <w:rPr>
          <w:color w:val="auto"/>
        </w:rPr>
        <w:t>16 倍以下罚款。</w:t>
      </w:r>
    </w:p>
    <w:p>
      <w:pPr>
        <w:pStyle w:val="13"/>
        <w:numPr>
          <w:ilvl w:val="0"/>
          <w:numId w:val="1704"/>
        </w:numPr>
        <w:tabs>
          <w:tab w:val="left" w:pos="833"/>
        </w:tabs>
        <w:spacing w:before="1" w:after="0" w:line="240" w:lineRule="auto"/>
        <w:ind w:left="832" w:right="0" w:hanging="242"/>
        <w:jc w:val="left"/>
        <w:rPr>
          <w:color w:val="auto"/>
          <w:sz w:val="24"/>
        </w:rPr>
      </w:pPr>
      <w:r>
        <w:rPr>
          <w:color w:val="auto"/>
          <w:sz w:val="24"/>
        </w:rPr>
        <w:t>【从重】</w:t>
      </w:r>
    </w:p>
    <w:p>
      <w:pPr>
        <w:pStyle w:val="13"/>
        <w:numPr>
          <w:ilvl w:val="0"/>
          <w:numId w:val="1707"/>
        </w:numPr>
        <w:tabs>
          <w:tab w:val="left" w:pos="1193"/>
        </w:tabs>
        <w:spacing w:before="173" w:after="0" w:line="240" w:lineRule="auto"/>
        <w:ind w:left="1192" w:right="0" w:hanging="602"/>
        <w:jc w:val="left"/>
        <w:rPr>
          <w:color w:val="auto"/>
          <w:sz w:val="24"/>
        </w:rPr>
      </w:pPr>
      <w:r>
        <w:rPr>
          <w:color w:val="auto"/>
          <w:sz w:val="24"/>
        </w:rPr>
        <w:t>违法情形</w:t>
      </w:r>
    </w:p>
    <w:p>
      <w:pPr>
        <w:pStyle w:val="4"/>
        <w:spacing w:before="112" w:line="312" w:lineRule="auto"/>
        <w:ind w:right="268" w:firstLine="480"/>
        <w:jc w:val="both"/>
        <w:rPr>
          <w:color w:val="auto"/>
        </w:rPr>
      </w:pPr>
      <w:r>
        <w:rPr>
          <w:color w:val="auto"/>
          <w:spacing w:val="3"/>
        </w:rPr>
        <w:t>食品生产者具有上述九项违法行为之一;导致食品安全事故的;食品经营者同时</w:t>
      </w:r>
      <w:r>
        <w:rPr>
          <w:color w:val="auto"/>
          <w:spacing w:val="-18"/>
        </w:rPr>
        <w:t xml:space="preserve">存在 </w:t>
      </w:r>
      <w:r>
        <w:rPr>
          <w:color w:val="auto"/>
        </w:rPr>
        <w:t>2</w:t>
      </w:r>
      <w:r>
        <w:rPr>
          <w:color w:val="auto"/>
          <w:spacing w:val="-11"/>
        </w:rPr>
        <w:t xml:space="preserve"> 个以上上述违法行为的；食品经营者符合《山东省市场监督管理局行使行政处</w:t>
      </w:r>
      <w:r>
        <w:rPr>
          <w:color w:val="auto"/>
        </w:rPr>
        <w:t>罚裁量权适用规则（试行</w:t>
      </w:r>
      <w:r>
        <w:rPr>
          <w:color w:val="auto"/>
          <w:spacing w:val="-120"/>
        </w:rPr>
        <w:t>）</w:t>
      </w:r>
      <w:r>
        <w:rPr>
          <w:color w:val="auto"/>
        </w:rPr>
        <w:t>》第十三条规定情形的。</w:t>
      </w:r>
    </w:p>
    <w:p>
      <w:pPr>
        <w:pStyle w:val="13"/>
        <w:numPr>
          <w:ilvl w:val="0"/>
          <w:numId w:val="1707"/>
        </w:numPr>
        <w:tabs>
          <w:tab w:val="left" w:pos="1193"/>
        </w:tabs>
        <w:spacing w:before="80" w:after="0" w:line="240" w:lineRule="auto"/>
        <w:ind w:left="1192" w:right="0" w:hanging="602"/>
        <w:jc w:val="left"/>
        <w:rPr>
          <w:color w:val="auto"/>
          <w:sz w:val="24"/>
        </w:rPr>
      </w:pPr>
      <w:r>
        <w:rPr>
          <w:color w:val="auto"/>
          <w:sz w:val="24"/>
        </w:rPr>
        <w:t>处罚标准</w:t>
      </w:r>
    </w:p>
    <w:p>
      <w:pPr>
        <w:pStyle w:val="4"/>
        <w:spacing w:before="113" w:line="312" w:lineRule="auto"/>
        <w:ind w:right="268" w:firstLine="480"/>
        <w:jc w:val="both"/>
        <w:rPr>
          <w:color w:val="auto"/>
        </w:rPr>
      </w:pPr>
      <w:r>
        <w:rPr>
          <w:color w:val="auto"/>
          <w:spacing w:val="-4"/>
        </w:rPr>
        <w:t xml:space="preserve">没收违法所得和违法生产经营的食品、食品添加剂，没收用于违法生产经营的工具、设备、原料等物品；并处 </w:t>
      </w:r>
      <w:r>
        <w:rPr>
          <w:color w:val="auto"/>
        </w:rPr>
        <w:t>8</w:t>
      </w:r>
      <w:r>
        <w:rPr>
          <w:color w:val="auto"/>
          <w:spacing w:val="-19"/>
        </w:rPr>
        <w:t xml:space="preserve"> 万元以上 </w:t>
      </w:r>
      <w:r>
        <w:rPr>
          <w:color w:val="auto"/>
        </w:rPr>
        <w:t>10</w:t>
      </w:r>
      <w:r>
        <w:rPr>
          <w:color w:val="auto"/>
          <w:spacing w:val="-12"/>
        </w:rPr>
        <w:t xml:space="preserve"> 万元以下罚款；或者 </w:t>
      </w:r>
      <w:r>
        <w:rPr>
          <w:color w:val="auto"/>
        </w:rPr>
        <w:t>16</w:t>
      </w:r>
      <w:r>
        <w:rPr>
          <w:color w:val="auto"/>
          <w:spacing w:val="-22"/>
        </w:rPr>
        <w:t xml:space="preserve"> 倍以上 </w:t>
      </w:r>
      <w:r>
        <w:rPr>
          <w:color w:val="auto"/>
        </w:rPr>
        <w:t>20</w:t>
      </w:r>
      <w:r>
        <w:rPr>
          <w:color w:val="auto"/>
          <w:spacing w:val="-18"/>
        </w:rPr>
        <w:t xml:space="preserve"> 倍以下罚款。</w:t>
      </w:r>
    </w:p>
    <w:p>
      <w:pPr>
        <w:pStyle w:val="13"/>
        <w:numPr>
          <w:ilvl w:val="0"/>
          <w:numId w:val="1704"/>
        </w:numPr>
        <w:tabs>
          <w:tab w:val="left" w:pos="833"/>
        </w:tabs>
        <w:spacing w:before="0" w:after="0" w:line="240" w:lineRule="auto"/>
        <w:ind w:left="832" w:right="0" w:hanging="242"/>
        <w:jc w:val="left"/>
        <w:rPr>
          <w:color w:val="auto"/>
          <w:sz w:val="24"/>
        </w:rPr>
      </w:pPr>
      <w:r>
        <w:rPr>
          <w:color w:val="auto"/>
          <w:sz w:val="24"/>
        </w:rPr>
        <w:t>【严重】</w:t>
      </w:r>
    </w:p>
    <w:p>
      <w:pPr>
        <w:pStyle w:val="13"/>
        <w:numPr>
          <w:ilvl w:val="0"/>
          <w:numId w:val="1708"/>
        </w:numPr>
        <w:tabs>
          <w:tab w:val="left" w:pos="1193"/>
        </w:tabs>
        <w:spacing w:before="173" w:after="0" w:line="240" w:lineRule="auto"/>
        <w:ind w:left="1192" w:right="0" w:hanging="602"/>
        <w:jc w:val="left"/>
        <w:rPr>
          <w:color w:val="auto"/>
          <w:sz w:val="24"/>
        </w:rPr>
      </w:pPr>
      <w:r>
        <w:rPr>
          <w:color w:val="auto"/>
          <w:sz w:val="24"/>
        </w:rPr>
        <w:t>违法情形</w:t>
      </w:r>
    </w:p>
    <w:p>
      <w:pPr>
        <w:pStyle w:val="4"/>
        <w:spacing w:before="112"/>
        <w:ind w:left="591"/>
        <w:rPr>
          <w:color w:val="auto"/>
        </w:rPr>
      </w:pPr>
      <w:r>
        <w:rPr>
          <w:color w:val="auto"/>
        </w:rPr>
        <w:t>因上述违法行为造成严重后果的;法律法规规定的其他情形。</w:t>
      </w:r>
    </w:p>
    <w:p>
      <w:pPr>
        <w:pStyle w:val="13"/>
        <w:numPr>
          <w:ilvl w:val="0"/>
          <w:numId w:val="1708"/>
        </w:numPr>
        <w:tabs>
          <w:tab w:val="left" w:pos="1193"/>
        </w:tabs>
        <w:spacing w:before="173" w:after="0" w:line="240" w:lineRule="auto"/>
        <w:ind w:left="1192" w:right="0" w:hanging="602"/>
        <w:jc w:val="left"/>
        <w:rPr>
          <w:color w:val="auto"/>
          <w:sz w:val="24"/>
        </w:rPr>
      </w:pPr>
      <w:r>
        <w:rPr>
          <w:color w:val="auto"/>
          <w:sz w:val="24"/>
        </w:rPr>
        <w:t>处罚标准</w:t>
      </w:r>
    </w:p>
    <w:p>
      <w:pPr>
        <w:pStyle w:val="4"/>
        <w:spacing w:before="112" w:line="312" w:lineRule="auto"/>
        <w:ind w:right="213" w:firstLine="480"/>
        <w:rPr>
          <w:color w:val="auto"/>
        </w:rPr>
      </w:pPr>
      <w:r>
        <w:rPr>
          <w:color w:val="auto"/>
        </w:rPr>
        <w:t>没收违法所得和违法生产经营的食品、食品添加剂，没收用于违法生产经营的工具、设备、原料等物品；并处 10 万元罚款或 20 倍罚款；吊销许可证。</w:t>
      </w:r>
    </w:p>
    <w:p>
      <w:pPr>
        <w:pStyle w:val="2"/>
        <w:spacing w:before="82" w:line="388" w:lineRule="auto"/>
        <w:ind w:left="111" w:right="115" w:firstLine="480"/>
        <w:rPr>
          <w:color w:val="auto"/>
        </w:rPr>
      </w:pPr>
      <w:bookmarkStart w:id="1498" w:name="七百三十三、生产经营被包装材料、容器、运输工具等污染的食品、食品添加剂；生产经营"/>
      <w:bookmarkEnd w:id="1498"/>
      <w:bookmarkStart w:id="1499" w:name="_bookmark748"/>
      <w:bookmarkEnd w:id="1499"/>
      <w:r>
        <w:rPr>
          <w:color w:val="auto"/>
          <w:spacing w:val="-14"/>
        </w:rPr>
        <w:t xml:space="preserve">七百三十三、生产经营被包装材料、容器、运输工具等污染的食品、食品添加剂； </w:t>
      </w:r>
      <w:r>
        <w:rPr>
          <w:color w:val="auto"/>
          <w:spacing w:val="-21"/>
        </w:rPr>
        <w:t>生产经营无标签的预包装食品、食品添加剂或者标签、说明书不符合本法规定的食品、</w:t>
      </w:r>
    </w:p>
    <w:p>
      <w:pPr>
        <w:spacing w:before="39" w:line="391" w:lineRule="auto"/>
        <w:ind w:left="111" w:right="237" w:firstLine="0"/>
        <w:jc w:val="left"/>
        <w:rPr>
          <w:b/>
          <w:color w:val="auto"/>
          <w:sz w:val="24"/>
        </w:rPr>
      </w:pPr>
      <w:r>
        <w:rPr>
          <w:b/>
          <w:color w:val="auto"/>
          <w:spacing w:val="-8"/>
          <w:sz w:val="24"/>
        </w:rPr>
        <w:t>食品添加剂；生产经营转基因食品未按规定进行标示；食品生产经营者采购或者使用不符合食品安全标准的食品原料、食品添加剂、食品相关产品</w:t>
      </w:r>
    </w:p>
    <w:p>
      <w:pPr>
        <w:spacing w:before="0" w:line="306" w:lineRule="exact"/>
        <w:ind w:left="591" w:right="0" w:firstLine="0"/>
        <w:jc w:val="left"/>
        <w:rPr>
          <w:b/>
          <w:color w:val="auto"/>
          <w:sz w:val="24"/>
        </w:rPr>
      </w:pPr>
      <w:r>
        <w:rPr>
          <w:b/>
          <w:color w:val="auto"/>
          <w:sz w:val="24"/>
        </w:rPr>
        <w:t>（一）处罚依据</w:t>
      </w:r>
    </w:p>
    <w:p>
      <w:pPr>
        <w:pStyle w:val="4"/>
        <w:tabs>
          <w:tab w:val="left" w:pos="4179"/>
        </w:tabs>
        <w:spacing w:before="113" w:line="312" w:lineRule="auto"/>
        <w:ind w:right="148" w:firstLine="480"/>
        <w:rPr>
          <w:color w:val="auto"/>
        </w:rPr>
      </w:pPr>
      <w:r>
        <w:rPr>
          <w:color w:val="auto"/>
        </w:rPr>
        <w:t>《食品安全法</w:t>
      </w:r>
      <w:r>
        <w:rPr>
          <w:color w:val="auto"/>
          <w:spacing w:val="-12"/>
        </w:rPr>
        <w:t>》</w:t>
      </w:r>
      <w:r>
        <w:rPr>
          <w:color w:val="auto"/>
        </w:rPr>
        <w:t>第一百二十五条</w:t>
      </w:r>
      <w:r>
        <w:rPr>
          <w:color w:val="auto"/>
        </w:rPr>
        <w:tab/>
      </w:r>
      <w:r>
        <w:rPr>
          <w:color w:val="auto"/>
        </w:rPr>
        <w:t>违反本法规定</w:t>
      </w:r>
      <w:r>
        <w:rPr>
          <w:color w:val="auto"/>
          <w:spacing w:val="-12"/>
        </w:rPr>
        <w:t>，</w:t>
      </w:r>
      <w:r>
        <w:rPr>
          <w:color w:val="auto"/>
        </w:rPr>
        <w:t>有下列情形之一的</w:t>
      </w:r>
      <w:r>
        <w:rPr>
          <w:color w:val="auto"/>
          <w:spacing w:val="-12"/>
        </w:rPr>
        <w:t>，</w:t>
      </w:r>
      <w:r>
        <w:rPr>
          <w:color w:val="auto"/>
        </w:rPr>
        <w:t>由县级以</w:t>
      </w:r>
      <w:r>
        <w:rPr>
          <w:color w:val="auto"/>
          <w:spacing w:val="4"/>
        </w:rPr>
        <w:t>上</w:t>
      </w:r>
      <w:r>
        <w:rPr>
          <w:color w:val="auto"/>
          <w:spacing w:val="7"/>
        </w:rPr>
        <w:t>人</w:t>
      </w:r>
      <w:r>
        <w:rPr>
          <w:color w:val="auto"/>
          <w:spacing w:val="4"/>
        </w:rPr>
        <w:t>民</w:t>
      </w:r>
      <w:r>
        <w:rPr>
          <w:color w:val="auto"/>
          <w:spacing w:val="7"/>
        </w:rPr>
        <w:t>政</w:t>
      </w:r>
      <w:r>
        <w:rPr>
          <w:color w:val="auto"/>
          <w:spacing w:val="4"/>
        </w:rPr>
        <w:t>府</w:t>
      </w:r>
      <w:r>
        <w:rPr>
          <w:color w:val="auto"/>
          <w:spacing w:val="7"/>
        </w:rPr>
        <w:t>食</w:t>
      </w:r>
      <w:r>
        <w:rPr>
          <w:color w:val="auto"/>
          <w:spacing w:val="4"/>
        </w:rPr>
        <w:t>品安</w:t>
      </w:r>
      <w:r>
        <w:rPr>
          <w:color w:val="auto"/>
          <w:spacing w:val="7"/>
        </w:rPr>
        <w:t>全</w:t>
      </w:r>
      <w:r>
        <w:rPr>
          <w:color w:val="auto"/>
          <w:spacing w:val="4"/>
        </w:rPr>
        <w:t>监</w:t>
      </w:r>
      <w:r>
        <w:rPr>
          <w:color w:val="auto"/>
          <w:spacing w:val="7"/>
        </w:rPr>
        <w:t>督</w:t>
      </w:r>
      <w:r>
        <w:rPr>
          <w:color w:val="auto"/>
          <w:spacing w:val="4"/>
        </w:rPr>
        <w:t>管</w:t>
      </w:r>
      <w:r>
        <w:rPr>
          <w:color w:val="auto"/>
          <w:spacing w:val="7"/>
        </w:rPr>
        <w:t>理</w:t>
      </w:r>
      <w:r>
        <w:rPr>
          <w:color w:val="auto"/>
          <w:spacing w:val="4"/>
        </w:rPr>
        <w:t>部门</w:t>
      </w:r>
      <w:r>
        <w:rPr>
          <w:color w:val="auto"/>
          <w:spacing w:val="7"/>
        </w:rPr>
        <w:t>没</w:t>
      </w:r>
      <w:r>
        <w:rPr>
          <w:color w:val="auto"/>
          <w:spacing w:val="4"/>
        </w:rPr>
        <w:t>收</w:t>
      </w:r>
      <w:r>
        <w:rPr>
          <w:color w:val="auto"/>
          <w:spacing w:val="7"/>
        </w:rPr>
        <w:t>违</w:t>
      </w:r>
      <w:r>
        <w:rPr>
          <w:color w:val="auto"/>
          <w:spacing w:val="4"/>
        </w:rPr>
        <w:t>法</w:t>
      </w:r>
      <w:r>
        <w:rPr>
          <w:color w:val="auto"/>
          <w:spacing w:val="7"/>
        </w:rPr>
        <w:t>所</w:t>
      </w:r>
      <w:r>
        <w:rPr>
          <w:color w:val="auto"/>
          <w:spacing w:val="4"/>
        </w:rPr>
        <w:t>得和</w:t>
      </w:r>
      <w:r>
        <w:rPr>
          <w:color w:val="auto"/>
          <w:spacing w:val="7"/>
        </w:rPr>
        <w:t>违</w:t>
      </w:r>
      <w:r>
        <w:rPr>
          <w:color w:val="auto"/>
          <w:spacing w:val="4"/>
        </w:rPr>
        <w:t>法</w:t>
      </w:r>
      <w:r>
        <w:rPr>
          <w:color w:val="auto"/>
          <w:spacing w:val="7"/>
        </w:rPr>
        <w:t>生</w:t>
      </w:r>
      <w:r>
        <w:rPr>
          <w:color w:val="auto"/>
          <w:spacing w:val="4"/>
        </w:rPr>
        <w:t>产</w:t>
      </w:r>
      <w:r>
        <w:rPr>
          <w:color w:val="auto"/>
          <w:spacing w:val="7"/>
        </w:rPr>
        <w:t>经</w:t>
      </w:r>
      <w:r>
        <w:rPr>
          <w:color w:val="auto"/>
          <w:spacing w:val="4"/>
        </w:rPr>
        <w:t>营的</w:t>
      </w:r>
      <w:r>
        <w:rPr>
          <w:color w:val="auto"/>
          <w:spacing w:val="7"/>
        </w:rPr>
        <w:t>食</w:t>
      </w:r>
      <w:r>
        <w:rPr>
          <w:color w:val="auto"/>
          <w:spacing w:val="4"/>
        </w:rPr>
        <w:t>品</w:t>
      </w:r>
      <w:r>
        <w:rPr>
          <w:color w:val="auto"/>
          <w:spacing w:val="7"/>
        </w:rPr>
        <w:t>、</w:t>
      </w:r>
      <w:r>
        <w:rPr>
          <w:color w:val="auto"/>
          <w:spacing w:val="4"/>
        </w:rPr>
        <w:t>食</w:t>
      </w:r>
      <w:r>
        <w:rPr>
          <w:color w:val="auto"/>
          <w:spacing w:val="7"/>
        </w:rPr>
        <w:t>品</w:t>
      </w:r>
      <w:r>
        <w:rPr>
          <w:color w:val="auto"/>
          <w:spacing w:val="4"/>
        </w:rPr>
        <w:t>添</w:t>
      </w:r>
      <w:r>
        <w:rPr>
          <w:color w:val="auto"/>
        </w:rPr>
        <w:t>加剂</w:t>
      </w:r>
      <w:r>
        <w:rPr>
          <w:color w:val="auto"/>
          <w:spacing w:val="-39"/>
        </w:rPr>
        <w:t>，</w:t>
      </w:r>
      <w:r>
        <w:rPr>
          <w:color w:val="auto"/>
        </w:rPr>
        <w:t>并可以没收用于违法生产经营的工具</w:t>
      </w:r>
      <w:r>
        <w:rPr>
          <w:color w:val="auto"/>
          <w:spacing w:val="-41"/>
        </w:rPr>
        <w:t>、</w:t>
      </w:r>
      <w:r>
        <w:rPr>
          <w:color w:val="auto"/>
        </w:rPr>
        <w:t>设备</w:t>
      </w:r>
      <w:r>
        <w:rPr>
          <w:color w:val="auto"/>
          <w:spacing w:val="-39"/>
        </w:rPr>
        <w:t>、</w:t>
      </w:r>
      <w:r>
        <w:rPr>
          <w:color w:val="auto"/>
        </w:rPr>
        <w:t>原料等物品</w:t>
      </w:r>
      <w:r>
        <w:rPr>
          <w:color w:val="auto"/>
          <w:spacing w:val="-39"/>
        </w:rPr>
        <w:t>；</w:t>
      </w:r>
      <w:r>
        <w:rPr>
          <w:color w:val="auto"/>
        </w:rPr>
        <w:t>违法生产经营的食品</w:t>
      </w:r>
      <w:r>
        <w:rPr>
          <w:color w:val="auto"/>
          <w:spacing w:val="-15"/>
        </w:rPr>
        <w:t>、</w:t>
      </w:r>
      <w:r>
        <w:rPr>
          <w:color w:val="auto"/>
        </w:rPr>
        <w:t>食品添加剂货值金额不足一万元的</w:t>
      </w:r>
      <w:r>
        <w:rPr>
          <w:color w:val="auto"/>
          <w:spacing w:val="-20"/>
        </w:rPr>
        <w:t>，</w:t>
      </w:r>
      <w:r>
        <w:rPr>
          <w:color w:val="auto"/>
        </w:rPr>
        <w:t>并处五千元以上五万元以下罚款</w:t>
      </w:r>
      <w:r>
        <w:rPr>
          <w:color w:val="auto"/>
          <w:spacing w:val="-17"/>
        </w:rPr>
        <w:t>；</w:t>
      </w:r>
      <w:r>
        <w:rPr>
          <w:color w:val="auto"/>
        </w:rPr>
        <w:t>货值金额一万元以上的</w:t>
      </w:r>
      <w:r>
        <w:rPr>
          <w:color w:val="auto"/>
          <w:spacing w:val="-10"/>
        </w:rPr>
        <w:t>，</w:t>
      </w:r>
      <w:r>
        <w:rPr>
          <w:color w:val="auto"/>
        </w:rPr>
        <w:t>并处货值金额五倍以上十倍以下罚款</w:t>
      </w:r>
      <w:r>
        <w:rPr>
          <w:color w:val="auto"/>
          <w:spacing w:val="-10"/>
        </w:rPr>
        <w:t>；</w:t>
      </w:r>
      <w:r>
        <w:rPr>
          <w:color w:val="auto"/>
        </w:rPr>
        <w:t>情节严重的</w:t>
      </w:r>
      <w:r>
        <w:rPr>
          <w:color w:val="auto"/>
          <w:spacing w:val="-8"/>
        </w:rPr>
        <w:t>，</w:t>
      </w:r>
      <w:r>
        <w:rPr>
          <w:color w:val="auto"/>
        </w:rPr>
        <w:t>责令停产停业</w:t>
      </w:r>
      <w:r>
        <w:rPr>
          <w:color w:val="auto"/>
          <w:spacing w:val="-10"/>
        </w:rPr>
        <w:t>，</w:t>
      </w:r>
      <w:r>
        <w:rPr>
          <w:color w:val="auto"/>
        </w:rPr>
        <w:t>直至吊销许可证：</w:t>
      </w:r>
    </w:p>
    <w:p>
      <w:pPr>
        <w:pStyle w:val="4"/>
        <w:spacing w:before="1"/>
        <w:ind w:left="591"/>
        <w:rPr>
          <w:color w:val="auto"/>
        </w:rPr>
      </w:pPr>
      <w:r>
        <w:rPr>
          <w:color w:val="auto"/>
        </w:rPr>
        <w:t>（一）生产经营被包装材料、容器、运输工具等污染的食品、食品添加剂；</w:t>
      </w:r>
    </w:p>
    <w:p>
      <w:pPr>
        <w:pStyle w:val="4"/>
        <w:spacing w:before="94" w:line="312" w:lineRule="auto"/>
        <w:ind w:right="213" w:firstLine="480"/>
        <w:rPr>
          <w:color w:val="auto"/>
        </w:rPr>
      </w:pPr>
      <w:r>
        <w:rPr>
          <w:color w:val="auto"/>
        </w:rPr>
        <w:t>（二）生产经营无标签的预包装食品、食品添加剂或者标签、说明书不符合本法规定的食品、食品添加剂；</w:t>
      </w:r>
    </w:p>
    <w:p>
      <w:pPr>
        <w:pStyle w:val="4"/>
        <w:spacing w:line="307" w:lineRule="exact"/>
        <w:ind w:left="591"/>
        <w:rPr>
          <w:color w:val="auto"/>
        </w:rPr>
      </w:pPr>
      <w:r>
        <w:rPr>
          <w:color w:val="auto"/>
        </w:rPr>
        <w:t>（三）生产经营转基因食品未按规定进行标示；</w:t>
      </w:r>
    </w:p>
    <w:p>
      <w:pPr>
        <w:pStyle w:val="4"/>
        <w:spacing w:before="93" w:line="312" w:lineRule="auto"/>
        <w:ind w:right="213" w:firstLine="480"/>
        <w:rPr>
          <w:color w:val="auto"/>
        </w:rPr>
      </w:pPr>
      <w:r>
        <w:rPr>
          <w:color w:val="auto"/>
        </w:rPr>
        <w:t>（四）食品生产经营者采购或者使用不符合食品安全标准的食品原料、食品添加剂、食品相关产品。</w:t>
      </w:r>
    </w:p>
    <w:p>
      <w:pPr>
        <w:pStyle w:val="4"/>
        <w:spacing w:line="312" w:lineRule="auto"/>
        <w:ind w:right="268" w:firstLine="480"/>
        <w:jc w:val="both"/>
        <w:rPr>
          <w:color w:val="auto"/>
        </w:rPr>
      </w:pPr>
      <w:r>
        <w:rPr>
          <w:color w:val="auto"/>
          <w:spacing w:val="-5"/>
        </w:rPr>
        <w:t>生产经营的食品、食品添加剂的标签、说明书存在瑕疵但不影响食品安全且不会</w:t>
      </w:r>
      <w:r>
        <w:rPr>
          <w:color w:val="auto"/>
          <w:spacing w:val="-4"/>
        </w:rPr>
        <w:t>对消费者造成误导的，由县级以上人民政府食品安全监督管理部门责令改正；拒不改</w:t>
      </w:r>
      <w:r>
        <w:rPr>
          <w:color w:val="auto"/>
        </w:rPr>
        <w:t>正的，处二千元以下罚款。</w:t>
      </w:r>
    </w:p>
    <w:p>
      <w:pPr>
        <w:pStyle w:val="2"/>
        <w:numPr>
          <w:ilvl w:val="0"/>
          <w:numId w:val="180"/>
        </w:numPr>
        <w:spacing w:before="80"/>
        <w:ind w:left="591" w:leftChars="0" w:firstLine="0" w:firstLineChars="0"/>
        <w:rPr>
          <w:color w:val="auto"/>
        </w:rPr>
      </w:pPr>
      <w:r>
        <w:rPr>
          <w:color w:val="auto"/>
        </w:rPr>
        <w:t>裁量标准</w:t>
      </w:r>
    </w:p>
    <w:p>
      <w:pPr>
        <w:keepNext w:val="0"/>
        <w:keepLines w:val="0"/>
        <w:widowControl/>
        <w:suppressLineNumbers w:val="0"/>
        <w:ind w:firstLine="660" w:firstLineChars="300"/>
        <w:jc w:val="left"/>
        <w:rPr>
          <w:rFonts w:hint="default" w:eastAsia="宋体"/>
          <w:color w:val="auto"/>
          <w:lang w:val="en-US" w:eastAsia="zh-CN"/>
        </w:rPr>
      </w:pPr>
      <w:r>
        <w:rPr>
          <w:rFonts w:hint="eastAsia"/>
          <w:color w:val="auto"/>
          <w:lang w:val="en-US" w:eastAsia="zh-CN"/>
        </w:rPr>
        <w:t>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pStyle w:val="13"/>
        <w:numPr>
          <w:ilvl w:val="0"/>
          <w:numId w:val="0"/>
        </w:numPr>
        <w:tabs>
          <w:tab w:val="left" w:pos="833"/>
        </w:tabs>
        <w:spacing w:before="112" w:after="0" w:line="240" w:lineRule="auto"/>
        <w:ind w:left="590" w:leftChars="0" w:right="0" w:rightChars="0"/>
        <w:jc w:val="left"/>
        <w:rPr>
          <w:color w:val="auto"/>
          <w:sz w:val="24"/>
        </w:rPr>
      </w:pPr>
      <w:r>
        <w:rPr>
          <w:rFonts w:hint="eastAsia"/>
          <w:color w:val="auto"/>
          <w:sz w:val="24"/>
          <w:lang w:val="en-US" w:eastAsia="zh-CN"/>
        </w:rPr>
        <w:t>2.</w:t>
      </w:r>
      <w:r>
        <w:rPr>
          <w:color w:val="auto"/>
          <w:sz w:val="24"/>
        </w:rPr>
        <w:t>【从轻】</w:t>
      </w:r>
    </w:p>
    <w:p>
      <w:pPr>
        <w:pStyle w:val="4"/>
        <w:spacing w:before="94" w:line="312" w:lineRule="auto"/>
        <w:ind w:right="213" w:firstLine="480"/>
        <w:rPr>
          <w:color w:val="auto"/>
        </w:rPr>
      </w:pPr>
      <w:r>
        <w:rPr>
          <w:color w:val="auto"/>
        </w:rPr>
        <w:t>生产经营的食品、食品添加剂的标签、说明书存在瑕疵但不影响食品安全且不会对消费者造成误导的，责令改正；拒不改正的，处 2 千元以下罚款。</w:t>
      </w:r>
    </w:p>
    <w:p>
      <w:pPr>
        <w:pStyle w:val="4"/>
        <w:spacing w:line="312" w:lineRule="auto"/>
        <w:ind w:right="148" w:firstLine="480"/>
        <w:rPr>
          <w:color w:val="auto"/>
        </w:rPr>
      </w:pPr>
      <w:r>
        <w:rPr>
          <w:color w:val="auto"/>
          <w:spacing w:val="-4"/>
        </w:rPr>
        <w:t>食品经营者符合《山东省市场监督管理局行使行政处罚裁量权适用规则</w:t>
      </w:r>
      <w:r>
        <w:rPr>
          <w:color w:val="auto"/>
        </w:rPr>
        <w:t>（试行</w:t>
      </w:r>
      <w:r>
        <w:rPr>
          <w:color w:val="auto"/>
          <w:spacing w:val="-120"/>
        </w:rPr>
        <w:t>）</w:t>
      </w:r>
      <w:r>
        <w:rPr>
          <w:color w:val="auto"/>
          <w:spacing w:val="-16"/>
        </w:rPr>
        <w:t>》</w:t>
      </w:r>
      <w:r>
        <w:rPr>
          <w:color w:val="auto"/>
          <w:spacing w:val="-5"/>
        </w:rPr>
        <w:t>第十一条、第十二条规定的情形的，没收违法所得和违法生产经营的食品、食品添加</w:t>
      </w:r>
      <w:r>
        <w:rPr>
          <w:color w:val="auto"/>
          <w:spacing w:val="-9"/>
        </w:rPr>
        <w:t xml:space="preserve">剂，并可以没收用于违法生产经营的工具、设备、原料等物品；并处 </w:t>
      </w:r>
      <w:r>
        <w:rPr>
          <w:color w:val="auto"/>
        </w:rPr>
        <w:t>5</w:t>
      </w:r>
      <w:r>
        <w:rPr>
          <w:color w:val="auto"/>
          <w:spacing w:val="-20"/>
        </w:rPr>
        <w:t xml:space="preserve"> 千元以上 </w:t>
      </w:r>
      <w:r>
        <w:rPr>
          <w:color w:val="auto"/>
        </w:rPr>
        <w:t>2</w:t>
      </w:r>
      <w:r>
        <w:rPr>
          <w:color w:val="auto"/>
          <w:spacing w:val="-30"/>
        </w:rPr>
        <w:t xml:space="preserve"> 万</w:t>
      </w:r>
    </w:p>
    <w:p>
      <w:pPr>
        <w:pStyle w:val="4"/>
        <w:rPr>
          <w:color w:val="auto"/>
        </w:rPr>
      </w:pPr>
      <w:r>
        <w:rPr>
          <w:color w:val="auto"/>
        </w:rPr>
        <w:t>元以下罚款；或者 5 倍以上 7 倍以下罚款。</w:t>
      </w:r>
    </w:p>
    <w:p>
      <w:pPr>
        <w:pStyle w:val="13"/>
        <w:numPr>
          <w:ilvl w:val="0"/>
          <w:numId w:val="0"/>
        </w:numPr>
        <w:tabs>
          <w:tab w:val="left" w:pos="833"/>
        </w:tabs>
        <w:spacing w:before="93" w:after="0" w:line="240" w:lineRule="auto"/>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13"/>
        <w:numPr>
          <w:ilvl w:val="0"/>
          <w:numId w:val="1709"/>
        </w:numPr>
        <w:tabs>
          <w:tab w:val="left" w:pos="1193"/>
        </w:tabs>
        <w:spacing w:before="173" w:after="0" w:line="240" w:lineRule="auto"/>
        <w:ind w:left="1192" w:right="0" w:hanging="602"/>
        <w:jc w:val="left"/>
        <w:rPr>
          <w:color w:val="auto"/>
          <w:sz w:val="24"/>
        </w:rPr>
      </w:pPr>
      <w:r>
        <w:rPr>
          <w:color w:val="auto"/>
          <w:sz w:val="24"/>
        </w:rPr>
        <w:t>违法情形</w:t>
      </w:r>
    </w:p>
    <w:p>
      <w:pPr>
        <w:pStyle w:val="4"/>
        <w:spacing w:before="112" w:line="312"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09"/>
        </w:numPr>
        <w:tabs>
          <w:tab w:val="left" w:pos="1193"/>
        </w:tabs>
        <w:spacing w:before="82" w:after="0" w:line="240" w:lineRule="auto"/>
        <w:ind w:left="1192" w:right="0" w:hanging="602"/>
        <w:jc w:val="left"/>
        <w:rPr>
          <w:color w:val="auto"/>
          <w:sz w:val="24"/>
        </w:rPr>
      </w:pPr>
      <w:r>
        <w:rPr>
          <w:color w:val="auto"/>
          <w:sz w:val="24"/>
        </w:rPr>
        <w:t>处罚标准</w:t>
      </w:r>
    </w:p>
    <w:p>
      <w:pPr>
        <w:pStyle w:val="4"/>
        <w:spacing w:before="191" w:line="388" w:lineRule="auto"/>
        <w:ind w:right="268" w:firstLine="480"/>
        <w:rPr>
          <w:color w:val="auto"/>
        </w:rPr>
      </w:pPr>
      <w:r>
        <w:rPr>
          <w:color w:val="auto"/>
          <w:spacing w:val="-4"/>
        </w:rPr>
        <w:t>没收违法所得和违法生产经营的食品、食品添加剂，并可以没收用于违法生产经</w:t>
      </w:r>
      <w:r>
        <w:rPr>
          <w:color w:val="auto"/>
          <w:spacing w:val="-8"/>
        </w:rPr>
        <w:t xml:space="preserve">营的工具、设备、原料等物品；并处 </w:t>
      </w:r>
      <w:r>
        <w:rPr>
          <w:color w:val="auto"/>
        </w:rPr>
        <w:t>2</w:t>
      </w:r>
      <w:r>
        <w:rPr>
          <w:color w:val="auto"/>
          <w:spacing w:val="-20"/>
        </w:rPr>
        <w:t xml:space="preserve"> 万元以上 </w:t>
      </w:r>
      <w:r>
        <w:rPr>
          <w:color w:val="auto"/>
        </w:rPr>
        <w:t>3</w:t>
      </w:r>
      <w:r>
        <w:rPr>
          <w:color w:val="auto"/>
          <w:spacing w:val="-14"/>
        </w:rPr>
        <w:t xml:space="preserve"> 万元以下罚款；或者 </w:t>
      </w:r>
      <w:r>
        <w:rPr>
          <w:color w:val="auto"/>
        </w:rPr>
        <w:t>7</w:t>
      </w:r>
      <w:r>
        <w:rPr>
          <w:color w:val="auto"/>
          <w:spacing w:val="-24"/>
        </w:rPr>
        <w:t xml:space="preserve"> 倍以上 </w:t>
      </w:r>
      <w:r>
        <w:rPr>
          <w:color w:val="auto"/>
        </w:rPr>
        <w:t>8</w:t>
      </w:r>
      <w:r>
        <w:rPr>
          <w:color w:val="auto"/>
          <w:spacing w:val="-38"/>
        </w:rPr>
        <w:t xml:space="preserve"> 倍</w:t>
      </w:r>
    </w:p>
    <w:p>
      <w:pPr>
        <w:pStyle w:val="4"/>
        <w:spacing w:before="39"/>
        <w:rPr>
          <w:color w:val="auto"/>
        </w:rPr>
      </w:pPr>
      <w:r>
        <w:rPr>
          <w:color w:val="auto"/>
        </w:rPr>
        <w:t>以下罚款。</w:t>
      </w:r>
    </w:p>
    <w:p>
      <w:pPr>
        <w:pStyle w:val="13"/>
        <w:numPr>
          <w:ilvl w:val="0"/>
          <w:numId w:val="0"/>
        </w:numPr>
        <w:tabs>
          <w:tab w:val="left" w:pos="833"/>
        </w:tabs>
        <w:spacing w:before="195" w:after="0" w:line="240" w:lineRule="auto"/>
        <w:ind w:left="590" w:leftChars="0" w:right="0" w:rightChars="0"/>
        <w:jc w:val="left"/>
        <w:rPr>
          <w:color w:val="auto"/>
          <w:sz w:val="24"/>
        </w:rPr>
      </w:pPr>
      <w:r>
        <w:rPr>
          <w:rFonts w:hint="eastAsia"/>
          <w:color w:val="auto"/>
          <w:sz w:val="24"/>
          <w:lang w:val="en-US" w:eastAsia="zh-CN"/>
        </w:rPr>
        <w:t>4.</w:t>
      </w:r>
      <w:r>
        <w:rPr>
          <w:color w:val="auto"/>
          <w:sz w:val="24"/>
        </w:rPr>
        <w:t>【从重】</w:t>
      </w:r>
    </w:p>
    <w:p>
      <w:pPr>
        <w:pStyle w:val="13"/>
        <w:numPr>
          <w:ilvl w:val="0"/>
          <w:numId w:val="1710"/>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4"/>
        </w:rPr>
        <w:t>食品生产者有上述四个违法行为之一的；导致食品安全事故的；食品经营者同时</w:t>
      </w:r>
      <w:r>
        <w:rPr>
          <w:color w:val="auto"/>
          <w:spacing w:val="-20"/>
        </w:rPr>
        <w:t xml:space="preserve">存在 </w:t>
      </w:r>
      <w:r>
        <w:rPr>
          <w:color w:val="auto"/>
        </w:rPr>
        <w:t>2</w:t>
      </w:r>
      <w:r>
        <w:rPr>
          <w:color w:val="auto"/>
          <w:spacing w:val="-12"/>
        </w:rPr>
        <w:t xml:space="preserve"> 个以上上述违法行为的；经营者经营无标签的预包装食品、食品添加剂；食品</w:t>
      </w:r>
      <w:r>
        <w:rPr>
          <w:color w:val="auto"/>
        </w:rPr>
        <w:t>经营者符合《山东省市场监督管理局行使行政处罚裁量权适用规则（试行</w:t>
      </w:r>
      <w:r>
        <w:rPr>
          <w:color w:val="auto"/>
          <w:spacing w:val="-118"/>
        </w:rPr>
        <w:t>）</w:t>
      </w:r>
      <w:r>
        <w:rPr>
          <w:color w:val="auto"/>
        </w:rPr>
        <w:t>》第十三条规定情形的。</w:t>
      </w:r>
    </w:p>
    <w:p>
      <w:pPr>
        <w:pStyle w:val="13"/>
        <w:numPr>
          <w:ilvl w:val="0"/>
          <w:numId w:val="1710"/>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4"/>
        </w:rPr>
        <w:t xml:space="preserve">没收违法所得和违法生产经营的食品、食品添加剂，没收用于违法生产经营的工具、设备、原料等物品；并处 </w:t>
      </w:r>
      <w:r>
        <w:rPr>
          <w:color w:val="auto"/>
        </w:rPr>
        <w:t>3</w:t>
      </w:r>
      <w:r>
        <w:rPr>
          <w:color w:val="auto"/>
          <w:spacing w:val="-19"/>
        </w:rPr>
        <w:t xml:space="preserve"> 万元以上 </w:t>
      </w:r>
      <w:r>
        <w:rPr>
          <w:color w:val="auto"/>
        </w:rPr>
        <w:t>5</w:t>
      </w:r>
      <w:r>
        <w:rPr>
          <w:color w:val="auto"/>
          <w:spacing w:val="-12"/>
        </w:rPr>
        <w:t xml:space="preserve"> 万元以下罚款；或者 </w:t>
      </w:r>
      <w:r>
        <w:rPr>
          <w:color w:val="auto"/>
        </w:rPr>
        <w:t>8</w:t>
      </w:r>
      <w:r>
        <w:rPr>
          <w:color w:val="auto"/>
          <w:spacing w:val="-22"/>
        </w:rPr>
        <w:t xml:space="preserve"> 倍以上 </w:t>
      </w:r>
      <w:r>
        <w:rPr>
          <w:color w:val="auto"/>
        </w:rPr>
        <w:t>10</w:t>
      </w:r>
      <w:r>
        <w:rPr>
          <w:color w:val="auto"/>
          <w:spacing w:val="-14"/>
        </w:rPr>
        <w:t xml:space="preserve"> 倍以下罚款。</w:t>
      </w:r>
    </w:p>
    <w:p>
      <w:pPr>
        <w:pStyle w:val="13"/>
        <w:numPr>
          <w:ilvl w:val="0"/>
          <w:numId w:val="0"/>
        </w:numPr>
        <w:tabs>
          <w:tab w:val="left" w:pos="833"/>
        </w:tabs>
        <w:spacing w:before="0" w:after="0" w:line="304" w:lineRule="exact"/>
        <w:ind w:left="590" w:leftChars="0" w:right="0" w:rightChars="0"/>
        <w:jc w:val="left"/>
        <w:rPr>
          <w:color w:val="auto"/>
          <w:sz w:val="24"/>
        </w:rPr>
      </w:pPr>
      <w:r>
        <w:rPr>
          <w:rFonts w:hint="eastAsia"/>
          <w:color w:val="auto"/>
          <w:sz w:val="24"/>
          <w:lang w:val="en-US" w:eastAsia="zh-CN"/>
        </w:rPr>
        <w:t>5.</w:t>
      </w:r>
      <w:r>
        <w:rPr>
          <w:color w:val="auto"/>
          <w:sz w:val="24"/>
        </w:rPr>
        <w:t>【严重】</w:t>
      </w:r>
    </w:p>
    <w:p>
      <w:pPr>
        <w:pStyle w:val="13"/>
        <w:numPr>
          <w:ilvl w:val="0"/>
          <w:numId w:val="171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因上述违法行为造成严重后果的;法律法规规定的其他情形。</w:t>
      </w:r>
    </w:p>
    <w:p>
      <w:pPr>
        <w:pStyle w:val="13"/>
        <w:numPr>
          <w:ilvl w:val="0"/>
          <w:numId w:val="1711"/>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4"/>
        </w:rPr>
        <w:t xml:space="preserve">没收违法所得和违法生产经营的食品、食品添加剂，没收用于违法生产经营的工具、设备、原料等物品；并处 </w:t>
      </w:r>
      <w:r>
        <w:rPr>
          <w:color w:val="auto"/>
        </w:rPr>
        <w:t>5</w:t>
      </w:r>
      <w:r>
        <w:rPr>
          <w:color w:val="auto"/>
          <w:spacing w:val="-13"/>
        </w:rPr>
        <w:t xml:space="preserve"> 万元罚款或者 </w:t>
      </w:r>
      <w:r>
        <w:rPr>
          <w:color w:val="auto"/>
        </w:rPr>
        <w:t>10</w:t>
      </w:r>
      <w:r>
        <w:rPr>
          <w:color w:val="auto"/>
          <w:spacing w:val="-7"/>
        </w:rPr>
        <w:t xml:space="preserve"> 倍罚款；责令停产停业，直至吊销许可证。</w:t>
      </w:r>
    </w:p>
    <w:p>
      <w:pPr>
        <w:pStyle w:val="2"/>
        <w:spacing w:line="304" w:lineRule="exact"/>
        <w:rPr>
          <w:color w:val="auto"/>
        </w:rPr>
      </w:pPr>
      <w:bookmarkStart w:id="1500" w:name="_bookmark749"/>
      <w:bookmarkEnd w:id="1500"/>
      <w:bookmarkStart w:id="1501" w:name="七百三十四、生产经营不符合法律、法规或者食品安全标准的食品、食品添加剂"/>
      <w:bookmarkEnd w:id="1501"/>
      <w:r>
        <w:rPr>
          <w:color w:val="auto"/>
        </w:rPr>
        <w:t>七百三十四、生产经营不符合法律、法规或者食品安全标准的食品、食品添加剂</w:t>
      </w:r>
    </w:p>
    <w:p>
      <w:pPr>
        <w:spacing w:before="194"/>
        <w:ind w:left="591" w:right="0" w:firstLine="0"/>
        <w:jc w:val="left"/>
        <w:rPr>
          <w:b/>
          <w:color w:val="auto"/>
          <w:sz w:val="24"/>
        </w:rPr>
      </w:pPr>
      <w:r>
        <w:rPr>
          <w:b/>
          <w:color w:val="auto"/>
          <w:sz w:val="24"/>
        </w:rPr>
        <w:t>（一）处罚依据</w:t>
      </w:r>
    </w:p>
    <w:p>
      <w:pPr>
        <w:pStyle w:val="13"/>
        <w:numPr>
          <w:ilvl w:val="0"/>
          <w:numId w:val="1712"/>
        </w:numPr>
        <w:tabs>
          <w:tab w:val="left" w:pos="833"/>
        </w:tabs>
        <w:spacing w:before="192" w:after="0" w:line="391" w:lineRule="auto"/>
        <w:ind w:left="111" w:right="268" w:firstLine="480"/>
        <w:jc w:val="both"/>
        <w:rPr>
          <w:color w:val="auto"/>
          <w:sz w:val="24"/>
        </w:rPr>
      </w:pPr>
      <w:r>
        <w:rPr>
          <w:color w:val="auto"/>
          <w:spacing w:val="-4"/>
          <w:sz w:val="24"/>
        </w:rPr>
        <w:t>《食品安全法》第一百二十四条第二款 除前款和本法第一百二十三条、第一百二十五条规定的情形外，生产经营不符合法律、法规或者食品安全标准的食品、食</w:t>
      </w:r>
      <w:r>
        <w:rPr>
          <w:color w:val="auto"/>
          <w:sz w:val="24"/>
        </w:rPr>
        <w:t>品添加剂的，依照前款规定给予处罚。</w:t>
      </w:r>
    </w:p>
    <w:p>
      <w:pPr>
        <w:pStyle w:val="13"/>
        <w:numPr>
          <w:ilvl w:val="0"/>
          <w:numId w:val="1712"/>
        </w:numPr>
        <w:tabs>
          <w:tab w:val="left" w:pos="833"/>
          <w:tab w:val="left" w:pos="5131"/>
        </w:tabs>
        <w:spacing w:before="0" w:after="0" w:line="391" w:lineRule="auto"/>
        <w:ind w:left="111" w:right="148" w:firstLine="480"/>
        <w:jc w:val="left"/>
        <w:rPr>
          <w:color w:val="auto"/>
          <w:sz w:val="24"/>
        </w:rPr>
      </w:pPr>
      <w:r>
        <w:rPr>
          <w:color w:val="auto"/>
          <w:sz w:val="24"/>
        </w:rPr>
        <w:t>《食品安全法</w:t>
      </w:r>
      <w:r>
        <w:rPr>
          <w:color w:val="auto"/>
          <w:spacing w:val="-10"/>
          <w:sz w:val="24"/>
        </w:rPr>
        <w:t>》</w:t>
      </w:r>
      <w:r>
        <w:rPr>
          <w:color w:val="auto"/>
          <w:sz w:val="24"/>
        </w:rPr>
        <w:t>第一百二十四条第一款</w:t>
      </w:r>
      <w:r>
        <w:rPr>
          <w:color w:val="auto"/>
          <w:sz w:val="24"/>
        </w:rPr>
        <w:tab/>
      </w:r>
      <w:r>
        <w:rPr>
          <w:color w:val="auto"/>
          <w:sz w:val="24"/>
        </w:rPr>
        <w:t>违反本法规定</w:t>
      </w:r>
      <w:r>
        <w:rPr>
          <w:color w:val="auto"/>
          <w:spacing w:val="-8"/>
          <w:sz w:val="24"/>
        </w:rPr>
        <w:t>，</w:t>
      </w:r>
      <w:r>
        <w:rPr>
          <w:color w:val="auto"/>
          <w:sz w:val="24"/>
        </w:rPr>
        <w:t>有下列情形之一</w:t>
      </w:r>
      <w:r>
        <w:rPr>
          <w:color w:val="auto"/>
          <w:spacing w:val="-10"/>
          <w:sz w:val="24"/>
        </w:rPr>
        <w:t>，</w:t>
      </w:r>
      <w:r>
        <w:rPr>
          <w:color w:val="auto"/>
          <w:sz w:val="24"/>
        </w:rPr>
        <w:t>尚不构成犯罪的</w:t>
      </w:r>
      <w:r>
        <w:rPr>
          <w:color w:val="auto"/>
          <w:spacing w:val="-36"/>
          <w:sz w:val="24"/>
        </w:rPr>
        <w:t>，</w:t>
      </w:r>
      <w:r>
        <w:rPr>
          <w:color w:val="auto"/>
          <w:sz w:val="24"/>
        </w:rPr>
        <w:t>由县级以上人民政府食品安全监督管理部门没收违法所得和违法生产经营的食品</w:t>
      </w:r>
      <w:r>
        <w:rPr>
          <w:color w:val="auto"/>
          <w:spacing w:val="-39"/>
          <w:sz w:val="24"/>
        </w:rPr>
        <w:t>、</w:t>
      </w:r>
      <w:r>
        <w:rPr>
          <w:color w:val="auto"/>
          <w:sz w:val="24"/>
        </w:rPr>
        <w:t>食品添加剂</w:t>
      </w:r>
      <w:r>
        <w:rPr>
          <w:color w:val="auto"/>
          <w:spacing w:val="-41"/>
          <w:sz w:val="24"/>
        </w:rPr>
        <w:t>，</w:t>
      </w:r>
      <w:r>
        <w:rPr>
          <w:color w:val="auto"/>
          <w:sz w:val="24"/>
        </w:rPr>
        <w:t>并可以没收用于违法生产经营的工具</w:t>
      </w:r>
      <w:r>
        <w:rPr>
          <w:color w:val="auto"/>
          <w:spacing w:val="-39"/>
          <w:sz w:val="24"/>
        </w:rPr>
        <w:t>、</w:t>
      </w:r>
      <w:r>
        <w:rPr>
          <w:color w:val="auto"/>
          <w:sz w:val="24"/>
        </w:rPr>
        <w:t>设备</w:t>
      </w:r>
      <w:r>
        <w:rPr>
          <w:color w:val="auto"/>
          <w:spacing w:val="-39"/>
          <w:sz w:val="24"/>
        </w:rPr>
        <w:t>、</w:t>
      </w:r>
      <w:r>
        <w:rPr>
          <w:color w:val="auto"/>
          <w:sz w:val="24"/>
        </w:rPr>
        <w:t>原料等物品</w:t>
      </w:r>
      <w:r>
        <w:rPr>
          <w:color w:val="auto"/>
          <w:spacing w:val="-15"/>
          <w:sz w:val="24"/>
        </w:rPr>
        <w:t xml:space="preserve">； </w:t>
      </w:r>
      <w:r>
        <w:rPr>
          <w:color w:val="auto"/>
          <w:sz w:val="24"/>
        </w:rPr>
        <w:t>违法生产经营的食品</w:t>
      </w:r>
      <w:r>
        <w:rPr>
          <w:color w:val="auto"/>
          <w:spacing w:val="-20"/>
          <w:sz w:val="24"/>
        </w:rPr>
        <w:t>、</w:t>
      </w:r>
      <w:r>
        <w:rPr>
          <w:color w:val="auto"/>
          <w:sz w:val="24"/>
        </w:rPr>
        <w:t>食品添加剂货值金额不足一万元的</w:t>
      </w:r>
      <w:r>
        <w:rPr>
          <w:color w:val="auto"/>
          <w:spacing w:val="-17"/>
          <w:sz w:val="24"/>
        </w:rPr>
        <w:t>，</w:t>
      </w:r>
      <w:r>
        <w:rPr>
          <w:color w:val="auto"/>
          <w:sz w:val="24"/>
        </w:rPr>
        <w:t>并处五万元以上十万元以下罚款</w:t>
      </w:r>
      <w:r>
        <w:rPr>
          <w:color w:val="auto"/>
          <w:spacing w:val="-12"/>
          <w:sz w:val="24"/>
        </w:rPr>
        <w:t>；</w:t>
      </w:r>
      <w:r>
        <w:rPr>
          <w:color w:val="auto"/>
          <w:sz w:val="24"/>
        </w:rPr>
        <w:t>货值金额一万元以上的</w:t>
      </w:r>
      <w:r>
        <w:rPr>
          <w:color w:val="auto"/>
          <w:spacing w:val="-12"/>
          <w:sz w:val="24"/>
        </w:rPr>
        <w:t>，</w:t>
      </w:r>
      <w:r>
        <w:rPr>
          <w:color w:val="auto"/>
          <w:sz w:val="24"/>
        </w:rPr>
        <w:t>并处货值金额十倍以上二十倍以下罚款</w:t>
      </w:r>
      <w:r>
        <w:rPr>
          <w:color w:val="auto"/>
          <w:spacing w:val="-12"/>
          <w:sz w:val="24"/>
        </w:rPr>
        <w:t>；</w:t>
      </w:r>
      <w:r>
        <w:rPr>
          <w:color w:val="auto"/>
          <w:sz w:val="24"/>
        </w:rPr>
        <w:t>情节严重</w:t>
      </w:r>
    </w:p>
    <w:p>
      <w:pPr>
        <w:pStyle w:val="4"/>
        <w:spacing w:before="39"/>
        <w:rPr>
          <w:color w:val="auto"/>
        </w:rPr>
      </w:pPr>
      <w:r>
        <w:rPr>
          <w:color w:val="auto"/>
        </w:rPr>
        <w:t>的，吊销许可证。</w:t>
      </w:r>
    </w:p>
    <w:p>
      <w:pPr>
        <w:pStyle w:val="2"/>
        <w:spacing w:before="195"/>
        <w:rPr>
          <w:color w:val="auto"/>
        </w:rPr>
      </w:pPr>
      <w:r>
        <w:rPr>
          <w:color w:val="auto"/>
        </w:rPr>
        <w:t>（二）裁量标准</w:t>
      </w:r>
    </w:p>
    <w:p>
      <w:pPr>
        <w:pStyle w:val="13"/>
        <w:numPr>
          <w:ilvl w:val="0"/>
          <w:numId w:val="1713"/>
        </w:numPr>
        <w:tabs>
          <w:tab w:val="left" w:pos="833"/>
        </w:tabs>
        <w:spacing w:before="191" w:after="0" w:line="240" w:lineRule="auto"/>
        <w:ind w:left="832" w:right="0" w:hanging="242"/>
        <w:jc w:val="left"/>
        <w:rPr>
          <w:color w:val="auto"/>
          <w:sz w:val="24"/>
        </w:rPr>
      </w:pPr>
      <w:r>
        <w:rPr>
          <w:color w:val="auto"/>
          <w:sz w:val="24"/>
        </w:rPr>
        <w:t>【从轻】</w:t>
      </w:r>
    </w:p>
    <w:p>
      <w:pPr>
        <w:pStyle w:val="13"/>
        <w:numPr>
          <w:ilvl w:val="0"/>
          <w:numId w:val="171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4"/>
        </w:rPr>
        <w:t>食品经营者符合《山东省市场监督管理局行使行政处罚裁量权适用规则</w:t>
      </w:r>
      <w:r>
        <w:rPr>
          <w:color w:val="auto"/>
        </w:rPr>
        <w:t>（试行</w:t>
      </w:r>
      <w:r>
        <w:rPr>
          <w:color w:val="auto"/>
          <w:spacing w:val="-120"/>
        </w:rPr>
        <w:t>）</w:t>
      </w:r>
      <w:r>
        <w:rPr>
          <w:color w:val="auto"/>
          <w:spacing w:val="-16"/>
        </w:rPr>
        <w:t>》</w:t>
      </w:r>
      <w:r>
        <w:rPr>
          <w:color w:val="auto"/>
        </w:rPr>
        <w:t>第十一条、第十二条规定情形的。</w:t>
      </w:r>
    </w:p>
    <w:p>
      <w:pPr>
        <w:pStyle w:val="13"/>
        <w:numPr>
          <w:ilvl w:val="0"/>
          <w:numId w:val="171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line="388" w:lineRule="auto"/>
        <w:ind w:right="268" w:firstLine="480"/>
        <w:jc w:val="both"/>
        <w:rPr>
          <w:color w:val="auto"/>
        </w:rPr>
      </w:pPr>
      <w:r>
        <w:rPr>
          <w:color w:val="auto"/>
          <w:spacing w:val="-4"/>
        </w:rPr>
        <w:t xml:space="preserve">没收违法所得和违法生产经营的食品、食品添加剂，并可以没收用于违法生产经营的工具、设备、原料等物品；并处 </w:t>
      </w:r>
      <w:r>
        <w:rPr>
          <w:color w:val="auto"/>
        </w:rPr>
        <w:t>5</w:t>
      </w:r>
      <w:r>
        <w:rPr>
          <w:color w:val="auto"/>
          <w:spacing w:val="-20"/>
        </w:rPr>
        <w:t xml:space="preserve"> 万元以上 </w:t>
      </w:r>
      <w:r>
        <w:rPr>
          <w:color w:val="auto"/>
        </w:rPr>
        <w:t>7</w:t>
      </w:r>
      <w:r>
        <w:rPr>
          <w:color w:val="auto"/>
          <w:spacing w:val="-13"/>
        </w:rPr>
        <w:t xml:space="preserve"> 万元以下罚款；或者 </w:t>
      </w:r>
      <w:r>
        <w:rPr>
          <w:color w:val="auto"/>
        </w:rPr>
        <w:t>10</w:t>
      </w:r>
      <w:r>
        <w:rPr>
          <w:color w:val="auto"/>
          <w:spacing w:val="-24"/>
        </w:rPr>
        <w:t xml:space="preserve"> 倍以上 </w:t>
      </w:r>
      <w:r>
        <w:rPr>
          <w:color w:val="auto"/>
        </w:rPr>
        <w:t>14 倍以下罚款。</w:t>
      </w:r>
    </w:p>
    <w:p>
      <w:pPr>
        <w:pStyle w:val="13"/>
        <w:numPr>
          <w:ilvl w:val="0"/>
          <w:numId w:val="1713"/>
        </w:numPr>
        <w:tabs>
          <w:tab w:val="left" w:pos="833"/>
        </w:tabs>
        <w:spacing w:before="6" w:after="0" w:line="240" w:lineRule="auto"/>
        <w:ind w:left="832" w:right="0" w:hanging="242"/>
        <w:jc w:val="left"/>
        <w:rPr>
          <w:color w:val="auto"/>
          <w:sz w:val="24"/>
        </w:rPr>
      </w:pPr>
      <w:r>
        <w:rPr>
          <w:color w:val="auto"/>
          <w:sz w:val="24"/>
        </w:rPr>
        <w:t>【一般】</w:t>
      </w:r>
    </w:p>
    <w:p>
      <w:pPr>
        <w:pStyle w:val="13"/>
        <w:numPr>
          <w:ilvl w:val="0"/>
          <w:numId w:val="171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71"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1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line="391" w:lineRule="auto"/>
        <w:ind w:right="268" w:firstLine="480"/>
        <w:jc w:val="both"/>
        <w:rPr>
          <w:color w:val="auto"/>
        </w:rPr>
      </w:pPr>
      <w:r>
        <w:rPr>
          <w:color w:val="auto"/>
          <w:spacing w:val="-4"/>
        </w:rPr>
        <w:t xml:space="preserve">没收违法所得和违法生产经营的食品、食品添加剂，并可以没收用于违法生产经营的工具、设备、原料等物品；并处 </w:t>
      </w:r>
      <w:r>
        <w:rPr>
          <w:color w:val="auto"/>
        </w:rPr>
        <w:t>7</w:t>
      </w:r>
      <w:r>
        <w:rPr>
          <w:color w:val="auto"/>
          <w:spacing w:val="-20"/>
        </w:rPr>
        <w:t xml:space="preserve"> 万元以上 </w:t>
      </w:r>
      <w:r>
        <w:rPr>
          <w:color w:val="auto"/>
        </w:rPr>
        <w:t>8</w:t>
      </w:r>
      <w:r>
        <w:rPr>
          <w:color w:val="auto"/>
          <w:spacing w:val="-13"/>
        </w:rPr>
        <w:t xml:space="preserve"> 万元以下罚款；或者 </w:t>
      </w:r>
      <w:r>
        <w:rPr>
          <w:color w:val="auto"/>
        </w:rPr>
        <w:t>14</w:t>
      </w:r>
      <w:r>
        <w:rPr>
          <w:color w:val="auto"/>
          <w:spacing w:val="-24"/>
        </w:rPr>
        <w:t xml:space="preserve"> 倍以上 </w:t>
      </w:r>
      <w:r>
        <w:rPr>
          <w:color w:val="auto"/>
        </w:rPr>
        <w:t>16 倍以下罚款。</w:t>
      </w:r>
    </w:p>
    <w:p>
      <w:pPr>
        <w:pStyle w:val="13"/>
        <w:numPr>
          <w:ilvl w:val="0"/>
          <w:numId w:val="1713"/>
        </w:numPr>
        <w:tabs>
          <w:tab w:val="left" w:pos="833"/>
        </w:tabs>
        <w:spacing w:before="0" w:after="0" w:line="304" w:lineRule="exact"/>
        <w:ind w:left="832" w:right="0" w:hanging="242"/>
        <w:jc w:val="left"/>
        <w:rPr>
          <w:color w:val="auto"/>
          <w:sz w:val="24"/>
        </w:rPr>
      </w:pPr>
      <w:r>
        <w:rPr>
          <w:color w:val="auto"/>
          <w:sz w:val="24"/>
        </w:rPr>
        <w:t>【从重】</w:t>
      </w:r>
    </w:p>
    <w:p>
      <w:pPr>
        <w:pStyle w:val="13"/>
        <w:numPr>
          <w:ilvl w:val="0"/>
          <w:numId w:val="1716"/>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4"/>
        </w:rPr>
        <w:t>食品生产者生产不符合法律、法规或食品安全标准的食品、食品添加剂的；导致</w:t>
      </w:r>
      <w:r>
        <w:rPr>
          <w:color w:val="auto"/>
        </w:rPr>
        <w:t>食品安全事故的;食品经营者符合《山东省市场监督管理局行使行政处罚裁量权适用规则（试行</w:t>
      </w:r>
      <w:r>
        <w:rPr>
          <w:color w:val="auto"/>
          <w:spacing w:val="-120"/>
        </w:rPr>
        <w:t>）</w:t>
      </w:r>
      <w:r>
        <w:rPr>
          <w:color w:val="auto"/>
        </w:rPr>
        <w:t>》第十三条规定情形的。</w:t>
      </w:r>
    </w:p>
    <w:p>
      <w:pPr>
        <w:pStyle w:val="13"/>
        <w:numPr>
          <w:ilvl w:val="0"/>
          <w:numId w:val="1716"/>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line="391" w:lineRule="auto"/>
        <w:ind w:right="268" w:firstLine="480"/>
        <w:jc w:val="both"/>
        <w:rPr>
          <w:color w:val="auto"/>
        </w:rPr>
      </w:pPr>
      <w:r>
        <w:rPr>
          <w:color w:val="auto"/>
          <w:spacing w:val="-4"/>
        </w:rPr>
        <w:t xml:space="preserve">没收违法所得和违法生产经营的食品、食品添加剂，没收用于违法生产经营的工具、设备、原料等物品；并处 </w:t>
      </w:r>
      <w:r>
        <w:rPr>
          <w:color w:val="auto"/>
        </w:rPr>
        <w:t>8</w:t>
      </w:r>
      <w:r>
        <w:rPr>
          <w:color w:val="auto"/>
          <w:spacing w:val="-19"/>
        </w:rPr>
        <w:t xml:space="preserve"> 万元以上 </w:t>
      </w:r>
      <w:r>
        <w:rPr>
          <w:color w:val="auto"/>
        </w:rPr>
        <w:t>10</w:t>
      </w:r>
      <w:r>
        <w:rPr>
          <w:color w:val="auto"/>
          <w:spacing w:val="-12"/>
        </w:rPr>
        <w:t xml:space="preserve"> 万元以下罚款；或者 </w:t>
      </w:r>
      <w:r>
        <w:rPr>
          <w:color w:val="auto"/>
        </w:rPr>
        <w:t>16</w:t>
      </w:r>
      <w:r>
        <w:rPr>
          <w:color w:val="auto"/>
          <w:spacing w:val="-22"/>
        </w:rPr>
        <w:t xml:space="preserve"> 倍以上 </w:t>
      </w:r>
      <w:r>
        <w:rPr>
          <w:color w:val="auto"/>
        </w:rPr>
        <w:t>20</w:t>
      </w:r>
      <w:r>
        <w:rPr>
          <w:color w:val="auto"/>
          <w:spacing w:val="-18"/>
        </w:rPr>
        <w:t xml:space="preserve"> 倍以下罚款。</w:t>
      </w:r>
    </w:p>
    <w:p>
      <w:pPr>
        <w:pStyle w:val="13"/>
        <w:numPr>
          <w:ilvl w:val="0"/>
          <w:numId w:val="1713"/>
        </w:numPr>
        <w:tabs>
          <w:tab w:val="left" w:pos="833"/>
        </w:tabs>
        <w:spacing w:before="0" w:after="0" w:line="304" w:lineRule="exact"/>
        <w:ind w:left="832" w:right="0" w:hanging="242"/>
        <w:jc w:val="left"/>
        <w:rPr>
          <w:color w:val="auto"/>
          <w:sz w:val="24"/>
        </w:rPr>
      </w:pPr>
      <w:r>
        <w:rPr>
          <w:color w:val="auto"/>
          <w:sz w:val="24"/>
        </w:rPr>
        <w:t>【严重】违法情形</w:t>
      </w:r>
    </w:p>
    <w:p>
      <w:pPr>
        <w:pStyle w:val="4"/>
        <w:spacing w:before="195"/>
        <w:ind w:left="591"/>
        <w:rPr>
          <w:color w:val="auto"/>
        </w:rPr>
      </w:pPr>
      <w:r>
        <w:rPr>
          <w:color w:val="auto"/>
        </w:rPr>
        <w:t>因上述违法行为造成严重后果的;法律法规规定的其他情形。</w:t>
      </w:r>
    </w:p>
    <w:p>
      <w:pPr>
        <w:pStyle w:val="13"/>
        <w:numPr>
          <w:ilvl w:val="0"/>
          <w:numId w:val="1717"/>
        </w:numPr>
        <w:tabs>
          <w:tab w:val="left" w:pos="1193"/>
        </w:tabs>
        <w:spacing w:before="191" w:after="0" w:line="240" w:lineRule="auto"/>
        <w:ind w:left="1192" w:right="0" w:hanging="602"/>
        <w:jc w:val="left"/>
        <w:rPr>
          <w:color w:val="auto"/>
          <w:sz w:val="24"/>
        </w:rPr>
      </w:pPr>
      <w:r>
        <w:rPr>
          <w:color w:val="auto"/>
          <w:sz w:val="24"/>
        </w:rPr>
        <w:t>处罚标准</w:t>
      </w:r>
    </w:p>
    <w:p>
      <w:pPr>
        <w:pStyle w:val="4"/>
        <w:spacing w:before="192" w:line="391" w:lineRule="auto"/>
        <w:ind w:right="213" w:firstLine="480"/>
        <w:rPr>
          <w:color w:val="auto"/>
        </w:rPr>
      </w:pPr>
      <w:r>
        <w:rPr>
          <w:color w:val="auto"/>
        </w:rPr>
        <w:t>没收违法所得和违法生产经营的食品、食品添加剂，没收用于违法生产经营的工具、设备、原料等物品；并处 10 万元罚款或 20 倍罚款；吊销许可证。</w:t>
      </w:r>
    </w:p>
    <w:p>
      <w:pPr>
        <w:pStyle w:val="2"/>
        <w:spacing w:line="391" w:lineRule="auto"/>
        <w:ind w:left="111" w:right="117" w:firstLine="480"/>
        <w:rPr>
          <w:color w:val="auto"/>
        </w:rPr>
      </w:pPr>
      <w:bookmarkStart w:id="1502" w:name="七百三十五、食品、食品添加剂生产者未按规定对采购的食品原料和生产的食品、食品添加"/>
      <w:bookmarkEnd w:id="1502"/>
      <w:bookmarkStart w:id="1503" w:name="_bookmark750"/>
      <w:bookmarkEnd w:id="1503"/>
      <w:r>
        <w:rPr>
          <w:color w:val="auto"/>
          <w:spacing w:val="-15"/>
        </w:rPr>
        <w:t>七百三十五、食品、食品添加剂生产者未按规定对采购的食品原料和生产的食品、</w:t>
      </w:r>
      <w:r>
        <w:rPr>
          <w:color w:val="auto"/>
          <w:spacing w:val="-14"/>
        </w:rPr>
        <w:t>食品添加剂进行检验；食品生产经营企业未按规定建立食品安全管理制度，或者未按规定配备或者培训、考核食品安全管理人员；食品、食品添加剂生产经营者进货时未</w:t>
      </w:r>
      <w:r>
        <w:rPr>
          <w:color w:val="auto"/>
          <w:spacing w:val="-15"/>
        </w:rPr>
        <w:t>查验许可证和相关证明文件，或者未按规定建立并遵守进货查验记录、出厂检验记录</w:t>
      </w:r>
      <w:r>
        <w:rPr>
          <w:color w:val="auto"/>
          <w:spacing w:val="-14"/>
        </w:rPr>
        <w:t>和销售记录制度；食品生产经营企业未制定食品安全事故处置方案；餐具、饮具和盛</w:t>
      </w:r>
      <w:r>
        <w:rPr>
          <w:color w:val="auto"/>
          <w:spacing w:val="-15"/>
        </w:rPr>
        <w:t>放直接入口食品的容器，使用前未经洗净、消毒或者清洗消毒不合格，或者餐饮服务</w:t>
      </w:r>
      <w:r>
        <w:rPr>
          <w:color w:val="auto"/>
          <w:spacing w:val="-10"/>
        </w:rPr>
        <w:t>设施、设备未按规定定期维护、清洗、校验；食品生产经营者安排未取得健康证明或</w:t>
      </w:r>
      <w:r>
        <w:rPr>
          <w:color w:val="auto"/>
          <w:spacing w:val="3"/>
        </w:rPr>
        <w:t>者患有国务院卫生行政部门规定的有碍食品安全疾病的人员从事接触直接入口食品</w:t>
      </w:r>
      <w:r>
        <w:rPr>
          <w:color w:val="auto"/>
          <w:spacing w:val="-7"/>
        </w:rPr>
        <w:t>的工作；食品经营者未按规定要求销售食品；保健食品生产企业未按规定向食品安全</w:t>
      </w:r>
      <w:r>
        <w:rPr>
          <w:color w:val="auto"/>
          <w:spacing w:val="-11"/>
        </w:rPr>
        <w:t>监督管理部门备案，或者未按备案的产品配方、生产工艺等技术要求组织生产；婴幼</w:t>
      </w:r>
      <w:r>
        <w:rPr>
          <w:color w:val="auto"/>
          <w:spacing w:val="-14"/>
        </w:rPr>
        <w:t>儿配方食品生产企业未将食品原料、食品添加剂、产品配方、标签等向食品安全监督</w:t>
      </w:r>
      <w:r>
        <w:rPr>
          <w:color w:val="auto"/>
          <w:spacing w:val="-12"/>
        </w:rPr>
        <w:t>管理部门备案；特殊食品生产企业未按规定建立生产质量管理体系并有效运行，或者</w:t>
      </w:r>
      <w:r>
        <w:rPr>
          <w:color w:val="auto"/>
          <w:spacing w:val="-13"/>
        </w:rPr>
        <w:t>未定期提交自查报告；食品生产经营者未定期对食品安全状况进行检查评价，或者生</w:t>
      </w:r>
      <w:r>
        <w:rPr>
          <w:color w:val="auto"/>
          <w:spacing w:val="-12"/>
        </w:rPr>
        <w:t>产经营条件发生变化，未按规定处理；学校、托幼机构、养老机构、建筑工地等集中</w:t>
      </w:r>
      <w:r>
        <w:rPr>
          <w:color w:val="auto"/>
          <w:spacing w:val="-15"/>
        </w:rPr>
        <w:t>用餐单位未按规定履行食品安全管理责任；食品生产企业、餐饮服务提供者未按规定</w:t>
      </w:r>
      <w:r>
        <w:rPr>
          <w:color w:val="auto"/>
          <w:spacing w:val="-11"/>
        </w:rPr>
        <w:t>制定、实施生产经营过程控制要求；食品相关产品生产者未按规定对生产的食品相关产品进行检验</w:t>
      </w:r>
    </w:p>
    <w:p>
      <w:pPr>
        <w:spacing w:before="0" w:line="287" w:lineRule="exact"/>
        <w:ind w:left="591" w:right="0" w:firstLine="0"/>
        <w:jc w:val="left"/>
        <w:rPr>
          <w:b/>
          <w:color w:val="auto"/>
          <w:sz w:val="24"/>
        </w:rPr>
      </w:pPr>
      <w:r>
        <w:rPr>
          <w:b/>
          <w:color w:val="auto"/>
          <w:sz w:val="24"/>
        </w:rPr>
        <w:t>（一）处罚依据</w:t>
      </w:r>
    </w:p>
    <w:p>
      <w:pPr>
        <w:pStyle w:val="13"/>
        <w:numPr>
          <w:ilvl w:val="0"/>
          <w:numId w:val="1718"/>
        </w:numPr>
        <w:tabs>
          <w:tab w:val="left" w:pos="833"/>
        </w:tabs>
        <w:spacing w:before="190" w:after="0" w:line="391" w:lineRule="auto"/>
        <w:ind w:left="111" w:right="232" w:firstLine="480"/>
        <w:jc w:val="both"/>
        <w:rPr>
          <w:color w:val="auto"/>
          <w:sz w:val="24"/>
        </w:rPr>
      </w:pPr>
      <w:r>
        <w:rPr>
          <w:color w:val="auto"/>
          <w:spacing w:val="-1"/>
          <w:sz w:val="24"/>
        </w:rPr>
        <w:t xml:space="preserve">《食品安全法》第一百二十六条第一款 违反本法规定，有下列情形之一的， </w:t>
      </w:r>
      <w:r>
        <w:rPr>
          <w:color w:val="auto"/>
          <w:spacing w:val="-3"/>
          <w:sz w:val="24"/>
        </w:rPr>
        <w:t>由县级以上人民政府食品安全监督管理部门责令改正，给予警告；拒不改正的，处五千元以上五万元以下罚款；情节严重的，责令停产停业，直至吊销许可证：</w:t>
      </w:r>
    </w:p>
    <w:p>
      <w:pPr>
        <w:pStyle w:val="4"/>
        <w:spacing w:line="388" w:lineRule="auto"/>
        <w:ind w:right="213" w:firstLine="480"/>
        <w:rPr>
          <w:color w:val="auto"/>
        </w:rPr>
      </w:pPr>
      <w:r>
        <w:rPr>
          <w:color w:val="auto"/>
        </w:rPr>
        <w:t>（一）食品、食品添加剂生产者未按规定对采购的食品原料和生产的食品、食品添加剂进行检验；</w:t>
      </w:r>
    </w:p>
    <w:p>
      <w:pPr>
        <w:pStyle w:val="4"/>
        <w:spacing w:before="39" w:line="391" w:lineRule="auto"/>
        <w:ind w:right="213" w:firstLine="480"/>
        <w:rPr>
          <w:color w:val="auto"/>
        </w:rPr>
      </w:pPr>
      <w:r>
        <w:rPr>
          <w:color w:val="auto"/>
        </w:rPr>
        <w:t>（二）食品生产经营企业未按规定建立食品安全管理制度，或者未按规定配备或者培训、考核食品安全管理人员；</w:t>
      </w:r>
    </w:p>
    <w:p>
      <w:pPr>
        <w:pStyle w:val="4"/>
        <w:spacing w:line="388" w:lineRule="auto"/>
        <w:ind w:right="213" w:firstLine="480"/>
        <w:rPr>
          <w:color w:val="auto"/>
        </w:rPr>
      </w:pPr>
      <w:r>
        <w:rPr>
          <w:color w:val="auto"/>
        </w:rPr>
        <w:t>（三）食品、食品添加剂生产经营者进货时未查验许可证和相关证明文件，或者未按规定建立并遵守进货查验记录、出厂检验记录和销售记录制度；</w:t>
      </w:r>
    </w:p>
    <w:p>
      <w:pPr>
        <w:pStyle w:val="4"/>
        <w:spacing w:before="3"/>
        <w:ind w:left="591"/>
        <w:rPr>
          <w:color w:val="auto"/>
        </w:rPr>
      </w:pPr>
      <w:r>
        <w:rPr>
          <w:color w:val="auto"/>
        </w:rPr>
        <w:t>（四）食品生产经营企业未制定食品安全事故处置方案；</w:t>
      </w:r>
    </w:p>
    <w:p>
      <w:pPr>
        <w:pStyle w:val="4"/>
        <w:spacing w:before="192" w:line="388" w:lineRule="auto"/>
        <w:ind w:right="220" w:firstLine="480"/>
        <w:rPr>
          <w:color w:val="auto"/>
        </w:rPr>
      </w:pPr>
      <w:r>
        <w:rPr>
          <w:color w:val="auto"/>
        </w:rPr>
        <w:t>（五）餐具、饮具和盛放直接入口食品的容器，使用前未经洗净、消毒或者清洗消毒不合格，或者餐饮服务设施、设备未按规定定期维护、清洗、校验；</w:t>
      </w:r>
    </w:p>
    <w:p>
      <w:pPr>
        <w:pStyle w:val="4"/>
        <w:spacing w:before="5" w:line="388" w:lineRule="auto"/>
        <w:ind w:right="213" w:firstLine="480"/>
        <w:rPr>
          <w:color w:val="auto"/>
        </w:rPr>
      </w:pPr>
      <w:r>
        <w:rPr>
          <w:color w:val="auto"/>
        </w:rPr>
        <w:t>（六）食品生产经营者安排未取得健康证明或者患有国务院卫生行政部门规定的有碍食品安全疾病的人员从事接触直接入口食品的工作；</w:t>
      </w:r>
    </w:p>
    <w:p>
      <w:pPr>
        <w:pStyle w:val="4"/>
        <w:spacing w:before="2"/>
        <w:ind w:left="591"/>
        <w:rPr>
          <w:color w:val="auto"/>
        </w:rPr>
      </w:pPr>
      <w:r>
        <w:rPr>
          <w:color w:val="auto"/>
        </w:rPr>
        <w:t>（七）食品经营者未按规定要求销售食品；</w:t>
      </w:r>
    </w:p>
    <w:p>
      <w:pPr>
        <w:pStyle w:val="4"/>
        <w:spacing w:before="194" w:line="388" w:lineRule="auto"/>
        <w:ind w:right="213" w:firstLine="480"/>
        <w:rPr>
          <w:color w:val="auto"/>
        </w:rPr>
      </w:pPr>
      <w:r>
        <w:rPr>
          <w:color w:val="auto"/>
        </w:rPr>
        <w:t>（八）保健食品生产企业未按规定向食品安全监督管理部门备案，或者未按备案的产品配方、生产工艺等技术要求组织生产；</w:t>
      </w:r>
    </w:p>
    <w:p>
      <w:pPr>
        <w:pStyle w:val="4"/>
        <w:spacing w:before="2" w:line="391" w:lineRule="auto"/>
        <w:ind w:right="213" w:firstLine="480"/>
        <w:rPr>
          <w:color w:val="auto"/>
        </w:rPr>
      </w:pPr>
      <w:r>
        <w:rPr>
          <w:color w:val="auto"/>
        </w:rPr>
        <w:t>（九）婴幼儿配方食品生产企业未将食品原料、食品添加剂、产品配方、标签等向食品安全监督管理部门备案；</w:t>
      </w:r>
    </w:p>
    <w:p>
      <w:pPr>
        <w:pStyle w:val="4"/>
        <w:spacing w:line="388" w:lineRule="auto"/>
        <w:ind w:right="213" w:firstLine="480"/>
        <w:rPr>
          <w:color w:val="auto"/>
        </w:rPr>
      </w:pPr>
      <w:r>
        <w:rPr>
          <w:color w:val="auto"/>
        </w:rPr>
        <w:t>（十）特殊食品生产企业未按规定建立生产质量管理体系并有效运行，或者未定期提交自查报告；</w:t>
      </w:r>
    </w:p>
    <w:p>
      <w:pPr>
        <w:pStyle w:val="4"/>
        <w:spacing w:before="3" w:line="388" w:lineRule="auto"/>
        <w:ind w:right="213" w:firstLine="480"/>
        <w:rPr>
          <w:color w:val="auto"/>
        </w:rPr>
      </w:pPr>
      <w:r>
        <w:rPr>
          <w:color w:val="auto"/>
        </w:rPr>
        <w:t>（十一）食品生产经营者未定期对食品安全状况进行检查评价，或者生产经营条件发生变化，未按规定处理；</w:t>
      </w:r>
    </w:p>
    <w:p>
      <w:pPr>
        <w:pStyle w:val="4"/>
        <w:spacing w:before="2" w:line="391" w:lineRule="auto"/>
        <w:ind w:right="217" w:firstLine="480"/>
        <w:rPr>
          <w:color w:val="auto"/>
        </w:rPr>
      </w:pPr>
      <w:r>
        <w:rPr>
          <w:color w:val="auto"/>
        </w:rPr>
        <w:t>（十二）学校、托幼机构、养老机构、建筑工地等集中用餐单位未按规定履行食品安全管理责任；</w:t>
      </w:r>
    </w:p>
    <w:p>
      <w:pPr>
        <w:pStyle w:val="4"/>
        <w:spacing w:line="388" w:lineRule="auto"/>
        <w:ind w:right="213" w:firstLine="480"/>
        <w:rPr>
          <w:color w:val="auto"/>
        </w:rPr>
      </w:pPr>
      <w:r>
        <w:rPr>
          <w:color w:val="auto"/>
        </w:rPr>
        <w:t>（十三）食品生产企业、餐饮服务提供者未按规定制定、实施生产经营过程控制要求。</w:t>
      </w:r>
    </w:p>
    <w:p>
      <w:pPr>
        <w:pStyle w:val="13"/>
        <w:numPr>
          <w:ilvl w:val="0"/>
          <w:numId w:val="1718"/>
        </w:numPr>
        <w:tabs>
          <w:tab w:val="left" w:pos="833"/>
        </w:tabs>
        <w:spacing w:before="3" w:after="0" w:line="388" w:lineRule="auto"/>
        <w:ind w:left="111" w:right="268" w:firstLine="480"/>
        <w:jc w:val="both"/>
        <w:rPr>
          <w:color w:val="auto"/>
          <w:sz w:val="24"/>
        </w:rPr>
      </w:pPr>
      <w:r>
        <w:rPr>
          <w:color w:val="auto"/>
          <w:spacing w:val="-4"/>
          <w:sz w:val="24"/>
        </w:rPr>
        <w:t>《食品安全法》第一百二十六条第三款 食品相关产品生产者未按规定对生产的食品相关产品进行检验的，由县级以上人民政府食品安全监督管理部门依照第一款</w:t>
      </w:r>
      <w:r>
        <w:rPr>
          <w:color w:val="auto"/>
          <w:sz w:val="24"/>
        </w:rPr>
        <w:t>规定给予处罚。</w:t>
      </w:r>
    </w:p>
    <w:p>
      <w:pPr>
        <w:pStyle w:val="2"/>
        <w:spacing w:before="5"/>
        <w:rPr>
          <w:color w:val="auto"/>
        </w:rPr>
      </w:pPr>
      <w:r>
        <w:rPr>
          <w:color w:val="auto"/>
        </w:rPr>
        <w:t>（二）裁量标准</w:t>
      </w:r>
    </w:p>
    <w:p>
      <w:pPr>
        <w:pStyle w:val="13"/>
        <w:numPr>
          <w:ilvl w:val="0"/>
          <w:numId w:val="1719"/>
        </w:numPr>
        <w:tabs>
          <w:tab w:val="left" w:pos="833"/>
        </w:tabs>
        <w:spacing w:before="192" w:after="0" w:line="240" w:lineRule="auto"/>
        <w:ind w:left="832" w:right="0" w:hanging="242"/>
        <w:jc w:val="left"/>
        <w:rPr>
          <w:color w:val="auto"/>
          <w:sz w:val="24"/>
        </w:rPr>
      </w:pPr>
      <w:r>
        <w:rPr>
          <w:color w:val="auto"/>
          <w:sz w:val="24"/>
        </w:rPr>
        <w:t>【从轻】</w:t>
      </w:r>
    </w:p>
    <w:p>
      <w:pPr>
        <w:pStyle w:val="13"/>
        <w:numPr>
          <w:ilvl w:val="0"/>
          <w:numId w:val="172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39" w:line="391"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20"/>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警告；拒不改正的，处 5 千元以上 2 万元以下罚款。</w:t>
      </w:r>
    </w:p>
    <w:p>
      <w:pPr>
        <w:pStyle w:val="13"/>
        <w:numPr>
          <w:ilvl w:val="0"/>
          <w:numId w:val="1719"/>
        </w:numPr>
        <w:tabs>
          <w:tab w:val="left" w:pos="833"/>
        </w:tabs>
        <w:spacing w:before="194" w:after="0" w:line="240" w:lineRule="auto"/>
        <w:ind w:left="832" w:right="0" w:hanging="242"/>
        <w:jc w:val="left"/>
        <w:rPr>
          <w:color w:val="auto"/>
          <w:sz w:val="24"/>
        </w:rPr>
      </w:pPr>
      <w:r>
        <w:rPr>
          <w:color w:val="auto"/>
          <w:sz w:val="24"/>
        </w:rPr>
        <w:t>【一般】</w:t>
      </w:r>
    </w:p>
    <w:p>
      <w:pPr>
        <w:pStyle w:val="13"/>
        <w:numPr>
          <w:ilvl w:val="0"/>
          <w:numId w:val="172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2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警告；拒不改正的，处 2 万元以上 3 万元以下罚款。</w:t>
      </w:r>
    </w:p>
    <w:p>
      <w:pPr>
        <w:pStyle w:val="13"/>
        <w:numPr>
          <w:ilvl w:val="0"/>
          <w:numId w:val="1719"/>
        </w:numPr>
        <w:tabs>
          <w:tab w:val="left" w:pos="833"/>
        </w:tabs>
        <w:spacing w:before="194" w:after="0" w:line="240" w:lineRule="auto"/>
        <w:ind w:left="832" w:right="0" w:hanging="242"/>
        <w:jc w:val="left"/>
        <w:rPr>
          <w:color w:val="auto"/>
          <w:sz w:val="24"/>
        </w:rPr>
      </w:pPr>
      <w:r>
        <w:rPr>
          <w:color w:val="auto"/>
          <w:sz w:val="24"/>
        </w:rPr>
        <w:t>【从重】</w:t>
      </w:r>
    </w:p>
    <w:p>
      <w:pPr>
        <w:pStyle w:val="13"/>
        <w:numPr>
          <w:ilvl w:val="0"/>
          <w:numId w:val="172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符合《山东省市场监督管理局行使行政处罚裁量权适用规则（试行</w:t>
      </w:r>
      <w:r>
        <w:rPr>
          <w:color w:val="auto"/>
          <w:spacing w:val="-116"/>
        </w:rPr>
        <w:t>）</w:t>
      </w:r>
      <w:r>
        <w:rPr>
          <w:color w:val="auto"/>
        </w:rPr>
        <w:t>》第十三条</w:t>
      </w:r>
      <w:r>
        <w:rPr>
          <w:color w:val="auto"/>
          <w:spacing w:val="-8"/>
        </w:rPr>
        <w:t xml:space="preserve">规定的情形的；同时存在 </w:t>
      </w:r>
      <w:r>
        <w:rPr>
          <w:color w:val="auto"/>
        </w:rPr>
        <w:t>2</w:t>
      </w:r>
      <w:r>
        <w:rPr>
          <w:color w:val="auto"/>
          <w:spacing w:val="-10"/>
        </w:rPr>
        <w:t xml:space="preserve"> 个以上上述违法行为的；食品生产经营者安排患有国务院</w:t>
      </w:r>
      <w:r>
        <w:rPr>
          <w:color w:val="auto"/>
          <w:spacing w:val="-3"/>
        </w:rPr>
        <w:t>卫生行政部门规定的有碍食品安全疾病的人员从事接触直接入口食品的工作；导致食</w:t>
      </w:r>
      <w:r>
        <w:rPr>
          <w:color w:val="auto"/>
        </w:rPr>
        <w:t>品安全事故的。</w:t>
      </w:r>
    </w:p>
    <w:p>
      <w:pPr>
        <w:pStyle w:val="13"/>
        <w:numPr>
          <w:ilvl w:val="0"/>
          <w:numId w:val="1722"/>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警告；拒不改正的，处 3 万元以上 5 万元以下罚款。</w:t>
      </w:r>
    </w:p>
    <w:p>
      <w:pPr>
        <w:pStyle w:val="13"/>
        <w:numPr>
          <w:ilvl w:val="0"/>
          <w:numId w:val="1719"/>
        </w:numPr>
        <w:tabs>
          <w:tab w:val="left" w:pos="833"/>
        </w:tabs>
        <w:spacing w:before="191" w:after="0" w:line="240" w:lineRule="auto"/>
        <w:ind w:left="832" w:right="0" w:hanging="242"/>
        <w:jc w:val="left"/>
        <w:rPr>
          <w:color w:val="auto"/>
          <w:sz w:val="24"/>
        </w:rPr>
      </w:pPr>
      <w:r>
        <w:rPr>
          <w:color w:val="auto"/>
          <w:sz w:val="24"/>
        </w:rPr>
        <w:t>【严重】</w:t>
      </w:r>
    </w:p>
    <w:p>
      <w:pPr>
        <w:pStyle w:val="13"/>
        <w:numPr>
          <w:ilvl w:val="0"/>
          <w:numId w:val="172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因上述违法行为造成严重后果的;法律法规规定的其他情形。</w:t>
      </w:r>
    </w:p>
    <w:p>
      <w:pPr>
        <w:pStyle w:val="13"/>
        <w:numPr>
          <w:ilvl w:val="0"/>
          <w:numId w:val="1723"/>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5 万元罚款；责令停产停业，直至吊销许可证。</w:t>
      </w:r>
    </w:p>
    <w:p>
      <w:pPr>
        <w:pStyle w:val="2"/>
        <w:spacing w:before="192" w:line="388" w:lineRule="auto"/>
        <w:ind w:left="111" w:right="237" w:firstLine="480"/>
        <w:rPr>
          <w:color w:val="auto"/>
        </w:rPr>
      </w:pPr>
      <w:bookmarkStart w:id="1504" w:name="_bookmark751"/>
      <w:bookmarkEnd w:id="1504"/>
      <w:bookmarkStart w:id="1505" w:name="七百三十六、食用农产品销售者未按规定建立并执行进货查验记录制度、未保存相关凭证"/>
      <w:bookmarkEnd w:id="1505"/>
      <w:r>
        <w:rPr>
          <w:color w:val="auto"/>
          <w:spacing w:val="-7"/>
        </w:rPr>
        <w:t>七百三十六、食用农产品销售者未按规定建立并执行进货查验记录制度、未保存相关凭证</w:t>
      </w:r>
    </w:p>
    <w:p>
      <w:pPr>
        <w:spacing w:before="4"/>
        <w:ind w:left="591" w:right="0" w:firstLine="0"/>
        <w:jc w:val="left"/>
        <w:rPr>
          <w:b/>
          <w:color w:val="auto"/>
          <w:sz w:val="24"/>
        </w:rPr>
      </w:pPr>
      <w:r>
        <w:rPr>
          <w:b/>
          <w:color w:val="auto"/>
          <w:sz w:val="24"/>
        </w:rPr>
        <w:t>（一）处罚依据</w:t>
      </w:r>
    </w:p>
    <w:p>
      <w:pPr>
        <w:pStyle w:val="13"/>
        <w:numPr>
          <w:ilvl w:val="0"/>
          <w:numId w:val="1724"/>
        </w:numPr>
        <w:tabs>
          <w:tab w:val="left" w:pos="833"/>
          <w:tab w:val="left" w:pos="5115"/>
        </w:tabs>
        <w:spacing w:before="192" w:after="0" w:line="388" w:lineRule="auto"/>
        <w:ind w:left="111" w:right="268" w:firstLine="480"/>
        <w:jc w:val="left"/>
        <w:rPr>
          <w:color w:val="auto"/>
          <w:sz w:val="24"/>
        </w:rPr>
      </w:pPr>
      <w:r>
        <w:rPr>
          <w:color w:val="auto"/>
          <w:sz w:val="24"/>
        </w:rPr>
        <w:t>《食品安全法</w:t>
      </w:r>
      <w:r>
        <w:rPr>
          <w:color w:val="auto"/>
          <w:spacing w:val="-17"/>
          <w:sz w:val="24"/>
        </w:rPr>
        <w:t>》</w:t>
      </w:r>
      <w:r>
        <w:rPr>
          <w:color w:val="auto"/>
          <w:sz w:val="24"/>
        </w:rPr>
        <w:t>第一百二十六条第四款</w:t>
      </w:r>
      <w:r>
        <w:rPr>
          <w:color w:val="auto"/>
          <w:sz w:val="24"/>
        </w:rPr>
        <w:tab/>
      </w:r>
      <w:r>
        <w:rPr>
          <w:color w:val="auto"/>
          <w:sz w:val="24"/>
        </w:rPr>
        <w:t>食用农产品销售者违反本法第六十</w:t>
      </w:r>
      <w:r>
        <w:rPr>
          <w:color w:val="auto"/>
          <w:spacing w:val="-17"/>
          <w:sz w:val="24"/>
        </w:rPr>
        <w:t>五</w:t>
      </w:r>
      <w:r>
        <w:rPr>
          <w:color w:val="auto"/>
          <w:sz w:val="24"/>
        </w:rPr>
        <w:t>条规定的，由县级以上人民政府食品安全监督管理部门依照第一款规定给予处罚。</w:t>
      </w:r>
    </w:p>
    <w:p>
      <w:pPr>
        <w:pStyle w:val="13"/>
        <w:numPr>
          <w:ilvl w:val="0"/>
          <w:numId w:val="1724"/>
        </w:numPr>
        <w:tabs>
          <w:tab w:val="left" w:pos="833"/>
        </w:tabs>
        <w:spacing w:before="39" w:after="0" w:line="391" w:lineRule="auto"/>
        <w:ind w:left="111" w:right="268" w:firstLine="480"/>
        <w:jc w:val="both"/>
        <w:rPr>
          <w:color w:val="auto"/>
          <w:sz w:val="24"/>
        </w:rPr>
      </w:pPr>
      <w:r>
        <w:rPr>
          <w:color w:val="auto"/>
          <w:spacing w:val="-4"/>
          <w:sz w:val="24"/>
        </w:rPr>
        <w:t>《食品安全法》第一百二十六条第一款 由县级以上人民政府食品安全监督管</w:t>
      </w:r>
      <w:r>
        <w:rPr>
          <w:color w:val="auto"/>
          <w:spacing w:val="-6"/>
          <w:sz w:val="24"/>
        </w:rPr>
        <w:t>理部门责令改正，给予警告；拒不改正的，处五千元以上五万元以下罚款；情节严重</w:t>
      </w:r>
      <w:r>
        <w:rPr>
          <w:color w:val="auto"/>
          <w:sz w:val="24"/>
        </w:rPr>
        <w:t>的，责令停产停业，直至吊销许可证。</w:t>
      </w:r>
    </w:p>
    <w:p>
      <w:pPr>
        <w:pStyle w:val="13"/>
        <w:numPr>
          <w:ilvl w:val="0"/>
          <w:numId w:val="1724"/>
        </w:numPr>
        <w:tabs>
          <w:tab w:val="left" w:pos="833"/>
        </w:tabs>
        <w:spacing w:before="0" w:after="0" w:line="391" w:lineRule="auto"/>
        <w:ind w:left="111" w:right="265" w:firstLine="480"/>
        <w:jc w:val="both"/>
        <w:rPr>
          <w:color w:val="auto"/>
          <w:sz w:val="24"/>
        </w:rPr>
      </w:pPr>
      <w:r>
        <w:rPr>
          <w:color w:val="auto"/>
          <w:spacing w:val="-4"/>
          <w:sz w:val="24"/>
        </w:rPr>
        <w:t>《食品安全法》第六十五条 食用农产品销售者应当建立食用农产品进货查验</w:t>
      </w:r>
      <w:r>
        <w:rPr>
          <w:color w:val="auto"/>
          <w:spacing w:val="-7"/>
          <w:sz w:val="24"/>
        </w:rPr>
        <w:t>记录制度，如实记录食用农产品的名称、数量、进货日期以及供货者名称、地址、联</w:t>
      </w:r>
      <w:r>
        <w:rPr>
          <w:color w:val="auto"/>
          <w:sz w:val="24"/>
        </w:rPr>
        <w:t>系方式等内容，并保存相关凭证。记录和凭证保存期限不得少于六个月。</w:t>
      </w:r>
    </w:p>
    <w:p>
      <w:pPr>
        <w:pStyle w:val="2"/>
        <w:spacing w:line="304" w:lineRule="exact"/>
        <w:rPr>
          <w:color w:val="auto"/>
        </w:rPr>
      </w:pPr>
      <w:r>
        <w:rPr>
          <w:color w:val="auto"/>
        </w:rPr>
        <w:t>（二）裁量标准</w:t>
      </w:r>
    </w:p>
    <w:p>
      <w:pPr>
        <w:pStyle w:val="13"/>
        <w:numPr>
          <w:ilvl w:val="0"/>
          <w:numId w:val="1725"/>
        </w:numPr>
        <w:tabs>
          <w:tab w:val="left" w:pos="833"/>
        </w:tabs>
        <w:spacing w:before="191" w:after="0" w:line="240" w:lineRule="auto"/>
        <w:ind w:left="832" w:right="0" w:hanging="242"/>
        <w:jc w:val="left"/>
        <w:rPr>
          <w:color w:val="auto"/>
          <w:sz w:val="24"/>
        </w:rPr>
      </w:pPr>
      <w:r>
        <w:rPr>
          <w:color w:val="auto"/>
          <w:sz w:val="24"/>
        </w:rPr>
        <w:t>【从轻】</w:t>
      </w:r>
    </w:p>
    <w:p>
      <w:pPr>
        <w:pStyle w:val="13"/>
        <w:numPr>
          <w:ilvl w:val="0"/>
          <w:numId w:val="172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2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警告；拒不改正的，处 5 千元以上 2 万元以下罚款。</w:t>
      </w:r>
    </w:p>
    <w:p>
      <w:pPr>
        <w:pStyle w:val="13"/>
        <w:numPr>
          <w:ilvl w:val="0"/>
          <w:numId w:val="1725"/>
        </w:numPr>
        <w:tabs>
          <w:tab w:val="left" w:pos="833"/>
        </w:tabs>
        <w:spacing w:before="194" w:after="0" w:line="240" w:lineRule="auto"/>
        <w:ind w:left="832" w:right="0" w:hanging="242"/>
        <w:jc w:val="left"/>
        <w:rPr>
          <w:color w:val="auto"/>
          <w:sz w:val="24"/>
        </w:rPr>
      </w:pPr>
      <w:r>
        <w:rPr>
          <w:color w:val="auto"/>
          <w:sz w:val="24"/>
        </w:rPr>
        <w:t>【一般】</w:t>
      </w:r>
    </w:p>
    <w:p>
      <w:pPr>
        <w:pStyle w:val="13"/>
        <w:numPr>
          <w:ilvl w:val="0"/>
          <w:numId w:val="172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2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警告；拒不改正的，处 2 万元以上 3 万元以下罚款。</w:t>
      </w:r>
    </w:p>
    <w:p>
      <w:pPr>
        <w:pStyle w:val="13"/>
        <w:numPr>
          <w:ilvl w:val="0"/>
          <w:numId w:val="1725"/>
        </w:numPr>
        <w:tabs>
          <w:tab w:val="left" w:pos="833"/>
        </w:tabs>
        <w:spacing w:before="194" w:after="0" w:line="240" w:lineRule="auto"/>
        <w:ind w:left="832" w:right="0" w:hanging="242"/>
        <w:jc w:val="left"/>
        <w:rPr>
          <w:color w:val="auto"/>
          <w:sz w:val="24"/>
        </w:rPr>
      </w:pPr>
      <w:r>
        <w:rPr>
          <w:color w:val="auto"/>
          <w:sz w:val="24"/>
        </w:rPr>
        <w:t>【从重】</w:t>
      </w:r>
    </w:p>
    <w:p>
      <w:pPr>
        <w:pStyle w:val="13"/>
        <w:numPr>
          <w:ilvl w:val="0"/>
          <w:numId w:val="172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》第十三条规定的情形的；导致食品安全事故的。</w:t>
      </w:r>
    </w:p>
    <w:p>
      <w:pPr>
        <w:pStyle w:val="13"/>
        <w:numPr>
          <w:ilvl w:val="0"/>
          <w:numId w:val="172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警告；拒不改正的，处 3 万元以上 5 万元以下罚款。</w:t>
      </w:r>
    </w:p>
    <w:p>
      <w:pPr>
        <w:pStyle w:val="13"/>
        <w:numPr>
          <w:ilvl w:val="0"/>
          <w:numId w:val="1725"/>
        </w:numPr>
        <w:tabs>
          <w:tab w:val="left" w:pos="833"/>
        </w:tabs>
        <w:spacing w:before="195" w:after="0" w:line="240" w:lineRule="auto"/>
        <w:ind w:left="832" w:right="0" w:hanging="242"/>
        <w:jc w:val="left"/>
        <w:rPr>
          <w:color w:val="auto"/>
          <w:sz w:val="24"/>
        </w:rPr>
      </w:pPr>
      <w:r>
        <w:rPr>
          <w:color w:val="auto"/>
          <w:sz w:val="24"/>
        </w:rPr>
        <w:t>【严重】</w:t>
      </w:r>
    </w:p>
    <w:p>
      <w:pPr>
        <w:pStyle w:val="13"/>
        <w:numPr>
          <w:ilvl w:val="0"/>
          <w:numId w:val="1729"/>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食用农产品销售者未建立或者未执行食用农产品进货查验记录制度，造成严重后</w:t>
      </w:r>
    </w:p>
    <w:p>
      <w:pPr>
        <w:pStyle w:val="4"/>
        <w:spacing w:before="39"/>
        <w:rPr>
          <w:color w:val="auto"/>
        </w:rPr>
      </w:pPr>
      <w:r>
        <w:rPr>
          <w:color w:val="auto"/>
        </w:rPr>
        <w:t>果的；法律法规规定的其他情形。</w:t>
      </w:r>
    </w:p>
    <w:p>
      <w:pPr>
        <w:pStyle w:val="13"/>
        <w:numPr>
          <w:ilvl w:val="0"/>
          <w:numId w:val="172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5 万元罚款；责令停产停业，直至吊销许可证。</w:t>
      </w:r>
    </w:p>
    <w:p>
      <w:pPr>
        <w:pStyle w:val="2"/>
        <w:spacing w:before="192" w:line="391" w:lineRule="auto"/>
        <w:ind w:left="111" w:right="193" w:firstLine="480"/>
        <w:rPr>
          <w:color w:val="auto"/>
        </w:rPr>
      </w:pPr>
      <w:bookmarkStart w:id="1506" w:name="七百三十七、食品生产经营单位在发生食品安全事故后，未进行处置、报告或者隐匿、伪造"/>
      <w:bookmarkEnd w:id="1506"/>
      <w:bookmarkStart w:id="1507" w:name="_bookmark752"/>
      <w:bookmarkEnd w:id="1507"/>
      <w:r>
        <w:rPr>
          <w:color w:val="auto"/>
        </w:rPr>
        <w:t>七百三十七、食品生产经营单位在发生食品安全事故后，未进行处置、报告或者隐匿、伪造、毁灭有关证据</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66" w:firstLine="480"/>
        <w:jc w:val="both"/>
        <w:rPr>
          <w:color w:val="auto"/>
        </w:rPr>
      </w:pPr>
      <w:r>
        <w:rPr>
          <w:color w:val="auto"/>
          <w:spacing w:val="-5"/>
        </w:rPr>
        <w:t>《食品安全法》第一百二十八条 违反本法规定，事故单位在发生食品安全事故</w:t>
      </w:r>
      <w:r>
        <w:rPr>
          <w:color w:val="auto"/>
          <w:spacing w:val="-6"/>
        </w:rPr>
        <w:t>后未进行处置、报告的，由有关主管部门按照各自职责分工责令改正，给予警告；隐</w:t>
      </w:r>
      <w:r>
        <w:rPr>
          <w:color w:val="auto"/>
          <w:spacing w:val="-8"/>
        </w:rPr>
        <w:t>匿、伪造、毁灭有关证据的，责令停产停业，没收违法所得，并处十万元以上五十万</w:t>
      </w:r>
      <w:r>
        <w:rPr>
          <w:color w:val="auto"/>
        </w:rPr>
        <w:t>元以下罚款；造成严重后果的，吊销许可证。</w:t>
      </w:r>
    </w:p>
    <w:p>
      <w:pPr>
        <w:pStyle w:val="2"/>
        <w:spacing w:line="304" w:lineRule="exact"/>
        <w:rPr>
          <w:color w:val="auto"/>
        </w:rPr>
      </w:pPr>
      <w:r>
        <w:rPr>
          <w:color w:val="auto"/>
        </w:rPr>
        <w:t>（二）裁量标准</w:t>
      </w:r>
    </w:p>
    <w:p>
      <w:pPr>
        <w:pStyle w:val="13"/>
        <w:numPr>
          <w:ilvl w:val="0"/>
          <w:numId w:val="1730"/>
        </w:numPr>
        <w:tabs>
          <w:tab w:val="left" w:pos="833"/>
        </w:tabs>
        <w:spacing w:before="191" w:after="0" w:line="240" w:lineRule="auto"/>
        <w:ind w:left="832" w:right="0" w:hanging="242"/>
        <w:jc w:val="left"/>
        <w:rPr>
          <w:color w:val="auto"/>
          <w:sz w:val="24"/>
        </w:rPr>
      </w:pPr>
      <w:r>
        <w:rPr>
          <w:color w:val="auto"/>
          <w:sz w:val="24"/>
        </w:rPr>
        <w:t>【从轻】</w:t>
      </w:r>
    </w:p>
    <w:p>
      <w:pPr>
        <w:pStyle w:val="4"/>
        <w:spacing w:before="192"/>
        <w:ind w:left="591"/>
        <w:rPr>
          <w:color w:val="auto"/>
        </w:rPr>
      </w:pPr>
      <w:r>
        <w:rPr>
          <w:color w:val="auto"/>
        </w:rPr>
        <w:t>在发生食品安全事故后未进行处置、报告的，责令改正，给予警告。</w:t>
      </w:r>
    </w:p>
    <w:p>
      <w:pPr>
        <w:pStyle w:val="4"/>
        <w:spacing w:before="194" w:line="388" w:lineRule="auto"/>
        <w:ind w:right="268" w:firstLine="480"/>
        <w:jc w:val="both"/>
        <w:rPr>
          <w:color w:val="auto"/>
        </w:rPr>
      </w:pPr>
      <w:r>
        <w:rPr>
          <w:color w:val="auto"/>
          <w:spacing w:val="-4"/>
        </w:rPr>
        <w:t>发生一般食品安全事故隐匿、伪造、毁灭有关证据，事后及时采取补救措施使食</w:t>
      </w:r>
      <w:r>
        <w:rPr>
          <w:color w:val="auto"/>
          <w:spacing w:val="-5"/>
        </w:rPr>
        <w:t xml:space="preserve">品安全事故得到有效控制的，责令停产停业，没收违法所得，并处 </w:t>
      </w:r>
      <w:r>
        <w:rPr>
          <w:color w:val="auto"/>
        </w:rPr>
        <w:t>10</w:t>
      </w:r>
      <w:r>
        <w:rPr>
          <w:color w:val="auto"/>
          <w:spacing w:val="-20"/>
        </w:rPr>
        <w:t xml:space="preserve"> 万元以上 </w:t>
      </w:r>
      <w:r>
        <w:rPr>
          <w:color w:val="auto"/>
        </w:rPr>
        <w:t>20</w:t>
      </w:r>
      <w:r>
        <w:rPr>
          <w:color w:val="auto"/>
          <w:spacing w:val="-39"/>
        </w:rPr>
        <w:t xml:space="preserve"> 万</w:t>
      </w:r>
      <w:r>
        <w:rPr>
          <w:color w:val="auto"/>
        </w:rPr>
        <w:t>元以下罚款。</w:t>
      </w:r>
    </w:p>
    <w:p>
      <w:pPr>
        <w:pStyle w:val="13"/>
        <w:numPr>
          <w:ilvl w:val="0"/>
          <w:numId w:val="1730"/>
        </w:numPr>
        <w:tabs>
          <w:tab w:val="left" w:pos="833"/>
        </w:tabs>
        <w:spacing w:before="6" w:after="0" w:line="240" w:lineRule="auto"/>
        <w:ind w:left="832" w:right="0" w:hanging="242"/>
        <w:jc w:val="left"/>
        <w:rPr>
          <w:color w:val="auto"/>
          <w:sz w:val="24"/>
        </w:rPr>
      </w:pPr>
      <w:r>
        <w:rPr>
          <w:color w:val="auto"/>
          <w:sz w:val="24"/>
        </w:rPr>
        <w:t>【一般】</w:t>
      </w:r>
    </w:p>
    <w:p>
      <w:pPr>
        <w:pStyle w:val="13"/>
        <w:numPr>
          <w:ilvl w:val="0"/>
          <w:numId w:val="173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3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责令停产停业，没收违法所得，并处 20 万以上 30 万元以下罚款。</w:t>
      </w:r>
    </w:p>
    <w:p>
      <w:pPr>
        <w:pStyle w:val="13"/>
        <w:numPr>
          <w:ilvl w:val="0"/>
          <w:numId w:val="1730"/>
        </w:numPr>
        <w:tabs>
          <w:tab w:val="left" w:pos="833"/>
        </w:tabs>
        <w:spacing w:before="194" w:after="0" w:line="240" w:lineRule="auto"/>
        <w:ind w:left="832" w:right="0" w:hanging="242"/>
        <w:jc w:val="left"/>
        <w:rPr>
          <w:color w:val="auto"/>
          <w:sz w:val="24"/>
        </w:rPr>
      </w:pPr>
      <w:r>
        <w:rPr>
          <w:color w:val="auto"/>
          <w:sz w:val="24"/>
        </w:rPr>
        <w:t>【从重】</w:t>
      </w:r>
    </w:p>
    <w:p>
      <w:pPr>
        <w:pStyle w:val="13"/>
        <w:numPr>
          <w:ilvl w:val="0"/>
          <w:numId w:val="173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13" w:firstLine="480"/>
        <w:rPr>
          <w:color w:val="auto"/>
        </w:rPr>
      </w:pPr>
      <w:r>
        <w:rPr>
          <w:color w:val="auto"/>
        </w:rPr>
        <w:t>发生重大食品安全事故后隐匿、伪造、毁灭主要证据，导致食品安全监督管理部门无法应急处置的；食品安全事故未能得到有效控制。</w:t>
      </w:r>
    </w:p>
    <w:p>
      <w:pPr>
        <w:pStyle w:val="13"/>
        <w:numPr>
          <w:ilvl w:val="0"/>
          <w:numId w:val="173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责令停产停业，没收违法所得，并处 30 万元以上 50 万元以下罚款。</w:t>
      </w:r>
    </w:p>
    <w:p>
      <w:pPr>
        <w:pStyle w:val="13"/>
        <w:numPr>
          <w:ilvl w:val="0"/>
          <w:numId w:val="1730"/>
        </w:numPr>
        <w:tabs>
          <w:tab w:val="left" w:pos="833"/>
        </w:tabs>
        <w:spacing w:before="39" w:after="0" w:line="240" w:lineRule="auto"/>
        <w:ind w:left="832" w:right="0" w:hanging="242"/>
        <w:jc w:val="left"/>
        <w:rPr>
          <w:color w:val="auto"/>
          <w:sz w:val="24"/>
        </w:rPr>
      </w:pPr>
      <w:r>
        <w:rPr>
          <w:color w:val="auto"/>
          <w:sz w:val="24"/>
        </w:rPr>
        <w:t>【严重】</w:t>
      </w:r>
    </w:p>
    <w:p>
      <w:pPr>
        <w:pStyle w:val="13"/>
        <w:numPr>
          <w:ilvl w:val="0"/>
          <w:numId w:val="1733"/>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148" w:firstLine="480"/>
        <w:rPr>
          <w:color w:val="auto"/>
        </w:rPr>
      </w:pPr>
      <w:r>
        <w:rPr>
          <w:color w:val="auto"/>
          <w:spacing w:val="-11"/>
        </w:rPr>
        <w:t xml:space="preserve">特别重大食品安全事故；造成食品安全事故蔓延，损害扩大的；造成严重后果的； </w:t>
      </w:r>
      <w:r>
        <w:rPr>
          <w:color w:val="auto"/>
        </w:rPr>
        <w:t>法律法规规定的其他情形。</w:t>
      </w:r>
    </w:p>
    <w:p>
      <w:pPr>
        <w:pStyle w:val="13"/>
        <w:numPr>
          <w:ilvl w:val="0"/>
          <w:numId w:val="173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责令停产停业，没收违法所得，并处 50 万元罚款，吊销许可证。</w:t>
      </w:r>
    </w:p>
    <w:p>
      <w:pPr>
        <w:pStyle w:val="2"/>
        <w:spacing w:before="191" w:line="391" w:lineRule="auto"/>
        <w:ind w:left="111" w:right="193" w:firstLine="480"/>
        <w:rPr>
          <w:color w:val="auto"/>
        </w:rPr>
      </w:pPr>
      <w:bookmarkStart w:id="1508" w:name="七百三十八、集中交易市场的开办者、柜台出租者、展销会的举办者允许未依法取得许可的"/>
      <w:bookmarkEnd w:id="1508"/>
      <w:bookmarkStart w:id="1509" w:name="_bookmark753"/>
      <w:bookmarkEnd w:id="1509"/>
      <w:r>
        <w:rPr>
          <w:color w:val="auto"/>
        </w:rPr>
        <w:t>七百三十八、集中交易市场的开办者、柜台出租者、展销会的举办者允许未依法取得许可的食品经营者进入市场销售食品，或者未履行检查、报告等义务</w:t>
      </w:r>
    </w:p>
    <w:p>
      <w:pPr>
        <w:pStyle w:val="4"/>
        <w:spacing w:line="306" w:lineRule="exact"/>
        <w:ind w:left="591"/>
        <w:rPr>
          <w:color w:val="auto"/>
        </w:rPr>
      </w:pPr>
      <w:r>
        <w:rPr>
          <w:color w:val="auto"/>
        </w:rPr>
        <w:t>（一）处罚依据</w:t>
      </w:r>
    </w:p>
    <w:p>
      <w:pPr>
        <w:pStyle w:val="4"/>
        <w:tabs>
          <w:tab w:val="left" w:pos="4671"/>
        </w:tabs>
        <w:spacing w:before="192" w:line="391" w:lineRule="auto"/>
        <w:ind w:right="148" w:firstLine="480"/>
        <w:rPr>
          <w:color w:val="auto"/>
        </w:rPr>
      </w:pPr>
      <w:r>
        <w:rPr>
          <w:color w:val="auto"/>
        </w:rPr>
        <w:t>《食品安全法》第一百三十条第一款</w:t>
      </w:r>
      <w:r>
        <w:rPr>
          <w:color w:val="auto"/>
        </w:rPr>
        <w:tab/>
      </w:r>
      <w:r>
        <w:rPr>
          <w:color w:val="auto"/>
        </w:rPr>
        <w:t>违反本法规定，集中交易市场的开办者、柜台出租者、展销会的举办者允许未依法取得许可的食品经营者进入市场销售食品， 或者未履行检查</w:t>
      </w:r>
      <w:r>
        <w:rPr>
          <w:color w:val="auto"/>
          <w:spacing w:val="-20"/>
        </w:rPr>
        <w:t>、</w:t>
      </w:r>
      <w:r>
        <w:rPr>
          <w:color w:val="auto"/>
        </w:rPr>
        <w:t>报告等义务的</w:t>
      </w:r>
      <w:r>
        <w:rPr>
          <w:color w:val="auto"/>
          <w:spacing w:val="-17"/>
        </w:rPr>
        <w:t>，</w:t>
      </w:r>
      <w:r>
        <w:rPr>
          <w:color w:val="auto"/>
        </w:rPr>
        <w:t>由县级以上人民政府食品安全监督管理部门责令改正</w:t>
      </w:r>
      <w:r>
        <w:rPr>
          <w:color w:val="auto"/>
          <w:spacing w:val="-39"/>
        </w:rPr>
        <w:t>，</w:t>
      </w:r>
      <w:r>
        <w:rPr>
          <w:color w:val="auto"/>
        </w:rPr>
        <w:t>没收违法所得</w:t>
      </w:r>
      <w:r>
        <w:rPr>
          <w:color w:val="auto"/>
          <w:spacing w:val="-41"/>
        </w:rPr>
        <w:t>，</w:t>
      </w:r>
      <w:r>
        <w:rPr>
          <w:color w:val="auto"/>
        </w:rPr>
        <w:t>并处五万元以上二十万元以下罚款</w:t>
      </w:r>
      <w:r>
        <w:rPr>
          <w:color w:val="auto"/>
          <w:spacing w:val="-39"/>
        </w:rPr>
        <w:t>；</w:t>
      </w:r>
      <w:r>
        <w:rPr>
          <w:color w:val="auto"/>
        </w:rPr>
        <w:t>造成严重后果的</w:t>
      </w:r>
      <w:r>
        <w:rPr>
          <w:color w:val="auto"/>
          <w:spacing w:val="-39"/>
        </w:rPr>
        <w:t>，</w:t>
      </w:r>
      <w:r>
        <w:rPr>
          <w:color w:val="auto"/>
        </w:rPr>
        <w:t>责令停业</w:t>
      </w:r>
      <w:r>
        <w:rPr>
          <w:color w:val="auto"/>
          <w:spacing w:val="-15"/>
        </w:rPr>
        <w:t xml:space="preserve">， </w:t>
      </w:r>
      <w:r>
        <w:rPr>
          <w:color w:val="auto"/>
        </w:rPr>
        <w:t>直至由原发证部门吊销许可证</w:t>
      </w:r>
      <w:r>
        <w:rPr>
          <w:color w:val="auto"/>
          <w:spacing w:val="-20"/>
        </w:rPr>
        <w:t>；</w:t>
      </w:r>
      <w:r>
        <w:rPr>
          <w:color w:val="auto"/>
        </w:rPr>
        <w:t>使消费者的合法权益受到损害的</w:t>
      </w:r>
      <w:r>
        <w:rPr>
          <w:color w:val="auto"/>
          <w:spacing w:val="-17"/>
        </w:rPr>
        <w:t>，</w:t>
      </w:r>
      <w:r>
        <w:rPr>
          <w:color w:val="auto"/>
        </w:rPr>
        <w:t>应当与食品经营者承担连带责任。</w:t>
      </w:r>
    </w:p>
    <w:p>
      <w:pPr>
        <w:pStyle w:val="4"/>
        <w:spacing w:line="300" w:lineRule="exact"/>
        <w:ind w:left="591"/>
        <w:rPr>
          <w:color w:val="auto"/>
        </w:rPr>
      </w:pPr>
      <w:r>
        <w:rPr>
          <w:color w:val="auto"/>
        </w:rPr>
        <w:t>（二）裁量标准</w:t>
      </w:r>
    </w:p>
    <w:p>
      <w:pPr>
        <w:pStyle w:val="13"/>
        <w:numPr>
          <w:ilvl w:val="0"/>
          <w:numId w:val="1734"/>
        </w:numPr>
        <w:tabs>
          <w:tab w:val="left" w:pos="833"/>
        </w:tabs>
        <w:spacing w:before="194" w:after="0" w:line="240" w:lineRule="auto"/>
        <w:ind w:left="832" w:right="0" w:hanging="242"/>
        <w:jc w:val="left"/>
        <w:rPr>
          <w:color w:val="auto"/>
          <w:sz w:val="24"/>
        </w:rPr>
      </w:pPr>
      <w:r>
        <w:rPr>
          <w:color w:val="auto"/>
          <w:sz w:val="24"/>
        </w:rPr>
        <w:t>【从轻】</w:t>
      </w:r>
    </w:p>
    <w:p>
      <w:pPr>
        <w:pStyle w:val="13"/>
        <w:numPr>
          <w:ilvl w:val="0"/>
          <w:numId w:val="173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spacing w:val="-3"/>
        </w:rPr>
        <w:t xml:space="preserve">第十二条规定情形的；未取得许可的食品经营者 </w:t>
      </w:r>
      <w:r>
        <w:rPr>
          <w:color w:val="auto"/>
        </w:rPr>
        <w:t>5</w:t>
      </w:r>
      <w:r>
        <w:rPr>
          <w:color w:val="auto"/>
          <w:spacing w:val="-10"/>
        </w:rPr>
        <w:t xml:space="preserve"> 家以下的。</w:t>
      </w:r>
    </w:p>
    <w:p>
      <w:pPr>
        <w:pStyle w:val="13"/>
        <w:numPr>
          <w:ilvl w:val="0"/>
          <w:numId w:val="173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没收违法所得，并处 5 万元以上 12 万元以下罚款。</w:t>
      </w:r>
    </w:p>
    <w:p>
      <w:pPr>
        <w:pStyle w:val="13"/>
        <w:numPr>
          <w:ilvl w:val="0"/>
          <w:numId w:val="1734"/>
        </w:numPr>
        <w:tabs>
          <w:tab w:val="left" w:pos="833"/>
        </w:tabs>
        <w:spacing w:before="194" w:after="0" w:line="240" w:lineRule="auto"/>
        <w:ind w:left="832" w:right="0" w:hanging="242"/>
        <w:jc w:val="left"/>
        <w:rPr>
          <w:color w:val="auto"/>
          <w:sz w:val="24"/>
        </w:rPr>
      </w:pPr>
      <w:r>
        <w:rPr>
          <w:color w:val="auto"/>
          <w:sz w:val="24"/>
        </w:rPr>
        <w:t>【一般】</w:t>
      </w:r>
    </w:p>
    <w:p>
      <w:pPr>
        <w:pStyle w:val="13"/>
        <w:numPr>
          <w:ilvl w:val="0"/>
          <w:numId w:val="173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3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没收违法所得，并处 12 万元以上 13 万元以下罚款。</w:t>
      </w:r>
    </w:p>
    <w:p>
      <w:pPr>
        <w:pStyle w:val="13"/>
        <w:numPr>
          <w:ilvl w:val="0"/>
          <w:numId w:val="1734"/>
        </w:numPr>
        <w:tabs>
          <w:tab w:val="left" w:pos="833"/>
        </w:tabs>
        <w:spacing w:before="39" w:after="0" w:line="240" w:lineRule="auto"/>
        <w:ind w:left="832" w:right="0" w:hanging="242"/>
        <w:jc w:val="left"/>
        <w:rPr>
          <w:color w:val="auto"/>
          <w:sz w:val="24"/>
        </w:rPr>
      </w:pPr>
      <w:r>
        <w:rPr>
          <w:color w:val="auto"/>
          <w:sz w:val="24"/>
        </w:rPr>
        <w:t>【从重】</w:t>
      </w:r>
    </w:p>
    <w:p>
      <w:pPr>
        <w:pStyle w:val="13"/>
        <w:numPr>
          <w:ilvl w:val="0"/>
          <w:numId w:val="1737"/>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91" w:lineRule="auto"/>
        <w:ind w:right="268" w:firstLine="480"/>
        <w:jc w:val="both"/>
        <w:rPr>
          <w:color w:val="auto"/>
        </w:rPr>
      </w:pPr>
      <w:r>
        <w:rPr>
          <w:color w:val="auto"/>
        </w:rPr>
        <w:t>符合《山东省市场监督管理局行使行政处罚裁量权适用规则（试行</w:t>
      </w:r>
      <w:r>
        <w:rPr>
          <w:color w:val="auto"/>
          <w:spacing w:val="-116"/>
        </w:rPr>
        <w:t>）</w:t>
      </w:r>
      <w:r>
        <w:rPr>
          <w:color w:val="auto"/>
        </w:rPr>
        <w:t>》第十三条</w:t>
      </w:r>
      <w:r>
        <w:rPr>
          <w:color w:val="auto"/>
          <w:spacing w:val="-2"/>
        </w:rPr>
        <w:t xml:space="preserve">规定的情形之一的；未取得许可的食品经营者 </w:t>
      </w:r>
      <w:r>
        <w:rPr>
          <w:color w:val="auto"/>
        </w:rPr>
        <w:t>15</w:t>
      </w:r>
      <w:r>
        <w:rPr>
          <w:color w:val="auto"/>
          <w:spacing w:val="-6"/>
        </w:rPr>
        <w:t xml:space="preserve"> 家以上的；食品经营者所经营食品不符合国家食品安全标准的；未履行检查义务、报告义务，导致食品安全事故的。</w:t>
      </w:r>
    </w:p>
    <w:p>
      <w:pPr>
        <w:pStyle w:val="13"/>
        <w:numPr>
          <w:ilvl w:val="0"/>
          <w:numId w:val="1737"/>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没收违法所得，并处 13 万元以上 20 万元以下罚款。</w:t>
      </w:r>
    </w:p>
    <w:p>
      <w:pPr>
        <w:pStyle w:val="13"/>
        <w:numPr>
          <w:ilvl w:val="0"/>
          <w:numId w:val="1734"/>
        </w:numPr>
        <w:tabs>
          <w:tab w:val="left" w:pos="833"/>
        </w:tabs>
        <w:spacing w:before="194" w:after="0" w:line="240" w:lineRule="auto"/>
        <w:ind w:left="832" w:right="0" w:hanging="242"/>
        <w:jc w:val="left"/>
        <w:rPr>
          <w:color w:val="auto"/>
          <w:sz w:val="24"/>
        </w:rPr>
      </w:pPr>
      <w:r>
        <w:rPr>
          <w:color w:val="auto"/>
          <w:sz w:val="24"/>
        </w:rPr>
        <w:t>【严重】</w:t>
      </w:r>
    </w:p>
    <w:p>
      <w:pPr>
        <w:pStyle w:val="13"/>
        <w:numPr>
          <w:ilvl w:val="0"/>
          <w:numId w:val="173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因上述违法行为造成严重后果的;法律法规规定的其他情形。</w:t>
      </w:r>
    </w:p>
    <w:p>
      <w:pPr>
        <w:pStyle w:val="13"/>
        <w:numPr>
          <w:ilvl w:val="0"/>
          <w:numId w:val="1738"/>
        </w:numPr>
        <w:tabs>
          <w:tab w:val="left" w:pos="1193"/>
        </w:tabs>
        <w:spacing w:before="195" w:after="0" w:line="240" w:lineRule="auto"/>
        <w:ind w:left="1192" w:right="0" w:hanging="602"/>
        <w:jc w:val="left"/>
        <w:rPr>
          <w:color w:val="auto"/>
          <w:sz w:val="24"/>
        </w:rPr>
      </w:pPr>
      <w:r>
        <w:rPr>
          <w:color w:val="auto"/>
          <w:sz w:val="24"/>
        </w:rPr>
        <w:t>处罚标准</w:t>
      </w:r>
    </w:p>
    <w:p>
      <w:pPr>
        <w:spacing w:before="191" w:line="388" w:lineRule="auto"/>
        <w:ind w:left="591" w:right="237" w:firstLine="0"/>
        <w:jc w:val="left"/>
        <w:rPr>
          <w:b/>
          <w:color w:val="auto"/>
          <w:sz w:val="24"/>
        </w:rPr>
      </w:pPr>
      <w:r>
        <w:rPr>
          <w:color w:val="auto"/>
          <w:sz w:val="24"/>
        </w:rPr>
        <w:t>没收违法所得，并处 20 万罚款；责令停业，直至由原发证部门吊销许可证。</w:t>
      </w:r>
      <w:bookmarkStart w:id="1510" w:name="七百三十九、食用农产品批发市场未配备检验设备和检验人员或者未委托符合本法规定的食"/>
      <w:bookmarkEnd w:id="1510"/>
      <w:bookmarkStart w:id="1511" w:name="_bookmark754"/>
      <w:bookmarkEnd w:id="1511"/>
      <w:r>
        <w:rPr>
          <w:b/>
          <w:color w:val="auto"/>
          <w:sz w:val="24"/>
        </w:rPr>
        <w:t>七百三十九、食用农产品批发市场未配备检验设备和检验人员或者未委托符合本</w:t>
      </w:r>
    </w:p>
    <w:p>
      <w:pPr>
        <w:pStyle w:val="2"/>
        <w:spacing w:before="5" w:line="388" w:lineRule="auto"/>
        <w:ind w:left="111" w:right="235"/>
        <w:jc w:val="both"/>
        <w:rPr>
          <w:color w:val="auto"/>
        </w:rPr>
      </w:pPr>
      <w:r>
        <w:rPr>
          <w:color w:val="auto"/>
          <w:spacing w:val="-4"/>
        </w:rPr>
        <w:t>法规定的食品检验机构，对进入该批发市场销售的食用农产品进行抽样检验；食用农</w:t>
      </w:r>
      <w:r>
        <w:rPr>
          <w:color w:val="auto"/>
          <w:spacing w:val="-7"/>
        </w:rPr>
        <w:t>产品批发市场发现不符合食品安全标准的，未要求销售者立即停止销售，未向食品安全监督管理部门报告</w:t>
      </w:r>
    </w:p>
    <w:p>
      <w:pPr>
        <w:spacing w:before="5"/>
        <w:ind w:left="591" w:right="0" w:firstLine="0"/>
        <w:jc w:val="left"/>
        <w:rPr>
          <w:b/>
          <w:color w:val="auto"/>
          <w:sz w:val="24"/>
        </w:rPr>
      </w:pPr>
      <w:r>
        <w:rPr>
          <w:b/>
          <w:color w:val="auto"/>
          <w:w w:val="95"/>
          <w:sz w:val="24"/>
        </w:rPr>
        <w:t>（一）处罚依据</w:t>
      </w:r>
    </w:p>
    <w:p>
      <w:pPr>
        <w:pStyle w:val="13"/>
        <w:numPr>
          <w:ilvl w:val="0"/>
          <w:numId w:val="1739"/>
        </w:numPr>
        <w:tabs>
          <w:tab w:val="left" w:pos="833"/>
          <w:tab w:val="left" w:pos="4875"/>
        </w:tabs>
        <w:spacing w:before="192" w:after="0" w:line="388" w:lineRule="auto"/>
        <w:ind w:left="111" w:right="268" w:firstLine="480"/>
        <w:jc w:val="left"/>
        <w:rPr>
          <w:color w:val="auto"/>
          <w:sz w:val="24"/>
        </w:rPr>
      </w:pPr>
      <w:r>
        <w:rPr>
          <w:color w:val="auto"/>
          <w:sz w:val="24"/>
        </w:rPr>
        <w:t>《食品安全法</w:t>
      </w:r>
      <w:r>
        <w:rPr>
          <w:color w:val="auto"/>
          <w:spacing w:val="-17"/>
          <w:sz w:val="24"/>
        </w:rPr>
        <w:t>》</w:t>
      </w:r>
      <w:r>
        <w:rPr>
          <w:color w:val="auto"/>
          <w:sz w:val="24"/>
        </w:rPr>
        <w:t>第一百三十条第二款</w:t>
      </w:r>
      <w:r>
        <w:rPr>
          <w:color w:val="auto"/>
          <w:sz w:val="24"/>
        </w:rPr>
        <w:tab/>
      </w:r>
      <w:r>
        <w:rPr>
          <w:color w:val="auto"/>
          <w:sz w:val="24"/>
        </w:rPr>
        <w:t>食用农产品批发市场违反本法第六十</w:t>
      </w:r>
      <w:r>
        <w:rPr>
          <w:color w:val="auto"/>
          <w:spacing w:val="-17"/>
          <w:sz w:val="24"/>
        </w:rPr>
        <w:t>四</w:t>
      </w:r>
      <w:r>
        <w:rPr>
          <w:color w:val="auto"/>
          <w:sz w:val="24"/>
        </w:rPr>
        <w:t>条规定的，依照前款规定承担责任。</w:t>
      </w:r>
    </w:p>
    <w:p>
      <w:pPr>
        <w:pStyle w:val="13"/>
        <w:numPr>
          <w:ilvl w:val="0"/>
          <w:numId w:val="1739"/>
        </w:numPr>
        <w:tabs>
          <w:tab w:val="left" w:pos="833"/>
          <w:tab w:val="left" w:pos="4807"/>
        </w:tabs>
        <w:spacing w:before="5" w:after="0" w:line="388" w:lineRule="auto"/>
        <w:ind w:left="111" w:right="148" w:firstLine="480"/>
        <w:jc w:val="left"/>
        <w:rPr>
          <w:color w:val="auto"/>
          <w:sz w:val="24"/>
        </w:rPr>
      </w:pPr>
      <w:r>
        <w:rPr>
          <w:color w:val="auto"/>
          <w:sz w:val="24"/>
        </w:rPr>
        <w:t>《食品安全法</w:t>
      </w:r>
      <w:r>
        <w:rPr>
          <w:color w:val="auto"/>
          <w:spacing w:val="-51"/>
          <w:sz w:val="24"/>
        </w:rPr>
        <w:t>》</w:t>
      </w:r>
      <w:r>
        <w:rPr>
          <w:color w:val="auto"/>
          <w:sz w:val="24"/>
        </w:rPr>
        <w:t>第一百三十条第一款</w:t>
      </w:r>
      <w:r>
        <w:rPr>
          <w:color w:val="auto"/>
          <w:sz w:val="24"/>
        </w:rPr>
        <w:tab/>
      </w:r>
      <w:r>
        <w:rPr>
          <w:color w:val="auto"/>
          <w:sz w:val="24"/>
        </w:rPr>
        <w:t>违反本法规定</w:t>
      </w:r>
      <w:r>
        <w:rPr>
          <w:color w:val="auto"/>
          <w:spacing w:val="-53"/>
          <w:sz w:val="24"/>
        </w:rPr>
        <w:t>，</w:t>
      </w:r>
      <w:r>
        <w:rPr>
          <w:color w:val="auto"/>
          <w:sz w:val="24"/>
        </w:rPr>
        <w:t>集中交易市场的开办者</w:t>
      </w:r>
      <w:r>
        <w:rPr>
          <w:color w:val="auto"/>
          <w:spacing w:val="-16"/>
          <w:sz w:val="24"/>
        </w:rPr>
        <w:t>、</w:t>
      </w:r>
      <w:r>
        <w:rPr>
          <w:color w:val="auto"/>
          <w:sz w:val="24"/>
        </w:rPr>
        <w:t>柜台出租者、展销会的举办者允许未依法取得许可的食品经营者进入市场销售食品， 或者未履行检查</w:t>
      </w:r>
      <w:r>
        <w:rPr>
          <w:color w:val="auto"/>
          <w:spacing w:val="-20"/>
          <w:sz w:val="24"/>
        </w:rPr>
        <w:t>、</w:t>
      </w:r>
      <w:r>
        <w:rPr>
          <w:color w:val="auto"/>
          <w:sz w:val="24"/>
        </w:rPr>
        <w:t>报告等义务的</w:t>
      </w:r>
      <w:r>
        <w:rPr>
          <w:color w:val="auto"/>
          <w:spacing w:val="-17"/>
          <w:sz w:val="24"/>
        </w:rPr>
        <w:t>，</w:t>
      </w:r>
      <w:r>
        <w:rPr>
          <w:color w:val="auto"/>
          <w:sz w:val="24"/>
        </w:rPr>
        <w:t>由县级以上人民政府食品安全监督管理部门责令改正</w:t>
      </w:r>
      <w:r>
        <w:rPr>
          <w:color w:val="auto"/>
          <w:spacing w:val="-39"/>
          <w:sz w:val="24"/>
        </w:rPr>
        <w:t>，</w:t>
      </w:r>
      <w:r>
        <w:rPr>
          <w:color w:val="auto"/>
          <w:sz w:val="24"/>
        </w:rPr>
        <w:t>没收违法所得</w:t>
      </w:r>
      <w:r>
        <w:rPr>
          <w:color w:val="auto"/>
          <w:spacing w:val="-41"/>
          <w:sz w:val="24"/>
        </w:rPr>
        <w:t>，</w:t>
      </w:r>
      <w:r>
        <w:rPr>
          <w:color w:val="auto"/>
          <w:sz w:val="24"/>
        </w:rPr>
        <w:t>并处五万元以上二十万元以下罚款</w:t>
      </w:r>
      <w:r>
        <w:rPr>
          <w:color w:val="auto"/>
          <w:spacing w:val="-39"/>
          <w:sz w:val="24"/>
        </w:rPr>
        <w:t>；</w:t>
      </w:r>
      <w:r>
        <w:rPr>
          <w:color w:val="auto"/>
          <w:sz w:val="24"/>
        </w:rPr>
        <w:t>造成严重后果的</w:t>
      </w:r>
      <w:r>
        <w:rPr>
          <w:color w:val="auto"/>
          <w:spacing w:val="-39"/>
          <w:sz w:val="24"/>
        </w:rPr>
        <w:t>，</w:t>
      </w:r>
      <w:r>
        <w:rPr>
          <w:color w:val="auto"/>
          <w:sz w:val="24"/>
        </w:rPr>
        <w:t>责令停业</w:t>
      </w:r>
      <w:r>
        <w:rPr>
          <w:color w:val="auto"/>
          <w:spacing w:val="-15"/>
          <w:sz w:val="24"/>
        </w:rPr>
        <w:t xml:space="preserve">， </w:t>
      </w:r>
      <w:r>
        <w:rPr>
          <w:color w:val="auto"/>
          <w:sz w:val="24"/>
        </w:rPr>
        <w:t>直至由原发证部门吊销许可证</w:t>
      </w:r>
      <w:r>
        <w:rPr>
          <w:color w:val="auto"/>
          <w:spacing w:val="-20"/>
          <w:sz w:val="24"/>
        </w:rPr>
        <w:t>；</w:t>
      </w:r>
      <w:r>
        <w:rPr>
          <w:color w:val="auto"/>
          <w:sz w:val="24"/>
        </w:rPr>
        <w:t>使消费者的合法权益受到损害的</w:t>
      </w:r>
      <w:r>
        <w:rPr>
          <w:color w:val="auto"/>
          <w:spacing w:val="-17"/>
          <w:sz w:val="24"/>
        </w:rPr>
        <w:t>，</w:t>
      </w:r>
      <w:r>
        <w:rPr>
          <w:color w:val="auto"/>
          <w:sz w:val="24"/>
        </w:rPr>
        <w:t>应当与食品经营者承担连带责任。</w:t>
      </w:r>
    </w:p>
    <w:p>
      <w:pPr>
        <w:pStyle w:val="13"/>
        <w:numPr>
          <w:ilvl w:val="0"/>
          <w:numId w:val="1739"/>
        </w:numPr>
        <w:tabs>
          <w:tab w:val="left" w:pos="833"/>
        </w:tabs>
        <w:spacing w:before="11" w:after="0" w:line="388" w:lineRule="auto"/>
        <w:ind w:left="111" w:right="268" w:firstLine="480"/>
        <w:jc w:val="both"/>
        <w:rPr>
          <w:color w:val="auto"/>
          <w:sz w:val="24"/>
        </w:rPr>
      </w:pPr>
      <w:r>
        <w:rPr>
          <w:color w:val="auto"/>
          <w:spacing w:val="-4"/>
          <w:sz w:val="24"/>
        </w:rPr>
        <w:t>《食品安全法》第六十四条 食用农产品批发市场应当配备检验设备和检验人</w:t>
      </w:r>
      <w:r>
        <w:rPr>
          <w:color w:val="auto"/>
          <w:spacing w:val="-3"/>
          <w:sz w:val="24"/>
        </w:rPr>
        <w:t>员或者委托符合本法规定的食品检验机构，对进入该批发市场销售的食用农产品进行</w:t>
      </w:r>
      <w:r>
        <w:rPr>
          <w:color w:val="auto"/>
          <w:spacing w:val="-6"/>
          <w:sz w:val="24"/>
        </w:rPr>
        <w:t>抽样检验；发现不符合食品安全标准的，应当要求销售者立即停止销售，并向食品安</w:t>
      </w:r>
    </w:p>
    <w:p>
      <w:pPr>
        <w:pStyle w:val="4"/>
        <w:spacing w:before="39"/>
        <w:rPr>
          <w:color w:val="auto"/>
        </w:rPr>
      </w:pPr>
      <w:r>
        <w:rPr>
          <w:color w:val="auto"/>
        </w:rPr>
        <w:t>全监督管理部门报告。</w:t>
      </w:r>
    </w:p>
    <w:p>
      <w:pPr>
        <w:pStyle w:val="4"/>
        <w:spacing w:before="195"/>
        <w:ind w:left="591"/>
        <w:rPr>
          <w:color w:val="auto"/>
        </w:rPr>
      </w:pPr>
      <w:r>
        <w:rPr>
          <w:color w:val="auto"/>
        </w:rPr>
        <w:t>（二）裁量标准</w:t>
      </w:r>
    </w:p>
    <w:p>
      <w:pPr>
        <w:pStyle w:val="13"/>
        <w:numPr>
          <w:ilvl w:val="0"/>
          <w:numId w:val="1740"/>
        </w:numPr>
        <w:tabs>
          <w:tab w:val="left" w:pos="833"/>
        </w:tabs>
        <w:spacing w:before="191" w:after="0" w:line="240" w:lineRule="auto"/>
        <w:ind w:left="832" w:right="0" w:hanging="242"/>
        <w:jc w:val="left"/>
        <w:rPr>
          <w:color w:val="auto"/>
          <w:sz w:val="24"/>
        </w:rPr>
      </w:pPr>
      <w:r>
        <w:rPr>
          <w:color w:val="auto"/>
          <w:sz w:val="24"/>
        </w:rPr>
        <w:t>【从轻】</w:t>
      </w:r>
    </w:p>
    <w:p>
      <w:pPr>
        <w:pStyle w:val="13"/>
        <w:numPr>
          <w:ilvl w:val="0"/>
          <w:numId w:val="174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91" w:lineRule="auto"/>
        <w:ind w:right="148" w:firstLine="480"/>
        <w:jc w:val="both"/>
        <w:rPr>
          <w:color w:val="auto"/>
        </w:rPr>
      </w:pPr>
      <w:r>
        <w:rPr>
          <w:color w:val="auto"/>
          <w:spacing w:val="-3"/>
        </w:rPr>
        <w:t>配备了检验设备和检验人员，未开展检验工作；食用农产品批发市场对进入该批</w:t>
      </w:r>
      <w:r>
        <w:rPr>
          <w:color w:val="auto"/>
          <w:spacing w:val="-5"/>
        </w:rPr>
        <w:t>发市场销售的食用农产品进行抽样检验，发现食用农产品不符合食品安全标准，已经</w:t>
      </w:r>
      <w:r>
        <w:rPr>
          <w:color w:val="auto"/>
          <w:spacing w:val="-8"/>
        </w:rPr>
        <w:t>要求销售者立即停止销售，但未向食品安全监督管理部门报告的；符合《山东省市场</w:t>
      </w:r>
      <w:r>
        <w:rPr>
          <w:color w:val="auto"/>
          <w:spacing w:val="-9"/>
        </w:rPr>
        <w:t>监督管理局行使行政处罚裁量权适用规则</w:t>
      </w:r>
      <w:r>
        <w:rPr>
          <w:color w:val="auto"/>
        </w:rPr>
        <w:t>（试行</w:t>
      </w:r>
      <w:r>
        <w:rPr>
          <w:color w:val="auto"/>
          <w:spacing w:val="-120"/>
        </w:rPr>
        <w:t>）</w:t>
      </w:r>
      <w:r>
        <w:rPr>
          <w:color w:val="auto"/>
          <w:spacing w:val="-6"/>
        </w:rPr>
        <w:t>》第十一条、第十二条规定情形的。</w:t>
      </w:r>
    </w:p>
    <w:p>
      <w:pPr>
        <w:pStyle w:val="13"/>
        <w:numPr>
          <w:ilvl w:val="0"/>
          <w:numId w:val="1741"/>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没收违法所得，并处 5 万元以上 10 万元以下罚款。</w:t>
      </w:r>
    </w:p>
    <w:p>
      <w:pPr>
        <w:pStyle w:val="13"/>
        <w:numPr>
          <w:ilvl w:val="0"/>
          <w:numId w:val="1740"/>
        </w:numPr>
        <w:tabs>
          <w:tab w:val="left" w:pos="833"/>
        </w:tabs>
        <w:spacing w:before="194" w:after="0" w:line="240" w:lineRule="auto"/>
        <w:ind w:left="832" w:right="0" w:hanging="242"/>
        <w:jc w:val="left"/>
        <w:rPr>
          <w:color w:val="auto"/>
          <w:sz w:val="24"/>
        </w:rPr>
      </w:pPr>
      <w:r>
        <w:rPr>
          <w:color w:val="auto"/>
          <w:sz w:val="24"/>
        </w:rPr>
        <w:t>【一般】</w:t>
      </w:r>
    </w:p>
    <w:p>
      <w:pPr>
        <w:pStyle w:val="13"/>
        <w:numPr>
          <w:ilvl w:val="0"/>
          <w:numId w:val="174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4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没收违法所得，并处 10 万元以上 12 万元以下罚款。</w:t>
      </w:r>
    </w:p>
    <w:p>
      <w:pPr>
        <w:pStyle w:val="13"/>
        <w:numPr>
          <w:ilvl w:val="0"/>
          <w:numId w:val="1740"/>
        </w:numPr>
        <w:tabs>
          <w:tab w:val="left" w:pos="833"/>
        </w:tabs>
        <w:spacing w:before="194" w:after="0" w:line="240" w:lineRule="auto"/>
        <w:ind w:left="832" w:right="0" w:hanging="242"/>
        <w:jc w:val="left"/>
        <w:rPr>
          <w:color w:val="auto"/>
          <w:sz w:val="24"/>
        </w:rPr>
      </w:pPr>
      <w:r>
        <w:rPr>
          <w:color w:val="auto"/>
          <w:sz w:val="24"/>
        </w:rPr>
        <w:t>【从重】</w:t>
      </w:r>
    </w:p>
    <w:p>
      <w:pPr>
        <w:pStyle w:val="13"/>
        <w:numPr>
          <w:ilvl w:val="0"/>
          <w:numId w:val="174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68" w:firstLine="480"/>
        <w:jc w:val="both"/>
        <w:rPr>
          <w:color w:val="auto"/>
        </w:rPr>
      </w:pPr>
      <w:r>
        <w:rPr>
          <w:color w:val="auto"/>
          <w:spacing w:val="-4"/>
        </w:rPr>
        <w:t>未配备检验设备和检验人员，且未委托符合本法规定的食品检验机构，对进入该批发市场销售的食用农产品进行抽样检验；发现不符合食品安全标准的，未要求销售</w:t>
      </w:r>
      <w:r>
        <w:rPr>
          <w:color w:val="auto"/>
          <w:spacing w:val="-5"/>
        </w:rPr>
        <w:t>者立即停止销售，未向食品安全监督管理部门报告；符合《山东省市场监督管理局行</w:t>
      </w:r>
      <w:r>
        <w:rPr>
          <w:color w:val="auto"/>
        </w:rPr>
        <w:t>使行政处罚裁量权适用规则（试行</w:t>
      </w:r>
      <w:r>
        <w:rPr>
          <w:color w:val="auto"/>
          <w:spacing w:val="-120"/>
        </w:rPr>
        <w:t>）</w:t>
      </w:r>
      <w:r>
        <w:rPr>
          <w:color w:val="auto"/>
        </w:rPr>
        <w:t>》第十三条规定的情形之一的。</w:t>
      </w:r>
    </w:p>
    <w:p>
      <w:pPr>
        <w:pStyle w:val="13"/>
        <w:numPr>
          <w:ilvl w:val="0"/>
          <w:numId w:val="1743"/>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没收违法所得，并处 12 万元以上 20 万元以下罚款。</w:t>
      </w:r>
    </w:p>
    <w:p>
      <w:pPr>
        <w:pStyle w:val="13"/>
        <w:numPr>
          <w:ilvl w:val="0"/>
          <w:numId w:val="1740"/>
        </w:numPr>
        <w:tabs>
          <w:tab w:val="left" w:pos="833"/>
        </w:tabs>
        <w:spacing w:before="192" w:after="0" w:line="240" w:lineRule="auto"/>
        <w:ind w:left="832" w:right="0" w:hanging="242"/>
        <w:jc w:val="left"/>
        <w:rPr>
          <w:color w:val="auto"/>
          <w:sz w:val="24"/>
        </w:rPr>
      </w:pPr>
      <w:r>
        <w:rPr>
          <w:color w:val="auto"/>
          <w:sz w:val="24"/>
        </w:rPr>
        <w:t>【严重】</w:t>
      </w:r>
    </w:p>
    <w:p>
      <w:pPr>
        <w:pStyle w:val="13"/>
        <w:numPr>
          <w:ilvl w:val="0"/>
          <w:numId w:val="174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因上述违法行为造成严重后果的;法律法规规定的其他情形。</w:t>
      </w:r>
    </w:p>
    <w:p>
      <w:pPr>
        <w:pStyle w:val="13"/>
        <w:numPr>
          <w:ilvl w:val="0"/>
          <w:numId w:val="1744"/>
        </w:numPr>
        <w:tabs>
          <w:tab w:val="left" w:pos="1193"/>
        </w:tabs>
        <w:spacing w:before="191" w:after="0" w:line="240" w:lineRule="auto"/>
        <w:ind w:left="1192" w:right="0" w:hanging="602"/>
        <w:jc w:val="left"/>
        <w:rPr>
          <w:color w:val="auto"/>
          <w:sz w:val="24"/>
        </w:rPr>
      </w:pPr>
      <w:r>
        <w:rPr>
          <w:color w:val="auto"/>
          <w:sz w:val="24"/>
        </w:rPr>
        <w:t>处罚标准</w:t>
      </w:r>
    </w:p>
    <w:p>
      <w:pPr>
        <w:spacing w:before="39" w:line="391" w:lineRule="auto"/>
        <w:ind w:left="591" w:right="170" w:firstLine="0"/>
        <w:jc w:val="left"/>
        <w:rPr>
          <w:color w:val="auto"/>
          <w:spacing w:val="-8"/>
          <w:sz w:val="24"/>
        </w:rPr>
      </w:pPr>
      <w:r>
        <w:rPr>
          <w:color w:val="auto"/>
          <w:spacing w:val="-6"/>
          <w:sz w:val="24"/>
        </w:rPr>
        <w:t xml:space="preserve">没收违法所得，并处 </w:t>
      </w:r>
      <w:r>
        <w:rPr>
          <w:color w:val="auto"/>
          <w:sz w:val="24"/>
        </w:rPr>
        <w:t>20</w:t>
      </w:r>
      <w:r>
        <w:rPr>
          <w:color w:val="auto"/>
          <w:spacing w:val="-8"/>
          <w:sz w:val="24"/>
        </w:rPr>
        <w:t xml:space="preserve"> 万元罚款；责令停业，直至由原发证部门吊销许可证。</w:t>
      </w:r>
      <w:bookmarkStart w:id="1512" w:name="_bookmark755"/>
      <w:bookmarkEnd w:id="1512"/>
      <w:bookmarkStart w:id="1513" w:name="七百四十、网络食品交易第三方平台提供者未对入网食品经营者进行实名登记、审查许可证"/>
      <w:bookmarkEnd w:id="1513"/>
    </w:p>
    <w:p>
      <w:pPr>
        <w:spacing w:before="39" w:line="391" w:lineRule="auto"/>
        <w:ind w:left="591" w:right="170" w:firstLine="0"/>
        <w:jc w:val="left"/>
        <w:rPr>
          <w:b/>
          <w:color w:val="auto"/>
          <w:sz w:val="24"/>
        </w:rPr>
      </w:pPr>
      <w:r>
        <w:rPr>
          <w:b/>
          <w:color w:val="auto"/>
          <w:spacing w:val="-8"/>
          <w:sz w:val="24"/>
        </w:rPr>
        <w:t>七百四十、网络食品交易第三方平台提供者未对入网食品经营者进行实名登记、</w:t>
      </w:r>
    </w:p>
    <w:p>
      <w:pPr>
        <w:pStyle w:val="2"/>
        <w:spacing w:line="306" w:lineRule="exact"/>
        <w:ind w:left="111"/>
        <w:rPr>
          <w:color w:val="auto"/>
        </w:rPr>
      </w:pPr>
      <w:r>
        <w:rPr>
          <w:color w:val="auto"/>
        </w:rPr>
        <w:t>审查许可证，或者未履行报告、停止提供网络交易平台服务等义务</w:t>
      </w:r>
    </w:p>
    <w:p>
      <w:pPr>
        <w:spacing w:before="192"/>
        <w:ind w:left="591" w:right="0" w:firstLine="0"/>
        <w:jc w:val="left"/>
        <w:rPr>
          <w:b/>
          <w:color w:val="auto"/>
          <w:sz w:val="24"/>
        </w:rPr>
      </w:pPr>
      <w:r>
        <w:rPr>
          <w:b/>
          <w:color w:val="auto"/>
          <w:sz w:val="24"/>
        </w:rPr>
        <w:t>（一）处罚依据</w:t>
      </w:r>
    </w:p>
    <w:p>
      <w:pPr>
        <w:pStyle w:val="13"/>
        <w:numPr>
          <w:ilvl w:val="0"/>
          <w:numId w:val="1745"/>
        </w:numPr>
        <w:tabs>
          <w:tab w:val="left" w:pos="833"/>
          <w:tab w:val="left" w:pos="5127"/>
        </w:tabs>
        <w:spacing w:before="194" w:after="0" w:line="388" w:lineRule="auto"/>
        <w:ind w:left="111" w:right="148" w:firstLine="480"/>
        <w:jc w:val="left"/>
        <w:rPr>
          <w:color w:val="auto"/>
          <w:sz w:val="24"/>
        </w:rPr>
      </w:pPr>
      <w:r>
        <w:rPr>
          <w:color w:val="auto"/>
          <w:sz w:val="24"/>
        </w:rPr>
        <w:t>《食品安全法</w:t>
      </w:r>
      <w:r>
        <w:rPr>
          <w:color w:val="auto"/>
          <w:spacing w:val="-12"/>
          <w:sz w:val="24"/>
        </w:rPr>
        <w:t>》</w:t>
      </w:r>
      <w:r>
        <w:rPr>
          <w:color w:val="auto"/>
          <w:sz w:val="24"/>
        </w:rPr>
        <w:t>第一百三十一条第一款</w:t>
      </w:r>
      <w:r>
        <w:rPr>
          <w:color w:val="auto"/>
          <w:sz w:val="24"/>
        </w:rPr>
        <w:tab/>
      </w:r>
      <w:r>
        <w:rPr>
          <w:color w:val="auto"/>
          <w:sz w:val="24"/>
        </w:rPr>
        <w:t>违反本法规定</w:t>
      </w:r>
      <w:r>
        <w:rPr>
          <w:color w:val="auto"/>
          <w:spacing w:val="-12"/>
          <w:sz w:val="24"/>
        </w:rPr>
        <w:t>，</w:t>
      </w:r>
      <w:r>
        <w:rPr>
          <w:color w:val="auto"/>
          <w:sz w:val="24"/>
        </w:rPr>
        <w:t>网络食品交易第三方平台提供者未对入网食品经营者进行实名登记</w:t>
      </w:r>
      <w:r>
        <w:rPr>
          <w:color w:val="auto"/>
          <w:spacing w:val="-12"/>
          <w:sz w:val="24"/>
        </w:rPr>
        <w:t>、</w:t>
      </w:r>
      <w:r>
        <w:rPr>
          <w:color w:val="auto"/>
          <w:sz w:val="24"/>
        </w:rPr>
        <w:t>审查许可证</w:t>
      </w:r>
      <w:r>
        <w:rPr>
          <w:color w:val="auto"/>
          <w:spacing w:val="-12"/>
          <w:sz w:val="24"/>
        </w:rPr>
        <w:t>，</w:t>
      </w:r>
      <w:r>
        <w:rPr>
          <w:color w:val="auto"/>
          <w:sz w:val="24"/>
        </w:rPr>
        <w:t>或者未履行报告</w:t>
      </w:r>
      <w:r>
        <w:rPr>
          <w:color w:val="auto"/>
          <w:spacing w:val="-12"/>
          <w:sz w:val="24"/>
        </w:rPr>
        <w:t>、</w:t>
      </w:r>
      <w:r>
        <w:rPr>
          <w:color w:val="auto"/>
          <w:sz w:val="24"/>
        </w:rPr>
        <w:t>停止提供网络交易平台服务等义务的</w:t>
      </w:r>
      <w:r>
        <w:rPr>
          <w:color w:val="auto"/>
          <w:spacing w:val="-36"/>
          <w:sz w:val="24"/>
        </w:rPr>
        <w:t>，</w:t>
      </w:r>
      <w:r>
        <w:rPr>
          <w:color w:val="auto"/>
          <w:sz w:val="24"/>
        </w:rPr>
        <w:t>由县级以上人民政府食品安全监督管理部门责令改正</w:t>
      </w:r>
      <w:r>
        <w:rPr>
          <w:color w:val="auto"/>
          <w:spacing w:val="-39"/>
          <w:sz w:val="24"/>
        </w:rPr>
        <w:t>，</w:t>
      </w:r>
      <w:r>
        <w:rPr>
          <w:color w:val="auto"/>
          <w:sz w:val="24"/>
        </w:rPr>
        <w:t>没收违法所得</w:t>
      </w:r>
      <w:r>
        <w:rPr>
          <w:color w:val="auto"/>
          <w:spacing w:val="-41"/>
          <w:sz w:val="24"/>
        </w:rPr>
        <w:t>，</w:t>
      </w:r>
      <w:r>
        <w:rPr>
          <w:color w:val="auto"/>
          <w:sz w:val="24"/>
        </w:rPr>
        <w:t>并处五万元以上二十万元以下罚款</w:t>
      </w:r>
      <w:r>
        <w:rPr>
          <w:color w:val="auto"/>
          <w:spacing w:val="-39"/>
          <w:sz w:val="24"/>
        </w:rPr>
        <w:t>；</w:t>
      </w:r>
      <w:r>
        <w:rPr>
          <w:color w:val="auto"/>
          <w:sz w:val="24"/>
        </w:rPr>
        <w:t>造成严重后果的</w:t>
      </w:r>
      <w:r>
        <w:rPr>
          <w:color w:val="auto"/>
          <w:spacing w:val="-39"/>
          <w:sz w:val="24"/>
        </w:rPr>
        <w:t>，</w:t>
      </w:r>
      <w:r>
        <w:rPr>
          <w:color w:val="auto"/>
          <w:sz w:val="24"/>
        </w:rPr>
        <w:t>责令停业</w:t>
      </w:r>
      <w:r>
        <w:rPr>
          <w:color w:val="auto"/>
          <w:spacing w:val="-15"/>
          <w:sz w:val="24"/>
        </w:rPr>
        <w:t xml:space="preserve">， </w:t>
      </w:r>
      <w:r>
        <w:rPr>
          <w:color w:val="auto"/>
          <w:sz w:val="24"/>
        </w:rPr>
        <w:t>直至由原发证部门吊销许可证</w:t>
      </w:r>
      <w:r>
        <w:rPr>
          <w:color w:val="auto"/>
          <w:spacing w:val="-20"/>
          <w:sz w:val="24"/>
        </w:rPr>
        <w:t>；</w:t>
      </w:r>
      <w:r>
        <w:rPr>
          <w:color w:val="auto"/>
          <w:sz w:val="24"/>
        </w:rPr>
        <w:t>使消费者的合法权益受到损害的</w:t>
      </w:r>
      <w:r>
        <w:rPr>
          <w:color w:val="auto"/>
          <w:spacing w:val="-17"/>
          <w:sz w:val="24"/>
        </w:rPr>
        <w:t>，</w:t>
      </w:r>
      <w:r>
        <w:rPr>
          <w:color w:val="auto"/>
          <w:sz w:val="24"/>
        </w:rPr>
        <w:t>应当与食品经营者承担连带责任。</w:t>
      </w:r>
    </w:p>
    <w:p>
      <w:pPr>
        <w:pStyle w:val="13"/>
        <w:numPr>
          <w:ilvl w:val="0"/>
          <w:numId w:val="1745"/>
        </w:numPr>
        <w:tabs>
          <w:tab w:val="left" w:pos="833"/>
        </w:tabs>
        <w:spacing w:before="11" w:after="0" w:line="388" w:lineRule="auto"/>
        <w:ind w:left="111" w:right="268" w:firstLine="480"/>
        <w:jc w:val="both"/>
        <w:rPr>
          <w:color w:val="auto"/>
          <w:sz w:val="24"/>
        </w:rPr>
      </w:pPr>
      <w:r>
        <w:rPr>
          <w:color w:val="auto"/>
          <w:spacing w:val="-4"/>
          <w:sz w:val="24"/>
        </w:rPr>
        <w:t>《食品安全法》第六十二条 网络食品交易第三方平台提供者应当对入网食品</w:t>
      </w:r>
      <w:r>
        <w:rPr>
          <w:color w:val="auto"/>
          <w:spacing w:val="-5"/>
          <w:sz w:val="24"/>
        </w:rPr>
        <w:t>经营者进行实名登记，明确其食品安全管理责任；依法应当取得许可证的，还应当审</w:t>
      </w:r>
      <w:r>
        <w:rPr>
          <w:color w:val="auto"/>
          <w:sz w:val="24"/>
        </w:rPr>
        <w:t>查其许可证。</w:t>
      </w:r>
    </w:p>
    <w:p>
      <w:pPr>
        <w:pStyle w:val="4"/>
        <w:spacing w:before="6" w:line="388" w:lineRule="auto"/>
        <w:ind w:right="268" w:firstLine="480"/>
        <w:jc w:val="both"/>
        <w:rPr>
          <w:color w:val="auto"/>
        </w:rPr>
      </w:pPr>
      <w:r>
        <w:rPr>
          <w:color w:val="auto"/>
          <w:spacing w:val="-3"/>
        </w:rPr>
        <w:t>网络食品交易第三方平台提供者发现入网食品经营者有违反本法规定行为的，应当及时制止并立即报告所在地县级人民政府食品安全监督管理部门；发现严重违法行</w:t>
      </w:r>
      <w:r>
        <w:rPr>
          <w:color w:val="auto"/>
        </w:rPr>
        <w:t>为的，应当立即停止提供网络交易平台服务。</w:t>
      </w:r>
    </w:p>
    <w:p>
      <w:pPr>
        <w:pStyle w:val="2"/>
        <w:spacing w:before="5"/>
        <w:rPr>
          <w:color w:val="auto"/>
        </w:rPr>
      </w:pPr>
      <w:r>
        <w:rPr>
          <w:color w:val="auto"/>
        </w:rPr>
        <w:t>（二）裁量标准</w:t>
      </w:r>
    </w:p>
    <w:p>
      <w:pPr>
        <w:pStyle w:val="13"/>
        <w:numPr>
          <w:ilvl w:val="0"/>
          <w:numId w:val="1746"/>
        </w:numPr>
        <w:tabs>
          <w:tab w:val="left" w:pos="833"/>
        </w:tabs>
        <w:spacing w:before="192" w:after="0" w:line="240" w:lineRule="auto"/>
        <w:ind w:left="832" w:right="0" w:hanging="242"/>
        <w:jc w:val="left"/>
        <w:rPr>
          <w:color w:val="auto"/>
          <w:sz w:val="24"/>
        </w:rPr>
      </w:pPr>
      <w:r>
        <w:rPr>
          <w:color w:val="auto"/>
          <w:sz w:val="24"/>
        </w:rPr>
        <w:t>【从轻】</w:t>
      </w:r>
    </w:p>
    <w:p>
      <w:pPr>
        <w:pStyle w:val="13"/>
        <w:numPr>
          <w:ilvl w:val="0"/>
          <w:numId w:val="174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4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没收违法所得，并处 5 万元以上 12 万元以下罚款。</w:t>
      </w:r>
    </w:p>
    <w:p>
      <w:pPr>
        <w:pStyle w:val="13"/>
        <w:numPr>
          <w:ilvl w:val="0"/>
          <w:numId w:val="1746"/>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74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48"/>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39"/>
        <w:ind w:left="591"/>
        <w:rPr>
          <w:color w:val="auto"/>
        </w:rPr>
      </w:pPr>
      <w:r>
        <w:rPr>
          <w:color w:val="auto"/>
        </w:rPr>
        <w:t>没收违法所得，并处 12 万元以上 13 万元以下罚款。</w:t>
      </w:r>
    </w:p>
    <w:p>
      <w:pPr>
        <w:pStyle w:val="13"/>
        <w:numPr>
          <w:ilvl w:val="0"/>
          <w:numId w:val="1746"/>
        </w:numPr>
        <w:tabs>
          <w:tab w:val="left" w:pos="833"/>
        </w:tabs>
        <w:spacing w:before="195" w:after="0" w:line="240" w:lineRule="auto"/>
        <w:ind w:left="832" w:right="0" w:hanging="242"/>
        <w:jc w:val="left"/>
        <w:rPr>
          <w:color w:val="auto"/>
          <w:sz w:val="24"/>
        </w:rPr>
      </w:pPr>
      <w:r>
        <w:rPr>
          <w:color w:val="auto"/>
          <w:sz w:val="24"/>
        </w:rPr>
        <w:t>【从重】</w:t>
      </w:r>
    </w:p>
    <w:p>
      <w:pPr>
        <w:pStyle w:val="13"/>
        <w:numPr>
          <w:ilvl w:val="0"/>
          <w:numId w:val="1749"/>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符合《山东省市场监督管理局行使行政处罚裁量权适用规则（试行</w:t>
      </w:r>
      <w:r>
        <w:rPr>
          <w:color w:val="auto"/>
          <w:spacing w:val="-116"/>
        </w:rPr>
        <w:t>）</w:t>
      </w:r>
      <w:r>
        <w:rPr>
          <w:color w:val="auto"/>
        </w:rPr>
        <w:t>》第十三条</w:t>
      </w:r>
      <w:r>
        <w:rPr>
          <w:color w:val="auto"/>
          <w:spacing w:val="-6"/>
        </w:rPr>
        <w:t>规定的情形的；未履行实名登记、审查许可证义务，导致食品安全事故的；网络食品</w:t>
      </w:r>
      <w:r>
        <w:rPr>
          <w:color w:val="auto"/>
          <w:spacing w:val="-3"/>
        </w:rPr>
        <w:t>交易第三方平台提供者发现入网食品经营者有违反食品安全法规定行为的，未及时制</w:t>
      </w:r>
      <w:r>
        <w:rPr>
          <w:color w:val="auto"/>
          <w:spacing w:val="-5"/>
        </w:rPr>
        <w:t>止并立即报告的；发现严重违法行为的，未立即停止提供网络交易平台服务；经营特</w:t>
      </w:r>
      <w:r>
        <w:rPr>
          <w:color w:val="auto"/>
        </w:rPr>
        <w:t>殊食品的入网食品经营者未取得许可的。</w:t>
      </w:r>
    </w:p>
    <w:p>
      <w:pPr>
        <w:pStyle w:val="13"/>
        <w:numPr>
          <w:ilvl w:val="0"/>
          <w:numId w:val="1749"/>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没收违法所得，并处 13 万元以上 20 万元以下罚款。</w:t>
      </w:r>
    </w:p>
    <w:p>
      <w:pPr>
        <w:pStyle w:val="13"/>
        <w:numPr>
          <w:ilvl w:val="0"/>
          <w:numId w:val="1746"/>
        </w:numPr>
        <w:tabs>
          <w:tab w:val="left" w:pos="833"/>
        </w:tabs>
        <w:spacing w:before="194" w:after="0" w:line="240" w:lineRule="auto"/>
        <w:ind w:left="832" w:right="0" w:hanging="242"/>
        <w:jc w:val="left"/>
        <w:rPr>
          <w:color w:val="auto"/>
          <w:sz w:val="24"/>
        </w:rPr>
      </w:pPr>
      <w:r>
        <w:rPr>
          <w:color w:val="auto"/>
          <w:sz w:val="24"/>
        </w:rPr>
        <w:t>【严重】</w:t>
      </w:r>
    </w:p>
    <w:p>
      <w:pPr>
        <w:pStyle w:val="13"/>
        <w:numPr>
          <w:ilvl w:val="0"/>
          <w:numId w:val="1750"/>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因上述违法行为造成严重后果的;法律法规规定的其他情形。</w:t>
      </w:r>
    </w:p>
    <w:p>
      <w:pPr>
        <w:pStyle w:val="13"/>
        <w:numPr>
          <w:ilvl w:val="0"/>
          <w:numId w:val="1750"/>
        </w:numPr>
        <w:tabs>
          <w:tab w:val="left" w:pos="1193"/>
        </w:tabs>
        <w:spacing w:before="194" w:after="0" w:line="240" w:lineRule="auto"/>
        <w:ind w:left="1192" w:right="0" w:hanging="602"/>
        <w:jc w:val="left"/>
        <w:rPr>
          <w:color w:val="auto"/>
          <w:sz w:val="24"/>
        </w:rPr>
      </w:pPr>
      <w:r>
        <w:rPr>
          <w:color w:val="auto"/>
          <w:sz w:val="24"/>
        </w:rPr>
        <w:t>处罚标准</w:t>
      </w:r>
    </w:p>
    <w:p>
      <w:pPr>
        <w:spacing w:before="192" w:line="388" w:lineRule="auto"/>
        <w:ind w:left="591" w:right="352" w:firstLine="0"/>
        <w:jc w:val="left"/>
        <w:rPr>
          <w:b/>
          <w:color w:val="auto"/>
          <w:sz w:val="24"/>
        </w:rPr>
      </w:pPr>
      <w:r>
        <w:rPr>
          <w:color w:val="auto"/>
          <w:spacing w:val="-6"/>
          <w:sz w:val="24"/>
        </w:rPr>
        <w:t xml:space="preserve">没收违法所得，并处 </w:t>
      </w:r>
      <w:r>
        <w:rPr>
          <w:color w:val="auto"/>
          <w:sz w:val="24"/>
        </w:rPr>
        <w:t>20</w:t>
      </w:r>
      <w:r>
        <w:rPr>
          <w:color w:val="auto"/>
          <w:spacing w:val="-9"/>
          <w:sz w:val="24"/>
        </w:rPr>
        <w:t xml:space="preserve"> 万元罚款；责令停业，直至由原发证部门吊销许可证。</w:t>
      </w:r>
      <w:bookmarkStart w:id="1514" w:name="_bookmark756"/>
      <w:bookmarkEnd w:id="1514"/>
      <w:bookmarkStart w:id="1515" w:name="七百四十一、未按要求进行食品贮存、运输和装卸"/>
      <w:bookmarkEnd w:id="1515"/>
      <w:r>
        <w:rPr>
          <w:b/>
          <w:color w:val="auto"/>
          <w:sz w:val="24"/>
        </w:rPr>
        <w:t>七百四十一、未按要求进行食品贮存、运输和装卸</w:t>
      </w:r>
    </w:p>
    <w:p>
      <w:pPr>
        <w:pStyle w:val="2"/>
        <w:spacing w:before="4"/>
        <w:rPr>
          <w:color w:val="auto"/>
        </w:rPr>
      </w:pPr>
      <w:r>
        <w:rPr>
          <w:color w:val="auto"/>
        </w:rPr>
        <w:t>（一）处罚依据</w:t>
      </w:r>
    </w:p>
    <w:p>
      <w:pPr>
        <w:pStyle w:val="13"/>
        <w:numPr>
          <w:ilvl w:val="0"/>
          <w:numId w:val="1751"/>
        </w:numPr>
        <w:tabs>
          <w:tab w:val="left" w:pos="833"/>
        </w:tabs>
        <w:spacing w:before="192" w:after="0" w:line="391" w:lineRule="auto"/>
        <w:ind w:left="111" w:right="266" w:firstLine="480"/>
        <w:jc w:val="both"/>
        <w:rPr>
          <w:color w:val="auto"/>
          <w:sz w:val="24"/>
        </w:rPr>
      </w:pPr>
      <w:r>
        <w:rPr>
          <w:color w:val="auto"/>
          <w:spacing w:val="-5"/>
          <w:sz w:val="24"/>
        </w:rPr>
        <w:t>《食品安全法》第一百三十二条 违反本法规定，未按要求进行食品贮存、运</w:t>
      </w:r>
      <w:r>
        <w:rPr>
          <w:color w:val="auto"/>
          <w:spacing w:val="-7"/>
          <w:sz w:val="24"/>
        </w:rPr>
        <w:t>输和装卸的，由县级以上人民政府食品安全监督管理等部门按照各自职责分工责令改</w:t>
      </w:r>
      <w:r>
        <w:rPr>
          <w:color w:val="auto"/>
          <w:spacing w:val="-8"/>
          <w:sz w:val="24"/>
        </w:rPr>
        <w:t>正，给予警告；拒不改正的，责令停产停业，并处一万元以上五万元以下罚款；情节</w:t>
      </w:r>
      <w:r>
        <w:rPr>
          <w:color w:val="auto"/>
          <w:sz w:val="24"/>
        </w:rPr>
        <w:t>严重的，吊销许可证。</w:t>
      </w:r>
    </w:p>
    <w:p>
      <w:pPr>
        <w:pStyle w:val="13"/>
        <w:numPr>
          <w:ilvl w:val="0"/>
          <w:numId w:val="1751"/>
        </w:numPr>
        <w:tabs>
          <w:tab w:val="left" w:pos="833"/>
        </w:tabs>
        <w:spacing w:before="0" w:after="0" w:line="391" w:lineRule="auto"/>
        <w:ind w:left="111" w:right="268" w:firstLine="480"/>
        <w:jc w:val="both"/>
        <w:rPr>
          <w:color w:val="auto"/>
          <w:sz w:val="24"/>
        </w:rPr>
      </w:pPr>
      <w:r>
        <w:rPr>
          <w:color w:val="auto"/>
          <w:spacing w:val="-4"/>
          <w:sz w:val="24"/>
        </w:rPr>
        <w:t>《食品安全法》第三十三条 食品生产经营应当符合食品安全标准，并符合下</w:t>
      </w:r>
      <w:r>
        <w:rPr>
          <w:color w:val="auto"/>
          <w:sz w:val="24"/>
        </w:rPr>
        <w:t>列要求：</w:t>
      </w:r>
    </w:p>
    <w:p>
      <w:pPr>
        <w:pStyle w:val="4"/>
        <w:spacing w:line="391" w:lineRule="auto"/>
        <w:ind w:right="232" w:firstLine="480"/>
        <w:jc w:val="both"/>
        <w:rPr>
          <w:color w:val="auto"/>
        </w:rPr>
      </w:pPr>
      <w:r>
        <w:rPr>
          <w:color w:val="auto"/>
        </w:rPr>
        <w:t>（六）贮存、运输和装卸食品的容器、工具和设备应当安全、无害，保持清洁， 防止食品污染，并符合保证食品安全所需的温度、湿度等特殊要求，不得将食品与有毒、有害物品一同贮存、运输；</w:t>
      </w:r>
    </w:p>
    <w:p>
      <w:pPr>
        <w:pStyle w:val="4"/>
        <w:spacing w:line="304" w:lineRule="exact"/>
        <w:ind w:left="591"/>
        <w:rPr>
          <w:color w:val="auto"/>
        </w:rPr>
      </w:pPr>
      <w:r>
        <w:rPr>
          <w:color w:val="auto"/>
        </w:rPr>
        <w:t>非食品生产经营者从事食品贮存、运输和装卸的，应当符合前款第六项的规定。</w:t>
      </w:r>
    </w:p>
    <w:p>
      <w:pPr>
        <w:pStyle w:val="4"/>
        <w:spacing w:before="185"/>
        <w:ind w:left="591"/>
        <w:rPr>
          <w:color w:val="auto"/>
        </w:rPr>
      </w:pPr>
      <w:r>
        <w:rPr>
          <w:color w:val="auto"/>
        </w:rPr>
        <w:t>（二）裁量标准</w:t>
      </w:r>
    </w:p>
    <w:p>
      <w:pPr>
        <w:pStyle w:val="13"/>
        <w:numPr>
          <w:ilvl w:val="0"/>
          <w:numId w:val="1752"/>
        </w:numPr>
        <w:tabs>
          <w:tab w:val="left" w:pos="833"/>
        </w:tabs>
        <w:spacing w:before="39" w:after="0" w:line="240" w:lineRule="auto"/>
        <w:ind w:left="832" w:right="0" w:hanging="242"/>
        <w:jc w:val="left"/>
        <w:rPr>
          <w:color w:val="auto"/>
          <w:sz w:val="24"/>
        </w:rPr>
      </w:pPr>
      <w:r>
        <w:rPr>
          <w:color w:val="auto"/>
          <w:sz w:val="24"/>
        </w:rPr>
        <w:t>【从轻】</w:t>
      </w:r>
    </w:p>
    <w:p>
      <w:pPr>
        <w:pStyle w:val="13"/>
        <w:numPr>
          <w:ilvl w:val="0"/>
          <w:numId w:val="1753"/>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第十二条规定情形的；贮存、运输和装卸食品的容器、工具和设备未保持清洁的。</w:t>
      </w:r>
    </w:p>
    <w:p>
      <w:pPr>
        <w:pStyle w:val="13"/>
        <w:numPr>
          <w:ilvl w:val="0"/>
          <w:numId w:val="175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警告；拒不改正的，责令停产停业，并处 1 万元以上 2 万元以下罚款。</w:t>
      </w:r>
    </w:p>
    <w:p>
      <w:pPr>
        <w:pStyle w:val="13"/>
        <w:numPr>
          <w:ilvl w:val="0"/>
          <w:numId w:val="1752"/>
        </w:numPr>
        <w:tabs>
          <w:tab w:val="left" w:pos="833"/>
        </w:tabs>
        <w:spacing w:before="191" w:after="0" w:line="240" w:lineRule="auto"/>
        <w:ind w:left="832" w:right="0" w:hanging="242"/>
        <w:jc w:val="left"/>
        <w:rPr>
          <w:color w:val="auto"/>
          <w:sz w:val="24"/>
        </w:rPr>
      </w:pPr>
      <w:r>
        <w:rPr>
          <w:color w:val="auto"/>
          <w:sz w:val="24"/>
        </w:rPr>
        <w:t>【一般】</w:t>
      </w:r>
    </w:p>
    <w:p>
      <w:pPr>
        <w:pStyle w:val="13"/>
        <w:numPr>
          <w:ilvl w:val="0"/>
          <w:numId w:val="175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54"/>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警告；拒不改正的，责令停产停业，并处 2 万元以上 3 万元以下罚款。</w:t>
      </w:r>
    </w:p>
    <w:p>
      <w:pPr>
        <w:pStyle w:val="13"/>
        <w:numPr>
          <w:ilvl w:val="0"/>
          <w:numId w:val="1752"/>
        </w:numPr>
        <w:tabs>
          <w:tab w:val="left" w:pos="833"/>
        </w:tabs>
        <w:spacing w:before="192" w:after="0" w:line="240" w:lineRule="auto"/>
        <w:ind w:left="832" w:right="0" w:hanging="242"/>
        <w:jc w:val="left"/>
        <w:rPr>
          <w:color w:val="auto"/>
          <w:sz w:val="24"/>
        </w:rPr>
      </w:pPr>
      <w:r>
        <w:rPr>
          <w:color w:val="auto"/>
          <w:sz w:val="24"/>
        </w:rPr>
        <w:t>【从重】</w:t>
      </w:r>
    </w:p>
    <w:p>
      <w:pPr>
        <w:pStyle w:val="13"/>
        <w:numPr>
          <w:ilvl w:val="0"/>
          <w:numId w:val="1755"/>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符合《山东省市场监督管理局行使行政处罚裁量权适用规则（试行</w:t>
      </w:r>
      <w:r>
        <w:rPr>
          <w:color w:val="auto"/>
          <w:spacing w:val="-116"/>
        </w:rPr>
        <w:t>）</w:t>
      </w:r>
      <w:r>
        <w:rPr>
          <w:color w:val="auto"/>
        </w:rPr>
        <w:t>》第十三条</w:t>
      </w:r>
      <w:r>
        <w:rPr>
          <w:color w:val="auto"/>
          <w:spacing w:val="-1"/>
        </w:rPr>
        <w:t>规定的情形的；将食品与有毒、有害物品一同贮存、运输的；导致食品安全事故的。</w:t>
      </w:r>
    </w:p>
    <w:p>
      <w:pPr>
        <w:pStyle w:val="13"/>
        <w:numPr>
          <w:ilvl w:val="0"/>
          <w:numId w:val="1755"/>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警告；拒不改正的，责令停产停业，并处 3 万元以上 5 万元以下罚款。</w:t>
      </w:r>
    </w:p>
    <w:p>
      <w:pPr>
        <w:pStyle w:val="13"/>
        <w:numPr>
          <w:ilvl w:val="0"/>
          <w:numId w:val="1752"/>
        </w:numPr>
        <w:tabs>
          <w:tab w:val="left" w:pos="833"/>
        </w:tabs>
        <w:spacing w:before="192" w:after="0" w:line="240" w:lineRule="auto"/>
        <w:ind w:left="832" w:right="0" w:hanging="242"/>
        <w:jc w:val="left"/>
        <w:rPr>
          <w:color w:val="auto"/>
          <w:sz w:val="24"/>
        </w:rPr>
      </w:pPr>
      <w:r>
        <w:rPr>
          <w:color w:val="auto"/>
          <w:sz w:val="24"/>
        </w:rPr>
        <w:t>【严重】</w:t>
      </w:r>
    </w:p>
    <w:p>
      <w:pPr>
        <w:pStyle w:val="13"/>
        <w:numPr>
          <w:ilvl w:val="0"/>
          <w:numId w:val="1756"/>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因上述违法行为造成严重后果的;法律法规规定的其他情形。</w:t>
      </w:r>
    </w:p>
    <w:p>
      <w:pPr>
        <w:pStyle w:val="13"/>
        <w:numPr>
          <w:ilvl w:val="0"/>
          <w:numId w:val="175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责令停产停业，并处 5 万元罚款；吊销许可证。</w:t>
      </w:r>
    </w:p>
    <w:p>
      <w:pPr>
        <w:pStyle w:val="2"/>
        <w:spacing w:before="192" w:line="388" w:lineRule="auto"/>
        <w:ind w:left="111" w:right="237" w:firstLine="480"/>
        <w:rPr>
          <w:color w:val="auto"/>
        </w:rPr>
      </w:pPr>
      <w:bookmarkStart w:id="1516" w:name="七百四十二、拒绝、阻挠、干涉有关部门、机构及其工作人员依法开展食品安全监督检查、"/>
      <w:bookmarkEnd w:id="1516"/>
      <w:bookmarkStart w:id="1517" w:name="_bookmark757"/>
      <w:bookmarkEnd w:id="1517"/>
      <w:r>
        <w:rPr>
          <w:color w:val="auto"/>
          <w:spacing w:val="-7"/>
        </w:rPr>
        <w:t>七百四十二、拒绝、阻挠、干涉有关部门、机构及其工作人员依法开展食品安全监督检查、事故调查处理、风险监测和风险评估</w:t>
      </w:r>
    </w:p>
    <w:p>
      <w:pPr>
        <w:spacing w:before="4"/>
        <w:ind w:left="591" w:right="0" w:firstLine="0"/>
        <w:jc w:val="left"/>
        <w:rPr>
          <w:b/>
          <w:color w:val="auto"/>
          <w:sz w:val="24"/>
        </w:rPr>
      </w:pPr>
      <w:r>
        <w:rPr>
          <w:b/>
          <w:color w:val="auto"/>
          <w:sz w:val="24"/>
        </w:rPr>
        <w:t>（一）处罚依据</w:t>
      </w:r>
    </w:p>
    <w:p>
      <w:pPr>
        <w:pStyle w:val="4"/>
        <w:tabs>
          <w:tab w:val="left" w:pos="4901"/>
        </w:tabs>
        <w:spacing w:before="192" w:line="388" w:lineRule="auto"/>
        <w:ind w:right="268" w:firstLine="480"/>
        <w:rPr>
          <w:color w:val="auto"/>
        </w:rPr>
      </w:pPr>
      <w:r>
        <w:rPr>
          <w:color w:val="auto"/>
        </w:rPr>
        <w:t>《食品安全法</w:t>
      </w:r>
      <w:r>
        <w:rPr>
          <w:color w:val="auto"/>
          <w:spacing w:val="-10"/>
        </w:rPr>
        <w:t>》</w:t>
      </w:r>
      <w:r>
        <w:rPr>
          <w:color w:val="auto"/>
        </w:rPr>
        <w:t>第一百三十三条第一款</w:t>
      </w:r>
      <w:r>
        <w:rPr>
          <w:color w:val="auto"/>
        </w:rPr>
        <w:tab/>
      </w:r>
      <w:r>
        <w:rPr>
          <w:color w:val="auto"/>
        </w:rPr>
        <w:t>违反本法规定</w:t>
      </w:r>
      <w:r>
        <w:rPr>
          <w:color w:val="auto"/>
          <w:spacing w:val="-10"/>
        </w:rPr>
        <w:t>，</w:t>
      </w:r>
      <w:r>
        <w:rPr>
          <w:color w:val="auto"/>
        </w:rPr>
        <w:t>拒绝</w:t>
      </w:r>
      <w:r>
        <w:rPr>
          <w:color w:val="auto"/>
          <w:spacing w:val="-8"/>
        </w:rPr>
        <w:t>、</w:t>
      </w:r>
      <w:r>
        <w:rPr>
          <w:color w:val="auto"/>
        </w:rPr>
        <w:t>阻挠</w:t>
      </w:r>
      <w:r>
        <w:rPr>
          <w:color w:val="auto"/>
          <w:spacing w:val="-10"/>
        </w:rPr>
        <w:t>、</w:t>
      </w:r>
      <w:r>
        <w:rPr>
          <w:color w:val="auto"/>
        </w:rPr>
        <w:t>干涉有</w:t>
      </w:r>
      <w:r>
        <w:rPr>
          <w:color w:val="auto"/>
          <w:spacing w:val="-15"/>
        </w:rPr>
        <w:t>关</w:t>
      </w:r>
      <w:r>
        <w:rPr>
          <w:color w:val="auto"/>
        </w:rPr>
        <w:t>部门</w:t>
      </w:r>
      <w:r>
        <w:rPr>
          <w:color w:val="auto"/>
          <w:spacing w:val="-12"/>
        </w:rPr>
        <w:t>、</w:t>
      </w:r>
      <w:r>
        <w:rPr>
          <w:color w:val="auto"/>
        </w:rPr>
        <w:t>机构及其工作人员依法开展食品安全监督检查</w:t>
      </w:r>
      <w:r>
        <w:rPr>
          <w:color w:val="auto"/>
          <w:spacing w:val="-12"/>
        </w:rPr>
        <w:t>、</w:t>
      </w:r>
      <w:r>
        <w:rPr>
          <w:color w:val="auto"/>
        </w:rPr>
        <w:t>事故调查处理</w:t>
      </w:r>
      <w:r>
        <w:rPr>
          <w:color w:val="auto"/>
          <w:spacing w:val="-12"/>
        </w:rPr>
        <w:t>、</w:t>
      </w:r>
      <w:r>
        <w:rPr>
          <w:color w:val="auto"/>
        </w:rPr>
        <w:t>风险监测和</w:t>
      </w:r>
      <w:r>
        <w:rPr>
          <w:color w:val="auto"/>
          <w:spacing w:val="-17"/>
        </w:rPr>
        <w:t>风</w:t>
      </w:r>
    </w:p>
    <w:p>
      <w:pPr>
        <w:pStyle w:val="4"/>
        <w:spacing w:before="39" w:line="391" w:lineRule="auto"/>
        <w:ind w:right="268"/>
        <w:jc w:val="both"/>
        <w:rPr>
          <w:color w:val="auto"/>
        </w:rPr>
      </w:pPr>
      <w:r>
        <w:rPr>
          <w:color w:val="auto"/>
          <w:spacing w:val="-6"/>
        </w:rPr>
        <w:t>险评估的，由有关主管部门按照各自职责分工责令停产停业，并处二千元以上五万元以下罚款；情节严重的，吊销许可证；构成违反治安管理行为的，由公安机关依法给</w:t>
      </w:r>
      <w:r>
        <w:rPr>
          <w:color w:val="auto"/>
        </w:rPr>
        <w:t>予治安管理处罚。</w:t>
      </w:r>
    </w:p>
    <w:p>
      <w:pPr>
        <w:pStyle w:val="2"/>
        <w:spacing w:line="304" w:lineRule="exact"/>
        <w:rPr>
          <w:color w:val="auto"/>
        </w:rPr>
      </w:pPr>
      <w:r>
        <w:rPr>
          <w:color w:val="auto"/>
        </w:rPr>
        <w:t>（二）裁量标准</w:t>
      </w:r>
    </w:p>
    <w:p>
      <w:pPr>
        <w:pStyle w:val="13"/>
        <w:numPr>
          <w:ilvl w:val="0"/>
          <w:numId w:val="1757"/>
        </w:numPr>
        <w:tabs>
          <w:tab w:val="left" w:pos="833"/>
        </w:tabs>
        <w:spacing w:before="195" w:after="0" w:line="240" w:lineRule="auto"/>
        <w:ind w:left="832" w:right="0" w:hanging="242"/>
        <w:jc w:val="left"/>
        <w:rPr>
          <w:color w:val="auto"/>
          <w:sz w:val="24"/>
        </w:rPr>
      </w:pPr>
      <w:r>
        <w:rPr>
          <w:color w:val="auto"/>
          <w:sz w:val="24"/>
        </w:rPr>
        <w:t>【从轻】</w:t>
      </w:r>
    </w:p>
    <w:p>
      <w:pPr>
        <w:pStyle w:val="13"/>
        <w:numPr>
          <w:ilvl w:val="0"/>
          <w:numId w:val="1758"/>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未造成危害后果的。</w:t>
      </w:r>
    </w:p>
    <w:p>
      <w:pPr>
        <w:pStyle w:val="13"/>
        <w:numPr>
          <w:ilvl w:val="0"/>
          <w:numId w:val="1758"/>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责令停产停业，并处 2 千元以上 2 万元以下罚款。</w:t>
      </w:r>
    </w:p>
    <w:p>
      <w:pPr>
        <w:pStyle w:val="13"/>
        <w:numPr>
          <w:ilvl w:val="0"/>
          <w:numId w:val="1757"/>
        </w:numPr>
        <w:tabs>
          <w:tab w:val="left" w:pos="833"/>
        </w:tabs>
        <w:spacing w:before="191" w:after="0" w:line="240" w:lineRule="auto"/>
        <w:ind w:left="832" w:right="0" w:hanging="242"/>
        <w:jc w:val="left"/>
        <w:rPr>
          <w:color w:val="auto"/>
          <w:sz w:val="24"/>
        </w:rPr>
      </w:pPr>
      <w:r>
        <w:rPr>
          <w:color w:val="auto"/>
          <w:sz w:val="24"/>
        </w:rPr>
        <w:t>【从重】</w:t>
      </w:r>
    </w:p>
    <w:p>
      <w:pPr>
        <w:pStyle w:val="13"/>
        <w:numPr>
          <w:ilvl w:val="0"/>
          <w:numId w:val="1759"/>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》第十三条规定情形。</w:t>
      </w:r>
    </w:p>
    <w:p>
      <w:pPr>
        <w:pStyle w:val="13"/>
        <w:numPr>
          <w:ilvl w:val="0"/>
          <w:numId w:val="1759"/>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责令停产停业，并处 2 万元以上 5 万元以下罚款。</w:t>
      </w:r>
    </w:p>
    <w:p>
      <w:pPr>
        <w:pStyle w:val="13"/>
        <w:numPr>
          <w:ilvl w:val="0"/>
          <w:numId w:val="1757"/>
        </w:numPr>
        <w:tabs>
          <w:tab w:val="left" w:pos="833"/>
        </w:tabs>
        <w:spacing w:before="192" w:after="0" w:line="240" w:lineRule="auto"/>
        <w:ind w:left="832" w:right="0" w:hanging="242"/>
        <w:jc w:val="left"/>
        <w:rPr>
          <w:color w:val="auto"/>
          <w:sz w:val="24"/>
        </w:rPr>
      </w:pPr>
      <w:r>
        <w:rPr>
          <w:color w:val="auto"/>
          <w:sz w:val="24"/>
        </w:rPr>
        <w:t>【严重】</w:t>
      </w:r>
    </w:p>
    <w:p>
      <w:pPr>
        <w:pStyle w:val="13"/>
        <w:numPr>
          <w:ilvl w:val="0"/>
          <w:numId w:val="1760"/>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5"/>
        </w:rPr>
        <w:t>因有上述违法行为，导致有关部门、机构及其工作人员无法开展食品安全监督检</w:t>
      </w:r>
      <w:r>
        <w:rPr>
          <w:color w:val="auto"/>
          <w:spacing w:val="-7"/>
        </w:rPr>
        <w:t>查、事故调查处理、风险监测和风险评估，造成严重后果的；法律法规规定的其他情</w:t>
      </w:r>
      <w:r>
        <w:rPr>
          <w:color w:val="auto"/>
        </w:rPr>
        <w:t>形。</w:t>
      </w:r>
    </w:p>
    <w:p>
      <w:pPr>
        <w:pStyle w:val="13"/>
        <w:numPr>
          <w:ilvl w:val="0"/>
          <w:numId w:val="1760"/>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责令停产停业，并处 5 万元罚款；吊销许可证。</w:t>
      </w:r>
    </w:p>
    <w:p>
      <w:pPr>
        <w:pStyle w:val="2"/>
        <w:spacing w:before="194" w:line="388" w:lineRule="auto"/>
        <w:ind w:left="111" w:right="237" w:firstLine="480"/>
        <w:rPr>
          <w:color w:val="auto"/>
        </w:rPr>
      </w:pPr>
      <w:bookmarkStart w:id="1518" w:name="_bookmark758"/>
      <w:bookmarkEnd w:id="1518"/>
      <w:bookmarkStart w:id="1519" w:name="七百四十三、食品生产经营者在一年内累计三次因违反本法规定受到责令停产停业、吊销许"/>
      <w:bookmarkEnd w:id="1519"/>
      <w:r>
        <w:rPr>
          <w:color w:val="auto"/>
          <w:spacing w:val="-9"/>
        </w:rPr>
        <w:t>七百四十三、食品生产经营者在一年内累计三次因违反本法规定受到责令停产停业、吊销许可证以外处罚</w:t>
      </w:r>
    </w:p>
    <w:p>
      <w:pPr>
        <w:spacing w:before="2"/>
        <w:ind w:left="591" w:right="0" w:firstLine="0"/>
        <w:jc w:val="left"/>
        <w:rPr>
          <w:b/>
          <w:color w:val="auto"/>
          <w:sz w:val="24"/>
        </w:rPr>
      </w:pPr>
      <w:r>
        <w:rPr>
          <w:b/>
          <w:color w:val="auto"/>
          <w:sz w:val="24"/>
        </w:rPr>
        <w:t>（一）处罚依据</w:t>
      </w:r>
    </w:p>
    <w:p>
      <w:pPr>
        <w:pStyle w:val="4"/>
        <w:spacing w:before="194" w:line="388" w:lineRule="auto"/>
        <w:ind w:right="268" w:firstLine="480"/>
        <w:jc w:val="both"/>
        <w:rPr>
          <w:color w:val="auto"/>
        </w:rPr>
      </w:pPr>
      <w:r>
        <w:rPr>
          <w:color w:val="auto"/>
          <w:spacing w:val="-7"/>
        </w:rPr>
        <w:t>《食品安全法》第一百三十四条 食品生产经营者在一年内累计三次因违反本法</w:t>
      </w:r>
      <w:r>
        <w:rPr>
          <w:color w:val="auto"/>
          <w:spacing w:val="-4"/>
        </w:rPr>
        <w:t>规定受到责令停产停业、吊销许可证以外处罚的，由食品安全监督管理部门责令停产</w:t>
      </w:r>
      <w:r>
        <w:rPr>
          <w:color w:val="auto"/>
        </w:rPr>
        <w:t>停业，直至吊销许可证。</w:t>
      </w:r>
    </w:p>
    <w:p>
      <w:pPr>
        <w:pStyle w:val="2"/>
        <w:spacing w:before="39"/>
        <w:rPr>
          <w:color w:val="auto"/>
        </w:rPr>
      </w:pPr>
      <w:r>
        <w:rPr>
          <w:color w:val="auto"/>
        </w:rPr>
        <w:t>（二）裁量标准</w:t>
      </w:r>
    </w:p>
    <w:p>
      <w:pPr>
        <w:pStyle w:val="4"/>
        <w:spacing w:before="195"/>
        <w:ind w:left="591"/>
        <w:rPr>
          <w:color w:val="auto"/>
        </w:rPr>
      </w:pPr>
      <w:r>
        <w:rPr>
          <w:color w:val="auto"/>
        </w:rPr>
        <w:t>责令停产停业，直至吊销许可证。</w:t>
      </w:r>
    </w:p>
    <w:p>
      <w:pPr>
        <w:pStyle w:val="2"/>
        <w:spacing w:before="191"/>
        <w:rPr>
          <w:color w:val="auto"/>
        </w:rPr>
      </w:pPr>
      <w:bookmarkStart w:id="1520" w:name="_bookmark759"/>
      <w:bookmarkEnd w:id="1520"/>
      <w:bookmarkStart w:id="1521" w:name="七百四十四、因食品虚假宣传且情节严重被责令暂停销售仍然销售该食品"/>
      <w:bookmarkEnd w:id="1521"/>
      <w:r>
        <w:rPr>
          <w:color w:val="auto"/>
        </w:rPr>
        <w:t>七百四十四、因食品虚假宣传且情节严重被责令暂停销售仍然销售该食品</w:t>
      </w:r>
    </w:p>
    <w:p>
      <w:pPr>
        <w:spacing w:before="192"/>
        <w:ind w:left="591" w:right="0" w:firstLine="0"/>
        <w:jc w:val="left"/>
        <w:rPr>
          <w:b/>
          <w:color w:val="auto"/>
          <w:sz w:val="24"/>
        </w:rPr>
      </w:pPr>
      <w:r>
        <w:rPr>
          <w:b/>
          <w:color w:val="auto"/>
          <w:sz w:val="24"/>
        </w:rPr>
        <w:t>（一）处罚依据</w:t>
      </w:r>
    </w:p>
    <w:p>
      <w:pPr>
        <w:pStyle w:val="4"/>
        <w:spacing w:before="194" w:line="391" w:lineRule="auto"/>
        <w:ind w:right="268" w:firstLine="480"/>
        <w:jc w:val="both"/>
        <w:rPr>
          <w:color w:val="auto"/>
        </w:rPr>
      </w:pPr>
      <w:r>
        <w:rPr>
          <w:color w:val="auto"/>
          <w:spacing w:val="-5"/>
        </w:rPr>
        <w:t>《食品安全法》第一百四十条第五款 对食品作虚假宣传且情节严重的，由省级</w:t>
      </w:r>
      <w:r>
        <w:rPr>
          <w:color w:val="auto"/>
          <w:spacing w:val="-3"/>
        </w:rPr>
        <w:t>以上人民政府食品安全监督管理部门决定暂停销售该食品，并向社会公布；仍然销售</w:t>
      </w:r>
      <w:r>
        <w:rPr>
          <w:color w:val="auto"/>
          <w:spacing w:val="-7"/>
        </w:rPr>
        <w:t>该食品的，由县级以上人民政府食品安全监督管理部门没收违法所得和违法销售的食</w:t>
      </w:r>
      <w:r>
        <w:rPr>
          <w:color w:val="auto"/>
        </w:rPr>
        <w:t>品，并处二万元以上五万元以下罚款。</w:t>
      </w:r>
    </w:p>
    <w:p>
      <w:pPr>
        <w:pStyle w:val="2"/>
        <w:spacing w:line="302" w:lineRule="exact"/>
        <w:rPr>
          <w:color w:val="auto"/>
        </w:rPr>
      </w:pPr>
      <w:r>
        <w:rPr>
          <w:color w:val="auto"/>
        </w:rPr>
        <w:t>（二）裁量标准</w:t>
      </w:r>
    </w:p>
    <w:p>
      <w:pPr>
        <w:pStyle w:val="13"/>
        <w:numPr>
          <w:ilvl w:val="0"/>
          <w:numId w:val="1761"/>
        </w:numPr>
        <w:tabs>
          <w:tab w:val="left" w:pos="833"/>
        </w:tabs>
        <w:spacing w:before="192" w:after="0" w:line="240" w:lineRule="auto"/>
        <w:ind w:left="832" w:right="0" w:hanging="242"/>
        <w:jc w:val="left"/>
        <w:rPr>
          <w:color w:val="auto"/>
          <w:sz w:val="24"/>
        </w:rPr>
      </w:pPr>
      <w:r>
        <w:rPr>
          <w:color w:val="auto"/>
          <w:sz w:val="24"/>
        </w:rPr>
        <w:t>【从轻】</w:t>
      </w:r>
    </w:p>
    <w:p>
      <w:pPr>
        <w:pStyle w:val="13"/>
        <w:numPr>
          <w:ilvl w:val="0"/>
          <w:numId w:val="176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62"/>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没收违法所得和违法销售的食品，并处 2 万元以上 3 万元以下罚款。</w:t>
      </w:r>
    </w:p>
    <w:p>
      <w:pPr>
        <w:pStyle w:val="13"/>
        <w:numPr>
          <w:ilvl w:val="0"/>
          <w:numId w:val="1761"/>
        </w:numPr>
        <w:tabs>
          <w:tab w:val="left" w:pos="833"/>
        </w:tabs>
        <w:spacing w:before="191" w:after="0" w:line="240" w:lineRule="auto"/>
        <w:ind w:left="832" w:right="0" w:hanging="242"/>
        <w:jc w:val="left"/>
        <w:rPr>
          <w:color w:val="auto"/>
          <w:sz w:val="24"/>
        </w:rPr>
      </w:pPr>
      <w:r>
        <w:rPr>
          <w:color w:val="auto"/>
          <w:sz w:val="24"/>
        </w:rPr>
        <w:t>【一般】</w:t>
      </w:r>
    </w:p>
    <w:p>
      <w:pPr>
        <w:pStyle w:val="13"/>
        <w:numPr>
          <w:ilvl w:val="0"/>
          <w:numId w:val="1763"/>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88"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6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没收违法所得和违法销售的食品，并处 3 万元以上 4 万元以下罚款。</w:t>
      </w:r>
    </w:p>
    <w:p>
      <w:pPr>
        <w:pStyle w:val="13"/>
        <w:numPr>
          <w:ilvl w:val="0"/>
          <w:numId w:val="1761"/>
        </w:numPr>
        <w:tabs>
          <w:tab w:val="left" w:pos="833"/>
        </w:tabs>
        <w:spacing w:before="192" w:after="0" w:line="240" w:lineRule="auto"/>
        <w:ind w:left="832" w:right="0" w:hanging="242"/>
        <w:jc w:val="left"/>
        <w:rPr>
          <w:color w:val="auto"/>
          <w:sz w:val="24"/>
        </w:rPr>
      </w:pPr>
      <w:r>
        <w:rPr>
          <w:color w:val="auto"/>
          <w:sz w:val="24"/>
        </w:rPr>
        <w:t>【从重】</w:t>
      </w:r>
    </w:p>
    <w:p>
      <w:pPr>
        <w:pStyle w:val="13"/>
        <w:numPr>
          <w:ilvl w:val="0"/>
          <w:numId w:val="176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》第十三条规定情形的；食品虚假宣传涉及疾病预防、治疗功能的。</w:t>
      </w:r>
    </w:p>
    <w:p>
      <w:pPr>
        <w:pStyle w:val="13"/>
        <w:numPr>
          <w:ilvl w:val="0"/>
          <w:numId w:val="1764"/>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没收违法所得和违法销售的食品，并处 4 万元以上 5 万元以下罚款。</w:t>
      </w:r>
    </w:p>
    <w:p>
      <w:pPr>
        <w:pStyle w:val="2"/>
        <w:spacing w:before="192"/>
        <w:rPr>
          <w:color w:val="auto"/>
        </w:rPr>
      </w:pPr>
      <w:bookmarkStart w:id="1522" w:name="_bookmark760"/>
      <w:bookmarkEnd w:id="1522"/>
      <w:bookmarkStart w:id="1523" w:name="七百四十五、隐瞒真实情况或者提供虚假材料申请食品生产许可、食品经营许可"/>
      <w:bookmarkEnd w:id="1523"/>
      <w:r>
        <w:rPr>
          <w:color w:val="auto"/>
        </w:rPr>
        <w:t>七百四十五、隐瞒真实情况或者提供虚假材料申请食品生产许可、食品经营许可</w:t>
      </w:r>
    </w:p>
    <w:p>
      <w:pPr>
        <w:spacing w:before="39"/>
        <w:ind w:left="591" w:right="0" w:firstLine="0"/>
        <w:jc w:val="left"/>
        <w:rPr>
          <w:b/>
          <w:color w:val="auto"/>
          <w:sz w:val="24"/>
        </w:rPr>
      </w:pPr>
      <w:r>
        <w:rPr>
          <w:b/>
          <w:color w:val="auto"/>
          <w:sz w:val="24"/>
        </w:rPr>
        <w:t>（一）处罚依据</w:t>
      </w:r>
    </w:p>
    <w:p>
      <w:pPr>
        <w:pStyle w:val="13"/>
        <w:numPr>
          <w:ilvl w:val="0"/>
          <w:numId w:val="1765"/>
        </w:numPr>
        <w:tabs>
          <w:tab w:val="left" w:pos="833"/>
        </w:tabs>
        <w:spacing w:before="195" w:after="0" w:line="388" w:lineRule="auto"/>
        <w:ind w:left="111" w:right="268" w:firstLine="480"/>
        <w:jc w:val="both"/>
        <w:rPr>
          <w:color w:val="auto"/>
          <w:sz w:val="24"/>
        </w:rPr>
      </w:pPr>
      <w:r>
        <w:rPr>
          <w:color w:val="auto"/>
          <w:spacing w:val="-3"/>
          <w:sz w:val="24"/>
        </w:rPr>
        <w:t>《食品生产许可管理办法》第五十一条 许可申请人隐瞒真实情况或者提供虚</w:t>
      </w:r>
      <w:r>
        <w:rPr>
          <w:color w:val="auto"/>
          <w:spacing w:val="-4"/>
          <w:sz w:val="24"/>
        </w:rPr>
        <w:t>假材料申请食品生产许可的，由县级以上地方食品药品监督管理部门给予警告。申请</w:t>
      </w:r>
      <w:r>
        <w:rPr>
          <w:color w:val="auto"/>
          <w:spacing w:val="-20"/>
          <w:sz w:val="24"/>
        </w:rPr>
        <w:t xml:space="preserve">人在 </w:t>
      </w:r>
      <w:r>
        <w:rPr>
          <w:color w:val="auto"/>
          <w:sz w:val="24"/>
        </w:rPr>
        <w:t>1</w:t>
      </w:r>
      <w:r>
        <w:rPr>
          <w:color w:val="auto"/>
          <w:spacing w:val="-8"/>
          <w:sz w:val="24"/>
        </w:rPr>
        <w:t xml:space="preserve"> 年内不得再次申请食品生产许可。</w:t>
      </w:r>
    </w:p>
    <w:p>
      <w:pPr>
        <w:pStyle w:val="13"/>
        <w:numPr>
          <w:ilvl w:val="0"/>
          <w:numId w:val="1765"/>
        </w:numPr>
        <w:tabs>
          <w:tab w:val="left" w:pos="833"/>
        </w:tabs>
        <w:spacing w:before="5" w:after="0" w:line="388" w:lineRule="auto"/>
        <w:ind w:left="111" w:right="268" w:firstLine="480"/>
        <w:jc w:val="both"/>
        <w:rPr>
          <w:color w:val="auto"/>
          <w:sz w:val="24"/>
        </w:rPr>
      </w:pPr>
      <w:r>
        <w:rPr>
          <w:color w:val="auto"/>
          <w:spacing w:val="-3"/>
          <w:sz w:val="24"/>
        </w:rPr>
        <w:t>《食品经营许可管理办法》第四十六条 许可申请人隐瞒真实情况或者提供虚</w:t>
      </w:r>
      <w:r>
        <w:rPr>
          <w:color w:val="auto"/>
          <w:spacing w:val="-4"/>
          <w:sz w:val="24"/>
        </w:rPr>
        <w:t>假材料申请食品经营许可的，由县级以上地方食品药品监督管理部门给予警告。申请</w:t>
      </w:r>
      <w:r>
        <w:rPr>
          <w:color w:val="auto"/>
          <w:spacing w:val="-20"/>
          <w:sz w:val="24"/>
        </w:rPr>
        <w:t xml:space="preserve">人在 </w:t>
      </w:r>
      <w:r>
        <w:rPr>
          <w:color w:val="auto"/>
          <w:sz w:val="24"/>
        </w:rPr>
        <w:t>1</w:t>
      </w:r>
      <w:r>
        <w:rPr>
          <w:color w:val="auto"/>
          <w:spacing w:val="-8"/>
          <w:sz w:val="24"/>
        </w:rPr>
        <w:t xml:space="preserve"> 年内不得再次申请食品经营许可。</w:t>
      </w:r>
    </w:p>
    <w:p>
      <w:pPr>
        <w:pStyle w:val="2"/>
        <w:spacing w:before="6"/>
        <w:rPr>
          <w:color w:val="auto"/>
        </w:rPr>
      </w:pPr>
      <w:r>
        <w:rPr>
          <w:color w:val="auto"/>
        </w:rPr>
        <w:t>（二）裁量标准</w:t>
      </w:r>
    </w:p>
    <w:p>
      <w:pPr>
        <w:pStyle w:val="4"/>
        <w:spacing w:before="191"/>
        <w:ind w:left="591"/>
        <w:rPr>
          <w:color w:val="auto"/>
        </w:rPr>
      </w:pPr>
      <w:r>
        <w:rPr>
          <w:color w:val="auto"/>
        </w:rPr>
        <w:t>警告；1 年内不得再次申请食品生产许可、食品经营许可。</w:t>
      </w:r>
    </w:p>
    <w:p>
      <w:pPr>
        <w:pStyle w:val="2"/>
        <w:spacing w:before="192"/>
        <w:rPr>
          <w:color w:val="auto"/>
        </w:rPr>
      </w:pPr>
      <w:bookmarkStart w:id="1524" w:name="七百四十六、以欺骗、贿赂等不正当手段取得食品生产许可、食品经营许可"/>
      <w:bookmarkEnd w:id="1524"/>
      <w:bookmarkStart w:id="1525" w:name="_bookmark761"/>
      <w:bookmarkEnd w:id="1525"/>
      <w:r>
        <w:rPr>
          <w:color w:val="auto"/>
        </w:rPr>
        <w:t>七百四十六、以欺骗、贿赂等不正当手段取得食品生产许可、食品经营许可</w:t>
      </w:r>
    </w:p>
    <w:p>
      <w:pPr>
        <w:spacing w:before="194"/>
        <w:ind w:left="591" w:right="0" w:firstLine="0"/>
        <w:jc w:val="left"/>
        <w:rPr>
          <w:b/>
          <w:color w:val="auto"/>
          <w:sz w:val="24"/>
        </w:rPr>
      </w:pPr>
      <w:r>
        <w:rPr>
          <w:b/>
          <w:color w:val="auto"/>
          <w:sz w:val="24"/>
        </w:rPr>
        <w:t>（一）处罚依据</w:t>
      </w:r>
    </w:p>
    <w:p>
      <w:pPr>
        <w:pStyle w:val="13"/>
        <w:numPr>
          <w:ilvl w:val="0"/>
          <w:numId w:val="1766"/>
        </w:numPr>
        <w:tabs>
          <w:tab w:val="left" w:pos="833"/>
          <w:tab w:val="left" w:pos="5127"/>
        </w:tabs>
        <w:spacing w:before="192" w:after="0" w:line="388" w:lineRule="auto"/>
        <w:ind w:left="111" w:right="268" w:firstLine="480"/>
        <w:jc w:val="left"/>
        <w:rPr>
          <w:color w:val="auto"/>
          <w:sz w:val="24"/>
        </w:rPr>
      </w:pPr>
      <w:r>
        <w:rPr>
          <w:color w:val="auto"/>
          <w:sz w:val="24"/>
        </w:rPr>
        <w:t>《食品生产许可管理办法</w:t>
      </w:r>
      <w:r>
        <w:rPr>
          <w:color w:val="auto"/>
          <w:spacing w:val="-12"/>
          <w:sz w:val="24"/>
        </w:rPr>
        <w:t>》</w:t>
      </w:r>
      <w:r>
        <w:rPr>
          <w:color w:val="auto"/>
          <w:sz w:val="24"/>
        </w:rPr>
        <w:t>第五十二条</w:t>
      </w:r>
      <w:r>
        <w:rPr>
          <w:color w:val="auto"/>
          <w:sz w:val="24"/>
        </w:rPr>
        <w:tab/>
      </w:r>
      <w:r>
        <w:rPr>
          <w:color w:val="auto"/>
          <w:sz w:val="24"/>
        </w:rPr>
        <w:t>被许可人以欺骗</w:t>
      </w:r>
      <w:r>
        <w:rPr>
          <w:color w:val="auto"/>
          <w:spacing w:val="-12"/>
          <w:sz w:val="24"/>
        </w:rPr>
        <w:t>、</w:t>
      </w:r>
      <w:r>
        <w:rPr>
          <w:color w:val="auto"/>
          <w:sz w:val="24"/>
        </w:rPr>
        <w:t>贿赂等不正当手</w:t>
      </w:r>
      <w:r>
        <w:rPr>
          <w:color w:val="auto"/>
          <w:spacing w:val="-17"/>
          <w:sz w:val="24"/>
        </w:rPr>
        <w:t>段</w:t>
      </w:r>
      <w:r>
        <w:rPr>
          <w:color w:val="auto"/>
          <w:sz w:val="24"/>
        </w:rPr>
        <w:t>取得食品生产许可的</w:t>
      </w:r>
      <w:r>
        <w:rPr>
          <w:color w:val="auto"/>
          <w:spacing w:val="-20"/>
          <w:sz w:val="24"/>
        </w:rPr>
        <w:t>，</w:t>
      </w:r>
      <w:r>
        <w:rPr>
          <w:color w:val="auto"/>
          <w:sz w:val="24"/>
        </w:rPr>
        <w:t>由原发证的食品药品监督管理部门撤销许可</w:t>
      </w:r>
      <w:r>
        <w:rPr>
          <w:color w:val="auto"/>
          <w:spacing w:val="-17"/>
          <w:sz w:val="24"/>
        </w:rPr>
        <w:t>，</w:t>
      </w:r>
      <w:r>
        <w:rPr>
          <w:color w:val="auto"/>
          <w:sz w:val="24"/>
        </w:rPr>
        <w:t>并处</w:t>
      </w:r>
      <w:r>
        <w:rPr>
          <w:color w:val="auto"/>
          <w:spacing w:val="-60"/>
          <w:sz w:val="24"/>
        </w:rPr>
        <w:t xml:space="preserve"> </w:t>
      </w:r>
      <w:r>
        <w:rPr>
          <w:color w:val="auto"/>
          <w:sz w:val="24"/>
        </w:rPr>
        <w:t>1</w:t>
      </w:r>
      <w:r>
        <w:rPr>
          <w:color w:val="auto"/>
          <w:spacing w:val="-60"/>
          <w:sz w:val="24"/>
        </w:rPr>
        <w:t xml:space="preserve"> </w:t>
      </w:r>
      <w:r>
        <w:rPr>
          <w:color w:val="auto"/>
          <w:sz w:val="24"/>
        </w:rPr>
        <w:t>万元以</w:t>
      </w:r>
      <w:r>
        <w:rPr>
          <w:color w:val="auto"/>
          <w:spacing w:val="-16"/>
          <w:sz w:val="24"/>
        </w:rPr>
        <w:t>上</w:t>
      </w:r>
    </w:p>
    <w:p>
      <w:pPr>
        <w:pStyle w:val="4"/>
        <w:spacing w:before="4"/>
        <w:rPr>
          <w:color w:val="auto"/>
        </w:rPr>
      </w:pPr>
      <w:r>
        <w:rPr>
          <w:color w:val="auto"/>
        </w:rPr>
        <w:t>3 万元以下罚款。被许可人在 3 年内不得再次申请食品生产许可。</w:t>
      </w:r>
    </w:p>
    <w:p>
      <w:pPr>
        <w:pStyle w:val="13"/>
        <w:numPr>
          <w:ilvl w:val="0"/>
          <w:numId w:val="1766"/>
        </w:numPr>
        <w:tabs>
          <w:tab w:val="left" w:pos="833"/>
          <w:tab w:val="left" w:pos="5127"/>
        </w:tabs>
        <w:spacing w:before="192" w:after="0" w:line="388" w:lineRule="auto"/>
        <w:ind w:left="111" w:right="268" w:firstLine="480"/>
        <w:jc w:val="left"/>
        <w:rPr>
          <w:color w:val="auto"/>
          <w:sz w:val="24"/>
        </w:rPr>
      </w:pPr>
      <w:r>
        <w:rPr>
          <w:color w:val="auto"/>
          <w:sz w:val="24"/>
        </w:rPr>
        <w:t>《食品经营许可管理办法</w:t>
      </w:r>
      <w:r>
        <w:rPr>
          <w:color w:val="auto"/>
          <w:spacing w:val="-12"/>
          <w:sz w:val="24"/>
        </w:rPr>
        <w:t>》</w:t>
      </w:r>
      <w:r>
        <w:rPr>
          <w:color w:val="auto"/>
          <w:sz w:val="24"/>
        </w:rPr>
        <w:t>第四十七条</w:t>
      </w:r>
      <w:r>
        <w:rPr>
          <w:color w:val="auto"/>
          <w:sz w:val="24"/>
        </w:rPr>
        <w:tab/>
      </w:r>
      <w:r>
        <w:rPr>
          <w:color w:val="auto"/>
          <w:sz w:val="24"/>
        </w:rPr>
        <w:t>被许可人以欺骗</w:t>
      </w:r>
      <w:r>
        <w:rPr>
          <w:color w:val="auto"/>
          <w:spacing w:val="-12"/>
          <w:sz w:val="24"/>
        </w:rPr>
        <w:t>、</w:t>
      </w:r>
      <w:r>
        <w:rPr>
          <w:color w:val="auto"/>
          <w:sz w:val="24"/>
        </w:rPr>
        <w:t>贿赂等不正当手</w:t>
      </w:r>
      <w:r>
        <w:rPr>
          <w:color w:val="auto"/>
          <w:spacing w:val="-17"/>
          <w:sz w:val="24"/>
        </w:rPr>
        <w:t>段</w:t>
      </w:r>
      <w:r>
        <w:rPr>
          <w:color w:val="auto"/>
          <w:sz w:val="24"/>
        </w:rPr>
        <w:t>取得食品经营许可的</w:t>
      </w:r>
      <w:r>
        <w:rPr>
          <w:color w:val="auto"/>
          <w:spacing w:val="-20"/>
          <w:sz w:val="24"/>
        </w:rPr>
        <w:t>，</w:t>
      </w:r>
      <w:r>
        <w:rPr>
          <w:color w:val="auto"/>
          <w:sz w:val="24"/>
        </w:rPr>
        <w:t>由原发证的食品药品监督管理部门撤销许可</w:t>
      </w:r>
      <w:r>
        <w:rPr>
          <w:color w:val="auto"/>
          <w:spacing w:val="-17"/>
          <w:sz w:val="24"/>
        </w:rPr>
        <w:t>，</w:t>
      </w:r>
      <w:r>
        <w:rPr>
          <w:color w:val="auto"/>
          <w:sz w:val="24"/>
        </w:rPr>
        <w:t>并处</w:t>
      </w:r>
      <w:r>
        <w:rPr>
          <w:color w:val="auto"/>
          <w:spacing w:val="-60"/>
          <w:sz w:val="24"/>
        </w:rPr>
        <w:t xml:space="preserve"> </w:t>
      </w:r>
      <w:r>
        <w:rPr>
          <w:color w:val="auto"/>
          <w:sz w:val="24"/>
        </w:rPr>
        <w:t>1</w:t>
      </w:r>
      <w:r>
        <w:rPr>
          <w:color w:val="auto"/>
          <w:spacing w:val="-60"/>
          <w:sz w:val="24"/>
        </w:rPr>
        <w:t xml:space="preserve"> </w:t>
      </w:r>
      <w:r>
        <w:rPr>
          <w:color w:val="auto"/>
          <w:sz w:val="24"/>
        </w:rPr>
        <w:t>万元以</w:t>
      </w:r>
      <w:r>
        <w:rPr>
          <w:color w:val="auto"/>
          <w:spacing w:val="-16"/>
          <w:sz w:val="24"/>
        </w:rPr>
        <w:t>上</w:t>
      </w:r>
    </w:p>
    <w:p>
      <w:pPr>
        <w:pStyle w:val="4"/>
        <w:spacing w:before="5"/>
        <w:rPr>
          <w:color w:val="auto"/>
        </w:rPr>
      </w:pPr>
      <w:r>
        <w:rPr>
          <w:color w:val="auto"/>
        </w:rPr>
        <w:t>3 万元以下罚款。被许可人在 3 年内不得再次申请食品经营许可。</w:t>
      </w:r>
    </w:p>
    <w:p>
      <w:pPr>
        <w:pStyle w:val="2"/>
        <w:spacing w:before="191"/>
        <w:rPr>
          <w:color w:val="auto"/>
        </w:rPr>
      </w:pPr>
      <w:r>
        <w:rPr>
          <w:color w:val="auto"/>
        </w:rPr>
        <w:t>（二）裁量标准</w:t>
      </w:r>
    </w:p>
    <w:p>
      <w:pPr>
        <w:pStyle w:val="13"/>
        <w:numPr>
          <w:ilvl w:val="0"/>
          <w:numId w:val="1767"/>
        </w:numPr>
        <w:tabs>
          <w:tab w:val="left" w:pos="833"/>
        </w:tabs>
        <w:spacing w:before="192" w:after="0" w:line="240" w:lineRule="auto"/>
        <w:ind w:left="832" w:right="0" w:hanging="242"/>
        <w:jc w:val="left"/>
        <w:rPr>
          <w:color w:val="auto"/>
          <w:sz w:val="24"/>
        </w:rPr>
      </w:pPr>
      <w:r>
        <w:rPr>
          <w:color w:val="auto"/>
          <w:sz w:val="24"/>
        </w:rPr>
        <w:t>【从轻】</w:t>
      </w:r>
    </w:p>
    <w:p>
      <w:pPr>
        <w:pStyle w:val="13"/>
        <w:numPr>
          <w:ilvl w:val="0"/>
          <w:numId w:val="176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6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line="388" w:lineRule="auto"/>
        <w:ind w:right="148" w:firstLine="480"/>
        <w:rPr>
          <w:color w:val="auto"/>
        </w:rPr>
      </w:pPr>
      <w:r>
        <w:rPr>
          <w:color w:val="auto"/>
          <w:spacing w:val="-15"/>
        </w:rPr>
        <w:t xml:space="preserve">撤销许可，并处 </w:t>
      </w:r>
      <w:r>
        <w:rPr>
          <w:color w:val="auto"/>
        </w:rPr>
        <w:t>1</w:t>
      </w:r>
      <w:r>
        <w:rPr>
          <w:color w:val="auto"/>
          <w:spacing w:val="-20"/>
        </w:rPr>
        <w:t xml:space="preserve"> 万元以上 </w:t>
      </w:r>
      <w:r>
        <w:rPr>
          <w:color w:val="auto"/>
        </w:rPr>
        <w:t>2</w:t>
      </w:r>
      <w:r>
        <w:rPr>
          <w:color w:val="auto"/>
          <w:spacing w:val="-14"/>
        </w:rPr>
        <w:t xml:space="preserve"> 万元以下罚款。</w:t>
      </w:r>
      <w:r>
        <w:rPr>
          <w:color w:val="auto"/>
        </w:rPr>
        <w:t>3</w:t>
      </w:r>
      <w:r>
        <w:rPr>
          <w:color w:val="auto"/>
          <w:spacing w:val="-9"/>
        </w:rPr>
        <w:t xml:space="preserve"> 年内不得再次申请食品生产许可、</w:t>
      </w:r>
      <w:r>
        <w:rPr>
          <w:color w:val="auto"/>
        </w:rPr>
        <w:t>食品经营许可。</w:t>
      </w:r>
    </w:p>
    <w:p>
      <w:pPr>
        <w:pStyle w:val="13"/>
        <w:numPr>
          <w:ilvl w:val="0"/>
          <w:numId w:val="1767"/>
        </w:numPr>
        <w:tabs>
          <w:tab w:val="left" w:pos="833"/>
        </w:tabs>
        <w:spacing w:before="4" w:after="0" w:line="240" w:lineRule="auto"/>
        <w:ind w:left="832" w:right="0" w:hanging="242"/>
        <w:jc w:val="left"/>
        <w:rPr>
          <w:color w:val="auto"/>
          <w:sz w:val="24"/>
        </w:rPr>
      </w:pPr>
      <w:r>
        <w:rPr>
          <w:color w:val="auto"/>
          <w:sz w:val="24"/>
        </w:rPr>
        <w:t>【一般】</w:t>
      </w:r>
    </w:p>
    <w:p>
      <w:pPr>
        <w:pStyle w:val="13"/>
        <w:numPr>
          <w:ilvl w:val="0"/>
          <w:numId w:val="176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不具有不予处罚、减轻、从轻、从重等情节；具有从重和从轻、减轻处罚的多个</w:t>
      </w:r>
    </w:p>
    <w:p>
      <w:pPr>
        <w:pStyle w:val="4"/>
        <w:spacing w:before="39"/>
        <w:rPr>
          <w:color w:val="auto"/>
        </w:rPr>
      </w:pPr>
      <w:r>
        <w:rPr>
          <w:color w:val="auto"/>
        </w:rPr>
        <w:t>裁量因素时,结合案情综合裁量,认为可以适用一般情形的。</w:t>
      </w:r>
    </w:p>
    <w:p>
      <w:pPr>
        <w:pStyle w:val="13"/>
        <w:numPr>
          <w:ilvl w:val="0"/>
          <w:numId w:val="176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spacing w:val="-13"/>
        </w:rPr>
        <w:t xml:space="preserve">撤销许可，并处 </w:t>
      </w:r>
      <w:r>
        <w:rPr>
          <w:color w:val="auto"/>
        </w:rPr>
        <w:t>2</w:t>
      </w:r>
      <w:r>
        <w:rPr>
          <w:color w:val="auto"/>
          <w:spacing w:val="-16"/>
        </w:rPr>
        <w:t xml:space="preserve"> 万元罚款。</w:t>
      </w:r>
      <w:r>
        <w:rPr>
          <w:color w:val="auto"/>
        </w:rPr>
        <w:t>3</w:t>
      </w:r>
      <w:r>
        <w:rPr>
          <w:color w:val="auto"/>
          <w:spacing w:val="-10"/>
        </w:rPr>
        <w:t xml:space="preserve"> 年内不得再次申请食品生产许可、食品经营许可。</w:t>
      </w:r>
    </w:p>
    <w:p>
      <w:pPr>
        <w:pStyle w:val="13"/>
        <w:numPr>
          <w:ilvl w:val="0"/>
          <w:numId w:val="1767"/>
        </w:numPr>
        <w:tabs>
          <w:tab w:val="left" w:pos="833"/>
        </w:tabs>
        <w:spacing w:before="192" w:after="0" w:line="240" w:lineRule="auto"/>
        <w:ind w:left="832" w:right="0" w:hanging="242"/>
        <w:jc w:val="left"/>
        <w:rPr>
          <w:color w:val="auto"/>
          <w:sz w:val="24"/>
        </w:rPr>
      </w:pPr>
      <w:r>
        <w:rPr>
          <w:color w:val="auto"/>
          <w:sz w:val="24"/>
        </w:rPr>
        <w:t>【从重】</w:t>
      </w:r>
    </w:p>
    <w:p>
      <w:pPr>
        <w:pStyle w:val="13"/>
        <w:numPr>
          <w:ilvl w:val="0"/>
          <w:numId w:val="1770"/>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rPr>
        <w:t>符合《山东省市场监督管理局行使行政处罚裁量权适用规则（试行</w:t>
      </w:r>
      <w:r>
        <w:rPr>
          <w:color w:val="auto"/>
          <w:spacing w:val="-116"/>
        </w:rPr>
        <w:t>）</w:t>
      </w:r>
      <w:r>
        <w:rPr>
          <w:color w:val="auto"/>
        </w:rPr>
        <w:t>》第十三条</w:t>
      </w:r>
      <w:r>
        <w:rPr>
          <w:color w:val="auto"/>
          <w:spacing w:val="-5"/>
        </w:rPr>
        <w:t>规定的情形的；涉案食品不符合法律、法规或者食品安全标准的；取得许可证后生产</w:t>
      </w:r>
      <w:r>
        <w:rPr>
          <w:color w:val="auto"/>
        </w:rPr>
        <w:t>时间超过六个月的；导致食品安全事故或其他严重后果的。</w:t>
      </w:r>
    </w:p>
    <w:p>
      <w:pPr>
        <w:pStyle w:val="13"/>
        <w:numPr>
          <w:ilvl w:val="0"/>
          <w:numId w:val="1770"/>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1" w:line="391" w:lineRule="auto"/>
        <w:ind w:right="148" w:firstLine="480"/>
        <w:rPr>
          <w:color w:val="auto"/>
        </w:rPr>
      </w:pPr>
      <w:r>
        <w:rPr>
          <w:color w:val="auto"/>
          <w:spacing w:val="-15"/>
        </w:rPr>
        <w:t xml:space="preserve">撤销许可，并处 </w:t>
      </w:r>
      <w:r>
        <w:rPr>
          <w:color w:val="auto"/>
        </w:rPr>
        <w:t>2</w:t>
      </w:r>
      <w:r>
        <w:rPr>
          <w:color w:val="auto"/>
          <w:spacing w:val="-20"/>
        </w:rPr>
        <w:t xml:space="preserve"> 万元以上 </w:t>
      </w:r>
      <w:r>
        <w:rPr>
          <w:color w:val="auto"/>
        </w:rPr>
        <w:t>3</w:t>
      </w:r>
      <w:r>
        <w:rPr>
          <w:color w:val="auto"/>
          <w:spacing w:val="-14"/>
        </w:rPr>
        <w:t xml:space="preserve"> 万元以下罚款。</w:t>
      </w:r>
      <w:r>
        <w:rPr>
          <w:color w:val="auto"/>
        </w:rPr>
        <w:t>3</w:t>
      </w:r>
      <w:r>
        <w:rPr>
          <w:color w:val="auto"/>
          <w:spacing w:val="-9"/>
        </w:rPr>
        <w:t xml:space="preserve"> 年内不得再次申请食品生产许可、</w:t>
      </w:r>
      <w:r>
        <w:rPr>
          <w:color w:val="auto"/>
        </w:rPr>
        <w:t>食品经营许可。</w:t>
      </w:r>
    </w:p>
    <w:p>
      <w:pPr>
        <w:pStyle w:val="2"/>
        <w:spacing w:line="388" w:lineRule="auto"/>
        <w:ind w:left="111" w:right="244" w:firstLine="480"/>
        <w:rPr>
          <w:color w:val="auto"/>
        </w:rPr>
      </w:pPr>
      <w:bookmarkStart w:id="1526" w:name="_bookmark762"/>
      <w:bookmarkEnd w:id="1526"/>
      <w:bookmarkStart w:id="1527" w:name="七百四十七、伪造、涂改、倒卖、出租、出借、转让食品生产许可证、食品经营许可证"/>
      <w:bookmarkEnd w:id="1527"/>
      <w:r>
        <w:rPr>
          <w:color w:val="auto"/>
          <w:spacing w:val="-8"/>
        </w:rPr>
        <w:t>七百四十七、伪造、涂改、倒卖、出租、出借、转让食品生产许可证、食品经营许可证</w:t>
      </w:r>
    </w:p>
    <w:p>
      <w:pPr>
        <w:spacing w:before="3"/>
        <w:ind w:left="591" w:right="0" w:firstLine="0"/>
        <w:jc w:val="left"/>
        <w:rPr>
          <w:b/>
          <w:color w:val="auto"/>
          <w:sz w:val="24"/>
        </w:rPr>
      </w:pPr>
      <w:r>
        <w:rPr>
          <w:b/>
          <w:color w:val="auto"/>
          <w:sz w:val="24"/>
        </w:rPr>
        <w:t>（一）处罚依据</w:t>
      </w:r>
    </w:p>
    <w:p>
      <w:pPr>
        <w:pStyle w:val="13"/>
        <w:numPr>
          <w:ilvl w:val="0"/>
          <w:numId w:val="1771"/>
        </w:numPr>
        <w:tabs>
          <w:tab w:val="left" w:pos="834"/>
        </w:tabs>
        <w:spacing w:before="192" w:after="0" w:line="391" w:lineRule="auto"/>
        <w:ind w:left="111" w:right="265" w:firstLine="480"/>
        <w:jc w:val="both"/>
        <w:rPr>
          <w:color w:val="auto"/>
          <w:sz w:val="24"/>
        </w:rPr>
      </w:pPr>
      <w:r>
        <w:rPr>
          <w:color w:val="auto"/>
          <w:sz w:val="24"/>
        </w:rPr>
        <w:t>《食品生产许可管理办法》第五十三条第一款 违反本办法第三十一条第一款</w:t>
      </w:r>
      <w:r>
        <w:rPr>
          <w:color w:val="auto"/>
          <w:spacing w:val="-6"/>
          <w:sz w:val="24"/>
        </w:rPr>
        <w:t>规定，食品生产者伪造、涂改、倒卖、出租、出借、转让食品生产许可证的，由县级</w:t>
      </w:r>
      <w:r>
        <w:rPr>
          <w:color w:val="auto"/>
          <w:spacing w:val="-5"/>
          <w:sz w:val="24"/>
        </w:rPr>
        <w:t xml:space="preserve">以上地方食品药品监督管理部门责令改正，给予警告，并处 </w:t>
      </w:r>
      <w:r>
        <w:rPr>
          <w:color w:val="auto"/>
          <w:sz w:val="24"/>
        </w:rPr>
        <w:t>1</w:t>
      </w:r>
      <w:r>
        <w:rPr>
          <w:color w:val="auto"/>
          <w:spacing w:val="-10"/>
          <w:sz w:val="24"/>
        </w:rPr>
        <w:t xml:space="preserve"> 万元以下罚款；情节严</w:t>
      </w:r>
    </w:p>
    <w:p>
      <w:pPr>
        <w:pStyle w:val="4"/>
        <w:spacing w:line="304" w:lineRule="exact"/>
        <w:jc w:val="both"/>
        <w:rPr>
          <w:color w:val="auto"/>
        </w:rPr>
      </w:pPr>
      <w:r>
        <w:rPr>
          <w:color w:val="auto"/>
        </w:rPr>
        <w:t>重的，处 1 万元以上 3 万元以下罚款。</w:t>
      </w:r>
    </w:p>
    <w:p>
      <w:pPr>
        <w:pStyle w:val="4"/>
        <w:spacing w:before="192" w:line="391" w:lineRule="auto"/>
        <w:ind w:right="148" w:firstLine="480"/>
        <w:jc w:val="both"/>
        <w:rPr>
          <w:color w:val="auto"/>
        </w:rPr>
      </w:pPr>
      <w:r>
        <w:rPr>
          <w:color w:val="auto"/>
          <w:spacing w:val="-7"/>
        </w:rPr>
        <w:t>第三十一条第一款 食品生产者应当妥善保管食品生产许可证，不得伪造、涂改、</w:t>
      </w:r>
      <w:r>
        <w:rPr>
          <w:color w:val="auto"/>
        </w:rPr>
        <w:t>倒卖、出租、出借、转让。</w:t>
      </w:r>
    </w:p>
    <w:p>
      <w:pPr>
        <w:pStyle w:val="13"/>
        <w:numPr>
          <w:ilvl w:val="0"/>
          <w:numId w:val="1771"/>
        </w:numPr>
        <w:tabs>
          <w:tab w:val="left" w:pos="833"/>
        </w:tabs>
        <w:spacing w:before="0" w:after="0" w:line="391" w:lineRule="auto"/>
        <w:ind w:left="111" w:right="265" w:firstLine="480"/>
        <w:jc w:val="both"/>
        <w:rPr>
          <w:color w:val="auto"/>
          <w:sz w:val="24"/>
        </w:rPr>
      </w:pPr>
      <w:r>
        <w:rPr>
          <w:color w:val="auto"/>
          <w:spacing w:val="-3"/>
          <w:sz w:val="24"/>
        </w:rPr>
        <w:t>《食品经营许可管理办法》第四十八条第一款 违反本办法第二十六条第一款</w:t>
      </w:r>
      <w:r>
        <w:rPr>
          <w:color w:val="auto"/>
          <w:spacing w:val="-6"/>
          <w:sz w:val="24"/>
        </w:rPr>
        <w:t>规定，食品经营者伪造、涂改、倒卖、出租、出借、转让食品经营许可证的，由县级</w:t>
      </w:r>
      <w:r>
        <w:rPr>
          <w:color w:val="auto"/>
          <w:spacing w:val="-5"/>
          <w:sz w:val="24"/>
        </w:rPr>
        <w:t xml:space="preserve">以上地方食品药品监督管理部门责令改正，给予警告，并处 </w:t>
      </w:r>
      <w:r>
        <w:rPr>
          <w:color w:val="auto"/>
          <w:sz w:val="24"/>
        </w:rPr>
        <w:t>1</w:t>
      </w:r>
      <w:r>
        <w:rPr>
          <w:color w:val="auto"/>
          <w:spacing w:val="-10"/>
          <w:sz w:val="24"/>
        </w:rPr>
        <w:t xml:space="preserve"> 万元以下罚款；情节严</w:t>
      </w:r>
    </w:p>
    <w:p>
      <w:pPr>
        <w:pStyle w:val="4"/>
        <w:spacing w:line="304" w:lineRule="exact"/>
        <w:jc w:val="both"/>
        <w:rPr>
          <w:color w:val="auto"/>
        </w:rPr>
      </w:pPr>
      <w:r>
        <w:rPr>
          <w:color w:val="auto"/>
        </w:rPr>
        <w:t>重的，处 1 万元以上 3 万元以下罚款。</w:t>
      </w:r>
    </w:p>
    <w:p>
      <w:pPr>
        <w:pStyle w:val="4"/>
        <w:spacing w:before="190" w:line="391" w:lineRule="auto"/>
        <w:ind w:right="148" w:firstLine="480"/>
        <w:jc w:val="both"/>
        <w:rPr>
          <w:color w:val="auto"/>
        </w:rPr>
      </w:pPr>
      <w:r>
        <w:rPr>
          <w:color w:val="auto"/>
          <w:spacing w:val="-7"/>
        </w:rPr>
        <w:t>第二十六条第一款 食品经营者应当妥善保管食品经营许可证，不得伪造、涂改、</w:t>
      </w:r>
      <w:r>
        <w:rPr>
          <w:color w:val="auto"/>
        </w:rPr>
        <w:t>倒卖、出租、出借、转让。</w:t>
      </w:r>
    </w:p>
    <w:p>
      <w:pPr>
        <w:pStyle w:val="2"/>
        <w:spacing w:line="306" w:lineRule="exact"/>
        <w:rPr>
          <w:color w:val="auto"/>
        </w:rPr>
      </w:pPr>
      <w:r>
        <w:rPr>
          <w:color w:val="auto"/>
        </w:rPr>
        <w:t>（二）裁量标准</w:t>
      </w:r>
    </w:p>
    <w:p>
      <w:pPr>
        <w:pStyle w:val="13"/>
        <w:numPr>
          <w:ilvl w:val="0"/>
          <w:numId w:val="1772"/>
        </w:numPr>
        <w:tabs>
          <w:tab w:val="left" w:pos="833"/>
        </w:tabs>
        <w:spacing w:before="192" w:after="0" w:line="240" w:lineRule="auto"/>
        <w:ind w:left="832" w:right="0" w:hanging="242"/>
        <w:jc w:val="left"/>
        <w:rPr>
          <w:color w:val="auto"/>
          <w:sz w:val="24"/>
        </w:rPr>
      </w:pPr>
      <w:r>
        <w:rPr>
          <w:color w:val="auto"/>
          <w:sz w:val="24"/>
        </w:rPr>
        <w:t>【从轻】</w:t>
      </w:r>
    </w:p>
    <w:p>
      <w:pPr>
        <w:pStyle w:val="13"/>
        <w:numPr>
          <w:ilvl w:val="0"/>
          <w:numId w:val="1773"/>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7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警告，并处 5 千元以下罚款。</w:t>
      </w:r>
    </w:p>
    <w:p>
      <w:pPr>
        <w:pStyle w:val="13"/>
        <w:numPr>
          <w:ilvl w:val="0"/>
          <w:numId w:val="1772"/>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774"/>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7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警告，并处 5 千元以上 1 万元以下罚款。</w:t>
      </w:r>
    </w:p>
    <w:p>
      <w:pPr>
        <w:pStyle w:val="13"/>
        <w:numPr>
          <w:ilvl w:val="0"/>
          <w:numId w:val="1772"/>
        </w:numPr>
        <w:tabs>
          <w:tab w:val="left" w:pos="833"/>
        </w:tabs>
        <w:spacing w:before="191" w:after="0" w:line="240" w:lineRule="auto"/>
        <w:ind w:left="832" w:right="0" w:hanging="242"/>
        <w:jc w:val="left"/>
        <w:rPr>
          <w:color w:val="auto"/>
          <w:sz w:val="24"/>
        </w:rPr>
      </w:pPr>
      <w:r>
        <w:rPr>
          <w:color w:val="auto"/>
          <w:sz w:val="24"/>
        </w:rPr>
        <w:t>【从重】</w:t>
      </w:r>
    </w:p>
    <w:p>
      <w:pPr>
        <w:pStyle w:val="13"/>
        <w:numPr>
          <w:ilvl w:val="0"/>
          <w:numId w:val="177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rPr>
        <w:t>符合《山东省市场监督管理局行使行政处罚裁量权适用规则（试行</w:t>
      </w:r>
      <w:r>
        <w:rPr>
          <w:color w:val="auto"/>
          <w:spacing w:val="-116"/>
        </w:rPr>
        <w:t>）</w:t>
      </w:r>
      <w:r>
        <w:rPr>
          <w:color w:val="auto"/>
        </w:rPr>
        <w:t>》第十三条</w:t>
      </w:r>
      <w:r>
        <w:rPr>
          <w:color w:val="auto"/>
          <w:spacing w:val="-7"/>
        </w:rPr>
        <w:t>规定的情形的；食品生产经营者伪造、涂改、倒卖、出租、出借、转让食品生产许可</w:t>
      </w:r>
      <w:r>
        <w:rPr>
          <w:color w:val="auto"/>
          <w:spacing w:val="-6"/>
        </w:rPr>
        <w:t xml:space="preserve">证、食品经营许可证 </w:t>
      </w:r>
      <w:r>
        <w:rPr>
          <w:color w:val="auto"/>
        </w:rPr>
        <w:t>2</w:t>
      </w:r>
      <w:r>
        <w:rPr>
          <w:color w:val="auto"/>
          <w:spacing w:val="-8"/>
        </w:rPr>
        <w:t xml:space="preserve"> 次以上的；情节严重，造成严重后果的。</w:t>
      </w:r>
    </w:p>
    <w:p>
      <w:pPr>
        <w:pStyle w:val="13"/>
        <w:numPr>
          <w:ilvl w:val="0"/>
          <w:numId w:val="1775"/>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警告，并处 1 万元以上 3 万元以下罚款。</w:t>
      </w:r>
    </w:p>
    <w:p>
      <w:pPr>
        <w:pStyle w:val="2"/>
        <w:spacing w:before="192" w:line="391" w:lineRule="auto"/>
        <w:ind w:left="111" w:right="238" w:firstLine="480"/>
        <w:rPr>
          <w:color w:val="auto"/>
        </w:rPr>
      </w:pPr>
      <w:bookmarkStart w:id="1528" w:name="七百四十八、未按规定在生产经营场所的显著位置悬挂或者摆放食品生产许可证、食品经营"/>
      <w:bookmarkEnd w:id="1528"/>
      <w:bookmarkStart w:id="1529" w:name="_bookmark763"/>
      <w:bookmarkEnd w:id="1529"/>
      <w:r>
        <w:rPr>
          <w:color w:val="auto"/>
          <w:spacing w:val="5"/>
          <w:w w:val="95"/>
        </w:rPr>
        <w:t xml:space="preserve">七百四十八、未按规定在生产经营场所的显著位置悬挂或者摆放食品生产许可  </w:t>
      </w:r>
      <w:r>
        <w:rPr>
          <w:color w:val="auto"/>
        </w:rPr>
        <w:t>证、食品经营许可证</w:t>
      </w:r>
    </w:p>
    <w:p>
      <w:pPr>
        <w:spacing w:before="0" w:line="306" w:lineRule="exact"/>
        <w:ind w:left="591" w:right="0" w:firstLine="0"/>
        <w:jc w:val="left"/>
        <w:rPr>
          <w:b/>
          <w:color w:val="auto"/>
          <w:sz w:val="24"/>
        </w:rPr>
      </w:pPr>
      <w:r>
        <w:rPr>
          <w:b/>
          <w:color w:val="auto"/>
          <w:w w:val="95"/>
          <w:sz w:val="24"/>
        </w:rPr>
        <w:t>（一）处罚依据</w:t>
      </w:r>
    </w:p>
    <w:p>
      <w:pPr>
        <w:pStyle w:val="13"/>
        <w:numPr>
          <w:ilvl w:val="0"/>
          <w:numId w:val="1776"/>
        </w:numPr>
        <w:tabs>
          <w:tab w:val="left" w:pos="834"/>
        </w:tabs>
        <w:spacing w:before="192" w:after="0" w:line="391" w:lineRule="auto"/>
        <w:ind w:left="111" w:right="232" w:firstLine="480"/>
        <w:jc w:val="both"/>
        <w:rPr>
          <w:color w:val="auto"/>
          <w:sz w:val="24"/>
        </w:rPr>
      </w:pPr>
      <w:r>
        <w:rPr>
          <w:color w:val="auto"/>
          <w:sz w:val="24"/>
        </w:rPr>
        <w:t>《食品生产许可管理办法》第五十</w:t>
      </w:r>
      <w:r>
        <w:rPr>
          <w:rFonts w:hint="eastAsia"/>
          <w:color w:val="auto"/>
          <w:sz w:val="24"/>
          <w:lang w:eastAsia="zh-CN"/>
        </w:rPr>
        <w:t>二</w:t>
      </w:r>
      <w:r>
        <w:rPr>
          <w:color w:val="auto"/>
          <w:sz w:val="24"/>
        </w:rPr>
        <w:t>条第二款 违反本办法第三十一条第二款</w:t>
      </w:r>
      <w:r>
        <w:rPr>
          <w:color w:val="auto"/>
          <w:spacing w:val="-1"/>
          <w:sz w:val="24"/>
        </w:rPr>
        <w:t xml:space="preserve">规定，食品生产者未按规定在生产场所的显著位置悬挂或者摆放食品生产许可证的， </w:t>
      </w:r>
      <w:r>
        <w:rPr>
          <w:color w:val="auto"/>
          <w:sz w:val="24"/>
        </w:rPr>
        <w:t>由县级以上地方食品药品监督管理部门责令改正；拒不改正的，给予警告。</w:t>
      </w:r>
    </w:p>
    <w:p>
      <w:pPr>
        <w:pStyle w:val="4"/>
        <w:spacing w:line="391" w:lineRule="auto"/>
        <w:ind w:right="270" w:firstLine="480"/>
        <w:jc w:val="both"/>
        <w:rPr>
          <w:color w:val="auto"/>
        </w:rPr>
      </w:pPr>
      <w:r>
        <w:rPr>
          <w:color w:val="auto"/>
        </w:rPr>
        <w:t>第三十一条第二款 食品生产者应当在生产场所的显著位置悬挂或者摆放食品生产许可证正本。</w:t>
      </w:r>
    </w:p>
    <w:p>
      <w:pPr>
        <w:pStyle w:val="13"/>
        <w:numPr>
          <w:ilvl w:val="0"/>
          <w:numId w:val="1776"/>
        </w:numPr>
        <w:tabs>
          <w:tab w:val="left" w:pos="834"/>
        </w:tabs>
        <w:spacing w:before="0" w:after="0" w:line="388" w:lineRule="auto"/>
        <w:ind w:left="111" w:right="232" w:firstLine="480"/>
        <w:jc w:val="both"/>
        <w:rPr>
          <w:color w:val="auto"/>
          <w:sz w:val="24"/>
        </w:rPr>
      </w:pPr>
      <w:r>
        <w:rPr>
          <w:color w:val="auto"/>
          <w:sz w:val="24"/>
        </w:rPr>
        <w:t>《食品经营许可管理办法》第四十八条第二款 违反本办法第二十六条第二款</w:t>
      </w:r>
      <w:r>
        <w:rPr>
          <w:color w:val="auto"/>
          <w:spacing w:val="-1"/>
          <w:sz w:val="24"/>
        </w:rPr>
        <w:t>规定，食品经营者未按规定在经营场所的显著位置悬挂或者摆放食品经营许可证的，</w:t>
      </w:r>
    </w:p>
    <w:p>
      <w:pPr>
        <w:pStyle w:val="4"/>
        <w:spacing w:before="39"/>
        <w:rPr>
          <w:color w:val="auto"/>
        </w:rPr>
      </w:pPr>
      <w:r>
        <w:rPr>
          <w:color w:val="auto"/>
        </w:rPr>
        <w:t>由县级以上地方食品药品监督管理部门责令改正；拒不改正的，给予警告。</w:t>
      </w:r>
    </w:p>
    <w:p>
      <w:pPr>
        <w:pStyle w:val="4"/>
        <w:tabs>
          <w:tab w:val="left" w:pos="2811"/>
        </w:tabs>
        <w:spacing w:before="195" w:line="388" w:lineRule="auto"/>
        <w:ind w:right="270" w:firstLine="480"/>
        <w:rPr>
          <w:color w:val="auto"/>
        </w:rPr>
      </w:pPr>
      <w:r>
        <w:rPr>
          <w:color w:val="auto"/>
          <w:spacing w:val="4"/>
        </w:rPr>
        <w:t>第</w:t>
      </w:r>
      <w:r>
        <w:rPr>
          <w:color w:val="auto"/>
          <w:spacing w:val="7"/>
        </w:rPr>
        <w:t>二</w:t>
      </w:r>
      <w:r>
        <w:rPr>
          <w:color w:val="auto"/>
          <w:spacing w:val="4"/>
        </w:rPr>
        <w:t>十</w:t>
      </w:r>
      <w:r>
        <w:rPr>
          <w:color w:val="auto"/>
          <w:spacing w:val="7"/>
        </w:rPr>
        <w:t>六</w:t>
      </w:r>
      <w:r>
        <w:rPr>
          <w:color w:val="auto"/>
          <w:spacing w:val="4"/>
        </w:rPr>
        <w:t>条</w:t>
      </w:r>
      <w:r>
        <w:rPr>
          <w:color w:val="auto"/>
          <w:spacing w:val="7"/>
        </w:rPr>
        <w:t>第</w:t>
      </w:r>
      <w:r>
        <w:rPr>
          <w:color w:val="auto"/>
          <w:spacing w:val="4"/>
        </w:rPr>
        <w:t>二</w:t>
      </w:r>
      <w:r>
        <w:rPr>
          <w:color w:val="auto"/>
        </w:rPr>
        <w:t>款</w:t>
      </w:r>
      <w:r>
        <w:rPr>
          <w:color w:val="auto"/>
        </w:rPr>
        <w:tab/>
      </w:r>
      <w:r>
        <w:rPr>
          <w:color w:val="auto"/>
          <w:spacing w:val="4"/>
        </w:rPr>
        <w:t>食</w:t>
      </w:r>
      <w:r>
        <w:rPr>
          <w:color w:val="auto"/>
          <w:spacing w:val="7"/>
        </w:rPr>
        <w:t>品</w:t>
      </w:r>
      <w:r>
        <w:rPr>
          <w:color w:val="auto"/>
          <w:spacing w:val="4"/>
        </w:rPr>
        <w:t>经</w:t>
      </w:r>
      <w:r>
        <w:rPr>
          <w:color w:val="auto"/>
          <w:spacing w:val="7"/>
        </w:rPr>
        <w:t>营</w:t>
      </w:r>
      <w:r>
        <w:rPr>
          <w:color w:val="auto"/>
          <w:spacing w:val="4"/>
        </w:rPr>
        <w:t>者</w:t>
      </w:r>
      <w:r>
        <w:rPr>
          <w:color w:val="auto"/>
          <w:spacing w:val="7"/>
        </w:rPr>
        <w:t>应</w:t>
      </w:r>
      <w:r>
        <w:rPr>
          <w:color w:val="auto"/>
          <w:spacing w:val="4"/>
        </w:rPr>
        <w:t>当</w:t>
      </w:r>
      <w:r>
        <w:rPr>
          <w:color w:val="auto"/>
          <w:spacing w:val="7"/>
        </w:rPr>
        <w:t>在</w:t>
      </w:r>
      <w:r>
        <w:rPr>
          <w:color w:val="auto"/>
          <w:spacing w:val="4"/>
        </w:rPr>
        <w:t>经</w:t>
      </w:r>
      <w:r>
        <w:rPr>
          <w:color w:val="auto"/>
          <w:spacing w:val="7"/>
        </w:rPr>
        <w:t>营</w:t>
      </w:r>
      <w:r>
        <w:rPr>
          <w:color w:val="auto"/>
          <w:spacing w:val="4"/>
        </w:rPr>
        <w:t>场</w:t>
      </w:r>
      <w:r>
        <w:rPr>
          <w:color w:val="auto"/>
          <w:spacing w:val="7"/>
        </w:rPr>
        <w:t>所</w:t>
      </w:r>
      <w:r>
        <w:rPr>
          <w:color w:val="auto"/>
          <w:spacing w:val="4"/>
        </w:rPr>
        <w:t>的</w:t>
      </w:r>
      <w:r>
        <w:rPr>
          <w:color w:val="auto"/>
          <w:spacing w:val="7"/>
        </w:rPr>
        <w:t>显</w:t>
      </w:r>
      <w:r>
        <w:rPr>
          <w:color w:val="auto"/>
          <w:spacing w:val="4"/>
        </w:rPr>
        <w:t>著</w:t>
      </w:r>
      <w:r>
        <w:rPr>
          <w:color w:val="auto"/>
          <w:spacing w:val="7"/>
        </w:rPr>
        <w:t>位</w:t>
      </w:r>
      <w:r>
        <w:rPr>
          <w:color w:val="auto"/>
          <w:spacing w:val="4"/>
        </w:rPr>
        <w:t>置</w:t>
      </w:r>
      <w:r>
        <w:rPr>
          <w:color w:val="auto"/>
          <w:spacing w:val="7"/>
        </w:rPr>
        <w:t>悬</w:t>
      </w:r>
      <w:r>
        <w:rPr>
          <w:color w:val="auto"/>
          <w:spacing w:val="4"/>
        </w:rPr>
        <w:t>挂</w:t>
      </w:r>
      <w:r>
        <w:rPr>
          <w:color w:val="auto"/>
          <w:spacing w:val="7"/>
        </w:rPr>
        <w:t>或</w:t>
      </w:r>
      <w:r>
        <w:rPr>
          <w:color w:val="auto"/>
          <w:spacing w:val="4"/>
        </w:rPr>
        <w:t>者</w:t>
      </w:r>
      <w:r>
        <w:rPr>
          <w:color w:val="auto"/>
          <w:spacing w:val="7"/>
        </w:rPr>
        <w:t>摆</w:t>
      </w:r>
      <w:r>
        <w:rPr>
          <w:color w:val="auto"/>
          <w:spacing w:val="4"/>
        </w:rPr>
        <w:t>放</w:t>
      </w:r>
      <w:r>
        <w:rPr>
          <w:color w:val="auto"/>
          <w:spacing w:val="7"/>
        </w:rPr>
        <w:t>食</w:t>
      </w:r>
      <w:r>
        <w:rPr>
          <w:color w:val="auto"/>
        </w:rPr>
        <w:t>品经营许可证正本。</w:t>
      </w:r>
    </w:p>
    <w:p>
      <w:pPr>
        <w:pStyle w:val="2"/>
        <w:spacing w:before="2"/>
        <w:rPr>
          <w:color w:val="auto"/>
        </w:rPr>
      </w:pPr>
      <w:r>
        <w:rPr>
          <w:color w:val="auto"/>
        </w:rPr>
        <w:t>（二）裁量基准</w:t>
      </w:r>
    </w:p>
    <w:p>
      <w:pPr>
        <w:keepNext w:val="0"/>
        <w:keepLines w:val="0"/>
        <w:widowControl/>
        <w:suppressLineNumbers w:val="0"/>
        <w:ind w:firstLine="660" w:firstLineChars="300"/>
        <w:jc w:val="left"/>
        <w:rPr>
          <w:rFonts w:hint="default" w:eastAsia="宋体"/>
          <w:color w:val="auto"/>
          <w:lang w:val="en-US" w:eastAsia="zh-CN"/>
        </w:rPr>
      </w:pPr>
      <w:r>
        <w:rPr>
          <w:rFonts w:hint="eastAsia"/>
          <w:color w:val="auto"/>
          <w:lang w:val="en-US" w:eastAsia="zh-CN"/>
        </w:rPr>
        <w:t>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pStyle w:val="4"/>
        <w:spacing w:before="194"/>
        <w:ind w:left="591"/>
        <w:rPr>
          <w:color w:val="auto"/>
        </w:rPr>
      </w:pPr>
      <w:r>
        <w:rPr>
          <w:rFonts w:hint="eastAsia"/>
          <w:color w:val="auto"/>
          <w:lang w:val="en-US" w:eastAsia="zh-CN"/>
        </w:rPr>
        <w:t>2.</w:t>
      </w:r>
      <w:r>
        <w:rPr>
          <w:color w:val="auto"/>
        </w:rPr>
        <w:t>拒不改正的，给予警告。</w:t>
      </w:r>
    </w:p>
    <w:p>
      <w:pPr>
        <w:pStyle w:val="2"/>
        <w:spacing w:before="192" w:line="388" w:lineRule="auto"/>
        <w:ind w:left="111" w:right="193" w:firstLine="480"/>
        <w:rPr>
          <w:color w:val="auto"/>
        </w:rPr>
      </w:pPr>
      <w:bookmarkStart w:id="1530" w:name="七百四十九、食品生产者工艺设备布局和工艺流程、主要生产设备设施、食品类别等事项发"/>
      <w:bookmarkEnd w:id="1530"/>
      <w:bookmarkStart w:id="1531" w:name="_bookmark764"/>
      <w:bookmarkEnd w:id="1531"/>
      <w:r>
        <w:rPr>
          <w:color w:val="auto"/>
        </w:rPr>
        <w:t>七百四十九、食品生产者工艺设备布局和工艺流程、主要生产设备设施、食品类别等事项发生变化，需要变更食品生产许可证载明的许可事项，未按规定申请变更</w:t>
      </w:r>
    </w:p>
    <w:p>
      <w:pPr>
        <w:spacing w:before="4"/>
        <w:ind w:left="591" w:right="0" w:firstLine="0"/>
        <w:jc w:val="left"/>
        <w:rPr>
          <w:b/>
          <w:color w:val="auto"/>
          <w:sz w:val="24"/>
        </w:rPr>
      </w:pPr>
      <w:r>
        <w:rPr>
          <w:b/>
          <w:color w:val="auto"/>
          <w:sz w:val="24"/>
        </w:rPr>
        <w:t>（一）处罚依据</w:t>
      </w:r>
    </w:p>
    <w:p>
      <w:pPr>
        <w:pStyle w:val="4"/>
        <w:spacing w:before="192" w:line="391" w:lineRule="auto"/>
        <w:ind w:right="268" w:firstLine="480"/>
        <w:jc w:val="both"/>
        <w:rPr>
          <w:color w:val="auto"/>
        </w:rPr>
      </w:pPr>
      <w:r>
        <w:rPr>
          <w:color w:val="auto"/>
          <w:spacing w:val="-5"/>
        </w:rPr>
        <w:t>《食品生产许可管理办法》第五十四条第一款 违反本办法第三十二条第一款规</w:t>
      </w:r>
      <w:r>
        <w:rPr>
          <w:color w:val="auto"/>
          <w:spacing w:val="-6"/>
        </w:rPr>
        <w:t>定，食品生产者工艺设备布局和工艺流程、主要生产设备设施、食品类别等事项发生变化，需要变更食品生产许可证载明的许可事项，未按规定申请变更的，由原发证的</w:t>
      </w:r>
      <w:r>
        <w:rPr>
          <w:color w:val="auto"/>
          <w:spacing w:val="-2"/>
        </w:rPr>
        <w:t xml:space="preserve">食品药品监督管理部门责令改正，给予警告；拒不改正的，处 </w:t>
      </w:r>
      <w:r>
        <w:rPr>
          <w:color w:val="auto"/>
        </w:rPr>
        <w:t>2000</w:t>
      </w:r>
      <w:r>
        <w:rPr>
          <w:color w:val="auto"/>
          <w:spacing w:val="-18"/>
        </w:rPr>
        <w:t xml:space="preserve"> 元以上 </w:t>
      </w:r>
      <w:r>
        <w:rPr>
          <w:color w:val="auto"/>
        </w:rPr>
        <w:t>1</w:t>
      </w:r>
      <w:r>
        <w:rPr>
          <w:color w:val="auto"/>
          <w:spacing w:val="-12"/>
        </w:rPr>
        <w:t xml:space="preserve"> 万元以下罚款。</w:t>
      </w:r>
    </w:p>
    <w:p>
      <w:pPr>
        <w:pStyle w:val="4"/>
        <w:spacing w:line="391" w:lineRule="auto"/>
        <w:ind w:right="232" w:firstLine="480"/>
        <w:jc w:val="both"/>
        <w:rPr>
          <w:color w:val="auto"/>
        </w:rPr>
      </w:pPr>
      <w:r>
        <w:rPr>
          <w:color w:val="auto"/>
          <w:spacing w:val="-1"/>
        </w:rPr>
        <w:t>第三十二条第一款 食品生产许可证有效期内，现有工艺设备布局和工艺流程、</w:t>
      </w:r>
      <w:r>
        <w:rPr>
          <w:color w:val="auto"/>
          <w:spacing w:val="-4"/>
        </w:rPr>
        <w:t>主要生产设备设施、食品类别等事项发生变化，需要变更食品生产许可证载明的许可</w:t>
      </w:r>
      <w:r>
        <w:rPr>
          <w:color w:val="auto"/>
          <w:spacing w:val="-7"/>
        </w:rPr>
        <w:t xml:space="preserve">事项的，食品生产者应当在变化后 </w:t>
      </w:r>
      <w:r>
        <w:rPr>
          <w:color w:val="auto"/>
        </w:rPr>
        <w:t>10</w:t>
      </w:r>
      <w:r>
        <w:rPr>
          <w:color w:val="auto"/>
          <w:spacing w:val="-6"/>
        </w:rPr>
        <w:t xml:space="preserve"> 个工作日内向原发证的食品药品监督管理部门提出变更申请。</w:t>
      </w:r>
    </w:p>
    <w:p>
      <w:pPr>
        <w:pStyle w:val="2"/>
        <w:spacing w:line="302" w:lineRule="exact"/>
        <w:rPr>
          <w:color w:val="auto"/>
        </w:rPr>
      </w:pPr>
      <w:r>
        <w:rPr>
          <w:color w:val="auto"/>
        </w:rPr>
        <w:t>（二）裁量基准</w:t>
      </w:r>
    </w:p>
    <w:p>
      <w:pPr>
        <w:pStyle w:val="13"/>
        <w:numPr>
          <w:ilvl w:val="0"/>
          <w:numId w:val="1777"/>
        </w:numPr>
        <w:tabs>
          <w:tab w:val="left" w:pos="833"/>
        </w:tabs>
        <w:spacing w:before="186" w:after="0" w:line="240" w:lineRule="auto"/>
        <w:ind w:left="832" w:right="0" w:hanging="242"/>
        <w:jc w:val="left"/>
        <w:rPr>
          <w:color w:val="auto"/>
          <w:sz w:val="24"/>
        </w:rPr>
      </w:pPr>
      <w:r>
        <w:rPr>
          <w:color w:val="auto"/>
          <w:sz w:val="24"/>
        </w:rPr>
        <w:t>【从轻】</w:t>
      </w:r>
    </w:p>
    <w:p>
      <w:pPr>
        <w:pStyle w:val="13"/>
        <w:numPr>
          <w:ilvl w:val="0"/>
          <w:numId w:val="177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78"/>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警告；拒不改正的，处 2 千元以上 5 千元以下罚款。</w:t>
      </w:r>
    </w:p>
    <w:p>
      <w:pPr>
        <w:pStyle w:val="13"/>
        <w:numPr>
          <w:ilvl w:val="0"/>
          <w:numId w:val="1777"/>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779"/>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spacing w:after="0" w:line="388" w:lineRule="auto"/>
        <w:rPr>
          <w:color w:val="auto"/>
        </w:rPr>
        <w:sectPr>
          <w:footerReference r:id="rId191" w:type="default"/>
          <w:footerReference r:id="rId192" w:type="even"/>
          <w:pgSz w:w="11910" w:h="16840"/>
          <w:pgMar w:top="1520" w:right="1260" w:bottom="1220" w:left="1420" w:header="0" w:footer="1034" w:gutter="0"/>
        </w:sectPr>
      </w:pPr>
    </w:p>
    <w:p>
      <w:pPr>
        <w:pStyle w:val="13"/>
        <w:numPr>
          <w:ilvl w:val="0"/>
          <w:numId w:val="1779"/>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警告；拒不改正的，处 5 千元以上 8 千元以下罚款。</w:t>
      </w:r>
    </w:p>
    <w:p>
      <w:pPr>
        <w:pStyle w:val="13"/>
        <w:numPr>
          <w:ilvl w:val="0"/>
          <w:numId w:val="1777"/>
        </w:numPr>
        <w:tabs>
          <w:tab w:val="left" w:pos="833"/>
        </w:tabs>
        <w:spacing w:before="191" w:after="0" w:line="240" w:lineRule="auto"/>
        <w:ind w:left="832" w:right="0" w:hanging="242"/>
        <w:jc w:val="left"/>
        <w:rPr>
          <w:color w:val="auto"/>
          <w:sz w:val="24"/>
        </w:rPr>
      </w:pPr>
      <w:r>
        <w:rPr>
          <w:color w:val="auto"/>
          <w:sz w:val="24"/>
        </w:rPr>
        <w:t>【从重】</w:t>
      </w:r>
    </w:p>
    <w:p>
      <w:pPr>
        <w:pStyle w:val="13"/>
        <w:numPr>
          <w:ilvl w:val="0"/>
          <w:numId w:val="178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w:t>
      </w:r>
    </w:p>
    <w:p>
      <w:pPr>
        <w:pStyle w:val="13"/>
        <w:numPr>
          <w:ilvl w:val="0"/>
          <w:numId w:val="178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jc w:val="both"/>
        <w:rPr>
          <w:color w:val="auto"/>
        </w:rPr>
      </w:pPr>
      <w:r>
        <w:rPr>
          <w:color w:val="auto"/>
        </w:rPr>
        <w:t>警告；拒不改正的，处 8 千元以上 1 万元以下罚款。</w:t>
      </w:r>
    </w:p>
    <w:p>
      <w:pPr>
        <w:pStyle w:val="2"/>
        <w:spacing w:before="192" w:line="391" w:lineRule="auto"/>
        <w:ind w:left="111" w:right="165" w:firstLine="480"/>
        <w:jc w:val="both"/>
        <w:rPr>
          <w:color w:val="auto"/>
        </w:rPr>
      </w:pPr>
      <w:bookmarkStart w:id="1532" w:name="_bookmark765"/>
      <w:bookmarkEnd w:id="1532"/>
      <w:bookmarkStart w:id="1533" w:name="七百五十、食品生产许可证副本载明的同一食品类别内的事项发生变化，食品生产者未按规"/>
      <w:bookmarkEnd w:id="1533"/>
      <w:r>
        <w:rPr>
          <w:color w:val="auto"/>
          <w:spacing w:val="-7"/>
        </w:rPr>
        <w:t>七百五十、食品生产许可证副本载明的同一食品类别内的事项发生变化，食品生</w:t>
      </w:r>
      <w:r>
        <w:rPr>
          <w:color w:val="auto"/>
          <w:spacing w:val="-1"/>
        </w:rPr>
        <w:t>产者未按规定报告；食品生产经营者外设仓库地址发生变化，未按规定报告； 食品生产经营者终止食品生产经营，食品生产经营许可被撤回、撤销或者许可证被吊销， 未按规定申请办理注销手续</w:t>
      </w:r>
    </w:p>
    <w:p>
      <w:pPr>
        <w:spacing w:before="0" w:line="302" w:lineRule="exact"/>
        <w:ind w:left="591" w:right="0" w:firstLine="0"/>
        <w:jc w:val="left"/>
        <w:rPr>
          <w:b/>
          <w:color w:val="auto"/>
          <w:sz w:val="24"/>
        </w:rPr>
      </w:pPr>
      <w:r>
        <w:rPr>
          <w:b/>
          <w:color w:val="auto"/>
          <w:sz w:val="24"/>
        </w:rPr>
        <w:t>（一）处罚依据</w:t>
      </w:r>
    </w:p>
    <w:p>
      <w:pPr>
        <w:pStyle w:val="13"/>
        <w:numPr>
          <w:ilvl w:val="0"/>
          <w:numId w:val="1781"/>
        </w:numPr>
        <w:tabs>
          <w:tab w:val="left" w:pos="833"/>
        </w:tabs>
        <w:spacing w:before="194" w:after="0" w:line="388" w:lineRule="auto"/>
        <w:ind w:left="111" w:right="268" w:firstLine="480"/>
        <w:jc w:val="both"/>
        <w:rPr>
          <w:color w:val="auto"/>
          <w:sz w:val="24"/>
        </w:rPr>
      </w:pPr>
      <w:r>
        <w:rPr>
          <w:color w:val="auto"/>
          <w:spacing w:val="-3"/>
          <w:sz w:val="24"/>
        </w:rPr>
        <w:t>《食品生产许可管理办法》第五十</w:t>
      </w:r>
      <w:r>
        <w:rPr>
          <w:rFonts w:hint="eastAsia"/>
          <w:color w:val="auto"/>
          <w:spacing w:val="-3"/>
          <w:sz w:val="24"/>
          <w:lang w:eastAsia="zh-CN"/>
        </w:rPr>
        <w:t>三</w:t>
      </w:r>
      <w:r>
        <w:rPr>
          <w:color w:val="auto"/>
          <w:spacing w:val="-3"/>
          <w:sz w:val="24"/>
        </w:rPr>
        <w:t>条第</w:t>
      </w:r>
      <w:r>
        <w:rPr>
          <w:rFonts w:hint="eastAsia"/>
          <w:color w:val="auto"/>
          <w:spacing w:val="-3"/>
          <w:sz w:val="24"/>
          <w:lang w:eastAsia="zh-CN"/>
        </w:rPr>
        <w:t>三</w:t>
      </w:r>
      <w:r>
        <w:rPr>
          <w:color w:val="auto"/>
          <w:spacing w:val="-3"/>
          <w:sz w:val="24"/>
        </w:rPr>
        <w:t>款 违反本办法第三十二条第三款</w:t>
      </w:r>
      <w:r>
        <w:rPr>
          <w:color w:val="auto"/>
          <w:spacing w:val="3"/>
          <w:sz w:val="24"/>
        </w:rPr>
        <w:t>规定或者第四十一条第一款规定，食品生产许可证副本载明的同一食品类别内的事</w:t>
      </w:r>
      <w:r>
        <w:rPr>
          <w:color w:val="auto"/>
          <w:spacing w:val="-6"/>
          <w:sz w:val="24"/>
        </w:rPr>
        <w:t>项、外设仓库地址发生变化，食品生产者未按规定报告的，或者食品生产者终止食品生产，食品生产许可被撤回、撤销或者食品生产许可证被吊销，未按规定申请办理注销手续的，由原发证的食品药品监督管理部门责令改正；拒不改正的，给予警告，并</w:t>
      </w:r>
      <w:r>
        <w:rPr>
          <w:color w:val="auto"/>
          <w:spacing w:val="-30"/>
          <w:sz w:val="24"/>
        </w:rPr>
        <w:t xml:space="preserve">处 </w:t>
      </w:r>
      <w:r>
        <w:rPr>
          <w:color w:val="auto"/>
          <w:sz w:val="24"/>
        </w:rPr>
        <w:t>2000</w:t>
      </w:r>
      <w:r>
        <w:rPr>
          <w:color w:val="auto"/>
          <w:spacing w:val="-9"/>
          <w:sz w:val="24"/>
        </w:rPr>
        <w:t xml:space="preserve"> 元以下罚款。</w:t>
      </w:r>
    </w:p>
    <w:p>
      <w:pPr>
        <w:pStyle w:val="4"/>
        <w:spacing w:before="11" w:line="388" w:lineRule="auto"/>
        <w:ind w:right="268" w:firstLine="480"/>
        <w:jc w:val="both"/>
        <w:rPr>
          <w:color w:val="auto"/>
        </w:rPr>
      </w:pPr>
      <w:r>
        <w:rPr>
          <w:color w:val="auto"/>
          <w:spacing w:val="-3"/>
        </w:rPr>
        <w:t>第三十二条第三款 食品生产许可证副本载明的同一食品类别内的事项、外设仓</w:t>
      </w:r>
      <w:r>
        <w:rPr>
          <w:color w:val="auto"/>
          <w:spacing w:val="-2"/>
        </w:rPr>
        <w:t xml:space="preserve">库地址发生变化的，食品生产者应当在变化后 </w:t>
      </w:r>
      <w:r>
        <w:rPr>
          <w:color w:val="auto"/>
        </w:rPr>
        <w:t>10</w:t>
      </w:r>
      <w:r>
        <w:rPr>
          <w:color w:val="auto"/>
          <w:spacing w:val="-6"/>
        </w:rPr>
        <w:t xml:space="preserve"> 个工作日内向原发证的食品药品监督管理部门报告。</w:t>
      </w:r>
    </w:p>
    <w:p>
      <w:pPr>
        <w:pStyle w:val="4"/>
        <w:spacing w:before="6" w:line="388" w:lineRule="auto"/>
        <w:ind w:right="268" w:firstLine="480"/>
        <w:jc w:val="both"/>
        <w:rPr>
          <w:color w:val="auto"/>
        </w:rPr>
      </w:pPr>
      <w:r>
        <w:rPr>
          <w:color w:val="auto"/>
          <w:spacing w:val="-3"/>
        </w:rPr>
        <w:t xml:space="preserve">第四十一条第一款 食品生产者终止食品生产，食品生产许可被撤回、撤销或者食品生产许可证被吊销的，应当在 </w:t>
      </w:r>
      <w:r>
        <w:rPr>
          <w:color w:val="auto"/>
        </w:rPr>
        <w:t>30</w:t>
      </w:r>
      <w:r>
        <w:rPr>
          <w:color w:val="auto"/>
          <w:spacing w:val="-6"/>
        </w:rPr>
        <w:t xml:space="preserve"> 个工作日内向原发证的食品药品监督管理部门申请办理注销手续。</w:t>
      </w:r>
    </w:p>
    <w:p>
      <w:pPr>
        <w:pStyle w:val="13"/>
        <w:numPr>
          <w:ilvl w:val="0"/>
          <w:numId w:val="1781"/>
        </w:numPr>
        <w:tabs>
          <w:tab w:val="left" w:pos="833"/>
        </w:tabs>
        <w:spacing w:before="5" w:after="0" w:line="388" w:lineRule="auto"/>
        <w:ind w:left="111" w:right="268" w:firstLine="480"/>
        <w:jc w:val="both"/>
        <w:rPr>
          <w:color w:val="auto"/>
          <w:sz w:val="24"/>
        </w:rPr>
      </w:pPr>
      <w:r>
        <w:rPr>
          <w:color w:val="auto"/>
          <w:spacing w:val="-3"/>
          <w:sz w:val="24"/>
        </w:rPr>
        <w:t>《食品经营许可管理办法》第</w:t>
      </w:r>
      <w:r>
        <w:rPr>
          <w:rFonts w:hint="eastAsia"/>
          <w:color w:val="auto"/>
          <w:spacing w:val="-3"/>
          <w:sz w:val="24"/>
          <w:lang w:eastAsia="zh-CN"/>
        </w:rPr>
        <w:t>四十九</w:t>
      </w:r>
      <w:r>
        <w:rPr>
          <w:color w:val="auto"/>
          <w:spacing w:val="-3"/>
          <w:sz w:val="24"/>
        </w:rPr>
        <w:t>条第二款 违反本办法第二十七条第二款</w:t>
      </w:r>
      <w:r>
        <w:rPr>
          <w:color w:val="auto"/>
          <w:spacing w:val="-4"/>
          <w:sz w:val="24"/>
        </w:rPr>
        <w:t>规定或者第三十六条第一款规定，食品经营者外设仓库地址发生变化，未按规定报告</w:t>
      </w:r>
      <w:r>
        <w:rPr>
          <w:color w:val="auto"/>
          <w:spacing w:val="-6"/>
          <w:sz w:val="24"/>
        </w:rPr>
        <w:t>的，或者食品经营者终止食品经营，食品经营许可被撤回、撤销或者食品经营许可证</w:t>
      </w:r>
    </w:p>
    <w:p>
      <w:pPr>
        <w:spacing w:after="0" w:line="388" w:lineRule="auto"/>
        <w:jc w:val="both"/>
        <w:rPr>
          <w:color w:val="auto"/>
          <w:sz w:val="24"/>
        </w:rPr>
        <w:sectPr>
          <w:pgSz w:w="11910" w:h="16840"/>
          <w:pgMar w:top="1520" w:right="1260" w:bottom="1220" w:left="1420" w:header="0" w:footer="1034" w:gutter="0"/>
        </w:sectPr>
      </w:pPr>
    </w:p>
    <w:p>
      <w:pPr>
        <w:pStyle w:val="4"/>
        <w:spacing w:before="39" w:line="391" w:lineRule="auto"/>
        <w:ind w:right="148"/>
        <w:jc w:val="both"/>
        <w:rPr>
          <w:color w:val="auto"/>
        </w:rPr>
      </w:pPr>
      <w:r>
        <w:rPr>
          <w:color w:val="auto"/>
          <w:spacing w:val="-14"/>
        </w:rPr>
        <w:t xml:space="preserve">被吊销，未按规定申请办理注销手续的，由原发证的食品药品监督管理部门责令改正； </w:t>
      </w:r>
      <w:r>
        <w:rPr>
          <w:color w:val="auto"/>
          <w:spacing w:val="-5"/>
        </w:rPr>
        <w:t xml:space="preserve">拒不改正的，给予警告，并处 </w:t>
      </w:r>
      <w:r>
        <w:rPr>
          <w:color w:val="auto"/>
        </w:rPr>
        <w:t>2000</w:t>
      </w:r>
      <w:r>
        <w:rPr>
          <w:color w:val="auto"/>
          <w:spacing w:val="-9"/>
        </w:rPr>
        <w:t xml:space="preserve"> 元以下罚款。</w:t>
      </w:r>
    </w:p>
    <w:p>
      <w:pPr>
        <w:pStyle w:val="4"/>
        <w:spacing w:line="391" w:lineRule="auto"/>
        <w:ind w:right="268" w:firstLine="480"/>
        <w:jc w:val="both"/>
        <w:rPr>
          <w:color w:val="auto"/>
        </w:rPr>
      </w:pPr>
      <w:r>
        <w:rPr>
          <w:color w:val="auto"/>
          <w:spacing w:val="-4"/>
        </w:rPr>
        <w:t>第二十七条第二款 经营场所发生变化的，应当重新申请食品经营许可。外设仓</w:t>
      </w:r>
      <w:r>
        <w:rPr>
          <w:color w:val="auto"/>
          <w:spacing w:val="-2"/>
        </w:rPr>
        <w:t xml:space="preserve">库地址发生变化的，食品经营者应当在变化后 </w:t>
      </w:r>
      <w:r>
        <w:rPr>
          <w:color w:val="auto"/>
        </w:rPr>
        <w:t>10</w:t>
      </w:r>
      <w:r>
        <w:rPr>
          <w:color w:val="auto"/>
          <w:spacing w:val="-6"/>
        </w:rPr>
        <w:t xml:space="preserve"> 个工作日内向原发证的食品药品监督管理部门报告。</w:t>
      </w:r>
    </w:p>
    <w:p>
      <w:pPr>
        <w:pStyle w:val="4"/>
        <w:spacing w:line="391" w:lineRule="auto"/>
        <w:ind w:right="268" w:firstLine="480"/>
        <w:jc w:val="both"/>
        <w:rPr>
          <w:color w:val="auto"/>
        </w:rPr>
      </w:pPr>
      <w:r>
        <w:rPr>
          <w:color w:val="auto"/>
          <w:spacing w:val="-3"/>
        </w:rPr>
        <w:t xml:space="preserve">第三十六条第一款 食品经营者终止食品经营，食品经营许可被撤回、撤销或者食品经营许可证被吊销的，应当在 </w:t>
      </w:r>
      <w:r>
        <w:rPr>
          <w:color w:val="auto"/>
        </w:rPr>
        <w:t>30</w:t>
      </w:r>
      <w:r>
        <w:rPr>
          <w:color w:val="auto"/>
          <w:spacing w:val="-6"/>
        </w:rPr>
        <w:t xml:space="preserve"> 个工作日内向原发证的食品药品监督管理部门申请办理注销手续。</w:t>
      </w:r>
    </w:p>
    <w:p>
      <w:pPr>
        <w:pStyle w:val="2"/>
        <w:numPr>
          <w:ilvl w:val="0"/>
          <w:numId w:val="1782"/>
        </w:numPr>
        <w:spacing w:line="304" w:lineRule="exact"/>
        <w:rPr>
          <w:color w:val="auto"/>
          <w:w w:val="95"/>
        </w:rPr>
      </w:pPr>
      <w:r>
        <w:rPr>
          <w:color w:val="auto"/>
          <w:w w:val="95"/>
        </w:rPr>
        <w:t>裁量标准</w:t>
      </w:r>
    </w:p>
    <w:p>
      <w:pPr>
        <w:keepNext w:val="0"/>
        <w:keepLines w:val="0"/>
        <w:widowControl/>
        <w:suppressLineNumbers w:val="0"/>
        <w:jc w:val="left"/>
        <w:rPr>
          <w:rFonts w:hint="default" w:eastAsia="宋体"/>
          <w:color w:val="auto"/>
          <w:lang w:val="en-US" w:eastAsia="zh-CN"/>
        </w:rPr>
      </w:pPr>
      <w:r>
        <w:rPr>
          <w:rFonts w:hint="eastAsia"/>
          <w:color w:val="auto"/>
          <w:lang w:val="en-US" w:eastAsia="zh-CN"/>
        </w:rPr>
        <w:t xml:space="preserve">     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pStyle w:val="13"/>
        <w:numPr>
          <w:ilvl w:val="0"/>
          <w:numId w:val="0"/>
        </w:numPr>
        <w:tabs>
          <w:tab w:val="left" w:pos="833"/>
        </w:tabs>
        <w:spacing w:before="187" w:after="0" w:line="240" w:lineRule="auto"/>
        <w:ind w:left="590" w:leftChars="0" w:right="0" w:rightChars="0"/>
        <w:jc w:val="left"/>
        <w:rPr>
          <w:color w:val="auto"/>
          <w:sz w:val="24"/>
        </w:rPr>
      </w:pPr>
      <w:r>
        <w:rPr>
          <w:rFonts w:hint="eastAsia"/>
          <w:color w:val="auto"/>
          <w:sz w:val="24"/>
          <w:lang w:val="en-US" w:eastAsia="zh-CN"/>
        </w:rPr>
        <w:t>2.</w:t>
      </w:r>
      <w:r>
        <w:rPr>
          <w:color w:val="auto"/>
          <w:sz w:val="24"/>
        </w:rPr>
        <w:t>【从轻】</w:t>
      </w:r>
    </w:p>
    <w:p>
      <w:pPr>
        <w:pStyle w:val="13"/>
        <w:numPr>
          <w:ilvl w:val="0"/>
          <w:numId w:val="178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83"/>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责令改正；拒不改正的，给予警告，并处 200 元以上 500 元以下罚款。</w:t>
      </w:r>
    </w:p>
    <w:p>
      <w:pPr>
        <w:pStyle w:val="13"/>
        <w:numPr>
          <w:ilvl w:val="0"/>
          <w:numId w:val="0"/>
        </w:numPr>
        <w:tabs>
          <w:tab w:val="left" w:pos="833"/>
        </w:tabs>
        <w:spacing w:before="192" w:after="0" w:line="240" w:lineRule="auto"/>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13"/>
        <w:numPr>
          <w:ilvl w:val="0"/>
          <w:numId w:val="1784"/>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84"/>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责令改正；拒不改正的，给予警告，并处 500 元以上 1 千元以下罚款。</w:t>
      </w:r>
    </w:p>
    <w:p>
      <w:pPr>
        <w:pStyle w:val="13"/>
        <w:numPr>
          <w:ilvl w:val="0"/>
          <w:numId w:val="0"/>
        </w:numPr>
        <w:tabs>
          <w:tab w:val="left" w:pos="833"/>
        </w:tabs>
        <w:spacing w:before="191" w:after="0" w:line="240" w:lineRule="auto"/>
        <w:ind w:left="590" w:leftChars="0" w:right="0" w:rightChars="0"/>
        <w:jc w:val="left"/>
        <w:rPr>
          <w:color w:val="auto"/>
          <w:sz w:val="24"/>
        </w:rPr>
      </w:pPr>
      <w:r>
        <w:rPr>
          <w:rFonts w:hint="eastAsia"/>
          <w:color w:val="auto"/>
          <w:sz w:val="24"/>
          <w:lang w:val="en-US" w:eastAsia="zh-CN"/>
        </w:rPr>
        <w:t>4.</w:t>
      </w:r>
      <w:r>
        <w:rPr>
          <w:color w:val="auto"/>
          <w:sz w:val="24"/>
        </w:rPr>
        <w:t>【从重】</w:t>
      </w:r>
    </w:p>
    <w:p>
      <w:pPr>
        <w:pStyle w:val="13"/>
        <w:numPr>
          <w:ilvl w:val="0"/>
          <w:numId w:val="1785"/>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w:t>
      </w:r>
    </w:p>
    <w:p>
      <w:pPr>
        <w:pStyle w:val="13"/>
        <w:numPr>
          <w:ilvl w:val="0"/>
          <w:numId w:val="1785"/>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责令改正；拒不改正的，给予警告，并处 1 千元以上 2 千元以下罚款。</w:t>
      </w:r>
    </w:p>
    <w:p>
      <w:pPr>
        <w:pStyle w:val="2"/>
        <w:spacing w:before="192"/>
        <w:rPr>
          <w:color w:val="auto"/>
        </w:rPr>
      </w:pPr>
      <w:bookmarkStart w:id="1534" w:name="七百五十一、食品经营许可证载明的许可事项发生变化，食品经营者未按规定申请变更经营"/>
      <w:bookmarkEnd w:id="1534"/>
      <w:bookmarkStart w:id="1535" w:name="_bookmark766"/>
      <w:bookmarkEnd w:id="1535"/>
      <w:r>
        <w:rPr>
          <w:color w:val="auto"/>
        </w:rPr>
        <w:t>七百五十一、食品经营许可证载明的许可事项发生变化，食品经营者未按规定申</w:t>
      </w:r>
    </w:p>
    <w:p>
      <w:pPr>
        <w:spacing w:before="39"/>
        <w:ind w:left="111" w:right="0" w:firstLine="0"/>
        <w:jc w:val="left"/>
        <w:rPr>
          <w:b/>
          <w:color w:val="auto"/>
          <w:sz w:val="24"/>
        </w:rPr>
      </w:pPr>
      <w:r>
        <w:rPr>
          <w:b/>
          <w:color w:val="auto"/>
          <w:sz w:val="24"/>
        </w:rPr>
        <w:t>请变更经营许可</w:t>
      </w:r>
    </w:p>
    <w:p>
      <w:pPr>
        <w:spacing w:before="19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spacing w:val="-5"/>
        </w:rPr>
        <w:t>《食品经营许可管理办法》第四十九条第一款 违反本办法第二十七条第一款规</w:t>
      </w:r>
      <w:r>
        <w:rPr>
          <w:color w:val="auto"/>
          <w:spacing w:val="-7"/>
        </w:rPr>
        <w:t>定，食品经营许可证载明的许可事项发生变化，食品经营者未按规定申请变更经营许</w:t>
      </w:r>
      <w:r>
        <w:rPr>
          <w:color w:val="auto"/>
          <w:spacing w:val="-10"/>
        </w:rPr>
        <w:t xml:space="preserve">可的，由原发证的食品药品监督管理部门责令改正，给予警告；拒不改正的，处 </w:t>
      </w:r>
      <w:r>
        <w:rPr>
          <w:color w:val="auto"/>
          <w:spacing w:val="-5"/>
        </w:rPr>
        <w:t>2000</w:t>
      </w:r>
    </w:p>
    <w:p>
      <w:pPr>
        <w:pStyle w:val="4"/>
        <w:spacing w:line="304" w:lineRule="exact"/>
        <w:jc w:val="both"/>
        <w:rPr>
          <w:color w:val="auto"/>
        </w:rPr>
      </w:pPr>
      <w:r>
        <w:rPr>
          <w:color w:val="auto"/>
        </w:rPr>
        <w:t>元以上 1 万元以下罚款。</w:t>
      </w:r>
    </w:p>
    <w:p>
      <w:pPr>
        <w:pStyle w:val="4"/>
        <w:spacing w:before="192" w:line="391" w:lineRule="auto"/>
        <w:ind w:right="268" w:firstLine="480"/>
        <w:jc w:val="both"/>
        <w:rPr>
          <w:color w:val="auto"/>
        </w:rPr>
      </w:pPr>
      <w:r>
        <w:rPr>
          <w:color w:val="auto"/>
        </w:rPr>
        <w:t>第二十七条第一款 食品经营许可证载明的许可事项发生变化的，食品经营者应当在变化后 10 个工作日内向原发证的食品药品监督管理部门申请变更经营许可。</w:t>
      </w:r>
    </w:p>
    <w:p>
      <w:pPr>
        <w:pStyle w:val="2"/>
        <w:spacing w:line="306" w:lineRule="exact"/>
        <w:rPr>
          <w:color w:val="auto"/>
        </w:rPr>
      </w:pPr>
      <w:r>
        <w:rPr>
          <w:color w:val="auto"/>
        </w:rPr>
        <w:t>（二）裁量标准</w:t>
      </w:r>
    </w:p>
    <w:p>
      <w:pPr>
        <w:pStyle w:val="13"/>
        <w:numPr>
          <w:ilvl w:val="0"/>
          <w:numId w:val="1786"/>
        </w:numPr>
        <w:tabs>
          <w:tab w:val="left" w:pos="833"/>
        </w:tabs>
        <w:spacing w:before="192" w:after="0" w:line="240" w:lineRule="auto"/>
        <w:ind w:left="832" w:right="0" w:hanging="242"/>
        <w:jc w:val="left"/>
        <w:rPr>
          <w:color w:val="auto"/>
          <w:sz w:val="24"/>
        </w:rPr>
      </w:pPr>
      <w:r>
        <w:rPr>
          <w:color w:val="auto"/>
          <w:sz w:val="24"/>
        </w:rPr>
        <w:t>【从轻】</w:t>
      </w:r>
    </w:p>
    <w:p>
      <w:pPr>
        <w:pStyle w:val="13"/>
        <w:numPr>
          <w:ilvl w:val="0"/>
          <w:numId w:val="1787"/>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w:t>
      </w:r>
    </w:p>
    <w:p>
      <w:pPr>
        <w:pStyle w:val="13"/>
        <w:numPr>
          <w:ilvl w:val="0"/>
          <w:numId w:val="1787"/>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警告；拒不改正的，处 2 千元以上 5 千元以下罚款。</w:t>
      </w:r>
    </w:p>
    <w:p>
      <w:pPr>
        <w:pStyle w:val="13"/>
        <w:numPr>
          <w:ilvl w:val="0"/>
          <w:numId w:val="1786"/>
        </w:numPr>
        <w:tabs>
          <w:tab w:val="left" w:pos="833"/>
        </w:tabs>
        <w:spacing w:before="191" w:after="0" w:line="240" w:lineRule="auto"/>
        <w:ind w:left="832" w:right="0" w:hanging="242"/>
        <w:jc w:val="left"/>
        <w:rPr>
          <w:color w:val="auto"/>
          <w:sz w:val="24"/>
        </w:rPr>
      </w:pPr>
      <w:r>
        <w:rPr>
          <w:color w:val="auto"/>
          <w:sz w:val="24"/>
        </w:rPr>
        <w:t>【一般】</w:t>
      </w:r>
    </w:p>
    <w:p>
      <w:pPr>
        <w:pStyle w:val="13"/>
        <w:numPr>
          <w:ilvl w:val="0"/>
          <w:numId w:val="1788"/>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24" w:firstLine="480"/>
        <w:rPr>
          <w:color w:val="auto"/>
        </w:rPr>
      </w:pPr>
      <w:r>
        <w:rPr>
          <w:color w:val="auto"/>
        </w:rPr>
        <w:t>不具有不予处罚、减轻、从轻、从重等情节；具有从重和从轻、减轻处罚的多个裁量因素时,结合案情综合裁量,认为可以适用一般形的。</w:t>
      </w:r>
    </w:p>
    <w:p>
      <w:pPr>
        <w:pStyle w:val="13"/>
        <w:numPr>
          <w:ilvl w:val="0"/>
          <w:numId w:val="1788"/>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警告；拒不改正的，处 5 千元以上 8 千元以下罚款。</w:t>
      </w:r>
    </w:p>
    <w:p>
      <w:pPr>
        <w:pStyle w:val="13"/>
        <w:numPr>
          <w:ilvl w:val="0"/>
          <w:numId w:val="1786"/>
        </w:numPr>
        <w:tabs>
          <w:tab w:val="left" w:pos="833"/>
        </w:tabs>
        <w:spacing w:before="192" w:after="0" w:line="240" w:lineRule="auto"/>
        <w:ind w:left="832" w:right="0" w:hanging="242"/>
        <w:jc w:val="left"/>
        <w:rPr>
          <w:color w:val="auto"/>
          <w:sz w:val="24"/>
        </w:rPr>
      </w:pPr>
      <w:r>
        <w:rPr>
          <w:color w:val="auto"/>
          <w:sz w:val="24"/>
        </w:rPr>
        <w:t>【从重】</w:t>
      </w:r>
    </w:p>
    <w:p>
      <w:pPr>
        <w:pStyle w:val="13"/>
        <w:numPr>
          <w:ilvl w:val="0"/>
          <w:numId w:val="1789"/>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w:t>
      </w:r>
    </w:p>
    <w:p>
      <w:pPr>
        <w:pStyle w:val="13"/>
        <w:numPr>
          <w:ilvl w:val="0"/>
          <w:numId w:val="1789"/>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警告；拒不改正的，处 8 千元以上 1 万元以下罚款。</w:t>
      </w:r>
    </w:p>
    <w:p>
      <w:pPr>
        <w:pStyle w:val="2"/>
        <w:spacing w:before="192"/>
        <w:rPr>
          <w:color w:val="auto"/>
        </w:rPr>
      </w:pPr>
      <w:bookmarkStart w:id="1536" w:name="_bookmark767"/>
      <w:bookmarkEnd w:id="1536"/>
      <w:bookmarkStart w:id="1537" w:name="七百五十二、食品生产经营者违反《食品召回管理办法》相关规定，不立即停止生产经营、"/>
      <w:bookmarkEnd w:id="1537"/>
      <w:r>
        <w:rPr>
          <w:color w:val="auto"/>
        </w:rPr>
        <w:t>七百五十二、食品生产经营者违反《食品召回管理办法》相关规定，不立即停止</w:t>
      </w:r>
    </w:p>
    <w:p>
      <w:pPr>
        <w:spacing w:before="39" w:line="391" w:lineRule="auto"/>
        <w:ind w:left="111" w:right="237" w:firstLine="0"/>
        <w:jc w:val="left"/>
        <w:rPr>
          <w:b/>
          <w:color w:val="auto"/>
          <w:sz w:val="24"/>
        </w:rPr>
      </w:pPr>
      <w:r>
        <w:rPr>
          <w:b/>
          <w:color w:val="auto"/>
          <w:spacing w:val="-8"/>
          <w:sz w:val="24"/>
        </w:rPr>
        <w:t>生产经营、不主动召回、不按规定时限启动召回、不按照召回计划召回或者不按照规定处置不安全食品</w:t>
      </w:r>
    </w:p>
    <w:p>
      <w:pPr>
        <w:spacing w:before="0" w:line="306" w:lineRule="exact"/>
        <w:ind w:left="591" w:right="0" w:firstLine="0"/>
        <w:jc w:val="left"/>
        <w:rPr>
          <w:b/>
          <w:color w:val="auto"/>
          <w:sz w:val="24"/>
        </w:rPr>
      </w:pPr>
      <w:r>
        <w:rPr>
          <w:b/>
          <w:color w:val="auto"/>
          <w:sz w:val="24"/>
        </w:rPr>
        <w:t>（一）处罚依据</w:t>
      </w:r>
    </w:p>
    <w:p>
      <w:pPr>
        <w:pStyle w:val="4"/>
        <w:spacing w:before="192" w:line="391" w:lineRule="auto"/>
        <w:ind w:right="232" w:firstLine="480"/>
        <w:jc w:val="both"/>
        <w:rPr>
          <w:color w:val="auto"/>
        </w:rPr>
      </w:pPr>
      <w:r>
        <w:rPr>
          <w:color w:val="auto"/>
          <w:spacing w:val="-1"/>
        </w:rPr>
        <w:t>《食品召回管理办法》第三十八条 食品生产经营者违反本办法第八条第一款、</w:t>
      </w:r>
      <w:r>
        <w:rPr>
          <w:color w:val="auto"/>
          <w:spacing w:val="-5"/>
        </w:rPr>
        <w:t>第十二条第一款、第十三条、第十四条、第二十条第一款、第二十一条、第二十三条</w:t>
      </w:r>
      <w:r>
        <w:rPr>
          <w:color w:val="auto"/>
          <w:spacing w:val="-8"/>
        </w:rPr>
        <w:t>第一款、第二十四条第一款的规定，不立即停止生产经营、不主动召回、不按规定时</w:t>
      </w:r>
      <w:r>
        <w:rPr>
          <w:color w:val="auto"/>
          <w:spacing w:val="-9"/>
        </w:rPr>
        <w:t>限启动召回、不按照召回计划召回不安全食品或者不按照规定处置不安全食品的，由食品药品监督管理部门给予警告，并处一万元以上三万元以下罚款。</w:t>
      </w:r>
    </w:p>
    <w:p>
      <w:pPr>
        <w:pStyle w:val="4"/>
        <w:spacing w:line="391" w:lineRule="auto"/>
        <w:ind w:right="268" w:firstLine="480"/>
        <w:jc w:val="both"/>
        <w:rPr>
          <w:color w:val="auto"/>
        </w:rPr>
      </w:pPr>
      <w:r>
        <w:rPr>
          <w:color w:val="auto"/>
        </w:rPr>
        <w:t>第八条第一款 食品生产经营者发现其生产经营的食品属于不安全食品的，应当立即停止生产经营，采取通知或者公告的方式告知相关食品生产经营者停止生产经营、消费者停止食用，并采取必要的措施防控食品安全风险。</w:t>
      </w:r>
    </w:p>
    <w:p>
      <w:pPr>
        <w:pStyle w:val="4"/>
        <w:spacing w:line="388" w:lineRule="auto"/>
        <w:ind w:right="268" w:firstLine="480"/>
        <w:jc w:val="both"/>
        <w:rPr>
          <w:color w:val="auto"/>
        </w:rPr>
      </w:pPr>
      <w:r>
        <w:rPr>
          <w:color w:val="auto"/>
        </w:rPr>
        <w:t>第十二条第一款 食品生产者通过自检自查、公众投诉举报、经营者和监督管理部门告知等方式知悉其生产经营的食品属于不安全食品的，应当主动召回。</w:t>
      </w:r>
    </w:p>
    <w:p>
      <w:pPr>
        <w:pStyle w:val="4"/>
        <w:spacing w:line="391" w:lineRule="auto"/>
        <w:ind w:right="268" w:firstLine="480"/>
        <w:jc w:val="both"/>
        <w:rPr>
          <w:color w:val="auto"/>
        </w:rPr>
      </w:pPr>
      <w:r>
        <w:rPr>
          <w:color w:val="auto"/>
          <w:spacing w:val="-4"/>
        </w:rPr>
        <w:t>第十三条  根据食品安全风险的严重和紧急程度，食品召回分为三级：</w:t>
      </w:r>
      <w:r>
        <w:rPr>
          <w:color w:val="auto"/>
          <w:spacing w:val="2"/>
        </w:rPr>
        <w:t>（一）</w:t>
      </w:r>
      <w:r>
        <w:rPr>
          <w:color w:val="auto"/>
        </w:rPr>
        <w:t>一</w:t>
      </w:r>
      <w:r>
        <w:rPr>
          <w:color w:val="auto"/>
          <w:spacing w:val="-6"/>
        </w:rPr>
        <w:t>级召回：食用后已经或者可能导致严重健康损害甚至死亡的，食品生产者应当在知悉</w:t>
      </w:r>
      <w:r>
        <w:rPr>
          <w:color w:val="auto"/>
          <w:spacing w:val="-4"/>
        </w:rPr>
        <w:t xml:space="preserve">食品安全风险后 </w:t>
      </w:r>
      <w:r>
        <w:rPr>
          <w:color w:val="auto"/>
        </w:rPr>
        <w:t>24</w:t>
      </w:r>
      <w:r>
        <w:rPr>
          <w:color w:val="auto"/>
          <w:spacing w:val="-6"/>
        </w:rPr>
        <w:t xml:space="preserve"> 小时内启动召回，并向县级以上地方食品药品监督管理部门报告</w:t>
      </w:r>
      <w:r>
        <w:rPr>
          <w:color w:val="auto"/>
          <w:spacing w:val="-29"/>
        </w:rPr>
        <w:t>召回计划。</w:t>
      </w:r>
      <w:r>
        <w:rPr>
          <w:color w:val="auto"/>
        </w:rPr>
        <w:t>（二）二级召回：食用后已经或者可能导致一般健康损害，食品生产者应</w:t>
      </w:r>
      <w:r>
        <w:rPr>
          <w:color w:val="auto"/>
          <w:spacing w:val="-3"/>
        </w:rPr>
        <w:t xml:space="preserve">当在知悉食品安全风险后 </w:t>
      </w:r>
      <w:r>
        <w:rPr>
          <w:color w:val="auto"/>
        </w:rPr>
        <w:t>48</w:t>
      </w:r>
      <w:r>
        <w:rPr>
          <w:color w:val="auto"/>
          <w:spacing w:val="-6"/>
        </w:rPr>
        <w:t xml:space="preserve"> 小时内启动召回，并向县级以上地方食品药品监督管理</w:t>
      </w:r>
      <w:r>
        <w:rPr>
          <w:color w:val="auto"/>
          <w:spacing w:val="-19"/>
        </w:rPr>
        <w:t>部门报告召回计划。</w:t>
      </w:r>
      <w:r>
        <w:rPr>
          <w:color w:val="auto"/>
        </w:rPr>
        <w:t>（三）三级召回：标签、标识存在虚假标注的食品，食品生产者</w:t>
      </w:r>
      <w:r>
        <w:rPr>
          <w:color w:val="auto"/>
          <w:spacing w:val="-3"/>
        </w:rPr>
        <w:t xml:space="preserve">应当在知悉食品安全风险后 </w:t>
      </w:r>
      <w:r>
        <w:rPr>
          <w:color w:val="auto"/>
        </w:rPr>
        <w:t>72</w:t>
      </w:r>
      <w:r>
        <w:rPr>
          <w:color w:val="auto"/>
          <w:spacing w:val="-6"/>
        </w:rPr>
        <w:t xml:space="preserve"> 小时内启动召回，并向县级以上地方食品药品监督管</w:t>
      </w:r>
      <w:r>
        <w:rPr>
          <w:color w:val="auto"/>
          <w:spacing w:val="-10"/>
        </w:rPr>
        <w:t>理部门报告召回计划。标签、标识存在瑕疵，食用后不会造成健康损害的食品，食品</w:t>
      </w:r>
      <w:r>
        <w:rPr>
          <w:color w:val="auto"/>
        </w:rPr>
        <w:t>生产者应当改正，可以自愿召回。</w:t>
      </w:r>
    </w:p>
    <w:p>
      <w:pPr>
        <w:pStyle w:val="4"/>
        <w:spacing w:line="296" w:lineRule="exact"/>
        <w:ind w:left="591"/>
        <w:jc w:val="both"/>
        <w:rPr>
          <w:color w:val="auto"/>
        </w:rPr>
      </w:pPr>
      <w:r>
        <w:rPr>
          <w:color w:val="auto"/>
        </w:rPr>
        <w:t>第十四条 食品生产者应当按照召回计划召回不安全食品。</w:t>
      </w:r>
    </w:p>
    <w:p>
      <w:pPr>
        <w:pStyle w:val="4"/>
        <w:spacing w:before="187" w:line="391" w:lineRule="auto"/>
        <w:ind w:right="268" w:firstLine="480"/>
        <w:jc w:val="both"/>
        <w:rPr>
          <w:color w:val="auto"/>
        </w:rPr>
      </w:pPr>
      <w:r>
        <w:rPr>
          <w:color w:val="auto"/>
          <w:spacing w:val="-3"/>
        </w:rPr>
        <w:t>县级以上地方食品药品监督管理部门收到食品生产者的召回计划后，必要时可以</w:t>
      </w:r>
      <w:r>
        <w:rPr>
          <w:color w:val="auto"/>
          <w:spacing w:val="-4"/>
        </w:rPr>
        <w:t>组织专家对召回计划进行评估。评估结论认为召回计划应当修改的，食品生产者应当</w:t>
      </w:r>
      <w:r>
        <w:rPr>
          <w:color w:val="auto"/>
        </w:rPr>
        <w:t>立即修改，并按照修改后的召回计划实施召回。</w:t>
      </w:r>
    </w:p>
    <w:p>
      <w:pPr>
        <w:pStyle w:val="4"/>
        <w:spacing w:line="388" w:lineRule="auto"/>
        <w:ind w:right="268" w:firstLine="480"/>
        <w:jc w:val="both"/>
        <w:rPr>
          <w:color w:val="auto"/>
        </w:rPr>
      </w:pPr>
      <w:r>
        <w:rPr>
          <w:color w:val="auto"/>
        </w:rPr>
        <w:t>第二十条第一款 食品经营者对因自身原因所导致的不安全食品，应当根据法律法规的规定在其经营的范围内主动召回。</w:t>
      </w:r>
    </w:p>
    <w:p>
      <w:pPr>
        <w:pStyle w:val="4"/>
        <w:tabs>
          <w:tab w:val="left" w:pos="2031"/>
        </w:tabs>
        <w:spacing w:before="39" w:line="391" w:lineRule="auto"/>
        <w:ind w:right="268" w:firstLine="480"/>
        <w:rPr>
          <w:color w:val="auto"/>
        </w:rPr>
      </w:pPr>
      <w:r>
        <w:rPr>
          <w:color w:val="auto"/>
        </w:rPr>
        <w:t>第二十一条</w:t>
      </w:r>
      <w:r>
        <w:rPr>
          <w:color w:val="auto"/>
        </w:rPr>
        <w:tab/>
      </w:r>
      <w:r>
        <w:rPr>
          <w:color w:val="auto"/>
        </w:rPr>
        <w:t>因生产者无法确定</w:t>
      </w:r>
      <w:r>
        <w:rPr>
          <w:color w:val="auto"/>
          <w:spacing w:val="-20"/>
        </w:rPr>
        <w:t>、</w:t>
      </w:r>
      <w:r>
        <w:rPr>
          <w:color w:val="auto"/>
        </w:rPr>
        <w:t>破产等原因无法召回不安全食品的</w:t>
      </w:r>
      <w:r>
        <w:rPr>
          <w:color w:val="auto"/>
          <w:spacing w:val="-17"/>
        </w:rPr>
        <w:t>，</w:t>
      </w:r>
      <w:r>
        <w:rPr>
          <w:color w:val="auto"/>
        </w:rPr>
        <w:t>食品经</w:t>
      </w:r>
      <w:r>
        <w:rPr>
          <w:color w:val="auto"/>
          <w:spacing w:val="-16"/>
        </w:rPr>
        <w:t>营</w:t>
      </w:r>
      <w:r>
        <w:rPr>
          <w:color w:val="auto"/>
        </w:rPr>
        <w:t>者应当在其经营的范围内主动召回不安全食品。</w:t>
      </w:r>
    </w:p>
    <w:p>
      <w:pPr>
        <w:pStyle w:val="4"/>
        <w:tabs>
          <w:tab w:val="left" w:pos="2751"/>
        </w:tabs>
        <w:spacing w:line="388" w:lineRule="auto"/>
        <w:ind w:right="268" w:firstLine="480"/>
        <w:rPr>
          <w:color w:val="auto"/>
        </w:rPr>
      </w:pPr>
      <w:r>
        <w:rPr>
          <w:color w:val="auto"/>
        </w:rPr>
        <w:t>第二十三条第一款</w:t>
      </w:r>
      <w:r>
        <w:rPr>
          <w:color w:val="auto"/>
        </w:rPr>
        <w:tab/>
      </w:r>
      <w:r>
        <w:rPr>
          <w:color w:val="auto"/>
        </w:rPr>
        <w:t>食品生产经营者应当依据法律法规的规定</w:t>
      </w:r>
      <w:r>
        <w:rPr>
          <w:color w:val="auto"/>
          <w:spacing w:val="-36"/>
        </w:rPr>
        <w:t>，</w:t>
      </w:r>
      <w:r>
        <w:rPr>
          <w:color w:val="auto"/>
        </w:rPr>
        <w:t>对因停止生产</w:t>
      </w:r>
      <w:r>
        <w:rPr>
          <w:color w:val="auto"/>
          <w:spacing w:val="-17"/>
        </w:rPr>
        <w:t>经</w:t>
      </w:r>
      <w:r>
        <w:rPr>
          <w:color w:val="auto"/>
        </w:rPr>
        <w:t>营、召回等原因退出市场的不安全食品采取补救、无害化处理、销毁等处置措施。</w:t>
      </w:r>
    </w:p>
    <w:p>
      <w:pPr>
        <w:pStyle w:val="4"/>
        <w:tabs>
          <w:tab w:val="left" w:pos="2751"/>
        </w:tabs>
        <w:spacing w:before="3" w:line="388" w:lineRule="auto"/>
        <w:ind w:right="268" w:firstLine="480"/>
        <w:rPr>
          <w:color w:val="auto"/>
        </w:rPr>
      </w:pPr>
      <w:r>
        <w:rPr>
          <w:color w:val="auto"/>
        </w:rPr>
        <w:t>第二十四条第一款</w:t>
      </w:r>
      <w:r>
        <w:rPr>
          <w:color w:val="auto"/>
        </w:rPr>
        <w:tab/>
      </w:r>
      <w:r>
        <w:rPr>
          <w:color w:val="auto"/>
        </w:rPr>
        <w:t>对违法添加非食用物质</w:t>
      </w:r>
      <w:r>
        <w:rPr>
          <w:color w:val="auto"/>
          <w:spacing w:val="-20"/>
        </w:rPr>
        <w:t>、</w:t>
      </w:r>
      <w:r>
        <w:rPr>
          <w:color w:val="auto"/>
        </w:rPr>
        <w:t>腐败变质</w:t>
      </w:r>
      <w:r>
        <w:rPr>
          <w:color w:val="auto"/>
          <w:spacing w:val="-17"/>
        </w:rPr>
        <w:t>、</w:t>
      </w:r>
      <w:r>
        <w:rPr>
          <w:color w:val="auto"/>
        </w:rPr>
        <w:t>病死畜禽等严重危害</w:t>
      </w:r>
      <w:r>
        <w:rPr>
          <w:color w:val="auto"/>
          <w:spacing w:val="-16"/>
        </w:rPr>
        <w:t>人</w:t>
      </w:r>
      <w:r>
        <w:rPr>
          <w:color w:val="auto"/>
        </w:rPr>
        <w:t>体健康和生命安全的不安全食品，食品生产经营者应当立即就地销毁。</w:t>
      </w:r>
    </w:p>
    <w:p>
      <w:pPr>
        <w:pStyle w:val="2"/>
        <w:spacing w:before="2"/>
        <w:rPr>
          <w:color w:val="auto"/>
        </w:rPr>
      </w:pPr>
      <w:r>
        <w:rPr>
          <w:color w:val="auto"/>
        </w:rPr>
        <w:t>（二）裁量标准</w:t>
      </w:r>
    </w:p>
    <w:p>
      <w:pPr>
        <w:pStyle w:val="13"/>
        <w:numPr>
          <w:ilvl w:val="0"/>
          <w:numId w:val="1790"/>
        </w:numPr>
        <w:tabs>
          <w:tab w:val="left" w:pos="833"/>
        </w:tabs>
        <w:spacing w:before="195" w:after="0" w:line="240" w:lineRule="auto"/>
        <w:ind w:left="832" w:right="0" w:hanging="242"/>
        <w:jc w:val="left"/>
        <w:rPr>
          <w:color w:val="auto"/>
          <w:sz w:val="24"/>
        </w:rPr>
      </w:pPr>
      <w:r>
        <w:rPr>
          <w:color w:val="auto"/>
          <w:sz w:val="24"/>
        </w:rPr>
        <w:t>【从轻】</w:t>
      </w:r>
    </w:p>
    <w:p>
      <w:pPr>
        <w:pStyle w:val="13"/>
        <w:numPr>
          <w:ilvl w:val="0"/>
          <w:numId w:val="179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第十二条规定情形的；涉及三级召回的。</w:t>
      </w:r>
    </w:p>
    <w:p>
      <w:pPr>
        <w:pStyle w:val="13"/>
        <w:numPr>
          <w:ilvl w:val="0"/>
          <w:numId w:val="1791"/>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警告，并处 1 万元以上 2 万元以下罚款。</w:t>
      </w:r>
    </w:p>
    <w:p>
      <w:pPr>
        <w:pStyle w:val="13"/>
        <w:numPr>
          <w:ilvl w:val="0"/>
          <w:numId w:val="1790"/>
        </w:numPr>
        <w:tabs>
          <w:tab w:val="left" w:pos="833"/>
        </w:tabs>
        <w:spacing w:before="194" w:after="0" w:line="240" w:lineRule="auto"/>
        <w:ind w:left="832" w:right="0" w:hanging="242"/>
        <w:jc w:val="left"/>
        <w:rPr>
          <w:color w:val="auto"/>
          <w:sz w:val="24"/>
        </w:rPr>
      </w:pPr>
      <w:r>
        <w:rPr>
          <w:color w:val="auto"/>
          <w:sz w:val="24"/>
        </w:rPr>
        <w:t>【一般】</w:t>
      </w:r>
    </w:p>
    <w:p>
      <w:pPr>
        <w:pStyle w:val="13"/>
        <w:numPr>
          <w:ilvl w:val="0"/>
          <w:numId w:val="1792"/>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92"/>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spacing w:val="-10"/>
        </w:rPr>
        <w:t xml:space="preserve">警告，并处 </w:t>
      </w:r>
      <w:r>
        <w:rPr>
          <w:color w:val="auto"/>
        </w:rPr>
        <w:t>2</w:t>
      </w:r>
      <w:r>
        <w:rPr>
          <w:color w:val="auto"/>
          <w:spacing w:val="-10"/>
        </w:rPr>
        <w:t xml:space="preserve"> 万元罚款。</w:t>
      </w:r>
    </w:p>
    <w:p>
      <w:pPr>
        <w:pStyle w:val="13"/>
        <w:numPr>
          <w:ilvl w:val="0"/>
          <w:numId w:val="1790"/>
        </w:numPr>
        <w:tabs>
          <w:tab w:val="left" w:pos="833"/>
        </w:tabs>
        <w:spacing w:before="194" w:after="0" w:line="240" w:lineRule="auto"/>
        <w:ind w:left="832" w:right="0" w:hanging="242"/>
        <w:jc w:val="left"/>
        <w:rPr>
          <w:color w:val="auto"/>
          <w:sz w:val="24"/>
        </w:rPr>
      </w:pPr>
      <w:r>
        <w:rPr>
          <w:color w:val="auto"/>
          <w:sz w:val="24"/>
        </w:rPr>
        <w:t>【从重】</w:t>
      </w:r>
    </w:p>
    <w:p>
      <w:pPr>
        <w:pStyle w:val="13"/>
        <w:numPr>
          <w:ilvl w:val="0"/>
          <w:numId w:val="179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》第十三条规定的情形的；涉及一级召回的；发生食品安全事故的。</w:t>
      </w:r>
    </w:p>
    <w:p>
      <w:pPr>
        <w:pStyle w:val="13"/>
        <w:numPr>
          <w:ilvl w:val="0"/>
          <w:numId w:val="1793"/>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警告，并处 2 万元以上 3 万元以下罚款。</w:t>
      </w:r>
    </w:p>
    <w:p>
      <w:pPr>
        <w:pStyle w:val="2"/>
        <w:spacing w:before="194" w:line="388" w:lineRule="auto"/>
        <w:ind w:left="111" w:right="193" w:firstLine="480"/>
        <w:rPr>
          <w:color w:val="auto"/>
        </w:rPr>
      </w:pPr>
      <w:bookmarkStart w:id="1538" w:name="_bookmark768"/>
      <w:bookmarkEnd w:id="1538"/>
      <w:bookmarkStart w:id="1539" w:name="七百五十三、食品经营者违反《食品召回管理办法》相关规定，不配合食品生产者召回不安"/>
      <w:bookmarkEnd w:id="1539"/>
      <w:r>
        <w:rPr>
          <w:color w:val="auto"/>
        </w:rPr>
        <w:t>七百五十三、食品经营者违反《食品召回管理办法》相关规定，不配合食品生产者召回不安全食品</w:t>
      </w:r>
    </w:p>
    <w:p>
      <w:pPr>
        <w:spacing w:before="2"/>
        <w:ind w:left="591" w:right="0" w:firstLine="0"/>
        <w:jc w:val="left"/>
        <w:rPr>
          <w:b/>
          <w:color w:val="auto"/>
          <w:sz w:val="24"/>
        </w:rPr>
      </w:pPr>
      <w:r>
        <w:rPr>
          <w:b/>
          <w:color w:val="auto"/>
          <w:sz w:val="24"/>
        </w:rPr>
        <w:t>（一）处罚依据</w:t>
      </w:r>
    </w:p>
    <w:p>
      <w:pPr>
        <w:pStyle w:val="4"/>
        <w:spacing w:before="39" w:line="391" w:lineRule="auto"/>
        <w:ind w:right="268" w:firstLine="480"/>
        <w:jc w:val="both"/>
        <w:rPr>
          <w:color w:val="auto"/>
        </w:rPr>
      </w:pPr>
      <w:r>
        <w:rPr>
          <w:color w:val="auto"/>
          <w:spacing w:val="-4"/>
        </w:rPr>
        <w:t>《食品召回管理办法》第三十九条 食品经营者违反本办法第十九条的规定，不配合食品生产者召回不安全食品的，由食品药品监督管理部门给予警告，并处五千元</w:t>
      </w:r>
      <w:r>
        <w:rPr>
          <w:color w:val="auto"/>
        </w:rPr>
        <w:t>以上三万元以下罚款。</w:t>
      </w:r>
    </w:p>
    <w:p>
      <w:pPr>
        <w:pStyle w:val="4"/>
        <w:tabs>
          <w:tab w:val="left" w:pos="1791"/>
        </w:tabs>
        <w:spacing w:line="391" w:lineRule="auto"/>
        <w:ind w:right="148" w:firstLine="480"/>
        <w:rPr>
          <w:color w:val="auto"/>
        </w:rPr>
      </w:pPr>
      <w:r>
        <w:rPr>
          <w:color w:val="auto"/>
        </w:rPr>
        <w:t>第十九条</w:t>
      </w:r>
      <w:r>
        <w:rPr>
          <w:color w:val="auto"/>
        </w:rPr>
        <w:tab/>
      </w:r>
      <w:r>
        <w:rPr>
          <w:color w:val="auto"/>
        </w:rPr>
        <w:t>食品经营者知悉食品生产者召回不安全食品后</w:t>
      </w:r>
      <w:r>
        <w:rPr>
          <w:color w:val="auto"/>
          <w:spacing w:val="-36"/>
        </w:rPr>
        <w:t>，</w:t>
      </w:r>
      <w:r>
        <w:rPr>
          <w:color w:val="auto"/>
        </w:rPr>
        <w:t>应当立即采取停止购进</w:t>
      </w:r>
      <w:r>
        <w:rPr>
          <w:color w:val="auto"/>
          <w:spacing w:val="-53"/>
        </w:rPr>
        <w:t>、</w:t>
      </w:r>
      <w:r>
        <w:rPr>
          <w:color w:val="auto"/>
        </w:rPr>
        <w:t>销售</w:t>
      </w:r>
      <w:r>
        <w:rPr>
          <w:color w:val="auto"/>
          <w:spacing w:val="-51"/>
        </w:rPr>
        <w:t>，</w:t>
      </w:r>
      <w:r>
        <w:rPr>
          <w:color w:val="auto"/>
        </w:rPr>
        <w:t>封存不安全食品</w:t>
      </w:r>
      <w:r>
        <w:rPr>
          <w:color w:val="auto"/>
          <w:spacing w:val="-53"/>
        </w:rPr>
        <w:t>，</w:t>
      </w:r>
      <w:r>
        <w:rPr>
          <w:color w:val="auto"/>
        </w:rPr>
        <w:t>在经营场所醒目位置张贴生产者发布的召回公告等措施</w:t>
      </w:r>
      <w:r>
        <w:rPr>
          <w:color w:val="auto"/>
          <w:spacing w:val="-16"/>
        </w:rPr>
        <w:t xml:space="preserve">， </w:t>
      </w:r>
      <w:r>
        <w:rPr>
          <w:color w:val="auto"/>
        </w:rPr>
        <w:t>配合食品生产者开展召回工作。</w:t>
      </w:r>
    </w:p>
    <w:p>
      <w:pPr>
        <w:pStyle w:val="2"/>
        <w:spacing w:line="304" w:lineRule="exact"/>
        <w:rPr>
          <w:color w:val="auto"/>
        </w:rPr>
      </w:pPr>
      <w:r>
        <w:rPr>
          <w:color w:val="auto"/>
        </w:rPr>
        <w:t>（二）裁量标准</w:t>
      </w:r>
    </w:p>
    <w:p>
      <w:pPr>
        <w:pStyle w:val="13"/>
        <w:numPr>
          <w:ilvl w:val="0"/>
          <w:numId w:val="1794"/>
        </w:numPr>
        <w:tabs>
          <w:tab w:val="left" w:pos="833"/>
        </w:tabs>
        <w:spacing w:before="191" w:after="0" w:line="240" w:lineRule="auto"/>
        <w:ind w:left="832" w:right="0" w:hanging="242"/>
        <w:jc w:val="left"/>
        <w:rPr>
          <w:color w:val="auto"/>
          <w:sz w:val="24"/>
        </w:rPr>
      </w:pPr>
      <w:r>
        <w:rPr>
          <w:color w:val="auto"/>
          <w:sz w:val="24"/>
        </w:rPr>
        <w:t>【从轻】</w:t>
      </w:r>
    </w:p>
    <w:p>
      <w:pPr>
        <w:pStyle w:val="13"/>
        <w:numPr>
          <w:ilvl w:val="0"/>
          <w:numId w:val="179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line="391"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第十二条规定情形的；涉及三级召回的。</w:t>
      </w:r>
    </w:p>
    <w:p>
      <w:pPr>
        <w:pStyle w:val="13"/>
        <w:numPr>
          <w:ilvl w:val="0"/>
          <w:numId w:val="1795"/>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警告，并处 5 千元以上 1 万元以下罚款。</w:t>
      </w:r>
    </w:p>
    <w:p>
      <w:pPr>
        <w:pStyle w:val="13"/>
        <w:numPr>
          <w:ilvl w:val="0"/>
          <w:numId w:val="1794"/>
        </w:numPr>
        <w:tabs>
          <w:tab w:val="left" w:pos="833"/>
        </w:tabs>
        <w:spacing w:before="194" w:after="0" w:line="240" w:lineRule="auto"/>
        <w:ind w:left="832" w:right="0" w:hanging="242"/>
        <w:jc w:val="left"/>
        <w:rPr>
          <w:color w:val="auto"/>
          <w:sz w:val="24"/>
        </w:rPr>
      </w:pPr>
      <w:r>
        <w:rPr>
          <w:color w:val="auto"/>
          <w:sz w:val="24"/>
        </w:rPr>
        <w:t>【一般】</w:t>
      </w:r>
    </w:p>
    <w:p>
      <w:pPr>
        <w:pStyle w:val="13"/>
        <w:numPr>
          <w:ilvl w:val="0"/>
          <w:numId w:val="179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796"/>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警告，并处 1 万元以上 2 万元以下罚款。</w:t>
      </w:r>
    </w:p>
    <w:p>
      <w:pPr>
        <w:pStyle w:val="13"/>
        <w:numPr>
          <w:ilvl w:val="0"/>
          <w:numId w:val="1794"/>
        </w:numPr>
        <w:tabs>
          <w:tab w:val="left" w:pos="833"/>
        </w:tabs>
        <w:spacing w:before="194" w:after="0" w:line="240" w:lineRule="auto"/>
        <w:ind w:left="832" w:right="0" w:hanging="242"/>
        <w:jc w:val="left"/>
        <w:rPr>
          <w:color w:val="auto"/>
          <w:sz w:val="24"/>
        </w:rPr>
      </w:pPr>
      <w:r>
        <w:rPr>
          <w:color w:val="auto"/>
          <w:sz w:val="24"/>
        </w:rPr>
        <w:t>【从重】</w:t>
      </w:r>
    </w:p>
    <w:p>
      <w:pPr>
        <w:pStyle w:val="13"/>
        <w:numPr>
          <w:ilvl w:val="0"/>
          <w:numId w:val="179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》第十三条规定的情形的；涉及一级召回的；导致食品安全事故的。</w:t>
      </w:r>
    </w:p>
    <w:p>
      <w:pPr>
        <w:pStyle w:val="13"/>
        <w:numPr>
          <w:ilvl w:val="0"/>
          <w:numId w:val="1797"/>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1"/>
        <w:ind w:left="591"/>
        <w:rPr>
          <w:color w:val="auto"/>
        </w:rPr>
      </w:pPr>
      <w:r>
        <w:rPr>
          <w:color w:val="auto"/>
        </w:rPr>
        <w:t>警告，并处 2 万元以上 3 万元以下罚款。</w:t>
      </w:r>
    </w:p>
    <w:p>
      <w:pPr>
        <w:pStyle w:val="2"/>
        <w:spacing w:before="195" w:line="388" w:lineRule="auto"/>
        <w:ind w:left="111" w:right="193" w:firstLine="480"/>
        <w:rPr>
          <w:color w:val="auto"/>
        </w:rPr>
      </w:pPr>
      <w:bookmarkStart w:id="1540" w:name="七百五十四、食品生产经营者违反《食品召回管理办法》相关规定，未履行报告义务"/>
      <w:bookmarkEnd w:id="1540"/>
      <w:bookmarkStart w:id="1541" w:name="_bookmark769"/>
      <w:bookmarkEnd w:id="1541"/>
      <w:r>
        <w:rPr>
          <w:color w:val="auto"/>
        </w:rPr>
        <w:t>七百五十四、食品生产经营者违反《食品召回管理办法》相关规定，未履行报告义务</w:t>
      </w:r>
    </w:p>
    <w:p>
      <w:pPr>
        <w:spacing w:before="2"/>
        <w:ind w:left="591" w:right="0" w:firstLine="0"/>
        <w:jc w:val="left"/>
        <w:rPr>
          <w:b/>
          <w:color w:val="auto"/>
          <w:sz w:val="24"/>
        </w:rPr>
      </w:pPr>
      <w:r>
        <w:rPr>
          <w:b/>
          <w:color w:val="auto"/>
          <w:sz w:val="24"/>
        </w:rPr>
        <w:t>（一）处罚依据</w:t>
      </w:r>
    </w:p>
    <w:p>
      <w:pPr>
        <w:pStyle w:val="4"/>
        <w:spacing w:before="39" w:line="391" w:lineRule="auto"/>
        <w:ind w:right="268" w:firstLine="480"/>
        <w:jc w:val="both"/>
        <w:rPr>
          <w:color w:val="auto"/>
        </w:rPr>
      </w:pPr>
      <w:r>
        <w:rPr>
          <w:color w:val="auto"/>
          <w:spacing w:val="-4"/>
        </w:rPr>
        <w:t>《食品召回管理办法》第四十条 食品生产经营者违反本办法第十三条、第二十</w:t>
      </w:r>
      <w:r>
        <w:rPr>
          <w:color w:val="auto"/>
          <w:spacing w:val="-5"/>
        </w:rPr>
        <w:t>四条第二款、第三十二条的规定，未按规定履行相关报告义务的，由食品药品监督管</w:t>
      </w:r>
      <w:r>
        <w:rPr>
          <w:color w:val="auto"/>
        </w:rPr>
        <w:t>理部门责令改正，给予警告；拒不改正的，处二千元以上二万元以下罚款。</w:t>
      </w:r>
    </w:p>
    <w:p>
      <w:pPr>
        <w:pStyle w:val="4"/>
        <w:spacing w:line="304" w:lineRule="exact"/>
        <w:ind w:left="591"/>
        <w:jc w:val="both"/>
        <w:rPr>
          <w:color w:val="auto"/>
        </w:rPr>
      </w:pPr>
      <w:r>
        <w:rPr>
          <w:color w:val="auto"/>
        </w:rPr>
        <w:t>第十三条  根据食品安全风险的严重和紧急程度，食品召回分为三级：</w:t>
      </w:r>
    </w:p>
    <w:p>
      <w:pPr>
        <w:pStyle w:val="4"/>
        <w:spacing w:before="195" w:line="388" w:lineRule="auto"/>
        <w:ind w:right="268" w:firstLine="480"/>
        <w:jc w:val="both"/>
        <w:rPr>
          <w:color w:val="auto"/>
        </w:rPr>
      </w:pPr>
      <w:r>
        <w:rPr>
          <w:color w:val="auto"/>
        </w:rPr>
        <w:t>（一</w:t>
      </w:r>
      <w:r>
        <w:rPr>
          <w:color w:val="auto"/>
          <w:spacing w:val="-12"/>
        </w:rPr>
        <w:t>）</w:t>
      </w:r>
      <w:r>
        <w:rPr>
          <w:color w:val="auto"/>
          <w:spacing w:val="-5"/>
        </w:rPr>
        <w:t>一级召回：食用后已经或者可能导致严重健康损害甚至死亡的，食品生产</w:t>
      </w:r>
      <w:r>
        <w:rPr>
          <w:color w:val="auto"/>
          <w:spacing w:val="-3"/>
        </w:rPr>
        <w:t xml:space="preserve">者应当在知悉食品安全风险后 </w:t>
      </w:r>
      <w:r>
        <w:rPr>
          <w:color w:val="auto"/>
        </w:rPr>
        <w:t>24</w:t>
      </w:r>
      <w:r>
        <w:rPr>
          <w:color w:val="auto"/>
          <w:spacing w:val="-6"/>
        </w:rPr>
        <w:t xml:space="preserve"> 小时内启动召回，并向县级以上地方食品药品监督管理部门报告召回计划。</w:t>
      </w:r>
    </w:p>
    <w:p>
      <w:pPr>
        <w:pStyle w:val="4"/>
        <w:spacing w:before="5" w:line="388" w:lineRule="auto"/>
        <w:ind w:right="268" w:firstLine="480"/>
        <w:jc w:val="both"/>
        <w:rPr>
          <w:color w:val="auto"/>
        </w:rPr>
      </w:pPr>
      <w:r>
        <w:rPr>
          <w:color w:val="auto"/>
        </w:rPr>
        <w:t>（二</w:t>
      </w:r>
      <w:r>
        <w:rPr>
          <w:color w:val="auto"/>
          <w:spacing w:val="-12"/>
        </w:rPr>
        <w:t>）</w:t>
      </w:r>
      <w:r>
        <w:rPr>
          <w:color w:val="auto"/>
          <w:spacing w:val="-5"/>
        </w:rPr>
        <w:t>二级召回：食用后已经或者可能导致一般健康损害，食品生产者应当在知</w:t>
      </w:r>
      <w:r>
        <w:rPr>
          <w:color w:val="auto"/>
          <w:spacing w:val="-4"/>
        </w:rPr>
        <w:t xml:space="preserve">悉食品安全风险后 </w:t>
      </w:r>
      <w:r>
        <w:rPr>
          <w:color w:val="auto"/>
        </w:rPr>
        <w:t>48</w:t>
      </w:r>
      <w:r>
        <w:rPr>
          <w:color w:val="auto"/>
          <w:spacing w:val="-6"/>
        </w:rPr>
        <w:t xml:space="preserve"> 小时内启动召回，并向县级以上地方食品药品监督管理部门报告召回计划。</w:t>
      </w:r>
    </w:p>
    <w:p>
      <w:pPr>
        <w:pStyle w:val="4"/>
        <w:spacing w:before="6" w:line="391" w:lineRule="auto"/>
        <w:ind w:right="148" w:firstLine="480"/>
        <w:rPr>
          <w:color w:val="auto"/>
        </w:rPr>
      </w:pPr>
      <w:r>
        <w:rPr>
          <w:color w:val="auto"/>
        </w:rPr>
        <w:t>（三</w:t>
      </w:r>
      <w:r>
        <w:rPr>
          <w:color w:val="auto"/>
          <w:spacing w:val="-10"/>
        </w:rPr>
        <w:t>）</w:t>
      </w:r>
      <w:r>
        <w:rPr>
          <w:color w:val="auto"/>
          <w:spacing w:val="-4"/>
        </w:rPr>
        <w:t>三级召回：标签、标识存在虚假标注的食品，食品生产者应当在知悉食品</w:t>
      </w:r>
      <w:r>
        <w:rPr>
          <w:color w:val="auto"/>
          <w:spacing w:val="-11"/>
        </w:rPr>
        <w:t xml:space="preserve">安全风险后 </w:t>
      </w:r>
      <w:r>
        <w:rPr>
          <w:color w:val="auto"/>
        </w:rPr>
        <w:t>72</w:t>
      </w:r>
      <w:r>
        <w:rPr>
          <w:color w:val="auto"/>
          <w:spacing w:val="-7"/>
        </w:rPr>
        <w:t xml:space="preserve"> 小时内启动召回，并向县级以上地方食品药品监督管理部门报告召回</w:t>
      </w:r>
      <w:r>
        <w:rPr>
          <w:color w:val="auto"/>
          <w:spacing w:val="-15"/>
        </w:rPr>
        <w:t xml:space="preserve">计划。标签、标识存在瑕疵，食用后不会造成健康损害的食品，食品生产者应当改正， </w:t>
      </w:r>
      <w:r>
        <w:rPr>
          <w:color w:val="auto"/>
        </w:rPr>
        <w:t>可以自愿召回。</w:t>
      </w:r>
    </w:p>
    <w:p>
      <w:pPr>
        <w:pStyle w:val="4"/>
        <w:spacing w:line="391" w:lineRule="auto"/>
        <w:ind w:right="268" w:firstLine="480"/>
        <w:jc w:val="both"/>
        <w:rPr>
          <w:color w:val="auto"/>
        </w:rPr>
      </w:pPr>
      <w:r>
        <w:rPr>
          <w:color w:val="auto"/>
          <w:spacing w:val="-3"/>
        </w:rPr>
        <w:t>第二十四条第二款 不具备就地销毁条件的，可由不安全食品生产经营者集中销</w:t>
      </w:r>
      <w:r>
        <w:rPr>
          <w:color w:val="auto"/>
          <w:spacing w:val="-6"/>
        </w:rPr>
        <w:t>毁处理。食品生产经营者在集中销毁处理前，应当向县级以上地方食品药品监督管理</w:t>
      </w:r>
      <w:r>
        <w:rPr>
          <w:color w:val="auto"/>
        </w:rPr>
        <w:t>部门报告。</w:t>
      </w:r>
    </w:p>
    <w:p>
      <w:pPr>
        <w:pStyle w:val="4"/>
        <w:spacing w:line="391" w:lineRule="auto"/>
        <w:ind w:right="268" w:firstLine="480"/>
        <w:jc w:val="both"/>
        <w:rPr>
          <w:color w:val="auto"/>
        </w:rPr>
      </w:pPr>
      <w:r>
        <w:rPr>
          <w:color w:val="auto"/>
          <w:spacing w:val="-3"/>
        </w:rPr>
        <w:t>第三十二条 食品生产经营者停止生产经营、召回和处置的不安全食品存在较大</w:t>
      </w:r>
      <w:r>
        <w:rPr>
          <w:color w:val="auto"/>
          <w:spacing w:val="-7"/>
        </w:rPr>
        <w:t xml:space="preserve">风险的，应当在停止生产经营、召回和处置不安全食品结束后 </w:t>
      </w:r>
      <w:r>
        <w:rPr>
          <w:color w:val="auto"/>
        </w:rPr>
        <w:t>5</w:t>
      </w:r>
      <w:r>
        <w:rPr>
          <w:color w:val="auto"/>
          <w:spacing w:val="-9"/>
        </w:rPr>
        <w:t xml:space="preserve"> 个工作日内向县级以</w:t>
      </w:r>
      <w:r>
        <w:rPr>
          <w:color w:val="auto"/>
        </w:rPr>
        <w:t>上地方食品药品监督管理部门书面报告情况。</w:t>
      </w:r>
    </w:p>
    <w:p>
      <w:pPr>
        <w:pStyle w:val="2"/>
        <w:spacing w:line="304" w:lineRule="exact"/>
        <w:rPr>
          <w:color w:val="auto"/>
        </w:rPr>
      </w:pPr>
      <w:r>
        <w:rPr>
          <w:color w:val="auto"/>
        </w:rPr>
        <w:t>（二）裁量标准</w:t>
      </w:r>
    </w:p>
    <w:p>
      <w:pPr>
        <w:pStyle w:val="13"/>
        <w:numPr>
          <w:ilvl w:val="0"/>
          <w:numId w:val="1798"/>
        </w:numPr>
        <w:tabs>
          <w:tab w:val="left" w:pos="833"/>
        </w:tabs>
        <w:spacing w:before="182" w:after="0" w:line="240" w:lineRule="auto"/>
        <w:ind w:left="832" w:right="0" w:hanging="242"/>
        <w:jc w:val="left"/>
        <w:rPr>
          <w:color w:val="auto"/>
          <w:sz w:val="24"/>
        </w:rPr>
      </w:pPr>
      <w:r>
        <w:rPr>
          <w:color w:val="auto"/>
          <w:sz w:val="24"/>
        </w:rPr>
        <w:t>【从轻】</w:t>
      </w:r>
    </w:p>
    <w:p>
      <w:pPr>
        <w:pStyle w:val="13"/>
        <w:numPr>
          <w:ilvl w:val="0"/>
          <w:numId w:val="1799"/>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第十二条规定情形的；涉及三级召回的；未造成危害后果的。</w:t>
      </w:r>
    </w:p>
    <w:p>
      <w:pPr>
        <w:pStyle w:val="13"/>
        <w:numPr>
          <w:ilvl w:val="0"/>
          <w:numId w:val="1799"/>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警告；拒不改正的，处 2 千元以上 5 千元以下罚款。</w:t>
      </w:r>
    </w:p>
    <w:p>
      <w:pPr>
        <w:pStyle w:val="13"/>
        <w:numPr>
          <w:ilvl w:val="0"/>
          <w:numId w:val="1798"/>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800"/>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800"/>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警告；拒不改正的，处 5 千元以上 1 万元以下罚款。</w:t>
      </w:r>
    </w:p>
    <w:p>
      <w:pPr>
        <w:pStyle w:val="13"/>
        <w:numPr>
          <w:ilvl w:val="0"/>
          <w:numId w:val="1798"/>
        </w:numPr>
        <w:tabs>
          <w:tab w:val="left" w:pos="833"/>
        </w:tabs>
        <w:spacing w:before="192" w:after="0" w:line="240" w:lineRule="auto"/>
        <w:ind w:left="832" w:right="0" w:hanging="242"/>
        <w:jc w:val="left"/>
        <w:rPr>
          <w:color w:val="auto"/>
          <w:sz w:val="24"/>
        </w:rPr>
      </w:pPr>
      <w:r>
        <w:rPr>
          <w:color w:val="auto"/>
          <w:sz w:val="24"/>
        </w:rPr>
        <w:t>【从重】</w:t>
      </w:r>
    </w:p>
    <w:p>
      <w:pPr>
        <w:pStyle w:val="13"/>
        <w:numPr>
          <w:ilvl w:val="0"/>
          <w:numId w:val="1801"/>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》第十三条规定的情形的；涉及一级召回的；导致食品安全事故的；造成危害后果的。</w:t>
      </w:r>
    </w:p>
    <w:p>
      <w:pPr>
        <w:pStyle w:val="13"/>
        <w:numPr>
          <w:ilvl w:val="0"/>
          <w:numId w:val="1801"/>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警告；拒不改正的，处 1 万元以上 2 万元以下罚款。</w:t>
      </w:r>
    </w:p>
    <w:p>
      <w:pPr>
        <w:pStyle w:val="2"/>
        <w:spacing w:before="191" w:line="388" w:lineRule="auto"/>
        <w:ind w:left="111" w:right="193" w:firstLine="480"/>
        <w:rPr>
          <w:color w:val="auto"/>
        </w:rPr>
      </w:pPr>
      <w:bookmarkStart w:id="1542" w:name="_bookmark770"/>
      <w:bookmarkEnd w:id="1542"/>
      <w:bookmarkStart w:id="1543" w:name="七百五十五、食品生产经营者违反《食品召回管理办法》相关规定，拒绝或者拖延履行食品"/>
      <w:bookmarkEnd w:id="1543"/>
      <w:r>
        <w:rPr>
          <w:color w:val="auto"/>
        </w:rPr>
        <w:t>七百五十五、食品生产经营者违反《食品召回管理办法》相关规定，拒绝或者拖延履行食品药品监督管理部门责令依法处置不安全食品</w:t>
      </w:r>
    </w:p>
    <w:p>
      <w:pPr>
        <w:spacing w:before="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spacing w:val="-5"/>
        </w:rPr>
        <w:t>《食品召回管理办法》第四十一条 食品生产经营者违反本办法第二十三条第二</w:t>
      </w:r>
      <w:r>
        <w:rPr>
          <w:color w:val="auto"/>
          <w:spacing w:val="-6"/>
        </w:rPr>
        <w:t>款的规定，食品药品监督管理部门责令食品生产经营者依法处置不安全食品，食品生</w:t>
      </w:r>
      <w:r>
        <w:rPr>
          <w:color w:val="auto"/>
          <w:spacing w:val="-4"/>
        </w:rPr>
        <w:t>产经营者拒绝或者拖延履行的，由食品药品监督管理部门给予警告，并处二万元以上</w:t>
      </w:r>
      <w:r>
        <w:rPr>
          <w:color w:val="auto"/>
        </w:rPr>
        <w:t>三万元以下罚款。</w:t>
      </w:r>
    </w:p>
    <w:p>
      <w:pPr>
        <w:pStyle w:val="4"/>
        <w:spacing w:line="391" w:lineRule="auto"/>
        <w:ind w:right="268" w:firstLine="480"/>
        <w:jc w:val="both"/>
        <w:rPr>
          <w:color w:val="auto"/>
        </w:rPr>
      </w:pPr>
      <w:r>
        <w:rPr>
          <w:color w:val="auto"/>
        </w:rPr>
        <w:t>第二十三条第二款 食品生产经营者未依法处置不安全食品的，县级以上地方食品药品监督管理部门可以责令其依法处置不安全食品。</w:t>
      </w:r>
    </w:p>
    <w:p>
      <w:pPr>
        <w:pStyle w:val="2"/>
        <w:spacing w:line="306" w:lineRule="exact"/>
        <w:rPr>
          <w:color w:val="auto"/>
        </w:rPr>
      </w:pPr>
      <w:r>
        <w:rPr>
          <w:color w:val="auto"/>
        </w:rPr>
        <w:t>（二）裁量标准</w:t>
      </w:r>
    </w:p>
    <w:p>
      <w:pPr>
        <w:pStyle w:val="13"/>
        <w:numPr>
          <w:ilvl w:val="0"/>
          <w:numId w:val="1802"/>
        </w:numPr>
        <w:tabs>
          <w:tab w:val="left" w:pos="833"/>
        </w:tabs>
        <w:spacing w:before="186" w:after="0" w:line="240" w:lineRule="auto"/>
        <w:ind w:left="832" w:right="0" w:hanging="242"/>
        <w:jc w:val="left"/>
        <w:rPr>
          <w:color w:val="auto"/>
          <w:sz w:val="24"/>
        </w:rPr>
      </w:pPr>
      <w:r>
        <w:rPr>
          <w:color w:val="auto"/>
          <w:sz w:val="24"/>
        </w:rPr>
        <w:t>【从轻】</w:t>
      </w:r>
    </w:p>
    <w:p>
      <w:pPr>
        <w:pStyle w:val="13"/>
        <w:numPr>
          <w:ilvl w:val="0"/>
          <w:numId w:val="180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第十二条规定情形的；未造成危害后果。</w:t>
      </w:r>
    </w:p>
    <w:p>
      <w:pPr>
        <w:pStyle w:val="13"/>
        <w:numPr>
          <w:ilvl w:val="0"/>
          <w:numId w:val="180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警告，并处 2 万元以上 2.5 万元以下罚款。</w:t>
      </w:r>
    </w:p>
    <w:p>
      <w:pPr>
        <w:pStyle w:val="13"/>
        <w:numPr>
          <w:ilvl w:val="0"/>
          <w:numId w:val="1802"/>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804"/>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80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警告，并处 2.5 万元罚款。</w:t>
      </w:r>
    </w:p>
    <w:p>
      <w:pPr>
        <w:pStyle w:val="13"/>
        <w:numPr>
          <w:ilvl w:val="0"/>
          <w:numId w:val="1802"/>
        </w:numPr>
        <w:tabs>
          <w:tab w:val="left" w:pos="833"/>
        </w:tabs>
        <w:spacing w:before="192" w:after="0" w:line="240" w:lineRule="auto"/>
        <w:ind w:left="832" w:right="0" w:hanging="242"/>
        <w:jc w:val="left"/>
        <w:rPr>
          <w:color w:val="auto"/>
          <w:sz w:val="24"/>
        </w:rPr>
      </w:pPr>
      <w:r>
        <w:rPr>
          <w:color w:val="auto"/>
          <w:sz w:val="24"/>
        </w:rPr>
        <w:t>【从重】</w:t>
      </w:r>
    </w:p>
    <w:p>
      <w:pPr>
        <w:pStyle w:val="13"/>
        <w:numPr>
          <w:ilvl w:val="0"/>
          <w:numId w:val="1805"/>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》第十三条规定的情形的；造成危害后果。</w:t>
      </w:r>
    </w:p>
    <w:p>
      <w:pPr>
        <w:pStyle w:val="13"/>
        <w:numPr>
          <w:ilvl w:val="0"/>
          <w:numId w:val="1805"/>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警告，并处 2.5 万元以上 3 万元以下罚款。</w:t>
      </w:r>
    </w:p>
    <w:p>
      <w:pPr>
        <w:pStyle w:val="2"/>
        <w:spacing w:before="191" w:line="388" w:lineRule="auto"/>
        <w:ind w:left="111" w:right="193" w:firstLine="480"/>
        <w:rPr>
          <w:color w:val="auto"/>
        </w:rPr>
      </w:pPr>
      <w:bookmarkStart w:id="1544" w:name="七百五十六、食品生产经营者违反《食品召回管理办法》相关规定，未按规定记录保存不安"/>
      <w:bookmarkEnd w:id="1544"/>
      <w:bookmarkStart w:id="1545" w:name="_bookmark771"/>
      <w:bookmarkEnd w:id="1545"/>
      <w:r>
        <w:rPr>
          <w:color w:val="auto"/>
        </w:rPr>
        <w:t>七百五十六、食品生产经营者违反《食品召回管理办法》相关规定，未按规定记录保存不安全食品停止生产经营、召回和处置情况</w:t>
      </w:r>
    </w:p>
    <w:p>
      <w:pPr>
        <w:spacing w:before="5"/>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spacing w:val="-5"/>
        </w:rPr>
        <w:t>《食品召回管理办法》第四十二条 食品生产经营者违反本办法第二十八条的规</w:t>
      </w:r>
      <w:r>
        <w:rPr>
          <w:color w:val="auto"/>
          <w:spacing w:val="-6"/>
        </w:rPr>
        <w:t>定，未按规定记录保存不安全食品停止生产经营、召回和处置情况的，由食品药品监</w:t>
      </w:r>
      <w:r>
        <w:rPr>
          <w:color w:val="auto"/>
        </w:rPr>
        <w:t>督管理部门责令改正，给予警告；拒不改正的，处二千元以上二万元以下罚款。</w:t>
      </w:r>
    </w:p>
    <w:p>
      <w:pPr>
        <w:pStyle w:val="4"/>
        <w:spacing w:line="388" w:lineRule="auto"/>
        <w:ind w:right="148" w:firstLine="480"/>
        <w:jc w:val="both"/>
        <w:rPr>
          <w:color w:val="auto"/>
        </w:rPr>
      </w:pPr>
      <w:r>
        <w:rPr>
          <w:color w:val="auto"/>
          <w:spacing w:val="-2"/>
        </w:rPr>
        <w:t>第二十八条  食品生产经营者应当如实记录停止生产经营、召回和处置不安全食</w:t>
      </w:r>
      <w:r>
        <w:rPr>
          <w:color w:val="auto"/>
          <w:spacing w:val="-15"/>
        </w:rPr>
        <w:t xml:space="preserve">品的名称、商标、规格、生产日期、批次、数量等内容。记录保存期限不得少于 </w:t>
      </w:r>
      <w:r>
        <w:rPr>
          <w:color w:val="auto"/>
        </w:rPr>
        <w:t>2</w:t>
      </w:r>
      <w:r>
        <w:rPr>
          <w:color w:val="auto"/>
          <w:spacing w:val="-25"/>
        </w:rPr>
        <w:t xml:space="preserve"> 年。</w:t>
      </w:r>
    </w:p>
    <w:p>
      <w:pPr>
        <w:pStyle w:val="2"/>
        <w:spacing w:before="1"/>
        <w:rPr>
          <w:color w:val="auto"/>
        </w:rPr>
      </w:pPr>
      <w:r>
        <w:rPr>
          <w:color w:val="auto"/>
        </w:rPr>
        <w:t>（二）裁量标准</w:t>
      </w:r>
    </w:p>
    <w:p>
      <w:pPr>
        <w:pStyle w:val="13"/>
        <w:numPr>
          <w:ilvl w:val="0"/>
          <w:numId w:val="1806"/>
        </w:numPr>
        <w:tabs>
          <w:tab w:val="left" w:pos="833"/>
        </w:tabs>
        <w:spacing w:before="192" w:after="0" w:line="240" w:lineRule="auto"/>
        <w:ind w:left="832" w:right="0" w:hanging="242"/>
        <w:jc w:val="left"/>
        <w:rPr>
          <w:color w:val="auto"/>
          <w:sz w:val="24"/>
        </w:rPr>
      </w:pPr>
      <w:r>
        <w:rPr>
          <w:color w:val="auto"/>
          <w:sz w:val="24"/>
        </w:rPr>
        <w:t>【从轻】</w:t>
      </w:r>
    </w:p>
    <w:p>
      <w:pPr>
        <w:pStyle w:val="13"/>
        <w:numPr>
          <w:ilvl w:val="0"/>
          <w:numId w:val="180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148" w:firstLine="480"/>
        <w:rPr>
          <w:color w:val="auto"/>
        </w:rPr>
      </w:pPr>
      <w:r>
        <w:rPr>
          <w:color w:val="auto"/>
          <w:spacing w:val="-4"/>
        </w:rPr>
        <w:t>符合《山东省市场监督管理局行使行政处罚裁量权适用规则</w:t>
      </w:r>
      <w:r>
        <w:rPr>
          <w:color w:val="auto"/>
        </w:rPr>
        <w:t>（试行</w:t>
      </w:r>
      <w:r>
        <w:rPr>
          <w:color w:val="auto"/>
          <w:spacing w:val="-120"/>
        </w:rPr>
        <w:t>）</w:t>
      </w:r>
      <w:r>
        <w:rPr>
          <w:color w:val="auto"/>
          <w:spacing w:val="-6"/>
        </w:rPr>
        <w:t>》第十一条、</w:t>
      </w:r>
      <w:r>
        <w:rPr>
          <w:color w:val="auto"/>
        </w:rPr>
        <w:t>第十二条规定情形的；未造成危害后果的。</w:t>
      </w:r>
    </w:p>
    <w:p>
      <w:pPr>
        <w:pStyle w:val="13"/>
        <w:numPr>
          <w:ilvl w:val="0"/>
          <w:numId w:val="1807"/>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警告；拒不改正的，处 2 千元以上 5 千元以下罚款。</w:t>
      </w:r>
    </w:p>
    <w:p>
      <w:pPr>
        <w:pStyle w:val="13"/>
        <w:numPr>
          <w:ilvl w:val="0"/>
          <w:numId w:val="1806"/>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808"/>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39" w:line="391" w:lineRule="auto"/>
        <w:ind w:right="224" w:firstLine="480"/>
        <w:rPr>
          <w:color w:val="auto"/>
        </w:rPr>
      </w:pPr>
      <w:r>
        <w:rPr>
          <w:color w:val="auto"/>
        </w:rPr>
        <w:t>不具有不予处罚、减轻、从轻、从重等情节；具有从重和从轻、减轻处罚的多个裁量因素时,结合案情综合裁量,认为可以适用一般情形的。</w:t>
      </w:r>
    </w:p>
    <w:p>
      <w:pPr>
        <w:pStyle w:val="13"/>
        <w:numPr>
          <w:ilvl w:val="0"/>
          <w:numId w:val="1808"/>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警告；拒不改正的，处 5 千元以上 1 万元以下罚款。</w:t>
      </w:r>
    </w:p>
    <w:p>
      <w:pPr>
        <w:pStyle w:val="13"/>
        <w:numPr>
          <w:ilvl w:val="0"/>
          <w:numId w:val="1806"/>
        </w:numPr>
        <w:tabs>
          <w:tab w:val="left" w:pos="833"/>
        </w:tabs>
        <w:spacing w:before="194" w:after="0" w:line="240" w:lineRule="auto"/>
        <w:ind w:left="832" w:right="0" w:hanging="242"/>
        <w:jc w:val="left"/>
        <w:rPr>
          <w:color w:val="auto"/>
          <w:sz w:val="24"/>
        </w:rPr>
      </w:pPr>
      <w:r>
        <w:rPr>
          <w:color w:val="auto"/>
          <w:sz w:val="24"/>
        </w:rPr>
        <w:t>【从重】</w:t>
      </w:r>
    </w:p>
    <w:p>
      <w:pPr>
        <w:pStyle w:val="13"/>
        <w:numPr>
          <w:ilvl w:val="0"/>
          <w:numId w:val="180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rPr>
          <w:color w:val="auto"/>
        </w:rPr>
      </w:pPr>
      <w:r>
        <w:rPr>
          <w:color w:val="auto"/>
        </w:rPr>
        <w:t>符合《山东省市场监督管理局行使行政处罚裁量权适用规则（试行</w:t>
      </w:r>
      <w:r>
        <w:rPr>
          <w:color w:val="auto"/>
          <w:spacing w:val="-116"/>
        </w:rPr>
        <w:t>）</w:t>
      </w:r>
      <w:r>
        <w:rPr>
          <w:color w:val="auto"/>
        </w:rPr>
        <w:t>》第十三条规定的情形的；造成危害后果的。</w:t>
      </w:r>
    </w:p>
    <w:p>
      <w:pPr>
        <w:pStyle w:val="13"/>
        <w:numPr>
          <w:ilvl w:val="0"/>
          <w:numId w:val="1809"/>
        </w:numPr>
        <w:tabs>
          <w:tab w:val="left" w:pos="1193"/>
        </w:tabs>
        <w:spacing w:before="0" w:after="0" w:line="306" w:lineRule="exact"/>
        <w:ind w:left="1192" w:right="0" w:hanging="602"/>
        <w:jc w:val="left"/>
        <w:rPr>
          <w:color w:val="auto"/>
          <w:sz w:val="24"/>
        </w:rPr>
      </w:pPr>
      <w:r>
        <w:rPr>
          <w:color w:val="auto"/>
          <w:sz w:val="24"/>
        </w:rPr>
        <w:t>处罚标准</w:t>
      </w:r>
    </w:p>
    <w:p>
      <w:pPr>
        <w:spacing w:before="191" w:line="391" w:lineRule="auto"/>
        <w:ind w:left="591" w:right="3112" w:firstLine="0"/>
        <w:jc w:val="left"/>
        <w:rPr>
          <w:color w:val="auto"/>
          <w:spacing w:val="-10"/>
          <w:sz w:val="24"/>
        </w:rPr>
      </w:pPr>
      <w:r>
        <w:rPr>
          <w:color w:val="auto"/>
          <w:spacing w:val="-6"/>
          <w:sz w:val="24"/>
        </w:rPr>
        <w:t xml:space="preserve">警告；拒不改正的，处 </w:t>
      </w:r>
      <w:r>
        <w:rPr>
          <w:color w:val="auto"/>
          <w:sz w:val="24"/>
        </w:rPr>
        <w:t>1</w:t>
      </w:r>
      <w:r>
        <w:rPr>
          <w:color w:val="auto"/>
          <w:spacing w:val="-20"/>
          <w:sz w:val="24"/>
        </w:rPr>
        <w:t xml:space="preserve"> 万元以上 </w:t>
      </w:r>
      <w:r>
        <w:rPr>
          <w:color w:val="auto"/>
          <w:sz w:val="24"/>
        </w:rPr>
        <w:t>2</w:t>
      </w:r>
      <w:r>
        <w:rPr>
          <w:color w:val="auto"/>
          <w:spacing w:val="-10"/>
          <w:sz w:val="24"/>
        </w:rPr>
        <w:t xml:space="preserve"> 万元以下罚款。</w:t>
      </w:r>
      <w:bookmarkStart w:id="1546" w:name="_bookmark772"/>
      <w:bookmarkEnd w:id="1546"/>
      <w:bookmarkStart w:id="1547" w:name="七百五十七、食品生产经营者提供虚假证明材料"/>
      <w:bookmarkEnd w:id="1547"/>
    </w:p>
    <w:p>
      <w:pPr>
        <w:spacing w:before="191" w:line="391" w:lineRule="auto"/>
        <w:ind w:left="591" w:right="3112" w:firstLine="0"/>
        <w:jc w:val="left"/>
        <w:rPr>
          <w:b/>
          <w:color w:val="auto"/>
          <w:sz w:val="24"/>
        </w:rPr>
      </w:pPr>
      <w:r>
        <w:rPr>
          <w:b/>
          <w:color w:val="auto"/>
          <w:sz w:val="24"/>
        </w:rPr>
        <w:t>七百五十七、食品生产经营者提供虚假证明材料</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spacing w:val="-4"/>
        </w:rPr>
        <w:t>《食品安全抽样检验管理办法》第四十七条第二款 食品生产经营者违反本办法</w:t>
      </w:r>
      <w:r>
        <w:rPr>
          <w:color w:val="auto"/>
          <w:spacing w:val="-6"/>
        </w:rPr>
        <w:t xml:space="preserve">第三十七条的规定，提供虚假证明材料的，由市场监督管理部门给予警告，并处 </w:t>
      </w:r>
      <w:r>
        <w:rPr>
          <w:color w:val="auto"/>
        </w:rPr>
        <w:t>1</w:t>
      </w:r>
      <w:r>
        <w:rPr>
          <w:color w:val="auto"/>
          <w:spacing w:val="-39"/>
        </w:rPr>
        <w:t xml:space="preserve"> 万</w:t>
      </w:r>
    </w:p>
    <w:p>
      <w:pPr>
        <w:pStyle w:val="4"/>
        <w:spacing w:line="306" w:lineRule="exact"/>
        <w:jc w:val="both"/>
        <w:rPr>
          <w:color w:val="auto"/>
        </w:rPr>
      </w:pPr>
      <w:r>
        <w:rPr>
          <w:color w:val="auto"/>
        </w:rPr>
        <w:t>元以上 3 万元以下罚款。</w:t>
      </w:r>
    </w:p>
    <w:p>
      <w:pPr>
        <w:pStyle w:val="4"/>
        <w:spacing w:before="192" w:line="391" w:lineRule="auto"/>
        <w:ind w:right="268" w:firstLine="480"/>
        <w:jc w:val="both"/>
        <w:rPr>
          <w:color w:val="auto"/>
        </w:rPr>
      </w:pPr>
      <w:r>
        <w:rPr>
          <w:color w:val="auto"/>
        </w:rPr>
        <w:t>第三十七条 在食品安全监督抽检工作中，食品生产经营者可以对其生产经营食品的抽样过程、样品真实性、检验方法、标准适用等事项依法提出异议处理申请。</w:t>
      </w:r>
    </w:p>
    <w:p>
      <w:pPr>
        <w:pStyle w:val="4"/>
        <w:spacing w:line="388" w:lineRule="auto"/>
        <w:ind w:right="268" w:firstLine="480"/>
        <w:jc w:val="both"/>
        <w:rPr>
          <w:color w:val="auto"/>
        </w:rPr>
      </w:pPr>
      <w:r>
        <w:rPr>
          <w:color w:val="auto"/>
          <w:spacing w:val="-5"/>
        </w:rPr>
        <w:t xml:space="preserve">对抽样过程有异议的，申请人应当在抽样完成后 </w:t>
      </w:r>
      <w:r>
        <w:rPr>
          <w:color w:val="auto"/>
        </w:rPr>
        <w:t>7</w:t>
      </w:r>
      <w:r>
        <w:rPr>
          <w:color w:val="auto"/>
          <w:spacing w:val="-10"/>
        </w:rPr>
        <w:t xml:space="preserve"> 个工作日内，向实施监督抽检</w:t>
      </w:r>
      <w:r>
        <w:rPr>
          <w:color w:val="auto"/>
        </w:rPr>
        <w:t>的市场监督管理部门提出书面申请，并提交相关证明材料。</w:t>
      </w:r>
    </w:p>
    <w:p>
      <w:pPr>
        <w:pStyle w:val="4"/>
        <w:spacing w:before="3" w:line="388" w:lineRule="auto"/>
        <w:ind w:right="268" w:firstLine="480"/>
        <w:jc w:val="both"/>
        <w:rPr>
          <w:color w:val="auto"/>
        </w:rPr>
      </w:pPr>
      <w:r>
        <w:rPr>
          <w:color w:val="auto"/>
          <w:spacing w:val="-5"/>
        </w:rPr>
        <w:t>对样品真实性、检验方法、标准适用等事项有异议的，申请人应当自收到不合格</w:t>
      </w:r>
      <w:r>
        <w:rPr>
          <w:color w:val="auto"/>
          <w:spacing w:val="-8"/>
        </w:rPr>
        <w:t xml:space="preserve">结论通知之日起 </w:t>
      </w:r>
      <w:r>
        <w:rPr>
          <w:color w:val="auto"/>
        </w:rPr>
        <w:t>7</w:t>
      </w:r>
      <w:r>
        <w:rPr>
          <w:color w:val="auto"/>
          <w:spacing w:val="-11"/>
        </w:rPr>
        <w:t xml:space="preserve"> 个工作日内，向组织实施监督抽检的市场监督管理部门提出书面申</w:t>
      </w:r>
      <w:r>
        <w:rPr>
          <w:color w:val="auto"/>
        </w:rPr>
        <w:t>请，并提交相关证明材料。</w:t>
      </w:r>
    </w:p>
    <w:p>
      <w:pPr>
        <w:pStyle w:val="4"/>
        <w:spacing w:before="5" w:line="388" w:lineRule="auto"/>
        <w:ind w:right="213" w:firstLine="480"/>
        <w:rPr>
          <w:color w:val="auto"/>
        </w:rPr>
      </w:pPr>
      <w:r>
        <w:rPr>
          <w:color w:val="auto"/>
        </w:rPr>
        <w:t>向国家市场监督管理总局提出异议申请的，国家市场监督管理总局可以委托申请人住所地省级市场监督管理部门负责办理。</w:t>
      </w:r>
    </w:p>
    <w:p>
      <w:pPr>
        <w:pStyle w:val="2"/>
        <w:spacing w:before="2"/>
        <w:rPr>
          <w:color w:val="auto"/>
        </w:rPr>
      </w:pPr>
      <w:r>
        <w:rPr>
          <w:color w:val="auto"/>
        </w:rPr>
        <w:t>（二）裁量标准</w:t>
      </w:r>
    </w:p>
    <w:p>
      <w:pPr>
        <w:pStyle w:val="13"/>
        <w:numPr>
          <w:ilvl w:val="0"/>
          <w:numId w:val="1810"/>
        </w:numPr>
        <w:tabs>
          <w:tab w:val="left" w:pos="833"/>
        </w:tabs>
        <w:spacing w:before="194" w:after="0" w:line="240" w:lineRule="auto"/>
        <w:ind w:left="832" w:right="0" w:hanging="242"/>
        <w:jc w:val="left"/>
        <w:rPr>
          <w:color w:val="auto"/>
          <w:sz w:val="24"/>
        </w:rPr>
      </w:pPr>
      <w:r>
        <w:rPr>
          <w:color w:val="auto"/>
          <w:sz w:val="24"/>
        </w:rPr>
        <w:t>【较轻】</w:t>
      </w:r>
    </w:p>
    <w:p>
      <w:pPr>
        <w:pStyle w:val="13"/>
        <w:numPr>
          <w:ilvl w:val="0"/>
          <w:numId w:val="181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初次违法、提供的虚假证明材料不影响抽样产品定性并及时纠正的。</w:t>
      </w:r>
    </w:p>
    <w:p>
      <w:pPr>
        <w:pStyle w:val="13"/>
        <w:numPr>
          <w:ilvl w:val="0"/>
          <w:numId w:val="1811"/>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警告，并处 1 万元以上 1.5 万元以下罚款。</w:t>
      </w:r>
    </w:p>
    <w:p>
      <w:pPr>
        <w:pStyle w:val="13"/>
        <w:numPr>
          <w:ilvl w:val="0"/>
          <w:numId w:val="1810"/>
        </w:numPr>
        <w:tabs>
          <w:tab w:val="left" w:pos="833"/>
        </w:tabs>
        <w:spacing w:before="191" w:after="0" w:line="240" w:lineRule="auto"/>
        <w:ind w:left="832" w:right="0" w:hanging="242"/>
        <w:jc w:val="left"/>
        <w:rPr>
          <w:color w:val="auto"/>
          <w:sz w:val="24"/>
        </w:rPr>
      </w:pPr>
      <w:r>
        <w:rPr>
          <w:color w:val="auto"/>
          <w:sz w:val="24"/>
        </w:rPr>
        <w:t>【一般】</w:t>
      </w:r>
    </w:p>
    <w:p>
      <w:pPr>
        <w:pStyle w:val="13"/>
        <w:numPr>
          <w:ilvl w:val="0"/>
          <w:numId w:val="1812"/>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提供的虚假证明材料影响抽样产品定性但未造成危害后果的。</w:t>
      </w:r>
    </w:p>
    <w:p>
      <w:pPr>
        <w:pStyle w:val="13"/>
        <w:numPr>
          <w:ilvl w:val="0"/>
          <w:numId w:val="181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警告，并处 1.5 万元以上 2.5 万元以下罚款。</w:t>
      </w:r>
    </w:p>
    <w:p>
      <w:pPr>
        <w:pStyle w:val="13"/>
        <w:numPr>
          <w:ilvl w:val="0"/>
          <w:numId w:val="1810"/>
        </w:numPr>
        <w:tabs>
          <w:tab w:val="left" w:pos="833"/>
        </w:tabs>
        <w:spacing w:before="195" w:after="0" w:line="240" w:lineRule="auto"/>
        <w:ind w:left="832" w:right="0" w:hanging="242"/>
        <w:jc w:val="left"/>
        <w:rPr>
          <w:color w:val="auto"/>
          <w:sz w:val="24"/>
        </w:rPr>
      </w:pPr>
      <w:r>
        <w:rPr>
          <w:color w:val="auto"/>
          <w:sz w:val="24"/>
        </w:rPr>
        <w:t>【严重】</w:t>
      </w:r>
    </w:p>
    <w:p>
      <w:pPr>
        <w:pStyle w:val="13"/>
        <w:numPr>
          <w:ilvl w:val="0"/>
          <w:numId w:val="1813"/>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提供的虚假证明材料影响抽样产品定性且造成危害后果的。</w:t>
      </w:r>
    </w:p>
    <w:p>
      <w:pPr>
        <w:pStyle w:val="13"/>
        <w:numPr>
          <w:ilvl w:val="0"/>
          <w:numId w:val="181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警告，并处 2.5 万元以上 3 万元以下罚款。</w:t>
      </w:r>
    </w:p>
    <w:p>
      <w:pPr>
        <w:pStyle w:val="2"/>
        <w:spacing w:before="191"/>
        <w:rPr>
          <w:color w:val="auto"/>
        </w:rPr>
      </w:pPr>
      <w:bookmarkStart w:id="1548" w:name="_bookmark773"/>
      <w:bookmarkEnd w:id="1548"/>
      <w:bookmarkStart w:id="1549" w:name="七百五十八、食品经营者未按规定公示相关不合格产品信息"/>
      <w:bookmarkEnd w:id="1549"/>
      <w:r>
        <w:rPr>
          <w:color w:val="auto"/>
        </w:rPr>
        <w:t>七百五十八、食品经营者未按规定公示相关不合格产品信息</w:t>
      </w:r>
    </w:p>
    <w:p>
      <w:pPr>
        <w:spacing w:before="195"/>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rPr>
        <w:t>《食品安全抽样检验管理办法》第四十七条第三款 违反本办法第四十二条的规</w:t>
      </w:r>
      <w:r>
        <w:rPr>
          <w:color w:val="auto"/>
          <w:spacing w:val="-14"/>
        </w:rPr>
        <w:t xml:space="preserve">定，食品经营者未按规定公示相关不合格产品信息的，由市场监督管理部门责令改正； </w:t>
      </w:r>
      <w:r>
        <w:rPr>
          <w:color w:val="auto"/>
          <w:spacing w:val="-5"/>
        </w:rPr>
        <w:t xml:space="preserve">拒不改正的，给予警告，并处 </w:t>
      </w:r>
      <w:r>
        <w:rPr>
          <w:color w:val="auto"/>
        </w:rPr>
        <w:t>2000</w:t>
      </w:r>
      <w:r>
        <w:rPr>
          <w:color w:val="auto"/>
          <w:spacing w:val="-24"/>
        </w:rPr>
        <w:t xml:space="preserve"> 元以上 </w:t>
      </w:r>
      <w:r>
        <w:rPr>
          <w:color w:val="auto"/>
        </w:rPr>
        <w:t>3</w:t>
      </w:r>
      <w:r>
        <w:rPr>
          <w:color w:val="auto"/>
          <w:spacing w:val="-8"/>
        </w:rPr>
        <w:t xml:space="preserve"> 万元以下罚款。</w:t>
      </w:r>
    </w:p>
    <w:p>
      <w:pPr>
        <w:pStyle w:val="4"/>
        <w:tabs>
          <w:tab w:val="left" w:pos="2031"/>
        </w:tabs>
        <w:spacing w:line="388" w:lineRule="auto"/>
        <w:ind w:right="268" w:firstLine="480"/>
        <w:rPr>
          <w:color w:val="auto"/>
        </w:rPr>
      </w:pPr>
      <w:r>
        <w:rPr>
          <w:color w:val="auto"/>
        </w:rPr>
        <w:t>第四十二条</w:t>
      </w:r>
      <w:r>
        <w:rPr>
          <w:color w:val="auto"/>
        </w:rPr>
        <w:tab/>
      </w:r>
      <w:r>
        <w:rPr>
          <w:color w:val="auto"/>
        </w:rPr>
        <w:t>食品经营者收到监督抽检不合格检验结论后</w:t>
      </w:r>
      <w:r>
        <w:rPr>
          <w:color w:val="auto"/>
          <w:spacing w:val="-36"/>
        </w:rPr>
        <w:t>，</w:t>
      </w:r>
      <w:r>
        <w:rPr>
          <w:color w:val="auto"/>
        </w:rPr>
        <w:t>应当按照国家市场</w:t>
      </w:r>
      <w:r>
        <w:rPr>
          <w:color w:val="auto"/>
          <w:spacing w:val="-17"/>
        </w:rPr>
        <w:t>监</w:t>
      </w:r>
      <w:r>
        <w:rPr>
          <w:color w:val="auto"/>
        </w:rPr>
        <w:t>督管理总局的规定在被抽检经营场所显著位置公示相关不合格产品信息。</w:t>
      </w:r>
    </w:p>
    <w:p>
      <w:pPr>
        <w:pStyle w:val="2"/>
        <w:numPr>
          <w:ilvl w:val="0"/>
          <w:numId w:val="1782"/>
        </w:numPr>
        <w:spacing w:before="1"/>
        <w:ind w:left="591" w:leftChars="0" w:firstLine="0" w:firstLineChars="0"/>
        <w:rPr>
          <w:color w:val="auto"/>
        </w:rPr>
      </w:pPr>
      <w:r>
        <w:rPr>
          <w:color w:val="auto"/>
        </w:rPr>
        <w:t>裁量标准</w:t>
      </w:r>
    </w:p>
    <w:p>
      <w:pPr>
        <w:keepNext w:val="0"/>
        <w:keepLines w:val="0"/>
        <w:widowControl/>
        <w:suppressLineNumbers w:val="0"/>
        <w:ind w:firstLine="648" w:firstLineChars="300"/>
        <w:jc w:val="left"/>
        <w:rPr>
          <w:rFonts w:hint="default" w:eastAsia="宋体"/>
          <w:color w:val="auto"/>
          <w:lang w:val="en-US" w:eastAsia="zh-CN"/>
        </w:rPr>
      </w:pPr>
      <w:r>
        <w:rPr>
          <w:rFonts w:hint="eastAsia"/>
          <w:color w:val="auto"/>
          <w:lang w:val="en-US" w:eastAsia="zh-CN"/>
        </w:rPr>
        <w:t>1.【不予处罚】</w:t>
      </w:r>
      <w:r>
        <w:rPr>
          <w:rFonts w:hint="eastAsia" w:ascii="宋体" w:hAnsi="宋体" w:eastAsia="宋体" w:cs="宋体"/>
          <w:color w:val="auto"/>
          <w:kern w:val="0"/>
          <w:sz w:val="24"/>
          <w:szCs w:val="24"/>
          <w:lang w:val="en-US" w:eastAsia="zh-CN" w:bidi="ar"/>
        </w:rPr>
        <w:t xml:space="preserve">自行改正或者在行政机关 责令改正的期限内改正 </w:t>
      </w:r>
    </w:p>
    <w:p>
      <w:pPr>
        <w:pStyle w:val="13"/>
        <w:numPr>
          <w:ilvl w:val="0"/>
          <w:numId w:val="0"/>
        </w:numPr>
        <w:tabs>
          <w:tab w:val="left" w:pos="833"/>
        </w:tabs>
        <w:spacing w:before="192" w:after="0" w:line="240" w:lineRule="auto"/>
        <w:ind w:left="590" w:leftChars="0" w:right="0" w:rightChars="0"/>
        <w:jc w:val="left"/>
        <w:rPr>
          <w:color w:val="auto"/>
          <w:sz w:val="24"/>
        </w:rPr>
      </w:pPr>
      <w:r>
        <w:rPr>
          <w:rFonts w:hint="eastAsia"/>
          <w:color w:val="auto"/>
          <w:sz w:val="24"/>
          <w:lang w:val="en-US" w:eastAsia="zh-CN"/>
        </w:rPr>
        <w:t>2.</w:t>
      </w:r>
      <w:r>
        <w:rPr>
          <w:color w:val="auto"/>
          <w:sz w:val="24"/>
        </w:rPr>
        <w:t>【较轻】</w:t>
      </w:r>
    </w:p>
    <w:p>
      <w:pPr>
        <w:pStyle w:val="13"/>
        <w:numPr>
          <w:ilvl w:val="0"/>
          <w:numId w:val="1814"/>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未按规定公示相关不合格产品信息的。</w:t>
      </w:r>
    </w:p>
    <w:p>
      <w:pPr>
        <w:pStyle w:val="13"/>
        <w:numPr>
          <w:ilvl w:val="0"/>
          <w:numId w:val="1814"/>
        </w:numPr>
        <w:tabs>
          <w:tab w:val="left" w:pos="1193"/>
        </w:tabs>
        <w:spacing w:before="191" w:after="0" w:line="388" w:lineRule="auto"/>
        <w:ind w:left="591" w:right="7072" w:firstLine="0"/>
        <w:jc w:val="left"/>
        <w:rPr>
          <w:color w:val="auto"/>
          <w:sz w:val="24"/>
        </w:rPr>
      </w:pPr>
      <w:r>
        <w:rPr>
          <w:color w:val="auto"/>
          <w:spacing w:val="-5"/>
          <w:sz w:val="24"/>
        </w:rPr>
        <w:t>处罚标准</w:t>
      </w:r>
      <w:r>
        <w:rPr>
          <w:color w:val="auto"/>
          <w:sz w:val="24"/>
        </w:rPr>
        <w:t>责令改正。</w:t>
      </w:r>
    </w:p>
    <w:p>
      <w:pPr>
        <w:pStyle w:val="13"/>
        <w:numPr>
          <w:ilvl w:val="0"/>
          <w:numId w:val="0"/>
        </w:numPr>
        <w:tabs>
          <w:tab w:val="left" w:pos="833"/>
        </w:tabs>
        <w:spacing w:before="5" w:after="0" w:line="240" w:lineRule="auto"/>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13"/>
        <w:numPr>
          <w:ilvl w:val="0"/>
          <w:numId w:val="1815"/>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1"/>
        <w:ind w:left="591"/>
        <w:rPr>
          <w:color w:val="auto"/>
        </w:rPr>
      </w:pPr>
      <w:r>
        <w:rPr>
          <w:color w:val="auto"/>
        </w:rPr>
        <w:t>第一次责令限期改正后期满仍未改正的。</w:t>
      </w:r>
    </w:p>
    <w:p>
      <w:pPr>
        <w:pStyle w:val="13"/>
        <w:numPr>
          <w:ilvl w:val="0"/>
          <w:numId w:val="1815"/>
        </w:numPr>
        <w:tabs>
          <w:tab w:val="left" w:pos="1193"/>
        </w:tabs>
        <w:spacing w:before="39" w:after="0" w:line="240" w:lineRule="auto"/>
        <w:ind w:left="1192" w:right="0" w:hanging="602"/>
        <w:jc w:val="left"/>
        <w:rPr>
          <w:color w:val="auto"/>
          <w:sz w:val="24"/>
        </w:rPr>
      </w:pPr>
      <w:r>
        <w:rPr>
          <w:color w:val="auto"/>
          <w:sz w:val="24"/>
        </w:rPr>
        <w:t>处罚标准</w:t>
      </w:r>
    </w:p>
    <w:p>
      <w:pPr>
        <w:pStyle w:val="4"/>
        <w:spacing w:before="195"/>
        <w:ind w:left="591"/>
        <w:rPr>
          <w:color w:val="auto"/>
        </w:rPr>
      </w:pPr>
      <w:r>
        <w:rPr>
          <w:color w:val="auto"/>
        </w:rPr>
        <w:t>警告，并处 2000 元以上 2 万元以下罚款。</w:t>
      </w:r>
    </w:p>
    <w:p>
      <w:pPr>
        <w:pStyle w:val="13"/>
        <w:numPr>
          <w:ilvl w:val="0"/>
          <w:numId w:val="0"/>
        </w:numPr>
        <w:tabs>
          <w:tab w:val="left" w:pos="833"/>
        </w:tabs>
        <w:spacing w:before="191" w:after="0" w:line="240" w:lineRule="auto"/>
        <w:ind w:left="590" w:leftChars="0" w:right="0" w:rightChars="0"/>
        <w:jc w:val="left"/>
        <w:rPr>
          <w:color w:val="auto"/>
          <w:sz w:val="24"/>
        </w:rPr>
      </w:pPr>
      <w:r>
        <w:rPr>
          <w:rFonts w:hint="eastAsia"/>
          <w:color w:val="auto"/>
          <w:sz w:val="24"/>
          <w:lang w:val="en-US" w:eastAsia="zh-CN"/>
        </w:rPr>
        <w:t>4.</w:t>
      </w:r>
      <w:r>
        <w:rPr>
          <w:color w:val="auto"/>
          <w:sz w:val="24"/>
        </w:rPr>
        <w:t>【严重】</w:t>
      </w:r>
    </w:p>
    <w:p>
      <w:pPr>
        <w:pStyle w:val="13"/>
        <w:numPr>
          <w:ilvl w:val="0"/>
          <w:numId w:val="1816"/>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二次及以上责令限期改正后期满仍未改正的。</w:t>
      </w:r>
    </w:p>
    <w:p>
      <w:pPr>
        <w:pStyle w:val="13"/>
        <w:numPr>
          <w:ilvl w:val="0"/>
          <w:numId w:val="1816"/>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处 2 万元以上 3 万元以下罚款。</w:t>
      </w:r>
    </w:p>
    <w:p>
      <w:pPr>
        <w:pStyle w:val="4"/>
        <w:ind w:left="0"/>
        <w:rPr>
          <w:color w:val="auto"/>
        </w:rPr>
      </w:pPr>
    </w:p>
    <w:p>
      <w:pPr>
        <w:pStyle w:val="4"/>
        <w:spacing w:before="10"/>
        <w:ind w:left="0"/>
        <w:rPr>
          <w:color w:val="auto"/>
          <w:sz w:val="17"/>
        </w:rPr>
      </w:pPr>
    </w:p>
    <w:p>
      <w:pPr>
        <w:pStyle w:val="4"/>
        <w:tabs>
          <w:tab w:val="left" w:pos="1199"/>
        </w:tabs>
        <w:ind w:left="0" w:right="161"/>
        <w:jc w:val="center"/>
        <w:rPr>
          <w:rFonts w:hint="eastAsia" w:ascii="黑体" w:eastAsia="黑体"/>
          <w:color w:val="auto"/>
        </w:rPr>
      </w:pPr>
      <w:bookmarkStart w:id="1550" w:name="第十七章  专利监管"/>
      <w:bookmarkEnd w:id="1550"/>
      <w:bookmarkStart w:id="1551" w:name="_bookmark774"/>
      <w:bookmarkEnd w:id="1551"/>
      <w:r>
        <w:rPr>
          <w:rFonts w:hint="eastAsia" w:ascii="黑体" w:eastAsia="黑体"/>
          <w:color w:val="auto"/>
        </w:rPr>
        <w:t>第十七章</w:t>
      </w:r>
      <w:r>
        <w:rPr>
          <w:rFonts w:hint="eastAsia" w:ascii="黑体" w:eastAsia="黑体"/>
          <w:color w:val="auto"/>
        </w:rPr>
        <w:tab/>
      </w:r>
      <w:r>
        <w:rPr>
          <w:rFonts w:hint="eastAsia" w:ascii="黑体" w:eastAsia="黑体"/>
          <w:color w:val="auto"/>
        </w:rPr>
        <w:t>专利监管</w:t>
      </w:r>
    </w:p>
    <w:p>
      <w:pPr>
        <w:pStyle w:val="4"/>
        <w:ind w:left="0"/>
        <w:rPr>
          <w:rFonts w:ascii="黑体"/>
          <w:color w:val="auto"/>
        </w:rPr>
      </w:pPr>
    </w:p>
    <w:p>
      <w:pPr>
        <w:pStyle w:val="4"/>
        <w:ind w:left="0"/>
        <w:rPr>
          <w:rFonts w:ascii="黑体"/>
          <w:color w:val="auto"/>
        </w:rPr>
      </w:pPr>
    </w:p>
    <w:p>
      <w:pPr>
        <w:pStyle w:val="2"/>
        <w:spacing w:before="172" w:line="388" w:lineRule="auto"/>
        <w:ind w:left="111" w:right="237" w:firstLine="480"/>
        <w:rPr>
          <w:color w:val="auto"/>
        </w:rPr>
      </w:pPr>
      <w:bookmarkStart w:id="1552" w:name="_bookmark775"/>
      <w:bookmarkEnd w:id="1552"/>
      <w:bookmarkStart w:id="1553" w:name="七百五十九、展会期间被认定专利侵权行为成立的当事人，拒不从展会上撤出认定侵权的展"/>
      <w:bookmarkEnd w:id="1553"/>
      <w:r>
        <w:rPr>
          <w:color w:val="auto"/>
          <w:spacing w:val="-7"/>
        </w:rPr>
        <w:t>七百五十九、展会期间被认定专利侵权行为成立的当事人，拒不从展会上撤出认定侵权的展品，销毁或者封存相关宣传材料</w:t>
      </w:r>
    </w:p>
    <w:p>
      <w:pPr>
        <w:spacing w:before="4"/>
        <w:ind w:left="591" w:right="0" w:firstLine="0"/>
        <w:jc w:val="left"/>
        <w:rPr>
          <w:b/>
          <w:color w:val="auto"/>
          <w:sz w:val="24"/>
        </w:rPr>
      </w:pPr>
      <w:r>
        <w:rPr>
          <w:b/>
          <w:color w:val="auto"/>
          <w:sz w:val="24"/>
        </w:rPr>
        <w:t>（一）处罚依据</w:t>
      </w:r>
    </w:p>
    <w:p>
      <w:pPr>
        <w:pStyle w:val="4"/>
        <w:spacing w:before="192" w:line="391" w:lineRule="auto"/>
        <w:ind w:right="148" w:firstLine="480"/>
        <w:rPr>
          <w:color w:val="auto"/>
        </w:rPr>
      </w:pPr>
      <w:r>
        <w:rPr>
          <w:color w:val="auto"/>
        </w:rPr>
        <w:t>《山东省专利纠纷处理和调解办法</w:t>
      </w:r>
      <w:r>
        <w:rPr>
          <w:color w:val="auto"/>
          <w:spacing w:val="-140"/>
        </w:rPr>
        <w:t>》</w:t>
      </w:r>
      <w:r>
        <w:rPr>
          <w:color w:val="auto"/>
        </w:rPr>
        <w:t>（</w:t>
      </w:r>
      <w:r>
        <w:rPr>
          <w:color w:val="auto"/>
          <w:spacing w:val="-6"/>
        </w:rPr>
        <w:t xml:space="preserve">山东省人民政府令第 </w:t>
      </w:r>
      <w:r>
        <w:rPr>
          <w:color w:val="auto"/>
        </w:rPr>
        <w:t>296</w:t>
      </w:r>
      <w:r>
        <w:rPr>
          <w:color w:val="auto"/>
          <w:spacing w:val="-30"/>
        </w:rPr>
        <w:t xml:space="preserve"> 号</w:t>
      </w:r>
      <w:r>
        <w:rPr>
          <w:color w:val="auto"/>
          <w:spacing w:val="-17"/>
        </w:rPr>
        <w:t>）</w:t>
      </w:r>
      <w:r>
        <w:rPr>
          <w:color w:val="auto"/>
          <w:spacing w:val="-3"/>
        </w:rPr>
        <w:t xml:space="preserve">第三十九条： </w:t>
      </w:r>
      <w:r>
        <w:rPr>
          <w:color w:val="auto"/>
          <w:spacing w:val="-4"/>
        </w:rPr>
        <w:t>违反本办法规定，展会期间被认定专利侵权行为成立的当事人，拒不从展会上撤出认</w:t>
      </w:r>
      <w:r>
        <w:rPr>
          <w:color w:val="auto"/>
          <w:spacing w:val="-8"/>
        </w:rPr>
        <w:t>定侵权的展品，销毁或者封存相关宣传材料的，由专利行政部门处以一万元以上三万元以下的罚款。</w:t>
      </w:r>
    </w:p>
    <w:p>
      <w:pPr>
        <w:pStyle w:val="2"/>
        <w:spacing w:line="302" w:lineRule="exact"/>
        <w:rPr>
          <w:color w:val="auto"/>
        </w:rPr>
      </w:pPr>
      <w:r>
        <w:rPr>
          <w:color w:val="auto"/>
        </w:rPr>
        <w:t>（二）裁量标准</w:t>
      </w:r>
    </w:p>
    <w:p>
      <w:pPr>
        <w:pStyle w:val="13"/>
        <w:numPr>
          <w:ilvl w:val="0"/>
          <w:numId w:val="1817"/>
        </w:numPr>
        <w:tabs>
          <w:tab w:val="left" w:pos="833"/>
        </w:tabs>
        <w:spacing w:before="194" w:after="0" w:line="240" w:lineRule="auto"/>
        <w:ind w:left="832" w:right="0" w:hanging="242"/>
        <w:jc w:val="left"/>
        <w:rPr>
          <w:color w:val="auto"/>
          <w:sz w:val="24"/>
        </w:rPr>
      </w:pPr>
      <w:r>
        <w:rPr>
          <w:color w:val="auto"/>
          <w:sz w:val="24"/>
        </w:rPr>
        <w:t>【较轻】</w:t>
      </w:r>
    </w:p>
    <w:p>
      <w:pPr>
        <w:pStyle w:val="13"/>
        <w:numPr>
          <w:ilvl w:val="0"/>
          <w:numId w:val="181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4"/>
        </w:rPr>
        <w:t>对在展会期间被认定侵权的专利产品，执法人员告知展会参展当事人，展会参展</w:t>
      </w:r>
      <w:r>
        <w:rPr>
          <w:color w:val="auto"/>
          <w:spacing w:val="-3"/>
        </w:rPr>
        <w:t>当事人在执法人员要求的时间内拒不从展会上撤出认定侵权的展品，销毁或者封存相</w:t>
      </w:r>
      <w:r>
        <w:rPr>
          <w:color w:val="auto"/>
        </w:rPr>
        <w:t>关宣传材料的。</w:t>
      </w:r>
    </w:p>
    <w:p>
      <w:pPr>
        <w:pStyle w:val="13"/>
        <w:numPr>
          <w:ilvl w:val="0"/>
          <w:numId w:val="1818"/>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ind w:left="591"/>
        <w:rPr>
          <w:color w:val="auto"/>
        </w:rPr>
      </w:pPr>
      <w:r>
        <w:rPr>
          <w:color w:val="auto"/>
        </w:rPr>
        <w:t>处 1 万元以上 2 万元以下罚款。</w:t>
      </w:r>
    </w:p>
    <w:p>
      <w:pPr>
        <w:pStyle w:val="13"/>
        <w:numPr>
          <w:ilvl w:val="0"/>
          <w:numId w:val="1817"/>
        </w:numPr>
        <w:tabs>
          <w:tab w:val="left" w:pos="833"/>
        </w:tabs>
        <w:spacing w:before="191" w:after="0" w:line="240" w:lineRule="auto"/>
        <w:ind w:left="832" w:right="0" w:hanging="242"/>
        <w:jc w:val="left"/>
        <w:rPr>
          <w:color w:val="auto"/>
          <w:sz w:val="24"/>
        </w:rPr>
      </w:pPr>
      <w:r>
        <w:rPr>
          <w:color w:val="auto"/>
          <w:sz w:val="24"/>
        </w:rPr>
        <w:t>【一般】</w:t>
      </w:r>
    </w:p>
    <w:p>
      <w:pPr>
        <w:pStyle w:val="13"/>
        <w:numPr>
          <w:ilvl w:val="0"/>
          <w:numId w:val="1819"/>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对展会前已经由法院或专利行政部门认定侵权的专利产品，又再次参展，执法人</w:t>
      </w:r>
    </w:p>
    <w:p>
      <w:pPr>
        <w:pStyle w:val="4"/>
        <w:spacing w:before="39" w:line="391" w:lineRule="auto"/>
        <w:ind w:right="213"/>
        <w:rPr>
          <w:color w:val="auto"/>
        </w:rPr>
      </w:pPr>
      <w:r>
        <w:rPr>
          <w:color w:val="auto"/>
        </w:rPr>
        <w:t>员告知展会参展当事人，展会参展当事人在执法人员要求的时间内拒不从展会上撤出认定侵权的展品，销毁或者封存相关宣传材料的。</w:t>
      </w:r>
    </w:p>
    <w:p>
      <w:pPr>
        <w:pStyle w:val="13"/>
        <w:numPr>
          <w:ilvl w:val="0"/>
          <w:numId w:val="1819"/>
        </w:numPr>
        <w:tabs>
          <w:tab w:val="left" w:pos="1193"/>
        </w:tabs>
        <w:spacing w:before="0" w:after="0" w:line="306"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处 2 万元以上 3 万元以下罚款。</w:t>
      </w:r>
    </w:p>
    <w:p>
      <w:pPr>
        <w:pStyle w:val="13"/>
        <w:numPr>
          <w:ilvl w:val="0"/>
          <w:numId w:val="1817"/>
        </w:numPr>
        <w:tabs>
          <w:tab w:val="left" w:pos="833"/>
        </w:tabs>
        <w:spacing w:before="194" w:after="0" w:line="240" w:lineRule="auto"/>
        <w:ind w:left="832" w:right="0" w:hanging="242"/>
        <w:jc w:val="left"/>
        <w:rPr>
          <w:color w:val="auto"/>
          <w:sz w:val="24"/>
        </w:rPr>
      </w:pPr>
      <w:r>
        <w:rPr>
          <w:color w:val="auto"/>
          <w:sz w:val="24"/>
        </w:rPr>
        <w:t>【严重】</w:t>
      </w:r>
    </w:p>
    <w:p>
      <w:pPr>
        <w:pStyle w:val="13"/>
        <w:numPr>
          <w:ilvl w:val="0"/>
          <w:numId w:val="1820"/>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4"/>
        </w:rPr>
        <w:t>对已经认定侵权的专利产品再次参展，执法人员告知展会参展当事人，展会参展</w:t>
      </w:r>
      <w:r>
        <w:rPr>
          <w:color w:val="auto"/>
          <w:spacing w:val="-3"/>
        </w:rPr>
        <w:t>当事人在执法人员要求的时间内拒不从展会上撤出认定侵权的展品，销毁或者封存相</w:t>
      </w:r>
      <w:r>
        <w:rPr>
          <w:color w:val="auto"/>
        </w:rPr>
        <w:t>关宣传材料，并且态度恶劣、妨碍执法，情节特别严重的。</w:t>
      </w:r>
    </w:p>
    <w:p>
      <w:pPr>
        <w:pStyle w:val="13"/>
        <w:numPr>
          <w:ilvl w:val="0"/>
          <w:numId w:val="1820"/>
        </w:numPr>
        <w:tabs>
          <w:tab w:val="left" w:pos="1193"/>
        </w:tabs>
        <w:spacing w:before="0" w:after="0" w:line="391" w:lineRule="auto"/>
        <w:ind w:left="591" w:right="6952" w:firstLine="0"/>
        <w:jc w:val="both"/>
        <w:rPr>
          <w:color w:val="auto"/>
          <w:sz w:val="24"/>
        </w:rPr>
      </w:pPr>
      <w:r>
        <w:rPr>
          <w:color w:val="auto"/>
          <w:sz w:val="24"/>
        </w:rPr>
        <w:t>处罚标准</w:t>
      </w:r>
      <w:r>
        <w:rPr>
          <w:color w:val="auto"/>
          <w:spacing w:val="-30"/>
          <w:sz w:val="24"/>
        </w:rPr>
        <w:t xml:space="preserve">处 </w:t>
      </w:r>
      <w:r>
        <w:rPr>
          <w:color w:val="auto"/>
          <w:sz w:val="24"/>
        </w:rPr>
        <w:t>3</w:t>
      </w:r>
      <w:r>
        <w:rPr>
          <w:color w:val="auto"/>
          <w:spacing w:val="-13"/>
          <w:sz w:val="24"/>
        </w:rPr>
        <w:t xml:space="preserve"> 万元罚款。</w:t>
      </w:r>
    </w:p>
    <w:p>
      <w:pPr>
        <w:pStyle w:val="2"/>
        <w:spacing w:line="388" w:lineRule="auto"/>
        <w:ind w:left="111" w:right="242" w:firstLine="480"/>
        <w:rPr>
          <w:color w:val="auto"/>
        </w:rPr>
      </w:pPr>
      <w:bookmarkStart w:id="1554" w:name="七百六十、有关当事人隐瞒、伪造、转移、毁灭与案件有关的证据，不配合专利行政部门调"/>
      <w:bookmarkEnd w:id="1554"/>
      <w:bookmarkStart w:id="1555" w:name="_bookmark776"/>
      <w:bookmarkEnd w:id="1555"/>
      <w:r>
        <w:rPr>
          <w:color w:val="auto"/>
          <w:spacing w:val="-7"/>
        </w:rPr>
        <w:t>七百六十、有关当事人隐瞒、伪造、转移、毁灭与案件有关的证据，不配合专利行政部门调查取证</w:t>
      </w:r>
    </w:p>
    <w:p>
      <w:pPr>
        <w:spacing w:before="0"/>
        <w:ind w:left="591" w:right="0" w:firstLine="0"/>
        <w:jc w:val="left"/>
        <w:rPr>
          <w:b/>
          <w:color w:val="auto"/>
          <w:sz w:val="24"/>
        </w:rPr>
      </w:pPr>
      <w:r>
        <w:rPr>
          <w:b/>
          <w:color w:val="auto"/>
          <w:sz w:val="24"/>
        </w:rPr>
        <w:t>（一）处罚依据</w:t>
      </w:r>
    </w:p>
    <w:p>
      <w:pPr>
        <w:pStyle w:val="4"/>
        <w:spacing w:before="191" w:line="391" w:lineRule="auto"/>
        <w:ind w:right="148" w:firstLine="480"/>
        <w:rPr>
          <w:color w:val="auto"/>
        </w:rPr>
      </w:pPr>
      <w:r>
        <w:rPr>
          <w:color w:val="auto"/>
          <w:spacing w:val="-7"/>
        </w:rPr>
        <w:t>《山东省专利纠纷处理和调解办法》</w:t>
      </w:r>
      <w:r>
        <w:rPr>
          <w:color w:val="auto"/>
        </w:rPr>
        <w:t>（</w:t>
      </w:r>
      <w:r>
        <w:rPr>
          <w:color w:val="auto"/>
          <w:spacing w:val="-6"/>
        </w:rPr>
        <w:t xml:space="preserve">山东省人民政府令第 </w:t>
      </w:r>
      <w:r>
        <w:rPr>
          <w:color w:val="auto"/>
        </w:rPr>
        <w:t>296</w:t>
      </w:r>
      <w:r>
        <w:rPr>
          <w:color w:val="auto"/>
          <w:spacing w:val="-30"/>
        </w:rPr>
        <w:t xml:space="preserve"> 号</w:t>
      </w:r>
      <w:r>
        <w:rPr>
          <w:color w:val="auto"/>
          <w:spacing w:val="-53"/>
        </w:rPr>
        <w:t>）</w:t>
      </w:r>
      <w:r>
        <w:rPr>
          <w:color w:val="auto"/>
          <w:spacing w:val="-3"/>
        </w:rPr>
        <w:t xml:space="preserve">第三十八条： </w:t>
      </w:r>
      <w:r>
        <w:rPr>
          <w:color w:val="auto"/>
          <w:spacing w:val="-5"/>
        </w:rPr>
        <w:t>违反本办法规定，有关当事人隐瞒、伪造、转移、毁灭与案件有关的证据的，由专利行政部门处以一万元以上三万元以下的罚款。</w:t>
      </w:r>
    </w:p>
    <w:p>
      <w:pPr>
        <w:pStyle w:val="2"/>
        <w:spacing w:line="304" w:lineRule="exact"/>
        <w:rPr>
          <w:color w:val="auto"/>
        </w:rPr>
      </w:pPr>
      <w:r>
        <w:rPr>
          <w:color w:val="auto"/>
        </w:rPr>
        <w:t>（二）裁量标准</w:t>
      </w:r>
    </w:p>
    <w:p>
      <w:pPr>
        <w:pStyle w:val="13"/>
        <w:numPr>
          <w:ilvl w:val="0"/>
          <w:numId w:val="1821"/>
        </w:numPr>
        <w:tabs>
          <w:tab w:val="left" w:pos="833"/>
        </w:tabs>
        <w:spacing w:before="191" w:after="0" w:line="240" w:lineRule="auto"/>
        <w:ind w:left="832" w:right="0" w:hanging="242"/>
        <w:jc w:val="left"/>
        <w:rPr>
          <w:color w:val="auto"/>
          <w:sz w:val="24"/>
        </w:rPr>
      </w:pPr>
      <w:r>
        <w:rPr>
          <w:color w:val="auto"/>
          <w:sz w:val="24"/>
        </w:rPr>
        <w:t>【较轻】</w:t>
      </w:r>
    </w:p>
    <w:p>
      <w:pPr>
        <w:pStyle w:val="13"/>
        <w:numPr>
          <w:ilvl w:val="0"/>
          <w:numId w:val="182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有关当事人隐瞒与案件有关的证据，不配合专利行政部门调查取证的。</w:t>
      </w:r>
    </w:p>
    <w:p>
      <w:pPr>
        <w:pStyle w:val="13"/>
        <w:numPr>
          <w:ilvl w:val="0"/>
          <w:numId w:val="1822"/>
        </w:numPr>
        <w:tabs>
          <w:tab w:val="left" w:pos="1193"/>
        </w:tabs>
        <w:spacing w:before="19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处 1 万元以上 2 万元以下罚款。</w:t>
      </w:r>
    </w:p>
    <w:p>
      <w:pPr>
        <w:pStyle w:val="13"/>
        <w:numPr>
          <w:ilvl w:val="0"/>
          <w:numId w:val="1821"/>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823"/>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line="388" w:lineRule="auto"/>
        <w:ind w:right="213" w:firstLine="480"/>
        <w:rPr>
          <w:color w:val="auto"/>
        </w:rPr>
      </w:pPr>
      <w:r>
        <w:rPr>
          <w:color w:val="auto"/>
        </w:rPr>
        <w:t>有关当事人伪造、转移、毁灭与案件有关的证据，不配合专利行政部门调查取证的。</w:t>
      </w:r>
    </w:p>
    <w:p>
      <w:pPr>
        <w:pStyle w:val="13"/>
        <w:numPr>
          <w:ilvl w:val="0"/>
          <w:numId w:val="1823"/>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39"/>
        <w:ind w:left="591"/>
        <w:rPr>
          <w:color w:val="auto"/>
        </w:rPr>
      </w:pPr>
      <w:r>
        <w:rPr>
          <w:color w:val="auto"/>
        </w:rPr>
        <w:t>处 2 万元以上 3 万元以下罚款。</w:t>
      </w:r>
    </w:p>
    <w:p>
      <w:pPr>
        <w:pStyle w:val="13"/>
        <w:numPr>
          <w:ilvl w:val="0"/>
          <w:numId w:val="1821"/>
        </w:numPr>
        <w:tabs>
          <w:tab w:val="left" w:pos="833"/>
        </w:tabs>
        <w:spacing w:before="195" w:after="0" w:line="240" w:lineRule="auto"/>
        <w:ind w:left="832" w:right="0" w:hanging="242"/>
        <w:jc w:val="left"/>
        <w:rPr>
          <w:color w:val="auto"/>
          <w:sz w:val="24"/>
        </w:rPr>
      </w:pPr>
      <w:r>
        <w:rPr>
          <w:color w:val="auto"/>
          <w:sz w:val="24"/>
        </w:rPr>
        <w:t>【严重】</w:t>
      </w:r>
    </w:p>
    <w:p>
      <w:pPr>
        <w:pStyle w:val="13"/>
        <w:numPr>
          <w:ilvl w:val="0"/>
          <w:numId w:val="1824"/>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148" w:firstLine="480"/>
        <w:rPr>
          <w:color w:val="auto"/>
        </w:rPr>
      </w:pPr>
      <w:r>
        <w:rPr>
          <w:color w:val="auto"/>
          <w:spacing w:val="-14"/>
        </w:rPr>
        <w:t xml:space="preserve">有关当事人伪造、转移、毁灭与案件有关的证据，不配合专利行政部门调查取证， </w:t>
      </w:r>
      <w:r>
        <w:rPr>
          <w:color w:val="auto"/>
        </w:rPr>
        <w:t>态度恶劣、妨碍执法，致使执法人员无法办案的。</w:t>
      </w:r>
    </w:p>
    <w:p>
      <w:pPr>
        <w:pStyle w:val="13"/>
        <w:numPr>
          <w:ilvl w:val="0"/>
          <w:numId w:val="1824"/>
        </w:numPr>
        <w:tabs>
          <w:tab w:val="left" w:pos="1193"/>
        </w:tabs>
        <w:spacing w:before="0" w:after="0" w:line="388" w:lineRule="auto"/>
        <w:ind w:left="591" w:right="6952" w:firstLine="0"/>
        <w:jc w:val="left"/>
        <w:rPr>
          <w:color w:val="auto"/>
          <w:sz w:val="24"/>
        </w:rPr>
      </w:pPr>
      <w:r>
        <w:rPr>
          <w:color w:val="auto"/>
          <w:sz w:val="24"/>
        </w:rPr>
        <w:t>处罚标准</w:t>
      </w:r>
      <w:r>
        <w:rPr>
          <w:color w:val="auto"/>
          <w:spacing w:val="-30"/>
          <w:sz w:val="24"/>
        </w:rPr>
        <w:t xml:space="preserve">处 </w:t>
      </w:r>
      <w:r>
        <w:rPr>
          <w:color w:val="auto"/>
          <w:sz w:val="24"/>
        </w:rPr>
        <w:t>3</w:t>
      </w:r>
      <w:r>
        <w:rPr>
          <w:color w:val="auto"/>
          <w:spacing w:val="-13"/>
          <w:sz w:val="24"/>
        </w:rPr>
        <w:t xml:space="preserve"> 万元罚款。</w:t>
      </w:r>
    </w:p>
    <w:p>
      <w:pPr>
        <w:pStyle w:val="2"/>
        <w:spacing w:before="3"/>
        <w:rPr>
          <w:color w:val="auto"/>
        </w:rPr>
      </w:pPr>
      <w:bookmarkStart w:id="1556" w:name="_bookmark777"/>
      <w:bookmarkEnd w:id="1556"/>
      <w:bookmarkStart w:id="1557" w:name="七百六十一、专利代理机构违规从业"/>
      <w:bookmarkEnd w:id="1557"/>
      <w:r>
        <w:rPr>
          <w:color w:val="auto"/>
        </w:rPr>
        <w:t>七百六十一、专利代理机构违规从业</w:t>
      </w:r>
    </w:p>
    <w:p>
      <w:pPr>
        <w:spacing w:before="192"/>
        <w:ind w:left="591" w:right="0" w:firstLine="0"/>
        <w:jc w:val="left"/>
        <w:rPr>
          <w:b/>
          <w:color w:val="auto"/>
          <w:sz w:val="24"/>
        </w:rPr>
      </w:pPr>
      <w:r>
        <w:rPr>
          <w:b/>
          <w:color w:val="auto"/>
          <w:sz w:val="24"/>
        </w:rPr>
        <w:t>（一）处罚依据</w:t>
      </w:r>
    </w:p>
    <w:p>
      <w:pPr>
        <w:pStyle w:val="4"/>
        <w:spacing w:before="191" w:line="391" w:lineRule="auto"/>
        <w:ind w:right="268" w:firstLine="480"/>
        <w:jc w:val="both"/>
        <w:rPr>
          <w:color w:val="auto"/>
        </w:rPr>
      </w:pPr>
      <w:r>
        <w:rPr>
          <w:color w:val="auto"/>
        </w:rPr>
        <w:t>《专利代理条例</w:t>
      </w:r>
      <w:r>
        <w:rPr>
          <w:color w:val="auto"/>
          <w:spacing w:val="-152"/>
        </w:rPr>
        <w:t>》</w:t>
      </w:r>
      <w:r>
        <w:rPr>
          <w:color w:val="auto"/>
        </w:rPr>
        <w:t>（2018</w:t>
      </w:r>
      <w:r>
        <w:rPr>
          <w:color w:val="auto"/>
          <w:spacing w:val="-40"/>
        </w:rPr>
        <w:t xml:space="preserve"> 年 </w:t>
      </w:r>
      <w:r>
        <w:rPr>
          <w:color w:val="auto"/>
        </w:rPr>
        <w:t>11</w:t>
      </w:r>
      <w:r>
        <w:rPr>
          <w:color w:val="auto"/>
          <w:spacing w:val="-16"/>
        </w:rPr>
        <w:t xml:space="preserve"> 月国务院令第 </w:t>
      </w:r>
      <w:r>
        <w:rPr>
          <w:color w:val="auto"/>
        </w:rPr>
        <w:t>706</w:t>
      </w:r>
      <w:r>
        <w:rPr>
          <w:color w:val="auto"/>
          <w:spacing w:val="-30"/>
        </w:rPr>
        <w:t xml:space="preserve"> 号</w:t>
      </w:r>
      <w:r>
        <w:rPr>
          <w:color w:val="auto"/>
          <w:spacing w:val="-34"/>
        </w:rPr>
        <w:t>）</w:t>
      </w:r>
      <w:r>
        <w:rPr>
          <w:color w:val="auto"/>
          <w:spacing w:val="-7"/>
        </w:rPr>
        <w:t>第二十五条：专利代理机构</w:t>
      </w:r>
      <w:r>
        <w:rPr>
          <w:color w:val="auto"/>
          <w:spacing w:val="-5"/>
        </w:rPr>
        <w:t>有下列行为之一的，由省、自治区、直辖市人民政府管理专利工作的部门责令限期改</w:t>
      </w:r>
      <w:r>
        <w:rPr>
          <w:color w:val="auto"/>
          <w:spacing w:val="-3"/>
        </w:rPr>
        <w:t xml:space="preserve">正，予以警告，可以处 </w:t>
      </w:r>
      <w:r>
        <w:rPr>
          <w:color w:val="auto"/>
        </w:rPr>
        <w:t>10</w:t>
      </w:r>
      <w:r>
        <w:rPr>
          <w:color w:val="auto"/>
          <w:spacing w:val="-6"/>
        </w:rPr>
        <w:t xml:space="preserve"> 万元以下的罚款；情节严重或者逾期未改正的，由国务院</w:t>
      </w:r>
    </w:p>
    <w:p>
      <w:pPr>
        <w:pStyle w:val="4"/>
        <w:spacing w:line="391" w:lineRule="auto"/>
        <w:ind w:right="148"/>
        <w:jc w:val="both"/>
        <w:rPr>
          <w:color w:val="auto"/>
        </w:rPr>
      </w:pPr>
      <w:r>
        <w:rPr>
          <w:color w:val="auto"/>
          <w:spacing w:val="-3"/>
        </w:rPr>
        <w:t xml:space="preserve">专利行政部门责令停止承接新的专利代理业务 </w:t>
      </w:r>
      <w:r>
        <w:rPr>
          <w:color w:val="auto"/>
        </w:rPr>
        <w:t>6</w:t>
      </w:r>
      <w:r>
        <w:rPr>
          <w:color w:val="auto"/>
          <w:spacing w:val="-20"/>
        </w:rPr>
        <w:t xml:space="preserve"> 个月至 </w:t>
      </w:r>
      <w:r>
        <w:rPr>
          <w:color w:val="auto"/>
        </w:rPr>
        <w:t>12</w:t>
      </w:r>
      <w:r>
        <w:rPr>
          <w:color w:val="auto"/>
          <w:spacing w:val="-8"/>
        </w:rPr>
        <w:t xml:space="preserve"> 个月，直至吊销专利代理</w:t>
      </w:r>
      <w:r>
        <w:rPr>
          <w:color w:val="auto"/>
          <w:spacing w:val="-14"/>
        </w:rPr>
        <w:t>机构执业许可证：</w:t>
      </w:r>
      <w:r>
        <w:rPr>
          <w:color w:val="auto"/>
          <w:spacing w:val="2"/>
        </w:rPr>
        <w:t>（一）</w:t>
      </w:r>
      <w:r>
        <w:rPr>
          <w:color w:val="auto"/>
        </w:rPr>
        <w:t>合伙人、股东或者法定代表人等事项发生变化未办理变更手</w:t>
      </w:r>
      <w:r>
        <w:rPr>
          <w:color w:val="auto"/>
          <w:spacing w:val="-56"/>
        </w:rPr>
        <w:t>续；</w:t>
      </w:r>
      <w:r>
        <w:rPr>
          <w:color w:val="auto"/>
          <w:spacing w:val="4"/>
        </w:rPr>
        <w:t>（</w:t>
      </w:r>
      <w:r>
        <w:rPr>
          <w:color w:val="auto"/>
          <w:spacing w:val="7"/>
        </w:rPr>
        <w:t>二</w:t>
      </w:r>
      <w:r>
        <w:rPr>
          <w:color w:val="auto"/>
          <w:spacing w:val="4"/>
        </w:rPr>
        <w:t>）</w:t>
      </w:r>
      <w:r>
        <w:rPr>
          <w:color w:val="auto"/>
          <w:spacing w:val="3"/>
        </w:rPr>
        <w:t>就同一专利申请或者专利权的事务接受有利益冲突的其他当事人的委托；</w:t>
      </w:r>
    </w:p>
    <w:p>
      <w:pPr>
        <w:pStyle w:val="4"/>
        <w:spacing w:line="391" w:lineRule="auto"/>
        <w:ind w:right="148"/>
        <w:rPr>
          <w:color w:val="auto"/>
        </w:rPr>
      </w:pPr>
      <w:r>
        <w:rPr>
          <w:color w:val="auto"/>
        </w:rPr>
        <w:t>（三</w:t>
      </w:r>
      <w:r>
        <w:rPr>
          <w:color w:val="auto"/>
          <w:spacing w:val="-20"/>
        </w:rPr>
        <w:t>）</w:t>
      </w:r>
      <w:r>
        <w:rPr>
          <w:color w:val="auto"/>
        </w:rPr>
        <w:t>指派专利代理师承办与其本人或者其近亲属有利益冲突的专利代理业务</w:t>
      </w:r>
      <w:r>
        <w:rPr>
          <w:color w:val="auto"/>
          <w:spacing w:val="-137"/>
        </w:rPr>
        <w:t>；</w:t>
      </w:r>
      <w:r>
        <w:rPr>
          <w:color w:val="auto"/>
        </w:rPr>
        <w:t>（四</w:t>
      </w:r>
      <w:r>
        <w:rPr>
          <w:color w:val="auto"/>
          <w:spacing w:val="-16"/>
        </w:rPr>
        <w:t>）</w:t>
      </w:r>
      <w:r>
        <w:rPr>
          <w:color w:val="auto"/>
          <w:spacing w:val="6"/>
        </w:rPr>
        <w:t>泄露委托人的发明创造内容，或者以自己的名义申请专利或请求宣告专利权无效；</w:t>
      </w:r>
    </w:p>
    <w:p>
      <w:pPr>
        <w:pStyle w:val="4"/>
        <w:spacing w:line="306" w:lineRule="exact"/>
        <w:rPr>
          <w:color w:val="auto"/>
        </w:rPr>
      </w:pPr>
      <w:r>
        <w:rPr>
          <w:color w:val="auto"/>
        </w:rPr>
        <w:t>（五）疏于管理，造成严重后果。”</w:t>
      </w:r>
    </w:p>
    <w:p>
      <w:pPr>
        <w:pStyle w:val="2"/>
        <w:spacing w:before="185"/>
        <w:rPr>
          <w:color w:val="auto"/>
        </w:rPr>
      </w:pPr>
      <w:r>
        <w:rPr>
          <w:color w:val="auto"/>
        </w:rPr>
        <w:t>（二）裁量标准</w:t>
      </w:r>
    </w:p>
    <w:p>
      <w:pPr>
        <w:pStyle w:val="13"/>
        <w:numPr>
          <w:ilvl w:val="0"/>
          <w:numId w:val="0"/>
        </w:numPr>
        <w:tabs>
          <w:tab w:val="left" w:pos="833"/>
        </w:tabs>
        <w:spacing w:before="194" w:after="0" w:line="240" w:lineRule="auto"/>
        <w:ind w:left="590" w:leftChars="0" w:right="0" w:rightChars="0"/>
        <w:jc w:val="left"/>
        <w:rPr>
          <w:rFonts w:hint="default"/>
          <w:color w:val="auto"/>
          <w:sz w:val="24"/>
          <w:lang w:val="en-US" w:eastAsia="zh-CN"/>
        </w:rPr>
      </w:pPr>
      <w:r>
        <w:rPr>
          <w:rFonts w:hint="eastAsia"/>
          <w:color w:val="auto"/>
          <w:sz w:val="24"/>
          <w:lang w:val="en-US" w:eastAsia="zh-CN"/>
        </w:rPr>
        <w:t>1.【不予处罚】</w:t>
      </w:r>
    </w:p>
    <w:p>
      <w:pPr>
        <w:keepNext w:val="0"/>
        <w:keepLines w:val="0"/>
        <w:widowControl/>
        <w:suppressLineNumbers w:val="0"/>
        <w:ind w:firstLine="472"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72" w:firstLineChars="200"/>
        <w:jc w:val="left"/>
        <w:rPr>
          <w:rFonts w:hint="eastAsia"/>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未造成危害后果</w:t>
      </w:r>
    </w:p>
    <w:p>
      <w:pPr>
        <w:pStyle w:val="13"/>
        <w:numPr>
          <w:ilvl w:val="0"/>
          <w:numId w:val="0"/>
        </w:numPr>
        <w:tabs>
          <w:tab w:val="left" w:pos="833"/>
        </w:tabs>
        <w:spacing w:before="194" w:after="0" w:line="240" w:lineRule="auto"/>
        <w:ind w:left="590" w:leftChars="0" w:right="0" w:rightChars="0"/>
        <w:jc w:val="left"/>
        <w:rPr>
          <w:color w:val="auto"/>
          <w:sz w:val="24"/>
        </w:rPr>
      </w:pPr>
      <w:r>
        <w:rPr>
          <w:rFonts w:hint="eastAsia"/>
          <w:color w:val="auto"/>
          <w:sz w:val="24"/>
          <w:lang w:val="en-US" w:eastAsia="zh-CN"/>
        </w:rPr>
        <w:t>2.</w:t>
      </w:r>
      <w:r>
        <w:rPr>
          <w:color w:val="auto"/>
          <w:sz w:val="24"/>
        </w:rPr>
        <w:t>【较轻】</w:t>
      </w:r>
    </w:p>
    <w:p>
      <w:pPr>
        <w:pStyle w:val="13"/>
        <w:numPr>
          <w:ilvl w:val="0"/>
          <w:numId w:val="1825"/>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32" w:firstLine="480"/>
        <w:jc w:val="both"/>
        <w:rPr>
          <w:color w:val="auto"/>
        </w:rPr>
      </w:pPr>
      <w:r>
        <w:rPr>
          <w:color w:val="auto"/>
        </w:rPr>
        <w:t>合伙人、股东或者法定代表人等事项发生变化未办理变更手续，逾期不改正的； 就同一专利申请或者专利权的事务接受有利益冲突的其他当事人的委托或指派专利代理师承办与其本人或者其近亲属有利益冲突的专利代理业务，造成一定影响的。</w:t>
      </w:r>
    </w:p>
    <w:p>
      <w:pPr>
        <w:pStyle w:val="13"/>
        <w:numPr>
          <w:ilvl w:val="0"/>
          <w:numId w:val="1825"/>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ind w:left="591"/>
        <w:rPr>
          <w:color w:val="auto"/>
        </w:rPr>
      </w:pPr>
      <w:r>
        <w:rPr>
          <w:color w:val="auto"/>
        </w:rPr>
        <w:t>责令限期改正，处 3 万元以下罚款。</w:t>
      </w:r>
    </w:p>
    <w:p>
      <w:pPr>
        <w:pStyle w:val="13"/>
        <w:numPr>
          <w:ilvl w:val="0"/>
          <w:numId w:val="1826"/>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827"/>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39" w:line="391" w:lineRule="auto"/>
        <w:ind w:right="269" w:firstLine="480"/>
        <w:jc w:val="both"/>
        <w:rPr>
          <w:color w:val="auto"/>
        </w:rPr>
      </w:pPr>
      <w:r>
        <w:rPr>
          <w:color w:val="auto"/>
        </w:rPr>
        <w:t>就同一专利申请或者专利权的事务接受有利益冲突的其他当事人的委托或指派专利代理师承办与其本人或者其近亲属有利益冲突的专利代理业务，造成较重影响的。</w:t>
      </w:r>
    </w:p>
    <w:p>
      <w:pPr>
        <w:pStyle w:val="13"/>
        <w:numPr>
          <w:ilvl w:val="0"/>
          <w:numId w:val="1827"/>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5"/>
        <w:ind w:left="591"/>
        <w:rPr>
          <w:color w:val="auto"/>
        </w:rPr>
      </w:pPr>
      <w:r>
        <w:rPr>
          <w:color w:val="auto"/>
        </w:rPr>
        <w:t>责令限期改正，处 3-7 万元罚款。</w:t>
      </w:r>
    </w:p>
    <w:p>
      <w:pPr>
        <w:pStyle w:val="13"/>
        <w:numPr>
          <w:ilvl w:val="0"/>
          <w:numId w:val="1826"/>
        </w:numPr>
        <w:tabs>
          <w:tab w:val="left" w:pos="833"/>
        </w:tabs>
        <w:spacing w:before="191" w:after="0" w:line="240" w:lineRule="auto"/>
        <w:ind w:left="832" w:right="0" w:hanging="242"/>
        <w:jc w:val="left"/>
        <w:rPr>
          <w:color w:val="auto"/>
          <w:sz w:val="24"/>
        </w:rPr>
      </w:pPr>
      <w:r>
        <w:rPr>
          <w:color w:val="auto"/>
          <w:sz w:val="24"/>
        </w:rPr>
        <w:t>【严重】</w:t>
      </w:r>
    </w:p>
    <w:p>
      <w:pPr>
        <w:pStyle w:val="13"/>
        <w:numPr>
          <w:ilvl w:val="0"/>
          <w:numId w:val="1828"/>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4" w:line="388" w:lineRule="auto"/>
        <w:ind w:right="268" w:firstLine="480"/>
        <w:jc w:val="both"/>
        <w:rPr>
          <w:color w:val="auto"/>
        </w:rPr>
      </w:pPr>
      <w:r>
        <w:rPr>
          <w:color w:val="auto"/>
          <w:spacing w:val="-4"/>
        </w:rPr>
        <w:t>泄露委托人的发明创造内容，或者以自己的名义申请专利或请求宣告专利权无效</w:t>
      </w:r>
      <w:r>
        <w:rPr>
          <w:color w:val="auto"/>
          <w:spacing w:val="-7"/>
        </w:rPr>
        <w:t>的；疏于管理，造成严重后果，对委托人的利益造成严重影响的；逾期未改正违法行</w:t>
      </w:r>
      <w:r>
        <w:rPr>
          <w:color w:val="auto"/>
        </w:rPr>
        <w:t>为的。</w:t>
      </w:r>
    </w:p>
    <w:p>
      <w:pPr>
        <w:pStyle w:val="13"/>
        <w:numPr>
          <w:ilvl w:val="0"/>
          <w:numId w:val="1828"/>
        </w:numPr>
        <w:tabs>
          <w:tab w:val="left" w:pos="1193"/>
        </w:tabs>
        <w:spacing w:before="6"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责令限期改正，处 7-10 万元罚款，由国务院专利行政部门责令停止承接新的专</w:t>
      </w:r>
    </w:p>
    <w:p>
      <w:pPr>
        <w:spacing w:before="192" w:line="391" w:lineRule="auto"/>
        <w:ind w:left="591" w:right="2032" w:hanging="480"/>
        <w:jc w:val="left"/>
        <w:rPr>
          <w:b/>
          <w:color w:val="auto"/>
          <w:sz w:val="24"/>
        </w:rPr>
      </w:pPr>
      <w:r>
        <w:rPr>
          <w:color w:val="auto"/>
          <w:spacing w:val="-10"/>
          <w:sz w:val="24"/>
        </w:rPr>
        <w:t xml:space="preserve">利代理业务 </w:t>
      </w:r>
      <w:r>
        <w:rPr>
          <w:color w:val="auto"/>
          <w:sz w:val="24"/>
        </w:rPr>
        <w:t>6</w:t>
      </w:r>
      <w:r>
        <w:rPr>
          <w:color w:val="auto"/>
          <w:spacing w:val="-24"/>
          <w:sz w:val="24"/>
        </w:rPr>
        <w:t xml:space="preserve"> 个月至 </w:t>
      </w:r>
      <w:r>
        <w:rPr>
          <w:color w:val="auto"/>
          <w:sz w:val="24"/>
        </w:rPr>
        <w:t>12</w:t>
      </w:r>
      <w:r>
        <w:rPr>
          <w:color w:val="auto"/>
          <w:spacing w:val="-9"/>
          <w:sz w:val="24"/>
        </w:rPr>
        <w:t xml:space="preserve"> 个月，直至吊销专利代理机构执业许可证。</w:t>
      </w:r>
      <w:bookmarkStart w:id="1558" w:name="_bookmark778"/>
      <w:bookmarkEnd w:id="1558"/>
      <w:bookmarkStart w:id="1559" w:name="七百六十二、专利代理师违规从业"/>
      <w:bookmarkEnd w:id="1559"/>
      <w:r>
        <w:rPr>
          <w:b/>
          <w:color w:val="auto"/>
          <w:sz w:val="24"/>
        </w:rPr>
        <w:t>七百六十二、专利代理师违规从业</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spacing w:val="-15"/>
        </w:rPr>
        <w:t>《专利代理条例》</w:t>
      </w:r>
      <w:r>
        <w:rPr>
          <w:color w:val="auto"/>
        </w:rPr>
        <w:t>（2018</w:t>
      </w:r>
      <w:r>
        <w:rPr>
          <w:color w:val="auto"/>
          <w:spacing w:val="-40"/>
        </w:rPr>
        <w:t xml:space="preserve"> 年 </w:t>
      </w:r>
      <w:r>
        <w:rPr>
          <w:color w:val="auto"/>
        </w:rPr>
        <w:t>11</w:t>
      </w:r>
      <w:r>
        <w:rPr>
          <w:color w:val="auto"/>
          <w:spacing w:val="-16"/>
        </w:rPr>
        <w:t xml:space="preserve"> 月国务院令第 </w:t>
      </w:r>
      <w:r>
        <w:rPr>
          <w:color w:val="auto"/>
        </w:rPr>
        <w:t>706</w:t>
      </w:r>
      <w:r>
        <w:rPr>
          <w:color w:val="auto"/>
          <w:spacing w:val="-29"/>
        </w:rPr>
        <w:t xml:space="preserve"> 号</w:t>
      </w:r>
      <w:r>
        <w:rPr>
          <w:color w:val="auto"/>
          <w:spacing w:val="2"/>
        </w:rPr>
        <w:t>）</w:t>
      </w:r>
      <w:r>
        <w:rPr>
          <w:color w:val="auto"/>
          <w:spacing w:val="-12"/>
        </w:rPr>
        <w:t>第二十六条：“专利代理师</w:t>
      </w:r>
      <w:r>
        <w:rPr>
          <w:color w:val="auto"/>
          <w:spacing w:val="-5"/>
        </w:rPr>
        <w:t>有下列行为之一的，由省、自治区、直辖市人民政府管理专利工作的部门责令限期改</w:t>
      </w:r>
      <w:r>
        <w:rPr>
          <w:color w:val="auto"/>
          <w:spacing w:val="-10"/>
        </w:rPr>
        <w:t xml:space="preserve">正，予以警告，可以处 </w:t>
      </w:r>
      <w:r>
        <w:rPr>
          <w:color w:val="auto"/>
        </w:rPr>
        <w:t>5</w:t>
      </w:r>
      <w:r>
        <w:rPr>
          <w:color w:val="auto"/>
          <w:spacing w:val="-10"/>
        </w:rPr>
        <w:t xml:space="preserve"> 万元以下的罚款；情节严重或者逾期未改正的，由国务院专</w:t>
      </w:r>
    </w:p>
    <w:p>
      <w:pPr>
        <w:pStyle w:val="4"/>
        <w:spacing w:line="391" w:lineRule="auto"/>
        <w:ind w:right="148"/>
        <w:jc w:val="both"/>
        <w:rPr>
          <w:color w:val="auto"/>
        </w:rPr>
      </w:pPr>
      <w:r>
        <w:rPr>
          <w:color w:val="auto"/>
          <w:spacing w:val="-3"/>
        </w:rPr>
        <w:t xml:space="preserve">利行政部门责令停止承办新的专利代理业务 </w:t>
      </w:r>
      <w:r>
        <w:rPr>
          <w:color w:val="auto"/>
        </w:rPr>
        <w:t>6</w:t>
      </w:r>
      <w:r>
        <w:rPr>
          <w:color w:val="auto"/>
          <w:spacing w:val="-20"/>
        </w:rPr>
        <w:t xml:space="preserve"> 个月至 </w:t>
      </w:r>
      <w:r>
        <w:rPr>
          <w:color w:val="auto"/>
        </w:rPr>
        <w:t>12</w:t>
      </w:r>
      <w:r>
        <w:rPr>
          <w:color w:val="auto"/>
          <w:spacing w:val="-7"/>
        </w:rPr>
        <w:t xml:space="preserve"> 个月，直至吊销专利代理师</w:t>
      </w:r>
      <w:r>
        <w:rPr>
          <w:color w:val="auto"/>
          <w:spacing w:val="-29"/>
        </w:rPr>
        <w:t>资格证：</w:t>
      </w:r>
      <w:r>
        <w:rPr>
          <w:color w:val="auto"/>
          <w:spacing w:val="2"/>
        </w:rPr>
        <w:t>（一）</w:t>
      </w:r>
      <w:r>
        <w:rPr>
          <w:color w:val="auto"/>
          <w:spacing w:val="-9"/>
        </w:rPr>
        <w:t>未依照本条例规定进行备案</w:t>
      </w:r>
      <w:r>
        <w:rPr>
          <w:color w:val="auto"/>
          <w:spacing w:val="-9"/>
        </w:rPr>
        <w:t>；</w:t>
      </w:r>
      <w:r>
        <w:rPr>
          <w:color w:val="auto"/>
          <w:spacing w:val="2"/>
        </w:rPr>
        <w:t>（二）</w:t>
      </w:r>
      <w:r>
        <w:rPr>
          <w:color w:val="auto"/>
        </w:rPr>
        <w:t>自行接受委托办理专利代理业务；</w:t>
      </w:r>
    </w:p>
    <w:p>
      <w:pPr>
        <w:pStyle w:val="4"/>
        <w:spacing w:line="391" w:lineRule="auto"/>
        <w:ind w:right="268"/>
        <w:jc w:val="both"/>
        <w:rPr>
          <w:color w:val="auto"/>
        </w:rPr>
      </w:pPr>
      <w:r>
        <w:rPr>
          <w:color w:val="auto"/>
          <w:spacing w:val="2"/>
        </w:rPr>
        <w:t>（三）</w:t>
      </w:r>
      <w:r>
        <w:rPr>
          <w:color w:val="auto"/>
          <w:spacing w:val="-5"/>
        </w:rPr>
        <w:t>同时在两个以上专利代理机构从事专利代理业务；</w:t>
      </w:r>
      <w:r>
        <w:rPr>
          <w:color w:val="auto"/>
          <w:spacing w:val="2"/>
        </w:rPr>
        <w:t>（四）</w:t>
      </w:r>
      <w:r>
        <w:rPr>
          <w:color w:val="auto"/>
          <w:spacing w:val="1"/>
        </w:rPr>
        <w:t>违反本条例规定对其</w:t>
      </w:r>
      <w:r>
        <w:rPr>
          <w:color w:val="auto"/>
          <w:spacing w:val="-4"/>
        </w:rPr>
        <w:t>审查、审理或者处理过的专利申请或专利案件进行代理；</w:t>
      </w:r>
      <w:r>
        <w:rPr>
          <w:color w:val="auto"/>
          <w:spacing w:val="2"/>
        </w:rPr>
        <w:t>（五）</w:t>
      </w:r>
      <w:r>
        <w:rPr>
          <w:color w:val="auto"/>
          <w:spacing w:val="1"/>
        </w:rPr>
        <w:t>泄露委托人的发明创</w:t>
      </w:r>
      <w:r>
        <w:rPr>
          <w:color w:val="auto"/>
          <w:spacing w:val="-4"/>
        </w:rPr>
        <w:t>造内容，或者以自己的名义申请专利或请求宣告专利权无效。”</w:t>
      </w:r>
    </w:p>
    <w:p>
      <w:pPr>
        <w:pStyle w:val="2"/>
        <w:spacing w:line="304" w:lineRule="exact"/>
        <w:rPr>
          <w:color w:val="auto"/>
        </w:rPr>
      </w:pPr>
      <w:r>
        <w:rPr>
          <w:color w:val="auto"/>
        </w:rPr>
        <w:t>（二）裁量标准</w:t>
      </w:r>
    </w:p>
    <w:p>
      <w:pPr>
        <w:pStyle w:val="13"/>
        <w:numPr>
          <w:ilvl w:val="0"/>
          <w:numId w:val="0"/>
        </w:numPr>
        <w:tabs>
          <w:tab w:val="left" w:pos="833"/>
        </w:tabs>
        <w:spacing w:before="186" w:after="0" w:line="240" w:lineRule="auto"/>
        <w:ind w:left="590" w:leftChars="0" w:right="0" w:rightChars="0"/>
        <w:jc w:val="left"/>
        <w:rPr>
          <w:rFonts w:hint="default"/>
          <w:color w:val="auto"/>
          <w:sz w:val="24"/>
          <w:lang w:val="en-US" w:eastAsia="zh-CN"/>
        </w:rPr>
      </w:pPr>
      <w:r>
        <w:rPr>
          <w:rFonts w:hint="eastAsia"/>
          <w:color w:val="auto"/>
          <w:sz w:val="24"/>
          <w:lang w:val="en-US" w:eastAsia="zh-CN"/>
        </w:rPr>
        <w:t>1.【不予处罚】</w:t>
      </w:r>
    </w:p>
    <w:p>
      <w:pPr>
        <w:keepNext w:val="0"/>
        <w:keepLines w:val="0"/>
        <w:widowControl/>
        <w:suppressLineNumbers w:val="0"/>
        <w:ind w:firstLine="472"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72" w:firstLineChars="200"/>
        <w:jc w:val="left"/>
        <w:rPr>
          <w:rFonts w:hint="eastAsia"/>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未造成危害后果</w:t>
      </w:r>
    </w:p>
    <w:p>
      <w:pPr>
        <w:pStyle w:val="13"/>
        <w:numPr>
          <w:ilvl w:val="0"/>
          <w:numId w:val="0"/>
        </w:numPr>
        <w:tabs>
          <w:tab w:val="left" w:pos="833"/>
        </w:tabs>
        <w:spacing w:before="186" w:after="0" w:line="240" w:lineRule="auto"/>
        <w:ind w:left="590" w:leftChars="0" w:right="0" w:rightChars="0"/>
        <w:jc w:val="left"/>
        <w:rPr>
          <w:color w:val="auto"/>
          <w:sz w:val="24"/>
        </w:rPr>
      </w:pPr>
      <w:r>
        <w:rPr>
          <w:rFonts w:hint="eastAsia"/>
          <w:color w:val="auto"/>
          <w:sz w:val="24"/>
          <w:lang w:val="en-US" w:eastAsia="zh-CN"/>
        </w:rPr>
        <w:t>2.</w:t>
      </w:r>
      <w:r>
        <w:rPr>
          <w:color w:val="auto"/>
          <w:sz w:val="24"/>
        </w:rPr>
        <w:t>【较轻】</w:t>
      </w:r>
    </w:p>
    <w:p>
      <w:pPr>
        <w:pStyle w:val="13"/>
        <w:numPr>
          <w:ilvl w:val="0"/>
          <w:numId w:val="1829"/>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32" w:firstLine="480"/>
        <w:rPr>
          <w:color w:val="auto"/>
        </w:rPr>
      </w:pPr>
      <w:r>
        <w:rPr>
          <w:color w:val="auto"/>
        </w:rPr>
        <w:t>未依照本条例规定进行备案，逾期不改正的；自行接受委托办理专利代理业务； 同时在两个以上专利代理机构从事专利代理业务；违反本条例规定对其审查、审理或者处理过的专利申请或专利案件进行代理。</w:t>
      </w:r>
    </w:p>
    <w:p>
      <w:pPr>
        <w:pStyle w:val="13"/>
        <w:numPr>
          <w:ilvl w:val="0"/>
          <w:numId w:val="1829"/>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责令限期改正，处 2 万元以下的罚款。</w:t>
      </w:r>
    </w:p>
    <w:p>
      <w:pPr>
        <w:pStyle w:val="13"/>
        <w:numPr>
          <w:ilvl w:val="0"/>
          <w:numId w:val="0"/>
        </w:numPr>
        <w:tabs>
          <w:tab w:val="left" w:pos="833"/>
        </w:tabs>
        <w:spacing w:before="192" w:after="0" w:line="240" w:lineRule="auto"/>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13"/>
        <w:numPr>
          <w:ilvl w:val="0"/>
          <w:numId w:val="1830"/>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69" w:firstLine="480"/>
        <w:rPr>
          <w:color w:val="auto"/>
        </w:rPr>
      </w:pPr>
      <w:r>
        <w:rPr>
          <w:color w:val="auto"/>
        </w:rPr>
        <w:t>泄露委托人的发明创造内容，或者以自己的名义申请专利或请求宣告专利权无效。</w:t>
      </w:r>
    </w:p>
    <w:p>
      <w:pPr>
        <w:pStyle w:val="13"/>
        <w:numPr>
          <w:ilvl w:val="0"/>
          <w:numId w:val="1830"/>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责令限期改正，予以警告，处 2-4 万元的罚款。</w:t>
      </w:r>
    </w:p>
    <w:p>
      <w:pPr>
        <w:pStyle w:val="13"/>
        <w:numPr>
          <w:ilvl w:val="0"/>
          <w:numId w:val="0"/>
        </w:numPr>
        <w:tabs>
          <w:tab w:val="left" w:pos="833"/>
        </w:tabs>
        <w:spacing w:before="192" w:after="0" w:line="240" w:lineRule="auto"/>
        <w:ind w:left="590" w:leftChars="0" w:right="0" w:rightChars="0"/>
        <w:jc w:val="left"/>
        <w:rPr>
          <w:color w:val="auto"/>
          <w:sz w:val="24"/>
        </w:rPr>
      </w:pPr>
      <w:r>
        <w:rPr>
          <w:rFonts w:hint="eastAsia"/>
          <w:color w:val="auto"/>
          <w:sz w:val="24"/>
          <w:lang w:val="en-US" w:eastAsia="zh-CN"/>
        </w:rPr>
        <w:t>4.</w:t>
      </w:r>
      <w:r>
        <w:rPr>
          <w:color w:val="auto"/>
          <w:sz w:val="24"/>
        </w:rPr>
        <w:t>【严重】</w:t>
      </w:r>
    </w:p>
    <w:p>
      <w:pPr>
        <w:pStyle w:val="13"/>
        <w:numPr>
          <w:ilvl w:val="0"/>
          <w:numId w:val="1831"/>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69" w:firstLine="480"/>
        <w:rPr>
          <w:color w:val="auto"/>
        </w:rPr>
      </w:pPr>
      <w:r>
        <w:rPr>
          <w:color w:val="auto"/>
        </w:rPr>
        <w:t>泄露委托人的发明创造内容，或者以自己的名义申请专利或请求宣告专利权无效，造成严重影响的；对违法违规行为逾期不改正的。</w:t>
      </w:r>
    </w:p>
    <w:p>
      <w:pPr>
        <w:pStyle w:val="13"/>
        <w:numPr>
          <w:ilvl w:val="0"/>
          <w:numId w:val="1831"/>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责令限期改正，处 4-5 万元罚款，由国务院专利行政部门责令停止承办新的专利</w:t>
      </w:r>
    </w:p>
    <w:p>
      <w:pPr>
        <w:spacing w:before="191" w:line="391" w:lineRule="auto"/>
        <w:ind w:left="591" w:right="2992" w:hanging="480"/>
        <w:jc w:val="left"/>
        <w:rPr>
          <w:b/>
          <w:color w:val="auto"/>
          <w:sz w:val="24"/>
        </w:rPr>
      </w:pPr>
      <w:r>
        <w:rPr>
          <w:color w:val="auto"/>
          <w:spacing w:val="-12"/>
          <w:sz w:val="24"/>
        </w:rPr>
        <w:t xml:space="preserve">代理业务 </w:t>
      </w:r>
      <w:r>
        <w:rPr>
          <w:color w:val="auto"/>
          <w:sz w:val="24"/>
        </w:rPr>
        <w:t>6</w:t>
      </w:r>
      <w:r>
        <w:rPr>
          <w:color w:val="auto"/>
          <w:spacing w:val="-24"/>
          <w:sz w:val="24"/>
        </w:rPr>
        <w:t xml:space="preserve"> 个月至 </w:t>
      </w:r>
      <w:r>
        <w:rPr>
          <w:color w:val="auto"/>
          <w:sz w:val="24"/>
        </w:rPr>
        <w:t>12</w:t>
      </w:r>
      <w:r>
        <w:rPr>
          <w:color w:val="auto"/>
          <w:spacing w:val="-9"/>
          <w:sz w:val="24"/>
        </w:rPr>
        <w:t xml:space="preserve"> 个月，直至吊销专利代理师资证。</w:t>
      </w:r>
      <w:bookmarkStart w:id="1560" w:name="七百六十三、擅自开展专利代理业务"/>
      <w:bookmarkEnd w:id="1560"/>
      <w:bookmarkStart w:id="1561" w:name="_bookmark779"/>
      <w:bookmarkEnd w:id="1561"/>
      <w:r>
        <w:rPr>
          <w:b/>
          <w:color w:val="auto"/>
          <w:sz w:val="24"/>
        </w:rPr>
        <w:t>七百六十三、擅自开展专利代理业务</w:t>
      </w:r>
    </w:p>
    <w:p>
      <w:pPr>
        <w:pStyle w:val="2"/>
        <w:spacing w:line="306" w:lineRule="exact"/>
        <w:rPr>
          <w:color w:val="auto"/>
        </w:rPr>
      </w:pPr>
      <w:r>
        <w:rPr>
          <w:color w:val="auto"/>
        </w:rPr>
        <w:t>（一）处罚依据</w:t>
      </w:r>
    </w:p>
    <w:p>
      <w:pPr>
        <w:pStyle w:val="4"/>
        <w:spacing w:before="192" w:line="391" w:lineRule="auto"/>
        <w:ind w:right="268" w:firstLine="480"/>
        <w:jc w:val="both"/>
        <w:rPr>
          <w:color w:val="auto"/>
        </w:rPr>
      </w:pPr>
      <w:r>
        <w:rPr>
          <w:color w:val="auto"/>
          <w:spacing w:val="-15"/>
        </w:rPr>
        <w:t>《专利代理条例》</w:t>
      </w:r>
      <w:r>
        <w:rPr>
          <w:color w:val="auto"/>
        </w:rPr>
        <w:t>（2018</w:t>
      </w:r>
      <w:r>
        <w:rPr>
          <w:color w:val="auto"/>
          <w:spacing w:val="-40"/>
        </w:rPr>
        <w:t xml:space="preserve"> 年 </w:t>
      </w:r>
      <w:r>
        <w:rPr>
          <w:color w:val="auto"/>
        </w:rPr>
        <w:t>11</w:t>
      </w:r>
      <w:r>
        <w:rPr>
          <w:color w:val="auto"/>
          <w:spacing w:val="-16"/>
        </w:rPr>
        <w:t xml:space="preserve"> 月国务院令第 </w:t>
      </w:r>
      <w:r>
        <w:rPr>
          <w:color w:val="auto"/>
        </w:rPr>
        <w:t>706</w:t>
      </w:r>
      <w:r>
        <w:rPr>
          <w:color w:val="auto"/>
          <w:spacing w:val="-29"/>
        </w:rPr>
        <w:t xml:space="preserve"> 号</w:t>
      </w:r>
      <w:r>
        <w:rPr>
          <w:color w:val="auto"/>
          <w:spacing w:val="2"/>
        </w:rPr>
        <w:t>）</w:t>
      </w:r>
      <w:r>
        <w:rPr>
          <w:color w:val="auto"/>
          <w:spacing w:val="-12"/>
        </w:rPr>
        <w:t>第二十七条：“违反本条例</w:t>
      </w:r>
      <w:r>
        <w:rPr>
          <w:color w:val="auto"/>
          <w:spacing w:val="-4"/>
        </w:rPr>
        <w:t>规定擅自开展专利代理业务的，由省、自治区、直辖市人民政府管理专利工作的部门</w:t>
      </w:r>
      <w:r>
        <w:rPr>
          <w:color w:val="auto"/>
          <w:spacing w:val="-3"/>
        </w:rPr>
        <w:t xml:space="preserve">责令停止违法行为，没收违法所得，并处违法所得 </w:t>
      </w:r>
      <w:r>
        <w:rPr>
          <w:color w:val="auto"/>
        </w:rPr>
        <w:t>1</w:t>
      </w:r>
      <w:r>
        <w:rPr>
          <w:color w:val="auto"/>
          <w:spacing w:val="-24"/>
        </w:rPr>
        <w:t xml:space="preserve"> 倍以上 </w:t>
      </w:r>
      <w:r>
        <w:rPr>
          <w:color w:val="auto"/>
        </w:rPr>
        <w:t>5</w:t>
      </w:r>
      <w:r>
        <w:rPr>
          <w:color w:val="auto"/>
          <w:spacing w:val="-21"/>
        </w:rPr>
        <w:t xml:space="preserve"> 倍以下的罚款。”</w:t>
      </w:r>
    </w:p>
    <w:p>
      <w:pPr>
        <w:pStyle w:val="2"/>
        <w:spacing w:line="304" w:lineRule="exact"/>
        <w:rPr>
          <w:color w:val="auto"/>
        </w:rPr>
      </w:pPr>
      <w:r>
        <w:rPr>
          <w:color w:val="auto"/>
        </w:rPr>
        <w:t>（二）裁量标准</w:t>
      </w:r>
    </w:p>
    <w:p>
      <w:pPr>
        <w:pStyle w:val="13"/>
        <w:numPr>
          <w:ilvl w:val="0"/>
          <w:numId w:val="1832"/>
        </w:numPr>
        <w:tabs>
          <w:tab w:val="left" w:pos="833"/>
        </w:tabs>
        <w:spacing w:before="194" w:after="0" w:line="240" w:lineRule="auto"/>
        <w:ind w:left="832" w:right="0" w:hanging="242"/>
        <w:jc w:val="left"/>
        <w:rPr>
          <w:color w:val="auto"/>
          <w:sz w:val="24"/>
        </w:rPr>
      </w:pPr>
      <w:r>
        <w:rPr>
          <w:color w:val="auto"/>
          <w:sz w:val="24"/>
        </w:rPr>
        <w:t>【较轻】</w:t>
      </w:r>
    </w:p>
    <w:p>
      <w:pPr>
        <w:pStyle w:val="13"/>
        <w:numPr>
          <w:ilvl w:val="0"/>
          <w:numId w:val="1833"/>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192"/>
        <w:ind w:left="591"/>
        <w:rPr>
          <w:color w:val="auto"/>
        </w:rPr>
      </w:pPr>
      <w:r>
        <w:rPr>
          <w:color w:val="auto"/>
        </w:rPr>
        <w:t>擅自开展专利代理业务，违法所得的数额较少的。</w:t>
      </w:r>
    </w:p>
    <w:p>
      <w:pPr>
        <w:pStyle w:val="13"/>
        <w:numPr>
          <w:ilvl w:val="0"/>
          <w:numId w:val="1833"/>
        </w:numPr>
        <w:tabs>
          <w:tab w:val="left" w:pos="1193"/>
        </w:tabs>
        <w:spacing w:before="194"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责令停止违法行为，没收违法所得，并处违法所得 1 倍以上 2 倍以下罚款。</w:t>
      </w:r>
    </w:p>
    <w:p>
      <w:pPr>
        <w:pStyle w:val="13"/>
        <w:numPr>
          <w:ilvl w:val="0"/>
          <w:numId w:val="1832"/>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834"/>
        </w:numPr>
        <w:tabs>
          <w:tab w:val="left" w:pos="1193"/>
        </w:tabs>
        <w:spacing w:before="39" w:after="0" w:line="240" w:lineRule="auto"/>
        <w:ind w:left="1192" w:right="0" w:hanging="602"/>
        <w:jc w:val="left"/>
        <w:rPr>
          <w:color w:val="auto"/>
          <w:sz w:val="24"/>
        </w:rPr>
      </w:pPr>
      <w:r>
        <w:rPr>
          <w:color w:val="auto"/>
          <w:sz w:val="24"/>
        </w:rPr>
        <w:t>违法情形</w:t>
      </w:r>
    </w:p>
    <w:p>
      <w:pPr>
        <w:pStyle w:val="4"/>
        <w:spacing w:before="195" w:line="388" w:lineRule="auto"/>
        <w:ind w:right="213" w:firstLine="480"/>
        <w:rPr>
          <w:color w:val="auto"/>
        </w:rPr>
      </w:pPr>
      <w:r>
        <w:rPr>
          <w:color w:val="auto"/>
        </w:rPr>
        <w:t>擅自开展专利代理业务，对专利授权和权利保护范围等造成影响、损害申请人权益，造成较为严重后果的。</w:t>
      </w:r>
    </w:p>
    <w:p>
      <w:pPr>
        <w:pStyle w:val="13"/>
        <w:numPr>
          <w:ilvl w:val="0"/>
          <w:numId w:val="1834"/>
        </w:numPr>
        <w:tabs>
          <w:tab w:val="left" w:pos="1193"/>
        </w:tabs>
        <w:spacing w:before="2" w:after="0" w:line="240" w:lineRule="auto"/>
        <w:ind w:left="1192" w:right="0" w:hanging="602"/>
        <w:jc w:val="left"/>
        <w:rPr>
          <w:color w:val="auto"/>
          <w:sz w:val="24"/>
        </w:rPr>
      </w:pPr>
      <w:r>
        <w:rPr>
          <w:color w:val="auto"/>
          <w:sz w:val="24"/>
        </w:rPr>
        <w:t>处罚标准</w:t>
      </w:r>
    </w:p>
    <w:p>
      <w:pPr>
        <w:pStyle w:val="4"/>
        <w:spacing w:before="194"/>
        <w:ind w:left="591"/>
        <w:rPr>
          <w:color w:val="auto"/>
        </w:rPr>
      </w:pPr>
      <w:r>
        <w:rPr>
          <w:color w:val="auto"/>
        </w:rPr>
        <w:t>责令停止违法行为，没收违法所得，并处违法所得 2-4 倍的罚款。</w:t>
      </w:r>
    </w:p>
    <w:p>
      <w:pPr>
        <w:pStyle w:val="13"/>
        <w:numPr>
          <w:ilvl w:val="0"/>
          <w:numId w:val="1832"/>
        </w:numPr>
        <w:tabs>
          <w:tab w:val="left" w:pos="833"/>
        </w:tabs>
        <w:spacing w:before="192" w:after="0" w:line="240" w:lineRule="auto"/>
        <w:ind w:left="832" w:right="0" w:hanging="242"/>
        <w:jc w:val="left"/>
        <w:rPr>
          <w:color w:val="auto"/>
          <w:sz w:val="24"/>
        </w:rPr>
      </w:pPr>
      <w:r>
        <w:rPr>
          <w:color w:val="auto"/>
          <w:sz w:val="24"/>
        </w:rPr>
        <w:t>【严重】</w:t>
      </w:r>
    </w:p>
    <w:p>
      <w:pPr>
        <w:pStyle w:val="13"/>
        <w:numPr>
          <w:ilvl w:val="0"/>
          <w:numId w:val="1835"/>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4"/>
        <w:ind w:left="591"/>
        <w:rPr>
          <w:color w:val="auto"/>
        </w:rPr>
      </w:pPr>
      <w:r>
        <w:rPr>
          <w:color w:val="auto"/>
        </w:rPr>
        <w:t>擅自开展专利代理业务，造成严重后果且逾期不改正违法行为的。</w:t>
      </w:r>
    </w:p>
    <w:p>
      <w:pPr>
        <w:pStyle w:val="13"/>
        <w:numPr>
          <w:ilvl w:val="0"/>
          <w:numId w:val="1835"/>
        </w:numPr>
        <w:tabs>
          <w:tab w:val="left" w:pos="1193"/>
        </w:tabs>
        <w:spacing w:before="192" w:after="0" w:line="240" w:lineRule="auto"/>
        <w:ind w:left="1192" w:right="0" w:hanging="602"/>
        <w:jc w:val="left"/>
        <w:rPr>
          <w:color w:val="auto"/>
          <w:sz w:val="24"/>
        </w:rPr>
      </w:pPr>
      <w:r>
        <w:rPr>
          <w:color w:val="auto"/>
          <w:sz w:val="24"/>
        </w:rPr>
        <w:t>处罚标准</w:t>
      </w:r>
    </w:p>
    <w:p>
      <w:pPr>
        <w:spacing w:before="192" w:line="391" w:lineRule="auto"/>
        <w:ind w:left="591" w:right="1672" w:firstLine="0"/>
        <w:jc w:val="left"/>
        <w:rPr>
          <w:b/>
          <w:color w:val="auto"/>
          <w:sz w:val="24"/>
        </w:rPr>
      </w:pPr>
      <w:r>
        <w:rPr>
          <w:color w:val="auto"/>
          <w:spacing w:val="-3"/>
          <w:sz w:val="24"/>
        </w:rPr>
        <w:t xml:space="preserve">责令停止违法行为，没收违法所得，并处违法所得 </w:t>
      </w:r>
      <w:r>
        <w:rPr>
          <w:color w:val="auto"/>
          <w:sz w:val="24"/>
        </w:rPr>
        <w:t>4-5</w:t>
      </w:r>
      <w:r>
        <w:rPr>
          <w:color w:val="auto"/>
          <w:spacing w:val="-13"/>
          <w:sz w:val="24"/>
        </w:rPr>
        <w:t xml:space="preserve"> 倍的罚款。</w:t>
      </w:r>
      <w:bookmarkStart w:id="1562" w:name="_bookmark780"/>
      <w:bookmarkEnd w:id="1562"/>
      <w:bookmarkStart w:id="1563" w:name="七百六十四、假冒专利"/>
      <w:bookmarkEnd w:id="1563"/>
      <w:r>
        <w:rPr>
          <w:b/>
          <w:color w:val="auto"/>
          <w:sz w:val="24"/>
        </w:rPr>
        <w:t>七百六十四、假冒专利</w:t>
      </w:r>
    </w:p>
    <w:p>
      <w:pPr>
        <w:pStyle w:val="2"/>
        <w:spacing w:line="306" w:lineRule="exact"/>
        <w:rPr>
          <w:color w:val="auto"/>
        </w:rPr>
      </w:pPr>
      <w:r>
        <w:rPr>
          <w:color w:val="auto"/>
        </w:rPr>
        <w:t>（一）处罚依据</w:t>
      </w:r>
    </w:p>
    <w:p>
      <w:pPr>
        <w:pStyle w:val="13"/>
        <w:numPr>
          <w:ilvl w:val="0"/>
          <w:numId w:val="1836"/>
        </w:numPr>
        <w:tabs>
          <w:tab w:val="left" w:pos="833"/>
        </w:tabs>
        <w:spacing w:before="191" w:after="0" w:line="391" w:lineRule="auto"/>
        <w:ind w:left="111" w:right="146" w:firstLine="480"/>
        <w:jc w:val="left"/>
        <w:rPr>
          <w:color w:val="auto"/>
          <w:sz w:val="24"/>
        </w:rPr>
      </w:pPr>
      <w:r>
        <w:rPr>
          <w:color w:val="auto"/>
          <w:sz w:val="24"/>
        </w:rPr>
        <w:t>《专利法</w:t>
      </w:r>
      <w:r>
        <w:rPr>
          <w:color w:val="auto"/>
          <w:spacing w:val="-152"/>
          <w:sz w:val="24"/>
        </w:rPr>
        <w:t>》</w:t>
      </w:r>
      <w:r>
        <w:rPr>
          <w:color w:val="auto"/>
          <w:sz w:val="24"/>
        </w:rPr>
        <w:t>（1984</w:t>
      </w:r>
      <w:r>
        <w:rPr>
          <w:color w:val="auto"/>
          <w:spacing w:val="-40"/>
          <w:sz w:val="24"/>
        </w:rPr>
        <w:t xml:space="preserve"> 年 </w:t>
      </w:r>
      <w:r>
        <w:rPr>
          <w:color w:val="auto"/>
          <w:sz w:val="24"/>
        </w:rPr>
        <w:t>3</w:t>
      </w:r>
      <w:r>
        <w:rPr>
          <w:color w:val="auto"/>
          <w:spacing w:val="-18"/>
          <w:sz w:val="24"/>
        </w:rPr>
        <w:t xml:space="preserve"> 月通过，</w:t>
      </w:r>
      <w:r>
        <w:rPr>
          <w:color w:val="auto"/>
          <w:sz w:val="24"/>
        </w:rPr>
        <w:t>2008</w:t>
      </w:r>
      <w:r>
        <w:rPr>
          <w:color w:val="auto"/>
          <w:spacing w:val="-40"/>
          <w:sz w:val="24"/>
        </w:rPr>
        <w:t xml:space="preserve"> 年 </w:t>
      </w:r>
      <w:r>
        <w:rPr>
          <w:color w:val="auto"/>
          <w:sz w:val="24"/>
        </w:rPr>
        <w:t>12</w:t>
      </w:r>
      <w:r>
        <w:rPr>
          <w:color w:val="auto"/>
          <w:spacing w:val="-15"/>
          <w:sz w:val="24"/>
        </w:rPr>
        <w:t xml:space="preserve"> 月修订</w:t>
      </w:r>
      <w:r>
        <w:rPr>
          <w:color w:val="auto"/>
          <w:spacing w:val="-32"/>
          <w:sz w:val="24"/>
        </w:rPr>
        <w:t>）</w:t>
      </w:r>
      <w:r>
        <w:rPr>
          <w:color w:val="auto"/>
          <w:sz w:val="24"/>
        </w:rPr>
        <w:t>第六十三条</w:t>
      </w:r>
      <w:r>
        <w:rPr>
          <w:color w:val="auto"/>
          <w:spacing w:val="-24"/>
          <w:sz w:val="24"/>
        </w:rPr>
        <w:t>：“假冒专利的</w:t>
      </w:r>
      <w:r>
        <w:rPr>
          <w:color w:val="auto"/>
          <w:spacing w:val="-4"/>
          <w:sz w:val="24"/>
        </w:rPr>
        <w:t>，除依法承担民事责任外，由管理专利工作的部门责令改正并予公告，没收违法所得，可以并处违法所得四倍以下的罚款；没有违法所得的，可以处二十万元以下的罚款</w:t>
      </w:r>
      <w:r>
        <w:rPr>
          <w:color w:val="auto"/>
          <w:spacing w:val="-12"/>
          <w:sz w:val="24"/>
        </w:rPr>
        <w:t>；构成犯罪的，依法追究刑事责任。”</w:t>
      </w:r>
    </w:p>
    <w:p>
      <w:pPr>
        <w:pStyle w:val="13"/>
        <w:numPr>
          <w:ilvl w:val="0"/>
          <w:numId w:val="1836"/>
        </w:numPr>
        <w:tabs>
          <w:tab w:val="left" w:pos="833"/>
        </w:tabs>
        <w:spacing w:before="0" w:after="0" w:line="391" w:lineRule="auto"/>
        <w:ind w:left="111" w:right="266" w:firstLine="480"/>
        <w:jc w:val="both"/>
        <w:rPr>
          <w:color w:val="auto"/>
          <w:sz w:val="24"/>
        </w:rPr>
      </w:pPr>
      <w:r>
        <w:rPr>
          <w:color w:val="auto"/>
          <w:sz w:val="24"/>
        </w:rPr>
        <w:t>《山东省专利条例</w:t>
      </w:r>
      <w:r>
        <w:rPr>
          <w:color w:val="auto"/>
          <w:spacing w:val="-140"/>
          <w:sz w:val="24"/>
        </w:rPr>
        <w:t>》</w:t>
      </w:r>
      <w:r>
        <w:rPr>
          <w:color w:val="auto"/>
          <w:sz w:val="24"/>
        </w:rPr>
        <w:t>（2013</w:t>
      </w:r>
      <w:r>
        <w:rPr>
          <w:color w:val="auto"/>
          <w:spacing w:val="-40"/>
          <w:sz w:val="24"/>
        </w:rPr>
        <w:t xml:space="preserve"> 年 </w:t>
      </w:r>
      <w:r>
        <w:rPr>
          <w:color w:val="auto"/>
          <w:sz w:val="24"/>
        </w:rPr>
        <w:t>8</w:t>
      </w:r>
      <w:r>
        <w:rPr>
          <w:color w:val="auto"/>
          <w:spacing w:val="-15"/>
          <w:sz w:val="24"/>
        </w:rPr>
        <w:t xml:space="preserve"> 月通过</w:t>
      </w:r>
      <w:r>
        <w:rPr>
          <w:color w:val="auto"/>
          <w:spacing w:val="-17"/>
          <w:sz w:val="24"/>
        </w:rPr>
        <w:t>）</w:t>
      </w:r>
      <w:r>
        <w:rPr>
          <w:color w:val="auto"/>
          <w:spacing w:val="-14"/>
          <w:sz w:val="24"/>
        </w:rPr>
        <w:t>第五十一条：“违反本条例规定，假冒</w:t>
      </w:r>
      <w:r>
        <w:rPr>
          <w:color w:val="auto"/>
          <w:spacing w:val="-6"/>
          <w:sz w:val="24"/>
        </w:rPr>
        <w:t>专利的，除依法承担民事责任外，由专利行政部门责令改正并予以公告，没收违法所</w:t>
      </w:r>
      <w:r>
        <w:rPr>
          <w:color w:val="auto"/>
          <w:spacing w:val="-7"/>
          <w:sz w:val="24"/>
        </w:rPr>
        <w:t>得，可以并处违法所得一倍以上四倍以下的罚款；违法所得难以确定或者没有违法所</w:t>
      </w:r>
      <w:r>
        <w:rPr>
          <w:color w:val="auto"/>
          <w:sz w:val="24"/>
        </w:rPr>
        <w:t>得的，可以处二万元以上二十万元以下的罚款；构成犯罪的，依法追究刑事责任。</w:t>
      </w:r>
    </w:p>
    <w:p>
      <w:pPr>
        <w:pStyle w:val="13"/>
        <w:numPr>
          <w:ilvl w:val="0"/>
          <w:numId w:val="1836"/>
        </w:numPr>
        <w:tabs>
          <w:tab w:val="left" w:pos="833"/>
        </w:tabs>
        <w:spacing w:before="0" w:after="0" w:line="388" w:lineRule="auto"/>
        <w:ind w:left="111" w:right="268" w:firstLine="480"/>
        <w:jc w:val="left"/>
        <w:rPr>
          <w:color w:val="auto"/>
          <w:sz w:val="24"/>
        </w:rPr>
      </w:pPr>
      <w:r>
        <w:rPr>
          <w:color w:val="auto"/>
          <w:spacing w:val="-3"/>
          <w:sz w:val="24"/>
        </w:rPr>
        <w:t>《中华人民共和国专利法实施细则》第八十四条：下列行为属于专利法第六十</w:t>
      </w:r>
      <w:r>
        <w:rPr>
          <w:color w:val="auto"/>
          <w:sz w:val="24"/>
        </w:rPr>
        <w:t>三条规定的假冒专利的行为：</w:t>
      </w:r>
    </w:p>
    <w:p>
      <w:pPr>
        <w:pStyle w:val="4"/>
        <w:spacing w:line="388" w:lineRule="auto"/>
        <w:ind w:right="268" w:firstLine="480"/>
        <w:jc w:val="both"/>
        <w:rPr>
          <w:color w:val="auto"/>
        </w:rPr>
      </w:pPr>
      <w:r>
        <w:rPr>
          <w:color w:val="auto"/>
        </w:rPr>
        <w:t>（一</w:t>
      </w:r>
      <w:r>
        <w:rPr>
          <w:color w:val="auto"/>
          <w:spacing w:val="-20"/>
        </w:rPr>
        <w:t>）</w:t>
      </w:r>
      <w:r>
        <w:rPr>
          <w:color w:val="auto"/>
          <w:spacing w:val="-2"/>
        </w:rPr>
        <w:t>在未被授予专利权的产品或者其包装上标注专利标识，专利权被宣告无效</w:t>
      </w:r>
      <w:r>
        <w:rPr>
          <w:color w:val="auto"/>
          <w:spacing w:val="-3"/>
        </w:rPr>
        <w:t>后或者终止后继续在产品或者其包装上标注专利标识，或者未经许可在产品或者产品</w:t>
      </w:r>
      <w:r>
        <w:rPr>
          <w:color w:val="auto"/>
        </w:rPr>
        <w:t>包装上标注他人的专利号；</w:t>
      </w:r>
    </w:p>
    <w:p>
      <w:pPr>
        <w:pStyle w:val="4"/>
        <w:spacing w:before="1"/>
        <w:ind w:left="591"/>
        <w:rPr>
          <w:color w:val="auto"/>
        </w:rPr>
      </w:pPr>
      <w:r>
        <w:rPr>
          <w:color w:val="auto"/>
        </w:rPr>
        <w:t>（二）销售第（一）项所述产品；</w:t>
      </w:r>
    </w:p>
    <w:p>
      <w:pPr>
        <w:pStyle w:val="4"/>
        <w:spacing w:before="192" w:line="388" w:lineRule="auto"/>
        <w:ind w:right="213" w:firstLine="480"/>
        <w:rPr>
          <w:color w:val="auto"/>
        </w:rPr>
      </w:pPr>
      <w:r>
        <w:rPr>
          <w:color w:val="auto"/>
        </w:rPr>
        <w:t>（三）在产品说明书等材料中将未被授予专利权的技术或者设计称为专利技术或者专利设计，将专利申请称为专利，或者未经许可使用他人的专利号，使公众将所涉</w:t>
      </w:r>
    </w:p>
    <w:p>
      <w:pPr>
        <w:pStyle w:val="4"/>
        <w:spacing w:before="39"/>
        <w:rPr>
          <w:color w:val="auto"/>
        </w:rPr>
      </w:pPr>
      <w:r>
        <w:rPr>
          <w:color w:val="auto"/>
        </w:rPr>
        <w:t>及的技术或者设计误认为是专利技术或者专利设计；</w:t>
      </w:r>
    </w:p>
    <w:p>
      <w:pPr>
        <w:pStyle w:val="4"/>
        <w:spacing w:before="195"/>
        <w:ind w:left="591"/>
        <w:rPr>
          <w:color w:val="auto"/>
        </w:rPr>
      </w:pPr>
      <w:r>
        <w:rPr>
          <w:color w:val="auto"/>
        </w:rPr>
        <w:t>（四）伪造或者变造专利证书、专利文件或者专利申请文件；</w:t>
      </w:r>
    </w:p>
    <w:p>
      <w:pPr>
        <w:pStyle w:val="4"/>
        <w:spacing w:before="191" w:line="388" w:lineRule="auto"/>
        <w:ind w:right="213" w:firstLine="480"/>
        <w:rPr>
          <w:color w:val="auto"/>
        </w:rPr>
      </w:pPr>
      <w:r>
        <w:rPr>
          <w:color w:val="auto"/>
        </w:rPr>
        <w:t>（五）其他使公众混淆，将未被授予专利权的技术或者设计误认为是专利技术或者专利设计的行为。</w:t>
      </w:r>
    </w:p>
    <w:p>
      <w:pPr>
        <w:pStyle w:val="4"/>
        <w:spacing w:before="5" w:line="388" w:lineRule="auto"/>
        <w:ind w:right="213" w:firstLine="480"/>
        <w:rPr>
          <w:color w:val="auto"/>
        </w:rPr>
      </w:pPr>
      <w:r>
        <w:rPr>
          <w:color w:val="auto"/>
        </w:rPr>
        <w:t>专利权终止前依法在专利产品、依照专利方法直接获得的产品或者其包装上标注专利标识，在专利权终止后许诺销售、销售该产品的，不属于假冒专利行为。</w:t>
      </w:r>
    </w:p>
    <w:p>
      <w:pPr>
        <w:pStyle w:val="4"/>
        <w:spacing w:before="2" w:line="391" w:lineRule="auto"/>
        <w:ind w:right="213" w:firstLine="480"/>
        <w:rPr>
          <w:color w:val="auto"/>
        </w:rPr>
      </w:pPr>
      <w:r>
        <w:rPr>
          <w:color w:val="auto"/>
        </w:rPr>
        <w:t>销售不知道是假冒专利的产品</w:t>
      </w:r>
      <w:r>
        <w:rPr>
          <w:color w:val="auto"/>
        </w:rPr>
        <w:t>，并且能够证明该产品合法来源的，由管理专利工作的部门责令停止销售，但免除罚款的处罚。</w:t>
      </w:r>
    </w:p>
    <w:p>
      <w:pPr>
        <w:pStyle w:val="4"/>
        <w:spacing w:line="388" w:lineRule="auto"/>
        <w:ind w:right="232" w:firstLine="480"/>
        <w:rPr>
          <w:color w:val="auto"/>
        </w:rPr>
      </w:pPr>
      <w:r>
        <w:rPr>
          <w:color w:val="auto"/>
        </w:rPr>
        <w:t>销售假冒专利产品的，以产品销售价格乘以所销售产品的数量作为其违法所得。订立假冒专利合同的，以收取的费用作为其违法所得。”</w:t>
      </w:r>
    </w:p>
    <w:p>
      <w:pPr>
        <w:pStyle w:val="2"/>
        <w:spacing w:before="3"/>
        <w:rPr>
          <w:color w:val="auto"/>
        </w:rPr>
      </w:pPr>
      <w:r>
        <w:rPr>
          <w:color w:val="auto"/>
        </w:rPr>
        <w:t>（二）裁量标准</w:t>
      </w:r>
    </w:p>
    <w:p>
      <w:pPr>
        <w:pStyle w:val="13"/>
        <w:numPr>
          <w:ilvl w:val="0"/>
          <w:numId w:val="0"/>
        </w:numPr>
        <w:tabs>
          <w:tab w:val="left" w:pos="833"/>
        </w:tabs>
        <w:spacing w:before="191" w:after="0" w:line="240" w:lineRule="auto"/>
        <w:ind w:left="590" w:leftChars="0" w:right="0" w:rightChars="0"/>
        <w:jc w:val="left"/>
        <w:rPr>
          <w:rFonts w:hint="default"/>
          <w:color w:val="auto"/>
          <w:sz w:val="24"/>
          <w:lang w:val="en-US" w:eastAsia="zh-CN"/>
        </w:rPr>
      </w:pPr>
      <w:r>
        <w:rPr>
          <w:rFonts w:hint="eastAsia"/>
          <w:color w:val="auto"/>
          <w:sz w:val="24"/>
          <w:lang w:val="en-US" w:eastAsia="zh-CN"/>
        </w:rPr>
        <w:t>1.【不予处罚】</w:t>
      </w:r>
    </w:p>
    <w:p>
      <w:pPr>
        <w:keepNext w:val="0"/>
        <w:keepLines w:val="0"/>
        <w:widowControl/>
        <w:suppressLineNumbers w:val="0"/>
        <w:ind w:firstLine="472"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首次被发现； </w:t>
      </w:r>
    </w:p>
    <w:p>
      <w:pPr>
        <w:keepNext w:val="0"/>
        <w:keepLines w:val="0"/>
        <w:widowControl/>
        <w:suppressLineNumbers w:val="0"/>
        <w:ind w:firstLine="472"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能够证明该产品合法来源； </w:t>
      </w:r>
    </w:p>
    <w:p>
      <w:pPr>
        <w:keepNext w:val="0"/>
        <w:keepLines w:val="0"/>
        <w:widowControl/>
        <w:suppressLineNumbers w:val="0"/>
        <w:ind w:firstLine="472"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自行改正或者在行政机关责令改正的期限内改正； </w:t>
      </w:r>
    </w:p>
    <w:p>
      <w:pPr>
        <w:keepNext w:val="0"/>
        <w:keepLines w:val="0"/>
        <w:widowControl/>
        <w:suppressLineNumbers w:val="0"/>
        <w:ind w:firstLine="472" w:firstLineChars="200"/>
        <w:jc w:val="left"/>
        <w:rPr>
          <w:color w:val="auto"/>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未造成危害后果； </w:t>
      </w:r>
    </w:p>
    <w:p>
      <w:pPr>
        <w:keepNext w:val="0"/>
        <w:keepLines w:val="0"/>
        <w:widowControl/>
        <w:suppressLineNumbers w:val="0"/>
        <w:ind w:firstLine="472" w:firstLineChars="200"/>
        <w:jc w:val="left"/>
        <w:rPr>
          <w:rFonts w:hint="eastAsia"/>
          <w:color w:val="auto"/>
          <w:sz w:val="24"/>
          <w:lang w:val="en-US" w:eastAsia="zh-CN"/>
        </w:rPr>
      </w:pP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5</w:t>
      </w:r>
      <w:r>
        <w:rPr>
          <w:rFonts w:hint="eastAsia"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没有违法所得</w:t>
      </w:r>
    </w:p>
    <w:p>
      <w:pPr>
        <w:pStyle w:val="13"/>
        <w:numPr>
          <w:ilvl w:val="0"/>
          <w:numId w:val="0"/>
        </w:numPr>
        <w:tabs>
          <w:tab w:val="left" w:pos="833"/>
        </w:tabs>
        <w:spacing w:before="191" w:after="0" w:line="240" w:lineRule="auto"/>
        <w:ind w:left="590" w:leftChars="0" w:right="0" w:rightChars="0"/>
        <w:jc w:val="left"/>
        <w:rPr>
          <w:color w:val="auto"/>
          <w:sz w:val="24"/>
        </w:rPr>
      </w:pPr>
      <w:r>
        <w:rPr>
          <w:rFonts w:hint="eastAsia"/>
          <w:color w:val="auto"/>
          <w:sz w:val="24"/>
          <w:lang w:val="en-US" w:eastAsia="zh-CN"/>
        </w:rPr>
        <w:t>2.</w:t>
      </w:r>
      <w:r>
        <w:rPr>
          <w:color w:val="auto"/>
          <w:sz w:val="24"/>
        </w:rPr>
        <w:t>【轻微】</w:t>
      </w:r>
    </w:p>
    <w:p>
      <w:pPr>
        <w:pStyle w:val="4"/>
        <w:spacing w:before="192" w:line="391" w:lineRule="auto"/>
        <w:ind w:right="224" w:firstLine="480"/>
        <w:rPr>
          <w:color w:val="auto"/>
        </w:rPr>
      </w:pPr>
      <w:r>
        <w:rPr>
          <w:color w:val="auto"/>
        </w:rPr>
        <w:t>违法情形：销售不知道是假冒专利的产品，并且能够证明该产品合法来源的。处罚标准：责令停止销售，没收违法所得。</w:t>
      </w:r>
    </w:p>
    <w:p>
      <w:pPr>
        <w:pStyle w:val="4"/>
        <w:spacing w:line="391" w:lineRule="auto"/>
        <w:ind w:right="148" w:firstLine="480"/>
        <w:rPr>
          <w:color w:val="auto"/>
        </w:rPr>
      </w:pPr>
      <w:r>
        <w:rPr>
          <w:color w:val="auto"/>
          <w:spacing w:val="-5"/>
        </w:rPr>
        <w:t>违法情形：专利权终止后六个月内继续在产品或者其包装上标注专利标识；在已</w:t>
      </w:r>
      <w:r>
        <w:rPr>
          <w:color w:val="auto"/>
          <w:spacing w:val="-7"/>
        </w:rPr>
        <w:t>申请但未被授予专利权的产品或者其包装上标注有专利标识的；在产品说明书等材料</w:t>
      </w:r>
      <w:r>
        <w:rPr>
          <w:color w:val="auto"/>
          <w:spacing w:val="-16"/>
        </w:rPr>
        <w:t xml:space="preserve">中将专利申请称为专利的，其他属于情节轻微的情形。处罚标准：责令改正并予公告， </w:t>
      </w:r>
      <w:r>
        <w:rPr>
          <w:color w:val="auto"/>
        </w:rPr>
        <w:t>没收违法所得。</w:t>
      </w:r>
    </w:p>
    <w:p>
      <w:pPr>
        <w:pStyle w:val="13"/>
        <w:numPr>
          <w:ilvl w:val="0"/>
          <w:numId w:val="0"/>
        </w:numPr>
        <w:tabs>
          <w:tab w:val="left" w:pos="833"/>
        </w:tabs>
        <w:spacing w:before="0" w:after="0" w:line="302" w:lineRule="exact"/>
        <w:ind w:left="590" w:leftChars="0" w:right="0" w:rightChars="0"/>
        <w:jc w:val="left"/>
        <w:rPr>
          <w:color w:val="auto"/>
          <w:sz w:val="24"/>
        </w:rPr>
      </w:pPr>
      <w:r>
        <w:rPr>
          <w:rFonts w:hint="eastAsia"/>
          <w:color w:val="auto"/>
          <w:sz w:val="24"/>
          <w:lang w:val="en-US" w:eastAsia="zh-CN"/>
        </w:rPr>
        <w:t>3.</w:t>
      </w:r>
      <w:r>
        <w:rPr>
          <w:color w:val="auto"/>
          <w:sz w:val="24"/>
        </w:rPr>
        <w:t>【一般】</w:t>
      </w:r>
    </w:p>
    <w:p>
      <w:pPr>
        <w:pStyle w:val="13"/>
        <w:numPr>
          <w:ilvl w:val="0"/>
          <w:numId w:val="1837"/>
        </w:numPr>
        <w:tabs>
          <w:tab w:val="left" w:pos="1193"/>
        </w:tabs>
        <w:spacing w:before="193" w:after="0" w:line="240" w:lineRule="auto"/>
        <w:ind w:left="1192" w:right="0" w:hanging="602"/>
        <w:jc w:val="left"/>
        <w:rPr>
          <w:color w:val="auto"/>
          <w:sz w:val="24"/>
        </w:rPr>
      </w:pPr>
      <w:r>
        <w:rPr>
          <w:color w:val="auto"/>
          <w:sz w:val="24"/>
        </w:rPr>
        <w:t>违法情形</w:t>
      </w:r>
    </w:p>
    <w:p>
      <w:pPr>
        <w:pStyle w:val="4"/>
        <w:spacing w:before="191" w:line="391" w:lineRule="auto"/>
        <w:ind w:right="268" w:firstLine="480"/>
        <w:jc w:val="both"/>
        <w:rPr>
          <w:color w:val="auto"/>
        </w:rPr>
      </w:pPr>
      <w:r>
        <w:rPr>
          <w:color w:val="auto"/>
          <w:spacing w:val="-4"/>
        </w:rPr>
        <w:t>专利权终止六个月以上、专利权被宣告无效，继续在产品或者其包装上标注专利标识及销售此类产品的。未申请过专利，在产品或者其包装上标注捏造的专利标识及</w:t>
      </w:r>
      <w:r>
        <w:rPr>
          <w:color w:val="auto"/>
          <w:spacing w:val="-6"/>
        </w:rPr>
        <w:t>销售此类产品的。在产品说明书等材料中将未被授予专利权的技术或者设计称为专利</w:t>
      </w:r>
      <w:r>
        <w:rPr>
          <w:color w:val="auto"/>
          <w:spacing w:val="3"/>
        </w:rPr>
        <w:t>技术或者专利设计，使公众将所涉及的技术或设计误认为是专利技术或者专利设计</w:t>
      </w:r>
      <w:r>
        <w:rPr>
          <w:color w:val="auto"/>
          <w:spacing w:val="-7"/>
        </w:rPr>
        <w:t>的。其他使公众混淆，将未被授予专利权的技术或者设计误认为是专利技术或者专利</w:t>
      </w:r>
      <w:r>
        <w:rPr>
          <w:color w:val="auto"/>
        </w:rPr>
        <w:t>设计的行为。</w:t>
      </w:r>
    </w:p>
    <w:p>
      <w:pPr>
        <w:pStyle w:val="13"/>
        <w:numPr>
          <w:ilvl w:val="0"/>
          <w:numId w:val="1837"/>
        </w:numPr>
        <w:tabs>
          <w:tab w:val="left" w:pos="1193"/>
        </w:tabs>
        <w:spacing w:before="0" w:after="0" w:line="300" w:lineRule="exact"/>
        <w:ind w:left="1192" w:right="0" w:hanging="602"/>
        <w:jc w:val="left"/>
        <w:rPr>
          <w:color w:val="auto"/>
          <w:sz w:val="24"/>
        </w:rPr>
      </w:pPr>
      <w:r>
        <w:rPr>
          <w:color w:val="auto"/>
          <w:sz w:val="24"/>
        </w:rPr>
        <w:t>处罚标准</w:t>
      </w:r>
    </w:p>
    <w:p>
      <w:pPr>
        <w:pStyle w:val="4"/>
        <w:spacing w:before="192"/>
        <w:ind w:left="591"/>
        <w:rPr>
          <w:color w:val="auto"/>
        </w:rPr>
      </w:pPr>
      <w:r>
        <w:rPr>
          <w:color w:val="auto"/>
        </w:rPr>
        <w:t>责令改正并予公告，没收违法所得，并处违法所得 1 倍的罚款；违法所得难以确</w:t>
      </w:r>
    </w:p>
    <w:p>
      <w:pPr>
        <w:pStyle w:val="4"/>
        <w:spacing w:before="39"/>
        <w:rPr>
          <w:color w:val="auto"/>
        </w:rPr>
      </w:pPr>
      <w:r>
        <w:rPr>
          <w:color w:val="auto"/>
        </w:rPr>
        <w:t>定或没有违法所得的，处 2 万元以上 6 万元以下的罚款。</w:t>
      </w:r>
    </w:p>
    <w:p>
      <w:pPr>
        <w:pStyle w:val="13"/>
        <w:numPr>
          <w:ilvl w:val="0"/>
          <w:numId w:val="0"/>
        </w:numPr>
        <w:tabs>
          <w:tab w:val="left" w:pos="833"/>
        </w:tabs>
        <w:spacing w:before="195" w:after="0" w:line="240" w:lineRule="auto"/>
        <w:ind w:left="590" w:leftChars="0" w:right="0" w:rightChars="0"/>
        <w:jc w:val="left"/>
        <w:rPr>
          <w:color w:val="auto"/>
          <w:sz w:val="24"/>
        </w:rPr>
      </w:pPr>
      <w:r>
        <w:rPr>
          <w:rFonts w:hint="eastAsia"/>
          <w:color w:val="auto"/>
          <w:sz w:val="24"/>
          <w:lang w:val="en-US" w:eastAsia="zh-CN"/>
        </w:rPr>
        <w:t>4.</w:t>
      </w:r>
      <w:r>
        <w:rPr>
          <w:color w:val="auto"/>
          <w:sz w:val="24"/>
        </w:rPr>
        <w:t>【较重】</w:t>
      </w:r>
    </w:p>
    <w:p>
      <w:pPr>
        <w:pStyle w:val="13"/>
        <w:numPr>
          <w:ilvl w:val="0"/>
          <w:numId w:val="1838"/>
        </w:numPr>
        <w:tabs>
          <w:tab w:val="left" w:pos="1193"/>
        </w:tabs>
        <w:spacing w:before="191" w:after="0" w:line="240" w:lineRule="auto"/>
        <w:ind w:left="1192" w:right="0" w:hanging="602"/>
        <w:jc w:val="left"/>
        <w:rPr>
          <w:color w:val="auto"/>
          <w:sz w:val="24"/>
        </w:rPr>
      </w:pPr>
      <w:r>
        <w:rPr>
          <w:color w:val="auto"/>
          <w:sz w:val="24"/>
        </w:rPr>
        <w:t>违法情形</w:t>
      </w:r>
    </w:p>
    <w:p>
      <w:pPr>
        <w:pStyle w:val="4"/>
        <w:spacing w:before="192" w:line="391" w:lineRule="auto"/>
        <w:ind w:right="268" w:firstLine="480"/>
        <w:jc w:val="both"/>
        <w:rPr>
          <w:color w:val="auto"/>
        </w:rPr>
      </w:pPr>
      <w:r>
        <w:rPr>
          <w:color w:val="auto"/>
          <w:spacing w:val="-3"/>
        </w:rPr>
        <w:t>未经许可在产品或者产品包装上标注他人的专利号；未经许可，在产品说明书等</w:t>
      </w:r>
      <w:r>
        <w:rPr>
          <w:color w:val="auto"/>
          <w:spacing w:val="-4"/>
        </w:rPr>
        <w:t>材料中使用他人的专利号的；因假冒专利行为受到过行政处罚，再次实施相同的假冒</w:t>
      </w:r>
      <w:r>
        <w:rPr>
          <w:color w:val="auto"/>
        </w:rPr>
        <w:t>专利行为的；伪造或者变造专利证书、专利文件或者专利申请文件的。</w:t>
      </w:r>
    </w:p>
    <w:p>
      <w:pPr>
        <w:pStyle w:val="13"/>
        <w:numPr>
          <w:ilvl w:val="0"/>
          <w:numId w:val="1838"/>
        </w:numPr>
        <w:tabs>
          <w:tab w:val="left" w:pos="1193"/>
        </w:tabs>
        <w:spacing w:before="0" w:after="0" w:line="304" w:lineRule="exact"/>
        <w:ind w:left="1192" w:right="0" w:hanging="602"/>
        <w:jc w:val="left"/>
        <w:rPr>
          <w:color w:val="auto"/>
          <w:sz w:val="24"/>
        </w:rPr>
      </w:pPr>
      <w:r>
        <w:rPr>
          <w:color w:val="auto"/>
          <w:sz w:val="24"/>
        </w:rPr>
        <w:t>处罚标准</w:t>
      </w:r>
    </w:p>
    <w:p>
      <w:pPr>
        <w:pStyle w:val="4"/>
        <w:spacing w:before="194"/>
        <w:ind w:left="591"/>
        <w:rPr>
          <w:color w:val="auto"/>
        </w:rPr>
      </w:pPr>
      <w:r>
        <w:rPr>
          <w:color w:val="auto"/>
        </w:rPr>
        <w:t>责令改正并予公告，没收违法所得，并处违法所得 2-3 倍的罚款；违法所得难以</w:t>
      </w:r>
    </w:p>
    <w:p>
      <w:pPr>
        <w:pStyle w:val="4"/>
        <w:spacing w:before="192"/>
        <w:rPr>
          <w:color w:val="auto"/>
        </w:rPr>
      </w:pPr>
      <w:r>
        <w:rPr>
          <w:color w:val="auto"/>
        </w:rPr>
        <w:t>确定或没有违法所得的，处 6 万元以上 14 万元以下的罚款。</w:t>
      </w:r>
    </w:p>
    <w:p>
      <w:pPr>
        <w:pStyle w:val="13"/>
        <w:numPr>
          <w:ilvl w:val="0"/>
          <w:numId w:val="0"/>
        </w:numPr>
        <w:tabs>
          <w:tab w:val="left" w:pos="833"/>
        </w:tabs>
        <w:spacing w:before="191" w:after="0" w:line="240" w:lineRule="auto"/>
        <w:ind w:left="590" w:leftChars="0" w:right="0" w:rightChars="0"/>
        <w:jc w:val="left"/>
        <w:rPr>
          <w:color w:val="auto"/>
          <w:sz w:val="24"/>
        </w:rPr>
      </w:pPr>
      <w:r>
        <w:rPr>
          <w:rFonts w:hint="eastAsia"/>
          <w:color w:val="auto"/>
          <w:sz w:val="24"/>
          <w:lang w:val="en-US" w:eastAsia="zh-CN"/>
        </w:rPr>
        <w:t>5.</w:t>
      </w:r>
      <w:r>
        <w:rPr>
          <w:color w:val="auto"/>
          <w:sz w:val="24"/>
        </w:rPr>
        <w:t>【严重】</w:t>
      </w:r>
    </w:p>
    <w:p>
      <w:pPr>
        <w:pStyle w:val="13"/>
        <w:numPr>
          <w:ilvl w:val="0"/>
          <w:numId w:val="1839"/>
        </w:numPr>
        <w:tabs>
          <w:tab w:val="left" w:pos="1193"/>
        </w:tabs>
        <w:spacing w:before="195" w:after="0" w:line="240" w:lineRule="auto"/>
        <w:ind w:left="1192" w:right="0" w:hanging="602"/>
        <w:jc w:val="left"/>
        <w:rPr>
          <w:color w:val="auto"/>
          <w:sz w:val="24"/>
        </w:rPr>
      </w:pPr>
      <w:r>
        <w:rPr>
          <w:color w:val="auto"/>
          <w:sz w:val="24"/>
        </w:rPr>
        <w:t>违法情形</w:t>
      </w:r>
    </w:p>
    <w:p>
      <w:pPr>
        <w:pStyle w:val="4"/>
        <w:spacing w:before="191" w:line="391" w:lineRule="auto"/>
        <w:ind w:right="148" w:firstLine="480"/>
        <w:rPr>
          <w:color w:val="auto"/>
        </w:rPr>
      </w:pPr>
      <w:r>
        <w:rPr>
          <w:color w:val="auto"/>
          <w:spacing w:val="-13"/>
        </w:rPr>
        <w:t xml:space="preserve">伪造或者变造专利证书、专利文件或者专利申请文件，违法所得在 </w:t>
      </w:r>
      <w:r>
        <w:rPr>
          <w:color w:val="auto"/>
        </w:rPr>
        <w:t>8</w:t>
      </w:r>
      <w:r>
        <w:rPr>
          <w:color w:val="auto"/>
          <w:spacing w:val="-11"/>
        </w:rPr>
        <w:t xml:space="preserve"> 万元以上的； </w:t>
      </w:r>
      <w:r>
        <w:rPr>
          <w:color w:val="auto"/>
          <w:spacing w:val="-4"/>
        </w:rPr>
        <w:t>经责令改正拒不改正的；违法行为造成危害后果、产生恶劣影响的；多次实施同一违</w:t>
      </w:r>
      <w:r>
        <w:rPr>
          <w:color w:val="auto"/>
          <w:spacing w:val="-14"/>
        </w:rPr>
        <w:t xml:space="preserve">法行为或经告诫、劝阻后继续实施违法行为的；妨碍、逃避或者抗拒执法人员执法的； </w:t>
      </w:r>
      <w:r>
        <w:rPr>
          <w:color w:val="auto"/>
        </w:rPr>
        <w:t>其他依法属于特别严重的情形。</w:t>
      </w:r>
    </w:p>
    <w:p>
      <w:pPr>
        <w:pStyle w:val="13"/>
        <w:numPr>
          <w:ilvl w:val="0"/>
          <w:numId w:val="1839"/>
        </w:numPr>
        <w:tabs>
          <w:tab w:val="left" w:pos="1193"/>
        </w:tabs>
        <w:spacing w:before="0" w:after="0" w:line="302" w:lineRule="exact"/>
        <w:ind w:left="1192" w:right="0" w:hanging="602"/>
        <w:jc w:val="left"/>
        <w:rPr>
          <w:color w:val="auto"/>
          <w:sz w:val="24"/>
        </w:rPr>
      </w:pPr>
      <w:r>
        <w:rPr>
          <w:color w:val="auto"/>
          <w:sz w:val="24"/>
        </w:rPr>
        <w:t>处罚标准</w:t>
      </w:r>
    </w:p>
    <w:p>
      <w:pPr>
        <w:pStyle w:val="4"/>
        <w:spacing w:before="194"/>
        <w:ind w:left="591"/>
        <w:rPr>
          <w:color w:val="auto"/>
        </w:rPr>
      </w:pPr>
      <w:r>
        <w:rPr>
          <w:color w:val="auto"/>
          <w:spacing w:val="-6"/>
        </w:rPr>
        <w:t xml:space="preserve">责令改正并予公告，没收违法所得，并处违法所得 </w:t>
      </w:r>
      <w:r>
        <w:rPr>
          <w:color w:val="auto"/>
        </w:rPr>
        <w:t>3</w:t>
      </w:r>
      <w:r>
        <w:rPr>
          <w:color w:val="auto"/>
          <w:spacing w:val="-24"/>
        </w:rPr>
        <w:t xml:space="preserve"> 倍以上 </w:t>
      </w:r>
      <w:r>
        <w:rPr>
          <w:color w:val="auto"/>
        </w:rPr>
        <w:t>4</w:t>
      </w:r>
      <w:r>
        <w:rPr>
          <w:color w:val="auto"/>
          <w:spacing w:val="-9"/>
        </w:rPr>
        <w:t xml:space="preserve"> 倍以下的罚款；违</w:t>
      </w:r>
    </w:p>
    <w:p>
      <w:pPr>
        <w:spacing w:before="192" w:line="388" w:lineRule="auto"/>
        <w:ind w:left="591" w:right="1432" w:hanging="480"/>
        <w:jc w:val="left"/>
        <w:rPr>
          <w:b/>
          <w:color w:val="auto"/>
          <w:sz w:val="24"/>
        </w:rPr>
      </w:pPr>
      <w:r>
        <w:rPr>
          <w:color w:val="auto"/>
          <w:spacing w:val="-4"/>
          <w:sz w:val="24"/>
        </w:rPr>
        <w:t xml:space="preserve">法所得难以确定或没有违法所得的，处 </w:t>
      </w:r>
      <w:r>
        <w:rPr>
          <w:color w:val="auto"/>
          <w:sz w:val="24"/>
        </w:rPr>
        <w:t>14</w:t>
      </w:r>
      <w:r>
        <w:rPr>
          <w:color w:val="auto"/>
          <w:spacing w:val="-20"/>
          <w:sz w:val="24"/>
        </w:rPr>
        <w:t xml:space="preserve"> 万元以上 </w:t>
      </w:r>
      <w:r>
        <w:rPr>
          <w:color w:val="auto"/>
          <w:sz w:val="24"/>
        </w:rPr>
        <w:t>20</w:t>
      </w:r>
      <w:r>
        <w:rPr>
          <w:color w:val="auto"/>
          <w:spacing w:val="-9"/>
          <w:sz w:val="24"/>
        </w:rPr>
        <w:t xml:space="preserve"> 万元以下的罚款。</w:t>
      </w:r>
      <w:bookmarkStart w:id="1564" w:name="_bookmark781"/>
      <w:bookmarkEnd w:id="1564"/>
      <w:bookmarkStart w:id="1565" w:name="七百六十五、为假冒专利行为提供便利条件"/>
      <w:bookmarkEnd w:id="1565"/>
      <w:r>
        <w:rPr>
          <w:b/>
          <w:color w:val="auto"/>
          <w:sz w:val="24"/>
        </w:rPr>
        <w:t>七百六十五、为假冒专利行为提供便利条件</w:t>
      </w:r>
    </w:p>
    <w:p>
      <w:pPr>
        <w:pStyle w:val="2"/>
        <w:spacing w:before="5"/>
        <w:rPr>
          <w:color w:val="auto"/>
        </w:rPr>
      </w:pPr>
      <w:r>
        <w:rPr>
          <w:color w:val="auto"/>
        </w:rPr>
        <w:t>（一）处罚依据</w:t>
      </w:r>
    </w:p>
    <w:p>
      <w:pPr>
        <w:pStyle w:val="4"/>
        <w:spacing w:before="191" w:line="391" w:lineRule="auto"/>
        <w:ind w:right="268" w:firstLine="480"/>
        <w:jc w:val="both"/>
        <w:rPr>
          <w:color w:val="auto"/>
        </w:rPr>
      </w:pPr>
      <w:r>
        <w:rPr>
          <w:color w:val="auto"/>
          <w:spacing w:val="-14"/>
        </w:rPr>
        <w:t>《山东省专利条例》</w:t>
      </w:r>
      <w:r>
        <w:rPr>
          <w:color w:val="auto"/>
          <w:spacing w:val="2"/>
        </w:rPr>
        <w:t>（</w:t>
      </w:r>
      <w:r>
        <w:rPr>
          <w:color w:val="auto"/>
        </w:rPr>
        <w:t>2013</w:t>
      </w:r>
      <w:r>
        <w:rPr>
          <w:color w:val="auto"/>
          <w:spacing w:val="-40"/>
        </w:rPr>
        <w:t xml:space="preserve"> 年 </w:t>
      </w:r>
      <w:r>
        <w:rPr>
          <w:color w:val="auto"/>
        </w:rPr>
        <w:t>8</w:t>
      </w:r>
      <w:r>
        <w:rPr>
          <w:color w:val="auto"/>
          <w:spacing w:val="-15"/>
        </w:rPr>
        <w:t xml:space="preserve"> 月通过</w:t>
      </w:r>
      <w:r>
        <w:rPr>
          <w:color w:val="auto"/>
        </w:rPr>
        <w:t>）</w:t>
      </w:r>
      <w:r>
        <w:rPr>
          <w:color w:val="auto"/>
          <w:spacing w:val="-12"/>
        </w:rPr>
        <w:t>第五十二条：“ 违反本条例规定，为明</w:t>
      </w:r>
      <w:r>
        <w:rPr>
          <w:color w:val="auto"/>
          <w:spacing w:val="-6"/>
        </w:rPr>
        <w:t>知是假冒专利提供制造、销售、运输、仓储、隐匿、展示等便利条件的，由专利行政</w:t>
      </w:r>
      <w:r>
        <w:rPr>
          <w:color w:val="auto"/>
          <w:spacing w:val="-4"/>
        </w:rPr>
        <w:t>部门责令其停止违法行为，可以处四千元以上二万元以下罚款；情节严重的，可以处二万元以上五万元以下罚款。为假冒专利制作、发布广告的，由专利行政部门书面告知，限期改正，并进行公告；逾期不改正的，由有关部门依法处理。”</w:t>
      </w:r>
    </w:p>
    <w:p>
      <w:pPr>
        <w:pStyle w:val="2"/>
        <w:spacing w:line="302" w:lineRule="exact"/>
        <w:rPr>
          <w:color w:val="auto"/>
        </w:rPr>
      </w:pPr>
      <w:r>
        <w:rPr>
          <w:color w:val="auto"/>
        </w:rPr>
        <w:t>（二）裁量标准</w:t>
      </w:r>
    </w:p>
    <w:p>
      <w:pPr>
        <w:pStyle w:val="13"/>
        <w:numPr>
          <w:ilvl w:val="0"/>
          <w:numId w:val="1840"/>
        </w:numPr>
        <w:tabs>
          <w:tab w:val="left" w:pos="833"/>
        </w:tabs>
        <w:spacing w:before="192" w:after="0" w:line="240" w:lineRule="auto"/>
        <w:ind w:left="832" w:right="0" w:hanging="242"/>
        <w:jc w:val="left"/>
        <w:rPr>
          <w:color w:val="auto"/>
          <w:sz w:val="24"/>
        </w:rPr>
      </w:pPr>
      <w:r>
        <w:rPr>
          <w:color w:val="auto"/>
          <w:sz w:val="24"/>
        </w:rPr>
        <w:t>【轻微】</w:t>
      </w:r>
    </w:p>
    <w:p>
      <w:pPr>
        <w:pStyle w:val="13"/>
        <w:numPr>
          <w:ilvl w:val="0"/>
          <w:numId w:val="1841"/>
        </w:numPr>
        <w:tabs>
          <w:tab w:val="left" w:pos="1193"/>
        </w:tabs>
        <w:spacing w:before="192" w:after="0" w:line="240" w:lineRule="auto"/>
        <w:ind w:left="1192" w:right="0" w:hanging="602"/>
        <w:jc w:val="left"/>
        <w:rPr>
          <w:color w:val="auto"/>
          <w:sz w:val="24"/>
        </w:rPr>
      </w:pPr>
      <w:r>
        <w:rPr>
          <w:color w:val="auto"/>
          <w:sz w:val="24"/>
        </w:rPr>
        <w:t>违法情形</w:t>
      </w:r>
    </w:p>
    <w:p>
      <w:pPr>
        <w:pStyle w:val="4"/>
        <w:spacing w:before="39"/>
        <w:ind w:left="591"/>
        <w:rPr>
          <w:color w:val="auto"/>
        </w:rPr>
      </w:pPr>
      <w:r>
        <w:rPr>
          <w:color w:val="auto"/>
        </w:rPr>
        <w:t>为假冒专利制作、发布广告的。</w:t>
      </w:r>
    </w:p>
    <w:p>
      <w:pPr>
        <w:pStyle w:val="13"/>
        <w:numPr>
          <w:ilvl w:val="0"/>
          <w:numId w:val="1841"/>
        </w:numPr>
        <w:tabs>
          <w:tab w:val="left" w:pos="1193"/>
        </w:tabs>
        <w:spacing w:before="195" w:after="0" w:line="240" w:lineRule="auto"/>
        <w:ind w:left="1192" w:right="0" w:hanging="602"/>
        <w:jc w:val="left"/>
        <w:rPr>
          <w:color w:val="auto"/>
          <w:sz w:val="24"/>
        </w:rPr>
      </w:pPr>
      <w:r>
        <w:rPr>
          <w:color w:val="auto"/>
          <w:sz w:val="24"/>
        </w:rPr>
        <w:t>处罚标准</w:t>
      </w:r>
    </w:p>
    <w:p>
      <w:pPr>
        <w:pStyle w:val="4"/>
        <w:spacing w:before="191"/>
        <w:ind w:left="591"/>
        <w:rPr>
          <w:color w:val="auto"/>
        </w:rPr>
      </w:pPr>
      <w:r>
        <w:rPr>
          <w:color w:val="auto"/>
        </w:rPr>
        <w:t>书面告知，限期改正，并进行公告。</w:t>
      </w:r>
    </w:p>
    <w:p>
      <w:pPr>
        <w:pStyle w:val="13"/>
        <w:numPr>
          <w:ilvl w:val="0"/>
          <w:numId w:val="1840"/>
        </w:numPr>
        <w:tabs>
          <w:tab w:val="left" w:pos="833"/>
        </w:tabs>
        <w:spacing w:before="192" w:after="0" w:line="240" w:lineRule="auto"/>
        <w:ind w:left="832" w:right="0" w:hanging="242"/>
        <w:jc w:val="left"/>
        <w:rPr>
          <w:color w:val="auto"/>
          <w:sz w:val="24"/>
        </w:rPr>
      </w:pPr>
      <w:r>
        <w:rPr>
          <w:color w:val="auto"/>
          <w:sz w:val="24"/>
        </w:rPr>
        <w:t>【一般】</w:t>
      </w:r>
    </w:p>
    <w:p>
      <w:pPr>
        <w:pStyle w:val="13"/>
        <w:numPr>
          <w:ilvl w:val="0"/>
          <w:numId w:val="1842"/>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2" w:line="388" w:lineRule="auto"/>
        <w:ind w:right="224" w:firstLine="480"/>
        <w:rPr>
          <w:color w:val="auto"/>
        </w:rPr>
      </w:pPr>
      <w:r>
        <w:rPr>
          <w:color w:val="auto"/>
        </w:rPr>
        <w:t>为明知是假冒专利提供制造、销售、运输、仓储、隐匿、展示等便利条件，涉案假冒专利产品货值在二万元以下的。</w:t>
      </w:r>
    </w:p>
    <w:p>
      <w:pPr>
        <w:pStyle w:val="13"/>
        <w:numPr>
          <w:ilvl w:val="0"/>
          <w:numId w:val="1842"/>
        </w:numPr>
        <w:tabs>
          <w:tab w:val="left" w:pos="1193"/>
        </w:tabs>
        <w:spacing w:before="4"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责令其停止违法行为，处四千元以上二万元以下罚款。</w:t>
      </w:r>
    </w:p>
    <w:p>
      <w:pPr>
        <w:pStyle w:val="13"/>
        <w:numPr>
          <w:ilvl w:val="0"/>
          <w:numId w:val="1840"/>
        </w:numPr>
        <w:tabs>
          <w:tab w:val="left" w:pos="833"/>
        </w:tabs>
        <w:spacing w:before="192" w:after="0" w:line="240" w:lineRule="auto"/>
        <w:ind w:left="832" w:right="0" w:hanging="242"/>
        <w:jc w:val="left"/>
        <w:rPr>
          <w:color w:val="auto"/>
          <w:sz w:val="24"/>
        </w:rPr>
      </w:pPr>
      <w:r>
        <w:rPr>
          <w:color w:val="auto"/>
          <w:sz w:val="24"/>
        </w:rPr>
        <w:t>【严重】</w:t>
      </w:r>
    </w:p>
    <w:p>
      <w:pPr>
        <w:pStyle w:val="13"/>
        <w:numPr>
          <w:ilvl w:val="0"/>
          <w:numId w:val="1843"/>
        </w:numPr>
        <w:tabs>
          <w:tab w:val="left" w:pos="1193"/>
        </w:tabs>
        <w:spacing w:before="194" w:after="0" w:line="240" w:lineRule="auto"/>
        <w:ind w:left="1192" w:right="0" w:hanging="602"/>
        <w:jc w:val="left"/>
        <w:rPr>
          <w:color w:val="auto"/>
          <w:sz w:val="24"/>
        </w:rPr>
      </w:pPr>
      <w:r>
        <w:rPr>
          <w:color w:val="auto"/>
          <w:sz w:val="24"/>
        </w:rPr>
        <w:t>违法情形</w:t>
      </w:r>
    </w:p>
    <w:p>
      <w:pPr>
        <w:pStyle w:val="4"/>
        <w:spacing w:before="191" w:line="388" w:lineRule="auto"/>
        <w:ind w:right="224" w:firstLine="480"/>
        <w:rPr>
          <w:color w:val="auto"/>
        </w:rPr>
      </w:pPr>
      <w:r>
        <w:rPr>
          <w:color w:val="auto"/>
        </w:rPr>
        <w:t>为明知是假冒专利提供制造、销售、运输、仓储、隐匿、展示等便利条件，涉案假冒专利产品货值在二万元以上的。</w:t>
      </w:r>
    </w:p>
    <w:p>
      <w:pPr>
        <w:pStyle w:val="13"/>
        <w:numPr>
          <w:ilvl w:val="0"/>
          <w:numId w:val="1843"/>
        </w:numPr>
        <w:tabs>
          <w:tab w:val="left" w:pos="1193"/>
        </w:tabs>
        <w:spacing w:before="5" w:after="0" w:line="240" w:lineRule="auto"/>
        <w:ind w:left="1192" w:right="0" w:hanging="602"/>
        <w:jc w:val="left"/>
        <w:rPr>
          <w:color w:val="auto"/>
          <w:sz w:val="24"/>
        </w:rPr>
      </w:pPr>
      <w:r>
        <w:rPr>
          <w:color w:val="auto"/>
          <w:sz w:val="24"/>
        </w:rPr>
        <w:t>处罚标准</w:t>
      </w:r>
    </w:p>
    <w:p>
      <w:pPr>
        <w:pStyle w:val="4"/>
        <w:spacing w:before="192"/>
        <w:ind w:left="591"/>
        <w:rPr>
          <w:color w:val="auto"/>
        </w:rPr>
      </w:pPr>
      <w:r>
        <w:rPr>
          <w:color w:val="auto"/>
        </w:rPr>
        <w:t>责令其停止违法行为，处二万元以上五万元以下罚款。</w:t>
      </w:r>
    </w:p>
    <w:p>
      <w:pPr>
        <w:pStyle w:val="4"/>
        <w:spacing w:before="192"/>
        <w:ind w:left="591"/>
        <w:rPr>
          <w:color w:val="auto"/>
        </w:rPr>
      </w:pPr>
    </w:p>
    <w:p>
      <w:pPr>
        <w:pStyle w:val="4"/>
        <w:spacing w:before="192"/>
        <w:ind w:left="591"/>
        <w:rPr>
          <w:color w:val="auto"/>
        </w:rPr>
      </w:pPr>
    </w:p>
    <w:p>
      <w:pPr>
        <w:pStyle w:val="4"/>
        <w:spacing w:before="192"/>
        <w:ind w:left="591"/>
        <w:rPr>
          <w:color w:val="auto"/>
        </w:rPr>
      </w:pPr>
    </w:p>
    <w:p>
      <w:pPr>
        <w:pStyle w:val="4"/>
        <w:spacing w:before="192"/>
        <w:jc w:val="center"/>
        <w:rPr>
          <w:rFonts w:hint="default" w:eastAsia="宋体"/>
          <w:b/>
          <w:bCs/>
          <w:color w:val="auto"/>
          <w:lang w:val="en-US" w:eastAsia="zh-CN"/>
        </w:rPr>
      </w:pPr>
      <w:r>
        <w:rPr>
          <w:rFonts w:hint="eastAsia"/>
          <w:b/>
          <w:bCs/>
          <w:color w:val="auto"/>
          <w:lang w:val="en-US" w:eastAsia="zh-CN"/>
        </w:rPr>
        <w:t>第十八章  补充内容</w:t>
      </w:r>
    </w:p>
    <w:p>
      <w:pPr>
        <w:pStyle w:val="4"/>
        <w:spacing w:before="192"/>
        <w:ind w:firstLine="472" w:firstLineChars="200"/>
        <w:rPr>
          <w:rFonts w:hint="eastAsia"/>
          <w:b/>
          <w:bCs/>
          <w:color w:val="auto"/>
          <w:lang w:eastAsia="zh-CN"/>
        </w:rPr>
      </w:pPr>
      <w:r>
        <w:rPr>
          <w:rFonts w:hint="eastAsia"/>
          <w:b/>
          <w:bCs/>
          <w:color w:val="auto"/>
          <w:lang w:val="en-US" w:eastAsia="zh-CN"/>
        </w:rPr>
        <w:t xml:space="preserve">  </w:t>
      </w:r>
      <w:r>
        <w:rPr>
          <w:rFonts w:hint="eastAsia"/>
          <w:b/>
          <w:bCs/>
          <w:color w:val="auto"/>
          <w:lang w:eastAsia="zh-CN"/>
        </w:rPr>
        <w:t>七百六十六、取得工业产品许可证的企业未在规定期限内向省工业产品生产许可证主管部门提交报告</w:t>
      </w:r>
    </w:p>
    <w:p>
      <w:pPr>
        <w:pStyle w:val="2"/>
        <w:numPr>
          <w:ilvl w:val="0"/>
          <w:numId w:val="1844"/>
        </w:numPr>
        <w:spacing w:before="5"/>
        <w:rPr>
          <w:color w:val="auto"/>
        </w:rPr>
      </w:pPr>
      <w:r>
        <w:rPr>
          <w:color w:val="auto"/>
        </w:rPr>
        <w:t>处罚依据</w:t>
      </w:r>
    </w:p>
    <w:p>
      <w:pPr>
        <w:widowControl w:val="0"/>
        <w:numPr>
          <w:ilvl w:val="0"/>
          <w:numId w:val="0"/>
        </w:numPr>
        <w:autoSpaceDE w:val="0"/>
        <w:autoSpaceDN w:val="0"/>
        <w:spacing w:before="0" w:after="0" w:line="240" w:lineRule="auto"/>
        <w:ind w:right="0" w:rightChars="0" w:firstLine="708" w:firstLineChars="300"/>
        <w:jc w:val="left"/>
        <w:rPr>
          <w:rFonts w:hint="default" w:eastAsia="宋体"/>
          <w:color w:val="auto"/>
          <w:sz w:val="24"/>
          <w:szCs w:val="24"/>
          <w:lang w:val="en-US" w:eastAsia="zh-CN"/>
        </w:rPr>
      </w:pPr>
      <w:r>
        <w:rPr>
          <w:rFonts w:hint="eastAsia"/>
          <w:color w:val="auto"/>
          <w:sz w:val="24"/>
          <w:szCs w:val="24"/>
          <w:lang w:eastAsia="zh-CN"/>
        </w:rPr>
        <w:t>《中华人民共和国工业产品生产许可证管理条例》（</w:t>
      </w:r>
      <w:r>
        <w:rPr>
          <w:rFonts w:hint="eastAsia"/>
          <w:color w:val="auto"/>
          <w:sz w:val="24"/>
          <w:szCs w:val="24"/>
          <w:lang w:val="en-US" w:eastAsia="zh-CN"/>
        </w:rPr>
        <w:t>2005年6月通过，国务院令第440号）第三十八条、第五十三条</w:t>
      </w:r>
    </w:p>
    <w:p>
      <w:pPr>
        <w:pStyle w:val="2"/>
        <w:numPr>
          <w:ilvl w:val="0"/>
          <w:numId w:val="0"/>
        </w:numPr>
        <w:spacing w:line="302" w:lineRule="exact"/>
        <w:ind w:right="0" w:rightChars="0" w:firstLine="944" w:firstLineChars="400"/>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b/>
          <w:i w:val="0"/>
          <w:caps w:val="0"/>
          <w:color w:val="auto"/>
          <w:spacing w:val="0"/>
          <w:sz w:val="24"/>
          <w:szCs w:val="24"/>
          <w:shd w:val="clear" w:fill="FFFFFF"/>
        </w:rPr>
        <w:t>第三十八条</w:t>
      </w:r>
      <w:r>
        <w:rPr>
          <w:rFonts w:hint="eastAsia" w:asciiTheme="minorEastAsia" w:hAnsiTheme="minorEastAsia" w:eastAsiaTheme="minorEastAsia" w:cstheme="minorEastAsia"/>
          <w:b w:val="0"/>
          <w:bCs w:val="0"/>
          <w:i w:val="0"/>
          <w:caps w:val="0"/>
          <w:color w:val="auto"/>
          <w:spacing w:val="0"/>
          <w:sz w:val="24"/>
          <w:szCs w:val="24"/>
          <w:shd w:val="clear" w:fill="FFFFFF"/>
        </w:rPr>
        <w:t>企业应当保证产品质量稳定合格，并定期向省、自治区、直辖市工业产品生产许可证主管部门提交报告。企业对报告的真实性负责。</w:t>
      </w:r>
    </w:p>
    <w:p>
      <w:pPr>
        <w:ind w:firstLine="944" w:firstLineChars="4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aps w:val="0"/>
          <w:color w:val="auto"/>
          <w:spacing w:val="0"/>
          <w:sz w:val="24"/>
          <w:szCs w:val="24"/>
          <w:shd w:val="clear" w:fill="FFFFFF"/>
        </w:rPr>
        <w:t>第五十三条</w:t>
      </w:r>
      <w:r>
        <w:rPr>
          <w:rFonts w:hint="eastAsia" w:asciiTheme="minorEastAsia" w:hAnsiTheme="minorEastAsia" w:eastAsiaTheme="minorEastAsia" w:cstheme="minorEastAsia"/>
          <w:i w:val="0"/>
          <w:caps w:val="0"/>
          <w:color w:val="auto"/>
          <w:spacing w:val="0"/>
          <w:sz w:val="24"/>
          <w:szCs w:val="24"/>
          <w:shd w:val="clear" w:fill="FFFFFF"/>
        </w:rPr>
        <w:t>取得生产许可证的企业未依照本条例规定定期向省、自治区、直辖市工业产品生产许可证主管部门提交报告的，由省、自治区、直辖市工业产品生产许可证主管部门责令限期改正；逾期未改正的，处5000元以下的罚款。</w:t>
      </w:r>
    </w:p>
    <w:p>
      <w:pPr>
        <w:pStyle w:val="2"/>
        <w:numPr>
          <w:ilvl w:val="0"/>
          <w:numId w:val="1844"/>
        </w:numPr>
        <w:spacing w:line="302" w:lineRule="exact"/>
        <w:ind w:left="591" w:leftChars="0" w:firstLine="0" w:firstLineChars="0"/>
        <w:rPr>
          <w:color w:val="auto"/>
        </w:rPr>
      </w:pPr>
      <w:r>
        <w:rPr>
          <w:color w:val="auto"/>
        </w:rPr>
        <w:t>裁量标准</w:t>
      </w:r>
    </w:p>
    <w:p>
      <w:pPr>
        <w:numPr>
          <w:ilvl w:val="0"/>
          <w:numId w:val="0"/>
        </w:numPr>
        <w:ind w:right="0" w:rightChars="0" w:firstLine="864" w:firstLineChars="400"/>
        <w:rPr>
          <w:rFonts w:hint="eastAsia"/>
          <w:color w:val="auto"/>
          <w:lang w:eastAsia="zh-CN"/>
        </w:rPr>
      </w:pPr>
      <w:r>
        <w:rPr>
          <w:rFonts w:hint="eastAsia"/>
          <w:color w:val="auto"/>
          <w:lang w:val="en-US" w:eastAsia="zh-CN"/>
        </w:rPr>
        <w:t>1.</w:t>
      </w:r>
      <w:r>
        <w:rPr>
          <w:rFonts w:hint="eastAsia"/>
          <w:color w:val="auto"/>
          <w:lang w:eastAsia="zh-CN"/>
        </w:rPr>
        <w:t>【不予处罚】</w:t>
      </w:r>
    </w:p>
    <w:p>
      <w:pPr>
        <w:keepNext w:val="0"/>
        <w:keepLines w:val="0"/>
        <w:widowControl/>
        <w:suppressLineNumbers w:val="0"/>
        <w:ind w:firstLine="944" w:firstLineChars="4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自行改正或者在行政机关责令改正的期限内改正</w:t>
      </w:r>
    </w:p>
    <w:p>
      <w:pPr>
        <w:keepNext w:val="0"/>
        <w:keepLines w:val="0"/>
        <w:widowControl/>
        <w:suppressLineNumbers w:val="0"/>
        <w:ind w:firstLine="944" w:firstLineChars="400"/>
        <w:jc w:val="left"/>
        <w:rPr>
          <w:rFonts w:hint="eastAsia" w:cs="宋体"/>
          <w:color w:val="auto"/>
          <w:kern w:val="0"/>
          <w:sz w:val="24"/>
          <w:szCs w:val="24"/>
          <w:lang w:val="en-US" w:eastAsia="zh-CN" w:bidi="ar"/>
        </w:rPr>
      </w:pPr>
      <w:r>
        <w:rPr>
          <w:rFonts w:hint="eastAsia" w:cs="宋体"/>
          <w:color w:val="auto"/>
          <w:kern w:val="0"/>
          <w:sz w:val="24"/>
          <w:szCs w:val="24"/>
          <w:lang w:val="en-US" w:eastAsia="zh-CN" w:bidi="ar"/>
        </w:rPr>
        <w:t>2.【一般】</w:t>
      </w:r>
    </w:p>
    <w:p>
      <w:pPr>
        <w:keepNext w:val="0"/>
        <w:keepLines w:val="0"/>
        <w:widowControl/>
        <w:suppressLineNumbers w:val="0"/>
        <w:ind w:firstLine="472" w:firstLineChars="200"/>
        <w:jc w:val="left"/>
        <w:rPr>
          <w:rFonts w:hint="default" w:cs="宋体"/>
          <w:color w:val="auto"/>
          <w:kern w:val="0"/>
          <w:sz w:val="24"/>
          <w:szCs w:val="24"/>
          <w:lang w:val="en-US" w:eastAsia="zh-CN" w:bidi="ar"/>
        </w:rPr>
      </w:pPr>
      <w:r>
        <w:rPr>
          <w:rFonts w:hint="eastAsia" w:asciiTheme="minorEastAsia" w:hAnsiTheme="minorEastAsia" w:eastAsiaTheme="minorEastAsia" w:cstheme="minorEastAsia"/>
          <w:i w:val="0"/>
          <w:caps w:val="0"/>
          <w:color w:val="auto"/>
          <w:spacing w:val="0"/>
          <w:sz w:val="24"/>
          <w:szCs w:val="24"/>
          <w:shd w:val="clear" w:fill="FFFFFF"/>
        </w:rPr>
        <w:t>逾期未改正的，处5000元以下的罚款。</w:t>
      </w:r>
    </w:p>
    <w:p>
      <w:pPr>
        <w:numPr>
          <w:ilvl w:val="0"/>
          <w:numId w:val="0"/>
        </w:numPr>
        <w:ind w:right="0" w:rightChars="0" w:firstLine="472" w:firstLineChars="200"/>
        <w:rPr>
          <w:rFonts w:hint="eastAsia"/>
          <w:b/>
          <w:bCs/>
          <w:color w:val="auto"/>
          <w:sz w:val="24"/>
          <w:szCs w:val="24"/>
          <w:lang w:eastAsia="zh-CN"/>
        </w:rPr>
      </w:pPr>
      <w:r>
        <w:rPr>
          <w:rFonts w:hint="eastAsia"/>
          <w:b/>
          <w:bCs/>
          <w:color w:val="auto"/>
          <w:sz w:val="24"/>
          <w:szCs w:val="24"/>
          <w:lang w:eastAsia="zh-CN"/>
        </w:rPr>
        <w:t>七百六十七、食盐零售单位销售散装食盐，或者餐饮服务提供者采购、贮存、使用散装食盐</w:t>
      </w:r>
    </w:p>
    <w:p>
      <w:pPr>
        <w:numPr>
          <w:ilvl w:val="0"/>
          <w:numId w:val="1845"/>
        </w:numPr>
        <w:ind w:left="591" w:leftChars="0" w:right="0" w:rightChars="0"/>
        <w:rPr>
          <w:rFonts w:hint="eastAsia"/>
          <w:b/>
          <w:bCs/>
          <w:color w:val="auto"/>
          <w:sz w:val="24"/>
          <w:szCs w:val="24"/>
          <w:lang w:eastAsia="zh-CN"/>
        </w:rPr>
      </w:pPr>
      <w:r>
        <w:rPr>
          <w:rFonts w:hint="eastAsia"/>
          <w:b/>
          <w:bCs/>
          <w:color w:val="auto"/>
          <w:sz w:val="24"/>
          <w:szCs w:val="24"/>
          <w:lang w:eastAsia="zh-CN"/>
        </w:rPr>
        <w:t>处罚依据</w:t>
      </w:r>
    </w:p>
    <w:p>
      <w:pPr>
        <w:keepNext w:val="0"/>
        <w:keepLines w:val="0"/>
        <w:pageBreakBefore w:val="0"/>
        <w:numPr>
          <w:ilvl w:val="0"/>
          <w:numId w:val="0"/>
        </w:numPr>
        <w:kinsoku/>
        <w:wordWrap/>
        <w:overflowPunct/>
        <w:topLinePunct w:val="0"/>
        <w:autoSpaceDE w:val="0"/>
        <w:autoSpaceDN w:val="0"/>
        <w:bidi w:val="0"/>
        <w:adjustRightInd/>
        <w:snapToGrid/>
        <w:spacing w:line="320" w:lineRule="exact"/>
        <w:ind w:right="0" w:rightChars="0"/>
        <w:textAlignment w:val="auto"/>
        <w:rPr>
          <w:rFonts w:hint="eastAsia" w:asciiTheme="minorEastAsia" w:hAnsiTheme="minorEastAsia" w:eastAsiaTheme="minorEastAsia" w:cstheme="minorEastAsia"/>
          <w:b/>
          <w:bCs/>
          <w:color w:val="auto"/>
          <w:sz w:val="24"/>
          <w:szCs w:val="24"/>
          <w:lang w:val="en-US" w:eastAsia="zh-CN"/>
        </w:rPr>
      </w:pPr>
      <w:r>
        <w:rPr>
          <w:rFonts w:hint="eastAsia"/>
          <w:b/>
          <w:bCs/>
          <w:color w:val="auto"/>
          <w:sz w:val="24"/>
          <w:szCs w:val="24"/>
          <w:lang w:val="en-US" w:eastAsia="zh-CN"/>
        </w:rPr>
        <w:t xml:space="preserve">      </w:t>
      </w:r>
      <w:r>
        <w:rPr>
          <w:rFonts w:hint="eastAsia" w:asciiTheme="minorEastAsia" w:hAnsiTheme="minorEastAsia" w:eastAsiaTheme="minorEastAsia" w:cstheme="minorEastAsia"/>
          <w:b w:val="0"/>
          <w:bCs w:val="0"/>
          <w:color w:val="auto"/>
          <w:sz w:val="24"/>
          <w:szCs w:val="24"/>
          <w:lang w:val="en-US" w:eastAsia="zh-CN"/>
        </w:rPr>
        <w:t>《食盐质量安全监督管理办法》（2020年1月通过，国家市场监督管理总局令第23号）第八条、第二十四条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t>第八条</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  食盐生产经营禁止下列行为：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（一）将液体盐（含天然卤水）作为食盐销售；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（二）将工业用盐和其他非食用盐作为食盐销售；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（三）将利用盐土、硝土或者工业废渣、废液制作的盐作为食盐销售；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（四）利用井矿盐卤水熬制食盐，或者将利用井矿盐卤水熬制的盐作为食盐销售；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（五）生产经营掺假掺杂、混有异物的食盐；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（六）生产经营其他不符合法律、法规、规章和食品安全标准的食盐。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禁止食盐零售单位销售散装食盐，禁止餐饮服务提供者采购、贮存、使用散装食盐。</w:t>
      </w:r>
    </w:p>
    <w:p>
      <w:pPr>
        <w:keepNext w:val="0"/>
        <w:keepLines w:val="0"/>
        <w:pageBreakBefore w:val="0"/>
        <w:numPr>
          <w:ilvl w:val="0"/>
          <w:numId w:val="0"/>
        </w:numPr>
        <w:kinsoku/>
        <w:wordWrap/>
        <w:overflowPunct/>
        <w:topLinePunct w:val="0"/>
        <w:autoSpaceDE w:val="0"/>
        <w:autoSpaceDN w:val="0"/>
        <w:bidi w:val="0"/>
        <w:adjustRightInd/>
        <w:snapToGrid/>
        <w:spacing w:line="320" w:lineRule="exact"/>
        <w:ind w:right="0" w:rightChars="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val="0"/>
          <w:bCs w:val="0"/>
          <w:i w:val="0"/>
          <w:caps w:val="0"/>
          <w:color w:val="auto"/>
          <w:spacing w:val="0"/>
          <w:sz w:val="24"/>
          <w:szCs w:val="24"/>
          <w:shd w:val="clear" w:fill="FFFFFF"/>
        </w:rPr>
        <w:t>第二十四条 </w:t>
      </w:r>
      <w:r>
        <w:rPr>
          <w:rFonts w:hint="eastAsia" w:asciiTheme="minorEastAsia" w:hAnsiTheme="minorEastAsia" w:eastAsiaTheme="minorEastAsia" w:cstheme="minorEastAsia"/>
          <w:i w:val="0"/>
          <w:caps w:val="0"/>
          <w:color w:val="auto"/>
          <w:spacing w:val="0"/>
          <w:sz w:val="24"/>
          <w:szCs w:val="24"/>
          <w:shd w:val="clear" w:fill="FFFFFF"/>
        </w:rPr>
        <w:t> 违反本办法第八条第二款，食盐零售单位销售散装食盐，或者餐饮服务提供者采购、贮存、使用散装食盐的，由县级以上市场监督管理部门责令改正；拒不改正的，给予警告，并处5000元以上3万元以下罚款。</w:t>
      </w:r>
      <w:r>
        <w:rPr>
          <w:rFonts w:hint="eastAsia" w:asciiTheme="minorEastAsia" w:hAnsiTheme="minorEastAsia" w:eastAsiaTheme="minorEastAsia" w:cstheme="minorEastAsia"/>
          <w:b/>
          <w:bCs/>
          <w:color w:val="auto"/>
          <w:sz w:val="24"/>
          <w:szCs w:val="24"/>
          <w:lang w:val="en-US" w:eastAsia="zh-CN"/>
        </w:rPr>
        <w:t xml:space="preserve">  </w:t>
      </w:r>
    </w:p>
    <w:p>
      <w:pPr>
        <w:numPr>
          <w:ilvl w:val="0"/>
          <w:numId w:val="0"/>
        </w:numPr>
        <w:ind w:right="0" w:rightChars="0" w:firstLine="708" w:firstLineChars="300"/>
        <w:rPr>
          <w:rFonts w:hint="default"/>
          <w:b/>
          <w:bCs/>
          <w:color w:val="auto"/>
          <w:sz w:val="24"/>
          <w:szCs w:val="24"/>
          <w:lang w:val="en-US" w:eastAsia="zh-CN"/>
        </w:rPr>
      </w:pPr>
      <w:r>
        <w:rPr>
          <w:rFonts w:hint="eastAsia"/>
          <w:b/>
          <w:bCs/>
          <w:color w:val="auto"/>
          <w:sz w:val="24"/>
          <w:szCs w:val="24"/>
          <w:lang w:val="en-US" w:eastAsia="zh-CN"/>
        </w:rPr>
        <w:t xml:space="preserve">（二）裁量标准    </w:t>
      </w:r>
    </w:p>
    <w:p>
      <w:pPr>
        <w:keepNext w:val="0"/>
        <w:keepLines w:val="0"/>
        <w:widowControl/>
        <w:suppressLineNumbers w:val="0"/>
        <w:ind w:firstLine="648" w:firstLineChars="300"/>
        <w:jc w:val="left"/>
        <w:rPr>
          <w:rFonts w:hint="eastAsia"/>
          <w:color w:val="auto"/>
          <w:lang w:val="en-US" w:eastAsia="zh-CN"/>
        </w:rPr>
      </w:pPr>
      <w:r>
        <w:rPr>
          <w:rFonts w:hint="eastAsia"/>
          <w:color w:val="auto"/>
          <w:lang w:val="en-US" w:eastAsia="zh-CN"/>
        </w:rPr>
        <w:t xml:space="preserve">  1.</w:t>
      </w:r>
      <w:r>
        <w:rPr>
          <w:rFonts w:hint="eastAsia"/>
          <w:color w:val="auto"/>
          <w:lang w:eastAsia="zh-CN"/>
        </w:rPr>
        <w:t>【不予处罚】</w:t>
      </w:r>
    </w:p>
    <w:p>
      <w:pPr>
        <w:keepNext w:val="0"/>
        <w:keepLines w:val="0"/>
        <w:widowControl/>
        <w:suppressLineNumbers w:val="0"/>
        <w:ind w:firstLine="648" w:firstLineChars="300"/>
        <w:jc w:val="left"/>
        <w:rPr>
          <w:rFonts w:hint="eastAsia" w:ascii="宋体" w:hAnsi="宋体" w:eastAsia="宋体" w:cs="宋体"/>
          <w:color w:val="auto"/>
          <w:kern w:val="0"/>
          <w:sz w:val="24"/>
          <w:szCs w:val="24"/>
          <w:lang w:val="en-US" w:eastAsia="zh-CN" w:bidi="ar"/>
        </w:rPr>
      </w:pPr>
      <w:r>
        <w:rPr>
          <w:rFonts w:hint="eastAsia"/>
          <w:color w:val="auto"/>
          <w:lang w:val="en-US" w:eastAsia="zh-CN"/>
        </w:rPr>
        <w:t xml:space="preserve"> </w:t>
      </w:r>
      <w:r>
        <w:rPr>
          <w:rFonts w:hint="eastAsia" w:ascii="宋体" w:hAnsi="宋体" w:eastAsia="宋体" w:cs="宋体"/>
          <w:color w:val="auto"/>
          <w:kern w:val="0"/>
          <w:sz w:val="24"/>
          <w:szCs w:val="24"/>
          <w:lang w:val="en-US" w:eastAsia="zh-CN" w:bidi="ar"/>
        </w:rPr>
        <w:t>自行改正或者在行政机关责令改正的期限内改正</w:t>
      </w:r>
    </w:p>
    <w:p>
      <w:pPr>
        <w:keepNext w:val="0"/>
        <w:keepLines w:val="0"/>
        <w:widowControl/>
        <w:suppressLineNumbers w:val="0"/>
        <w:ind w:firstLine="708" w:firstLineChars="300"/>
        <w:jc w:val="left"/>
        <w:rPr>
          <w:rFonts w:hint="eastAsia" w:asciiTheme="minorEastAsia" w:hAnsiTheme="minorEastAsia" w:eastAsiaTheme="minorEastAsia" w:cstheme="minorEastAsia"/>
          <w:i w:val="0"/>
          <w:caps w:val="0"/>
          <w:color w:val="auto"/>
          <w:spacing w:val="0"/>
          <w:sz w:val="24"/>
          <w:szCs w:val="24"/>
          <w:shd w:val="clear" w:fill="FFFFFF"/>
          <w:lang w:eastAsia="zh-CN"/>
        </w:rPr>
      </w:pPr>
      <w:r>
        <w:rPr>
          <w:rFonts w:hint="eastAsia" w:cs="宋体"/>
          <w:color w:val="auto"/>
          <w:kern w:val="0"/>
          <w:sz w:val="24"/>
          <w:szCs w:val="24"/>
          <w:lang w:val="en-US" w:eastAsia="zh-CN" w:bidi="ar"/>
        </w:rPr>
        <w:t>2【一般】</w:t>
      </w:r>
      <w:r>
        <w:rPr>
          <w:rFonts w:hint="eastAsia" w:asciiTheme="minorEastAsia" w:hAnsiTheme="minorEastAsia" w:eastAsiaTheme="minorEastAsia" w:cstheme="minorEastAsia"/>
          <w:i w:val="0"/>
          <w:caps w:val="0"/>
          <w:color w:val="auto"/>
          <w:spacing w:val="0"/>
          <w:sz w:val="24"/>
          <w:szCs w:val="24"/>
          <w:shd w:val="clear" w:fill="FFFFFF"/>
        </w:rPr>
        <w:t>拒不改正的，</w:t>
      </w:r>
      <w:r>
        <w:rPr>
          <w:rFonts w:hint="eastAsia" w:asciiTheme="minorEastAsia" w:hAnsiTheme="minorEastAsia" w:eastAsiaTheme="minorEastAsia" w:cstheme="minorEastAsia"/>
          <w:i w:val="0"/>
          <w:caps w:val="0"/>
          <w:color w:val="auto"/>
          <w:spacing w:val="0"/>
          <w:sz w:val="24"/>
          <w:szCs w:val="24"/>
          <w:shd w:val="clear" w:fill="FFFFFF"/>
          <w:lang w:eastAsia="zh-CN"/>
        </w:rPr>
        <w:t>货值</w:t>
      </w:r>
      <w:r>
        <w:rPr>
          <w:rFonts w:hint="eastAsia" w:asciiTheme="minorEastAsia" w:hAnsiTheme="minorEastAsia" w:eastAsiaTheme="minorEastAsia" w:cstheme="minorEastAsia"/>
          <w:i w:val="0"/>
          <w:caps w:val="0"/>
          <w:color w:val="auto"/>
          <w:spacing w:val="0"/>
          <w:sz w:val="24"/>
          <w:szCs w:val="24"/>
          <w:shd w:val="clear" w:fill="FFFFFF"/>
          <w:lang w:val="en-US" w:eastAsia="zh-CN"/>
        </w:rPr>
        <w:t>2000元以下的</w:t>
      </w:r>
      <w:r>
        <w:rPr>
          <w:rFonts w:hint="eastAsia" w:asciiTheme="minorEastAsia" w:hAnsiTheme="minorEastAsia" w:eastAsiaTheme="minorEastAsia" w:cstheme="minorEastAsia"/>
          <w:i w:val="0"/>
          <w:caps w:val="0"/>
          <w:color w:val="auto"/>
          <w:spacing w:val="0"/>
          <w:sz w:val="24"/>
          <w:szCs w:val="24"/>
          <w:shd w:val="clear" w:fill="FFFFFF"/>
        </w:rPr>
        <w:t>给予警告，并处5000元以上</w:t>
      </w:r>
      <w:r>
        <w:rPr>
          <w:rFonts w:hint="eastAsia" w:asciiTheme="minorEastAsia" w:hAnsiTheme="minorEastAsia" w:eastAsiaTheme="minorEastAsia" w:cstheme="minorEastAsia"/>
          <w:i w:val="0"/>
          <w:caps w:val="0"/>
          <w:color w:val="auto"/>
          <w:spacing w:val="0"/>
          <w:sz w:val="24"/>
          <w:szCs w:val="24"/>
          <w:shd w:val="clear" w:fill="FFFFFF"/>
          <w:lang w:val="en-US" w:eastAsia="zh-CN"/>
        </w:rPr>
        <w:t>1</w:t>
      </w:r>
      <w:r>
        <w:rPr>
          <w:rFonts w:hint="eastAsia" w:asciiTheme="minorEastAsia" w:hAnsiTheme="minorEastAsia" w:eastAsiaTheme="minorEastAsia" w:cstheme="minorEastAsia"/>
          <w:i w:val="0"/>
          <w:caps w:val="0"/>
          <w:color w:val="auto"/>
          <w:spacing w:val="0"/>
          <w:sz w:val="24"/>
          <w:szCs w:val="24"/>
          <w:shd w:val="clear" w:fill="FFFFFF"/>
        </w:rPr>
        <w:t>万元以下罚款</w:t>
      </w:r>
      <w:r>
        <w:rPr>
          <w:rFonts w:hint="eastAsia" w:asciiTheme="minorEastAsia" w:hAnsiTheme="minorEastAsia" w:eastAsiaTheme="minorEastAsia" w:cstheme="minorEastAsia"/>
          <w:i w:val="0"/>
          <w:caps w:val="0"/>
          <w:color w:val="auto"/>
          <w:spacing w:val="0"/>
          <w:sz w:val="24"/>
          <w:szCs w:val="24"/>
          <w:shd w:val="clear" w:fill="FFFFFF"/>
          <w:lang w:eastAsia="zh-CN"/>
        </w:rPr>
        <w:t>。</w:t>
      </w:r>
    </w:p>
    <w:p>
      <w:pPr>
        <w:keepNext w:val="0"/>
        <w:keepLines w:val="0"/>
        <w:widowControl/>
        <w:suppressLineNumbers w:val="0"/>
        <w:ind w:firstLine="708" w:firstLineChars="300"/>
        <w:jc w:val="left"/>
        <w:rPr>
          <w:rFonts w:hint="eastAsia" w:asciiTheme="minorEastAsia" w:hAnsiTheme="minorEastAsia" w:eastAsiaTheme="minorEastAsia" w:cstheme="minorEastAsia"/>
          <w:i w:val="0"/>
          <w:caps w:val="0"/>
          <w:color w:val="auto"/>
          <w:spacing w:val="0"/>
          <w:sz w:val="24"/>
          <w:szCs w:val="24"/>
          <w:shd w:val="clear" w:fill="FFFFFF"/>
          <w:lang w:eastAsia="zh-CN"/>
        </w:rPr>
      </w:pPr>
      <w:r>
        <w:rPr>
          <w:rFonts w:hint="eastAsia" w:asciiTheme="minorEastAsia" w:hAnsiTheme="minorEastAsia" w:eastAsiaTheme="minorEastAsia" w:cstheme="minorEastAsia"/>
          <w:i w:val="0"/>
          <w:caps w:val="0"/>
          <w:color w:val="auto"/>
          <w:spacing w:val="0"/>
          <w:sz w:val="24"/>
          <w:szCs w:val="24"/>
          <w:shd w:val="clear" w:fill="FFFFFF"/>
          <w:lang w:val="en-US" w:eastAsia="zh-CN"/>
        </w:rPr>
        <w:t>3.【较重】</w:t>
      </w:r>
      <w:r>
        <w:rPr>
          <w:rFonts w:hint="eastAsia" w:asciiTheme="minorEastAsia" w:hAnsiTheme="minorEastAsia" w:eastAsiaTheme="minorEastAsia" w:cstheme="minorEastAsia"/>
          <w:i w:val="0"/>
          <w:caps w:val="0"/>
          <w:color w:val="auto"/>
          <w:spacing w:val="0"/>
          <w:sz w:val="24"/>
          <w:szCs w:val="24"/>
          <w:shd w:val="clear" w:fill="FFFFFF"/>
        </w:rPr>
        <w:t>拒不改正的，</w:t>
      </w:r>
      <w:r>
        <w:rPr>
          <w:rFonts w:hint="eastAsia" w:asciiTheme="minorEastAsia" w:hAnsiTheme="minorEastAsia" w:eastAsiaTheme="minorEastAsia" w:cstheme="minorEastAsia"/>
          <w:i w:val="0"/>
          <w:caps w:val="0"/>
          <w:color w:val="auto"/>
          <w:spacing w:val="0"/>
          <w:sz w:val="24"/>
          <w:szCs w:val="24"/>
          <w:shd w:val="clear" w:fill="FFFFFF"/>
          <w:lang w:eastAsia="zh-CN"/>
        </w:rPr>
        <w:t>货值</w:t>
      </w:r>
      <w:r>
        <w:rPr>
          <w:rFonts w:hint="eastAsia" w:asciiTheme="minorEastAsia" w:hAnsiTheme="minorEastAsia" w:eastAsiaTheme="minorEastAsia" w:cstheme="minorEastAsia"/>
          <w:i w:val="0"/>
          <w:caps w:val="0"/>
          <w:color w:val="auto"/>
          <w:spacing w:val="0"/>
          <w:sz w:val="24"/>
          <w:szCs w:val="24"/>
          <w:shd w:val="clear" w:fill="FFFFFF"/>
          <w:lang w:val="en-US" w:eastAsia="zh-CN"/>
        </w:rPr>
        <w:t>2000元以上1万元以下的的</w:t>
      </w:r>
      <w:r>
        <w:rPr>
          <w:rFonts w:hint="eastAsia" w:asciiTheme="minorEastAsia" w:hAnsiTheme="minorEastAsia" w:eastAsiaTheme="minorEastAsia" w:cstheme="minorEastAsia"/>
          <w:i w:val="0"/>
          <w:caps w:val="0"/>
          <w:color w:val="auto"/>
          <w:spacing w:val="0"/>
          <w:sz w:val="24"/>
          <w:szCs w:val="24"/>
          <w:shd w:val="clear" w:fill="FFFFFF"/>
        </w:rPr>
        <w:t>给予警告，并处</w:t>
      </w:r>
      <w:r>
        <w:rPr>
          <w:rFonts w:hint="eastAsia" w:asciiTheme="minorEastAsia" w:hAnsiTheme="minorEastAsia" w:eastAsiaTheme="minorEastAsia" w:cstheme="minorEastAsia"/>
          <w:i w:val="0"/>
          <w:caps w:val="0"/>
          <w:color w:val="auto"/>
          <w:spacing w:val="0"/>
          <w:sz w:val="24"/>
          <w:szCs w:val="24"/>
          <w:shd w:val="clear" w:fill="FFFFFF"/>
          <w:lang w:val="en-US" w:eastAsia="zh-CN"/>
        </w:rPr>
        <w:t>1万</w:t>
      </w:r>
      <w:r>
        <w:rPr>
          <w:rFonts w:hint="eastAsia" w:asciiTheme="minorEastAsia" w:hAnsiTheme="minorEastAsia" w:eastAsiaTheme="minorEastAsia" w:cstheme="minorEastAsia"/>
          <w:i w:val="0"/>
          <w:caps w:val="0"/>
          <w:color w:val="auto"/>
          <w:spacing w:val="0"/>
          <w:sz w:val="24"/>
          <w:szCs w:val="24"/>
          <w:shd w:val="clear" w:fill="FFFFFF"/>
        </w:rPr>
        <w:t>元以上</w:t>
      </w:r>
      <w:r>
        <w:rPr>
          <w:rFonts w:hint="eastAsia" w:asciiTheme="minorEastAsia" w:hAnsiTheme="minorEastAsia" w:eastAsiaTheme="minorEastAsia" w:cstheme="minorEastAsia"/>
          <w:i w:val="0"/>
          <w:caps w:val="0"/>
          <w:color w:val="auto"/>
          <w:spacing w:val="0"/>
          <w:sz w:val="24"/>
          <w:szCs w:val="24"/>
          <w:shd w:val="clear" w:fill="FFFFFF"/>
          <w:lang w:val="en-US" w:eastAsia="zh-CN"/>
        </w:rPr>
        <w:t>2</w:t>
      </w:r>
      <w:r>
        <w:rPr>
          <w:rFonts w:hint="eastAsia" w:asciiTheme="minorEastAsia" w:hAnsiTheme="minorEastAsia" w:eastAsiaTheme="minorEastAsia" w:cstheme="minorEastAsia"/>
          <w:i w:val="0"/>
          <w:caps w:val="0"/>
          <w:color w:val="auto"/>
          <w:spacing w:val="0"/>
          <w:sz w:val="24"/>
          <w:szCs w:val="24"/>
          <w:shd w:val="clear" w:fill="FFFFFF"/>
        </w:rPr>
        <w:t>万元以下罚款</w:t>
      </w:r>
      <w:r>
        <w:rPr>
          <w:rFonts w:hint="eastAsia" w:asciiTheme="minorEastAsia" w:hAnsiTheme="minorEastAsia" w:eastAsiaTheme="minorEastAsia" w:cstheme="minorEastAsia"/>
          <w:i w:val="0"/>
          <w:caps w:val="0"/>
          <w:color w:val="auto"/>
          <w:spacing w:val="0"/>
          <w:sz w:val="24"/>
          <w:szCs w:val="24"/>
          <w:shd w:val="clear" w:fill="FFFFFF"/>
          <w:lang w:eastAsia="zh-CN"/>
        </w:rPr>
        <w:t>。</w:t>
      </w:r>
    </w:p>
    <w:p>
      <w:pPr>
        <w:keepNext w:val="0"/>
        <w:keepLines w:val="0"/>
        <w:widowControl/>
        <w:suppressLineNumbers w:val="0"/>
        <w:ind w:firstLine="708" w:firstLineChars="300"/>
        <w:jc w:val="left"/>
        <w:rPr>
          <w:rFonts w:hint="default" w:asciiTheme="minorEastAsia" w:hAnsiTheme="minorEastAsia" w:eastAsiaTheme="minorEastAsia" w:cstheme="minorEastAsia"/>
          <w:i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caps w:val="0"/>
          <w:color w:val="auto"/>
          <w:spacing w:val="0"/>
          <w:sz w:val="24"/>
          <w:szCs w:val="24"/>
          <w:shd w:val="clear" w:fill="FFFFFF"/>
          <w:lang w:val="en-US" w:eastAsia="zh-CN"/>
        </w:rPr>
        <w:t>4.【严重】</w:t>
      </w:r>
      <w:r>
        <w:rPr>
          <w:rFonts w:hint="eastAsia" w:asciiTheme="minorEastAsia" w:hAnsiTheme="minorEastAsia" w:eastAsiaTheme="minorEastAsia" w:cstheme="minorEastAsia"/>
          <w:i w:val="0"/>
          <w:caps w:val="0"/>
          <w:color w:val="auto"/>
          <w:spacing w:val="0"/>
          <w:sz w:val="24"/>
          <w:szCs w:val="24"/>
          <w:shd w:val="clear" w:fill="FFFFFF"/>
        </w:rPr>
        <w:t>拒不改正的，</w:t>
      </w:r>
      <w:r>
        <w:rPr>
          <w:rFonts w:hint="eastAsia" w:asciiTheme="minorEastAsia" w:hAnsiTheme="minorEastAsia" w:eastAsiaTheme="minorEastAsia" w:cstheme="minorEastAsia"/>
          <w:i w:val="0"/>
          <w:caps w:val="0"/>
          <w:color w:val="auto"/>
          <w:spacing w:val="0"/>
          <w:sz w:val="24"/>
          <w:szCs w:val="24"/>
          <w:shd w:val="clear" w:fill="FFFFFF"/>
          <w:lang w:eastAsia="zh-CN"/>
        </w:rPr>
        <w:t>货值</w:t>
      </w:r>
      <w:r>
        <w:rPr>
          <w:rFonts w:hint="eastAsia" w:asciiTheme="minorEastAsia" w:hAnsiTheme="minorEastAsia" w:eastAsiaTheme="minorEastAsia" w:cstheme="minorEastAsia"/>
          <w:i w:val="0"/>
          <w:caps w:val="0"/>
          <w:color w:val="auto"/>
          <w:spacing w:val="0"/>
          <w:sz w:val="24"/>
          <w:szCs w:val="24"/>
          <w:shd w:val="clear" w:fill="FFFFFF"/>
          <w:lang w:val="en-US" w:eastAsia="zh-CN"/>
        </w:rPr>
        <w:t>1万元以上的</w:t>
      </w:r>
      <w:r>
        <w:rPr>
          <w:rFonts w:hint="eastAsia" w:asciiTheme="minorEastAsia" w:hAnsiTheme="minorEastAsia" w:eastAsiaTheme="minorEastAsia" w:cstheme="minorEastAsia"/>
          <w:i w:val="0"/>
          <w:caps w:val="0"/>
          <w:color w:val="auto"/>
          <w:spacing w:val="0"/>
          <w:sz w:val="24"/>
          <w:szCs w:val="24"/>
          <w:shd w:val="clear" w:fill="FFFFFF"/>
        </w:rPr>
        <w:t>给予警告，并处</w:t>
      </w:r>
      <w:r>
        <w:rPr>
          <w:rFonts w:hint="eastAsia" w:asciiTheme="minorEastAsia" w:hAnsiTheme="minorEastAsia" w:eastAsiaTheme="minorEastAsia" w:cstheme="minorEastAsia"/>
          <w:i w:val="0"/>
          <w:caps w:val="0"/>
          <w:color w:val="auto"/>
          <w:spacing w:val="0"/>
          <w:sz w:val="24"/>
          <w:szCs w:val="24"/>
          <w:shd w:val="clear" w:fill="FFFFFF"/>
          <w:lang w:val="en-US" w:eastAsia="zh-CN"/>
        </w:rPr>
        <w:t>2万</w:t>
      </w:r>
      <w:r>
        <w:rPr>
          <w:rFonts w:hint="eastAsia" w:asciiTheme="minorEastAsia" w:hAnsiTheme="minorEastAsia" w:eastAsiaTheme="minorEastAsia" w:cstheme="minorEastAsia"/>
          <w:i w:val="0"/>
          <w:caps w:val="0"/>
          <w:color w:val="auto"/>
          <w:spacing w:val="0"/>
          <w:sz w:val="24"/>
          <w:szCs w:val="24"/>
          <w:shd w:val="clear" w:fill="FFFFFF"/>
        </w:rPr>
        <w:t>元以上</w:t>
      </w:r>
      <w:r>
        <w:rPr>
          <w:rFonts w:hint="eastAsia" w:asciiTheme="minorEastAsia" w:hAnsiTheme="minorEastAsia" w:eastAsiaTheme="minorEastAsia" w:cstheme="minorEastAsia"/>
          <w:i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caps w:val="0"/>
          <w:color w:val="auto"/>
          <w:spacing w:val="0"/>
          <w:sz w:val="24"/>
          <w:szCs w:val="24"/>
          <w:shd w:val="clear" w:fill="FFFFFF"/>
        </w:rPr>
        <w:t>万元以下罚款</w:t>
      </w:r>
      <w:r>
        <w:rPr>
          <w:rFonts w:hint="eastAsia" w:asciiTheme="minorEastAsia" w:hAnsiTheme="minorEastAsia" w:eastAsiaTheme="minorEastAsia" w:cstheme="minorEastAsia"/>
          <w:i w:val="0"/>
          <w:caps w:val="0"/>
          <w:color w:val="auto"/>
          <w:spacing w:val="0"/>
          <w:sz w:val="24"/>
          <w:szCs w:val="24"/>
          <w:shd w:val="clear" w:fill="FFFFFF"/>
          <w:lang w:eastAsia="zh-CN"/>
        </w:rPr>
        <w:t>。</w:t>
      </w:r>
    </w:p>
    <w:p>
      <w:pPr>
        <w:widowControl w:val="0"/>
        <w:numPr>
          <w:ilvl w:val="0"/>
          <w:numId w:val="0"/>
        </w:numPr>
        <w:autoSpaceDE w:val="0"/>
        <w:autoSpaceDN w:val="0"/>
        <w:spacing w:before="0" w:after="0" w:line="240" w:lineRule="auto"/>
        <w:ind w:right="0" w:rightChars="0"/>
        <w:jc w:val="left"/>
        <w:rPr>
          <w:rFonts w:hint="default" w:eastAsia="宋体"/>
          <w:color w:val="auto"/>
          <w:lang w:val="en-US" w:eastAsia="zh-CN"/>
        </w:rPr>
      </w:pPr>
      <w:r>
        <w:rPr>
          <w:rFonts w:hint="eastAsia"/>
          <w:color w:val="auto"/>
          <w:lang w:val="en-US" w:eastAsia="zh-CN"/>
        </w:rPr>
        <w:t xml:space="preserve">      </w:t>
      </w:r>
      <w:r>
        <w:rPr>
          <w:rFonts w:hint="eastAsia"/>
          <w:b/>
          <w:bCs/>
          <w:color w:val="auto"/>
          <w:sz w:val="24"/>
          <w:szCs w:val="24"/>
          <w:lang w:val="en-US" w:eastAsia="zh-CN"/>
        </w:rPr>
        <w:t>七百六十八、未加碘食盐的标签未在显著位置标注“未加碘”字样</w:t>
      </w:r>
    </w:p>
    <w:p>
      <w:pPr>
        <w:pStyle w:val="4"/>
        <w:numPr>
          <w:ilvl w:val="0"/>
          <w:numId w:val="1846"/>
        </w:numPr>
        <w:spacing w:before="192"/>
        <w:ind w:left="591"/>
        <w:rPr>
          <w:rFonts w:hint="eastAsia"/>
          <w:b/>
          <w:bCs/>
          <w:color w:val="auto"/>
          <w:lang w:eastAsia="zh-CN"/>
        </w:rPr>
      </w:pPr>
      <w:r>
        <w:rPr>
          <w:rFonts w:hint="eastAsia"/>
          <w:b/>
          <w:bCs/>
          <w:color w:val="auto"/>
          <w:lang w:eastAsia="zh-CN"/>
        </w:rPr>
        <w:t>处罚依据</w:t>
      </w:r>
    </w:p>
    <w:p>
      <w:pPr>
        <w:keepNext w:val="0"/>
        <w:keepLines w:val="0"/>
        <w:pageBreakBefore w:val="0"/>
        <w:numPr>
          <w:ilvl w:val="0"/>
          <w:numId w:val="0"/>
        </w:numPr>
        <w:kinsoku/>
        <w:wordWrap/>
        <w:overflowPunct/>
        <w:topLinePunct w:val="0"/>
        <w:autoSpaceDE w:val="0"/>
        <w:autoSpaceDN w:val="0"/>
        <w:bidi w:val="0"/>
        <w:adjustRightInd/>
        <w:snapToGrid/>
        <w:spacing w:line="320" w:lineRule="exact"/>
        <w:ind w:right="0" w:rightChars="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b/>
          <w:bCs/>
          <w:color w:val="auto"/>
          <w:lang w:val="en-US" w:eastAsia="zh-CN"/>
        </w:rPr>
        <w:t xml:space="preserve">      </w:t>
      </w:r>
      <w:r>
        <w:rPr>
          <w:rFonts w:hint="eastAsia"/>
          <w:b w:val="0"/>
          <w:bCs w:val="0"/>
          <w:color w:val="auto"/>
          <w:sz w:val="24"/>
          <w:szCs w:val="24"/>
          <w:lang w:val="en-US" w:eastAsia="zh-CN"/>
        </w:rPr>
        <w:t>《</w:t>
      </w:r>
      <w:r>
        <w:rPr>
          <w:rFonts w:hint="eastAsia" w:asciiTheme="minorEastAsia" w:hAnsiTheme="minorEastAsia" w:eastAsiaTheme="minorEastAsia" w:cstheme="minorEastAsia"/>
          <w:b w:val="0"/>
          <w:bCs w:val="0"/>
          <w:color w:val="auto"/>
          <w:sz w:val="24"/>
          <w:szCs w:val="24"/>
          <w:lang w:val="en-US" w:eastAsia="zh-CN"/>
        </w:rPr>
        <w:t>食盐质量安全监督管理办法》（2020年1月通过，国家市场监督管理总局令第23号）第九条、第二十五条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t xml:space="preserve">第九条 </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食盐的包装上应当有标签。禁止销售无标签或者标签不符合法律、法规、规章和食品安全标准规定的食盐。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加碘食盐应当有明显标识并标明碘的含量。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未加碘食盐的标签应当在显著位置标注“未加碘”字样。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t xml:space="preserve">第二十五条 </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违反本办法第九条第一款、第二款，生产经营无标签或者标签不符合法律、法规、规章和食品安全标准规定的食盐的，或者加碘食盐的标签未标明碘的含量的，由县级以上市场监督管理部门依照食品安全法第一百二十五条第一款的规定处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0" w:afterAutospacing="0" w:line="320" w:lineRule="exact"/>
        <w:ind w:left="0" w:right="0" w:firstLine="640"/>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违反本办法第九条第三款，未加碘食盐的标签未在显著位置标注“未加碘”字样的，由县级以上市场监督管理部门责令改正；拒不改正的，给予警告，并处5000元以上3万元以下罚款。</w:t>
      </w:r>
    </w:p>
    <w:p>
      <w:pPr>
        <w:numPr>
          <w:ilvl w:val="0"/>
          <w:numId w:val="0"/>
        </w:numPr>
        <w:ind w:right="0" w:rightChars="0"/>
        <w:rPr>
          <w:rFonts w:hint="default"/>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（二）裁量标准</w:t>
      </w:r>
    </w:p>
    <w:p>
      <w:pPr>
        <w:numPr>
          <w:ilvl w:val="0"/>
          <w:numId w:val="0"/>
        </w:numPr>
        <w:ind w:right="0" w:rightChars="0"/>
        <w:rPr>
          <w:rFonts w:hint="eastAsia"/>
          <w:color w:val="auto"/>
          <w:lang w:val="en-US" w:eastAsia="zh-CN"/>
        </w:rPr>
      </w:pPr>
      <w:r>
        <w:rPr>
          <w:rFonts w:hint="eastAsia"/>
          <w:color w:val="auto"/>
          <w:lang w:val="en-US" w:eastAsia="zh-CN"/>
        </w:rPr>
        <w:t xml:space="preserve">      1.</w:t>
      </w:r>
      <w:r>
        <w:rPr>
          <w:rFonts w:hint="eastAsia"/>
          <w:color w:val="auto"/>
          <w:lang w:eastAsia="zh-CN"/>
        </w:rPr>
        <w:t>【不予处罚】</w:t>
      </w:r>
    </w:p>
    <w:p>
      <w:pPr>
        <w:numPr>
          <w:ilvl w:val="0"/>
          <w:numId w:val="0"/>
        </w:numPr>
        <w:ind w:right="0" w:rightChars="0" w:firstLine="708" w:firstLineChars="3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自行改正或者在行政机关责令改正的期限内改正</w:t>
      </w:r>
    </w:p>
    <w:p>
      <w:pPr>
        <w:keepNext w:val="0"/>
        <w:keepLines w:val="0"/>
        <w:widowControl/>
        <w:suppressLineNumbers w:val="0"/>
        <w:ind w:firstLine="708" w:firstLineChars="300"/>
        <w:jc w:val="left"/>
        <w:rPr>
          <w:rFonts w:hint="eastAsia" w:asciiTheme="minorEastAsia" w:hAnsiTheme="minorEastAsia" w:eastAsiaTheme="minorEastAsia" w:cstheme="minorEastAsia"/>
          <w:i w:val="0"/>
          <w:caps w:val="0"/>
          <w:color w:val="auto"/>
          <w:spacing w:val="0"/>
          <w:sz w:val="24"/>
          <w:szCs w:val="24"/>
          <w:shd w:val="clear" w:fill="FFFFFF"/>
          <w:lang w:eastAsia="zh-CN"/>
        </w:rPr>
      </w:pPr>
      <w:r>
        <w:rPr>
          <w:rFonts w:hint="eastAsia" w:cs="宋体"/>
          <w:color w:val="auto"/>
          <w:kern w:val="0"/>
          <w:sz w:val="24"/>
          <w:szCs w:val="24"/>
          <w:lang w:val="en-US" w:eastAsia="zh-CN" w:bidi="ar"/>
        </w:rPr>
        <w:t>2【一般】</w:t>
      </w:r>
      <w:r>
        <w:rPr>
          <w:rFonts w:hint="eastAsia" w:asciiTheme="minorEastAsia" w:hAnsiTheme="minorEastAsia" w:eastAsiaTheme="minorEastAsia" w:cstheme="minorEastAsia"/>
          <w:i w:val="0"/>
          <w:caps w:val="0"/>
          <w:color w:val="auto"/>
          <w:spacing w:val="0"/>
          <w:sz w:val="24"/>
          <w:szCs w:val="24"/>
          <w:shd w:val="clear" w:fill="FFFFFF"/>
        </w:rPr>
        <w:t>拒不改正的，</w:t>
      </w:r>
      <w:r>
        <w:rPr>
          <w:rFonts w:hint="eastAsia" w:asciiTheme="minorEastAsia" w:hAnsiTheme="minorEastAsia" w:eastAsiaTheme="minorEastAsia" w:cstheme="minorEastAsia"/>
          <w:i w:val="0"/>
          <w:caps w:val="0"/>
          <w:color w:val="auto"/>
          <w:spacing w:val="0"/>
          <w:sz w:val="24"/>
          <w:szCs w:val="24"/>
          <w:shd w:val="clear" w:fill="FFFFFF"/>
          <w:lang w:eastAsia="zh-CN"/>
        </w:rPr>
        <w:t>货值</w:t>
      </w:r>
      <w:r>
        <w:rPr>
          <w:rFonts w:hint="eastAsia" w:asciiTheme="minorEastAsia" w:hAnsiTheme="minorEastAsia" w:eastAsiaTheme="minorEastAsia" w:cstheme="minorEastAsia"/>
          <w:i w:val="0"/>
          <w:caps w:val="0"/>
          <w:color w:val="auto"/>
          <w:spacing w:val="0"/>
          <w:sz w:val="24"/>
          <w:szCs w:val="24"/>
          <w:shd w:val="clear" w:fill="FFFFFF"/>
          <w:lang w:val="en-US" w:eastAsia="zh-CN"/>
        </w:rPr>
        <w:t>2000元以下的</w:t>
      </w:r>
      <w:r>
        <w:rPr>
          <w:rFonts w:hint="eastAsia" w:asciiTheme="minorEastAsia" w:hAnsiTheme="minorEastAsia" w:eastAsiaTheme="minorEastAsia" w:cstheme="minorEastAsia"/>
          <w:i w:val="0"/>
          <w:caps w:val="0"/>
          <w:color w:val="auto"/>
          <w:spacing w:val="0"/>
          <w:sz w:val="24"/>
          <w:szCs w:val="24"/>
          <w:shd w:val="clear" w:fill="FFFFFF"/>
        </w:rPr>
        <w:t>给予警告，并处5000元以上</w:t>
      </w:r>
      <w:r>
        <w:rPr>
          <w:rFonts w:hint="eastAsia" w:asciiTheme="minorEastAsia" w:hAnsiTheme="minorEastAsia" w:eastAsiaTheme="minorEastAsia" w:cstheme="minorEastAsia"/>
          <w:i w:val="0"/>
          <w:caps w:val="0"/>
          <w:color w:val="auto"/>
          <w:spacing w:val="0"/>
          <w:sz w:val="24"/>
          <w:szCs w:val="24"/>
          <w:shd w:val="clear" w:fill="FFFFFF"/>
          <w:lang w:val="en-US" w:eastAsia="zh-CN"/>
        </w:rPr>
        <w:t>1</w:t>
      </w:r>
      <w:r>
        <w:rPr>
          <w:rFonts w:hint="eastAsia" w:asciiTheme="minorEastAsia" w:hAnsiTheme="minorEastAsia" w:eastAsiaTheme="minorEastAsia" w:cstheme="minorEastAsia"/>
          <w:i w:val="0"/>
          <w:caps w:val="0"/>
          <w:color w:val="auto"/>
          <w:spacing w:val="0"/>
          <w:sz w:val="24"/>
          <w:szCs w:val="24"/>
          <w:shd w:val="clear" w:fill="FFFFFF"/>
        </w:rPr>
        <w:t>万元以下罚款</w:t>
      </w:r>
      <w:r>
        <w:rPr>
          <w:rFonts w:hint="eastAsia" w:asciiTheme="minorEastAsia" w:hAnsiTheme="minorEastAsia" w:eastAsiaTheme="minorEastAsia" w:cstheme="minorEastAsia"/>
          <w:i w:val="0"/>
          <w:caps w:val="0"/>
          <w:color w:val="auto"/>
          <w:spacing w:val="0"/>
          <w:sz w:val="24"/>
          <w:szCs w:val="24"/>
          <w:shd w:val="clear" w:fill="FFFFFF"/>
          <w:lang w:eastAsia="zh-CN"/>
        </w:rPr>
        <w:t>。</w:t>
      </w:r>
    </w:p>
    <w:p>
      <w:pPr>
        <w:keepNext w:val="0"/>
        <w:keepLines w:val="0"/>
        <w:widowControl/>
        <w:suppressLineNumbers w:val="0"/>
        <w:ind w:firstLine="708" w:firstLineChars="300"/>
        <w:jc w:val="left"/>
        <w:rPr>
          <w:rFonts w:hint="eastAsia" w:asciiTheme="minorEastAsia" w:hAnsiTheme="minorEastAsia" w:eastAsiaTheme="minorEastAsia" w:cstheme="minorEastAsia"/>
          <w:i w:val="0"/>
          <w:caps w:val="0"/>
          <w:color w:val="auto"/>
          <w:spacing w:val="0"/>
          <w:sz w:val="24"/>
          <w:szCs w:val="24"/>
          <w:shd w:val="clear" w:fill="FFFFFF"/>
          <w:lang w:eastAsia="zh-CN"/>
        </w:rPr>
      </w:pPr>
      <w:r>
        <w:rPr>
          <w:rFonts w:hint="eastAsia" w:asciiTheme="minorEastAsia" w:hAnsiTheme="minorEastAsia" w:eastAsiaTheme="minorEastAsia" w:cstheme="minorEastAsia"/>
          <w:i w:val="0"/>
          <w:caps w:val="0"/>
          <w:color w:val="auto"/>
          <w:spacing w:val="0"/>
          <w:sz w:val="24"/>
          <w:szCs w:val="24"/>
          <w:shd w:val="clear" w:fill="FFFFFF"/>
          <w:lang w:val="en-US" w:eastAsia="zh-CN"/>
        </w:rPr>
        <w:t>3.【较重】</w:t>
      </w:r>
      <w:r>
        <w:rPr>
          <w:rFonts w:hint="eastAsia" w:asciiTheme="minorEastAsia" w:hAnsiTheme="minorEastAsia" w:eastAsiaTheme="minorEastAsia" w:cstheme="minorEastAsia"/>
          <w:i w:val="0"/>
          <w:caps w:val="0"/>
          <w:color w:val="auto"/>
          <w:spacing w:val="0"/>
          <w:sz w:val="24"/>
          <w:szCs w:val="24"/>
          <w:shd w:val="clear" w:fill="FFFFFF"/>
        </w:rPr>
        <w:t>拒不改正的，</w:t>
      </w:r>
      <w:r>
        <w:rPr>
          <w:rFonts w:hint="eastAsia" w:asciiTheme="minorEastAsia" w:hAnsiTheme="minorEastAsia" w:eastAsiaTheme="minorEastAsia" w:cstheme="minorEastAsia"/>
          <w:i w:val="0"/>
          <w:caps w:val="0"/>
          <w:color w:val="auto"/>
          <w:spacing w:val="0"/>
          <w:sz w:val="24"/>
          <w:szCs w:val="24"/>
          <w:shd w:val="clear" w:fill="FFFFFF"/>
          <w:lang w:eastAsia="zh-CN"/>
        </w:rPr>
        <w:t>货值</w:t>
      </w:r>
      <w:r>
        <w:rPr>
          <w:rFonts w:hint="eastAsia" w:asciiTheme="minorEastAsia" w:hAnsiTheme="minorEastAsia" w:eastAsiaTheme="minorEastAsia" w:cstheme="minorEastAsia"/>
          <w:i w:val="0"/>
          <w:caps w:val="0"/>
          <w:color w:val="auto"/>
          <w:spacing w:val="0"/>
          <w:sz w:val="24"/>
          <w:szCs w:val="24"/>
          <w:shd w:val="clear" w:fill="FFFFFF"/>
          <w:lang w:val="en-US" w:eastAsia="zh-CN"/>
        </w:rPr>
        <w:t>2000元以上1万元以下的的</w:t>
      </w:r>
      <w:r>
        <w:rPr>
          <w:rFonts w:hint="eastAsia" w:asciiTheme="minorEastAsia" w:hAnsiTheme="minorEastAsia" w:eastAsiaTheme="minorEastAsia" w:cstheme="minorEastAsia"/>
          <w:i w:val="0"/>
          <w:caps w:val="0"/>
          <w:color w:val="auto"/>
          <w:spacing w:val="0"/>
          <w:sz w:val="24"/>
          <w:szCs w:val="24"/>
          <w:shd w:val="clear" w:fill="FFFFFF"/>
        </w:rPr>
        <w:t>给予警告，并处</w:t>
      </w:r>
      <w:r>
        <w:rPr>
          <w:rFonts w:hint="eastAsia" w:asciiTheme="minorEastAsia" w:hAnsiTheme="minorEastAsia" w:eastAsiaTheme="minorEastAsia" w:cstheme="minorEastAsia"/>
          <w:i w:val="0"/>
          <w:caps w:val="0"/>
          <w:color w:val="auto"/>
          <w:spacing w:val="0"/>
          <w:sz w:val="24"/>
          <w:szCs w:val="24"/>
          <w:shd w:val="clear" w:fill="FFFFFF"/>
          <w:lang w:val="en-US" w:eastAsia="zh-CN"/>
        </w:rPr>
        <w:t>1万</w:t>
      </w:r>
      <w:r>
        <w:rPr>
          <w:rFonts w:hint="eastAsia" w:asciiTheme="minorEastAsia" w:hAnsiTheme="minorEastAsia" w:eastAsiaTheme="minorEastAsia" w:cstheme="minorEastAsia"/>
          <w:i w:val="0"/>
          <w:caps w:val="0"/>
          <w:color w:val="auto"/>
          <w:spacing w:val="0"/>
          <w:sz w:val="24"/>
          <w:szCs w:val="24"/>
          <w:shd w:val="clear" w:fill="FFFFFF"/>
        </w:rPr>
        <w:t>元以上</w:t>
      </w:r>
      <w:r>
        <w:rPr>
          <w:rFonts w:hint="eastAsia" w:asciiTheme="minorEastAsia" w:hAnsiTheme="minorEastAsia" w:eastAsiaTheme="minorEastAsia" w:cstheme="minorEastAsia"/>
          <w:i w:val="0"/>
          <w:caps w:val="0"/>
          <w:color w:val="auto"/>
          <w:spacing w:val="0"/>
          <w:sz w:val="24"/>
          <w:szCs w:val="24"/>
          <w:shd w:val="clear" w:fill="FFFFFF"/>
          <w:lang w:val="en-US" w:eastAsia="zh-CN"/>
        </w:rPr>
        <w:t>2</w:t>
      </w:r>
      <w:r>
        <w:rPr>
          <w:rFonts w:hint="eastAsia" w:asciiTheme="minorEastAsia" w:hAnsiTheme="minorEastAsia" w:eastAsiaTheme="minorEastAsia" w:cstheme="minorEastAsia"/>
          <w:i w:val="0"/>
          <w:caps w:val="0"/>
          <w:color w:val="auto"/>
          <w:spacing w:val="0"/>
          <w:sz w:val="24"/>
          <w:szCs w:val="24"/>
          <w:shd w:val="clear" w:fill="FFFFFF"/>
        </w:rPr>
        <w:t>万元以下罚款</w:t>
      </w:r>
      <w:r>
        <w:rPr>
          <w:rFonts w:hint="eastAsia" w:asciiTheme="minorEastAsia" w:hAnsiTheme="minorEastAsia" w:eastAsiaTheme="minorEastAsia" w:cstheme="minorEastAsia"/>
          <w:i w:val="0"/>
          <w:caps w:val="0"/>
          <w:color w:val="auto"/>
          <w:spacing w:val="0"/>
          <w:sz w:val="24"/>
          <w:szCs w:val="24"/>
          <w:shd w:val="clear" w:fill="FFFFFF"/>
          <w:lang w:eastAsia="zh-CN"/>
        </w:rPr>
        <w:t>。</w:t>
      </w:r>
    </w:p>
    <w:p>
      <w:pPr>
        <w:keepNext w:val="0"/>
        <w:keepLines w:val="0"/>
        <w:widowControl/>
        <w:suppressLineNumbers w:val="0"/>
        <w:ind w:firstLine="708" w:firstLineChars="300"/>
        <w:jc w:val="left"/>
        <w:rPr>
          <w:rFonts w:hint="eastAsia" w:asciiTheme="minorEastAsia" w:hAnsiTheme="minorEastAsia" w:eastAsiaTheme="minorEastAsia" w:cstheme="minorEastAsia"/>
          <w:i w:val="0"/>
          <w:caps w:val="0"/>
          <w:color w:val="auto"/>
          <w:spacing w:val="0"/>
          <w:sz w:val="24"/>
          <w:szCs w:val="24"/>
          <w:shd w:val="clear" w:fill="FFFFFF"/>
          <w:lang w:eastAsia="zh-CN"/>
        </w:rPr>
      </w:pPr>
      <w:r>
        <w:rPr>
          <w:rFonts w:hint="eastAsia" w:asciiTheme="minorEastAsia" w:hAnsiTheme="minorEastAsia" w:eastAsiaTheme="minorEastAsia" w:cstheme="minorEastAsia"/>
          <w:i w:val="0"/>
          <w:caps w:val="0"/>
          <w:color w:val="auto"/>
          <w:spacing w:val="0"/>
          <w:sz w:val="24"/>
          <w:szCs w:val="24"/>
          <w:shd w:val="clear" w:fill="FFFFFF"/>
          <w:lang w:val="en-US" w:eastAsia="zh-CN"/>
        </w:rPr>
        <w:t>4.【严重】</w:t>
      </w:r>
      <w:r>
        <w:rPr>
          <w:rFonts w:hint="eastAsia" w:asciiTheme="minorEastAsia" w:hAnsiTheme="minorEastAsia" w:eastAsiaTheme="minorEastAsia" w:cstheme="minorEastAsia"/>
          <w:i w:val="0"/>
          <w:caps w:val="0"/>
          <w:color w:val="auto"/>
          <w:spacing w:val="0"/>
          <w:sz w:val="24"/>
          <w:szCs w:val="24"/>
          <w:shd w:val="clear" w:fill="FFFFFF"/>
        </w:rPr>
        <w:t>拒不改正的，</w:t>
      </w:r>
      <w:r>
        <w:rPr>
          <w:rFonts w:hint="eastAsia" w:asciiTheme="minorEastAsia" w:hAnsiTheme="minorEastAsia" w:eastAsiaTheme="minorEastAsia" w:cstheme="minorEastAsia"/>
          <w:i w:val="0"/>
          <w:caps w:val="0"/>
          <w:color w:val="auto"/>
          <w:spacing w:val="0"/>
          <w:sz w:val="24"/>
          <w:szCs w:val="24"/>
          <w:shd w:val="clear" w:fill="FFFFFF"/>
          <w:lang w:eastAsia="zh-CN"/>
        </w:rPr>
        <w:t>货值</w:t>
      </w:r>
      <w:r>
        <w:rPr>
          <w:rFonts w:hint="eastAsia" w:asciiTheme="minorEastAsia" w:hAnsiTheme="minorEastAsia" w:eastAsiaTheme="minorEastAsia" w:cstheme="minorEastAsia"/>
          <w:i w:val="0"/>
          <w:caps w:val="0"/>
          <w:color w:val="auto"/>
          <w:spacing w:val="0"/>
          <w:sz w:val="24"/>
          <w:szCs w:val="24"/>
          <w:shd w:val="clear" w:fill="FFFFFF"/>
          <w:lang w:val="en-US" w:eastAsia="zh-CN"/>
        </w:rPr>
        <w:t>1万元以上的</w:t>
      </w:r>
      <w:r>
        <w:rPr>
          <w:rFonts w:hint="eastAsia" w:asciiTheme="minorEastAsia" w:hAnsiTheme="minorEastAsia" w:eastAsiaTheme="minorEastAsia" w:cstheme="minorEastAsia"/>
          <w:i w:val="0"/>
          <w:caps w:val="0"/>
          <w:color w:val="auto"/>
          <w:spacing w:val="0"/>
          <w:sz w:val="24"/>
          <w:szCs w:val="24"/>
          <w:shd w:val="clear" w:fill="FFFFFF"/>
        </w:rPr>
        <w:t>给予警告，并处</w:t>
      </w:r>
      <w:r>
        <w:rPr>
          <w:rFonts w:hint="eastAsia" w:asciiTheme="minorEastAsia" w:hAnsiTheme="minorEastAsia" w:eastAsiaTheme="minorEastAsia" w:cstheme="minorEastAsia"/>
          <w:i w:val="0"/>
          <w:caps w:val="0"/>
          <w:color w:val="auto"/>
          <w:spacing w:val="0"/>
          <w:sz w:val="24"/>
          <w:szCs w:val="24"/>
          <w:shd w:val="clear" w:fill="FFFFFF"/>
          <w:lang w:val="en-US" w:eastAsia="zh-CN"/>
        </w:rPr>
        <w:t>2万</w:t>
      </w:r>
      <w:r>
        <w:rPr>
          <w:rFonts w:hint="eastAsia" w:asciiTheme="minorEastAsia" w:hAnsiTheme="minorEastAsia" w:eastAsiaTheme="minorEastAsia" w:cstheme="minorEastAsia"/>
          <w:i w:val="0"/>
          <w:caps w:val="0"/>
          <w:color w:val="auto"/>
          <w:spacing w:val="0"/>
          <w:sz w:val="24"/>
          <w:szCs w:val="24"/>
          <w:shd w:val="clear" w:fill="FFFFFF"/>
        </w:rPr>
        <w:t>元以上</w:t>
      </w:r>
      <w:r>
        <w:rPr>
          <w:rFonts w:hint="eastAsia" w:asciiTheme="minorEastAsia" w:hAnsiTheme="minorEastAsia" w:eastAsiaTheme="minorEastAsia" w:cstheme="minorEastAsia"/>
          <w:i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caps w:val="0"/>
          <w:color w:val="auto"/>
          <w:spacing w:val="0"/>
          <w:sz w:val="24"/>
          <w:szCs w:val="24"/>
          <w:shd w:val="clear" w:fill="FFFFFF"/>
        </w:rPr>
        <w:t>万元以下罚款</w:t>
      </w:r>
      <w:r>
        <w:rPr>
          <w:rFonts w:hint="eastAsia" w:asciiTheme="minorEastAsia" w:hAnsiTheme="minorEastAsia" w:eastAsiaTheme="minorEastAsia" w:cstheme="minorEastAsia"/>
          <w:i w:val="0"/>
          <w:caps w:val="0"/>
          <w:color w:val="auto"/>
          <w:spacing w:val="0"/>
          <w:sz w:val="24"/>
          <w:szCs w:val="24"/>
          <w:shd w:val="clear" w:fill="FFFFFF"/>
          <w:lang w:eastAsia="zh-CN"/>
        </w:rPr>
        <w:t>。</w:t>
      </w:r>
    </w:p>
    <w:p>
      <w:pPr>
        <w:keepNext w:val="0"/>
        <w:keepLines w:val="0"/>
        <w:widowControl/>
        <w:suppressLineNumbers w:val="0"/>
        <w:ind w:firstLine="648" w:firstLineChars="300"/>
        <w:jc w:val="left"/>
        <w:rPr>
          <w:rFonts w:hint="eastAsia"/>
          <w:b/>
          <w:bCs/>
          <w:color w:val="auto"/>
          <w:lang w:val="en-US" w:eastAsia="zh-CN"/>
        </w:rPr>
      </w:pPr>
      <w:r>
        <w:rPr>
          <w:rFonts w:hint="eastAsia"/>
          <w:b/>
          <w:bCs/>
          <w:color w:val="auto"/>
          <w:lang w:val="en-US" w:eastAsia="zh-CN"/>
        </w:rPr>
        <w:t xml:space="preserve">   七百六十九、申办者开展药物临床试验前未按规定在药物临床试验登记与信息公示平台进行登记；未按规定提交研发期间安全性更新报告；药物临床试验结束后未登记临床试验结果等信息</w:t>
      </w:r>
    </w:p>
    <w:p>
      <w:pPr>
        <w:pStyle w:val="4"/>
        <w:numPr>
          <w:ilvl w:val="0"/>
          <w:numId w:val="1847"/>
        </w:numPr>
        <w:spacing w:before="192"/>
        <w:ind w:left="963" w:leftChars="0" w:right="0" w:rightChars="0" w:firstLine="0" w:firstLineChars="0"/>
        <w:rPr>
          <w:rFonts w:hint="eastAsia"/>
          <w:b/>
          <w:bCs/>
          <w:color w:val="auto"/>
          <w:lang w:val="en-US" w:eastAsia="zh-CN"/>
        </w:rPr>
      </w:pPr>
      <w:r>
        <w:rPr>
          <w:rFonts w:hint="eastAsia"/>
          <w:b/>
          <w:bCs/>
          <w:color w:val="auto"/>
          <w:lang w:val="en-US" w:eastAsia="zh-CN"/>
        </w:rPr>
        <w:t>处罚依据</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lang w:val="en-US" w:eastAsia="zh-CN"/>
        </w:rPr>
        <w:t>《药品注册管理办法》（2020年1月通过，</w:t>
      </w:r>
      <w:r>
        <w:rPr>
          <w:rFonts w:hint="eastAsia"/>
          <w:b w:val="0"/>
          <w:bCs w:val="0"/>
          <w:color w:val="auto"/>
          <w:sz w:val="24"/>
          <w:szCs w:val="24"/>
          <w:lang w:val="en-US" w:eastAsia="zh-CN"/>
        </w:rPr>
        <w:t>国家市场监督管理总局令第27号）第一百一十六条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180" w:afterAutospacing="0" w:line="320" w:lineRule="exact"/>
        <w:ind w:left="0" w:right="0" w:firstLine="921" w:firstLineChars="390"/>
        <w:textAlignment w:val="auto"/>
        <w:rPr>
          <w:rFonts w:hint="eastAsia" w:ascii="宋体" w:hAnsi="宋体" w:eastAsia="宋体" w:cs="宋体"/>
          <w:i w:val="0"/>
          <w:caps w:val="0"/>
          <w:color w:val="auto"/>
          <w:spacing w:val="0"/>
          <w:sz w:val="24"/>
          <w:szCs w:val="24"/>
        </w:rPr>
      </w:pPr>
      <w:r>
        <w:rPr>
          <w:rFonts w:hint="eastAsia" w:ascii="宋体" w:hAnsi="宋体" w:eastAsia="宋体" w:cs="宋体"/>
          <w:b w:val="0"/>
          <w:bCs w:val="0"/>
          <w:i w:val="0"/>
          <w:caps w:val="0"/>
          <w:color w:val="auto"/>
          <w:spacing w:val="0"/>
          <w:sz w:val="24"/>
          <w:szCs w:val="24"/>
          <w:shd w:val="clear" w:fill="FFFFFF"/>
        </w:rPr>
        <w:t>第一百一十六条</w:t>
      </w:r>
      <w:r>
        <w:rPr>
          <w:rFonts w:hint="eastAsia" w:ascii="宋体" w:hAnsi="宋体" w:eastAsia="宋体" w:cs="宋体"/>
          <w:i w:val="0"/>
          <w:caps w:val="0"/>
          <w:color w:val="auto"/>
          <w:spacing w:val="0"/>
          <w:sz w:val="24"/>
          <w:szCs w:val="24"/>
          <w:shd w:val="clear" w:fill="FFFFFF"/>
        </w:rPr>
        <w:t>  违反本办法第二十八条、第三十三条规定，申办者有下列情形之一的，责令限期改正；逾期不改正的，处一万元以上三万元以下罚款：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180" w:afterAutospacing="0" w:line="320" w:lineRule="exact"/>
        <w:ind w:right="0" w:firstLine="472" w:firstLineChars="200"/>
        <w:textAlignment w:val="auto"/>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sz w:val="24"/>
          <w:szCs w:val="24"/>
          <w:shd w:val="clear" w:fill="FFFFFF"/>
        </w:rPr>
        <w:t>（一）开展药物临床试验前未按规定在药物临床试验登记与信息公示平台进行登记；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180" w:afterAutospacing="0" w:line="320" w:lineRule="exact"/>
        <w:ind w:left="0" w:right="0" w:firstLine="420"/>
        <w:textAlignment w:val="auto"/>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sz w:val="24"/>
          <w:szCs w:val="24"/>
          <w:shd w:val="clear" w:fill="FFFFFF"/>
        </w:rPr>
        <w:t>（二）未按规定提交研发期间安全性更新报告；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180" w:afterAutospacing="0" w:line="320" w:lineRule="exact"/>
        <w:ind w:left="0" w:right="0" w:firstLine="420"/>
        <w:textAlignment w:val="auto"/>
        <w:rPr>
          <w:rFonts w:hint="eastAsia"/>
          <w:b w:val="0"/>
          <w:bCs w:val="0"/>
          <w:color w:val="auto"/>
          <w:sz w:val="24"/>
          <w:szCs w:val="24"/>
          <w:lang w:val="en-US" w:eastAsia="zh-CN"/>
        </w:rPr>
      </w:pPr>
      <w:r>
        <w:rPr>
          <w:rFonts w:hint="eastAsia" w:ascii="宋体" w:hAnsi="宋体" w:eastAsia="宋体" w:cs="宋体"/>
          <w:i w:val="0"/>
          <w:caps w:val="0"/>
          <w:color w:val="auto"/>
          <w:spacing w:val="0"/>
          <w:sz w:val="24"/>
          <w:szCs w:val="24"/>
          <w:shd w:val="clear" w:fill="FFFFFF"/>
        </w:rPr>
        <w:t>（三）药物临床试验结束后未登记临床试验结果等信息。</w:t>
      </w:r>
    </w:p>
    <w:p>
      <w:pPr>
        <w:keepNext w:val="0"/>
        <w:keepLines w:val="0"/>
        <w:pageBreakBefore w:val="0"/>
        <w:numPr>
          <w:ilvl w:val="0"/>
          <w:numId w:val="0"/>
        </w:numPr>
        <w:kinsoku/>
        <w:wordWrap/>
        <w:overflowPunct/>
        <w:topLinePunct w:val="0"/>
        <w:autoSpaceDE w:val="0"/>
        <w:autoSpaceDN w:val="0"/>
        <w:bidi w:val="0"/>
        <w:adjustRightInd/>
        <w:snapToGrid/>
        <w:spacing w:line="320" w:lineRule="exact"/>
        <w:ind w:right="0" w:rightChars="0" w:firstLine="944" w:firstLineChars="400"/>
        <w:textAlignment w:val="auto"/>
        <w:rPr>
          <w:rFonts w:hint="default"/>
          <w:b/>
          <w:bCs/>
          <w:color w:val="auto"/>
          <w:sz w:val="24"/>
          <w:szCs w:val="24"/>
          <w:lang w:val="en-US" w:eastAsia="zh-CN"/>
        </w:rPr>
      </w:pPr>
      <w:r>
        <w:rPr>
          <w:rFonts w:hint="eastAsia"/>
          <w:b/>
          <w:bCs/>
          <w:color w:val="auto"/>
          <w:sz w:val="24"/>
          <w:szCs w:val="24"/>
          <w:lang w:val="en-US" w:eastAsia="zh-CN"/>
        </w:rPr>
        <w:t>（二）裁量标准</w:t>
      </w:r>
    </w:p>
    <w:p>
      <w:pPr>
        <w:pStyle w:val="4"/>
        <w:keepNext w:val="0"/>
        <w:keepLines w:val="0"/>
        <w:pageBreakBefore w:val="0"/>
        <w:numPr>
          <w:ilvl w:val="0"/>
          <w:numId w:val="0"/>
        </w:numPr>
        <w:kinsoku/>
        <w:wordWrap/>
        <w:overflowPunct/>
        <w:topLinePunct w:val="0"/>
        <w:autoSpaceDE w:val="0"/>
        <w:autoSpaceDN w:val="0"/>
        <w:bidi w:val="0"/>
        <w:adjustRightInd/>
        <w:snapToGrid/>
        <w:spacing w:before="192" w:line="320" w:lineRule="exact"/>
        <w:ind w:left="963" w:leftChars="0" w:right="0" w:rightChars="0"/>
        <w:jc w:val="left"/>
        <w:textAlignment w:val="auto"/>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left="963" w:leftChars="0"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left="963" w:leftChars="0"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left="963" w:leftChars="0"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逾期不改正，有三种情形其中之一的，处1万元罚款。</w:t>
      </w:r>
    </w:p>
    <w:p>
      <w:pPr>
        <w:pStyle w:val="4"/>
        <w:numPr>
          <w:ilvl w:val="0"/>
          <w:numId w:val="0"/>
        </w:numPr>
        <w:spacing w:before="192"/>
        <w:ind w:left="963" w:leftChars="0"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3.【较重】</w:t>
      </w:r>
    </w:p>
    <w:p>
      <w:pPr>
        <w:pStyle w:val="4"/>
        <w:numPr>
          <w:ilvl w:val="0"/>
          <w:numId w:val="0"/>
        </w:numPr>
        <w:spacing w:before="192"/>
        <w:ind w:left="963" w:leftChars="0"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逾期不改正，有两种情形的，处1万元以上2万元以下罚款。</w:t>
      </w:r>
    </w:p>
    <w:p>
      <w:pPr>
        <w:pStyle w:val="4"/>
        <w:numPr>
          <w:ilvl w:val="0"/>
          <w:numId w:val="0"/>
        </w:numPr>
        <w:spacing w:before="192"/>
        <w:ind w:left="963" w:leftChars="0"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4.【严重】</w:t>
      </w:r>
    </w:p>
    <w:p>
      <w:pPr>
        <w:pStyle w:val="4"/>
        <w:numPr>
          <w:ilvl w:val="0"/>
          <w:numId w:val="0"/>
        </w:numPr>
        <w:spacing w:before="192"/>
        <w:ind w:left="963" w:leftChars="0" w:right="0" w:rightChars="0"/>
        <w:jc w:val="left"/>
        <w:rPr>
          <w:rFonts w:hint="default"/>
          <w:b w:val="0"/>
          <w:bCs w:val="0"/>
          <w:color w:val="auto"/>
          <w:sz w:val="24"/>
          <w:szCs w:val="24"/>
          <w:lang w:val="en-US" w:eastAsia="zh-CN"/>
        </w:rPr>
      </w:pPr>
      <w:r>
        <w:rPr>
          <w:rFonts w:hint="eastAsia"/>
          <w:b w:val="0"/>
          <w:bCs w:val="0"/>
          <w:color w:val="auto"/>
          <w:sz w:val="24"/>
          <w:szCs w:val="24"/>
          <w:lang w:val="en-US" w:eastAsia="zh-CN"/>
        </w:rPr>
        <w:t>逾期不改正，三种情形都存在的，处2万元以上3万元以下罚款。</w:t>
      </w:r>
    </w:p>
    <w:p>
      <w:pPr>
        <w:pStyle w:val="4"/>
        <w:numPr>
          <w:ilvl w:val="0"/>
          <w:numId w:val="0"/>
        </w:numPr>
        <w:spacing w:before="192"/>
        <w:ind w:right="0" w:rightChars="0" w:firstLine="944" w:firstLineChars="400"/>
        <w:jc w:val="left"/>
        <w:rPr>
          <w:rFonts w:hint="eastAsia"/>
          <w:b/>
          <w:bCs/>
          <w:color w:val="auto"/>
          <w:sz w:val="24"/>
          <w:szCs w:val="24"/>
          <w:lang w:val="en-US" w:eastAsia="zh-CN"/>
        </w:rPr>
      </w:pPr>
      <w:r>
        <w:rPr>
          <w:rFonts w:hint="eastAsia"/>
          <w:b/>
          <w:bCs/>
          <w:color w:val="auto"/>
          <w:sz w:val="24"/>
          <w:szCs w:val="24"/>
          <w:lang w:val="en-US" w:eastAsia="zh-CN"/>
        </w:rPr>
        <w:t>七百七十、未依照《医疗器械监督管理条例》规定备案；未依法办理第一类医疗器械变更备案或者第二类、第三类医疗器械注册登记事项变更；未取得第二类医疗器械经营备案凭证从事网络第二类医疗器械销售</w:t>
      </w:r>
    </w:p>
    <w:p>
      <w:pPr>
        <w:pStyle w:val="4"/>
        <w:numPr>
          <w:ilvl w:val="0"/>
          <w:numId w:val="1848"/>
        </w:numPr>
        <w:spacing w:before="192"/>
        <w:ind w:left="963" w:leftChars="0" w:right="0" w:rightChars="0"/>
        <w:jc w:val="left"/>
        <w:rPr>
          <w:rFonts w:hint="eastAsia"/>
          <w:b/>
          <w:bCs/>
          <w:color w:val="auto"/>
          <w:sz w:val="24"/>
          <w:szCs w:val="24"/>
          <w:lang w:val="en-US" w:eastAsia="zh-CN"/>
        </w:rPr>
      </w:pPr>
      <w:r>
        <w:rPr>
          <w:rFonts w:hint="eastAsia"/>
          <w:b/>
          <w:bCs/>
          <w:color w:val="auto"/>
          <w:sz w:val="24"/>
          <w:szCs w:val="24"/>
          <w:lang w:val="en-US" w:eastAsia="zh-CN"/>
        </w:rPr>
        <w:t>处罚依据</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1.《医疗器械监督管理条例》（2000年1月通过，2017年5月国务院令第680号修订）第六十五条；</w:t>
      </w:r>
    </w:p>
    <w:p>
      <w:pPr>
        <w:keepNext w:val="0"/>
        <w:keepLines w:val="0"/>
        <w:widowControl/>
        <w:suppressLineNumbers w:val="0"/>
        <w:shd w:val="clear" w:fill="FFFFFF"/>
        <w:spacing w:line="312" w:lineRule="atLeast"/>
        <w:ind w:left="0" w:firstLine="944" w:firstLineChars="4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kern w:val="0"/>
          <w:sz w:val="24"/>
          <w:szCs w:val="24"/>
          <w:shd w:val="clear" w:fill="FFFFFF"/>
          <w:lang w:val="en-US" w:eastAsia="zh-CN" w:bidi="ar"/>
        </w:rPr>
        <w:t>第六十五条</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未依照本条例规定备案的，由县级以上人民政府食品药品监督管理部门责令限期改正；逾期不改正的，向社会公告未备案单位和产品名称，可以处1万元以下罚款。 备案时提供虚假资料的，由县级以上人民政府食品药品监督管理部门向社会公告备案单位和产品名称；情节严重的，直接责任人员5年内不得从事医疗器械生产经营活动。</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2.《医疗器械注册管理办法》（2014年7月通过，国家食品药品监督管理总局令第4号）第七十一条；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b w:val="0"/>
          <w:bCs w:val="0"/>
          <w:i w:val="0"/>
          <w:caps w:val="0"/>
          <w:color w:val="auto"/>
          <w:spacing w:val="0"/>
          <w:sz w:val="24"/>
          <w:szCs w:val="24"/>
          <w:shd w:val="clear" w:fill="FFFFFF"/>
        </w:rPr>
        <w:t>第七十一条　</w:t>
      </w:r>
      <w:r>
        <w:rPr>
          <w:rFonts w:hint="eastAsia" w:asciiTheme="minorEastAsia" w:hAnsiTheme="minorEastAsia" w:eastAsiaTheme="minorEastAsia" w:cstheme="minorEastAsia"/>
          <w:i w:val="0"/>
          <w:caps w:val="0"/>
          <w:color w:val="auto"/>
          <w:spacing w:val="0"/>
          <w:sz w:val="24"/>
          <w:szCs w:val="24"/>
          <w:shd w:val="clear" w:fill="FFFFFF"/>
        </w:rPr>
        <w:t>违反本办法规定，未依法办理第一类医疗器械变更备案或者第二类、第三类医疗器械注册登记事项变更的，按照《医疗器械监督管理条例》有关未备案的情形予以处罚。</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 xml:space="preserve">        3.《体外诊断试剂注册管理办法》（2014年7月通过，国家食品药品监督管理总局令第5号）第八十一条；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b w:val="0"/>
          <w:bCs w:val="0"/>
          <w:i w:val="0"/>
          <w:caps w:val="0"/>
          <w:color w:val="auto"/>
          <w:spacing w:val="0"/>
          <w:sz w:val="24"/>
          <w:szCs w:val="24"/>
          <w:shd w:val="clear" w:fill="FFFFFF"/>
        </w:rPr>
        <w:t>第八十一条</w:t>
      </w:r>
      <w:r>
        <w:rPr>
          <w:rFonts w:hint="eastAsia" w:asciiTheme="minorEastAsia" w:hAnsiTheme="minorEastAsia" w:eastAsiaTheme="minorEastAsia" w:cstheme="minorEastAsia"/>
          <w:i w:val="0"/>
          <w:caps w:val="0"/>
          <w:color w:val="auto"/>
          <w:spacing w:val="0"/>
          <w:sz w:val="24"/>
          <w:szCs w:val="24"/>
          <w:shd w:val="clear" w:fill="FFFFFF"/>
        </w:rPr>
        <w:t>　违反本办法规定，未依法办理第一类体外诊断试剂变更备案或者第二类、第三类体外诊断试剂注册登记事项变更的，按照《医疗器械监督管理条例》有关未备案的情形予以处罚。</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 xml:space="preserve">        4.《医疗器械生产监督管理办法》（2014年7月通过，国家食品药品监督管理总局令第7号）第六十四条；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b w:val="0"/>
          <w:bCs w:val="0"/>
          <w:i w:val="0"/>
          <w:caps w:val="0"/>
          <w:color w:val="auto"/>
          <w:spacing w:val="0"/>
          <w:sz w:val="24"/>
          <w:szCs w:val="24"/>
          <w:shd w:val="clear" w:fill="FFFFFF"/>
        </w:rPr>
        <w:t>第六十四条</w:t>
      </w:r>
      <w:r>
        <w:rPr>
          <w:rFonts w:hint="eastAsia" w:asciiTheme="minorEastAsia" w:hAnsiTheme="minorEastAsia" w:eastAsiaTheme="minorEastAsia" w:cstheme="minorEastAsia"/>
          <w:b/>
          <w:bCs/>
          <w:i w:val="0"/>
          <w:caps w:val="0"/>
          <w:color w:val="auto"/>
          <w:spacing w:val="0"/>
          <w:sz w:val="24"/>
          <w:szCs w:val="24"/>
          <w:shd w:val="clear" w:fill="FFFFFF"/>
        </w:rPr>
        <w:t>　</w:t>
      </w:r>
      <w:r>
        <w:rPr>
          <w:rFonts w:hint="eastAsia" w:asciiTheme="minorEastAsia" w:hAnsiTheme="minorEastAsia" w:eastAsiaTheme="minorEastAsia" w:cstheme="minorEastAsia"/>
          <w:i w:val="0"/>
          <w:caps w:val="0"/>
          <w:color w:val="auto"/>
          <w:spacing w:val="0"/>
          <w:sz w:val="24"/>
          <w:szCs w:val="24"/>
          <w:shd w:val="clear" w:fill="FFFFFF"/>
        </w:rPr>
        <w:t>从事第一类医疗器械生产活动未按规定向食品</w:t>
      </w:r>
      <w:r>
        <w:rPr>
          <w:rFonts w:hint="eastAsia" w:asciiTheme="minorEastAsia" w:hAnsiTheme="minorEastAsia" w:eastAsiaTheme="minorEastAsia" w:cstheme="minorEastAsia"/>
          <w:i w:val="0"/>
          <w:caps w:val="0"/>
          <w:color w:val="auto"/>
          <w:spacing w:val="0"/>
          <w:sz w:val="24"/>
          <w:szCs w:val="24"/>
          <w:u w:val="none"/>
          <w:shd w:val="clear" w:fill="FFFFFF"/>
        </w:rPr>
        <w:fldChar w:fldCharType="begin"/>
      </w:r>
      <w:r>
        <w:rPr>
          <w:rFonts w:hint="eastAsia" w:asciiTheme="minorEastAsia" w:hAnsiTheme="minorEastAsia" w:eastAsiaTheme="minorEastAsia" w:cstheme="minorEastAsia"/>
          <w:i w:val="0"/>
          <w:caps w:val="0"/>
          <w:color w:val="auto"/>
          <w:spacing w:val="0"/>
          <w:sz w:val="24"/>
          <w:szCs w:val="24"/>
          <w:u w:val="none"/>
          <w:shd w:val="clear" w:fill="FFFFFF"/>
        </w:rPr>
        <w:instrText xml:space="preserve"> HYPERLINK "https://baike.baidu.com/item/%E8%8D%AF%E5%93%81%E7%9B%91%E7%9D%A3%E7%AE%A1%E7%90%86/6697703" \t "https://baike.baidu.com/item/%E5%8C%BB%E7%96%97%E5%99%A8%E6%A2%B0%E7%94%9F%E4%BA%A7%E7%9B%91%E7%9D%A3%E7%AE%A1%E7%90%86%E5%8A%9E%E6%B3%95/_blank" </w:instrText>
      </w:r>
      <w:r>
        <w:rPr>
          <w:rFonts w:hint="eastAsia" w:asciiTheme="minorEastAsia" w:hAnsiTheme="minorEastAsia" w:eastAsiaTheme="minorEastAsia" w:cstheme="minorEastAsia"/>
          <w:i w:val="0"/>
          <w:caps w:val="0"/>
          <w:color w:val="auto"/>
          <w:spacing w:val="0"/>
          <w:sz w:val="24"/>
          <w:szCs w:val="24"/>
          <w:u w:val="none"/>
          <w:shd w:val="clear" w:fill="FFFFFF"/>
        </w:rPr>
        <w:fldChar w:fldCharType="separate"/>
      </w:r>
      <w:r>
        <w:rPr>
          <w:rStyle w:val="12"/>
          <w:rFonts w:hint="eastAsia" w:asciiTheme="minorEastAsia" w:hAnsiTheme="minorEastAsia" w:eastAsiaTheme="minorEastAsia" w:cstheme="minorEastAsia"/>
          <w:i w:val="0"/>
          <w:caps w:val="0"/>
          <w:color w:val="auto"/>
          <w:spacing w:val="0"/>
          <w:sz w:val="24"/>
          <w:szCs w:val="24"/>
          <w:u w:val="none"/>
          <w:shd w:val="clear" w:fill="FFFFFF"/>
        </w:rPr>
        <w:t>药品监督管理</w:t>
      </w:r>
      <w:r>
        <w:rPr>
          <w:rFonts w:hint="eastAsia" w:asciiTheme="minorEastAsia" w:hAnsiTheme="minorEastAsia" w:eastAsiaTheme="minorEastAsia" w:cstheme="minorEastAsia"/>
          <w:i w:val="0"/>
          <w:caps w:val="0"/>
          <w:color w:val="auto"/>
          <w:spacing w:val="0"/>
          <w:sz w:val="24"/>
          <w:szCs w:val="24"/>
          <w:u w:val="none"/>
          <w:shd w:val="clear" w:fill="FFFFFF"/>
        </w:rPr>
        <w:fldChar w:fldCharType="end"/>
      </w:r>
      <w:r>
        <w:rPr>
          <w:rFonts w:hint="eastAsia" w:asciiTheme="minorEastAsia" w:hAnsiTheme="minorEastAsia" w:eastAsiaTheme="minorEastAsia" w:cstheme="minorEastAsia"/>
          <w:i w:val="0"/>
          <w:caps w:val="0"/>
          <w:color w:val="auto"/>
          <w:spacing w:val="0"/>
          <w:sz w:val="24"/>
          <w:szCs w:val="24"/>
          <w:shd w:val="clear" w:fill="FFFFFF"/>
        </w:rPr>
        <w:t>部门备案的，按照《医疗器械监督管理条例》第六十五条第一款的规定处罚；备案时提供虚假资料的，按照《医疗器械监督管理条例》第六十五条第二款的规定处罚。</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 xml:space="preserve">        5.《医疗器械经营监督管理办法》（2014年7月通过，国家食品药品监督管理总局令第8号）第五十八条；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b w:val="0"/>
          <w:bCs w:val="0"/>
          <w:i w:val="0"/>
          <w:caps w:val="0"/>
          <w:color w:val="auto"/>
          <w:spacing w:val="0"/>
          <w:sz w:val="24"/>
          <w:szCs w:val="24"/>
          <w:shd w:val="clear" w:fill="FFFFFF"/>
        </w:rPr>
        <w:t>第五十八条　</w:t>
      </w:r>
      <w:r>
        <w:rPr>
          <w:rFonts w:hint="eastAsia" w:asciiTheme="minorEastAsia" w:hAnsiTheme="minorEastAsia" w:eastAsiaTheme="minorEastAsia" w:cstheme="minorEastAsia"/>
          <w:i w:val="0"/>
          <w:caps w:val="0"/>
          <w:color w:val="auto"/>
          <w:spacing w:val="0"/>
          <w:sz w:val="24"/>
          <w:szCs w:val="24"/>
          <w:shd w:val="clear" w:fill="FFFFFF"/>
        </w:rPr>
        <w:t>未依照本办法规定备案或者备案时提供虚假资料的，按照《医疗器械监督管理条例》第六十五条的规定予以处罚。</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 xml:space="preserve">        6.《医疗器械网络销售监督管理办法》（2017年12月通过，国家食品药品监督管理总局令第38号）第三十八条；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b w:val="0"/>
          <w:bCs/>
          <w:i w:val="0"/>
          <w:caps w:val="0"/>
          <w:color w:val="auto"/>
          <w:spacing w:val="0"/>
          <w:sz w:val="24"/>
          <w:szCs w:val="24"/>
          <w:shd w:val="clear" w:fill="FFFFFF"/>
        </w:rPr>
        <w:t>第三十八条</w:t>
      </w:r>
      <w:r>
        <w:rPr>
          <w:rFonts w:hint="eastAsia" w:asciiTheme="minorEastAsia" w:hAnsiTheme="minorEastAsia" w:eastAsiaTheme="minorEastAsia" w:cstheme="minorEastAsia"/>
          <w:b/>
          <w:i w:val="0"/>
          <w:caps w:val="0"/>
          <w:color w:val="auto"/>
          <w:spacing w:val="0"/>
          <w:sz w:val="24"/>
          <w:szCs w:val="24"/>
          <w:shd w:val="clear" w:fill="FFFFFF"/>
        </w:rPr>
        <w:t> </w:t>
      </w:r>
      <w:r>
        <w:rPr>
          <w:rFonts w:hint="eastAsia" w:asciiTheme="minorEastAsia" w:hAnsiTheme="minorEastAsia" w:eastAsiaTheme="minorEastAsia" w:cstheme="minorEastAsia"/>
          <w:i w:val="0"/>
          <w:caps w:val="0"/>
          <w:color w:val="auto"/>
          <w:spacing w:val="0"/>
          <w:sz w:val="24"/>
          <w:szCs w:val="24"/>
          <w:shd w:val="clear" w:fill="FFFFFF"/>
        </w:rPr>
        <w:t>违反本办法规定，未取得医疗器械经营许可从事网络第三类医疗器械销售的，依照《医疗器械监督管理条例》第六十三条的规定予以处罚；未取得第二类医疗器械经营备案凭证从事网络第二类医疗器械销售的，依照《医疗器械监督管理条例》第六十五条的规定予以处罚。</w:t>
      </w:r>
    </w:p>
    <w:p>
      <w:pPr>
        <w:keepNext w:val="0"/>
        <w:keepLines w:val="0"/>
        <w:widowControl/>
        <w:suppressLineNumbers w:val="0"/>
        <w:shd w:val="clear" w:fill="FFFFFF"/>
        <w:spacing w:line="312" w:lineRule="atLeast"/>
        <w:ind w:left="0" w:firstLine="472" w:firstLineChars="200"/>
        <w:jc w:val="left"/>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bCs w:val="0"/>
          <w:i w:val="0"/>
          <w:caps w:val="0"/>
          <w:color w:val="auto"/>
          <w:spacing w:val="0"/>
          <w:sz w:val="24"/>
          <w:szCs w:val="24"/>
          <w:shd w:val="clear" w:fill="FFFFFF"/>
        </w:rPr>
        <w:t>《医疗器械监督管理条例》</w:t>
      </w:r>
      <w:r>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t xml:space="preserve">第六十三条  </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 （一）生产、经营未取得医疗器械注册证的第二类、第三类医疗器械的； （二）未经许可从事第二类、第三类医疗器械生产活动的； （三）未经许可从事第三类医疗器械经营活动的。 有前款第一项情形、情节严重的，由原发证部门吊销医疗器械生产许可证或者医疗器械经营许可证。 未经许可擅自配置使用大型医用设备的，由县级以上人民政府卫生计生主管部门责令停止使用，给予警告，没收违法所得；违法所得不足1万元的，并处1万元以上5万元以下罚款；违法所得1万元以上的，并处违法所得5倍以上10倍以下罚款；情节严重的，5年内不受理相关责任人及单位提出的大型医用设备配置许可申请。</w:t>
      </w:r>
    </w:p>
    <w:p>
      <w:pPr>
        <w:keepNext w:val="0"/>
        <w:keepLines w:val="0"/>
        <w:widowControl/>
        <w:suppressLineNumbers w:val="0"/>
        <w:shd w:val="clear" w:fill="FFFFFF"/>
        <w:spacing w:line="312" w:lineRule="atLeast"/>
        <w:ind w:left="0" w:firstLine="472" w:firstLineChars="200"/>
        <w:jc w:val="left"/>
        <w:rPr>
          <w:rFonts w:hint="eastAsia" w:ascii="Arial" w:hAnsi="Arial" w:eastAsia="宋体" w:cs="Arial"/>
          <w:i w:val="0"/>
          <w:caps w:val="0"/>
          <w:color w:val="auto"/>
          <w:spacing w:val="0"/>
          <w:sz w:val="16"/>
          <w:szCs w:val="16"/>
          <w:shd w:val="clear" w:fill="FFFFFF"/>
          <w:lang w:val="en-US" w:eastAsia="zh-CN"/>
        </w:rPr>
      </w:pPr>
      <w:r>
        <w:rPr>
          <w:rFonts w:hint="eastAsia" w:asciiTheme="minorEastAsia" w:hAnsiTheme="minorEastAsia" w:eastAsiaTheme="minorEastAsia" w:cstheme="minorEastAsia"/>
          <w:b w:val="0"/>
          <w:bCs w:val="0"/>
          <w:i w:val="0"/>
          <w:caps w:val="0"/>
          <w:color w:val="auto"/>
          <w:spacing w:val="0"/>
          <w:sz w:val="24"/>
          <w:szCs w:val="24"/>
          <w:shd w:val="clear" w:fill="FFFFFF"/>
        </w:rPr>
        <w:t>《医疗器械监督管理条例》</w:t>
      </w:r>
      <w:r>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t xml:space="preserve">第六十五条  </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未依照本条例规定备案的，由县级以上人民政府食品药品监督管理部门责令限期改正；逾期不改正的，向社会公告未备案单位和产品名称，可以处1万元以下罚款。 备案时提供虚假资料的，由县级以上人民政府食品药品监督管理部门向社会公告备案单位和产品名称；情节严重的，直接责任人员5年内不得从事医疗器械生产经营活动。</w:t>
      </w:r>
    </w:p>
    <w:p>
      <w:pPr>
        <w:numPr>
          <w:ilvl w:val="0"/>
          <w:numId w:val="0"/>
        </w:numPr>
        <w:ind w:right="0" w:rightChars="0" w:firstLine="944" w:firstLineChars="400"/>
        <w:rPr>
          <w:rFonts w:hint="default"/>
          <w:b/>
          <w:bCs/>
          <w:color w:val="auto"/>
          <w:sz w:val="24"/>
          <w:szCs w:val="24"/>
          <w:lang w:val="en-US" w:eastAsia="zh-CN"/>
        </w:rPr>
      </w:pPr>
      <w:r>
        <w:rPr>
          <w:rFonts w:hint="eastAsia"/>
          <w:b/>
          <w:bCs/>
          <w:color w:val="auto"/>
          <w:sz w:val="24"/>
          <w:szCs w:val="24"/>
          <w:lang w:val="en-US" w:eastAsia="zh-CN"/>
        </w:rPr>
        <w:t>（二）裁量标准</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1180" w:firstLineChars="500"/>
        <w:jc w:val="left"/>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pPr>
      <w:r>
        <w:rPr>
          <w:rFonts w:hint="eastAsia"/>
          <w:b w:val="0"/>
          <w:bCs w:val="0"/>
          <w:color w:val="auto"/>
          <w:sz w:val="24"/>
          <w:szCs w:val="24"/>
          <w:lang w:val="en-US" w:eastAsia="zh-CN"/>
        </w:rPr>
        <w:t>逾期不改正，向社会公告未备案单位和产品名称，</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可以处1万元以下罚款。</w:t>
      </w:r>
    </w:p>
    <w:p>
      <w:pPr>
        <w:pStyle w:val="4"/>
        <w:numPr>
          <w:ilvl w:val="0"/>
          <w:numId w:val="0"/>
        </w:numPr>
        <w:spacing w:before="192"/>
        <w:ind w:right="0" w:rightChars="0" w:firstLine="1180" w:firstLineChars="500"/>
        <w:jc w:val="left"/>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3.【严重】</w:t>
      </w:r>
    </w:p>
    <w:p>
      <w:pPr>
        <w:pStyle w:val="4"/>
        <w:numPr>
          <w:ilvl w:val="0"/>
          <w:numId w:val="0"/>
        </w:numPr>
        <w:spacing w:before="192"/>
        <w:ind w:right="0" w:rightChars="0" w:firstLine="944" w:firstLineChars="400"/>
        <w:jc w:val="left"/>
        <w:rPr>
          <w:rFonts w:hint="default" w:asciiTheme="minorEastAsia" w:hAnsiTheme="minorEastAsia" w:eastAsiaTheme="minorEastAsia" w:cstheme="minorEastAsia"/>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备案时提供虚假资料的，由县级以上人民政府食品药品监督管理部门向社会公告备案单位和产品名称；情节严重的，直接责任人员5年内不得从事医疗器械生产经营活动。</w:t>
      </w:r>
    </w:p>
    <w:p>
      <w:pPr>
        <w:pStyle w:val="4"/>
        <w:numPr>
          <w:ilvl w:val="0"/>
          <w:numId w:val="0"/>
        </w:numPr>
        <w:spacing w:before="192"/>
        <w:ind w:right="0" w:rightChars="0"/>
        <w:jc w:val="left"/>
        <w:rPr>
          <w:rFonts w:hint="eastAsia"/>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七百七十一、医疗器械网络交易服务第三方平台提供者未按本办法规定备案</w:t>
      </w:r>
    </w:p>
    <w:p>
      <w:pPr>
        <w:pStyle w:val="4"/>
        <w:numPr>
          <w:ilvl w:val="0"/>
          <w:numId w:val="1849"/>
        </w:numPr>
        <w:spacing w:before="192"/>
        <w:ind w:left="843" w:leftChars="0" w:right="0" w:rightChars="0" w:firstLine="0" w:firstLineChars="0"/>
        <w:jc w:val="left"/>
        <w:rPr>
          <w:rFonts w:hint="eastAsia"/>
          <w:b/>
          <w:bCs/>
          <w:color w:val="auto"/>
          <w:sz w:val="24"/>
          <w:szCs w:val="24"/>
          <w:lang w:val="en-US" w:eastAsia="zh-CN"/>
        </w:rPr>
      </w:pPr>
      <w:r>
        <w:rPr>
          <w:rFonts w:hint="eastAsia"/>
          <w:b/>
          <w:bCs/>
          <w:color w:val="auto"/>
          <w:sz w:val="24"/>
          <w:szCs w:val="24"/>
          <w:lang w:val="en-US" w:eastAsia="zh-CN"/>
        </w:rPr>
        <w:t>处罚依据</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bCs/>
          <w:color w:val="auto"/>
          <w:sz w:val="24"/>
          <w:szCs w:val="24"/>
          <w:lang w:val="en-US" w:eastAsia="zh-CN"/>
        </w:rPr>
        <w:t xml:space="preserve">      </w:t>
      </w:r>
      <w:r>
        <w:rPr>
          <w:rFonts w:hint="eastAsia"/>
          <w:b w:val="0"/>
          <w:bCs w:val="0"/>
          <w:color w:val="auto"/>
          <w:sz w:val="24"/>
          <w:szCs w:val="24"/>
          <w:lang w:val="en-US" w:eastAsia="zh-CN"/>
        </w:rPr>
        <w:t>《医疗器械网络销售监督管理办法》（2017年12月通过，国家食品药品监督管理总局令第38号）第四十二条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第四十二条</w:t>
      </w:r>
      <w:r>
        <w:rPr>
          <w:rFonts w:hint="eastAsia" w:asciiTheme="minorEastAsia" w:hAnsiTheme="minorEastAsia" w:eastAsiaTheme="minorEastAsia" w:cstheme="minorEastAsia"/>
          <w:b/>
          <w:i w:val="0"/>
          <w:caps w:val="0"/>
          <w:color w:val="auto"/>
          <w:spacing w:val="0"/>
          <w:sz w:val="24"/>
          <w:szCs w:val="24"/>
          <w:shd w:val="clear" w:fill="FFFFFF"/>
        </w:rPr>
        <w:t> </w:t>
      </w:r>
      <w:r>
        <w:rPr>
          <w:rFonts w:hint="eastAsia" w:asciiTheme="minorEastAsia" w:hAnsiTheme="minorEastAsia" w:eastAsiaTheme="minorEastAsia" w:cstheme="minorEastAsia"/>
          <w:i w:val="0"/>
          <w:caps w:val="0"/>
          <w:color w:val="auto"/>
          <w:spacing w:val="0"/>
          <w:sz w:val="24"/>
          <w:szCs w:val="24"/>
          <w:shd w:val="clear" w:fill="FFFFFF"/>
        </w:rPr>
        <w:t>医疗器械网络交易服务第三方平台提供者未按本办法规定备案的，由省级食品药品监督管理部门责令限期改正；拒不改正的，向社会公告，处3万元以下罚款。</w:t>
      </w:r>
    </w:p>
    <w:p>
      <w:pPr>
        <w:numPr>
          <w:ilvl w:val="0"/>
          <w:numId w:val="0"/>
        </w:numPr>
        <w:ind w:right="0" w:rightChars="0" w:firstLine="708" w:firstLineChars="300"/>
        <w:rPr>
          <w:rFonts w:hint="default"/>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（二）裁量标准</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472" w:firstLineChars="200"/>
        <w:jc w:val="left"/>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i w:val="0"/>
          <w:caps w:val="0"/>
          <w:color w:val="auto"/>
          <w:spacing w:val="0"/>
          <w:sz w:val="24"/>
          <w:szCs w:val="24"/>
          <w:shd w:val="clear" w:fill="FFFFFF"/>
        </w:rPr>
        <w:t>拒不改正的，向社会公告，处3万元以下罚款。</w:t>
      </w:r>
    </w:p>
    <w:p>
      <w:pPr>
        <w:pStyle w:val="4"/>
        <w:numPr>
          <w:ilvl w:val="0"/>
          <w:numId w:val="0"/>
        </w:numPr>
        <w:spacing w:before="192"/>
        <w:ind w:right="0" w:rightChars="0"/>
        <w:jc w:val="left"/>
        <w:rPr>
          <w:rFonts w:hint="eastAsia"/>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七百七十二、化妆品标识未标注化妆品名称或者标注名称不符合规定要求</w:t>
      </w:r>
    </w:p>
    <w:p>
      <w:pPr>
        <w:pStyle w:val="4"/>
        <w:numPr>
          <w:ilvl w:val="0"/>
          <w:numId w:val="0"/>
        </w:numPr>
        <w:spacing w:before="192"/>
        <w:ind w:left="960" w:leftChars="0" w:right="0" w:rightChars="0"/>
        <w:jc w:val="left"/>
        <w:rPr>
          <w:rFonts w:hint="eastAsia"/>
          <w:b w:val="0"/>
          <w:bCs w:val="0"/>
          <w:color w:val="auto"/>
          <w:sz w:val="24"/>
          <w:szCs w:val="24"/>
          <w:lang w:val="en-US" w:eastAsia="zh-CN"/>
        </w:rPr>
      </w:pPr>
      <w:r>
        <w:rPr>
          <w:rFonts w:hint="eastAsia"/>
          <w:b/>
          <w:bCs/>
          <w:color w:val="auto"/>
          <w:sz w:val="24"/>
          <w:szCs w:val="24"/>
          <w:lang w:val="en-US" w:eastAsia="zh-CN"/>
        </w:rPr>
        <w:t>（一）处罚依据</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 xml:space="preserve">       《化妆品标识管理规定》（2007年7月通过，国家质量监督检验检疫总局令第100号）第二十四条</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第二十四条</w:t>
      </w:r>
      <w:r>
        <w:rPr>
          <w:rFonts w:hint="eastAsia" w:asciiTheme="minorEastAsia" w:hAnsiTheme="minorEastAsia" w:eastAsiaTheme="minorEastAsia" w:cstheme="minorEastAsia"/>
          <w:i w:val="0"/>
          <w:caps w:val="0"/>
          <w:color w:val="auto"/>
          <w:spacing w:val="0"/>
          <w:sz w:val="24"/>
          <w:szCs w:val="24"/>
          <w:shd w:val="clear" w:fill="FFFFFF"/>
        </w:rPr>
        <w:t>　违反本规定第六条、第七条规定，化妆品标识未标注化妆品名称或者标注名称不符合规定要求的，责令限期改正；逾期未改正的，处以1万元以下罚款。</w:t>
      </w:r>
    </w:p>
    <w:p>
      <w:pPr>
        <w:numPr>
          <w:ilvl w:val="0"/>
          <w:numId w:val="0"/>
        </w:numPr>
        <w:ind w:right="0" w:rightChars="0"/>
        <w:rPr>
          <w:rFonts w:hint="default"/>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（二）裁量标准</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944" w:firstLineChars="400"/>
        <w:jc w:val="left"/>
        <w:rPr>
          <w:rFonts w:hint="default"/>
          <w:b w:val="0"/>
          <w:bCs w:val="0"/>
          <w:color w:val="auto"/>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逾期未改正的，处以1万元以下罚款。</w:t>
      </w:r>
    </w:p>
    <w:p>
      <w:pPr>
        <w:pStyle w:val="4"/>
        <w:numPr>
          <w:ilvl w:val="0"/>
          <w:numId w:val="0"/>
        </w:numPr>
        <w:spacing w:before="192"/>
        <w:ind w:right="0" w:rightChars="0" w:firstLine="944" w:firstLineChars="400"/>
        <w:jc w:val="left"/>
        <w:rPr>
          <w:rFonts w:hint="eastAsia"/>
          <w:b/>
          <w:bCs/>
          <w:color w:val="auto"/>
          <w:sz w:val="24"/>
          <w:szCs w:val="24"/>
          <w:lang w:val="en-US" w:eastAsia="zh-CN"/>
        </w:rPr>
      </w:pPr>
      <w:r>
        <w:rPr>
          <w:rFonts w:hint="eastAsia"/>
          <w:b/>
          <w:bCs/>
          <w:color w:val="auto"/>
          <w:sz w:val="24"/>
          <w:szCs w:val="24"/>
          <w:lang w:val="en-US" w:eastAsia="zh-CN"/>
        </w:rPr>
        <w:t>七百七十三、化妆品标识未依法标注化妆品实际生产加工地或者生产者名称、地址</w:t>
      </w:r>
    </w:p>
    <w:p>
      <w:pPr>
        <w:pStyle w:val="4"/>
        <w:numPr>
          <w:ilvl w:val="0"/>
          <w:numId w:val="1850"/>
        </w:numPr>
        <w:spacing w:before="192"/>
        <w:ind w:left="1084" w:leftChars="0" w:right="0" w:rightChars="0" w:firstLine="0" w:firstLineChars="0"/>
        <w:jc w:val="left"/>
        <w:rPr>
          <w:rFonts w:hint="eastAsia"/>
          <w:b/>
          <w:bCs/>
          <w:color w:val="auto"/>
          <w:sz w:val="24"/>
          <w:szCs w:val="24"/>
          <w:lang w:val="en-US" w:eastAsia="zh-CN"/>
        </w:rPr>
      </w:pPr>
      <w:r>
        <w:rPr>
          <w:rFonts w:hint="eastAsia"/>
          <w:b/>
          <w:bCs/>
          <w:color w:val="auto"/>
          <w:sz w:val="24"/>
          <w:szCs w:val="24"/>
          <w:lang w:val="en-US" w:eastAsia="zh-CN"/>
        </w:rPr>
        <w:t>处罚依据</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bCs/>
          <w:color w:val="auto"/>
          <w:sz w:val="24"/>
          <w:szCs w:val="24"/>
          <w:lang w:val="en-US" w:eastAsia="zh-CN"/>
        </w:rPr>
        <w:t xml:space="preserve">         </w:t>
      </w:r>
      <w:r>
        <w:rPr>
          <w:rFonts w:hint="eastAsia"/>
          <w:b w:val="0"/>
          <w:bCs w:val="0"/>
          <w:color w:val="auto"/>
          <w:sz w:val="24"/>
          <w:szCs w:val="24"/>
          <w:lang w:val="en-US" w:eastAsia="zh-CN"/>
        </w:rPr>
        <w:t>《化妆品标识管理规定》（2007年7月通过，国家质量监督检验检疫总局令第100号）第二十五条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第二十五条</w:t>
      </w:r>
      <w:r>
        <w:rPr>
          <w:rFonts w:hint="eastAsia" w:asciiTheme="minorEastAsia" w:hAnsiTheme="minorEastAsia" w:eastAsiaTheme="minorEastAsia" w:cstheme="minorEastAsia"/>
          <w:i w:val="0"/>
          <w:caps w:val="0"/>
          <w:color w:val="auto"/>
          <w:spacing w:val="0"/>
          <w:sz w:val="24"/>
          <w:szCs w:val="24"/>
          <w:shd w:val="clear" w:fill="FFFFFF"/>
        </w:rPr>
        <w:t>　违反本规定第八条、第九条，化妆品标识未依法标注化妆品实际生产加工地或者生产者名称、地址的，责令限期改正；逾期未改正的，处以1万元以下罚款。</w:t>
      </w:r>
    </w:p>
    <w:p>
      <w:pPr>
        <w:numPr>
          <w:ilvl w:val="0"/>
          <w:numId w:val="0"/>
        </w:numPr>
        <w:ind w:right="0" w:rightChars="0"/>
        <w:rPr>
          <w:rFonts w:hint="default"/>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（二）裁量标准</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944" w:firstLineChars="400"/>
        <w:jc w:val="left"/>
        <w:rPr>
          <w:rFonts w:hint="default"/>
          <w:b w:val="0"/>
          <w:bCs w:val="0"/>
          <w:color w:val="auto"/>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逾期未改正的，处以1万元以下罚款。</w:t>
      </w:r>
    </w:p>
    <w:p>
      <w:pPr>
        <w:pStyle w:val="4"/>
        <w:numPr>
          <w:ilvl w:val="0"/>
          <w:numId w:val="0"/>
        </w:numPr>
        <w:spacing w:before="192"/>
        <w:ind w:right="0" w:rightChars="0"/>
        <w:jc w:val="left"/>
        <w:rPr>
          <w:rFonts w:hint="eastAsia"/>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七百七十四、化妆品标识未按规定标注净含量</w:t>
      </w:r>
    </w:p>
    <w:p>
      <w:pPr>
        <w:pStyle w:val="4"/>
        <w:numPr>
          <w:ilvl w:val="0"/>
          <w:numId w:val="1851"/>
        </w:numPr>
        <w:spacing w:before="192"/>
        <w:ind w:left="963" w:leftChars="0" w:right="0" w:rightChars="0" w:firstLine="0" w:firstLineChars="0"/>
        <w:jc w:val="left"/>
        <w:rPr>
          <w:rFonts w:hint="eastAsia"/>
          <w:b/>
          <w:bCs/>
          <w:color w:val="auto"/>
          <w:sz w:val="24"/>
          <w:szCs w:val="24"/>
          <w:lang w:val="en-US" w:eastAsia="zh-CN"/>
        </w:rPr>
      </w:pPr>
      <w:r>
        <w:rPr>
          <w:rFonts w:hint="eastAsia"/>
          <w:b/>
          <w:bCs/>
          <w:color w:val="auto"/>
          <w:sz w:val="24"/>
          <w:szCs w:val="24"/>
          <w:lang w:val="en-US" w:eastAsia="zh-CN"/>
        </w:rPr>
        <w:t>处罚依据</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bCs/>
          <w:color w:val="auto"/>
          <w:sz w:val="24"/>
          <w:szCs w:val="24"/>
          <w:lang w:val="en-US" w:eastAsia="zh-CN"/>
        </w:rPr>
        <w:t xml:space="preserve">        </w:t>
      </w:r>
      <w:r>
        <w:rPr>
          <w:rFonts w:hint="eastAsia"/>
          <w:b w:val="0"/>
          <w:bCs w:val="0"/>
          <w:color w:val="auto"/>
          <w:sz w:val="24"/>
          <w:szCs w:val="24"/>
          <w:lang w:val="en-US" w:eastAsia="zh-CN"/>
        </w:rPr>
        <w:t>1.《定量包装商品计量监督管理办法》（2005年5月通过，国家质量监督检验检疫总局令第75号）第十七条；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144" w:afterAutospacing="0" w:line="240" w:lineRule="atLeast"/>
        <w:ind w:left="0" w:right="0" w:firstLine="1030" w:firstLineChars="500"/>
        <w:rPr>
          <w:rFonts w:hint="eastAsia" w:asciiTheme="minorEastAsia" w:hAnsiTheme="minorEastAsia" w:eastAsiaTheme="minorEastAsia" w:cstheme="minorEastAsia"/>
          <w:b w:val="0"/>
          <w:bCs/>
          <w:color w:val="auto"/>
          <w:sz w:val="24"/>
          <w:szCs w:val="24"/>
          <w:lang w:val="en-US" w:eastAsia="zh-CN"/>
        </w:rPr>
      </w:pPr>
      <w:r>
        <w:rPr>
          <w:b w:val="0"/>
          <w:bCs/>
          <w:i w:val="0"/>
          <w:caps w:val="0"/>
          <w:color w:val="auto"/>
          <w:spacing w:val="0"/>
          <w:sz w:val="21"/>
          <w:szCs w:val="21"/>
          <w:shd w:val="clear" w:fill="FFFFFF"/>
        </w:rPr>
        <w:t>第十七条</w:t>
      </w:r>
      <w:r>
        <w:rPr>
          <w:rFonts w:hint="eastAsia"/>
          <w:i w:val="0"/>
          <w:caps w:val="0"/>
          <w:color w:val="auto"/>
          <w:spacing w:val="0"/>
          <w:sz w:val="21"/>
          <w:szCs w:val="21"/>
          <w:shd w:val="clear" w:fill="FFFFFF"/>
          <w:lang w:val="en-US" w:eastAsia="zh-CN"/>
        </w:rPr>
        <w:t xml:space="preserve"> </w:t>
      </w:r>
      <w:r>
        <w:rPr>
          <w:rFonts w:hint="eastAsia" w:asciiTheme="minorEastAsia" w:hAnsiTheme="minorEastAsia" w:eastAsiaTheme="minorEastAsia" w:cstheme="minorEastAsia"/>
          <w:b w:val="0"/>
          <w:bCs/>
          <w:i w:val="0"/>
          <w:caps w:val="0"/>
          <w:color w:val="auto"/>
          <w:spacing w:val="0"/>
          <w:kern w:val="0"/>
          <w:sz w:val="24"/>
          <w:szCs w:val="24"/>
          <w:shd w:val="clear" w:fill="FFFFFF"/>
          <w:lang w:val="en-US" w:eastAsia="zh-CN" w:bidi="ar"/>
        </w:rPr>
        <w:t>生产、销售定量包装商品违反本办法第五条 、第六条 、第七条规定，未正确、清晰地标注</w:t>
      </w:r>
      <w:r>
        <w:rPr>
          <w:rFonts w:hint="eastAsia" w:asciiTheme="minorEastAsia" w:hAnsiTheme="minorEastAsia" w:eastAsiaTheme="minorEastAsia" w:cstheme="minorEastAsia"/>
          <w:b w:val="0"/>
          <w:bCs/>
          <w:i w:val="0"/>
          <w:caps w:val="0"/>
          <w:color w:val="auto"/>
          <w:spacing w:val="0"/>
          <w:kern w:val="0"/>
          <w:sz w:val="24"/>
          <w:szCs w:val="24"/>
          <w:u w:val="none"/>
          <w:shd w:val="clear" w:fill="FFFFFF"/>
          <w:lang w:val="en-US" w:eastAsia="zh-CN" w:bidi="ar"/>
        </w:rPr>
        <w:fldChar w:fldCharType="begin"/>
      </w:r>
      <w:r>
        <w:rPr>
          <w:rFonts w:hint="eastAsia" w:asciiTheme="minorEastAsia" w:hAnsiTheme="minorEastAsia" w:eastAsiaTheme="minorEastAsia" w:cstheme="minorEastAsia"/>
          <w:b w:val="0"/>
          <w:bCs/>
          <w:i w:val="0"/>
          <w:caps w:val="0"/>
          <w:color w:val="auto"/>
          <w:spacing w:val="0"/>
          <w:kern w:val="0"/>
          <w:sz w:val="24"/>
          <w:szCs w:val="24"/>
          <w:u w:val="none"/>
          <w:shd w:val="clear" w:fill="FFFFFF"/>
          <w:lang w:val="en-US" w:eastAsia="zh-CN" w:bidi="ar"/>
        </w:rPr>
        <w:instrText xml:space="preserve"> HYPERLINK "https://baike.baidu.com/item/%E5%87%80%E5%90%AB%E9%87%8F/6212981" \t "https://baike.baidu.com/item/%E5%AE%9A%E9%87%8F%E5%8C%85%E8%A3%85%E5%95%86%E5%93%81%E8%AE%A1%E9%87%8F%E7%9B%91%E7%9D%A3%E7%AE%A1%E7%90%86%E5%8A%9E%E6%B3%95/_blank" </w:instrText>
      </w:r>
      <w:r>
        <w:rPr>
          <w:rFonts w:hint="eastAsia" w:asciiTheme="minorEastAsia" w:hAnsiTheme="minorEastAsia" w:eastAsiaTheme="minorEastAsia" w:cstheme="minorEastAsia"/>
          <w:b w:val="0"/>
          <w:bCs/>
          <w:i w:val="0"/>
          <w:caps w:val="0"/>
          <w:color w:val="auto"/>
          <w:spacing w:val="0"/>
          <w:kern w:val="0"/>
          <w:sz w:val="24"/>
          <w:szCs w:val="24"/>
          <w:u w:val="none"/>
          <w:shd w:val="clear" w:fill="FFFFFF"/>
          <w:lang w:val="en-US" w:eastAsia="zh-CN" w:bidi="ar"/>
        </w:rPr>
        <w:fldChar w:fldCharType="separate"/>
      </w:r>
      <w:r>
        <w:rPr>
          <w:rStyle w:val="12"/>
          <w:rFonts w:hint="eastAsia" w:asciiTheme="minorEastAsia" w:hAnsiTheme="minorEastAsia" w:eastAsiaTheme="minorEastAsia" w:cstheme="minorEastAsia"/>
          <w:b w:val="0"/>
          <w:bCs/>
          <w:i w:val="0"/>
          <w:caps w:val="0"/>
          <w:color w:val="auto"/>
          <w:spacing w:val="0"/>
          <w:sz w:val="24"/>
          <w:szCs w:val="24"/>
          <w:u w:val="none"/>
          <w:shd w:val="clear" w:fill="FFFFFF"/>
        </w:rPr>
        <w:t>净含量</w:t>
      </w:r>
      <w:r>
        <w:rPr>
          <w:rFonts w:hint="eastAsia" w:asciiTheme="minorEastAsia" w:hAnsiTheme="minorEastAsia" w:eastAsiaTheme="minorEastAsia" w:cstheme="minorEastAsia"/>
          <w:b w:val="0"/>
          <w:bCs/>
          <w:i w:val="0"/>
          <w:caps w:val="0"/>
          <w:color w:val="auto"/>
          <w:spacing w:val="0"/>
          <w:kern w:val="0"/>
          <w:sz w:val="24"/>
          <w:szCs w:val="24"/>
          <w:u w:val="none"/>
          <w:shd w:val="clear" w:fill="FFFFFF"/>
          <w:lang w:val="en-US" w:eastAsia="zh-CN" w:bidi="ar"/>
        </w:rPr>
        <w:fldChar w:fldCharType="end"/>
      </w:r>
      <w:r>
        <w:rPr>
          <w:rFonts w:hint="eastAsia" w:asciiTheme="minorEastAsia" w:hAnsiTheme="minorEastAsia" w:eastAsiaTheme="minorEastAsia" w:cstheme="minorEastAsia"/>
          <w:b w:val="0"/>
          <w:bCs/>
          <w:i w:val="0"/>
          <w:caps w:val="0"/>
          <w:color w:val="auto"/>
          <w:spacing w:val="0"/>
          <w:kern w:val="0"/>
          <w:sz w:val="24"/>
          <w:szCs w:val="24"/>
          <w:shd w:val="clear" w:fill="FFFFFF"/>
          <w:lang w:val="en-US" w:eastAsia="zh-CN" w:bidi="ar"/>
        </w:rPr>
        <w:t>的，责令改正；未标注净含量的，限期改正，逾期不改的，可处1000元以下罚款。</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 xml:space="preserve">        2.《化妆品标识管理规定》（2007年7月通过，国家质量监督检验检疫总局令第100号）第二十七条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第二十七条</w:t>
      </w:r>
      <w:r>
        <w:rPr>
          <w:rFonts w:hint="eastAsia" w:asciiTheme="minorEastAsia" w:hAnsiTheme="minorEastAsia" w:eastAsiaTheme="minorEastAsia" w:cstheme="minorEastAsia"/>
          <w:i w:val="0"/>
          <w:caps w:val="0"/>
          <w:color w:val="auto"/>
          <w:spacing w:val="0"/>
          <w:sz w:val="24"/>
          <w:szCs w:val="24"/>
          <w:shd w:val="clear" w:fill="FFFFFF"/>
        </w:rPr>
        <w:t>　违反本规定第十一条，未按规定标注净含量的，按照《</w:t>
      </w:r>
      <w:r>
        <w:rPr>
          <w:rFonts w:hint="eastAsia" w:asciiTheme="minorEastAsia" w:hAnsiTheme="minorEastAsia" w:eastAsiaTheme="minorEastAsia" w:cstheme="minorEastAsia"/>
          <w:i w:val="0"/>
          <w:caps w:val="0"/>
          <w:color w:val="auto"/>
          <w:spacing w:val="0"/>
          <w:sz w:val="24"/>
          <w:szCs w:val="24"/>
          <w:u w:val="single"/>
          <w:shd w:val="clear" w:fill="FFFFFF"/>
        </w:rPr>
        <w:fldChar w:fldCharType="begin"/>
      </w:r>
      <w:r>
        <w:rPr>
          <w:rFonts w:hint="eastAsia" w:asciiTheme="minorEastAsia" w:hAnsiTheme="minorEastAsia" w:eastAsiaTheme="minorEastAsia" w:cstheme="minorEastAsia"/>
          <w:i w:val="0"/>
          <w:caps w:val="0"/>
          <w:color w:val="auto"/>
          <w:spacing w:val="0"/>
          <w:sz w:val="24"/>
          <w:szCs w:val="24"/>
          <w:u w:val="single"/>
          <w:shd w:val="clear" w:fill="FFFFFF"/>
        </w:rPr>
        <w:instrText xml:space="preserve"> HYPERLINK "https://baike.baidu.com/item/%E5%AE%9A%E9%87%8F%E5%8C%85%E8%A3%85%E5%95%86%E5%93%81%E8%AE%A1%E9%87%8F%E7%9B%91%E7%9D%A3%E7%AE%A1%E7%90%86%E5%8A%9E%E6%B3%95" \t "https://baike.baidu.com/item/%E5%8C%96%E5%A6%86%E5%93%81%E6%A0%87%E8%AF%86%E7%AE%A1%E7%90%86%E8%A7%84%E5%AE%9A/_blank" </w:instrText>
      </w:r>
      <w:r>
        <w:rPr>
          <w:rFonts w:hint="eastAsia" w:asciiTheme="minorEastAsia" w:hAnsiTheme="minorEastAsia" w:eastAsiaTheme="minorEastAsia" w:cstheme="minorEastAsia"/>
          <w:i w:val="0"/>
          <w:caps w:val="0"/>
          <w:color w:val="auto"/>
          <w:spacing w:val="0"/>
          <w:sz w:val="24"/>
          <w:szCs w:val="24"/>
          <w:u w:val="single"/>
          <w:shd w:val="clear" w:fill="FFFFFF"/>
        </w:rPr>
        <w:fldChar w:fldCharType="separate"/>
      </w:r>
      <w:r>
        <w:rPr>
          <w:rStyle w:val="12"/>
          <w:rFonts w:hint="eastAsia" w:asciiTheme="minorEastAsia" w:hAnsiTheme="minorEastAsia" w:eastAsiaTheme="minorEastAsia" w:cstheme="minorEastAsia"/>
          <w:i w:val="0"/>
          <w:caps w:val="0"/>
          <w:color w:val="auto"/>
          <w:spacing w:val="0"/>
          <w:sz w:val="24"/>
          <w:szCs w:val="24"/>
          <w:u w:val="single"/>
          <w:shd w:val="clear" w:fill="FFFFFF"/>
        </w:rPr>
        <w:t>定量包装商品计量监督管理办法</w:t>
      </w:r>
      <w:r>
        <w:rPr>
          <w:rFonts w:hint="eastAsia" w:asciiTheme="minorEastAsia" w:hAnsiTheme="minorEastAsia" w:eastAsiaTheme="minorEastAsia" w:cstheme="minorEastAsia"/>
          <w:i w:val="0"/>
          <w:caps w:val="0"/>
          <w:color w:val="auto"/>
          <w:spacing w:val="0"/>
          <w:sz w:val="24"/>
          <w:szCs w:val="24"/>
          <w:u w:val="single"/>
          <w:shd w:val="clear" w:fill="FFFFFF"/>
        </w:rPr>
        <w:fldChar w:fldCharType="end"/>
      </w:r>
      <w:r>
        <w:rPr>
          <w:rFonts w:hint="eastAsia" w:asciiTheme="minorEastAsia" w:hAnsiTheme="minorEastAsia" w:eastAsiaTheme="minorEastAsia" w:cstheme="minorEastAsia"/>
          <w:i w:val="0"/>
          <w:caps w:val="0"/>
          <w:color w:val="auto"/>
          <w:spacing w:val="0"/>
          <w:sz w:val="24"/>
          <w:szCs w:val="24"/>
          <w:shd w:val="clear" w:fill="FFFFFF"/>
        </w:rPr>
        <w:t>》的规定处罚。</w:t>
      </w:r>
    </w:p>
    <w:p>
      <w:pPr>
        <w:numPr>
          <w:ilvl w:val="0"/>
          <w:numId w:val="0"/>
        </w:numPr>
        <w:ind w:right="0" w:rightChars="0" w:firstLine="944" w:firstLineChars="400"/>
        <w:rPr>
          <w:rFonts w:hint="default"/>
          <w:b/>
          <w:bCs/>
          <w:color w:val="auto"/>
          <w:sz w:val="24"/>
          <w:szCs w:val="24"/>
          <w:lang w:val="en-US" w:eastAsia="zh-CN"/>
        </w:rPr>
      </w:pPr>
      <w:r>
        <w:rPr>
          <w:rFonts w:hint="eastAsia"/>
          <w:b/>
          <w:bCs/>
          <w:color w:val="auto"/>
          <w:sz w:val="24"/>
          <w:szCs w:val="24"/>
          <w:lang w:val="en-US" w:eastAsia="zh-CN"/>
        </w:rPr>
        <w:t>（二）裁量标准</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b w:val="0"/>
          <w:bCs/>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bCs/>
          <w:i w:val="0"/>
          <w:caps w:val="0"/>
          <w:color w:val="auto"/>
          <w:spacing w:val="0"/>
          <w:kern w:val="0"/>
          <w:sz w:val="24"/>
          <w:szCs w:val="24"/>
          <w:shd w:val="clear" w:fill="FFFFFF"/>
          <w:lang w:val="en-US" w:eastAsia="zh-CN" w:bidi="ar"/>
        </w:rPr>
        <w:t>逾期不改的，可处1000元以下罚款。</w:t>
      </w:r>
    </w:p>
    <w:p>
      <w:pPr>
        <w:pStyle w:val="4"/>
        <w:numPr>
          <w:ilvl w:val="0"/>
          <w:numId w:val="0"/>
        </w:numPr>
        <w:spacing w:before="192"/>
        <w:ind w:right="0" w:rightChars="0" w:firstLine="944" w:firstLineChars="400"/>
        <w:jc w:val="left"/>
        <w:rPr>
          <w:rFonts w:hint="default"/>
          <w:b/>
          <w:bCs/>
          <w:color w:val="auto"/>
          <w:sz w:val="24"/>
          <w:szCs w:val="24"/>
          <w:lang w:val="en-US" w:eastAsia="zh-CN"/>
        </w:rPr>
      </w:pPr>
      <w:r>
        <w:rPr>
          <w:rFonts w:hint="eastAsia"/>
          <w:b/>
          <w:bCs/>
          <w:color w:val="auto"/>
          <w:sz w:val="24"/>
          <w:szCs w:val="24"/>
          <w:lang w:val="en-US" w:eastAsia="zh-CN"/>
        </w:rPr>
        <w:t>七百七十五、化妆品标识未标注全成分表，标注方法和要求不符合相应标准规定</w:t>
      </w:r>
    </w:p>
    <w:p>
      <w:pPr>
        <w:pStyle w:val="4"/>
        <w:numPr>
          <w:ilvl w:val="0"/>
          <w:numId w:val="1852"/>
        </w:numPr>
        <w:spacing w:before="192"/>
        <w:ind w:left="1080" w:leftChars="0" w:right="0" w:rightChars="0" w:firstLine="0" w:firstLineChars="0"/>
        <w:jc w:val="left"/>
        <w:rPr>
          <w:rFonts w:hint="eastAsia"/>
          <w:b/>
          <w:bCs/>
          <w:color w:val="auto"/>
          <w:sz w:val="24"/>
          <w:szCs w:val="24"/>
          <w:lang w:val="en-US" w:eastAsia="zh-CN"/>
        </w:rPr>
      </w:pPr>
      <w:r>
        <w:rPr>
          <w:rFonts w:hint="eastAsia"/>
          <w:b/>
          <w:bCs/>
          <w:color w:val="auto"/>
          <w:sz w:val="24"/>
          <w:szCs w:val="24"/>
          <w:lang w:val="en-US" w:eastAsia="zh-CN"/>
        </w:rPr>
        <w:t>处罚依据</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bCs/>
          <w:color w:val="auto"/>
          <w:sz w:val="24"/>
          <w:szCs w:val="24"/>
          <w:lang w:val="en-US" w:eastAsia="zh-CN"/>
        </w:rPr>
        <w:t xml:space="preserve">   </w:t>
      </w:r>
      <w:r>
        <w:rPr>
          <w:rFonts w:hint="eastAsia"/>
          <w:b w:val="0"/>
          <w:bCs w:val="0"/>
          <w:color w:val="auto"/>
          <w:sz w:val="24"/>
          <w:szCs w:val="24"/>
          <w:lang w:val="en-US" w:eastAsia="zh-CN"/>
        </w:rPr>
        <w:t>《化妆品标识管理规定》（2007年7月通过，国家质量监督检验检疫总局令第100号）第二十八条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第二十八条</w:t>
      </w:r>
      <w:r>
        <w:rPr>
          <w:rFonts w:hint="eastAsia" w:asciiTheme="minorEastAsia" w:hAnsiTheme="minorEastAsia" w:eastAsiaTheme="minorEastAsia" w:cstheme="minorEastAsia"/>
          <w:i w:val="0"/>
          <w:caps w:val="0"/>
          <w:color w:val="auto"/>
          <w:spacing w:val="0"/>
          <w:sz w:val="24"/>
          <w:szCs w:val="24"/>
          <w:shd w:val="clear" w:fill="FFFFFF"/>
        </w:rPr>
        <w:t>　违反本规定第十二条，化妆品标识未标注全成分表，标注方法和要求不符合相应标准规定的，责令限期改正；逾期未改正的，处以1万元以下罚款。</w:t>
      </w:r>
    </w:p>
    <w:p>
      <w:pPr>
        <w:numPr>
          <w:ilvl w:val="0"/>
          <w:numId w:val="0"/>
        </w:numPr>
        <w:ind w:right="0" w:rightChars="0" w:firstLine="944" w:firstLineChars="400"/>
        <w:rPr>
          <w:rFonts w:hint="default"/>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（二）裁量标准</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1180" w:firstLineChars="500"/>
        <w:jc w:val="left"/>
        <w:rPr>
          <w:rFonts w:hint="default"/>
          <w:b w:val="0"/>
          <w:bCs w:val="0"/>
          <w:color w:val="auto"/>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逾期未改正的，处以1万元以下罚款。</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bCs/>
          <w:color w:val="auto"/>
          <w:sz w:val="24"/>
          <w:szCs w:val="24"/>
          <w:lang w:val="en-US" w:eastAsia="zh-CN"/>
        </w:rPr>
        <w:t>七百七十六、化妆品标识未标注产品标准号或者未标注质量检验合格证明</w:t>
      </w:r>
    </w:p>
    <w:p>
      <w:pPr>
        <w:pStyle w:val="4"/>
        <w:numPr>
          <w:ilvl w:val="0"/>
          <w:numId w:val="1853"/>
        </w:numPr>
        <w:spacing w:before="192"/>
        <w:ind w:right="0" w:rightChars="0" w:firstLine="944" w:firstLineChars="400"/>
        <w:jc w:val="left"/>
        <w:rPr>
          <w:rFonts w:hint="eastAsia"/>
          <w:b/>
          <w:bCs/>
          <w:color w:val="auto"/>
          <w:sz w:val="24"/>
          <w:szCs w:val="24"/>
          <w:lang w:val="en-US" w:eastAsia="zh-CN"/>
        </w:rPr>
      </w:pPr>
      <w:r>
        <w:rPr>
          <w:rFonts w:hint="eastAsia"/>
          <w:b/>
          <w:bCs/>
          <w:color w:val="auto"/>
          <w:sz w:val="24"/>
          <w:szCs w:val="24"/>
          <w:lang w:val="en-US" w:eastAsia="zh-CN"/>
        </w:rPr>
        <w:t>处罚依据</w:t>
      </w:r>
    </w:p>
    <w:p>
      <w:pPr>
        <w:pStyle w:val="4"/>
        <w:numPr>
          <w:ilvl w:val="0"/>
          <w:numId w:val="0"/>
        </w:numPr>
        <w:spacing w:before="192"/>
        <w:ind w:right="0" w:rightChars="0"/>
        <w:jc w:val="left"/>
        <w:rPr>
          <w:rFonts w:hint="eastAsia"/>
          <w:b w:val="0"/>
          <w:bCs w:val="0"/>
          <w:color w:val="auto"/>
          <w:sz w:val="24"/>
          <w:szCs w:val="24"/>
          <w:lang w:val="en-US" w:eastAsia="zh-CN"/>
        </w:rPr>
      </w:pPr>
      <w:r>
        <w:rPr>
          <w:rFonts w:hint="eastAsia"/>
          <w:b w:val="0"/>
          <w:bCs w:val="0"/>
          <w:color w:val="auto"/>
          <w:sz w:val="24"/>
          <w:szCs w:val="24"/>
          <w:lang w:val="en-US" w:eastAsia="zh-CN"/>
        </w:rPr>
        <w:t>《化妆品标识管理规定》（2007年7月通过，国家质量监督检验检疫总局令第100号）第二十九条</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第二十九条</w:t>
      </w:r>
      <w:r>
        <w:rPr>
          <w:rFonts w:hint="eastAsia" w:asciiTheme="minorEastAsia" w:hAnsiTheme="minorEastAsia" w:eastAsiaTheme="minorEastAsia" w:cstheme="minorEastAsia"/>
          <w:i w:val="0"/>
          <w:caps w:val="0"/>
          <w:color w:val="auto"/>
          <w:spacing w:val="0"/>
          <w:sz w:val="24"/>
          <w:szCs w:val="24"/>
          <w:shd w:val="clear" w:fill="FFFFFF"/>
        </w:rPr>
        <w:t>　违反本规定第十三条，未标注产品标准号或者未标注质量检验合格证明的，责令限期改正；逾期未改正的，处以1万元以下罚款。</w:t>
      </w:r>
    </w:p>
    <w:p>
      <w:pPr>
        <w:numPr>
          <w:ilvl w:val="0"/>
          <w:numId w:val="0"/>
        </w:numPr>
        <w:ind w:right="0" w:rightChars="0" w:firstLine="944" w:firstLineChars="400"/>
        <w:rPr>
          <w:rFonts w:hint="default"/>
          <w:b/>
          <w:bCs/>
          <w:color w:val="auto"/>
          <w:sz w:val="24"/>
          <w:szCs w:val="24"/>
          <w:lang w:val="en-US" w:eastAsia="zh-CN"/>
        </w:rPr>
      </w:pPr>
      <w:r>
        <w:rPr>
          <w:rFonts w:hint="eastAsia"/>
          <w:b/>
          <w:bCs/>
          <w:color w:val="auto"/>
          <w:sz w:val="24"/>
          <w:szCs w:val="24"/>
          <w:lang w:val="en-US" w:eastAsia="zh-CN"/>
        </w:rPr>
        <w:t>（二）裁量标准</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1180" w:firstLineChars="500"/>
        <w:jc w:val="left"/>
        <w:rPr>
          <w:rFonts w:hint="default"/>
          <w:b w:val="0"/>
          <w:bCs w:val="0"/>
          <w:color w:val="auto"/>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逾期未改正的，处以1万元以下罚款。</w:t>
      </w:r>
    </w:p>
    <w:p>
      <w:pPr>
        <w:pStyle w:val="4"/>
        <w:numPr>
          <w:ilvl w:val="0"/>
          <w:numId w:val="0"/>
        </w:numPr>
        <w:spacing w:before="192"/>
        <w:ind w:right="0" w:rightChars="0"/>
        <w:jc w:val="left"/>
        <w:rPr>
          <w:rFonts w:hint="default"/>
          <w:b w:val="0"/>
          <w:bCs w:val="0"/>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 xml:space="preserve">  七百七十七、化妆品标识违法标注夸大功能、明示或暗示具有医疗作用等内容，给消费者造成误解或混淆的产品名称，以及法律法规国家标准禁止标注内容</w:t>
      </w:r>
    </w:p>
    <w:p>
      <w:pPr>
        <w:pStyle w:val="4"/>
        <w:numPr>
          <w:ilvl w:val="0"/>
          <w:numId w:val="1854"/>
        </w:numPr>
        <w:spacing w:before="192"/>
        <w:ind w:left="1084" w:leftChars="0" w:right="0" w:rightChars="0" w:firstLine="0" w:firstLineChars="0"/>
        <w:jc w:val="left"/>
        <w:rPr>
          <w:rFonts w:hint="eastAsia"/>
          <w:b/>
          <w:bCs/>
          <w:color w:val="auto"/>
          <w:sz w:val="24"/>
          <w:szCs w:val="24"/>
          <w:lang w:val="en-US" w:eastAsia="zh-CN"/>
        </w:rPr>
      </w:pPr>
      <w:r>
        <w:rPr>
          <w:rFonts w:hint="eastAsia"/>
          <w:b/>
          <w:bCs/>
          <w:color w:val="auto"/>
          <w:sz w:val="24"/>
          <w:szCs w:val="24"/>
          <w:lang w:val="en-US" w:eastAsia="zh-CN"/>
        </w:rPr>
        <w:t>处罚依据</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《化妆品标识管理规定》（2007年7月通过，国家质量监督检验检疫总局令第100号）第十六条、第三十一条</w:t>
      </w:r>
    </w:p>
    <w:p>
      <w:pPr>
        <w:keepNext w:val="0"/>
        <w:keepLines w:val="0"/>
        <w:widowControl/>
        <w:suppressLineNumbers w:val="0"/>
        <w:shd w:val="clear" w:fill="FFFFFF"/>
        <w:spacing w:after="180" w:afterAutospacing="0" w:line="288" w:lineRule="atLeast"/>
        <w:ind w:left="0" w:firstLine="921" w:firstLineChars="390"/>
        <w:jc w:val="left"/>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kern w:val="0"/>
          <w:sz w:val="24"/>
          <w:szCs w:val="24"/>
          <w:shd w:val="clear" w:fill="FFFFFF"/>
          <w:lang w:val="en-US" w:eastAsia="zh-CN" w:bidi="ar"/>
        </w:rPr>
        <w:t>第十六条</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 化妆品标识不得标注下列内容：</w:t>
      </w:r>
    </w:p>
    <w:p>
      <w:pPr>
        <w:keepNext w:val="0"/>
        <w:keepLines w:val="0"/>
        <w:widowControl/>
        <w:suppressLineNumbers w:val="0"/>
        <w:shd w:val="clear" w:fill="FFFFFF"/>
        <w:spacing w:after="180" w:afterAutospacing="0" w:line="288" w:lineRule="atLeast"/>
        <w:ind w:left="0" w:firstLine="420"/>
        <w:jc w:val="left"/>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（一）夸大功能、虚假宣传、贬低同类产品的内容。</w:t>
      </w:r>
    </w:p>
    <w:p>
      <w:pPr>
        <w:keepNext w:val="0"/>
        <w:keepLines w:val="0"/>
        <w:widowControl/>
        <w:suppressLineNumbers w:val="0"/>
        <w:shd w:val="clear" w:fill="FFFFFF"/>
        <w:spacing w:after="180" w:afterAutospacing="0" w:line="288" w:lineRule="atLeast"/>
        <w:ind w:left="0" w:firstLine="420"/>
        <w:jc w:val="left"/>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（二）明示或者暗示具有医疗作用的内容。</w:t>
      </w:r>
    </w:p>
    <w:p>
      <w:pPr>
        <w:keepNext w:val="0"/>
        <w:keepLines w:val="0"/>
        <w:widowControl/>
        <w:suppressLineNumbers w:val="0"/>
        <w:shd w:val="clear" w:fill="FFFFFF"/>
        <w:spacing w:after="180" w:afterAutospacing="0" w:line="288" w:lineRule="atLeast"/>
        <w:ind w:left="0" w:firstLine="420"/>
        <w:jc w:val="left"/>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（三）容易给消费者造成误解或者混淆的产品名称。</w:t>
      </w:r>
    </w:p>
    <w:p>
      <w:pPr>
        <w:keepNext w:val="0"/>
        <w:keepLines w:val="0"/>
        <w:widowControl/>
        <w:suppressLineNumbers w:val="0"/>
        <w:shd w:val="clear" w:fill="FFFFFF"/>
        <w:spacing w:after="180" w:afterAutospacing="0" w:line="288" w:lineRule="atLeast"/>
        <w:ind w:left="0" w:firstLine="420"/>
        <w:jc w:val="left"/>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（四）其他法律、法规和国家标准禁止标注的内容。</w:t>
      </w:r>
    </w:p>
    <w:p>
      <w:pPr>
        <w:pStyle w:val="4"/>
        <w:numPr>
          <w:ilvl w:val="0"/>
          <w:numId w:val="0"/>
        </w:numPr>
        <w:spacing w:before="192"/>
        <w:ind w:right="0" w:rightChars="0" w:firstLine="944" w:firstLineChars="4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第三十一条</w:t>
      </w:r>
      <w:r>
        <w:rPr>
          <w:rFonts w:hint="eastAsia" w:asciiTheme="minorEastAsia" w:hAnsiTheme="minorEastAsia" w:eastAsiaTheme="minorEastAsia" w:cstheme="minorEastAsia"/>
          <w:i w:val="0"/>
          <w:caps w:val="0"/>
          <w:color w:val="auto"/>
          <w:spacing w:val="0"/>
          <w:sz w:val="24"/>
          <w:szCs w:val="24"/>
          <w:shd w:val="clear" w:fill="FFFFFF"/>
        </w:rPr>
        <w:t>　违反本规定第十六条的，责令限期改正；逾期未改正的，处以1万元以下罚款；违反有关法律法规规定的，依照有关法律法规规定处理。</w:t>
      </w:r>
    </w:p>
    <w:p>
      <w:pPr>
        <w:numPr>
          <w:ilvl w:val="0"/>
          <w:numId w:val="0"/>
        </w:numPr>
        <w:ind w:right="0" w:rightChars="0" w:firstLine="944" w:firstLineChars="400"/>
        <w:rPr>
          <w:rFonts w:hint="default"/>
          <w:b/>
          <w:bCs/>
          <w:color w:val="auto"/>
          <w:sz w:val="24"/>
          <w:szCs w:val="24"/>
          <w:lang w:val="en-US" w:eastAsia="zh-CN"/>
        </w:rPr>
      </w:pPr>
      <w:r>
        <w:rPr>
          <w:rFonts w:hint="eastAsia"/>
          <w:b/>
          <w:bCs/>
          <w:color w:val="auto"/>
          <w:sz w:val="24"/>
          <w:szCs w:val="24"/>
          <w:lang w:val="en-US" w:eastAsia="zh-CN"/>
        </w:rPr>
        <w:t>（二）裁量标准</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1180" w:firstLineChars="500"/>
        <w:jc w:val="left"/>
        <w:rPr>
          <w:rFonts w:hint="eastAsia" w:eastAsiaTheme="minorEastAsia"/>
          <w:b w:val="0"/>
          <w:bCs w:val="0"/>
          <w:color w:val="auto"/>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逾期未改正的，处以1万元以下罚款</w:t>
      </w:r>
      <w:r>
        <w:rPr>
          <w:rFonts w:hint="eastAsia" w:asciiTheme="minorEastAsia" w:hAnsiTheme="minorEastAsia" w:eastAsiaTheme="minorEastAsia" w:cstheme="minorEastAsia"/>
          <w:i w:val="0"/>
          <w:caps w:val="0"/>
          <w:color w:val="auto"/>
          <w:spacing w:val="0"/>
          <w:sz w:val="24"/>
          <w:szCs w:val="24"/>
          <w:shd w:val="clear" w:fill="FFFFFF"/>
          <w:lang w:eastAsia="zh-CN"/>
        </w:rPr>
        <w:t>。</w:t>
      </w:r>
    </w:p>
    <w:p>
      <w:pPr>
        <w:pStyle w:val="4"/>
        <w:numPr>
          <w:ilvl w:val="0"/>
          <w:numId w:val="0"/>
        </w:numPr>
        <w:spacing w:before="192"/>
        <w:ind w:right="0" w:rightChars="0"/>
        <w:jc w:val="left"/>
        <w:rPr>
          <w:rFonts w:hint="eastAsia"/>
          <w:b/>
          <w:bCs/>
          <w:color w:val="auto"/>
          <w:sz w:val="24"/>
          <w:szCs w:val="24"/>
          <w:lang w:val="en-US" w:eastAsia="zh-CN"/>
        </w:rPr>
      </w:pPr>
      <w:r>
        <w:rPr>
          <w:rFonts w:hint="eastAsia"/>
          <w:b w:val="0"/>
          <w:bCs w:val="0"/>
          <w:color w:val="auto"/>
          <w:sz w:val="24"/>
          <w:szCs w:val="24"/>
          <w:lang w:val="en-US" w:eastAsia="zh-CN"/>
        </w:rPr>
        <w:t xml:space="preserve">        </w:t>
      </w:r>
      <w:r>
        <w:rPr>
          <w:rFonts w:hint="eastAsia"/>
          <w:b/>
          <w:bCs/>
          <w:color w:val="auto"/>
          <w:sz w:val="24"/>
          <w:szCs w:val="24"/>
          <w:lang w:val="en-US" w:eastAsia="zh-CN"/>
        </w:rPr>
        <w:t>七百七十八、化妆品标识与化妆品包装物分离；化妆品标识直接标注在最小销售单元上，说明书未随附于产品最小销售单元内</w:t>
      </w:r>
    </w:p>
    <w:p>
      <w:pPr>
        <w:pStyle w:val="4"/>
        <w:numPr>
          <w:ilvl w:val="0"/>
          <w:numId w:val="0"/>
        </w:numPr>
        <w:spacing w:before="192"/>
        <w:ind w:left="1084" w:leftChars="0" w:right="0" w:rightChars="0"/>
        <w:jc w:val="left"/>
        <w:rPr>
          <w:rFonts w:hint="eastAsia"/>
          <w:b/>
          <w:bCs/>
          <w:color w:val="auto"/>
          <w:sz w:val="24"/>
          <w:szCs w:val="24"/>
          <w:lang w:val="en-US" w:eastAsia="zh-CN"/>
        </w:rPr>
      </w:pPr>
      <w:r>
        <w:rPr>
          <w:rFonts w:hint="eastAsia"/>
          <w:b/>
          <w:bCs/>
          <w:color w:val="auto"/>
          <w:sz w:val="24"/>
          <w:szCs w:val="24"/>
          <w:lang w:val="en-US" w:eastAsia="zh-CN"/>
        </w:rPr>
        <w:t>（一）处罚依据</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《化妆品标识管理规定》（2007年7月通过，国家质量监督检验检疫总局令第100号）第十八条、第三十二条</w:t>
      </w:r>
    </w:p>
    <w:p>
      <w:pPr>
        <w:pStyle w:val="4"/>
        <w:numPr>
          <w:ilvl w:val="0"/>
          <w:numId w:val="0"/>
        </w:numPr>
        <w:spacing w:before="192"/>
        <w:ind w:right="0" w:rightChars="0" w:firstLine="472" w:firstLineChars="200"/>
        <w:jc w:val="left"/>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b w:val="0"/>
          <w:bCs/>
          <w:i w:val="0"/>
          <w:caps w:val="0"/>
          <w:color w:val="auto"/>
          <w:spacing w:val="0"/>
          <w:sz w:val="24"/>
          <w:szCs w:val="24"/>
          <w:shd w:val="clear" w:fill="FFFFFF"/>
        </w:rPr>
        <w:t>第十八条</w:t>
      </w:r>
      <w:r>
        <w:rPr>
          <w:rFonts w:hint="eastAsia" w:asciiTheme="minorEastAsia" w:hAnsiTheme="minorEastAsia" w:eastAsiaTheme="minorEastAsia" w:cstheme="minorEastAsia"/>
          <w:b/>
          <w:i w:val="0"/>
          <w:caps w:val="0"/>
          <w:color w:val="auto"/>
          <w:spacing w:val="0"/>
          <w:sz w:val="24"/>
          <w:szCs w:val="24"/>
          <w:shd w:val="clear" w:fill="FFFFFF"/>
        </w:rPr>
        <w:t>　</w:t>
      </w:r>
      <w:r>
        <w:rPr>
          <w:rFonts w:hint="eastAsia" w:asciiTheme="minorEastAsia" w:hAnsiTheme="minorEastAsia" w:eastAsiaTheme="minorEastAsia" w:cstheme="minorEastAsia"/>
          <w:i w:val="0"/>
          <w:caps w:val="0"/>
          <w:color w:val="auto"/>
          <w:spacing w:val="0"/>
          <w:sz w:val="24"/>
          <w:szCs w:val="24"/>
          <w:shd w:val="clear" w:fill="FFFFFF"/>
        </w:rPr>
        <w:t>化妆品标识应当直接标注在化妆品最小销售单元（包装）上。化妆品有说明书的应当随附于产品最小销售单元（包装）内。</w:t>
      </w:r>
    </w:p>
    <w:p>
      <w:pPr>
        <w:pStyle w:val="4"/>
        <w:numPr>
          <w:ilvl w:val="0"/>
          <w:numId w:val="0"/>
        </w:numPr>
        <w:spacing w:before="192"/>
        <w:ind w:right="0" w:rightChars="0" w:firstLine="472" w:firstLineChars="200"/>
        <w:jc w:val="left"/>
        <w:rPr>
          <w:rFonts w:hint="eastAsia" w:asciiTheme="minorEastAsia" w:hAnsiTheme="minorEastAsia" w:eastAsiaTheme="minorEastAsia" w:cstheme="minorEastAsia"/>
          <w:i w:val="0"/>
          <w:caps w:val="0"/>
          <w:color w:val="auto"/>
          <w:spacing w:val="0"/>
          <w:sz w:val="24"/>
          <w:szCs w:val="24"/>
          <w:shd w:val="clear" w:fill="FFFFFF"/>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第三十二条　</w:t>
      </w:r>
      <w:r>
        <w:rPr>
          <w:rFonts w:hint="eastAsia" w:asciiTheme="minorEastAsia" w:hAnsiTheme="minorEastAsia" w:eastAsiaTheme="minorEastAsia" w:cstheme="minorEastAsia"/>
          <w:i w:val="0"/>
          <w:caps w:val="0"/>
          <w:color w:val="auto"/>
          <w:spacing w:val="0"/>
          <w:sz w:val="24"/>
          <w:szCs w:val="24"/>
          <w:shd w:val="clear" w:fill="FFFFFF"/>
        </w:rPr>
        <w:t>违反本规定第十七条、第十八条的，责令限期改正；逾期未改正的，处以1万元以下罚款。</w:t>
      </w:r>
    </w:p>
    <w:p>
      <w:pPr>
        <w:numPr>
          <w:ilvl w:val="0"/>
          <w:numId w:val="0"/>
        </w:numPr>
        <w:ind w:right="0" w:rightChars="0" w:firstLine="944" w:firstLineChars="400"/>
        <w:rPr>
          <w:rFonts w:hint="default"/>
          <w:b/>
          <w:bCs/>
          <w:color w:val="auto"/>
          <w:sz w:val="24"/>
          <w:szCs w:val="24"/>
          <w:lang w:val="en-US" w:eastAsia="zh-CN"/>
        </w:rPr>
      </w:pPr>
      <w:r>
        <w:rPr>
          <w:rFonts w:hint="eastAsia"/>
          <w:b/>
          <w:bCs/>
          <w:color w:val="auto"/>
          <w:sz w:val="24"/>
          <w:szCs w:val="24"/>
          <w:lang w:val="en-US" w:eastAsia="zh-CN"/>
        </w:rPr>
        <w:t>（二）裁量标准</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1180" w:firstLineChars="500"/>
        <w:jc w:val="left"/>
        <w:rPr>
          <w:rFonts w:hint="default"/>
          <w:b w:val="0"/>
          <w:bCs w:val="0"/>
          <w:color w:val="auto"/>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逾期未改正的，处以1万元以下罚款。</w:t>
      </w:r>
    </w:p>
    <w:p>
      <w:pPr>
        <w:pStyle w:val="4"/>
        <w:numPr>
          <w:ilvl w:val="0"/>
          <w:numId w:val="0"/>
        </w:numPr>
        <w:spacing w:before="192"/>
        <w:ind w:right="0" w:rightChars="0" w:firstLine="1180" w:firstLineChars="500"/>
        <w:jc w:val="left"/>
        <w:rPr>
          <w:rFonts w:hint="eastAsia"/>
          <w:b/>
          <w:bCs/>
          <w:color w:val="auto"/>
          <w:sz w:val="24"/>
          <w:szCs w:val="24"/>
          <w:lang w:val="en-US" w:eastAsia="zh-CN"/>
        </w:rPr>
      </w:pPr>
      <w:r>
        <w:rPr>
          <w:rFonts w:hint="eastAsia"/>
          <w:b/>
          <w:bCs/>
          <w:color w:val="auto"/>
          <w:sz w:val="24"/>
          <w:szCs w:val="24"/>
          <w:lang w:val="en-US" w:eastAsia="zh-CN"/>
        </w:rPr>
        <w:t>七百七十九、化妆品标识内容未使用规范中文；化妆品标识中强制标注内容及字体高度不符合法律规定</w:t>
      </w:r>
    </w:p>
    <w:p>
      <w:pPr>
        <w:pStyle w:val="4"/>
        <w:numPr>
          <w:ilvl w:val="0"/>
          <w:numId w:val="0"/>
        </w:numPr>
        <w:spacing w:before="192"/>
        <w:ind w:left="1084" w:leftChars="0" w:right="0" w:rightChars="0"/>
        <w:jc w:val="left"/>
        <w:rPr>
          <w:rFonts w:hint="eastAsia"/>
          <w:b/>
          <w:bCs/>
          <w:color w:val="auto"/>
          <w:sz w:val="24"/>
          <w:szCs w:val="24"/>
          <w:lang w:val="en-US" w:eastAsia="zh-CN"/>
        </w:rPr>
      </w:pPr>
      <w:r>
        <w:rPr>
          <w:rFonts w:hint="eastAsia"/>
          <w:b/>
          <w:bCs/>
          <w:color w:val="auto"/>
          <w:sz w:val="24"/>
          <w:szCs w:val="24"/>
          <w:lang w:val="en-US" w:eastAsia="zh-CN"/>
        </w:rPr>
        <w:t>（一）处罚依据</w:t>
      </w:r>
    </w:p>
    <w:p>
      <w:pPr>
        <w:pStyle w:val="4"/>
        <w:numPr>
          <w:ilvl w:val="0"/>
          <w:numId w:val="0"/>
        </w:numPr>
        <w:spacing w:before="192"/>
        <w:ind w:right="0" w:rightChars="0" w:firstLine="944" w:firstLineChars="400"/>
        <w:jc w:val="left"/>
        <w:rPr>
          <w:rFonts w:hint="eastAsia"/>
          <w:b w:val="0"/>
          <w:bCs w:val="0"/>
          <w:color w:val="auto"/>
          <w:sz w:val="24"/>
          <w:szCs w:val="24"/>
          <w:lang w:val="en-US" w:eastAsia="zh-CN"/>
        </w:rPr>
      </w:pPr>
      <w:r>
        <w:rPr>
          <w:rFonts w:hint="eastAsia"/>
          <w:b w:val="0"/>
          <w:bCs w:val="0"/>
          <w:color w:val="auto"/>
          <w:sz w:val="24"/>
          <w:szCs w:val="24"/>
          <w:lang w:val="en-US" w:eastAsia="zh-CN"/>
        </w:rPr>
        <w:t>《化妆品标识管理规定》（2007年7月通过，国家质量监督检验检疫总局令第100号）第二十一条、第二十二条、第三十三条</w:t>
      </w:r>
    </w:p>
    <w:p>
      <w:pPr>
        <w:keepNext w:val="0"/>
        <w:keepLines w:val="0"/>
        <w:widowControl/>
        <w:suppressLineNumbers w:val="0"/>
        <w:shd w:val="clear" w:fill="FFFFFF"/>
        <w:spacing w:after="180" w:afterAutospacing="0" w:line="288" w:lineRule="atLeast"/>
        <w:ind w:left="0" w:firstLine="420"/>
        <w:jc w:val="left"/>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kern w:val="0"/>
          <w:sz w:val="24"/>
          <w:szCs w:val="24"/>
          <w:shd w:val="clear" w:fill="FFFFFF"/>
          <w:lang w:val="en-US" w:eastAsia="zh-CN" w:bidi="ar"/>
        </w:rPr>
        <w:t>第二十一条</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　化妆品标识中除注册商标标识之外，其内容必须使用规范中文。使用拼音、少数民族文字或者外文的，应当与汉字有对应关系，并符合本规定第六条规定的要求。</w:t>
      </w:r>
    </w:p>
    <w:p>
      <w:pPr>
        <w:keepNext w:val="0"/>
        <w:keepLines w:val="0"/>
        <w:widowControl/>
        <w:suppressLineNumbers w:val="0"/>
        <w:shd w:val="clear" w:fill="FFFFFF"/>
        <w:spacing w:after="180" w:afterAutospacing="0" w:line="288" w:lineRule="atLeast"/>
        <w:ind w:left="0" w:firstLine="420"/>
        <w:jc w:val="left"/>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kern w:val="0"/>
          <w:sz w:val="24"/>
          <w:szCs w:val="24"/>
          <w:shd w:val="clear" w:fill="FFFFFF"/>
          <w:lang w:val="en-US" w:eastAsia="zh-CN" w:bidi="ar"/>
        </w:rPr>
        <w:t>第二十二条</w:t>
      </w: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　化妆品包装物（容器）最大表面面积大于20平方厘米的，化妆品标识中强制标注内容字体高度不得小于1.8毫米。除注册商标之外，标识所使用的拼音、外文字体不得大于相应的汉字。</w:t>
      </w:r>
    </w:p>
    <w:p>
      <w:pPr>
        <w:keepNext w:val="0"/>
        <w:keepLines w:val="0"/>
        <w:widowControl/>
        <w:suppressLineNumbers w:val="0"/>
        <w:shd w:val="clear" w:fill="FFFFFF"/>
        <w:spacing w:after="180" w:afterAutospacing="0" w:line="288" w:lineRule="atLeast"/>
        <w:ind w:left="0" w:firstLine="420"/>
        <w:jc w:val="left"/>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kern w:val="0"/>
          <w:sz w:val="24"/>
          <w:szCs w:val="24"/>
          <w:shd w:val="clear" w:fill="FFFFFF"/>
          <w:lang w:val="en-US" w:eastAsia="zh-CN" w:bidi="ar"/>
        </w:rPr>
        <w:t>化妆品包装物（容器）的最大表面的面积小于10平方厘米且净含量不大于15克或者15毫升的，其标识可以仅标注化妆品名称，生产者名称和地址，净含量，生产日期和保质期或者生产批号和限期使用日期。产品有其他相关说明性资料的，其他应当标注的内容可以标注在说明性资料上。</w:t>
      </w:r>
    </w:p>
    <w:p>
      <w:pPr>
        <w:pStyle w:val="4"/>
        <w:numPr>
          <w:ilvl w:val="0"/>
          <w:numId w:val="0"/>
        </w:numPr>
        <w:spacing w:before="192"/>
        <w:ind w:right="0" w:rightChars="0" w:firstLine="472" w:firstLineChars="200"/>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i w:val="0"/>
          <w:caps w:val="0"/>
          <w:color w:val="auto"/>
          <w:spacing w:val="0"/>
          <w:sz w:val="24"/>
          <w:szCs w:val="24"/>
          <w:shd w:val="clear" w:fill="FFFFFF"/>
        </w:rPr>
        <w:t>第三十三条</w:t>
      </w:r>
      <w:r>
        <w:rPr>
          <w:rFonts w:hint="eastAsia" w:asciiTheme="minorEastAsia" w:hAnsiTheme="minorEastAsia" w:eastAsiaTheme="minorEastAsia" w:cstheme="minorEastAsia"/>
          <w:i w:val="0"/>
          <w:caps w:val="0"/>
          <w:color w:val="auto"/>
          <w:spacing w:val="0"/>
          <w:sz w:val="24"/>
          <w:szCs w:val="24"/>
          <w:shd w:val="clear" w:fill="FFFFFF"/>
        </w:rPr>
        <w:t>　违反本规定第二十一条、第二十二条，责令限期改正；逾期未改正的，处以1万元以下罚款。</w:t>
      </w:r>
    </w:p>
    <w:p>
      <w:pPr>
        <w:numPr>
          <w:ilvl w:val="0"/>
          <w:numId w:val="0"/>
        </w:numPr>
        <w:ind w:right="0" w:rightChars="0" w:firstLine="944" w:firstLineChars="400"/>
        <w:rPr>
          <w:rFonts w:hint="default"/>
          <w:b/>
          <w:bCs/>
          <w:color w:val="auto"/>
          <w:sz w:val="24"/>
          <w:szCs w:val="24"/>
          <w:lang w:val="en-US" w:eastAsia="zh-CN"/>
        </w:rPr>
      </w:pPr>
      <w:r>
        <w:rPr>
          <w:rFonts w:hint="eastAsia"/>
          <w:b/>
          <w:bCs/>
          <w:color w:val="auto"/>
          <w:sz w:val="24"/>
          <w:szCs w:val="24"/>
          <w:lang w:val="en-US" w:eastAsia="zh-CN"/>
        </w:rPr>
        <w:t>（二）裁量标准</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color w:val="auto"/>
          <w:lang w:val="en-US" w:eastAsia="zh-CN"/>
        </w:rPr>
        <w:t>1.</w:t>
      </w:r>
      <w:r>
        <w:rPr>
          <w:rFonts w:hint="eastAsia"/>
          <w:color w:val="auto"/>
          <w:lang w:eastAsia="zh-CN"/>
        </w:rPr>
        <w:t>【不予处罚】</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在限期内改正</w:t>
      </w:r>
    </w:p>
    <w:p>
      <w:pPr>
        <w:pStyle w:val="4"/>
        <w:numPr>
          <w:ilvl w:val="0"/>
          <w:numId w:val="0"/>
        </w:numPr>
        <w:spacing w:before="192"/>
        <w:ind w:right="0" w:rightChars="0" w:firstLine="1180" w:firstLineChars="500"/>
        <w:jc w:val="left"/>
        <w:rPr>
          <w:rFonts w:hint="eastAsia"/>
          <w:b w:val="0"/>
          <w:bCs w:val="0"/>
          <w:color w:val="auto"/>
          <w:sz w:val="24"/>
          <w:szCs w:val="24"/>
          <w:lang w:val="en-US" w:eastAsia="zh-CN"/>
        </w:rPr>
      </w:pPr>
      <w:r>
        <w:rPr>
          <w:rFonts w:hint="eastAsia"/>
          <w:b w:val="0"/>
          <w:bCs w:val="0"/>
          <w:color w:val="auto"/>
          <w:sz w:val="24"/>
          <w:szCs w:val="24"/>
          <w:lang w:val="en-US" w:eastAsia="zh-CN"/>
        </w:rPr>
        <w:t>2.【一般】</w:t>
      </w:r>
    </w:p>
    <w:p>
      <w:pPr>
        <w:pStyle w:val="4"/>
        <w:numPr>
          <w:ilvl w:val="0"/>
          <w:numId w:val="0"/>
        </w:numPr>
        <w:spacing w:before="192"/>
        <w:ind w:right="0" w:rightChars="0" w:firstLine="1180" w:firstLineChars="500"/>
        <w:jc w:val="left"/>
        <w:rPr>
          <w:rFonts w:hint="default"/>
          <w:b w:val="0"/>
          <w:bCs w:val="0"/>
          <w:color w:val="auto"/>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逾期未改正的，处以1万元以下罚款。</w:t>
      </w:r>
    </w:p>
    <w:p>
      <w:pPr>
        <w:pStyle w:val="4"/>
        <w:numPr>
          <w:ilvl w:val="0"/>
          <w:numId w:val="0"/>
        </w:numPr>
        <w:spacing w:before="192"/>
        <w:ind w:right="0" w:rightChars="0"/>
        <w:jc w:val="left"/>
        <w:rPr>
          <w:rFonts w:hint="default"/>
          <w:b w:val="0"/>
          <w:bCs w:val="0"/>
          <w:color w:val="auto"/>
          <w:sz w:val="24"/>
          <w:szCs w:val="24"/>
          <w:lang w:val="en-US" w:eastAsia="zh-CN"/>
        </w:rPr>
      </w:pPr>
    </w:p>
    <w:p>
      <w:pPr>
        <w:pStyle w:val="4"/>
        <w:numPr>
          <w:ilvl w:val="0"/>
          <w:numId w:val="0"/>
        </w:numPr>
        <w:spacing w:before="192"/>
        <w:ind w:right="0" w:rightChars="0"/>
        <w:jc w:val="left"/>
        <w:rPr>
          <w:rFonts w:hint="default"/>
          <w:b/>
          <w:bCs/>
          <w:color w:val="auto"/>
          <w:sz w:val="24"/>
          <w:szCs w:val="24"/>
          <w:lang w:val="en-US" w:eastAsia="zh-CN"/>
        </w:rPr>
      </w:pPr>
    </w:p>
    <w:p>
      <w:pPr>
        <w:spacing w:line="580" w:lineRule="exact"/>
        <w:jc w:val="center"/>
        <w:rPr>
          <w:rFonts w:hint="eastAsia" w:ascii="方正小标宋_GBK" w:eastAsia="方正小标宋_GBK"/>
          <w:color w:val="auto"/>
          <w:sz w:val="44"/>
          <w:szCs w:val="44"/>
        </w:rPr>
      </w:pPr>
    </w:p>
    <w:p>
      <w:pPr>
        <w:spacing w:line="580" w:lineRule="exact"/>
        <w:jc w:val="center"/>
        <w:rPr>
          <w:rFonts w:hint="eastAsia" w:ascii="新宋体" w:hAnsi="新宋体" w:eastAsia="新宋体" w:cs="新宋体"/>
          <w:b/>
          <w:bCs w:val="0"/>
          <w:color w:val="auto"/>
          <w:sz w:val="24"/>
          <w:szCs w:val="24"/>
          <w:lang w:eastAsia="zh-CN"/>
        </w:rPr>
      </w:pPr>
      <w:r>
        <w:rPr>
          <w:rFonts w:hint="eastAsia" w:ascii="新宋体" w:hAnsi="新宋体" w:eastAsia="新宋体" w:cs="新宋体"/>
          <w:b/>
          <w:bCs w:val="0"/>
          <w:color w:val="auto"/>
          <w:sz w:val="24"/>
          <w:szCs w:val="24"/>
          <w:lang w:eastAsia="zh-CN"/>
        </w:rPr>
        <w:t>第十九章药品行政处罚裁量基准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294"/>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hAnsi="Arial" w:cs="Arial"/>
                <w:color w:val="auto"/>
                <w:sz w:val="24"/>
              </w:rPr>
              <w:t>未取得药品生产许可证、药品经营许可证或者医疗机构制剂许可证生产、销售药品。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0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第一百一十五条：</w:t>
            </w:r>
            <w:r>
              <w:rPr>
                <w:rFonts w:hint="eastAsia" w:ascii="仿宋_GB2312" w:hAnsi="Arial" w:cs="Arial"/>
                <w:color w:val="auto"/>
                <w:sz w:val="24"/>
              </w:rPr>
              <w:t>未取得药品生产许可证、药品经营</w:t>
            </w:r>
            <w:r>
              <w:rPr>
                <w:rFonts w:hint="eastAsia" w:ascii="仿宋_GB2312"/>
                <w:color w:val="auto"/>
                <w:sz w:val="24"/>
              </w:rPr>
              <w:t>许可证或者医疗机构制剂许可证生产、销售药品的，责令关闭，没收违法生产、销售的药品和违法所得，并处违法生产、销售的药品（包括已售出和未售出的药品，下同）货值金额十五</w:t>
            </w:r>
            <w:r>
              <w:rPr>
                <w:rFonts w:hint="eastAsia" w:ascii="仿宋_GB2312" w:hAnsi="Arial" w:cs="Arial"/>
                <w:color w:val="auto"/>
                <w:sz w:val="24"/>
              </w:rPr>
              <w:t>倍以上三十倍以下的罚款；货值金额不足十万元的，按十万元计算。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责令关闭；</w:t>
            </w:r>
          </w:p>
          <w:p>
            <w:pPr>
              <w:spacing w:line="360" w:lineRule="exact"/>
              <w:rPr>
                <w:rFonts w:ascii="仿宋_GB2312"/>
                <w:color w:val="auto"/>
                <w:sz w:val="24"/>
              </w:rPr>
            </w:pPr>
            <w:r>
              <w:rPr>
                <w:rFonts w:hint="eastAsia" w:ascii="仿宋_GB2312"/>
                <w:color w:val="auto"/>
                <w:sz w:val="24"/>
              </w:rPr>
              <w:t>没收违法所得，没收非法财物；</w:t>
            </w:r>
          </w:p>
          <w:p>
            <w:pPr>
              <w:spacing w:line="360" w:lineRule="exact"/>
              <w:rPr>
                <w:rFonts w:ascii="仿宋_GB2312"/>
                <w:color w:val="auto"/>
                <w:sz w:val="24"/>
              </w:rPr>
            </w:pPr>
            <w:r>
              <w:rPr>
                <w:rFonts w:hint="eastAsia" w:ascii="仿宋_GB2312"/>
                <w:color w:val="auto"/>
                <w:sz w:val="24"/>
              </w:rPr>
              <w:t>并处罚款。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widowControl/>
              <w:spacing w:line="360" w:lineRule="exact"/>
              <w:jc w:val="left"/>
              <w:rPr>
                <w:rFonts w:ascii="仿宋_GB2312"/>
                <w:color w:val="auto"/>
                <w:sz w:val="24"/>
              </w:rPr>
            </w:pPr>
            <w:r>
              <w:rPr>
                <w:rFonts w:hint="eastAsia" w:ascii="仿宋_GB2312" w:hAnsi="Arial" w:cs="Arial"/>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hAnsi="Arial" w:cs="Arial"/>
                <w:color w:val="auto"/>
                <w:sz w:val="24"/>
              </w:rPr>
              <w:t>违法生产、销售的药品货值金额十五倍以上三十倍以下的罚款；货值金额不足十万元的，按十万元计算。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294"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40"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294"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40" w:type="dxa"/>
            <w:vAlign w:val="center"/>
          </w:tcPr>
          <w:p>
            <w:pPr>
              <w:spacing w:line="360" w:lineRule="exact"/>
              <w:rPr>
                <w:rFonts w:ascii="仿宋_GB2312"/>
                <w:color w:val="auto"/>
                <w:sz w:val="24"/>
              </w:rPr>
            </w:pPr>
            <w:r>
              <w:rPr>
                <w:rFonts w:hint="eastAsia" w:ascii="仿宋_GB2312"/>
                <w:color w:val="auto"/>
                <w:sz w:val="24"/>
              </w:rPr>
              <w:t>货值金额22倍罚款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294"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货值金额1.5倍以上15倍以下罚款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294"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货值金额15倍以上22倍以下罚款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294"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货值金额15倍罚款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294"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货值金额22倍以上30倍以下罚款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294"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货值金额30倍罚款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b/>
                <w:color w:val="auto"/>
                <w:sz w:val="24"/>
              </w:rPr>
            </w:pPr>
            <w:r>
              <w:rPr>
                <w:rFonts w:hint="eastAsia" w:ascii="仿宋_GB2312"/>
                <w:color w:val="auto"/>
                <w:sz w:val="24"/>
              </w:rPr>
              <w:t>在裁量阶次中，从轻、减轻的，“以下”不包括本数；从重的，“以上”不包括本数（下同）。</w:t>
            </w:r>
          </w:p>
        </w:tc>
      </w:tr>
    </w:tbl>
    <w:p>
      <w:pPr>
        <w:spacing w:line="360" w:lineRule="exact"/>
        <w:rPr>
          <w:rFonts w:ascii="仿宋_GB2312"/>
          <w:color w:val="auto"/>
          <w:sz w:val="24"/>
        </w:rPr>
      </w:pPr>
      <w:r>
        <w:rPr>
          <w:rFonts w:hint="eastAsia"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896"/>
        <w:gridCol w:w="3166"/>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80" w:lineRule="exact"/>
              <w:rPr>
                <w:rFonts w:ascii="仿宋_GB2312"/>
                <w:color w:val="auto"/>
                <w:sz w:val="24"/>
              </w:rPr>
            </w:pPr>
            <w:r>
              <w:rPr>
                <w:rFonts w:hint="eastAsia" w:ascii="仿宋_GB2312"/>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80" w:lineRule="exact"/>
              <w:rPr>
                <w:rFonts w:ascii="仿宋_GB2312"/>
                <w:color w:val="auto"/>
                <w:sz w:val="24"/>
              </w:rPr>
            </w:pPr>
            <w:r>
              <w:rPr>
                <w:rFonts w:hint="eastAsia" w:ascii="仿宋_GB2312"/>
                <w:color w:val="auto"/>
                <w:sz w:val="24"/>
              </w:rPr>
              <w:t>生产、销售、使用假药。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40" w:lineRule="exact"/>
              <w:rPr>
                <w:rFonts w:ascii="仿宋_GB2312"/>
                <w:color w:val="auto"/>
                <w:sz w:val="24"/>
              </w:rPr>
            </w:pPr>
            <w:r>
              <w:rPr>
                <w:rFonts w:hint="eastAsia" w:ascii="仿宋_GB2312"/>
                <w:color w:val="auto"/>
                <w:sz w:val="24"/>
              </w:rPr>
              <w:t>1.</w:t>
            </w:r>
            <w:r>
              <w:rPr>
                <w:rFonts w:hint="eastAsia" w:ascii="仿宋_GB2312"/>
                <w:color w:val="auto"/>
                <w:sz w:val="24"/>
              </w:rPr>
              <w:t>《中华人民共和国药品管理法》</w:t>
            </w:r>
            <w:r>
              <w:rPr>
                <w:rFonts w:hint="eastAsia" w:ascii="仿宋_GB2312"/>
                <w:color w:val="auto"/>
                <w:sz w:val="24"/>
              </w:rPr>
              <w:t>第一百一十六条：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p>
          <w:p>
            <w:pPr>
              <w:spacing w:line="340" w:lineRule="exact"/>
              <w:rPr>
                <w:rFonts w:ascii="仿宋_GB2312"/>
                <w:color w:val="auto"/>
                <w:sz w:val="24"/>
              </w:rPr>
            </w:pPr>
            <w:r>
              <w:rPr>
                <w:rFonts w:hint="eastAsia" w:ascii="仿宋_GB2312"/>
                <w:color w:val="auto"/>
                <w:sz w:val="24"/>
              </w:rPr>
              <w:t>2.《中华人民共和国药品管理法》第一百一十八条：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p>
          <w:p>
            <w:pPr>
              <w:spacing w:line="340" w:lineRule="exact"/>
              <w:rPr>
                <w:rFonts w:ascii="仿宋_GB2312"/>
                <w:color w:val="auto"/>
                <w:sz w:val="24"/>
              </w:rPr>
            </w:pPr>
            <w:r>
              <w:rPr>
                <w:rFonts w:hint="eastAsia" w:ascii="仿宋_GB2312"/>
                <w:color w:val="auto"/>
                <w:sz w:val="24"/>
              </w:rPr>
              <w:t>对生产者专门用于生产假药、劣药的原料、辅料、包装材料、生产设备予以没收。</w:t>
            </w:r>
          </w:p>
          <w:p>
            <w:pPr>
              <w:spacing w:line="340" w:lineRule="exact"/>
              <w:rPr>
                <w:rFonts w:ascii="仿宋_GB2312" w:hAnsi="Arial" w:cs="Arial"/>
                <w:color w:val="auto"/>
                <w:sz w:val="24"/>
              </w:rPr>
            </w:pPr>
            <w:r>
              <w:rPr>
                <w:rFonts w:hint="eastAsia" w:ascii="仿宋_GB2312"/>
                <w:color w:val="auto"/>
                <w:sz w:val="24"/>
              </w:rPr>
              <w:t>3.《中华人民共和国药品管理法》第一百一十九条：药品使用单位使用假药、劣药的，按照销售假药、零售劣药的规定处罚；情节严重的，法定代表人、主要负责人、直接负责的主管人员和其他责任人员有医疗卫生人员执业证书的，还应当吊销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40" w:lineRule="exact"/>
              <w:rPr>
                <w:rFonts w:ascii="仿宋_GB2312"/>
                <w:color w:val="auto"/>
                <w:sz w:val="24"/>
              </w:rPr>
            </w:pPr>
            <w:r>
              <w:rPr>
                <w:rFonts w:hint="eastAsia" w:ascii="仿宋_GB2312"/>
                <w:color w:val="auto"/>
                <w:sz w:val="24"/>
              </w:rPr>
              <w:t>没收违法所得，没收非法财物；</w:t>
            </w:r>
          </w:p>
          <w:p>
            <w:pPr>
              <w:spacing w:line="340" w:lineRule="exact"/>
              <w:rPr>
                <w:rFonts w:ascii="仿宋_GB2312"/>
                <w:color w:val="auto"/>
                <w:sz w:val="24"/>
              </w:rPr>
            </w:pPr>
            <w:r>
              <w:rPr>
                <w:rFonts w:hint="eastAsia" w:ascii="仿宋_GB2312"/>
                <w:color w:val="auto"/>
                <w:sz w:val="24"/>
              </w:rPr>
              <w:t>责令停产停业；</w:t>
            </w:r>
          </w:p>
          <w:p>
            <w:pPr>
              <w:spacing w:line="340" w:lineRule="exact"/>
              <w:rPr>
                <w:rFonts w:ascii="仿宋_GB2312"/>
                <w:color w:val="auto"/>
                <w:sz w:val="24"/>
              </w:rPr>
            </w:pPr>
            <w:r>
              <w:rPr>
                <w:rFonts w:hint="eastAsia" w:ascii="仿宋_GB2312"/>
                <w:color w:val="auto"/>
                <w:sz w:val="24"/>
              </w:rPr>
              <w:t>吊销批准证明文件、许可证、执业证书；</w:t>
            </w:r>
          </w:p>
          <w:p>
            <w:pPr>
              <w:spacing w:line="340" w:lineRule="exact"/>
              <w:rPr>
                <w:rFonts w:ascii="仿宋_GB2312"/>
                <w:color w:val="auto"/>
                <w:sz w:val="24"/>
              </w:rPr>
            </w:pPr>
            <w:r>
              <w:rPr>
                <w:rFonts w:hint="eastAsia" w:ascii="仿宋_GB2312"/>
                <w:color w:val="auto"/>
                <w:sz w:val="24"/>
              </w:rPr>
              <w:t>并处罚款；</w:t>
            </w:r>
          </w:p>
          <w:p>
            <w:pPr>
              <w:spacing w:line="340" w:lineRule="exact"/>
              <w:rPr>
                <w:rFonts w:ascii="仿宋_GB2312"/>
                <w:color w:val="auto"/>
                <w:sz w:val="24"/>
              </w:rPr>
            </w:pPr>
            <w:r>
              <w:rPr>
                <w:rFonts w:hint="eastAsia" w:ascii="仿宋_GB2312"/>
                <w:color w:val="auto"/>
                <w:sz w:val="24"/>
              </w:rPr>
              <w:t>十年内不受理相应申请、禁止进口、终身禁止从业；</w:t>
            </w:r>
          </w:p>
          <w:p>
            <w:pPr>
              <w:spacing w:line="340" w:lineRule="exact"/>
              <w:rPr>
                <w:rFonts w:ascii="仿宋_GB2312"/>
                <w:color w:val="auto"/>
                <w:sz w:val="24"/>
              </w:rPr>
            </w:pPr>
            <w:r>
              <w:rPr>
                <w:rFonts w:hint="eastAsia" w:ascii="仿宋_GB2312"/>
                <w:color w:val="auto"/>
                <w:sz w:val="24"/>
              </w:rPr>
              <w:t>没收违法行为发生期间自本单位所获收入。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40" w:lineRule="exact"/>
              <w:rPr>
                <w:rFonts w:ascii="仿宋_GB2312"/>
                <w:color w:val="auto"/>
                <w:sz w:val="24"/>
              </w:rPr>
            </w:pPr>
            <w:r>
              <w:rPr>
                <w:rFonts w:hint="eastAsia" w:ascii="仿宋_GB2312"/>
                <w:color w:val="auto"/>
                <w:sz w:val="24"/>
              </w:rPr>
              <w:t>1.县级以上人民政府药品监督管理部门；</w:t>
            </w:r>
          </w:p>
          <w:p>
            <w:pPr>
              <w:spacing w:line="340" w:lineRule="exact"/>
              <w:rPr>
                <w:rFonts w:ascii="仿宋_GB2312"/>
                <w:color w:val="auto"/>
                <w:sz w:val="24"/>
              </w:rPr>
            </w:pPr>
            <w:r>
              <w:rPr>
                <w:rFonts w:hint="eastAsia" w:ascii="仿宋_GB2312"/>
                <w:color w:val="auto"/>
                <w:sz w:val="24"/>
              </w:rPr>
              <w:t>2.吊销批准证明文件、许可证件、执业证书的，原批准、发证的部门。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40" w:lineRule="exact"/>
              <w:rPr>
                <w:rFonts w:ascii="仿宋_GB2312"/>
                <w:color w:val="auto"/>
                <w:sz w:val="24"/>
              </w:rPr>
            </w:pPr>
            <w:r>
              <w:rPr>
                <w:rFonts w:hint="eastAsia" w:ascii="仿宋_GB2312"/>
                <w:color w:val="auto"/>
                <w:sz w:val="24"/>
              </w:rPr>
              <w:t>违法生产、销售的药品货值金额十五倍以上三十倍以下的罚款；货值金额不足十万元的，按十万元计算，使用假药按照销售假药的规定处罚。</w:t>
            </w:r>
          </w:p>
          <w:p>
            <w:pPr>
              <w:spacing w:line="340" w:lineRule="exact"/>
              <w:rPr>
                <w:rFonts w:ascii="仿宋_GB2312"/>
                <w:color w:val="auto"/>
                <w:sz w:val="24"/>
              </w:rPr>
            </w:pPr>
            <w:r>
              <w:rPr>
                <w:rFonts w:hint="eastAsia" w:ascii="仿宋_GB2312"/>
                <w:color w:val="auto"/>
                <w:sz w:val="24"/>
              </w:rPr>
              <w:t>个人：违法行为发生期间，自本单位所获收入百分之三十以上三倍以下的罚款。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896"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166"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272" w:type="dxa"/>
            <w:vAlign w:val="center"/>
          </w:tcPr>
          <w:p>
            <w:pPr>
              <w:spacing w:line="34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Align w:val="center"/>
          </w:tcPr>
          <w:p>
            <w:pPr>
              <w:spacing w:line="360" w:lineRule="exact"/>
              <w:jc w:val="center"/>
              <w:rPr>
                <w:rFonts w:ascii="仿宋_GB2312"/>
                <w:color w:val="auto"/>
                <w:sz w:val="24"/>
              </w:rPr>
            </w:pPr>
          </w:p>
        </w:tc>
        <w:tc>
          <w:tcPr>
            <w:tcW w:w="896"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166"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272" w:type="dxa"/>
            <w:vAlign w:val="center"/>
          </w:tcPr>
          <w:p>
            <w:pPr>
              <w:spacing w:line="340" w:lineRule="exact"/>
              <w:rPr>
                <w:rFonts w:ascii="仿宋_GB2312"/>
                <w:color w:val="auto"/>
                <w:sz w:val="24"/>
              </w:rPr>
            </w:pPr>
            <w:r>
              <w:rPr>
                <w:rFonts w:hint="eastAsia" w:ascii="仿宋_GB2312"/>
                <w:color w:val="auto"/>
                <w:sz w:val="24"/>
              </w:rPr>
              <w:t>货值金额22倍罚款</w:t>
            </w:r>
          </w:p>
          <w:p>
            <w:pPr>
              <w:spacing w:line="340" w:lineRule="exact"/>
              <w:rPr>
                <w:rFonts w:ascii="仿宋_GB2312"/>
                <w:color w:val="auto"/>
                <w:sz w:val="24"/>
              </w:rPr>
            </w:pPr>
            <w:r>
              <w:rPr>
                <w:rFonts w:hint="eastAsia" w:ascii="仿宋_GB2312"/>
                <w:color w:val="auto"/>
                <w:sz w:val="24"/>
              </w:rPr>
              <w:t>个人：所获收入1.5倍罚款</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896"/>
        <w:gridCol w:w="3166"/>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restart"/>
            <w:vAlign w:val="center"/>
          </w:tcPr>
          <w:p>
            <w:pPr>
              <w:spacing w:line="360" w:lineRule="exact"/>
              <w:jc w:val="center"/>
              <w:rPr>
                <w:rFonts w:ascii="仿宋_GB2312"/>
                <w:color w:val="auto"/>
                <w:sz w:val="24"/>
              </w:rPr>
            </w:pPr>
            <w:r>
              <w:rPr>
                <w:color w:val="auto"/>
              </w:rPr>
              <w:br w:type="page"/>
            </w:r>
          </w:p>
        </w:tc>
        <w:tc>
          <w:tcPr>
            <w:tcW w:w="896"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166"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72" w:type="dxa"/>
            <w:vAlign w:val="center"/>
          </w:tcPr>
          <w:p>
            <w:pPr>
              <w:spacing w:line="360" w:lineRule="exact"/>
              <w:rPr>
                <w:rFonts w:ascii="仿宋_GB2312"/>
                <w:color w:val="auto"/>
                <w:sz w:val="24"/>
              </w:rPr>
            </w:pPr>
            <w:r>
              <w:rPr>
                <w:rFonts w:hint="eastAsia" w:ascii="仿宋_GB2312"/>
                <w:color w:val="auto"/>
                <w:sz w:val="24"/>
              </w:rPr>
              <w:t>货值金额1.5倍以上15倍以下罚款</w:t>
            </w:r>
          </w:p>
          <w:p>
            <w:pPr>
              <w:spacing w:line="360" w:lineRule="exact"/>
              <w:rPr>
                <w:rFonts w:ascii="仿宋_GB2312"/>
                <w:color w:val="auto"/>
                <w:sz w:val="24"/>
              </w:rPr>
            </w:pPr>
            <w:r>
              <w:rPr>
                <w:rFonts w:hint="eastAsia" w:ascii="仿宋_GB2312"/>
                <w:color w:val="auto"/>
                <w:sz w:val="24"/>
              </w:rPr>
              <w:t>个人：所获收入3%以上30%以下罚款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1188" w:type="dxa"/>
            <w:vMerge w:val="continue"/>
            <w:vAlign w:val="center"/>
          </w:tcPr>
          <w:p>
            <w:pPr>
              <w:spacing w:line="360" w:lineRule="exact"/>
              <w:jc w:val="center"/>
              <w:rPr>
                <w:rFonts w:ascii="仿宋_GB2312"/>
                <w:color w:val="auto"/>
                <w:sz w:val="24"/>
              </w:rPr>
            </w:pPr>
          </w:p>
        </w:tc>
        <w:tc>
          <w:tcPr>
            <w:tcW w:w="896" w:type="dxa"/>
            <w:vMerge w:val="restart"/>
            <w:vAlign w:val="center"/>
          </w:tcPr>
          <w:p>
            <w:pPr>
              <w:spacing w:line="360" w:lineRule="exact"/>
              <w:jc w:val="center"/>
              <w:rPr>
                <w:rFonts w:ascii="仿宋_GB2312"/>
                <w:color w:val="auto"/>
                <w:sz w:val="24"/>
              </w:rPr>
            </w:pPr>
          </w:p>
          <w:p>
            <w:pPr>
              <w:spacing w:line="360" w:lineRule="exact"/>
              <w:jc w:val="center"/>
              <w:rPr>
                <w:rFonts w:ascii="仿宋_GB2312"/>
                <w:color w:val="auto"/>
                <w:sz w:val="24"/>
              </w:rPr>
            </w:pPr>
            <w:r>
              <w:rPr>
                <w:rFonts w:hint="eastAsia" w:ascii="仿宋_GB2312"/>
                <w:color w:val="auto"/>
                <w:sz w:val="24"/>
              </w:rPr>
              <w:t>从轻</w:t>
            </w:r>
          </w:p>
        </w:tc>
        <w:tc>
          <w:tcPr>
            <w:tcW w:w="3166"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72" w:type="dxa"/>
            <w:vAlign w:val="center"/>
          </w:tcPr>
          <w:p>
            <w:pPr>
              <w:spacing w:line="360" w:lineRule="exact"/>
              <w:rPr>
                <w:rFonts w:ascii="仿宋_GB2312"/>
                <w:color w:val="auto"/>
                <w:sz w:val="24"/>
              </w:rPr>
            </w:pPr>
            <w:r>
              <w:rPr>
                <w:rFonts w:hint="eastAsia" w:ascii="仿宋_GB2312"/>
                <w:color w:val="auto"/>
                <w:sz w:val="24"/>
              </w:rPr>
              <w:t>货值金额15倍以上22倍以下罚款</w:t>
            </w:r>
          </w:p>
          <w:p>
            <w:pPr>
              <w:spacing w:line="360" w:lineRule="exact"/>
              <w:rPr>
                <w:rFonts w:ascii="仿宋_GB2312"/>
                <w:color w:val="auto"/>
                <w:sz w:val="24"/>
              </w:rPr>
            </w:pPr>
            <w:r>
              <w:rPr>
                <w:rFonts w:hint="eastAsia" w:ascii="仿宋_GB2312"/>
                <w:color w:val="auto"/>
                <w:sz w:val="24"/>
              </w:rPr>
              <w:t>个人：所获收入30%以上1.5倍以下罚款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88" w:type="dxa"/>
            <w:vMerge w:val="continue"/>
            <w:vAlign w:val="center"/>
          </w:tcPr>
          <w:p>
            <w:pPr>
              <w:spacing w:line="360" w:lineRule="exact"/>
              <w:jc w:val="center"/>
              <w:rPr>
                <w:rFonts w:ascii="仿宋_GB2312"/>
                <w:color w:val="auto"/>
                <w:sz w:val="24"/>
              </w:rPr>
            </w:pPr>
          </w:p>
        </w:tc>
        <w:tc>
          <w:tcPr>
            <w:tcW w:w="896" w:type="dxa"/>
            <w:vMerge w:val="continue"/>
            <w:vAlign w:val="center"/>
          </w:tcPr>
          <w:p>
            <w:pPr>
              <w:spacing w:line="360" w:lineRule="exact"/>
              <w:jc w:val="center"/>
              <w:rPr>
                <w:rFonts w:ascii="仿宋_GB2312"/>
                <w:color w:val="auto"/>
                <w:sz w:val="24"/>
              </w:rPr>
            </w:pPr>
          </w:p>
        </w:tc>
        <w:tc>
          <w:tcPr>
            <w:tcW w:w="3166"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72" w:type="dxa"/>
            <w:vAlign w:val="center"/>
          </w:tcPr>
          <w:p>
            <w:pPr>
              <w:spacing w:line="360" w:lineRule="exact"/>
              <w:rPr>
                <w:rFonts w:ascii="仿宋_GB2312"/>
                <w:color w:val="auto"/>
                <w:sz w:val="24"/>
              </w:rPr>
            </w:pPr>
            <w:r>
              <w:rPr>
                <w:rFonts w:hint="eastAsia" w:ascii="仿宋_GB2312"/>
                <w:color w:val="auto"/>
                <w:sz w:val="24"/>
              </w:rPr>
              <w:t>货值金额15倍罚款</w:t>
            </w:r>
          </w:p>
          <w:p>
            <w:pPr>
              <w:spacing w:line="360" w:lineRule="exact"/>
              <w:rPr>
                <w:rFonts w:ascii="仿宋_GB2312"/>
                <w:color w:val="auto"/>
                <w:sz w:val="24"/>
              </w:rPr>
            </w:pPr>
            <w:r>
              <w:rPr>
                <w:rFonts w:hint="eastAsia" w:ascii="仿宋_GB2312"/>
                <w:color w:val="auto"/>
                <w:sz w:val="24"/>
              </w:rPr>
              <w:t>个人：所获收入30%罚款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88" w:type="dxa"/>
            <w:vMerge w:val="continue"/>
            <w:vAlign w:val="center"/>
          </w:tcPr>
          <w:p>
            <w:pPr>
              <w:spacing w:line="360" w:lineRule="exact"/>
              <w:jc w:val="center"/>
              <w:rPr>
                <w:rFonts w:ascii="仿宋_GB2312"/>
                <w:color w:val="auto"/>
                <w:sz w:val="24"/>
              </w:rPr>
            </w:pPr>
          </w:p>
        </w:tc>
        <w:tc>
          <w:tcPr>
            <w:tcW w:w="896"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p>
            <w:pPr>
              <w:spacing w:line="360" w:lineRule="exact"/>
              <w:jc w:val="center"/>
              <w:rPr>
                <w:rFonts w:ascii="仿宋_GB2312"/>
                <w:color w:val="auto"/>
                <w:sz w:val="24"/>
              </w:rPr>
            </w:pPr>
          </w:p>
          <w:p>
            <w:pPr>
              <w:spacing w:line="360" w:lineRule="exact"/>
              <w:jc w:val="center"/>
              <w:rPr>
                <w:rFonts w:ascii="仿宋_GB2312"/>
                <w:color w:val="auto"/>
                <w:sz w:val="24"/>
              </w:rPr>
            </w:pPr>
          </w:p>
        </w:tc>
        <w:tc>
          <w:tcPr>
            <w:tcW w:w="3166"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272" w:type="dxa"/>
            <w:vAlign w:val="center"/>
          </w:tcPr>
          <w:p>
            <w:pPr>
              <w:spacing w:line="360" w:lineRule="exact"/>
              <w:rPr>
                <w:rFonts w:ascii="仿宋_GB2312"/>
                <w:color w:val="auto"/>
                <w:sz w:val="24"/>
              </w:rPr>
            </w:pPr>
            <w:r>
              <w:rPr>
                <w:rFonts w:hint="eastAsia" w:ascii="仿宋_GB2312"/>
                <w:color w:val="auto"/>
                <w:sz w:val="24"/>
              </w:rPr>
              <w:t>货值金额22倍以上30倍以下罚款</w:t>
            </w:r>
          </w:p>
          <w:p>
            <w:pPr>
              <w:spacing w:line="360" w:lineRule="exact"/>
              <w:rPr>
                <w:rFonts w:ascii="仿宋_GB2312"/>
                <w:color w:val="auto"/>
                <w:sz w:val="24"/>
              </w:rPr>
            </w:pPr>
            <w:r>
              <w:rPr>
                <w:rFonts w:hint="eastAsia" w:ascii="仿宋_GB2312"/>
                <w:color w:val="auto"/>
                <w:sz w:val="24"/>
              </w:rPr>
              <w:t>个人：所获收入1.5倍以上3倍以下罚款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88" w:type="dxa"/>
            <w:vMerge w:val="continue"/>
            <w:vAlign w:val="center"/>
          </w:tcPr>
          <w:p>
            <w:pPr>
              <w:spacing w:line="360" w:lineRule="exact"/>
              <w:jc w:val="center"/>
              <w:rPr>
                <w:rFonts w:ascii="仿宋_GB2312"/>
                <w:color w:val="auto"/>
                <w:sz w:val="24"/>
              </w:rPr>
            </w:pPr>
          </w:p>
        </w:tc>
        <w:tc>
          <w:tcPr>
            <w:tcW w:w="896" w:type="dxa"/>
            <w:vMerge w:val="continue"/>
            <w:vAlign w:val="center"/>
          </w:tcPr>
          <w:p>
            <w:pPr>
              <w:spacing w:line="360" w:lineRule="exact"/>
              <w:jc w:val="center"/>
              <w:rPr>
                <w:rFonts w:ascii="仿宋_GB2312"/>
                <w:color w:val="auto"/>
                <w:sz w:val="24"/>
              </w:rPr>
            </w:pPr>
          </w:p>
        </w:tc>
        <w:tc>
          <w:tcPr>
            <w:tcW w:w="3166"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72" w:type="dxa"/>
            <w:vAlign w:val="center"/>
          </w:tcPr>
          <w:p>
            <w:pPr>
              <w:spacing w:line="360" w:lineRule="exact"/>
              <w:rPr>
                <w:rFonts w:ascii="仿宋_GB2312"/>
                <w:color w:val="auto"/>
                <w:sz w:val="24"/>
              </w:rPr>
            </w:pPr>
            <w:r>
              <w:rPr>
                <w:rFonts w:hint="eastAsia" w:ascii="仿宋_GB2312"/>
                <w:color w:val="auto"/>
                <w:sz w:val="24"/>
              </w:rPr>
              <w:t>货值金额30倍罚款</w:t>
            </w:r>
          </w:p>
          <w:p>
            <w:pPr>
              <w:spacing w:line="360" w:lineRule="exact"/>
              <w:rPr>
                <w:rFonts w:ascii="仿宋_GB2312"/>
                <w:color w:val="auto"/>
                <w:sz w:val="24"/>
              </w:rPr>
            </w:pPr>
            <w:r>
              <w:rPr>
                <w:rFonts w:hint="eastAsia" w:ascii="仿宋_GB2312"/>
                <w:color w:val="auto"/>
                <w:sz w:val="24"/>
              </w:rPr>
              <w:t>个人：所获收入3倍罚款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rPr>
          <w:rFonts w:ascii="仿宋_GB2312"/>
          <w:color w:val="auto"/>
          <w:sz w:val="24"/>
        </w:rPr>
      </w:pPr>
      <w:r>
        <w:rPr>
          <w:rFonts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294"/>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生产、销售、使用劣药。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56"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40" w:lineRule="exact"/>
              <w:rPr>
                <w:rFonts w:ascii="仿宋_GB2312"/>
                <w:color w:val="auto"/>
                <w:sz w:val="24"/>
              </w:rPr>
            </w:pPr>
            <w:r>
              <w:rPr>
                <w:rFonts w:hint="eastAsia" w:ascii="仿宋_GB2312"/>
                <w:color w:val="auto"/>
                <w:sz w:val="24"/>
              </w:rPr>
              <w:t>1.</w:t>
            </w:r>
            <w:r>
              <w:rPr>
                <w:rFonts w:hint="eastAsia" w:ascii="仿宋_GB2312"/>
                <w:color w:val="auto"/>
                <w:sz w:val="24"/>
              </w:rPr>
              <w:t>《中华人民共和国药品管理法》</w:t>
            </w:r>
            <w:r>
              <w:rPr>
                <w:rFonts w:hint="eastAsia" w:ascii="仿宋_GB2312"/>
                <w:color w:val="auto"/>
                <w:sz w:val="24"/>
              </w:rPr>
              <w:t xml:space="preserve">第一百一十七条第一款：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 </w:t>
            </w:r>
          </w:p>
          <w:p>
            <w:pPr>
              <w:spacing w:line="340" w:lineRule="exact"/>
              <w:rPr>
                <w:rFonts w:ascii="仿宋_GB2312"/>
                <w:color w:val="auto"/>
                <w:sz w:val="24"/>
              </w:rPr>
            </w:pPr>
            <w:r>
              <w:rPr>
                <w:rFonts w:hint="eastAsia" w:ascii="仿宋_GB2312"/>
                <w:color w:val="auto"/>
                <w:sz w:val="24"/>
              </w:rPr>
              <w:t>2.</w:t>
            </w:r>
            <w:r>
              <w:rPr>
                <w:rFonts w:hint="eastAsia" w:ascii="仿宋_GB2312"/>
                <w:color w:val="auto"/>
                <w:sz w:val="24"/>
              </w:rPr>
              <w:t>《中华人民共和国药品管理法》</w:t>
            </w:r>
            <w:r>
              <w:rPr>
                <w:rFonts w:hint="eastAsia" w:ascii="仿宋_GB2312"/>
                <w:color w:val="auto"/>
                <w:sz w:val="24"/>
              </w:rPr>
              <w:t>第一百一十八条：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p>
          <w:p>
            <w:pPr>
              <w:spacing w:line="340" w:lineRule="exact"/>
              <w:rPr>
                <w:rFonts w:ascii="仿宋_GB2312"/>
                <w:color w:val="auto"/>
                <w:sz w:val="24"/>
              </w:rPr>
            </w:pPr>
            <w:r>
              <w:rPr>
                <w:rFonts w:hint="eastAsia" w:ascii="仿宋_GB2312"/>
                <w:color w:val="auto"/>
                <w:sz w:val="24"/>
              </w:rPr>
              <w:t>对生产者专门用于生产假药、劣药的原料、辅料、包装材料、生产设备予以没收。</w:t>
            </w:r>
          </w:p>
          <w:p>
            <w:pPr>
              <w:spacing w:line="340" w:lineRule="exact"/>
              <w:rPr>
                <w:rFonts w:ascii="仿宋_GB2312"/>
                <w:color w:val="auto"/>
                <w:sz w:val="24"/>
              </w:rPr>
            </w:pPr>
            <w:r>
              <w:rPr>
                <w:rFonts w:hint="eastAsia" w:ascii="仿宋_GB2312"/>
                <w:color w:val="auto"/>
                <w:sz w:val="24"/>
              </w:rPr>
              <w:t xml:space="preserve"> 3</w:t>
            </w:r>
            <w:r>
              <w:rPr>
                <w:rFonts w:hint="eastAsia" w:ascii="仿宋_GB2312"/>
                <w:color w:val="auto"/>
                <w:sz w:val="24"/>
              </w:rPr>
              <w:t>.《中华人民共和国药品管理法》</w:t>
            </w:r>
            <w:r>
              <w:rPr>
                <w:rFonts w:hint="eastAsia" w:ascii="仿宋_GB2312"/>
                <w:color w:val="auto"/>
                <w:sz w:val="24"/>
              </w:rPr>
              <w:t>第一百一十九条：药品使用单位使用假药、劣药的，按照销售假药、零售劣药的规定处罚；情节严重的，法定代表人、主要负责人、直接负责的主管人员和其他责任人员有医疗卫生人员执业证书的，还应当吊销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56"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40" w:lineRule="exact"/>
              <w:rPr>
                <w:rFonts w:ascii="仿宋_GB2312"/>
                <w:color w:val="auto"/>
                <w:sz w:val="24"/>
              </w:rPr>
            </w:pPr>
            <w:r>
              <w:rPr>
                <w:rFonts w:hint="eastAsia" w:ascii="仿宋_GB2312"/>
                <w:color w:val="auto"/>
                <w:sz w:val="24"/>
              </w:rPr>
              <w:t>没收违法所得，没收非法财物；</w:t>
            </w:r>
          </w:p>
          <w:p>
            <w:pPr>
              <w:spacing w:line="340" w:lineRule="exact"/>
              <w:rPr>
                <w:rFonts w:ascii="仿宋_GB2312"/>
                <w:color w:val="auto"/>
                <w:sz w:val="24"/>
              </w:rPr>
            </w:pPr>
            <w:r>
              <w:rPr>
                <w:rFonts w:hint="eastAsia" w:ascii="仿宋_GB2312"/>
                <w:color w:val="auto"/>
                <w:sz w:val="24"/>
              </w:rPr>
              <w:t>并处罚款；</w:t>
            </w:r>
          </w:p>
          <w:p>
            <w:pPr>
              <w:spacing w:line="340" w:lineRule="exact"/>
              <w:rPr>
                <w:rFonts w:ascii="仿宋_GB2312"/>
                <w:color w:val="auto"/>
                <w:sz w:val="24"/>
              </w:rPr>
            </w:pPr>
            <w:r>
              <w:rPr>
                <w:rFonts w:hint="eastAsia" w:ascii="仿宋_GB2312"/>
                <w:color w:val="auto"/>
                <w:sz w:val="24"/>
              </w:rPr>
              <w:t>责令停产停业；</w:t>
            </w:r>
          </w:p>
          <w:p>
            <w:pPr>
              <w:spacing w:line="340" w:lineRule="exact"/>
              <w:rPr>
                <w:rFonts w:ascii="仿宋_GB2312"/>
                <w:color w:val="auto"/>
                <w:sz w:val="24"/>
              </w:rPr>
            </w:pPr>
            <w:r>
              <w:rPr>
                <w:rFonts w:hint="eastAsia" w:ascii="仿宋_GB2312"/>
                <w:color w:val="auto"/>
                <w:sz w:val="24"/>
              </w:rPr>
              <w:t>吊销批准证明文件、许可证、执业证；</w:t>
            </w:r>
          </w:p>
          <w:p>
            <w:pPr>
              <w:spacing w:line="340" w:lineRule="exact"/>
              <w:rPr>
                <w:rFonts w:ascii="仿宋_GB2312"/>
                <w:color w:val="auto"/>
                <w:sz w:val="24"/>
              </w:rPr>
            </w:pPr>
            <w:r>
              <w:rPr>
                <w:rFonts w:hint="eastAsia" w:ascii="仿宋_GB2312"/>
                <w:color w:val="auto"/>
                <w:sz w:val="24"/>
              </w:rPr>
              <w:t>终身禁止从业；</w:t>
            </w:r>
          </w:p>
          <w:p>
            <w:pPr>
              <w:spacing w:line="340" w:lineRule="exact"/>
              <w:rPr>
                <w:rFonts w:ascii="仿宋_GB2312"/>
                <w:color w:val="auto"/>
                <w:sz w:val="24"/>
              </w:rPr>
            </w:pPr>
            <w:r>
              <w:rPr>
                <w:rFonts w:hint="eastAsia" w:ascii="仿宋_GB2312"/>
                <w:color w:val="auto"/>
                <w:sz w:val="24"/>
              </w:rPr>
              <w:t>没收违法行为发生期间所获收入。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56"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40" w:lineRule="exact"/>
              <w:rPr>
                <w:rFonts w:ascii="仿宋_GB2312"/>
                <w:color w:val="auto"/>
                <w:sz w:val="24"/>
              </w:rPr>
            </w:pPr>
            <w:r>
              <w:rPr>
                <w:rFonts w:hint="eastAsia" w:ascii="仿宋_GB2312"/>
                <w:color w:val="auto"/>
                <w:sz w:val="24"/>
              </w:rPr>
              <w:t>1.县级以上人民政府药品监督管理部门；</w:t>
            </w:r>
          </w:p>
          <w:p>
            <w:pPr>
              <w:spacing w:line="340" w:lineRule="exact"/>
              <w:rPr>
                <w:rFonts w:ascii="仿宋_GB2312"/>
                <w:color w:val="auto"/>
                <w:sz w:val="24"/>
              </w:rPr>
            </w:pPr>
            <w:r>
              <w:rPr>
                <w:rFonts w:hint="eastAsia" w:ascii="仿宋_GB2312"/>
                <w:color w:val="auto"/>
                <w:sz w:val="24"/>
              </w:rPr>
              <w:t>2.吊销批准证明文件、许可证件、执业证书的，原批准、发证的部门。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56"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40" w:lineRule="exact"/>
              <w:rPr>
                <w:rFonts w:ascii="仿宋_GB2312"/>
                <w:color w:val="auto"/>
                <w:sz w:val="24"/>
              </w:rPr>
            </w:pPr>
            <w:r>
              <w:rPr>
                <w:rFonts w:hint="eastAsia" w:ascii="仿宋_GB2312"/>
                <w:color w:val="auto"/>
                <w:sz w:val="24"/>
              </w:rPr>
              <w:t>违法生产、销售的药品货值金额十倍以上二十倍以下的罚款；违法生产、批发的药品货值金额不足十万元的，按十万元计算，违法零售的药品货值金额不足一万元的，按一万元计算，使用劣药按照零售劣药的规定处罚。</w:t>
            </w:r>
          </w:p>
          <w:p>
            <w:pPr>
              <w:spacing w:line="340" w:lineRule="exact"/>
              <w:rPr>
                <w:rFonts w:ascii="仿宋_GB2312"/>
                <w:color w:val="auto"/>
                <w:sz w:val="24"/>
              </w:rPr>
            </w:pPr>
            <w:r>
              <w:rPr>
                <w:rFonts w:hint="eastAsia" w:ascii="仿宋_GB2312"/>
                <w:color w:val="auto"/>
                <w:sz w:val="24"/>
              </w:rPr>
              <w:t>个人：违法行为发生期间，自本单位所获收入百分之三十以上三倍以下的罚款。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294" w:type="dxa"/>
            <w:vAlign w:val="center"/>
          </w:tcPr>
          <w:p>
            <w:pPr>
              <w:spacing w:line="340" w:lineRule="exact"/>
              <w:jc w:val="center"/>
              <w:rPr>
                <w:rFonts w:ascii="仿宋_GB2312"/>
                <w:color w:val="auto"/>
                <w:sz w:val="24"/>
              </w:rPr>
            </w:pPr>
            <w:r>
              <w:rPr>
                <w:rFonts w:hint="eastAsia" w:ascii="仿宋_GB2312"/>
                <w:color w:val="auto"/>
                <w:sz w:val="24"/>
              </w:rPr>
              <w:t>裁量因素</w:t>
            </w:r>
          </w:p>
        </w:tc>
        <w:tc>
          <w:tcPr>
            <w:tcW w:w="3140"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294" w:type="dxa"/>
            <w:vAlign w:val="center"/>
          </w:tcPr>
          <w:p>
            <w:pPr>
              <w:spacing w:line="340" w:lineRule="exact"/>
              <w:rPr>
                <w:rFonts w:ascii="仿宋_GB2312"/>
                <w:color w:val="auto"/>
                <w:sz w:val="24"/>
              </w:rPr>
            </w:pPr>
            <w:r>
              <w:rPr>
                <w:rFonts w:hint="eastAsia" w:ascii="仿宋_GB2312"/>
                <w:color w:val="auto"/>
                <w:sz w:val="24"/>
              </w:rPr>
              <w:t>无本基准从重、从轻和减轻情节的</w:t>
            </w:r>
          </w:p>
        </w:tc>
        <w:tc>
          <w:tcPr>
            <w:tcW w:w="3140" w:type="dxa"/>
            <w:vAlign w:val="center"/>
          </w:tcPr>
          <w:p>
            <w:pPr>
              <w:spacing w:line="360" w:lineRule="exact"/>
              <w:rPr>
                <w:rFonts w:ascii="仿宋_GB2312"/>
                <w:color w:val="auto"/>
                <w:sz w:val="24"/>
              </w:rPr>
            </w:pPr>
            <w:r>
              <w:rPr>
                <w:rFonts w:hint="eastAsia" w:ascii="仿宋_GB2312"/>
                <w:color w:val="auto"/>
                <w:sz w:val="24"/>
              </w:rPr>
              <w:t>货值金额15倍罚款</w:t>
            </w:r>
          </w:p>
          <w:p>
            <w:pPr>
              <w:spacing w:line="360" w:lineRule="exact"/>
              <w:rPr>
                <w:rFonts w:ascii="仿宋_GB2312"/>
                <w:color w:val="auto"/>
                <w:sz w:val="24"/>
              </w:rPr>
            </w:pPr>
            <w:r>
              <w:rPr>
                <w:rFonts w:hint="eastAsia" w:ascii="仿宋_GB2312"/>
                <w:color w:val="auto"/>
                <w:sz w:val="24"/>
              </w:rPr>
              <w:t>个人：所获收入1.5倍罚款</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294"/>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货值金额1倍以上10倍以下罚款</w:t>
            </w:r>
          </w:p>
          <w:p>
            <w:pPr>
              <w:spacing w:line="360" w:lineRule="exact"/>
              <w:rPr>
                <w:rFonts w:ascii="仿宋_GB2312"/>
                <w:color w:val="auto"/>
                <w:sz w:val="24"/>
              </w:rPr>
            </w:pPr>
            <w:r>
              <w:rPr>
                <w:rFonts w:hint="eastAsia" w:ascii="仿宋_GB2312"/>
                <w:color w:val="auto"/>
                <w:sz w:val="24"/>
              </w:rPr>
              <w:t>个人：所获收入3%以上30%以下罚款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货值金额10倍以上15倍以下罚款</w:t>
            </w:r>
          </w:p>
          <w:p>
            <w:pPr>
              <w:spacing w:line="360" w:lineRule="exact"/>
              <w:rPr>
                <w:rFonts w:ascii="仿宋_GB2312"/>
                <w:color w:val="auto"/>
                <w:sz w:val="24"/>
              </w:rPr>
            </w:pPr>
            <w:r>
              <w:rPr>
                <w:rFonts w:hint="eastAsia" w:ascii="仿宋_GB2312"/>
                <w:color w:val="auto"/>
                <w:sz w:val="24"/>
              </w:rPr>
              <w:t>个人：所获收入30%以上1.5倍以下罚款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货值金额10倍罚款</w:t>
            </w:r>
          </w:p>
          <w:p>
            <w:pPr>
              <w:spacing w:line="360" w:lineRule="exact"/>
              <w:rPr>
                <w:rFonts w:ascii="仿宋_GB2312"/>
                <w:color w:val="auto"/>
                <w:sz w:val="24"/>
              </w:rPr>
            </w:pPr>
            <w:r>
              <w:rPr>
                <w:rFonts w:hint="eastAsia" w:ascii="仿宋_GB2312"/>
                <w:color w:val="auto"/>
                <w:sz w:val="24"/>
              </w:rPr>
              <w:t>个人：所获收入30%罚款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60" w:lineRule="exact"/>
              <w:rPr>
                <w:rFonts w:ascii="仿宋_GB2312"/>
                <w:color w:val="auto"/>
                <w:sz w:val="24"/>
              </w:rPr>
            </w:pPr>
          </w:p>
        </w:tc>
        <w:tc>
          <w:tcPr>
            <w:tcW w:w="3140" w:type="dxa"/>
            <w:vAlign w:val="center"/>
          </w:tcPr>
          <w:p>
            <w:pPr>
              <w:spacing w:line="360" w:lineRule="exact"/>
              <w:rPr>
                <w:rFonts w:ascii="仿宋_GB2312"/>
                <w:color w:val="auto"/>
                <w:sz w:val="24"/>
              </w:rPr>
            </w:pPr>
            <w:r>
              <w:rPr>
                <w:rFonts w:hint="eastAsia" w:ascii="仿宋_GB2312"/>
                <w:color w:val="auto"/>
                <w:sz w:val="24"/>
              </w:rPr>
              <w:t>货值金额15倍以上20倍以下罚款</w:t>
            </w:r>
          </w:p>
          <w:p>
            <w:pPr>
              <w:spacing w:line="360" w:lineRule="exact"/>
              <w:rPr>
                <w:rFonts w:ascii="仿宋_GB2312"/>
                <w:color w:val="auto"/>
                <w:sz w:val="24"/>
              </w:rPr>
            </w:pPr>
            <w:r>
              <w:rPr>
                <w:rFonts w:hint="eastAsia" w:ascii="仿宋_GB2312"/>
                <w:color w:val="auto"/>
                <w:sz w:val="24"/>
              </w:rPr>
              <w:t>个人：所获收入1.5倍以上3倍以下罚款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tcPr>
          <w:p>
            <w:pPr>
              <w:spacing w:line="360" w:lineRule="exact"/>
              <w:rPr>
                <w:rFonts w:ascii="仿宋_GB2312"/>
                <w:color w:val="auto"/>
                <w:sz w:val="24"/>
              </w:rPr>
            </w:pP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40" w:type="dxa"/>
            <w:vAlign w:val="center"/>
          </w:tcPr>
          <w:p>
            <w:pPr>
              <w:spacing w:line="360" w:lineRule="exact"/>
              <w:rPr>
                <w:rFonts w:ascii="仿宋_GB2312"/>
                <w:color w:val="auto"/>
                <w:sz w:val="24"/>
              </w:rPr>
            </w:pPr>
            <w:r>
              <w:rPr>
                <w:rFonts w:hint="eastAsia" w:ascii="仿宋_GB2312"/>
                <w:color w:val="auto"/>
                <w:sz w:val="24"/>
              </w:rPr>
              <w:t>货值金额20倍罚款</w:t>
            </w:r>
          </w:p>
          <w:p>
            <w:pPr>
              <w:spacing w:line="360" w:lineRule="exact"/>
              <w:rPr>
                <w:rFonts w:ascii="仿宋_GB2312"/>
                <w:color w:val="auto"/>
                <w:sz w:val="24"/>
              </w:rPr>
            </w:pPr>
            <w:r>
              <w:rPr>
                <w:rFonts w:hint="eastAsia" w:ascii="仿宋_GB2312"/>
                <w:color w:val="auto"/>
                <w:sz w:val="24"/>
              </w:rPr>
              <w:t>个人：所获收入3倍罚款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294"/>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生产、销售的中药饮片不符合药品标准，尚不影响安全性、有效性。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第一百一十七条第二款：生产、销售的中药饮片不符合药品标准，尚不影响安全性、有效性的，责令限期改正，给予警告；可以处十万元以上五十万元以下的罚款。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警告；</w:t>
            </w:r>
          </w:p>
          <w:p>
            <w:pPr>
              <w:spacing w:line="360" w:lineRule="exact"/>
              <w:rPr>
                <w:rFonts w:ascii="仿宋_GB2312"/>
                <w:color w:val="auto"/>
                <w:sz w:val="24"/>
              </w:rPr>
            </w:pPr>
            <w:r>
              <w:rPr>
                <w:rFonts w:hint="eastAsia" w:ascii="仿宋_GB2312"/>
                <w:color w:val="auto"/>
                <w:sz w:val="24"/>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可以处十万元以上五十万元以下的罚款。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294"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40"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294" w:type="dxa"/>
          </w:tcPr>
          <w:p>
            <w:pPr>
              <w:spacing w:line="360" w:lineRule="exact"/>
              <w:rPr>
                <w:rFonts w:ascii="仿宋_GB2312"/>
                <w:color w:val="auto"/>
                <w:sz w:val="24"/>
              </w:rPr>
            </w:pPr>
            <w:r>
              <w:rPr>
                <w:rFonts w:hint="eastAsia" w:ascii="仿宋_GB2312"/>
                <w:color w:val="auto"/>
                <w:sz w:val="24"/>
              </w:rPr>
              <w:t>无本基准从重、从轻和减轻情节的</w:t>
            </w:r>
          </w:p>
        </w:tc>
        <w:tc>
          <w:tcPr>
            <w:tcW w:w="3140" w:type="dxa"/>
          </w:tcPr>
          <w:p>
            <w:pPr>
              <w:spacing w:line="360" w:lineRule="exact"/>
              <w:rPr>
                <w:rFonts w:ascii="仿宋_GB2312"/>
                <w:color w:val="auto"/>
                <w:sz w:val="24"/>
              </w:rPr>
            </w:pPr>
            <w:r>
              <w:rPr>
                <w:rFonts w:hint="eastAsia" w:ascii="仿宋_GB2312"/>
                <w:color w:val="auto"/>
                <w:sz w:val="24"/>
              </w:rPr>
              <w:t>30万元罚款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不予</w:t>
            </w:r>
          </w:p>
          <w:p>
            <w:pPr>
              <w:spacing w:line="360" w:lineRule="exact"/>
              <w:jc w:val="center"/>
              <w:rPr>
                <w:rFonts w:ascii="仿宋_GB2312"/>
                <w:color w:val="auto"/>
                <w:sz w:val="24"/>
              </w:rPr>
            </w:pPr>
            <w:r>
              <w:rPr>
                <w:rFonts w:hint="eastAsia" w:ascii="仿宋_GB2312"/>
                <w:color w:val="auto"/>
                <w:sz w:val="24"/>
              </w:rPr>
              <w:t>处罚</w:t>
            </w: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《山东省市场监督管理局行使行政处罚裁量权适用规则（试行）》第十条情形</w:t>
            </w:r>
          </w:p>
        </w:tc>
        <w:tc>
          <w:tcPr>
            <w:tcW w:w="3140" w:type="dxa"/>
            <w:vAlign w:val="center"/>
          </w:tcPr>
          <w:p>
            <w:pPr>
              <w:spacing w:line="360" w:lineRule="exact"/>
              <w:rPr>
                <w:rFonts w:ascii="仿宋_GB2312"/>
                <w:color w:val="auto"/>
                <w:sz w:val="24"/>
              </w:rPr>
            </w:pPr>
            <w:r>
              <w:rPr>
                <w:rFonts w:hint="eastAsia" w:ascii="仿宋_GB2312"/>
                <w:color w:val="auto"/>
                <w:sz w:val="24"/>
              </w:rPr>
              <w:t>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40" w:type="dxa"/>
            <w:vAlign w:val="center"/>
          </w:tcPr>
          <w:p>
            <w:pPr>
              <w:spacing w:line="360" w:lineRule="exact"/>
              <w:rPr>
                <w:rFonts w:ascii="仿宋_GB2312"/>
                <w:color w:val="auto"/>
                <w:sz w:val="24"/>
              </w:rPr>
            </w:pPr>
            <w:r>
              <w:rPr>
                <w:rFonts w:hint="eastAsia" w:ascii="仿宋_GB2312"/>
                <w:color w:val="auto"/>
                <w:sz w:val="24"/>
              </w:rPr>
              <w:t>1万元以上10万元以下罚款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p>
          <w:p>
            <w:pPr>
              <w:spacing w:line="360" w:lineRule="exact"/>
              <w:jc w:val="center"/>
              <w:rPr>
                <w:rFonts w:ascii="仿宋_GB2312"/>
                <w:color w:val="auto"/>
                <w:sz w:val="24"/>
              </w:rPr>
            </w:pPr>
            <w:r>
              <w:rPr>
                <w:rFonts w:hint="eastAsia" w:ascii="仿宋_GB2312"/>
                <w:color w:val="auto"/>
                <w:sz w:val="24"/>
              </w:rPr>
              <w:t>从轻</w:t>
            </w: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40" w:type="dxa"/>
            <w:vAlign w:val="center"/>
          </w:tcPr>
          <w:p>
            <w:pPr>
              <w:spacing w:line="360" w:lineRule="exact"/>
              <w:rPr>
                <w:rFonts w:ascii="仿宋_GB2312"/>
                <w:color w:val="auto"/>
                <w:sz w:val="24"/>
              </w:rPr>
            </w:pPr>
            <w:r>
              <w:rPr>
                <w:rFonts w:hint="eastAsia" w:ascii="仿宋_GB2312"/>
                <w:color w:val="auto"/>
                <w:sz w:val="24"/>
              </w:rPr>
              <w:t>10万元以上30万元以下罚款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tcBorders>
              <w:bottom w:val="single" w:color="auto" w:sz="4" w:space="0"/>
            </w:tcBorders>
            <w:vAlign w:val="center"/>
          </w:tcPr>
          <w:p>
            <w:pPr>
              <w:spacing w:line="360" w:lineRule="exact"/>
              <w:jc w:val="center"/>
              <w:rPr>
                <w:rFonts w:ascii="仿宋_GB2312"/>
                <w:color w:val="auto"/>
                <w:sz w:val="24"/>
              </w:rPr>
            </w:pP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40" w:type="dxa"/>
            <w:vAlign w:val="center"/>
          </w:tcPr>
          <w:p>
            <w:pPr>
              <w:spacing w:line="360" w:lineRule="exact"/>
              <w:rPr>
                <w:rFonts w:ascii="仿宋_GB2312"/>
                <w:color w:val="auto"/>
                <w:sz w:val="24"/>
              </w:rPr>
            </w:pPr>
            <w:r>
              <w:rPr>
                <w:rFonts w:hint="eastAsia" w:ascii="仿宋_GB2312"/>
                <w:color w:val="auto"/>
                <w:sz w:val="24"/>
              </w:rPr>
              <w:t>10万元罚款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tcBorders>
              <w:top w:val="single" w:color="auto" w:sz="4" w:space="0"/>
              <w:bottom w:val="nil"/>
            </w:tcBorders>
            <w:vAlign w:val="center"/>
          </w:tcPr>
          <w:p>
            <w:pPr>
              <w:spacing w:line="360" w:lineRule="exact"/>
              <w:jc w:val="center"/>
              <w:rPr>
                <w:rFonts w:ascii="仿宋_GB2312"/>
                <w:color w:val="auto"/>
                <w:sz w:val="24"/>
              </w:rPr>
            </w:pPr>
            <w:r>
              <w:rPr>
                <w:rFonts w:hint="eastAsia" w:ascii="仿宋_GB2312"/>
                <w:color w:val="auto"/>
                <w:sz w:val="24"/>
              </w:rPr>
              <w:t>从重</w:t>
            </w:r>
          </w:p>
          <w:p>
            <w:pPr>
              <w:spacing w:line="360" w:lineRule="exact"/>
              <w:jc w:val="center"/>
              <w:rPr>
                <w:rFonts w:ascii="仿宋_GB2312"/>
                <w:color w:val="auto"/>
                <w:sz w:val="24"/>
              </w:rPr>
            </w:pPr>
          </w:p>
          <w:p>
            <w:pPr>
              <w:spacing w:line="360" w:lineRule="exact"/>
              <w:jc w:val="center"/>
              <w:rPr>
                <w:rFonts w:ascii="仿宋_GB2312"/>
                <w:color w:val="auto"/>
                <w:sz w:val="24"/>
              </w:rPr>
            </w:pP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40" w:type="dxa"/>
            <w:vAlign w:val="center"/>
          </w:tcPr>
          <w:p>
            <w:pPr>
              <w:spacing w:line="360" w:lineRule="exact"/>
              <w:rPr>
                <w:rFonts w:ascii="仿宋_GB2312"/>
                <w:color w:val="auto"/>
                <w:sz w:val="24"/>
              </w:rPr>
            </w:pPr>
            <w:r>
              <w:rPr>
                <w:rFonts w:hint="eastAsia" w:ascii="仿宋_GB2312"/>
                <w:color w:val="auto"/>
                <w:sz w:val="24"/>
              </w:rPr>
              <w:t>30万元以上50万元以下罚款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tcBorders>
              <w:bottom w:val="nil"/>
            </w:tcBorders>
          </w:tcPr>
          <w:p>
            <w:pPr>
              <w:spacing w:line="360" w:lineRule="exact"/>
              <w:rPr>
                <w:rFonts w:ascii="仿宋_GB2312"/>
                <w:color w:val="auto"/>
                <w:sz w:val="24"/>
              </w:rPr>
            </w:pP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40" w:type="dxa"/>
            <w:vAlign w:val="center"/>
          </w:tcPr>
          <w:p>
            <w:pPr>
              <w:spacing w:line="360" w:lineRule="exact"/>
              <w:rPr>
                <w:rFonts w:ascii="仿宋_GB2312"/>
                <w:color w:val="auto"/>
                <w:sz w:val="24"/>
              </w:rPr>
            </w:pPr>
            <w:r>
              <w:rPr>
                <w:rFonts w:hint="eastAsia" w:ascii="仿宋_GB2312"/>
                <w:color w:val="auto"/>
                <w:sz w:val="24"/>
              </w:rPr>
              <w:t>50万元罚款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r>
              <w:rPr>
                <w:rFonts w:hint="eastAsia" w:ascii="仿宋_GB2312"/>
                <w:color w:val="auto"/>
                <w:sz w:val="24"/>
              </w:rPr>
              <w:t>本条中规定的裁量因素和裁量基准，是在结合具体案情应当给予罚款处罚的情况下进行的阶次划分。</w:t>
            </w: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03"/>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为假药、劣药等药品提供储存、运输等便利条件。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4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二十条：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40" w:lineRule="exact"/>
              <w:rPr>
                <w:rFonts w:ascii="仿宋_GB2312"/>
                <w:color w:val="auto"/>
                <w:sz w:val="24"/>
              </w:rPr>
            </w:pPr>
            <w:r>
              <w:rPr>
                <w:rFonts w:hint="eastAsia" w:ascii="仿宋_GB2312"/>
                <w:color w:val="auto"/>
                <w:sz w:val="24"/>
              </w:rPr>
              <w:t>没收违法所得；</w:t>
            </w:r>
          </w:p>
          <w:p>
            <w:pPr>
              <w:spacing w:line="340" w:lineRule="exact"/>
              <w:rPr>
                <w:rFonts w:ascii="仿宋_GB2312"/>
                <w:color w:val="auto"/>
                <w:sz w:val="24"/>
              </w:rPr>
            </w:pPr>
            <w:r>
              <w:rPr>
                <w:rFonts w:hint="eastAsia" w:ascii="仿宋_GB2312"/>
                <w:color w:val="auto"/>
                <w:sz w:val="24"/>
              </w:rPr>
              <w:t>并处罚款。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4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40" w:lineRule="exact"/>
              <w:rPr>
                <w:rFonts w:ascii="仿宋_GB2312"/>
                <w:color w:val="auto"/>
                <w:sz w:val="24"/>
              </w:rPr>
            </w:pPr>
            <w:r>
              <w:rPr>
                <w:rFonts w:hint="eastAsia" w:ascii="仿宋_GB2312"/>
                <w:color w:val="auto"/>
                <w:sz w:val="24"/>
              </w:rPr>
              <w:t>处违法收入一倍以上五倍以下的罚款；</w:t>
            </w:r>
          </w:p>
          <w:p>
            <w:pPr>
              <w:spacing w:line="340" w:lineRule="exact"/>
              <w:rPr>
                <w:rFonts w:ascii="仿宋_GB2312"/>
                <w:color w:val="auto"/>
                <w:sz w:val="24"/>
              </w:rPr>
            </w:pPr>
            <w:r>
              <w:rPr>
                <w:rFonts w:hint="eastAsia" w:ascii="仿宋_GB2312"/>
                <w:color w:val="auto"/>
                <w:sz w:val="24"/>
              </w:rPr>
              <w:t>情节严重的，处违法收入五倍以上十五倍以下的罚款；</w:t>
            </w:r>
          </w:p>
          <w:p>
            <w:pPr>
              <w:spacing w:line="340" w:lineRule="exact"/>
              <w:rPr>
                <w:rFonts w:ascii="仿宋_GB2312"/>
                <w:color w:val="auto"/>
                <w:sz w:val="24"/>
              </w:rPr>
            </w:pPr>
            <w:r>
              <w:rPr>
                <w:rFonts w:hint="eastAsia" w:ascii="仿宋_GB2312"/>
                <w:color w:val="auto"/>
                <w:sz w:val="24"/>
              </w:rPr>
              <w:t>违法收入不足五万元的，按五万元计算。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03" w:type="dxa"/>
            <w:vAlign w:val="center"/>
          </w:tcPr>
          <w:p>
            <w:pPr>
              <w:spacing w:line="340" w:lineRule="exact"/>
              <w:jc w:val="center"/>
              <w:rPr>
                <w:rFonts w:ascii="仿宋_GB2312"/>
                <w:color w:val="auto"/>
                <w:sz w:val="24"/>
              </w:rPr>
            </w:pPr>
            <w:r>
              <w:rPr>
                <w:rFonts w:hint="eastAsia" w:ascii="仿宋_GB2312"/>
                <w:color w:val="auto"/>
                <w:sz w:val="24"/>
              </w:rPr>
              <w:t>裁量因素</w:t>
            </w:r>
          </w:p>
        </w:tc>
        <w:tc>
          <w:tcPr>
            <w:tcW w:w="3131" w:type="dxa"/>
            <w:vAlign w:val="center"/>
          </w:tcPr>
          <w:p>
            <w:pPr>
              <w:spacing w:line="34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03" w:type="dxa"/>
            <w:vAlign w:val="center"/>
          </w:tcPr>
          <w:p>
            <w:pPr>
              <w:spacing w:line="340" w:lineRule="exact"/>
              <w:rPr>
                <w:rFonts w:ascii="仿宋_GB2312"/>
                <w:color w:val="auto"/>
                <w:sz w:val="24"/>
              </w:rPr>
            </w:pPr>
            <w:r>
              <w:rPr>
                <w:rFonts w:hint="eastAsia" w:ascii="仿宋_GB2312"/>
                <w:color w:val="auto"/>
                <w:sz w:val="24"/>
              </w:rPr>
              <w:t>无本基准从重、从轻和减轻情节的</w:t>
            </w:r>
          </w:p>
        </w:tc>
        <w:tc>
          <w:tcPr>
            <w:tcW w:w="3131" w:type="dxa"/>
            <w:vAlign w:val="center"/>
          </w:tcPr>
          <w:p>
            <w:pPr>
              <w:spacing w:line="340" w:lineRule="exact"/>
              <w:rPr>
                <w:rFonts w:ascii="仿宋_GB2312"/>
                <w:color w:val="auto"/>
                <w:sz w:val="24"/>
              </w:rPr>
            </w:pPr>
            <w:r>
              <w:rPr>
                <w:rFonts w:hint="eastAsia" w:ascii="仿宋_GB2312"/>
                <w:color w:val="auto"/>
                <w:sz w:val="24"/>
              </w:rPr>
              <w:t>违法收入的3倍罚款</w:t>
            </w:r>
          </w:p>
          <w:p>
            <w:pPr>
              <w:spacing w:line="340" w:lineRule="exact"/>
              <w:rPr>
                <w:rFonts w:ascii="仿宋_GB2312"/>
                <w:color w:val="auto"/>
                <w:sz w:val="24"/>
              </w:rPr>
            </w:pPr>
            <w:r>
              <w:rPr>
                <w:rFonts w:hint="eastAsia" w:ascii="仿宋_GB2312"/>
                <w:color w:val="auto"/>
                <w:sz w:val="24"/>
              </w:rPr>
              <w:t>情节严重的：违法收入的10倍罚款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40" w:lineRule="exact"/>
              <w:rPr>
                <w:rFonts w:ascii="仿宋_GB2312"/>
                <w:color w:val="auto"/>
                <w:sz w:val="24"/>
              </w:rPr>
            </w:pPr>
            <w:r>
              <w:rPr>
                <w:rFonts w:hint="eastAsia" w:ascii="仿宋_GB2312"/>
                <w:color w:val="auto"/>
                <w:sz w:val="24"/>
              </w:rPr>
              <w:t>5000元以上违法收入的1倍以下罚款</w:t>
            </w:r>
          </w:p>
          <w:p>
            <w:pPr>
              <w:spacing w:line="340" w:lineRule="exact"/>
              <w:rPr>
                <w:rFonts w:ascii="仿宋_GB2312"/>
                <w:color w:val="auto"/>
                <w:sz w:val="24"/>
              </w:rPr>
            </w:pPr>
            <w:r>
              <w:rPr>
                <w:rFonts w:hint="eastAsia" w:ascii="仿宋_GB2312"/>
                <w:color w:val="auto"/>
                <w:sz w:val="24"/>
              </w:rPr>
              <w:t>情节严重的：2.5万元以上违法收入的5倍以下罚款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p>
            <w:pPr>
              <w:spacing w:line="340" w:lineRule="exact"/>
              <w:rPr>
                <w:rFonts w:ascii="仿宋_GB2312"/>
                <w:color w:val="auto"/>
                <w:sz w:val="24"/>
              </w:rPr>
            </w:pPr>
          </w:p>
        </w:tc>
        <w:tc>
          <w:tcPr>
            <w:tcW w:w="3131" w:type="dxa"/>
            <w:vAlign w:val="center"/>
          </w:tcPr>
          <w:p>
            <w:pPr>
              <w:spacing w:line="340" w:lineRule="exact"/>
              <w:rPr>
                <w:rFonts w:ascii="仿宋_GB2312"/>
                <w:color w:val="auto"/>
                <w:sz w:val="24"/>
              </w:rPr>
            </w:pPr>
            <w:r>
              <w:rPr>
                <w:rFonts w:hint="eastAsia" w:ascii="仿宋_GB2312"/>
                <w:color w:val="auto"/>
                <w:sz w:val="24"/>
              </w:rPr>
              <w:t>违法收入的1倍以上3倍以下罚款</w:t>
            </w:r>
          </w:p>
          <w:p>
            <w:pPr>
              <w:spacing w:line="340" w:lineRule="exact"/>
              <w:rPr>
                <w:rFonts w:ascii="仿宋_GB2312"/>
                <w:color w:val="auto"/>
                <w:sz w:val="24"/>
              </w:rPr>
            </w:pPr>
            <w:r>
              <w:rPr>
                <w:rFonts w:hint="eastAsia" w:ascii="仿宋_GB2312"/>
                <w:color w:val="auto"/>
                <w:sz w:val="24"/>
              </w:rPr>
              <w:t>情节严重的：违法收入的5倍以上10倍以下罚款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40" w:lineRule="exact"/>
              <w:rPr>
                <w:rFonts w:ascii="仿宋_GB2312"/>
                <w:color w:val="auto"/>
                <w:sz w:val="24"/>
              </w:rPr>
            </w:pPr>
            <w:r>
              <w:rPr>
                <w:rFonts w:hint="eastAsia" w:ascii="仿宋_GB2312"/>
                <w:color w:val="auto"/>
                <w:sz w:val="24"/>
              </w:rPr>
              <w:t>违法收入的1倍罚款</w:t>
            </w:r>
          </w:p>
          <w:p>
            <w:pPr>
              <w:spacing w:line="340" w:lineRule="exact"/>
              <w:rPr>
                <w:rFonts w:ascii="仿宋_GB2312"/>
                <w:color w:val="auto"/>
                <w:sz w:val="24"/>
              </w:rPr>
            </w:pPr>
            <w:r>
              <w:rPr>
                <w:rFonts w:hint="eastAsia" w:ascii="仿宋_GB2312"/>
                <w:color w:val="auto"/>
                <w:sz w:val="24"/>
              </w:rPr>
              <w:t>情节严重的：违法收入的5倍罚款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40" w:lineRule="exact"/>
              <w:rPr>
                <w:rFonts w:ascii="仿宋_GB2312"/>
                <w:color w:val="auto"/>
                <w:sz w:val="24"/>
              </w:rPr>
            </w:pPr>
          </w:p>
        </w:tc>
        <w:tc>
          <w:tcPr>
            <w:tcW w:w="3131" w:type="dxa"/>
            <w:vAlign w:val="center"/>
          </w:tcPr>
          <w:p>
            <w:pPr>
              <w:spacing w:line="340" w:lineRule="exact"/>
              <w:rPr>
                <w:rFonts w:ascii="仿宋_GB2312"/>
                <w:color w:val="auto"/>
                <w:sz w:val="24"/>
              </w:rPr>
            </w:pPr>
            <w:r>
              <w:rPr>
                <w:rFonts w:hint="eastAsia" w:ascii="仿宋_GB2312"/>
                <w:color w:val="auto"/>
                <w:sz w:val="24"/>
              </w:rPr>
              <w:t>违法收入的3倍以上5倍以下罚款</w:t>
            </w:r>
          </w:p>
          <w:p>
            <w:pPr>
              <w:spacing w:line="340" w:lineRule="exact"/>
              <w:rPr>
                <w:rFonts w:ascii="仿宋_GB2312"/>
                <w:color w:val="auto"/>
                <w:sz w:val="24"/>
              </w:rPr>
            </w:pPr>
            <w:r>
              <w:rPr>
                <w:rFonts w:hint="eastAsia" w:ascii="仿宋_GB2312"/>
                <w:color w:val="auto"/>
                <w:sz w:val="24"/>
              </w:rPr>
              <w:t>情节严重的：违法收入的10倍以上15倍以下罚款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tcPr>
          <w:p>
            <w:pPr>
              <w:spacing w:line="360" w:lineRule="exact"/>
              <w:rPr>
                <w:rFonts w:ascii="仿宋_GB2312"/>
                <w:color w:val="auto"/>
                <w:sz w:val="24"/>
              </w:rPr>
            </w:pP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40" w:lineRule="exact"/>
              <w:rPr>
                <w:rFonts w:ascii="仿宋_GB2312"/>
                <w:color w:val="auto"/>
                <w:sz w:val="24"/>
              </w:rPr>
            </w:pPr>
            <w:r>
              <w:rPr>
                <w:rFonts w:hint="eastAsia" w:ascii="仿宋_GB2312"/>
                <w:color w:val="auto"/>
                <w:sz w:val="24"/>
              </w:rPr>
              <w:t>违法收入的5倍罚款</w:t>
            </w:r>
          </w:p>
          <w:p>
            <w:pPr>
              <w:spacing w:line="340" w:lineRule="exact"/>
              <w:rPr>
                <w:rFonts w:ascii="仿宋_GB2312"/>
                <w:color w:val="auto"/>
                <w:sz w:val="24"/>
              </w:rPr>
            </w:pPr>
            <w:r>
              <w:rPr>
                <w:rFonts w:hint="eastAsia" w:ascii="仿宋_GB2312"/>
                <w:color w:val="auto"/>
                <w:sz w:val="24"/>
              </w:rPr>
              <w:t>情节严重的：违法收入的15倍罚款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40" w:lineRule="exact"/>
              <w:rPr>
                <w:rFonts w:ascii="仿宋_GB2312"/>
                <w:color w:val="auto"/>
                <w:sz w:val="24"/>
              </w:rPr>
            </w:pPr>
          </w:p>
        </w:tc>
      </w:tr>
    </w:tbl>
    <w:p>
      <w:pPr>
        <w:spacing w:line="360" w:lineRule="exact"/>
        <w:rPr>
          <w:rFonts w:ascii="仿宋_GB2312"/>
          <w:color w:val="auto"/>
          <w:sz w:val="24"/>
        </w:rPr>
      </w:pPr>
      <w:r>
        <w:rPr>
          <w:rFonts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03"/>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伪造、变造、出租、出借、非法买卖许可证或者药品批准证明文件。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00" w:lineRule="exact"/>
              <w:rPr>
                <w:rFonts w:ascii="仿宋_GB2312"/>
                <w:color w:val="auto"/>
                <w:sz w:val="24"/>
              </w:rPr>
            </w:pPr>
            <w:r>
              <w:rPr>
                <w:rFonts w:hint="eastAsia" w:ascii="仿宋_GB2312"/>
                <w:color w:val="auto"/>
                <w:sz w:val="24"/>
              </w:rPr>
              <w:t>《中华人民共和国药品管理法》第一百二十二条：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00" w:lineRule="exact"/>
              <w:rPr>
                <w:rFonts w:ascii="仿宋_GB2312"/>
                <w:color w:val="auto"/>
                <w:sz w:val="24"/>
              </w:rPr>
            </w:pPr>
            <w:r>
              <w:rPr>
                <w:rFonts w:hint="eastAsia" w:ascii="仿宋_GB2312"/>
                <w:color w:val="auto"/>
                <w:sz w:val="24"/>
              </w:rPr>
              <w:t>没收违法所得；</w:t>
            </w:r>
          </w:p>
          <w:p>
            <w:pPr>
              <w:spacing w:line="300" w:lineRule="exact"/>
              <w:rPr>
                <w:rFonts w:ascii="仿宋_GB2312"/>
                <w:color w:val="auto"/>
                <w:sz w:val="24"/>
              </w:rPr>
            </w:pPr>
            <w:r>
              <w:rPr>
                <w:rFonts w:hint="eastAsia" w:ascii="仿宋_GB2312"/>
                <w:color w:val="auto"/>
                <w:sz w:val="24"/>
              </w:rPr>
              <w:t>并处罚款；</w:t>
            </w:r>
          </w:p>
          <w:p>
            <w:pPr>
              <w:spacing w:line="300" w:lineRule="exact"/>
              <w:rPr>
                <w:rFonts w:ascii="仿宋_GB2312"/>
                <w:color w:val="auto"/>
                <w:sz w:val="24"/>
              </w:rPr>
            </w:pPr>
            <w:r>
              <w:rPr>
                <w:rFonts w:hint="eastAsia" w:ascii="仿宋_GB2312"/>
                <w:color w:val="auto"/>
                <w:sz w:val="24"/>
              </w:rPr>
              <w:t>吊销药品批准证明文件、许可证；</w:t>
            </w:r>
          </w:p>
          <w:p>
            <w:pPr>
              <w:spacing w:line="300" w:lineRule="exact"/>
              <w:rPr>
                <w:rFonts w:ascii="仿宋_GB2312"/>
                <w:color w:val="auto"/>
                <w:sz w:val="24"/>
              </w:rPr>
            </w:pPr>
            <w:r>
              <w:rPr>
                <w:rFonts w:hint="eastAsia" w:ascii="仿宋_GB2312"/>
                <w:color w:val="auto"/>
                <w:sz w:val="24"/>
              </w:rPr>
              <w:t>十年内禁止从业。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00" w:lineRule="exact"/>
              <w:rPr>
                <w:rFonts w:ascii="仿宋_GB2312"/>
                <w:color w:val="auto"/>
                <w:sz w:val="24"/>
              </w:rPr>
            </w:pPr>
            <w:r>
              <w:rPr>
                <w:rFonts w:hint="eastAsia" w:ascii="仿宋_GB2312"/>
                <w:color w:val="auto"/>
                <w:sz w:val="24"/>
              </w:rPr>
              <w:t>1.县级以上人民政府药品监督管理部门；</w:t>
            </w:r>
          </w:p>
          <w:p>
            <w:pPr>
              <w:spacing w:line="300" w:lineRule="exact"/>
              <w:rPr>
                <w:rFonts w:ascii="仿宋_GB2312"/>
                <w:color w:val="auto"/>
                <w:sz w:val="24"/>
              </w:rPr>
            </w:pPr>
            <w:r>
              <w:rPr>
                <w:rFonts w:hint="eastAsia" w:ascii="仿宋_GB2312"/>
                <w:color w:val="auto"/>
                <w:sz w:val="24"/>
              </w:rPr>
              <w:t>2.吊销批准证明文件、许可证件的，原批准、发证的部门。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00" w:lineRule="exact"/>
              <w:rPr>
                <w:rFonts w:ascii="仿宋_GB2312"/>
                <w:color w:val="auto"/>
                <w:sz w:val="24"/>
              </w:rPr>
            </w:pPr>
            <w:r>
              <w:rPr>
                <w:rFonts w:hint="eastAsia" w:ascii="仿宋_GB2312"/>
                <w:color w:val="auto"/>
                <w:sz w:val="24"/>
              </w:rPr>
              <w:t>处违法所得一倍以上五倍以下的罚款；情节严重的，处违法所得五倍以上十五倍以下的罚款;违法所得不足十万元的，按十万元计算。</w:t>
            </w:r>
          </w:p>
          <w:p>
            <w:pPr>
              <w:spacing w:line="300" w:lineRule="exact"/>
              <w:rPr>
                <w:rFonts w:ascii="仿宋_GB2312"/>
                <w:color w:val="auto"/>
                <w:sz w:val="24"/>
              </w:rPr>
            </w:pPr>
            <w:r>
              <w:rPr>
                <w:rFonts w:hint="eastAsia" w:ascii="仿宋_GB2312"/>
                <w:color w:val="auto"/>
                <w:sz w:val="24"/>
              </w:rPr>
              <w:t>个人：处二万元以上二十万元以下的罚款。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03"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31" w:type="dxa"/>
            <w:vAlign w:val="center"/>
          </w:tcPr>
          <w:p>
            <w:pPr>
              <w:spacing w:line="30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03"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31" w:type="dxa"/>
            <w:vAlign w:val="center"/>
          </w:tcPr>
          <w:p>
            <w:pPr>
              <w:spacing w:line="300" w:lineRule="exact"/>
              <w:rPr>
                <w:rFonts w:ascii="仿宋_GB2312"/>
                <w:color w:val="auto"/>
                <w:sz w:val="24"/>
              </w:rPr>
            </w:pPr>
            <w:r>
              <w:rPr>
                <w:rFonts w:hint="eastAsia" w:ascii="仿宋_GB2312"/>
                <w:color w:val="auto"/>
                <w:sz w:val="24"/>
              </w:rPr>
              <w:t>违法所得的3倍罚款</w:t>
            </w:r>
          </w:p>
          <w:p>
            <w:pPr>
              <w:spacing w:line="300" w:lineRule="exact"/>
              <w:rPr>
                <w:rFonts w:ascii="仿宋_GB2312"/>
                <w:color w:val="auto"/>
                <w:sz w:val="24"/>
              </w:rPr>
            </w:pPr>
            <w:r>
              <w:rPr>
                <w:rFonts w:hint="eastAsia" w:ascii="仿宋_GB2312"/>
                <w:color w:val="auto"/>
                <w:sz w:val="24"/>
              </w:rPr>
              <w:t>情节严重的：违法所得的10倍罚款</w:t>
            </w:r>
          </w:p>
          <w:p>
            <w:pPr>
              <w:spacing w:line="300" w:lineRule="exact"/>
              <w:rPr>
                <w:rFonts w:ascii="仿宋_GB2312"/>
                <w:color w:val="auto"/>
                <w:sz w:val="24"/>
              </w:rPr>
            </w:pPr>
            <w:r>
              <w:rPr>
                <w:rFonts w:hint="eastAsia" w:ascii="仿宋_GB2312"/>
                <w:color w:val="auto"/>
                <w:sz w:val="24"/>
              </w:rPr>
              <w:t>个人：11万元罚款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00" w:lineRule="exact"/>
              <w:rPr>
                <w:rFonts w:ascii="仿宋_GB2312"/>
                <w:color w:val="auto"/>
                <w:sz w:val="24"/>
              </w:rPr>
            </w:pPr>
            <w:r>
              <w:rPr>
                <w:rFonts w:hint="eastAsia" w:ascii="仿宋_GB2312"/>
                <w:color w:val="auto"/>
                <w:sz w:val="24"/>
              </w:rPr>
              <w:t>1万元以上违法收入的1倍以下罚款</w:t>
            </w:r>
          </w:p>
          <w:p>
            <w:pPr>
              <w:spacing w:line="300" w:lineRule="exact"/>
              <w:rPr>
                <w:rFonts w:ascii="仿宋_GB2312"/>
                <w:color w:val="auto"/>
                <w:sz w:val="24"/>
              </w:rPr>
            </w:pPr>
            <w:r>
              <w:rPr>
                <w:rFonts w:hint="eastAsia" w:ascii="仿宋_GB2312"/>
                <w:color w:val="auto"/>
                <w:sz w:val="24"/>
              </w:rPr>
              <w:t>情节严重的：5万元以上违法收入的5倍以下罚款</w:t>
            </w:r>
          </w:p>
          <w:p>
            <w:pPr>
              <w:spacing w:line="300" w:lineRule="exact"/>
              <w:rPr>
                <w:rFonts w:ascii="仿宋_GB2312"/>
                <w:color w:val="auto"/>
                <w:sz w:val="24"/>
              </w:rPr>
            </w:pPr>
            <w:r>
              <w:rPr>
                <w:rFonts w:hint="eastAsia" w:ascii="仿宋_GB2312"/>
                <w:color w:val="auto"/>
                <w:sz w:val="24"/>
              </w:rPr>
              <w:t>个人：2000元以上2万元以下罚款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p>
            <w:pPr>
              <w:spacing w:line="360" w:lineRule="exact"/>
              <w:rPr>
                <w:rFonts w:ascii="仿宋_GB2312"/>
                <w:color w:val="auto"/>
                <w:sz w:val="24"/>
              </w:rPr>
            </w:pPr>
          </w:p>
        </w:tc>
        <w:tc>
          <w:tcPr>
            <w:tcW w:w="3131" w:type="dxa"/>
            <w:vAlign w:val="center"/>
          </w:tcPr>
          <w:p>
            <w:pPr>
              <w:spacing w:line="300" w:lineRule="exact"/>
              <w:rPr>
                <w:rFonts w:ascii="仿宋_GB2312"/>
                <w:color w:val="auto"/>
                <w:sz w:val="24"/>
              </w:rPr>
            </w:pPr>
            <w:r>
              <w:rPr>
                <w:rFonts w:hint="eastAsia" w:ascii="仿宋_GB2312"/>
                <w:color w:val="auto"/>
                <w:sz w:val="24"/>
              </w:rPr>
              <w:t>违法收入的1倍以上3倍以下罚款</w:t>
            </w:r>
          </w:p>
          <w:p>
            <w:pPr>
              <w:spacing w:line="300" w:lineRule="exact"/>
              <w:rPr>
                <w:rFonts w:ascii="仿宋_GB2312"/>
                <w:color w:val="auto"/>
                <w:sz w:val="24"/>
              </w:rPr>
            </w:pPr>
            <w:r>
              <w:rPr>
                <w:rFonts w:hint="eastAsia" w:ascii="仿宋_GB2312"/>
                <w:color w:val="auto"/>
                <w:sz w:val="24"/>
              </w:rPr>
              <w:t>情节严重的：违法收入的5倍以上10倍以下罚款</w:t>
            </w:r>
          </w:p>
          <w:p>
            <w:pPr>
              <w:spacing w:line="300" w:lineRule="exact"/>
              <w:rPr>
                <w:rFonts w:ascii="仿宋_GB2312"/>
                <w:color w:val="auto"/>
                <w:sz w:val="24"/>
              </w:rPr>
            </w:pPr>
            <w:r>
              <w:rPr>
                <w:rFonts w:hint="eastAsia" w:ascii="仿宋_GB2312"/>
                <w:color w:val="auto"/>
                <w:sz w:val="24"/>
              </w:rPr>
              <w:t>个人：2万元以上11万元以下罚款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00" w:lineRule="exact"/>
              <w:rPr>
                <w:rFonts w:ascii="仿宋_GB2312"/>
                <w:color w:val="auto"/>
                <w:sz w:val="24"/>
              </w:rPr>
            </w:pPr>
            <w:r>
              <w:rPr>
                <w:rFonts w:hint="eastAsia" w:ascii="仿宋_GB2312"/>
                <w:color w:val="auto"/>
                <w:sz w:val="24"/>
              </w:rPr>
              <w:t>违法收入的1倍罚款</w:t>
            </w:r>
          </w:p>
          <w:p>
            <w:pPr>
              <w:spacing w:line="300" w:lineRule="exact"/>
              <w:rPr>
                <w:rFonts w:ascii="仿宋_GB2312"/>
                <w:color w:val="auto"/>
                <w:sz w:val="24"/>
              </w:rPr>
            </w:pPr>
            <w:r>
              <w:rPr>
                <w:rFonts w:hint="eastAsia" w:ascii="仿宋_GB2312"/>
                <w:color w:val="auto"/>
                <w:sz w:val="24"/>
              </w:rPr>
              <w:t>情节严重的：违法收入的5倍罚款</w:t>
            </w:r>
          </w:p>
          <w:p>
            <w:pPr>
              <w:spacing w:line="300" w:lineRule="exact"/>
              <w:rPr>
                <w:rFonts w:ascii="仿宋_GB2312"/>
                <w:color w:val="auto"/>
                <w:sz w:val="24"/>
              </w:rPr>
            </w:pPr>
            <w:r>
              <w:rPr>
                <w:rFonts w:hint="eastAsia" w:ascii="仿宋_GB2312"/>
                <w:color w:val="auto"/>
                <w:sz w:val="24"/>
              </w:rPr>
              <w:t>个人：2万元罚款</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03"/>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188" w:type="dxa"/>
            <w:vMerge w:val="restart"/>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p>
            <w:pPr>
              <w:spacing w:line="360" w:lineRule="exact"/>
              <w:jc w:val="center"/>
              <w:rPr>
                <w:rFonts w:ascii="仿宋_GB2312"/>
                <w:color w:val="auto"/>
                <w:sz w:val="24"/>
              </w:rPr>
            </w:pPr>
          </w:p>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60" w:lineRule="exact"/>
              <w:rPr>
                <w:rFonts w:ascii="仿宋_GB2312"/>
                <w:color w:val="auto"/>
                <w:sz w:val="24"/>
              </w:rPr>
            </w:pPr>
          </w:p>
        </w:tc>
        <w:tc>
          <w:tcPr>
            <w:tcW w:w="3131" w:type="dxa"/>
            <w:vAlign w:val="center"/>
          </w:tcPr>
          <w:p>
            <w:pPr>
              <w:spacing w:line="360" w:lineRule="exact"/>
              <w:rPr>
                <w:rFonts w:ascii="仿宋_GB2312"/>
                <w:color w:val="auto"/>
                <w:sz w:val="24"/>
              </w:rPr>
            </w:pPr>
            <w:r>
              <w:rPr>
                <w:rFonts w:hint="eastAsia" w:ascii="仿宋_GB2312"/>
                <w:color w:val="auto"/>
                <w:sz w:val="24"/>
              </w:rPr>
              <w:t>违法收入的3倍以上5倍以下罚款</w:t>
            </w:r>
          </w:p>
          <w:p>
            <w:pPr>
              <w:spacing w:line="360" w:lineRule="exact"/>
              <w:rPr>
                <w:rFonts w:ascii="仿宋_GB2312"/>
                <w:color w:val="auto"/>
                <w:sz w:val="24"/>
              </w:rPr>
            </w:pPr>
            <w:r>
              <w:rPr>
                <w:rFonts w:hint="eastAsia" w:ascii="仿宋_GB2312"/>
                <w:color w:val="auto"/>
                <w:sz w:val="24"/>
              </w:rPr>
              <w:t>情节严重的：违法收入的10倍以上15倍以下罚款</w:t>
            </w:r>
          </w:p>
          <w:p>
            <w:pPr>
              <w:spacing w:line="360" w:lineRule="exact"/>
              <w:rPr>
                <w:rFonts w:ascii="仿宋_GB2312"/>
                <w:color w:val="auto"/>
                <w:sz w:val="24"/>
              </w:rPr>
            </w:pPr>
            <w:r>
              <w:rPr>
                <w:rFonts w:hint="eastAsia" w:ascii="仿宋_GB2312"/>
                <w:color w:val="auto"/>
                <w:sz w:val="24"/>
              </w:rPr>
              <w:t>个人：11万元以上20万元以下罚款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60" w:lineRule="exact"/>
              <w:rPr>
                <w:rFonts w:ascii="仿宋_GB2312"/>
                <w:color w:val="auto"/>
                <w:sz w:val="24"/>
              </w:rPr>
            </w:pPr>
            <w:r>
              <w:rPr>
                <w:rFonts w:hint="eastAsia" w:ascii="仿宋_GB2312"/>
                <w:color w:val="auto"/>
                <w:sz w:val="24"/>
              </w:rPr>
              <w:t>违法收入的5倍罚款</w:t>
            </w:r>
          </w:p>
          <w:p>
            <w:pPr>
              <w:spacing w:line="360" w:lineRule="exact"/>
              <w:rPr>
                <w:rFonts w:ascii="仿宋_GB2312"/>
                <w:color w:val="auto"/>
                <w:sz w:val="24"/>
              </w:rPr>
            </w:pPr>
            <w:r>
              <w:rPr>
                <w:rFonts w:hint="eastAsia" w:ascii="仿宋_GB2312"/>
                <w:color w:val="auto"/>
                <w:sz w:val="24"/>
              </w:rPr>
              <w:t>情节严重的：违法收入的15倍罚款</w:t>
            </w:r>
          </w:p>
          <w:p>
            <w:pPr>
              <w:spacing w:line="360" w:lineRule="exact"/>
              <w:rPr>
                <w:rFonts w:ascii="仿宋_GB2312"/>
                <w:color w:val="auto"/>
                <w:sz w:val="24"/>
              </w:rPr>
            </w:pPr>
            <w:r>
              <w:rPr>
                <w:rFonts w:hint="eastAsia" w:ascii="仿宋_GB2312"/>
                <w:color w:val="auto"/>
                <w:sz w:val="24"/>
              </w:rPr>
              <w:t>个人：20万元罚款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13"/>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20" w:lineRule="exact"/>
              <w:rPr>
                <w:rFonts w:ascii="仿宋_GB2312"/>
                <w:color w:val="auto"/>
                <w:sz w:val="24"/>
              </w:rPr>
            </w:pPr>
            <w:r>
              <w:rPr>
                <w:rFonts w:hint="eastAsia" w:ascii="仿宋_GB2312"/>
                <w:color w:val="auto"/>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00" w:lineRule="exact"/>
              <w:rPr>
                <w:rFonts w:ascii="仿宋_GB2312"/>
                <w:color w:val="auto"/>
                <w:sz w:val="24"/>
              </w:rPr>
            </w:pPr>
            <w:r>
              <w:rPr>
                <w:rFonts w:hint="eastAsia" w:ascii="仿宋_GB2312"/>
                <w:color w:val="auto"/>
                <w:sz w:val="24"/>
              </w:rPr>
              <w:t>提供虚假的证明、数据、资料、样品或者采取其他手段骗取相关药品许可。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0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二十三条：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00" w:lineRule="exact"/>
              <w:rPr>
                <w:rFonts w:ascii="仿宋_GB2312"/>
                <w:color w:val="auto"/>
                <w:sz w:val="24"/>
              </w:rPr>
            </w:pPr>
            <w:r>
              <w:rPr>
                <w:rFonts w:hint="eastAsia" w:ascii="仿宋_GB2312"/>
                <w:color w:val="auto"/>
                <w:sz w:val="24"/>
              </w:rPr>
              <w:t>撤销相关许可；</w:t>
            </w:r>
          </w:p>
          <w:p>
            <w:pPr>
              <w:spacing w:line="300" w:lineRule="exact"/>
              <w:rPr>
                <w:rFonts w:ascii="仿宋_GB2312"/>
                <w:color w:val="auto"/>
                <w:sz w:val="24"/>
              </w:rPr>
            </w:pPr>
            <w:r>
              <w:rPr>
                <w:rFonts w:hint="eastAsia" w:ascii="仿宋_GB2312"/>
                <w:color w:val="auto"/>
                <w:sz w:val="24"/>
              </w:rPr>
              <w:t>十年内不受理其相应申请；</w:t>
            </w:r>
          </w:p>
          <w:p>
            <w:pPr>
              <w:spacing w:line="300" w:lineRule="exact"/>
              <w:rPr>
                <w:rFonts w:ascii="仿宋_GB2312"/>
                <w:color w:val="auto"/>
                <w:sz w:val="24"/>
              </w:rPr>
            </w:pPr>
            <w:r>
              <w:rPr>
                <w:rFonts w:hint="eastAsia" w:ascii="仿宋_GB2312"/>
                <w:color w:val="auto"/>
                <w:sz w:val="24"/>
              </w:rPr>
              <w:t>罚款；</w:t>
            </w:r>
          </w:p>
          <w:p>
            <w:pPr>
              <w:spacing w:line="300" w:lineRule="exact"/>
              <w:rPr>
                <w:rFonts w:ascii="仿宋_GB2312"/>
                <w:color w:val="auto"/>
                <w:sz w:val="24"/>
              </w:rPr>
            </w:pPr>
            <w:r>
              <w:rPr>
                <w:rFonts w:hint="eastAsia" w:ascii="仿宋_GB2312"/>
                <w:color w:val="auto"/>
                <w:sz w:val="24"/>
              </w:rPr>
              <w:t>十年内禁止从业。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00" w:lineRule="exact"/>
              <w:rPr>
                <w:rFonts w:ascii="仿宋_GB2312"/>
                <w:color w:val="auto"/>
                <w:sz w:val="24"/>
              </w:rPr>
            </w:pPr>
            <w:r>
              <w:rPr>
                <w:rFonts w:hint="eastAsia" w:ascii="仿宋_GB2312"/>
                <w:color w:val="auto"/>
                <w:sz w:val="24"/>
              </w:rPr>
              <w:t>1.县级以上人民政府药品监督管理部门；</w:t>
            </w:r>
          </w:p>
          <w:p>
            <w:pPr>
              <w:spacing w:line="300" w:lineRule="exact"/>
              <w:rPr>
                <w:rFonts w:ascii="仿宋_GB2312"/>
                <w:color w:val="auto"/>
                <w:sz w:val="24"/>
              </w:rPr>
            </w:pPr>
            <w:r>
              <w:rPr>
                <w:rFonts w:hint="eastAsia" w:ascii="仿宋_GB2312"/>
                <w:color w:val="auto"/>
                <w:sz w:val="24"/>
              </w:rPr>
              <w:t>2.撤销许可证件的，原批准、发证的部门。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00" w:lineRule="exact"/>
              <w:rPr>
                <w:rFonts w:ascii="仿宋_GB2312"/>
                <w:color w:val="auto"/>
                <w:sz w:val="24"/>
              </w:rPr>
            </w:pPr>
            <w:r>
              <w:rPr>
                <w:rFonts w:hint="eastAsia" w:ascii="仿宋_GB2312"/>
                <w:color w:val="auto"/>
                <w:sz w:val="24"/>
              </w:rPr>
              <w:t>处五十万元以上五百万元以下的罚款；</w:t>
            </w:r>
          </w:p>
          <w:p>
            <w:pPr>
              <w:spacing w:line="300" w:lineRule="exact"/>
              <w:rPr>
                <w:rFonts w:ascii="仿宋_GB2312"/>
                <w:color w:val="auto"/>
                <w:sz w:val="24"/>
              </w:rPr>
            </w:pPr>
            <w:r>
              <w:rPr>
                <w:rFonts w:hint="eastAsia" w:ascii="仿宋_GB2312"/>
                <w:color w:val="auto"/>
                <w:sz w:val="24"/>
              </w:rPr>
              <w:t>个人：处二万元以上二十万元以下的罚款。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00" w:lineRule="exact"/>
              <w:jc w:val="center"/>
              <w:rPr>
                <w:rFonts w:ascii="仿宋_GB2312"/>
                <w:color w:val="auto"/>
                <w:sz w:val="24"/>
              </w:rPr>
            </w:pPr>
            <w:r>
              <w:rPr>
                <w:rFonts w:hint="eastAsia" w:ascii="仿宋_GB2312"/>
                <w:color w:val="auto"/>
                <w:sz w:val="24"/>
              </w:rPr>
              <w:t>裁量</w:t>
            </w:r>
          </w:p>
        </w:tc>
        <w:tc>
          <w:tcPr>
            <w:tcW w:w="3313" w:type="dxa"/>
            <w:vAlign w:val="center"/>
          </w:tcPr>
          <w:p>
            <w:pPr>
              <w:spacing w:line="300" w:lineRule="exact"/>
              <w:jc w:val="center"/>
              <w:rPr>
                <w:rFonts w:ascii="仿宋_GB2312"/>
                <w:color w:val="auto"/>
                <w:sz w:val="24"/>
              </w:rPr>
            </w:pPr>
            <w:r>
              <w:rPr>
                <w:rFonts w:hint="eastAsia" w:ascii="仿宋_GB2312"/>
                <w:color w:val="auto"/>
                <w:sz w:val="24"/>
              </w:rPr>
              <w:t>裁量因素</w:t>
            </w:r>
          </w:p>
        </w:tc>
        <w:tc>
          <w:tcPr>
            <w:tcW w:w="3121" w:type="dxa"/>
            <w:vAlign w:val="center"/>
          </w:tcPr>
          <w:p>
            <w:pPr>
              <w:spacing w:line="30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20" w:lineRule="exact"/>
              <w:jc w:val="center"/>
              <w:rPr>
                <w:rFonts w:ascii="仿宋_GB2312"/>
                <w:color w:val="auto"/>
                <w:sz w:val="24"/>
              </w:rPr>
            </w:pPr>
          </w:p>
        </w:tc>
        <w:tc>
          <w:tcPr>
            <w:tcW w:w="900" w:type="dxa"/>
            <w:vAlign w:val="center"/>
          </w:tcPr>
          <w:p>
            <w:pPr>
              <w:spacing w:line="300" w:lineRule="exact"/>
              <w:jc w:val="center"/>
              <w:rPr>
                <w:rFonts w:ascii="仿宋_GB2312"/>
                <w:color w:val="auto"/>
                <w:sz w:val="24"/>
              </w:rPr>
            </w:pPr>
            <w:r>
              <w:rPr>
                <w:rFonts w:hint="eastAsia" w:ascii="仿宋_GB2312"/>
                <w:color w:val="auto"/>
                <w:sz w:val="24"/>
              </w:rPr>
              <w:t>中限</w:t>
            </w:r>
          </w:p>
        </w:tc>
        <w:tc>
          <w:tcPr>
            <w:tcW w:w="3313" w:type="dxa"/>
            <w:vAlign w:val="center"/>
          </w:tcPr>
          <w:p>
            <w:pPr>
              <w:spacing w:line="300" w:lineRule="exact"/>
              <w:rPr>
                <w:rFonts w:ascii="仿宋_GB2312"/>
                <w:color w:val="auto"/>
                <w:sz w:val="24"/>
              </w:rPr>
            </w:pPr>
            <w:r>
              <w:rPr>
                <w:rFonts w:hint="eastAsia" w:ascii="仿宋_GB2312"/>
                <w:color w:val="auto"/>
                <w:sz w:val="24"/>
              </w:rPr>
              <w:t>无本基准从重、从轻和减轻情节的</w:t>
            </w:r>
          </w:p>
        </w:tc>
        <w:tc>
          <w:tcPr>
            <w:tcW w:w="3121" w:type="dxa"/>
            <w:vAlign w:val="center"/>
          </w:tcPr>
          <w:p>
            <w:pPr>
              <w:spacing w:line="300" w:lineRule="exact"/>
              <w:rPr>
                <w:rFonts w:ascii="仿宋_GB2312"/>
                <w:color w:val="auto"/>
                <w:sz w:val="24"/>
              </w:rPr>
            </w:pPr>
            <w:r>
              <w:rPr>
                <w:rFonts w:hint="eastAsia" w:ascii="仿宋_GB2312"/>
                <w:color w:val="auto"/>
                <w:sz w:val="24"/>
              </w:rPr>
              <w:t>275万元罚款</w:t>
            </w:r>
          </w:p>
          <w:p>
            <w:pPr>
              <w:spacing w:line="300" w:lineRule="exact"/>
              <w:rPr>
                <w:rFonts w:ascii="仿宋_GB2312"/>
                <w:color w:val="auto"/>
                <w:sz w:val="24"/>
              </w:rPr>
            </w:pPr>
            <w:r>
              <w:rPr>
                <w:rFonts w:hint="eastAsia" w:ascii="仿宋_GB2312"/>
                <w:color w:val="auto"/>
                <w:sz w:val="24"/>
              </w:rPr>
              <w:t>个人：11万元罚款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20" w:lineRule="exact"/>
              <w:jc w:val="center"/>
              <w:rPr>
                <w:rFonts w:ascii="仿宋_GB2312"/>
                <w:color w:val="auto"/>
                <w:sz w:val="24"/>
              </w:rPr>
            </w:pPr>
          </w:p>
        </w:tc>
        <w:tc>
          <w:tcPr>
            <w:tcW w:w="900" w:type="dxa"/>
            <w:vAlign w:val="center"/>
          </w:tcPr>
          <w:p>
            <w:pPr>
              <w:spacing w:line="300" w:lineRule="exact"/>
              <w:jc w:val="center"/>
              <w:rPr>
                <w:rFonts w:ascii="仿宋_GB2312"/>
                <w:color w:val="auto"/>
                <w:sz w:val="24"/>
              </w:rPr>
            </w:pPr>
            <w:r>
              <w:rPr>
                <w:rFonts w:hint="eastAsia" w:ascii="仿宋_GB2312"/>
                <w:color w:val="auto"/>
                <w:sz w:val="24"/>
              </w:rPr>
              <w:t>减轻</w:t>
            </w:r>
          </w:p>
        </w:tc>
        <w:tc>
          <w:tcPr>
            <w:tcW w:w="3313"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00" w:lineRule="exact"/>
              <w:rPr>
                <w:rFonts w:ascii="仿宋_GB2312"/>
                <w:color w:val="auto"/>
                <w:sz w:val="24"/>
              </w:rPr>
            </w:pPr>
            <w:r>
              <w:rPr>
                <w:rFonts w:hint="eastAsia" w:ascii="仿宋_GB2312"/>
                <w:color w:val="auto"/>
                <w:sz w:val="24"/>
              </w:rPr>
              <w:t>5万元以上50万元以下罚款</w:t>
            </w:r>
          </w:p>
          <w:p>
            <w:pPr>
              <w:spacing w:line="300" w:lineRule="exact"/>
              <w:rPr>
                <w:rFonts w:ascii="仿宋_GB2312"/>
                <w:color w:val="auto"/>
                <w:sz w:val="24"/>
              </w:rPr>
            </w:pPr>
            <w:r>
              <w:rPr>
                <w:rFonts w:hint="eastAsia" w:ascii="仿宋_GB2312"/>
                <w:color w:val="auto"/>
                <w:sz w:val="24"/>
              </w:rPr>
              <w:t>个人：2000元以上2万元以下罚款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1188" w:type="dxa"/>
            <w:vMerge w:val="continue"/>
            <w:vAlign w:val="center"/>
          </w:tcPr>
          <w:p>
            <w:pPr>
              <w:spacing w:line="320" w:lineRule="exact"/>
              <w:jc w:val="center"/>
              <w:rPr>
                <w:rFonts w:ascii="仿宋_GB2312"/>
                <w:color w:val="auto"/>
                <w:sz w:val="24"/>
              </w:rPr>
            </w:pPr>
          </w:p>
        </w:tc>
        <w:tc>
          <w:tcPr>
            <w:tcW w:w="900" w:type="dxa"/>
            <w:vMerge w:val="restart"/>
            <w:vAlign w:val="center"/>
          </w:tcPr>
          <w:p>
            <w:pPr>
              <w:spacing w:line="300" w:lineRule="exact"/>
              <w:jc w:val="center"/>
              <w:rPr>
                <w:rFonts w:ascii="仿宋_GB2312"/>
                <w:color w:val="auto"/>
                <w:sz w:val="24"/>
              </w:rPr>
            </w:pPr>
            <w:r>
              <w:rPr>
                <w:rFonts w:hint="eastAsia" w:ascii="仿宋_GB2312"/>
                <w:color w:val="auto"/>
                <w:sz w:val="24"/>
              </w:rPr>
              <w:t>从轻</w:t>
            </w:r>
          </w:p>
        </w:tc>
        <w:tc>
          <w:tcPr>
            <w:tcW w:w="3313"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00" w:lineRule="exact"/>
              <w:rPr>
                <w:rFonts w:ascii="仿宋_GB2312"/>
                <w:color w:val="auto"/>
                <w:sz w:val="24"/>
              </w:rPr>
            </w:pPr>
            <w:r>
              <w:rPr>
                <w:rFonts w:hint="eastAsia" w:ascii="仿宋_GB2312"/>
                <w:color w:val="auto"/>
                <w:sz w:val="24"/>
              </w:rPr>
              <w:t>50万元以上275万元以下罚款</w:t>
            </w:r>
          </w:p>
          <w:p>
            <w:pPr>
              <w:spacing w:line="300" w:lineRule="exact"/>
              <w:rPr>
                <w:rFonts w:ascii="仿宋_GB2312"/>
                <w:color w:val="auto"/>
                <w:sz w:val="24"/>
              </w:rPr>
            </w:pPr>
            <w:r>
              <w:rPr>
                <w:rFonts w:hint="eastAsia" w:ascii="仿宋_GB2312"/>
                <w:color w:val="auto"/>
                <w:sz w:val="24"/>
              </w:rPr>
              <w:t>个人：2万元以上11万元以下罚款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188" w:type="dxa"/>
            <w:vMerge w:val="continue"/>
            <w:vAlign w:val="center"/>
          </w:tcPr>
          <w:p>
            <w:pPr>
              <w:spacing w:line="320" w:lineRule="exact"/>
              <w:jc w:val="center"/>
              <w:rPr>
                <w:rFonts w:ascii="仿宋_GB2312"/>
                <w:color w:val="auto"/>
                <w:sz w:val="24"/>
              </w:rPr>
            </w:pPr>
          </w:p>
        </w:tc>
        <w:tc>
          <w:tcPr>
            <w:tcW w:w="900" w:type="dxa"/>
            <w:vMerge w:val="continue"/>
            <w:vAlign w:val="center"/>
          </w:tcPr>
          <w:p>
            <w:pPr>
              <w:spacing w:line="300" w:lineRule="exact"/>
              <w:jc w:val="center"/>
              <w:rPr>
                <w:rFonts w:ascii="仿宋_GB2312"/>
                <w:color w:val="auto"/>
                <w:sz w:val="24"/>
              </w:rPr>
            </w:pPr>
          </w:p>
        </w:tc>
        <w:tc>
          <w:tcPr>
            <w:tcW w:w="3313"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00" w:lineRule="exact"/>
              <w:rPr>
                <w:rFonts w:ascii="仿宋_GB2312"/>
                <w:color w:val="auto"/>
                <w:sz w:val="24"/>
              </w:rPr>
            </w:pPr>
            <w:r>
              <w:rPr>
                <w:rFonts w:hint="eastAsia" w:ascii="仿宋_GB2312"/>
                <w:color w:val="auto"/>
                <w:sz w:val="24"/>
              </w:rPr>
              <w:t>50万元罚款</w:t>
            </w:r>
          </w:p>
          <w:p>
            <w:pPr>
              <w:spacing w:line="300" w:lineRule="exact"/>
              <w:rPr>
                <w:rFonts w:ascii="仿宋_GB2312"/>
                <w:color w:val="auto"/>
                <w:sz w:val="24"/>
              </w:rPr>
            </w:pPr>
            <w:r>
              <w:rPr>
                <w:rFonts w:hint="eastAsia" w:ascii="仿宋_GB2312"/>
                <w:color w:val="auto"/>
                <w:sz w:val="24"/>
              </w:rPr>
              <w:t>个人：2万元罚款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188" w:type="dxa"/>
            <w:vMerge w:val="continue"/>
            <w:vAlign w:val="center"/>
          </w:tcPr>
          <w:p>
            <w:pPr>
              <w:spacing w:line="320" w:lineRule="exact"/>
              <w:jc w:val="center"/>
              <w:rPr>
                <w:rFonts w:ascii="仿宋_GB2312"/>
                <w:color w:val="auto"/>
                <w:sz w:val="24"/>
              </w:rPr>
            </w:pPr>
          </w:p>
        </w:tc>
        <w:tc>
          <w:tcPr>
            <w:tcW w:w="900" w:type="dxa"/>
            <w:vMerge w:val="restart"/>
            <w:vAlign w:val="center"/>
          </w:tcPr>
          <w:p>
            <w:pPr>
              <w:spacing w:line="300" w:lineRule="exact"/>
              <w:jc w:val="center"/>
              <w:rPr>
                <w:rFonts w:ascii="仿宋_GB2312"/>
                <w:color w:val="auto"/>
                <w:sz w:val="24"/>
              </w:rPr>
            </w:pPr>
            <w:r>
              <w:rPr>
                <w:rFonts w:hint="eastAsia" w:ascii="仿宋_GB2312"/>
                <w:color w:val="auto"/>
                <w:sz w:val="24"/>
              </w:rPr>
              <w:t>从重</w:t>
            </w:r>
          </w:p>
        </w:tc>
        <w:tc>
          <w:tcPr>
            <w:tcW w:w="3313"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21" w:type="dxa"/>
            <w:vAlign w:val="center"/>
          </w:tcPr>
          <w:p>
            <w:pPr>
              <w:spacing w:line="300" w:lineRule="exact"/>
              <w:rPr>
                <w:rFonts w:ascii="仿宋_GB2312"/>
                <w:color w:val="auto"/>
                <w:sz w:val="24"/>
              </w:rPr>
            </w:pPr>
            <w:r>
              <w:rPr>
                <w:rFonts w:hint="eastAsia" w:ascii="仿宋_GB2312"/>
                <w:color w:val="auto"/>
                <w:sz w:val="24"/>
              </w:rPr>
              <w:t>275万元以上500万元以下罚款</w:t>
            </w:r>
          </w:p>
          <w:p>
            <w:pPr>
              <w:spacing w:line="300" w:lineRule="exact"/>
              <w:rPr>
                <w:rFonts w:ascii="仿宋_GB2312"/>
                <w:color w:val="auto"/>
                <w:sz w:val="24"/>
              </w:rPr>
            </w:pPr>
            <w:r>
              <w:rPr>
                <w:rFonts w:hint="eastAsia" w:ascii="仿宋_GB2312"/>
                <w:color w:val="auto"/>
                <w:sz w:val="24"/>
              </w:rPr>
              <w:t>个人：11万元以上20万元以下罚款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188" w:type="dxa"/>
            <w:vMerge w:val="continue"/>
            <w:vAlign w:val="center"/>
          </w:tcPr>
          <w:p>
            <w:pPr>
              <w:spacing w:line="320" w:lineRule="exact"/>
              <w:jc w:val="center"/>
              <w:rPr>
                <w:rFonts w:ascii="仿宋_GB2312"/>
                <w:color w:val="auto"/>
                <w:sz w:val="24"/>
              </w:rPr>
            </w:pPr>
          </w:p>
        </w:tc>
        <w:tc>
          <w:tcPr>
            <w:tcW w:w="900" w:type="dxa"/>
            <w:vMerge w:val="continue"/>
          </w:tcPr>
          <w:p>
            <w:pPr>
              <w:spacing w:line="300" w:lineRule="exact"/>
              <w:rPr>
                <w:rFonts w:ascii="仿宋_GB2312"/>
                <w:color w:val="auto"/>
                <w:sz w:val="24"/>
              </w:rPr>
            </w:pPr>
          </w:p>
        </w:tc>
        <w:tc>
          <w:tcPr>
            <w:tcW w:w="3313"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00" w:lineRule="exact"/>
              <w:rPr>
                <w:rFonts w:ascii="仿宋_GB2312"/>
                <w:color w:val="auto"/>
                <w:sz w:val="24"/>
              </w:rPr>
            </w:pPr>
            <w:r>
              <w:rPr>
                <w:rFonts w:hint="eastAsia" w:ascii="仿宋_GB2312"/>
                <w:color w:val="auto"/>
                <w:sz w:val="24"/>
              </w:rPr>
              <w:t>500万元罚款</w:t>
            </w:r>
          </w:p>
          <w:p>
            <w:pPr>
              <w:spacing w:line="300" w:lineRule="exact"/>
              <w:rPr>
                <w:rFonts w:ascii="仿宋_GB2312"/>
                <w:color w:val="auto"/>
                <w:sz w:val="24"/>
              </w:rPr>
            </w:pPr>
            <w:r>
              <w:rPr>
                <w:rFonts w:hint="eastAsia" w:ascii="仿宋_GB2312"/>
                <w:color w:val="auto"/>
                <w:sz w:val="24"/>
              </w:rPr>
              <w:t>个人：20万元罚款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2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00" w:lineRule="exact"/>
              <w:rPr>
                <w:rFonts w:ascii="仿宋_GB2312"/>
                <w:color w:val="auto"/>
                <w:sz w:val="24"/>
              </w:rPr>
            </w:pPr>
          </w:p>
        </w:tc>
      </w:tr>
    </w:tbl>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tcPr>
          <w:p>
            <w:pPr>
              <w:spacing w:line="360" w:lineRule="exact"/>
              <w:rPr>
                <w:rFonts w:ascii="仿宋_GB2312"/>
                <w:color w:val="auto"/>
                <w:sz w:val="24"/>
              </w:rPr>
            </w:pPr>
            <w:r>
              <w:rPr>
                <w:rFonts w:hint="eastAsia" w:ascii="仿宋_GB2312"/>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tcPr>
          <w:p>
            <w:pPr>
              <w:numPr>
                <w:ilvl w:val="0"/>
                <w:numId w:val="1855"/>
              </w:numPr>
              <w:spacing w:line="360" w:lineRule="exact"/>
              <w:rPr>
                <w:rFonts w:ascii="仿宋_GB2312"/>
                <w:color w:val="auto"/>
                <w:sz w:val="24"/>
              </w:rPr>
            </w:pPr>
            <w:r>
              <w:rPr>
                <w:rFonts w:hint="eastAsia" w:ascii="仿宋_GB2312"/>
                <w:color w:val="auto"/>
                <w:sz w:val="24"/>
              </w:rPr>
              <w:t>未取得药品批准证明文件生产、进口药品；</w:t>
            </w:r>
          </w:p>
          <w:p>
            <w:pPr>
              <w:spacing w:line="360" w:lineRule="exact"/>
              <w:rPr>
                <w:rFonts w:ascii="仿宋_GB2312"/>
                <w:color w:val="auto"/>
                <w:sz w:val="24"/>
              </w:rPr>
            </w:pPr>
            <w:r>
              <w:rPr>
                <w:rFonts w:hint="eastAsia" w:ascii="仿宋_GB2312"/>
                <w:color w:val="auto"/>
                <w:sz w:val="24"/>
              </w:rPr>
              <w:t>2.使用采取欺骗手段取得药品批准证明文件生产、进口药品；</w:t>
            </w:r>
          </w:p>
          <w:p>
            <w:pPr>
              <w:spacing w:line="360" w:lineRule="exact"/>
              <w:rPr>
                <w:rFonts w:ascii="仿宋_GB2312"/>
                <w:color w:val="auto"/>
                <w:sz w:val="24"/>
              </w:rPr>
            </w:pPr>
            <w:r>
              <w:rPr>
                <w:rFonts w:hint="eastAsia" w:ascii="仿宋_GB2312"/>
                <w:color w:val="auto"/>
                <w:sz w:val="24"/>
              </w:rPr>
              <w:t>3.使用未经审批的原料药生产药品；</w:t>
            </w:r>
          </w:p>
          <w:p>
            <w:pPr>
              <w:spacing w:line="360" w:lineRule="exact"/>
              <w:rPr>
                <w:rFonts w:ascii="仿宋_GB2312"/>
                <w:color w:val="auto"/>
                <w:sz w:val="24"/>
              </w:rPr>
            </w:pPr>
            <w:r>
              <w:rPr>
                <w:rFonts w:hint="eastAsia" w:ascii="仿宋_GB2312"/>
                <w:color w:val="auto"/>
                <w:sz w:val="24"/>
              </w:rPr>
              <w:t>4.应当检验而未经检验即销售药品；</w:t>
            </w:r>
          </w:p>
          <w:p>
            <w:pPr>
              <w:spacing w:line="360" w:lineRule="exact"/>
              <w:rPr>
                <w:rFonts w:ascii="仿宋_GB2312"/>
                <w:color w:val="auto"/>
                <w:sz w:val="24"/>
              </w:rPr>
            </w:pPr>
            <w:r>
              <w:rPr>
                <w:rFonts w:hint="eastAsia" w:ascii="仿宋_GB2312"/>
                <w:color w:val="auto"/>
                <w:sz w:val="24"/>
              </w:rPr>
              <w:t>5.生产、销售国务院药品监督管理部门禁止使用的药品；</w:t>
            </w:r>
          </w:p>
          <w:p>
            <w:pPr>
              <w:spacing w:line="360" w:lineRule="exact"/>
              <w:rPr>
                <w:rFonts w:ascii="仿宋_GB2312"/>
                <w:color w:val="auto"/>
                <w:sz w:val="24"/>
              </w:rPr>
            </w:pPr>
            <w:r>
              <w:rPr>
                <w:rFonts w:hint="eastAsia" w:ascii="仿宋_GB2312"/>
                <w:color w:val="auto"/>
                <w:sz w:val="24"/>
              </w:rPr>
              <w:t>6.编造生产、检验记录；</w:t>
            </w:r>
          </w:p>
          <w:p>
            <w:pPr>
              <w:spacing w:line="360" w:lineRule="exact"/>
              <w:rPr>
                <w:rFonts w:ascii="仿宋_GB2312"/>
                <w:color w:val="auto"/>
                <w:sz w:val="24"/>
              </w:rPr>
            </w:pPr>
            <w:r>
              <w:rPr>
                <w:rFonts w:hint="eastAsia" w:ascii="仿宋_GB2312"/>
                <w:color w:val="auto"/>
                <w:sz w:val="24"/>
              </w:rPr>
              <w:t>7.未经批准在药品生产过程中进行重大变更。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tcPr>
          <w:p>
            <w:pPr>
              <w:spacing w:line="34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二十四条：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pPr>
              <w:spacing w:line="340" w:lineRule="exact"/>
              <w:rPr>
                <w:rFonts w:ascii="仿宋_GB2312"/>
                <w:color w:val="auto"/>
                <w:sz w:val="24"/>
              </w:rPr>
            </w:pPr>
            <w:r>
              <w:rPr>
                <w:rFonts w:hint="eastAsia" w:ascii="仿宋_GB2312"/>
                <w:color w:val="auto"/>
                <w:sz w:val="24"/>
              </w:rPr>
              <w:t>（一）未取得药品批准证明文件生产、进口药品；</w:t>
            </w:r>
          </w:p>
          <w:p>
            <w:pPr>
              <w:spacing w:line="340" w:lineRule="exact"/>
              <w:rPr>
                <w:rFonts w:ascii="仿宋_GB2312"/>
                <w:color w:val="auto"/>
                <w:sz w:val="24"/>
              </w:rPr>
            </w:pPr>
            <w:r>
              <w:rPr>
                <w:rFonts w:hint="eastAsia" w:ascii="仿宋_GB2312"/>
                <w:color w:val="auto"/>
                <w:sz w:val="24"/>
              </w:rPr>
              <w:t>（二）使用采取欺骗手段取得的药品批准证明文件生产、进口药品；</w:t>
            </w:r>
          </w:p>
          <w:p>
            <w:pPr>
              <w:spacing w:line="340" w:lineRule="exact"/>
              <w:rPr>
                <w:rFonts w:ascii="仿宋_GB2312"/>
                <w:color w:val="auto"/>
                <w:sz w:val="24"/>
              </w:rPr>
            </w:pPr>
            <w:r>
              <w:rPr>
                <w:rFonts w:hint="eastAsia" w:ascii="仿宋_GB2312"/>
                <w:color w:val="auto"/>
                <w:sz w:val="24"/>
              </w:rPr>
              <w:t>（三）使用未经审评审批的原料药生产药品；</w:t>
            </w:r>
          </w:p>
          <w:p>
            <w:pPr>
              <w:spacing w:line="340" w:lineRule="exact"/>
              <w:rPr>
                <w:rFonts w:ascii="仿宋_GB2312"/>
                <w:color w:val="auto"/>
                <w:sz w:val="24"/>
              </w:rPr>
            </w:pPr>
            <w:r>
              <w:rPr>
                <w:rFonts w:hint="eastAsia" w:ascii="仿宋_GB2312"/>
                <w:color w:val="auto"/>
                <w:sz w:val="24"/>
              </w:rPr>
              <w:t>（四）应当检验而未经检验即销售药品；</w:t>
            </w:r>
          </w:p>
          <w:p>
            <w:pPr>
              <w:spacing w:line="340" w:lineRule="exact"/>
              <w:rPr>
                <w:rFonts w:ascii="仿宋_GB2312"/>
                <w:color w:val="auto"/>
                <w:sz w:val="24"/>
              </w:rPr>
            </w:pPr>
            <w:r>
              <w:rPr>
                <w:rFonts w:hint="eastAsia" w:ascii="仿宋_GB2312"/>
                <w:color w:val="auto"/>
                <w:sz w:val="24"/>
              </w:rPr>
              <w:t>（五）生产、销售国务院药品监督管理部门禁止使用的药品；</w:t>
            </w:r>
          </w:p>
          <w:p>
            <w:pPr>
              <w:spacing w:line="340" w:lineRule="exact"/>
              <w:rPr>
                <w:rFonts w:ascii="仿宋_GB2312"/>
                <w:color w:val="auto"/>
                <w:sz w:val="24"/>
              </w:rPr>
            </w:pPr>
            <w:r>
              <w:rPr>
                <w:rFonts w:hint="eastAsia" w:ascii="仿宋_GB2312"/>
                <w:color w:val="auto"/>
                <w:sz w:val="24"/>
              </w:rPr>
              <w:t>（六）编造生产、检验记录；</w:t>
            </w:r>
          </w:p>
          <w:p>
            <w:pPr>
              <w:spacing w:line="340" w:lineRule="exact"/>
              <w:rPr>
                <w:rFonts w:ascii="仿宋_GB2312"/>
                <w:color w:val="auto"/>
                <w:sz w:val="24"/>
              </w:rPr>
            </w:pPr>
            <w:r>
              <w:rPr>
                <w:rFonts w:hint="eastAsia" w:ascii="仿宋_GB2312"/>
                <w:color w:val="auto"/>
                <w:sz w:val="24"/>
              </w:rPr>
              <w:t>（七）未经批准在药品生产过程中进行重大变更。</w:t>
            </w:r>
          </w:p>
          <w:p>
            <w:pPr>
              <w:spacing w:line="340" w:lineRule="exact"/>
              <w:rPr>
                <w:rFonts w:ascii="仿宋_GB2312"/>
                <w:color w:val="auto"/>
                <w:sz w:val="24"/>
              </w:rPr>
            </w:pPr>
            <w:r>
              <w:rPr>
                <w:rFonts w:hint="eastAsia" w:ascii="仿宋_GB2312"/>
                <w:color w:val="auto"/>
                <w:sz w:val="24"/>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p>
          <w:p>
            <w:pPr>
              <w:spacing w:line="340" w:lineRule="exact"/>
              <w:rPr>
                <w:rFonts w:ascii="仿宋_GB2312"/>
                <w:color w:val="auto"/>
                <w:sz w:val="24"/>
              </w:rPr>
            </w:pPr>
            <w:r>
              <w:rPr>
                <w:rFonts w:hint="eastAsia" w:ascii="仿宋_GB2312"/>
                <w:color w:val="auto"/>
                <w:sz w:val="24"/>
              </w:rPr>
              <w:t>未经批准进口少量境外已合法上市的药品，情节较轻的，可以依法减轻或者免予处罚。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tcPr>
          <w:p>
            <w:pPr>
              <w:spacing w:line="340" w:lineRule="exact"/>
              <w:rPr>
                <w:rFonts w:ascii="仿宋_GB2312"/>
                <w:color w:val="auto"/>
                <w:sz w:val="24"/>
              </w:rPr>
            </w:pPr>
            <w:r>
              <w:rPr>
                <w:rFonts w:hint="eastAsia" w:ascii="仿宋_GB2312"/>
                <w:color w:val="auto"/>
                <w:sz w:val="24"/>
              </w:rPr>
              <w:t>没收违法所得，没收非法财物；</w:t>
            </w:r>
          </w:p>
          <w:p>
            <w:pPr>
              <w:spacing w:line="340" w:lineRule="exact"/>
              <w:rPr>
                <w:rFonts w:ascii="仿宋_GB2312"/>
                <w:color w:val="auto"/>
                <w:sz w:val="24"/>
              </w:rPr>
            </w:pPr>
            <w:r>
              <w:rPr>
                <w:rFonts w:hint="eastAsia" w:ascii="仿宋_GB2312"/>
                <w:color w:val="auto"/>
                <w:sz w:val="24"/>
              </w:rPr>
              <w:t>责令停产停业；</w:t>
            </w:r>
          </w:p>
          <w:p>
            <w:pPr>
              <w:spacing w:line="340" w:lineRule="exact"/>
              <w:rPr>
                <w:rFonts w:ascii="仿宋_GB2312"/>
                <w:color w:val="auto"/>
                <w:sz w:val="24"/>
              </w:rPr>
            </w:pPr>
            <w:r>
              <w:rPr>
                <w:rFonts w:hint="eastAsia" w:ascii="仿宋_GB2312"/>
                <w:color w:val="auto"/>
                <w:sz w:val="24"/>
              </w:rPr>
              <w:t>并处罚款；</w:t>
            </w:r>
          </w:p>
          <w:p>
            <w:pPr>
              <w:spacing w:line="340" w:lineRule="exact"/>
              <w:rPr>
                <w:rFonts w:ascii="仿宋_GB2312"/>
                <w:color w:val="auto"/>
                <w:sz w:val="24"/>
              </w:rPr>
            </w:pPr>
            <w:r>
              <w:rPr>
                <w:rFonts w:hint="eastAsia" w:ascii="仿宋_GB2312"/>
                <w:color w:val="auto"/>
                <w:sz w:val="24"/>
              </w:rPr>
              <w:t>吊销药品批准证明文件、许可证、执业证书；</w:t>
            </w:r>
          </w:p>
          <w:p>
            <w:pPr>
              <w:spacing w:line="340" w:lineRule="exact"/>
              <w:rPr>
                <w:rFonts w:ascii="仿宋_GB2312"/>
                <w:color w:val="auto"/>
                <w:sz w:val="24"/>
              </w:rPr>
            </w:pPr>
            <w:r>
              <w:rPr>
                <w:rFonts w:hint="eastAsia" w:ascii="仿宋_GB2312"/>
                <w:color w:val="auto"/>
                <w:sz w:val="24"/>
              </w:rPr>
              <w:t>没收违法行为发生期间所获收入；</w:t>
            </w:r>
          </w:p>
          <w:p>
            <w:pPr>
              <w:spacing w:line="340" w:lineRule="exact"/>
              <w:rPr>
                <w:rFonts w:ascii="仿宋_GB2312"/>
                <w:color w:val="auto"/>
                <w:sz w:val="24"/>
              </w:rPr>
            </w:pPr>
            <w:r>
              <w:rPr>
                <w:rFonts w:hint="eastAsia" w:ascii="仿宋_GB2312"/>
                <w:color w:val="auto"/>
                <w:sz w:val="24"/>
              </w:rPr>
              <w:t>十年直至终身禁止从业。</w:t>
            </w:r>
          </w:p>
        </w:tc>
      </w:tr>
    </w:tbl>
    <w:p>
      <w:pPr>
        <w:rPr>
          <w:rFonts w:eastAsia="宋体"/>
          <w:color w:val="auto"/>
          <w:sz w:val="21"/>
        </w:rPr>
      </w:pPr>
      <w:r>
        <w:rPr>
          <w:rFonts w:eastAsia="宋体"/>
          <w:color w:val="auto"/>
          <w:sz w:val="21"/>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22"/>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1.县级以上人民政府药品监督管理部门；</w:t>
            </w:r>
          </w:p>
          <w:p>
            <w:pPr>
              <w:spacing w:line="360" w:lineRule="exact"/>
              <w:rPr>
                <w:rFonts w:ascii="仿宋_GB2312"/>
                <w:color w:val="auto"/>
                <w:sz w:val="24"/>
              </w:rPr>
            </w:pPr>
            <w:r>
              <w:rPr>
                <w:rFonts w:hint="eastAsia" w:ascii="仿宋_GB2312"/>
                <w:color w:val="auto"/>
                <w:sz w:val="24"/>
              </w:rPr>
              <w:t>2.吊销批准证明文件、许可证件、执业证书的，原批准、发证的部门。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违法生产、进口、销售的药品货值金额十五倍以上三十倍以下的罚款；货值金额不足十万元的，按十万元计算。</w:t>
            </w:r>
          </w:p>
          <w:p>
            <w:pPr>
              <w:spacing w:line="360" w:lineRule="exact"/>
              <w:rPr>
                <w:rFonts w:ascii="仿宋_GB2312"/>
                <w:color w:val="auto"/>
                <w:sz w:val="24"/>
              </w:rPr>
            </w:pPr>
            <w:r>
              <w:rPr>
                <w:rFonts w:hint="eastAsia" w:ascii="仿宋_GB2312"/>
                <w:color w:val="auto"/>
                <w:sz w:val="24"/>
              </w:rPr>
              <w:t>个人：处所获收入百分之三十以上三倍以下的罚款，十年直至终身禁止从事药品生产经营活动。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22"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12"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22"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12" w:type="dxa"/>
            <w:vAlign w:val="center"/>
          </w:tcPr>
          <w:p>
            <w:pPr>
              <w:spacing w:line="360" w:lineRule="exact"/>
              <w:rPr>
                <w:rFonts w:ascii="仿宋_GB2312"/>
                <w:color w:val="auto"/>
                <w:sz w:val="24"/>
              </w:rPr>
            </w:pPr>
            <w:r>
              <w:rPr>
                <w:rFonts w:hint="eastAsia" w:ascii="仿宋_GB2312"/>
                <w:color w:val="auto"/>
                <w:sz w:val="24"/>
              </w:rPr>
              <w:t>货值金额22倍罚款</w:t>
            </w:r>
          </w:p>
          <w:p>
            <w:pPr>
              <w:spacing w:line="360" w:lineRule="exact"/>
              <w:rPr>
                <w:rFonts w:ascii="仿宋_GB2312"/>
                <w:color w:val="auto"/>
                <w:sz w:val="24"/>
              </w:rPr>
            </w:pPr>
            <w:r>
              <w:rPr>
                <w:rFonts w:hint="eastAsia" w:ascii="仿宋_GB2312"/>
                <w:color w:val="auto"/>
                <w:sz w:val="24"/>
              </w:rPr>
              <w:t>个人：所获收入1.5倍罚款，20年内禁止从业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12" w:type="dxa"/>
            <w:vAlign w:val="center"/>
          </w:tcPr>
          <w:p>
            <w:pPr>
              <w:spacing w:line="360" w:lineRule="exact"/>
              <w:rPr>
                <w:rFonts w:ascii="仿宋_GB2312"/>
                <w:color w:val="auto"/>
                <w:sz w:val="24"/>
              </w:rPr>
            </w:pPr>
            <w:r>
              <w:rPr>
                <w:rFonts w:hint="eastAsia" w:ascii="仿宋_GB2312"/>
                <w:color w:val="auto"/>
                <w:sz w:val="24"/>
              </w:rPr>
              <w:t>货值金额1.5倍以上15倍以下罚款</w:t>
            </w:r>
          </w:p>
          <w:p>
            <w:pPr>
              <w:spacing w:line="360" w:lineRule="exact"/>
              <w:rPr>
                <w:rFonts w:ascii="仿宋_GB2312"/>
                <w:color w:val="auto"/>
                <w:sz w:val="24"/>
              </w:rPr>
            </w:pPr>
            <w:r>
              <w:rPr>
                <w:rFonts w:hint="eastAsia" w:ascii="仿宋_GB2312"/>
                <w:color w:val="auto"/>
                <w:sz w:val="24"/>
              </w:rPr>
              <w:t>个人：所获收入3%以上30%以下罚款；5年以上10年以下禁止从业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12" w:type="dxa"/>
            <w:vAlign w:val="center"/>
          </w:tcPr>
          <w:p>
            <w:pPr>
              <w:spacing w:line="360" w:lineRule="exact"/>
              <w:rPr>
                <w:rFonts w:ascii="仿宋_GB2312"/>
                <w:color w:val="auto"/>
                <w:sz w:val="24"/>
              </w:rPr>
            </w:pPr>
            <w:r>
              <w:rPr>
                <w:rFonts w:hint="eastAsia" w:ascii="仿宋_GB2312"/>
                <w:color w:val="auto"/>
                <w:sz w:val="24"/>
              </w:rPr>
              <w:t>货值金额15倍以上22倍以下罚款</w:t>
            </w:r>
          </w:p>
          <w:p>
            <w:pPr>
              <w:spacing w:line="360" w:lineRule="exact"/>
              <w:rPr>
                <w:rFonts w:ascii="仿宋_GB2312"/>
                <w:color w:val="auto"/>
                <w:sz w:val="24"/>
              </w:rPr>
            </w:pPr>
            <w:r>
              <w:rPr>
                <w:rFonts w:hint="eastAsia" w:ascii="仿宋_GB2312"/>
                <w:color w:val="auto"/>
                <w:sz w:val="24"/>
              </w:rPr>
              <w:t>个人：所获收入30%以上1.5倍以下罚款；10年以上20年以下禁止从业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12" w:type="dxa"/>
            <w:vAlign w:val="center"/>
          </w:tcPr>
          <w:p>
            <w:pPr>
              <w:spacing w:line="360" w:lineRule="exact"/>
              <w:rPr>
                <w:rFonts w:ascii="仿宋_GB2312"/>
                <w:color w:val="auto"/>
                <w:sz w:val="24"/>
              </w:rPr>
            </w:pPr>
            <w:r>
              <w:rPr>
                <w:rFonts w:hint="eastAsia" w:ascii="仿宋_GB2312"/>
                <w:color w:val="auto"/>
                <w:sz w:val="24"/>
              </w:rPr>
              <w:t>货值金额15倍罚款</w:t>
            </w:r>
          </w:p>
          <w:p>
            <w:pPr>
              <w:spacing w:line="360" w:lineRule="exact"/>
              <w:rPr>
                <w:rFonts w:ascii="仿宋_GB2312"/>
                <w:color w:val="auto"/>
                <w:sz w:val="24"/>
              </w:rPr>
            </w:pPr>
            <w:r>
              <w:rPr>
                <w:rFonts w:hint="eastAsia" w:ascii="仿宋_GB2312"/>
                <w:color w:val="auto"/>
                <w:sz w:val="24"/>
              </w:rPr>
              <w:t>个人：所获收入30%罚款；10年禁止从业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60" w:lineRule="exact"/>
              <w:rPr>
                <w:rFonts w:ascii="仿宋_GB2312"/>
                <w:color w:val="auto"/>
                <w:sz w:val="24"/>
              </w:rPr>
            </w:pPr>
          </w:p>
        </w:tc>
        <w:tc>
          <w:tcPr>
            <w:tcW w:w="3112" w:type="dxa"/>
            <w:vAlign w:val="center"/>
          </w:tcPr>
          <w:p>
            <w:pPr>
              <w:spacing w:line="360" w:lineRule="exact"/>
              <w:rPr>
                <w:rFonts w:ascii="仿宋_GB2312"/>
                <w:color w:val="auto"/>
                <w:sz w:val="24"/>
              </w:rPr>
            </w:pPr>
            <w:r>
              <w:rPr>
                <w:rFonts w:hint="eastAsia" w:ascii="仿宋_GB2312"/>
                <w:color w:val="auto"/>
                <w:sz w:val="24"/>
              </w:rPr>
              <w:t>货值金额22倍以上30倍以下罚款</w:t>
            </w:r>
          </w:p>
          <w:p>
            <w:pPr>
              <w:spacing w:line="360" w:lineRule="exact"/>
              <w:rPr>
                <w:rFonts w:ascii="仿宋_GB2312"/>
                <w:color w:val="auto"/>
                <w:sz w:val="24"/>
              </w:rPr>
            </w:pPr>
            <w:r>
              <w:rPr>
                <w:rFonts w:hint="eastAsia" w:ascii="仿宋_GB2312"/>
                <w:color w:val="auto"/>
                <w:sz w:val="24"/>
              </w:rPr>
              <w:t>个人：所获收入1.5倍以上3倍以下罚款；20年以上至终身禁止从业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12" w:type="dxa"/>
            <w:vAlign w:val="center"/>
          </w:tcPr>
          <w:p>
            <w:pPr>
              <w:spacing w:line="360" w:lineRule="exact"/>
              <w:rPr>
                <w:rFonts w:ascii="仿宋_GB2312"/>
                <w:color w:val="auto"/>
                <w:sz w:val="24"/>
              </w:rPr>
            </w:pPr>
            <w:r>
              <w:rPr>
                <w:rFonts w:hint="eastAsia" w:ascii="仿宋_GB2312"/>
                <w:color w:val="auto"/>
                <w:sz w:val="24"/>
              </w:rPr>
              <w:t>货值金额30倍罚款</w:t>
            </w:r>
          </w:p>
          <w:p>
            <w:pPr>
              <w:spacing w:line="360" w:lineRule="exact"/>
              <w:rPr>
                <w:rFonts w:ascii="仿宋_GB2312"/>
                <w:color w:val="auto"/>
                <w:sz w:val="24"/>
              </w:rPr>
            </w:pPr>
            <w:r>
              <w:rPr>
                <w:rFonts w:hint="eastAsia" w:ascii="仿宋_GB2312"/>
                <w:color w:val="auto"/>
                <w:sz w:val="24"/>
              </w:rPr>
              <w:t>个人：所获收入3倍罚款；终身禁止从业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22"/>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20" w:lineRule="exact"/>
              <w:rPr>
                <w:rFonts w:ascii="仿宋_GB2312"/>
                <w:color w:val="auto"/>
                <w:sz w:val="24"/>
              </w:rPr>
            </w:pPr>
            <w:r>
              <w:rPr>
                <w:rFonts w:hint="eastAsia" w:ascii="仿宋_GB2312"/>
                <w:color w:val="auto"/>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numPr>
                <w:ilvl w:val="0"/>
                <w:numId w:val="1856"/>
              </w:numPr>
              <w:spacing w:line="320" w:lineRule="exact"/>
              <w:rPr>
                <w:rFonts w:ascii="仿宋_GB2312"/>
                <w:color w:val="auto"/>
                <w:sz w:val="24"/>
              </w:rPr>
            </w:pPr>
            <w:r>
              <w:rPr>
                <w:rFonts w:hint="eastAsia" w:ascii="仿宋_GB2312"/>
                <w:color w:val="auto"/>
                <w:sz w:val="24"/>
              </w:rPr>
              <w:t>未经批准开展药物临床试验；</w:t>
            </w:r>
          </w:p>
          <w:p>
            <w:pPr>
              <w:numPr>
                <w:ilvl w:val="0"/>
                <w:numId w:val="1856"/>
              </w:numPr>
              <w:spacing w:line="320" w:lineRule="exact"/>
              <w:rPr>
                <w:rFonts w:ascii="仿宋_GB2312"/>
                <w:color w:val="auto"/>
                <w:sz w:val="24"/>
              </w:rPr>
            </w:pPr>
            <w:r>
              <w:rPr>
                <w:rFonts w:hint="eastAsia" w:ascii="仿宋_GB2312"/>
                <w:color w:val="auto"/>
                <w:sz w:val="24"/>
              </w:rPr>
              <w:t>使用未经审评的直接接触药品的包装材料或者容器生产药品，或者销售该类药品；</w:t>
            </w:r>
          </w:p>
          <w:p>
            <w:pPr>
              <w:spacing w:line="320" w:lineRule="exact"/>
              <w:rPr>
                <w:rFonts w:ascii="仿宋_GB2312"/>
                <w:color w:val="auto"/>
                <w:sz w:val="24"/>
              </w:rPr>
            </w:pPr>
            <w:r>
              <w:rPr>
                <w:rFonts w:hint="eastAsia" w:ascii="仿宋_GB2312"/>
                <w:color w:val="auto"/>
                <w:sz w:val="24"/>
              </w:rPr>
              <w:t>3.使用未经核准的标签、说明书。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2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二十五条：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p>
          <w:p>
            <w:pPr>
              <w:spacing w:line="320" w:lineRule="exact"/>
              <w:rPr>
                <w:rFonts w:ascii="仿宋_GB2312"/>
                <w:color w:val="auto"/>
                <w:sz w:val="24"/>
              </w:rPr>
            </w:pPr>
            <w:r>
              <w:rPr>
                <w:rFonts w:hint="eastAsia" w:ascii="仿宋_GB2312"/>
                <w:color w:val="auto"/>
                <w:sz w:val="24"/>
              </w:rPr>
              <w:t>（一）未经批准开展药物临床试验；</w:t>
            </w:r>
          </w:p>
          <w:p>
            <w:pPr>
              <w:spacing w:line="320" w:lineRule="exact"/>
              <w:rPr>
                <w:rFonts w:ascii="仿宋_GB2312"/>
                <w:color w:val="auto"/>
                <w:sz w:val="24"/>
              </w:rPr>
            </w:pPr>
            <w:r>
              <w:rPr>
                <w:rFonts w:hint="eastAsia" w:ascii="仿宋_GB2312"/>
                <w:color w:val="auto"/>
                <w:sz w:val="24"/>
              </w:rPr>
              <w:t>（二）使用未经审评的直接接触药品的包装材料或者容器生产药品，或者销售该类药品；</w:t>
            </w:r>
          </w:p>
          <w:p>
            <w:pPr>
              <w:spacing w:line="320" w:lineRule="exact"/>
              <w:rPr>
                <w:rFonts w:ascii="仿宋_GB2312"/>
                <w:color w:val="auto"/>
                <w:sz w:val="24"/>
              </w:rPr>
            </w:pPr>
            <w:r>
              <w:rPr>
                <w:rFonts w:hint="eastAsia" w:ascii="仿宋_GB2312"/>
                <w:color w:val="auto"/>
                <w:sz w:val="24"/>
              </w:rPr>
              <w:t>（三）使用未经核准的标签、说明书。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20" w:lineRule="exact"/>
              <w:rPr>
                <w:rFonts w:ascii="仿宋_GB2312"/>
                <w:color w:val="auto"/>
                <w:sz w:val="24"/>
              </w:rPr>
            </w:pPr>
            <w:r>
              <w:rPr>
                <w:rFonts w:hint="eastAsia" w:ascii="仿宋_GB2312"/>
                <w:color w:val="auto"/>
                <w:sz w:val="24"/>
              </w:rPr>
              <w:t>没收违法所得，没收非法财物；</w:t>
            </w:r>
          </w:p>
          <w:p>
            <w:pPr>
              <w:spacing w:line="320" w:lineRule="exact"/>
              <w:rPr>
                <w:rFonts w:ascii="仿宋_GB2312"/>
                <w:color w:val="auto"/>
                <w:sz w:val="24"/>
              </w:rPr>
            </w:pPr>
            <w:r>
              <w:rPr>
                <w:rFonts w:hint="eastAsia" w:ascii="仿宋_GB2312"/>
                <w:color w:val="auto"/>
                <w:sz w:val="24"/>
              </w:rPr>
              <w:t>责令停产停业；</w:t>
            </w:r>
          </w:p>
          <w:p>
            <w:pPr>
              <w:spacing w:line="320" w:lineRule="exact"/>
              <w:rPr>
                <w:rFonts w:ascii="仿宋_GB2312"/>
                <w:color w:val="auto"/>
                <w:sz w:val="24"/>
              </w:rPr>
            </w:pPr>
            <w:r>
              <w:rPr>
                <w:rFonts w:hint="eastAsia" w:ascii="仿宋_GB2312"/>
                <w:color w:val="auto"/>
                <w:sz w:val="24"/>
              </w:rPr>
              <w:t>罚款；</w:t>
            </w:r>
          </w:p>
          <w:p>
            <w:pPr>
              <w:spacing w:line="320" w:lineRule="exact"/>
              <w:rPr>
                <w:rFonts w:ascii="仿宋_GB2312"/>
                <w:color w:val="auto"/>
                <w:sz w:val="24"/>
              </w:rPr>
            </w:pPr>
            <w:r>
              <w:rPr>
                <w:rFonts w:hint="eastAsia" w:ascii="仿宋_GB2312"/>
                <w:color w:val="auto"/>
                <w:sz w:val="24"/>
              </w:rPr>
              <w:t>吊销药品批准证明文件，吊销许可证；</w:t>
            </w:r>
          </w:p>
          <w:p>
            <w:pPr>
              <w:spacing w:line="320" w:lineRule="exact"/>
              <w:rPr>
                <w:rFonts w:ascii="仿宋_GB2312"/>
                <w:color w:val="auto"/>
                <w:sz w:val="24"/>
              </w:rPr>
            </w:pPr>
            <w:r>
              <w:rPr>
                <w:rFonts w:hint="eastAsia" w:ascii="仿宋_GB2312"/>
                <w:color w:val="auto"/>
                <w:sz w:val="24"/>
              </w:rPr>
              <w:t>十年直至终身禁止从业。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20" w:lineRule="exact"/>
              <w:rPr>
                <w:rFonts w:ascii="仿宋_GB2312"/>
                <w:color w:val="auto"/>
                <w:sz w:val="24"/>
              </w:rPr>
            </w:pPr>
            <w:r>
              <w:rPr>
                <w:rFonts w:hint="eastAsia" w:ascii="仿宋_GB2312"/>
                <w:color w:val="auto"/>
                <w:sz w:val="24"/>
              </w:rPr>
              <w:t>1.县级以上人民政府药品监督管理部门；</w:t>
            </w:r>
          </w:p>
          <w:p>
            <w:pPr>
              <w:spacing w:line="320" w:lineRule="exact"/>
              <w:rPr>
                <w:rFonts w:ascii="仿宋_GB2312"/>
                <w:color w:val="auto"/>
                <w:sz w:val="24"/>
              </w:rPr>
            </w:pPr>
            <w:r>
              <w:rPr>
                <w:rFonts w:hint="eastAsia" w:ascii="仿宋_GB2312"/>
                <w:color w:val="auto"/>
                <w:sz w:val="24"/>
              </w:rPr>
              <w:t>2.吊销批准证明文件、许可证件的，原批准、发证的部门。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20" w:lineRule="exact"/>
              <w:rPr>
                <w:rFonts w:ascii="仿宋_GB2312"/>
                <w:color w:val="auto"/>
                <w:sz w:val="24"/>
              </w:rPr>
            </w:pPr>
            <w:r>
              <w:rPr>
                <w:rFonts w:hint="eastAsia" w:ascii="仿宋_GB2312"/>
                <w:color w:val="auto"/>
                <w:sz w:val="24"/>
              </w:rPr>
              <w:t>处五十万元以上五百万元以下的罚款；</w:t>
            </w:r>
          </w:p>
          <w:p>
            <w:pPr>
              <w:spacing w:line="320" w:lineRule="exact"/>
              <w:rPr>
                <w:rFonts w:ascii="仿宋_GB2312"/>
                <w:color w:val="auto"/>
                <w:sz w:val="24"/>
              </w:rPr>
            </w:pPr>
            <w:r>
              <w:rPr>
                <w:rFonts w:hint="eastAsia" w:ascii="仿宋_GB2312"/>
                <w:color w:val="auto"/>
                <w:sz w:val="24"/>
              </w:rPr>
              <w:t>个人：处二万元以上二十万元以下的罚款，十年直至终身禁止从事药品生产经营活动。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20" w:lineRule="exact"/>
              <w:jc w:val="center"/>
              <w:rPr>
                <w:rFonts w:ascii="仿宋_GB2312"/>
                <w:color w:val="auto"/>
                <w:sz w:val="24"/>
              </w:rPr>
            </w:pPr>
            <w:r>
              <w:rPr>
                <w:rFonts w:hint="eastAsia" w:ascii="仿宋_GB2312"/>
                <w:color w:val="auto"/>
                <w:sz w:val="24"/>
              </w:rPr>
              <w:t>裁量</w:t>
            </w:r>
          </w:p>
        </w:tc>
        <w:tc>
          <w:tcPr>
            <w:tcW w:w="3322" w:type="dxa"/>
            <w:vAlign w:val="center"/>
          </w:tcPr>
          <w:p>
            <w:pPr>
              <w:spacing w:line="320" w:lineRule="exact"/>
              <w:jc w:val="center"/>
              <w:rPr>
                <w:rFonts w:ascii="仿宋_GB2312"/>
                <w:color w:val="auto"/>
                <w:sz w:val="24"/>
              </w:rPr>
            </w:pPr>
            <w:r>
              <w:rPr>
                <w:rFonts w:hint="eastAsia" w:ascii="仿宋_GB2312"/>
                <w:color w:val="auto"/>
                <w:sz w:val="24"/>
              </w:rPr>
              <w:t>裁量因素</w:t>
            </w:r>
          </w:p>
        </w:tc>
        <w:tc>
          <w:tcPr>
            <w:tcW w:w="3112" w:type="dxa"/>
            <w:vAlign w:val="center"/>
          </w:tcPr>
          <w:p>
            <w:pPr>
              <w:spacing w:line="32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20" w:lineRule="exact"/>
              <w:jc w:val="center"/>
              <w:rPr>
                <w:rFonts w:ascii="仿宋_GB2312"/>
                <w:color w:val="auto"/>
                <w:sz w:val="24"/>
              </w:rPr>
            </w:pPr>
            <w:r>
              <w:rPr>
                <w:rFonts w:hint="eastAsia" w:ascii="仿宋_GB2312"/>
                <w:color w:val="auto"/>
                <w:sz w:val="24"/>
              </w:rPr>
              <w:t>中限</w:t>
            </w:r>
          </w:p>
        </w:tc>
        <w:tc>
          <w:tcPr>
            <w:tcW w:w="3322" w:type="dxa"/>
            <w:vAlign w:val="center"/>
          </w:tcPr>
          <w:p>
            <w:pPr>
              <w:spacing w:line="320" w:lineRule="exact"/>
              <w:rPr>
                <w:rFonts w:ascii="仿宋_GB2312"/>
                <w:color w:val="auto"/>
                <w:sz w:val="24"/>
              </w:rPr>
            </w:pPr>
            <w:r>
              <w:rPr>
                <w:rFonts w:hint="eastAsia" w:ascii="仿宋_GB2312"/>
                <w:color w:val="auto"/>
                <w:sz w:val="24"/>
              </w:rPr>
              <w:t>无本基准从重、从轻和减轻情节的</w:t>
            </w:r>
          </w:p>
        </w:tc>
        <w:tc>
          <w:tcPr>
            <w:tcW w:w="3112" w:type="dxa"/>
            <w:vAlign w:val="center"/>
          </w:tcPr>
          <w:p>
            <w:pPr>
              <w:spacing w:line="320" w:lineRule="exact"/>
              <w:rPr>
                <w:rFonts w:ascii="仿宋_GB2312"/>
                <w:color w:val="auto"/>
                <w:sz w:val="24"/>
              </w:rPr>
            </w:pPr>
            <w:r>
              <w:rPr>
                <w:rFonts w:hint="eastAsia" w:ascii="仿宋_GB2312"/>
                <w:color w:val="auto"/>
                <w:sz w:val="24"/>
              </w:rPr>
              <w:t>275万元罚款</w:t>
            </w:r>
          </w:p>
          <w:p>
            <w:pPr>
              <w:spacing w:line="320" w:lineRule="exact"/>
              <w:rPr>
                <w:rFonts w:ascii="仿宋_GB2312"/>
                <w:color w:val="auto"/>
                <w:sz w:val="24"/>
              </w:rPr>
            </w:pPr>
            <w:r>
              <w:rPr>
                <w:rFonts w:hint="eastAsia" w:ascii="仿宋_GB2312"/>
                <w:color w:val="auto"/>
                <w:sz w:val="24"/>
              </w:rPr>
              <w:t>个人：11万元罚款；20年内禁止从业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20" w:lineRule="exact"/>
              <w:jc w:val="center"/>
              <w:rPr>
                <w:rFonts w:ascii="仿宋_GB2312"/>
                <w:color w:val="auto"/>
                <w:sz w:val="24"/>
              </w:rPr>
            </w:pPr>
            <w:r>
              <w:rPr>
                <w:rFonts w:hint="eastAsia" w:ascii="仿宋_GB2312"/>
                <w:color w:val="auto"/>
                <w:sz w:val="24"/>
              </w:rPr>
              <w:t>减轻</w:t>
            </w:r>
          </w:p>
        </w:tc>
        <w:tc>
          <w:tcPr>
            <w:tcW w:w="3322"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12" w:type="dxa"/>
            <w:vAlign w:val="center"/>
          </w:tcPr>
          <w:p>
            <w:pPr>
              <w:spacing w:line="320" w:lineRule="exact"/>
              <w:rPr>
                <w:rFonts w:ascii="仿宋_GB2312"/>
                <w:color w:val="auto"/>
                <w:sz w:val="24"/>
              </w:rPr>
            </w:pPr>
            <w:r>
              <w:rPr>
                <w:rFonts w:hint="eastAsia" w:ascii="仿宋_GB2312"/>
                <w:color w:val="auto"/>
                <w:sz w:val="24"/>
              </w:rPr>
              <w:t>5万元以上50万元以下罚款</w:t>
            </w:r>
          </w:p>
          <w:p>
            <w:pPr>
              <w:spacing w:line="320" w:lineRule="exact"/>
              <w:rPr>
                <w:rFonts w:ascii="仿宋_GB2312"/>
                <w:color w:val="auto"/>
                <w:sz w:val="24"/>
              </w:rPr>
            </w:pPr>
            <w:r>
              <w:rPr>
                <w:rFonts w:hint="eastAsia" w:ascii="仿宋_GB2312"/>
                <w:color w:val="auto"/>
                <w:sz w:val="24"/>
              </w:rPr>
              <w:t>个人：2000元以上2万元以下罚款；5年以上10年以下禁止从业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20" w:lineRule="exact"/>
              <w:jc w:val="center"/>
              <w:rPr>
                <w:rFonts w:ascii="仿宋_GB2312"/>
                <w:color w:val="auto"/>
                <w:sz w:val="24"/>
              </w:rPr>
            </w:pPr>
            <w:r>
              <w:rPr>
                <w:rFonts w:hint="eastAsia" w:ascii="仿宋_GB2312"/>
                <w:color w:val="auto"/>
                <w:sz w:val="24"/>
              </w:rPr>
              <w:t>从轻</w:t>
            </w:r>
          </w:p>
        </w:tc>
        <w:tc>
          <w:tcPr>
            <w:tcW w:w="3322"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12" w:type="dxa"/>
            <w:vAlign w:val="center"/>
          </w:tcPr>
          <w:p>
            <w:pPr>
              <w:spacing w:line="320" w:lineRule="exact"/>
              <w:rPr>
                <w:rFonts w:ascii="仿宋_GB2312"/>
                <w:color w:val="auto"/>
                <w:sz w:val="24"/>
              </w:rPr>
            </w:pPr>
            <w:r>
              <w:rPr>
                <w:rFonts w:hint="eastAsia" w:ascii="仿宋_GB2312"/>
                <w:color w:val="auto"/>
                <w:sz w:val="24"/>
              </w:rPr>
              <w:t>50万元以上275万元以下罚款</w:t>
            </w:r>
          </w:p>
          <w:p>
            <w:pPr>
              <w:spacing w:line="320" w:lineRule="exact"/>
              <w:rPr>
                <w:rFonts w:ascii="仿宋_GB2312"/>
                <w:color w:val="auto"/>
                <w:sz w:val="24"/>
              </w:rPr>
            </w:pPr>
            <w:r>
              <w:rPr>
                <w:rFonts w:hint="eastAsia" w:ascii="仿宋_GB2312"/>
                <w:color w:val="auto"/>
                <w:sz w:val="24"/>
              </w:rPr>
              <w:t>个人：2万元以上11万元以下罚款；10年以上20年以下禁止从业</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22"/>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12" w:type="dxa"/>
            <w:vAlign w:val="center"/>
          </w:tcPr>
          <w:p>
            <w:pPr>
              <w:spacing w:line="360" w:lineRule="exact"/>
              <w:rPr>
                <w:rFonts w:ascii="仿宋_GB2312"/>
                <w:color w:val="auto"/>
                <w:sz w:val="24"/>
              </w:rPr>
            </w:pPr>
            <w:r>
              <w:rPr>
                <w:rFonts w:hint="eastAsia" w:ascii="仿宋_GB2312"/>
                <w:color w:val="auto"/>
                <w:sz w:val="24"/>
              </w:rPr>
              <w:t>50万元罚款</w:t>
            </w:r>
          </w:p>
          <w:p>
            <w:pPr>
              <w:spacing w:line="360" w:lineRule="exact"/>
              <w:rPr>
                <w:rFonts w:ascii="仿宋_GB2312"/>
                <w:color w:val="auto"/>
                <w:sz w:val="24"/>
              </w:rPr>
            </w:pPr>
            <w:r>
              <w:rPr>
                <w:rFonts w:hint="eastAsia" w:ascii="仿宋_GB2312"/>
                <w:color w:val="auto"/>
                <w:sz w:val="24"/>
              </w:rPr>
              <w:t>个人：2万元罚款；10年内禁止从业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12" w:type="dxa"/>
            <w:vAlign w:val="center"/>
          </w:tcPr>
          <w:p>
            <w:pPr>
              <w:spacing w:line="360" w:lineRule="exact"/>
              <w:rPr>
                <w:rFonts w:ascii="仿宋_GB2312"/>
                <w:color w:val="auto"/>
                <w:sz w:val="24"/>
              </w:rPr>
            </w:pPr>
            <w:r>
              <w:rPr>
                <w:rFonts w:hint="eastAsia" w:ascii="仿宋_GB2312"/>
                <w:color w:val="auto"/>
                <w:sz w:val="24"/>
              </w:rPr>
              <w:t>275万元以上500万元以下罚款</w:t>
            </w:r>
          </w:p>
          <w:p>
            <w:pPr>
              <w:spacing w:line="360" w:lineRule="exact"/>
              <w:rPr>
                <w:rFonts w:ascii="仿宋_GB2312"/>
                <w:color w:val="auto"/>
                <w:sz w:val="24"/>
              </w:rPr>
            </w:pPr>
            <w:r>
              <w:rPr>
                <w:rFonts w:hint="eastAsia" w:ascii="仿宋_GB2312"/>
                <w:color w:val="auto"/>
                <w:sz w:val="24"/>
              </w:rPr>
              <w:t>个人：11万元以上20万元以下罚款；20年以上至终身禁止从业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12" w:type="dxa"/>
            <w:vAlign w:val="center"/>
          </w:tcPr>
          <w:p>
            <w:pPr>
              <w:spacing w:line="360" w:lineRule="exact"/>
              <w:rPr>
                <w:rFonts w:ascii="仿宋_GB2312"/>
                <w:color w:val="auto"/>
                <w:sz w:val="24"/>
              </w:rPr>
            </w:pPr>
            <w:r>
              <w:rPr>
                <w:rFonts w:hint="eastAsia" w:ascii="仿宋_GB2312"/>
                <w:color w:val="auto"/>
                <w:sz w:val="24"/>
              </w:rPr>
              <w:t>500万元罚款</w:t>
            </w:r>
          </w:p>
          <w:p>
            <w:pPr>
              <w:spacing w:line="360" w:lineRule="exact"/>
              <w:rPr>
                <w:rFonts w:ascii="仿宋_GB2312"/>
                <w:color w:val="auto"/>
                <w:sz w:val="24"/>
              </w:rPr>
            </w:pPr>
            <w:r>
              <w:rPr>
                <w:rFonts w:hint="eastAsia" w:ascii="仿宋_GB2312"/>
                <w:color w:val="auto"/>
                <w:sz w:val="24"/>
              </w:rPr>
              <w:t>个人：20万元罚款；终身禁止从业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13"/>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20" w:lineRule="exact"/>
              <w:rPr>
                <w:rFonts w:ascii="仿宋_GB2312"/>
                <w:color w:val="auto"/>
                <w:sz w:val="24"/>
              </w:rPr>
            </w:pPr>
            <w:r>
              <w:rPr>
                <w:rFonts w:hint="eastAsia" w:ascii="仿宋_GB2312"/>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20" w:lineRule="exact"/>
              <w:rPr>
                <w:rFonts w:ascii="仿宋_GB2312"/>
                <w:color w:val="auto"/>
                <w:sz w:val="24"/>
              </w:rPr>
            </w:pPr>
            <w:r>
              <w:rPr>
                <w:rFonts w:hint="eastAsia" w:ascii="仿宋_GB2312"/>
                <w:color w:val="auto"/>
                <w:sz w:val="24"/>
              </w:rPr>
              <w:t>未遵守药品生产质量管理规范、药品经营质量管理规范、药物非临床研究质量管理规范、药物临床试验质量管理规范等。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2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二十六条：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20" w:lineRule="exact"/>
              <w:rPr>
                <w:rFonts w:ascii="仿宋_GB2312"/>
                <w:color w:val="auto"/>
                <w:sz w:val="24"/>
              </w:rPr>
            </w:pPr>
            <w:r>
              <w:rPr>
                <w:rFonts w:hint="eastAsia" w:ascii="仿宋_GB2312"/>
                <w:color w:val="auto"/>
                <w:sz w:val="24"/>
              </w:rPr>
              <w:t>警告；</w:t>
            </w:r>
          </w:p>
          <w:p>
            <w:pPr>
              <w:spacing w:line="320" w:lineRule="exact"/>
              <w:rPr>
                <w:rFonts w:ascii="仿宋_GB2312"/>
                <w:color w:val="auto"/>
                <w:sz w:val="24"/>
              </w:rPr>
            </w:pPr>
            <w:r>
              <w:rPr>
                <w:rFonts w:hint="eastAsia" w:ascii="仿宋_GB2312"/>
                <w:color w:val="auto"/>
                <w:sz w:val="24"/>
              </w:rPr>
              <w:t>罚款；</w:t>
            </w:r>
          </w:p>
          <w:p>
            <w:pPr>
              <w:spacing w:line="320" w:lineRule="exact"/>
              <w:rPr>
                <w:rFonts w:ascii="仿宋_GB2312"/>
                <w:color w:val="auto"/>
                <w:sz w:val="24"/>
              </w:rPr>
            </w:pPr>
            <w:r>
              <w:rPr>
                <w:rFonts w:hint="eastAsia" w:ascii="仿宋_GB2312"/>
                <w:color w:val="auto"/>
                <w:sz w:val="24"/>
              </w:rPr>
              <w:t>责令停产停业；</w:t>
            </w:r>
          </w:p>
          <w:p>
            <w:pPr>
              <w:spacing w:line="320" w:lineRule="exact"/>
              <w:rPr>
                <w:rFonts w:ascii="仿宋_GB2312"/>
                <w:color w:val="auto"/>
                <w:sz w:val="24"/>
              </w:rPr>
            </w:pPr>
            <w:r>
              <w:rPr>
                <w:rFonts w:hint="eastAsia" w:ascii="仿宋_GB2312"/>
                <w:color w:val="auto"/>
                <w:sz w:val="24"/>
              </w:rPr>
              <w:t>吊销药品批准证明文件，吊销许可证；</w:t>
            </w:r>
          </w:p>
          <w:p>
            <w:pPr>
              <w:spacing w:line="320" w:lineRule="exact"/>
              <w:rPr>
                <w:rFonts w:ascii="仿宋_GB2312"/>
                <w:color w:val="auto"/>
                <w:sz w:val="24"/>
              </w:rPr>
            </w:pPr>
            <w:r>
              <w:rPr>
                <w:rFonts w:hint="eastAsia" w:ascii="仿宋_GB2312"/>
                <w:color w:val="auto"/>
                <w:sz w:val="24"/>
              </w:rPr>
              <w:t>五年内不得开展相关研究、试验；</w:t>
            </w:r>
          </w:p>
          <w:p>
            <w:pPr>
              <w:spacing w:line="320" w:lineRule="exact"/>
              <w:rPr>
                <w:rFonts w:ascii="仿宋_GB2312"/>
                <w:color w:val="auto"/>
                <w:sz w:val="24"/>
              </w:rPr>
            </w:pPr>
            <w:r>
              <w:rPr>
                <w:rFonts w:hint="eastAsia" w:ascii="仿宋_GB2312"/>
                <w:color w:val="auto"/>
                <w:sz w:val="24"/>
              </w:rPr>
              <w:t>没收违法行为发生期间所获收入；</w:t>
            </w:r>
          </w:p>
          <w:p>
            <w:pPr>
              <w:spacing w:line="320" w:lineRule="exact"/>
              <w:rPr>
                <w:rFonts w:ascii="仿宋_GB2312"/>
                <w:color w:val="auto"/>
                <w:sz w:val="24"/>
              </w:rPr>
            </w:pPr>
            <w:r>
              <w:rPr>
                <w:rFonts w:hint="eastAsia" w:ascii="仿宋_GB2312"/>
                <w:color w:val="auto"/>
                <w:sz w:val="24"/>
              </w:rPr>
              <w:t>十年直至终身禁止从业。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20" w:lineRule="exact"/>
              <w:rPr>
                <w:rFonts w:ascii="仿宋_GB2312"/>
                <w:color w:val="auto"/>
                <w:sz w:val="24"/>
              </w:rPr>
            </w:pPr>
            <w:r>
              <w:rPr>
                <w:rFonts w:hint="eastAsia" w:ascii="仿宋_GB2312"/>
                <w:color w:val="auto"/>
                <w:sz w:val="24"/>
              </w:rPr>
              <w:t>1.县级以上人民政府药品监督管理部门；</w:t>
            </w:r>
          </w:p>
          <w:p>
            <w:pPr>
              <w:spacing w:line="320" w:lineRule="exact"/>
              <w:rPr>
                <w:rFonts w:ascii="仿宋_GB2312"/>
                <w:color w:val="auto"/>
                <w:sz w:val="24"/>
              </w:rPr>
            </w:pPr>
            <w:r>
              <w:rPr>
                <w:rFonts w:hint="eastAsia" w:ascii="仿宋_GB2312"/>
                <w:color w:val="auto"/>
                <w:sz w:val="24"/>
              </w:rPr>
              <w:t>2.吊销批准证明文件、许可证件的，原批准、发证的部门。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20" w:lineRule="exact"/>
              <w:rPr>
                <w:rFonts w:ascii="仿宋_GB2312"/>
                <w:color w:val="auto"/>
                <w:sz w:val="24"/>
              </w:rPr>
            </w:pPr>
            <w:r>
              <w:rPr>
                <w:rFonts w:hint="eastAsia" w:ascii="仿宋_GB2312"/>
                <w:color w:val="auto"/>
                <w:sz w:val="24"/>
              </w:rPr>
              <w:t>逾期不改正的，处十万元以上五十万元以下的罚款；</w:t>
            </w:r>
          </w:p>
          <w:p>
            <w:pPr>
              <w:spacing w:line="320" w:lineRule="exact"/>
              <w:rPr>
                <w:rFonts w:ascii="仿宋_GB2312"/>
                <w:color w:val="auto"/>
                <w:sz w:val="24"/>
              </w:rPr>
            </w:pPr>
            <w:r>
              <w:rPr>
                <w:rFonts w:hint="eastAsia" w:ascii="仿宋_GB2312"/>
                <w:color w:val="auto"/>
                <w:sz w:val="24"/>
              </w:rPr>
              <w:t>情节严重的，处五十万元以上二百万元以下的罚款；</w:t>
            </w:r>
          </w:p>
          <w:p>
            <w:pPr>
              <w:spacing w:line="320" w:lineRule="exact"/>
              <w:rPr>
                <w:rFonts w:ascii="仿宋_GB2312"/>
                <w:color w:val="auto"/>
                <w:sz w:val="24"/>
              </w:rPr>
            </w:pPr>
            <w:r>
              <w:rPr>
                <w:rFonts w:hint="eastAsia" w:ascii="仿宋_GB2312"/>
                <w:color w:val="auto"/>
                <w:sz w:val="24"/>
              </w:rPr>
              <w:t>个人：处所获收入百分之十以上百分之五十以下的罚款，十年直至终身禁止从事药品生产经营等活动。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20" w:lineRule="exact"/>
              <w:jc w:val="center"/>
              <w:rPr>
                <w:rFonts w:ascii="仿宋_GB2312"/>
                <w:color w:val="auto"/>
                <w:sz w:val="24"/>
              </w:rPr>
            </w:pPr>
            <w:r>
              <w:rPr>
                <w:rFonts w:hint="eastAsia" w:ascii="仿宋_GB2312"/>
                <w:color w:val="auto"/>
                <w:sz w:val="24"/>
              </w:rPr>
              <w:t>裁量</w:t>
            </w:r>
          </w:p>
        </w:tc>
        <w:tc>
          <w:tcPr>
            <w:tcW w:w="3313" w:type="dxa"/>
            <w:vAlign w:val="center"/>
          </w:tcPr>
          <w:p>
            <w:pPr>
              <w:spacing w:line="320" w:lineRule="exact"/>
              <w:jc w:val="center"/>
              <w:rPr>
                <w:rFonts w:ascii="仿宋_GB2312"/>
                <w:color w:val="auto"/>
                <w:sz w:val="24"/>
              </w:rPr>
            </w:pPr>
            <w:r>
              <w:rPr>
                <w:rFonts w:hint="eastAsia" w:ascii="仿宋_GB2312"/>
                <w:color w:val="auto"/>
                <w:sz w:val="24"/>
              </w:rPr>
              <w:t>裁量因素</w:t>
            </w:r>
          </w:p>
        </w:tc>
        <w:tc>
          <w:tcPr>
            <w:tcW w:w="3121" w:type="dxa"/>
            <w:vAlign w:val="center"/>
          </w:tcPr>
          <w:p>
            <w:pPr>
              <w:spacing w:line="32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188" w:type="dxa"/>
            <w:vMerge w:val="restart"/>
          </w:tcPr>
          <w:p>
            <w:pPr>
              <w:spacing w:line="320" w:lineRule="exact"/>
              <w:rPr>
                <w:rFonts w:ascii="仿宋_GB2312"/>
                <w:color w:val="auto"/>
                <w:sz w:val="24"/>
              </w:rPr>
            </w:pPr>
          </w:p>
        </w:tc>
        <w:tc>
          <w:tcPr>
            <w:tcW w:w="900" w:type="dxa"/>
            <w:vAlign w:val="center"/>
          </w:tcPr>
          <w:p>
            <w:pPr>
              <w:spacing w:line="320" w:lineRule="exact"/>
              <w:jc w:val="center"/>
              <w:rPr>
                <w:rFonts w:ascii="仿宋_GB2312"/>
                <w:color w:val="auto"/>
                <w:sz w:val="24"/>
              </w:rPr>
            </w:pPr>
            <w:r>
              <w:rPr>
                <w:rFonts w:hint="eastAsia" w:ascii="仿宋_GB2312"/>
                <w:color w:val="auto"/>
                <w:sz w:val="24"/>
              </w:rPr>
              <w:t>中限</w:t>
            </w:r>
          </w:p>
        </w:tc>
        <w:tc>
          <w:tcPr>
            <w:tcW w:w="3313" w:type="dxa"/>
            <w:vAlign w:val="center"/>
          </w:tcPr>
          <w:p>
            <w:pPr>
              <w:spacing w:line="320" w:lineRule="exact"/>
              <w:rPr>
                <w:rFonts w:ascii="仿宋_GB2312"/>
                <w:color w:val="auto"/>
                <w:sz w:val="24"/>
              </w:rPr>
            </w:pPr>
            <w:r>
              <w:rPr>
                <w:rFonts w:hint="eastAsia" w:ascii="仿宋_GB2312"/>
                <w:color w:val="auto"/>
                <w:sz w:val="24"/>
              </w:rPr>
              <w:t>无本基准从重、从轻和减轻情节的</w:t>
            </w:r>
          </w:p>
        </w:tc>
        <w:tc>
          <w:tcPr>
            <w:tcW w:w="3121" w:type="dxa"/>
            <w:vAlign w:val="center"/>
          </w:tcPr>
          <w:p>
            <w:pPr>
              <w:spacing w:line="320" w:lineRule="exact"/>
              <w:rPr>
                <w:rFonts w:ascii="仿宋_GB2312"/>
                <w:color w:val="auto"/>
                <w:sz w:val="24"/>
              </w:rPr>
            </w:pPr>
            <w:r>
              <w:rPr>
                <w:rFonts w:hint="eastAsia" w:ascii="仿宋_GB2312"/>
                <w:color w:val="auto"/>
                <w:sz w:val="24"/>
              </w:rPr>
              <w:t>30万元罚款</w:t>
            </w:r>
          </w:p>
          <w:p>
            <w:pPr>
              <w:spacing w:line="320" w:lineRule="exact"/>
              <w:rPr>
                <w:rFonts w:ascii="仿宋_GB2312"/>
                <w:color w:val="auto"/>
                <w:sz w:val="24"/>
              </w:rPr>
            </w:pPr>
            <w:r>
              <w:rPr>
                <w:rFonts w:hint="eastAsia" w:ascii="仿宋_GB2312"/>
                <w:color w:val="auto"/>
                <w:sz w:val="24"/>
              </w:rPr>
              <w:t>情节严重的：125万元罚款</w:t>
            </w:r>
          </w:p>
          <w:p>
            <w:pPr>
              <w:spacing w:line="320" w:lineRule="exact"/>
              <w:rPr>
                <w:rFonts w:ascii="仿宋_GB2312"/>
                <w:color w:val="auto"/>
                <w:sz w:val="24"/>
              </w:rPr>
            </w:pPr>
            <w:r>
              <w:rPr>
                <w:rFonts w:hint="eastAsia" w:ascii="仿宋_GB2312"/>
                <w:color w:val="auto"/>
                <w:sz w:val="24"/>
              </w:rPr>
              <w:t>个人：所获收入30%罚款；20年内禁止从业。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tcPr>
          <w:p>
            <w:pPr>
              <w:spacing w:line="320" w:lineRule="exact"/>
              <w:rPr>
                <w:rFonts w:ascii="仿宋_GB2312"/>
                <w:color w:val="auto"/>
                <w:sz w:val="24"/>
              </w:rPr>
            </w:pPr>
          </w:p>
        </w:tc>
        <w:tc>
          <w:tcPr>
            <w:tcW w:w="900" w:type="dxa"/>
            <w:vAlign w:val="center"/>
          </w:tcPr>
          <w:p>
            <w:pPr>
              <w:spacing w:line="320" w:lineRule="exact"/>
              <w:jc w:val="center"/>
              <w:rPr>
                <w:rFonts w:ascii="仿宋_GB2312"/>
                <w:color w:val="auto"/>
                <w:sz w:val="24"/>
              </w:rPr>
            </w:pPr>
            <w:r>
              <w:rPr>
                <w:rFonts w:hint="eastAsia" w:ascii="仿宋_GB2312"/>
                <w:color w:val="auto"/>
                <w:sz w:val="24"/>
              </w:rPr>
              <w:t>减轻</w:t>
            </w:r>
          </w:p>
        </w:tc>
        <w:tc>
          <w:tcPr>
            <w:tcW w:w="3313"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20" w:lineRule="exact"/>
              <w:rPr>
                <w:rFonts w:ascii="仿宋_GB2312"/>
                <w:color w:val="auto"/>
                <w:sz w:val="24"/>
              </w:rPr>
            </w:pPr>
            <w:r>
              <w:rPr>
                <w:rFonts w:hint="eastAsia" w:ascii="仿宋_GB2312"/>
                <w:color w:val="auto"/>
                <w:sz w:val="24"/>
              </w:rPr>
              <w:t>1万元以上10万元以下罚款</w:t>
            </w:r>
          </w:p>
          <w:p>
            <w:pPr>
              <w:spacing w:line="320" w:lineRule="exact"/>
              <w:rPr>
                <w:rFonts w:ascii="仿宋_GB2312"/>
                <w:color w:val="auto"/>
                <w:sz w:val="24"/>
              </w:rPr>
            </w:pPr>
            <w:r>
              <w:rPr>
                <w:rFonts w:hint="eastAsia" w:ascii="仿宋_GB2312"/>
                <w:color w:val="auto"/>
                <w:sz w:val="24"/>
              </w:rPr>
              <w:t>情节严重的：5万元以上50万元以下罚款</w:t>
            </w:r>
          </w:p>
          <w:p>
            <w:pPr>
              <w:spacing w:line="320" w:lineRule="exact"/>
              <w:rPr>
                <w:rFonts w:ascii="仿宋_GB2312"/>
                <w:color w:val="auto"/>
                <w:sz w:val="24"/>
              </w:rPr>
            </w:pPr>
            <w:r>
              <w:rPr>
                <w:rFonts w:hint="eastAsia" w:ascii="仿宋_GB2312"/>
                <w:color w:val="auto"/>
                <w:sz w:val="24"/>
              </w:rPr>
              <w:t>个人：所获收入1%以上10%以下罚款；5年以上10年以下禁止从业</w:t>
            </w:r>
          </w:p>
        </w:tc>
      </w:tr>
    </w:tbl>
    <w:p>
      <w:pPr>
        <w:rPr>
          <w:rFonts w:eastAsia="宋体"/>
          <w:color w:val="auto"/>
          <w:sz w:val="21"/>
        </w:rPr>
      </w:pPr>
      <w:r>
        <w:rPr>
          <w:rFonts w:eastAsia="宋体"/>
          <w:color w:val="auto"/>
          <w:sz w:val="21"/>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13"/>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1188" w:type="dxa"/>
            <w:vMerge w:val="restart"/>
          </w:tcPr>
          <w:p>
            <w:pPr>
              <w:spacing w:line="360" w:lineRule="exact"/>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p>
            <w:pPr>
              <w:spacing w:line="360" w:lineRule="exact"/>
              <w:rPr>
                <w:rFonts w:ascii="仿宋_GB2312"/>
                <w:color w:val="auto"/>
                <w:sz w:val="24"/>
              </w:rPr>
            </w:pPr>
          </w:p>
        </w:tc>
        <w:tc>
          <w:tcPr>
            <w:tcW w:w="3121" w:type="dxa"/>
            <w:vAlign w:val="center"/>
          </w:tcPr>
          <w:p>
            <w:pPr>
              <w:spacing w:line="360" w:lineRule="exact"/>
              <w:rPr>
                <w:rFonts w:ascii="仿宋_GB2312"/>
                <w:color w:val="auto"/>
                <w:sz w:val="24"/>
              </w:rPr>
            </w:pPr>
            <w:r>
              <w:rPr>
                <w:rFonts w:hint="eastAsia" w:ascii="仿宋_GB2312"/>
                <w:color w:val="auto"/>
                <w:sz w:val="24"/>
              </w:rPr>
              <w:t>10万元以上30万元以下罚款</w:t>
            </w:r>
          </w:p>
          <w:p>
            <w:pPr>
              <w:spacing w:line="360" w:lineRule="exact"/>
              <w:rPr>
                <w:rFonts w:ascii="仿宋_GB2312"/>
                <w:color w:val="auto"/>
                <w:sz w:val="24"/>
              </w:rPr>
            </w:pPr>
            <w:r>
              <w:rPr>
                <w:rFonts w:hint="eastAsia" w:ascii="仿宋_GB2312"/>
                <w:color w:val="auto"/>
                <w:sz w:val="24"/>
              </w:rPr>
              <w:t>情节严重的：50万元以上125万元以下罚款</w:t>
            </w:r>
          </w:p>
          <w:p>
            <w:pPr>
              <w:spacing w:line="360" w:lineRule="exact"/>
              <w:rPr>
                <w:rFonts w:ascii="仿宋_GB2312"/>
                <w:color w:val="auto"/>
                <w:sz w:val="24"/>
              </w:rPr>
            </w:pPr>
            <w:r>
              <w:rPr>
                <w:rFonts w:hint="eastAsia" w:ascii="仿宋_GB2312"/>
                <w:color w:val="auto"/>
                <w:sz w:val="24"/>
              </w:rPr>
              <w:t>个人：所获收入10%以上30%以下罚款；10年以上20年以下禁止从业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88" w:type="dxa"/>
            <w:vMerge w:val="continue"/>
          </w:tcPr>
          <w:p>
            <w:pPr>
              <w:spacing w:line="360" w:lineRule="exact"/>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60" w:lineRule="exact"/>
              <w:rPr>
                <w:rFonts w:ascii="仿宋_GB2312"/>
                <w:color w:val="auto"/>
                <w:sz w:val="24"/>
              </w:rPr>
            </w:pPr>
            <w:r>
              <w:rPr>
                <w:rFonts w:hint="eastAsia" w:ascii="仿宋_GB2312"/>
                <w:color w:val="auto"/>
                <w:sz w:val="24"/>
              </w:rPr>
              <w:t>10万元罚款</w:t>
            </w:r>
          </w:p>
          <w:p>
            <w:pPr>
              <w:spacing w:line="360" w:lineRule="exact"/>
              <w:rPr>
                <w:rFonts w:ascii="仿宋_GB2312"/>
                <w:color w:val="auto"/>
                <w:sz w:val="24"/>
              </w:rPr>
            </w:pPr>
            <w:r>
              <w:rPr>
                <w:rFonts w:hint="eastAsia" w:ascii="仿宋_GB2312"/>
                <w:color w:val="auto"/>
                <w:sz w:val="24"/>
              </w:rPr>
              <w:t>情节严重的：50万元罚款</w:t>
            </w:r>
          </w:p>
          <w:p>
            <w:pPr>
              <w:spacing w:line="360" w:lineRule="exact"/>
              <w:rPr>
                <w:rFonts w:ascii="仿宋_GB2312"/>
                <w:color w:val="auto"/>
                <w:sz w:val="24"/>
              </w:rPr>
            </w:pPr>
            <w:r>
              <w:rPr>
                <w:rFonts w:hint="eastAsia" w:ascii="仿宋_GB2312"/>
                <w:color w:val="auto"/>
                <w:sz w:val="24"/>
              </w:rPr>
              <w:t>个人：所获收入10%罚款；10年内禁止从业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1188" w:type="dxa"/>
            <w:vMerge w:val="continue"/>
          </w:tcPr>
          <w:p>
            <w:pPr>
              <w:spacing w:line="360" w:lineRule="exact"/>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60" w:lineRule="exact"/>
              <w:rPr>
                <w:rFonts w:ascii="仿宋_GB2312"/>
                <w:color w:val="auto"/>
                <w:sz w:val="24"/>
              </w:rPr>
            </w:pPr>
          </w:p>
        </w:tc>
        <w:tc>
          <w:tcPr>
            <w:tcW w:w="3121" w:type="dxa"/>
            <w:vAlign w:val="center"/>
          </w:tcPr>
          <w:p>
            <w:pPr>
              <w:spacing w:line="360" w:lineRule="exact"/>
              <w:rPr>
                <w:rFonts w:ascii="仿宋_GB2312"/>
                <w:color w:val="auto"/>
                <w:sz w:val="24"/>
              </w:rPr>
            </w:pPr>
            <w:r>
              <w:rPr>
                <w:rFonts w:hint="eastAsia" w:ascii="仿宋_GB2312"/>
                <w:color w:val="auto"/>
                <w:sz w:val="24"/>
              </w:rPr>
              <w:t>30万元以上50万元以下罚款</w:t>
            </w:r>
          </w:p>
          <w:p>
            <w:pPr>
              <w:spacing w:line="360" w:lineRule="exact"/>
              <w:rPr>
                <w:rFonts w:ascii="仿宋_GB2312"/>
                <w:color w:val="auto"/>
                <w:sz w:val="24"/>
              </w:rPr>
            </w:pPr>
            <w:r>
              <w:rPr>
                <w:rFonts w:hint="eastAsia" w:ascii="仿宋_GB2312"/>
                <w:color w:val="auto"/>
                <w:sz w:val="24"/>
              </w:rPr>
              <w:t>情节严重的：125万元以上200万元以下罚款</w:t>
            </w:r>
          </w:p>
          <w:p>
            <w:pPr>
              <w:spacing w:line="360" w:lineRule="exact"/>
              <w:rPr>
                <w:rFonts w:ascii="仿宋_GB2312"/>
                <w:color w:val="auto"/>
                <w:sz w:val="24"/>
              </w:rPr>
            </w:pPr>
            <w:r>
              <w:rPr>
                <w:rFonts w:hint="eastAsia" w:ascii="仿宋_GB2312"/>
                <w:color w:val="auto"/>
                <w:sz w:val="24"/>
              </w:rPr>
              <w:t>个人：所获收入30%以上50%以下罚款；20年以上至终身禁止从业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188" w:type="dxa"/>
            <w:vMerge w:val="continue"/>
          </w:tcPr>
          <w:p>
            <w:pPr>
              <w:spacing w:line="360" w:lineRule="exact"/>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60" w:lineRule="exact"/>
              <w:rPr>
                <w:rFonts w:ascii="仿宋_GB2312"/>
                <w:color w:val="auto"/>
                <w:sz w:val="24"/>
              </w:rPr>
            </w:pPr>
            <w:r>
              <w:rPr>
                <w:rFonts w:hint="eastAsia" w:ascii="仿宋_GB2312"/>
                <w:color w:val="auto"/>
                <w:sz w:val="24"/>
              </w:rPr>
              <w:t>50万元罚款</w:t>
            </w:r>
          </w:p>
          <w:p>
            <w:pPr>
              <w:spacing w:line="360" w:lineRule="exact"/>
              <w:rPr>
                <w:rFonts w:ascii="仿宋_GB2312"/>
                <w:color w:val="auto"/>
                <w:sz w:val="24"/>
              </w:rPr>
            </w:pPr>
            <w:r>
              <w:rPr>
                <w:rFonts w:hint="eastAsia" w:ascii="仿宋_GB2312"/>
                <w:color w:val="auto"/>
                <w:sz w:val="24"/>
              </w:rPr>
              <w:t>情节严重的：200万元罚款</w:t>
            </w:r>
          </w:p>
          <w:p>
            <w:pPr>
              <w:spacing w:line="360" w:lineRule="exact"/>
              <w:rPr>
                <w:rFonts w:ascii="仿宋_GB2312"/>
                <w:color w:val="auto"/>
                <w:sz w:val="24"/>
              </w:rPr>
            </w:pPr>
            <w:r>
              <w:rPr>
                <w:rFonts w:hint="eastAsia" w:ascii="仿宋_GB2312"/>
                <w:color w:val="auto"/>
                <w:sz w:val="24"/>
              </w:rPr>
              <w:t>个人：所获收入50%罚款；终身禁止从业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22"/>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20" w:lineRule="exact"/>
              <w:rPr>
                <w:rFonts w:ascii="仿宋_GB2312"/>
                <w:color w:val="auto"/>
                <w:sz w:val="24"/>
              </w:rPr>
            </w:pPr>
            <w:r>
              <w:rPr>
                <w:rFonts w:hint="eastAsia" w:ascii="仿宋_GB2312"/>
                <w:color w:val="auto"/>
                <w:sz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20" w:lineRule="exact"/>
              <w:rPr>
                <w:rFonts w:ascii="仿宋_GB2312"/>
                <w:color w:val="auto"/>
                <w:sz w:val="24"/>
              </w:rPr>
            </w:pPr>
            <w:r>
              <w:rPr>
                <w:rFonts w:hint="eastAsia" w:ascii="仿宋_GB2312"/>
                <w:color w:val="auto"/>
                <w:sz w:val="24"/>
              </w:rPr>
              <w:t>1.开展生物等效性试验未备案；</w:t>
            </w:r>
          </w:p>
          <w:p>
            <w:pPr>
              <w:spacing w:line="320" w:lineRule="exact"/>
              <w:rPr>
                <w:rFonts w:ascii="仿宋_GB2312"/>
                <w:color w:val="auto"/>
                <w:sz w:val="24"/>
              </w:rPr>
            </w:pPr>
            <w:r>
              <w:rPr>
                <w:rFonts w:hint="eastAsia" w:ascii="仿宋_GB2312"/>
                <w:color w:val="auto"/>
                <w:sz w:val="24"/>
              </w:rPr>
              <w:t>2.药物临床试验期间，发现存在安全性问题或者其他风险，临床试验申办者未及时调整临床试验方案、暂停或者终止临床试验，或者未向国务院药品监督管理部门报告；</w:t>
            </w:r>
          </w:p>
          <w:p>
            <w:pPr>
              <w:spacing w:line="320" w:lineRule="exact"/>
              <w:rPr>
                <w:rFonts w:ascii="仿宋_GB2312"/>
                <w:color w:val="auto"/>
                <w:sz w:val="24"/>
              </w:rPr>
            </w:pPr>
            <w:r>
              <w:rPr>
                <w:rFonts w:hint="eastAsia" w:ascii="仿宋_GB2312"/>
                <w:color w:val="auto"/>
                <w:sz w:val="24"/>
              </w:rPr>
              <w:t>3.未按照规定建立并实施药品追溯制度；</w:t>
            </w:r>
          </w:p>
          <w:p>
            <w:pPr>
              <w:spacing w:line="320" w:lineRule="exact"/>
              <w:rPr>
                <w:rFonts w:ascii="仿宋_GB2312"/>
                <w:color w:val="auto"/>
                <w:sz w:val="24"/>
              </w:rPr>
            </w:pPr>
            <w:r>
              <w:rPr>
                <w:rFonts w:hint="eastAsia" w:ascii="仿宋_GB2312"/>
                <w:color w:val="auto"/>
                <w:sz w:val="24"/>
              </w:rPr>
              <w:t>4.未按照规定提交年度报告；</w:t>
            </w:r>
          </w:p>
          <w:p>
            <w:pPr>
              <w:spacing w:line="320" w:lineRule="exact"/>
              <w:rPr>
                <w:rFonts w:ascii="仿宋_GB2312"/>
                <w:color w:val="auto"/>
                <w:sz w:val="24"/>
              </w:rPr>
            </w:pPr>
            <w:r>
              <w:rPr>
                <w:rFonts w:hint="eastAsia" w:ascii="仿宋_GB2312"/>
                <w:color w:val="auto"/>
                <w:sz w:val="24"/>
              </w:rPr>
              <w:t>5.未按照规定对药品生产过程中的变更进行备案或者报告；</w:t>
            </w:r>
          </w:p>
          <w:p>
            <w:pPr>
              <w:spacing w:line="320" w:lineRule="exact"/>
              <w:rPr>
                <w:rFonts w:ascii="仿宋_GB2312"/>
                <w:color w:val="auto"/>
                <w:sz w:val="24"/>
              </w:rPr>
            </w:pPr>
            <w:r>
              <w:rPr>
                <w:rFonts w:hint="eastAsia" w:ascii="仿宋_GB2312"/>
                <w:color w:val="auto"/>
                <w:sz w:val="24"/>
              </w:rPr>
              <w:t>6.未制定药品上市后风险管理计划；</w:t>
            </w:r>
          </w:p>
          <w:p>
            <w:pPr>
              <w:spacing w:line="320" w:lineRule="exact"/>
              <w:rPr>
                <w:rFonts w:ascii="仿宋_GB2312"/>
                <w:color w:val="auto"/>
                <w:sz w:val="24"/>
              </w:rPr>
            </w:pPr>
            <w:r>
              <w:rPr>
                <w:rFonts w:hint="eastAsia" w:ascii="仿宋_GB2312"/>
                <w:color w:val="auto"/>
                <w:sz w:val="24"/>
              </w:rPr>
              <w:t>7.未按照规定开展药品上市后研究或者上市后评价。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2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第一百二十七条：违反本法规定，有下列行为之一的，责令限期改正，给予警告；逾期不改正的，处十万元以上五十万元以下的罚款：</w:t>
            </w:r>
          </w:p>
          <w:p>
            <w:pPr>
              <w:spacing w:line="320" w:lineRule="exact"/>
              <w:rPr>
                <w:rFonts w:ascii="仿宋_GB2312"/>
                <w:color w:val="auto"/>
                <w:sz w:val="24"/>
              </w:rPr>
            </w:pPr>
            <w:r>
              <w:rPr>
                <w:rFonts w:hint="eastAsia" w:ascii="仿宋_GB2312"/>
                <w:color w:val="auto"/>
                <w:sz w:val="24"/>
              </w:rPr>
              <w:t>（一）开展生物等效性试验未备案；</w:t>
            </w:r>
          </w:p>
          <w:p>
            <w:pPr>
              <w:spacing w:line="320" w:lineRule="exact"/>
              <w:rPr>
                <w:rFonts w:ascii="仿宋_GB2312"/>
                <w:color w:val="auto"/>
                <w:sz w:val="24"/>
              </w:rPr>
            </w:pPr>
            <w:r>
              <w:rPr>
                <w:rFonts w:hint="eastAsia" w:ascii="仿宋_GB2312"/>
                <w:color w:val="auto"/>
                <w:sz w:val="24"/>
              </w:rPr>
              <w:t>（二）药物临床试验期间，发现存在安全性问题或者其他风险，临床试验申办者未及时调整临床试验方案、暂停或者终止临床试验，或者未向国务院药品监督管理部门报告；</w:t>
            </w:r>
          </w:p>
          <w:p>
            <w:pPr>
              <w:spacing w:line="320" w:lineRule="exact"/>
              <w:rPr>
                <w:rFonts w:ascii="仿宋_GB2312"/>
                <w:color w:val="auto"/>
                <w:sz w:val="24"/>
              </w:rPr>
            </w:pPr>
            <w:r>
              <w:rPr>
                <w:rFonts w:hint="eastAsia" w:ascii="仿宋_GB2312"/>
                <w:color w:val="auto"/>
                <w:sz w:val="24"/>
              </w:rPr>
              <w:t>（三）未按照规定建立并实施药品追溯制度；</w:t>
            </w:r>
          </w:p>
          <w:p>
            <w:pPr>
              <w:spacing w:line="320" w:lineRule="exact"/>
              <w:rPr>
                <w:rFonts w:ascii="仿宋_GB2312"/>
                <w:color w:val="auto"/>
                <w:sz w:val="24"/>
              </w:rPr>
            </w:pPr>
            <w:r>
              <w:rPr>
                <w:rFonts w:hint="eastAsia" w:ascii="仿宋_GB2312"/>
                <w:color w:val="auto"/>
                <w:sz w:val="24"/>
              </w:rPr>
              <w:t>（四）未按照规定提交年度报告；</w:t>
            </w:r>
          </w:p>
          <w:p>
            <w:pPr>
              <w:spacing w:line="320" w:lineRule="exact"/>
              <w:rPr>
                <w:rFonts w:ascii="仿宋_GB2312"/>
                <w:color w:val="auto"/>
                <w:sz w:val="24"/>
              </w:rPr>
            </w:pPr>
            <w:r>
              <w:rPr>
                <w:rFonts w:hint="eastAsia" w:ascii="仿宋_GB2312"/>
                <w:color w:val="auto"/>
                <w:sz w:val="24"/>
              </w:rPr>
              <w:t>（五）未按照规定对药品生产过程中的变更进行备案或者报告；</w:t>
            </w:r>
          </w:p>
          <w:p>
            <w:pPr>
              <w:spacing w:line="320" w:lineRule="exact"/>
              <w:rPr>
                <w:rFonts w:ascii="仿宋_GB2312"/>
                <w:color w:val="auto"/>
                <w:sz w:val="24"/>
              </w:rPr>
            </w:pPr>
            <w:r>
              <w:rPr>
                <w:rFonts w:hint="eastAsia" w:ascii="仿宋_GB2312"/>
                <w:color w:val="auto"/>
                <w:sz w:val="24"/>
              </w:rPr>
              <w:t>（六）未制定药品上市后风险管理计划；</w:t>
            </w:r>
          </w:p>
          <w:p>
            <w:pPr>
              <w:spacing w:line="320" w:lineRule="exact"/>
              <w:rPr>
                <w:rFonts w:ascii="仿宋_GB2312"/>
                <w:color w:val="auto"/>
                <w:sz w:val="24"/>
              </w:rPr>
            </w:pPr>
            <w:r>
              <w:rPr>
                <w:rFonts w:hint="eastAsia" w:ascii="仿宋_GB2312"/>
                <w:color w:val="auto"/>
                <w:sz w:val="24"/>
              </w:rPr>
              <w:t>（七）未按照规定开展药品上市后研究或者上市后评价。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20" w:lineRule="exact"/>
              <w:rPr>
                <w:rFonts w:ascii="仿宋_GB2312"/>
                <w:color w:val="auto"/>
                <w:sz w:val="24"/>
              </w:rPr>
            </w:pPr>
            <w:r>
              <w:rPr>
                <w:rFonts w:hint="eastAsia" w:ascii="仿宋_GB2312"/>
                <w:color w:val="auto"/>
                <w:sz w:val="24"/>
              </w:rPr>
              <w:t>警告；</w:t>
            </w:r>
          </w:p>
          <w:p>
            <w:pPr>
              <w:spacing w:line="320" w:lineRule="exact"/>
              <w:rPr>
                <w:rFonts w:ascii="仿宋_GB2312"/>
                <w:color w:val="auto"/>
                <w:sz w:val="24"/>
              </w:rPr>
            </w:pPr>
            <w:r>
              <w:rPr>
                <w:rFonts w:hint="eastAsia" w:ascii="仿宋_GB2312"/>
                <w:color w:val="auto"/>
                <w:sz w:val="24"/>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2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20" w:lineRule="exact"/>
              <w:rPr>
                <w:rFonts w:ascii="仿宋_GB2312"/>
                <w:color w:val="auto"/>
                <w:sz w:val="24"/>
              </w:rPr>
            </w:pPr>
            <w:r>
              <w:rPr>
                <w:rFonts w:hint="eastAsia" w:ascii="仿宋_GB2312"/>
                <w:color w:val="auto"/>
                <w:sz w:val="24"/>
              </w:rPr>
              <w:t>处十万元以上五十万元以下的罚款。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20" w:lineRule="exact"/>
              <w:jc w:val="center"/>
              <w:rPr>
                <w:rFonts w:ascii="仿宋_GB2312"/>
                <w:color w:val="auto"/>
                <w:sz w:val="24"/>
              </w:rPr>
            </w:pPr>
            <w:r>
              <w:rPr>
                <w:rFonts w:hint="eastAsia" w:ascii="仿宋_GB2312"/>
                <w:color w:val="auto"/>
                <w:sz w:val="24"/>
              </w:rPr>
              <w:t>裁量</w:t>
            </w:r>
          </w:p>
        </w:tc>
        <w:tc>
          <w:tcPr>
            <w:tcW w:w="3322" w:type="dxa"/>
            <w:vAlign w:val="center"/>
          </w:tcPr>
          <w:p>
            <w:pPr>
              <w:spacing w:line="320" w:lineRule="exact"/>
              <w:jc w:val="center"/>
              <w:rPr>
                <w:rFonts w:ascii="仿宋_GB2312"/>
                <w:color w:val="auto"/>
                <w:sz w:val="24"/>
              </w:rPr>
            </w:pPr>
            <w:r>
              <w:rPr>
                <w:rFonts w:hint="eastAsia" w:ascii="仿宋_GB2312"/>
                <w:color w:val="auto"/>
                <w:sz w:val="24"/>
              </w:rPr>
              <w:t>裁量因素</w:t>
            </w:r>
          </w:p>
        </w:tc>
        <w:tc>
          <w:tcPr>
            <w:tcW w:w="3112"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20" w:lineRule="exact"/>
              <w:jc w:val="center"/>
              <w:rPr>
                <w:rFonts w:ascii="仿宋_GB2312"/>
                <w:color w:val="auto"/>
                <w:sz w:val="24"/>
              </w:rPr>
            </w:pPr>
            <w:r>
              <w:rPr>
                <w:rFonts w:hint="eastAsia" w:ascii="仿宋_GB2312"/>
                <w:color w:val="auto"/>
                <w:sz w:val="24"/>
              </w:rPr>
              <w:t>中限</w:t>
            </w:r>
          </w:p>
        </w:tc>
        <w:tc>
          <w:tcPr>
            <w:tcW w:w="3322" w:type="dxa"/>
            <w:vAlign w:val="center"/>
          </w:tcPr>
          <w:p>
            <w:pPr>
              <w:spacing w:line="320" w:lineRule="exact"/>
              <w:rPr>
                <w:rFonts w:ascii="仿宋_GB2312"/>
                <w:color w:val="auto"/>
                <w:sz w:val="24"/>
              </w:rPr>
            </w:pPr>
            <w:r>
              <w:rPr>
                <w:rFonts w:hint="eastAsia" w:ascii="仿宋_GB2312"/>
                <w:color w:val="auto"/>
                <w:sz w:val="24"/>
              </w:rPr>
              <w:t>无本基准从重、从轻和减轻情节的</w:t>
            </w:r>
          </w:p>
        </w:tc>
        <w:tc>
          <w:tcPr>
            <w:tcW w:w="3112" w:type="dxa"/>
            <w:vAlign w:val="center"/>
          </w:tcPr>
          <w:p>
            <w:pPr>
              <w:spacing w:line="360" w:lineRule="exact"/>
              <w:rPr>
                <w:rFonts w:ascii="仿宋_GB2312"/>
                <w:color w:val="auto"/>
                <w:sz w:val="24"/>
              </w:rPr>
            </w:pPr>
            <w:r>
              <w:rPr>
                <w:rFonts w:hint="eastAsia" w:ascii="仿宋_GB2312"/>
                <w:color w:val="auto"/>
                <w:sz w:val="24"/>
              </w:rPr>
              <w:t>30万元罚款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20" w:lineRule="exact"/>
              <w:jc w:val="center"/>
              <w:rPr>
                <w:rFonts w:ascii="仿宋_GB2312"/>
                <w:color w:val="auto"/>
                <w:sz w:val="24"/>
              </w:rPr>
            </w:pPr>
            <w:r>
              <w:rPr>
                <w:rFonts w:hint="eastAsia" w:ascii="仿宋_GB2312"/>
                <w:color w:val="auto"/>
                <w:sz w:val="24"/>
              </w:rPr>
              <w:t>减轻</w:t>
            </w:r>
          </w:p>
        </w:tc>
        <w:tc>
          <w:tcPr>
            <w:tcW w:w="3322"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12" w:type="dxa"/>
            <w:vAlign w:val="center"/>
          </w:tcPr>
          <w:p>
            <w:pPr>
              <w:spacing w:line="360" w:lineRule="exact"/>
              <w:rPr>
                <w:rFonts w:ascii="仿宋_GB2312"/>
                <w:color w:val="auto"/>
                <w:sz w:val="24"/>
              </w:rPr>
            </w:pPr>
            <w:r>
              <w:rPr>
                <w:rFonts w:hint="eastAsia" w:ascii="仿宋_GB2312"/>
                <w:color w:val="auto"/>
                <w:sz w:val="24"/>
              </w:rPr>
              <w:t>1万元以上10万元以下罚款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20" w:lineRule="exact"/>
              <w:jc w:val="center"/>
              <w:rPr>
                <w:rFonts w:ascii="仿宋_GB2312"/>
                <w:color w:val="auto"/>
                <w:sz w:val="24"/>
              </w:rPr>
            </w:pPr>
            <w:r>
              <w:rPr>
                <w:rFonts w:hint="eastAsia" w:ascii="仿宋_GB2312"/>
                <w:color w:val="auto"/>
                <w:sz w:val="24"/>
              </w:rPr>
              <w:t>从轻</w:t>
            </w:r>
          </w:p>
        </w:tc>
        <w:tc>
          <w:tcPr>
            <w:tcW w:w="3322"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12" w:type="dxa"/>
            <w:vAlign w:val="center"/>
          </w:tcPr>
          <w:p>
            <w:pPr>
              <w:spacing w:line="360" w:lineRule="exact"/>
              <w:rPr>
                <w:rFonts w:ascii="仿宋_GB2312"/>
                <w:color w:val="auto"/>
                <w:sz w:val="24"/>
              </w:rPr>
            </w:pPr>
            <w:r>
              <w:rPr>
                <w:rFonts w:hint="eastAsia" w:ascii="仿宋_GB2312"/>
                <w:color w:val="auto"/>
                <w:sz w:val="24"/>
              </w:rPr>
              <w:t>10万元以上30万元以下罚款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20" w:lineRule="exact"/>
              <w:jc w:val="center"/>
              <w:rPr>
                <w:rFonts w:ascii="仿宋_GB2312"/>
                <w:color w:val="auto"/>
                <w:sz w:val="24"/>
              </w:rPr>
            </w:pPr>
          </w:p>
        </w:tc>
        <w:tc>
          <w:tcPr>
            <w:tcW w:w="3322"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12" w:type="dxa"/>
            <w:vAlign w:val="center"/>
          </w:tcPr>
          <w:p>
            <w:pPr>
              <w:spacing w:line="360" w:lineRule="exact"/>
              <w:rPr>
                <w:rFonts w:ascii="仿宋_GB2312"/>
                <w:color w:val="auto"/>
                <w:sz w:val="24"/>
              </w:rPr>
            </w:pPr>
            <w:r>
              <w:rPr>
                <w:rFonts w:hint="eastAsia" w:ascii="仿宋_GB2312"/>
                <w:color w:val="auto"/>
                <w:sz w:val="24"/>
              </w:rPr>
              <w:t>10万元罚款</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22"/>
        <w:gridCol w:w="3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188" w:type="dxa"/>
            <w:vMerge w:val="restart"/>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12" w:type="dxa"/>
            <w:vAlign w:val="center"/>
          </w:tcPr>
          <w:p>
            <w:pPr>
              <w:spacing w:line="360" w:lineRule="exact"/>
              <w:rPr>
                <w:rFonts w:ascii="仿宋_GB2312"/>
                <w:color w:val="auto"/>
                <w:sz w:val="24"/>
              </w:rPr>
            </w:pPr>
            <w:r>
              <w:rPr>
                <w:rFonts w:hint="eastAsia" w:ascii="仿宋_GB2312"/>
                <w:color w:val="auto"/>
                <w:sz w:val="24"/>
              </w:rPr>
              <w:t>30万元以上50万元以下罚款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22"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12" w:type="dxa"/>
            <w:vAlign w:val="center"/>
          </w:tcPr>
          <w:p>
            <w:pPr>
              <w:spacing w:line="360" w:lineRule="exact"/>
              <w:rPr>
                <w:rFonts w:ascii="仿宋_GB2312"/>
                <w:color w:val="auto"/>
                <w:sz w:val="24"/>
              </w:rPr>
            </w:pPr>
            <w:r>
              <w:rPr>
                <w:rFonts w:hint="eastAsia" w:ascii="仿宋_GB2312"/>
                <w:color w:val="auto"/>
                <w:sz w:val="24"/>
              </w:rPr>
              <w:t>50万元罚款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41"/>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药品包装未按照规定印有、贴有标签或者附有说明书，标签、说明书未按照规定注明相关信息或者印有规定标志。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二十八条：除依法应当按照假药、劣药处罚的外，药品包装未按照规定印有、贴有标签或者附有说明书，标签、说明书未按照规定注明相关信息或者印有规定标志的，责令改正，给予警告；情节严重的，吊销药品注册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警告；</w:t>
            </w:r>
          </w:p>
          <w:p>
            <w:pPr>
              <w:spacing w:line="360" w:lineRule="exact"/>
              <w:rPr>
                <w:rFonts w:ascii="仿宋_GB2312"/>
                <w:color w:val="auto"/>
                <w:sz w:val="24"/>
              </w:rPr>
            </w:pPr>
            <w:r>
              <w:rPr>
                <w:rFonts w:hint="eastAsia" w:ascii="仿宋_GB2312"/>
                <w:color w:val="auto"/>
                <w:sz w:val="24"/>
              </w:rPr>
              <w:t>吊销注册证书。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1.县级以上人民政府药品监督管理部门；</w:t>
            </w:r>
          </w:p>
          <w:p>
            <w:pPr>
              <w:spacing w:line="360" w:lineRule="exact"/>
              <w:rPr>
                <w:rFonts w:ascii="仿宋_GB2312"/>
                <w:color w:val="auto"/>
                <w:sz w:val="24"/>
              </w:rPr>
            </w:pPr>
            <w:r>
              <w:rPr>
                <w:rFonts w:hint="eastAsia" w:ascii="仿宋_GB2312"/>
                <w:color w:val="auto"/>
                <w:sz w:val="24"/>
              </w:rPr>
              <w:t>2.吊销批准证明文件的，原批准、发证的部门。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无裁量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41"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093"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rPr>
                <w:rFonts w:ascii="仿宋_GB2312"/>
                <w:color w:val="auto"/>
                <w:sz w:val="24"/>
              </w:rPr>
            </w:pPr>
            <w:r>
              <w:rPr>
                <w:rFonts w:hint="eastAsia" w:ascii="仿宋_GB2312"/>
                <w:color w:val="auto"/>
                <w:sz w:val="24"/>
              </w:rPr>
              <w:t>中限</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rPr>
                <w:rFonts w:ascii="仿宋_GB2312"/>
                <w:color w:val="auto"/>
                <w:sz w:val="24"/>
              </w:rPr>
            </w:pPr>
            <w:r>
              <w:rPr>
                <w:rFonts w:hint="eastAsia" w:ascii="仿宋_GB2312"/>
                <w:color w:val="auto"/>
                <w:sz w:val="24"/>
              </w:rPr>
              <w:t>减轻</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rPr>
                <w:rFonts w:ascii="仿宋_GB2312"/>
                <w:color w:val="auto"/>
                <w:sz w:val="24"/>
              </w:rPr>
            </w:pPr>
            <w:r>
              <w:rPr>
                <w:rFonts w:hint="eastAsia" w:ascii="仿宋_GB2312"/>
                <w:color w:val="auto"/>
                <w:sz w:val="24"/>
              </w:rPr>
              <w:t>从轻</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rPr>
                <w:rFonts w:ascii="仿宋_GB2312"/>
                <w:color w:val="auto"/>
                <w:sz w:val="24"/>
              </w:rPr>
            </w:pPr>
            <w:r>
              <w:rPr>
                <w:rFonts w:hint="eastAsia" w:ascii="仿宋_GB2312"/>
                <w:color w:val="auto"/>
                <w:sz w:val="24"/>
              </w:rPr>
              <w:t>从重</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vAlign w:val="center"/>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41"/>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20" w:lineRule="exact"/>
              <w:rPr>
                <w:rFonts w:ascii="仿宋_GB2312"/>
                <w:color w:val="auto"/>
                <w:sz w:val="24"/>
              </w:rPr>
            </w:pPr>
            <w:r>
              <w:rPr>
                <w:rFonts w:hint="eastAsia" w:ascii="仿宋_GB2312"/>
                <w:color w:val="auto"/>
                <w:sz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20" w:lineRule="exact"/>
              <w:rPr>
                <w:rFonts w:ascii="仿宋_GB2312"/>
                <w:color w:val="auto"/>
                <w:sz w:val="24"/>
              </w:rPr>
            </w:pPr>
            <w:r>
              <w:rPr>
                <w:rFonts w:hint="eastAsia" w:ascii="仿宋_GB2312"/>
                <w:color w:val="auto"/>
                <w:sz w:val="24"/>
              </w:rPr>
              <w:t>从不具有生产、经营资格的企业或药品上市许可持有人处购进药品。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0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二十九条：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00" w:lineRule="exact"/>
              <w:rPr>
                <w:rFonts w:ascii="仿宋_GB2312"/>
                <w:color w:val="auto"/>
                <w:sz w:val="24"/>
              </w:rPr>
            </w:pPr>
            <w:r>
              <w:rPr>
                <w:rFonts w:hint="eastAsia" w:ascii="仿宋_GB2312"/>
                <w:color w:val="auto"/>
                <w:sz w:val="24"/>
              </w:rPr>
              <w:t>没收违法所得，没收非法财物；</w:t>
            </w:r>
          </w:p>
          <w:p>
            <w:pPr>
              <w:spacing w:line="300" w:lineRule="exact"/>
              <w:rPr>
                <w:rFonts w:ascii="仿宋_GB2312"/>
                <w:color w:val="auto"/>
                <w:sz w:val="24"/>
              </w:rPr>
            </w:pPr>
            <w:r>
              <w:rPr>
                <w:rFonts w:hint="eastAsia" w:ascii="仿宋_GB2312"/>
                <w:color w:val="auto"/>
                <w:sz w:val="24"/>
              </w:rPr>
              <w:t>并处罚款；</w:t>
            </w:r>
          </w:p>
          <w:p>
            <w:pPr>
              <w:spacing w:line="300" w:lineRule="exact"/>
              <w:rPr>
                <w:rFonts w:ascii="仿宋_GB2312"/>
                <w:color w:val="auto"/>
                <w:sz w:val="24"/>
              </w:rPr>
            </w:pPr>
            <w:r>
              <w:rPr>
                <w:rFonts w:hint="eastAsia" w:ascii="仿宋_GB2312"/>
                <w:color w:val="auto"/>
                <w:sz w:val="24"/>
              </w:rPr>
              <w:t>吊销药品批准证明文件、许可证。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00" w:lineRule="exact"/>
              <w:rPr>
                <w:rFonts w:ascii="仿宋_GB2312"/>
                <w:color w:val="auto"/>
                <w:sz w:val="24"/>
              </w:rPr>
            </w:pPr>
            <w:r>
              <w:rPr>
                <w:rFonts w:hint="eastAsia" w:ascii="仿宋_GB2312"/>
                <w:color w:val="auto"/>
                <w:sz w:val="24"/>
              </w:rPr>
              <w:t>1.县级以上人民政府药品监督管理部门；</w:t>
            </w:r>
          </w:p>
          <w:p>
            <w:pPr>
              <w:spacing w:line="300" w:lineRule="exact"/>
              <w:rPr>
                <w:rFonts w:ascii="仿宋_GB2312"/>
                <w:color w:val="auto"/>
                <w:sz w:val="24"/>
              </w:rPr>
            </w:pPr>
            <w:r>
              <w:rPr>
                <w:rFonts w:hint="eastAsia" w:ascii="仿宋_GB2312"/>
                <w:color w:val="auto"/>
                <w:sz w:val="24"/>
              </w:rPr>
              <w:t>2.吊销批准证明文件、许可证件、执业证书的，原批准、发证的部门。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00" w:lineRule="exact"/>
              <w:rPr>
                <w:rFonts w:ascii="仿宋_GB2312"/>
                <w:color w:val="auto"/>
                <w:sz w:val="24"/>
              </w:rPr>
            </w:pPr>
            <w:r>
              <w:rPr>
                <w:rFonts w:hint="eastAsia" w:ascii="仿宋_GB2312"/>
                <w:color w:val="auto"/>
                <w:sz w:val="24"/>
              </w:rPr>
              <w:t>处违法购进药品货值金额二倍以上十倍以下的罚款；</w:t>
            </w:r>
          </w:p>
          <w:p>
            <w:pPr>
              <w:spacing w:line="300" w:lineRule="exact"/>
              <w:rPr>
                <w:rFonts w:ascii="仿宋_GB2312"/>
                <w:b/>
                <w:bCs/>
                <w:color w:val="auto"/>
                <w:sz w:val="24"/>
              </w:rPr>
            </w:pPr>
            <w:r>
              <w:rPr>
                <w:rFonts w:hint="eastAsia" w:ascii="仿宋_GB2312"/>
                <w:color w:val="auto"/>
                <w:sz w:val="24"/>
              </w:rPr>
              <w:t>情节严重的：处货值金额十倍以上三十倍以下的罚款</w:t>
            </w:r>
            <w:r>
              <w:rPr>
                <w:rFonts w:hint="eastAsia" w:ascii="仿宋_GB2312"/>
                <w:b/>
                <w:bCs/>
                <w:color w:val="auto"/>
                <w:sz w:val="24"/>
              </w:rPr>
              <w:t>。</w:t>
            </w:r>
          </w:p>
          <w:p>
            <w:pPr>
              <w:spacing w:line="300" w:lineRule="exact"/>
              <w:rPr>
                <w:rFonts w:ascii="仿宋_GB2312"/>
                <w:color w:val="auto"/>
                <w:sz w:val="24"/>
              </w:rPr>
            </w:pPr>
            <w:r>
              <w:rPr>
                <w:rFonts w:hint="eastAsia" w:ascii="仿宋_GB2312"/>
                <w:color w:val="auto"/>
                <w:sz w:val="24"/>
              </w:rPr>
              <w:t>货值金额不足五万元的，按五万元计算。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2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00" w:lineRule="exact"/>
              <w:jc w:val="center"/>
              <w:rPr>
                <w:rFonts w:ascii="仿宋_GB2312"/>
                <w:color w:val="auto"/>
                <w:sz w:val="24"/>
              </w:rPr>
            </w:pPr>
            <w:r>
              <w:rPr>
                <w:rFonts w:hint="eastAsia" w:ascii="仿宋_GB2312"/>
                <w:color w:val="auto"/>
                <w:sz w:val="24"/>
              </w:rPr>
              <w:t>裁量</w:t>
            </w:r>
          </w:p>
        </w:tc>
        <w:tc>
          <w:tcPr>
            <w:tcW w:w="3341" w:type="dxa"/>
            <w:vAlign w:val="center"/>
          </w:tcPr>
          <w:p>
            <w:pPr>
              <w:spacing w:line="300" w:lineRule="exact"/>
              <w:jc w:val="center"/>
              <w:rPr>
                <w:rFonts w:ascii="仿宋_GB2312"/>
                <w:color w:val="auto"/>
                <w:sz w:val="24"/>
              </w:rPr>
            </w:pPr>
            <w:r>
              <w:rPr>
                <w:rFonts w:hint="eastAsia" w:ascii="仿宋_GB2312"/>
                <w:color w:val="auto"/>
                <w:sz w:val="24"/>
              </w:rPr>
              <w:t>裁量因素</w:t>
            </w:r>
          </w:p>
        </w:tc>
        <w:tc>
          <w:tcPr>
            <w:tcW w:w="3093" w:type="dxa"/>
            <w:vAlign w:val="center"/>
          </w:tcPr>
          <w:p>
            <w:pPr>
              <w:spacing w:line="30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20" w:lineRule="exact"/>
              <w:jc w:val="center"/>
              <w:rPr>
                <w:rFonts w:ascii="仿宋_GB2312"/>
                <w:color w:val="auto"/>
                <w:sz w:val="24"/>
              </w:rPr>
            </w:pPr>
          </w:p>
        </w:tc>
        <w:tc>
          <w:tcPr>
            <w:tcW w:w="900" w:type="dxa"/>
            <w:vAlign w:val="center"/>
          </w:tcPr>
          <w:p>
            <w:pPr>
              <w:spacing w:line="300" w:lineRule="exact"/>
              <w:jc w:val="center"/>
              <w:rPr>
                <w:rFonts w:ascii="仿宋_GB2312"/>
                <w:color w:val="auto"/>
                <w:sz w:val="24"/>
              </w:rPr>
            </w:pPr>
            <w:r>
              <w:rPr>
                <w:rFonts w:hint="eastAsia" w:ascii="仿宋_GB2312"/>
                <w:color w:val="auto"/>
                <w:sz w:val="24"/>
              </w:rPr>
              <w:t>中限</w:t>
            </w:r>
          </w:p>
        </w:tc>
        <w:tc>
          <w:tcPr>
            <w:tcW w:w="3341" w:type="dxa"/>
            <w:vAlign w:val="center"/>
          </w:tcPr>
          <w:p>
            <w:pPr>
              <w:spacing w:line="300" w:lineRule="exact"/>
              <w:rPr>
                <w:rFonts w:ascii="仿宋_GB2312"/>
                <w:color w:val="auto"/>
                <w:sz w:val="24"/>
              </w:rPr>
            </w:pPr>
            <w:r>
              <w:rPr>
                <w:rFonts w:hint="eastAsia" w:ascii="仿宋_GB2312"/>
                <w:color w:val="auto"/>
                <w:sz w:val="24"/>
              </w:rPr>
              <w:t>无本基准从重、从轻和减轻情节的</w:t>
            </w:r>
          </w:p>
        </w:tc>
        <w:tc>
          <w:tcPr>
            <w:tcW w:w="3093" w:type="dxa"/>
            <w:vAlign w:val="center"/>
          </w:tcPr>
          <w:p>
            <w:pPr>
              <w:spacing w:line="300" w:lineRule="exact"/>
              <w:rPr>
                <w:rFonts w:ascii="仿宋_GB2312"/>
                <w:color w:val="auto"/>
                <w:sz w:val="24"/>
              </w:rPr>
            </w:pPr>
            <w:r>
              <w:rPr>
                <w:rFonts w:hint="eastAsia" w:ascii="仿宋_GB2312"/>
                <w:color w:val="auto"/>
                <w:sz w:val="24"/>
              </w:rPr>
              <w:t>货值金额的6倍罚款</w:t>
            </w:r>
          </w:p>
          <w:p>
            <w:pPr>
              <w:spacing w:line="300" w:lineRule="exact"/>
              <w:rPr>
                <w:rFonts w:ascii="仿宋_GB2312"/>
                <w:color w:val="auto"/>
                <w:sz w:val="24"/>
              </w:rPr>
            </w:pPr>
            <w:r>
              <w:rPr>
                <w:rFonts w:hint="eastAsia" w:ascii="仿宋_GB2312"/>
                <w:color w:val="auto"/>
                <w:sz w:val="24"/>
              </w:rPr>
              <w:t>情节严重的：货值金额的20倍罚款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20" w:lineRule="exact"/>
              <w:jc w:val="center"/>
              <w:rPr>
                <w:rFonts w:ascii="仿宋_GB2312"/>
                <w:color w:val="auto"/>
                <w:sz w:val="24"/>
              </w:rPr>
            </w:pPr>
          </w:p>
        </w:tc>
        <w:tc>
          <w:tcPr>
            <w:tcW w:w="900" w:type="dxa"/>
            <w:vAlign w:val="center"/>
          </w:tcPr>
          <w:p>
            <w:pPr>
              <w:spacing w:line="300" w:lineRule="exact"/>
              <w:jc w:val="center"/>
              <w:rPr>
                <w:rFonts w:ascii="仿宋_GB2312"/>
                <w:color w:val="auto"/>
                <w:sz w:val="24"/>
              </w:rPr>
            </w:pPr>
            <w:r>
              <w:rPr>
                <w:rFonts w:hint="eastAsia" w:ascii="仿宋_GB2312"/>
                <w:color w:val="auto"/>
                <w:sz w:val="24"/>
              </w:rPr>
              <w:t>减轻</w:t>
            </w:r>
          </w:p>
        </w:tc>
        <w:tc>
          <w:tcPr>
            <w:tcW w:w="3341"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093" w:type="dxa"/>
            <w:vAlign w:val="center"/>
          </w:tcPr>
          <w:p>
            <w:pPr>
              <w:spacing w:line="300" w:lineRule="exact"/>
              <w:rPr>
                <w:rFonts w:ascii="仿宋_GB2312"/>
                <w:color w:val="auto"/>
                <w:sz w:val="24"/>
              </w:rPr>
            </w:pPr>
            <w:r>
              <w:rPr>
                <w:rFonts w:hint="eastAsia" w:ascii="仿宋_GB2312"/>
                <w:color w:val="auto"/>
                <w:sz w:val="24"/>
              </w:rPr>
              <w:t>1万元以上货值金额的2倍以下罚款</w:t>
            </w:r>
          </w:p>
          <w:p>
            <w:pPr>
              <w:spacing w:line="300" w:lineRule="exact"/>
              <w:rPr>
                <w:rFonts w:ascii="仿宋_GB2312"/>
                <w:color w:val="auto"/>
                <w:sz w:val="24"/>
              </w:rPr>
            </w:pPr>
            <w:r>
              <w:rPr>
                <w:rFonts w:hint="eastAsia" w:ascii="仿宋_GB2312"/>
                <w:color w:val="auto"/>
                <w:sz w:val="24"/>
              </w:rPr>
              <w:t>情节严重的：5万元以上货值金额的10倍以下罚款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188" w:type="dxa"/>
            <w:vMerge w:val="continue"/>
            <w:vAlign w:val="center"/>
          </w:tcPr>
          <w:p>
            <w:pPr>
              <w:spacing w:line="320" w:lineRule="exact"/>
              <w:jc w:val="center"/>
              <w:rPr>
                <w:rFonts w:ascii="仿宋_GB2312"/>
                <w:color w:val="auto"/>
                <w:sz w:val="24"/>
              </w:rPr>
            </w:pPr>
          </w:p>
        </w:tc>
        <w:tc>
          <w:tcPr>
            <w:tcW w:w="900" w:type="dxa"/>
            <w:vMerge w:val="restart"/>
            <w:vAlign w:val="center"/>
          </w:tcPr>
          <w:p>
            <w:pPr>
              <w:spacing w:line="300" w:lineRule="exact"/>
              <w:jc w:val="center"/>
              <w:rPr>
                <w:rFonts w:ascii="仿宋_GB2312"/>
                <w:color w:val="auto"/>
                <w:sz w:val="24"/>
              </w:rPr>
            </w:pPr>
            <w:r>
              <w:rPr>
                <w:rFonts w:hint="eastAsia" w:ascii="仿宋_GB2312"/>
                <w:color w:val="auto"/>
                <w:sz w:val="24"/>
              </w:rPr>
              <w:t>从轻</w:t>
            </w:r>
          </w:p>
        </w:tc>
        <w:tc>
          <w:tcPr>
            <w:tcW w:w="3341"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093" w:type="dxa"/>
            <w:vAlign w:val="center"/>
          </w:tcPr>
          <w:p>
            <w:pPr>
              <w:spacing w:line="300" w:lineRule="exact"/>
              <w:rPr>
                <w:rFonts w:ascii="仿宋_GB2312"/>
                <w:color w:val="auto"/>
                <w:sz w:val="24"/>
              </w:rPr>
            </w:pPr>
            <w:r>
              <w:rPr>
                <w:rFonts w:hint="eastAsia" w:ascii="仿宋_GB2312"/>
                <w:color w:val="auto"/>
                <w:sz w:val="24"/>
              </w:rPr>
              <w:t>货值金额的2倍以上6倍以下罚款</w:t>
            </w:r>
          </w:p>
          <w:p>
            <w:pPr>
              <w:spacing w:line="300" w:lineRule="exact"/>
              <w:rPr>
                <w:rFonts w:ascii="仿宋_GB2312"/>
                <w:color w:val="auto"/>
                <w:sz w:val="24"/>
              </w:rPr>
            </w:pPr>
            <w:r>
              <w:rPr>
                <w:rFonts w:hint="eastAsia" w:ascii="仿宋_GB2312"/>
                <w:color w:val="auto"/>
                <w:sz w:val="24"/>
              </w:rPr>
              <w:t>情节严重的：货值金额的10倍以上20倍以下罚款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188" w:type="dxa"/>
            <w:vMerge w:val="continue"/>
            <w:vAlign w:val="center"/>
          </w:tcPr>
          <w:p>
            <w:pPr>
              <w:spacing w:line="320" w:lineRule="exact"/>
              <w:jc w:val="center"/>
              <w:rPr>
                <w:rFonts w:ascii="仿宋_GB2312"/>
                <w:color w:val="auto"/>
                <w:sz w:val="24"/>
              </w:rPr>
            </w:pPr>
          </w:p>
        </w:tc>
        <w:tc>
          <w:tcPr>
            <w:tcW w:w="900" w:type="dxa"/>
            <w:vMerge w:val="continue"/>
            <w:vAlign w:val="center"/>
          </w:tcPr>
          <w:p>
            <w:pPr>
              <w:spacing w:line="300" w:lineRule="exact"/>
              <w:jc w:val="center"/>
              <w:rPr>
                <w:rFonts w:ascii="仿宋_GB2312"/>
                <w:color w:val="auto"/>
                <w:sz w:val="24"/>
              </w:rPr>
            </w:pPr>
          </w:p>
        </w:tc>
        <w:tc>
          <w:tcPr>
            <w:tcW w:w="3341"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093" w:type="dxa"/>
            <w:vAlign w:val="center"/>
          </w:tcPr>
          <w:p>
            <w:pPr>
              <w:spacing w:line="300" w:lineRule="exact"/>
              <w:rPr>
                <w:rFonts w:ascii="仿宋_GB2312"/>
                <w:color w:val="auto"/>
                <w:sz w:val="24"/>
              </w:rPr>
            </w:pPr>
            <w:r>
              <w:rPr>
                <w:rFonts w:hint="eastAsia" w:ascii="仿宋_GB2312"/>
                <w:color w:val="auto"/>
                <w:sz w:val="24"/>
              </w:rPr>
              <w:t>货值金额的2倍罚款</w:t>
            </w:r>
          </w:p>
          <w:p>
            <w:pPr>
              <w:spacing w:line="300" w:lineRule="exact"/>
              <w:rPr>
                <w:rFonts w:ascii="仿宋_GB2312"/>
                <w:color w:val="auto"/>
                <w:sz w:val="24"/>
              </w:rPr>
            </w:pPr>
            <w:r>
              <w:rPr>
                <w:rFonts w:hint="eastAsia" w:ascii="仿宋_GB2312"/>
                <w:color w:val="auto"/>
                <w:sz w:val="24"/>
              </w:rPr>
              <w:t>情节严重的：货值金额的10倍罚款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88" w:type="dxa"/>
            <w:vMerge w:val="continue"/>
            <w:vAlign w:val="center"/>
          </w:tcPr>
          <w:p>
            <w:pPr>
              <w:spacing w:line="320" w:lineRule="exact"/>
              <w:jc w:val="center"/>
              <w:rPr>
                <w:rFonts w:ascii="仿宋_GB2312"/>
                <w:color w:val="auto"/>
                <w:sz w:val="24"/>
              </w:rPr>
            </w:pPr>
          </w:p>
        </w:tc>
        <w:tc>
          <w:tcPr>
            <w:tcW w:w="900" w:type="dxa"/>
            <w:vMerge w:val="restart"/>
            <w:vAlign w:val="center"/>
          </w:tcPr>
          <w:p>
            <w:pPr>
              <w:spacing w:line="300" w:lineRule="exact"/>
              <w:jc w:val="center"/>
              <w:rPr>
                <w:rFonts w:ascii="仿宋_GB2312"/>
                <w:color w:val="auto"/>
                <w:sz w:val="24"/>
              </w:rPr>
            </w:pPr>
            <w:r>
              <w:rPr>
                <w:rFonts w:hint="eastAsia" w:ascii="仿宋_GB2312"/>
                <w:color w:val="auto"/>
                <w:sz w:val="24"/>
              </w:rPr>
              <w:t>从重</w:t>
            </w:r>
          </w:p>
        </w:tc>
        <w:tc>
          <w:tcPr>
            <w:tcW w:w="3341"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00" w:lineRule="exact"/>
              <w:rPr>
                <w:rFonts w:ascii="仿宋_GB2312"/>
                <w:color w:val="auto"/>
                <w:sz w:val="24"/>
              </w:rPr>
            </w:pPr>
          </w:p>
        </w:tc>
        <w:tc>
          <w:tcPr>
            <w:tcW w:w="3093" w:type="dxa"/>
            <w:vAlign w:val="center"/>
          </w:tcPr>
          <w:p>
            <w:pPr>
              <w:spacing w:line="300" w:lineRule="exact"/>
              <w:rPr>
                <w:rFonts w:ascii="仿宋_GB2312"/>
                <w:color w:val="auto"/>
                <w:sz w:val="24"/>
              </w:rPr>
            </w:pPr>
            <w:r>
              <w:rPr>
                <w:rFonts w:hint="eastAsia" w:ascii="仿宋_GB2312"/>
                <w:color w:val="auto"/>
                <w:sz w:val="24"/>
              </w:rPr>
              <w:t>货值金额的6倍以上10倍以下罚款</w:t>
            </w:r>
          </w:p>
          <w:p>
            <w:pPr>
              <w:spacing w:line="300" w:lineRule="exact"/>
              <w:rPr>
                <w:rFonts w:ascii="仿宋_GB2312"/>
                <w:color w:val="auto"/>
                <w:sz w:val="24"/>
              </w:rPr>
            </w:pPr>
            <w:r>
              <w:rPr>
                <w:rFonts w:hint="eastAsia" w:ascii="仿宋_GB2312"/>
                <w:color w:val="auto"/>
                <w:sz w:val="24"/>
              </w:rPr>
              <w:t>情节严重的：货值金额的20倍以上30倍以下罚款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188" w:type="dxa"/>
            <w:vMerge w:val="continue"/>
            <w:vAlign w:val="center"/>
          </w:tcPr>
          <w:p>
            <w:pPr>
              <w:spacing w:line="320" w:lineRule="exact"/>
              <w:jc w:val="center"/>
              <w:rPr>
                <w:rFonts w:ascii="仿宋_GB2312"/>
                <w:color w:val="auto"/>
                <w:sz w:val="24"/>
              </w:rPr>
            </w:pPr>
          </w:p>
        </w:tc>
        <w:tc>
          <w:tcPr>
            <w:tcW w:w="900" w:type="dxa"/>
            <w:vMerge w:val="continue"/>
            <w:vAlign w:val="center"/>
          </w:tcPr>
          <w:p>
            <w:pPr>
              <w:spacing w:line="300" w:lineRule="exact"/>
              <w:jc w:val="center"/>
              <w:rPr>
                <w:rFonts w:ascii="仿宋_GB2312"/>
                <w:color w:val="auto"/>
                <w:sz w:val="24"/>
              </w:rPr>
            </w:pPr>
          </w:p>
        </w:tc>
        <w:tc>
          <w:tcPr>
            <w:tcW w:w="3341" w:type="dxa"/>
            <w:vAlign w:val="center"/>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093" w:type="dxa"/>
            <w:vAlign w:val="center"/>
          </w:tcPr>
          <w:p>
            <w:pPr>
              <w:spacing w:line="300" w:lineRule="exact"/>
              <w:rPr>
                <w:rFonts w:ascii="仿宋_GB2312"/>
                <w:color w:val="auto"/>
                <w:sz w:val="24"/>
              </w:rPr>
            </w:pPr>
            <w:r>
              <w:rPr>
                <w:rFonts w:hint="eastAsia" w:ascii="仿宋_GB2312"/>
                <w:color w:val="auto"/>
                <w:sz w:val="24"/>
              </w:rPr>
              <w:t>货值金额的10倍罚款</w:t>
            </w:r>
          </w:p>
          <w:p>
            <w:pPr>
              <w:spacing w:line="300" w:lineRule="exact"/>
              <w:rPr>
                <w:rFonts w:ascii="仿宋_GB2312"/>
                <w:color w:val="auto"/>
                <w:sz w:val="24"/>
              </w:rPr>
            </w:pPr>
            <w:r>
              <w:rPr>
                <w:rFonts w:hint="eastAsia" w:ascii="仿宋_GB2312"/>
                <w:color w:val="auto"/>
                <w:sz w:val="24"/>
              </w:rPr>
              <w:t>情节严重的：货值金额的30倍罚款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20" w:lineRule="exact"/>
              <w:jc w:val="center"/>
              <w:rPr>
                <w:rFonts w:ascii="仿宋_GB2312"/>
                <w:color w:val="auto"/>
                <w:sz w:val="24"/>
              </w:rPr>
            </w:pPr>
            <w:r>
              <w:rPr>
                <w:rFonts w:hint="eastAsia" w:ascii="仿宋_GB2312"/>
                <w:color w:val="auto"/>
                <w:sz w:val="24"/>
              </w:rPr>
              <w:t>说明</w:t>
            </w:r>
          </w:p>
        </w:tc>
        <w:tc>
          <w:tcPr>
            <w:tcW w:w="7334" w:type="dxa"/>
            <w:gridSpan w:val="3"/>
            <w:vAlign w:val="center"/>
          </w:tcPr>
          <w:p>
            <w:pPr>
              <w:spacing w:line="320" w:lineRule="exact"/>
              <w:rPr>
                <w:rFonts w:ascii="仿宋_GB2312"/>
                <w:color w:val="auto"/>
                <w:sz w:val="24"/>
              </w:rPr>
            </w:pPr>
          </w:p>
        </w:tc>
      </w:tr>
    </w:tbl>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41"/>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药品经营企业购销药品未按照规定进行记录，零售药品未正确说明用法、用量等事项，或者未按照规定调配处方。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第一百三十条：违反本法规定，药品经营企业购销药品未按照规定进行记录，零售药品未正确说明用法、用量等事项，或者未按照规定调配处方的，责令改正，给予警告；情节严重的，吊销药品经营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警告；</w:t>
            </w:r>
          </w:p>
          <w:p>
            <w:pPr>
              <w:spacing w:line="360" w:lineRule="exact"/>
              <w:rPr>
                <w:rFonts w:ascii="仿宋_GB2312"/>
                <w:color w:val="auto"/>
                <w:sz w:val="24"/>
              </w:rPr>
            </w:pPr>
            <w:r>
              <w:rPr>
                <w:rFonts w:hint="eastAsia" w:ascii="仿宋_GB2312"/>
                <w:color w:val="auto"/>
                <w:sz w:val="24"/>
              </w:rPr>
              <w:t>吊销许可证。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1.县级以上人民政府药品监督管理部门；</w:t>
            </w:r>
          </w:p>
          <w:p>
            <w:pPr>
              <w:spacing w:line="360" w:lineRule="exact"/>
              <w:rPr>
                <w:rFonts w:ascii="仿宋_GB2312"/>
                <w:color w:val="auto"/>
                <w:sz w:val="24"/>
              </w:rPr>
            </w:pPr>
            <w:r>
              <w:rPr>
                <w:rFonts w:hint="eastAsia" w:ascii="仿宋_GB2312"/>
                <w:color w:val="auto"/>
                <w:sz w:val="24"/>
              </w:rPr>
              <w:t>2.吊销许可证件的，原批准、发证的部门。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无裁量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41"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093"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从轻</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从重</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vAlign w:val="center"/>
          </w:tcPr>
          <w:p>
            <w:pPr>
              <w:spacing w:line="360" w:lineRule="exact"/>
              <w:jc w:val="center"/>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03"/>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药品网络交易第三方平台提供者未履行资质审核、报告、停止提供网络交易平台服务等义务。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一条：违反本法规定，药品网络交易第三方平台提供者未履行资质审核、报告、停止提供网络交易平台服务等义务的，责令改正，没收违法所得，并处二十万元以上二百万元以下的罚款；情节严重的，责令停业整顿，并处二百万元以上五百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没收违法所得；</w:t>
            </w:r>
          </w:p>
          <w:p>
            <w:pPr>
              <w:spacing w:line="360" w:lineRule="exact"/>
              <w:rPr>
                <w:rFonts w:ascii="仿宋_GB2312"/>
                <w:color w:val="auto"/>
                <w:sz w:val="24"/>
              </w:rPr>
            </w:pPr>
            <w:r>
              <w:rPr>
                <w:rFonts w:hint="eastAsia" w:ascii="仿宋_GB2312"/>
                <w:color w:val="auto"/>
                <w:sz w:val="24"/>
              </w:rPr>
              <w:t>并处罚款；</w:t>
            </w:r>
          </w:p>
          <w:p>
            <w:pPr>
              <w:spacing w:line="360" w:lineRule="exact"/>
              <w:rPr>
                <w:rFonts w:ascii="仿宋_GB2312"/>
                <w:color w:val="auto"/>
                <w:sz w:val="24"/>
              </w:rPr>
            </w:pPr>
            <w:r>
              <w:rPr>
                <w:rFonts w:hint="eastAsia" w:ascii="仿宋_GB2312"/>
                <w:color w:val="auto"/>
                <w:sz w:val="24"/>
              </w:rPr>
              <w:t>责令停产整顿。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处二十万元以上二百万元以下的罚款；</w:t>
            </w:r>
          </w:p>
          <w:p>
            <w:pPr>
              <w:spacing w:line="360" w:lineRule="exact"/>
              <w:rPr>
                <w:rFonts w:ascii="仿宋_GB2312"/>
                <w:color w:val="auto"/>
                <w:sz w:val="24"/>
              </w:rPr>
            </w:pPr>
            <w:r>
              <w:rPr>
                <w:rFonts w:hint="eastAsia" w:ascii="仿宋_GB2312"/>
                <w:color w:val="auto"/>
                <w:sz w:val="24"/>
              </w:rPr>
              <w:t>情节严重的：处二百万元以上五百万元以下的罚款。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03"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31"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03"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31" w:type="dxa"/>
            <w:vAlign w:val="center"/>
          </w:tcPr>
          <w:p>
            <w:pPr>
              <w:spacing w:line="360" w:lineRule="exact"/>
              <w:rPr>
                <w:rFonts w:ascii="仿宋_GB2312"/>
                <w:color w:val="auto"/>
                <w:sz w:val="24"/>
              </w:rPr>
            </w:pPr>
            <w:r>
              <w:rPr>
                <w:rFonts w:hint="eastAsia" w:ascii="仿宋_GB2312"/>
                <w:color w:val="auto"/>
                <w:sz w:val="24"/>
              </w:rPr>
              <w:t>110万元罚款</w:t>
            </w:r>
          </w:p>
          <w:p>
            <w:pPr>
              <w:spacing w:line="360" w:lineRule="exact"/>
              <w:rPr>
                <w:rFonts w:ascii="仿宋_GB2312"/>
                <w:color w:val="auto"/>
                <w:sz w:val="24"/>
              </w:rPr>
            </w:pPr>
            <w:r>
              <w:rPr>
                <w:rFonts w:hint="eastAsia" w:ascii="仿宋_GB2312"/>
                <w:color w:val="auto"/>
                <w:sz w:val="24"/>
              </w:rPr>
              <w:t>情节严重的：350万元罚款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60" w:lineRule="exact"/>
              <w:rPr>
                <w:rFonts w:ascii="仿宋_GB2312"/>
                <w:color w:val="auto"/>
                <w:sz w:val="24"/>
              </w:rPr>
            </w:pPr>
            <w:r>
              <w:rPr>
                <w:rFonts w:hint="eastAsia" w:ascii="仿宋_GB2312"/>
                <w:color w:val="auto"/>
                <w:sz w:val="24"/>
              </w:rPr>
              <w:t>2万元以上20万元以下罚款</w:t>
            </w:r>
          </w:p>
          <w:p>
            <w:pPr>
              <w:spacing w:line="360" w:lineRule="exact"/>
              <w:rPr>
                <w:rFonts w:ascii="仿宋_GB2312"/>
                <w:color w:val="auto"/>
                <w:sz w:val="24"/>
              </w:rPr>
            </w:pPr>
            <w:r>
              <w:rPr>
                <w:rFonts w:hint="eastAsia" w:ascii="仿宋_GB2312"/>
                <w:color w:val="auto"/>
                <w:sz w:val="24"/>
              </w:rPr>
              <w:t>情节严重的：20万元以上200万元以下罚款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p>
          <w:p>
            <w:pPr>
              <w:spacing w:line="360" w:lineRule="exact"/>
              <w:jc w:val="center"/>
              <w:rPr>
                <w:rFonts w:ascii="仿宋_GB2312"/>
                <w:color w:val="auto"/>
                <w:sz w:val="24"/>
              </w:rPr>
            </w:pPr>
            <w:r>
              <w:rPr>
                <w:rFonts w:hint="eastAsia" w:ascii="仿宋_GB2312"/>
                <w:color w:val="auto"/>
                <w:sz w:val="24"/>
              </w:rPr>
              <w:t>从轻</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60" w:lineRule="exact"/>
              <w:rPr>
                <w:rFonts w:ascii="仿宋_GB2312"/>
                <w:color w:val="auto"/>
                <w:sz w:val="24"/>
              </w:rPr>
            </w:pPr>
            <w:r>
              <w:rPr>
                <w:rFonts w:hint="eastAsia" w:ascii="仿宋_GB2312"/>
                <w:color w:val="auto"/>
                <w:sz w:val="24"/>
              </w:rPr>
              <w:t>20万元以上110万元以下罚款</w:t>
            </w:r>
          </w:p>
          <w:p>
            <w:pPr>
              <w:spacing w:line="360" w:lineRule="exact"/>
              <w:rPr>
                <w:rFonts w:ascii="仿宋_GB2312"/>
                <w:color w:val="auto"/>
                <w:sz w:val="24"/>
              </w:rPr>
            </w:pPr>
            <w:r>
              <w:rPr>
                <w:rFonts w:hint="eastAsia" w:ascii="仿宋_GB2312"/>
                <w:color w:val="auto"/>
                <w:sz w:val="24"/>
              </w:rPr>
              <w:t>情节严重的：200万元以上350万元以下罚款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60" w:lineRule="exact"/>
              <w:rPr>
                <w:rFonts w:ascii="仿宋_GB2312"/>
                <w:color w:val="auto"/>
                <w:sz w:val="24"/>
              </w:rPr>
            </w:pPr>
            <w:r>
              <w:rPr>
                <w:rFonts w:hint="eastAsia" w:ascii="仿宋_GB2312"/>
                <w:color w:val="auto"/>
                <w:sz w:val="24"/>
              </w:rPr>
              <w:t>20万元罚款</w:t>
            </w:r>
          </w:p>
          <w:p>
            <w:pPr>
              <w:spacing w:line="360" w:lineRule="exact"/>
              <w:rPr>
                <w:rFonts w:ascii="仿宋_GB2312"/>
                <w:color w:val="auto"/>
                <w:sz w:val="24"/>
              </w:rPr>
            </w:pPr>
            <w:r>
              <w:rPr>
                <w:rFonts w:hint="eastAsia" w:ascii="仿宋_GB2312"/>
                <w:color w:val="auto"/>
                <w:sz w:val="24"/>
              </w:rPr>
              <w:t>情节严重的：200万元罚款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p>
            <w:pPr>
              <w:spacing w:line="360" w:lineRule="exact"/>
              <w:jc w:val="center"/>
              <w:rPr>
                <w:rFonts w:ascii="仿宋_GB2312"/>
                <w:color w:val="auto"/>
                <w:sz w:val="24"/>
              </w:rPr>
            </w:pPr>
          </w:p>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31" w:type="dxa"/>
            <w:vAlign w:val="center"/>
          </w:tcPr>
          <w:p>
            <w:pPr>
              <w:spacing w:line="360" w:lineRule="exact"/>
              <w:rPr>
                <w:rFonts w:ascii="仿宋_GB2312"/>
                <w:color w:val="auto"/>
                <w:sz w:val="24"/>
              </w:rPr>
            </w:pPr>
            <w:r>
              <w:rPr>
                <w:rFonts w:hint="eastAsia" w:ascii="仿宋_GB2312"/>
                <w:color w:val="auto"/>
                <w:sz w:val="24"/>
              </w:rPr>
              <w:t>110万元以上200万元以下罚款</w:t>
            </w:r>
          </w:p>
          <w:p>
            <w:pPr>
              <w:spacing w:line="360" w:lineRule="exact"/>
              <w:rPr>
                <w:rFonts w:ascii="仿宋_GB2312"/>
                <w:color w:val="auto"/>
                <w:sz w:val="24"/>
              </w:rPr>
            </w:pPr>
            <w:r>
              <w:rPr>
                <w:rFonts w:hint="eastAsia" w:ascii="仿宋_GB2312"/>
                <w:color w:val="auto"/>
                <w:sz w:val="24"/>
              </w:rPr>
              <w:t>情节严重的：350万元以上500万元以下罚款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60" w:lineRule="exact"/>
              <w:rPr>
                <w:rFonts w:ascii="仿宋_GB2312"/>
                <w:color w:val="auto"/>
                <w:sz w:val="24"/>
              </w:rPr>
            </w:pPr>
            <w:r>
              <w:rPr>
                <w:rFonts w:hint="eastAsia" w:ascii="仿宋_GB2312"/>
                <w:color w:val="auto"/>
                <w:sz w:val="24"/>
              </w:rPr>
              <w:t>200万元罚款</w:t>
            </w:r>
          </w:p>
          <w:p>
            <w:pPr>
              <w:spacing w:line="360" w:lineRule="exact"/>
              <w:rPr>
                <w:rFonts w:ascii="仿宋_GB2312"/>
                <w:color w:val="auto"/>
                <w:sz w:val="24"/>
              </w:rPr>
            </w:pPr>
            <w:r>
              <w:rPr>
                <w:rFonts w:hint="eastAsia" w:ascii="仿宋_GB2312"/>
                <w:color w:val="auto"/>
                <w:sz w:val="24"/>
              </w:rPr>
              <w:t>情节严重的：500万元罚款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vAlign w:val="center"/>
          </w:tcPr>
          <w:p>
            <w:pPr>
              <w:spacing w:line="360" w:lineRule="exact"/>
              <w:rPr>
                <w:rFonts w:ascii="仿宋_GB2312"/>
                <w:color w:val="auto"/>
                <w:sz w:val="24"/>
              </w:rPr>
            </w:pPr>
          </w:p>
        </w:tc>
      </w:tr>
    </w:tbl>
    <w:p>
      <w:pPr>
        <w:spacing w:line="360" w:lineRule="exact"/>
        <w:rPr>
          <w:rFonts w:ascii="仿宋_GB2312"/>
          <w:color w:val="auto"/>
          <w:sz w:val="24"/>
        </w:rPr>
      </w:pPr>
      <w:r>
        <w:rPr>
          <w:rFonts w:ascii="仿宋_GB2312"/>
          <w:color w:val="auto"/>
          <w:sz w:val="24"/>
        </w:rPr>
        <w:br w:type="page"/>
      </w:r>
    </w:p>
    <w:p>
      <w:pPr>
        <w:spacing w:line="360" w:lineRule="exact"/>
        <w:rPr>
          <w:rFonts w:ascii="仿宋_GB2312"/>
          <w:color w:val="auto"/>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41"/>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进口已获得药品注册证书的药品，未按照规定向允许药品进口的口岸所在地药品监督管理部门备案。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第一百三十二条：进口已获得药品注册证书的药品，未按照规定向允许药品进口的口岸所在地药品监督管理部门备案的，责令限期改正，给予警告；逾期不改正的，吊销药品注册证书。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警告；</w:t>
            </w:r>
          </w:p>
          <w:p>
            <w:pPr>
              <w:spacing w:line="360" w:lineRule="exact"/>
              <w:rPr>
                <w:rFonts w:ascii="仿宋_GB2312"/>
                <w:color w:val="auto"/>
                <w:sz w:val="24"/>
              </w:rPr>
            </w:pPr>
            <w:r>
              <w:rPr>
                <w:rFonts w:hint="eastAsia" w:ascii="仿宋_GB2312"/>
                <w:color w:val="auto"/>
                <w:sz w:val="24"/>
              </w:rPr>
              <w:t>吊销注册证。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1.县级以上人民政府药品监督管理部门；</w:t>
            </w:r>
          </w:p>
          <w:p>
            <w:pPr>
              <w:spacing w:line="360" w:lineRule="exact"/>
              <w:rPr>
                <w:rFonts w:ascii="仿宋_GB2312"/>
                <w:color w:val="auto"/>
                <w:sz w:val="24"/>
              </w:rPr>
            </w:pPr>
            <w:r>
              <w:rPr>
                <w:rFonts w:hint="eastAsia" w:ascii="仿宋_GB2312"/>
                <w:color w:val="auto"/>
                <w:sz w:val="24"/>
              </w:rPr>
              <w:t>2.吊销批准证明文件的，原批准、发证的部门。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无裁量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41"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093"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从轻</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从重</w:t>
            </w:r>
          </w:p>
        </w:tc>
        <w:tc>
          <w:tcPr>
            <w:tcW w:w="3341" w:type="dxa"/>
            <w:vAlign w:val="center"/>
          </w:tcPr>
          <w:p>
            <w:pPr>
              <w:spacing w:line="360" w:lineRule="exact"/>
              <w:rPr>
                <w:rFonts w:ascii="仿宋_GB2312"/>
                <w:color w:val="auto"/>
                <w:sz w:val="24"/>
              </w:rPr>
            </w:pPr>
          </w:p>
        </w:tc>
        <w:tc>
          <w:tcPr>
            <w:tcW w:w="3093" w:type="dxa"/>
            <w:vAlign w:val="center"/>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vAlign w:val="center"/>
          </w:tcPr>
          <w:p>
            <w:pPr>
              <w:spacing w:line="360" w:lineRule="exact"/>
              <w:jc w:val="center"/>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13"/>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40" w:lineRule="exact"/>
              <w:rPr>
                <w:rFonts w:ascii="仿宋_GB2312"/>
                <w:color w:val="auto"/>
                <w:sz w:val="24"/>
              </w:rPr>
            </w:pPr>
            <w:r>
              <w:rPr>
                <w:rFonts w:hint="eastAsia" w:ascii="仿宋_GB2312"/>
                <w:color w:val="auto"/>
                <w:sz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40" w:lineRule="exact"/>
              <w:rPr>
                <w:rFonts w:ascii="仿宋_GB2312"/>
                <w:color w:val="auto"/>
                <w:sz w:val="24"/>
              </w:rPr>
            </w:pPr>
            <w:r>
              <w:rPr>
                <w:rFonts w:hint="eastAsia" w:ascii="仿宋_GB2312"/>
                <w:color w:val="auto"/>
                <w:sz w:val="24"/>
              </w:rPr>
              <w:t>医疗机构将其配制的制剂在市场上销售。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4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三条：违反本法规定，医疗机构将其配制的制剂在市场上销售的，责令改正，没收违法销售的制剂和违法所得，并处违法销售制剂货值金额二倍以上五倍以下的罚款；情节严重的，并处货值金额五倍以上十五倍以下的罚款；货值金额不足五万元的，按五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40" w:lineRule="exact"/>
              <w:rPr>
                <w:rFonts w:ascii="仿宋_GB2312"/>
                <w:color w:val="auto"/>
                <w:sz w:val="24"/>
              </w:rPr>
            </w:pPr>
            <w:r>
              <w:rPr>
                <w:rFonts w:hint="eastAsia" w:ascii="仿宋_GB2312"/>
                <w:color w:val="auto"/>
                <w:sz w:val="24"/>
              </w:rPr>
              <w:t>没收违法所得，没收非法财物；</w:t>
            </w:r>
          </w:p>
          <w:p>
            <w:pPr>
              <w:spacing w:line="340" w:lineRule="exact"/>
              <w:rPr>
                <w:rFonts w:ascii="仿宋_GB2312"/>
                <w:color w:val="auto"/>
                <w:sz w:val="24"/>
              </w:rPr>
            </w:pPr>
            <w:r>
              <w:rPr>
                <w:rFonts w:hint="eastAsia" w:ascii="仿宋_GB2312"/>
                <w:color w:val="auto"/>
                <w:sz w:val="24"/>
              </w:rPr>
              <w:t>并处罚款。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4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40" w:lineRule="exact"/>
              <w:rPr>
                <w:rFonts w:ascii="仿宋_GB2312"/>
                <w:color w:val="auto"/>
                <w:sz w:val="24"/>
              </w:rPr>
            </w:pPr>
            <w:r>
              <w:rPr>
                <w:rFonts w:hint="eastAsia" w:ascii="仿宋_GB2312"/>
                <w:color w:val="auto"/>
                <w:sz w:val="24"/>
              </w:rPr>
              <w:t>处违法销售制剂货值金额二倍以上五倍以下的罚款；</w:t>
            </w:r>
          </w:p>
          <w:p>
            <w:pPr>
              <w:spacing w:line="340" w:lineRule="exact"/>
              <w:rPr>
                <w:rFonts w:ascii="仿宋_GB2312"/>
                <w:color w:val="auto"/>
                <w:sz w:val="24"/>
              </w:rPr>
            </w:pPr>
            <w:r>
              <w:rPr>
                <w:rFonts w:hint="eastAsia" w:ascii="仿宋_GB2312"/>
                <w:color w:val="auto"/>
                <w:sz w:val="24"/>
              </w:rPr>
              <w:t>情节严重的：处货值金额五倍以上十五倍以下的罚款。</w:t>
            </w:r>
          </w:p>
          <w:p>
            <w:pPr>
              <w:spacing w:line="340" w:lineRule="exact"/>
              <w:rPr>
                <w:rFonts w:ascii="仿宋_GB2312"/>
                <w:color w:val="auto"/>
                <w:sz w:val="24"/>
              </w:rPr>
            </w:pPr>
            <w:r>
              <w:rPr>
                <w:rFonts w:hint="eastAsia" w:ascii="仿宋_GB2312"/>
                <w:color w:val="auto"/>
                <w:sz w:val="24"/>
              </w:rPr>
              <w:t>货值金额不足五万元的，按五万元计算。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40" w:lineRule="exact"/>
              <w:jc w:val="center"/>
              <w:rPr>
                <w:rFonts w:ascii="仿宋_GB2312"/>
                <w:color w:val="auto"/>
                <w:sz w:val="24"/>
              </w:rPr>
            </w:pPr>
            <w:r>
              <w:rPr>
                <w:rFonts w:hint="eastAsia" w:ascii="仿宋_GB2312"/>
                <w:color w:val="auto"/>
                <w:sz w:val="24"/>
              </w:rPr>
              <w:t>裁量</w:t>
            </w:r>
          </w:p>
        </w:tc>
        <w:tc>
          <w:tcPr>
            <w:tcW w:w="3313" w:type="dxa"/>
            <w:vAlign w:val="center"/>
          </w:tcPr>
          <w:p>
            <w:pPr>
              <w:spacing w:line="340" w:lineRule="exact"/>
              <w:jc w:val="center"/>
              <w:rPr>
                <w:rFonts w:ascii="仿宋_GB2312"/>
                <w:color w:val="auto"/>
                <w:sz w:val="24"/>
              </w:rPr>
            </w:pPr>
            <w:r>
              <w:rPr>
                <w:rFonts w:hint="eastAsia" w:ascii="仿宋_GB2312"/>
                <w:color w:val="auto"/>
                <w:sz w:val="24"/>
              </w:rPr>
              <w:t>裁量因素</w:t>
            </w:r>
          </w:p>
        </w:tc>
        <w:tc>
          <w:tcPr>
            <w:tcW w:w="3121" w:type="dxa"/>
            <w:vAlign w:val="center"/>
          </w:tcPr>
          <w:p>
            <w:pPr>
              <w:spacing w:line="34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40" w:lineRule="exact"/>
              <w:jc w:val="center"/>
              <w:rPr>
                <w:rFonts w:ascii="仿宋_GB2312"/>
                <w:color w:val="auto"/>
                <w:sz w:val="24"/>
              </w:rPr>
            </w:pPr>
          </w:p>
        </w:tc>
        <w:tc>
          <w:tcPr>
            <w:tcW w:w="900" w:type="dxa"/>
            <w:vAlign w:val="center"/>
          </w:tcPr>
          <w:p>
            <w:pPr>
              <w:spacing w:line="340" w:lineRule="exact"/>
              <w:jc w:val="center"/>
              <w:rPr>
                <w:rFonts w:ascii="仿宋_GB2312"/>
                <w:color w:val="auto"/>
                <w:sz w:val="24"/>
              </w:rPr>
            </w:pPr>
            <w:r>
              <w:rPr>
                <w:rFonts w:hint="eastAsia" w:ascii="仿宋_GB2312"/>
                <w:color w:val="auto"/>
                <w:sz w:val="24"/>
              </w:rPr>
              <w:t>中限</w:t>
            </w:r>
          </w:p>
        </w:tc>
        <w:tc>
          <w:tcPr>
            <w:tcW w:w="3313" w:type="dxa"/>
            <w:vAlign w:val="center"/>
          </w:tcPr>
          <w:p>
            <w:pPr>
              <w:spacing w:line="340" w:lineRule="exact"/>
              <w:rPr>
                <w:rFonts w:ascii="仿宋_GB2312"/>
                <w:color w:val="auto"/>
                <w:sz w:val="24"/>
              </w:rPr>
            </w:pPr>
            <w:r>
              <w:rPr>
                <w:rFonts w:hint="eastAsia" w:ascii="仿宋_GB2312"/>
                <w:color w:val="auto"/>
                <w:sz w:val="24"/>
              </w:rPr>
              <w:t>无本基准从重、从轻和减轻情节的</w:t>
            </w:r>
          </w:p>
        </w:tc>
        <w:tc>
          <w:tcPr>
            <w:tcW w:w="3121" w:type="dxa"/>
            <w:vAlign w:val="center"/>
          </w:tcPr>
          <w:p>
            <w:pPr>
              <w:spacing w:line="340" w:lineRule="exact"/>
              <w:rPr>
                <w:rFonts w:ascii="仿宋_GB2312"/>
                <w:color w:val="auto"/>
                <w:sz w:val="24"/>
              </w:rPr>
            </w:pPr>
            <w:r>
              <w:rPr>
                <w:rFonts w:hint="eastAsia" w:ascii="仿宋_GB2312"/>
                <w:color w:val="auto"/>
                <w:sz w:val="24"/>
              </w:rPr>
              <w:t>货值金额的3.5倍罚款</w:t>
            </w:r>
          </w:p>
          <w:p>
            <w:pPr>
              <w:spacing w:line="340" w:lineRule="exact"/>
              <w:rPr>
                <w:rFonts w:ascii="仿宋_GB2312"/>
                <w:color w:val="auto"/>
                <w:sz w:val="24"/>
              </w:rPr>
            </w:pPr>
            <w:r>
              <w:rPr>
                <w:rFonts w:hint="eastAsia" w:ascii="仿宋_GB2312"/>
                <w:color w:val="auto"/>
                <w:sz w:val="24"/>
              </w:rPr>
              <w:t>情节严重的：货值金额的10倍罚款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40" w:lineRule="exact"/>
              <w:jc w:val="center"/>
              <w:rPr>
                <w:rFonts w:ascii="仿宋_GB2312"/>
                <w:color w:val="auto"/>
                <w:sz w:val="24"/>
              </w:rPr>
            </w:pPr>
          </w:p>
        </w:tc>
        <w:tc>
          <w:tcPr>
            <w:tcW w:w="900" w:type="dxa"/>
            <w:vAlign w:val="center"/>
          </w:tcPr>
          <w:p>
            <w:pPr>
              <w:spacing w:line="340" w:lineRule="exact"/>
              <w:jc w:val="center"/>
              <w:rPr>
                <w:rFonts w:ascii="仿宋_GB2312"/>
                <w:color w:val="auto"/>
                <w:sz w:val="24"/>
              </w:rPr>
            </w:pPr>
            <w:r>
              <w:rPr>
                <w:rFonts w:hint="eastAsia" w:ascii="仿宋_GB2312"/>
                <w:color w:val="auto"/>
                <w:sz w:val="24"/>
              </w:rPr>
              <w:t>减轻</w:t>
            </w:r>
          </w:p>
        </w:tc>
        <w:tc>
          <w:tcPr>
            <w:tcW w:w="331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40" w:lineRule="exact"/>
              <w:rPr>
                <w:rFonts w:ascii="仿宋_GB2312"/>
                <w:color w:val="auto"/>
                <w:sz w:val="24"/>
              </w:rPr>
            </w:pPr>
            <w:r>
              <w:rPr>
                <w:rFonts w:hint="eastAsia" w:ascii="仿宋_GB2312"/>
                <w:color w:val="auto"/>
                <w:sz w:val="24"/>
              </w:rPr>
              <w:t>1万元以上货值金额的2倍以下罚款</w:t>
            </w:r>
          </w:p>
          <w:p>
            <w:pPr>
              <w:spacing w:line="340" w:lineRule="exact"/>
              <w:rPr>
                <w:rFonts w:ascii="仿宋_GB2312"/>
                <w:color w:val="auto"/>
                <w:sz w:val="24"/>
              </w:rPr>
            </w:pPr>
            <w:r>
              <w:rPr>
                <w:rFonts w:hint="eastAsia" w:ascii="仿宋_GB2312"/>
                <w:color w:val="auto"/>
                <w:sz w:val="24"/>
              </w:rPr>
              <w:t>情节严重的：2.5万元以上货值金额的5倍以下罚款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1188" w:type="dxa"/>
            <w:vMerge w:val="continue"/>
            <w:vAlign w:val="center"/>
          </w:tcPr>
          <w:p>
            <w:pPr>
              <w:spacing w:line="340" w:lineRule="exact"/>
              <w:jc w:val="center"/>
              <w:rPr>
                <w:rFonts w:ascii="仿宋_GB2312"/>
                <w:color w:val="auto"/>
                <w:sz w:val="24"/>
              </w:rPr>
            </w:pPr>
          </w:p>
        </w:tc>
        <w:tc>
          <w:tcPr>
            <w:tcW w:w="900" w:type="dxa"/>
            <w:vMerge w:val="restart"/>
            <w:vAlign w:val="center"/>
          </w:tcPr>
          <w:p>
            <w:pPr>
              <w:spacing w:line="340" w:lineRule="exact"/>
              <w:jc w:val="center"/>
              <w:rPr>
                <w:rFonts w:ascii="仿宋_GB2312"/>
                <w:color w:val="auto"/>
                <w:sz w:val="24"/>
              </w:rPr>
            </w:pPr>
          </w:p>
          <w:p>
            <w:pPr>
              <w:spacing w:line="340" w:lineRule="exact"/>
              <w:jc w:val="center"/>
              <w:rPr>
                <w:rFonts w:ascii="仿宋_GB2312"/>
                <w:color w:val="auto"/>
                <w:sz w:val="24"/>
              </w:rPr>
            </w:pPr>
            <w:r>
              <w:rPr>
                <w:rFonts w:hint="eastAsia" w:ascii="仿宋_GB2312"/>
                <w:color w:val="auto"/>
                <w:sz w:val="24"/>
              </w:rPr>
              <w:t>从轻</w:t>
            </w:r>
          </w:p>
        </w:tc>
        <w:tc>
          <w:tcPr>
            <w:tcW w:w="331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40" w:lineRule="exact"/>
              <w:rPr>
                <w:rFonts w:ascii="仿宋_GB2312"/>
                <w:color w:val="auto"/>
                <w:sz w:val="24"/>
              </w:rPr>
            </w:pPr>
            <w:r>
              <w:rPr>
                <w:rFonts w:hint="eastAsia" w:ascii="仿宋_GB2312"/>
                <w:color w:val="auto"/>
                <w:sz w:val="24"/>
              </w:rPr>
              <w:t>货值金额的2倍以上3.5倍以下罚款</w:t>
            </w:r>
          </w:p>
          <w:p>
            <w:pPr>
              <w:spacing w:line="340" w:lineRule="exact"/>
              <w:rPr>
                <w:rFonts w:ascii="仿宋_GB2312"/>
                <w:color w:val="auto"/>
                <w:sz w:val="24"/>
              </w:rPr>
            </w:pPr>
            <w:r>
              <w:rPr>
                <w:rFonts w:hint="eastAsia" w:ascii="仿宋_GB2312"/>
                <w:color w:val="auto"/>
                <w:sz w:val="24"/>
              </w:rPr>
              <w:t>情节严重的：货值金额的5倍以上10倍以下罚款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188" w:type="dxa"/>
            <w:vMerge w:val="continue"/>
            <w:vAlign w:val="center"/>
          </w:tcPr>
          <w:p>
            <w:pPr>
              <w:spacing w:line="340" w:lineRule="exact"/>
              <w:jc w:val="center"/>
              <w:rPr>
                <w:rFonts w:ascii="仿宋_GB2312"/>
                <w:color w:val="auto"/>
                <w:sz w:val="24"/>
              </w:rPr>
            </w:pPr>
          </w:p>
        </w:tc>
        <w:tc>
          <w:tcPr>
            <w:tcW w:w="900" w:type="dxa"/>
            <w:vMerge w:val="continue"/>
            <w:vAlign w:val="center"/>
          </w:tcPr>
          <w:p>
            <w:pPr>
              <w:spacing w:line="340" w:lineRule="exact"/>
              <w:jc w:val="center"/>
              <w:rPr>
                <w:rFonts w:ascii="仿宋_GB2312"/>
                <w:color w:val="auto"/>
                <w:sz w:val="24"/>
              </w:rPr>
            </w:pPr>
          </w:p>
        </w:tc>
        <w:tc>
          <w:tcPr>
            <w:tcW w:w="331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40" w:lineRule="exact"/>
              <w:rPr>
                <w:rFonts w:ascii="仿宋_GB2312"/>
                <w:color w:val="auto"/>
                <w:sz w:val="24"/>
              </w:rPr>
            </w:pPr>
            <w:r>
              <w:rPr>
                <w:rFonts w:hint="eastAsia" w:ascii="仿宋_GB2312"/>
                <w:color w:val="auto"/>
                <w:sz w:val="24"/>
              </w:rPr>
              <w:t>货值金额的2倍罚款</w:t>
            </w:r>
          </w:p>
          <w:p>
            <w:pPr>
              <w:spacing w:line="340" w:lineRule="exact"/>
              <w:rPr>
                <w:rFonts w:ascii="仿宋_GB2312"/>
                <w:color w:val="auto"/>
                <w:sz w:val="24"/>
              </w:rPr>
            </w:pPr>
            <w:r>
              <w:rPr>
                <w:rFonts w:hint="eastAsia" w:ascii="仿宋_GB2312"/>
                <w:color w:val="auto"/>
                <w:sz w:val="24"/>
              </w:rPr>
              <w:t>情节严重的：货值金额的5倍罚款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188" w:type="dxa"/>
            <w:vMerge w:val="continue"/>
            <w:vAlign w:val="center"/>
          </w:tcPr>
          <w:p>
            <w:pPr>
              <w:spacing w:line="340" w:lineRule="exact"/>
              <w:jc w:val="center"/>
              <w:rPr>
                <w:rFonts w:ascii="仿宋_GB2312"/>
                <w:color w:val="auto"/>
                <w:sz w:val="24"/>
              </w:rPr>
            </w:pPr>
          </w:p>
        </w:tc>
        <w:tc>
          <w:tcPr>
            <w:tcW w:w="900" w:type="dxa"/>
            <w:vMerge w:val="restart"/>
            <w:vAlign w:val="center"/>
          </w:tcPr>
          <w:p>
            <w:pPr>
              <w:spacing w:line="340" w:lineRule="exact"/>
              <w:jc w:val="center"/>
              <w:rPr>
                <w:rFonts w:ascii="仿宋_GB2312"/>
                <w:color w:val="auto"/>
                <w:sz w:val="24"/>
              </w:rPr>
            </w:pPr>
            <w:r>
              <w:rPr>
                <w:rFonts w:hint="eastAsia" w:ascii="仿宋_GB2312"/>
                <w:color w:val="auto"/>
                <w:sz w:val="24"/>
              </w:rPr>
              <w:t>从重</w:t>
            </w:r>
          </w:p>
          <w:p>
            <w:pPr>
              <w:spacing w:line="340" w:lineRule="exact"/>
              <w:jc w:val="center"/>
              <w:rPr>
                <w:rFonts w:ascii="仿宋_GB2312"/>
                <w:color w:val="auto"/>
                <w:sz w:val="24"/>
              </w:rPr>
            </w:pPr>
          </w:p>
          <w:p>
            <w:pPr>
              <w:spacing w:line="340" w:lineRule="exact"/>
              <w:jc w:val="center"/>
              <w:rPr>
                <w:rFonts w:ascii="仿宋_GB2312"/>
                <w:color w:val="auto"/>
                <w:sz w:val="24"/>
              </w:rPr>
            </w:pPr>
          </w:p>
        </w:tc>
        <w:tc>
          <w:tcPr>
            <w:tcW w:w="331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21" w:type="dxa"/>
            <w:vAlign w:val="center"/>
          </w:tcPr>
          <w:p>
            <w:pPr>
              <w:spacing w:line="340" w:lineRule="exact"/>
              <w:rPr>
                <w:rFonts w:ascii="仿宋_GB2312"/>
                <w:color w:val="auto"/>
                <w:sz w:val="24"/>
              </w:rPr>
            </w:pPr>
            <w:r>
              <w:rPr>
                <w:rFonts w:hint="eastAsia" w:ascii="仿宋_GB2312"/>
                <w:color w:val="auto"/>
                <w:sz w:val="24"/>
              </w:rPr>
              <w:t>货值金额的3.5倍以上5倍以下罚款</w:t>
            </w:r>
          </w:p>
          <w:p>
            <w:pPr>
              <w:spacing w:line="340" w:lineRule="exact"/>
              <w:rPr>
                <w:rFonts w:ascii="仿宋_GB2312"/>
                <w:color w:val="auto"/>
                <w:sz w:val="24"/>
              </w:rPr>
            </w:pPr>
            <w:r>
              <w:rPr>
                <w:rFonts w:hint="eastAsia" w:ascii="仿宋_GB2312"/>
                <w:color w:val="auto"/>
                <w:sz w:val="24"/>
              </w:rPr>
              <w:t>情节严重的：货值金额的10倍以上15倍以下罚款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188" w:type="dxa"/>
            <w:vMerge w:val="continue"/>
            <w:vAlign w:val="center"/>
          </w:tcPr>
          <w:p>
            <w:pPr>
              <w:spacing w:line="340" w:lineRule="exact"/>
              <w:jc w:val="center"/>
              <w:rPr>
                <w:rFonts w:ascii="仿宋_GB2312"/>
                <w:color w:val="auto"/>
                <w:sz w:val="24"/>
              </w:rPr>
            </w:pPr>
          </w:p>
        </w:tc>
        <w:tc>
          <w:tcPr>
            <w:tcW w:w="900" w:type="dxa"/>
            <w:vMerge w:val="continue"/>
            <w:vAlign w:val="center"/>
          </w:tcPr>
          <w:p>
            <w:pPr>
              <w:spacing w:line="340" w:lineRule="exact"/>
              <w:jc w:val="center"/>
              <w:rPr>
                <w:rFonts w:ascii="仿宋_GB2312"/>
                <w:color w:val="auto"/>
                <w:sz w:val="24"/>
              </w:rPr>
            </w:pPr>
          </w:p>
        </w:tc>
        <w:tc>
          <w:tcPr>
            <w:tcW w:w="331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40" w:lineRule="exact"/>
              <w:rPr>
                <w:rFonts w:ascii="仿宋_GB2312"/>
                <w:color w:val="auto"/>
                <w:sz w:val="24"/>
              </w:rPr>
            </w:pPr>
            <w:r>
              <w:rPr>
                <w:rFonts w:hint="eastAsia" w:ascii="仿宋_GB2312"/>
                <w:color w:val="auto"/>
                <w:sz w:val="24"/>
              </w:rPr>
              <w:t>货值金额的5倍罚款</w:t>
            </w:r>
          </w:p>
          <w:p>
            <w:pPr>
              <w:spacing w:line="340" w:lineRule="exact"/>
              <w:rPr>
                <w:rFonts w:ascii="仿宋_GB2312"/>
                <w:color w:val="auto"/>
                <w:sz w:val="24"/>
              </w:rPr>
            </w:pPr>
            <w:r>
              <w:rPr>
                <w:rFonts w:hint="eastAsia" w:ascii="仿宋_GB2312"/>
                <w:color w:val="auto"/>
                <w:sz w:val="24"/>
              </w:rPr>
              <w:t>情节严重的：货值金额的15倍罚款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40" w:lineRule="exact"/>
              <w:jc w:val="center"/>
              <w:rPr>
                <w:rFonts w:ascii="仿宋_GB2312"/>
                <w:color w:val="auto"/>
                <w:sz w:val="24"/>
              </w:rPr>
            </w:pPr>
            <w:r>
              <w:rPr>
                <w:rFonts w:hint="eastAsia" w:ascii="仿宋_GB2312"/>
                <w:color w:val="auto"/>
                <w:sz w:val="24"/>
              </w:rPr>
              <w:t>说明</w:t>
            </w:r>
          </w:p>
        </w:tc>
        <w:tc>
          <w:tcPr>
            <w:tcW w:w="7334" w:type="dxa"/>
            <w:gridSpan w:val="3"/>
            <w:vAlign w:val="center"/>
          </w:tcPr>
          <w:p>
            <w:pPr>
              <w:spacing w:line="34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13"/>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药品上市许可持有人未按照规定开展药品不良反应监测或者报告疑似药品不良反应。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四条第一款：药品上市许可持有人未按照规定开展药品不良反应监测或者报告疑似药品不良反应的，责令限期改正，给予警告；逾期不改正的，责令停产停业整顿，并处十万元以上一百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警告；</w:t>
            </w:r>
          </w:p>
          <w:p>
            <w:pPr>
              <w:spacing w:line="360" w:lineRule="exact"/>
              <w:rPr>
                <w:rFonts w:ascii="仿宋_GB2312"/>
                <w:color w:val="auto"/>
                <w:sz w:val="24"/>
              </w:rPr>
            </w:pPr>
            <w:r>
              <w:rPr>
                <w:rFonts w:hint="eastAsia" w:ascii="仿宋_GB2312"/>
                <w:color w:val="auto"/>
                <w:sz w:val="24"/>
              </w:rPr>
              <w:t>责令停产停业；</w:t>
            </w:r>
          </w:p>
          <w:p>
            <w:pPr>
              <w:spacing w:line="360" w:lineRule="exact"/>
              <w:rPr>
                <w:rFonts w:ascii="仿宋_GB2312"/>
                <w:color w:val="auto"/>
                <w:sz w:val="24"/>
              </w:rPr>
            </w:pPr>
            <w:r>
              <w:rPr>
                <w:rFonts w:hint="eastAsia" w:ascii="仿宋_GB2312"/>
                <w:color w:val="auto"/>
                <w:sz w:val="24"/>
              </w:rPr>
              <w:t>并处罚款。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逾期不改正的，处十万元以上一百万元以下的罚款。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13"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21"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13"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21" w:type="dxa"/>
            <w:vAlign w:val="center"/>
          </w:tcPr>
          <w:p>
            <w:pPr>
              <w:spacing w:line="360" w:lineRule="exact"/>
              <w:rPr>
                <w:rFonts w:ascii="仿宋_GB2312"/>
                <w:color w:val="auto"/>
                <w:sz w:val="24"/>
              </w:rPr>
            </w:pPr>
            <w:r>
              <w:rPr>
                <w:rFonts w:hint="eastAsia" w:ascii="仿宋_GB2312"/>
                <w:color w:val="auto"/>
                <w:sz w:val="24"/>
              </w:rPr>
              <w:t>60万元罚款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60" w:lineRule="exact"/>
              <w:rPr>
                <w:rFonts w:ascii="仿宋_GB2312"/>
                <w:color w:val="auto"/>
                <w:sz w:val="24"/>
              </w:rPr>
            </w:pPr>
            <w:r>
              <w:rPr>
                <w:rFonts w:hint="eastAsia" w:ascii="仿宋_GB2312"/>
                <w:color w:val="auto"/>
                <w:sz w:val="24"/>
              </w:rPr>
              <w:t>1万元以上10万元以下罚款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60" w:lineRule="exact"/>
              <w:rPr>
                <w:rFonts w:ascii="仿宋_GB2312"/>
                <w:color w:val="auto"/>
                <w:sz w:val="24"/>
              </w:rPr>
            </w:pPr>
            <w:r>
              <w:rPr>
                <w:rFonts w:hint="eastAsia" w:ascii="仿宋_GB2312"/>
                <w:color w:val="auto"/>
                <w:sz w:val="24"/>
              </w:rPr>
              <w:t>10万元以上60万元以下罚款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60" w:lineRule="exact"/>
              <w:rPr>
                <w:rFonts w:ascii="仿宋_GB2312"/>
                <w:color w:val="auto"/>
                <w:sz w:val="24"/>
              </w:rPr>
            </w:pPr>
            <w:r>
              <w:rPr>
                <w:rFonts w:hint="eastAsia" w:ascii="仿宋_GB2312"/>
                <w:color w:val="auto"/>
                <w:sz w:val="24"/>
              </w:rPr>
              <w:t>10万元罚款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21" w:type="dxa"/>
            <w:vAlign w:val="center"/>
          </w:tcPr>
          <w:p>
            <w:pPr>
              <w:spacing w:line="360" w:lineRule="exact"/>
              <w:rPr>
                <w:rFonts w:ascii="仿宋_GB2312"/>
                <w:color w:val="auto"/>
                <w:sz w:val="24"/>
              </w:rPr>
            </w:pPr>
            <w:r>
              <w:rPr>
                <w:rFonts w:hint="eastAsia" w:ascii="仿宋_GB2312"/>
                <w:color w:val="auto"/>
                <w:sz w:val="24"/>
              </w:rPr>
              <w:t>60万元以上100万元以下罚款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60" w:lineRule="exact"/>
              <w:rPr>
                <w:rFonts w:ascii="仿宋_GB2312"/>
                <w:color w:val="auto"/>
                <w:sz w:val="24"/>
              </w:rPr>
            </w:pPr>
            <w:r>
              <w:rPr>
                <w:rFonts w:hint="eastAsia" w:ascii="仿宋_GB2312"/>
                <w:color w:val="auto"/>
                <w:sz w:val="24"/>
              </w:rPr>
              <w:t>100万元罚款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294"/>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药品经营企业未按照规定报告疑似药品不良反应。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第一百三十四条第二款：药品经营企业未按照规定报告疑似药品不良反应的，责令限期改正，给予警告；逾期不改正的，责令停产停业整顿，并处五万元以上五十万元以下的罚款。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警告；</w:t>
            </w:r>
          </w:p>
          <w:p>
            <w:pPr>
              <w:spacing w:line="360" w:lineRule="exact"/>
              <w:rPr>
                <w:rFonts w:ascii="仿宋_GB2312"/>
                <w:color w:val="auto"/>
                <w:sz w:val="24"/>
              </w:rPr>
            </w:pPr>
            <w:r>
              <w:rPr>
                <w:rFonts w:hint="eastAsia" w:ascii="仿宋_GB2312"/>
                <w:color w:val="auto"/>
                <w:sz w:val="24"/>
              </w:rPr>
              <w:t>责令停产停业；</w:t>
            </w:r>
          </w:p>
          <w:p>
            <w:pPr>
              <w:spacing w:line="360" w:lineRule="exact"/>
              <w:rPr>
                <w:rFonts w:ascii="仿宋_GB2312"/>
                <w:color w:val="auto"/>
                <w:sz w:val="24"/>
              </w:rPr>
            </w:pPr>
            <w:r>
              <w:rPr>
                <w:rFonts w:hint="eastAsia" w:ascii="仿宋_GB2312"/>
                <w:color w:val="auto"/>
                <w:sz w:val="24"/>
              </w:rPr>
              <w:t>并处罚款。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逾期不改正的，处五万元以上五十万元以下的罚款。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294"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40"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294"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40" w:type="dxa"/>
            <w:vAlign w:val="center"/>
          </w:tcPr>
          <w:p>
            <w:pPr>
              <w:spacing w:line="360" w:lineRule="exact"/>
              <w:rPr>
                <w:rFonts w:ascii="仿宋_GB2312"/>
                <w:color w:val="auto"/>
                <w:sz w:val="24"/>
              </w:rPr>
            </w:pPr>
            <w:r>
              <w:rPr>
                <w:rFonts w:hint="eastAsia" w:ascii="仿宋_GB2312"/>
                <w:color w:val="auto"/>
                <w:sz w:val="24"/>
              </w:rPr>
              <w:t>27万元罚款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40" w:type="dxa"/>
            <w:vAlign w:val="center"/>
          </w:tcPr>
          <w:p>
            <w:pPr>
              <w:spacing w:line="360" w:lineRule="exact"/>
              <w:rPr>
                <w:rFonts w:ascii="仿宋_GB2312"/>
                <w:color w:val="auto"/>
                <w:sz w:val="24"/>
              </w:rPr>
            </w:pPr>
            <w:r>
              <w:rPr>
                <w:rFonts w:hint="eastAsia" w:ascii="仿宋_GB2312"/>
                <w:color w:val="auto"/>
                <w:sz w:val="24"/>
              </w:rPr>
              <w:t>5000元以上5万元以下罚款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p>
          <w:p>
            <w:pPr>
              <w:spacing w:line="360" w:lineRule="exact"/>
              <w:jc w:val="center"/>
              <w:rPr>
                <w:rFonts w:ascii="仿宋_GB2312"/>
                <w:color w:val="auto"/>
                <w:sz w:val="24"/>
              </w:rPr>
            </w:pPr>
            <w:r>
              <w:rPr>
                <w:rFonts w:hint="eastAsia" w:ascii="仿宋_GB2312"/>
                <w:color w:val="auto"/>
                <w:sz w:val="24"/>
              </w:rPr>
              <w:t>从轻</w:t>
            </w: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40" w:type="dxa"/>
            <w:vAlign w:val="center"/>
          </w:tcPr>
          <w:p>
            <w:pPr>
              <w:spacing w:line="360" w:lineRule="exact"/>
              <w:rPr>
                <w:rFonts w:ascii="仿宋_GB2312"/>
                <w:color w:val="auto"/>
                <w:sz w:val="24"/>
              </w:rPr>
            </w:pPr>
            <w:r>
              <w:rPr>
                <w:rFonts w:hint="eastAsia" w:ascii="仿宋_GB2312"/>
                <w:color w:val="auto"/>
                <w:sz w:val="24"/>
              </w:rPr>
              <w:t>5万元以上27万元以下罚款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40" w:type="dxa"/>
            <w:vAlign w:val="center"/>
          </w:tcPr>
          <w:p>
            <w:pPr>
              <w:spacing w:line="360" w:lineRule="exact"/>
              <w:rPr>
                <w:rFonts w:ascii="仿宋_GB2312"/>
                <w:color w:val="auto"/>
                <w:sz w:val="24"/>
              </w:rPr>
            </w:pPr>
            <w:r>
              <w:rPr>
                <w:rFonts w:hint="eastAsia" w:ascii="仿宋_GB2312"/>
                <w:color w:val="auto"/>
                <w:sz w:val="24"/>
              </w:rPr>
              <w:t>5万元罚款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p>
            <w:pPr>
              <w:spacing w:line="360" w:lineRule="exact"/>
              <w:jc w:val="center"/>
              <w:rPr>
                <w:rFonts w:ascii="仿宋_GB2312"/>
                <w:color w:val="auto"/>
                <w:sz w:val="24"/>
              </w:rPr>
            </w:pPr>
          </w:p>
          <w:p>
            <w:pPr>
              <w:spacing w:line="360" w:lineRule="exact"/>
              <w:jc w:val="center"/>
              <w:rPr>
                <w:rFonts w:ascii="仿宋_GB2312"/>
                <w:color w:val="auto"/>
                <w:sz w:val="24"/>
              </w:rPr>
            </w:pP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40" w:type="dxa"/>
            <w:vAlign w:val="center"/>
          </w:tcPr>
          <w:p>
            <w:pPr>
              <w:spacing w:line="360" w:lineRule="exact"/>
              <w:rPr>
                <w:rFonts w:ascii="仿宋_GB2312"/>
                <w:color w:val="auto"/>
                <w:sz w:val="24"/>
              </w:rPr>
            </w:pPr>
            <w:r>
              <w:rPr>
                <w:rFonts w:hint="eastAsia" w:ascii="仿宋_GB2312"/>
                <w:color w:val="auto"/>
                <w:sz w:val="24"/>
              </w:rPr>
              <w:t>27万元以上50万元以下罚款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294"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40" w:type="dxa"/>
            <w:vAlign w:val="center"/>
          </w:tcPr>
          <w:p>
            <w:pPr>
              <w:spacing w:line="360" w:lineRule="exact"/>
              <w:rPr>
                <w:rFonts w:ascii="仿宋_GB2312"/>
                <w:color w:val="auto"/>
                <w:sz w:val="24"/>
              </w:rPr>
            </w:pPr>
            <w:r>
              <w:rPr>
                <w:rFonts w:hint="eastAsia" w:ascii="仿宋_GB2312"/>
                <w:color w:val="auto"/>
                <w:sz w:val="24"/>
              </w:rPr>
              <w:t>50万元罚款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03"/>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医疗机构未按照规定报告疑似药品不良反应。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第一百三十四条第三款：医疗机构未按照规定报告疑似药品不良反应的，责令限期改正，给予警告；逾期不改正的，处五万元以上五十万元以下的罚款。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警告；</w:t>
            </w:r>
          </w:p>
          <w:p>
            <w:pPr>
              <w:spacing w:line="360" w:lineRule="exact"/>
              <w:rPr>
                <w:rFonts w:ascii="仿宋_GB2312"/>
                <w:color w:val="auto"/>
                <w:sz w:val="24"/>
              </w:rPr>
            </w:pPr>
            <w:r>
              <w:rPr>
                <w:rFonts w:hint="eastAsia" w:ascii="仿宋_GB2312"/>
                <w:color w:val="auto"/>
                <w:sz w:val="24"/>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逾期不改正的，处五万元以上五十万元以下的罚款。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03"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31"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03"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31" w:type="dxa"/>
            <w:vAlign w:val="center"/>
          </w:tcPr>
          <w:p>
            <w:pPr>
              <w:spacing w:line="360" w:lineRule="exact"/>
              <w:rPr>
                <w:rFonts w:ascii="仿宋_GB2312"/>
                <w:color w:val="auto"/>
                <w:sz w:val="24"/>
              </w:rPr>
            </w:pPr>
            <w:r>
              <w:rPr>
                <w:rFonts w:hint="eastAsia" w:ascii="仿宋_GB2312"/>
                <w:color w:val="auto"/>
                <w:sz w:val="24"/>
              </w:rPr>
              <w:t>27万元罚款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60" w:lineRule="exact"/>
              <w:rPr>
                <w:rFonts w:ascii="仿宋_GB2312"/>
                <w:color w:val="auto"/>
                <w:sz w:val="24"/>
              </w:rPr>
            </w:pPr>
            <w:r>
              <w:rPr>
                <w:rFonts w:hint="eastAsia" w:ascii="仿宋_GB2312"/>
                <w:color w:val="auto"/>
                <w:sz w:val="24"/>
              </w:rPr>
              <w:t>5000元以上5万元以下罚款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60" w:lineRule="exact"/>
              <w:rPr>
                <w:rFonts w:ascii="仿宋_GB2312"/>
                <w:color w:val="auto"/>
                <w:sz w:val="24"/>
              </w:rPr>
            </w:pPr>
            <w:r>
              <w:rPr>
                <w:rFonts w:hint="eastAsia" w:ascii="仿宋_GB2312"/>
                <w:color w:val="auto"/>
                <w:sz w:val="24"/>
              </w:rPr>
              <w:t>5万元以上27万元以下罚款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60" w:lineRule="exact"/>
              <w:rPr>
                <w:rFonts w:ascii="仿宋_GB2312"/>
                <w:color w:val="auto"/>
                <w:sz w:val="24"/>
              </w:rPr>
            </w:pPr>
            <w:r>
              <w:rPr>
                <w:rFonts w:hint="eastAsia" w:ascii="仿宋_GB2312"/>
                <w:color w:val="auto"/>
                <w:sz w:val="24"/>
              </w:rPr>
              <w:t>5万元罚款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31" w:type="dxa"/>
            <w:vAlign w:val="center"/>
          </w:tcPr>
          <w:p>
            <w:pPr>
              <w:spacing w:line="360" w:lineRule="exact"/>
              <w:rPr>
                <w:rFonts w:ascii="仿宋_GB2312"/>
                <w:color w:val="auto"/>
                <w:sz w:val="24"/>
              </w:rPr>
            </w:pPr>
            <w:r>
              <w:rPr>
                <w:rFonts w:hint="eastAsia" w:ascii="仿宋_GB2312"/>
                <w:color w:val="auto"/>
                <w:sz w:val="24"/>
              </w:rPr>
              <w:t>27万元以上50万元以下罚款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60" w:lineRule="exact"/>
              <w:rPr>
                <w:rFonts w:ascii="仿宋_GB2312"/>
                <w:color w:val="auto"/>
                <w:sz w:val="24"/>
              </w:rPr>
            </w:pPr>
            <w:r>
              <w:rPr>
                <w:rFonts w:hint="eastAsia" w:ascii="仿宋_GB2312"/>
                <w:color w:val="auto"/>
                <w:sz w:val="24"/>
              </w:rPr>
              <w:t>50万元罚款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vAlign w:val="center"/>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123"/>
        <w:gridCol w:w="3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40" w:lineRule="exact"/>
              <w:rPr>
                <w:rFonts w:ascii="仿宋_GB2312"/>
                <w:color w:val="auto"/>
                <w:sz w:val="24"/>
              </w:rPr>
            </w:pPr>
            <w:r>
              <w:rPr>
                <w:rFonts w:hint="eastAsia" w:ascii="仿宋_GB2312"/>
                <w:color w:val="auto"/>
                <w:sz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40" w:lineRule="exact"/>
              <w:rPr>
                <w:rFonts w:ascii="仿宋_GB2312"/>
                <w:color w:val="auto"/>
                <w:sz w:val="24"/>
              </w:rPr>
            </w:pPr>
            <w:r>
              <w:rPr>
                <w:rFonts w:hint="eastAsia" w:ascii="仿宋_GB2312"/>
                <w:color w:val="auto"/>
                <w:sz w:val="24"/>
              </w:rPr>
              <w:t>药品上市许可持有人在责令其召回药品后拒不召回。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4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五条：药品上市许可持有人在省、自治区、直辖市人民政府药品监督管理部门责令其召回后，拒不召回的，处应召回药品货值金额五倍以上十倍以下的罚款；货值金额不足十万元的，按十万元计算；情节严重的，吊销药品批准证明文件、药品生产许可证、药品经营许可证，对法定代表人、主要负责人、直接负责的主管人员和其他责任人员，处二万元以上二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40" w:lineRule="exact"/>
              <w:rPr>
                <w:rFonts w:ascii="仿宋_GB2312"/>
                <w:color w:val="auto"/>
                <w:sz w:val="24"/>
              </w:rPr>
            </w:pPr>
            <w:r>
              <w:rPr>
                <w:rFonts w:hint="eastAsia" w:ascii="仿宋_GB2312"/>
                <w:color w:val="auto"/>
                <w:sz w:val="24"/>
              </w:rPr>
              <w:t>罚款；</w:t>
            </w:r>
          </w:p>
          <w:p>
            <w:pPr>
              <w:spacing w:line="340" w:lineRule="exact"/>
              <w:rPr>
                <w:rFonts w:ascii="仿宋_GB2312"/>
                <w:color w:val="auto"/>
                <w:sz w:val="24"/>
              </w:rPr>
            </w:pPr>
            <w:r>
              <w:rPr>
                <w:rFonts w:hint="eastAsia" w:ascii="仿宋_GB2312"/>
                <w:color w:val="auto"/>
                <w:sz w:val="24"/>
              </w:rPr>
              <w:t>吊销批准证明文件、许可证。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40" w:lineRule="exact"/>
              <w:rPr>
                <w:rFonts w:ascii="仿宋_GB2312"/>
                <w:color w:val="auto"/>
                <w:sz w:val="24"/>
              </w:rPr>
            </w:pPr>
            <w:r>
              <w:rPr>
                <w:rFonts w:hint="eastAsia" w:ascii="仿宋_GB2312"/>
                <w:color w:val="auto"/>
                <w:sz w:val="24"/>
              </w:rPr>
              <w:t>1.县级以上人民政府药品监督管理部门；</w:t>
            </w:r>
          </w:p>
          <w:p>
            <w:pPr>
              <w:spacing w:line="340" w:lineRule="exact"/>
              <w:rPr>
                <w:rFonts w:ascii="仿宋_GB2312"/>
                <w:color w:val="auto"/>
                <w:sz w:val="24"/>
              </w:rPr>
            </w:pPr>
            <w:r>
              <w:rPr>
                <w:rFonts w:hint="eastAsia" w:ascii="仿宋_GB2312"/>
                <w:color w:val="auto"/>
                <w:sz w:val="24"/>
              </w:rPr>
              <w:t>2.吊销批准证明文件、许可证件的，原批准、发证的部门。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40" w:lineRule="exact"/>
              <w:rPr>
                <w:rFonts w:ascii="仿宋_GB2312"/>
                <w:color w:val="auto"/>
                <w:sz w:val="24"/>
              </w:rPr>
            </w:pPr>
            <w:r>
              <w:rPr>
                <w:rFonts w:hint="eastAsia" w:ascii="仿宋_GB2312"/>
                <w:color w:val="auto"/>
                <w:sz w:val="24"/>
              </w:rPr>
              <w:t>处应召回药品货值金额五倍以上十倍以下的罚款；货值金额不足十万元的，按十万元计算。</w:t>
            </w:r>
          </w:p>
          <w:p>
            <w:pPr>
              <w:spacing w:line="340" w:lineRule="exact"/>
              <w:rPr>
                <w:rFonts w:ascii="仿宋_GB2312"/>
                <w:color w:val="auto"/>
                <w:sz w:val="24"/>
              </w:rPr>
            </w:pPr>
            <w:r>
              <w:rPr>
                <w:rFonts w:hint="eastAsia" w:ascii="仿宋_GB2312"/>
                <w:color w:val="auto"/>
                <w:sz w:val="24"/>
              </w:rPr>
              <w:t>个人：处二万元以上二十万元以下的罚款。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40" w:lineRule="exact"/>
              <w:jc w:val="center"/>
              <w:rPr>
                <w:rFonts w:ascii="仿宋_GB2312"/>
                <w:color w:val="auto"/>
                <w:sz w:val="24"/>
              </w:rPr>
            </w:pPr>
            <w:r>
              <w:rPr>
                <w:rFonts w:hint="eastAsia" w:ascii="仿宋_GB2312"/>
                <w:color w:val="auto"/>
                <w:sz w:val="24"/>
              </w:rPr>
              <w:t>裁量</w:t>
            </w:r>
          </w:p>
        </w:tc>
        <w:tc>
          <w:tcPr>
            <w:tcW w:w="3123" w:type="dxa"/>
            <w:vAlign w:val="center"/>
          </w:tcPr>
          <w:p>
            <w:pPr>
              <w:spacing w:line="340" w:lineRule="exact"/>
              <w:jc w:val="center"/>
              <w:rPr>
                <w:rFonts w:ascii="仿宋_GB2312"/>
                <w:color w:val="auto"/>
                <w:sz w:val="24"/>
              </w:rPr>
            </w:pPr>
            <w:r>
              <w:rPr>
                <w:rFonts w:hint="eastAsia" w:ascii="仿宋_GB2312"/>
                <w:color w:val="auto"/>
                <w:sz w:val="24"/>
              </w:rPr>
              <w:t>裁量因素</w:t>
            </w:r>
          </w:p>
        </w:tc>
        <w:tc>
          <w:tcPr>
            <w:tcW w:w="3311" w:type="dxa"/>
            <w:vAlign w:val="center"/>
          </w:tcPr>
          <w:p>
            <w:pPr>
              <w:spacing w:line="34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40" w:lineRule="exact"/>
              <w:jc w:val="center"/>
              <w:rPr>
                <w:rFonts w:ascii="仿宋_GB2312"/>
                <w:color w:val="auto"/>
                <w:sz w:val="24"/>
              </w:rPr>
            </w:pPr>
          </w:p>
        </w:tc>
        <w:tc>
          <w:tcPr>
            <w:tcW w:w="900" w:type="dxa"/>
            <w:vAlign w:val="center"/>
          </w:tcPr>
          <w:p>
            <w:pPr>
              <w:spacing w:line="340" w:lineRule="exact"/>
              <w:jc w:val="center"/>
              <w:rPr>
                <w:rFonts w:ascii="仿宋_GB2312"/>
                <w:color w:val="auto"/>
                <w:sz w:val="24"/>
              </w:rPr>
            </w:pPr>
            <w:r>
              <w:rPr>
                <w:rFonts w:hint="eastAsia" w:ascii="仿宋_GB2312"/>
                <w:color w:val="auto"/>
                <w:sz w:val="24"/>
              </w:rPr>
              <w:t>中限</w:t>
            </w:r>
          </w:p>
        </w:tc>
        <w:tc>
          <w:tcPr>
            <w:tcW w:w="3123" w:type="dxa"/>
            <w:vAlign w:val="center"/>
          </w:tcPr>
          <w:p>
            <w:pPr>
              <w:spacing w:line="340" w:lineRule="exact"/>
              <w:rPr>
                <w:rFonts w:ascii="仿宋_GB2312"/>
                <w:color w:val="auto"/>
                <w:sz w:val="24"/>
              </w:rPr>
            </w:pPr>
            <w:r>
              <w:rPr>
                <w:rFonts w:hint="eastAsia" w:ascii="仿宋_GB2312"/>
                <w:color w:val="auto"/>
                <w:sz w:val="24"/>
              </w:rPr>
              <w:t>无本基准从重、从轻和减轻情节的</w:t>
            </w:r>
          </w:p>
        </w:tc>
        <w:tc>
          <w:tcPr>
            <w:tcW w:w="3311" w:type="dxa"/>
            <w:vAlign w:val="center"/>
          </w:tcPr>
          <w:p>
            <w:pPr>
              <w:spacing w:line="340" w:lineRule="exact"/>
              <w:rPr>
                <w:rFonts w:ascii="仿宋_GB2312"/>
                <w:color w:val="auto"/>
                <w:sz w:val="24"/>
              </w:rPr>
            </w:pPr>
            <w:r>
              <w:rPr>
                <w:rFonts w:hint="eastAsia" w:ascii="仿宋_GB2312"/>
                <w:color w:val="auto"/>
                <w:sz w:val="24"/>
              </w:rPr>
              <w:t>货值金额7.5倍罚款</w:t>
            </w:r>
          </w:p>
          <w:p>
            <w:pPr>
              <w:spacing w:line="340" w:lineRule="exact"/>
              <w:rPr>
                <w:rFonts w:ascii="仿宋_GB2312"/>
                <w:color w:val="auto"/>
                <w:sz w:val="24"/>
              </w:rPr>
            </w:pPr>
            <w:r>
              <w:rPr>
                <w:rFonts w:hint="eastAsia" w:ascii="仿宋_GB2312"/>
                <w:color w:val="auto"/>
                <w:sz w:val="24"/>
              </w:rPr>
              <w:t>个人：11万元罚款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40" w:lineRule="exact"/>
              <w:jc w:val="center"/>
              <w:rPr>
                <w:rFonts w:ascii="仿宋_GB2312"/>
                <w:color w:val="auto"/>
                <w:sz w:val="24"/>
              </w:rPr>
            </w:pPr>
          </w:p>
        </w:tc>
        <w:tc>
          <w:tcPr>
            <w:tcW w:w="900" w:type="dxa"/>
            <w:vAlign w:val="center"/>
          </w:tcPr>
          <w:p>
            <w:pPr>
              <w:spacing w:line="340" w:lineRule="exact"/>
              <w:jc w:val="center"/>
              <w:rPr>
                <w:rFonts w:ascii="仿宋_GB2312"/>
                <w:color w:val="auto"/>
                <w:sz w:val="24"/>
              </w:rPr>
            </w:pPr>
            <w:r>
              <w:rPr>
                <w:rFonts w:hint="eastAsia" w:ascii="仿宋_GB2312"/>
                <w:color w:val="auto"/>
                <w:sz w:val="24"/>
              </w:rPr>
              <w:t>减轻</w:t>
            </w:r>
          </w:p>
        </w:tc>
        <w:tc>
          <w:tcPr>
            <w:tcW w:w="312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311" w:type="dxa"/>
            <w:vAlign w:val="center"/>
          </w:tcPr>
          <w:p>
            <w:pPr>
              <w:spacing w:line="340" w:lineRule="exact"/>
              <w:rPr>
                <w:rFonts w:ascii="仿宋_GB2312"/>
                <w:color w:val="auto"/>
                <w:sz w:val="24"/>
              </w:rPr>
            </w:pPr>
            <w:r>
              <w:rPr>
                <w:rFonts w:hint="eastAsia" w:ascii="仿宋_GB2312"/>
                <w:color w:val="auto"/>
                <w:sz w:val="24"/>
              </w:rPr>
              <w:t>5万元以上货值金额5倍以下罚款</w:t>
            </w:r>
          </w:p>
          <w:p>
            <w:pPr>
              <w:spacing w:line="340" w:lineRule="exact"/>
              <w:rPr>
                <w:rFonts w:ascii="仿宋_GB2312"/>
                <w:color w:val="auto"/>
                <w:sz w:val="24"/>
              </w:rPr>
            </w:pPr>
            <w:r>
              <w:rPr>
                <w:rFonts w:hint="eastAsia" w:ascii="仿宋_GB2312"/>
                <w:color w:val="auto"/>
                <w:sz w:val="24"/>
              </w:rPr>
              <w:t>个人：2000元以上2万元以下罚款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188" w:type="dxa"/>
            <w:vMerge w:val="continue"/>
            <w:vAlign w:val="center"/>
          </w:tcPr>
          <w:p>
            <w:pPr>
              <w:spacing w:line="340" w:lineRule="exact"/>
              <w:jc w:val="center"/>
              <w:rPr>
                <w:rFonts w:ascii="仿宋_GB2312"/>
                <w:color w:val="auto"/>
                <w:sz w:val="24"/>
              </w:rPr>
            </w:pPr>
          </w:p>
        </w:tc>
        <w:tc>
          <w:tcPr>
            <w:tcW w:w="900" w:type="dxa"/>
            <w:vMerge w:val="restart"/>
            <w:vAlign w:val="center"/>
          </w:tcPr>
          <w:p>
            <w:pPr>
              <w:spacing w:line="340" w:lineRule="exact"/>
              <w:jc w:val="center"/>
              <w:rPr>
                <w:rFonts w:ascii="仿宋_GB2312"/>
                <w:color w:val="auto"/>
                <w:sz w:val="24"/>
              </w:rPr>
            </w:pPr>
            <w:r>
              <w:rPr>
                <w:rFonts w:hint="eastAsia" w:ascii="仿宋_GB2312"/>
                <w:color w:val="auto"/>
                <w:sz w:val="24"/>
              </w:rPr>
              <w:t>从轻</w:t>
            </w:r>
          </w:p>
        </w:tc>
        <w:tc>
          <w:tcPr>
            <w:tcW w:w="312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311" w:type="dxa"/>
            <w:vAlign w:val="center"/>
          </w:tcPr>
          <w:p>
            <w:pPr>
              <w:spacing w:line="340" w:lineRule="exact"/>
              <w:rPr>
                <w:rFonts w:ascii="仿宋_GB2312"/>
                <w:color w:val="auto"/>
                <w:sz w:val="24"/>
              </w:rPr>
            </w:pPr>
            <w:r>
              <w:rPr>
                <w:rFonts w:hint="eastAsia" w:ascii="仿宋_GB2312"/>
                <w:color w:val="auto"/>
                <w:sz w:val="24"/>
              </w:rPr>
              <w:t>货值金额5倍以上7.5倍以下罚款</w:t>
            </w:r>
          </w:p>
          <w:p>
            <w:pPr>
              <w:spacing w:line="340" w:lineRule="exact"/>
              <w:rPr>
                <w:rFonts w:ascii="仿宋_GB2312"/>
                <w:color w:val="auto"/>
                <w:sz w:val="24"/>
              </w:rPr>
            </w:pPr>
            <w:r>
              <w:rPr>
                <w:rFonts w:hint="eastAsia" w:ascii="仿宋_GB2312"/>
                <w:color w:val="auto"/>
                <w:sz w:val="24"/>
              </w:rPr>
              <w:t>个人：2万元以上11万元以下罚款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188" w:type="dxa"/>
            <w:vMerge w:val="continue"/>
            <w:vAlign w:val="center"/>
          </w:tcPr>
          <w:p>
            <w:pPr>
              <w:spacing w:line="340" w:lineRule="exact"/>
              <w:jc w:val="center"/>
              <w:rPr>
                <w:rFonts w:ascii="仿宋_GB2312"/>
                <w:color w:val="auto"/>
                <w:sz w:val="24"/>
              </w:rPr>
            </w:pPr>
          </w:p>
        </w:tc>
        <w:tc>
          <w:tcPr>
            <w:tcW w:w="900" w:type="dxa"/>
            <w:vMerge w:val="continue"/>
            <w:vAlign w:val="center"/>
          </w:tcPr>
          <w:p>
            <w:pPr>
              <w:spacing w:line="340" w:lineRule="exact"/>
              <w:jc w:val="center"/>
              <w:rPr>
                <w:rFonts w:ascii="仿宋_GB2312"/>
                <w:color w:val="auto"/>
                <w:sz w:val="24"/>
              </w:rPr>
            </w:pPr>
          </w:p>
        </w:tc>
        <w:tc>
          <w:tcPr>
            <w:tcW w:w="312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311" w:type="dxa"/>
            <w:vAlign w:val="center"/>
          </w:tcPr>
          <w:p>
            <w:pPr>
              <w:spacing w:line="340" w:lineRule="exact"/>
              <w:rPr>
                <w:rFonts w:ascii="仿宋_GB2312"/>
                <w:color w:val="auto"/>
                <w:sz w:val="24"/>
              </w:rPr>
            </w:pPr>
            <w:r>
              <w:rPr>
                <w:rFonts w:hint="eastAsia" w:ascii="仿宋_GB2312"/>
                <w:color w:val="auto"/>
                <w:sz w:val="24"/>
              </w:rPr>
              <w:t>货值金额5倍罚款</w:t>
            </w:r>
          </w:p>
          <w:p>
            <w:pPr>
              <w:spacing w:line="340" w:lineRule="exact"/>
              <w:rPr>
                <w:rFonts w:ascii="仿宋_GB2312"/>
                <w:color w:val="auto"/>
                <w:sz w:val="24"/>
              </w:rPr>
            </w:pPr>
            <w:r>
              <w:rPr>
                <w:rFonts w:hint="eastAsia" w:ascii="仿宋_GB2312"/>
                <w:color w:val="auto"/>
                <w:sz w:val="24"/>
              </w:rPr>
              <w:t>个人：2万元罚款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continue"/>
            <w:vAlign w:val="center"/>
          </w:tcPr>
          <w:p>
            <w:pPr>
              <w:spacing w:line="340" w:lineRule="exact"/>
              <w:jc w:val="center"/>
              <w:rPr>
                <w:rFonts w:ascii="仿宋_GB2312"/>
                <w:color w:val="auto"/>
                <w:sz w:val="24"/>
              </w:rPr>
            </w:pPr>
          </w:p>
        </w:tc>
        <w:tc>
          <w:tcPr>
            <w:tcW w:w="900" w:type="dxa"/>
            <w:vMerge w:val="restart"/>
            <w:vAlign w:val="center"/>
          </w:tcPr>
          <w:p>
            <w:pPr>
              <w:spacing w:line="340" w:lineRule="exact"/>
              <w:jc w:val="center"/>
              <w:rPr>
                <w:rFonts w:ascii="仿宋_GB2312"/>
                <w:color w:val="auto"/>
                <w:sz w:val="24"/>
              </w:rPr>
            </w:pPr>
            <w:r>
              <w:rPr>
                <w:rFonts w:hint="eastAsia" w:ascii="仿宋_GB2312"/>
                <w:color w:val="auto"/>
                <w:sz w:val="24"/>
              </w:rPr>
              <w:t>从重</w:t>
            </w:r>
          </w:p>
        </w:tc>
        <w:tc>
          <w:tcPr>
            <w:tcW w:w="312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40" w:lineRule="exact"/>
              <w:rPr>
                <w:rFonts w:ascii="仿宋_GB2312"/>
                <w:color w:val="auto"/>
                <w:sz w:val="24"/>
              </w:rPr>
            </w:pPr>
          </w:p>
        </w:tc>
        <w:tc>
          <w:tcPr>
            <w:tcW w:w="3311" w:type="dxa"/>
            <w:vAlign w:val="center"/>
          </w:tcPr>
          <w:p>
            <w:pPr>
              <w:spacing w:line="340" w:lineRule="exact"/>
              <w:rPr>
                <w:rFonts w:ascii="仿宋_GB2312"/>
                <w:color w:val="auto"/>
                <w:sz w:val="24"/>
              </w:rPr>
            </w:pPr>
            <w:r>
              <w:rPr>
                <w:rFonts w:hint="eastAsia" w:ascii="仿宋_GB2312"/>
                <w:color w:val="auto"/>
                <w:sz w:val="24"/>
              </w:rPr>
              <w:t>货值金额7.5倍以上10倍以下罚款</w:t>
            </w:r>
          </w:p>
          <w:p>
            <w:pPr>
              <w:spacing w:line="340" w:lineRule="exact"/>
              <w:rPr>
                <w:rFonts w:ascii="仿宋_GB2312"/>
                <w:color w:val="auto"/>
                <w:sz w:val="24"/>
              </w:rPr>
            </w:pPr>
            <w:r>
              <w:rPr>
                <w:rFonts w:hint="eastAsia" w:ascii="仿宋_GB2312"/>
                <w:color w:val="auto"/>
                <w:sz w:val="24"/>
              </w:rPr>
              <w:t>个人：11万元以上20万元以下罚款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188" w:type="dxa"/>
            <w:vMerge w:val="continue"/>
            <w:vAlign w:val="center"/>
          </w:tcPr>
          <w:p>
            <w:pPr>
              <w:spacing w:line="340" w:lineRule="exact"/>
              <w:jc w:val="center"/>
              <w:rPr>
                <w:rFonts w:ascii="仿宋_GB2312"/>
                <w:color w:val="auto"/>
                <w:sz w:val="24"/>
              </w:rPr>
            </w:pPr>
          </w:p>
        </w:tc>
        <w:tc>
          <w:tcPr>
            <w:tcW w:w="900" w:type="dxa"/>
            <w:vMerge w:val="continue"/>
            <w:vAlign w:val="center"/>
          </w:tcPr>
          <w:p>
            <w:pPr>
              <w:spacing w:line="340" w:lineRule="exact"/>
              <w:jc w:val="center"/>
              <w:rPr>
                <w:rFonts w:ascii="仿宋_GB2312"/>
                <w:color w:val="auto"/>
                <w:sz w:val="24"/>
              </w:rPr>
            </w:pPr>
          </w:p>
        </w:tc>
        <w:tc>
          <w:tcPr>
            <w:tcW w:w="312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311" w:type="dxa"/>
            <w:vAlign w:val="center"/>
          </w:tcPr>
          <w:p>
            <w:pPr>
              <w:spacing w:line="340" w:lineRule="exact"/>
              <w:rPr>
                <w:rFonts w:ascii="仿宋_GB2312"/>
                <w:color w:val="auto"/>
                <w:sz w:val="24"/>
              </w:rPr>
            </w:pPr>
            <w:r>
              <w:rPr>
                <w:rFonts w:hint="eastAsia" w:ascii="仿宋_GB2312"/>
                <w:color w:val="auto"/>
                <w:sz w:val="24"/>
              </w:rPr>
              <w:t>货值金额10倍罚款</w:t>
            </w:r>
          </w:p>
          <w:p>
            <w:pPr>
              <w:spacing w:line="340" w:lineRule="exact"/>
              <w:rPr>
                <w:rFonts w:ascii="仿宋_GB2312"/>
                <w:color w:val="auto"/>
                <w:sz w:val="24"/>
              </w:rPr>
            </w:pPr>
            <w:r>
              <w:rPr>
                <w:rFonts w:hint="eastAsia" w:ascii="仿宋_GB2312"/>
                <w:color w:val="auto"/>
                <w:sz w:val="24"/>
              </w:rPr>
              <w:t>个人：20万元罚款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88" w:type="dxa"/>
            <w:vAlign w:val="center"/>
          </w:tcPr>
          <w:p>
            <w:pPr>
              <w:spacing w:line="34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40" w:lineRule="exact"/>
              <w:rPr>
                <w:rFonts w:ascii="仿宋_GB2312"/>
                <w:color w:val="auto"/>
                <w:sz w:val="24"/>
              </w:rPr>
            </w:pPr>
          </w:p>
        </w:tc>
      </w:tr>
    </w:tbl>
    <w:p>
      <w:pPr>
        <w:spacing w:line="360" w:lineRule="exact"/>
        <w:rPr>
          <w:rFonts w:ascii="仿宋_GB2312"/>
          <w:color w:val="auto"/>
          <w:sz w:val="24"/>
        </w:rPr>
      </w:pPr>
      <w:r>
        <w:rPr>
          <w:rFonts w:ascii="仿宋_GB2312"/>
          <w:color w:val="auto"/>
          <w:sz w:val="24"/>
        </w:rPr>
        <w:br w:type="page"/>
      </w:r>
    </w:p>
    <w:p>
      <w:pPr>
        <w:spacing w:line="360" w:lineRule="exact"/>
        <w:rPr>
          <w:rFonts w:ascii="仿宋_GB2312"/>
          <w:color w:val="auto"/>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03"/>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药品生产企业、药品经营企业、医疗机构拒不配合召回违法药品。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第一百三十五条：药品生产企业、药品经营企业、医疗机构拒不配合召回的，处十万元以上五十万元以下的罚款。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处十万元以上五十万元以下的罚款。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03"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31"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03"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31" w:type="dxa"/>
            <w:vAlign w:val="center"/>
          </w:tcPr>
          <w:p>
            <w:pPr>
              <w:spacing w:line="360" w:lineRule="exact"/>
              <w:rPr>
                <w:rFonts w:ascii="仿宋_GB2312"/>
                <w:color w:val="auto"/>
                <w:sz w:val="24"/>
              </w:rPr>
            </w:pPr>
            <w:r>
              <w:rPr>
                <w:rFonts w:hint="eastAsia" w:ascii="仿宋_GB2312"/>
                <w:color w:val="auto"/>
                <w:sz w:val="24"/>
              </w:rPr>
              <w:t>30万罚款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60" w:lineRule="exact"/>
              <w:rPr>
                <w:rFonts w:ascii="仿宋_GB2312"/>
                <w:color w:val="auto"/>
                <w:sz w:val="24"/>
              </w:rPr>
            </w:pPr>
            <w:r>
              <w:rPr>
                <w:rFonts w:hint="eastAsia" w:ascii="仿宋_GB2312"/>
                <w:color w:val="auto"/>
                <w:sz w:val="24"/>
              </w:rPr>
              <w:t>1万元以上10万元以下罚款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p>
          <w:p>
            <w:pPr>
              <w:spacing w:line="360" w:lineRule="exact"/>
              <w:jc w:val="center"/>
              <w:rPr>
                <w:rFonts w:ascii="仿宋_GB2312"/>
                <w:color w:val="auto"/>
                <w:sz w:val="24"/>
              </w:rPr>
            </w:pPr>
            <w:r>
              <w:rPr>
                <w:rFonts w:hint="eastAsia" w:ascii="仿宋_GB2312"/>
                <w:color w:val="auto"/>
                <w:sz w:val="24"/>
              </w:rPr>
              <w:t>从轻</w:t>
            </w: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60" w:lineRule="exact"/>
              <w:rPr>
                <w:rFonts w:ascii="仿宋_GB2312"/>
                <w:color w:val="auto"/>
                <w:sz w:val="24"/>
              </w:rPr>
            </w:pPr>
            <w:r>
              <w:rPr>
                <w:rFonts w:hint="eastAsia" w:ascii="仿宋_GB2312"/>
                <w:color w:val="auto"/>
                <w:sz w:val="24"/>
              </w:rPr>
              <w:t>10万元以上30万元以下罚款</w:t>
            </w:r>
          </w:p>
          <w:p>
            <w:pPr>
              <w:spacing w:line="360" w:lineRule="exact"/>
              <w:rPr>
                <w:rFonts w:ascii="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60" w:lineRule="exact"/>
              <w:rPr>
                <w:rFonts w:ascii="仿宋_GB2312"/>
                <w:color w:val="auto"/>
                <w:sz w:val="24"/>
              </w:rPr>
            </w:pPr>
            <w:r>
              <w:rPr>
                <w:rFonts w:hint="eastAsia" w:ascii="仿宋_GB2312"/>
                <w:color w:val="auto"/>
                <w:sz w:val="24"/>
              </w:rPr>
              <w:t>10万元罚款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p>
            <w:pPr>
              <w:spacing w:line="360" w:lineRule="exact"/>
              <w:jc w:val="center"/>
              <w:rPr>
                <w:rFonts w:ascii="仿宋_GB2312"/>
                <w:color w:val="auto"/>
                <w:sz w:val="24"/>
              </w:rPr>
            </w:pPr>
          </w:p>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31" w:type="dxa"/>
            <w:vAlign w:val="center"/>
          </w:tcPr>
          <w:p>
            <w:pPr>
              <w:spacing w:line="360" w:lineRule="exact"/>
              <w:rPr>
                <w:rFonts w:ascii="仿宋_GB2312"/>
                <w:color w:val="auto"/>
                <w:sz w:val="24"/>
              </w:rPr>
            </w:pPr>
            <w:r>
              <w:rPr>
                <w:rFonts w:hint="eastAsia" w:ascii="仿宋_GB2312"/>
                <w:color w:val="auto"/>
                <w:sz w:val="24"/>
              </w:rPr>
              <w:t>30万元以上50万元以下罚款</w:t>
            </w:r>
          </w:p>
          <w:p>
            <w:pPr>
              <w:spacing w:line="360" w:lineRule="exact"/>
              <w:rPr>
                <w:rFonts w:ascii="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0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60" w:lineRule="exact"/>
              <w:rPr>
                <w:rFonts w:ascii="仿宋_GB2312"/>
                <w:color w:val="auto"/>
                <w:sz w:val="24"/>
              </w:rPr>
            </w:pPr>
            <w:r>
              <w:rPr>
                <w:rFonts w:hint="eastAsia" w:ascii="仿宋_GB2312"/>
                <w:color w:val="auto"/>
                <w:sz w:val="24"/>
              </w:rPr>
              <w:t>50万元罚款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03"/>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40" w:lineRule="exact"/>
              <w:rPr>
                <w:rFonts w:ascii="仿宋_GB2312"/>
                <w:color w:val="auto"/>
                <w:sz w:val="24"/>
              </w:rPr>
            </w:pPr>
            <w:r>
              <w:rPr>
                <w:rFonts w:hint="eastAsia" w:ascii="仿宋_GB2312"/>
                <w:color w:val="auto"/>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40" w:lineRule="exact"/>
              <w:rPr>
                <w:rFonts w:ascii="仿宋_GB2312"/>
                <w:color w:val="auto"/>
                <w:sz w:val="24"/>
              </w:rPr>
            </w:pPr>
            <w:r>
              <w:rPr>
                <w:rFonts w:hint="eastAsia" w:ascii="仿宋_GB2312"/>
                <w:color w:val="auto"/>
                <w:sz w:val="24"/>
              </w:rPr>
              <w:t>药品检验机构出具虚假检验报告。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4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三十八条：药品检验机构出具虚假检验报告的，责令改正，给予警告，对单位并处二十万元以上一百万元以下的罚款；对直接负责的主管人员和其他直接责任人员依法给予降级、撤职、开除处分，没收违法所得，并处五万元以下的罚款；情节严重的，撤销其检验资格。药品检验机构出具的检验结果不实，造成损失的，应当承担相应的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40" w:lineRule="exact"/>
              <w:rPr>
                <w:rFonts w:ascii="仿宋_GB2312"/>
                <w:color w:val="auto"/>
                <w:sz w:val="24"/>
              </w:rPr>
            </w:pPr>
            <w:r>
              <w:rPr>
                <w:rFonts w:hint="eastAsia" w:ascii="仿宋_GB2312"/>
                <w:color w:val="auto"/>
                <w:sz w:val="24"/>
              </w:rPr>
              <w:t>警告；</w:t>
            </w:r>
          </w:p>
          <w:p>
            <w:pPr>
              <w:spacing w:line="340" w:lineRule="exact"/>
              <w:rPr>
                <w:rFonts w:ascii="仿宋_GB2312"/>
                <w:color w:val="auto"/>
                <w:sz w:val="24"/>
              </w:rPr>
            </w:pPr>
            <w:r>
              <w:rPr>
                <w:rFonts w:hint="eastAsia" w:ascii="仿宋_GB2312"/>
                <w:color w:val="auto"/>
                <w:sz w:val="24"/>
              </w:rPr>
              <w:t>并处罚款；</w:t>
            </w:r>
          </w:p>
          <w:p>
            <w:pPr>
              <w:spacing w:line="340" w:lineRule="exact"/>
              <w:rPr>
                <w:rFonts w:ascii="仿宋_GB2312"/>
                <w:color w:val="auto"/>
                <w:sz w:val="24"/>
              </w:rPr>
            </w:pPr>
            <w:r>
              <w:rPr>
                <w:rFonts w:hint="eastAsia" w:ascii="仿宋_GB2312"/>
                <w:color w:val="auto"/>
                <w:sz w:val="24"/>
              </w:rPr>
              <w:t>没收违法所得。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40" w:lineRule="exact"/>
              <w:rPr>
                <w:rFonts w:ascii="仿宋_GB2312"/>
                <w:color w:val="auto"/>
                <w:sz w:val="24"/>
              </w:rPr>
            </w:pPr>
            <w:r>
              <w:rPr>
                <w:rFonts w:hint="eastAsia" w:ascii="仿宋_GB2312"/>
                <w:color w:val="auto"/>
                <w:sz w:val="24"/>
              </w:rPr>
              <w:t>1.县级以上人民政府药品监督管理部门；</w:t>
            </w:r>
          </w:p>
          <w:p>
            <w:pPr>
              <w:spacing w:line="340" w:lineRule="exact"/>
              <w:rPr>
                <w:rFonts w:ascii="仿宋_GB2312"/>
                <w:color w:val="auto"/>
                <w:sz w:val="24"/>
              </w:rPr>
            </w:pPr>
            <w:r>
              <w:rPr>
                <w:rFonts w:hint="eastAsia" w:ascii="仿宋_GB2312"/>
                <w:color w:val="auto"/>
                <w:sz w:val="24"/>
              </w:rPr>
              <w:t>2.撤销检验资格的，原批准、发证的部门。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40" w:lineRule="exact"/>
              <w:rPr>
                <w:rFonts w:ascii="仿宋_GB2312"/>
                <w:color w:val="auto"/>
                <w:sz w:val="24"/>
              </w:rPr>
            </w:pPr>
            <w:r>
              <w:rPr>
                <w:rFonts w:hint="eastAsia" w:ascii="仿宋_GB2312"/>
                <w:color w:val="auto"/>
                <w:sz w:val="24"/>
              </w:rPr>
              <w:t>处二十万元以上一百万元以下的罚款；</w:t>
            </w:r>
          </w:p>
          <w:p>
            <w:pPr>
              <w:spacing w:line="340" w:lineRule="exact"/>
              <w:rPr>
                <w:rFonts w:ascii="仿宋_GB2312"/>
                <w:color w:val="auto"/>
                <w:sz w:val="24"/>
              </w:rPr>
            </w:pPr>
            <w:r>
              <w:rPr>
                <w:rFonts w:hint="eastAsia" w:ascii="仿宋_GB2312"/>
                <w:color w:val="auto"/>
                <w:sz w:val="24"/>
              </w:rPr>
              <w:t>个人：处五万元以下的罚款。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4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40" w:lineRule="exact"/>
              <w:jc w:val="center"/>
              <w:rPr>
                <w:rFonts w:ascii="仿宋_GB2312"/>
                <w:color w:val="auto"/>
                <w:sz w:val="24"/>
              </w:rPr>
            </w:pPr>
            <w:r>
              <w:rPr>
                <w:rFonts w:hint="eastAsia" w:ascii="仿宋_GB2312"/>
                <w:color w:val="auto"/>
                <w:sz w:val="24"/>
              </w:rPr>
              <w:t>裁量</w:t>
            </w:r>
          </w:p>
        </w:tc>
        <w:tc>
          <w:tcPr>
            <w:tcW w:w="3303" w:type="dxa"/>
            <w:vAlign w:val="center"/>
          </w:tcPr>
          <w:p>
            <w:pPr>
              <w:spacing w:line="340" w:lineRule="exact"/>
              <w:jc w:val="center"/>
              <w:rPr>
                <w:rFonts w:ascii="仿宋_GB2312"/>
                <w:color w:val="auto"/>
                <w:sz w:val="24"/>
              </w:rPr>
            </w:pPr>
            <w:r>
              <w:rPr>
                <w:rFonts w:hint="eastAsia" w:ascii="仿宋_GB2312"/>
                <w:color w:val="auto"/>
                <w:sz w:val="24"/>
              </w:rPr>
              <w:t>裁量因素</w:t>
            </w:r>
          </w:p>
        </w:tc>
        <w:tc>
          <w:tcPr>
            <w:tcW w:w="3131" w:type="dxa"/>
            <w:vAlign w:val="center"/>
          </w:tcPr>
          <w:p>
            <w:pPr>
              <w:spacing w:line="34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88" w:type="dxa"/>
            <w:vMerge w:val="restart"/>
            <w:vAlign w:val="center"/>
          </w:tcPr>
          <w:p>
            <w:pPr>
              <w:spacing w:line="340" w:lineRule="exact"/>
              <w:jc w:val="center"/>
              <w:rPr>
                <w:rFonts w:ascii="仿宋_GB2312"/>
                <w:color w:val="auto"/>
                <w:sz w:val="24"/>
              </w:rPr>
            </w:pPr>
          </w:p>
        </w:tc>
        <w:tc>
          <w:tcPr>
            <w:tcW w:w="900" w:type="dxa"/>
            <w:vAlign w:val="center"/>
          </w:tcPr>
          <w:p>
            <w:pPr>
              <w:spacing w:line="340" w:lineRule="exact"/>
              <w:jc w:val="center"/>
              <w:rPr>
                <w:rFonts w:ascii="仿宋_GB2312"/>
                <w:color w:val="auto"/>
                <w:sz w:val="24"/>
              </w:rPr>
            </w:pPr>
          </w:p>
          <w:p>
            <w:pPr>
              <w:spacing w:line="340" w:lineRule="exact"/>
              <w:jc w:val="center"/>
              <w:rPr>
                <w:rFonts w:ascii="仿宋_GB2312"/>
                <w:color w:val="auto"/>
                <w:sz w:val="24"/>
              </w:rPr>
            </w:pPr>
            <w:r>
              <w:rPr>
                <w:rFonts w:hint="eastAsia" w:ascii="仿宋_GB2312"/>
                <w:color w:val="auto"/>
                <w:sz w:val="24"/>
              </w:rPr>
              <w:t>中限</w:t>
            </w:r>
          </w:p>
        </w:tc>
        <w:tc>
          <w:tcPr>
            <w:tcW w:w="3303" w:type="dxa"/>
            <w:vAlign w:val="center"/>
          </w:tcPr>
          <w:p>
            <w:pPr>
              <w:spacing w:line="340" w:lineRule="exact"/>
              <w:rPr>
                <w:rFonts w:ascii="仿宋_GB2312"/>
                <w:color w:val="auto"/>
                <w:sz w:val="24"/>
              </w:rPr>
            </w:pPr>
            <w:r>
              <w:rPr>
                <w:rFonts w:hint="eastAsia" w:ascii="仿宋_GB2312"/>
                <w:color w:val="auto"/>
                <w:sz w:val="24"/>
              </w:rPr>
              <w:t>无本基准从重、从轻和减轻情节的</w:t>
            </w:r>
          </w:p>
        </w:tc>
        <w:tc>
          <w:tcPr>
            <w:tcW w:w="3131" w:type="dxa"/>
            <w:vAlign w:val="center"/>
          </w:tcPr>
          <w:p>
            <w:pPr>
              <w:spacing w:line="340" w:lineRule="exact"/>
              <w:rPr>
                <w:rFonts w:ascii="仿宋_GB2312"/>
                <w:color w:val="auto"/>
                <w:sz w:val="24"/>
              </w:rPr>
            </w:pPr>
            <w:r>
              <w:rPr>
                <w:rFonts w:hint="eastAsia" w:ascii="仿宋_GB2312"/>
                <w:color w:val="auto"/>
                <w:sz w:val="24"/>
              </w:rPr>
              <w:t>60万元罚款</w:t>
            </w:r>
          </w:p>
          <w:p>
            <w:pPr>
              <w:spacing w:line="340" w:lineRule="exact"/>
              <w:rPr>
                <w:rFonts w:ascii="仿宋_GB2312"/>
                <w:color w:val="auto"/>
                <w:sz w:val="24"/>
              </w:rPr>
            </w:pPr>
            <w:r>
              <w:rPr>
                <w:rFonts w:hint="eastAsia" w:ascii="仿宋_GB2312"/>
                <w:color w:val="auto"/>
                <w:sz w:val="24"/>
              </w:rPr>
              <w:t>个人：3万元的罚款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188" w:type="dxa"/>
            <w:vMerge w:val="continue"/>
            <w:vAlign w:val="center"/>
          </w:tcPr>
          <w:p>
            <w:pPr>
              <w:spacing w:line="340" w:lineRule="exact"/>
              <w:jc w:val="center"/>
              <w:rPr>
                <w:rFonts w:ascii="仿宋_GB2312"/>
                <w:color w:val="auto"/>
                <w:sz w:val="24"/>
              </w:rPr>
            </w:pPr>
          </w:p>
        </w:tc>
        <w:tc>
          <w:tcPr>
            <w:tcW w:w="900" w:type="dxa"/>
            <w:vAlign w:val="center"/>
          </w:tcPr>
          <w:p>
            <w:pPr>
              <w:spacing w:line="340" w:lineRule="exact"/>
              <w:jc w:val="center"/>
              <w:rPr>
                <w:rFonts w:ascii="仿宋_GB2312"/>
                <w:color w:val="auto"/>
                <w:sz w:val="24"/>
              </w:rPr>
            </w:pPr>
            <w:r>
              <w:rPr>
                <w:rFonts w:hint="eastAsia" w:ascii="仿宋_GB2312"/>
                <w:color w:val="auto"/>
                <w:sz w:val="24"/>
              </w:rPr>
              <w:t>减轻</w:t>
            </w: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40" w:lineRule="exact"/>
              <w:rPr>
                <w:rFonts w:ascii="仿宋_GB2312"/>
                <w:color w:val="auto"/>
                <w:sz w:val="24"/>
              </w:rPr>
            </w:pPr>
            <w:r>
              <w:rPr>
                <w:rFonts w:hint="eastAsia" w:ascii="仿宋_GB2312"/>
                <w:color w:val="auto"/>
                <w:sz w:val="24"/>
              </w:rPr>
              <w:t>2万元以上20万元以下罚款</w:t>
            </w:r>
          </w:p>
          <w:p>
            <w:pPr>
              <w:spacing w:line="340" w:lineRule="exact"/>
              <w:rPr>
                <w:rFonts w:ascii="仿宋_GB2312"/>
                <w:color w:val="auto"/>
                <w:sz w:val="24"/>
              </w:rPr>
            </w:pPr>
            <w:r>
              <w:rPr>
                <w:rFonts w:hint="eastAsia" w:ascii="仿宋_GB2312"/>
                <w:color w:val="auto"/>
                <w:sz w:val="24"/>
              </w:rPr>
              <w:t>个人：500元以上5000元以下罚款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188" w:type="dxa"/>
            <w:vMerge w:val="continue"/>
            <w:vAlign w:val="center"/>
          </w:tcPr>
          <w:p>
            <w:pPr>
              <w:spacing w:line="340" w:lineRule="exact"/>
              <w:jc w:val="center"/>
              <w:rPr>
                <w:rFonts w:ascii="仿宋_GB2312"/>
                <w:color w:val="auto"/>
                <w:sz w:val="24"/>
              </w:rPr>
            </w:pPr>
          </w:p>
        </w:tc>
        <w:tc>
          <w:tcPr>
            <w:tcW w:w="900" w:type="dxa"/>
            <w:vMerge w:val="restart"/>
            <w:vAlign w:val="center"/>
          </w:tcPr>
          <w:p>
            <w:pPr>
              <w:spacing w:line="340" w:lineRule="exact"/>
              <w:jc w:val="center"/>
              <w:rPr>
                <w:rFonts w:ascii="仿宋_GB2312"/>
                <w:color w:val="auto"/>
                <w:sz w:val="24"/>
              </w:rPr>
            </w:pPr>
          </w:p>
          <w:p>
            <w:pPr>
              <w:spacing w:line="340" w:lineRule="exact"/>
              <w:jc w:val="center"/>
              <w:rPr>
                <w:rFonts w:ascii="仿宋_GB2312"/>
                <w:color w:val="auto"/>
                <w:sz w:val="24"/>
              </w:rPr>
            </w:pPr>
            <w:r>
              <w:rPr>
                <w:rFonts w:hint="eastAsia" w:ascii="仿宋_GB2312"/>
                <w:color w:val="auto"/>
                <w:sz w:val="24"/>
              </w:rPr>
              <w:t>从轻</w:t>
            </w: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31" w:type="dxa"/>
            <w:vAlign w:val="center"/>
          </w:tcPr>
          <w:p>
            <w:pPr>
              <w:spacing w:line="340" w:lineRule="exact"/>
              <w:rPr>
                <w:rFonts w:ascii="仿宋_GB2312"/>
                <w:color w:val="auto"/>
                <w:sz w:val="24"/>
              </w:rPr>
            </w:pPr>
            <w:r>
              <w:rPr>
                <w:rFonts w:hint="eastAsia" w:ascii="仿宋_GB2312"/>
                <w:color w:val="auto"/>
                <w:sz w:val="24"/>
              </w:rPr>
              <w:t>20万元以上60万元以下罚款</w:t>
            </w:r>
          </w:p>
          <w:p>
            <w:pPr>
              <w:spacing w:line="340" w:lineRule="exact"/>
              <w:rPr>
                <w:rFonts w:ascii="仿宋_GB2312"/>
                <w:color w:val="auto"/>
                <w:sz w:val="24"/>
              </w:rPr>
            </w:pPr>
            <w:r>
              <w:rPr>
                <w:rFonts w:hint="eastAsia" w:ascii="仿宋_GB2312"/>
                <w:color w:val="auto"/>
                <w:sz w:val="24"/>
              </w:rPr>
              <w:t>个人：5000元以上3万元以下罚款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188" w:type="dxa"/>
            <w:vMerge w:val="continue"/>
            <w:vAlign w:val="center"/>
          </w:tcPr>
          <w:p>
            <w:pPr>
              <w:spacing w:line="340" w:lineRule="exact"/>
              <w:jc w:val="center"/>
              <w:rPr>
                <w:rFonts w:ascii="仿宋_GB2312"/>
                <w:color w:val="auto"/>
                <w:sz w:val="24"/>
              </w:rPr>
            </w:pPr>
          </w:p>
        </w:tc>
        <w:tc>
          <w:tcPr>
            <w:tcW w:w="900" w:type="dxa"/>
            <w:vMerge w:val="continue"/>
            <w:vAlign w:val="center"/>
          </w:tcPr>
          <w:p>
            <w:pPr>
              <w:spacing w:line="340" w:lineRule="exact"/>
              <w:jc w:val="center"/>
              <w:rPr>
                <w:rFonts w:ascii="仿宋_GB2312"/>
                <w:color w:val="auto"/>
                <w:sz w:val="24"/>
              </w:rPr>
            </w:pP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40" w:lineRule="exact"/>
              <w:rPr>
                <w:rFonts w:ascii="仿宋_GB2312"/>
                <w:color w:val="auto"/>
                <w:sz w:val="24"/>
              </w:rPr>
            </w:pPr>
            <w:r>
              <w:rPr>
                <w:rFonts w:hint="eastAsia" w:ascii="仿宋_GB2312"/>
                <w:color w:val="auto"/>
                <w:sz w:val="24"/>
              </w:rPr>
              <w:t>20万元罚款</w:t>
            </w:r>
          </w:p>
          <w:p>
            <w:pPr>
              <w:spacing w:line="340" w:lineRule="exact"/>
              <w:rPr>
                <w:rFonts w:ascii="仿宋_GB2312"/>
                <w:color w:val="auto"/>
                <w:sz w:val="24"/>
              </w:rPr>
            </w:pPr>
            <w:r>
              <w:rPr>
                <w:rFonts w:hint="eastAsia" w:ascii="仿宋_GB2312"/>
                <w:color w:val="auto"/>
                <w:sz w:val="24"/>
              </w:rPr>
              <w:t>个人：5000元罚款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88" w:type="dxa"/>
            <w:vMerge w:val="continue"/>
            <w:vAlign w:val="center"/>
          </w:tcPr>
          <w:p>
            <w:pPr>
              <w:spacing w:line="340" w:lineRule="exact"/>
              <w:jc w:val="center"/>
              <w:rPr>
                <w:rFonts w:ascii="仿宋_GB2312"/>
                <w:color w:val="auto"/>
                <w:sz w:val="24"/>
              </w:rPr>
            </w:pPr>
          </w:p>
        </w:tc>
        <w:tc>
          <w:tcPr>
            <w:tcW w:w="900" w:type="dxa"/>
            <w:vMerge w:val="restart"/>
            <w:vAlign w:val="center"/>
          </w:tcPr>
          <w:p>
            <w:pPr>
              <w:spacing w:line="340" w:lineRule="exact"/>
              <w:jc w:val="center"/>
              <w:rPr>
                <w:rFonts w:ascii="仿宋_GB2312"/>
                <w:color w:val="auto"/>
                <w:sz w:val="24"/>
              </w:rPr>
            </w:pPr>
            <w:r>
              <w:rPr>
                <w:rFonts w:hint="eastAsia" w:ascii="仿宋_GB2312"/>
                <w:color w:val="auto"/>
                <w:sz w:val="24"/>
              </w:rPr>
              <w:t>从重</w:t>
            </w:r>
          </w:p>
          <w:p>
            <w:pPr>
              <w:spacing w:line="340" w:lineRule="exact"/>
              <w:jc w:val="center"/>
              <w:rPr>
                <w:rFonts w:ascii="仿宋_GB2312"/>
                <w:color w:val="auto"/>
                <w:sz w:val="24"/>
              </w:rPr>
            </w:pPr>
          </w:p>
          <w:p>
            <w:pPr>
              <w:spacing w:line="340" w:lineRule="exact"/>
              <w:jc w:val="center"/>
              <w:rPr>
                <w:rFonts w:ascii="仿宋_GB2312"/>
                <w:color w:val="auto"/>
                <w:sz w:val="24"/>
              </w:rPr>
            </w:pP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40" w:lineRule="exact"/>
              <w:rPr>
                <w:rFonts w:ascii="仿宋_GB2312"/>
                <w:color w:val="auto"/>
                <w:sz w:val="24"/>
              </w:rPr>
            </w:pPr>
          </w:p>
        </w:tc>
        <w:tc>
          <w:tcPr>
            <w:tcW w:w="3131" w:type="dxa"/>
            <w:vAlign w:val="center"/>
          </w:tcPr>
          <w:p>
            <w:pPr>
              <w:spacing w:line="340" w:lineRule="exact"/>
              <w:rPr>
                <w:rFonts w:ascii="仿宋_GB2312"/>
                <w:color w:val="auto"/>
                <w:sz w:val="24"/>
              </w:rPr>
            </w:pPr>
            <w:r>
              <w:rPr>
                <w:rFonts w:hint="eastAsia" w:ascii="仿宋_GB2312"/>
                <w:color w:val="auto"/>
                <w:sz w:val="24"/>
              </w:rPr>
              <w:t>60万元以上100万元以下罚款</w:t>
            </w:r>
          </w:p>
          <w:p>
            <w:pPr>
              <w:spacing w:line="340" w:lineRule="exact"/>
              <w:rPr>
                <w:rFonts w:ascii="仿宋_GB2312"/>
                <w:color w:val="auto"/>
                <w:sz w:val="24"/>
              </w:rPr>
            </w:pPr>
            <w:r>
              <w:rPr>
                <w:rFonts w:hint="eastAsia" w:ascii="仿宋_GB2312"/>
                <w:color w:val="auto"/>
                <w:sz w:val="24"/>
              </w:rPr>
              <w:t>个人：3万元以上5万元以下罚款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continue"/>
            <w:vAlign w:val="center"/>
          </w:tcPr>
          <w:p>
            <w:pPr>
              <w:spacing w:line="340" w:lineRule="exact"/>
              <w:jc w:val="center"/>
              <w:rPr>
                <w:rFonts w:ascii="仿宋_GB2312"/>
                <w:color w:val="auto"/>
                <w:sz w:val="24"/>
              </w:rPr>
            </w:pPr>
          </w:p>
        </w:tc>
        <w:tc>
          <w:tcPr>
            <w:tcW w:w="900" w:type="dxa"/>
            <w:vMerge w:val="continue"/>
            <w:vAlign w:val="center"/>
          </w:tcPr>
          <w:p>
            <w:pPr>
              <w:spacing w:line="340" w:lineRule="exact"/>
              <w:jc w:val="center"/>
              <w:rPr>
                <w:rFonts w:ascii="仿宋_GB2312"/>
                <w:color w:val="auto"/>
                <w:sz w:val="24"/>
              </w:rPr>
            </w:pPr>
          </w:p>
        </w:tc>
        <w:tc>
          <w:tcPr>
            <w:tcW w:w="3303" w:type="dxa"/>
            <w:vAlign w:val="center"/>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31" w:type="dxa"/>
            <w:vAlign w:val="center"/>
          </w:tcPr>
          <w:p>
            <w:pPr>
              <w:spacing w:line="340" w:lineRule="exact"/>
              <w:rPr>
                <w:rFonts w:ascii="仿宋_GB2312"/>
                <w:color w:val="auto"/>
                <w:sz w:val="24"/>
              </w:rPr>
            </w:pPr>
            <w:r>
              <w:rPr>
                <w:rFonts w:hint="eastAsia" w:ascii="仿宋_GB2312"/>
                <w:color w:val="auto"/>
                <w:sz w:val="24"/>
              </w:rPr>
              <w:t>100万元罚款</w:t>
            </w:r>
          </w:p>
          <w:p>
            <w:pPr>
              <w:spacing w:line="340" w:lineRule="exact"/>
              <w:rPr>
                <w:rFonts w:ascii="仿宋_GB2312"/>
                <w:color w:val="auto"/>
                <w:sz w:val="24"/>
              </w:rPr>
            </w:pPr>
            <w:r>
              <w:rPr>
                <w:rFonts w:hint="eastAsia" w:ascii="仿宋_GB2312"/>
                <w:color w:val="auto"/>
                <w:sz w:val="24"/>
              </w:rPr>
              <w:t>个人：5万元罚款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4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40" w:lineRule="exact"/>
              <w:rPr>
                <w:rFonts w:ascii="仿宋_GB2312"/>
                <w:color w:val="auto"/>
                <w:sz w:val="24"/>
              </w:rPr>
            </w:pPr>
          </w:p>
        </w:tc>
      </w:tr>
    </w:tbl>
    <w:p>
      <w:pPr>
        <w:spacing w:line="360" w:lineRule="exact"/>
        <w:rPr>
          <w:rFonts w:ascii="仿宋_GB2312"/>
          <w:color w:val="auto"/>
          <w:sz w:val="24"/>
        </w:rPr>
      </w:pPr>
      <w:r>
        <w:rPr>
          <w:rFonts w:ascii="仿宋_GB2312"/>
          <w:color w:val="auto"/>
          <w:sz w:val="24"/>
        </w:rPr>
        <w:br w:type="page"/>
      </w:r>
    </w:p>
    <w:p>
      <w:pPr>
        <w:spacing w:line="360" w:lineRule="exact"/>
        <w:rPr>
          <w:rFonts w:ascii="仿宋_GB2312"/>
          <w:color w:val="auto"/>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13"/>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药品上市许可持有人、药品生产企业、药品经营企业违反本法规定聘用人员。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第一百四十条：药品上市许可持有人、药品生产企业、药品经营企业或者医疗机构违反本法规定聘用人员的，由药品监督管理部门或者卫生健康主管部门责令解聘，处五万元以上二十万元以下的罚款。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处五万元以上二十万元以下的罚款。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13"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21"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13" w:type="dxa"/>
            <w:vAlign w:val="center"/>
          </w:tcPr>
          <w:p>
            <w:pPr>
              <w:spacing w:line="360" w:lineRule="exact"/>
              <w:rPr>
                <w:rFonts w:ascii="仿宋_GB2312"/>
                <w:color w:val="auto"/>
                <w:sz w:val="24"/>
              </w:rPr>
            </w:pPr>
            <w:r>
              <w:rPr>
                <w:rFonts w:hint="eastAsia" w:ascii="仿宋_GB2312"/>
                <w:color w:val="auto"/>
                <w:sz w:val="24"/>
              </w:rPr>
              <w:t>无本基准从重、从轻和减轻情节的</w:t>
            </w:r>
          </w:p>
        </w:tc>
        <w:tc>
          <w:tcPr>
            <w:tcW w:w="3121" w:type="dxa"/>
            <w:vAlign w:val="center"/>
          </w:tcPr>
          <w:p>
            <w:pPr>
              <w:spacing w:line="360" w:lineRule="exact"/>
              <w:rPr>
                <w:rFonts w:ascii="仿宋_GB2312"/>
                <w:color w:val="auto"/>
                <w:sz w:val="24"/>
              </w:rPr>
            </w:pPr>
            <w:r>
              <w:rPr>
                <w:rFonts w:hint="eastAsia" w:ascii="仿宋_GB2312"/>
                <w:color w:val="auto"/>
                <w:sz w:val="24"/>
              </w:rPr>
              <w:t>12万罚款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60" w:lineRule="exact"/>
              <w:rPr>
                <w:rFonts w:ascii="仿宋_GB2312"/>
                <w:color w:val="auto"/>
                <w:sz w:val="24"/>
              </w:rPr>
            </w:pPr>
            <w:r>
              <w:rPr>
                <w:rFonts w:hint="eastAsia" w:ascii="仿宋_GB2312"/>
                <w:color w:val="auto"/>
                <w:sz w:val="24"/>
              </w:rPr>
              <w:t>5000元以上5万元以下罚款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从轻</w:t>
            </w: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121" w:type="dxa"/>
            <w:vAlign w:val="center"/>
          </w:tcPr>
          <w:p>
            <w:pPr>
              <w:spacing w:line="360" w:lineRule="exact"/>
              <w:rPr>
                <w:rFonts w:ascii="仿宋_GB2312"/>
                <w:color w:val="auto"/>
                <w:sz w:val="24"/>
              </w:rPr>
            </w:pPr>
            <w:r>
              <w:rPr>
                <w:rFonts w:hint="eastAsia" w:ascii="仿宋_GB2312"/>
                <w:color w:val="auto"/>
                <w:sz w:val="24"/>
              </w:rPr>
              <w:t>5万元以上12万元以下罚款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vAlign w:val="center"/>
          </w:tcPr>
          <w:p>
            <w:pPr>
              <w:spacing w:line="360" w:lineRule="exact"/>
              <w:jc w:val="center"/>
              <w:rPr>
                <w:rFonts w:ascii="仿宋_GB2312"/>
                <w:color w:val="auto"/>
                <w:sz w:val="24"/>
              </w:rPr>
            </w:pP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60" w:lineRule="exact"/>
              <w:rPr>
                <w:rFonts w:ascii="仿宋_GB2312"/>
                <w:color w:val="auto"/>
                <w:sz w:val="24"/>
              </w:rPr>
            </w:pPr>
            <w:r>
              <w:rPr>
                <w:rFonts w:hint="eastAsia" w:ascii="仿宋_GB2312"/>
                <w:color w:val="auto"/>
                <w:sz w:val="24"/>
              </w:rPr>
              <w:t>5万元罚款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1188" w:type="dxa"/>
            <w:vMerge w:val="continue"/>
            <w:vAlign w:val="center"/>
          </w:tcPr>
          <w:p>
            <w:pPr>
              <w:spacing w:line="360" w:lineRule="exact"/>
              <w:jc w:val="center"/>
              <w:rPr>
                <w:rFonts w:ascii="仿宋_GB2312"/>
                <w:color w:val="auto"/>
                <w:sz w:val="24"/>
              </w:rPr>
            </w:pPr>
          </w:p>
        </w:tc>
        <w:tc>
          <w:tcPr>
            <w:tcW w:w="900" w:type="dxa"/>
            <w:vMerge w:val="restart"/>
            <w:vAlign w:val="center"/>
          </w:tcPr>
          <w:p>
            <w:pPr>
              <w:spacing w:line="360" w:lineRule="exact"/>
              <w:jc w:val="center"/>
              <w:rPr>
                <w:rFonts w:ascii="仿宋_GB2312"/>
                <w:color w:val="auto"/>
                <w:sz w:val="24"/>
              </w:rPr>
            </w:pPr>
            <w:r>
              <w:rPr>
                <w:rFonts w:hint="eastAsia" w:ascii="仿宋_GB2312"/>
                <w:color w:val="auto"/>
                <w:sz w:val="24"/>
              </w:rPr>
              <w:t>从重</w:t>
            </w: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121" w:type="dxa"/>
            <w:vAlign w:val="center"/>
          </w:tcPr>
          <w:p>
            <w:pPr>
              <w:spacing w:line="360" w:lineRule="exact"/>
              <w:rPr>
                <w:rFonts w:ascii="仿宋_GB2312"/>
                <w:color w:val="auto"/>
                <w:sz w:val="24"/>
              </w:rPr>
            </w:pPr>
            <w:r>
              <w:rPr>
                <w:rFonts w:hint="eastAsia" w:ascii="仿宋_GB2312"/>
                <w:color w:val="auto"/>
                <w:sz w:val="24"/>
              </w:rPr>
              <w:t>12万元以上20万元以下罚款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188" w:type="dxa"/>
            <w:vMerge w:val="continue"/>
            <w:vAlign w:val="center"/>
          </w:tcPr>
          <w:p>
            <w:pPr>
              <w:spacing w:line="360" w:lineRule="exact"/>
              <w:jc w:val="center"/>
              <w:rPr>
                <w:rFonts w:ascii="仿宋_GB2312"/>
                <w:color w:val="auto"/>
                <w:sz w:val="24"/>
              </w:rPr>
            </w:pPr>
          </w:p>
        </w:tc>
        <w:tc>
          <w:tcPr>
            <w:tcW w:w="900" w:type="dxa"/>
            <w:vMerge w:val="continue"/>
          </w:tcPr>
          <w:p>
            <w:pPr>
              <w:spacing w:line="360" w:lineRule="exact"/>
              <w:rPr>
                <w:rFonts w:ascii="仿宋_GB2312"/>
                <w:color w:val="auto"/>
                <w:sz w:val="24"/>
              </w:rPr>
            </w:pPr>
          </w:p>
        </w:tc>
        <w:tc>
          <w:tcPr>
            <w:tcW w:w="3313" w:type="dxa"/>
            <w:vAlign w:val="center"/>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121" w:type="dxa"/>
            <w:vAlign w:val="center"/>
          </w:tcPr>
          <w:p>
            <w:pPr>
              <w:spacing w:line="360" w:lineRule="exact"/>
              <w:rPr>
                <w:rFonts w:ascii="仿宋_GB2312"/>
                <w:color w:val="auto"/>
                <w:sz w:val="24"/>
              </w:rPr>
            </w:pPr>
            <w:r>
              <w:rPr>
                <w:rFonts w:hint="eastAsia" w:ascii="仿宋_GB2312"/>
                <w:color w:val="auto"/>
                <w:sz w:val="24"/>
              </w:rPr>
              <w:t>20万元罚款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3331"/>
        <w:gridCol w:w="3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编码</w:t>
            </w:r>
          </w:p>
        </w:tc>
        <w:tc>
          <w:tcPr>
            <w:tcW w:w="7334" w:type="dxa"/>
            <w:gridSpan w:val="3"/>
          </w:tcPr>
          <w:p>
            <w:pPr>
              <w:spacing w:line="360" w:lineRule="exact"/>
              <w:rPr>
                <w:rFonts w:ascii="仿宋_GB2312"/>
                <w:color w:val="auto"/>
                <w:sz w:val="24"/>
              </w:rPr>
            </w:pPr>
            <w:r>
              <w:rPr>
                <w:rFonts w:hint="eastAsia" w:ascii="仿宋_GB2312"/>
                <w:color w:val="auto"/>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违法行为</w:t>
            </w:r>
          </w:p>
        </w:tc>
        <w:tc>
          <w:tcPr>
            <w:tcW w:w="7334" w:type="dxa"/>
            <w:gridSpan w:val="3"/>
          </w:tcPr>
          <w:p>
            <w:pPr>
              <w:spacing w:line="360" w:lineRule="exact"/>
              <w:rPr>
                <w:rFonts w:ascii="仿宋_GB2312"/>
                <w:color w:val="auto"/>
                <w:sz w:val="24"/>
              </w:rPr>
            </w:pPr>
            <w:r>
              <w:rPr>
                <w:rFonts w:hint="eastAsia" w:ascii="仿宋_GB2312"/>
                <w:color w:val="auto"/>
                <w:sz w:val="24"/>
              </w:rPr>
              <w:t>药品上市许可持有人、药品生产企业、药品经营企业或者代理人与医疗机构有关人员存在不正当利益关系。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处罚依据</w:t>
            </w:r>
          </w:p>
        </w:tc>
        <w:tc>
          <w:tcPr>
            <w:tcW w:w="7334" w:type="dxa"/>
            <w:gridSpan w:val="3"/>
          </w:tcPr>
          <w:p>
            <w:pPr>
              <w:spacing w:line="360" w:lineRule="exact"/>
              <w:rPr>
                <w:rFonts w:ascii="仿宋_GB2312"/>
                <w:color w:val="auto"/>
                <w:sz w:val="24"/>
              </w:rPr>
            </w:pPr>
            <w:r>
              <w:rPr>
                <w:rFonts w:hint="eastAsia" w:ascii="仿宋_GB2312"/>
                <w:color w:val="auto"/>
                <w:sz w:val="24"/>
              </w:rPr>
              <w:t>《中华人民共和国药品管理法》</w:t>
            </w:r>
            <w:r>
              <w:rPr>
                <w:rFonts w:hint="eastAsia" w:ascii="仿宋_GB2312"/>
                <w:color w:val="auto"/>
                <w:sz w:val="24"/>
              </w:rPr>
              <w:t>第一百四十一条：药品上市许可持有人、药品生产企业、药品经营企业或者医疗机构在药品购销中给予、收受回扣或者其他不正当利益的，药品上市许可持有人、药品生产企业、药品经营企业或者代理人给予使用其药品的医疗机构的负责人、药品采购人员、医师、药师等有关人员财物或者其他不正当利益的，由市场监督管理部门没收违法所得，并处三十万元以上三百万元以下的罚款；情节严重的，吊销药品上市许可持有人、药品生产企业、药品经营企业营业执照，并由药品监督管理部门吊销药品批准证明文件、药品生产许可证、药品经营许可证。</w:t>
            </w:r>
          </w:p>
          <w:p>
            <w:pPr>
              <w:spacing w:line="360" w:lineRule="exact"/>
              <w:rPr>
                <w:rFonts w:ascii="仿宋_GB2312"/>
                <w:color w:val="auto"/>
                <w:sz w:val="24"/>
              </w:rPr>
            </w:pPr>
            <w:r>
              <w:rPr>
                <w:rFonts w:hint="eastAsia" w:ascii="仿宋_GB2312"/>
                <w:color w:val="auto"/>
                <w:sz w:val="24"/>
              </w:rPr>
              <w:t>药品上市许可持有人、药品生产企业、药品经营企业在药品研制、生产、经营中向国家工作人员行贿的，对法定代表人、主要负责人、直接负责的主管人员和其他责任人员终身禁止从事药品生产经营活动。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处罚种类</w:t>
            </w:r>
          </w:p>
        </w:tc>
        <w:tc>
          <w:tcPr>
            <w:tcW w:w="7334" w:type="dxa"/>
            <w:gridSpan w:val="3"/>
          </w:tcPr>
          <w:p>
            <w:pPr>
              <w:spacing w:line="360" w:lineRule="exact"/>
              <w:rPr>
                <w:rFonts w:ascii="仿宋_GB2312"/>
                <w:color w:val="auto"/>
                <w:sz w:val="24"/>
              </w:rPr>
            </w:pPr>
            <w:r>
              <w:rPr>
                <w:rFonts w:hint="eastAsia" w:ascii="仿宋_GB2312"/>
                <w:color w:val="auto"/>
                <w:sz w:val="24"/>
              </w:rPr>
              <w:t>吊销批准证明文件、许可证。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实施主体</w:t>
            </w:r>
          </w:p>
        </w:tc>
        <w:tc>
          <w:tcPr>
            <w:tcW w:w="7334" w:type="dxa"/>
            <w:gridSpan w:val="3"/>
          </w:tcPr>
          <w:p>
            <w:pPr>
              <w:spacing w:line="360" w:lineRule="exact"/>
              <w:rPr>
                <w:rFonts w:ascii="仿宋_GB2312"/>
                <w:color w:val="auto"/>
                <w:sz w:val="24"/>
              </w:rPr>
            </w:pPr>
            <w:r>
              <w:rPr>
                <w:rFonts w:hint="eastAsia" w:ascii="仿宋_GB2312"/>
                <w:color w:val="auto"/>
                <w:sz w:val="24"/>
              </w:rPr>
              <w:t>吊销批准证明文件、许可证件的，原批准、发证的部门。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裁量范围</w:t>
            </w:r>
          </w:p>
        </w:tc>
        <w:tc>
          <w:tcPr>
            <w:tcW w:w="7334" w:type="dxa"/>
            <w:gridSpan w:val="3"/>
          </w:tcPr>
          <w:p>
            <w:pPr>
              <w:spacing w:line="360" w:lineRule="exact"/>
              <w:rPr>
                <w:rFonts w:ascii="仿宋_GB2312"/>
                <w:color w:val="auto"/>
                <w:sz w:val="24"/>
              </w:rPr>
            </w:pPr>
            <w:r>
              <w:rPr>
                <w:rFonts w:hint="eastAsia" w:ascii="仿宋_GB2312"/>
                <w:color w:val="auto"/>
                <w:sz w:val="24"/>
              </w:rPr>
              <w:t>无裁量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jc w:val="center"/>
              <w:rPr>
                <w:rFonts w:ascii="仿宋_GB2312"/>
                <w:color w:val="auto"/>
                <w:sz w:val="24"/>
              </w:rPr>
            </w:pPr>
            <w:r>
              <w:rPr>
                <w:rFonts w:hint="eastAsia" w:ascii="仿宋_GB2312"/>
                <w:color w:val="auto"/>
                <w:sz w:val="24"/>
              </w:rPr>
              <w:t>裁量阶次</w:t>
            </w:r>
          </w:p>
        </w:tc>
        <w:tc>
          <w:tcPr>
            <w:tcW w:w="900"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331"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103"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restart"/>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中限</w:t>
            </w:r>
          </w:p>
        </w:tc>
        <w:tc>
          <w:tcPr>
            <w:tcW w:w="3331" w:type="dxa"/>
          </w:tcPr>
          <w:p>
            <w:pPr>
              <w:spacing w:line="360" w:lineRule="exact"/>
              <w:rPr>
                <w:rFonts w:ascii="仿宋_GB2312"/>
                <w:color w:val="auto"/>
                <w:sz w:val="24"/>
              </w:rPr>
            </w:pPr>
          </w:p>
        </w:tc>
        <w:tc>
          <w:tcPr>
            <w:tcW w:w="3103" w:type="dxa"/>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减轻</w:t>
            </w:r>
          </w:p>
        </w:tc>
        <w:tc>
          <w:tcPr>
            <w:tcW w:w="3331" w:type="dxa"/>
          </w:tcPr>
          <w:p>
            <w:pPr>
              <w:spacing w:line="360" w:lineRule="exact"/>
              <w:rPr>
                <w:rFonts w:ascii="仿宋_GB2312"/>
                <w:color w:val="auto"/>
                <w:sz w:val="24"/>
              </w:rPr>
            </w:pPr>
          </w:p>
        </w:tc>
        <w:tc>
          <w:tcPr>
            <w:tcW w:w="3103" w:type="dxa"/>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从轻</w:t>
            </w:r>
          </w:p>
        </w:tc>
        <w:tc>
          <w:tcPr>
            <w:tcW w:w="3331" w:type="dxa"/>
          </w:tcPr>
          <w:p>
            <w:pPr>
              <w:spacing w:line="360" w:lineRule="exact"/>
              <w:rPr>
                <w:rFonts w:ascii="仿宋_GB2312"/>
                <w:color w:val="auto"/>
                <w:sz w:val="24"/>
              </w:rPr>
            </w:pPr>
          </w:p>
        </w:tc>
        <w:tc>
          <w:tcPr>
            <w:tcW w:w="3103" w:type="dxa"/>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vMerge w:val="continue"/>
            <w:vAlign w:val="center"/>
          </w:tcPr>
          <w:p>
            <w:pPr>
              <w:spacing w:line="360" w:lineRule="exact"/>
              <w:jc w:val="center"/>
              <w:rPr>
                <w:rFonts w:ascii="仿宋_GB2312"/>
                <w:color w:val="auto"/>
                <w:sz w:val="24"/>
              </w:rPr>
            </w:pPr>
          </w:p>
        </w:tc>
        <w:tc>
          <w:tcPr>
            <w:tcW w:w="900" w:type="dxa"/>
            <w:vAlign w:val="center"/>
          </w:tcPr>
          <w:p>
            <w:pPr>
              <w:spacing w:line="360" w:lineRule="exact"/>
              <w:jc w:val="center"/>
              <w:rPr>
                <w:rFonts w:ascii="仿宋_GB2312"/>
                <w:color w:val="auto"/>
                <w:sz w:val="24"/>
              </w:rPr>
            </w:pPr>
            <w:r>
              <w:rPr>
                <w:rFonts w:hint="eastAsia" w:ascii="仿宋_GB2312"/>
                <w:color w:val="auto"/>
                <w:sz w:val="24"/>
              </w:rPr>
              <w:t>从重</w:t>
            </w:r>
          </w:p>
        </w:tc>
        <w:tc>
          <w:tcPr>
            <w:tcW w:w="3331" w:type="dxa"/>
          </w:tcPr>
          <w:p>
            <w:pPr>
              <w:spacing w:line="360" w:lineRule="exact"/>
              <w:rPr>
                <w:rFonts w:ascii="仿宋_GB2312"/>
                <w:color w:val="auto"/>
                <w:sz w:val="24"/>
              </w:rPr>
            </w:pPr>
          </w:p>
        </w:tc>
        <w:tc>
          <w:tcPr>
            <w:tcW w:w="3103" w:type="dxa"/>
          </w:tcPr>
          <w:p>
            <w:pPr>
              <w:spacing w:line="360" w:lineRule="exact"/>
              <w:rPr>
                <w:rFonts w:ascii="仿宋_GB2312"/>
                <w:color w:val="auto"/>
                <w:sz w:val="24"/>
              </w:rPr>
            </w:pPr>
            <w:r>
              <w:rPr>
                <w:rFonts w:hint="eastAsia" w:ascii="仿宋_GB2312"/>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88" w:type="dxa"/>
            <w:vAlign w:val="center"/>
          </w:tcPr>
          <w:p>
            <w:pPr>
              <w:spacing w:line="360" w:lineRule="exact"/>
              <w:jc w:val="center"/>
              <w:rPr>
                <w:rFonts w:ascii="仿宋_GB2312"/>
                <w:color w:val="auto"/>
                <w:sz w:val="24"/>
              </w:rPr>
            </w:pPr>
            <w:r>
              <w:rPr>
                <w:rFonts w:hint="eastAsia" w:ascii="仿宋_GB2312"/>
                <w:color w:val="auto"/>
                <w:sz w:val="24"/>
              </w:rPr>
              <w:t>说明</w:t>
            </w:r>
          </w:p>
        </w:tc>
        <w:tc>
          <w:tcPr>
            <w:tcW w:w="7334"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896"/>
        <w:gridCol w:w="3165"/>
        <w:gridCol w:w="3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编码</w:t>
            </w:r>
          </w:p>
        </w:tc>
        <w:tc>
          <w:tcPr>
            <w:tcW w:w="7330" w:type="dxa"/>
            <w:gridSpan w:val="3"/>
          </w:tcPr>
          <w:p>
            <w:pPr>
              <w:spacing w:line="300" w:lineRule="exact"/>
              <w:rPr>
                <w:rFonts w:ascii="仿宋_GB2312"/>
                <w:color w:val="auto"/>
                <w:sz w:val="24"/>
              </w:rPr>
            </w:pPr>
            <w:r>
              <w:rPr>
                <w:rFonts w:hint="eastAsia" w:ascii="仿宋_GB2312"/>
                <w:color w:val="auto"/>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违法行为</w:t>
            </w:r>
          </w:p>
        </w:tc>
        <w:tc>
          <w:tcPr>
            <w:tcW w:w="7330" w:type="dxa"/>
            <w:gridSpan w:val="3"/>
          </w:tcPr>
          <w:p>
            <w:pPr>
              <w:spacing w:line="300" w:lineRule="exact"/>
              <w:rPr>
                <w:rFonts w:ascii="仿宋_GB2312"/>
                <w:color w:val="auto"/>
                <w:sz w:val="24"/>
              </w:rPr>
            </w:pPr>
            <w:r>
              <w:rPr>
                <w:rFonts w:hint="eastAsia" w:ascii="仿宋_GB2312"/>
                <w:color w:val="auto"/>
                <w:sz w:val="24"/>
              </w:rPr>
              <w:t>生产、销售的疫苗属于假药。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处罚依据</w:t>
            </w:r>
          </w:p>
        </w:tc>
        <w:tc>
          <w:tcPr>
            <w:tcW w:w="7330" w:type="dxa"/>
            <w:gridSpan w:val="3"/>
          </w:tcPr>
          <w:p>
            <w:pPr>
              <w:spacing w:line="300" w:lineRule="exact"/>
              <w:rPr>
                <w:rFonts w:ascii="仿宋_GB2312"/>
                <w:color w:val="auto"/>
                <w:sz w:val="24"/>
              </w:rPr>
            </w:pPr>
            <w:r>
              <w:rPr>
                <w:rFonts w:hint="eastAsia" w:ascii="仿宋_GB2312"/>
                <w:color w:val="auto"/>
                <w:sz w:val="24"/>
              </w:rPr>
              <w:t>1.</w:t>
            </w:r>
            <w:r>
              <w:rPr>
                <w:rFonts w:hint="eastAsia" w:ascii="仿宋_GB2312"/>
                <w:color w:val="auto"/>
                <w:sz w:val="24"/>
              </w:rPr>
              <w:t>《中华人民共和国疫苗管理法》</w:t>
            </w:r>
            <w:r>
              <w:rPr>
                <w:rFonts w:hint="eastAsia" w:ascii="仿宋_GB2312"/>
                <w:color w:val="auto"/>
                <w:sz w:val="24"/>
              </w:rPr>
              <w:t>第八十条第一款：生产、销售的疫苗属于假药的，由省级以上人民政府药品监督管理部门没收违法所得和违法生产、销售的疫苗以及专门用于违法生产疫苗的原料、辅料、包装材料、设备等物品，责令停产停业整顿，吊销药品注册证书，直至吊销药品生产许可证等，并处违法生产、销售疫苗货值金额十五倍以上五十倍以下的罚款，货值金额不足五十万元的，按五十万元计算。</w:t>
            </w:r>
          </w:p>
          <w:p>
            <w:pPr>
              <w:spacing w:line="300" w:lineRule="exact"/>
              <w:rPr>
                <w:rFonts w:ascii="仿宋_GB2312"/>
                <w:color w:val="auto"/>
                <w:sz w:val="24"/>
              </w:rPr>
            </w:pPr>
            <w:r>
              <w:rPr>
                <w:rFonts w:hint="eastAsia" w:ascii="仿宋_GB2312"/>
                <w:color w:val="auto"/>
                <w:sz w:val="24"/>
              </w:rPr>
              <w:t>2.《中华人民共和国疫苗管理法》第八十条第三款：生产销售的疫苗属于假药，或者生产、销售的疫苗属于劣药且情节严重的，由省级以上人民政府药品监督管理部门对法定代表人、主要负责人、直接负责的主管人员和关键岗位人员以及其他责任人员，没收违法行为发生期间自本单位所获收入，并处所获收入一倍以上十倍以下的罚款，终身禁止从事药品生产经营活动，由公安机关处五日以上十五日以下拘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处罚种类</w:t>
            </w:r>
          </w:p>
        </w:tc>
        <w:tc>
          <w:tcPr>
            <w:tcW w:w="7330" w:type="dxa"/>
            <w:gridSpan w:val="3"/>
          </w:tcPr>
          <w:p>
            <w:pPr>
              <w:spacing w:line="300" w:lineRule="exact"/>
              <w:rPr>
                <w:rFonts w:ascii="仿宋_GB2312"/>
                <w:color w:val="auto"/>
                <w:sz w:val="24"/>
              </w:rPr>
            </w:pPr>
            <w:r>
              <w:rPr>
                <w:rFonts w:hint="eastAsia" w:ascii="仿宋_GB2312"/>
                <w:color w:val="auto"/>
                <w:sz w:val="24"/>
              </w:rPr>
              <w:t>没收违法所得、没收非法财物；</w:t>
            </w:r>
          </w:p>
          <w:p>
            <w:pPr>
              <w:spacing w:line="300" w:lineRule="exact"/>
              <w:rPr>
                <w:rFonts w:ascii="仿宋_GB2312"/>
                <w:color w:val="auto"/>
                <w:sz w:val="24"/>
              </w:rPr>
            </w:pPr>
            <w:r>
              <w:rPr>
                <w:rFonts w:hint="eastAsia" w:ascii="仿宋_GB2312"/>
                <w:color w:val="auto"/>
                <w:sz w:val="24"/>
              </w:rPr>
              <w:t>责令停产停业；</w:t>
            </w:r>
          </w:p>
          <w:p>
            <w:pPr>
              <w:spacing w:line="300" w:lineRule="exact"/>
              <w:rPr>
                <w:rFonts w:ascii="仿宋_GB2312"/>
                <w:color w:val="auto"/>
                <w:sz w:val="24"/>
              </w:rPr>
            </w:pPr>
            <w:r>
              <w:rPr>
                <w:rFonts w:hint="eastAsia" w:ascii="仿宋_GB2312"/>
                <w:color w:val="auto"/>
                <w:sz w:val="24"/>
              </w:rPr>
              <w:t>吊销注册证、许可证；</w:t>
            </w:r>
          </w:p>
          <w:p>
            <w:pPr>
              <w:spacing w:line="300" w:lineRule="exact"/>
              <w:rPr>
                <w:rFonts w:ascii="仿宋_GB2312"/>
                <w:color w:val="auto"/>
                <w:sz w:val="24"/>
              </w:rPr>
            </w:pPr>
            <w:r>
              <w:rPr>
                <w:rFonts w:hint="eastAsia" w:ascii="仿宋_GB2312"/>
                <w:color w:val="auto"/>
                <w:sz w:val="24"/>
              </w:rPr>
              <w:t>并处罚款；</w:t>
            </w:r>
          </w:p>
          <w:p>
            <w:pPr>
              <w:spacing w:line="300" w:lineRule="exact"/>
              <w:rPr>
                <w:rFonts w:ascii="仿宋_GB2312"/>
                <w:color w:val="auto"/>
                <w:sz w:val="24"/>
              </w:rPr>
            </w:pPr>
            <w:r>
              <w:rPr>
                <w:rFonts w:hint="eastAsia" w:ascii="仿宋_GB2312"/>
                <w:color w:val="auto"/>
                <w:sz w:val="24"/>
              </w:rPr>
              <w:t>没收违法期间所获收入；</w:t>
            </w:r>
          </w:p>
          <w:p>
            <w:pPr>
              <w:spacing w:line="300" w:lineRule="exact"/>
              <w:rPr>
                <w:rFonts w:ascii="仿宋_GB2312"/>
                <w:color w:val="auto"/>
                <w:sz w:val="24"/>
              </w:rPr>
            </w:pPr>
            <w:r>
              <w:rPr>
                <w:rFonts w:hint="eastAsia" w:ascii="仿宋_GB2312"/>
                <w:color w:val="auto"/>
                <w:sz w:val="24"/>
              </w:rPr>
              <w:t>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实施主体</w:t>
            </w:r>
          </w:p>
        </w:tc>
        <w:tc>
          <w:tcPr>
            <w:tcW w:w="7330" w:type="dxa"/>
            <w:gridSpan w:val="3"/>
          </w:tcPr>
          <w:p>
            <w:pPr>
              <w:spacing w:line="300" w:lineRule="exact"/>
              <w:rPr>
                <w:rFonts w:ascii="仿宋_GB2312"/>
                <w:color w:val="auto"/>
                <w:sz w:val="24"/>
              </w:rPr>
            </w:pPr>
            <w:r>
              <w:rPr>
                <w:rFonts w:hint="eastAsia" w:ascii="仿宋_GB2312"/>
                <w:color w:val="auto"/>
                <w:sz w:val="24"/>
              </w:rPr>
              <w:t>1.省级以上人民政府药品监督管理部门；</w:t>
            </w:r>
          </w:p>
          <w:p>
            <w:pPr>
              <w:spacing w:line="300" w:lineRule="exact"/>
              <w:rPr>
                <w:rFonts w:ascii="仿宋_GB2312"/>
                <w:color w:val="auto"/>
                <w:sz w:val="24"/>
              </w:rPr>
            </w:pPr>
            <w:r>
              <w:rPr>
                <w:rFonts w:hint="eastAsia" w:ascii="仿宋_GB2312"/>
                <w:color w:val="auto"/>
                <w:sz w:val="24"/>
              </w:rPr>
              <w:t>2.吊销药品注册证书、药品生产许可证的，原批准、发证部门。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裁量范围</w:t>
            </w:r>
          </w:p>
        </w:tc>
        <w:tc>
          <w:tcPr>
            <w:tcW w:w="7330" w:type="dxa"/>
            <w:gridSpan w:val="3"/>
          </w:tcPr>
          <w:p>
            <w:pPr>
              <w:spacing w:line="300" w:lineRule="exact"/>
              <w:rPr>
                <w:rFonts w:ascii="仿宋_GB2312"/>
                <w:color w:val="auto"/>
                <w:sz w:val="24"/>
              </w:rPr>
            </w:pPr>
            <w:r>
              <w:rPr>
                <w:rFonts w:hint="eastAsia" w:ascii="仿宋_GB2312"/>
                <w:color w:val="auto"/>
                <w:sz w:val="24"/>
              </w:rPr>
              <w:t>违法生产、销售疫苗货值金额十五倍以上五十倍以下的罚款；货值金额不足五十万元的，按五十万元计算。</w:t>
            </w:r>
          </w:p>
          <w:p>
            <w:pPr>
              <w:spacing w:line="300" w:lineRule="exact"/>
              <w:rPr>
                <w:rFonts w:ascii="仿宋_GB2312"/>
                <w:color w:val="auto"/>
                <w:sz w:val="24"/>
              </w:rPr>
            </w:pPr>
            <w:r>
              <w:rPr>
                <w:rFonts w:hint="eastAsia" w:ascii="仿宋_GB2312"/>
                <w:color w:val="auto"/>
                <w:sz w:val="24"/>
              </w:rPr>
              <w:t>个人：违法行为发生期间，自本单位所获收入一倍以上十倍以下的罚款。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裁量阶次</w:t>
            </w:r>
          </w:p>
        </w:tc>
        <w:tc>
          <w:tcPr>
            <w:tcW w:w="896" w:type="dxa"/>
            <w:vAlign w:val="center"/>
          </w:tcPr>
          <w:p>
            <w:pPr>
              <w:spacing w:line="300" w:lineRule="exact"/>
              <w:jc w:val="center"/>
              <w:rPr>
                <w:rFonts w:ascii="仿宋_GB2312"/>
                <w:color w:val="auto"/>
                <w:sz w:val="24"/>
              </w:rPr>
            </w:pPr>
            <w:r>
              <w:rPr>
                <w:rFonts w:hint="eastAsia" w:ascii="仿宋_GB2312"/>
                <w:color w:val="auto"/>
                <w:sz w:val="24"/>
              </w:rPr>
              <w:t>裁量</w:t>
            </w:r>
          </w:p>
        </w:tc>
        <w:tc>
          <w:tcPr>
            <w:tcW w:w="3165" w:type="dxa"/>
            <w:vAlign w:val="center"/>
          </w:tcPr>
          <w:p>
            <w:pPr>
              <w:spacing w:line="300" w:lineRule="exact"/>
              <w:jc w:val="center"/>
              <w:rPr>
                <w:rFonts w:ascii="仿宋_GB2312"/>
                <w:color w:val="auto"/>
                <w:sz w:val="24"/>
              </w:rPr>
            </w:pPr>
            <w:r>
              <w:rPr>
                <w:rFonts w:hint="eastAsia" w:ascii="仿宋_GB2312"/>
                <w:color w:val="auto"/>
                <w:sz w:val="24"/>
              </w:rPr>
              <w:t>裁量因素</w:t>
            </w:r>
          </w:p>
        </w:tc>
        <w:tc>
          <w:tcPr>
            <w:tcW w:w="3269" w:type="dxa"/>
            <w:vAlign w:val="center"/>
          </w:tcPr>
          <w:p>
            <w:pPr>
              <w:spacing w:line="30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92" w:type="dxa"/>
            <w:vMerge w:val="restart"/>
            <w:vAlign w:val="center"/>
          </w:tcPr>
          <w:p>
            <w:pPr>
              <w:spacing w:line="360" w:lineRule="exact"/>
              <w:rPr>
                <w:rFonts w:ascii="仿宋_GB2312"/>
                <w:color w:val="auto"/>
                <w:sz w:val="24"/>
              </w:rPr>
            </w:pPr>
          </w:p>
        </w:tc>
        <w:tc>
          <w:tcPr>
            <w:tcW w:w="896" w:type="dxa"/>
            <w:vAlign w:val="center"/>
          </w:tcPr>
          <w:p>
            <w:pPr>
              <w:spacing w:line="300" w:lineRule="exact"/>
              <w:rPr>
                <w:rFonts w:ascii="仿宋_GB2312"/>
                <w:color w:val="auto"/>
                <w:sz w:val="24"/>
              </w:rPr>
            </w:pPr>
            <w:r>
              <w:rPr>
                <w:rFonts w:hint="eastAsia" w:ascii="仿宋_GB2312"/>
                <w:color w:val="auto"/>
                <w:sz w:val="24"/>
              </w:rPr>
              <w:t>中限</w:t>
            </w:r>
          </w:p>
        </w:tc>
        <w:tc>
          <w:tcPr>
            <w:tcW w:w="3165" w:type="dxa"/>
          </w:tcPr>
          <w:p>
            <w:pPr>
              <w:spacing w:line="300" w:lineRule="exact"/>
              <w:rPr>
                <w:rFonts w:ascii="仿宋_GB2312"/>
                <w:color w:val="auto"/>
                <w:sz w:val="24"/>
              </w:rPr>
            </w:pPr>
            <w:r>
              <w:rPr>
                <w:rFonts w:hint="eastAsia" w:ascii="仿宋_GB2312"/>
                <w:color w:val="auto"/>
                <w:sz w:val="24"/>
              </w:rPr>
              <w:t>无本基准从重、从轻和减轻情节的</w:t>
            </w:r>
          </w:p>
        </w:tc>
        <w:tc>
          <w:tcPr>
            <w:tcW w:w="3269" w:type="dxa"/>
          </w:tcPr>
          <w:p>
            <w:pPr>
              <w:spacing w:line="300" w:lineRule="exact"/>
              <w:rPr>
                <w:rFonts w:ascii="仿宋_GB2312"/>
                <w:color w:val="auto"/>
                <w:sz w:val="24"/>
              </w:rPr>
            </w:pPr>
            <w:r>
              <w:rPr>
                <w:rFonts w:hint="eastAsia" w:ascii="仿宋_GB2312"/>
                <w:color w:val="auto"/>
                <w:sz w:val="24"/>
              </w:rPr>
              <w:t>货值金额32倍罚款</w:t>
            </w:r>
          </w:p>
          <w:p>
            <w:pPr>
              <w:spacing w:line="300" w:lineRule="exact"/>
              <w:rPr>
                <w:rFonts w:ascii="仿宋_GB2312"/>
                <w:color w:val="auto"/>
                <w:sz w:val="24"/>
              </w:rPr>
            </w:pPr>
            <w:r>
              <w:rPr>
                <w:rFonts w:hint="eastAsia" w:ascii="仿宋_GB2312"/>
                <w:color w:val="auto"/>
                <w:sz w:val="24"/>
              </w:rPr>
              <w:t>个人：所获收入5倍罚款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92" w:type="dxa"/>
            <w:vMerge w:val="continue"/>
            <w:vAlign w:val="center"/>
          </w:tcPr>
          <w:p>
            <w:pPr>
              <w:spacing w:line="360" w:lineRule="exact"/>
              <w:rPr>
                <w:rFonts w:ascii="仿宋_GB2312"/>
                <w:color w:val="auto"/>
                <w:sz w:val="24"/>
              </w:rPr>
            </w:pPr>
          </w:p>
        </w:tc>
        <w:tc>
          <w:tcPr>
            <w:tcW w:w="896" w:type="dxa"/>
            <w:vAlign w:val="center"/>
          </w:tcPr>
          <w:p>
            <w:pPr>
              <w:spacing w:line="300" w:lineRule="exact"/>
              <w:rPr>
                <w:rFonts w:ascii="仿宋_GB2312"/>
                <w:color w:val="auto"/>
                <w:sz w:val="24"/>
              </w:rPr>
            </w:pPr>
            <w:r>
              <w:rPr>
                <w:rFonts w:hint="eastAsia" w:ascii="仿宋_GB2312"/>
                <w:color w:val="auto"/>
                <w:sz w:val="24"/>
              </w:rPr>
              <w:t>减轻</w:t>
            </w:r>
          </w:p>
        </w:tc>
        <w:tc>
          <w:tcPr>
            <w:tcW w:w="3165" w:type="dxa"/>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69" w:type="dxa"/>
          </w:tcPr>
          <w:p>
            <w:pPr>
              <w:spacing w:line="300" w:lineRule="exact"/>
              <w:rPr>
                <w:rFonts w:ascii="仿宋_GB2312"/>
                <w:color w:val="auto"/>
                <w:sz w:val="24"/>
              </w:rPr>
            </w:pPr>
            <w:r>
              <w:rPr>
                <w:rFonts w:hint="eastAsia" w:ascii="仿宋_GB2312"/>
                <w:color w:val="auto"/>
                <w:sz w:val="24"/>
              </w:rPr>
              <w:t>货值金额1.5倍以上15倍以下罚款</w:t>
            </w:r>
          </w:p>
          <w:p>
            <w:pPr>
              <w:spacing w:line="300" w:lineRule="exact"/>
              <w:rPr>
                <w:rFonts w:ascii="仿宋_GB2312"/>
                <w:color w:val="auto"/>
                <w:sz w:val="24"/>
              </w:rPr>
            </w:pPr>
            <w:r>
              <w:rPr>
                <w:rFonts w:hint="eastAsia" w:ascii="仿宋_GB2312"/>
                <w:color w:val="auto"/>
                <w:sz w:val="24"/>
              </w:rPr>
              <w:t>个人：所获收入10%以上1倍以下罚款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192" w:type="dxa"/>
            <w:vMerge w:val="continue"/>
            <w:vAlign w:val="center"/>
          </w:tcPr>
          <w:p>
            <w:pPr>
              <w:spacing w:line="360" w:lineRule="exact"/>
              <w:rPr>
                <w:rFonts w:ascii="仿宋_GB2312"/>
                <w:color w:val="auto"/>
                <w:sz w:val="24"/>
              </w:rPr>
            </w:pPr>
          </w:p>
        </w:tc>
        <w:tc>
          <w:tcPr>
            <w:tcW w:w="896" w:type="dxa"/>
            <w:vMerge w:val="restart"/>
            <w:vAlign w:val="center"/>
          </w:tcPr>
          <w:p>
            <w:pPr>
              <w:spacing w:line="300" w:lineRule="exact"/>
              <w:rPr>
                <w:rFonts w:ascii="仿宋_GB2312"/>
                <w:color w:val="auto"/>
                <w:sz w:val="24"/>
              </w:rPr>
            </w:pPr>
            <w:r>
              <w:rPr>
                <w:rFonts w:hint="eastAsia" w:ascii="仿宋_GB2312"/>
                <w:color w:val="auto"/>
                <w:sz w:val="24"/>
              </w:rPr>
              <w:t>从轻</w:t>
            </w:r>
          </w:p>
        </w:tc>
        <w:tc>
          <w:tcPr>
            <w:tcW w:w="3165" w:type="dxa"/>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69" w:type="dxa"/>
          </w:tcPr>
          <w:p>
            <w:pPr>
              <w:spacing w:line="300" w:lineRule="exact"/>
              <w:rPr>
                <w:rFonts w:ascii="仿宋_GB2312"/>
                <w:color w:val="auto"/>
                <w:sz w:val="24"/>
              </w:rPr>
            </w:pPr>
            <w:r>
              <w:rPr>
                <w:rFonts w:hint="eastAsia" w:ascii="仿宋_GB2312"/>
                <w:color w:val="auto"/>
                <w:sz w:val="24"/>
              </w:rPr>
              <w:t>货值金额15倍以上32倍以下罚款</w:t>
            </w:r>
          </w:p>
          <w:p>
            <w:pPr>
              <w:spacing w:line="300" w:lineRule="exact"/>
              <w:rPr>
                <w:rFonts w:ascii="仿宋_GB2312"/>
                <w:color w:val="auto"/>
                <w:sz w:val="24"/>
              </w:rPr>
            </w:pPr>
            <w:r>
              <w:rPr>
                <w:rFonts w:hint="eastAsia" w:ascii="仿宋_GB2312"/>
                <w:color w:val="auto"/>
                <w:sz w:val="24"/>
              </w:rPr>
              <w:t>个人：所获收入1倍以上5倍以下罚款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1192" w:type="dxa"/>
            <w:vMerge w:val="continue"/>
            <w:vAlign w:val="center"/>
          </w:tcPr>
          <w:p>
            <w:pPr>
              <w:spacing w:line="360" w:lineRule="exact"/>
              <w:rPr>
                <w:rFonts w:ascii="仿宋_GB2312"/>
                <w:color w:val="auto"/>
                <w:sz w:val="24"/>
              </w:rPr>
            </w:pPr>
          </w:p>
        </w:tc>
        <w:tc>
          <w:tcPr>
            <w:tcW w:w="896" w:type="dxa"/>
            <w:vMerge w:val="continue"/>
            <w:vAlign w:val="center"/>
          </w:tcPr>
          <w:p>
            <w:pPr>
              <w:spacing w:line="300" w:lineRule="exact"/>
              <w:rPr>
                <w:rFonts w:ascii="仿宋_GB2312"/>
                <w:color w:val="auto"/>
                <w:sz w:val="24"/>
              </w:rPr>
            </w:pPr>
          </w:p>
        </w:tc>
        <w:tc>
          <w:tcPr>
            <w:tcW w:w="3165" w:type="dxa"/>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69" w:type="dxa"/>
          </w:tcPr>
          <w:p>
            <w:pPr>
              <w:spacing w:line="300" w:lineRule="exact"/>
              <w:rPr>
                <w:rFonts w:ascii="仿宋_GB2312"/>
                <w:color w:val="auto"/>
                <w:sz w:val="24"/>
              </w:rPr>
            </w:pPr>
            <w:r>
              <w:rPr>
                <w:rFonts w:hint="eastAsia" w:ascii="仿宋_GB2312"/>
                <w:color w:val="auto"/>
                <w:sz w:val="24"/>
              </w:rPr>
              <w:t>货值金额15倍罚款</w:t>
            </w:r>
          </w:p>
          <w:p>
            <w:pPr>
              <w:spacing w:line="300" w:lineRule="exact"/>
              <w:rPr>
                <w:rFonts w:ascii="仿宋_GB2312"/>
                <w:color w:val="auto"/>
                <w:sz w:val="24"/>
              </w:rPr>
            </w:pPr>
            <w:r>
              <w:rPr>
                <w:rFonts w:hint="eastAsia" w:ascii="仿宋_GB2312"/>
                <w:color w:val="auto"/>
                <w:sz w:val="24"/>
              </w:rPr>
              <w:t>个人：所获收入1倍罚款</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896"/>
        <w:gridCol w:w="3165"/>
        <w:gridCol w:w="3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192" w:type="dxa"/>
            <w:vMerge w:val="restart"/>
            <w:vAlign w:val="center"/>
          </w:tcPr>
          <w:p>
            <w:pPr>
              <w:spacing w:line="360" w:lineRule="exact"/>
              <w:rPr>
                <w:rFonts w:ascii="仿宋_GB2312"/>
                <w:color w:val="auto"/>
                <w:sz w:val="24"/>
              </w:rPr>
            </w:pPr>
          </w:p>
        </w:tc>
        <w:tc>
          <w:tcPr>
            <w:tcW w:w="896" w:type="dxa"/>
            <w:vMerge w:val="restart"/>
            <w:vAlign w:val="center"/>
          </w:tcPr>
          <w:p>
            <w:pPr>
              <w:spacing w:line="360" w:lineRule="exact"/>
              <w:rPr>
                <w:rFonts w:ascii="仿宋_GB2312"/>
                <w:color w:val="auto"/>
                <w:sz w:val="24"/>
              </w:rPr>
            </w:pPr>
            <w:r>
              <w:rPr>
                <w:rFonts w:hint="eastAsia" w:ascii="仿宋_GB2312"/>
                <w:color w:val="auto"/>
                <w:sz w:val="24"/>
              </w:rPr>
              <w:t>从重</w:t>
            </w:r>
          </w:p>
        </w:tc>
        <w:tc>
          <w:tcPr>
            <w:tcW w:w="316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269" w:type="dxa"/>
          </w:tcPr>
          <w:p>
            <w:pPr>
              <w:spacing w:line="360" w:lineRule="exact"/>
              <w:rPr>
                <w:rFonts w:ascii="仿宋_GB2312"/>
                <w:color w:val="auto"/>
                <w:sz w:val="24"/>
              </w:rPr>
            </w:pPr>
            <w:r>
              <w:rPr>
                <w:rFonts w:hint="eastAsia" w:ascii="仿宋_GB2312"/>
                <w:color w:val="auto"/>
                <w:sz w:val="24"/>
              </w:rPr>
              <w:t>货值金额32倍以上50倍以下罚款</w:t>
            </w:r>
          </w:p>
          <w:p>
            <w:pPr>
              <w:spacing w:line="360" w:lineRule="exact"/>
              <w:rPr>
                <w:rFonts w:ascii="仿宋_GB2312"/>
                <w:color w:val="auto"/>
                <w:sz w:val="24"/>
              </w:rPr>
            </w:pPr>
            <w:r>
              <w:rPr>
                <w:rFonts w:hint="eastAsia" w:ascii="仿宋_GB2312"/>
                <w:color w:val="auto"/>
                <w:sz w:val="24"/>
              </w:rPr>
              <w:t>个人：所获收入5倍以上10倍以下罚款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192" w:type="dxa"/>
            <w:vMerge w:val="continue"/>
            <w:vAlign w:val="center"/>
          </w:tcPr>
          <w:p>
            <w:pPr>
              <w:spacing w:line="360" w:lineRule="exact"/>
              <w:rPr>
                <w:rFonts w:ascii="仿宋_GB2312"/>
                <w:color w:val="auto"/>
                <w:sz w:val="24"/>
              </w:rPr>
            </w:pPr>
          </w:p>
        </w:tc>
        <w:tc>
          <w:tcPr>
            <w:tcW w:w="896" w:type="dxa"/>
            <w:vMerge w:val="continue"/>
          </w:tcPr>
          <w:p>
            <w:pPr>
              <w:spacing w:line="360" w:lineRule="exact"/>
              <w:rPr>
                <w:rFonts w:ascii="仿宋_GB2312"/>
                <w:color w:val="auto"/>
                <w:sz w:val="24"/>
              </w:rPr>
            </w:pPr>
          </w:p>
        </w:tc>
        <w:tc>
          <w:tcPr>
            <w:tcW w:w="316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69" w:type="dxa"/>
          </w:tcPr>
          <w:p>
            <w:pPr>
              <w:spacing w:line="360" w:lineRule="exact"/>
              <w:rPr>
                <w:rFonts w:ascii="仿宋_GB2312"/>
                <w:color w:val="auto"/>
                <w:sz w:val="24"/>
              </w:rPr>
            </w:pPr>
            <w:r>
              <w:rPr>
                <w:rFonts w:hint="eastAsia" w:ascii="仿宋_GB2312"/>
                <w:color w:val="auto"/>
                <w:sz w:val="24"/>
              </w:rPr>
              <w:t>货值金额50倍罚款</w:t>
            </w:r>
          </w:p>
          <w:p>
            <w:pPr>
              <w:spacing w:line="360" w:lineRule="exact"/>
              <w:rPr>
                <w:rFonts w:ascii="仿宋_GB2312"/>
                <w:color w:val="auto"/>
                <w:sz w:val="24"/>
              </w:rPr>
            </w:pPr>
            <w:r>
              <w:rPr>
                <w:rFonts w:hint="eastAsia" w:ascii="仿宋_GB2312"/>
                <w:color w:val="auto"/>
                <w:sz w:val="24"/>
              </w:rPr>
              <w:t>个人：所获收入10倍罚款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92" w:type="dxa"/>
            <w:vAlign w:val="center"/>
          </w:tcPr>
          <w:p>
            <w:pPr>
              <w:spacing w:line="360" w:lineRule="exact"/>
              <w:rPr>
                <w:rFonts w:ascii="仿宋_GB2312"/>
                <w:color w:val="auto"/>
                <w:sz w:val="24"/>
              </w:rPr>
            </w:pPr>
            <w:r>
              <w:rPr>
                <w:rFonts w:hint="eastAsia" w:ascii="仿宋_GB2312"/>
                <w:color w:val="auto"/>
                <w:sz w:val="24"/>
              </w:rPr>
              <w:t>说明</w:t>
            </w:r>
          </w:p>
        </w:tc>
        <w:tc>
          <w:tcPr>
            <w:tcW w:w="7330"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896"/>
        <w:gridCol w:w="3175"/>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编码</w:t>
            </w:r>
          </w:p>
        </w:tc>
        <w:tc>
          <w:tcPr>
            <w:tcW w:w="7330" w:type="dxa"/>
            <w:gridSpan w:val="3"/>
          </w:tcPr>
          <w:p>
            <w:pPr>
              <w:spacing w:line="320" w:lineRule="exact"/>
              <w:rPr>
                <w:rFonts w:ascii="仿宋_GB2312"/>
                <w:color w:val="auto"/>
                <w:sz w:val="24"/>
              </w:rPr>
            </w:pPr>
            <w:r>
              <w:rPr>
                <w:rFonts w:hint="eastAsia" w:ascii="仿宋_GB2312"/>
                <w:color w:val="auto"/>
                <w:sz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违法行为</w:t>
            </w:r>
          </w:p>
        </w:tc>
        <w:tc>
          <w:tcPr>
            <w:tcW w:w="7330" w:type="dxa"/>
            <w:gridSpan w:val="3"/>
          </w:tcPr>
          <w:p>
            <w:pPr>
              <w:spacing w:line="320" w:lineRule="exact"/>
              <w:rPr>
                <w:rFonts w:ascii="仿宋_GB2312"/>
                <w:color w:val="auto"/>
                <w:sz w:val="24"/>
              </w:rPr>
            </w:pPr>
            <w:r>
              <w:rPr>
                <w:rFonts w:hint="eastAsia" w:ascii="仿宋_GB2312"/>
                <w:color w:val="auto"/>
                <w:sz w:val="24"/>
              </w:rPr>
              <w:t>生产、销售的疫苗属于劣药。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处罚依据</w:t>
            </w:r>
          </w:p>
        </w:tc>
        <w:tc>
          <w:tcPr>
            <w:tcW w:w="7330" w:type="dxa"/>
            <w:gridSpan w:val="3"/>
          </w:tcPr>
          <w:p>
            <w:pPr>
              <w:spacing w:line="320" w:lineRule="exact"/>
              <w:rPr>
                <w:rFonts w:ascii="仿宋_GB2312"/>
                <w:color w:val="auto"/>
                <w:sz w:val="24"/>
              </w:rPr>
            </w:pPr>
            <w:r>
              <w:rPr>
                <w:rFonts w:hint="eastAsia" w:ascii="仿宋_GB2312"/>
                <w:color w:val="auto"/>
                <w:sz w:val="24"/>
              </w:rPr>
              <w:t>1.</w:t>
            </w:r>
            <w:r>
              <w:rPr>
                <w:rFonts w:hint="eastAsia" w:ascii="仿宋_GB2312"/>
                <w:color w:val="auto"/>
                <w:sz w:val="24"/>
              </w:rPr>
              <w:t>《中华人民共和国疫苗管理法》</w:t>
            </w:r>
            <w:r>
              <w:rPr>
                <w:rFonts w:hint="eastAsia" w:ascii="仿宋_GB2312"/>
                <w:color w:val="auto"/>
                <w:sz w:val="24"/>
              </w:rPr>
              <w:t>第八十条第二款：生产、销售的疫苗属于劣药的，由省级以上人民政府药品监督管理部门没收违法所得和违法生产、销售的疫苗以及专门用于违法生产疫苗的原料、辅料、包装材料、设备等物品，责令停产停业整顿，并处违法生产、销售疫苗货值金额十倍以上三十倍以下的罚款，货值金额不足五十万元的，按五十万元计算；情节严重的，吊销药品注册证书，直至吊销药品生产许可证等。</w:t>
            </w:r>
          </w:p>
          <w:p>
            <w:pPr>
              <w:spacing w:line="320" w:lineRule="exact"/>
              <w:rPr>
                <w:rFonts w:ascii="仿宋_GB2312"/>
                <w:color w:val="auto"/>
                <w:sz w:val="24"/>
              </w:rPr>
            </w:pPr>
            <w:r>
              <w:rPr>
                <w:rFonts w:hint="eastAsia" w:ascii="仿宋_GB2312"/>
                <w:color w:val="auto"/>
                <w:sz w:val="24"/>
              </w:rPr>
              <w:t>2.《中华人民共和国疫苗管理法》第八十条第三款：生产销售的疫苗属于假药，或者生产、销售的疫苗属于劣药且情节严重的，由省级以上人民政府药品监督管理部门对法定代表人、主要负责人、直接负责的主管人员和关键岗位人员以及其他责任人员，没收违法行为发生期间自本单位所获收入，并处所获收入一倍以上十倍以下的罚款，终身禁止从事药品生产经营活动，由公安机关处五日以上十五日以下拘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处罚种类</w:t>
            </w:r>
          </w:p>
        </w:tc>
        <w:tc>
          <w:tcPr>
            <w:tcW w:w="7330" w:type="dxa"/>
            <w:gridSpan w:val="3"/>
          </w:tcPr>
          <w:p>
            <w:pPr>
              <w:spacing w:line="320" w:lineRule="exact"/>
              <w:rPr>
                <w:rFonts w:ascii="仿宋_GB2312"/>
                <w:color w:val="auto"/>
                <w:sz w:val="24"/>
              </w:rPr>
            </w:pPr>
            <w:r>
              <w:rPr>
                <w:rFonts w:hint="eastAsia" w:ascii="仿宋_GB2312"/>
                <w:color w:val="auto"/>
                <w:sz w:val="24"/>
              </w:rPr>
              <w:t>没收违法所得、没收非法财物；</w:t>
            </w:r>
          </w:p>
          <w:p>
            <w:pPr>
              <w:spacing w:line="320" w:lineRule="exact"/>
              <w:rPr>
                <w:rFonts w:ascii="仿宋_GB2312"/>
                <w:color w:val="auto"/>
                <w:sz w:val="24"/>
              </w:rPr>
            </w:pPr>
            <w:r>
              <w:rPr>
                <w:rFonts w:hint="eastAsia" w:ascii="仿宋_GB2312"/>
                <w:color w:val="auto"/>
                <w:sz w:val="24"/>
              </w:rPr>
              <w:t>责令停产停业；</w:t>
            </w:r>
          </w:p>
          <w:p>
            <w:pPr>
              <w:spacing w:line="320" w:lineRule="exact"/>
              <w:rPr>
                <w:rFonts w:ascii="仿宋_GB2312"/>
                <w:color w:val="auto"/>
                <w:sz w:val="24"/>
              </w:rPr>
            </w:pPr>
            <w:r>
              <w:rPr>
                <w:rFonts w:hint="eastAsia" w:ascii="仿宋_GB2312"/>
                <w:color w:val="auto"/>
                <w:sz w:val="24"/>
              </w:rPr>
              <w:t>并处罚款；</w:t>
            </w:r>
          </w:p>
          <w:p>
            <w:pPr>
              <w:spacing w:line="320" w:lineRule="exact"/>
              <w:rPr>
                <w:rFonts w:ascii="仿宋_GB2312"/>
                <w:color w:val="auto"/>
                <w:sz w:val="24"/>
              </w:rPr>
            </w:pPr>
            <w:r>
              <w:rPr>
                <w:rFonts w:hint="eastAsia" w:ascii="仿宋_GB2312"/>
                <w:color w:val="auto"/>
                <w:sz w:val="24"/>
              </w:rPr>
              <w:t>吊销注册证、许可证；</w:t>
            </w:r>
          </w:p>
          <w:p>
            <w:pPr>
              <w:spacing w:line="320" w:lineRule="exact"/>
              <w:rPr>
                <w:rFonts w:ascii="仿宋_GB2312"/>
                <w:color w:val="auto"/>
                <w:sz w:val="24"/>
              </w:rPr>
            </w:pPr>
            <w:r>
              <w:rPr>
                <w:rFonts w:hint="eastAsia" w:ascii="仿宋_GB2312"/>
                <w:color w:val="auto"/>
                <w:sz w:val="24"/>
              </w:rPr>
              <w:t>没收违法期间所获收入；</w:t>
            </w:r>
          </w:p>
          <w:p>
            <w:pPr>
              <w:spacing w:line="320" w:lineRule="exact"/>
              <w:rPr>
                <w:rFonts w:ascii="仿宋_GB2312"/>
                <w:color w:val="auto"/>
                <w:sz w:val="24"/>
              </w:rPr>
            </w:pPr>
            <w:r>
              <w:rPr>
                <w:rFonts w:hint="eastAsia" w:ascii="仿宋_GB2312"/>
                <w:color w:val="auto"/>
                <w:sz w:val="24"/>
              </w:rPr>
              <w:t>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实施主体</w:t>
            </w:r>
          </w:p>
        </w:tc>
        <w:tc>
          <w:tcPr>
            <w:tcW w:w="7330" w:type="dxa"/>
            <w:gridSpan w:val="3"/>
          </w:tcPr>
          <w:p>
            <w:pPr>
              <w:spacing w:line="320" w:lineRule="exact"/>
              <w:rPr>
                <w:rFonts w:ascii="仿宋_GB2312"/>
                <w:color w:val="auto"/>
                <w:sz w:val="24"/>
              </w:rPr>
            </w:pPr>
            <w:r>
              <w:rPr>
                <w:rFonts w:hint="eastAsia" w:ascii="仿宋_GB2312"/>
                <w:color w:val="auto"/>
                <w:sz w:val="24"/>
              </w:rPr>
              <w:t>1.省级以上人民政府药品监督管理部门；</w:t>
            </w:r>
          </w:p>
          <w:p>
            <w:pPr>
              <w:spacing w:line="320" w:lineRule="exact"/>
              <w:rPr>
                <w:rFonts w:ascii="仿宋_GB2312"/>
                <w:color w:val="auto"/>
                <w:sz w:val="24"/>
              </w:rPr>
            </w:pPr>
            <w:r>
              <w:rPr>
                <w:rFonts w:hint="eastAsia" w:ascii="仿宋_GB2312"/>
                <w:color w:val="auto"/>
                <w:sz w:val="24"/>
              </w:rPr>
              <w:t>2.吊销药品注册证书、药品生产许可证，原批准、发证部门。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裁量范围</w:t>
            </w:r>
          </w:p>
        </w:tc>
        <w:tc>
          <w:tcPr>
            <w:tcW w:w="7330" w:type="dxa"/>
            <w:gridSpan w:val="3"/>
          </w:tcPr>
          <w:p>
            <w:pPr>
              <w:spacing w:line="320" w:lineRule="exact"/>
              <w:rPr>
                <w:rFonts w:ascii="仿宋_GB2312"/>
                <w:color w:val="auto"/>
                <w:sz w:val="24"/>
              </w:rPr>
            </w:pPr>
            <w:r>
              <w:rPr>
                <w:rFonts w:hint="eastAsia" w:ascii="仿宋_GB2312"/>
                <w:color w:val="auto"/>
                <w:sz w:val="24"/>
              </w:rPr>
              <w:t>违法生产、销售疫苗货值金额十倍以上三十倍以下的罚款；货值金额不足五十万元的，按五十万元计算。</w:t>
            </w:r>
          </w:p>
          <w:p>
            <w:pPr>
              <w:spacing w:line="320" w:lineRule="exact"/>
              <w:rPr>
                <w:rFonts w:ascii="仿宋_GB2312"/>
                <w:color w:val="auto"/>
                <w:sz w:val="24"/>
              </w:rPr>
            </w:pPr>
            <w:r>
              <w:rPr>
                <w:rFonts w:hint="eastAsia" w:ascii="仿宋_GB2312"/>
                <w:color w:val="auto"/>
                <w:sz w:val="24"/>
              </w:rPr>
              <w:t>个人：违法行为发生期间，自本单位所获收入一倍以上十倍以下的罚款。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裁量阶次</w:t>
            </w:r>
          </w:p>
        </w:tc>
        <w:tc>
          <w:tcPr>
            <w:tcW w:w="896" w:type="dxa"/>
            <w:vAlign w:val="center"/>
          </w:tcPr>
          <w:p>
            <w:pPr>
              <w:spacing w:line="320" w:lineRule="exact"/>
              <w:jc w:val="center"/>
              <w:rPr>
                <w:rFonts w:ascii="仿宋_GB2312"/>
                <w:color w:val="auto"/>
                <w:sz w:val="24"/>
              </w:rPr>
            </w:pPr>
            <w:r>
              <w:rPr>
                <w:rFonts w:hint="eastAsia" w:ascii="仿宋_GB2312"/>
                <w:color w:val="auto"/>
                <w:sz w:val="24"/>
              </w:rPr>
              <w:t>裁量</w:t>
            </w:r>
          </w:p>
        </w:tc>
        <w:tc>
          <w:tcPr>
            <w:tcW w:w="3175" w:type="dxa"/>
            <w:vAlign w:val="center"/>
          </w:tcPr>
          <w:p>
            <w:pPr>
              <w:spacing w:line="320" w:lineRule="exact"/>
              <w:jc w:val="center"/>
              <w:rPr>
                <w:rFonts w:ascii="仿宋_GB2312"/>
                <w:color w:val="auto"/>
                <w:sz w:val="24"/>
              </w:rPr>
            </w:pPr>
            <w:r>
              <w:rPr>
                <w:rFonts w:hint="eastAsia" w:ascii="仿宋_GB2312"/>
                <w:color w:val="auto"/>
                <w:sz w:val="24"/>
              </w:rPr>
              <w:t>裁量因素</w:t>
            </w:r>
          </w:p>
        </w:tc>
        <w:tc>
          <w:tcPr>
            <w:tcW w:w="3259" w:type="dxa"/>
            <w:vAlign w:val="center"/>
          </w:tcPr>
          <w:p>
            <w:pPr>
              <w:spacing w:line="32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92" w:type="dxa"/>
            <w:vMerge w:val="restart"/>
            <w:vAlign w:val="center"/>
          </w:tcPr>
          <w:p>
            <w:pPr>
              <w:spacing w:line="360" w:lineRule="exact"/>
              <w:rPr>
                <w:rFonts w:ascii="仿宋_GB2312"/>
                <w:color w:val="auto"/>
                <w:sz w:val="24"/>
              </w:rPr>
            </w:pPr>
          </w:p>
        </w:tc>
        <w:tc>
          <w:tcPr>
            <w:tcW w:w="896" w:type="dxa"/>
            <w:vAlign w:val="center"/>
          </w:tcPr>
          <w:p>
            <w:pPr>
              <w:spacing w:line="320" w:lineRule="exact"/>
              <w:rPr>
                <w:rFonts w:ascii="仿宋_GB2312"/>
                <w:color w:val="auto"/>
                <w:sz w:val="24"/>
              </w:rPr>
            </w:pPr>
            <w:r>
              <w:rPr>
                <w:rFonts w:hint="eastAsia" w:ascii="仿宋_GB2312"/>
                <w:color w:val="auto"/>
                <w:sz w:val="24"/>
              </w:rPr>
              <w:t>中限</w:t>
            </w:r>
          </w:p>
        </w:tc>
        <w:tc>
          <w:tcPr>
            <w:tcW w:w="3175" w:type="dxa"/>
          </w:tcPr>
          <w:p>
            <w:pPr>
              <w:spacing w:line="320" w:lineRule="exact"/>
              <w:rPr>
                <w:rFonts w:ascii="仿宋_GB2312"/>
                <w:color w:val="auto"/>
                <w:sz w:val="24"/>
              </w:rPr>
            </w:pPr>
            <w:r>
              <w:rPr>
                <w:rFonts w:hint="eastAsia" w:ascii="仿宋_GB2312"/>
                <w:color w:val="auto"/>
                <w:sz w:val="24"/>
              </w:rPr>
              <w:t>无本基准从重、从轻和减轻情节的</w:t>
            </w:r>
          </w:p>
        </w:tc>
        <w:tc>
          <w:tcPr>
            <w:tcW w:w="3259" w:type="dxa"/>
          </w:tcPr>
          <w:p>
            <w:pPr>
              <w:spacing w:line="320" w:lineRule="exact"/>
              <w:rPr>
                <w:rFonts w:ascii="仿宋_GB2312"/>
                <w:color w:val="auto"/>
                <w:sz w:val="24"/>
              </w:rPr>
            </w:pPr>
            <w:r>
              <w:rPr>
                <w:rFonts w:hint="eastAsia" w:ascii="仿宋_GB2312"/>
                <w:color w:val="auto"/>
                <w:sz w:val="24"/>
              </w:rPr>
              <w:t>货值金额20倍罚款</w:t>
            </w:r>
          </w:p>
          <w:p>
            <w:pPr>
              <w:spacing w:line="320" w:lineRule="exact"/>
              <w:rPr>
                <w:rFonts w:ascii="仿宋_GB2312"/>
                <w:color w:val="auto"/>
                <w:sz w:val="24"/>
              </w:rPr>
            </w:pPr>
            <w:r>
              <w:rPr>
                <w:rFonts w:hint="eastAsia" w:ascii="仿宋_GB2312"/>
                <w:color w:val="auto"/>
                <w:sz w:val="24"/>
              </w:rPr>
              <w:t>个人：所获收入5倍罚款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92" w:type="dxa"/>
            <w:vMerge w:val="continue"/>
            <w:vAlign w:val="center"/>
          </w:tcPr>
          <w:p>
            <w:pPr>
              <w:spacing w:line="360" w:lineRule="exact"/>
              <w:rPr>
                <w:rFonts w:ascii="仿宋_GB2312"/>
                <w:color w:val="auto"/>
                <w:sz w:val="24"/>
              </w:rPr>
            </w:pPr>
          </w:p>
        </w:tc>
        <w:tc>
          <w:tcPr>
            <w:tcW w:w="896" w:type="dxa"/>
            <w:vAlign w:val="center"/>
          </w:tcPr>
          <w:p>
            <w:pPr>
              <w:spacing w:line="320" w:lineRule="exact"/>
              <w:rPr>
                <w:rFonts w:ascii="仿宋_GB2312"/>
                <w:color w:val="auto"/>
                <w:sz w:val="24"/>
              </w:rPr>
            </w:pPr>
            <w:r>
              <w:rPr>
                <w:rFonts w:hint="eastAsia" w:ascii="仿宋_GB2312"/>
                <w:color w:val="auto"/>
                <w:sz w:val="24"/>
              </w:rPr>
              <w:t>减轻</w:t>
            </w:r>
          </w:p>
        </w:tc>
        <w:tc>
          <w:tcPr>
            <w:tcW w:w="3175" w:type="dxa"/>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59" w:type="dxa"/>
          </w:tcPr>
          <w:p>
            <w:pPr>
              <w:spacing w:line="320" w:lineRule="exact"/>
              <w:rPr>
                <w:rFonts w:ascii="仿宋_GB2312"/>
                <w:color w:val="auto"/>
                <w:sz w:val="24"/>
              </w:rPr>
            </w:pPr>
            <w:r>
              <w:rPr>
                <w:rFonts w:hint="eastAsia" w:ascii="仿宋_GB2312"/>
                <w:color w:val="auto"/>
                <w:sz w:val="24"/>
              </w:rPr>
              <w:t>货值金额1倍以上10倍以下罚款</w:t>
            </w:r>
          </w:p>
          <w:p>
            <w:pPr>
              <w:spacing w:line="320" w:lineRule="exact"/>
              <w:rPr>
                <w:rFonts w:ascii="仿宋_GB2312"/>
                <w:color w:val="auto"/>
                <w:sz w:val="24"/>
              </w:rPr>
            </w:pPr>
            <w:r>
              <w:rPr>
                <w:rFonts w:hint="eastAsia" w:ascii="仿宋_GB2312"/>
                <w:color w:val="auto"/>
                <w:sz w:val="24"/>
              </w:rPr>
              <w:t>个人：所获收入10%以上1倍以下罚款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192" w:type="dxa"/>
            <w:vMerge w:val="continue"/>
            <w:vAlign w:val="center"/>
          </w:tcPr>
          <w:p>
            <w:pPr>
              <w:spacing w:line="360" w:lineRule="exact"/>
              <w:rPr>
                <w:rFonts w:ascii="仿宋_GB2312"/>
                <w:color w:val="auto"/>
                <w:sz w:val="24"/>
              </w:rPr>
            </w:pPr>
          </w:p>
        </w:tc>
        <w:tc>
          <w:tcPr>
            <w:tcW w:w="896" w:type="dxa"/>
            <w:vAlign w:val="center"/>
          </w:tcPr>
          <w:p>
            <w:pPr>
              <w:spacing w:line="320" w:lineRule="exact"/>
              <w:rPr>
                <w:rFonts w:ascii="仿宋_GB2312"/>
                <w:color w:val="auto"/>
                <w:sz w:val="24"/>
              </w:rPr>
            </w:pPr>
            <w:r>
              <w:rPr>
                <w:rFonts w:hint="eastAsia" w:ascii="仿宋_GB2312"/>
                <w:color w:val="auto"/>
                <w:sz w:val="24"/>
              </w:rPr>
              <w:t>从轻</w:t>
            </w:r>
          </w:p>
        </w:tc>
        <w:tc>
          <w:tcPr>
            <w:tcW w:w="3175" w:type="dxa"/>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59" w:type="dxa"/>
          </w:tcPr>
          <w:p>
            <w:pPr>
              <w:spacing w:line="320" w:lineRule="exact"/>
              <w:rPr>
                <w:rFonts w:ascii="仿宋_GB2312"/>
                <w:color w:val="auto"/>
                <w:sz w:val="24"/>
              </w:rPr>
            </w:pPr>
            <w:r>
              <w:rPr>
                <w:rFonts w:hint="eastAsia" w:ascii="仿宋_GB2312"/>
                <w:color w:val="auto"/>
                <w:sz w:val="24"/>
              </w:rPr>
              <w:t>货值金额10倍以上20倍以下罚款</w:t>
            </w:r>
          </w:p>
          <w:p>
            <w:pPr>
              <w:spacing w:line="320" w:lineRule="exact"/>
              <w:rPr>
                <w:rFonts w:ascii="仿宋_GB2312"/>
                <w:color w:val="auto"/>
                <w:sz w:val="24"/>
              </w:rPr>
            </w:pPr>
            <w:r>
              <w:rPr>
                <w:rFonts w:hint="eastAsia" w:ascii="仿宋_GB2312"/>
                <w:color w:val="auto"/>
                <w:sz w:val="24"/>
              </w:rPr>
              <w:t>个人：所获收入1倍以上5倍以下罚款</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896"/>
        <w:gridCol w:w="3175"/>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192" w:type="dxa"/>
            <w:vMerge w:val="restart"/>
            <w:vAlign w:val="center"/>
          </w:tcPr>
          <w:p>
            <w:pPr>
              <w:spacing w:line="360" w:lineRule="exact"/>
              <w:rPr>
                <w:rFonts w:ascii="仿宋_GB2312"/>
                <w:color w:val="auto"/>
                <w:sz w:val="24"/>
              </w:rPr>
            </w:pPr>
          </w:p>
        </w:tc>
        <w:tc>
          <w:tcPr>
            <w:tcW w:w="896" w:type="dxa"/>
            <w:vAlign w:val="center"/>
          </w:tcPr>
          <w:p>
            <w:pPr>
              <w:spacing w:line="360" w:lineRule="exact"/>
              <w:rPr>
                <w:rFonts w:ascii="仿宋_GB2312"/>
                <w:color w:val="auto"/>
                <w:sz w:val="24"/>
              </w:rPr>
            </w:pPr>
          </w:p>
        </w:tc>
        <w:tc>
          <w:tcPr>
            <w:tcW w:w="317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59" w:type="dxa"/>
          </w:tcPr>
          <w:p>
            <w:pPr>
              <w:spacing w:line="360" w:lineRule="exact"/>
              <w:rPr>
                <w:rFonts w:ascii="仿宋_GB2312"/>
                <w:color w:val="auto"/>
                <w:sz w:val="24"/>
              </w:rPr>
            </w:pPr>
            <w:r>
              <w:rPr>
                <w:rFonts w:hint="eastAsia" w:ascii="仿宋_GB2312"/>
                <w:color w:val="auto"/>
                <w:sz w:val="24"/>
              </w:rPr>
              <w:t>货值金额10倍罚款</w:t>
            </w:r>
          </w:p>
          <w:p>
            <w:pPr>
              <w:spacing w:line="360" w:lineRule="exact"/>
              <w:rPr>
                <w:rFonts w:ascii="仿宋_GB2312"/>
                <w:color w:val="auto"/>
                <w:sz w:val="24"/>
              </w:rPr>
            </w:pPr>
            <w:r>
              <w:rPr>
                <w:rFonts w:hint="eastAsia" w:ascii="仿宋_GB2312"/>
                <w:color w:val="auto"/>
                <w:sz w:val="24"/>
              </w:rPr>
              <w:t>个人：所获收入1倍罚款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192" w:type="dxa"/>
            <w:vMerge w:val="continue"/>
            <w:vAlign w:val="center"/>
          </w:tcPr>
          <w:p>
            <w:pPr>
              <w:spacing w:line="360" w:lineRule="exact"/>
              <w:rPr>
                <w:rFonts w:ascii="仿宋_GB2312"/>
                <w:color w:val="auto"/>
                <w:sz w:val="24"/>
              </w:rPr>
            </w:pPr>
          </w:p>
        </w:tc>
        <w:tc>
          <w:tcPr>
            <w:tcW w:w="896" w:type="dxa"/>
            <w:vMerge w:val="restart"/>
            <w:vAlign w:val="center"/>
          </w:tcPr>
          <w:p>
            <w:pPr>
              <w:spacing w:line="360" w:lineRule="exact"/>
              <w:rPr>
                <w:rFonts w:ascii="仿宋_GB2312"/>
                <w:color w:val="auto"/>
                <w:sz w:val="24"/>
              </w:rPr>
            </w:pPr>
            <w:r>
              <w:rPr>
                <w:rFonts w:hint="eastAsia" w:ascii="仿宋_GB2312"/>
                <w:color w:val="auto"/>
                <w:sz w:val="24"/>
              </w:rPr>
              <w:t>从重</w:t>
            </w:r>
          </w:p>
        </w:tc>
        <w:tc>
          <w:tcPr>
            <w:tcW w:w="317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259" w:type="dxa"/>
          </w:tcPr>
          <w:p>
            <w:pPr>
              <w:spacing w:line="360" w:lineRule="exact"/>
              <w:rPr>
                <w:rFonts w:ascii="仿宋_GB2312"/>
                <w:color w:val="auto"/>
                <w:sz w:val="24"/>
              </w:rPr>
            </w:pPr>
            <w:r>
              <w:rPr>
                <w:rFonts w:hint="eastAsia" w:ascii="仿宋_GB2312"/>
                <w:color w:val="auto"/>
                <w:sz w:val="24"/>
              </w:rPr>
              <w:t>货值金额20倍以上30倍以下罚款</w:t>
            </w:r>
          </w:p>
          <w:p>
            <w:pPr>
              <w:spacing w:line="360" w:lineRule="exact"/>
              <w:rPr>
                <w:rFonts w:ascii="仿宋_GB2312"/>
                <w:color w:val="auto"/>
                <w:sz w:val="24"/>
              </w:rPr>
            </w:pPr>
            <w:r>
              <w:rPr>
                <w:rFonts w:hint="eastAsia" w:ascii="仿宋_GB2312"/>
                <w:color w:val="auto"/>
                <w:sz w:val="24"/>
              </w:rPr>
              <w:t>个人：所获收入5倍以上10倍以下罚款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192" w:type="dxa"/>
            <w:vMerge w:val="continue"/>
            <w:vAlign w:val="center"/>
          </w:tcPr>
          <w:p>
            <w:pPr>
              <w:spacing w:line="360" w:lineRule="exact"/>
              <w:rPr>
                <w:rFonts w:ascii="仿宋_GB2312"/>
                <w:color w:val="auto"/>
                <w:sz w:val="24"/>
              </w:rPr>
            </w:pPr>
          </w:p>
        </w:tc>
        <w:tc>
          <w:tcPr>
            <w:tcW w:w="896" w:type="dxa"/>
            <w:vMerge w:val="continue"/>
          </w:tcPr>
          <w:p>
            <w:pPr>
              <w:spacing w:line="360" w:lineRule="exact"/>
              <w:rPr>
                <w:rFonts w:ascii="仿宋_GB2312"/>
                <w:color w:val="auto"/>
                <w:sz w:val="24"/>
              </w:rPr>
            </w:pPr>
          </w:p>
        </w:tc>
        <w:tc>
          <w:tcPr>
            <w:tcW w:w="317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59" w:type="dxa"/>
          </w:tcPr>
          <w:p>
            <w:pPr>
              <w:spacing w:line="360" w:lineRule="exact"/>
              <w:rPr>
                <w:rFonts w:ascii="仿宋_GB2312"/>
                <w:color w:val="auto"/>
                <w:sz w:val="24"/>
              </w:rPr>
            </w:pPr>
            <w:r>
              <w:rPr>
                <w:rFonts w:hint="eastAsia" w:ascii="仿宋_GB2312"/>
                <w:color w:val="auto"/>
                <w:sz w:val="24"/>
              </w:rPr>
              <w:t>货值金额30倍罚款</w:t>
            </w:r>
          </w:p>
          <w:p>
            <w:pPr>
              <w:spacing w:line="360" w:lineRule="exact"/>
              <w:rPr>
                <w:rFonts w:ascii="仿宋_GB2312"/>
                <w:color w:val="auto"/>
                <w:sz w:val="24"/>
              </w:rPr>
            </w:pPr>
            <w:r>
              <w:rPr>
                <w:rFonts w:hint="eastAsia" w:ascii="仿宋_GB2312"/>
                <w:color w:val="auto"/>
                <w:sz w:val="24"/>
              </w:rPr>
              <w:t>个人：所获收入10倍罚款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92" w:type="dxa"/>
            <w:vAlign w:val="center"/>
          </w:tcPr>
          <w:p>
            <w:pPr>
              <w:spacing w:line="360" w:lineRule="exact"/>
              <w:rPr>
                <w:rFonts w:ascii="仿宋_GB2312"/>
                <w:color w:val="auto"/>
                <w:sz w:val="24"/>
              </w:rPr>
            </w:pPr>
            <w:r>
              <w:rPr>
                <w:rFonts w:hint="eastAsia" w:ascii="仿宋_GB2312"/>
                <w:color w:val="auto"/>
                <w:sz w:val="24"/>
              </w:rPr>
              <w:t>说明</w:t>
            </w:r>
          </w:p>
        </w:tc>
        <w:tc>
          <w:tcPr>
            <w:tcW w:w="7330"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896"/>
        <w:gridCol w:w="3175"/>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编码</w:t>
            </w:r>
          </w:p>
        </w:tc>
        <w:tc>
          <w:tcPr>
            <w:tcW w:w="7330" w:type="dxa"/>
            <w:gridSpan w:val="3"/>
          </w:tcPr>
          <w:p>
            <w:pPr>
              <w:spacing w:line="360" w:lineRule="exact"/>
              <w:rPr>
                <w:rFonts w:ascii="仿宋_GB2312"/>
                <w:color w:val="auto"/>
                <w:sz w:val="24"/>
              </w:rPr>
            </w:pPr>
            <w:r>
              <w:rPr>
                <w:rFonts w:hint="eastAsia" w:ascii="仿宋_GB2312"/>
                <w:color w:val="auto"/>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违法行为</w:t>
            </w:r>
          </w:p>
        </w:tc>
        <w:tc>
          <w:tcPr>
            <w:tcW w:w="7330" w:type="dxa"/>
            <w:gridSpan w:val="3"/>
          </w:tcPr>
          <w:p>
            <w:pPr>
              <w:spacing w:line="320" w:lineRule="exact"/>
              <w:rPr>
                <w:rFonts w:ascii="仿宋_GB2312"/>
                <w:color w:val="auto"/>
                <w:sz w:val="24"/>
              </w:rPr>
            </w:pPr>
            <w:r>
              <w:rPr>
                <w:rFonts w:hint="eastAsia" w:ascii="仿宋_GB2312"/>
                <w:color w:val="auto"/>
                <w:sz w:val="24"/>
              </w:rPr>
              <w:t>1.申请疫苗临床试验、注册、批签发提供虚假数据、资料、样品或者有其他欺骗行为；</w:t>
            </w:r>
          </w:p>
          <w:p>
            <w:pPr>
              <w:spacing w:line="320" w:lineRule="exact"/>
              <w:rPr>
                <w:rFonts w:ascii="仿宋_GB2312"/>
                <w:color w:val="auto"/>
                <w:sz w:val="24"/>
              </w:rPr>
            </w:pPr>
            <w:r>
              <w:rPr>
                <w:rFonts w:hint="eastAsia" w:ascii="仿宋_GB2312"/>
                <w:color w:val="auto"/>
                <w:sz w:val="24"/>
              </w:rPr>
              <w:t>2.编造生产、检验记录或者更改产品批号；</w:t>
            </w:r>
          </w:p>
          <w:p>
            <w:pPr>
              <w:spacing w:line="320" w:lineRule="exact"/>
              <w:rPr>
                <w:rFonts w:ascii="仿宋_GB2312"/>
                <w:color w:val="auto"/>
                <w:sz w:val="24"/>
              </w:rPr>
            </w:pPr>
            <w:r>
              <w:rPr>
                <w:rFonts w:hint="eastAsia" w:ascii="仿宋_GB2312"/>
                <w:color w:val="auto"/>
                <w:sz w:val="24"/>
              </w:rPr>
              <w:t>3.疾病预防控制机构以外的单位或者个人向接种单位供应疫苗；</w:t>
            </w:r>
          </w:p>
          <w:p>
            <w:pPr>
              <w:spacing w:line="320" w:lineRule="exact"/>
              <w:rPr>
                <w:rFonts w:ascii="仿宋_GB2312"/>
                <w:color w:val="auto"/>
                <w:sz w:val="24"/>
              </w:rPr>
            </w:pPr>
            <w:r>
              <w:rPr>
                <w:rFonts w:hint="eastAsia" w:ascii="仿宋_GB2312"/>
                <w:color w:val="auto"/>
                <w:sz w:val="24"/>
              </w:rPr>
              <w:t>4.委托生产疫苗未经批准；</w:t>
            </w:r>
          </w:p>
          <w:p>
            <w:pPr>
              <w:spacing w:line="320" w:lineRule="exact"/>
              <w:rPr>
                <w:rFonts w:ascii="仿宋_GB2312"/>
                <w:color w:val="auto"/>
                <w:sz w:val="24"/>
              </w:rPr>
            </w:pPr>
            <w:r>
              <w:rPr>
                <w:rFonts w:hint="eastAsia" w:ascii="仿宋_GB2312"/>
                <w:color w:val="auto"/>
                <w:sz w:val="24"/>
              </w:rPr>
              <w:t>5.生产工艺、生产场地、关键设备等发生变更按照规定应当经批准而未经批准；</w:t>
            </w:r>
          </w:p>
          <w:p>
            <w:pPr>
              <w:spacing w:line="320" w:lineRule="exact"/>
              <w:rPr>
                <w:rFonts w:ascii="仿宋_GB2312"/>
                <w:color w:val="auto"/>
                <w:sz w:val="24"/>
              </w:rPr>
            </w:pPr>
            <w:r>
              <w:rPr>
                <w:rFonts w:hint="eastAsia" w:ascii="仿宋_GB2312"/>
                <w:color w:val="auto"/>
                <w:sz w:val="24"/>
              </w:rPr>
              <w:t>6.更新疫苗说明书、标签按照规定应当经核准而未经核准。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处罚依据</w:t>
            </w:r>
          </w:p>
        </w:tc>
        <w:tc>
          <w:tcPr>
            <w:tcW w:w="7330" w:type="dxa"/>
            <w:gridSpan w:val="3"/>
          </w:tcPr>
          <w:p>
            <w:pPr>
              <w:spacing w:line="320" w:lineRule="exact"/>
              <w:rPr>
                <w:rFonts w:ascii="仿宋_GB2312"/>
                <w:color w:val="auto"/>
                <w:sz w:val="24"/>
              </w:rPr>
            </w:pPr>
            <w:r>
              <w:rPr>
                <w:rFonts w:hint="eastAsia" w:ascii="仿宋_GB2312"/>
                <w:color w:val="auto"/>
                <w:sz w:val="24"/>
              </w:rPr>
              <w:t>《中华人民共和国疫苗管理法》</w:t>
            </w:r>
            <w:r>
              <w:rPr>
                <w:rFonts w:hint="eastAsia" w:ascii="仿宋_GB2312"/>
                <w:color w:val="auto"/>
                <w:sz w:val="24"/>
              </w:rPr>
              <w:t>第八十一条：有下列情形之一的，由省级以上人民政府药品监督管理部门没收违法所得和违法生产、销售的疫苗以及专门用于违法生产疫苗的原料、辅料、包装材料、设备等物品，责令停产停业整顿，并处违法生产、销售疫苗货值金额十五倍以上五十倍以下的罚款，货值金额不足五十万元的，按五十万元计算；情节严重的，吊销药品相关批准证明文件，直至吊销药品生产许可证等，对法定代表人、主要负责人、直接负责的主管人员和关键岗位人员以及其他责任人员，没收违法行为发生期间自本单位所获收入，并处所获收入百分之五十以上十倍以下的罚款，十年内直至终身禁止从事药品生产经营活动，由公安机关处五日以上十五日以下拘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处罚种类</w:t>
            </w:r>
          </w:p>
        </w:tc>
        <w:tc>
          <w:tcPr>
            <w:tcW w:w="7330" w:type="dxa"/>
            <w:gridSpan w:val="3"/>
          </w:tcPr>
          <w:p>
            <w:pPr>
              <w:spacing w:line="320" w:lineRule="exact"/>
              <w:rPr>
                <w:rFonts w:ascii="仿宋_GB2312"/>
                <w:color w:val="auto"/>
                <w:sz w:val="24"/>
              </w:rPr>
            </w:pPr>
            <w:r>
              <w:rPr>
                <w:rFonts w:hint="eastAsia" w:ascii="仿宋_GB2312"/>
                <w:color w:val="auto"/>
                <w:sz w:val="24"/>
              </w:rPr>
              <w:t>没收违法所得、没收非法财物；</w:t>
            </w:r>
          </w:p>
          <w:p>
            <w:pPr>
              <w:spacing w:line="320" w:lineRule="exact"/>
              <w:rPr>
                <w:rFonts w:ascii="仿宋_GB2312"/>
                <w:color w:val="auto"/>
                <w:sz w:val="24"/>
              </w:rPr>
            </w:pPr>
            <w:r>
              <w:rPr>
                <w:rFonts w:hint="eastAsia" w:ascii="仿宋_GB2312"/>
                <w:color w:val="auto"/>
                <w:sz w:val="24"/>
              </w:rPr>
              <w:t>责令停产停业；</w:t>
            </w:r>
          </w:p>
          <w:p>
            <w:pPr>
              <w:spacing w:line="320" w:lineRule="exact"/>
              <w:rPr>
                <w:rFonts w:ascii="仿宋_GB2312"/>
                <w:color w:val="auto"/>
                <w:sz w:val="24"/>
              </w:rPr>
            </w:pPr>
            <w:r>
              <w:rPr>
                <w:rFonts w:hint="eastAsia" w:ascii="仿宋_GB2312"/>
                <w:color w:val="auto"/>
                <w:sz w:val="24"/>
              </w:rPr>
              <w:t>并处罚款；</w:t>
            </w:r>
          </w:p>
          <w:p>
            <w:pPr>
              <w:spacing w:line="320" w:lineRule="exact"/>
              <w:rPr>
                <w:rFonts w:ascii="仿宋_GB2312"/>
                <w:color w:val="auto"/>
                <w:sz w:val="24"/>
              </w:rPr>
            </w:pPr>
            <w:r>
              <w:rPr>
                <w:rFonts w:hint="eastAsia" w:ascii="仿宋_GB2312"/>
                <w:color w:val="auto"/>
                <w:sz w:val="24"/>
              </w:rPr>
              <w:t>吊销批准证明文件、许可证；</w:t>
            </w:r>
          </w:p>
          <w:p>
            <w:pPr>
              <w:spacing w:line="320" w:lineRule="exact"/>
              <w:rPr>
                <w:rFonts w:ascii="仿宋_GB2312"/>
                <w:color w:val="auto"/>
                <w:sz w:val="24"/>
              </w:rPr>
            </w:pPr>
            <w:r>
              <w:rPr>
                <w:rFonts w:hint="eastAsia" w:ascii="仿宋_GB2312"/>
                <w:color w:val="auto"/>
                <w:sz w:val="24"/>
              </w:rPr>
              <w:t>没收违法期间所获收入；</w:t>
            </w:r>
          </w:p>
          <w:p>
            <w:pPr>
              <w:spacing w:line="320" w:lineRule="exact"/>
              <w:rPr>
                <w:rFonts w:ascii="仿宋_GB2312"/>
                <w:color w:val="auto"/>
                <w:sz w:val="24"/>
              </w:rPr>
            </w:pPr>
            <w:r>
              <w:rPr>
                <w:rFonts w:hint="eastAsia" w:ascii="仿宋_GB2312"/>
                <w:color w:val="auto"/>
                <w:sz w:val="24"/>
              </w:rPr>
              <w:t>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实施主体</w:t>
            </w:r>
          </w:p>
        </w:tc>
        <w:tc>
          <w:tcPr>
            <w:tcW w:w="7330" w:type="dxa"/>
            <w:gridSpan w:val="3"/>
          </w:tcPr>
          <w:p>
            <w:pPr>
              <w:spacing w:line="320" w:lineRule="exact"/>
              <w:rPr>
                <w:rFonts w:ascii="仿宋_GB2312"/>
                <w:color w:val="auto"/>
                <w:sz w:val="24"/>
              </w:rPr>
            </w:pPr>
            <w:r>
              <w:rPr>
                <w:rFonts w:hint="eastAsia" w:ascii="仿宋_GB2312"/>
                <w:color w:val="auto"/>
                <w:sz w:val="24"/>
              </w:rPr>
              <w:t>1.省级以上人民政府药品监督管理部门；</w:t>
            </w:r>
          </w:p>
          <w:p>
            <w:pPr>
              <w:spacing w:line="320" w:lineRule="exact"/>
              <w:rPr>
                <w:rFonts w:ascii="仿宋_GB2312"/>
                <w:color w:val="auto"/>
                <w:sz w:val="24"/>
              </w:rPr>
            </w:pPr>
            <w:r>
              <w:rPr>
                <w:rFonts w:hint="eastAsia" w:ascii="仿宋_GB2312"/>
                <w:color w:val="auto"/>
                <w:sz w:val="24"/>
              </w:rPr>
              <w:t>2.吊销药品批准证明文件、药品生产许可证，原批准、发证部门。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Align w:val="center"/>
          </w:tcPr>
          <w:p>
            <w:pPr>
              <w:spacing w:line="360" w:lineRule="exact"/>
              <w:rPr>
                <w:rFonts w:ascii="仿宋_GB2312"/>
                <w:color w:val="auto"/>
                <w:sz w:val="24"/>
              </w:rPr>
            </w:pPr>
            <w:r>
              <w:rPr>
                <w:rFonts w:hint="eastAsia" w:ascii="仿宋_GB2312"/>
                <w:color w:val="auto"/>
                <w:sz w:val="24"/>
              </w:rPr>
              <w:t>裁量范围</w:t>
            </w:r>
          </w:p>
        </w:tc>
        <w:tc>
          <w:tcPr>
            <w:tcW w:w="7330" w:type="dxa"/>
            <w:gridSpan w:val="3"/>
          </w:tcPr>
          <w:p>
            <w:pPr>
              <w:spacing w:line="320" w:lineRule="exact"/>
              <w:rPr>
                <w:rFonts w:ascii="仿宋_GB2312"/>
                <w:color w:val="auto"/>
                <w:sz w:val="24"/>
              </w:rPr>
            </w:pPr>
            <w:r>
              <w:rPr>
                <w:rFonts w:hint="eastAsia" w:ascii="仿宋_GB2312"/>
                <w:color w:val="auto"/>
                <w:sz w:val="24"/>
              </w:rPr>
              <w:t>违法生产、销售疫苗货值金额十五倍以上五十倍以下的罚款；货值金额不足五十万元的，按五十万元计算。</w:t>
            </w:r>
          </w:p>
          <w:p>
            <w:pPr>
              <w:spacing w:line="320" w:lineRule="exact"/>
              <w:rPr>
                <w:rFonts w:ascii="仿宋_GB2312"/>
                <w:color w:val="auto"/>
                <w:sz w:val="24"/>
              </w:rPr>
            </w:pPr>
            <w:r>
              <w:rPr>
                <w:rFonts w:hint="eastAsia" w:ascii="仿宋_GB2312"/>
                <w:color w:val="auto"/>
                <w:sz w:val="24"/>
              </w:rPr>
              <w:t>个人：违法行为发生期间，自本单位所获收入百分之五十以上十倍以下的罚款；十年内直至终身禁止从事药品生产经营活动。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2" w:type="dxa"/>
            <w:vAlign w:val="center"/>
          </w:tcPr>
          <w:p>
            <w:pPr>
              <w:spacing w:line="360" w:lineRule="exact"/>
              <w:rPr>
                <w:rFonts w:ascii="仿宋_GB2312"/>
                <w:color w:val="auto"/>
                <w:sz w:val="24"/>
              </w:rPr>
            </w:pPr>
            <w:r>
              <w:rPr>
                <w:rFonts w:hint="eastAsia" w:ascii="仿宋_GB2312"/>
                <w:color w:val="auto"/>
                <w:sz w:val="24"/>
              </w:rPr>
              <w:t>裁量阶次</w:t>
            </w:r>
          </w:p>
        </w:tc>
        <w:tc>
          <w:tcPr>
            <w:tcW w:w="896"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175"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259" w:type="dxa"/>
            <w:vAlign w:val="center"/>
          </w:tcPr>
          <w:p>
            <w:pPr>
              <w:spacing w:line="32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92" w:type="dxa"/>
            <w:vMerge w:val="restart"/>
            <w:vAlign w:val="center"/>
          </w:tcPr>
          <w:p>
            <w:pPr>
              <w:spacing w:line="360" w:lineRule="exact"/>
              <w:rPr>
                <w:rFonts w:ascii="仿宋_GB2312"/>
                <w:color w:val="auto"/>
                <w:sz w:val="24"/>
              </w:rPr>
            </w:pPr>
          </w:p>
        </w:tc>
        <w:tc>
          <w:tcPr>
            <w:tcW w:w="896" w:type="dxa"/>
            <w:vAlign w:val="center"/>
          </w:tcPr>
          <w:p>
            <w:pPr>
              <w:spacing w:line="360" w:lineRule="exact"/>
              <w:rPr>
                <w:rFonts w:ascii="仿宋_GB2312"/>
                <w:color w:val="auto"/>
                <w:sz w:val="24"/>
              </w:rPr>
            </w:pPr>
            <w:r>
              <w:rPr>
                <w:rFonts w:hint="eastAsia" w:ascii="仿宋_GB2312"/>
                <w:color w:val="auto"/>
                <w:sz w:val="24"/>
              </w:rPr>
              <w:t>中限</w:t>
            </w:r>
          </w:p>
        </w:tc>
        <w:tc>
          <w:tcPr>
            <w:tcW w:w="3175" w:type="dxa"/>
          </w:tcPr>
          <w:p>
            <w:pPr>
              <w:spacing w:line="360" w:lineRule="exact"/>
              <w:rPr>
                <w:rFonts w:ascii="仿宋_GB2312"/>
                <w:color w:val="auto"/>
                <w:sz w:val="24"/>
              </w:rPr>
            </w:pPr>
            <w:r>
              <w:rPr>
                <w:rFonts w:hint="eastAsia" w:ascii="仿宋_GB2312"/>
                <w:color w:val="auto"/>
                <w:sz w:val="24"/>
              </w:rPr>
              <w:t>无本基准从重、从轻和减轻情节的</w:t>
            </w:r>
          </w:p>
        </w:tc>
        <w:tc>
          <w:tcPr>
            <w:tcW w:w="3259" w:type="dxa"/>
          </w:tcPr>
          <w:p>
            <w:pPr>
              <w:spacing w:line="320" w:lineRule="exact"/>
              <w:rPr>
                <w:rFonts w:ascii="仿宋_GB2312"/>
                <w:color w:val="auto"/>
                <w:sz w:val="24"/>
              </w:rPr>
            </w:pPr>
            <w:r>
              <w:rPr>
                <w:rFonts w:hint="eastAsia" w:ascii="仿宋_GB2312"/>
                <w:color w:val="auto"/>
                <w:sz w:val="24"/>
              </w:rPr>
              <w:t>货值金额32倍罚款</w:t>
            </w:r>
          </w:p>
          <w:p>
            <w:pPr>
              <w:spacing w:line="320" w:lineRule="exact"/>
              <w:rPr>
                <w:rFonts w:ascii="仿宋_GB2312"/>
                <w:color w:val="auto"/>
                <w:sz w:val="24"/>
              </w:rPr>
            </w:pPr>
            <w:r>
              <w:rPr>
                <w:rFonts w:hint="eastAsia" w:ascii="仿宋_GB2312"/>
                <w:color w:val="auto"/>
                <w:sz w:val="24"/>
              </w:rPr>
              <w:t>个人：所获收入5倍罚款；20年内禁止从业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92" w:type="dxa"/>
            <w:vMerge w:val="continue"/>
            <w:vAlign w:val="center"/>
          </w:tcPr>
          <w:p>
            <w:pPr>
              <w:spacing w:line="360" w:lineRule="exact"/>
              <w:rPr>
                <w:rFonts w:ascii="仿宋_GB2312"/>
                <w:color w:val="auto"/>
                <w:sz w:val="24"/>
              </w:rPr>
            </w:pPr>
          </w:p>
        </w:tc>
        <w:tc>
          <w:tcPr>
            <w:tcW w:w="896" w:type="dxa"/>
            <w:vAlign w:val="center"/>
          </w:tcPr>
          <w:p>
            <w:pPr>
              <w:spacing w:line="360" w:lineRule="exact"/>
              <w:rPr>
                <w:rFonts w:ascii="仿宋_GB2312"/>
                <w:color w:val="auto"/>
                <w:sz w:val="24"/>
              </w:rPr>
            </w:pPr>
            <w:r>
              <w:rPr>
                <w:rFonts w:hint="eastAsia" w:ascii="仿宋_GB2312"/>
                <w:color w:val="auto"/>
                <w:sz w:val="24"/>
              </w:rPr>
              <w:t>减轻</w:t>
            </w:r>
          </w:p>
        </w:tc>
        <w:tc>
          <w:tcPr>
            <w:tcW w:w="317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59" w:type="dxa"/>
          </w:tcPr>
          <w:p>
            <w:pPr>
              <w:spacing w:line="320" w:lineRule="exact"/>
              <w:rPr>
                <w:rFonts w:ascii="仿宋_GB2312"/>
                <w:color w:val="auto"/>
                <w:sz w:val="24"/>
              </w:rPr>
            </w:pPr>
            <w:r>
              <w:rPr>
                <w:rFonts w:hint="eastAsia" w:ascii="仿宋_GB2312"/>
                <w:color w:val="auto"/>
                <w:sz w:val="24"/>
              </w:rPr>
              <w:t>货值金额1.5倍以上15倍以下罚款</w:t>
            </w:r>
          </w:p>
          <w:p>
            <w:pPr>
              <w:spacing w:line="320" w:lineRule="exact"/>
              <w:rPr>
                <w:rFonts w:ascii="仿宋_GB2312"/>
                <w:color w:val="auto"/>
                <w:sz w:val="24"/>
              </w:rPr>
            </w:pPr>
            <w:r>
              <w:rPr>
                <w:rFonts w:hint="eastAsia" w:ascii="仿宋_GB2312"/>
                <w:color w:val="auto"/>
                <w:sz w:val="24"/>
              </w:rPr>
              <w:t>个人：所获收入5%以上50%以下罚款；5年以上10年以下禁止从业</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896"/>
        <w:gridCol w:w="3175"/>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1192" w:type="dxa"/>
            <w:vMerge w:val="restart"/>
            <w:vAlign w:val="center"/>
          </w:tcPr>
          <w:p>
            <w:pPr>
              <w:spacing w:line="360" w:lineRule="exact"/>
              <w:rPr>
                <w:rFonts w:ascii="仿宋_GB2312"/>
                <w:color w:val="auto"/>
                <w:sz w:val="24"/>
              </w:rPr>
            </w:pPr>
          </w:p>
        </w:tc>
        <w:tc>
          <w:tcPr>
            <w:tcW w:w="896" w:type="dxa"/>
            <w:vMerge w:val="restart"/>
            <w:vAlign w:val="center"/>
          </w:tcPr>
          <w:p>
            <w:pPr>
              <w:spacing w:line="360" w:lineRule="exact"/>
              <w:rPr>
                <w:rFonts w:ascii="仿宋_GB2312"/>
                <w:color w:val="auto"/>
                <w:sz w:val="24"/>
              </w:rPr>
            </w:pPr>
            <w:r>
              <w:rPr>
                <w:rFonts w:hint="eastAsia" w:ascii="仿宋_GB2312"/>
                <w:color w:val="auto"/>
                <w:sz w:val="24"/>
              </w:rPr>
              <w:t>从轻</w:t>
            </w:r>
          </w:p>
        </w:tc>
        <w:tc>
          <w:tcPr>
            <w:tcW w:w="317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p>
            <w:pPr>
              <w:spacing w:line="360" w:lineRule="exact"/>
              <w:rPr>
                <w:rFonts w:ascii="仿宋_GB2312"/>
                <w:color w:val="auto"/>
                <w:sz w:val="24"/>
              </w:rPr>
            </w:pPr>
          </w:p>
        </w:tc>
        <w:tc>
          <w:tcPr>
            <w:tcW w:w="3259" w:type="dxa"/>
          </w:tcPr>
          <w:p>
            <w:pPr>
              <w:spacing w:line="360" w:lineRule="exact"/>
              <w:rPr>
                <w:rFonts w:ascii="仿宋_GB2312"/>
                <w:color w:val="auto"/>
                <w:sz w:val="24"/>
              </w:rPr>
            </w:pPr>
            <w:r>
              <w:rPr>
                <w:rFonts w:hint="eastAsia" w:ascii="仿宋_GB2312"/>
                <w:color w:val="auto"/>
                <w:sz w:val="24"/>
              </w:rPr>
              <w:t>货值金额15倍以上32倍以下罚款</w:t>
            </w:r>
          </w:p>
          <w:p>
            <w:pPr>
              <w:spacing w:line="360" w:lineRule="exact"/>
              <w:rPr>
                <w:rFonts w:ascii="仿宋_GB2312"/>
                <w:color w:val="auto"/>
                <w:sz w:val="24"/>
              </w:rPr>
            </w:pPr>
            <w:r>
              <w:rPr>
                <w:rFonts w:hint="eastAsia" w:ascii="仿宋_GB2312"/>
                <w:color w:val="auto"/>
                <w:sz w:val="24"/>
              </w:rPr>
              <w:t>个人：所获收入50%以上5倍以下罚款；10年以上20年以下禁止从业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192" w:type="dxa"/>
            <w:vMerge w:val="continue"/>
            <w:vAlign w:val="center"/>
          </w:tcPr>
          <w:p>
            <w:pPr>
              <w:spacing w:line="360" w:lineRule="exact"/>
              <w:rPr>
                <w:rFonts w:ascii="仿宋_GB2312"/>
                <w:color w:val="auto"/>
                <w:sz w:val="24"/>
              </w:rPr>
            </w:pPr>
          </w:p>
        </w:tc>
        <w:tc>
          <w:tcPr>
            <w:tcW w:w="896" w:type="dxa"/>
            <w:vMerge w:val="continue"/>
            <w:vAlign w:val="center"/>
          </w:tcPr>
          <w:p>
            <w:pPr>
              <w:spacing w:line="360" w:lineRule="exact"/>
              <w:rPr>
                <w:rFonts w:ascii="仿宋_GB2312"/>
                <w:color w:val="auto"/>
                <w:sz w:val="24"/>
              </w:rPr>
            </w:pPr>
          </w:p>
        </w:tc>
        <w:tc>
          <w:tcPr>
            <w:tcW w:w="317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59" w:type="dxa"/>
          </w:tcPr>
          <w:p>
            <w:pPr>
              <w:spacing w:line="360" w:lineRule="exact"/>
              <w:rPr>
                <w:rFonts w:ascii="仿宋_GB2312"/>
                <w:color w:val="auto"/>
                <w:sz w:val="24"/>
              </w:rPr>
            </w:pPr>
            <w:r>
              <w:rPr>
                <w:rFonts w:hint="eastAsia" w:ascii="仿宋_GB2312"/>
                <w:color w:val="auto"/>
                <w:sz w:val="24"/>
              </w:rPr>
              <w:t>货值金额15倍罚款</w:t>
            </w:r>
          </w:p>
          <w:p>
            <w:pPr>
              <w:spacing w:line="360" w:lineRule="exact"/>
              <w:rPr>
                <w:rFonts w:ascii="仿宋_GB2312"/>
                <w:color w:val="auto"/>
                <w:sz w:val="24"/>
              </w:rPr>
            </w:pPr>
            <w:r>
              <w:rPr>
                <w:rFonts w:hint="eastAsia" w:ascii="仿宋_GB2312"/>
                <w:color w:val="auto"/>
                <w:sz w:val="24"/>
              </w:rPr>
              <w:t>个人：所获收入50%罚款；10年禁止从业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192" w:type="dxa"/>
            <w:vMerge w:val="continue"/>
            <w:vAlign w:val="center"/>
          </w:tcPr>
          <w:p>
            <w:pPr>
              <w:spacing w:line="360" w:lineRule="exact"/>
              <w:rPr>
                <w:rFonts w:ascii="仿宋_GB2312"/>
                <w:color w:val="auto"/>
                <w:sz w:val="24"/>
              </w:rPr>
            </w:pPr>
          </w:p>
        </w:tc>
        <w:tc>
          <w:tcPr>
            <w:tcW w:w="896" w:type="dxa"/>
            <w:vMerge w:val="restart"/>
            <w:vAlign w:val="center"/>
          </w:tcPr>
          <w:p>
            <w:pPr>
              <w:spacing w:line="360" w:lineRule="exact"/>
              <w:rPr>
                <w:rFonts w:ascii="仿宋_GB2312"/>
                <w:color w:val="auto"/>
                <w:sz w:val="24"/>
              </w:rPr>
            </w:pPr>
            <w:r>
              <w:rPr>
                <w:rFonts w:hint="eastAsia" w:ascii="仿宋_GB2312"/>
                <w:color w:val="auto"/>
                <w:sz w:val="24"/>
              </w:rPr>
              <w:t>从重</w:t>
            </w:r>
          </w:p>
        </w:tc>
        <w:tc>
          <w:tcPr>
            <w:tcW w:w="317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3259" w:type="dxa"/>
          </w:tcPr>
          <w:p>
            <w:pPr>
              <w:spacing w:line="360" w:lineRule="exact"/>
              <w:rPr>
                <w:rFonts w:ascii="仿宋_GB2312"/>
                <w:color w:val="auto"/>
                <w:sz w:val="24"/>
              </w:rPr>
            </w:pPr>
            <w:r>
              <w:rPr>
                <w:rFonts w:hint="eastAsia" w:ascii="仿宋_GB2312"/>
                <w:color w:val="auto"/>
                <w:sz w:val="24"/>
              </w:rPr>
              <w:t>货值金额32倍以上50倍以下罚款</w:t>
            </w:r>
          </w:p>
          <w:p>
            <w:pPr>
              <w:spacing w:line="360" w:lineRule="exact"/>
              <w:rPr>
                <w:rFonts w:ascii="仿宋_GB2312"/>
                <w:color w:val="auto"/>
                <w:sz w:val="24"/>
              </w:rPr>
            </w:pPr>
            <w:r>
              <w:rPr>
                <w:rFonts w:hint="eastAsia" w:ascii="仿宋_GB2312"/>
                <w:color w:val="auto"/>
                <w:sz w:val="24"/>
              </w:rPr>
              <w:t>个人：所获收入5倍以上10倍以下罚款，20年以上至终身禁止从业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92" w:type="dxa"/>
            <w:vMerge w:val="continue"/>
            <w:vAlign w:val="center"/>
          </w:tcPr>
          <w:p>
            <w:pPr>
              <w:spacing w:line="360" w:lineRule="exact"/>
              <w:rPr>
                <w:rFonts w:ascii="仿宋_GB2312"/>
                <w:color w:val="auto"/>
                <w:sz w:val="24"/>
              </w:rPr>
            </w:pPr>
          </w:p>
        </w:tc>
        <w:tc>
          <w:tcPr>
            <w:tcW w:w="896" w:type="dxa"/>
            <w:vMerge w:val="continue"/>
          </w:tcPr>
          <w:p>
            <w:pPr>
              <w:spacing w:line="360" w:lineRule="exact"/>
              <w:rPr>
                <w:rFonts w:ascii="仿宋_GB2312"/>
                <w:color w:val="auto"/>
                <w:sz w:val="24"/>
              </w:rPr>
            </w:pPr>
          </w:p>
        </w:tc>
        <w:tc>
          <w:tcPr>
            <w:tcW w:w="317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59" w:type="dxa"/>
          </w:tcPr>
          <w:p>
            <w:pPr>
              <w:spacing w:line="360" w:lineRule="exact"/>
              <w:rPr>
                <w:rFonts w:ascii="仿宋_GB2312"/>
                <w:color w:val="auto"/>
                <w:sz w:val="24"/>
              </w:rPr>
            </w:pPr>
            <w:r>
              <w:rPr>
                <w:rFonts w:hint="eastAsia" w:ascii="仿宋_GB2312"/>
                <w:color w:val="auto"/>
                <w:sz w:val="24"/>
              </w:rPr>
              <w:t>货值金额50倍罚款</w:t>
            </w:r>
          </w:p>
          <w:p>
            <w:pPr>
              <w:spacing w:line="360" w:lineRule="exact"/>
              <w:rPr>
                <w:rFonts w:ascii="仿宋_GB2312"/>
                <w:color w:val="auto"/>
                <w:sz w:val="24"/>
              </w:rPr>
            </w:pPr>
            <w:r>
              <w:rPr>
                <w:rFonts w:hint="eastAsia" w:ascii="仿宋_GB2312"/>
                <w:color w:val="auto"/>
                <w:sz w:val="24"/>
              </w:rPr>
              <w:t>个人：所获收入10倍罚款，终身禁止从业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92" w:type="dxa"/>
            <w:vAlign w:val="center"/>
          </w:tcPr>
          <w:p>
            <w:pPr>
              <w:spacing w:line="360" w:lineRule="exact"/>
              <w:rPr>
                <w:rFonts w:ascii="仿宋_GB2312"/>
                <w:color w:val="auto"/>
                <w:sz w:val="24"/>
              </w:rPr>
            </w:pPr>
            <w:r>
              <w:rPr>
                <w:rFonts w:hint="eastAsia" w:ascii="仿宋_GB2312"/>
                <w:color w:val="auto"/>
                <w:sz w:val="24"/>
              </w:rPr>
              <w:t>说明</w:t>
            </w:r>
          </w:p>
        </w:tc>
        <w:tc>
          <w:tcPr>
            <w:tcW w:w="7330"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85"/>
        <w:gridCol w:w="3165"/>
        <w:gridCol w:w="3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pPr>
              <w:spacing w:line="360" w:lineRule="exact"/>
              <w:rPr>
                <w:rFonts w:ascii="仿宋_GB2312"/>
                <w:color w:val="auto"/>
                <w:sz w:val="24"/>
              </w:rPr>
            </w:pPr>
            <w:r>
              <w:rPr>
                <w:rFonts w:hint="eastAsia" w:ascii="仿宋_GB2312"/>
                <w:color w:val="auto"/>
                <w:sz w:val="24"/>
              </w:rPr>
              <w:t>编码</w:t>
            </w:r>
          </w:p>
        </w:tc>
        <w:tc>
          <w:tcPr>
            <w:tcW w:w="7319" w:type="dxa"/>
            <w:gridSpan w:val="3"/>
          </w:tcPr>
          <w:p>
            <w:pPr>
              <w:spacing w:line="360" w:lineRule="exact"/>
              <w:rPr>
                <w:rFonts w:ascii="仿宋_GB2312"/>
                <w:color w:val="auto"/>
                <w:sz w:val="24"/>
              </w:rPr>
            </w:pPr>
            <w:r>
              <w:rPr>
                <w:rFonts w:hint="eastAsia" w:ascii="仿宋_GB2312"/>
                <w:color w:val="auto"/>
                <w:sz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pPr>
              <w:spacing w:line="360" w:lineRule="exact"/>
              <w:rPr>
                <w:rFonts w:ascii="仿宋_GB2312"/>
                <w:color w:val="auto"/>
                <w:sz w:val="24"/>
              </w:rPr>
            </w:pPr>
            <w:r>
              <w:rPr>
                <w:rFonts w:hint="eastAsia" w:ascii="仿宋_GB2312"/>
                <w:color w:val="auto"/>
                <w:sz w:val="24"/>
              </w:rPr>
              <w:t>违法行为</w:t>
            </w:r>
          </w:p>
        </w:tc>
        <w:tc>
          <w:tcPr>
            <w:tcW w:w="7319" w:type="dxa"/>
            <w:gridSpan w:val="3"/>
          </w:tcPr>
          <w:p>
            <w:pPr>
              <w:spacing w:line="360" w:lineRule="exact"/>
              <w:rPr>
                <w:rFonts w:ascii="仿宋_GB2312"/>
                <w:color w:val="auto"/>
                <w:sz w:val="24"/>
              </w:rPr>
            </w:pPr>
            <w:r>
              <w:rPr>
                <w:rFonts w:hint="eastAsia" w:ascii="仿宋_GB2312"/>
                <w:color w:val="auto"/>
                <w:sz w:val="24"/>
              </w:rPr>
              <w:t>疫苗上市许可持有人或者其他单位违反药品相关质量管理规范。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pPr>
              <w:spacing w:line="360" w:lineRule="exact"/>
              <w:rPr>
                <w:rFonts w:ascii="仿宋_GB2312"/>
                <w:color w:val="auto"/>
                <w:sz w:val="24"/>
              </w:rPr>
            </w:pPr>
            <w:r>
              <w:rPr>
                <w:rFonts w:hint="eastAsia" w:ascii="仿宋_GB2312"/>
                <w:color w:val="auto"/>
                <w:sz w:val="24"/>
              </w:rPr>
              <w:t>处罚依据</w:t>
            </w:r>
          </w:p>
        </w:tc>
        <w:tc>
          <w:tcPr>
            <w:tcW w:w="7319" w:type="dxa"/>
            <w:gridSpan w:val="3"/>
          </w:tcPr>
          <w:p>
            <w:pPr>
              <w:spacing w:line="360" w:lineRule="exact"/>
              <w:rPr>
                <w:rFonts w:ascii="仿宋_GB2312"/>
                <w:color w:val="auto"/>
                <w:sz w:val="24"/>
              </w:rPr>
            </w:pPr>
            <w:r>
              <w:rPr>
                <w:rFonts w:hint="eastAsia" w:ascii="仿宋_GB2312"/>
                <w:color w:val="auto"/>
                <w:sz w:val="24"/>
              </w:rPr>
              <w:t>《中华人民共和国疫苗管理法》</w:t>
            </w:r>
            <w:r>
              <w:rPr>
                <w:rFonts w:hint="eastAsia" w:ascii="仿宋_GB2312"/>
                <w:color w:val="auto"/>
                <w:sz w:val="24"/>
              </w:rPr>
              <w:t>第八十二条：除本法另有规定的情形外，疫苗上市许可持有人或者其他单位违反药品相关质量管理规范的，由县级以上人民政府药品监督管理部门责令改正，给予警告；拒不改正的，处二十万元以上五十万元以下的罚款；情节严重的，处五十万元以上三百万元以下的罚款，责令停产停业整顿，直至吊销药品相关批准证明文件、药品生产许可证等，对法定代表人、主要负责人、直接负责的主管人员和关键岗位人员以及其他责任人员，没收违法行为发生期间自本单位所获收入，并处所获收入百分之五十以上五倍以下的罚款，十年内直至终身禁止从事药品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pPr>
              <w:spacing w:line="360" w:lineRule="exact"/>
              <w:rPr>
                <w:rFonts w:ascii="仿宋_GB2312"/>
                <w:color w:val="auto"/>
                <w:sz w:val="24"/>
              </w:rPr>
            </w:pPr>
            <w:r>
              <w:rPr>
                <w:rFonts w:hint="eastAsia" w:ascii="仿宋_GB2312"/>
                <w:color w:val="auto"/>
                <w:sz w:val="24"/>
              </w:rPr>
              <w:t>处罚种类</w:t>
            </w:r>
          </w:p>
        </w:tc>
        <w:tc>
          <w:tcPr>
            <w:tcW w:w="7319" w:type="dxa"/>
            <w:gridSpan w:val="3"/>
          </w:tcPr>
          <w:p>
            <w:pPr>
              <w:spacing w:line="360" w:lineRule="exact"/>
              <w:rPr>
                <w:rFonts w:ascii="仿宋_GB2312"/>
                <w:color w:val="auto"/>
                <w:sz w:val="24"/>
              </w:rPr>
            </w:pPr>
            <w:r>
              <w:rPr>
                <w:rFonts w:hint="eastAsia" w:ascii="仿宋_GB2312"/>
                <w:color w:val="auto"/>
                <w:sz w:val="24"/>
              </w:rPr>
              <w:t>警告；</w:t>
            </w:r>
          </w:p>
          <w:p>
            <w:pPr>
              <w:spacing w:line="360" w:lineRule="exact"/>
              <w:rPr>
                <w:rFonts w:ascii="仿宋_GB2312"/>
                <w:color w:val="auto"/>
                <w:sz w:val="24"/>
              </w:rPr>
            </w:pPr>
            <w:r>
              <w:rPr>
                <w:rFonts w:hint="eastAsia" w:ascii="仿宋_GB2312"/>
                <w:color w:val="auto"/>
                <w:sz w:val="24"/>
              </w:rPr>
              <w:t>罚款；</w:t>
            </w:r>
          </w:p>
          <w:p>
            <w:pPr>
              <w:spacing w:line="360" w:lineRule="exact"/>
              <w:rPr>
                <w:rFonts w:ascii="仿宋_GB2312"/>
                <w:color w:val="auto"/>
                <w:sz w:val="24"/>
              </w:rPr>
            </w:pPr>
            <w:r>
              <w:rPr>
                <w:rFonts w:hint="eastAsia" w:ascii="仿宋_GB2312"/>
                <w:color w:val="auto"/>
                <w:sz w:val="24"/>
              </w:rPr>
              <w:t>责令停产停业；</w:t>
            </w:r>
          </w:p>
          <w:p>
            <w:pPr>
              <w:spacing w:line="360" w:lineRule="exact"/>
              <w:rPr>
                <w:rFonts w:ascii="仿宋_GB2312"/>
                <w:color w:val="auto"/>
                <w:sz w:val="24"/>
              </w:rPr>
            </w:pPr>
            <w:r>
              <w:rPr>
                <w:rFonts w:hint="eastAsia" w:ascii="仿宋_GB2312"/>
                <w:color w:val="auto"/>
                <w:sz w:val="24"/>
              </w:rPr>
              <w:t>吊销批准证明文件、许可证；</w:t>
            </w:r>
          </w:p>
          <w:p>
            <w:pPr>
              <w:spacing w:line="360" w:lineRule="exact"/>
              <w:rPr>
                <w:rFonts w:ascii="仿宋_GB2312"/>
                <w:color w:val="auto"/>
                <w:sz w:val="24"/>
              </w:rPr>
            </w:pPr>
            <w:r>
              <w:rPr>
                <w:rFonts w:hint="eastAsia" w:ascii="仿宋_GB2312"/>
                <w:color w:val="auto"/>
                <w:sz w:val="24"/>
              </w:rPr>
              <w:t>没收违法期间所获收入；</w:t>
            </w:r>
          </w:p>
          <w:p>
            <w:pPr>
              <w:spacing w:line="360" w:lineRule="exact"/>
              <w:rPr>
                <w:rFonts w:ascii="仿宋_GB2312"/>
                <w:color w:val="auto"/>
                <w:sz w:val="24"/>
              </w:rPr>
            </w:pPr>
            <w:r>
              <w:rPr>
                <w:rFonts w:hint="eastAsia" w:ascii="仿宋_GB2312"/>
                <w:color w:val="auto"/>
                <w:sz w:val="24"/>
              </w:rPr>
              <w:t>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pPr>
              <w:spacing w:line="360" w:lineRule="exact"/>
              <w:rPr>
                <w:rFonts w:ascii="仿宋_GB2312"/>
                <w:color w:val="auto"/>
                <w:sz w:val="24"/>
              </w:rPr>
            </w:pPr>
            <w:r>
              <w:rPr>
                <w:rFonts w:hint="eastAsia" w:ascii="仿宋_GB2312"/>
                <w:color w:val="auto"/>
                <w:sz w:val="24"/>
              </w:rPr>
              <w:t>实施主体</w:t>
            </w:r>
          </w:p>
        </w:tc>
        <w:tc>
          <w:tcPr>
            <w:tcW w:w="7319" w:type="dxa"/>
            <w:gridSpan w:val="3"/>
          </w:tcPr>
          <w:p>
            <w:pPr>
              <w:numPr>
                <w:ilvl w:val="0"/>
                <w:numId w:val="1857"/>
              </w:numPr>
              <w:spacing w:line="360" w:lineRule="exact"/>
              <w:rPr>
                <w:rFonts w:ascii="仿宋_GB2312"/>
                <w:color w:val="auto"/>
                <w:sz w:val="24"/>
              </w:rPr>
            </w:pPr>
            <w:r>
              <w:rPr>
                <w:rFonts w:hint="eastAsia" w:ascii="仿宋_GB2312"/>
                <w:color w:val="auto"/>
                <w:sz w:val="24"/>
              </w:rPr>
              <w:t>县级以上人民政府药品监督管理部门；</w:t>
            </w:r>
          </w:p>
          <w:p>
            <w:pPr>
              <w:spacing w:line="360" w:lineRule="exact"/>
              <w:rPr>
                <w:rFonts w:ascii="仿宋_GB2312"/>
                <w:color w:val="auto"/>
                <w:sz w:val="24"/>
              </w:rPr>
            </w:pPr>
            <w:r>
              <w:rPr>
                <w:rFonts w:hint="eastAsia" w:ascii="仿宋_GB2312"/>
                <w:color w:val="auto"/>
                <w:sz w:val="24"/>
              </w:rPr>
              <w:t>2.吊销药品批准证明文件、药品生产许可证，原批准、发证部门。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pPr>
              <w:spacing w:line="360" w:lineRule="exact"/>
              <w:rPr>
                <w:rFonts w:ascii="仿宋_GB2312"/>
                <w:color w:val="auto"/>
                <w:sz w:val="24"/>
              </w:rPr>
            </w:pPr>
            <w:r>
              <w:rPr>
                <w:rFonts w:hint="eastAsia" w:ascii="仿宋_GB2312"/>
                <w:color w:val="auto"/>
                <w:sz w:val="24"/>
              </w:rPr>
              <w:t>裁量范围</w:t>
            </w:r>
          </w:p>
        </w:tc>
        <w:tc>
          <w:tcPr>
            <w:tcW w:w="7319" w:type="dxa"/>
            <w:gridSpan w:val="3"/>
          </w:tcPr>
          <w:p>
            <w:pPr>
              <w:spacing w:line="360" w:lineRule="exact"/>
              <w:rPr>
                <w:rFonts w:ascii="仿宋_GB2312"/>
                <w:color w:val="auto"/>
                <w:sz w:val="24"/>
              </w:rPr>
            </w:pPr>
            <w:r>
              <w:rPr>
                <w:rFonts w:hint="eastAsia" w:ascii="仿宋_GB2312"/>
                <w:color w:val="auto"/>
                <w:sz w:val="24"/>
              </w:rPr>
              <w:t>拒不改正的，处二十万元以上五十万元以下的罚款；</w:t>
            </w:r>
          </w:p>
          <w:p>
            <w:pPr>
              <w:spacing w:line="360" w:lineRule="exact"/>
              <w:rPr>
                <w:rFonts w:ascii="仿宋_GB2312"/>
                <w:color w:val="auto"/>
                <w:sz w:val="24"/>
              </w:rPr>
            </w:pPr>
            <w:r>
              <w:rPr>
                <w:rFonts w:hint="eastAsia" w:ascii="仿宋_GB2312"/>
                <w:color w:val="auto"/>
                <w:sz w:val="24"/>
              </w:rPr>
              <w:t>情节严重的：处五十万元以上三百万元以下的罚款。</w:t>
            </w:r>
          </w:p>
          <w:p>
            <w:pPr>
              <w:spacing w:line="360" w:lineRule="exact"/>
              <w:rPr>
                <w:rFonts w:ascii="仿宋_GB2312"/>
                <w:color w:val="auto"/>
                <w:sz w:val="24"/>
              </w:rPr>
            </w:pPr>
            <w:r>
              <w:rPr>
                <w:rFonts w:hint="eastAsia" w:ascii="仿宋_GB2312"/>
                <w:color w:val="auto"/>
                <w:sz w:val="24"/>
              </w:rPr>
              <w:t>个人：违法行为发生期间，自本单位所获收入百分之五十以上五倍以下的罚款；十年内直至终身禁止从事药品生产经营活动。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pPr>
              <w:spacing w:line="360" w:lineRule="exact"/>
              <w:rPr>
                <w:rFonts w:ascii="仿宋_GB2312"/>
                <w:color w:val="auto"/>
                <w:sz w:val="24"/>
              </w:rPr>
            </w:pPr>
            <w:r>
              <w:rPr>
                <w:rFonts w:hint="eastAsia" w:ascii="仿宋_GB2312"/>
                <w:color w:val="auto"/>
                <w:sz w:val="24"/>
              </w:rPr>
              <w:t>裁量阶次</w:t>
            </w:r>
          </w:p>
        </w:tc>
        <w:tc>
          <w:tcPr>
            <w:tcW w:w="885" w:type="dxa"/>
            <w:vAlign w:val="center"/>
          </w:tcPr>
          <w:p>
            <w:pPr>
              <w:spacing w:line="360" w:lineRule="exact"/>
              <w:jc w:val="center"/>
              <w:rPr>
                <w:rFonts w:ascii="仿宋_GB2312"/>
                <w:color w:val="auto"/>
                <w:sz w:val="24"/>
              </w:rPr>
            </w:pPr>
            <w:r>
              <w:rPr>
                <w:rFonts w:hint="eastAsia" w:ascii="仿宋_GB2312"/>
                <w:color w:val="auto"/>
                <w:sz w:val="24"/>
              </w:rPr>
              <w:t>裁量</w:t>
            </w:r>
          </w:p>
        </w:tc>
        <w:tc>
          <w:tcPr>
            <w:tcW w:w="3165" w:type="dxa"/>
            <w:vAlign w:val="center"/>
          </w:tcPr>
          <w:p>
            <w:pPr>
              <w:spacing w:line="360" w:lineRule="exact"/>
              <w:jc w:val="center"/>
              <w:rPr>
                <w:rFonts w:ascii="仿宋_GB2312"/>
                <w:color w:val="auto"/>
                <w:sz w:val="24"/>
              </w:rPr>
            </w:pPr>
            <w:r>
              <w:rPr>
                <w:rFonts w:hint="eastAsia" w:ascii="仿宋_GB2312"/>
                <w:color w:val="auto"/>
                <w:sz w:val="24"/>
              </w:rPr>
              <w:t>裁量因素</w:t>
            </w:r>
          </w:p>
        </w:tc>
        <w:tc>
          <w:tcPr>
            <w:tcW w:w="3269" w:type="dxa"/>
            <w:vAlign w:val="center"/>
          </w:tcPr>
          <w:p>
            <w:pPr>
              <w:spacing w:line="36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03" w:type="dxa"/>
            <w:vMerge w:val="restart"/>
            <w:vAlign w:val="center"/>
          </w:tcPr>
          <w:p>
            <w:pPr>
              <w:spacing w:line="360" w:lineRule="exact"/>
              <w:rPr>
                <w:rFonts w:ascii="仿宋_GB2312"/>
                <w:color w:val="auto"/>
                <w:sz w:val="24"/>
              </w:rPr>
            </w:pPr>
          </w:p>
        </w:tc>
        <w:tc>
          <w:tcPr>
            <w:tcW w:w="885" w:type="dxa"/>
            <w:vAlign w:val="center"/>
          </w:tcPr>
          <w:p>
            <w:pPr>
              <w:spacing w:line="360" w:lineRule="exact"/>
              <w:rPr>
                <w:rFonts w:ascii="仿宋_GB2312"/>
                <w:color w:val="auto"/>
                <w:sz w:val="24"/>
              </w:rPr>
            </w:pPr>
            <w:r>
              <w:rPr>
                <w:rFonts w:hint="eastAsia" w:ascii="仿宋_GB2312"/>
                <w:color w:val="auto"/>
                <w:sz w:val="24"/>
              </w:rPr>
              <w:t>中限</w:t>
            </w:r>
          </w:p>
        </w:tc>
        <w:tc>
          <w:tcPr>
            <w:tcW w:w="3165" w:type="dxa"/>
          </w:tcPr>
          <w:p>
            <w:pPr>
              <w:spacing w:line="360" w:lineRule="exact"/>
              <w:rPr>
                <w:rFonts w:ascii="仿宋_GB2312"/>
                <w:color w:val="auto"/>
                <w:sz w:val="24"/>
              </w:rPr>
            </w:pPr>
            <w:r>
              <w:rPr>
                <w:rFonts w:hint="eastAsia" w:ascii="仿宋_GB2312"/>
                <w:color w:val="auto"/>
                <w:sz w:val="24"/>
              </w:rPr>
              <w:t>无本基准从重、从轻和减轻情节的</w:t>
            </w:r>
          </w:p>
        </w:tc>
        <w:tc>
          <w:tcPr>
            <w:tcW w:w="3269" w:type="dxa"/>
          </w:tcPr>
          <w:p>
            <w:pPr>
              <w:spacing w:line="360" w:lineRule="exact"/>
              <w:rPr>
                <w:rFonts w:ascii="仿宋_GB2312"/>
                <w:color w:val="auto"/>
                <w:sz w:val="24"/>
              </w:rPr>
            </w:pPr>
            <w:r>
              <w:rPr>
                <w:rFonts w:hint="eastAsia" w:ascii="仿宋_GB2312"/>
                <w:color w:val="auto"/>
                <w:sz w:val="24"/>
              </w:rPr>
              <w:t>35万元罚款</w:t>
            </w:r>
          </w:p>
          <w:p>
            <w:pPr>
              <w:spacing w:line="360" w:lineRule="exact"/>
              <w:rPr>
                <w:rFonts w:ascii="仿宋_GB2312"/>
                <w:color w:val="auto"/>
                <w:sz w:val="24"/>
              </w:rPr>
            </w:pPr>
            <w:r>
              <w:rPr>
                <w:rFonts w:hint="eastAsia" w:ascii="仿宋_GB2312"/>
                <w:color w:val="auto"/>
                <w:sz w:val="24"/>
              </w:rPr>
              <w:t>情节严重的：175万元罚款</w:t>
            </w:r>
          </w:p>
          <w:p>
            <w:pPr>
              <w:spacing w:line="360" w:lineRule="exact"/>
              <w:rPr>
                <w:rFonts w:ascii="仿宋_GB2312"/>
                <w:color w:val="auto"/>
                <w:sz w:val="24"/>
              </w:rPr>
            </w:pPr>
            <w:r>
              <w:rPr>
                <w:rFonts w:hint="eastAsia" w:ascii="仿宋_GB2312"/>
                <w:color w:val="auto"/>
                <w:sz w:val="24"/>
              </w:rPr>
              <w:t>个人：所获收入2.5倍罚款；20年内禁止从业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03" w:type="dxa"/>
            <w:vMerge w:val="continue"/>
            <w:vAlign w:val="center"/>
          </w:tcPr>
          <w:p>
            <w:pPr>
              <w:spacing w:line="360" w:lineRule="exact"/>
              <w:rPr>
                <w:rFonts w:ascii="仿宋_GB2312"/>
                <w:color w:val="auto"/>
                <w:sz w:val="24"/>
              </w:rPr>
            </w:pPr>
          </w:p>
        </w:tc>
        <w:tc>
          <w:tcPr>
            <w:tcW w:w="885" w:type="dxa"/>
            <w:vAlign w:val="center"/>
          </w:tcPr>
          <w:p>
            <w:pPr>
              <w:spacing w:line="360" w:lineRule="exact"/>
              <w:rPr>
                <w:rFonts w:ascii="仿宋_GB2312"/>
                <w:color w:val="auto"/>
                <w:sz w:val="24"/>
              </w:rPr>
            </w:pPr>
            <w:r>
              <w:rPr>
                <w:rFonts w:hint="eastAsia" w:ascii="仿宋_GB2312"/>
                <w:color w:val="auto"/>
                <w:sz w:val="24"/>
              </w:rPr>
              <w:t>减轻</w:t>
            </w:r>
          </w:p>
        </w:tc>
        <w:tc>
          <w:tcPr>
            <w:tcW w:w="316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69" w:type="dxa"/>
          </w:tcPr>
          <w:p>
            <w:pPr>
              <w:spacing w:line="360" w:lineRule="exact"/>
              <w:rPr>
                <w:rFonts w:ascii="仿宋_GB2312"/>
                <w:color w:val="auto"/>
                <w:sz w:val="24"/>
              </w:rPr>
            </w:pPr>
            <w:r>
              <w:rPr>
                <w:rFonts w:hint="eastAsia" w:ascii="仿宋_GB2312"/>
                <w:color w:val="auto"/>
                <w:sz w:val="24"/>
              </w:rPr>
              <w:t>2万元以上20万元以下罚款</w:t>
            </w:r>
          </w:p>
          <w:p>
            <w:pPr>
              <w:spacing w:line="360" w:lineRule="exact"/>
              <w:rPr>
                <w:rFonts w:ascii="仿宋_GB2312"/>
                <w:color w:val="auto"/>
                <w:sz w:val="24"/>
              </w:rPr>
            </w:pPr>
            <w:r>
              <w:rPr>
                <w:rFonts w:hint="eastAsia" w:ascii="仿宋_GB2312"/>
                <w:color w:val="auto"/>
                <w:sz w:val="24"/>
              </w:rPr>
              <w:t>情节严重的：5万元以上50万元以下罚款</w:t>
            </w:r>
          </w:p>
          <w:p>
            <w:pPr>
              <w:spacing w:line="360" w:lineRule="exact"/>
              <w:rPr>
                <w:rFonts w:ascii="仿宋_GB2312"/>
                <w:color w:val="auto"/>
                <w:sz w:val="24"/>
              </w:rPr>
            </w:pPr>
            <w:r>
              <w:rPr>
                <w:rFonts w:hint="eastAsia" w:ascii="仿宋_GB2312"/>
                <w:color w:val="auto"/>
                <w:sz w:val="24"/>
              </w:rPr>
              <w:t>个人：所获收入5%以上50%以下罚款；5年以上10年以下禁止从业</w:t>
            </w:r>
          </w:p>
        </w:tc>
      </w:tr>
    </w:tbl>
    <w:p>
      <w:pPr>
        <w:rPr>
          <w:color w:val="auto"/>
        </w:rPr>
      </w:pPr>
      <w:r>
        <w:rPr>
          <w:color w:val="auto"/>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85"/>
        <w:gridCol w:w="3165"/>
        <w:gridCol w:w="3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1203" w:type="dxa"/>
            <w:vMerge w:val="restart"/>
            <w:vAlign w:val="center"/>
          </w:tcPr>
          <w:p>
            <w:pPr>
              <w:spacing w:line="360" w:lineRule="exact"/>
              <w:rPr>
                <w:rFonts w:ascii="仿宋_GB2312"/>
                <w:color w:val="auto"/>
                <w:sz w:val="24"/>
              </w:rPr>
            </w:pPr>
          </w:p>
        </w:tc>
        <w:tc>
          <w:tcPr>
            <w:tcW w:w="885" w:type="dxa"/>
            <w:vMerge w:val="restart"/>
            <w:vAlign w:val="center"/>
          </w:tcPr>
          <w:p>
            <w:pPr>
              <w:spacing w:line="360" w:lineRule="exact"/>
              <w:rPr>
                <w:rFonts w:ascii="仿宋_GB2312"/>
                <w:color w:val="auto"/>
                <w:sz w:val="24"/>
              </w:rPr>
            </w:pPr>
          </w:p>
          <w:p>
            <w:pPr>
              <w:spacing w:line="360" w:lineRule="exact"/>
              <w:rPr>
                <w:rFonts w:ascii="仿宋_GB2312"/>
                <w:color w:val="auto"/>
                <w:sz w:val="24"/>
              </w:rPr>
            </w:pPr>
            <w:r>
              <w:rPr>
                <w:rFonts w:hint="eastAsia" w:ascii="仿宋_GB2312"/>
                <w:color w:val="auto"/>
                <w:sz w:val="24"/>
              </w:rPr>
              <w:t>从轻</w:t>
            </w:r>
          </w:p>
        </w:tc>
        <w:tc>
          <w:tcPr>
            <w:tcW w:w="316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p>
            <w:pPr>
              <w:spacing w:line="360" w:lineRule="exact"/>
              <w:rPr>
                <w:rFonts w:ascii="仿宋_GB2312"/>
                <w:color w:val="auto"/>
                <w:sz w:val="24"/>
              </w:rPr>
            </w:pPr>
          </w:p>
        </w:tc>
        <w:tc>
          <w:tcPr>
            <w:tcW w:w="3269" w:type="dxa"/>
          </w:tcPr>
          <w:p>
            <w:pPr>
              <w:spacing w:line="360" w:lineRule="exact"/>
              <w:rPr>
                <w:rFonts w:ascii="仿宋_GB2312"/>
                <w:color w:val="auto"/>
                <w:sz w:val="24"/>
              </w:rPr>
            </w:pPr>
            <w:r>
              <w:rPr>
                <w:rFonts w:hint="eastAsia" w:ascii="仿宋_GB2312"/>
                <w:color w:val="auto"/>
                <w:sz w:val="24"/>
              </w:rPr>
              <w:t>20万元以上35万元以下罚款</w:t>
            </w:r>
          </w:p>
          <w:p>
            <w:pPr>
              <w:spacing w:line="360" w:lineRule="exact"/>
              <w:rPr>
                <w:rFonts w:ascii="仿宋_GB2312"/>
                <w:color w:val="auto"/>
                <w:sz w:val="24"/>
              </w:rPr>
            </w:pPr>
            <w:r>
              <w:rPr>
                <w:rFonts w:hint="eastAsia" w:ascii="仿宋_GB2312"/>
                <w:color w:val="auto"/>
                <w:sz w:val="24"/>
              </w:rPr>
              <w:t>情节严重的：50万元以上175万元以下罚款</w:t>
            </w:r>
          </w:p>
          <w:p>
            <w:pPr>
              <w:spacing w:line="360" w:lineRule="exact"/>
              <w:rPr>
                <w:rFonts w:ascii="仿宋_GB2312"/>
                <w:color w:val="auto"/>
                <w:sz w:val="24"/>
              </w:rPr>
            </w:pPr>
            <w:r>
              <w:rPr>
                <w:rFonts w:hint="eastAsia" w:ascii="仿宋_GB2312"/>
                <w:color w:val="auto"/>
                <w:sz w:val="24"/>
              </w:rPr>
              <w:t>个人：所获收入50%以上2.5倍以下罚款；10年以上20年以下禁止从业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203" w:type="dxa"/>
            <w:vMerge w:val="continue"/>
            <w:vAlign w:val="center"/>
          </w:tcPr>
          <w:p>
            <w:pPr>
              <w:spacing w:line="360" w:lineRule="exact"/>
              <w:rPr>
                <w:rFonts w:ascii="仿宋_GB2312"/>
                <w:color w:val="auto"/>
                <w:sz w:val="24"/>
              </w:rPr>
            </w:pPr>
          </w:p>
        </w:tc>
        <w:tc>
          <w:tcPr>
            <w:tcW w:w="885" w:type="dxa"/>
            <w:vMerge w:val="continue"/>
            <w:vAlign w:val="center"/>
          </w:tcPr>
          <w:p>
            <w:pPr>
              <w:spacing w:line="360" w:lineRule="exact"/>
              <w:rPr>
                <w:rFonts w:ascii="仿宋_GB2312"/>
                <w:color w:val="auto"/>
                <w:sz w:val="24"/>
              </w:rPr>
            </w:pPr>
          </w:p>
        </w:tc>
        <w:tc>
          <w:tcPr>
            <w:tcW w:w="316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69" w:type="dxa"/>
          </w:tcPr>
          <w:p>
            <w:pPr>
              <w:spacing w:line="360" w:lineRule="exact"/>
              <w:rPr>
                <w:rFonts w:ascii="仿宋_GB2312"/>
                <w:color w:val="auto"/>
                <w:sz w:val="24"/>
              </w:rPr>
            </w:pPr>
            <w:r>
              <w:rPr>
                <w:rFonts w:hint="eastAsia" w:ascii="仿宋_GB2312"/>
                <w:color w:val="auto"/>
                <w:sz w:val="24"/>
              </w:rPr>
              <w:t>20万元罚款</w:t>
            </w:r>
          </w:p>
          <w:p>
            <w:pPr>
              <w:spacing w:line="360" w:lineRule="exact"/>
              <w:rPr>
                <w:rFonts w:ascii="仿宋_GB2312"/>
                <w:color w:val="auto"/>
                <w:sz w:val="24"/>
              </w:rPr>
            </w:pPr>
            <w:r>
              <w:rPr>
                <w:rFonts w:hint="eastAsia" w:ascii="仿宋_GB2312"/>
                <w:color w:val="auto"/>
                <w:sz w:val="24"/>
              </w:rPr>
              <w:t>情节严重的：50万元罚款</w:t>
            </w:r>
          </w:p>
          <w:p>
            <w:pPr>
              <w:spacing w:line="360" w:lineRule="exact"/>
              <w:rPr>
                <w:rFonts w:ascii="仿宋_GB2312"/>
                <w:color w:val="auto"/>
                <w:sz w:val="24"/>
              </w:rPr>
            </w:pPr>
            <w:r>
              <w:rPr>
                <w:rFonts w:hint="eastAsia" w:ascii="仿宋_GB2312"/>
                <w:color w:val="auto"/>
                <w:sz w:val="24"/>
              </w:rPr>
              <w:t>个人：所获收入50%罚款；10年禁止从业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1203" w:type="dxa"/>
            <w:vMerge w:val="continue"/>
            <w:vAlign w:val="center"/>
          </w:tcPr>
          <w:p>
            <w:pPr>
              <w:spacing w:line="360" w:lineRule="exact"/>
              <w:rPr>
                <w:rFonts w:ascii="仿宋_GB2312"/>
                <w:color w:val="auto"/>
                <w:sz w:val="24"/>
              </w:rPr>
            </w:pPr>
          </w:p>
        </w:tc>
        <w:tc>
          <w:tcPr>
            <w:tcW w:w="885" w:type="dxa"/>
            <w:vMerge w:val="restart"/>
            <w:vAlign w:val="center"/>
          </w:tcPr>
          <w:p>
            <w:pPr>
              <w:spacing w:line="360" w:lineRule="exact"/>
              <w:rPr>
                <w:rFonts w:ascii="仿宋_GB2312"/>
                <w:color w:val="auto"/>
                <w:sz w:val="24"/>
              </w:rPr>
            </w:pPr>
            <w:r>
              <w:rPr>
                <w:rFonts w:hint="eastAsia" w:ascii="仿宋_GB2312"/>
                <w:color w:val="auto"/>
                <w:sz w:val="24"/>
              </w:rPr>
              <w:t>从重</w:t>
            </w:r>
          </w:p>
        </w:tc>
        <w:tc>
          <w:tcPr>
            <w:tcW w:w="316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60" w:lineRule="exact"/>
              <w:rPr>
                <w:rFonts w:ascii="仿宋_GB2312"/>
                <w:color w:val="auto"/>
                <w:sz w:val="24"/>
              </w:rPr>
            </w:pPr>
          </w:p>
        </w:tc>
        <w:tc>
          <w:tcPr>
            <w:tcW w:w="3269" w:type="dxa"/>
          </w:tcPr>
          <w:p>
            <w:pPr>
              <w:spacing w:line="360" w:lineRule="exact"/>
              <w:rPr>
                <w:rFonts w:ascii="仿宋_GB2312"/>
                <w:color w:val="auto"/>
                <w:sz w:val="24"/>
              </w:rPr>
            </w:pPr>
            <w:r>
              <w:rPr>
                <w:rFonts w:hint="eastAsia" w:ascii="仿宋_GB2312"/>
                <w:color w:val="auto"/>
                <w:sz w:val="24"/>
              </w:rPr>
              <w:t>35万元以上50万元以下罚款</w:t>
            </w:r>
          </w:p>
          <w:p>
            <w:pPr>
              <w:spacing w:line="360" w:lineRule="exact"/>
              <w:rPr>
                <w:rFonts w:ascii="仿宋_GB2312"/>
                <w:color w:val="auto"/>
                <w:sz w:val="24"/>
              </w:rPr>
            </w:pPr>
            <w:r>
              <w:rPr>
                <w:rFonts w:hint="eastAsia" w:ascii="仿宋_GB2312"/>
                <w:color w:val="auto"/>
                <w:sz w:val="24"/>
              </w:rPr>
              <w:t>情节严重的：175万元以上300万元以下罚款</w:t>
            </w:r>
          </w:p>
          <w:p>
            <w:pPr>
              <w:spacing w:line="360" w:lineRule="exact"/>
              <w:rPr>
                <w:rFonts w:ascii="仿宋_GB2312"/>
                <w:color w:val="auto"/>
                <w:sz w:val="24"/>
              </w:rPr>
            </w:pPr>
            <w:r>
              <w:rPr>
                <w:rFonts w:hint="eastAsia" w:ascii="仿宋_GB2312"/>
                <w:color w:val="auto"/>
                <w:sz w:val="24"/>
              </w:rPr>
              <w:t>个人：所获收入2.5倍以上5倍以下罚款;20年以上至终身禁止从业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03" w:type="dxa"/>
            <w:vMerge w:val="continue"/>
            <w:vAlign w:val="center"/>
          </w:tcPr>
          <w:p>
            <w:pPr>
              <w:spacing w:line="360" w:lineRule="exact"/>
              <w:rPr>
                <w:rFonts w:ascii="仿宋_GB2312"/>
                <w:color w:val="auto"/>
                <w:sz w:val="24"/>
              </w:rPr>
            </w:pPr>
          </w:p>
        </w:tc>
        <w:tc>
          <w:tcPr>
            <w:tcW w:w="885" w:type="dxa"/>
            <w:vMerge w:val="continue"/>
            <w:vAlign w:val="center"/>
          </w:tcPr>
          <w:p>
            <w:pPr>
              <w:spacing w:line="360" w:lineRule="exact"/>
              <w:rPr>
                <w:rFonts w:ascii="仿宋_GB2312"/>
                <w:color w:val="auto"/>
                <w:sz w:val="24"/>
              </w:rPr>
            </w:pPr>
          </w:p>
        </w:tc>
        <w:tc>
          <w:tcPr>
            <w:tcW w:w="3165" w:type="dxa"/>
          </w:tcPr>
          <w:p>
            <w:pPr>
              <w:spacing w:line="36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69" w:type="dxa"/>
          </w:tcPr>
          <w:p>
            <w:pPr>
              <w:spacing w:line="360" w:lineRule="exact"/>
              <w:rPr>
                <w:rFonts w:ascii="仿宋_GB2312"/>
                <w:color w:val="auto"/>
                <w:sz w:val="24"/>
              </w:rPr>
            </w:pPr>
            <w:r>
              <w:rPr>
                <w:rFonts w:hint="eastAsia" w:ascii="仿宋_GB2312"/>
                <w:color w:val="auto"/>
                <w:sz w:val="24"/>
              </w:rPr>
              <w:t>50万元罚款</w:t>
            </w:r>
          </w:p>
          <w:p>
            <w:pPr>
              <w:spacing w:line="360" w:lineRule="exact"/>
              <w:rPr>
                <w:rFonts w:ascii="仿宋_GB2312"/>
                <w:color w:val="auto"/>
                <w:sz w:val="24"/>
              </w:rPr>
            </w:pPr>
            <w:r>
              <w:rPr>
                <w:rFonts w:hint="eastAsia" w:ascii="仿宋_GB2312"/>
                <w:color w:val="auto"/>
                <w:sz w:val="24"/>
              </w:rPr>
              <w:t>情节严重的：300万元罚款</w:t>
            </w:r>
          </w:p>
          <w:p>
            <w:pPr>
              <w:spacing w:line="360" w:lineRule="exact"/>
              <w:rPr>
                <w:rFonts w:ascii="仿宋_GB2312"/>
                <w:color w:val="auto"/>
                <w:sz w:val="24"/>
              </w:rPr>
            </w:pPr>
            <w:r>
              <w:rPr>
                <w:rFonts w:hint="eastAsia" w:ascii="仿宋_GB2312"/>
                <w:color w:val="auto"/>
                <w:sz w:val="24"/>
              </w:rPr>
              <w:t>个人：所获收入5倍罚款;终身禁止从业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03" w:type="dxa"/>
            <w:vAlign w:val="center"/>
          </w:tcPr>
          <w:p>
            <w:pPr>
              <w:spacing w:line="360" w:lineRule="exact"/>
              <w:rPr>
                <w:rFonts w:ascii="仿宋_GB2312"/>
                <w:color w:val="auto"/>
                <w:sz w:val="24"/>
              </w:rPr>
            </w:pPr>
            <w:r>
              <w:rPr>
                <w:rFonts w:hint="eastAsia" w:ascii="仿宋_GB2312"/>
                <w:color w:val="auto"/>
                <w:sz w:val="24"/>
              </w:rPr>
              <w:t>说明</w:t>
            </w:r>
          </w:p>
        </w:tc>
        <w:tc>
          <w:tcPr>
            <w:tcW w:w="7319" w:type="dxa"/>
            <w:gridSpan w:val="3"/>
          </w:tcPr>
          <w:p>
            <w:pPr>
              <w:spacing w:line="360" w:lineRule="exact"/>
              <w:rPr>
                <w:rFonts w:ascii="仿宋_GB2312"/>
                <w:color w:val="auto"/>
                <w:sz w:val="24"/>
              </w:rPr>
            </w:pPr>
          </w:p>
        </w:tc>
      </w:tr>
    </w:tbl>
    <w:p>
      <w:pPr>
        <w:spacing w:line="360" w:lineRule="exact"/>
        <w:rPr>
          <w:rFonts w:ascii="仿宋_GB2312"/>
          <w:color w:val="auto"/>
          <w:sz w:val="24"/>
        </w:rPr>
      </w:pPr>
    </w:p>
    <w:p>
      <w:pPr>
        <w:spacing w:line="360" w:lineRule="exact"/>
        <w:rPr>
          <w:rFonts w:ascii="仿宋_GB2312"/>
          <w:color w:val="auto"/>
          <w:sz w:val="24"/>
        </w:rPr>
      </w:pPr>
      <w:r>
        <w:rPr>
          <w:rFonts w:ascii="仿宋_GB2312"/>
          <w:color w:val="auto"/>
          <w:sz w:val="24"/>
        </w:rPr>
        <w:br w:type="page"/>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864"/>
        <w:gridCol w:w="3165"/>
        <w:gridCol w:w="3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spacing w:line="300" w:lineRule="exact"/>
              <w:rPr>
                <w:rFonts w:ascii="仿宋_GB2312"/>
                <w:color w:val="auto"/>
                <w:sz w:val="24"/>
              </w:rPr>
            </w:pPr>
            <w:r>
              <w:rPr>
                <w:rFonts w:hint="eastAsia" w:ascii="仿宋_GB2312"/>
                <w:color w:val="auto"/>
                <w:sz w:val="24"/>
              </w:rPr>
              <w:t>编码</w:t>
            </w:r>
          </w:p>
        </w:tc>
        <w:tc>
          <w:tcPr>
            <w:tcW w:w="7298" w:type="dxa"/>
            <w:gridSpan w:val="3"/>
          </w:tcPr>
          <w:p>
            <w:pPr>
              <w:spacing w:line="300" w:lineRule="exact"/>
              <w:rPr>
                <w:rFonts w:ascii="仿宋_GB2312"/>
                <w:color w:val="auto"/>
                <w:sz w:val="24"/>
              </w:rPr>
            </w:pPr>
            <w:r>
              <w:rPr>
                <w:rFonts w:hint="eastAsia" w:ascii="仿宋_GB2312"/>
                <w:color w:val="auto"/>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spacing w:line="300" w:lineRule="exact"/>
              <w:rPr>
                <w:rFonts w:ascii="仿宋_GB2312"/>
                <w:color w:val="auto"/>
                <w:sz w:val="24"/>
              </w:rPr>
            </w:pPr>
            <w:r>
              <w:rPr>
                <w:rFonts w:hint="eastAsia" w:ascii="仿宋_GB2312"/>
                <w:color w:val="auto"/>
                <w:sz w:val="24"/>
              </w:rPr>
              <w:t>违法行为</w:t>
            </w:r>
          </w:p>
        </w:tc>
        <w:tc>
          <w:tcPr>
            <w:tcW w:w="7298" w:type="dxa"/>
            <w:gridSpan w:val="3"/>
          </w:tcPr>
          <w:p>
            <w:pPr>
              <w:spacing w:line="280" w:lineRule="exact"/>
              <w:rPr>
                <w:rFonts w:ascii="仿宋_GB2312"/>
                <w:color w:val="auto"/>
                <w:sz w:val="24"/>
              </w:rPr>
            </w:pPr>
            <w:r>
              <w:rPr>
                <w:rFonts w:hint="eastAsia" w:ascii="仿宋_GB2312"/>
                <w:color w:val="auto"/>
                <w:sz w:val="24"/>
              </w:rPr>
              <w:t>1.未按照规定建立疫苗电子追溯系统；</w:t>
            </w:r>
          </w:p>
          <w:p>
            <w:pPr>
              <w:spacing w:line="280" w:lineRule="exact"/>
              <w:rPr>
                <w:rFonts w:ascii="仿宋_GB2312"/>
                <w:color w:val="auto"/>
                <w:sz w:val="24"/>
              </w:rPr>
            </w:pPr>
            <w:r>
              <w:rPr>
                <w:rFonts w:hint="eastAsia" w:ascii="仿宋_GB2312"/>
                <w:color w:val="auto"/>
                <w:sz w:val="24"/>
              </w:rPr>
              <w:t>2.法定代表人、主要负责人和生产管理负责人、质量管理负责人、质量受权人等关键岗位人员不符合规定条件或者未按照规定对其进行培训、考核；</w:t>
            </w:r>
          </w:p>
          <w:p>
            <w:pPr>
              <w:spacing w:line="280" w:lineRule="exact"/>
              <w:rPr>
                <w:rFonts w:ascii="仿宋_GB2312"/>
                <w:color w:val="auto"/>
                <w:sz w:val="24"/>
              </w:rPr>
            </w:pPr>
            <w:r>
              <w:rPr>
                <w:rFonts w:hint="eastAsia" w:ascii="仿宋_GB2312"/>
                <w:color w:val="auto"/>
                <w:sz w:val="24"/>
              </w:rPr>
              <w:t>3.未按照规定报告或者备案；</w:t>
            </w:r>
          </w:p>
          <w:p>
            <w:pPr>
              <w:spacing w:line="280" w:lineRule="exact"/>
              <w:rPr>
                <w:rFonts w:ascii="仿宋_GB2312"/>
                <w:color w:val="auto"/>
                <w:sz w:val="24"/>
              </w:rPr>
            </w:pPr>
            <w:r>
              <w:rPr>
                <w:rFonts w:hint="eastAsia" w:ascii="仿宋_GB2312"/>
                <w:color w:val="auto"/>
                <w:sz w:val="24"/>
              </w:rPr>
              <w:t>4.未按照规定开展上市后研究，或者未按照规定设立机构、配备人员主动收集、跟踪分析疑似预防接种异常反应；</w:t>
            </w:r>
          </w:p>
          <w:p>
            <w:pPr>
              <w:spacing w:line="280" w:lineRule="exact"/>
              <w:rPr>
                <w:rFonts w:ascii="仿宋_GB2312"/>
                <w:color w:val="auto"/>
                <w:sz w:val="24"/>
              </w:rPr>
            </w:pPr>
            <w:r>
              <w:rPr>
                <w:rFonts w:hint="eastAsia" w:ascii="仿宋_GB2312"/>
                <w:color w:val="auto"/>
                <w:sz w:val="24"/>
              </w:rPr>
              <w:t>5.未按照规定投保疫苗责任强制保险；</w:t>
            </w:r>
          </w:p>
          <w:p>
            <w:pPr>
              <w:spacing w:line="280" w:lineRule="exact"/>
              <w:rPr>
                <w:rFonts w:ascii="仿宋_GB2312"/>
                <w:color w:val="auto"/>
                <w:sz w:val="24"/>
              </w:rPr>
            </w:pPr>
            <w:r>
              <w:rPr>
                <w:rFonts w:hint="eastAsia" w:ascii="仿宋_GB2312"/>
                <w:color w:val="auto"/>
                <w:sz w:val="24"/>
              </w:rPr>
              <w:t>6.未按照规定建立信息公开制度。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spacing w:line="300" w:lineRule="exact"/>
              <w:rPr>
                <w:rFonts w:ascii="仿宋_GB2312"/>
                <w:color w:val="auto"/>
                <w:sz w:val="24"/>
              </w:rPr>
            </w:pPr>
            <w:r>
              <w:rPr>
                <w:rFonts w:hint="eastAsia" w:ascii="仿宋_GB2312"/>
                <w:color w:val="auto"/>
                <w:sz w:val="24"/>
              </w:rPr>
              <w:t>处罚依据</w:t>
            </w:r>
          </w:p>
        </w:tc>
        <w:tc>
          <w:tcPr>
            <w:tcW w:w="7298" w:type="dxa"/>
            <w:gridSpan w:val="3"/>
          </w:tcPr>
          <w:p>
            <w:pPr>
              <w:spacing w:line="280" w:lineRule="exact"/>
              <w:rPr>
                <w:rFonts w:ascii="仿宋_GB2312"/>
                <w:color w:val="auto"/>
                <w:sz w:val="24"/>
              </w:rPr>
            </w:pPr>
            <w:r>
              <w:rPr>
                <w:rFonts w:hint="eastAsia" w:ascii="仿宋_GB2312"/>
                <w:color w:val="auto"/>
                <w:sz w:val="24"/>
              </w:rPr>
              <w:t>《中华人民共和国疫苗管理法》</w:t>
            </w:r>
            <w:r>
              <w:rPr>
                <w:rFonts w:hint="eastAsia" w:ascii="仿宋_GB2312"/>
                <w:color w:val="auto"/>
                <w:sz w:val="24"/>
              </w:rPr>
              <w:t>第八十三条：违反本法规定，疫苗上市许可持有人有下列情形之一的，由省级以上人民政府药品监督管理部门责令改正，给予警告；拒不改正的，处二十万元以上五十万元以下的罚款；情节严重的，责令停产停业整顿，并处五十万元以上二百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spacing w:line="300" w:lineRule="exact"/>
              <w:rPr>
                <w:rFonts w:ascii="仿宋_GB2312"/>
                <w:color w:val="auto"/>
                <w:sz w:val="24"/>
              </w:rPr>
            </w:pPr>
            <w:r>
              <w:rPr>
                <w:rFonts w:hint="eastAsia" w:ascii="仿宋_GB2312"/>
                <w:color w:val="auto"/>
                <w:sz w:val="24"/>
              </w:rPr>
              <w:t>处罚种类</w:t>
            </w:r>
          </w:p>
        </w:tc>
        <w:tc>
          <w:tcPr>
            <w:tcW w:w="7298" w:type="dxa"/>
            <w:gridSpan w:val="3"/>
          </w:tcPr>
          <w:p>
            <w:pPr>
              <w:spacing w:line="280" w:lineRule="exact"/>
              <w:rPr>
                <w:rFonts w:ascii="仿宋_GB2312"/>
                <w:color w:val="auto"/>
                <w:sz w:val="24"/>
              </w:rPr>
            </w:pPr>
            <w:r>
              <w:rPr>
                <w:rFonts w:hint="eastAsia" w:ascii="仿宋_GB2312"/>
                <w:color w:val="auto"/>
                <w:sz w:val="24"/>
              </w:rPr>
              <w:t>警告；</w:t>
            </w:r>
          </w:p>
          <w:p>
            <w:pPr>
              <w:spacing w:line="280" w:lineRule="exact"/>
              <w:rPr>
                <w:rFonts w:ascii="仿宋_GB2312"/>
                <w:color w:val="auto"/>
                <w:sz w:val="24"/>
              </w:rPr>
            </w:pPr>
            <w:r>
              <w:rPr>
                <w:rFonts w:hint="eastAsia" w:ascii="仿宋_GB2312"/>
                <w:color w:val="auto"/>
                <w:sz w:val="24"/>
              </w:rPr>
              <w:t>罚款；</w:t>
            </w:r>
          </w:p>
          <w:p>
            <w:pPr>
              <w:spacing w:line="280" w:lineRule="exact"/>
              <w:rPr>
                <w:rFonts w:ascii="仿宋_GB2312"/>
                <w:color w:val="auto"/>
                <w:sz w:val="24"/>
              </w:rPr>
            </w:pPr>
            <w:r>
              <w:rPr>
                <w:rFonts w:hint="eastAsia" w:ascii="仿宋_GB2312"/>
                <w:color w:val="auto"/>
                <w:sz w:val="24"/>
              </w:rPr>
              <w:t>责令停产停业。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spacing w:line="300" w:lineRule="exact"/>
              <w:rPr>
                <w:rFonts w:ascii="仿宋_GB2312"/>
                <w:color w:val="auto"/>
                <w:sz w:val="24"/>
              </w:rPr>
            </w:pPr>
            <w:r>
              <w:rPr>
                <w:rFonts w:hint="eastAsia" w:ascii="仿宋_GB2312"/>
                <w:color w:val="auto"/>
                <w:sz w:val="24"/>
              </w:rPr>
              <w:t>实施主体</w:t>
            </w:r>
          </w:p>
        </w:tc>
        <w:tc>
          <w:tcPr>
            <w:tcW w:w="7298" w:type="dxa"/>
            <w:gridSpan w:val="3"/>
          </w:tcPr>
          <w:p>
            <w:pPr>
              <w:spacing w:line="280" w:lineRule="exact"/>
              <w:rPr>
                <w:rFonts w:ascii="仿宋_GB2312"/>
                <w:color w:val="auto"/>
                <w:sz w:val="24"/>
              </w:rPr>
            </w:pPr>
            <w:r>
              <w:rPr>
                <w:rFonts w:hint="eastAsia" w:ascii="仿宋_GB2312"/>
                <w:color w:val="auto"/>
                <w:sz w:val="24"/>
              </w:rPr>
              <w:t>省级以上人民政府药品监督管理部门。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spacing w:line="300" w:lineRule="exact"/>
              <w:rPr>
                <w:rFonts w:ascii="仿宋_GB2312"/>
                <w:color w:val="auto"/>
                <w:sz w:val="24"/>
              </w:rPr>
            </w:pPr>
            <w:r>
              <w:rPr>
                <w:rFonts w:hint="eastAsia" w:ascii="仿宋_GB2312"/>
                <w:color w:val="auto"/>
                <w:sz w:val="24"/>
              </w:rPr>
              <w:t>裁量范围</w:t>
            </w:r>
          </w:p>
        </w:tc>
        <w:tc>
          <w:tcPr>
            <w:tcW w:w="7298" w:type="dxa"/>
            <w:gridSpan w:val="3"/>
          </w:tcPr>
          <w:p>
            <w:pPr>
              <w:spacing w:line="280" w:lineRule="exact"/>
              <w:rPr>
                <w:rFonts w:ascii="仿宋_GB2312"/>
                <w:color w:val="auto"/>
                <w:sz w:val="24"/>
              </w:rPr>
            </w:pPr>
            <w:r>
              <w:rPr>
                <w:rFonts w:hint="eastAsia" w:ascii="仿宋_GB2312"/>
                <w:color w:val="auto"/>
                <w:sz w:val="24"/>
              </w:rPr>
              <w:t>拒不改正的，处二十万元以上五十万元以下的罚款；</w:t>
            </w:r>
          </w:p>
          <w:p>
            <w:pPr>
              <w:spacing w:line="280" w:lineRule="exact"/>
              <w:rPr>
                <w:rFonts w:ascii="仿宋_GB2312"/>
                <w:color w:val="auto"/>
                <w:sz w:val="24"/>
              </w:rPr>
            </w:pPr>
            <w:r>
              <w:rPr>
                <w:rFonts w:hint="eastAsia" w:ascii="仿宋_GB2312"/>
                <w:color w:val="auto"/>
                <w:sz w:val="24"/>
              </w:rPr>
              <w:t>情节严重的，处五十万元以上二百万元以下的罚款。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vAlign w:val="center"/>
          </w:tcPr>
          <w:p>
            <w:pPr>
              <w:spacing w:line="300" w:lineRule="exact"/>
              <w:rPr>
                <w:rFonts w:ascii="仿宋_GB2312"/>
                <w:color w:val="auto"/>
                <w:sz w:val="24"/>
              </w:rPr>
            </w:pPr>
            <w:r>
              <w:rPr>
                <w:rFonts w:hint="eastAsia" w:ascii="仿宋_GB2312"/>
                <w:color w:val="auto"/>
                <w:sz w:val="24"/>
              </w:rPr>
              <w:t>裁量阶次</w:t>
            </w:r>
          </w:p>
        </w:tc>
        <w:tc>
          <w:tcPr>
            <w:tcW w:w="864" w:type="dxa"/>
            <w:vAlign w:val="center"/>
          </w:tcPr>
          <w:p>
            <w:pPr>
              <w:spacing w:line="280" w:lineRule="exact"/>
              <w:jc w:val="center"/>
              <w:rPr>
                <w:rFonts w:ascii="仿宋_GB2312"/>
                <w:color w:val="auto"/>
                <w:sz w:val="24"/>
              </w:rPr>
            </w:pPr>
            <w:r>
              <w:rPr>
                <w:rFonts w:hint="eastAsia" w:ascii="仿宋_GB2312"/>
                <w:color w:val="auto"/>
                <w:sz w:val="24"/>
              </w:rPr>
              <w:t>裁量</w:t>
            </w:r>
          </w:p>
        </w:tc>
        <w:tc>
          <w:tcPr>
            <w:tcW w:w="3165" w:type="dxa"/>
            <w:vAlign w:val="center"/>
          </w:tcPr>
          <w:p>
            <w:pPr>
              <w:spacing w:line="280" w:lineRule="exact"/>
              <w:jc w:val="center"/>
              <w:rPr>
                <w:rFonts w:ascii="仿宋_GB2312"/>
                <w:color w:val="auto"/>
                <w:sz w:val="24"/>
              </w:rPr>
            </w:pPr>
            <w:r>
              <w:rPr>
                <w:rFonts w:hint="eastAsia" w:ascii="仿宋_GB2312"/>
                <w:color w:val="auto"/>
                <w:sz w:val="24"/>
              </w:rPr>
              <w:t>裁量因素</w:t>
            </w:r>
          </w:p>
        </w:tc>
        <w:tc>
          <w:tcPr>
            <w:tcW w:w="3269" w:type="dxa"/>
            <w:vAlign w:val="center"/>
          </w:tcPr>
          <w:p>
            <w:pPr>
              <w:spacing w:line="28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24" w:type="dxa"/>
            <w:vMerge w:val="restart"/>
            <w:vAlign w:val="center"/>
          </w:tcPr>
          <w:p>
            <w:pPr>
              <w:spacing w:line="300" w:lineRule="exact"/>
              <w:rPr>
                <w:rFonts w:ascii="仿宋_GB2312"/>
                <w:color w:val="auto"/>
                <w:sz w:val="24"/>
              </w:rPr>
            </w:pPr>
          </w:p>
        </w:tc>
        <w:tc>
          <w:tcPr>
            <w:tcW w:w="864" w:type="dxa"/>
            <w:vAlign w:val="center"/>
          </w:tcPr>
          <w:p>
            <w:pPr>
              <w:spacing w:line="280" w:lineRule="exact"/>
              <w:rPr>
                <w:rFonts w:ascii="仿宋_GB2312"/>
                <w:color w:val="auto"/>
                <w:sz w:val="24"/>
              </w:rPr>
            </w:pPr>
            <w:r>
              <w:rPr>
                <w:rFonts w:hint="eastAsia" w:ascii="仿宋_GB2312"/>
                <w:color w:val="auto"/>
                <w:sz w:val="24"/>
              </w:rPr>
              <w:t>中限</w:t>
            </w:r>
          </w:p>
        </w:tc>
        <w:tc>
          <w:tcPr>
            <w:tcW w:w="3165" w:type="dxa"/>
          </w:tcPr>
          <w:p>
            <w:pPr>
              <w:spacing w:line="280" w:lineRule="exact"/>
              <w:rPr>
                <w:rFonts w:ascii="仿宋_GB2312"/>
                <w:color w:val="auto"/>
                <w:sz w:val="24"/>
              </w:rPr>
            </w:pPr>
            <w:r>
              <w:rPr>
                <w:rFonts w:hint="eastAsia" w:ascii="仿宋_GB2312"/>
                <w:color w:val="auto"/>
                <w:sz w:val="24"/>
              </w:rPr>
              <w:t>无本基准从重、从轻和减轻情节的</w:t>
            </w:r>
          </w:p>
        </w:tc>
        <w:tc>
          <w:tcPr>
            <w:tcW w:w="3269" w:type="dxa"/>
          </w:tcPr>
          <w:p>
            <w:pPr>
              <w:spacing w:line="280" w:lineRule="exact"/>
              <w:rPr>
                <w:rFonts w:ascii="仿宋_GB2312"/>
                <w:color w:val="auto"/>
                <w:sz w:val="24"/>
              </w:rPr>
            </w:pPr>
            <w:r>
              <w:rPr>
                <w:rFonts w:hint="eastAsia" w:ascii="仿宋_GB2312"/>
                <w:color w:val="auto"/>
                <w:sz w:val="24"/>
              </w:rPr>
              <w:t>35万元罚款</w:t>
            </w:r>
          </w:p>
          <w:p>
            <w:pPr>
              <w:spacing w:line="280" w:lineRule="exact"/>
              <w:rPr>
                <w:rFonts w:ascii="仿宋_GB2312"/>
                <w:color w:val="auto"/>
                <w:sz w:val="24"/>
              </w:rPr>
            </w:pPr>
            <w:r>
              <w:rPr>
                <w:rFonts w:hint="eastAsia" w:ascii="仿宋_GB2312"/>
                <w:color w:val="auto"/>
                <w:sz w:val="24"/>
              </w:rPr>
              <w:t>情节严重的：125万元罚款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24" w:type="dxa"/>
            <w:vMerge w:val="continue"/>
            <w:vAlign w:val="center"/>
          </w:tcPr>
          <w:p>
            <w:pPr>
              <w:spacing w:line="300" w:lineRule="exact"/>
              <w:rPr>
                <w:rFonts w:ascii="仿宋_GB2312"/>
                <w:color w:val="auto"/>
                <w:sz w:val="24"/>
              </w:rPr>
            </w:pPr>
          </w:p>
        </w:tc>
        <w:tc>
          <w:tcPr>
            <w:tcW w:w="864" w:type="dxa"/>
            <w:vAlign w:val="center"/>
          </w:tcPr>
          <w:p>
            <w:pPr>
              <w:spacing w:line="280" w:lineRule="exact"/>
              <w:rPr>
                <w:rFonts w:ascii="仿宋_GB2312"/>
                <w:color w:val="auto"/>
                <w:sz w:val="24"/>
              </w:rPr>
            </w:pPr>
            <w:r>
              <w:rPr>
                <w:rFonts w:hint="eastAsia" w:ascii="仿宋_GB2312"/>
                <w:color w:val="auto"/>
                <w:sz w:val="24"/>
              </w:rPr>
              <w:t>减轻</w:t>
            </w:r>
          </w:p>
        </w:tc>
        <w:tc>
          <w:tcPr>
            <w:tcW w:w="3165" w:type="dxa"/>
          </w:tcPr>
          <w:p>
            <w:pPr>
              <w:spacing w:line="28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69" w:type="dxa"/>
          </w:tcPr>
          <w:p>
            <w:pPr>
              <w:spacing w:line="280" w:lineRule="exact"/>
              <w:rPr>
                <w:rFonts w:ascii="仿宋_GB2312"/>
                <w:color w:val="auto"/>
                <w:sz w:val="24"/>
              </w:rPr>
            </w:pPr>
            <w:r>
              <w:rPr>
                <w:rFonts w:hint="eastAsia" w:ascii="仿宋_GB2312"/>
                <w:color w:val="auto"/>
                <w:sz w:val="24"/>
              </w:rPr>
              <w:t>2万元以上20万元以下罚款</w:t>
            </w:r>
          </w:p>
          <w:p>
            <w:pPr>
              <w:spacing w:line="280" w:lineRule="exact"/>
              <w:rPr>
                <w:rFonts w:ascii="仿宋_GB2312"/>
                <w:color w:val="auto"/>
                <w:sz w:val="24"/>
              </w:rPr>
            </w:pPr>
            <w:r>
              <w:rPr>
                <w:rFonts w:hint="eastAsia" w:ascii="仿宋_GB2312"/>
                <w:color w:val="auto"/>
                <w:sz w:val="24"/>
              </w:rPr>
              <w:t>情节严重的：5万元以上50万元以下罚款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224" w:type="dxa"/>
            <w:vMerge w:val="continue"/>
            <w:vAlign w:val="center"/>
          </w:tcPr>
          <w:p>
            <w:pPr>
              <w:spacing w:line="300" w:lineRule="exact"/>
              <w:rPr>
                <w:rFonts w:ascii="仿宋_GB2312"/>
                <w:color w:val="auto"/>
                <w:sz w:val="24"/>
              </w:rPr>
            </w:pPr>
          </w:p>
        </w:tc>
        <w:tc>
          <w:tcPr>
            <w:tcW w:w="864" w:type="dxa"/>
            <w:vMerge w:val="restart"/>
            <w:vAlign w:val="center"/>
          </w:tcPr>
          <w:p>
            <w:pPr>
              <w:spacing w:line="280" w:lineRule="exact"/>
              <w:rPr>
                <w:rFonts w:ascii="仿宋_GB2312"/>
                <w:color w:val="auto"/>
                <w:sz w:val="24"/>
              </w:rPr>
            </w:pPr>
            <w:r>
              <w:rPr>
                <w:rFonts w:hint="eastAsia" w:ascii="仿宋_GB2312"/>
                <w:color w:val="auto"/>
                <w:sz w:val="24"/>
              </w:rPr>
              <w:t>从轻</w:t>
            </w:r>
          </w:p>
        </w:tc>
        <w:tc>
          <w:tcPr>
            <w:tcW w:w="3165" w:type="dxa"/>
          </w:tcPr>
          <w:p>
            <w:pPr>
              <w:spacing w:line="28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69" w:type="dxa"/>
          </w:tcPr>
          <w:p>
            <w:pPr>
              <w:spacing w:line="280" w:lineRule="exact"/>
              <w:rPr>
                <w:rFonts w:ascii="仿宋_GB2312"/>
                <w:color w:val="auto"/>
                <w:sz w:val="24"/>
              </w:rPr>
            </w:pPr>
            <w:r>
              <w:rPr>
                <w:rFonts w:hint="eastAsia" w:ascii="仿宋_GB2312"/>
                <w:color w:val="auto"/>
                <w:sz w:val="24"/>
              </w:rPr>
              <w:t>20万元以上35万元以下罚款</w:t>
            </w:r>
          </w:p>
          <w:p>
            <w:pPr>
              <w:spacing w:line="280" w:lineRule="exact"/>
              <w:rPr>
                <w:rFonts w:ascii="仿宋_GB2312"/>
                <w:color w:val="auto"/>
                <w:sz w:val="24"/>
              </w:rPr>
            </w:pPr>
            <w:r>
              <w:rPr>
                <w:rFonts w:hint="eastAsia" w:ascii="仿宋_GB2312"/>
                <w:color w:val="auto"/>
                <w:sz w:val="24"/>
              </w:rPr>
              <w:t>情节严重的：50万元以上125万元以下罚款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24" w:type="dxa"/>
            <w:vMerge w:val="continue"/>
            <w:vAlign w:val="center"/>
          </w:tcPr>
          <w:p>
            <w:pPr>
              <w:spacing w:line="300" w:lineRule="exact"/>
              <w:rPr>
                <w:rFonts w:ascii="仿宋_GB2312"/>
                <w:color w:val="auto"/>
                <w:sz w:val="24"/>
              </w:rPr>
            </w:pPr>
          </w:p>
        </w:tc>
        <w:tc>
          <w:tcPr>
            <w:tcW w:w="864" w:type="dxa"/>
            <w:vMerge w:val="continue"/>
            <w:vAlign w:val="center"/>
          </w:tcPr>
          <w:p>
            <w:pPr>
              <w:spacing w:line="280" w:lineRule="exact"/>
              <w:rPr>
                <w:rFonts w:ascii="仿宋_GB2312"/>
                <w:color w:val="auto"/>
                <w:sz w:val="24"/>
              </w:rPr>
            </w:pPr>
          </w:p>
        </w:tc>
        <w:tc>
          <w:tcPr>
            <w:tcW w:w="3165" w:type="dxa"/>
          </w:tcPr>
          <w:p>
            <w:pPr>
              <w:spacing w:line="28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69" w:type="dxa"/>
          </w:tcPr>
          <w:p>
            <w:pPr>
              <w:spacing w:line="280" w:lineRule="exact"/>
              <w:rPr>
                <w:rFonts w:ascii="仿宋_GB2312"/>
                <w:color w:val="auto"/>
                <w:sz w:val="24"/>
              </w:rPr>
            </w:pPr>
            <w:r>
              <w:rPr>
                <w:rFonts w:hint="eastAsia" w:ascii="仿宋_GB2312"/>
                <w:color w:val="auto"/>
                <w:sz w:val="24"/>
              </w:rPr>
              <w:t>20万元罚款</w:t>
            </w:r>
          </w:p>
          <w:p>
            <w:pPr>
              <w:spacing w:line="280" w:lineRule="exact"/>
              <w:rPr>
                <w:rFonts w:ascii="仿宋_GB2312"/>
                <w:color w:val="auto"/>
                <w:sz w:val="24"/>
              </w:rPr>
            </w:pPr>
            <w:r>
              <w:rPr>
                <w:rFonts w:hint="eastAsia" w:ascii="仿宋_GB2312"/>
                <w:color w:val="auto"/>
                <w:sz w:val="24"/>
              </w:rPr>
              <w:t>情节严重的：50万元罚款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224" w:type="dxa"/>
            <w:vMerge w:val="continue"/>
            <w:vAlign w:val="center"/>
          </w:tcPr>
          <w:p>
            <w:pPr>
              <w:spacing w:line="300" w:lineRule="exact"/>
              <w:rPr>
                <w:rFonts w:ascii="仿宋_GB2312"/>
                <w:color w:val="auto"/>
                <w:sz w:val="24"/>
              </w:rPr>
            </w:pPr>
          </w:p>
        </w:tc>
        <w:tc>
          <w:tcPr>
            <w:tcW w:w="864" w:type="dxa"/>
            <w:vMerge w:val="restart"/>
            <w:vAlign w:val="center"/>
          </w:tcPr>
          <w:p>
            <w:pPr>
              <w:spacing w:line="280" w:lineRule="exact"/>
              <w:rPr>
                <w:rFonts w:ascii="仿宋_GB2312"/>
                <w:color w:val="auto"/>
                <w:sz w:val="24"/>
              </w:rPr>
            </w:pPr>
            <w:r>
              <w:rPr>
                <w:rFonts w:hint="eastAsia" w:ascii="仿宋_GB2312"/>
                <w:color w:val="auto"/>
                <w:sz w:val="24"/>
              </w:rPr>
              <w:t>从重</w:t>
            </w:r>
          </w:p>
        </w:tc>
        <w:tc>
          <w:tcPr>
            <w:tcW w:w="3165" w:type="dxa"/>
          </w:tcPr>
          <w:p>
            <w:pPr>
              <w:spacing w:line="28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280" w:lineRule="exact"/>
              <w:rPr>
                <w:rFonts w:ascii="仿宋_GB2312"/>
                <w:color w:val="auto"/>
                <w:sz w:val="24"/>
              </w:rPr>
            </w:pPr>
          </w:p>
        </w:tc>
        <w:tc>
          <w:tcPr>
            <w:tcW w:w="3269" w:type="dxa"/>
          </w:tcPr>
          <w:p>
            <w:pPr>
              <w:spacing w:line="280" w:lineRule="exact"/>
              <w:rPr>
                <w:rFonts w:ascii="仿宋_GB2312"/>
                <w:color w:val="auto"/>
                <w:sz w:val="24"/>
              </w:rPr>
            </w:pPr>
            <w:r>
              <w:rPr>
                <w:rFonts w:hint="eastAsia" w:ascii="仿宋_GB2312"/>
                <w:color w:val="auto"/>
                <w:sz w:val="24"/>
              </w:rPr>
              <w:t>35万元以上50万元以下罚款</w:t>
            </w:r>
          </w:p>
          <w:p>
            <w:pPr>
              <w:spacing w:line="280" w:lineRule="exact"/>
              <w:rPr>
                <w:rFonts w:ascii="仿宋_GB2312"/>
                <w:color w:val="auto"/>
                <w:sz w:val="24"/>
              </w:rPr>
            </w:pPr>
            <w:r>
              <w:rPr>
                <w:rFonts w:hint="eastAsia" w:ascii="仿宋_GB2312"/>
                <w:color w:val="auto"/>
                <w:sz w:val="24"/>
              </w:rPr>
              <w:t>情节严重的：125万元以上200万元以下罚款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1224" w:type="dxa"/>
            <w:vMerge w:val="continue"/>
            <w:vAlign w:val="center"/>
          </w:tcPr>
          <w:p>
            <w:pPr>
              <w:spacing w:line="300" w:lineRule="exact"/>
              <w:rPr>
                <w:rFonts w:ascii="仿宋_GB2312"/>
                <w:color w:val="auto"/>
                <w:sz w:val="24"/>
              </w:rPr>
            </w:pPr>
          </w:p>
        </w:tc>
        <w:tc>
          <w:tcPr>
            <w:tcW w:w="864" w:type="dxa"/>
            <w:vMerge w:val="continue"/>
            <w:vAlign w:val="center"/>
          </w:tcPr>
          <w:p>
            <w:pPr>
              <w:spacing w:line="280" w:lineRule="exact"/>
              <w:rPr>
                <w:rFonts w:ascii="仿宋_GB2312"/>
                <w:color w:val="auto"/>
                <w:sz w:val="24"/>
              </w:rPr>
            </w:pPr>
          </w:p>
        </w:tc>
        <w:tc>
          <w:tcPr>
            <w:tcW w:w="3165" w:type="dxa"/>
          </w:tcPr>
          <w:p>
            <w:pPr>
              <w:spacing w:line="28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69" w:type="dxa"/>
          </w:tcPr>
          <w:p>
            <w:pPr>
              <w:spacing w:line="280" w:lineRule="exact"/>
              <w:rPr>
                <w:rFonts w:ascii="仿宋_GB2312"/>
                <w:color w:val="auto"/>
                <w:sz w:val="24"/>
              </w:rPr>
            </w:pPr>
            <w:r>
              <w:rPr>
                <w:rFonts w:hint="eastAsia" w:ascii="仿宋_GB2312"/>
                <w:color w:val="auto"/>
                <w:sz w:val="24"/>
              </w:rPr>
              <w:t>50万元罚款</w:t>
            </w:r>
          </w:p>
          <w:p>
            <w:pPr>
              <w:spacing w:line="280" w:lineRule="exact"/>
              <w:rPr>
                <w:rFonts w:ascii="仿宋_GB2312"/>
                <w:color w:val="auto"/>
                <w:sz w:val="24"/>
              </w:rPr>
            </w:pPr>
            <w:r>
              <w:rPr>
                <w:rFonts w:hint="eastAsia" w:ascii="仿宋_GB2312"/>
                <w:color w:val="auto"/>
                <w:sz w:val="24"/>
              </w:rPr>
              <w:t>情节严重的：200万元罚款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4" w:type="dxa"/>
            <w:vAlign w:val="center"/>
          </w:tcPr>
          <w:p>
            <w:pPr>
              <w:spacing w:line="300" w:lineRule="exact"/>
              <w:rPr>
                <w:rFonts w:ascii="仿宋_GB2312"/>
                <w:color w:val="auto"/>
                <w:sz w:val="24"/>
              </w:rPr>
            </w:pPr>
            <w:r>
              <w:rPr>
                <w:rFonts w:hint="eastAsia" w:ascii="仿宋_GB2312"/>
                <w:color w:val="auto"/>
                <w:sz w:val="24"/>
              </w:rPr>
              <w:t>说明</w:t>
            </w:r>
          </w:p>
        </w:tc>
        <w:tc>
          <w:tcPr>
            <w:tcW w:w="7298" w:type="dxa"/>
            <w:gridSpan w:val="3"/>
          </w:tcPr>
          <w:p>
            <w:pPr>
              <w:spacing w:line="280" w:lineRule="exact"/>
              <w:rPr>
                <w:rFonts w:ascii="仿宋_GB2312"/>
                <w:color w:val="auto"/>
                <w:sz w:val="24"/>
              </w:rPr>
            </w:pPr>
          </w:p>
        </w:tc>
      </w:tr>
    </w:tbl>
    <w:p>
      <w:pPr>
        <w:spacing w:line="340" w:lineRule="exact"/>
        <w:rPr>
          <w:rFonts w:ascii="仿宋_GB2312"/>
          <w:color w:val="auto"/>
          <w:sz w:val="24"/>
        </w:rPr>
      </w:pPr>
      <w:r>
        <w:rPr>
          <w:rFonts w:ascii="仿宋_GB2312"/>
          <w:color w:val="auto"/>
          <w:sz w:val="24"/>
        </w:rPr>
        <w:br w:type="page"/>
      </w:r>
    </w:p>
    <w:tbl>
      <w:tblPr>
        <w:tblStyle w:val="10"/>
        <w:tblpPr w:leftFromText="180" w:rightFromText="180" w:vertAnchor="text" w:horzAnchor="page" w:tblpX="1803" w:tblpY="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7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pPr>
              <w:spacing w:line="320" w:lineRule="exact"/>
              <w:rPr>
                <w:rFonts w:ascii="仿宋_GB2312"/>
                <w:color w:val="auto"/>
                <w:sz w:val="24"/>
              </w:rPr>
            </w:pPr>
            <w:r>
              <w:rPr>
                <w:rFonts w:hint="eastAsia" w:ascii="仿宋_GB2312"/>
                <w:color w:val="auto"/>
                <w:sz w:val="24"/>
              </w:rPr>
              <w:t>编码</w:t>
            </w:r>
          </w:p>
        </w:tc>
        <w:tc>
          <w:tcPr>
            <w:tcW w:w="7300" w:type="dxa"/>
          </w:tcPr>
          <w:p>
            <w:pPr>
              <w:spacing w:line="320" w:lineRule="exact"/>
              <w:rPr>
                <w:rFonts w:ascii="仿宋_GB2312"/>
                <w:color w:val="auto"/>
                <w:sz w:val="24"/>
              </w:rPr>
            </w:pPr>
            <w:r>
              <w:rPr>
                <w:rFonts w:hint="eastAsia" w:ascii="仿宋_GB2312"/>
                <w:color w:val="auto"/>
                <w:sz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pPr>
              <w:spacing w:line="320" w:lineRule="exact"/>
              <w:rPr>
                <w:rFonts w:ascii="仿宋_GB2312"/>
                <w:color w:val="auto"/>
                <w:sz w:val="24"/>
              </w:rPr>
            </w:pPr>
            <w:r>
              <w:rPr>
                <w:rFonts w:hint="eastAsia" w:ascii="仿宋_GB2312"/>
                <w:color w:val="auto"/>
                <w:sz w:val="24"/>
              </w:rPr>
              <w:t>违法行为</w:t>
            </w:r>
          </w:p>
        </w:tc>
        <w:tc>
          <w:tcPr>
            <w:tcW w:w="7300" w:type="dxa"/>
          </w:tcPr>
          <w:p>
            <w:pPr>
              <w:spacing w:line="320" w:lineRule="exact"/>
              <w:rPr>
                <w:rFonts w:ascii="仿宋_GB2312"/>
                <w:color w:val="auto"/>
                <w:sz w:val="24"/>
              </w:rPr>
            </w:pPr>
            <w:r>
              <w:rPr>
                <w:rFonts w:hint="eastAsia" w:ascii="仿宋_GB2312"/>
                <w:color w:val="auto"/>
                <w:sz w:val="24"/>
              </w:rPr>
              <w:t>疾病预防控制机构、接种单位、疫苗上市许可持有人、疫苗配送单位违反疫苗储存、运输管理规范有关冷链储存、运输要求。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pPr>
              <w:spacing w:line="320" w:lineRule="exact"/>
              <w:rPr>
                <w:rFonts w:ascii="仿宋_GB2312"/>
                <w:color w:val="auto"/>
                <w:sz w:val="24"/>
              </w:rPr>
            </w:pPr>
            <w:r>
              <w:rPr>
                <w:rFonts w:hint="eastAsia" w:ascii="仿宋_GB2312"/>
                <w:color w:val="auto"/>
                <w:sz w:val="24"/>
              </w:rPr>
              <w:t>处罚依据</w:t>
            </w:r>
          </w:p>
        </w:tc>
        <w:tc>
          <w:tcPr>
            <w:tcW w:w="7300" w:type="dxa"/>
          </w:tcPr>
          <w:p>
            <w:pPr>
              <w:numPr>
                <w:ilvl w:val="0"/>
                <w:numId w:val="1858"/>
              </w:numPr>
              <w:spacing w:line="320" w:lineRule="exact"/>
              <w:rPr>
                <w:rFonts w:ascii="仿宋_GB2312"/>
                <w:color w:val="auto"/>
                <w:sz w:val="24"/>
              </w:rPr>
            </w:pPr>
            <w:r>
              <w:rPr>
                <w:rFonts w:hint="eastAsia" w:ascii="仿宋_GB2312"/>
                <w:color w:val="auto"/>
                <w:sz w:val="24"/>
              </w:rPr>
              <w:t>《中华人民共和国疫苗管理法》</w:t>
            </w:r>
            <w:r>
              <w:rPr>
                <w:rFonts w:hint="eastAsia" w:ascii="仿宋_GB2312"/>
                <w:color w:val="auto"/>
                <w:sz w:val="24"/>
              </w:rPr>
              <w:t>第八十五条第一款：疾病预防控制机构、接种单位、疫苗上市许可持有人、疫苗配送单位违反疫苗储存、运输管理规范有关冷链储存、运输要求的，由县级以上人民政府药品监督管理部门责令改正，给予警告，对违法储存、运输的疫苗予以销毁，没收违法所得；拒不改正的，对接种单位、疫苗上市许可持有人、疫苗配送单位处二十万元以上一百万元以下的罚款；情节严重的，对接种单位、疫苗上市许可持有人、疫苗配送单位处违法储存、运输疫苗货值金额十倍以上三十倍以下的罚款，货值金额不足十万元的，按十万元计算，责令疫苗上市许可持有人、疫苗配送单位停产停业整顿，直至吊销药品相关批准证明文件、药品生产许可证等，对疫苗上市许可持有人、疫苗配送单位的法定代表人、主要负责人、直接负责的主管人员和关键岗位人员以及其他责任人员依照本法第八十二条规定给予处罚。</w:t>
            </w:r>
          </w:p>
          <w:p>
            <w:pPr>
              <w:spacing w:line="320" w:lineRule="exact"/>
              <w:rPr>
                <w:rFonts w:ascii="仿宋_GB2312"/>
                <w:color w:val="auto"/>
                <w:sz w:val="24"/>
              </w:rPr>
            </w:pPr>
            <w:r>
              <w:rPr>
                <w:rFonts w:hint="eastAsia" w:ascii="仿宋_GB2312"/>
                <w:color w:val="auto"/>
                <w:sz w:val="24"/>
              </w:rPr>
              <w:t>2.</w:t>
            </w:r>
            <w:r>
              <w:rPr>
                <w:rFonts w:hint="eastAsia" w:ascii="仿宋_GB2312"/>
                <w:color w:val="auto"/>
                <w:sz w:val="24"/>
              </w:rPr>
              <w:t>《中华人民共和国疫苗管理法》</w:t>
            </w:r>
            <w:r>
              <w:rPr>
                <w:rFonts w:hint="eastAsia" w:ascii="仿宋_GB2312"/>
                <w:color w:val="auto"/>
                <w:sz w:val="24"/>
              </w:rPr>
              <w:t>第八十二条：除本法另有规定的情形外，疫苗上市许可持有人或者其他单位违反药品相关质量管理规范的，由县级以上人民政府药品监督管理部门责令改正，给予警告；拒不改正的，处二十万元以上五十万元以下的罚款；情节严重的，处五十万元以上三百万元以下的罚款，责令停产停业整顿，直至吊销药品相关批准证明文件、药品生产许可证等，对法定代表人、主要负责人、直接负责的主管人员和关键岗位人员以及其他责任人员，没收违法行为发生期间自本单位所获收入，并处所获收入百分之五十以上五倍以下的罚款，十年内直至终身禁止从事药品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pPr>
              <w:spacing w:line="320" w:lineRule="exact"/>
              <w:rPr>
                <w:rFonts w:ascii="仿宋_GB2312"/>
                <w:color w:val="auto"/>
                <w:sz w:val="24"/>
              </w:rPr>
            </w:pPr>
            <w:r>
              <w:rPr>
                <w:rFonts w:hint="eastAsia" w:ascii="仿宋_GB2312"/>
                <w:color w:val="auto"/>
                <w:sz w:val="24"/>
              </w:rPr>
              <w:t>处罚种类</w:t>
            </w:r>
          </w:p>
        </w:tc>
        <w:tc>
          <w:tcPr>
            <w:tcW w:w="7300" w:type="dxa"/>
          </w:tcPr>
          <w:p>
            <w:pPr>
              <w:spacing w:line="320" w:lineRule="exact"/>
              <w:rPr>
                <w:rFonts w:ascii="仿宋_GB2312"/>
                <w:color w:val="auto"/>
                <w:sz w:val="24"/>
              </w:rPr>
            </w:pPr>
            <w:r>
              <w:rPr>
                <w:rFonts w:hint="eastAsia" w:ascii="仿宋_GB2312"/>
                <w:color w:val="auto"/>
                <w:sz w:val="24"/>
              </w:rPr>
              <w:t>警告；</w:t>
            </w:r>
          </w:p>
          <w:p>
            <w:pPr>
              <w:spacing w:line="320" w:lineRule="exact"/>
              <w:rPr>
                <w:rFonts w:ascii="仿宋_GB2312"/>
                <w:color w:val="auto"/>
                <w:sz w:val="24"/>
              </w:rPr>
            </w:pPr>
            <w:r>
              <w:rPr>
                <w:rFonts w:hint="eastAsia" w:ascii="仿宋_GB2312"/>
                <w:color w:val="auto"/>
                <w:sz w:val="24"/>
              </w:rPr>
              <w:t>没收违法所得；</w:t>
            </w:r>
          </w:p>
          <w:p>
            <w:pPr>
              <w:spacing w:line="320" w:lineRule="exact"/>
              <w:rPr>
                <w:rFonts w:ascii="仿宋_GB2312"/>
                <w:color w:val="auto"/>
                <w:sz w:val="24"/>
              </w:rPr>
            </w:pPr>
            <w:r>
              <w:rPr>
                <w:rFonts w:hint="eastAsia" w:ascii="仿宋_GB2312"/>
                <w:color w:val="auto"/>
                <w:sz w:val="24"/>
              </w:rPr>
              <w:t>罚款；</w:t>
            </w:r>
          </w:p>
          <w:p>
            <w:pPr>
              <w:spacing w:line="320" w:lineRule="exact"/>
              <w:rPr>
                <w:rFonts w:ascii="仿宋_GB2312"/>
                <w:color w:val="auto"/>
                <w:sz w:val="24"/>
              </w:rPr>
            </w:pPr>
            <w:r>
              <w:rPr>
                <w:rFonts w:hint="eastAsia" w:ascii="仿宋_GB2312"/>
                <w:color w:val="auto"/>
                <w:sz w:val="24"/>
              </w:rPr>
              <w:t>责令停产停业；</w:t>
            </w:r>
          </w:p>
          <w:p>
            <w:pPr>
              <w:spacing w:line="320" w:lineRule="exact"/>
              <w:rPr>
                <w:rFonts w:ascii="仿宋_GB2312"/>
                <w:color w:val="auto"/>
                <w:sz w:val="24"/>
              </w:rPr>
            </w:pPr>
            <w:r>
              <w:rPr>
                <w:rFonts w:hint="eastAsia" w:ascii="仿宋_GB2312"/>
                <w:color w:val="auto"/>
                <w:sz w:val="24"/>
              </w:rPr>
              <w:t>吊销批准证明文件、许可证；</w:t>
            </w:r>
          </w:p>
          <w:p>
            <w:pPr>
              <w:spacing w:line="320" w:lineRule="exact"/>
              <w:rPr>
                <w:rFonts w:ascii="仿宋_GB2312"/>
                <w:color w:val="auto"/>
                <w:sz w:val="24"/>
              </w:rPr>
            </w:pPr>
            <w:r>
              <w:rPr>
                <w:rFonts w:hint="eastAsia" w:ascii="仿宋_GB2312"/>
                <w:color w:val="auto"/>
                <w:sz w:val="24"/>
              </w:rPr>
              <w:t>没收违法期间所获收入；</w:t>
            </w:r>
          </w:p>
          <w:p>
            <w:pPr>
              <w:spacing w:line="320" w:lineRule="exact"/>
              <w:rPr>
                <w:rFonts w:ascii="仿宋_GB2312"/>
                <w:color w:val="auto"/>
                <w:sz w:val="24"/>
              </w:rPr>
            </w:pPr>
            <w:r>
              <w:rPr>
                <w:rFonts w:hint="eastAsia" w:ascii="仿宋_GB2312"/>
                <w:color w:val="auto"/>
                <w:sz w:val="24"/>
              </w:rPr>
              <w:t>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pPr>
              <w:spacing w:line="320" w:lineRule="exact"/>
              <w:rPr>
                <w:rFonts w:ascii="仿宋_GB2312"/>
                <w:color w:val="auto"/>
                <w:sz w:val="24"/>
              </w:rPr>
            </w:pPr>
            <w:r>
              <w:rPr>
                <w:rFonts w:hint="eastAsia" w:ascii="仿宋_GB2312"/>
                <w:color w:val="auto"/>
                <w:sz w:val="24"/>
              </w:rPr>
              <w:t>实施主体</w:t>
            </w:r>
          </w:p>
        </w:tc>
        <w:tc>
          <w:tcPr>
            <w:tcW w:w="7300" w:type="dxa"/>
          </w:tcPr>
          <w:p>
            <w:pPr>
              <w:numPr>
                <w:ilvl w:val="0"/>
                <w:numId w:val="1859"/>
              </w:numPr>
              <w:spacing w:line="320" w:lineRule="exact"/>
              <w:rPr>
                <w:rFonts w:ascii="仿宋_GB2312"/>
                <w:color w:val="auto"/>
                <w:sz w:val="24"/>
              </w:rPr>
            </w:pPr>
            <w:r>
              <w:rPr>
                <w:rFonts w:hint="eastAsia" w:ascii="仿宋_GB2312"/>
                <w:color w:val="auto"/>
                <w:sz w:val="24"/>
              </w:rPr>
              <w:t>县级以上人民政府药品监督管理部门；</w:t>
            </w:r>
          </w:p>
          <w:p>
            <w:pPr>
              <w:spacing w:line="320" w:lineRule="exact"/>
              <w:rPr>
                <w:rFonts w:ascii="仿宋_GB2312"/>
                <w:color w:val="auto"/>
                <w:sz w:val="24"/>
              </w:rPr>
            </w:pPr>
            <w:r>
              <w:rPr>
                <w:rFonts w:hint="eastAsia" w:ascii="仿宋_GB2312"/>
                <w:color w:val="auto"/>
                <w:sz w:val="24"/>
              </w:rPr>
              <w:t>2.吊销药品批准证明文件、药品生产许可证，原批准、发证部门。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22" w:type="dxa"/>
            <w:vAlign w:val="center"/>
          </w:tcPr>
          <w:p>
            <w:pPr>
              <w:spacing w:line="320" w:lineRule="exact"/>
              <w:rPr>
                <w:rFonts w:ascii="仿宋_GB2312"/>
                <w:color w:val="auto"/>
                <w:sz w:val="24"/>
              </w:rPr>
            </w:pPr>
            <w:r>
              <w:rPr>
                <w:rFonts w:hint="eastAsia" w:ascii="仿宋_GB2312"/>
                <w:color w:val="auto"/>
                <w:sz w:val="24"/>
              </w:rPr>
              <w:t>裁量范围</w:t>
            </w:r>
          </w:p>
        </w:tc>
        <w:tc>
          <w:tcPr>
            <w:tcW w:w="7300" w:type="dxa"/>
          </w:tcPr>
          <w:p>
            <w:pPr>
              <w:spacing w:line="320" w:lineRule="exact"/>
              <w:rPr>
                <w:rFonts w:ascii="仿宋_GB2312"/>
                <w:color w:val="auto"/>
                <w:sz w:val="24"/>
              </w:rPr>
            </w:pPr>
            <w:r>
              <w:rPr>
                <w:rFonts w:hint="eastAsia" w:ascii="仿宋_GB2312"/>
                <w:color w:val="auto"/>
                <w:sz w:val="24"/>
              </w:rPr>
              <w:t>拒不改正的，处二十万元以上一百万元以下的罚款；</w:t>
            </w:r>
          </w:p>
          <w:p>
            <w:pPr>
              <w:spacing w:line="320" w:lineRule="exact"/>
              <w:rPr>
                <w:rFonts w:ascii="仿宋_GB2312"/>
                <w:color w:val="auto"/>
                <w:sz w:val="24"/>
              </w:rPr>
            </w:pPr>
            <w:r>
              <w:rPr>
                <w:rFonts w:hint="eastAsia" w:ascii="仿宋_GB2312"/>
                <w:color w:val="auto"/>
                <w:sz w:val="24"/>
              </w:rPr>
              <w:t>情节严重的，货值金额十倍以上三十倍以下的罚款，货值金额不足十万元的，按十万元计算；</w:t>
            </w:r>
          </w:p>
          <w:p>
            <w:pPr>
              <w:spacing w:line="320" w:lineRule="exact"/>
              <w:rPr>
                <w:rFonts w:ascii="仿宋_GB2312"/>
                <w:color w:val="auto"/>
                <w:sz w:val="24"/>
              </w:rPr>
            </w:pPr>
            <w:r>
              <w:rPr>
                <w:rFonts w:hint="eastAsia" w:ascii="仿宋_GB2312"/>
                <w:color w:val="auto"/>
                <w:sz w:val="24"/>
              </w:rPr>
              <w:t>个人：违法行为发生期间，自本单位所获收入百分之五十以上五倍以下的罚款；十年内直至终身禁止从事药品生产经营活动。</w:t>
            </w:r>
          </w:p>
        </w:tc>
      </w:tr>
    </w:tbl>
    <w:p>
      <w:pPr>
        <w:rPr>
          <w:rFonts w:eastAsia="宋体"/>
          <w:color w:val="auto"/>
          <w:sz w:val="21"/>
        </w:rPr>
      </w:pPr>
      <w:r>
        <w:rPr>
          <w:rFonts w:eastAsia="宋体"/>
          <w:color w:val="auto"/>
          <w:sz w:val="21"/>
        </w:rPr>
        <w:br w:type="page"/>
      </w:r>
    </w:p>
    <w:tbl>
      <w:tblPr>
        <w:tblStyle w:val="10"/>
        <w:tblpPr w:leftFromText="180" w:rightFromText="180" w:vertAnchor="text" w:horzAnchor="page" w:tblpX="1803" w:tblpY="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866"/>
        <w:gridCol w:w="2840"/>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pPr>
              <w:spacing w:line="340" w:lineRule="exact"/>
              <w:rPr>
                <w:rFonts w:ascii="仿宋_GB2312"/>
                <w:color w:val="auto"/>
                <w:sz w:val="24"/>
              </w:rPr>
            </w:pPr>
            <w:r>
              <w:rPr>
                <w:rFonts w:hint="eastAsia" w:ascii="仿宋_GB2312"/>
                <w:color w:val="auto"/>
                <w:sz w:val="24"/>
              </w:rPr>
              <w:t>裁量阶次</w:t>
            </w:r>
          </w:p>
        </w:tc>
        <w:tc>
          <w:tcPr>
            <w:tcW w:w="866" w:type="dxa"/>
            <w:vAlign w:val="center"/>
          </w:tcPr>
          <w:p>
            <w:pPr>
              <w:spacing w:line="340" w:lineRule="exact"/>
              <w:jc w:val="center"/>
              <w:rPr>
                <w:rFonts w:ascii="仿宋_GB2312"/>
                <w:color w:val="auto"/>
                <w:sz w:val="24"/>
              </w:rPr>
            </w:pPr>
            <w:r>
              <w:rPr>
                <w:rFonts w:hint="eastAsia" w:ascii="仿宋_GB2312"/>
                <w:color w:val="auto"/>
                <w:sz w:val="24"/>
              </w:rPr>
              <w:t>裁量</w:t>
            </w:r>
          </w:p>
        </w:tc>
        <w:tc>
          <w:tcPr>
            <w:tcW w:w="2840" w:type="dxa"/>
            <w:vAlign w:val="center"/>
          </w:tcPr>
          <w:p>
            <w:pPr>
              <w:spacing w:line="340" w:lineRule="exact"/>
              <w:jc w:val="center"/>
              <w:rPr>
                <w:rFonts w:ascii="仿宋_GB2312"/>
                <w:color w:val="auto"/>
                <w:sz w:val="24"/>
              </w:rPr>
            </w:pPr>
            <w:r>
              <w:rPr>
                <w:rFonts w:hint="eastAsia" w:ascii="仿宋_GB2312"/>
                <w:color w:val="auto"/>
                <w:sz w:val="24"/>
              </w:rPr>
              <w:t>裁量因素</w:t>
            </w:r>
          </w:p>
        </w:tc>
        <w:tc>
          <w:tcPr>
            <w:tcW w:w="3594" w:type="dxa"/>
            <w:vAlign w:val="center"/>
          </w:tcPr>
          <w:p>
            <w:pPr>
              <w:spacing w:line="34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22" w:type="dxa"/>
            <w:vMerge w:val="restart"/>
            <w:vAlign w:val="center"/>
          </w:tcPr>
          <w:p>
            <w:pPr>
              <w:spacing w:line="340" w:lineRule="exact"/>
              <w:rPr>
                <w:rFonts w:ascii="仿宋_GB2312"/>
                <w:color w:val="auto"/>
                <w:sz w:val="24"/>
              </w:rPr>
            </w:pPr>
          </w:p>
        </w:tc>
        <w:tc>
          <w:tcPr>
            <w:tcW w:w="866" w:type="dxa"/>
            <w:vAlign w:val="center"/>
          </w:tcPr>
          <w:p>
            <w:pPr>
              <w:spacing w:line="340" w:lineRule="exact"/>
              <w:rPr>
                <w:rFonts w:ascii="仿宋_GB2312"/>
                <w:color w:val="auto"/>
                <w:sz w:val="24"/>
              </w:rPr>
            </w:pPr>
            <w:r>
              <w:rPr>
                <w:rFonts w:hint="eastAsia" w:ascii="仿宋_GB2312"/>
                <w:color w:val="auto"/>
                <w:sz w:val="24"/>
              </w:rPr>
              <w:t>中限</w:t>
            </w:r>
          </w:p>
        </w:tc>
        <w:tc>
          <w:tcPr>
            <w:tcW w:w="2840" w:type="dxa"/>
          </w:tcPr>
          <w:p>
            <w:pPr>
              <w:spacing w:line="340" w:lineRule="exact"/>
              <w:rPr>
                <w:rFonts w:ascii="仿宋_GB2312"/>
                <w:color w:val="auto"/>
                <w:sz w:val="24"/>
              </w:rPr>
            </w:pPr>
            <w:r>
              <w:rPr>
                <w:rFonts w:hint="eastAsia" w:ascii="仿宋_GB2312"/>
                <w:color w:val="auto"/>
                <w:sz w:val="24"/>
              </w:rPr>
              <w:t>无本基准从重、从轻和减轻情节的</w:t>
            </w:r>
          </w:p>
        </w:tc>
        <w:tc>
          <w:tcPr>
            <w:tcW w:w="3594" w:type="dxa"/>
          </w:tcPr>
          <w:p>
            <w:pPr>
              <w:spacing w:line="340" w:lineRule="exact"/>
              <w:rPr>
                <w:rFonts w:ascii="仿宋_GB2312"/>
                <w:color w:val="auto"/>
                <w:sz w:val="24"/>
              </w:rPr>
            </w:pPr>
            <w:r>
              <w:rPr>
                <w:rFonts w:hint="eastAsia" w:ascii="仿宋_GB2312"/>
                <w:color w:val="auto"/>
                <w:sz w:val="24"/>
              </w:rPr>
              <w:t>60万元罚款</w:t>
            </w:r>
          </w:p>
          <w:p>
            <w:pPr>
              <w:spacing w:line="340" w:lineRule="exact"/>
              <w:rPr>
                <w:rFonts w:ascii="仿宋_GB2312"/>
                <w:color w:val="auto"/>
                <w:sz w:val="24"/>
              </w:rPr>
            </w:pPr>
            <w:r>
              <w:rPr>
                <w:rFonts w:hint="eastAsia" w:ascii="仿宋_GB2312"/>
                <w:color w:val="auto"/>
                <w:sz w:val="24"/>
              </w:rPr>
              <w:t>情节严重的：货值金额20倍罚款</w:t>
            </w:r>
          </w:p>
          <w:p>
            <w:pPr>
              <w:spacing w:line="340" w:lineRule="exact"/>
              <w:rPr>
                <w:rFonts w:ascii="仿宋_GB2312"/>
                <w:color w:val="auto"/>
                <w:sz w:val="24"/>
              </w:rPr>
            </w:pPr>
            <w:r>
              <w:rPr>
                <w:rFonts w:hint="eastAsia" w:ascii="仿宋_GB2312"/>
                <w:color w:val="auto"/>
                <w:sz w:val="24"/>
              </w:rPr>
              <w:t>个人：所获收入2.5倍罚款；20年内禁止从业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22" w:type="dxa"/>
            <w:vMerge w:val="continue"/>
            <w:vAlign w:val="center"/>
          </w:tcPr>
          <w:p>
            <w:pPr>
              <w:spacing w:line="340" w:lineRule="exact"/>
              <w:rPr>
                <w:rFonts w:ascii="仿宋_GB2312"/>
                <w:color w:val="auto"/>
                <w:sz w:val="24"/>
              </w:rPr>
            </w:pPr>
          </w:p>
        </w:tc>
        <w:tc>
          <w:tcPr>
            <w:tcW w:w="866" w:type="dxa"/>
            <w:vAlign w:val="center"/>
          </w:tcPr>
          <w:p>
            <w:pPr>
              <w:spacing w:line="340" w:lineRule="exact"/>
              <w:rPr>
                <w:rFonts w:ascii="仿宋_GB2312"/>
                <w:color w:val="auto"/>
                <w:sz w:val="24"/>
              </w:rPr>
            </w:pPr>
            <w:r>
              <w:rPr>
                <w:rFonts w:hint="eastAsia" w:ascii="仿宋_GB2312"/>
                <w:color w:val="auto"/>
                <w:sz w:val="24"/>
              </w:rPr>
              <w:t>减轻</w:t>
            </w:r>
          </w:p>
        </w:tc>
        <w:tc>
          <w:tcPr>
            <w:tcW w:w="2840" w:type="dxa"/>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594" w:type="dxa"/>
          </w:tcPr>
          <w:p>
            <w:pPr>
              <w:spacing w:line="340" w:lineRule="exact"/>
              <w:rPr>
                <w:rFonts w:ascii="仿宋_GB2312"/>
                <w:color w:val="auto"/>
                <w:sz w:val="24"/>
              </w:rPr>
            </w:pPr>
            <w:r>
              <w:rPr>
                <w:rFonts w:hint="eastAsia" w:ascii="仿宋_GB2312"/>
                <w:color w:val="auto"/>
                <w:sz w:val="24"/>
              </w:rPr>
              <w:t>2万元以上20万元以下罚款</w:t>
            </w:r>
          </w:p>
          <w:p>
            <w:pPr>
              <w:spacing w:line="340" w:lineRule="exact"/>
              <w:rPr>
                <w:rFonts w:ascii="仿宋_GB2312"/>
                <w:color w:val="auto"/>
                <w:sz w:val="24"/>
              </w:rPr>
            </w:pPr>
            <w:r>
              <w:rPr>
                <w:rFonts w:hint="eastAsia" w:ascii="仿宋_GB2312"/>
                <w:color w:val="auto"/>
                <w:sz w:val="24"/>
              </w:rPr>
              <w:t>情节严重的：货值金额1倍以上10倍以下罚款</w:t>
            </w:r>
          </w:p>
          <w:p>
            <w:pPr>
              <w:spacing w:line="340" w:lineRule="exact"/>
              <w:rPr>
                <w:rFonts w:ascii="仿宋_GB2312"/>
                <w:color w:val="auto"/>
                <w:sz w:val="24"/>
              </w:rPr>
            </w:pPr>
            <w:r>
              <w:rPr>
                <w:rFonts w:hint="eastAsia" w:ascii="仿宋_GB2312"/>
                <w:color w:val="auto"/>
                <w:sz w:val="24"/>
              </w:rPr>
              <w:t>个人：所获收入5%以上50%以下罚款；5年以上10年以下禁止从业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1222" w:type="dxa"/>
            <w:vMerge w:val="continue"/>
            <w:vAlign w:val="center"/>
          </w:tcPr>
          <w:p>
            <w:pPr>
              <w:spacing w:line="340" w:lineRule="exact"/>
              <w:rPr>
                <w:rFonts w:ascii="仿宋_GB2312"/>
                <w:color w:val="auto"/>
                <w:sz w:val="24"/>
              </w:rPr>
            </w:pPr>
          </w:p>
        </w:tc>
        <w:tc>
          <w:tcPr>
            <w:tcW w:w="866" w:type="dxa"/>
            <w:vMerge w:val="restart"/>
            <w:vAlign w:val="center"/>
          </w:tcPr>
          <w:p>
            <w:pPr>
              <w:spacing w:line="340" w:lineRule="exact"/>
              <w:rPr>
                <w:rFonts w:ascii="仿宋_GB2312"/>
                <w:color w:val="auto"/>
                <w:sz w:val="24"/>
              </w:rPr>
            </w:pPr>
            <w:r>
              <w:rPr>
                <w:rFonts w:hint="eastAsia" w:ascii="仿宋_GB2312"/>
                <w:color w:val="auto"/>
                <w:sz w:val="24"/>
              </w:rPr>
              <w:t>从轻</w:t>
            </w:r>
          </w:p>
        </w:tc>
        <w:tc>
          <w:tcPr>
            <w:tcW w:w="2840" w:type="dxa"/>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p>
            <w:pPr>
              <w:spacing w:line="340" w:lineRule="exact"/>
              <w:rPr>
                <w:rFonts w:ascii="仿宋_GB2312"/>
                <w:color w:val="auto"/>
                <w:sz w:val="24"/>
              </w:rPr>
            </w:pPr>
          </w:p>
        </w:tc>
        <w:tc>
          <w:tcPr>
            <w:tcW w:w="3594" w:type="dxa"/>
          </w:tcPr>
          <w:p>
            <w:pPr>
              <w:spacing w:line="340" w:lineRule="exact"/>
              <w:rPr>
                <w:rFonts w:ascii="仿宋_GB2312"/>
                <w:color w:val="auto"/>
                <w:sz w:val="24"/>
              </w:rPr>
            </w:pPr>
            <w:r>
              <w:rPr>
                <w:rFonts w:hint="eastAsia" w:ascii="仿宋_GB2312"/>
                <w:color w:val="auto"/>
                <w:sz w:val="24"/>
              </w:rPr>
              <w:t>20万元以上60万元以下罚款</w:t>
            </w:r>
          </w:p>
          <w:p>
            <w:pPr>
              <w:spacing w:line="340" w:lineRule="exact"/>
              <w:rPr>
                <w:rFonts w:ascii="仿宋_GB2312"/>
                <w:color w:val="auto"/>
                <w:sz w:val="24"/>
              </w:rPr>
            </w:pPr>
            <w:r>
              <w:rPr>
                <w:rFonts w:hint="eastAsia" w:ascii="仿宋_GB2312"/>
                <w:color w:val="auto"/>
                <w:sz w:val="24"/>
              </w:rPr>
              <w:t>情节严重的：货值金额10倍以上20倍以下罚款</w:t>
            </w:r>
          </w:p>
          <w:p>
            <w:pPr>
              <w:spacing w:line="340" w:lineRule="exact"/>
              <w:rPr>
                <w:rFonts w:ascii="仿宋_GB2312"/>
                <w:color w:val="auto"/>
                <w:sz w:val="24"/>
              </w:rPr>
            </w:pPr>
            <w:r>
              <w:rPr>
                <w:rFonts w:hint="eastAsia" w:ascii="仿宋_GB2312"/>
                <w:color w:val="auto"/>
                <w:sz w:val="24"/>
              </w:rPr>
              <w:t>个人：所获收入50%以上2.5倍以下罚款；10年以上20年以下禁止从业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1222" w:type="dxa"/>
            <w:vMerge w:val="continue"/>
            <w:vAlign w:val="center"/>
          </w:tcPr>
          <w:p>
            <w:pPr>
              <w:spacing w:line="340" w:lineRule="exact"/>
              <w:rPr>
                <w:rFonts w:ascii="仿宋_GB2312"/>
                <w:color w:val="auto"/>
                <w:sz w:val="24"/>
              </w:rPr>
            </w:pPr>
          </w:p>
        </w:tc>
        <w:tc>
          <w:tcPr>
            <w:tcW w:w="866" w:type="dxa"/>
            <w:vMerge w:val="continue"/>
            <w:vAlign w:val="center"/>
          </w:tcPr>
          <w:p>
            <w:pPr>
              <w:spacing w:line="340" w:lineRule="exact"/>
              <w:rPr>
                <w:rFonts w:ascii="仿宋_GB2312"/>
                <w:color w:val="auto"/>
                <w:sz w:val="24"/>
              </w:rPr>
            </w:pPr>
          </w:p>
        </w:tc>
        <w:tc>
          <w:tcPr>
            <w:tcW w:w="2840" w:type="dxa"/>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594" w:type="dxa"/>
          </w:tcPr>
          <w:p>
            <w:pPr>
              <w:spacing w:line="340" w:lineRule="exact"/>
              <w:rPr>
                <w:rFonts w:ascii="仿宋_GB2312"/>
                <w:color w:val="auto"/>
                <w:sz w:val="24"/>
              </w:rPr>
            </w:pPr>
            <w:r>
              <w:rPr>
                <w:rFonts w:hint="eastAsia" w:ascii="仿宋_GB2312"/>
                <w:color w:val="auto"/>
                <w:sz w:val="24"/>
              </w:rPr>
              <w:t>20万元罚款</w:t>
            </w:r>
          </w:p>
          <w:p>
            <w:pPr>
              <w:spacing w:line="340" w:lineRule="exact"/>
              <w:rPr>
                <w:rFonts w:ascii="仿宋_GB2312"/>
                <w:color w:val="auto"/>
                <w:sz w:val="24"/>
              </w:rPr>
            </w:pPr>
            <w:r>
              <w:rPr>
                <w:rFonts w:hint="eastAsia" w:ascii="仿宋_GB2312"/>
                <w:color w:val="auto"/>
                <w:sz w:val="24"/>
              </w:rPr>
              <w:t>情节严重的：货值金额10倍罚款</w:t>
            </w:r>
          </w:p>
          <w:p>
            <w:pPr>
              <w:spacing w:line="340" w:lineRule="exact"/>
              <w:rPr>
                <w:rFonts w:ascii="仿宋_GB2312"/>
                <w:color w:val="auto"/>
                <w:sz w:val="24"/>
              </w:rPr>
            </w:pPr>
            <w:r>
              <w:rPr>
                <w:rFonts w:hint="eastAsia" w:ascii="仿宋_GB2312"/>
                <w:color w:val="auto"/>
                <w:sz w:val="24"/>
              </w:rPr>
              <w:t>个人：所获收入50%罚款；10年禁止从业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1222" w:type="dxa"/>
            <w:vMerge w:val="continue"/>
            <w:vAlign w:val="center"/>
          </w:tcPr>
          <w:p>
            <w:pPr>
              <w:spacing w:line="340" w:lineRule="exact"/>
              <w:rPr>
                <w:rFonts w:ascii="仿宋_GB2312"/>
                <w:color w:val="auto"/>
                <w:sz w:val="24"/>
              </w:rPr>
            </w:pPr>
          </w:p>
        </w:tc>
        <w:tc>
          <w:tcPr>
            <w:tcW w:w="866" w:type="dxa"/>
            <w:vMerge w:val="restart"/>
            <w:vAlign w:val="center"/>
          </w:tcPr>
          <w:p>
            <w:pPr>
              <w:spacing w:line="340" w:lineRule="exact"/>
              <w:rPr>
                <w:rFonts w:ascii="仿宋_GB2312"/>
                <w:color w:val="auto"/>
                <w:sz w:val="24"/>
              </w:rPr>
            </w:pPr>
            <w:r>
              <w:rPr>
                <w:rFonts w:hint="eastAsia" w:ascii="仿宋_GB2312"/>
                <w:color w:val="auto"/>
                <w:sz w:val="24"/>
              </w:rPr>
              <w:t>从重</w:t>
            </w:r>
          </w:p>
        </w:tc>
        <w:tc>
          <w:tcPr>
            <w:tcW w:w="2840" w:type="dxa"/>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40" w:lineRule="exact"/>
              <w:rPr>
                <w:rFonts w:ascii="仿宋_GB2312"/>
                <w:color w:val="auto"/>
                <w:sz w:val="24"/>
              </w:rPr>
            </w:pPr>
          </w:p>
        </w:tc>
        <w:tc>
          <w:tcPr>
            <w:tcW w:w="3594" w:type="dxa"/>
          </w:tcPr>
          <w:p>
            <w:pPr>
              <w:spacing w:line="340" w:lineRule="exact"/>
              <w:rPr>
                <w:rFonts w:ascii="仿宋_GB2312"/>
                <w:color w:val="auto"/>
                <w:sz w:val="24"/>
              </w:rPr>
            </w:pPr>
            <w:r>
              <w:rPr>
                <w:rFonts w:hint="eastAsia" w:ascii="仿宋_GB2312"/>
                <w:color w:val="auto"/>
                <w:sz w:val="24"/>
              </w:rPr>
              <w:t>60万元以上100万元以下罚款</w:t>
            </w:r>
          </w:p>
          <w:p>
            <w:pPr>
              <w:spacing w:line="340" w:lineRule="exact"/>
              <w:rPr>
                <w:rFonts w:ascii="仿宋_GB2312"/>
                <w:color w:val="auto"/>
                <w:sz w:val="24"/>
              </w:rPr>
            </w:pPr>
            <w:r>
              <w:rPr>
                <w:rFonts w:hint="eastAsia" w:ascii="仿宋_GB2312"/>
                <w:color w:val="auto"/>
                <w:sz w:val="24"/>
              </w:rPr>
              <w:t>情节严重的：货值金额20倍以上30倍以下罚款</w:t>
            </w:r>
          </w:p>
          <w:p>
            <w:pPr>
              <w:spacing w:line="340" w:lineRule="exact"/>
              <w:rPr>
                <w:rFonts w:ascii="仿宋_GB2312"/>
                <w:color w:val="auto"/>
                <w:sz w:val="24"/>
              </w:rPr>
            </w:pPr>
            <w:r>
              <w:rPr>
                <w:rFonts w:hint="eastAsia" w:ascii="仿宋_GB2312"/>
                <w:color w:val="auto"/>
                <w:sz w:val="24"/>
              </w:rPr>
              <w:t>个人：所获收入2.5倍以上5倍以下罚款;20年以上至终身禁止从业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1222" w:type="dxa"/>
            <w:vMerge w:val="continue"/>
            <w:vAlign w:val="center"/>
          </w:tcPr>
          <w:p>
            <w:pPr>
              <w:spacing w:line="340" w:lineRule="exact"/>
              <w:rPr>
                <w:rFonts w:ascii="仿宋_GB2312"/>
                <w:color w:val="auto"/>
                <w:sz w:val="24"/>
              </w:rPr>
            </w:pPr>
          </w:p>
        </w:tc>
        <w:tc>
          <w:tcPr>
            <w:tcW w:w="866" w:type="dxa"/>
            <w:vMerge w:val="continue"/>
            <w:vAlign w:val="center"/>
          </w:tcPr>
          <w:p>
            <w:pPr>
              <w:spacing w:line="340" w:lineRule="exact"/>
              <w:rPr>
                <w:rFonts w:ascii="仿宋_GB2312"/>
                <w:color w:val="auto"/>
                <w:sz w:val="24"/>
              </w:rPr>
            </w:pPr>
          </w:p>
        </w:tc>
        <w:tc>
          <w:tcPr>
            <w:tcW w:w="2840" w:type="dxa"/>
          </w:tcPr>
          <w:p>
            <w:pPr>
              <w:spacing w:line="34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594" w:type="dxa"/>
          </w:tcPr>
          <w:p>
            <w:pPr>
              <w:spacing w:line="340" w:lineRule="exact"/>
              <w:rPr>
                <w:rFonts w:ascii="仿宋_GB2312"/>
                <w:color w:val="auto"/>
                <w:sz w:val="24"/>
              </w:rPr>
            </w:pPr>
            <w:r>
              <w:rPr>
                <w:rFonts w:hint="eastAsia" w:ascii="仿宋_GB2312"/>
                <w:color w:val="auto"/>
                <w:sz w:val="24"/>
              </w:rPr>
              <w:t>100万元罚款</w:t>
            </w:r>
          </w:p>
          <w:p>
            <w:pPr>
              <w:spacing w:line="340" w:lineRule="exact"/>
              <w:rPr>
                <w:rFonts w:ascii="仿宋_GB2312"/>
                <w:color w:val="auto"/>
                <w:sz w:val="24"/>
              </w:rPr>
            </w:pPr>
            <w:r>
              <w:rPr>
                <w:rFonts w:hint="eastAsia" w:ascii="仿宋_GB2312"/>
                <w:color w:val="auto"/>
                <w:sz w:val="24"/>
              </w:rPr>
              <w:t>情节严重的：货值金额30倍罚款</w:t>
            </w:r>
          </w:p>
          <w:p>
            <w:pPr>
              <w:spacing w:line="340" w:lineRule="exact"/>
              <w:rPr>
                <w:rFonts w:ascii="仿宋_GB2312"/>
                <w:color w:val="auto"/>
                <w:sz w:val="24"/>
              </w:rPr>
            </w:pPr>
            <w:r>
              <w:rPr>
                <w:rFonts w:hint="eastAsia" w:ascii="仿宋_GB2312"/>
                <w:color w:val="auto"/>
                <w:sz w:val="24"/>
              </w:rPr>
              <w:t>个人：所获收入5倍罚款;终身禁止从业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22" w:type="dxa"/>
            <w:vAlign w:val="center"/>
          </w:tcPr>
          <w:p>
            <w:pPr>
              <w:spacing w:line="340" w:lineRule="exact"/>
              <w:rPr>
                <w:rFonts w:ascii="仿宋_GB2312"/>
                <w:color w:val="auto"/>
                <w:sz w:val="24"/>
              </w:rPr>
            </w:pPr>
            <w:r>
              <w:rPr>
                <w:rFonts w:hint="eastAsia" w:ascii="仿宋_GB2312"/>
                <w:color w:val="auto"/>
                <w:sz w:val="24"/>
              </w:rPr>
              <w:t>说明</w:t>
            </w:r>
          </w:p>
        </w:tc>
        <w:tc>
          <w:tcPr>
            <w:tcW w:w="7300" w:type="dxa"/>
            <w:gridSpan w:val="3"/>
          </w:tcPr>
          <w:p>
            <w:pPr>
              <w:spacing w:line="340" w:lineRule="exact"/>
              <w:rPr>
                <w:rFonts w:ascii="仿宋_GB2312"/>
                <w:color w:val="auto"/>
                <w:sz w:val="24"/>
              </w:rPr>
            </w:pPr>
          </w:p>
        </w:tc>
      </w:tr>
    </w:tbl>
    <w:p>
      <w:pPr>
        <w:spacing w:line="340" w:lineRule="exact"/>
        <w:rPr>
          <w:rFonts w:eastAsia="宋体"/>
          <w:color w:val="auto"/>
          <w:sz w:val="21"/>
        </w:rPr>
      </w:pPr>
      <w:r>
        <w:rPr>
          <w:rFonts w:eastAsia="宋体"/>
          <w:color w:val="auto"/>
          <w:sz w:val="21"/>
        </w:rPr>
        <w:br w:type="page"/>
      </w:r>
    </w:p>
    <w:tbl>
      <w:tblPr>
        <w:tblStyle w:val="10"/>
        <w:tblpPr w:leftFromText="180" w:rightFromText="180" w:vertAnchor="text" w:horzAnchor="page" w:tblpX="1803" w:tblpY="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874"/>
        <w:gridCol w:w="3192"/>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spacing w:line="300" w:lineRule="exact"/>
              <w:rPr>
                <w:rFonts w:ascii="仿宋_GB2312"/>
                <w:color w:val="auto"/>
                <w:sz w:val="24"/>
              </w:rPr>
            </w:pPr>
            <w:r>
              <w:rPr>
                <w:rFonts w:hint="eastAsia" w:ascii="仿宋_GB2312"/>
                <w:color w:val="auto"/>
                <w:sz w:val="24"/>
              </w:rPr>
              <w:t>编码</w:t>
            </w:r>
          </w:p>
        </w:tc>
        <w:tc>
          <w:tcPr>
            <w:tcW w:w="7308" w:type="dxa"/>
            <w:gridSpan w:val="3"/>
          </w:tcPr>
          <w:p>
            <w:pPr>
              <w:spacing w:line="300" w:lineRule="exact"/>
              <w:rPr>
                <w:rFonts w:ascii="仿宋_GB2312"/>
                <w:color w:val="auto"/>
                <w:sz w:val="24"/>
              </w:rPr>
            </w:pPr>
            <w:r>
              <w:rPr>
                <w:rFonts w:hint="eastAsia" w:ascii="仿宋_GB2312"/>
                <w:color w:val="auto"/>
                <w:sz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spacing w:line="300" w:lineRule="exact"/>
              <w:rPr>
                <w:rFonts w:ascii="仿宋_GB2312"/>
                <w:color w:val="auto"/>
                <w:sz w:val="24"/>
              </w:rPr>
            </w:pPr>
            <w:r>
              <w:rPr>
                <w:rFonts w:hint="eastAsia" w:ascii="仿宋_GB2312"/>
                <w:color w:val="auto"/>
                <w:sz w:val="24"/>
              </w:rPr>
              <w:t>违法行为</w:t>
            </w:r>
          </w:p>
        </w:tc>
        <w:tc>
          <w:tcPr>
            <w:tcW w:w="7308" w:type="dxa"/>
            <w:gridSpan w:val="3"/>
          </w:tcPr>
          <w:p>
            <w:pPr>
              <w:spacing w:line="300" w:lineRule="exact"/>
              <w:rPr>
                <w:rFonts w:ascii="仿宋_GB2312"/>
                <w:color w:val="auto"/>
                <w:sz w:val="24"/>
              </w:rPr>
            </w:pPr>
            <w:r>
              <w:rPr>
                <w:rFonts w:hint="eastAsia" w:ascii="仿宋_GB2312"/>
                <w:color w:val="auto"/>
                <w:sz w:val="24"/>
              </w:rPr>
              <w:t>疾病预防控制机构、接种单位、疫苗上市许可持有人、疫苗配送单位有本法第八十五条规定以外的违反疫苗储存、运输管理规范行为。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spacing w:line="300" w:lineRule="exact"/>
              <w:rPr>
                <w:rFonts w:ascii="仿宋_GB2312"/>
                <w:color w:val="auto"/>
                <w:sz w:val="24"/>
              </w:rPr>
            </w:pPr>
            <w:r>
              <w:rPr>
                <w:rFonts w:hint="eastAsia" w:ascii="仿宋_GB2312"/>
                <w:color w:val="auto"/>
                <w:sz w:val="24"/>
              </w:rPr>
              <w:t>处罚依据</w:t>
            </w:r>
          </w:p>
        </w:tc>
        <w:tc>
          <w:tcPr>
            <w:tcW w:w="7308" w:type="dxa"/>
            <w:gridSpan w:val="3"/>
          </w:tcPr>
          <w:p>
            <w:pPr>
              <w:spacing w:line="300" w:lineRule="exact"/>
              <w:rPr>
                <w:rFonts w:ascii="仿宋_GB2312"/>
                <w:color w:val="auto"/>
                <w:sz w:val="24"/>
              </w:rPr>
            </w:pPr>
            <w:r>
              <w:rPr>
                <w:rFonts w:hint="eastAsia" w:ascii="仿宋_GB2312"/>
                <w:color w:val="auto"/>
                <w:sz w:val="24"/>
              </w:rPr>
              <w:t>《中华人民共和国疫苗管理法》</w:t>
            </w:r>
            <w:r>
              <w:rPr>
                <w:rFonts w:hint="eastAsia" w:ascii="仿宋_GB2312"/>
                <w:color w:val="auto"/>
                <w:sz w:val="24"/>
              </w:rPr>
              <w:t>第八十六条第一款：疾病预防控制机构、接种单位、疫苗上市许可持有人、疫苗配送单位有本法第八十五条规定以外的违反疫苗储存、运输管理规范行为的，由县级以上人民政府药品监督管理部门责令改正，给予警告，没收违法所得；拒不改正的，对接种单位、疫苗上市许可持有人、疫苗配送单位处十万元以上三十万元以下的罚款；</w:t>
            </w:r>
            <w:bookmarkStart w:id="1566" w:name="_GoBack"/>
            <w:bookmarkEnd w:id="1566"/>
            <w:r>
              <w:rPr>
                <w:rFonts w:hint="eastAsia" w:ascii="仿宋_GB2312"/>
                <w:color w:val="auto"/>
                <w:sz w:val="24"/>
              </w:rPr>
              <w:t>情节严重的，对接种单位、疫苗上市许可持有人、疫苗配送单位处违法储存、运输疫苗货值金额三倍以上十倍以下的罚款，货值金额不足十万元的，按十万元计算。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spacing w:line="300" w:lineRule="exact"/>
              <w:rPr>
                <w:rFonts w:ascii="仿宋_GB2312"/>
                <w:color w:val="auto"/>
                <w:sz w:val="24"/>
              </w:rPr>
            </w:pPr>
            <w:r>
              <w:rPr>
                <w:rFonts w:hint="eastAsia" w:ascii="仿宋_GB2312"/>
                <w:color w:val="auto"/>
                <w:sz w:val="24"/>
              </w:rPr>
              <w:t>处罚种类</w:t>
            </w:r>
          </w:p>
        </w:tc>
        <w:tc>
          <w:tcPr>
            <w:tcW w:w="7308" w:type="dxa"/>
            <w:gridSpan w:val="3"/>
          </w:tcPr>
          <w:p>
            <w:pPr>
              <w:spacing w:line="300" w:lineRule="exact"/>
              <w:rPr>
                <w:rFonts w:ascii="仿宋_GB2312"/>
                <w:color w:val="auto"/>
                <w:sz w:val="24"/>
              </w:rPr>
            </w:pPr>
            <w:r>
              <w:rPr>
                <w:rFonts w:hint="eastAsia" w:ascii="仿宋_GB2312"/>
                <w:color w:val="auto"/>
                <w:sz w:val="24"/>
              </w:rPr>
              <w:t>警告；</w:t>
            </w:r>
          </w:p>
          <w:p>
            <w:pPr>
              <w:spacing w:line="300" w:lineRule="exact"/>
              <w:rPr>
                <w:rFonts w:ascii="仿宋_GB2312"/>
                <w:color w:val="auto"/>
                <w:sz w:val="24"/>
              </w:rPr>
            </w:pPr>
            <w:r>
              <w:rPr>
                <w:rFonts w:hint="eastAsia" w:ascii="仿宋_GB2312"/>
                <w:color w:val="auto"/>
                <w:sz w:val="24"/>
              </w:rPr>
              <w:t>没收违法所得；</w:t>
            </w:r>
          </w:p>
          <w:p>
            <w:pPr>
              <w:spacing w:line="300" w:lineRule="exact"/>
              <w:rPr>
                <w:rFonts w:ascii="仿宋_GB2312"/>
                <w:color w:val="auto"/>
                <w:sz w:val="24"/>
              </w:rPr>
            </w:pPr>
            <w:r>
              <w:rPr>
                <w:rFonts w:hint="eastAsia" w:ascii="仿宋_GB2312"/>
                <w:color w:val="auto"/>
                <w:sz w:val="24"/>
              </w:rPr>
              <w:t>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spacing w:line="300" w:lineRule="exact"/>
              <w:rPr>
                <w:rFonts w:ascii="仿宋_GB2312"/>
                <w:color w:val="auto"/>
                <w:sz w:val="24"/>
              </w:rPr>
            </w:pPr>
            <w:r>
              <w:rPr>
                <w:rFonts w:hint="eastAsia" w:ascii="仿宋_GB2312"/>
                <w:color w:val="auto"/>
                <w:sz w:val="24"/>
              </w:rPr>
              <w:t>实施主体</w:t>
            </w:r>
          </w:p>
        </w:tc>
        <w:tc>
          <w:tcPr>
            <w:tcW w:w="7308" w:type="dxa"/>
            <w:gridSpan w:val="3"/>
          </w:tcPr>
          <w:p>
            <w:pPr>
              <w:spacing w:line="300" w:lineRule="exact"/>
              <w:rPr>
                <w:rFonts w:ascii="仿宋_GB2312"/>
                <w:color w:val="auto"/>
                <w:sz w:val="24"/>
              </w:rPr>
            </w:pPr>
            <w:r>
              <w:rPr>
                <w:rFonts w:hint="eastAsia" w:ascii="仿宋_GB2312"/>
                <w:color w:val="auto"/>
                <w:sz w:val="24"/>
              </w:rPr>
              <w:t>县级以上人民政府药品监督管理部门。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spacing w:line="300" w:lineRule="exact"/>
              <w:rPr>
                <w:rFonts w:ascii="仿宋_GB2312"/>
                <w:color w:val="auto"/>
                <w:sz w:val="24"/>
              </w:rPr>
            </w:pPr>
            <w:r>
              <w:rPr>
                <w:rFonts w:hint="eastAsia" w:ascii="仿宋_GB2312"/>
                <w:color w:val="auto"/>
                <w:sz w:val="24"/>
              </w:rPr>
              <w:t>裁量范围</w:t>
            </w:r>
          </w:p>
        </w:tc>
        <w:tc>
          <w:tcPr>
            <w:tcW w:w="7308" w:type="dxa"/>
            <w:gridSpan w:val="3"/>
          </w:tcPr>
          <w:p>
            <w:pPr>
              <w:spacing w:line="300" w:lineRule="exact"/>
              <w:rPr>
                <w:rFonts w:ascii="仿宋_GB2312"/>
                <w:color w:val="auto"/>
                <w:sz w:val="24"/>
              </w:rPr>
            </w:pPr>
            <w:r>
              <w:rPr>
                <w:rFonts w:hint="eastAsia" w:ascii="仿宋_GB2312"/>
                <w:color w:val="auto"/>
                <w:sz w:val="24"/>
              </w:rPr>
              <w:t>拒不改正的，处十万元以上三十万元以下的罚款；</w:t>
            </w:r>
          </w:p>
          <w:p>
            <w:pPr>
              <w:spacing w:line="300" w:lineRule="exact"/>
              <w:rPr>
                <w:rFonts w:ascii="仿宋_GB2312"/>
                <w:color w:val="auto"/>
                <w:sz w:val="24"/>
              </w:rPr>
            </w:pPr>
            <w:r>
              <w:rPr>
                <w:rFonts w:hint="eastAsia" w:ascii="仿宋_GB2312"/>
                <w:color w:val="auto"/>
                <w:sz w:val="24"/>
              </w:rPr>
              <w:t>情节严重的：处违法储存、运输疫苗货值金额三倍以上十倍以下的罚款，货值金额不足十万元的，按十万元计算。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pPr>
              <w:spacing w:line="300" w:lineRule="exact"/>
              <w:rPr>
                <w:rFonts w:ascii="仿宋_GB2312"/>
                <w:color w:val="auto"/>
                <w:sz w:val="24"/>
              </w:rPr>
            </w:pPr>
            <w:r>
              <w:rPr>
                <w:rFonts w:hint="eastAsia" w:ascii="仿宋_GB2312"/>
                <w:color w:val="auto"/>
                <w:sz w:val="24"/>
              </w:rPr>
              <w:t>裁量阶次</w:t>
            </w:r>
          </w:p>
        </w:tc>
        <w:tc>
          <w:tcPr>
            <w:tcW w:w="874" w:type="dxa"/>
            <w:vAlign w:val="center"/>
          </w:tcPr>
          <w:p>
            <w:pPr>
              <w:spacing w:line="300" w:lineRule="exact"/>
              <w:jc w:val="center"/>
              <w:rPr>
                <w:rFonts w:ascii="仿宋_GB2312"/>
                <w:color w:val="auto"/>
                <w:sz w:val="24"/>
              </w:rPr>
            </w:pPr>
            <w:r>
              <w:rPr>
                <w:rFonts w:hint="eastAsia" w:ascii="仿宋_GB2312"/>
                <w:color w:val="auto"/>
                <w:sz w:val="24"/>
              </w:rPr>
              <w:t>裁量</w:t>
            </w:r>
          </w:p>
        </w:tc>
        <w:tc>
          <w:tcPr>
            <w:tcW w:w="3192" w:type="dxa"/>
            <w:vAlign w:val="center"/>
          </w:tcPr>
          <w:p>
            <w:pPr>
              <w:spacing w:line="300" w:lineRule="exact"/>
              <w:jc w:val="center"/>
              <w:rPr>
                <w:rFonts w:ascii="仿宋_GB2312"/>
                <w:color w:val="auto"/>
                <w:sz w:val="24"/>
              </w:rPr>
            </w:pPr>
            <w:r>
              <w:rPr>
                <w:rFonts w:hint="eastAsia" w:ascii="仿宋_GB2312"/>
                <w:color w:val="auto"/>
                <w:sz w:val="24"/>
              </w:rPr>
              <w:t>裁量因素</w:t>
            </w:r>
          </w:p>
        </w:tc>
        <w:tc>
          <w:tcPr>
            <w:tcW w:w="3242" w:type="dxa"/>
            <w:vAlign w:val="center"/>
          </w:tcPr>
          <w:p>
            <w:pPr>
              <w:spacing w:line="30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14" w:type="dxa"/>
            <w:vMerge w:val="restart"/>
            <w:vAlign w:val="center"/>
          </w:tcPr>
          <w:p>
            <w:pPr>
              <w:spacing w:line="300" w:lineRule="exact"/>
              <w:rPr>
                <w:rFonts w:ascii="仿宋_GB2312"/>
                <w:color w:val="auto"/>
                <w:sz w:val="24"/>
              </w:rPr>
            </w:pPr>
          </w:p>
        </w:tc>
        <w:tc>
          <w:tcPr>
            <w:tcW w:w="874" w:type="dxa"/>
            <w:vAlign w:val="center"/>
          </w:tcPr>
          <w:p>
            <w:pPr>
              <w:spacing w:line="300" w:lineRule="exact"/>
              <w:rPr>
                <w:rFonts w:ascii="仿宋_GB2312"/>
                <w:color w:val="auto"/>
                <w:sz w:val="24"/>
              </w:rPr>
            </w:pPr>
            <w:r>
              <w:rPr>
                <w:rFonts w:hint="eastAsia" w:ascii="仿宋_GB2312"/>
                <w:color w:val="auto"/>
                <w:sz w:val="24"/>
              </w:rPr>
              <w:t>中限</w:t>
            </w:r>
          </w:p>
        </w:tc>
        <w:tc>
          <w:tcPr>
            <w:tcW w:w="3192" w:type="dxa"/>
          </w:tcPr>
          <w:p>
            <w:pPr>
              <w:spacing w:line="300" w:lineRule="exact"/>
              <w:rPr>
                <w:rFonts w:ascii="仿宋_GB2312"/>
                <w:color w:val="auto"/>
                <w:sz w:val="24"/>
              </w:rPr>
            </w:pPr>
            <w:r>
              <w:rPr>
                <w:rFonts w:hint="eastAsia" w:ascii="仿宋_GB2312"/>
                <w:color w:val="auto"/>
                <w:sz w:val="24"/>
              </w:rPr>
              <w:t>无本基准从重、从轻和减轻情节的</w:t>
            </w:r>
          </w:p>
        </w:tc>
        <w:tc>
          <w:tcPr>
            <w:tcW w:w="3242" w:type="dxa"/>
          </w:tcPr>
          <w:p>
            <w:pPr>
              <w:spacing w:line="300" w:lineRule="exact"/>
              <w:rPr>
                <w:rFonts w:ascii="仿宋_GB2312"/>
                <w:color w:val="auto"/>
                <w:sz w:val="24"/>
              </w:rPr>
            </w:pPr>
            <w:r>
              <w:rPr>
                <w:rFonts w:hint="eastAsia" w:ascii="仿宋_GB2312"/>
                <w:color w:val="auto"/>
                <w:sz w:val="24"/>
              </w:rPr>
              <w:t>20万元罚款</w:t>
            </w:r>
          </w:p>
          <w:p>
            <w:pPr>
              <w:spacing w:line="300" w:lineRule="exact"/>
              <w:rPr>
                <w:rFonts w:ascii="仿宋_GB2312"/>
                <w:color w:val="auto"/>
                <w:sz w:val="24"/>
              </w:rPr>
            </w:pPr>
            <w:r>
              <w:rPr>
                <w:rFonts w:hint="eastAsia" w:ascii="仿宋_GB2312"/>
                <w:color w:val="auto"/>
                <w:sz w:val="24"/>
              </w:rPr>
              <w:t>情节严重的：货值金额6倍罚款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14" w:type="dxa"/>
            <w:vMerge w:val="continue"/>
            <w:vAlign w:val="center"/>
          </w:tcPr>
          <w:p>
            <w:pPr>
              <w:spacing w:line="300" w:lineRule="exact"/>
              <w:rPr>
                <w:rFonts w:ascii="仿宋_GB2312"/>
                <w:color w:val="auto"/>
                <w:sz w:val="24"/>
              </w:rPr>
            </w:pPr>
          </w:p>
        </w:tc>
        <w:tc>
          <w:tcPr>
            <w:tcW w:w="874" w:type="dxa"/>
            <w:vAlign w:val="center"/>
          </w:tcPr>
          <w:p>
            <w:pPr>
              <w:spacing w:line="300" w:lineRule="exact"/>
              <w:rPr>
                <w:rFonts w:ascii="仿宋_GB2312"/>
                <w:color w:val="auto"/>
                <w:sz w:val="24"/>
              </w:rPr>
            </w:pPr>
            <w:r>
              <w:rPr>
                <w:rFonts w:hint="eastAsia" w:ascii="仿宋_GB2312"/>
                <w:color w:val="auto"/>
                <w:sz w:val="24"/>
              </w:rPr>
              <w:t>减轻</w:t>
            </w:r>
          </w:p>
        </w:tc>
        <w:tc>
          <w:tcPr>
            <w:tcW w:w="3192" w:type="dxa"/>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42" w:type="dxa"/>
          </w:tcPr>
          <w:p>
            <w:pPr>
              <w:spacing w:line="300" w:lineRule="exact"/>
              <w:rPr>
                <w:rFonts w:ascii="仿宋_GB2312"/>
                <w:color w:val="auto"/>
                <w:sz w:val="24"/>
              </w:rPr>
            </w:pPr>
            <w:r>
              <w:rPr>
                <w:rFonts w:hint="eastAsia" w:ascii="仿宋_GB2312"/>
                <w:color w:val="auto"/>
                <w:sz w:val="24"/>
              </w:rPr>
              <w:t>1万元以上10万元以下罚款</w:t>
            </w:r>
          </w:p>
          <w:p>
            <w:pPr>
              <w:spacing w:line="300" w:lineRule="exact"/>
              <w:rPr>
                <w:rFonts w:ascii="仿宋_GB2312"/>
                <w:color w:val="auto"/>
                <w:sz w:val="24"/>
              </w:rPr>
            </w:pPr>
            <w:r>
              <w:rPr>
                <w:rFonts w:hint="eastAsia" w:ascii="仿宋_GB2312"/>
                <w:color w:val="auto"/>
                <w:sz w:val="24"/>
              </w:rPr>
              <w:t>情节严重的：货值金额1倍以上3倍以下罚款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214" w:type="dxa"/>
            <w:vMerge w:val="continue"/>
            <w:vAlign w:val="center"/>
          </w:tcPr>
          <w:p>
            <w:pPr>
              <w:spacing w:line="300" w:lineRule="exact"/>
              <w:rPr>
                <w:rFonts w:ascii="仿宋_GB2312"/>
                <w:color w:val="auto"/>
                <w:sz w:val="24"/>
              </w:rPr>
            </w:pPr>
          </w:p>
        </w:tc>
        <w:tc>
          <w:tcPr>
            <w:tcW w:w="874" w:type="dxa"/>
            <w:vMerge w:val="restart"/>
            <w:vAlign w:val="center"/>
          </w:tcPr>
          <w:p>
            <w:pPr>
              <w:spacing w:line="300" w:lineRule="exact"/>
              <w:rPr>
                <w:rFonts w:ascii="仿宋_GB2312"/>
                <w:color w:val="auto"/>
                <w:sz w:val="24"/>
              </w:rPr>
            </w:pPr>
            <w:r>
              <w:rPr>
                <w:rFonts w:hint="eastAsia" w:ascii="仿宋_GB2312"/>
                <w:color w:val="auto"/>
                <w:sz w:val="24"/>
              </w:rPr>
              <w:t>从轻</w:t>
            </w:r>
          </w:p>
        </w:tc>
        <w:tc>
          <w:tcPr>
            <w:tcW w:w="3192" w:type="dxa"/>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3242" w:type="dxa"/>
          </w:tcPr>
          <w:p>
            <w:pPr>
              <w:spacing w:line="300" w:lineRule="exact"/>
              <w:rPr>
                <w:rFonts w:ascii="仿宋_GB2312"/>
                <w:color w:val="auto"/>
                <w:sz w:val="24"/>
              </w:rPr>
            </w:pPr>
            <w:r>
              <w:rPr>
                <w:rFonts w:hint="eastAsia" w:ascii="仿宋_GB2312"/>
                <w:color w:val="auto"/>
                <w:sz w:val="24"/>
              </w:rPr>
              <w:t>10万元以上20万元以下罚款</w:t>
            </w:r>
          </w:p>
          <w:p>
            <w:pPr>
              <w:spacing w:line="300" w:lineRule="exact"/>
              <w:rPr>
                <w:rFonts w:ascii="仿宋_GB2312"/>
                <w:color w:val="auto"/>
                <w:sz w:val="24"/>
              </w:rPr>
            </w:pPr>
            <w:r>
              <w:rPr>
                <w:rFonts w:hint="eastAsia" w:ascii="仿宋_GB2312"/>
                <w:color w:val="auto"/>
                <w:sz w:val="24"/>
              </w:rPr>
              <w:t>情节严重的：货值金额3倍以上6倍以下罚款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214" w:type="dxa"/>
            <w:vMerge w:val="continue"/>
            <w:vAlign w:val="center"/>
          </w:tcPr>
          <w:p>
            <w:pPr>
              <w:spacing w:line="300" w:lineRule="exact"/>
              <w:rPr>
                <w:rFonts w:ascii="仿宋_GB2312"/>
                <w:color w:val="auto"/>
                <w:sz w:val="24"/>
              </w:rPr>
            </w:pPr>
          </w:p>
        </w:tc>
        <w:tc>
          <w:tcPr>
            <w:tcW w:w="874" w:type="dxa"/>
            <w:vMerge w:val="continue"/>
            <w:vAlign w:val="center"/>
          </w:tcPr>
          <w:p>
            <w:pPr>
              <w:spacing w:line="300" w:lineRule="exact"/>
              <w:rPr>
                <w:rFonts w:ascii="仿宋_GB2312"/>
                <w:color w:val="auto"/>
                <w:sz w:val="24"/>
              </w:rPr>
            </w:pPr>
          </w:p>
        </w:tc>
        <w:tc>
          <w:tcPr>
            <w:tcW w:w="3192" w:type="dxa"/>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42" w:type="dxa"/>
          </w:tcPr>
          <w:p>
            <w:pPr>
              <w:spacing w:line="300" w:lineRule="exact"/>
              <w:rPr>
                <w:rFonts w:ascii="仿宋_GB2312"/>
                <w:color w:val="auto"/>
                <w:sz w:val="24"/>
              </w:rPr>
            </w:pPr>
            <w:r>
              <w:rPr>
                <w:rFonts w:hint="eastAsia" w:ascii="仿宋_GB2312"/>
                <w:color w:val="auto"/>
                <w:sz w:val="24"/>
              </w:rPr>
              <w:t>10万元罚款</w:t>
            </w:r>
          </w:p>
          <w:p>
            <w:pPr>
              <w:spacing w:line="300" w:lineRule="exact"/>
              <w:rPr>
                <w:rFonts w:ascii="仿宋_GB2312"/>
                <w:color w:val="auto"/>
                <w:sz w:val="24"/>
              </w:rPr>
            </w:pPr>
            <w:r>
              <w:rPr>
                <w:rFonts w:hint="eastAsia" w:ascii="仿宋_GB2312"/>
                <w:color w:val="auto"/>
                <w:sz w:val="24"/>
              </w:rPr>
              <w:t>情节严重的：货值金额3倍罚款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14" w:type="dxa"/>
            <w:vMerge w:val="continue"/>
            <w:vAlign w:val="center"/>
          </w:tcPr>
          <w:p>
            <w:pPr>
              <w:spacing w:line="300" w:lineRule="exact"/>
              <w:rPr>
                <w:rFonts w:ascii="仿宋_GB2312"/>
                <w:color w:val="auto"/>
                <w:sz w:val="24"/>
              </w:rPr>
            </w:pPr>
          </w:p>
        </w:tc>
        <w:tc>
          <w:tcPr>
            <w:tcW w:w="874" w:type="dxa"/>
            <w:vMerge w:val="restart"/>
            <w:vAlign w:val="center"/>
          </w:tcPr>
          <w:p>
            <w:pPr>
              <w:spacing w:line="300" w:lineRule="exact"/>
              <w:rPr>
                <w:rFonts w:ascii="仿宋_GB2312"/>
                <w:color w:val="auto"/>
                <w:sz w:val="24"/>
              </w:rPr>
            </w:pPr>
            <w:r>
              <w:rPr>
                <w:rFonts w:hint="eastAsia" w:ascii="仿宋_GB2312"/>
                <w:color w:val="auto"/>
                <w:sz w:val="24"/>
              </w:rPr>
              <w:t>从重</w:t>
            </w:r>
          </w:p>
        </w:tc>
        <w:tc>
          <w:tcPr>
            <w:tcW w:w="3192" w:type="dxa"/>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《山东省市场监督管理局行使行政处罚裁量权适用规则（试行）》第十三条情形</w:t>
            </w:r>
          </w:p>
          <w:p>
            <w:pPr>
              <w:spacing w:line="300" w:lineRule="exact"/>
              <w:rPr>
                <w:rFonts w:ascii="仿宋_GB2312"/>
                <w:color w:val="auto"/>
                <w:sz w:val="24"/>
              </w:rPr>
            </w:pPr>
          </w:p>
        </w:tc>
        <w:tc>
          <w:tcPr>
            <w:tcW w:w="3242" w:type="dxa"/>
          </w:tcPr>
          <w:p>
            <w:pPr>
              <w:spacing w:line="300" w:lineRule="exact"/>
              <w:rPr>
                <w:rFonts w:ascii="仿宋_GB2312"/>
                <w:color w:val="auto"/>
                <w:sz w:val="24"/>
              </w:rPr>
            </w:pPr>
            <w:r>
              <w:rPr>
                <w:rFonts w:hint="eastAsia" w:ascii="仿宋_GB2312"/>
                <w:color w:val="auto"/>
                <w:sz w:val="24"/>
              </w:rPr>
              <w:t>20万元以上30万元以下罚款</w:t>
            </w:r>
          </w:p>
          <w:p>
            <w:pPr>
              <w:spacing w:line="300" w:lineRule="exact"/>
              <w:rPr>
                <w:rFonts w:ascii="仿宋_GB2312"/>
                <w:color w:val="auto"/>
                <w:sz w:val="24"/>
              </w:rPr>
            </w:pPr>
            <w:r>
              <w:rPr>
                <w:rFonts w:hint="eastAsia" w:ascii="仿宋_GB2312"/>
                <w:color w:val="auto"/>
                <w:sz w:val="24"/>
              </w:rPr>
              <w:t>情节严重的：货值金额6倍以上10倍以下罚款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214" w:type="dxa"/>
            <w:vMerge w:val="continue"/>
            <w:vAlign w:val="center"/>
          </w:tcPr>
          <w:p>
            <w:pPr>
              <w:spacing w:line="300" w:lineRule="exact"/>
              <w:rPr>
                <w:rFonts w:ascii="仿宋_GB2312"/>
                <w:color w:val="auto"/>
                <w:sz w:val="24"/>
              </w:rPr>
            </w:pPr>
          </w:p>
        </w:tc>
        <w:tc>
          <w:tcPr>
            <w:tcW w:w="874" w:type="dxa"/>
            <w:vMerge w:val="continue"/>
            <w:vAlign w:val="center"/>
          </w:tcPr>
          <w:p>
            <w:pPr>
              <w:spacing w:line="300" w:lineRule="exact"/>
              <w:rPr>
                <w:rFonts w:ascii="仿宋_GB2312"/>
                <w:color w:val="auto"/>
                <w:sz w:val="24"/>
              </w:rPr>
            </w:pPr>
          </w:p>
        </w:tc>
        <w:tc>
          <w:tcPr>
            <w:tcW w:w="3192" w:type="dxa"/>
          </w:tcPr>
          <w:p>
            <w:pPr>
              <w:spacing w:line="30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3242" w:type="dxa"/>
          </w:tcPr>
          <w:p>
            <w:pPr>
              <w:spacing w:line="300" w:lineRule="exact"/>
              <w:rPr>
                <w:rFonts w:ascii="仿宋_GB2312"/>
                <w:color w:val="auto"/>
                <w:sz w:val="24"/>
              </w:rPr>
            </w:pPr>
            <w:r>
              <w:rPr>
                <w:rFonts w:hint="eastAsia" w:ascii="仿宋_GB2312"/>
                <w:color w:val="auto"/>
                <w:sz w:val="24"/>
              </w:rPr>
              <w:t>30万元罚款</w:t>
            </w:r>
          </w:p>
          <w:p>
            <w:pPr>
              <w:spacing w:line="300" w:lineRule="exact"/>
              <w:rPr>
                <w:rFonts w:ascii="仿宋_GB2312"/>
                <w:color w:val="auto"/>
                <w:sz w:val="24"/>
              </w:rPr>
            </w:pPr>
            <w:r>
              <w:rPr>
                <w:rFonts w:hint="eastAsia" w:ascii="仿宋_GB2312"/>
                <w:color w:val="auto"/>
                <w:sz w:val="24"/>
              </w:rPr>
              <w:t>情节严重的：货值金额10倍罚款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4" w:type="dxa"/>
            <w:vAlign w:val="center"/>
          </w:tcPr>
          <w:p>
            <w:pPr>
              <w:spacing w:line="340" w:lineRule="exact"/>
              <w:rPr>
                <w:rFonts w:ascii="仿宋_GB2312"/>
                <w:color w:val="auto"/>
                <w:sz w:val="24"/>
              </w:rPr>
            </w:pPr>
            <w:r>
              <w:rPr>
                <w:rFonts w:hint="eastAsia" w:ascii="仿宋_GB2312"/>
                <w:color w:val="auto"/>
                <w:sz w:val="24"/>
              </w:rPr>
              <w:t>说明</w:t>
            </w:r>
          </w:p>
        </w:tc>
        <w:tc>
          <w:tcPr>
            <w:tcW w:w="7308" w:type="dxa"/>
            <w:gridSpan w:val="3"/>
          </w:tcPr>
          <w:p>
            <w:pPr>
              <w:spacing w:line="340" w:lineRule="exact"/>
              <w:rPr>
                <w:rFonts w:ascii="仿宋_GB2312"/>
                <w:color w:val="auto"/>
                <w:sz w:val="24"/>
              </w:rPr>
            </w:pPr>
          </w:p>
        </w:tc>
      </w:tr>
    </w:tbl>
    <w:p>
      <w:pPr>
        <w:rPr>
          <w:rFonts w:eastAsia="宋体"/>
          <w:color w:val="auto"/>
          <w:sz w:val="21"/>
        </w:rPr>
      </w:pPr>
      <w:r>
        <w:rPr>
          <w:rFonts w:eastAsia="宋体"/>
          <w:color w:val="auto"/>
          <w:sz w:val="21"/>
        </w:rPr>
        <w:br w:type="page"/>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46"/>
        <w:gridCol w:w="3523"/>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40" w:lineRule="exact"/>
              <w:rPr>
                <w:rFonts w:ascii="仿宋_GB2312"/>
                <w:color w:val="auto"/>
                <w:sz w:val="24"/>
              </w:rPr>
            </w:pPr>
            <w:r>
              <w:rPr>
                <w:rFonts w:hint="eastAsia" w:ascii="仿宋_GB2312"/>
                <w:color w:val="auto"/>
                <w:sz w:val="24"/>
              </w:rPr>
              <w:t>编码</w:t>
            </w:r>
          </w:p>
        </w:tc>
        <w:tc>
          <w:tcPr>
            <w:tcW w:w="7280" w:type="dxa"/>
            <w:gridSpan w:val="3"/>
          </w:tcPr>
          <w:p>
            <w:pPr>
              <w:spacing w:line="320" w:lineRule="exact"/>
              <w:rPr>
                <w:rFonts w:ascii="仿宋_GB2312"/>
                <w:color w:val="auto"/>
                <w:sz w:val="24"/>
              </w:rPr>
            </w:pPr>
            <w:r>
              <w:rPr>
                <w:rFonts w:hint="eastAsia" w:ascii="仿宋_GB2312"/>
                <w:color w:val="auto"/>
                <w:sz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40" w:lineRule="exact"/>
              <w:rPr>
                <w:rFonts w:ascii="仿宋_GB2312"/>
                <w:color w:val="auto"/>
                <w:sz w:val="24"/>
              </w:rPr>
            </w:pPr>
            <w:r>
              <w:rPr>
                <w:rFonts w:hint="eastAsia" w:ascii="仿宋_GB2312"/>
                <w:color w:val="auto"/>
                <w:sz w:val="24"/>
              </w:rPr>
              <w:t>违法行为</w:t>
            </w:r>
          </w:p>
        </w:tc>
        <w:tc>
          <w:tcPr>
            <w:tcW w:w="7280" w:type="dxa"/>
            <w:gridSpan w:val="3"/>
          </w:tcPr>
          <w:p>
            <w:pPr>
              <w:spacing w:line="320" w:lineRule="exact"/>
              <w:rPr>
                <w:rFonts w:ascii="仿宋_GB2312"/>
                <w:color w:val="auto"/>
                <w:sz w:val="24"/>
              </w:rPr>
            </w:pPr>
            <w:r>
              <w:rPr>
                <w:rFonts w:hint="eastAsia" w:ascii="仿宋_GB2312"/>
                <w:color w:val="auto"/>
                <w:sz w:val="24"/>
              </w:rPr>
              <w:t>1.</w:t>
            </w:r>
            <w:r>
              <w:rPr>
                <w:rFonts w:ascii="仿宋_GB2312"/>
                <w:color w:val="auto"/>
                <w:sz w:val="24"/>
              </w:rPr>
              <w:t>违反</w:t>
            </w:r>
            <w:r>
              <w:rPr>
                <w:rFonts w:hint="eastAsia" w:ascii="仿宋_GB2312"/>
                <w:color w:val="auto"/>
                <w:sz w:val="24"/>
              </w:rPr>
              <w:t>《中医药法》</w:t>
            </w:r>
            <w:r>
              <w:rPr>
                <w:rFonts w:ascii="仿宋_GB2312"/>
                <w:color w:val="auto"/>
                <w:sz w:val="24"/>
              </w:rPr>
              <w:t>规定，炮制中药饮片、委托配制中药制剂应当备案而未备案，或者备案时提供虚假材料</w:t>
            </w:r>
            <w:r>
              <w:rPr>
                <w:rFonts w:hint="eastAsia" w:ascii="仿宋_GB2312"/>
                <w:color w:val="auto"/>
                <w:sz w:val="24"/>
              </w:rPr>
              <w:t>；</w:t>
            </w:r>
          </w:p>
          <w:p>
            <w:pPr>
              <w:spacing w:line="320" w:lineRule="exact"/>
              <w:rPr>
                <w:rFonts w:ascii="仿宋_GB2312"/>
                <w:color w:val="auto"/>
                <w:sz w:val="24"/>
              </w:rPr>
            </w:pPr>
            <w:r>
              <w:rPr>
                <w:rFonts w:hint="eastAsia" w:ascii="仿宋_GB2312"/>
                <w:color w:val="auto"/>
                <w:sz w:val="24"/>
              </w:rPr>
              <w:t>2.医疗机构应用传统工艺配制中药制剂未依照《中医药法》规定备案，或者未按照备案材料载明的要求配制中药制剂。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40" w:lineRule="exact"/>
              <w:rPr>
                <w:rFonts w:ascii="仿宋_GB2312"/>
                <w:color w:val="auto"/>
                <w:sz w:val="24"/>
              </w:rPr>
            </w:pPr>
            <w:r>
              <w:rPr>
                <w:rFonts w:hint="eastAsia" w:ascii="仿宋_GB2312"/>
                <w:color w:val="auto"/>
                <w:sz w:val="24"/>
              </w:rPr>
              <w:t>处罚依据</w:t>
            </w:r>
          </w:p>
        </w:tc>
        <w:tc>
          <w:tcPr>
            <w:tcW w:w="7280" w:type="dxa"/>
            <w:gridSpan w:val="3"/>
          </w:tcPr>
          <w:p>
            <w:pPr>
              <w:spacing w:line="320" w:lineRule="exact"/>
              <w:rPr>
                <w:rFonts w:ascii="仿宋_GB2312"/>
                <w:color w:val="auto"/>
                <w:sz w:val="24"/>
              </w:rPr>
            </w:pPr>
            <w:r>
              <w:rPr>
                <w:rFonts w:hint="eastAsia" w:ascii="仿宋_GB2312"/>
                <w:color w:val="auto"/>
                <w:sz w:val="24"/>
              </w:rPr>
              <w:t>《中华人民共和国中医药法》第五十六条：</w:t>
            </w:r>
            <w:r>
              <w:rPr>
                <w:rFonts w:ascii="仿宋_GB2312"/>
                <w:color w:val="auto"/>
                <w:sz w:val="24"/>
              </w:rPr>
              <w:t>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pPr>
              <w:spacing w:line="320" w:lineRule="exact"/>
              <w:rPr>
                <w:rFonts w:ascii="仿宋_GB2312"/>
                <w:color w:val="auto"/>
                <w:sz w:val="24"/>
              </w:rPr>
            </w:pPr>
            <w:r>
              <w:rPr>
                <w:rFonts w:hint="eastAsia" w:ascii="仿宋_GB2312"/>
                <w:color w:val="auto"/>
                <w:sz w:val="24"/>
              </w:rPr>
              <w:t>医疗机构应用传统工艺配制中药制剂未依照本法规定备案，或者未按照备案材料载明的要求配制中药制剂的，按生产假药给予处罚。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40" w:lineRule="exact"/>
              <w:rPr>
                <w:rFonts w:ascii="仿宋_GB2312"/>
                <w:color w:val="auto"/>
                <w:sz w:val="24"/>
              </w:rPr>
            </w:pPr>
            <w:r>
              <w:rPr>
                <w:rFonts w:hint="eastAsia" w:ascii="仿宋_GB2312"/>
                <w:color w:val="auto"/>
                <w:sz w:val="24"/>
              </w:rPr>
              <w:t>处罚种类</w:t>
            </w:r>
          </w:p>
        </w:tc>
        <w:tc>
          <w:tcPr>
            <w:tcW w:w="7280" w:type="dxa"/>
            <w:gridSpan w:val="3"/>
          </w:tcPr>
          <w:p>
            <w:pPr>
              <w:spacing w:line="320" w:lineRule="exact"/>
              <w:rPr>
                <w:rFonts w:ascii="仿宋_GB2312"/>
                <w:color w:val="auto"/>
                <w:sz w:val="24"/>
              </w:rPr>
            </w:pPr>
            <w:r>
              <w:rPr>
                <w:rFonts w:ascii="仿宋_GB2312"/>
                <w:color w:val="auto"/>
                <w:sz w:val="24"/>
              </w:rPr>
              <w:t>没收违法所得</w:t>
            </w:r>
            <w:r>
              <w:rPr>
                <w:rFonts w:hint="eastAsia" w:ascii="仿宋_GB2312"/>
                <w:color w:val="auto"/>
                <w:sz w:val="24"/>
              </w:rPr>
              <w:t>；</w:t>
            </w:r>
          </w:p>
          <w:p>
            <w:pPr>
              <w:spacing w:line="320" w:lineRule="exact"/>
              <w:rPr>
                <w:rFonts w:ascii="仿宋_GB2312"/>
                <w:color w:val="auto"/>
                <w:sz w:val="24"/>
              </w:rPr>
            </w:pPr>
            <w:r>
              <w:rPr>
                <w:rFonts w:hint="eastAsia" w:ascii="仿宋_GB2312"/>
                <w:color w:val="auto"/>
                <w:sz w:val="24"/>
              </w:rPr>
              <w:t>并处罚款；</w:t>
            </w:r>
          </w:p>
          <w:p>
            <w:pPr>
              <w:spacing w:line="320" w:lineRule="exact"/>
              <w:rPr>
                <w:rFonts w:ascii="仿宋_GB2312"/>
                <w:color w:val="auto"/>
                <w:sz w:val="24"/>
              </w:rPr>
            </w:pPr>
            <w:r>
              <w:rPr>
                <w:rFonts w:hint="eastAsia" w:ascii="仿宋_GB2312"/>
                <w:color w:val="auto"/>
                <w:sz w:val="24"/>
              </w:rPr>
              <w:t>责令</w:t>
            </w:r>
            <w:r>
              <w:rPr>
                <w:rFonts w:ascii="仿宋_GB2312"/>
                <w:color w:val="auto"/>
                <w:sz w:val="24"/>
              </w:rPr>
              <w:t>停止炮制中药饮片、委托配制中药制剂活动</w:t>
            </w:r>
            <w:r>
              <w:rPr>
                <w:rFonts w:hint="eastAsia" w:ascii="仿宋_GB2312"/>
                <w:color w:val="auto"/>
                <w:sz w:val="24"/>
              </w:rPr>
              <w:t>；</w:t>
            </w:r>
          </w:p>
          <w:p>
            <w:pPr>
              <w:spacing w:line="320" w:lineRule="exact"/>
              <w:rPr>
                <w:rFonts w:ascii="仿宋_GB2312"/>
                <w:color w:val="auto"/>
                <w:sz w:val="24"/>
              </w:rPr>
            </w:pPr>
            <w:r>
              <w:rPr>
                <w:rFonts w:ascii="仿宋_GB2312"/>
                <w:color w:val="auto"/>
                <w:sz w:val="24"/>
              </w:rPr>
              <w:t>直接责任人员五年内不得从事中医药相关活动</w:t>
            </w:r>
            <w:r>
              <w:rPr>
                <w:rFonts w:hint="eastAsia" w:ascii="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40" w:lineRule="exact"/>
              <w:rPr>
                <w:rFonts w:ascii="仿宋_GB2312"/>
                <w:color w:val="auto"/>
                <w:sz w:val="24"/>
              </w:rPr>
            </w:pPr>
            <w:r>
              <w:rPr>
                <w:rFonts w:hint="eastAsia" w:ascii="仿宋_GB2312"/>
                <w:color w:val="auto"/>
                <w:sz w:val="24"/>
              </w:rPr>
              <w:t>实施主体</w:t>
            </w:r>
          </w:p>
        </w:tc>
        <w:tc>
          <w:tcPr>
            <w:tcW w:w="7280" w:type="dxa"/>
            <w:gridSpan w:val="3"/>
          </w:tcPr>
          <w:p>
            <w:pPr>
              <w:spacing w:line="320" w:lineRule="exact"/>
              <w:rPr>
                <w:rFonts w:ascii="仿宋_GB2312"/>
                <w:color w:val="auto"/>
                <w:sz w:val="24"/>
              </w:rPr>
            </w:pPr>
            <w:r>
              <w:rPr>
                <w:rFonts w:hint="eastAsia" w:ascii="仿宋_GB2312"/>
                <w:color w:val="auto"/>
                <w:sz w:val="24"/>
              </w:rPr>
              <w:t>县级以上人民政府</w:t>
            </w:r>
            <w:r>
              <w:rPr>
                <w:rFonts w:ascii="仿宋_GB2312"/>
                <w:color w:val="auto"/>
                <w:sz w:val="24"/>
              </w:rPr>
              <w:t>药品监督管理部门</w:t>
            </w:r>
            <w:r>
              <w:rPr>
                <w:rFonts w:hint="eastAsia" w:ascii="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40" w:lineRule="exact"/>
              <w:rPr>
                <w:rFonts w:ascii="仿宋_GB2312"/>
                <w:color w:val="auto"/>
                <w:sz w:val="24"/>
              </w:rPr>
            </w:pPr>
            <w:r>
              <w:rPr>
                <w:rFonts w:hint="eastAsia" w:ascii="仿宋_GB2312"/>
                <w:color w:val="auto"/>
                <w:sz w:val="24"/>
              </w:rPr>
              <w:t>裁量范围</w:t>
            </w:r>
          </w:p>
        </w:tc>
        <w:tc>
          <w:tcPr>
            <w:tcW w:w="7280" w:type="dxa"/>
            <w:gridSpan w:val="3"/>
          </w:tcPr>
          <w:p>
            <w:pPr>
              <w:spacing w:line="320" w:lineRule="exact"/>
              <w:rPr>
                <w:rFonts w:ascii="仿宋_GB2312"/>
                <w:color w:val="auto"/>
                <w:sz w:val="24"/>
              </w:rPr>
            </w:pPr>
            <w:r>
              <w:rPr>
                <w:rFonts w:ascii="仿宋_GB2312"/>
                <w:color w:val="auto"/>
                <w:sz w:val="24"/>
              </w:rPr>
              <w:t>处三万元以下罚款</w:t>
            </w:r>
            <w:r>
              <w:rPr>
                <w:rFonts w:hint="eastAsia" w:ascii="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40" w:lineRule="exact"/>
              <w:rPr>
                <w:rFonts w:ascii="仿宋_GB2312"/>
                <w:color w:val="auto"/>
                <w:sz w:val="24"/>
              </w:rPr>
            </w:pPr>
            <w:r>
              <w:rPr>
                <w:rFonts w:hint="eastAsia" w:ascii="仿宋_GB2312"/>
                <w:color w:val="auto"/>
                <w:sz w:val="24"/>
              </w:rPr>
              <w:t>裁量阶次</w:t>
            </w:r>
          </w:p>
        </w:tc>
        <w:tc>
          <w:tcPr>
            <w:tcW w:w="846" w:type="dxa"/>
            <w:vAlign w:val="center"/>
          </w:tcPr>
          <w:p>
            <w:pPr>
              <w:spacing w:line="320" w:lineRule="exact"/>
              <w:jc w:val="center"/>
              <w:rPr>
                <w:rFonts w:ascii="仿宋_GB2312"/>
                <w:color w:val="auto"/>
                <w:sz w:val="24"/>
              </w:rPr>
            </w:pPr>
            <w:r>
              <w:rPr>
                <w:rFonts w:hint="eastAsia" w:ascii="仿宋_GB2312"/>
                <w:color w:val="auto"/>
                <w:sz w:val="24"/>
              </w:rPr>
              <w:t>裁量</w:t>
            </w:r>
          </w:p>
        </w:tc>
        <w:tc>
          <w:tcPr>
            <w:tcW w:w="3523" w:type="dxa"/>
            <w:vAlign w:val="center"/>
          </w:tcPr>
          <w:p>
            <w:pPr>
              <w:spacing w:line="320" w:lineRule="exact"/>
              <w:jc w:val="center"/>
              <w:rPr>
                <w:rFonts w:ascii="仿宋_GB2312"/>
                <w:color w:val="auto"/>
                <w:sz w:val="24"/>
              </w:rPr>
            </w:pPr>
            <w:r>
              <w:rPr>
                <w:rFonts w:hint="eastAsia" w:ascii="仿宋_GB2312"/>
                <w:color w:val="auto"/>
                <w:sz w:val="24"/>
              </w:rPr>
              <w:t>裁量因素</w:t>
            </w:r>
          </w:p>
        </w:tc>
        <w:tc>
          <w:tcPr>
            <w:tcW w:w="2911" w:type="dxa"/>
            <w:vAlign w:val="center"/>
          </w:tcPr>
          <w:p>
            <w:pPr>
              <w:spacing w:line="320" w:lineRule="exact"/>
              <w:jc w:val="center"/>
              <w:rPr>
                <w:rFonts w:ascii="仿宋_GB2312"/>
                <w:color w:val="auto"/>
                <w:sz w:val="24"/>
              </w:rPr>
            </w:pPr>
            <w:r>
              <w:rPr>
                <w:rFonts w:hint="eastAsia" w:ascii="仿宋_GB2312"/>
                <w:color w:val="auto"/>
                <w:sz w:val="24"/>
              </w:rPr>
              <w:t>裁量基准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42" w:type="dxa"/>
            <w:vMerge w:val="restart"/>
            <w:vAlign w:val="center"/>
          </w:tcPr>
          <w:p>
            <w:pPr>
              <w:spacing w:line="340" w:lineRule="exact"/>
              <w:rPr>
                <w:rFonts w:ascii="仿宋_GB2312"/>
                <w:color w:val="auto"/>
                <w:sz w:val="24"/>
              </w:rPr>
            </w:pPr>
          </w:p>
        </w:tc>
        <w:tc>
          <w:tcPr>
            <w:tcW w:w="846" w:type="dxa"/>
            <w:vAlign w:val="center"/>
          </w:tcPr>
          <w:p>
            <w:pPr>
              <w:spacing w:line="320" w:lineRule="exact"/>
              <w:rPr>
                <w:rFonts w:ascii="仿宋_GB2312"/>
                <w:color w:val="auto"/>
                <w:sz w:val="24"/>
              </w:rPr>
            </w:pPr>
          </w:p>
          <w:p>
            <w:pPr>
              <w:spacing w:line="320" w:lineRule="exact"/>
              <w:rPr>
                <w:rFonts w:ascii="仿宋_GB2312"/>
                <w:color w:val="auto"/>
                <w:sz w:val="24"/>
              </w:rPr>
            </w:pPr>
            <w:r>
              <w:rPr>
                <w:rFonts w:hint="eastAsia" w:ascii="仿宋_GB2312"/>
                <w:color w:val="auto"/>
                <w:sz w:val="24"/>
              </w:rPr>
              <w:t>中限</w:t>
            </w:r>
          </w:p>
        </w:tc>
        <w:tc>
          <w:tcPr>
            <w:tcW w:w="3523" w:type="dxa"/>
            <w:vAlign w:val="center"/>
          </w:tcPr>
          <w:p>
            <w:pPr>
              <w:spacing w:line="320" w:lineRule="exact"/>
              <w:rPr>
                <w:rFonts w:ascii="仿宋_GB2312"/>
                <w:color w:val="auto"/>
                <w:sz w:val="24"/>
              </w:rPr>
            </w:pPr>
            <w:r>
              <w:rPr>
                <w:rFonts w:hint="eastAsia" w:ascii="仿宋_GB2312"/>
                <w:color w:val="auto"/>
                <w:sz w:val="24"/>
              </w:rPr>
              <w:t>无本裁量基准从重、从轻和减轻等情节的</w:t>
            </w:r>
          </w:p>
        </w:tc>
        <w:tc>
          <w:tcPr>
            <w:tcW w:w="2911" w:type="dxa"/>
            <w:vAlign w:val="center"/>
          </w:tcPr>
          <w:p>
            <w:pPr>
              <w:spacing w:line="320" w:lineRule="exact"/>
              <w:rPr>
                <w:rFonts w:ascii="仿宋_GB2312"/>
                <w:color w:val="auto"/>
                <w:sz w:val="24"/>
              </w:rPr>
            </w:pPr>
            <w:r>
              <w:rPr>
                <w:rFonts w:hint="eastAsia" w:ascii="仿宋_GB2312"/>
                <w:color w:val="auto"/>
                <w:sz w:val="24"/>
              </w:rPr>
              <w:t>15000元罚款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42" w:type="dxa"/>
            <w:vMerge w:val="continue"/>
            <w:vAlign w:val="center"/>
          </w:tcPr>
          <w:p>
            <w:pPr>
              <w:spacing w:line="340" w:lineRule="exact"/>
              <w:rPr>
                <w:rFonts w:ascii="仿宋_GB2312"/>
                <w:color w:val="auto"/>
                <w:sz w:val="24"/>
              </w:rPr>
            </w:pPr>
          </w:p>
        </w:tc>
        <w:tc>
          <w:tcPr>
            <w:tcW w:w="846" w:type="dxa"/>
            <w:vAlign w:val="center"/>
          </w:tcPr>
          <w:p>
            <w:pPr>
              <w:spacing w:line="320" w:lineRule="exact"/>
              <w:rPr>
                <w:rFonts w:ascii="仿宋_GB2312"/>
                <w:color w:val="auto"/>
                <w:sz w:val="24"/>
              </w:rPr>
            </w:pPr>
            <w:r>
              <w:rPr>
                <w:rFonts w:hint="eastAsia" w:ascii="仿宋_GB2312"/>
                <w:color w:val="auto"/>
                <w:sz w:val="24"/>
              </w:rPr>
              <w:t>减轻</w:t>
            </w:r>
          </w:p>
        </w:tc>
        <w:tc>
          <w:tcPr>
            <w:tcW w:w="3523"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2911" w:type="dxa"/>
            <w:vAlign w:val="center"/>
          </w:tcPr>
          <w:p>
            <w:pPr>
              <w:spacing w:line="320" w:lineRule="exact"/>
              <w:rPr>
                <w:rFonts w:ascii="仿宋_GB2312"/>
                <w:color w:val="auto"/>
                <w:sz w:val="24"/>
              </w:rPr>
            </w:pPr>
            <w:r>
              <w:rPr>
                <w:rFonts w:hint="eastAsia" w:ascii="仿宋_GB2312"/>
                <w:color w:val="auto"/>
                <w:sz w:val="24"/>
              </w:rPr>
              <w:t>免除罚款处罚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42" w:type="dxa"/>
            <w:vMerge w:val="continue"/>
            <w:vAlign w:val="center"/>
          </w:tcPr>
          <w:p>
            <w:pPr>
              <w:spacing w:line="340" w:lineRule="exact"/>
              <w:rPr>
                <w:rFonts w:ascii="仿宋_GB2312"/>
                <w:color w:val="auto"/>
                <w:sz w:val="24"/>
              </w:rPr>
            </w:pPr>
          </w:p>
        </w:tc>
        <w:tc>
          <w:tcPr>
            <w:tcW w:w="846" w:type="dxa"/>
            <w:vMerge w:val="restart"/>
            <w:vAlign w:val="center"/>
          </w:tcPr>
          <w:p>
            <w:pPr>
              <w:spacing w:line="320" w:lineRule="exact"/>
              <w:rPr>
                <w:rFonts w:ascii="仿宋_GB2312"/>
                <w:color w:val="auto"/>
                <w:sz w:val="24"/>
              </w:rPr>
            </w:pPr>
          </w:p>
          <w:p>
            <w:pPr>
              <w:spacing w:line="320" w:lineRule="exact"/>
              <w:rPr>
                <w:rFonts w:ascii="仿宋_GB2312"/>
                <w:color w:val="auto"/>
                <w:sz w:val="24"/>
              </w:rPr>
            </w:pPr>
            <w:r>
              <w:rPr>
                <w:rFonts w:hint="eastAsia" w:ascii="仿宋_GB2312"/>
                <w:color w:val="auto"/>
                <w:sz w:val="24"/>
              </w:rPr>
              <w:t>从轻</w:t>
            </w:r>
          </w:p>
        </w:tc>
        <w:tc>
          <w:tcPr>
            <w:tcW w:w="3523"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《山东省市场监督管理局行使行政处罚裁量权适用规则（试行）》第十一条、第十二条情形</w:t>
            </w:r>
          </w:p>
        </w:tc>
        <w:tc>
          <w:tcPr>
            <w:tcW w:w="2911" w:type="dxa"/>
            <w:vAlign w:val="center"/>
          </w:tcPr>
          <w:p>
            <w:pPr>
              <w:spacing w:line="320" w:lineRule="exact"/>
              <w:rPr>
                <w:rFonts w:ascii="仿宋_GB2312"/>
                <w:color w:val="auto"/>
                <w:sz w:val="24"/>
              </w:rPr>
            </w:pPr>
            <w:r>
              <w:rPr>
                <w:rFonts w:hint="eastAsia" w:ascii="仿宋_GB2312"/>
                <w:color w:val="auto"/>
                <w:sz w:val="24"/>
              </w:rPr>
              <w:t>1000元以上15000元以下罚款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42" w:type="dxa"/>
            <w:vMerge w:val="continue"/>
            <w:vAlign w:val="center"/>
          </w:tcPr>
          <w:p>
            <w:pPr>
              <w:spacing w:line="340" w:lineRule="exact"/>
              <w:rPr>
                <w:rFonts w:ascii="仿宋_GB2312"/>
                <w:color w:val="auto"/>
                <w:sz w:val="24"/>
              </w:rPr>
            </w:pPr>
          </w:p>
        </w:tc>
        <w:tc>
          <w:tcPr>
            <w:tcW w:w="846" w:type="dxa"/>
            <w:vMerge w:val="continue"/>
            <w:vAlign w:val="center"/>
          </w:tcPr>
          <w:p>
            <w:pPr>
              <w:spacing w:line="320" w:lineRule="exact"/>
              <w:rPr>
                <w:rFonts w:ascii="仿宋_GB2312"/>
                <w:color w:val="auto"/>
                <w:sz w:val="24"/>
              </w:rPr>
            </w:pPr>
          </w:p>
        </w:tc>
        <w:tc>
          <w:tcPr>
            <w:tcW w:w="3523"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2911" w:type="dxa"/>
            <w:vAlign w:val="center"/>
          </w:tcPr>
          <w:p>
            <w:pPr>
              <w:spacing w:line="320" w:lineRule="exact"/>
              <w:rPr>
                <w:rFonts w:ascii="仿宋_GB2312"/>
                <w:color w:val="auto"/>
                <w:sz w:val="24"/>
              </w:rPr>
            </w:pPr>
            <w:r>
              <w:rPr>
                <w:rFonts w:hint="eastAsia" w:ascii="仿宋_GB2312"/>
                <w:color w:val="auto"/>
                <w:sz w:val="24"/>
              </w:rPr>
              <w:t>1000元罚款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242" w:type="dxa"/>
            <w:vMerge w:val="continue"/>
            <w:vAlign w:val="center"/>
          </w:tcPr>
          <w:p>
            <w:pPr>
              <w:spacing w:line="340" w:lineRule="exact"/>
              <w:rPr>
                <w:rFonts w:ascii="仿宋_GB2312"/>
                <w:color w:val="auto"/>
                <w:sz w:val="24"/>
              </w:rPr>
            </w:pPr>
          </w:p>
        </w:tc>
        <w:tc>
          <w:tcPr>
            <w:tcW w:w="846" w:type="dxa"/>
            <w:vMerge w:val="restart"/>
            <w:vAlign w:val="center"/>
          </w:tcPr>
          <w:p>
            <w:pPr>
              <w:spacing w:line="320" w:lineRule="exact"/>
              <w:rPr>
                <w:rFonts w:ascii="仿宋_GB2312"/>
                <w:color w:val="auto"/>
                <w:sz w:val="24"/>
              </w:rPr>
            </w:pPr>
            <w:r>
              <w:rPr>
                <w:rFonts w:hint="eastAsia" w:ascii="仿宋_GB2312"/>
                <w:color w:val="auto"/>
                <w:sz w:val="24"/>
              </w:rPr>
              <w:t>从重</w:t>
            </w:r>
          </w:p>
        </w:tc>
        <w:tc>
          <w:tcPr>
            <w:tcW w:w="3523"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《山东省市场监督管理局行使行政处罚裁量权适用规则（试行）》第十三条情形</w:t>
            </w:r>
          </w:p>
        </w:tc>
        <w:tc>
          <w:tcPr>
            <w:tcW w:w="2911" w:type="dxa"/>
            <w:vAlign w:val="center"/>
          </w:tcPr>
          <w:p>
            <w:pPr>
              <w:spacing w:line="320" w:lineRule="exact"/>
              <w:rPr>
                <w:rFonts w:ascii="仿宋_GB2312"/>
                <w:color w:val="auto"/>
                <w:sz w:val="24"/>
              </w:rPr>
            </w:pPr>
            <w:r>
              <w:rPr>
                <w:rFonts w:hint="eastAsia" w:ascii="仿宋_GB2312"/>
                <w:color w:val="auto"/>
                <w:sz w:val="24"/>
              </w:rPr>
              <w:t>15000元以上30000元以下罚款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242" w:type="dxa"/>
            <w:vMerge w:val="continue"/>
            <w:vAlign w:val="center"/>
          </w:tcPr>
          <w:p>
            <w:pPr>
              <w:spacing w:line="340" w:lineRule="exact"/>
              <w:rPr>
                <w:rFonts w:ascii="仿宋_GB2312"/>
                <w:color w:val="auto"/>
                <w:sz w:val="24"/>
              </w:rPr>
            </w:pPr>
          </w:p>
        </w:tc>
        <w:tc>
          <w:tcPr>
            <w:tcW w:w="846" w:type="dxa"/>
            <w:vMerge w:val="continue"/>
          </w:tcPr>
          <w:p>
            <w:pPr>
              <w:spacing w:line="320" w:lineRule="exact"/>
              <w:rPr>
                <w:rFonts w:ascii="仿宋_GB2312"/>
                <w:color w:val="auto"/>
                <w:sz w:val="24"/>
              </w:rPr>
            </w:pPr>
          </w:p>
        </w:tc>
        <w:tc>
          <w:tcPr>
            <w:tcW w:w="3523" w:type="dxa"/>
            <w:vAlign w:val="center"/>
          </w:tcPr>
          <w:p>
            <w:pPr>
              <w:spacing w:line="320" w:lineRule="exact"/>
              <w:rPr>
                <w:rFonts w:ascii="仿宋_GB2312"/>
                <w:color w:val="auto"/>
                <w:sz w:val="24"/>
              </w:rPr>
            </w:pPr>
            <w:r>
              <w:rPr>
                <w:rFonts w:hint="eastAsia" w:ascii="仿宋_GB2312"/>
                <w:color w:val="auto"/>
                <w:sz w:val="24"/>
              </w:rPr>
              <w:t>《山东省市场监督管理局行使行政处罚裁量权适用规则（试行）》第十四条情形</w:t>
            </w:r>
          </w:p>
        </w:tc>
        <w:tc>
          <w:tcPr>
            <w:tcW w:w="2911" w:type="dxa"/>
            <w:vAlign w:val="center"/>
          </w:tcPr>
          <w:p>
            <w:pPr>
              <w:spacing w:line="320" w:lineRule="exact"/>
              <w:rPr>
                <w:rFonts w:ascii="仿宋_GB2312"/>
                <w:color w:val="auto"/>
                <w:sz w:val="24"/>
              </w:rPr>
            </w:pPr>
            <w:r>
              <w:rPr>
                <w:rFonts w:hint="eastAsia" w:ascii="仿宋_GB2312"/>
                <w:color w:val="auto"/>
                <w:sz w:val="24"/>
              </w:rPr>
              <w:t>30000元罚款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spacing w:line="340" w:lineRule="exact"/>
              <w:rPr>
                <w:rFonts w:ascii="仿宋_GB2312"/>
                <w:color w:val="auto"/>
                <w:sz w:val="24"/>
              </w:rPr>
            </w:pPr>
            <w:r>
              <w:rPr>
                <w:rFonts w:hint="eastAsia" w:ascii="仿宋_GB2312"/>
                <w:color w:val="auto"/>
                <w:sz w:val="24"/>
              </w:rPr>
              <w:t>说明</w:t>
            </w:r>
          </w:p>
        </w:tc>
        <w:tc>
          <w:tcPr>
            <w:tcW w:w="7280" w:type="dxa"/>
            <w:gridSpan w:val="3"/>
          </w:tcPr>
          <w:p>
            <w:pPr>
              <w:spacing w:line="320" w:lineRule="exact"/>
              <w:rPr>
                <w:rFonts w:ascii="仿宋_GB2312"/>
                <w:color w:val="auto"/>
                <w:sz w:val="24"/>
              </w:rPr>
            </w:pPr>
          </w:p>
        </w:tc>
      </w:tr>
    </w:tbl>
    <w:p>
      <w:pPr>
        <w:ind w:firstLine="630"/>
        <w:rPr>
          <w:rFonts w:ascii="仿宋_GB2312" w:hAnsi="仿宋"/>
          <w:color w:val="auto"/>
        </w:rPr>
        <w:sectPr>
          <w:footerReference r:id="rId193" w:type="default"/>
          <w:footerReference r:id="rId194" w:type="even"/>
          <w:pgSz w:w="11906" w:h="16838"/>
          <w:pgMar w:top="1418" w:right="1758" w:bottom="1247" w:left="1758" w:header="851" w:footer="1418" w:gutter="0"/>
          <w:cols w:space="425" w:num="1"/>
          <w:docGrid w:type="linesAndChars" w:linePitch="577" w:charSpace="-849"/>
        </w:sectPr>
      </w:pPr>
    </w:p>
    <w:p>
      <w:pPr>
        <w:rPr>
          <w:rFonts w:ascii="仿宋_GB2312" w:hAnsi="仿宋"/>
          <w:color w:val="auto"/>
        </w:rPr>
      </w:pPr>
      <w:r>
        <w:rPr>
          <w:rFonts w:ascii="仿宋_GB2312" w:hAnsi="仿宋"/>
          <w:color w:val="auto"/>
        </w:rPr>
        <mc:AlternateContent>
          <mc:Choice Requires="wps">
            <w:drawing>
              <wp:anchor distT="0" distB="0" distL="114300" distR="114300" simplePos="0" relativeHeight="251659264" behindDoc="0" locked="0" layoutInCell="1" allowOverlap="1">
                <wp:simplePos x="0" y="0"/>
                <wp:positionH relativeFrom="column">
                  <wp:posOffset>4249420</wp:posOffset>
                </wp:positionH>
                <wp:positionV relativeFrom="paragraph">
                  <wp:posOffset>7836535</wp:posOffset>
                </wp:positionV>
                <wp:extent cx="1310640" cy="792480"/>
                <wp:effectExtent l="6350" t="6350" r="16510" b="20320"/>
                <wp:wrapNone/>
                <wp:docPr id="2" name="矩形 2"/>
                <wp:cNvGraphicFramePr/>
                <a:graphic xmlns:a="http://schemas.openxmlformats.org/drawingml/2006/main">
                  <a:graphicData uri="http://schemas.microsoft.com/office/word/2010/wordprocessingShape">
                    <wps:wsp>
                      <wps:cNvSpPr/>
                      <wps:spPr>
                        <a:xfrm>
                          <a:off x="0" y="0"/>
                          <a:ext cx="1310640" cy="792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6pt;margin-top:617.05pt;height:62.4pt;width:103.2pt;z-index:251659264;v-text-anchor:middle;mso-width-relative:page;mso-height-relative:page;" fillcolor="#FFFFFF [3212]" filled="t" stroked="t" coordsize="21600,21600" o:gfxdata="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NgeVDaAAAADQEAAA8AAAAAAAAAAQAgAAAAIgAAAGRycy9k&#10;b3ducmV2LnhtbFBLAQIUABQAAAAIAIdO4kBXOMH6cgIAAP8EAAAOAAAAAAAAAAEAIAAAACkBAABk&#10;cnMvZTJvRG9jLnhtbFBLBQYAAAAABgAGAFkBAAANBgAAAAA=&#10;">
                <v:fill on="t" focussize="0,0"/>
                <v:stroke weight="1pt" color="#FFFFFF [3212]" miterlimit="8" joinstyle="miter"/>
                <v:imagedata o:title=""/>
                <o:lock v:ext="edit" aspectratio="f"/>
                <v:textbox>
                  <w:txbxContent>
                    <w:p>
                      <w:pPr>
                        <w:jc w:val="center"/>
                      </w:pPr>
                    </w:p>
                  </w:txbxContent>
                </v:textbox>
              </v:rect>
            </w:pict>
          </mc:Fallback>
        </mc:AlternateContent>
      </w: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p>
    <w:p>
      <w:pPr>
        <w:rPr>
          <w:rFonts w:ascii="仿宋_GB2312" w:hAnsi="仿宋"/>
          <w:color w:val="auto"/>
        </w:rPr>
      </w:pPr>
      <w:r>
        <w:rPr>
          <w:rFonts w:hint="eastAsia" w:ascii="仿宋_GB2312" w:hAnsi="仿宋"/>
          <w:color w:val="auto"/>
        </w:rPr>
        <mc:AlternateContent>
          <mc:Choice Requires="wps">
            <w:drawing>
              <wp:anchor distT="0" distB="0" distL="114300" distR="114300" simplePos="0" relativeHeight="251658240" behindDoc="0" locked="0" layoutInCell="1" allowOverlap="1">
                <wp:simplePos x="0" y="0"/>
                <wp:positionH relativeFrom="column">
                  <wp:posOffset>12700</wp:posOffset>
                </wp:positionH>
                <wp:positionV relativeFrom="paragraph">
                  <wp:posOffset>364490</wp:posOffset>
                </wp:positionV>
                <wp:extent cx="5618480" cy="1066800"/>
                <wp:effectExtent l="4445" t="5080" r="15875" b="13970"/>
                <wp:wrapNone/>
                <wp:docPr id="1" name="Text Box 13"/>
                <wp:cNvGraphicFramePr/>
                <a:graphic xmlns:a="http://schemas.openxmlformats.org/drawingml/2006/main">
                  <a:graphicData uri="http://schemas.microsoft.com/office/word/2010/wordprocessingShape">
                    <wps:wsp>
                      <wps:cNvSpPr txBox="1">
                        <a:spLocks noChangeArrowheads="1"/>
                      </wps:cNvSpPr>
                      <wps:spPr bwMode="auto">
                        <a:xfrm>
                          <a:off x="0" y="0"/>
                          <a:ext cx="5618480" cy="1066800"/>
                        </a:xfrm>
                        <a:prstGeom prst="rect">
                          <a:avLst/>
                        </a:prstGeom>
                        <a:solidFill>
                          <a:srgbClr val="FFFFFF"/>
                        </a:solidFill>
                        <a:ln w="9525">
                          <a:solidFill>
                            <a:srgbClr val="FFFFFF"/>
                          </a:solidFill>
                          <a:miter lim="800000"/>
                        </a:ln>
                      </wps:spPr>
                      <wps:txbx>
                        <w:txbxContent>
                          <w:tbl>
                            <w:tblPr>
                              <w:tblStyle w:val="1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8546" w:type="dxa"/>
                                  <w:tcBorders>
                                    <w:top w:val="single" w:color="auto" w:sz="8" w:space="0"/>
                                    <w:left w:val="nil"/>
                                    <w:bottom w:val="single" w:color="auto" w:sz="8" w:space="0"/>
                                    <w:right w:val="nil"/>
                                  </w:tcBorders>
                                  <w:shd w:val="clear" w:color="auto" w:fill="auto"/>
                                  <w:vAlign w:val="center"/>
                                </w:tcPr>
                                <w:p>
                                  <w:pPr>
                                    <w:ind w:firstLine="280" w:firstLineChars="100"/>
                                    <w:rPr>
                                      <w:rFonts w:ascii="仿宋_GB2312"/>
                                    </w:rPr>
                                  </w:pPr>
                                  <w:r>
                                    <w:rPr>
                                      <w:rFonts w:hint="eastAsia" w:ascii="仿宋_GB2312" w:hAnsi="仿宋"/>
                                      <w:sz w:val="28"/>
                                      <w:szCs w:val="28"/>
                                      <w:lang w:eastAsia="zh-CN"/>
                                    </w:rPr>
                                    <w:t>枣庄市市场</w:t>
                                  </w:r>
                                  <w:r>
                                    <w:rPr>
                                      <w:rFonts w:hint="eastAsia" w:ascii="仿宋_GB2312" w:hAnsi="仿宋"/>
                                      <w:sz w:val="28"/>
                                      <w:szCs w:val="28"/>
                                    </w:rPr>
                                    <w:t xml:space="preserve">监督管理局办公室 </w:t>
                                  </w:r>
                                  <w:r>
                                    <w:rPr>
                                      <w:rFonts w:ascii="仿宋_GB2312" w:hAnsi="仿宋"/>
                                      <w:sz w:val="28"/>
                                      <w:szCs w:val="28"/>
                                    </w:rPr>
                                    <w:t xml:space="preserve">      </w:t>
                                  </w:r>
                                  <w:r>
                                    <w:rPr>
                                      <w:rFonts w:hint="eastAsia" w:ascii="仿宋_GB2312" w:hAnsi="仿宋"/>
                                      <w:sz w:val="28"/>
                                      <w:szCs w:val="28"/>
                                    </w:rPr>
                                    <w:t xml:space="preserve">   20</w:t>
                                  </w:r>
                                  <w:r>
                                    <w:rPr>
                                      <w:rFonts w:hint="eastAsia" w:ascii="仿宋_GB2312" w:hAnsi="仿宋"/>
                                      <w:sz w:val="28"/>
                                      <w:szCs w:val="28"/>
                                      <w:lang w:val="en-US" w:eastAsia="zh-CN"/>
                                    </w:rPr>
                                    <w:t>20</w:t>
                                  </w:r>
                                  <w:r>
                                    <w:rPr>
                                      <w:rFonts w:hint="eastAsia" w:ascii="仿宋_GB2312" w:hAnsi="仿宋"/>
                                      <w:sz w:val="28"/>
                                      <w:szCs w:val="28"/>
                                    </w:rPr>
                                    <w:t>年1</w:t>
                                  </w:r>
                                  <w:r>
                                    <w:rPr>
                                      <w:rFonts w:hint="eastAsia" w:ascii="仿宋_GB2312" w:hAnsi="仿宋"/>
                                      <w:sz w:val="28"/>
                                      <w:szCs w:val="28"/>
                                      <w:lang w:val="en-US" w:eastAsia="zh-CN"/>
                                    </w:rPr>
                                    <w:t>0</w:t>
                                  </w:r>
                                  <w:r>
                                    <w:rPr>
                                      <w:rFonts w:hint="eastAsia" w:ascii="仿宋_GB2312" w:hAnsi="仿宋"/>
                                      <w:sz w:val="28"/>
                                      <w:szCs w:val="28"/>
                                    </w:rPr>
                                    <w:t>月</w:t>
                                  </w:r>
                                  <w:r>
                                    <w:rPr>
                                      <w:rFonts w:hint="eastAsia" w:ascii="仿宋_GB2312" w:hAnsi="仿宋"/>
                                      <w:sz w:val="28"/>
                                      <w:szCs w:val="28"/>
                                      <w:lang w:val="en-US" w:eastAsia="zh-CN"/>
                                    </w:rPr>
                                    <w:t>28</w:t>
                                  </w:r>
                                  <w:r>
                                    <w:rPr>
                                      <w:rFonts w:hint="eastAsia" w:ascii="仿宋_GB2312" w:hAnsi="仿宋"/>
                                      <w:sz w:val="28"/>
                                      <w:szCs w:val="28"/>
                                    </w:rPr>
                                    <w:t>日印发</w:t>
                                  </w:r>
                                </w:p>
                              </w:tc>
                            </w:tr>
                          </w:tbl>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1pt;margin-top:28.7pt;height:84pt;width:442.4pt;z-index:251658240;mso-width-relative:page;mso-height-relative:page;" fillcolor="#FFFFFF" filled="t" stroked="t" coordsize="21600,21600" o:gfxdata="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6QQo1wAAAAgBAAAPAAAAAAAAAAEAIAAAACIAAABkcnMvZG93bnJldi54bWxQ&#10;SwECFAAUAAAACACHTuJAFnjDBjECAACIBAAADgAAAAAAAAABACAAAAAmAQAAZHJzL2Uyb0RvYy54&#10;bWxQSwUGAAAAAAYABgBZAQAAyQUAAAAA&#10;">
                <v:fill on="t" focussize="0,0"/>
                <v:stroke color="#FFFFFF" miterlimit="8" joinstyle="miter"/>
                <v:imagedata o:title=""/>
                <o:lock v:ext="edit" aspectratio="f"/>
                <v:textbox>
                  <w:txbxContent>
                    <w:tbl>
                      <w:tblPr>
                        <w:tblStyle w:val="1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8546" w:type="dxa"/>
                            <w:tcBorders>
                              <w:top w:val="single" w:color="auto" w:sz="8" w:space="0"/>
                              <w:left w:val="nil"/>
                              <w:bottom w:val="single" w:color="auto" w:sz="8" w:space="0"/>
                              <w:right w:val="nil"/>
                            </w:tcBorders>
                            <w:shd w:val="clear" w:color="auto" w:fill="auto"/>
                            <w:vAlign w:val="center"/>
                          </w:tcPr>
                          <w:p>
                            <w:pPr>
                              <w:ind w:firstLine="280" w:firstLineChars="100"/>
                              <w:rPr>
                                <w:rFonts w:ascii="仿宋_GB2312"/>
                              </w:rPr>
                            </w:pPr>
                            <w:r>
                              <w:rPr>
                                <w:rFonts w:hint="eastAsia" w:ascii="仿宋_GB2312" w:hAnsi="仿宋"/>
                                <w:sz w:val="28"/>
                                <w:szCs w:val="28"/>
                                <w:lang w:eastAsia="zh-CN"/>
                              </w:rPr>
                              <w:t>枣庄市市场</w:t>
                            </w:r>
                            <w:r>
                              <w:rPr>
                                <w:rFonts w:hint="eastAsia" w:ascii="仿宋_GB2312" w:hAnsi="仿宋"/>
                                <w:sz w:val="28"/>
                                <w:szCs w:val="28"/>
                              </w:rPr>
                              <w:t xml:space="preserve">监督管理局办公室 </w:t>
                            </w:r>
                            <w:r>
                              <w:rPr>
                                <w:rFonts w:ascii="仿宋_GB2312" w:hAnsi="仿宋"/>
                                <w:sz w:val="28"/>
                                <w:szCs w:val="28"/>
                              </w:rPr>
                              <w:t xml:space="preserve">      </w:t>
                            </w:r>
                            <w:r>
                              <w:rPr>
                                <w:rFonts w:hint="eastAsia" w:ascii="仿宋_GB2312" w:hAnsi="仿宋"/>
                                <w:sz w:val="28"/>
                                <w:szCs w:val="28"/>
                              </w:rPr>
                              <w:t xml:space="preserve">   20</w:t>
                            </w:r>
                            <w:r>
                              <w:rPr>
                                <w:rFonts w:hint="eastAsia" w:ascii="仿宋_GB2312" w:hAnsi="仿宋"/>
                                <w:sz w:val="28"/>
                                <w:szCs w:val="28"/>
                                <w:lang w:val="en-US" w:eastAsia="zh-CN"/>
                              </w:rPr>
                              <w:t>20</w:t>
                            </w:r>
                            <w:r>
                              <w:rPr>
                                <w:rFonts w:hint="eastAsia" w:ascii="仿宋_GB2312" w:hAnsi="仿宋"/>
                                <w:sz w:val="28"/>
                                <w:szCs w:val="28"/>
                              </w:rPr>
                              <w:t>年1</w:t>
                            </w:r>
                            <w:r>
                              <w:rPr>
                                <w:rFonts w:hint="eastAsia" w:ascii="仿宋_GB2312" w:hAnsi="仿宋"/>
                                <w:sz w:val="28"/>
                                <w:szCs w:val="28"/>
                                <w:lang w:val="en-US" w:eastAsia="zh-CN"/>
                              </w:rPr>
                              <w:t>0</w:t>
                            </w:r>
                            <w:r>
                              <w:rPr>
                                <w:rFonts w:hint="eastAsia" w:ascii="仿宋_GB2312" w:hAnsi="仿宋"/>
                                <w:sz w:val="28"/>
                                <w:szCs w:val="28"/>
                              </w:rPr>
                              <w:t>月</w:t>
                            </w:r>
                            <w:r>
                              <w:rPr>
                                <w:rFonts w:hint="eastAsia" w:ascii="仿宋_GB2312" w:hAnsi="仿宋"/>
                                <w:sz w:val="28"/>
                                <w:szCs w:val="28"/>
                                <w:lang w:val="en-US" w:eastAsia="zh-CN"/>
                              </w:rPr>
                              <w:t>28</w:t>
                            </w:r>
                            <w:r>
                              <w:rPr>
                                <w:rFonts w:hint="eastAsia" w:ascii="仿宋_GB2312" w:hAnsi="仿宋"/>
                                <w:sz w:val="28"/>
                                <w:szCs w:val="28"/>
                              </w:rPr>
                              <w:t>日印发</w:t>
                            </w:r>
                          </w:p>
                        </w:tc>
                      </w:tr>
                    </w:tbl>
                    <w:p/>
                  </w:txbxContent>
                </v:textbox>
              </v:shape>
            </w:pict>
          </mc:Fallback>
        </mc:AlternateContent>
      </w:r>
    </w:p>
    <w:p>
      <w:pPr>
        <w:rPr>
          <w:color w:val="auto"/>
        </w:rPr>
      </w:pPr>
    </w:p>
    <w:sectPr>
      <w:footerReference r:id="rId195" w:type="default"/>
      <w:footerReference r:id="rId196" w:type="even"/>
      <w:pgSz w:w="11910" w:h="16840"/>
      <w:pgMar w:top="1520" w:right="1260" w:bottom="1220" w:left="1420" w:header="0" w:footer="103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898944" behindDoc="1" locked="0" layoutInCell="1" allowOverlap="1">
              <wp:simplePos x="0" y="0"/>
              <wp:positionH relativeFrom="page">
                <wp:posOffset>6108700</wp:posOffset>
              </wp:positionH>
              <wp:positionV relativeFrom="page">
                <wp:posOffset>9895205</wp:posOffset>
              </wp:positionV>
              <wp:extent cx="490855" cy="160020"/>
              <wp:effectExtent l="0" t="0" r="0" b="0"/>
              <wp:wrapNone/>
              <wp:docPr id="9" name="文本框 3"/>
              <wp:cNvGraphicFramePr/>
              <a:graphic xmlns:a="http://schemas.openxmlformats.org/drawingml/2006/main">
                <a:graphicData uri="http://schemas.microsoft.com/office/word/2010/wordprocessingShape">
                  <wps:wsp>
                    <wps:cNvSpPr txBox="1"/>
                    <wps:spPr>
                      <a:xfrm>
                        <a:off x="0" y="0"/>
                        <a:ext cx="490855"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w:t>
                          </w:r>
                          <w:r>
                            <w:fldChar w:fldCharType="end"/>
                          </w:r>
                          <w:r>
                            <w:rPr>
                              <w:sz w:val="21"/>
                            </w:rPr>
                            <w:t xml:space="preserve"> —</w:t>
                          </w:r>
                        </w:p>
                      </w:txbxContent>
                    </wps:txbx>
                    <wps:bodyPr lIns="0" tIns="0" rIns="0" bIns="0" upright="1"/>
                  </wps:wsp>
                </a:graphicData>
              </a:graphic>
            </wp:anchor>
          </w:drawing>
        </mc:Choice>
        <mc:Fallback>
          <w:pict>
            <v:shape id="文本框 3" o:spid="_x0000_s1026" o:spt="202" type="#_x0000_t202" style="position:absolute;left:0pt;margin-left:481pt;margin-top:779.15pt;height:12.6pt;width:38.65pt;mso-position-horizontal-relative:page;mso-position-vertical-relative:page;z-index:-276417536;mso-width-relative:page;mso-height-relative:page;" filled="f" stroked="f" coordsize="21600,21600" o:gfxdata="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tXkj2wAAAA4BAAAPAAAAAAAAAAEAIAAAACIAAABkcnMvZG93bnJldi54bWxQ&#10;SwECFAAUAAAACACHTuJAduc2ILsBAABxAwAADgAAAAAAAAABACAAAAAq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w:t>
                    </w:r>
                    <w:r>
                      <w:fldChar w:fldCharType="end"/>
                    </w:r>
                    <w:r>
                      <w:rPr>
                        <w:sz w:val="21"/>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1942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9" name="文本框 2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100</w:t>
                          </w:r>
                          <w:r>
                            <w:fldChar w:fldCharType="end"/>
                          </w:r>
                          <w:r>
                            <w:rPr>
                              <w:sz w:val="21"/>
                            </w:rPr>
                            <w:t xml:space="preserve"> —</w:t>
                          </w:r>
                        </w:p>
                      </w:txbxContent>
                    </wps:txbx>
                    <wps:bodyPr lIns="0" tIns="0" rIns="0" bIns="0" upright="1"/>
                  </wps:wsp>
                </a:graphicData>
              </a:graphic>
            </wp:anchor>
          </w:drawing>
        </mc:Choice>
        <mc:Fallback>
          <w:pict>
            <v:shape id="文本框 23" o:spid="_x0000_s1026" o:spt="202" type="#_x0000_t202" style="position:absolute;left:0pt;margin-left:75.55pt;margin-top:779.15pt;height:12.6pt;width:49.2pt;mso-position-horizontal-relative:page;mso-position-vertical-relative:page;z-index:-27639705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7oT4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100</w:t>
                    </w:r>
                    <w:r>
                      <w:fldChar w:fldCharType="end"/>
                    </w:r>
                    <w:r>
                      <w:rPr>
                        <w:sz w:val="21"/>
                      </w:rPr>
                      <w:t xml:space="preserve"> —</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4332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50" name="文本框 14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418</w:t>
                          </w:r>
                          <w:r>
                            <w:fldChar w:fldCharType="end"/>
                          </w:r>
                          <w:r>
                            <w:rPr>
                              <w:sz w:val="21"/>
                            </w:rPr>
                            <w:t xml:space="preserve"> —</w:t>
                          </w:r>
                        </w:p>
                      </w:txbxContent>
                    </wps:txbx>
                    <wps:bodyPr lIns="0" tIns="0" rIns="0" bIns="0" upright="1"/>
                  </wps:wsp>
                </a:graphicData>
              </a:graphic>
            </wp:anchor>
          </w:drawing>
        </mc:Choice>
        <mc:Fallback>
          <w:pict>
            <v:shape id="文本框 144" o:spid="_x0000_s1026" o:spt="202" type="#_x0000_t202" style="position:absolute;left:0pt;margin-left:75.55pt;margin-top:779.15pt;height:12.6pt;width:49.2pt;mso-position-horizontal-relative:page;mso-position-vertical-relative:page;z-index:-27627315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rwxub7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418</w:t>
                    </w:r>
                    <w:r>
                      <w:fldChar w:fldCharType="end"/>
                    </w:r>
                    <w:r>
                      <w:rPr>
                        <w:sz w:val="21"/>
                      </w:rPr>
                      <w:t xml:space="preserve"> —</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4742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54" name="文本框 14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421</w:t>
                          </w:r>
                          <w:r>
                            <w:fldChar w:fldCharType="end"/>
                          </w:r>
                          <w:r>
                            <w:rPr>
                              <w:sz w:val="21"/>
                            </w:rPr>
                            <w:t xml:space="preserve"> —</w:t>
                          </w:r>
                        </w:p>
                      </w:txbxContent>
                    </wps:txbx>
                    <wps:bodyPr lIns="0" tIns="0" rIns="0" bIns="0" upright="1"/>
                  </wps:wsp>
                </a:graphicData>
              </a:graphic>
            </wp:anchor>
          </w:drawing>
        </mc:Choice>
        <mc:Fallback>
          <w:pict>
            <v:shape id="文本框 148" o:spid="_x0000_s1026" o:spt="202" type="#_x0000_t202" style="position:absolute;left:0pt;margin-left:470.45pt;margin-top:779.15pt;height:12.6pt;width:49.2pt;mso-position-horizontal-relative:page;mso-position-vertical-relative:page;z-index:-27626905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A7SP9u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421</w:t>
                    </w:r>
                    <w:r>
                      <w:fldChar w:fldCharType="end"/>
                    </w:r>
                    <w:r>
                      <w:rPr>
                        <w:sz w:val="21"/>
                      </w:rPr>
                      <w:t xml:space="preserve"> —</w:t>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45376"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52" name="文本框 146"/>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（1）违法情形</w:t>
                          </w:r>
                        </w:p>
                      </w:txbxContent>
                    </wps:txbx>
                    <wps:bodyPr lIns="0" tIns="0" rIns="0" bIns="0" upright="1"/>
                  </wps:wsp>
                </a:graphicData>
              </a:graphic>
            </wp:anchor>
          </w:drawing>
        </mc:Choice>
        <mc:Fallback>
          <w:pict>
            <v:shape id="文本框 146" o:spid="_x0000_s1026" o:spt="202" type="#_x0000_t202" style="position:absolute;left:0pt;margin-left:99.55pt;margin-top:754.55pt;height:14pt;width:80pt;mso-position-horizontal-relative:page;mso-position-vertical-relative:page;z-index:-276271104;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ChsAdgAAAANAQAADwAAAAAAAAABACAAAAAiAAAAZHJzL2Rvd25yZXYueG1sUEsB&#10;AhQAFAAAAAgAh07iQPrSGRO8AQAAdgMAAA4AAAAAAAAAAQAgAAAAJwEAAGRycy9lMm9Eb2MueG1s&#10;UEsFBgAAAAAGAAYAWQEAAFUFAAAAAA==&#10;">
              <v:fill on="f" focussize="0,0"/>
              <v:stroke on="f"/>
              <v:imagedata o:title=""/>
              <o:lock v:ext="edit" aspectratio="f"/>
              <v:textbox inset="0mm,0mm,0mm,0mm">
                <w:txbxContent>
                  <w:p>
                    <w:pPr>
                      <w:pStyle w:val="4"/>
                      <w:spacing w:line="280" w:lineRule="exact"/>
                      <w:ind w:left="20"/>
                    </w:pPr>
                    <w:r>
                      <w:t>（1）违法情形</w:t>
                    </w:r>
                  </w:p>
                </w:txbxContent>
              </v:textbox>
            </v:shape>
          </w:pict>
        </mc:Fallback>
      </mc:AlternateContent>
    </w:r>
    <w:r>
      <mc:AlternateContent>
        <mc:Choice Requires="wps">
          <w:drawing>
            <wp:anchor distT="0" distB="0" distL="114300" distR="114300" simplePos="0" relativeHeight="22704640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53" name="文本框 14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420</w:t>
                          </w:r>
                          <w:r>
                            <w:fldChar w:fldCharType="end"/>
                          </w:r>
                          <w:r>
                            <w:rPr>
                              <w:sz w:val="21"/>
                            </w:rPr>
                            <w:t xml:space="preserve"> —</w:t>
                          </w:r>
                        </w:p>
                      </w:txbxContent>
                    </wps:txbx>
                    <wps:bodyPr lIns="0" tIns="0" rIns="0" bIns="0" upright="1"/>
                  </wps:wsp>
                </a:graphicData>
              </a:graphic>
            </wp:anchor>
          </w:drawing>
        </mc:Choice>
        <mc:Fallback>
          <w:pict>
            <v:shape id="文本框 147" o:spid="_x0000_s1026" o:spt="202" type="#_x0000_t202" style="position:absolute;left:0pt;margin-left:75.55pt;margin-top:779.15pt;height:12.6pt;width:49.2pt;mso-position-horizontal-relative:page;mso-position-vertical-relative:page;z-index:-27627008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MLmu7e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420</w:t>
                    </w:r>
                    <w:r>
                      <w:fldChar w:fldCharType="end"/>
                    </w:r>
                    <w:r>
                      <w:rPr>
                        <w:sz w:val="21"/>
                      </w:rPr>
                      <w:t xml:space="preserve"> —</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4947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56" name="文本框 15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425</w:t>
                          </w:r>
                          <w:r>
                            <w:fldChar w:fldCharType="end"/>
                          </w:r>
                          <w:r>
                            <w:rPr>
                              <w:sz w:val="21"/>
                            </w:rPr>
                            <w:t xml:space="preserve"> —</w:t>
                          </w:r>
                        </w:p>
                      </w:txbxContent>
                    </wps:txbx>
                    <wps:bodyPr lIns="0" tIns="0" rIns="0" bIns="0" upright="1"/>
                  </wps:wsp>
                </a:graphicData>
              </a:graphic>
            </wp:anchor>
          </w:drawing>
        </mc:Choice>
        <mc:Fallback>
          <w:pict>
            <v:shape id="文本框 150" o:spid="_x0000_s1026" o:spt="202" type="#_x0000_t202" style="position:absolute;left:0pt;margin-left:470.45pt;margin-top:779.15pt;height:12.6pt;width:49.2pt;mso-position-horizontal-relative:page;mso-position-vertical-relative:page;z-index:-27626700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h1gDn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425</w:t>
                    </w:r>
                    <w:r>
                      <w:fldChar w:fldCharType="end"/>
                    </w:r>
                    <w:r>
                      <w:rPr>
                        <w:sz w:val="21"/>
                      </w:rPr>
                      <w:t xml:space="preserve"> —</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4844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55" name="文本框 14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424</w:t>
                          </w:r>
                          <w:r>
                            <w:fldChar w:fldCharType="end"/>
                          </w:r>
                          <w:r>
                            <w:rPr>
                              <w:sz w:val="21"/>
                            </w:rPr>
                            <w:t xml:space="preserve"> —</w:t>
                          </w:r>
                        </w:p>
                      </w:txbxContent>
                    </wps:txbx>
                    <wps:bodyPr lIns="0" tIns="0" rIns="0" bIns="0" upright="1"/>
                  </wps:wsp>
                </a:graphicData>
              </a:graphic>
            </wp:anchor>
          </w:drawing>
        </mc:Choice>
        <mc:Fallback>
          <w:pict>
            <v:shape id="文本框 149" o:spid="_x0000_s1026" o:spt="202" type="#_x0000_t202" style="position:absolute;left:0pt;margin-left:75.55pt;margin-top:779.15pt;height:12.6pt;width:49.2pt;mso-position-horizontal-relative:page;mso-position-vertical-relative:page;z-index:-27626803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OqJoyW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424</w:t>
                    </w:r>
                    <w:r>
                      <w:fldChar w:fldCharType="end"/>
                    </w:r>
                    <w:r>
                      <w:rPr>
                        <w:sz w:val="21"/>
                      </w:rPr>
                      <w:t xml:space="preserve"> —</w:t>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152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58" name="文本框 15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431</w:t>
                          </w:r>
                          <w:r>
                            <w:fldChar w:fldCharType="end"/>
                          </w:r>
                          <w:r>
                            <w:rPr>
                              <w:sz w:val="21"/>
                            </w:rPr>
                            <w:t xml:space="preserve"> —</w:t>
                          </w:r>
                        </w:p>
                      </w:txbxContent>
                    </wps:txbx>
                    <wps:bodyPr lIns="0" tIns="0" rIns="0" bIns="0" upright="1"/>
                  </wps:wsp>
                </a:graphicData>
              </a:graphic>
            </wp:anchor>
          </w:drawing>
        </mc:Choice>
        <mc:Fallback>
          <w:pict>
            <v:shape id="文本框 152" o:spid="_x0000_s1026" o:spt="202" type="#_x0000_t202" style="position:absolute;left:0pt;margin-left:470.45pt;margin-top:779.15pt;height:12.6pt;width:49.2pt;mso-position-horizontal-relative:page;mso-position-vertical-relative:page;z-index:-27626496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VKLnf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431</w:t>
                    </w:r>
                    <w:r>
                      <w:fldChar w:fldCharType="end"/>
                    </w:r>
                    <w:r>
                      <w:rPr>
                        <w:sz w:val="21"/>
                      </w:rPr>
                      <w:t xml:space="preserve"> —</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049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57" name="文本框 15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430</w:t>
                          </w:r>
                          <w:r>
                            <w:fldChar w:fldCharType="end"/>
                          </w:r>
                          <w:r>
                            <w:rPr>
                              <w:sz w:val="21"/>
                            </w:rPr>
                            <w:t xml:space="preserve"> —</w:t>
                          </w:r>
                        </w:p>
                      </w:txbxContent>
                    </wps:txbx>
                    <wps:bodyPr lIns="0" tIns="0" rIns="0" bIns="0" upright="1"/>
                  </wps:wsp>
                </a:graphicData>
              </a:graphic>
            </wp:anchor>
          </w:drawing>
        </mc:Choice>
        <mc:Fallback>
          <w:pict>
            <v:shape id="文本框 151" o:spid="_x0000_s1026" o:spt="202" type="#_x0000_t202" style="position:absolute;left:0pt;margin-left:75.55pt;margin-top:779.15pt;height:12.6pt;width:49.2pt;mso-position-horizontal-relative:page;mso-position-vertical-relative:page;z-index:-27626598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EWNnBm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430</w:t>
                    </w:r>
                    <w:r>
                      <w:fldChar w:fldCharType="end"/>
                    </w:r>
                    <w:r>
                      <w:rPr>
                        <w:sz w:val="21"/>
                      </w:rPr>
                      <w:t xml:space="preserve"> —</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356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60" name="文本框 15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441</w:t>
                          </w:r>
                          <w:r>
                            <w:fldChar w:fldCharType="end"/>
                          </w:r>
                          <w:r>
                            <w:rPr>
                              <w:sz w:val="21"/>
                            </w:rPr>
                            <w:t xml:space="preserve"> —</w:t>
                          </w:r>
                        </w:p>
                      </w:txbxContent>
                    </wps:txbx>
                    <wps:bodyPr lIns="0" tIns="0" rIns="0" bIns="0" upright="1"/>
                  </wps:wsp>
                </a:graphicData>
              </a:graphic>
            </wp:anchor>
          </w:drawing>
        </mc:Choice>
        <mc:Fallback>
          <w:pict>
            <v:shape id="文本框 154" o:spid="_x0000_s1026" o:spt="202" type="#_x0000_t202" style="position:absolute;left:0pt;margin-left:470.45pt;margin-top:779.15pt;height:12.6pt;width:49.2pt;mso-position-horizontal-relative:page;mso-position-vertical-relative:page;z-index:-27626291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AyDnXT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441</w:t>
                    </w:r>
                    <w:r>
                      <w:fldChar w:fldCharType="end"/>
                    </w:r>
                    <w:r>
                      <w:rPr>
                        <w:sz w:val="21"/>
                      </w:rPr>
                      <w:t xml:space="preserve"> —</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254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59" name="文本框 15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440</w:t>
                          </w:r>
                          <w:r>
                            <w:fldChar w:fldCharType="end"/>
                          </w:r>
                          <w:r>
                            <w:rPr>
                              <w:sz w:val="21"/>
                            </w:rPr>
                            <w:t xml:space="preserve"> —</w:t>
                          </w:r>
                        </w:p>
                      </w:txbxContent>
                    </wps:txbx>
                    <wps:bodyPr lIns="0" tIns="0" rIns="0" bIns="0" upright="1"/>
                  </wps:wsp>
                </a:graphicData>
              </a:graphic>
            </wp:anchor>
          </w:drawing>
        </mc:Choice>
        <mc:Fallback>
          <w:pict>
            <v:shape id="文本框 153" o:spid="_x0000_s1026" o:spt="202" type="#_x0000_t202" style="position:absolute;left:0pt;margin-left:75.55pt;margin-top:779.15pt;height:12.6pt;width:49.2pt;mso-position-horizontal-relative:page;mso-position-vertical-relative:page;z-index:-27626393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83ZIfaAAAADQEAAA8AAAAAAAAAAQAgAAAAIgAAAGRycy9kb3ducmV2Lnht&#10;bFBLAQIUABQAAAAIAIdO4kCw+XuDvgEAAHUDAAAOAAAAAAAAAAEAIAAAACkBAABkcnMvZTJvRG9j&#10;LnhtbFBLBQYAAAAABgAGAFkBAABZ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440</w:t>
                    </w:r>
                    <w:r>
                      <w:fldChar w:fldCharType="end"/>
                    </w:r>
                    <w:r>
                      <w:rPr>
                        <w:sz w:val="21"/>
                      </w:rPr>
                      <w:t xml:space="preserve"> —</w:t>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561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62" name="文本框 15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451</w:t>
                          </w:r>
                          <w:r>
                            <w:fldChar w:fldCharType="end"/>
                          </w:r>
                          <w:r>
                            <w:rPr>
                              <w:sz w:val="21"/>
                            </w:rPr>
                            <w:t xml:space="preserve"> —</w:t>
                          </w:r>
                        </w:p>
                      </w:txbxContent>
                    </wps:txbx>
                    <wps:bodyPr lIns="0" tIns="0" rIns="0" bIns="0" upright="1"/>
                  </wps:wsp>
                </a:graphicData>
              </a:graphic>
            </wp:anchor>
          </w:drawing>
        </mc:Choice>
        <mc:Fallback>
          <w:pict>
            <v:shape id="文本框 156" o:spid="_x0000_s1026" o:spt="202" type="#_x0000_t202" style="position:absolute;left:0pt;margin-left:470.45pt;margin-top:779.15pt;height:12.6pt;width:49.2pt;mso-position-horizontal-relative:page;mso-position-vertical-relative:page;z-index:-27626086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u7889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451</w:t>
                    </w:r>
                    <w:r>
                      <w:fldChar w:fldCharType="end"/>
                    </w:r>
                    <w:r>
                      <w:rPr>
                        <w:sz w:val="21"/>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21472" behindDoc="1" locked="0" layoutInCell="1" allowOverlap="1">
              <wp:simplePos x="0" y="0"/>
              <wp:positionH relativeFrom="page">
                <wp:posOffset>1264285</wp:posOffset>
              </wp:positionH>
              <wp:positionV relativeFrom="page">
                <wp:posOffset>9582785</wp:posOffset>
              </wp:positionV>
              <wp:extent cx="1095375" cy="177800"/>
              <wp:effectExtent l="0" t="0" r="0" b="0"/>
              <wp:wrapNone/>
              <wp:docPr id="31" name="文本框 25"/>
              <wp:cNvGraphicFramePr/>
              <a:graphic xmlns:a="http://schemas.openxmlformats.org/drawingml/2006/main">
                <a:graphicData uri="http://schemas.microsoft.com/office/word/2010/wordprocessingShape">
                  <wps:wsp>
                    <wps:cNvSpPr txBox="1"/>
                    <wps:spPr>
                      <a:xfrm>
                        <a:off x="0" y="0"/>
                        <a:ext cx="1095375" cy="177800"/>
                      </a:xfrm>
                      <a:prstGeom prst="rect">
                        <a:avLst/>
                      </a:prstGeom>
                      <a:noFill/>
                      <a:ln>
                        <a:noFill/>
                      </a:ln>
                    </wps:spPr>
                    <wps:txbx>
                      <w:txbxContent>
                        <w:p>
                          <w:pPr>
                            <w:spacing w:before="0" w:line="280" w:lineRule="exact"/>
                            <w:ind w:left="20" w:right="0" w:firstLine="0"/>
                            <w:jc w:val="left"/>
                            <w:rPr>
                              <w:b/>
                              <w:sz w:val="24"/>
                            </w:rPr>
                          </w:pPr>
                          <w:r>
                            <w:rPr>
                              <w:b/>
                              <w:sz w:val="24"/>
                            </w:rPr>
                            <w:t>（二）裁量标准</w:t>
                          </w:r>
                        </w:p>
                      </w:txbxContent>
                    </wps:txbx>
                    <wps:bodyPr lIns="0" tIns="0" rIns="0" bIns="0" upright="1"/>
                  </wps:wsp>
                </a:graphicData>
              </a:graphic>
            </wp:anchor>
          </w:drawing>
        </mc:Choice>
        <mc:Fallback>
          <w:pict>
            <v:shape id="文本框 25" o:spid="_x0000_s1026" o:spt="202" type="#_x0000_t202" style="position:absolute;left:0pt;margin-left:99.55pt;margin-top:754.55pt;height:14pt;width:86.25pt;mso-position-horizontal-relative:page;mso-position-vertical-relative:page;z-index:-276395008;mso-width-relative:page;mso-height-relative:page;" filled="f" stroked="f" coordsize="21600,21600" o:gfxdata="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u6z1tcAAAANAQAADwAAAAAAAAABACAAAAAiAAAAZHJzL2Rvd25yZXYueG1sUEsB&#10;AhQAFAAAAAgAh07iQNoVa6u9AQAAdAMAAA4AAAAAAAAAAQAgAAAAJgEAAGRycy9lMm9Eb2MueG1s&#10;UEsFBgAAAAAGAAYAWQEAAFUFAAAAAA==&#10;">
              <v:fill on="f" focussize="0,0"/>
              <v:stroke on="f"/>
              <v:imagedata o:title=""/>
              <o:lock v:ext="edit" aspectratio="f"/>
              <v:textbox inset="0mm,0mm,0mm,0mm">
                <w:txbxContent>
                  <w:p>
                    <w:pPr>
                      <w:spacing w:before="0" w:line="280" w:lineRule="exact"/>
                      <w:ind w:left="20" w:right="0" w:firstLine="0"/>
                      <w:jc w:val="left"/>
                      <w:rPr>
                        <w:b/>
                        <w:sz w:val="24"/>
                      </w:rPr>
                    </w:pPr>
                    <w:r>
                      <w:rPr>
                        <w:b/>
                        <w:sz w:val="24"/>
                      </w:rPr>
                      <w:t>（二）裁量标准</w:t>
                    </w:r>
                  </w:p>
                </w:txbxContent>
              </v:textbox>
            </v:shape>
          </w:pict>
        </mc:Fallback>
      </mc:AlternateContent>
    </w:r>
    <w:r>
      <mc:AlternateContent>
        <mc:Choice Requires="wps">
          <w:drawing>
            <wp:anchor distT="0" distB="0" distL="114300" distR="114300" simplePos="0" relativeHeight="22692249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32" name="文本框 2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105</w:t>
                          </w:r>
                          <w:r>
                            <w:fldChar w:fldCharType="end"/>
                          </w:r>
                          <w:r>
                            <w:rPr>
                              <w:sz w:val="21"/>
                            </w:rPr>
                            <w:t xml:space="preserve"> —</w:t>
                          </w:r>
                        </w:p>
                      </w:txbxContent>
                    </wps:txbx>
                    <wps:bodyPr lIns="0" tIns="0" rIns="0" bIns="0" upright="1"/>
                  </wps:wsp>
                </a:graphicData>
              </a:graphic>
            </wp:anchor>
          </w:drawing>
        </mc:Choice>
        <mc:Fallback>
          <w:pict>
            <v:shape id="文本框 26" o:spid="_x0000_s1026" o:spt="202" type="#_x0000_t202" style="position:absolute;left:0pt;margin-left:470.45pt;margin-top:779.15pt;height:12.6pt;width:49.2pt;mso-position-horizontal-relative:page;mso-position-vertical-relative:page;z-index:-27639398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AEoB9F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105</w:t>
                    </w:r>
                    <w:r>
                      <w:fldChar w:fldCharType="end"/>
                    </w:r>
                    <w:r>
                      <w:rPr>
                        <w:sz w:val="21"/>
                      </w:rPr>
                      <w:t xml:space="preserve"> —</w:t>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459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61" name="文本框 15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450</w:t>
                          </w:r>
                          <w:r>
                            <w:fldChar w:fldCharType="end"/>
                          </w:r>
                          <w:r>
                            <w:rPr>
                              <w:sz w:val="21"/>
                            </w:rPr>
                            <w:t xml:space="preserve"> —</w:t>
                          </w:r>
                        </w:p>
                      </w:txbxContent>
                    </wps:txbx>
                    <wps:bodyPr lIns="0" tIns="0" rIns="0" bIns="0" upright="1"/>
                  </wps:wsp>
                </a:graphicData>
              </a:graphic>
            </wp:anchor>
          </w:drawing>
        </mc:Choice>
        <mc:Fallback>
          <w:pict>
            <v:shape id="文本框 155" o:spid="_x0000_s1026" o:spt="202" type="#_x0000_t202" style="position:absolute;left:0pt;margin-left:75.55pt;margin-top:779.15pt;height:12.6pt;width:49.2pt;mso-position-horizontal-relative:page;mso-position-vertical-relative:page;z-index:-27626188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NZV6S2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450</w:t>
                    </w:r>
                    <w:r>
                      <w:fldChar w:fldCharType="end"/>
                    </w:r>
                    <w:r>
                      <w:rPr>
                        <w:sz w:val="21"/>
                      </w:rPr>
                      <w:t xml:space="preserve"> —</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766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64" name="文本框 15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461</w:t>
                          </w:r>
                          <w:r>
                            <w:fldChar w:fldCharType="end"/>
                          </w:r>
                          <w:r>
                            <w:rPr>
                              <w:sz w:val="21"/>
                            </w:rPr>
                            <w:t xml:space="preserve"> —</w:t>
                          </w:r>
                        </w:p>
                      </w:txbxContent>
                    </wps:txbx>
                    <wps:bodyPr lIns="0" tIns="0" rIns="0" bIns="0" upright="1"/>
                  </wps:wsp>
                </a:graphicData>
              </a:graphic>
            </wp:anchor>
          </w:drawing>
        </mc:Choice>
        <mc:Fallback>
          <w:pict>
            <v:shape id="文本框 158" o:spid="_x0000_s1026" o:spt="202" type="#_x0000_t202" style="position:absolute;left:0pt;margin-left:470.45pt;margin-top:779.15pt;height:12.6pt;width:49.2pt;mso-position-horizontal-relative:page;mso-position-vertical-relative:page;z-index:-27625881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JPQJGe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461</w:t>
                    </w:r>
                    <w:r>
                      <w:fldChar w:fldCharType="end"/>
                    </w:r>
                    <w:r>
                      <w:rPr>
                        <w:sz w:val="21"/>
                      </w:rPr>
                      <w:t xml:space="preserve"> —</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664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63" name="文本框 15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460</w:t>
                          </w:r>
                          <w:r>
                            <w:fldChar w:fldCharType="end"/>
                          </w:r>
                          <w:r>
                            <w:rPr>
                              <w:sz w:val="21"/>
                            </w:rPr>
                            <w:t xml:space="preserve"> —</w:t>
                          </w:r>
                        </w:p>
                      </w:txbxContent>
                    </wps:txbx>
                    <wps:bodyPr lIns="0" tIns="0" rIns="0" bIns="0" upright="1"/>
                  </wps:wsp>
                </a:graphicData>
              </a:graphic>
            </wp:anchor>
          </w:drawing>
        </mc:Choice>
        <mc:Fallback>
          <w:pict>
            <v:shape id="文本框 157" o:spid="_x0000_s1026" o:spt="202" type="#_x0000_t202" style="position:absolute;left:0pt;margin-left:75.55pt;margin-top:779.15pt;height:12.6pt;width:49.2pt;mso-position-horizontal-relative:page;mso-position-vertical-relative:page;z-index:-27625984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F/koAu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460</w:t>
                    </w:r>
                    <w:r>
                      <w:fldChar w:fldCharType="end"/>
                    </w:r>
                    <w:r>
                      <w:rPr>
                        <w:sz w:val="21"/>
                      </w:rPr>
                      <w:t xml:space="preserve"> —</w:t>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971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66" name="文本框 16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471</w:t>
                          </w:r>
                          <w:r>
                            <w:fldChar w:fldCharType="end"/>
                          </w:r>
                          <w:r>
                            <w:rPr>
                              <w:sz w:val="21"/>
                            </w:rPr>
                            <w:t xml:space="preserve"> —</w:t>
                          </w:r>
                        </w:p>
                      </w:txbxContent>
                    </wps:txbx>
                    <wps:bodyPr lIns="0" tIns="0" rIns="0" bIns="0" upright="1"/>
                  </wps:wsp>
                </a:graphicData>
              </a:graphic>
            </wp:anchor>
          </w:drawing>
        </mc:Choice>
        <mc:Fallback>
          <w:pict>
            <v:shape id="文本框 160" o:spid="_x0000_s1026" o:spt="202" type="#_x0000_t202" style="position:absolute;left:0pt;margin-left:470.45pt;margin-top:779.15pt;height:12.6pt;width:49.2pt;mso-position-horizontal-relative:page;mso-position-vertical-relative:page;z-index:-27625676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WI9mR2gAAAA4BAAAPAAAAAAAAAAEAIAAAACIAAABkcnMvZG93bnJldi54bWxQSwEC&#10;FAAUAAAACACHTuJArh7b1LkBAAB1AwAADgAAAAAAAAABACAAAAApAQAAZHJzL2Uyb0RvYy54bWxQ&#10;SwUGAAAAAAYABgBZAQAAVA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471</w:t>
                    </w:r>
                    <w:r>
                      <w:fldChar w:fldCharType="end"/>
                    </w:r>
                    <w:r>
                      <w:rPr>
                        <w:sz w:val="21"/>
                      </w:rPr>
                      <w:t xml:space="preserve"> —</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5868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65" name="文本框 15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470</w:t>
                          </w:r>
                          <w:r>
                            <w:fldChar w:fldCharType="end"/>
                          </w:r>
                          <w:r>
                            <w:rPr>
                              <w:sz w:val="21"/>
                            </w:rPr>
                            <w:t xml:space="preserve"> —</w:t>
                          </w:r>
                        </w:p>
                      </w:txbxContent>
                    </wps:txbx>
                    <wps:bodyPr lIns="0" tIns="0" rIns="0" bIns="0" upright="1"/>
                  </wps:wsp>
                </a:graphicData>
              </a:graphic>
            </wp:anchor>
          </w:drawing>
        </mc:Choice>
        <mc:Fallback>
          <w:pict>
            <v:shape id="文本框 159" o:spid="_x0000_s1026" o:spt="202" type="#_x0000_t202" style="position:absolute;left:0pt;margin-left:75.55pt;margin-top:779.15pt;height:12.6pt;width:49.2pt;mso-position-horizontal-relative:page;mso-position-vertical-relative:page;z-index:-27625779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HeLuJm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470</w:t>
                    </w:r>
                    <w:r>
                      <w:fldChar w:fldCharType="end"/>
                    </w:r>
                    <w:r>
                      <w:rPr>
                        <w:sz w:val="21"/>
                      </w:rPr>
                      <w:t xml:space="preserve"> —</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176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68" name="文本框 16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481</w:t>
                          </w:r>
                          <w:r>
                            <w:fldChar w:fldCharType="end"/>
                          </w:r>
                          <w:r>
                            <w:rPr>
                              <w:sz w:val="21"/>
                            </w:rPr>
                            <w:t xml:space="preserve"> —</w:t>
                          </w:r>
                        </w:p>
                      </w:txbxContent>
                    </wps:txbx>
                    <wps:bodyPr lIns="0" tIns="0" rIns="0" bIns="0" upright="1"/>
                  </wps:wsp>
                </a:graphicData>
              </a:graphic>
            </wp:anchor>
          </w:drawing>
        </mc:Choice>
        <mc:Fallback>
          <w:pict>
            <v:shape id="文本框 162" o:spid="_x0000_s1026" o:spt="202" type="#_x0000_t202" style="position:absolute;left:0pt;margin-left:470.45pt;margin-top:779.15pt;height:12.6pt;width:49.2pt;mso-position-horizontal-relative:page;mso-position-vertical-relative:page;z-index:-27625472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W2o8T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481</w:t>
                    </w:r>
                    <w:r>
                      <w:fldChar w:fldCharType="end"/>
                    </w:r>
                    <w:r>
                      <w:rPr>
                        <w:sz w:val="21"/>
                      </w:rPr>
                      <w:t xml:space="preserve"> —</w:t>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073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67" name="文本框 16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480</w:t>
                          </w:r>
                          <w:r>
                            <w:fldChar w:fldCharType="end"/>
                          </w:r>
                          <w:r>
                            <w:rPr>
                              <w:sz w:val="21"/>
                            </w:rPr>
                            <w:t xml:space="preserve"> —</w:t>
                          </w:r>
                        </w:p>
                      </w:txbxContent>
                    </wps:txbx>
                    <wps:bodyPr lIns="0" tIns="0" rIns="0" bIns="0" upright="1"/>
                  </wps:wsp>
                </a:graphicData>
              </a:graphic>
            </wp:anchor>
          </w:drawing>
        </mc:Choice>
        <mc:Fallback>
          <w:pict>
            <v:shape id="文本框 161" o:spid="_x0000_s1026" o:spt="202" type="#_x0000_t202" style="position:absolute;left:0pt;margin-left:75.55pt;margin-top:779.15pt;height:12.6pt;width:49.2pt;mso-position-horizontal-relative:page;mso-position-vertical-relative:page;z-index:-27625574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SkVHK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480</w:t>
                    </w:r>
                    <w:r>
                      <w:fldChar w:fldCharType="end"/>
                    </w:r>
                    <w:r>
                      <w:rPr>
                        <w:sz w:val="21"/>
                      </w:rPr>
                      <w:t xml:space="preserve"> —</w:t>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380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70" name="文本框 16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491</w:t>
                          </w:r>
                          <w:r>
                            <w:fldChar w:fldCharType="end"/>
                          </w:r>
                          <w:r>
                            <w:rPr>
                              <w:sz w:val="21"/>
                            </w:rPr>
                            <w:t xml:space="preserve"> —</w:t>
                          </w:r>
                        </w:p>
                      </w:txbxContent>
                    </wps:txbx>
                    <wps:bodyPr lIns="0" tIns="0" rIns="0" bIns="0" upright="1"/>
                  </wps:wsp>
                </a:graphicData>
              </a:graphic>
            </wp:anchor>
          </w:drawing>
        </mc:Choice>
        <mc:Fallback>
          <w:pict>
            <v:shape id="文本框 164" o:spid="_x0000_s1026" o:spt="202" type="#_x0000_t202" style="position:absolute;left:0pt;margin-left:470.45pt;margin-top:779.15pt;height:12.6pt;width:49.2pt;mso-position-horizontal-relative:page;mso-position-vertical-relative:page;z-index:-27625267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mn4s+7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491</w:t>
                    </w:r>
                    <w:r>
                      <w:fldChar w:fldCharType="end"/>
                    </w:r>
                    <w:r>
                      <w:rPr>
                        <w:sz w:val="21"/>
                      </w:rPr>
                      <w:t xml:space="preserve"> —</w:t>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278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69" name="文本框 16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490</w:t>
                          </w:r>
                          <w:r>
                            <w:fldChar w:fldCharType="end"/>
                          </w:r>
                          <w:r>
                            <w:rPr>
                              <w:sz w:val="21"/>
                            </w:rPr>
                            <w:t xml:space="preserve"> —</w:t>
                          </w:r>
                        </w:p>
                      </w:txbxContent>
                    </wps:txbx>
                    <wps:bodyPr lIns="0" tIns="0" rIns="0" bIns="0" upright="1"/>
                  </wps:wsp>
                </a:graphicData>
              </a:graphic>
            </wp:anchor>
          </w:drawing>
        </mc:Choice>
        <mc:Fallback>
          <w:pict>
            <v:shape id="文本框 163" o:spid="_x0000_s1026" o:spt="202" type="#_x0000_t202" style="position:absolute;left:0pt;margin-left:75.55pt;margin-top:779.15pt;height:12.6pt;width:49.2pt;mso-position-horizontal-relative:page;mso-position-vertical-relative:page;z-index:-27625369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L8xoLC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490</w:t>
                    </w:r>
                    <w:r>
                      <w:fldChar w:fldCharType="end"/>
                    </w:r>
                    <w:r>
                      <w:rPr>
                        <w:sz w:val="21"/>
                      </w:rPr>
                      <w:t xml:space="preserve"> —</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585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72" name="文本框 16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501</w:t>
                          </w:r>
                          <w:r>
                            <w:fldChar w:fldCharType="end"/>
                          </w:r>
                          <w:r>
                            <w:rPr>
                              <w:sz w:val="21"/>
                            </w:rPr>
                            <w:t xml:space="preserve"> —</w:t>
                          </w:r>
                        </w:p>
                      </w:txbxContent>
                    </wps:txbx>
                    <wps:bodyPr lIns="0" tIns="0" rIns="0" bIns="0" upright="1"/>
                  </wps:wsp>
                </a:graphicData>
              </a:graphic>
            </wp:anchor>
          </w:drawing>
        </mc:Choice>
        <mc:Fallback>
          <w:pict>
            <v:shape id="文本框 166" o:spid="_x0000_s1026" o:spt="202" type="#_x0000_t202" style="position:absolute;left:0pt;margin-left:470.45pt;margin-top:779.15pt;height:12.6pt;width:49.2pt;mso-position-horizontal-relative:page;mso-position-vertical-relative:page;z-index:-27625062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E89l3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501</w:t>
                    </w:r>
                    <w:r>
                      <w:fldChar w:fldCharType="end"/>
                    </w:r>
                    <w:r>
                      <w:rPr>
                        <w:sz w:val="21"/>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23520" behindDoc="1" locked="0" layoutInCell="1" allowOverlap="1">
              <wp:simplePos x="0" y="0"/>
              <wp:positionH relativeFrom="page">
                <wp:posOffset>1264285</wp:posOffset>
              </wp:positionH>
              <wp:positionV relativeFrom="page">
                <wp:posOffset>9582785</wp:posOffset>
              </wp:positionV>
              <wp:extent cx="1095375" cy="177800"/>
              <wp:effectExtent l="0" t="0" r="0" b="0"/>
              <wp:wrapNone/>
              <wp:docPr id="33" name="文本框 27"/>
              <wp:cNvGraphicFramePr/>
              <a:graphic xmlns:a="http://schemas.openxmlformats.org/drawingml/2006/main">
                <a:graphicData uri="http://schemas.microsoft.com/office/word/2010/wordprocessingShape">
                  <wps:wsp>
                    <wps:cNvSpPr txBox="1"/>
                    <wps:spPr>
                      <a:xfrm>
                        <a:off x="0" y="0"/>
                        <a:ext cx="1095375" cy="177800"/>
                      </a:xfrm>
                      <a:prstGeom prst="rect">
                        <a:avLst/>
                      </a:prstGeom>
                      <a:noFill/>
                      <a:ln>
                        <a:noFill/>
                      </a:ln>
                    </wps:spPr>
                    <wps:txbx>
                      <w:txbxContent>
                        <w:p>
                          <w:pPr>
                            <w:spacing w:before="0" w:line="280" w:lineRule="exact"/>
                            <w:ind w:left="20" w:right="0" w:firstLine="0"/>
                            <w:jc w:val="left"/>
                            <w:rPr>
                              <w:b/>
                              <w:sz w:val="24"/>
                            </w:rPr>
                          </w:pPr>
                          <w:r>
                            <w:rPr>
                              <w:b/>
                              <w:sz w:val="24"/>
                            </w:rPr>
                            <w:t>（二）裁量标准</w:t>
                          </w:r>
                        </w:p>
                      </w:txbxContent>
                    </wps:txbx>
                    <wps:bodyPr lIns="0" tIns="0" rIns="0" bIns="0" upright="1"/>
                  </wps:wsp>
                </a:graphicData>
              </a:graphic>
            </wp:anchor>
          </w:drawing>
        </mc:Choice>
        <mc:Fallback>
          <w:pict>
            <v:shape id="文本框 27" o:spid="_x0000_s1026" o:spt="202" type="#_x0000_t202" style="position:absolute;left:0pt;margin-left:99.55pt;margin-top:754.55pt;height:14pt;width:86.25pt;mso-position-horizontal-relative:page;mso-position-vertical-relative:page;z-index:-276392960;mso-width-relative:page;mso-height-relative:page;" filled="f" stroked="f" coordsize="21600,21600" o:gfxdata="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u6z1tcAAAANAQAADwAAAAAAAAABACAAAAAiAAAAZHJzL2Rvd25yZXYueG1sUEsB&#10;AhQAFAAAAAgAh07iQB0Dtqe9AQAAdAMAAA4AAAAAAAAAAQAgAAAAJgEAAGRycy9lMm9Eb2MueG1s&#10;UEsFBgAAAAAGAAYAWQEAAFUFAAAAAA==&#10;">
              <v:fill on="f" focussize="0,0"/>
              <v:stroke on="f"/>
              <v:imagedata o:title=""/>
              <o:lock v:ext="edit" aspectratio="f"/>
              <v:textbox inset="0mm,0mm,0mm,0mm">
                <w:txbxContent>
                  <w:p>
                    <w:pPr>
                      <w:spacing w:before="0" w:line="280" w:lineRule="exact"/>
                      <w:ind w:left="20" w:right="0" w:firstLine="0"/>
                      <w:jc w:val="left"/>
                      <w:rPr>
                        <w:b/>
                        <w:sz w:val="24"/>
                      </w:rPr>
                    </w:pPr>
                    <w:r>
                      <w:rPr>
                        <w:b/>
                        <w:sz w:val="24"/>
                      </w:rPr>
                      <w:t>（二）裁量标准</w:t>
                    </w:r>
                  </w:p>
                </w:txbxContent>
              </v:textbox>
            </v:shape>
          </w:pict>
        </mc:Fallback>
      </mc:AlternateContent>
    </w:r>
    <w:r>
      <mc:AlternateContent>
        <mc:Choice Requires="wps">
          <w:drawing>
            <wp:anchor distT="0" distB="0" distL="114300" distR="114300" simplePos="0" relativeHeight="22692454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34" name="文本框 2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106</w:t>
                          </w:r>
                          <w:r>
                            <w:fldChar w:fldCharType="end"/>
                          </w:r>
                          <w:r>
                            <w:rPr>
                              <w:sz w:val="21"/>
                            </w:rPr>
                            <w:t xml:space="preserve"> —</w:t>
                          </w:r>
                        </w:p>
                      </w:txbxContent>
                    </wps:txbx>
                    <wps:bodyPr lIns="0" tIns="0" rIns="0" bIns="0" upright="1"/>
                  </wps:wsp>
                </a:graphicData>
              </a:graphic>
            </wp:anchor>
          </w:drawing>
        </mc:Choice>
        <mc:Fallback>
          <w:pict>
            <v:shape id="文本框 28" o:spid="_x0000_s1026" o:spt="202" type="#_x0000_t202" style="position:absolute;left:0pt;margin-left:75.55pt;margin-top:779.15pt;height:12.6pt;width:49.2pt;mso-position-horizontal-relative:page;mso-position-vertical-relative:page;z-index:-27639193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DqHcsA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106</w:t>
                    </w:r>
                    <w:r>
                      <w:fldChar w:fldCharType="end"/>
                    </w:r>
                    <w:r>
                      <w:rPr>
                        <w:sz w:val="21"/>
                      </w:rPr>
                      <w:t xml:space="preserve"> —</w:t>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483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71" name="文本框 16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500</w:t>
                          </w:r>
                          <w:r>
                            <w:fldChar w:fldCharType="end"/>
                          </w:r>
                          <w:r>
                            <w:rPr>
                              <w:sz w:val="21"/>
                            </w:rPr>
                            <w:t xml:space="preserve"> —</w:t>
                          </w:r>
                        </w:p>
                      </w:txbxContent>
                    </wps:txbx>
                    <wps:bodyPr lIns="0" tIns="0" rIns="0" bIns="0" upright="1"/>
                  </wps:wsp>
                </a:graphicData>
              </a:graphic>
            </wp:anchor>
          </w:drawing>
        </mc:Choice>
        <mc:Fallback>
          <w:pict>
            <v:shape id="文本框 165" o:spid="_x0000_s1026" o:spt="202" type="#_x0000_t202" style="position:absolute;left:0pt;margin-left:75.55pt;margin-top:779.15pt;height:12.6pt;width:49.2pt;mso-position-horizontal-relative:page;mso-position-vertical-relative:page;z-index:-27625164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H4lsAW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500</w:t>
                    </w:r>
                    <w:r>
                      <w:fldChar w:fldCharType="end"/>
                    </w:r>
                    <w:r>
                      <w:rPr>
                        <w:sz w:val="21"/>
                      </w:rPr>
                      <w:t xml:space="preserve"> —</w:t>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790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74" name="文本框 16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511</w:t>
                          </w:r>
                          <w:r>
                            <w:fldChar w:fldCharType="end"/>
                          </w:r>
                          <w:r>
                            <w:rPr>
                              <w:sz w:val="21"/>
                            </w:rPr>
                            <w:t xml:space="preserve"> —</w:t>
                          </w:r>
                        </w:p>
                      </w:txbxContent>
                    </wps:txbx>
                    <wps:bodyPr lIns="0" tIns="0" rIns="0" bIns="0" upright="1"/>
                  </wps:wsp>
                </a:graphicData>
              </a:graphic>
            </wp:anchor>
          </w:drawing>
        </mc:Choice>
        <mc:Fallback>
          <w:pict>
            <v:shape id="文本框 168" o:spid="_x0000_s1026" o:spt="202" type="#_x0000_t202" style="position:absolute;left:0pt;margin-left:470.45pt;margin-top:779.15pt;height:12.6pt;width:49.2pt;mso-position-horizontal-relative:page;mso-position-vertical-relative:page;z-index:-27624857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DugfU+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511</w:t>
                    </w:r>
                    <w:r>
                      <w:fldChar w:fldCharType="end"/>
                    </w:r>
                    <w:r>
                      <w:rPr>
                        <w:sz w:val="21"/>
                      </w:rPr>
                      <w:t xml:space="preserve"> —</w:t>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688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73" name="文本框 16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510</w:t>
                          </w:r>
                          <w:r>
                            <w:fldChar w:fldCharType="end"/>
                          </w:r>
                          <w:r>
                            <w:rPr>
                              <w:sz w:val="21"/>
                            </w:rPr>
                            <w:t xml:space="preserve"> —</w:t>
                          </w:r>
                        </w:p>
                      </w:txbxContent>
                    </wps:txbx>
                    <wps:bodyPr lIns="0" tIns="0" rIns="0" bIns="0" upright="1"/>
                  </wps:wsp>
                </a:graphicData>
              </a:graphic>
            </wp:anchor>
          </w:drawing>
        </mc:Choice>
        <mc:Fallback>
          <w:pict>
            <v:shape id="文本框 167" o:spid="_x0000_s1026" o:spt="202" type="#_x0000_t202" style="position:absolute;left:0pt;margin-left:75.55pt;margin-top:779.15pt;height:12.6pt;width:49.2pt;mso-position-horizontal-relative:page;mso-position-vertical-relative:page;z-index:-27624960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PeU+SO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510</w:t>
                    </w:r>
                    <w:r>
                      <w:fldChar w:fldCharType="end"/>
                    </w:r>
                    <w:r>
                      <w:rPr>
                        <w:sz w:val="21"/>
                      </w:rPr>
                      <w:t xml:space="preserve"> —</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995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76" name="文本框 17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521</w:t>
                          </w:r>
                          <w:r>
                            <w:fldChar w:fldCharType="end"/>
                          </w:r>
                          <w:r>
                            <w:rPr>
                              <w:sz w:val="21"/>
                            </w:rPr>
                            <w:t xml:space="preserve"> —</w:t>
                          </w:r>
                        </w:p>
                      </w:txbxContent>
                    </wps:txbx>
                    <wps:bodyPr lIns="0" tIns="0" rIns="0" bIns="0" upright="1"/>
                  </wps:wsp>
                </a:graphicData>
              </a:graphic>
            </wp:anchor>
          </w:drawing>
        </mc:Choice>
        <mc:Fallback>
          <w:pict>
            <v:shape id="文本框 170" o:spid="_x0000_s1026" o:spt="202" type="#_x0000_t202" style="position:absolute;left:0pt;margin-left:470.45pt;margin-top:779.15pt;height:12.6pt;width:49.2pt;mso-position-horizontal-relative:page;mso-position-vertical-relative:page;z-index:-27624652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UpEJz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521</w:t>
                    </w:r>
                    <w:r>
                      <w:fldChar w:fldCharType="end"/>
                    </w:r>
                    <w:r>
                      <w:rPr>
                        <w:sz w:val="21"/>
                      </w:rPr>
                      <w:t xml:space="preserve"> —</w:t>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6892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75" name="文本框 16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520</w:t>
                          </w:r>
                          <w:r>
                            <w:fldChar w:fldCharType="end"/>
                          </w:r>
                          <w:r>
                            <w:rPr>
                              <w:sz w:val="21"/>
                            </w:rPr>
                            <w:t xml:space="preserve"> —</w:t>
                          </w:r>
                        </w:p>
                      </w:txbxContent>
                    </wps:txbx>
                    <wps:bodyPr lIns="0" tIns="0" rIns="0" bIns="0" upright="1"/>
                  </wps:wsp>
                </a:graphicData>
              </a:graphic>
            </wp:anchor>
          </w:drawing>
        </mc:Choice>
        <mc:Fallback>
          <w:pict>
            <v:shape id="文本框 169" o:spid="_x0000_s1026" o:spt="202" type="#_x0000_t202" style="position:absolute;left:0pt;margin-left:75.55pt;margin-top:779.15pt;height:12.6pt;width:49.2pt;mso-position-horizontal-relative:page;mso-position-vertical-relative:page;z-index:-27624755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83ZIfaAAAADQEAAA8AAAAAAAAAAQAgAAAAIgAAAGRycy9kb3ducmV2Lnht&#10;bFBLAQIUABQAAAAIAIdO4kDf++GxvgEAAHUDAAAOAAAAAAAAAAEAIAAAACkBAABkcnMvZTJvRG9j&#10;LnhtbFBLBQYAAAAABgAGAFkBAABZ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520</w:t>
                    </w:r>
                    <w:r>
                      <w:fldChar w:fldCharType="end"/>
                    </w:r>
                    <w:r>
                      <w:rPr>
                        <w:sz w:val="21"/>
                      </w:rPr>
                      <w:t xml:space="preserve"> —</w:t>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7200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78" name="文本框 17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531</w:t>
                          </w:r>
                          <w:r>
                            <w:fldChar w:fldCharType="end"/>
                          </w:r>
                          <w:r>
                            <w:rPr>
                              <w:sz w:val="21"/>
                            </w:rPr>
                            <w:t xml:space="preserve"> —</w:t>
                          </w:r>
                        </w:p>
                      </w:txbxContent>
                    </wps:txbx>
                    <wps:bodyPr lIns="0" tIns="0" rIns="0" bIns="0" upright="1"/>
                  </wps:wsp>
                </a:graphicData>
              </a:graphic>
            </wp:anchor>
          </w:drawing>
        </mc:Choice>
        <mc:Fallback>
          <w:pict>
            <v:shape id="文本框 172" o:spid="_x0000_s1026" o:spt="202" type="#_x0000_t202" style="position:absolute;left:0pt;margin-left:470.45pt;margin-top:779.15pt;height:12.6pt;width:49.2pt;mso-position-horizontal-relative:page;mso-position-vertical-relative:page;z-index:-27624448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YdCl6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531</w:t>
                    </w:r>
                    <w:r>
                      <w:fldChar w:fldCharType="end"/>
                    </w:r>
                    <w:r>
                      <w:rPr>
                        <w:sz w:val="21"/>
                      </w:rPr>
                      <w:t xml:space="preserve"> —</w:t>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7097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77" name="文本框 17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530</w:t>
                          </w:r>
                          <w:r>
                            <w:fldChar w:fldCharType="end"/>
                          </w:r>
                          <w:r>
                            <w:rPr>
                              <w:sz w:val="21"/>
                            </w:rPr>
                            <w:t xml:space="preserve"> —</w:t>
                          </w:r>
                        </w:p>
                      </w:txbxContent>
                    </wps:txbx>
                    <wps:bodyPr lIns="0" tIns="0" rIns="0" bIns="0" upright="1"/>
                  </wps:wsp>
                </a:graphicData>
              </a:graphic>
            </wp:anchor>
          </w:drawing>
        </mc:Choice>
        <mc:Fallback>
          <w:pict>
            <v:shape id="文本框 171" o:spid="_x0000_s1026" o:spt="202" type="#_x0000_t202" style="position:absolute;left:0pt;margin-left:75.55pt;margin-top:779.15pt;height:12.6pt;width:49.2pt;mso-position-horizontal-relative:page;mso-position-vertical-relative:page;z-index:-27624550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cP/ej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530</w:t>
                    </w:r>
                    <w:r>
                      <w:fldChar w:fldCharType="end"/>
                    </w:r>
                    <w:r>
                      <w:rPr>
                        <w:sz w:val="21"/>
                      </w:rPr>
                      <w:t xml:space="preserve"> —</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73024"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79" name="文本框 173"/>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（1）违法情形</w:t>
                          </w:r>
                        </w:p>
                      </w:txbxContent>
                    </wps:txbx>
                    <wps:bodyPr lIns="0" tIns="0" rIns="0" bIns="0" upright="1"/>
                  </wps:wsp>
                </a:graphicData>
              </a:graphic>
            </wp:anchor>
          </w:drawing>
        </mc:Choice>
        <mc:Fallback>
          <w:pict>
            <v:shape id="文本框 173" o:spid="_x0000_s1026" o:spt="202" type="#_x0000_t202" style="position:absolute;left:0pt;margin-left:99.55pt;margin-top:754.55pt;height:14pt;width:80pt;mso-position-horizontal-relative:page;mso-position-vertical-relative:page;z-index:-276243456;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KGwB2AAAAA0BAAAPAAAAAAAAAAEAIAAAACIAAABkcnMvZG93bnJldi54bWxQSwEC&#10;FAAUAAAACACHTuJAnj6YXLsBAAB2AwAADgAAAAAAAAABACAAAAAnAQAAZHJzL2Uyb0RvYy54bWxQ&#10;SwUGAAAAAAYABgBZAQAAVAUAAAAA&#10;">
              <v:fill on="f" focussize="0,0"/>
              <v:stroke on="f"/>
              <v:imagedata o:title=""/>
              <o:lock v:ext="edit" aspectratio="f"/>
              <v:textbox inset="0mm,0mm,0mm,0mm">
                <w:txbxContent>
                  <w:p>
                    <w:pPr>
                      <w:pStyle w:val="4"/>
                      <w:spacing w:line="280" w:lineRule="exact"/>
                      <w:ind w:left="20"/>
                    </w:pPr>
                    <w:r>
                      <w:t>（1）违法情形</w:t>
                    </w:r>
                  </w:p>
                </w:txbxContent>
              </v:textbox>
            </v:shape>
          </w:pict>
        </mc:Fallback>
      </mc:AlternateContent>
    </w:r>
    <w:r>
      <mc:AlternateContent>
        <mc:Choice Requires="wps">
          <w:drawing>
            <wp:anchor distT="0" distB="0" distL="114300" distR="114300" simplePos="0" relativeHeight="22707404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80" name="文本框 17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533</w:t>
                          </w:r>
                          <w:r>
                            <w:fldChar w:fldCharType="end"/>
                          </w:r>
                          <w:r>
                            <w:rPr>
                              <w:sz w:val="21"/>
                            </w:rPr>
                            <w:t xml:space="preserve"> —</w:t>
                          </w:r>
                        </w:p>
                      </w:txbxContent>
                    </wps:txbx>
                    <wps:bodyPr lIns="0" tIns="0" rIns="0" bIns="0" upright="1"/>
                  </wps:wsp>
                </a:graphicData>
              </a:graphic>
            </wp:anchor>
          </w:drawing>
        </mc:Choice>
        <mc:Fallback>
          <w:pict>
            <v:shape id="文本框 174" o:spid="_x0000_s1026" o:spt="202" type="#_x0000_t202" style="position:absolute;left:0pt;margin-left:470.45pt;margin-top:779.15pt;height:12.6pt;width:49.2pt;mso-position-horizontal-relative:page;mso-position-vertical-relative:page;z-index:-27624243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1e84H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533</w:t>
                    </w:r>
                    <w:r>
                      <w:fldChar w:fldCharType="end"/>
                    </w:r>
                    <w:r>
                      <w:rPr>
                        <w:sz w:val="21"/>
                      </w:rPr>
                      <w:t xml:space="preserve"> —</w:t>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7507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81" name="文本框 17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534</w:t>
                          </w:r>
                          <w:r>
                            <w:fldChar w:fldCharType="end"/>
                          </w:r>
                          <w:r>
                            <w:rPr>
                              <w:sz w:val="21"/>
                            </w:rPr>
                            <w:t xml:space="preserve"> —</w:t>
                          </w:r>
                        </w:p>
                      </w:txbxContent>
                    </wps:txbx>
                    <wps:bodyPr lIns="0" tIns="0" rIns="0" bIns="0" upright="1"/>
                  </wps:wsp>
                </a:graphicData>
              </a:graphic>
            </wp:anchor>
          </w:drawing>
        </mc:Choice>
        <mc:Fallback>
          <w:pict>
            <v:shape id="文本框 175" o:spid="_x0000_s1026" o:spt="202" type="#_x0000_t202" style="position:absolute;left:0pt;margin-left:75.55pt;margin-top:779.15pt;height:12.6pt;width:49.2pt;mso-position-horizontal-relative:page;mso-position-vertical-relative:page;z-index:-27624140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MbSk4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534</w:t>
                    </w:r>
                    <w:r>
                      <w:fldChar w:fldCharType="end"/>
                    </w:r>
                    <w:r>
                      <w:rPr>
                        <w:sz w:val="21"/>
                      </w:rPr>
                      <w:t xml:space="preserve"> —</w:t>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7609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82" name="文本框 17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537</w:t>
                          </w:r>
                          <w:r>
                            <w:fldChar w:fldCharType="end"/>
                          </w:r>
                          <w:r>
                            <w:rPr>
                              <w:sz w:val="21"/>
                            </w:rPr>
                            <w:t xml:space="preserve"> —</w:t>
                          </w:r>
                        </w:p>
                      </w:txbxContent>
                    </wps:txbx>
                    <wps:bodyPr lIns="0" tIns="0" rIns="0" bIns="0" upright="1"/>
                  </wps:wsp>
                </a:graphicData>
              </a:graphic>
            </wp:anchor>
          </w:drawing>
        </mc:Choice>
        <mc:Fallback>
          <w:pict>
            <v:shape id="文本框 176" o:spid="_x0000_s1026" o:spt="202" type="#_x0000_t202" style="position:absolute;left:0pt;margin-left:470.45pt;margin-top:779.15pt;height:12.6pt;width:49.2pt;mso-position-horizontal-relative:page;mso-position-vertical-relative:page;z-index:-27624038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XF5xO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537</w:t>
                    </w:r>
                    <w:r>
                      <w:fldChar w:fldCharType="end"/>
                    </w:r>
                    <w:r>
                      <w:rPr>
                        <w:sz w:val="21"/>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27616" behindDoc="1" locked="0" layoutInCell="1" allowOverlap="1">
              <wp:simplePos x="0" y="0"/>
              <wp:positionH relativeFrom="page">
                <wp:posOffset>1264285</wp:posOffset>
              </wp:positionH>
              <wp:positionV relativeFrom="page">
                <wp:posOffset>9582785</wp:posOffset>
              </wp:positionV>
              <wp:extent cx="1095375" cy="177800"/>
              <wp:effectExtent l="0" t="0" r="0" b="0"/>
              <wp:wrapNone/>
              <wp:docPr id="37" name="文本框 31"/>
              <wp:cNvGraphicFramePr/>
              <a:graphic xmlns:a="http://schemas.openxmlformats.org/drawingml/2006/main">
                <a:graphicData uri="http://schemas.microsoft.com/office/word/2010/wordprocessingShape">
                  <wps:wsp>
                    <wps:cNvSpPr txBox="1"/>
                    <wps:spPr>
                      <a:xfrm>
                        <a:off x="0" y="0"/>
                        <a:ext cx="1095375" cy="177800"/>
                      </a:xfrm>
                      <a:prstGeom prst="rect">
                        <a:avLst/>
                      </a:prstGeom>
                      <a:noFill/>
                      <a:ln>
                        <a:noFill/>
                      </a:ln>
                    </wps:spPr>
                    <wps:txbx>
                      <w:txbxContent>
                        <w:p>
                          <w:pPr>
                            <w:spacing w:before="0" w:line="280" w:lineRule="exact"/>
                            <w:ind w:left="20" w:right="0" w:firstLine="0"/>
                            <w:jc w:val="left"/>
                            <w:rPr>
                              <w:b/>
                              <w:sz w:val="24"/>
                            </w:rPr>
                          </w:pPr>
                          <w:r>
                            <w:rPr>
                              <w:b/>
                              <w:sz w:val="24"/>
                            </w:rPr>
                            <w:t>（二）裁量标准</w:t>
                          </w:r>
                        </w:p>
                      </w:txbxContent>
                    </wps:txbx>
                    <wps:bodyPr lIns="0" tIns="0" rIns="0" bIns="0" upright="1"/>
                  </wps:wsp>
                </a:graphicData>
              </a:graphic>
            </wp:anchor>
          </w:drawing>
        </mc:Choice>
        <mc:Fallback>
          <w:pict>
            <v:shape id="文本框 31" o:spid="_x0000_s1026" o:spt="202" type="#_x0000_t202" style="position:absolute;left:0pt;margin-left:99.55pt;margin-top:754.55pt;height:14pt;width:86.25pt;mso-position-horizontal-relative:page;mso-position-vertical-relative:page;z-index:-276388864;mso-width-relative:page;mso-height-relative:page;" filled="f" stroked="f" coordsize="21600,21600" o:gfxdata="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bus9bXAAAADQEAAA8AAAAAAAAAAQAgAAAAIgAAAGRycy9kb3ducmV2LnhtbFBL&#10;AQIUABQAAAAIAIdO4kBQ/Ys+vgEAAHQDAAAOAAAAAAAAAAEAIAAAACYBAABkcnMvZTJvRG9jLnht&#10;bFBLBQYAAAAABgAGAFkBAABWBQAAAAA=&#10;">
              <v:fill on="f" focussize="0,0"/>
              <v:stroke on="f"/>
              <v:imagedata o:title=""/>
              <o:lock v:ext="edit" aspectratio="f"/>
              <v:textbox inset="0mm,0mm,0mm,0mm">
                <w:txbxContent>
                  <w:p>
                    <w:pPr>
                      <w:spacing w:before="0" w:line="280" w:lineRule="exact"/>
                      <w:ind w:left="20" w:right="0" w:firstLine="0"/>
                      <w:jc w:val="left"/>
                      <w:rPr>
                        <w:b/>
                        <w:sz w:val="24"/>
                      </w:rPr>
                    </w:pPr>
                    <w:r>
                      <w:rPr>
                        <w:b/>
                        <w:sz w:val="24"/>
                      </w:rPr>
                      <w:t>（二）裁量标准</w:t>
                    </w:r>
                  </w:p>
                </w:txbxContent>
              </v:textbox>
            </v:shape>
          </w:pict>
        </mc:Fallback>
      </mc:AlternateContent>
    </w:r>
    <w:r>
      <mc:AlternateContent>
        <mc:Choice Requires="wps">
          <w:drawing>
            <wp:anchor distT="0" distB="0" distL="114300" distR="114300" simplePos="0" relativeHeight="22692864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38" name="文本框 3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111</w:t>
                          </w:r>
                          <w:r>
                            <w:fldChar w:fldCharType="end"/>
                          </w:r>
                          <w:r>
                            <w:rPr>
                              <w:sz w:val="21"/>
                            </w:rPr>
                            <w:t xml:space="preserve"> —</w:t>
                          </w:r>
                        </w:p>
                      </w:txbxContent>
                    </wps:txbx>
                    <wps:bodyPr lIns="0" tIns="0" rIns="0" bIns="0" upright="1"/>
                  </wps:wsp>
                </a:graphicData>
              </a:graphic>
            </wp:anchor>
          </w:drawing>
        </mc:Choice>
        <mc:Fallback>
          <w:pict>
            <v:shape id="文本框 32" o:spid="_x0000_s1026" o:spt="202" type="#_x0000_t202" style="position:absolute;left:0pt;margin-left:470.45pt;margin-top:779.15pt;height:12.6pt;width:49.2pt;mso-position-horizontal-relative:page;mso-position-vertical-relative:page;z-index:-27638784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B9zvvS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111</w:t>
                    </w:r>
                    <w:r>
                      <w:fldChar w:fldCharType="end"/>
                    </w:r>
                    <w:r>
                      <w:rPr>
                        <w:sz w:val="21"/>
                      </w:rPr>
                      <w:t xml:space="preserve"> —</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7712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83" name="文本框 17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538</w:t>
                          </w:r>
                          <w:r>
                            <w:fldChar w:fldCharType="end"/>
                          </w:r>
                          <w:r>
                            <w:rPr>
                              <w:sz w:val="21"/>
                            </w:rPr>
                            <w:t xml:space="preserve"> —</w:t>
                          </w:r>
                        </w:p>
                      </w:txbxContent>
                    </wps:txbx>
                    <wps:bodyPr lIns="0" tIns="0" rIns="0" bIns="0" upright="1"/>
                  </wps:wsp>
                </a:graphicData>
              </a:graphic>
            </wp:anchor>
          </w:drawing>
        </mc:Choice>
        <mc:Fallback>
          <w:pict>
            <v:shape id="文本框 177" o:spid="_x0000_s1026" o:spt="202" type="#_x0000_t202" style="position:absolute;left:0pt;margin-left:75.55pt;margin-top:779.15pt;height:12.6pt;width:49.2pt;mso-position-horizontal-relative:page;mso-position-vertical-relative:page;z-index:-27623936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LgF7ca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538</w:t>
                    </w:r>
                    <w:r>
                      <w:fldChar w:fldCharType="end"/>
                    </w:r>
                    <w:r>
                      <w:rPr>
                        <w:sz w:val="21"/>
                      </w:rPr>
                      <w:t xml:space="preserve"> —</w:t>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7916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85" name="文本框 17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541</w:t>
                          </w:r>
                          <w:r>
                            <w:fldChar w:fldCharType="end"/>
                          </w:r>
                          <w:r>
                            <w:rPr>
                              <w:sz w:val="21"/>
                            </w:rPr>
                            <w:t xml:space="preserve"> —</w:t>
                          </w:r>
                        </w:p>
                      </w:txbxContent>
                    </wps:txbx>
                    <wps:bodyPr lIns="0" tIns="0" rIns="0" bIns="0" upright="1"/>
                  </wps:wsp>
                </a:graphicData>
              </a:graphic>
            </wp:anchor>
          </w:drawing>
        </mc:Choice>
        <mc:Fallback>
          <w:pict>
            <v:shape id="文本框 179" o:spid="_x0000_s1026" o:spt="202" type="#_x0000_t202" style="position:absolute;left:0pt;margin-left:470.45pt;margin-top:779.15pt;height:12.6pt;width:49.2pt;mso-position-horizontal-relative:page;mso-position-vertical-relative:page;z-index:-27623731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JBq9VS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541</w:t>
                    </w:r>
                    <w:r>
                      <w:fldChar w:fldCharType="end"/>
                    </w:r>
                    <w:r>
                      <w:rPr>
                        <w:sz w:val="21"/>
                      </w:rPr>
                      <w:t xml:space="preserve"> —</w:t>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7814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84" name="文本框 17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540</w:t>
                          </w:r>
                          <w:r>
                            <w:fldChar w:fldCharType="end"/>
                          </w:r>
                          <w:r>
                            <w:rPr>
                              <w:sz w:val="21"/>
                            </w:rPr>
                            <w:t xml:space="preserve"> —</w:t>
                          </w:r>
                        </w:p>
                      </w:txbxContent>
                    </wps:txbx>
                    <wps:bodyPr lIns="0" tIns="0" rIns="0" bIns="0" upright="1"/>
                  </wps:wsp>
                </a:graphicData>
              </a:graphic>
            </wp:anchor>
          </w:drawing>
        </mc:Choice>
        <mc:Fallback>
          <w:pict>
            <v:shape id="文本框 178" o:spid="_x0000_s1026" o:spt="202" type="#_x0000_t202" style="position:absolute;left:0pt;margin-left:75.55pt;margin-top:779.15pt;height:12.6pt;width:49.2pt;mso-position-horizontal-relative:page;mso-position-vertical-relative:page;z-index:-27623833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HQxaaq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540</w:t>
                    </w:r>
                    <w:r>
                      <w:fldChar w:fldCharType="end"/>
                    </w:r>
                    <w:r>
                      <w:rPr>
                        <w:sz w:val="21"/>
                      </w:rPr>
                      <w:t xml:space="preserve"> —</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8121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87" name="文本框 18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551</w:t>
                          </w:r>
                          <w:r>
                            <w:fldChar w:fldCharType="end"/>
                          </w:r>
                          <w:r>
                            <w:rPr>
                              <w:sz w:val="21"/>
                            </w:rPr>
                            <w:t xml:space="preserve"> —</w:t>
                          </w:r>
                        </w:p>
                      </w:txbxContent>
                    </wps:txbx>
                    <wps:bodyPr lIns="0" tIns="0" rIns="0" bIns="0" upright="1"/>
                  </wps:wsp>
                </a:graphicData>
              </a:graphic>
            </wp:anchor>
          </w:drawing>
        </mc:Choice>
        <mc:Fallback>
          <w:pict>
            <v:shape id="文本框 181" o:spid="_x0000_s1026" o:spt="202" type="#_x0000_t202" style="position:absolute;left:0pt;margin-left:470.45pt;margin-top:779.15pt;height:12.6pt;width:49.2pt;mso-position-horizontal-relative:page;mso-position-vertical-relative:page;z-index:-27623526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Qxdqc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551</w:t>
                    </w:r>
                    <w:r>
                      <w:fldChar w:fldCharType="end"/>
                    </w:r>
                    <w:r>
                      <w:rPr>
                        <w:sz w:val="21"/>
                      </w:rPr>
                      <w:t xml:space="preserve"> —</w:t>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8019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86" name="文本框 18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550</w:t>
                          </w:r>
                          <w:r>
                            <w:fldChar w:fldCharType="end"/>
                          </w:r>
                          <w:r>
                            <w:rPr>
                              <w:sz w:val="21"/>
                            </w:rPr>
                            <w:t xml:space="preserve"> —</w:t>
                          </w:r>
                        </w:p>
                      </w:txbxContent>
                    </wps:txbx>
                    <wps:bodyPr lIns="0" tIns="0" rIns="0" bIns="0" upright="1"/>
                  </wps:wsp>
                </a:graphicData>
              </a:graphic>
            </wp:anchor>
          </w:drawing>
        </mc:Choice>
        <mc:Fallback>
          <w:pict>
            <v:shape id="文本框 180" o:spid="_x0000_s1026" o:spt="202" type="#_x0000_t202" style="position:absolute;left:0pt;margin-left:75.55pt;margin-top:779.15pt;height:12.6pt;width:49.2pt;mso-position-horizontal-relative:page;mso-position-vertical-relative:page;z-index:-27623628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zdkh9oAAAANAQAADwAAAAAAAAABACAAAAAiAAAAZHJzL2Rvd25yZXYueG1sUEsB&#10;AhQAFAAAAAgAh07iQKdM9o+6AQAAdQ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550</w:t>
                    </w:r>
                    <w:r>
                      <w:fldChar w:fldCharType="end"/>
                    </w:r>
                    <w:r>
                      <w:rPr>
                        <w:sz w:val="21"/>
                      </w:rPr>
                      <w:t xml:space="preserve"> —</w:t>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8428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90" name="文本框 18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559</w:t>
                          </w:r>
                          <w:r>
                            <w:fldChar w:fldCharType="end"/>
                          </w:r>
                          <w:r>
                            <w:rPr>
                              <w:sz w:val="21"/>
                            </w:rPr>
                            <w:t xml:space="preserve"> —</w:t>
                          </w:r>
                        </w:p>
                      </w:txbxContent>
                    </wps:txbx>
                    <wps:bodyPr lIns="0" tIns="0" rIns="0" bIns="0" upright="1"/>
                  </wps:wsp>
                </a:graphicData>
              </a:graphic>
            </wp:anchor>
          </w:drawing>
        </mc:Choice>
        <mc:Fallback>
          <w:pict>
            <v:shape id="文本框 184" o:spid="_x0000_s1026" o:spt="202" type="#_x0000_t202" style="position:absolute;left:0pt;margin-left:470.45pt;margin-top:779.15pt;height:12.6pt;width:49.2pt;mso-position-horizontal-relative:page;mso-position-vertical-relative:page;z-index:-27623219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kywBo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559</w:t>
                    </w:r>
                    <w:r>
                      <w:fldChar w:fldCharType="end"/>
                    </w:r>
                    <w:r>
                      <w:rPr>
                        <w:sz w:val="21"/>
                      </w:rPr>
                      <w:t xml:space="preserve"> —</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82240"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88" name="文本框 182"/>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（1）违法情形</w:t>
                          </w:r>
                        </w:p>
                      </w:txbxContent>
                    </wps:txbx>
                    <wps:bodyPr lIns="0" tIns="0" rIns="0" bIns="0" upright="1"/>
                  </wps:wsp>
                </a:graphicData>
              </a:graphic>
            </wp:anchor>
          </w:drawing>
        </mc:Choice>
        <mc:Fallback>
          <w:pict>
            <v:shape id="文本框 182" o:spid="_x0000_s1026" o:spt="202" type="#_x0000_t202" style="position:absolute;left:0pt;margin-left:99.55pt;margin-top:754.55pt;height:14pt;width:80pt;mso-position-horizontal-relative:page;mso-position-vertical-relative:page;z-index:-276234240;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gobAHYAAAADQEAAA8AAAAAAAAAAQAgAAAAIgAAAGRycy9kb3ducmV2LnhtbFBLAQIU&#10;ABQAAAAIAIdO4kBaUS1EugEAAHYDAAAOAAAAAAAAAAEAIAAAACcBAABkcnMvZTJvRG9jLnhtbFBL&#10;BQYAAAAABgAGAFkBAABTBQAAAAA=&#10;">
              <v:fill on="f" focussize="0,0"/>
              <v:stroke on="f"/>
              <v:imagedata o:title=""/>
              <o:lock v:ext="edit" aspectratio="f"/>
              <v:textbox inset="0mm,0mm,0mm,0mm">
                <w:txbxContent>
                  <w:p>
                    <w:pPr>
                      <w:pStyle w:val="4"/>
                      <w:spacing w:line="280" w:lineRule="exact"/>
                      <w:ind w:left="20"/>
                    </w:pPr>
                    <w:r>
                      <w:t>（1）违法情形</w:t>
                    </w:r>
                  </w:p>
                </w:txbxContent>
              </v:textbox>
            </v:shape>
          </w:pict>
        </mc:Fallback>
      </mc:AlternateContent>
    </w:r>
    <w:r>
      <mc:AlternateContent>
        <mc:Choice Requires="wps">
          <w:drawing>
            <wp:anchor distT="0" distB="0" distL="114300" distR="114300" simplePos="0" relativeHeight="22708326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89" name="文本框 18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558</w:t>
                          </w:r>
                          <w:r>
                            <w:fldChar w:fldCharType="end"/>
                          </w:r>
                          <w:r>
                            <w:rPr>
                              <w:sz w:val="21"/>
                            </w:rPr>
                            <w:t xml:space="preserve"> —</w:t>
                          </w:r>
                        </w:p>
                      </w:txbxContent>
                    </wps:txbx>
                    <wps:bodyPr lIns="0" tIns="0" rIns="0" bIns="0" upright="1"/>
                  </wps:wsp>
                </a:graphicData>
              </a:graphic>
            </wp:anchor>
          </w:drawing>
        </mc:Choice>
        <mc:Fallback>
          <w:pict>
            <v:shape id="文本框 183" o:spid="_x0000_s1026" o:spt="202" type="#_x0000_t202" style="position:absolute;left:0pt;margin-left:75.55pt;margin-top:779.15pt;height:12.6pt;width:49.2pt;mso-position-horizontal-relative:page;mso-position-vertical-relative:page;z-index:-27623321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LZjjeu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558</w:t>
                    </w:r>
                    <w:r>
                      <w:fldChar w:fldCharType="end"/>
                    </w:r>
                    <w:r>
                      <w:rPr>
                        <w:sz w:val="21"/>
                      </w:rPr>
                      <w:t xml:space="preserve"> —</w:t>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8736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93" name="文本框 18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561</w:t>
                          </w:r>
                          <w:r>
                            <w:fldChar w:fldCharType="end"/>
                          </w:r>
                          <w:r>
                            <w:rPr>
                              <w:sz w:val="21"/>
                            </w:rPr>
                            <w:t xml:space="preserve"> —</w:t>
                          </w:r>
                        </w:p>
                      </w:txbxContent>
                    </wps:txbx>
                    <wps:bodyPr lIns="0" tIns="0" rIns="0" bIns="0" upright="1"/>
                  </wps:wsp>
                </a:graphicData>
              </a:graphic>
            </wp:anchor>
          </w:drawing>
        </mc:Choice>
        <mc:Fallback>
          <w:pict>
            <v:shape id="文本框 187" o:spid="_x0000_s1026" o:spt="202" type="#_x0000_t202" style="position:absolute;left:0pt;margin-left:470.45pt;margin-top:779.15pt;height:12.6pt;width:49.2pt;mso-position-horizontal-relative:page;mso-position-vertical-relative:page;z-index:-27622912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P7G1Hi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561</w:t>
                    </w:r>
                    <w:r>
                      <w:fldChar w:fldCharType="end"/>
                    </w:r>
                    <w:r>
                      <w:rPr>
                        <w:sz w:val="21"/>
                      </w:rPr>
                      <w:t xml:space="preserve"> —</w:t>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85312"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91" name="文本框 185"/>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（1）违法情形</w:t>
                          </w:r>
                        </w:p>
                      </w:txbxContent>
                    </wps:txbx>
                    <wps:bodyPr lIns="0" tIns="0" rIns="0" bIns="0" upright="1"/>
                  </wps:wsp>
                </a:graphicData>
              </a:graphic>
            </wp:anchor>
          </w:drawing>
        </mc:Choice>
        <mc:Fallback>
          <w:pict>
            <v:shape id="文本框 185" o:spid="_x0000_s1026" o:spt="202" type="#_x0000_t202" style="position:absolute;left:0pt;margin-left:99.55pt;margin-top:754.55pt;height:14pt;width:80pt;mso-position-horizontal-relative:page;mso-position-vertical-relative:page;z-index:-276231168;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KGwB2AAAAA0BAAAPAAAAAAAAAAEAIAAAACIAAABkcnMvZG93bnJldi54bWxQSwEC&#10;FAAUAAAACACHTuJAUgliD7sBAAB2AwAADgAAAAAAAAABACAAAAAnAQAAZHJzL2Uyb0RvYy54bWxQ&#10;SwUGAAAAAAYABgBZAQAAVAUAAAAA&#10;">
              <v:fill on="f" focussize="0,0"/>
              <v:stroke on="f"/>
              <v:imagedata o:title=""/>
              <o:lock v:ext="edit" aspectratio="f"/>
              <v:textbox inset="0mm,0mm,0mm,0mm">
                <w:txbxContent>
                  <w:p>
                    <w:pPr>
                      <w:pStyle w:val="4"/>
                      <w:spacing w:line="280" w:lineRule="exact"/>
                      <w:ind w:left="20"/>
                    </w:pPr>
                    <w:r>
                      <w:t>（1）违法情形</w:t>
                    </w:r>
                  </w:p>
                </w:txbxContent>
              </v:textbox>
            </v:shape>
          </w:pict>
        </mc:Fallback>
      </mc:AlternateContent>
    </w:r>
    <w:r>
      <mc:AlternateContent>
        <mc:Choice Requires="wps">
          <w:drawing>
            <wp:anchor distT="0" distB="0" distL="114300" distR="114300" simplePos="0" relativeHeight="22708633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92" name="文本框 18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560</w:t>
                          </w:r>
                          <w:r>
                            <w:fldChar w:fldCharType="end"/>
                          </w:r>
                          <w:r>
                            <w:rPr>
                              <w:sz w:val="21"/>
                            </w:rPr>
                            <w:t xml:space="preserve"> —</w:t>
                          </w:r>
                        </w:p>
                      </w:txbxContent>
                    </wps:txbx>
                    <wps:bodyPr lIns="0" tIns="0" rIns="0" bIns="0" upright="1"/>
                  </wps:wsp>
                </a:graphicData>
              </a:graphic>
            </wp:anchor>
          </w:drawing>
        </mc:Choice>
        <mc:Fallback>
          <w:pict>
            <v:shape id="文本框 186" o:spid="_x0000_s1026" o:spt="202" type="#_x0000_t202" style="position:absolute;left:0pt;margin-left:75.55pt;margin-top:779.15pt;height:12.6pt;width:49.2pt;mso-position-horizontal-relative:page;mso-position-vertical-relative:page;z-index:-27623014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Gp1Ih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560</w:t>
                    </w:r>
                    <w:r>
                      <w:fldChar w:fldCharType="end"/>
                    </w:r>
                    <w:r>
                      <w:rPr>
                        <w:sz w:val="21"/>
                      </w:rPr>
                      <w:t xml:space="preserve"> —</w:t>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8940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95" name="文本框 18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563</w:t>
                          </w:r>
                          <w:r>
                            <w:fldChar w:fldCharType="end"/>
                          </w:r>
                          <w:r>
                            <w:rPr>
                              <w:sz w:val="21"/>
                            </w:rPr>
                            <w:t xml:space="preserve"> —</w:t>
                          </w:r>
                        </w:p>
                      </w:txbxContent>
                    </wps:txbx>
                    <wps:bodyPr lIns="0" tIns="0" rIns="0" bIns="0" upright="1"/>
                  </wps:wsp>
                </a:graphicData>
              </a:graphic>
            </wp:anchor>
          </w:drawing>
        </mc:Choice>
        <mc:Fallback>
          <w:pict>
            <v:shape id="文本框 189" o:spid="_x0000_s1026" o:spt="202" type="#_x0000_t202" style="position:absolute;left:0pt;margin-left:470.45pt;margin-top:779.15pt;height:12.6pt;width:49.2pt;mso-position-horizontal-relative:page;mso-position-vertical-relative:page;z-index:-27622707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NapzOq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563</w:t>
                    </w:r>
                    <w:r>
                      <w:fldChar w:fldCharType="end"/>
                    </w:r>
                    <w:r>
                      <w:rPr>
                        <w:sz w:val="21"/>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25568" behindDoc="1" locked="0" layoutInCell="1" allowOverlap="1">
              <wp:simplePos x="0" y="0"/>
              <wp:positionH relativeFrom="page">
                <wp:posOffset>1264285</wp:posOffset>
              </wp:positionH>
              <wp:positionV relativeFrom="page">
                <wp:posOffset>9582785</wp:posOffset>
              </wp:positionV>
              <wp:extent cx="1095375" cy="177800"/>
              <wp:effectExtent l="0" t="0" r="0" b="0"/>
              <wp:wrapNone/>
              <wp:docPr id="35" name="文本框 29"/>
              <wp:cNvGraphicFramePr/>
              <a:graphic xmlns:a="http://schemas.openxmlformats.org/drawingml/2006/main">
                <a:graphicData uri="http://schemas.microsoft.com/office/word/2010/wordprocessingShape">
                  <wps:wsp>
                    <wps:cNvSpPr txBox="1"/>
                    <wps:spPr>
                      <a:xfrm>
                        <a:off x="0" y="0"/>
                        <a:ext cx="1095375" cy="177800"/>
                      </a:xfrm>
                      <a:prstGeom prst="rect">
                        <a:avLst/>
                      </a:prstGeom>
                      <a:noFill/>
                      <a:ln>
                        <a:noFill/>
                      </a:ln>
                    </wps:spPr>
                    <wps:txbx>
                      <w:txbxContent>
                        <w:p>
                          <w:pPr>
                            <w:spacing w:before="0" w:line="280" w:lineRule="exact"/>
                            <w:ind w:left="20" w:right="0" w:firstLine="0"/>
                            <w:jc w:val="left"/>
                            <w:rPr>
                              <w:b/>
                              <w:sz w:val="24"/>
                            </w:rPr>
                          </w:pPr>
                          <w:r>
                            <w:rPr>
                              <w:b/>
                              <w:sz w:val="24"/>
                            </w:rPr>
                            <w:t>（二）裁量标准</w:t>
                          </w:r>
                        </w:p>
                      </w:txbxContent>
                    </wps:txbx>
                    <wps:bodyPr lIns="0" tIns="0" rIns="0" bIns="0" upright="1"/>
                  </wps:wsp>
                </a:graphicData>
              </a:graphic>
            </wp:anchor>
          </w:drawing>
        </mc:Choice>
        <mc:Fallback>
          <w:pict>
            <v:shape id="文本框 29" o:spid="_x0000_s1026" o:spt="202" type="#_x0000_t202" style="position:absolute;left:0pt;margin-left:99.55pt;margin-top:754.55pt;height:14pt;width:86.25pt;mso-position-horizontal-relative:page;mso-position-vertical-relative:page;z-index:-276390912;mso-width-relative:page;mso-height-relative:page;" filled="f" stroked="f" coordsize="21600,21600" o:gfxdata="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u6z1tcAAAANAQAADwAAAAAAAAABACAAAAAiAAAAZHJzL2Rvd25yZXYueG1sUEsB&#10;AhQAFAAAAAgAh07iQN8YQeC9AQAAdAMAAA4AAAAAAAAAAQAgAAAAJgEAAGRycy9lMm9Eb2MueG1s&#10;UEsFBgAAAAAGAAYAWQEAAFUFAAAAAA==&#10;">
              <v:fill on="f" focussize="0,0"/>
              <v:stroke on="f"/>
              <v:imagedata o:title=""/>
              <o:lock v:ext="edit" aspectratio="f"/>
              <v:textbox inset="0mm,0mm,0mm,0mm">
                <w:txbxContent>
                  <w:p>
                    <w:pPr>
                      <w:spacing w:before="0" w:line="280" w:lineRule="exact"/>
                      <w:ind w:left="20" w:right="0" w:firstLine="0"/>
                      <w:jc w:val="left"/>
                      <w:rPr>
                        <w:b/>
                        <w:sz w:val="24"/>
                      </w:rPr>
                    </w:pPr>
                    <w:r>
                      <w:rPr>
                        <w:b/>
                        <w:sz w:val="24"/>
                      </w:rPr>
                      <w:t>（二）裁量标准</w:t>
                    </w:r>
                  </w:p>
                </w:txbxContent>
              </v:textbox>
            </v:shape>
          </w:pict>
        </mc:Fallback>
      </mc:AlternateContent>
    </w:r>
    <w:r>
      <mc:AlternateContent>
        <mc:Choice Requires="wps">
          <w:drawing>
            <wp:anchor distT="0" distB="0" distL="114300" distR="114300" simplePos="0" relativeHeight="22692659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36" name="文本框 3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110</w:t>
                          </w:r>
                          <w:r>
                            <w:fldChar w:fldCharType="end"/>
                          </w:r>
                          <w:r>
                            <w:rPr>
                              <w:sz w:val="21"/>
                            </w:rPr>
                            <w:t xml:space="preserve"> —</w:t>
                          </w:r>
                        </w:p>
                      </w:txbxContent>
                    </wps:txbx>
                    <wps:bodyPr lIns="0" tIns="0" rIns="0" bIns="0" upright="1"/>
                  </wps:wsp>
                </a:graphicData>
              </a:graphic>
            </wp:anchor>
          </w:drawing>
        </mc:Choice>
        <mc:Fallback>
          <w:pict>
            <v:shape id="文本框 30" o:spid="_x0000_s1026" o:spt="202" type="#_x0000_t202" style="position:absolute;left:0pt;margin-left:75.55pt;margin-top:779.15pt;height:12.6pt;width:49.2pt;mso-position-horizontal-relative:page;mso-position-vertical-relative:page;z-index:-27638988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zdkh9oAAAANAQAADwAAAAAAAAABACAAAAAiAAAAZHJzL2Rvd25yZXYueG1sUEsB&#10;AhQAFAAAAAgAh07iQAdXsHG6AQAAcw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110</w:t>
                    </w:r>
                    <w:r>
                      <w:fldChar w:fldCharType="end"/>
                    </w:r>
                    <w:r>
                      <w:rPr>
                        <w:sz w:val="21"/>
                      </w:rPr>
                      <w:t xml:space="preserve"> —</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8838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94" name="文本框 18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562</w:t>
                          </w:r>
                          <w:r>
                            <w:fldChar w:fldCharType="end"/>
                          </w:r>
                          <w:r>
                            <w:rPr>
                              <w:sz w:val="21"/>
                            </w:rPr>
                            <w:t xml:space="preserve"> —</w:t>
                          </w:r>
                        </w:p>
                      </w:txbxContent>
                    </wps:txbx>
                    <wps:bodyPr lIns="0" tIns="0" rIns="0" bIns="0" upright="1"/>
                  </wps:wsp>
                </a:graphicData>
              </a:graphic>
            </wp:anchor>
          </w:drawing>
        </mc:Choice>
        <mc:Fallback>
          <w:pict>
            <v:shape id="文本框 188" o:spid="_x0000_s1026" o:spt="202" type="#_x0000_t202" style="position:absolute;left:0pt;margin-left:75.55pt;margin-top:779.15pt;height:12.6pt;width:49.2pt;mso-position-horizontal-relative:page;mso-position-vertical-relative:page;z-index:-27622809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DLyUBS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562</w:t>
                    </w:r>
                    <w:r>
                      <w:fldChar w:fldCharType="end"/>
                    </w:r>
                    <w:r>
                      <w:rPr>
                        <w:sz w:val="21"/>
                      </w:rPr>
                      <w:t xml:space="preserve"> —</w:t>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91456"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97" name="文本框 191"/>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（2）处罚标准</w:t>
                          </w:r>
                        </w:p>
                      </w:txbxContent>
                    </wps:txbx>
                    <wps:bodyPr lIns="0" tIns="0" rIns="0" bIns="0" upright="1"/>
                  </wps:wsp>
                </a:graphicData>
              </a:graphic>
            </wp:anchor>
          </w:drawing>
        </mc:Choice>
        <mc:Fallback>
          <w:pict>
            <v:shape id="文本框 191" o:spid="_x0000_s1026" o:spt="202" type="#_x0000_t202" style="position:absolute;left:0pt;margin-left:99.55pt;margin-top:754.55pt;height:14pt;width:80pt;mso-position-horizontal-relative:page;mso-position-vertical-relative:page;z-index:-276225024;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KGwB2AAAAA0BAAAPAAAAAAAAAAEAIAAAACIAAABkcnMvZG93bnJldi54bWxQSwEC&#10;FAAUAAAACACHTuJAj0pS6LsBAAB2AwAADgAAAAAAAAABACAAAAAnAQAAZHJzL2Uyb0RvYy54bWxQ&#10;SwUGAAAAAAYABgBZAQAAVAUAAAAA&#10;">
              <v:fill on="f" focussize="0,0"/>
              <v:stroke on="f"/>
              <v:imagedata o:title=""/>
              <o:lock v:ext="edit" aspectratio="f"/>
              <v:textbox inset="0mm,0mm,0mm,0mm">
                <w:txbxContent>
                  <w:p>
                    <w:pPr>
                      <w:pStyle w:val="4"/>
                      <w:spacing w:line="280" w:lineRule="exact"/>
                      <w:ind w:left="20"/>
                    </w:pPr>
                    <w:r>
                      <w:t>（2）处罚标准</w:t>
                    </w:r>
                  </w:p>
                </w:txbxContent>
              </v:textbox>
            </v:shape>
          </w:pict>
        </mc:Fallback>
      </mc:AlternateContent>
    </w:r>
    <w:r>
      <mc:AlternateContent>
        <mc:Choice Requires="wps">
          <w:drawing>
            <wp:anchor distT="0" distB="0" distL="114300" distR="114300" simplePos="0" relativeHeight="22709248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98" name="文本框 19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571</w:t>
                          </w:r>
                          <w:r>
                            <w:fldChar w:fldCharType="end"/>
                          </w:r>
                          <w:r>
                            <w:rPr>
                              <w:sz w:val="21"/>
                            </w:rPr>
                            <w:t xml:space="preserve"> —</w:t>
                          </w:r>
                        </w:p>
                      </w:txbxContent>
                    </wps:txbx>
                    <wps:bodyPr lIns="0" tIns="0" rIns="0" bIns="0" upright="1"/>
                  </wps:wsp>
                </a:graphicData>
              </a:graphic>
            </wp:anchor>
          </w:drawing>
        </mc:Choice>
        <mc:Fallback>
          <w:pict>
            <v:shape id="文本框 192" o:spid="_x0000_s1026" o:spt="202" type="#_x0000_t202" style="position:absolute;left:0pt;margin-left:470.45pt;margin-top:779.15pt;height:12.6pt;width:49.2pt;mso-position-horizontal-relative:page;mso-position-vertical-relative:page;z-index:-27622400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aIKIs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571</w:t>
                    </w:r>
                    <w:r>
                      <w:fldChar w:fldCharType="end"/>
                    </w:r>
                    <w:r>
                      <w:rPr>
                        <w:sz w:val="21"/>
                      </w:rPr>
                      <w:t xml:space="preserve"> —</w:t>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9043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96" name="文本框 19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570</w:t>
                          </w:r>
                          <w:r>
                            <w:fldChar w:fldCharType="end"/>
                          </w:r>
                          <w:r>
                            <w:rPr>
                              <w:sz w:val="21"/>
                            </w:rPr>
                            <w:t xml:space="preserve"> —</w:t>
                          </w:r>
                        </w:p>
                      </w:txbxContent>
                    </wps:txbx>
                    <wps:bodyPr lIns="0" tIns="0" rIns="0" bIns="0" upright="1"/>
                  </wps:wsp>
                </a:graphicData>
              </a:graphic>
            </wp:anchor>
          </w:drawing>
        </mc:Choice>
        <mc:Fallback>
          <w:pict>
            <v:shape id="文本框 190" o:spid="_x0000_s1026" o:spt="202" type="#_x0000_t202" style="position:absolute;left:0pt;margin-left:75.55pt;margin-top:779.15pt;height:12.6pt;width:49.2pt;mso-position-horizontal-relative:page;mso-position-vertical-relative:page;z-index:-27622604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Cd9m8o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570</w:t>
                    </w:r>
                    <w:r>
                      <w:fldChar w:fldCharType="end"/>
                    </w:r>
                    <w:r>
                      <w:rPr>
                        <w:sz w:val="21"/>
                      </w:rPr>
                      <w:t xml:space="preserve"> —</w:t>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9350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99" name="文本框 19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575</w:t>
                          </w:r>
                          <w:r>
                            <w:fldChar w:fldCharType="end"/>
                          </w:r>
                          <w:r>
                            <w:rPr>
                              <w:sz w:val="21"/>
                            </w:rPr>
                            <w:t xml:space="preserve"> —</w:t>
                          </w:r>
                        </w:p>
                      </w:txbxContent>
                    </wps:txbx>
                    <wps:bodyPr lIns="0" tIns="0" rIns="0" bIns="0" upright="1"/>
                  </wps:wsp>
                </a:graphicData>
              </a:graphic>
            </wp:anchor>
          </w:drawing>
        </mc:Choice>
        <mc:Fallback>
          <w:pict>
            <v:shape id="文本框 193" o:spid="_x0000_s1026" o:spt="202" type="#_x0000_t202" style="position:absolute;left:0pt;margin-left:470.45pt;margin-top:779.15pt;height:12.6pt;width:49.2pt;mso-position-horizontal-relative:page;mso-position-vertical-relative:page;z-index:-27622297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IzZFEy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575</w:t>
                    </w:r>
                    <w:r>
                      <w:fldChar w:fldCharType="end"/>
                    </w:r>
                    <w:r>
                      <w:rPr>
                        <w:sz w:val="21"/>
                      </w:rPr>
                      <w:t xml:space="preserve"> —</w:t>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9452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00" name="文本框 19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576</w:t>
                          </w:r>
                          <w:r>
                            <w:fldChar w:fldCharType="end"/>
                          </w:r>
                          <w:r>
                            <w:rPr>
                              <w:sz w:val="21"/>
                            </w:rPr>
                            <w:t xml:space="preserve"> —</w:t>
                          </w:r>
                        </w:p>
                      </w:txbxContent>
                    </wps:txbx>
                    <wps:bodyPr lIns="0" tIns="0" rIns="0" bIns="0" upright="1"/>
                  </wps:wsp>
                </a:graphicData>
              </a:graphic>
            </wp:anchor>
          </w:drawing>
        </mc:Choice>
        <mc:Fallback>
          <w:pict>
            <v:shape id="文本框 194" o:spid="_x0000_s1026" o:spt="202" type="#_x0000_t202" style="position:absolute;left:0pt;margin-left:75.55pt;margin-top:779.15pt;height:12.6pt;width:49.2pt;mso-position-horizontal-relative:page;mso-position-vertical-relative:page;z-index:-27622195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J+Z1+i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576</w:t>
                    </w:r>
                    <w:r>
                      <w:fldChar w:fldCharType="end"/>
                    </w:r>
                    <w:r>
                      <w:rPr>
                        <w:sz w:val="21"/>
                      </w:rPr>
                      <w:t xml:space="preserve"> —</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9657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02" name="文本框 19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581</w:t>
                          </w:r>
                          <w:r>
                            <w:fldChar w:fldCharType="end"/>
                          </w:r>
                          <w:r>
                            <w:rPr>
                              <w:sz w:val="21"/>
                            </w:rPr>
                            <w:t xml:space="preserve"> —</w:t>
                          </w:r>
                        </w:p>
                      </w:txbxContent>
                    </wps:txbx>
                    <wps:bodyPr lIns="0" tIns="0" rIns="0" bIns="0" upright="1"/>
                  </wps:wsp>
                </a:graphicData>
              </a:graphic>
            </wp:anchor>
          </w:drawing>
        </mc:Choice>
        <mc:Fallback>
          <w:pict>
            <v:shape id="文本框 196" o:spid="_x0000_s1026" o:spt="202" type="#_x0000_t202" style="position:absolute;left:0pt;margin-left:470.45pt;margin-top:779.15pt;height:12.6pt;width:49.2pt;mso-position-horizontal-relative:page;mso-position-vertical-relative:page;z-index:-27621990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BYons6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581</w:t>
                    </w:r>
                    <w:r>
                      <w:fldChar w:fldCharType="end"/>
                    </w:r>
                    <w:r>
                      <w:rPr>
                        <w:sz w:val="21"/>
                      </w:rPr>
                      <w:t xml:space="preserve"> —</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9555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01" name="文本框 19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580</w:t>
                          </w:r>
                          <w:r>
                            <w:fldChar w:fldCharType="end"/>
                          </w:r>
                          <w:r>
                            <w:rPr>
                              <w:sz w:val="21"/>
                            </w:rPr>
                            <w:t xml:space="preserve"> —</w:t>
                          </w:r>
                        </w:p>
                      </w:txbxContent>
                    </wps:txbx>
                    <wps:bodyPr lIns="0" tIns="0" rIns="0" bIns="0" upright="1"/>
                  </wps:wsp>
                </a:graphicData>
              </a:graphic>
            </wp:anchor>
          </w:drawing>
        </mc:Choice>
        <mc:Fallback>
          <w:pict>
            <v:shape id="文本框 195" o:spid="_x0000_s1026" o:spt="202" type="#_x0000_t202" style="position:absolute;left:0pt;margin-left:75.55pt;margin-top:779.15pt;height:12.6pt;width:49.2pt;mso-position-horizontal-relative:page;mso-position-vertical-relative:page;z-index:-27622092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e8JLF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580</w:t>
                    </w:r>
                    <w:r>
                      <w:fldChar w:fldCharType="end"/>
                    </w:r>
                    <w:r>
                      <w:rPr>
                        <w:sz w:val="21"/>
                      </w:rPr>
                      <w:t xml:space="preserve"> —</w:t>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97600"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203" name="文本框 197"/>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（1）违法情形</w:t>
                          </w:r>
                        </w:p>
                      </w:txbxContent>
                    </wps:txbx>
                    <wps:bodyPr lIns="0" tIns="0" rIns="0" bIns="0" upright="1"/>
                  </wps:wsp>
                </a:graphicData>
              </a:graphic>
            </wp:anchor>
          </w:drawing>
        </mc:Choice>
        <mc:Fallback>
          <w:pict>
            <v:shape id="文本框 197" o:spid="_x0000_s1026" o:spt="202" type="#_x0000_t202" style="position:absolute;left:0pt;margin-left:99.55pt;margin-top:754.55pt;height:14pt;width:80pt;mso-position-horizontal-relative:page;mso-position-vertical-relative:page;z-index:-276218880;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gobAHYAAAADQEAAA8AAAAAAAAAAQAgAAAAIgAAAGRycy9kb3ducmV2LnhtbFBL&#10;AQIUABQAAAAIAIdO4kD54d6SvQEAAHYDAAAOAAAAAAAAAAEAIAAAACcBAABkcnMvZTJvRG9jLnht&#10;bFBLBQYAAAAABgAGAFkBAABWBQAAAAA=&#10;">
              <v:fill on="f" focussize="0,0"/>
              <v:stroke on="f"/>
              <v:imagedata o:title=""/>
              <o:lock v:ext="edit" aspectratio="f"/>
              <v:textbox inset="0mm,0mm,0mm,0mm">
                <w:txbxContent>
                  <w:p>
                    <w:pPr>
                      <w:pStyle w:val="4"/>
                      <w:spacing w:line="280" w:lineRule="exact"/>
                      <w:ind w:left="20"/>
                    </w:pPr>
                    <w:r>
                      <w:t>（1）违法情形</w:t>
                    </w:r>
                  </w:p>
                </w:txbxContent>
              </v:textbox>
            </v:shape>
          </w:pict>
        </mc:Fallback>
      </mc:AlternateContent>
    </w:r>
    <w:r>
      <mc:AlternateContent>
        <mc:Choice Requires="wps">
          <w:drawing>
            <wp:anchor distT="0" distB="0" distL="114300" distR="114300" simplePos="0" relativeHeight="22709862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04" name="文本框 19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585</w:t>
                          </w:r>
                          <w:r>
                            <w:fldChar w:fldCharType="end"/>
                          </w:r>
                          <w:r>
                            <w:rPr>
                              <w:sz w:val="21"/>
                            </w:rPr>
                            <w:t xml:space="preserve"> —</w:t>
                          </w:r>
                        </w:p>
                      </w:txbxContent>
                    </wps:txbx>
                    <wps:bodyPr lIns="0" tIns="0" rIns="0" bIns="0" upright="1"/>
                  </wps:wsp>
                </a:graphicData>
              </a:graphic>
            </wp:anchor>
          </w:drawing>
        </mc:Choice>
        <mc:Fallback>
          <w:pict>
            <v:shape id="文本框 198" o:spid="_x0000_s1026" o:spt="202" type="#_x0000_t202" style="position:absolute;left:0pt;margin-left:470.45pt;margin-top:779.15pt;height:12.6pt;width:49.2pt;mso-position-horizontal-relative:page;mso-position-vertical-relative:page;z-index:-27621785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PkeGX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585</w:t>
                    </w:r>
                    <w:r>
                      <w:fldChar w:fldCharType="end"/>
                    </w:r>
                    <w:r>
                      <w:rPr>
                        <w:sz w:val="21"/>
                      </w:rPr>
                      <w:t xml:space="preserve"> —</w:t>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9964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05" name="文本框 19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586</w:t>
                          </w:r>
                          <w:r>
                            <w:fldChar w:fldCharType="end"/>
                          </w:r>
                          <w:r>
                            <w:rPr>
                              <w:sz w:val="21"/>
                            </w:rPr>
                            <w:t xml:space="preserve"> —</w:t>
                          </w:r>
                        </w:p>
                      </w:txbxContent>
                    </wps:txbx>
                    <wps:bodyPr lIns="0" tIns="0" rIns="0" bIns="0" upright="1"/>
                  </wps:wsp>
                </a:graphicData>
              </a:graphic>
            </wp:anchor>
          </w:drawing>
        </mc:Choice>
        <mc:Fallback>
          <w:pict>
            <v:shape id="文本框 199" o:spid="_x0000_s1026" o:spt="202" type="#_x0000_t202" style="position:absolute;left:0pt;margin-left:75.55pt;margin-top:779.15pt;height:12.6pt;width:49.2pt;mso-position-horizontal-relative:page;mso-position-vertical-relative:page;z-index:-27621683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83ZIfaAAAADQEAAA8AAAAAAAAAAQAgAAAAIgAAAGRycy9kb3ducmV2Lnht&#10;bFBLAQIUABQAAAAIAIdO4kDaHBqivgEAAHUDAAAOAAAAAAAAAAEAIAAAACkBAABkcnMvZTJvRG9j&#10;LnhtbFBLBQYAAAAABgAGAFkBAABZ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586</w:t>
                    </w:r>
                    <w:r>
                      <w:fldChar w:fldCharType="end"/>
                    </w:r>
                    <w:r>
                      <w:rPr>
                        <w:sz w:val="21"/>
                      </w:rPr>
                      <w:t xml:space="preserve"> —</w:t>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067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06" name="文本框 20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589</w:t>
                          </w:r>
                          <w:r>
                            <w:fldChar w:fldCharType="end"/>
                          </w:r>
                          <w:r>
                            <w:rPr>
                              <w:sz w:val="21"/>
                            </w:rPr>
                            <w:t xml:space="preserve"> —</w:t>
                          </w:r>
                        </w:p>
                      </w:txbxContent>
                    </wps:txbx>
                    <wps:bodyPr lIns="0" tIns="0" rIns="0" bIns="0" upright="1"/>
                  </wps:wsp>
                </a:graphicData>
              </a:graphic>
            </wp:anchor>
          </w:drawing>
        </mc:Choice>
        <mc:Fallback>
          <w:pict>
            <v:shape id="文本框 200" o:spid="_x0000_s1026" o:spt="202" type="#_x0000_t202" style="position:absolute;left:0pt;margin-left:470.45pt;margin-top:779.15pt;height:12.6pt;width:49.2pt;mso-position-horizontal-relative:page;mso-position-vertical-relative:page;z-index:-27621580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DpSOAj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589</w:t>
                    </w:r>
                    <w:r>
                      <w:fldChar w:fldCharType="end"/>
                    </w:r>
                    <w:r>
                      <w:rPr>
                        <w:sz w:val="21"/>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068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40" name="文本框 3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113</w:t>
                          </w:r>
                          <w:r>
                            <w:fldChar w:fldCharType="end"/>
                          </w:r>
                          <w:r>
                            <w:rPr>
                              <w:sz w:val="21"/>
                            </w:rPr>
                            <w:t xml:space="preserve"> —</w:t>
                          </w:r>
                        </w:p>
                      </w:txbxContent>
                    </wps:txbx>
                    <wps:bodyPr lIns="0" tIns="0" rIns="0" bIns="0" upright="1"/>
                  </wps:wsp>
                </a:graphicData>
              </a:graphic>
            </wp:anchor>
          </w:drawing>
        </mc:Choice>
        <mc:Fallback>
          <w:pict>
            <v:shape id="文本框 34" o:spid="_x0000_s1026" o:spt="202" type="#_x0000_t202" style="position:absolute;left:0pt;margin-left:470.45pt;margin-top:779.15pt;height:12.6pt;width:49.2pt;mso-position-horizontal-relative:page;mso-position-vertical-relative:page;z-index:-27638579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iPZkdoAAAAOAQAADwAAAAAAAAABACAAAAAiAAAAZHJzL2Rvd25yZXYueG1sUEsB&#10;AhQAFAAAAAgAh07iQDI1k5u6AQAAcw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113</w:t>
                    </w:r>
                    <w:r>
                      <w:fldChar w:fldCharType="end"/>
                    </w:r>
                    <w:r>
                      <w:rPr>
                        <w:sz w:val="21"/>
                      </w:rPr>
                      <w:t xml:space="preserve"> —</w:t>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169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07" name="文本框 20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590</w:t>
                          </w:r>
                          <w:r>
                            <w:fldChar w:fldCharType="end"/>
                          </w:r>
                          <w:r>
                            <w:rPr>
                              <w:sz w:val="21"/>
                            </w:rPr>
                            <w:t xml:space="preserve"> —</w:t>
                          </w:r>
                        </w:p>
                      </w:txbxContent>
                    </wps:txbx>
                    <wps:bodyPr lIns="0" tIns="0" rIns="0" bIns="0" upright="1"/>
                  </wps:wsp>
                </a:graphicData>
              </a:graphic>
            </wp:anchor>
          </w:drawing>
        </mc:Choice>
        <mc:Fallback>
          <w:pict>
            <v:shape id="文本框 201" o:spid="_x0000_s1026" o:spt="202" type="#_x0000_t202" style="position:absolute;left:0pt;margin-left:75.55pt;margin-top:779.15pt;height:12.6pt;width:49.2pt;mso-position-horizontal-relative:page;mso-position-vertical-relative:page;z-index:-27621478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DRN83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590</w:t>
                    </w:r>
                    <w:r>
                      <w:fldChar w:fldCharType="end"/>
                    </w:r>
                    <w:r>
                      <w:rPr>
                        <w:sz w:val="21"/>
                      </w:rPr>
                      <w:t xml:space="preserve"> —</w:t>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272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08" name="文本框 20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591</w:t>
                          </w:r>
                          <w:r>
                            <w:fldChar w:fldCharType="end"/>
                          </w:r>
                          <w:r>
                            <w:rPr>
                              <w:sz w:val="21"/>
                            </w:rPr>
                            <w:t xml:space="preserve"> —</w:t>
                          </w:r>
                        </w:p>
                      </w:txbxContent>
                    </wps:txbx>
                    <wps:bodyPr lIns="0" tIns="0" rIns="0" bIns="0" upright="1"/>
                  </wps:wsp>
                </a:graphicData>
              </a:graphic>
            </wp:anchor>
          </w:drawing>
        </mc:Choice>
        <mc:Fallback>
          <w:pict>
            <v:shape id="文本框 202" o:spid="_x0000_s1026" o:spt="202" type="#_x0000_t202" style="position:absolute;left:0pt;margin-left:470.45pt;margin-top:779.15pt;height:12.6pt;width:49.2pt;mso-position-horizontal-relative:page;mso-position-vertical-relative:page;z-index:-27621376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HDwHu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591</w:t>
                    </w:r>
                    <w:r>
                      <w:fldChar w:fldCharType="end"/>
                    </w:r>
                    <w:r>
                      <w:rPr>
                        <w:sz w:val="21"/>
                      </w:rPr>
                      <w:t xml:space="preserve"> —</w:t>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374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09" name="文本框 20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592</w:t>
                          </w:r>
                          <w:r>
                            <w:fldChar w:fldCharType="end"/>
                          </w:r>
                          <w:r>
                            <w:rPr>
                              <w:sz w:val="21"/>
                            </w:rPr>
                            <w:t xml:space="preserve"> —</w:t>
                          </w:r>
                        </w:p>
                      </w:txbxContent>
                    </wps:txbx>
                    <wps:bodyPr lIns="0" tIns="0" rIns="0" bIns="0" upright="1"/>
                  </wps:wsp>
                </a:graphicData>
              </a:graphic>
            </wp:anchor>
          </w:drawing>
        </mc:Choice>
        <mc:Fallback>
          <w:pict>
            <v:shape id="文本框 203" o:spid="_x0000_s1026" o:spt="202" type="#_x0000_t202" style="position:absolute;left:0pt;margin-left:75.55pt;margin-top:779.15pt;height:12.6pt;width:49.2pt;mso-position-horizontal-relative:page;mso-position-vertical-relative:page;z-index:-27621273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Phnm0e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592</w:t>
                    </w:r>
                    <w:r>
                      <w:fldChar w:fldCharType="end"/>
                    </w:r>
                    <w:r>
                      <w:rPr>
                        <w:sz w:val="21"/>
                      </w:rPr>
                      <w:t xml:space="preserve"> —</w:t>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579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11" name="文本框 20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601</w:t>
                          </w:r>
                          <w:r>
                            <w:fldChar w:fldCharType="end"/>
                          </w:r>
                          <w:r>
                            <w:rPr>
                              <w:sz w:val="21"/>
                            </w:rPr>
                            <w:t xml:space="preserve"> —</w:t>
                          </w:r>
                        </w:p>
                      </w:txbxContent>
                    </wps:txbx>
                    <wps:bodyPr lIns="0" tIns="0" rIns="0" bIns="0" upright="1"/>
                  </wps:wsp>
                </a:graphicData>
              </a:graphic>
            </wp:anchor>
          </w:drawing>
        </mc:Choice>
        <mc:Fallback>
          <w:pict>
            <v:shape id="文本框 205" o:spid="_x0000_s1026" o:spt="202" type="#_x0000_t202" style="position:absolute;left:0pt;margin-left:470.45pt;margin-top:779.15pt;height:12.6pt;width:49.2pt;mso-position-horizontal-relative:page;mso-position-vertical-relative:page;z-index:-27621068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OXOL8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601</w:t>
                    </w:r>
                    <w:r>
                      <w:fldChar w:fldCharType="end"/>
                    </w:r>
                    <w:r>
                      <w:rPr>
                        <w:sz w:val="21"/>
                      </w:rPr>
                      <w:t xml:space="preserve"> —</w:t>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476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10" name="文本框 20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600</w:t>
                          </w:r>
                          <w:r>
                            <w:fldChar w:fldCharType="end"/>
                          </w:r>
                          <w:r>
                            <w:rPr>
                              <w:sz w:val="21"/>
                            </w:rPr>
                            <w:t xml:space="preserve"> —</w:t>
                          </w:r>
                        </w:p>
                      </w:txbxContent>
                    </wps:txbx>
                    <wps:bodyPr lIns="0" tIns="0" rIns="0" bIns="0" upright="1"/>
                  </wps:wsp>
                </a:graphicData>
              </a:graphic>
            </wp:anchor>
          </w:drawing>
        </mc:Choice>
        <mc:Fallback>
          <w:pict>
            <v:shape id="文本框 204" o:spid="_x0000_s1026" o:spt="202" type="#_x0000_t202" style="position:absolute;left:0pt;margin-left:75.55pt;margin-top:779.15pt;height:12.6pt;width:49.2pt;mso-position-horizontal-relative:page;mso-position-vertical-relative:page;z-index:-27621171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3SgXD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600</w:t>
                    </w:r>
                    <w:r>
                      <w:fldChar w:fldCharType="end"/>
                    </w:r>
                    <w:r>
                      <w:rPr>
                        <w:sz w:val="21"/>
                      </w:rPr>
                      <w:t xml:space="preserve"> —</w:t>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784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13" name="文本框 20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611</w:t>
                          </w:r>
                          <w:r>
                            <w:fldChar w:fldCharType="end"/>
                          </w:r>
                          <w:r>
                            <w:rPr>
                              <w:sz w:val="21"/>
                            </w:rPr>
                            <w:t xml:space="preserve"> —</w:t>
                          </w:r>
                        </w:p>
                      </w:txbxContent>
                    </wps:txbx>
                    <wps:bodyPr lIns="0" tIns="0" rIns="0" bIns="0" upright="1"/>
                  </wps:wsp>
                </a:graphicData>
              </a:graphic>
            </wp:anchor>
          </w:drawing>
        </mc:Choice>
        <mc:Fallback>
          <w:pict>
            <v:shape id="文本框 207" o:spid="_x0000_s1026" o:spt="202" type="#_x0000_t202" style="position:absolute;left:0pt;margin-left:470.45pt;margin-top:779.15pt;height:12.6pt;width:49.2pt;mso-position-horizontal-relative:page;mso-position-vertical-relative:page;z-index:-27620864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LDCwtS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611</w:t>
                    </w:r>
                    <w:r>
                      <w:fldChar w:fldCharType="end"/>
                    </w:r>
                    <w:r>
                      <w:rPr>
                        <w:sz w:val="21"/>
                      </w:rPr>
                      <w:t xml:space="preserve"> —</w:t>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681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12" name="文本框 20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610</w:t>
                          </w:r>
                          <w:r>
                            <w:fldChar w:fldCharType="end"/>
                          </w:r>
                          <w:r>
                            <w:rPr>
                              <w:sz w:val="21"/>
                            </w:rPr>
                            <w:t xml:space="preserve"> —</w:t>
                          </w:r>
                        </w:p>
                      </w:txbxContent>
                    </wps:txbx>
                    <wps:bodyPr lIns="0" tIns="0" rIns="0" bIns="0" upright="1"/>
                  </wps:wsp>
                </a:graphicData>
              </a:graphic>
            </wp:anchor>
          </w:drawing>
        </mc:Choice>
        <mc:Fallback>
          <w:pict>
            <v:shape id="文本框 206" o:spid="_x0000_s1026" o:spt="202" type="#_x0000_t202" style="position:absolute;left:0pt;margin-left:75.55pt;margin-top:779.15pt;height:12.6pt;width:49.2pt;mso-position-horizontal-relative:page;mso-position-vertical-relative:page;z-index:-27620966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VJleK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610</w:t>
                    </w:r>
                    <w:r>
                      <w:fldChar w:fldCharType="end"/>
                    </w:r>
                    <w:r>
                      <w:rPr>
                        <w:sz w:val="21"/>
                      </w:rPr>
                      <w:t xml:space="preserve"> —</w:t>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988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15" name="文本框 20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621</w:t>
                          </w:r>
                          <w:r>
                            <w:fldChar w:fldCharType="end"/>
                          </w:r>
                          <w:r>
                            <w:rPr>
                              <w:sz w:val="21"/>
                            </w:rPr>
                            <w:t xml:space="preserve"> —</w:t>
                          </w:r>
                        </w:p>
                      </w:txbxContent>
                    </wps:txbx>
                    <wps:bodyPr lIns="0" tIns="0" rIns="0" bIns="0" upright="1"/>
                  </wps:wsp>
                </a:graphicData>
              </a:graphic>
            </wp:anchor>
          </w:drawing>
        </mc:Choice>
        <mc:Fallback>
          <w:pict>
            <v:shape id="文本框 209" o:spid="_x0000_s1026" o:spt="202" type="#_x0000_t202" style="position:absolute;left:0pt;margin-left:470.45pt;margin-top:779.15pt;height:12.6pt;width:49.2pt;mso-position-horizontal-relative:page;mso-position-vertical-relative:page;z-index:-27620659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Jit2ka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621</w:t>
                    </w:r>
                    <w:r>
                      <w:fldChar w:fldCharType="end"/>
                    </w:r>
                    <w:r>
                      <w:rPr>
                        <w:sz w:val="21"/>
                      </w:rPr>
                      <w:t xml:space="preserve"> —</w:t>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0886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14" name="文本框 20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620</w:t>
                          </w:r>
                          <w:r>
                            <w:fldChar w:fldCharType="end"/>
                          </w:r>
                          <w:r>
                            <w:rPr>
                              <w:sz w:val="21"/>
                            </w:rPr>
                            <w:t xml:space="preserve"> —</w:t>
                          </w:r>
                        </w:p>
                      </w:txbxContent>
                    </wps:txbx>
                    <wps:bodyPr lIns="0" tIns="0" rIns="0" bIns="0" upright="1"/>
                  </wps:wsp>
                </a:graphicData>
              </a:graphic>
            </wp:anchor>
          </w:drawing>
        </mc:Choice>
        <mc:Fallback>
          <w:pict>
            <v:shape id="文本框 208" o:spid="_x0000_s1026" o:spt="202" type="#_x0000_t202" style="position:absolute;left:0pt;margin-left:75.55pt;margin-top:779.15pt;height:12.6pt;width:49.2pt;mso-position-horizontal-relative:page;mso-position-vertical-relative:page;z-index:-27620761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fPZGu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620</w:t>
                    </w:r>
                    <w:r>
                      <w:fldChar w:fldCharType="end"/>
                    </w:r>
                    <w:r>
                      <w:rPr>
                        <w:sz w:val="21"/>
                      </w:rPr>
                      <w:t xml:space="preserve"> —</w:t>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1193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17" name="文本框 21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631</w:t>
                          </w:r>
                          <w:r>
                            <w:fldChar w:fldCharType="end"/>
                          </w:r>
                          <w:r>
                            <w:rPr>
                              <w:sz w:val="21"/>
                            </w:rPr>
                            <w:t xml:space="preserve"> —</w:t>
                          </w:r>
                        </w:p>
                      </w:txbxContent>
                    </wps:txbx>
                    <wps:bodyPr lIns="0" tIns="0" rIns="0" bIns="0" upright="1"/>
                  </wps:wsp>
                </a:graphicData>
              </a:graphic>
            </wp:anchor>
          </w:drawing>
        </mc:Choice>
        <mc:Fallback>
          <w:pict>
            <v:shape id="文本框 211" o:spid="_x0000_s1026" o:spt="202" type="#_x0000_t202" style="position:absolute;left:0pt;margin-left:470.45pt;margin-top:779.15pt;height:12.6pt;width:49.2pt;mso-position-horizontal-relative:page;mso-position-vertical-relative:page;z-index:-27620454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N6nle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631</w:t>
                    </w:r>
                    <w:r>
                      <w:fldChar w:fldCharType="end"/>
                    </w:r>
                    <w:r>
                      <w:rPr>
                        <w:sz w:val="21"/>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2966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39" name="文本框 3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112</w:t>
                          </w:r>
                          <w:r>
                            <w:fldChar w:fldCharType="end"/>
                          </w:r>
                          <w:r>
                            <w:rPr>
                              <w:sz w:val="21"/>
                            </w:rPr>
                            <w:t xml:space="preserve"> —</w:t>
                          </w:r>
                        </w:p>
                      </w:txbxContent>
                    </wps:txbx>
                    <wps:bodyPr lIns="0" tIns="0" rIns="0" bIns="0" upright="1"/>
                  </wps:wsp>
                </a:graphicData>
              </a:graphic>
            </wp:anchor>
          </w:drawing>
        </mc:Choice>
        <mc:Fallback>
          <w:pict>
            <v:shape id="文本框 33" o:spid="_x0000_s1026" o:spt="202" type="#_x0000_t202" style="position:absolute;left:0pt;margin-left:75.55pt;margin-top:779.15pt;height:12.6pt;width:49.2pt;mso-position-horizontal-relative:page;mso-position-vertical-relative:page;z-index:-27638681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uLLFCr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112</w:t>
                    </w:r>
                    <w:r>
                      <w:fldChar w:fldCharType="end"/>
                    </w:r>
                    <w:r>
                      <w:rPr>
                        <w:sz w:val="21"/>
                      </w:rPr>
                      <w:t xml:space="preserve"> —</w:t>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1091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16" name="文本框 21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630</w:t>
                          </w:r>
                          <w:r>
                            <w:fldChar w:fldCharType="end"/>
                          </w:r>
                          <w:r>
                            <w:rPr>
                              <w:sz w:val="21"/>
                            </w:rPr>
                            <w:t xml:space="preserve"> —</w:t>
                          </w:r>
                        </w:p>
                      </w:txbxContent>
                    </wps:txbx>
                    <wps:bodyPr lIns="0" tIns="0" rIns="0" bIns="0" upright="1"/>
                  </wps:wsp>
                </a:graphicData>
              </a:graphic>
            </wp:anchor>
          </w:drawing>
        </mc:Choice>
        <mc:Fallback>
          <w:pict>
            <v:shape id="文本框 210" o:spid="_x0000_s1026" o:spt="202" type="#_x0000_t202" style="position:absolute;left:0pt;margin-left:75.55pt;margin-top:779.15pt;height:12.6pt;width:49.2pt;mso-position-horizontal-relative:page;mso-position-vertical-relative:page;z-index:-27620556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DT8nmE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630</w:t>
                    </w:r>
                    <w:r>
                      <w:fldChar w:fldCharType="end"/>
                    </w:r>
                    <w:r>
                      <w:rPr>
                        <w:sz w:val="21"/>
                      </w:rPr>
                      <w:t xml:space="preserve"> —</w:t>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1398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19" name="文本框 21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641</w:t>
                          </w:r>
                          <w:r>
                            <w:fldChar w:fldCharType="end"/>
                          </w:r>
                          <w:r>
                            <w:rPr>
                              <w:sz w:val="21"/>
                            </w:rPr>
                            <w:t xml:space="preserve"> —</w:t>
                          </w:r>
                        </w:p>
                      </w:txbxContent>
                    </wps:txbx>
                    <wps:bodyPr lIns="0" tIns="0" rIns="0" bIns="0" upright="1"/>
                  </wps:wsp>
                </a:graphicData>
              </a:graphic>
            </wp:anchor>
          </w:drawing>
        </mc:Choice>
        <mc:Fallback>
          <w:pict>
            <v:shape id="文本框 213" o:spid="_x0000_s1026" o:spt="202" type="#_x0000_t202" style="position:absolute;left:0pt;margin-left:470.45pt;margin-top:779.15pt;height:12.6pt;width:49.2pt;mso-position-horizontal-relative:page;mso-position-vertical-relative:page;z-index:-27620249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MLdAuC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641</w:t>
                    </w:r>
                    <w:r>
                      <w:fldChar w:fldCharType="end"/>
                    </w:r>
                    <w:r>
                      <w:rPr>
                        <w:sz w:val="21"/>
                      </w:rPr>
                      <w:t xml:space="preserve"> —</w:t>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1296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18" name="文本框 21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640</w:t>
                          </w:r>
                          <w:r>
                            <w:fldChar w:fldCharType="end"/>
                          </w:r>
                          <w:r>
                            <w:rPr>
                              <w:sz w:val="21"/>
                            </w:rPr>
                            <w:t xml:space="preserve"> —</w:t>
                          </w:r>
                        </w:p>
                      </w:txbxContent>
                    </wps:txbx>
                    <wps:bodyPr lIns="0" tIns="0" rIns="0" bIns="0" upright="1"/>
                  </wps:wsp>
                </a:graphicData>
              </a:graphic>
            </wp:anchor>
          </w:drawing>
        </mc:Choice>
        <mc:Fallback>
          <w:pict>
            <v:shape id="文本框 212" o:spid="_x0000_s1026" o:spt="202" type="#_x0000_t202" style="position:absolute;left:0pt;margin-left:75.55pt;margin-top:779.15pt;height:12.6pt;width:49.2pt;mso-position-horizontal-relative:page;mso-position-vertical-relative:page;z-index:-27620352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JoaeH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640</w:t>
                    </w:r>
                    <w:r>
                      <w:fldChar w:fldCharType="end"/>
                    </w:r>
                    <w:r>
                      <w:rPr>
                        <w:sz w:val="21"/>
                      </w:rPr>
                      <w:t xml:space="preserve"> —</w:t>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1910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24" name="文本框 21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649</w:t>
                          </w:r>
                          <w:r>
                            <w:fldChar w:fldCharType="end"/>
                          </w:r>
                          <w:r>
                            <w:rPr>
                              <w:sz w:val="21"/>
                            </w:rPr>
                            <w:t xml:space="preserve"> —</w:t>
                          </w:r>
                        </w:p>
                      </w:txbxContent>
                    </wps:txbx>
                    <wps:bodyPr lIns="0" tIns="0" rIns="0" bIns="0" upright="1"/>
                  </wps:wsp>
                </a:graphicData>
              </a:graphic>
            </wp:anchor>
          </w:drawing>
        </mc:Choice>
        <mc:Fallback>
          <w:pict>
            <v:shape id="文本框 218" o:spid="_x0000_s1026" o:spt="202" type="#_x0000_t202" style="position:absolute;left:0pt;margin-left:470.45pt;margin-top:779.15pt;height:12.6pt;width:49.2pt;mso-position-horizontal-relative:page;mso-position-vertical-relative:page;z-index:-27619737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4fRdB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649</w:t>
                    </w:r>
                    <w:r>
                      <w:fldChar w:fldCharType="end"/>
                    </w:r>
                    <w:r>
                      <w:rPr>
                        <w:sz w:val="21"/>
                      </w:rPr>
                      <w:t xml:space="preserve"> —</w:t>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15008" behindDoc="1" locked="0" layoutInCell="1" allowOverlap="1">
              <wp:simplePos x="0" y="0"/>
              <wp:positionH relativeFrom="page">
                <wp:posOffset>1367790</wp:posOffset>
              </wp:positionH>
              <wp:positionV relativeFrom="page">
                <wp:posOffset>8949055</wp:posOffset>
              </wp:positionV>
              <wp:extent cx="1095375" cy="177800"/>
              <wp:effectExtent l="0" t="0" r="0" b="0"/>
              <wp:wrapNone/>
              <wp:docPr id="220" name="文本框 214"/>
              <wp:cNvGraphicFramePr/>
              <a:graphic xmlns:a="http://schemas.openxmlformats.org/drawingml/2006/main">
                <a:graphicData uri="http://schemas.microsoft.com/office/word/2010/wordprocessingShape">
                  <wps:wsp>
                    <wps:cNvSpPr txBox="1"/>
                    <wps:spPr>
                      <a:xfrm>
                        <a:off x="0" y="0"/>
                        <a:ext cx="1095375" cy="177800"/>
                      </a:xfrm>
                      <a:prstGeom prst="rect">
                        <a:avLst/>
                      </a:prstGeom>
                      <a:noFill/>
                      <a:ln>
                        <a:noFill/>
                      </a:ln>
                    </wps:spPr>
                    <wps:txbx>
                      <w:txbxContent>
                        <w:p>
                          <w:pPr>
                            <w:spacing w:before="0" w:line="280" w:lineRule="exact"/>
                            <w:ind w:left="20" w:right="0" w:firstLine="0"/>
                            <w:jc w:val="left"/>
                            <w:rPr>
                              <w:b/>
                              <w:sz w:val="24"/>
                            </w:rPr>
                          </w:pPr>
                          <w:r>
                            <w:rPr>
                              <w:b/>
                              <w:sz w:val="24"/>
                            </w:rPr>
                            <w:t>（一）处罚依据</w:t>
                          </w:r>
                        </w:p>
                      </w:txbxContent>
                    </wps:txbx>
                    <wps:bodyPr lIns="0" tIns="0" rIns="0" bIns="0" upright="1"/>
                  </wps:wsp>
                </a:graphicData>
              </a:graphic>
            </wp:anchor>
          </w:drawing>
        </mc:Choice>
        <mc:Fallback>
          <w:pict>
            <v:shape id="文本框 214" o:spid="_x0000_s1026" o:spt="202" type="#_x0000_t202" style="position:absolute;left:0pt;margin-left:107.7pt;margin-top:704.65pt;height:14pt;width:86.25pt;mso-position-horizontal-relative:page;mso-position-vertical-relative:page;z-index:-276201472;mso-width-relative:page;mso-height-relative:page;" filled="f" stroked="f" coordsize="21600,21600" o:gfxdata="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099ZS2wAAAA0BAAAPAAAAAAAAAAEAIAAAACIAAABkcnMvZG93bnJldi54&#10;bWxQSwECFAAUAAAACACHTuJAXZ0kPb4BAAB2AwAADgAAAAAAAAABACAAAAAqAQAAZHJzL2Uyb0Rv&#10;Yy54bWxQSwUGAAAAAAYABgBZAQAAWgUAAAAA&#10;">
              <v:fill on="f" focussize="0,0"/>
              <v:stroke on="f"/>
              <v:imagedata o:title=""/>
              <o:lock v:ext="edit" aspectratio="f"/>
              <v:textbox inset="0mm,0mm,0mm,0mm">
                <w:txbxContent>
                  <w:p>
                    <w:pPr>
                      <w:spacing w:before="0" w:line="280" w:lineRule="exact"/>
                      <w:ind w:left="20" w:right="0" w:firstLine="0"/>
                      <w:jc w:val="left"/>
                      <w:rPr>
                        <w:b/>
                        <w:sz w:val="24"/>
                      </w:rPr>
                    </w:pPr>
                    <w:r>
                      <w:rPr>
                        <w:b/>
                        <w:sz w:val="24"/>
                      </w:rPr>
                      <w:t>（一）处罚依据</w:t>
                    </w:r>
                  </w:p>
                </w:txbxContent>
              </v:textbox>
            </v:shape>
          </w:pict>
        </mc:Fallback>
      </mc:AlternateContent>
    </w:r>
    <w:r>
      <mc:AlternateContent>
        <mc:Choice Requires="wps">
          <w:drawing>
            <wp:anchor distT="0" distB="0" distL="114300" distR="114300" simplePos="0" relativeHeight="227116032" behindDoc="1" locked="0" layoutInCell="1" allowOverlap="1">
              <wp:simplePos x="0" y="0"/>
              <wp:positionH relativeFrom="page">
                <wp:posOffset>1356995</wp:posOffset>
              </wp:positionH>
              <wp:positionV relativeFrom="page">
                <wp:posOffset>9265920</wp:posOffset>
              </wp:positionV>
              <wp:extent cx="5242560" cy="177800"/>
              <wp:effectExtent l="0" t="0" r="0" b="0"/>
              <wp:wrapNone/>
              <wp:docPr id="221" name="文本框 215"/>
              <wp:cNvGraphicFramePr/>
              <a:graphic xmlns:a="http://schemas.openxmlformats.org/drawingml/2006/main">
                <a:graphicData uri="http://schemas.microsoft.com/office/word/2010/wordprocessingShape">
                  <wps:wsp>
                    <wps:cNvSpPr txBox="1"/>
                    <wps:spPr>
                      <a:xfrm>
                        <a:off x="0" y="0"/>
                        <a:ext cx="5242560" cy="177800"/>
                      </a:xfrm>
                      <a:prstGeom prst="rect">
                        <a:avLst/>
                      </a:prstGeom>
                      <a:noFill/>
                      <a:ln>
                        <a:noFill/>
                      </a:ln>
                    </wps:spPr>
                    <wps:txbx>
                      <w:txbxContent>
                        <w:p>
                          <w:pPr>
                            <w:pStyle w:val="4"/>
                            <w:spacing w:line="280" w:lineRule="exact"/>
                            <w:ind w:left="20"/>
                          </w:pPr>
                          <w:r>
                            <w:t>1</w:t>
                          </w:r>
                          <w:r>
                            <w:rPr>
                              <w:spacing w:val="-12"/>
                            </w:rPr>
                            <w:t>、《麻类纤维质量监督管理办法》第二十一条“麻类纤维经营者在加工麻类纤</w:t>
                          </w:r>
                        </w:p>
                      </w:txbxContent>
                    </wps:txbx>
                    <wps:bodyPr lIns="0" tIns="0" rIns="0" bIns="0" upright="1"/>
                  </wps:wsp>
                </a:graphicData>
              </a:graphic>
            </wp:anchor>
          </w:drawing>
        </mc:Choice>
        <mc:Fallback>
          <w:pict>
            <v:shape id="文本框 215" o:spid="_x0000_s1026" o:spt="202" type="#_x0000_t202" style="position:absolute;left:0pt;margin-left:106.85pt;margin-top:729.6pt;height:14pt;width:412.8pt;mso-position-horizontal-relative:page;mso-position-vertical-relative:page;z-index:-276200448;mso-width-relative:page;mso-height-relative:page;" filled="f" stroked="f" coordsize="21600,21600" o:gfxdata="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EzWt9sAAAAOAQAADwAAAAAAAAABACAAAAAiAAAAZHJzL2Rvd25yZXYu&#10;eG1sUEsBAhQAFAAAAAgAh07iQLhuJwy/AQAAdgMAAA4AAAAAAAAAAQAgAAAAKgEAAGRycy9lMm9E&#10;b2MueG1sUEsFBgAAAAAGAAYAWQEAAFsFAAAAAA==&#10;">
              <v:fill on="f" focussize="0,0"/>
              <v:stroke on="f"/>
              <v:imagedata o:title=""/>
              <o:lock v:ext="edit" aspectratio="f"/>
              <v:textbox inset="0mm,0mm,0mm,0mm">
                <w:txbxContent>
                  <w:p>
                    <w:pPr>
                      <w:pStyle w:val="4"/>
                      <w:spacing w:line="280" w:lineRule="exact"/>
                      <w:ind w:left="20"/>
                    </w:pPr>
                    <w:r>
                      <w:t>1</w:t>
                    </w:r>
                    <w:r>
                      <w:rPr>
                        <w:spacing w:val="-12"/>
                      </w:rPr>
                      <w:t>、《麻类纤维质量监督管理办法》第二十一条“麻类纤维经营者在加工麻类纤</w:t>
                    </w:r>
                  </w:p>
                </w:txbxContent>
              </v:textbox>
            </v:shape>
          </w:pict>
        </mc:Fallback>
      </mc:AlternateContent>
    </w:r>
    <w:r>
      <mc:AlternateContent>
        <mc:Choice Requires="wps">
          <w:drawing>
            <wp:anchor distT="0" distB="0" distL="114300" distR="114300" simplePos="0" relativeHeight="227117056" behindDoc="1" locked="0" layoutInCell="1" allowOverlap="1">
              <wp:simplePos x="0" y="0"/>
              <wp:positionH relativeFrom="page">
                <wp:posOffset>959485</wp:posOffset>
              </wp:positionH>
              <wp:positionV relativeFrom="page">
                <wp:posOffset>9582785</wp:posOffset>
              </wp:positionV>
              <wp:extent cx="5664200" cy="177800"/>
              <wp:effectExtent l="0" t="0" r="0" b="0"/>
              <wp:wrapNone/>
              <wp:docPr id="222" name="文本框 216"/>
              <wp:cNvGraphicFramePr/>
              <a:graphic xmlns:a="http://schemas.openxmlformats.org/drawingml/2006/main">
                <a:graphicData uri="http://schemas.microsoft.com/office/word/2010/wordprocessingShape">
                  <wps:wsp>
                    <wps:cNvSpPr txBox="1"/>
                    <wps:spPr>
                      <a:xfrm>
                        <a:off x="0" y="0"/>
                        <a:ext cx="5664200" cy="177800"/>
                      </a:xfrm>
                      <a:prstGeom prst="rect">
                        <a:avLst/>
                      </a:prstGeom>
                      <a:noFill/>
                      <a:ln>
                        <a:noFill/>
                      </a:ln>
                    </wps:spPr>
                    <wps:txbx>
                      <w:txbxContent>
                        <w:p>
                          <w:pPr>
                            <w:pStyle w:val="4"/>
                            <w:spacing w:line="280" w:lineRule="exact"/>
                            <w:ind w:left="20"/>
                          </w:pPr>
                          <w:r>
                            <w:t>维活动中，违反本办法第十六条第（一）项规定的，由纤维质量监督机构责令改正，</w:t>
                          </w:r>
                        </w:p>
                      </w:txbxContent>
                    </wps:txbx>
                    <wps:bodyPr lIns="0" tIns="0" rIns="0" bIns="0" upright="1"/>
                  </wps:wsp>
                </a:graphicData>
              </a:graphic>
            </wp:anchor>
          </w:drawing>
        </mc:Choice>
        <mc:Fallback>
          <w:pict>
            <v:shape id="文本框 216" o:spid="_x0000_s1026" o:spt="202" type="#_x0000_t202" style="position:absolute;left:0pt;margin-left:75.55pt;margin-top:754.55pt;height:14pt;width:446pt;mso-position-horizontal-relative:page;mso-position-vertical-relative:page;z-index:-276199424;mso-width-relative:page;mso-height-relative:page;" filled="f" stroked="f" coordsize="21600,21600" o:gfxdata="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KOLx3YAAAADgEAAA8AAAAAAAAAAQAgAAAAIgAAAGRycy9kb3ducmV2LnhtbFBL&#10;AQIUABQAAAAIAIdO4kDobJRCvQEAAHYDAAAOAAAAAAAAAAEAIAAAACcBAABkcnMvZTJvRG9jLnht&#10;bFBLBQYAAAAABgAGAFkBAABWBQAAAAA=&#10;">
              <v:fill on="f" focussize="0,0"/>
              <v:stroke on="f"/>
              <v:imagedata o:title=""/>
              <o:lock v:ext="edit" aspectratio="f"/>
              <v:textbox inset="0mm,0mm,0mm,0mm">
                <w:txbxContent>
                  <w:p>
                    <w:pPr>
                      <w:pStyle w:val="4"/>
                      <w:spacing w:line="280" w:lineRule="exact"/>
                      <w:ind w:left="20"/>
                    </w:pPr>
                    <w:r>
                      <w:t>维活动中，违反本办法第十六条第（一）项规定的，由纤维质量监督机构责令改正，</w:t>
                    </w:r>
                  </w:p>
                </w:txbxContent>
              </v:textbox>
            </v:shape>
          </w:pict>
        </mc:Fallback>
      </mc:AlternateContent>
    </w:r>
    <w:r>
      <mc:AlternateContent>
        <mc:Choice Requires="wps">
          <w:drawing>
            <wp:anchor distT="0" distB="0" distL="114300" distR="114300" simplePos="0" relativeHeight="22711808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23" name="文本框 21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648</w:t>
                          </w:r>
                          <w:r>
                            <w:fldChar w:fldCharType="end"/>
                          </w:r>
                          <w:r>
                            <w:rPr>
                              <w:sz w:val="21"/>
                            </w:rPr>
                            <w:t xml:space="preserve"> —</w:t>
                          </w:r>
                        </w:p>
                      </w:txbxContent>
                    </wps:txbx>
                    <wps:bodyPr lIns="0" tIns="0" rIns="0" bIns="0" upright="1"/>
                  </wps:wsp>
                </a:graphicData>
              </a:graphic>
            </wp:anchor>
          </w:drawing>
        </mc:Choice>
        <mc:Fallback>
          <w:pict>
            <v:shape id="文本框 217" o:spid="_x0000_s1026" o:spt="202" type="#_x0000_t202" style="position:absolute;left:0pt;margin-left:75.55pt;margin-top:779.15pt;height:12.6pt;width:49.2pt;mso-position-horizontal-relative:page;mso-position-vertical-relative:page;z-index:-27619840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C3A2Wi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648</w:t>
                    </w:r>
                    <w:r>
                      <w:fldChar w:fldCharType="end"/>
                    </w:r>
                    <w:r>
                      <w:rPr>
                        <w:sz w:val="21"/>
                      </w:rPr>
                      <w:t xml:space="preserve"> —</w:t>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2422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29" name="文本框 22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651</w:t>
                          </w:r>
                          <w:r>
                            <w:fldChar w:fldCharType="end"/>
                          </w:r>
                          <w:r>
                            <w:rPr>
                              <w:sz w:val="21"/>
                            </w:rPr>
                            <w:t xml:space="preserve"> —</w:t>
                          </w:r>
                        </w:p>
                      </w:txbxContent>
                    </wps:txbx>
                    <wps:bodyPr lIns="0" tIns="0" rIns="0" bIns="0" upright="1"/>
                  </wps:wsp>
                </a:graphicData>
              </a:graphic>
            </wp:anchor>
          </w:drawing>
        </mc:Choice>
        <mc:Fallback>
          <w:pict>
            <v:shape id="文本框 223" o:spid="_x0000_s1026" o:spt="202" type="#_x0000_t202" style="position:absolute;left:0pt;margin-left:470.45pt;margin-top:779.15pt;height:12.6pt;width:49.2pt;mso-position-horizontal-relative:page;mso-position-vertical-relative:page;z-index:-27619225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M0V2dO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651</w:t>
                    </w:r>
                    <w:r>
                      <w:fldChar w:fldCharType="end"/>
                    </w:r>
                    <w:r>
                      <w:rPr>
                        <w:sz w:val="21"/>
                      </w:rPr>
                      <w:t xml:space="preserve"> —</w:t>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20128" behindDoc="1" locked="0" layoutInCell="1" allowOverlap="1">
              <wp:simplePos x="0" y="0"/>
              <wp:positionH relativeFrom="page">
                <wp:posOffset>1367790</wp:posOffset>
              </wp:positionH>
              <wp:positionV relativeFrom="page">
                <wp:posOffset>8949055</wp:posOffset>
              </wp:positionV>
              <wp:extent cx="1095375" cy="177800"/>
              <wp:effectExtent l="0" t="0" r="0" b="0"/>
              <wp:wrapNone/>
              <wp:docPr id="225" name="文本框 219"/>
              <wp:cNvGraphicFramePr/>
              <a:graphic xmlns:a="http://schemas.openxmlformats.org/drawingml/2006/main">
                <a:graphicData uri="http://schemas.microsoft.com/office/word/2010/wordprocessingShape">
                  <wps:wsp>
                    <wps:cNvSpPr txBox="1"/>
                    <wps:spPr>
                      <a:xfrm>
                        <a:off x="0" y="0"/>
                        <a:ext cx="1095375" cy="177800"/>
                      </a:xfrm>
                      <a:prstGeom prst="rect">
                        <a:avLst/>
                      </a:prstGeom>
                      <a:noFill/>
                      <a:ln>
                        <a:noFill/>
                      </a:ln>
                    </wps:spPr>
                    <wps:txbx>
                      <w:txbxContent>
                        <w:p>
                          <w:pPr>
                            <w:spacing w:before="0" w:line="280" w:lineRule="exact"/>
                            <w:ind w:left="20" w:right="0" w:firstLine="0"/>
                            <w:jc w:val="left"/>
                            <w:rPr>
                              <w:b/>
                              <w:sz w:val="24"/>
                            </w:rPr>
                          </w:pPr>
                          <w:r>
                            <w:rPr>
                              <w:b/>
                              <w:sz w:val="24"/>
                            </w:rPr>
                            <w:t>（一）处罚依据</w:t>
                          </w:r>
                        </w:p>
                      </w:txbxContent>
                    </wps:txbx>
                    <wps:bodyPr lIns="0" tIns="0" rIns="0" bIns="0" upright="1"/>
                  </wps:wsp>
                </a:graphicData>
              </a:graphic>
            </wp:anchor>
          </w:drawing>
        </mc:Choice>
        <mc:Fallback>
          <w:pict>
            <v:shape id="文本框 219" o:spid="_x0000_s1026" o:spt="202" type="#_x0000_t202" style="position:absolute;left:0pt;margin-left:107.7pt;margin-top:704.65pt;height:14pt;width:86.25pt;mso-position-horizontal-relative:page;mso-position-vertical-relative:page;z-index:-276196352;mso-width-relative:page;mso-height-relative:page;" filled="f" stroked="f" coordsize="21600,21600" o:gfxdata="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099ZS2wAAAA0BAAAPAAAAAAAAAAEAIAAAACIAAABkcnMvZG93bnJldi54&#10;bWxQSwECFAAUAAAACACHTuJAx+XYO74BAAB2AwAADgAAAAAAAAABACAAAAAqAQAAZHJzL2Uyb0Rv&#10;Yy54bWxQSwUGAAAAAAYABgBZAQAAWgUAAAAA&#10;">
              <v:fill on="f" focussize="0,0"/>
              <v:stroke on="f"/>
              <v:imagedata o:title=""/>
              <o:lock v:ext="edit" aspectratio="f"/>
              <v:textbox inset="0mm,0mm,0mm,0mm">
                <w:txbxContent>
                  <w:p>
                    <w:pPr>
                      <w:spacing w:before="0" w:line="280" w:lineRule="exact"/>
                      <w:ind w:left="20" w:right="0" w:firstLine="0"/>
                      <w:jc w:val="left"/>
                      <w:rPr>
                        <w:b/>
                        <w:sz w:val="24"/>
                      </w:rPr>
                    </w:pPr>
                    <w:r>
                      <w:rPr>
                        <w:b/>
                        <w:sz w:val="24"/>
                      </w:rPr>
                      <w:t>（一）处罚依据</w:t>
                    </w:r>
                  </w:p>
                </w:txbxContent>
              </v:textbox>
            </v:shape>
          </w:pict>
        </mc:Fallback>
      </mc:AlternateContent>
    </w:r>
    <w:r>
      <mc:AlternateContent>
        <mc:Choice Requires="wps">
          <w:drawing>
            <wp:anchor distT="0" distB="0" distL="114300" distR="114300" simplePos="0" relativeHeight="227121152" behindDoc="1" locked="0" layoutInCell="1" allowOverlap="1">
              <wp:simplePos x="0" y="0"/>
              <wp:positionH relativeFrom="page">
                <wp:posOffset>1356995</wp:posOffset>
              </wp:positionH>
              <wp:positionV relativeFrom="page">
                <wp:posOffset>9265920</wp:posOffset>
              </wp:positionV>
              <wp:extent cx="5242560" cy="177800"/>
              <wp:effectExtent l="0" t="0" r="0" b="0"/>
              <wp:wrapNone/>
              <wp:docPr id="226" name="文本框 220"/>
              <wp:cNvGraphicFramePr/>
              <a:graphic xmlns:a="http://schemas.openxmlformats.org/drawingml/2006/main">
                <a:graphicData uri="http://schemas.microsoft.com/office/word/2010/wordprocessingShape">
                  <wps:wsp>
                    <wps:cNvSpPr txBox="1"/>
                    <wps:spPr>
                      <a:xfrm>
                        <a:off x="0" y="0"/>
                        <a:ext cx="5242560" cy="177800"/>
                      </a:xfrm>
                      <a:prstGeom prst="rect">
                        <a:avLst/>
                      </a:prstGeom>
                      <a:noFill/>
                      <a:ln>
                        <a:noFill/>
                      </a:ln>
                    </wps:spPr>
                    <wps:txbx>
                      <w:txbxContent>
                        <w:p>
                          <w:pPr>
                            <w:pStyle w:val="4"/>
                            <w:spacing w:line="280" w:lineRule="exact"/>
                            <w:ind w:left="20"/>
                          </w:pPr>
                          <w:r>
                            <w:t>1</w:t>
                          </w:r>
                          <w:r>
                            <w:rPr>
                              <w:spacing w:val="-12"/>
                            </w:rPr>
                            <w:t>、《麻类纤维质量监督管理办法》第二十一条“麻类纤维经营者在加工麻类纤</w:t>
                          </w:r>
                        </w:p>
                      </w:txbxContent>
                    </wps:txbx>
                    <wps:bodyPr lIns="0" tIns="0" rIns="0" bIns="0" upright="1"/>
                  </wps:wsp>
                </a:graphicData>
              </a:graphic>
            </wp:anchor>
          </w:drawing>
        </mc:Choice>
        <mc:Fallback>
          <w:pict>
            <v:shape id="文本框 220" o:spid="_x0000_s1026" o:spt="202" type="#_x0000_t202" style="position:absolute;left:0pt;margin-left:106.85pt;margin-top:729.6pt;height:14pt;width:412.8pt;mso-position-horizontal-relative:page;mso-position-vertical-relative:page;z-index:-276195328;mso-width-relative:page;mso-height-relative:page;" filled="f" stroked="f" coordsize="21600,21600" o:gfxdata="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BM1rfbAAAADgEAAA8AAAAAAAAAAQAgAAAAIgAAAGRycy9kb3ducmV2Lnht&#10;bFBLAQIUABQAAAAIAIdO4kD9pQBSvQEAAHYDAAAOAAAAAAAAAAEAIAAAACoBAABkcnMvZTJvRG9j&#10;LnhtbFBLBQYAAAAABgAGAFkBAABZBQAAAAA=&#10;">
              <v:fill on="f" focussize="0,0"/>
              <v:stroke on="f"/>
              <v:imagedata o:title=""/>
              <o:lock v:ext="edit" aspectratio="f"/>
              <v:textbox inset="0mm,0mm,0mm,0mm">
                <w:txbxContent>
                  <w:p>
                    <w:pPr>
                      <w:pStyle w:val="4"/>
                      <w:spacing w:line="280" w:lineRule="exact"/>
                      <w:ind w:left="20"/>
                    </w:pPr>
                    <w:r>
                      <w:t>1</w:t>
                    </w:r>
                    <w:r>
                      <w:rPr>
                        <w:spacing w:val="-12"/>
                      </w:rPr>
                      <w:t>、《麻类纤维质量监督管理办法》第二十一条“麻类纤维经营者在加工麻类纤</w:t>
                    </w:r>
                  </w:p>
                </w:txbxContent>
              </v:textbox>
            </v:shape>
          </w:pict>
        </mc:Fallback>
      </mc:AlternateContent>
    </w:r>
    <w:r>
      <mc:AlternateContent>
        <mc:Choice Requires="wps">
          <w:drawing>
            <wp:anchor distT="0" distB="0" distL="114300" distR="114300" simplePos="0" relativeHeight="227122176" behindDoc="1" locked="0" layoutInCell="1" allowOverlap="1">
              <wp:simplePos x="0" y="0"/>
              <wp:positionH relativeFrom="page">
                <wp:posOffset>959485</wp:posOffset>
              </wp:positionH>
              <wp:positionV relativeFrom="page">
                <wp:posOffset>9582785</wp:posOffset>
              </wp:positionV>
              <wp:extent cx="5664200" cy="177800"/>
              <wp:effectExtent l="0" t="0" r="0" b="0"/>
              <wp:wrapNone/>
              <wp:docPr id="227" name="文本框 221"/>
              <wp:cNvGraphicFramePr/>
              <a:graphic xmlns:a="http://schemas.openxmlformats.org/drawingml/2006/main">
                <a:graphicData uri="http://schemas.microsoft.com/office/word/2010/wordprocessingShape">
                  <wps:wsp>
                    <wps:cNvSpPr txBox="1"/>
                    <wps:spPr>
                      <a:xfrm>
                        <a:off x="0" y="0"/>
                        <a:ext cx="5664200" cy="177800"/>
                      </a:xfrm>
                      <a:prstGeom prst="rect">
                        <a:avLst/>
                      </a:prstGeom>
                      <a:noFill/>
                      <a:ln>
                        <a:noFill/>
                      </a:ln>
                    </wps:spPr>
                    <wps:txbx>
                      <w:txbxContent>
                        <w:p>
                          <w:pPr>
                            <w:pStyle w:val="4"/>
                            <w:spacing w:line="280" w:lineRule="exact"/>
                            <w:ind w:left="20"/>
                          </w:pPr>
                          <w:r>
                            <w:t>维活动中，违反本办法第十六条第（一）项规定的，由纤维质量监督机构责令改正，</w:t>
                          </w:r>
                        </w:p>
                      </w:txbxContent>
                    </wps:txbx>
                    <wps:bodyPr lIns="0" tIns="0" rIns="0" bIns="0" upright="1"/>
                  </wps:wsp>
                </a:graphicData>
              </a:graphic>
            </wp:anchor>
          </w:drawing>
        </mc:Choice>
        <mc:Fallback>
          <w:pict>
            <v:shape id="文本框 221" o:spid="_x0000_s1026" o:spt="202" type="#_x0000_t202" style="position:absolute;left:0pt;margin-left:75.55pt;margin-top:754.55pt;height:14pt;width:446pt;mso-position-horizontal-relative:page;mso-position-vertical-relative:page;z-index:-276194304;mso-width-relative:page;mso-height-relative:page;" filled="f" stroked="f" coordsize="21600,21600" o:gfxdata="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KOLx3YAAAADgEAAA8AAAAAAAAAAQAgAAAAIgAAAGRycy9kb3ducmV2LnhtbFBL&#10;AQIUABQAAAAIAIdO4kCY1fGIvQEAAHYDAAAOAAAAAAAAAAEAIAAAACcBAABkcnMvZTJvRG9jLnht&#10;bFBLBQYAAAAABgAGAFkBAABWBQAAAAA=&#10;">
              <v:fill on="f" focussize="0,0"/>
              <v:stroke on="f"/>
              <v:imagedata o:title=""/>
              <o:lock v:ext="edit" aspectratio="f"/>
              <v:textbox inset="0mm,0mm,0mm,0mm">
                <w:txbxContent>
                  <w:p>
                    <w:pPr>
                      <w:pStyle w:val="4"/>
                      <w:spacing w:line="280" w:lineRule="exact"/>
                      <w:ind w:left="20"/>
                    </w:pPr>
                    <w:r>
                      <w:t>维活动中，违反本办法第十六条第（一）项规定的，由纤维质量监督机构责令改正，</w:t>
                    </w:r>
                  </w:p>
                </w:txbxContent>
              </v:textbox>
            </v:shape>
          </w:pict>
        </mc:Fallback>
      </mc:AlternateContent>
    </w:r>
    <w:r>
      <mc:AlternateContent>
        <mc:Choice Requires="wps">
          <w:drawing>
            <wp:anchor distT="0" distB="0" distL="114300" distR="114300" simplePos="0" relativeHeight="22712320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28" name="文本框 22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650</w:t>
                          </w:r>
                          <w:r>
                            <w:fldChar w:fldCharType="end"/>
                          </w:r>
                          <w:r>
                            <w:rPr>
                              <w:sz w:val="21"/>
                            </w:rPr>
                            <w:t xml:space="preserve"> —</w:t>
                          </w:r>
                        </w:p>
                      </w:txbxContent>
                    </wps:txbx>
                    <wps:bodyPr lIns="0" tIns="0" rIns="0" bIns="0" upright="1"/>
                  </wps:wsp>
                </a:graphicData>
              </a:graphic>
            </wp:anchor>
          </w:drawing>
        </mc:Choice>
        <mc:Fallback>
          <w:pict>
            <v:shape id="文本框 222" o:spid="_x0000_s1026" o:spt="202" type="#_x0000_t202" style="position:absolute;left:0pt;margin-left:75.55pt;margin-top:779.15pt;height:12.6pt;width:49.2pt;mso-position-horizontal-relative:page;mso-position-vertical-relative:page;z-index:-27619328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KU5FL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650</w:t>
                    </w:r>
                    <w:r>
                      <w:fldChar w:fldCharType="end"/>
                    </w:r>
                    <w:r>
                      <w:rPr>
                        <w:sz w:val="21"/>
                      </w:rPr>
                      <w:t xml:space="preserve"> —</w:t>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2627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31" name="文本框 22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653</w:t>
                          </w:r>
                          <w:r>
                            <w:fldChar w:fldCharType="end"/>
                          </w:r>
                          <w:r>
                            <w:rPr>
                              <w:sz w:val="21"/>
                            </w:rPr>
                            <w:t xml:space="preserve"> —</w:t>
                          </w:r>
                        </w:p>
                      </w:txbxContent>
                    </wps:txbx>
                    <wps:bodyPr lIns="0" tIns="0" rIns="0" bIns="0" upright="1"/>
                  </wps:wsp>
                </a:graphicData>
              </a:graphic>
            </wp:anchor>
          </w:drawing>
        </mc:Choice>
        <mc:Fallback>
          <w:pict>
            <v:shape id="文本框 225" o:spid="_x0000_s1026" o:spt="202" type="#_x0000_t202" style="position:absolute;left:0pt;margin-left:470.45pt;margin-top:779.15pt;height:12.6pt;width:49.2pt;mso-position-horizontal-relative:page;mso-position-vertical-relative:page;z-index:-27619020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AwByWa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653</w:t>
                    </w:r>
                    <w:r>
                      <w:fldChar w:fldCharType="end"/>
                    </w:r>
                    <w:r>
                      <w:rPr>
                        <w:sz w:val="21"/>
                      </w:rPr>
                      <w:t xml:space="preserve"> —</w:t>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2524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30" name="文本框 22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652</w:t>
                          </w:r>
                          <w:r>
                            <w:fldChar w:fldCharType="end"/>
                          </w:r>
                          <w:r>
                            <w:rPr>
                              <w:sz w:val="21"/>
                            </w:rPr>
                            <w:t xml:space="preserve"> —</w:t>
                          </w:r>
                        </w:p>
                      </w:txbxContent>
                    </wps:txbx>
                    <wps:bodyPr lIns="0" tIns="0" rIns="0" bIns="0" upright="1"/>
                  </wps:wsp>
                </a:graphicData>
              </a:graphic>
            </wp:anchor>
          </w:drawing>
        </mc:Choice>
        <mc:Fallback>
          <w:pict>
            <v:shape id="文本框 224" o:spid="_x0000_s1026" o:spt="202" type="#_x0000_t202" style="position:absolute;left:0pt;margin-left:75.55pt;margin-top:779.15pt;height:12.6pt;width:49.2pt;mso-position-horizontal-relative:page;mso-position-vertical-relative:page;z-index:-27619123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6FpVm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652</w:t>
                    </w:r>
                    <w:r>
                      <w:fldChar w:fldCharType="end"/>
                    </w:r>
                    <w:r>
                      <w:rPr>
                        <w:sz w:val="21"/>
                      </w:rPr>
                      <w:t xml:space="preserve"> —</w:t>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2934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34" name="文本框 22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655</w:t>
                          </w:r>
                          <w:r>
                            <w:fldChar w:fldCharType="end"/>
                          </w:r>
                          <w:r>
                            <w:rPr>
                              <w:sz w:val="21"/>
                            </w:rPr>
                            <w:t xml:space="preserve"> —</w:t>
                          </w:r>
                        </w:p>
                      </w:txbxContent>
                    </wps:txbx>
                    <wps:bodyPr lIns="0" tIns="0" rIns="0" bIns="0" upright="1"/>
                  </wps:wsp>
                </a:graphicData>
              </a:graphic>
            </wp:anchor>
          </w:drawing>
        </mc:Choice>
        <mc:Fallback>
          <w:pict>
            <v:shape id="文本框 228" o:spid="_x0000_s1026" o:spt="202" type="#_x0000_t202" style="position:absolute;left:0pt;margin-left:470.45pt;margin-top:779.15pt;height:12.6pt;width:49.2pt;mso-position-horizontal-relative:page;mso-position-vertical-relative:page;z-index:-27618713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SYQEL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655</w:t>
                    </w:r>
                    <w:r>
                      <w:fldChar w:fldCharType="end"/>
                    </w:r>
                    <w:r>
                      <w:rPr>
                        <w:sz w:val="21"/>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273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42" name="文本框 3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121</w:t>
                          </w:r>
                          <w:r>
                            <w:fldChar w:fldCharType="end"/>
                          </w:r>
                          <w:r>
                            <w:rPr>
                              <w:sz w:val="21"/>
                            </w:rPr>
                            <w:t xml:space="preserve"> —</w:t>
                          </w:r>
                        </w:p>
                      </w:txbxContent>
                    </wps:txbx>
                    <wps:bodyPr lIns="0" tIns="0" rIns="0" bIns="0" upright="1"/>
                  </wps:wsp>
                </a:graphicData>
              </a:graphic>
            </wp:anchor>
          </w:drawing>
        </mc:Choice>
        <mc:Fallback>
          <w:pict>
            <v:shape id="文本框 36" o:spid="_x0000_s1026" o:spt="202" type="#_x0000_t202" style="position:absolute;left:0pt;margin-left:470.45pt;margin-top:779.15pt;height:12.6pt;width:49.2pt;mso-position-horizontal-relative:page;mso-position-vertical-relative:page;z-index:-27638374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D5yp7w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121</w:t>
                    </w:r>
                    <w:r>
                      <w:fldChar w:fldCharType="end"/>
                    </w:r>
                    <w:r>
                      <w:rPr>
                        <w:sz w:val="21"/>
                      </w:rPr>
                      <w:t xml:space="preserve"> —</w:t>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27296" behindDoc="1" locked="0" layoutInCell="1" allowOverlap="1">
              <wp:simplePos x="0" y="0"/>
              <wp:positionH relativeFrom="page">
                <wp:posOffset>1365885</wp:posOffset>
              </wp:positionH>
              <wp:positionV relativeFrom="page">
                <wp:posOffset>9582785</wp:posOffset>
              </wp:positionV>
              <wp:extent cx="1016000" cy="177800"/>
              <wp:effectExtent l="0" t="0" r="0" b="0"/>
              <wp:wrapNone/>
              <wp:docPr id="232" name="文本框 226"/>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（1）违法情形</w:t>
                          </w:r>
                        </w:p>
                      </w:txbxContent>
                    </wps:txbx>
                    <wps:bodyPr lIns="0" tIns="0" rIns="0" bIns="0" upright="1"/>
                  </wps:wsp>
                </a:graphicData>
              </a:graphic>
            </wp:anchor>
          </w:drawing>
        </mc:Choice>
        <mc:Fallback>
          <w:pict>
            <v:shape id="文本框 226" o:spid="_x0000_s1026" o:spt="202" type="#_x0000_t202" style="position:absolute;left:0pt;margin-left:107.55pt;margin-top:754.55pt;height:14pt;width:80pt;mso-position-horizontal-relative:page;mso-position-vertical-relative:page;z-index:-276189184;mso-width-relative:page;mso-height-relative:page;" filled="f" stroked="f" coordsize="21600,21600" o:gfxdata="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B43lvaAAAADQEAAA8AAAAAAAAAAQAgAAAAIgAAAGRycy9kb3ducmV2LnhtbFBL&#10;AQIUABQAAAAIAIdO4kCfPVb7uwEAAHYDAAAOAAAAAAAAAAEAIAAAACkBAABkcnMvZTJvRG9jLnht&#10;bFBLBQYAAAAABgAGAFkBAABWBQAAAAA=&#10;">
              <v:fill on="f" focussize="0,0"/>
              <v:stroke on="f"/>
              <v:imagedata o:title=""/>
              <o:lock v:ext="edit" aspectratio="f"/>
              <v:textbox inset="0mm,0mm,0mm,0mm">
                <w:txbxContent>
                  <w:p>
                    <w:pPr>
                      <w:pStyle w:val="4"/>
                      <w:spacing w:line="280" w:lineRule="exact"/>
                      <w:ind w:left="20"/>
                    </w:pPr>
                    <w:r>
                      <w:t>（1）违法情形</w:t>
                    </w:r>
                  </w:p>
                </w:txbxContent>
              </v:textbox>
            </v:shape>
          </w:pict>
        </mc:Fallback>
      </mc:AlternateContent>
    </w:r>
    <w:r>
      <mc:AlternateContent>
        <mc:Choice Requires="wps">
          <w:drawing>
            <wp:anchor distT="0" distB="0" distL="114300" distR="114300" simplePos="0" relativeHeight="22712832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33" name="文本框 22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654</w:t>
                          </w:r>
                          <w:r>
                            <w:fldChar w:fldCharType="end"/>
                          </w:r>
                          <w:r>
                            <w:rPr>
                              <w:sz w:val="21"/>
                            </w:rPr>
                            <w:t xml:space="preserve"> —</w:t>
                          </w:r>
                        </w:p>
                      </w:txbxContent>
                    </wps:txbx>
                    <wps:bodyPr lIns="0" tIns="0" rIns="0" bIns="0" upright="1"/>
                  </wps:wsp>
                </a:graphicData>
              </a:graphic>
            </wp:anchor>
          </w:drawing>
        </mc:Choice>
        <mc:Fallback>
          <w:pict>
            <v:shape id="文本框 227" o:spid="_x0000_s1026" o:spt="202" type="#_x0000_t202" style="position:absolute;left:0pt;margin-left:75.55pt;margin-top:779.15pt;height:12.6pt;width:49.2pt;mso-position-horizontal-relative:page;mso-position-vertical-relative:page;z-index:-27618816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83ZIfaAAAADQEAAA8AAAAAAAAAAQAgAAAAIgAAAGRycy9kb3ducmV2Lnht&#10;bFBLAQIUABQAAAAIAIdO4kCFsIBAvgEAAHUDAAAOAAAAAAAAAAEAIAAAACkBAABkcnMvZTJvRG9j&#10;LnhtbFBLBQYAAAAABgAGAFkBAABZ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654</w:t>
                    </w:r>
                    <w:r>
                      <w:fldChar w:fldCharType="end"/>
                    </w:r>
                    <w:r>
                      <w:rPr>
                        <w:sz w:val="21"/>
                      </w:rPr>
                      <w:t xml:space="preserve"> —</w:t>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139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36" name="文本框 23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659</w:t>
                          </w:r>
                          <w:r>
                            <w:fldChar w:fldCharType="end"/>
                          </w:r>
                          <w:r>
                            <w:rPr>
                              <w:sz w:val="21"/>
                            </w:rPr>
                            <w:t xml:space="preserve"> —</w:t>
                          </w:r>
                        </w:p>
                      </w:txbxContent>
                    </wps:txbx>
                    <wps:bodyPr lIns="0" tIns="0" rIns="0" bIns="0" upright="1"/>
                  </wps:wsp>
                </a:graphicData>
              </a:graphic>
            </wp:anchor>
          </w:drawing>
        </mc:Choice>
        <mc:Fallback>
          <w:pict>
            <v:shape id="文本框 230" o:spid="_x0000_s1026" o:spt="202" type="#_x0000_t202" style="position:absolute;left:0pt;margin-left:470.45pt;margin-top:779.15pt;height:12.6pt;width:49.2pt;mso-position-horizontal-relative:page;mso-position-vertical-relative:page;z-index:-27618508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DmgDsQ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659</w:t>
                    </w:r>
                    <w:r>
                      <w:fldChar w:fldCharType="end"/>
                    </w:r>
                    <w:r>
                      <w:rPr>
                        <w:sz w:val="21"/>
                      </w:rPr>
                      <w:t xml:space="preserve"> —</w:t>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036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35" name="文本框 22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658</w:t>
                          </w:r>
                          <w:r>
                            <w:fldChar w:fldCharType="end"/>
                          </w:r>
                          <w:r>
                            <w:rPr>
                              <w:sz w:val="21"/>
                            </w:rPr>
                            <w:t xml:space="preserve"> —</w:t>
                          </w:r>
                        </w:p>
                      </w:txbxContent>
                    </wps:txbx>
                    <wps:bodyPr lIns="0" tIns="0" rIns="0" bIns="0" upright="1"/>
                  </wps:wsp>
                </a:graphicData>
              </a:graphic>
            </wp:anchor>
          </w:drawing>
        </mc:Choice>
        <mc:Fallback>
          <w:pict>
            <v:shape id="文本框 229" o:spid="_x0000_s1026" o:spt="202" type="#_x0000_t202" style="position:absolute;left:0pt;margin-left:75.55pt;margin-top:779.15pt;height:12.6pt;width:49.2pt;mso-position-horizontal-relative:page;mso-position-vertical-relative:page;z-index:-27618611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K3fmNK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658</w:t>
                    </w:r>
                    <w:r>
                      <w:fldChar w:fldCharType="end"/>
                    </w:r>
                    <w:r>
                      <w:rPr>
                        <w:sz w:val="21"/>
                      </w:rPr>
                      <w:t xml:space="preserve"> —</w:t>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344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38" name="文本框 23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661</w:t>
                          </w:r>
                          <w:r>
                            <w:fldChar w:fldCharType="end"/>
                          </w:r>
                          <w:r>
                            <w:rPr>
                              <w:sz w:val="21"/>
                            </w:rPr>
                            <w:t xml:space="preserve"> —</w:t>
                          </w:r>
                        </w:p>
                      </w:txbxContent>
                    </wps:txbx>
                    <wps:bodyPr lIns="0" tIns="0" rIns="0" bIns="0" upright="1"/>
                  </wps:wsp>
                </a:graphicData>
              </a:graphic>
            </wp:anchor>
          </w:drawing>
        </mc:Choice>
        <mc:Fallback>
          <w:pict>
            <v:shape id="文本框 232" o:spid="_x0000_s1026" o:spt="202" type="#_x0000_t202" style="position:absolute;left:0pt;margin-left:470.45pt;margin-top:779.15pt;height:12.6pt;width:49.2pt;mso-position-horizontal-relative:page;mso-position-vertical-relative:page;z-index:-27618304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BP03Iq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661</w:t>
                    </w:r>
                    <w:r>
                      <w:fldChar w:fldCharType="end"/>
                    </w:r>
                    <w:r>
                      <w:rPr>
                        <w:sz w:val="21"/>
                      </w:rPr>
                      <w:t xml:space="preserve"> —</w:t>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241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37" name="文本框 23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660</w:t>
                          </w:r>
                          <w:r>
                            <w:fldChar w:fldCharType="end"/>
                          </w:r>
                          <w:r>
                            <w:rPr>
                              <w:sz w:val="21"/>
                            </w:rPr>
                            <w:t xml:space="preserve"> —</w:t>
                          </w:r>
                        </w:p>
                      </w:txbxContent>
                    </wps:txbx>
                    <wps:bodyPr lIns="0" tIns="0" rIns="0" bIns="0" upright="1"/>
                  </wps:wsp>
                </a:graphicData>
              </a:graphic>
            </wp:anchor>
          </w:drawing>
        </mc:Choice>
        <mc:Fallback>
          <w:pict>
            <v:shape id="文本框 231" o:spid="_x0000_s1026" o:spt="202" type="#_x0000_t202" style="position:absolute;left:0pt;margin-left:75.55pt;margin-top:779.15pt;height:12.6pt;width:49.2pt;mso-position-horizontal-relative:page;mso-position-vertical-relative:page;z-index:-27618406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83ZIfaAAAADQEAAA8AAAAAAAAAAQAgAAAAIgAAAGRycy9kb3ducmV2Lnht&#10;bFBLAQIUABQAAAAIAIdO4kAC26fuvgEAAHUDAAAOAAAAAAAAAAEAIAAAACkBAABkcnMvZTJvRG9j&#10;LnhtbFBLBQYAAAAABgAGAFkBAABZ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660</w:t>
                    </w:r>
                    <w:r>
                      <w:fldChar w:fldCharType="end"/>
                    </w:r>
                    <w:r>
                      <w:rPr>
                        <w:sz w:val="21"/>
                      </w:rPr>
                      <w:t xml:space="preserve"> —</w:t>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548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40" name="文本框 23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671</w:t>
                          </w:r>
                          <w:r>
                            <w:fldChar w:fldCharType="end"/>
                          </w:r>
                          <w:r>
                            <w:rPr>
                              <w:sz w:val="21"/>
                            </w:rPr>
                            <w:t xml:space="preserve"> —</w:t>
                          </w:r>
                        </w:p>
                      </w:txbxContent>
                    </wps:txbx>
                    <wps:bodyPr lIns="0" tIns="0" rIns="0" bIns="0" upright="1"/>
                  </wps:wsp>
                </a:graphicData>
              </a:graphic>
            </wp:anchor>
          </w:drawing>
        </mc:Choice>
        <mc:Fallback>
          <w:pict>
            <v:shape id="文本框 234" o:spid="_x0000_s1026" o:spt="202" type="#_x0000_t202" style="position:absolute;left:0pt;margin-left:470.45pt;margin-top:779.15pt;height:12.6pt;width:49.2pt;mso-position-horizontal-relative:page;mso-position-vertical-relative:page;z-index:-27618099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OylLE7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671</w:t>
                    </w:r>
                    <w:r>
                      <w:fldChar w:fldCharType="end"/>
                    </w:r>
                    <w:r>
                      <w:rPr>
                        <w:sz w:val="21"/>
                      </w:rPr>
                      <w:t xml:space="preserve"> —</w:t>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446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39" name="文本框 23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670</w:t>
                          </w:r>
                          <w:r>
                            <w:fldChar w:fldCharType="end"/>
                          </w:r>
                          <w:r>
                            <w:rPr>
                              <w:sz w:val="21"/>
                            </w:rPr>
                            <w:t xml:space="preserve"> —</w:t>
                          </w:r>
                        </w:p>
                      </w:txbxContent>
                    </wps:txbx>
                    <wps:bodyPr lIns="0" tIns="0" rIns="0" bIns="0" upright="1"/>
                  </wps:wsp>
                </a:graphicData>
              </a:graphic>
            </wp:anchor>
          </w:drawing>
        </mc:Choice>
        <mc:Fallback>
          <w:pict>
            <v:shape id="文本框 233" o:spid="_x0000_s1026" o:spt="202" type="#_x0000_t202" style="position:absolute;left:0pt;margin-left:75.55pt;margin-top:779.15pt;height:12.6pt;width:49.2pt;mso-position-horizontal-relative:page;mso-position-vertical-relative:page;z-index:-27618201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PevQHS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670</w:t>
                    </w:r>
                    <w:r>
                      <w:fldChar w:fldCharType="end"/>
                    </w:r>
                    <w:r>
                      <w:rPr>
                        <w:sz w:val="21"/>
                      </w:rPr>
                      <w:t xml:space="preserve"> —</w:t>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6512" behindDoc="1" locked="0" layoutInCell="1" allowOverlap="1">
              <wp:simplePos x="0" y="0"/>
              <wp:positionH relativeFrom="page">
                <wp:posOffset>1365885</wp:posOffset>
              </wp:positionH>
              <wp:positionV relativeFrom="page">
                <wp:posOffset>9582785</wp:posOffset>
              </wp:positionV>
              <wp:extent cx="1016000" cy="177800"/>
              <wp:effectExtent l="0" t="0" r="0" b="0"/>
              <wp:wrapNone/>
              <wp:docPr id="241" name="文本框 235"/>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（2）处罚标准</w:t>
                          </w:r>
                        </w:p>
                      </w:txbxContent>
                    </wps:txbx>
                    <wps:bodyPr lIns="0" tIns="0" rIns="0" bIns="0" upright="1"/>
                  </wps:wsp>
                </a:graphicData>
              </a:graphic>
            </wp:anchor>
          </w:drawing>
        </mc:Choice>
        <mc:Fallback>
          <w:pict>
            <v:shape id="文本框 235" o:spid="_x0000_s1026" o:spt="202" type="#_x0000_t202" style="position:absolute;left:0pt;margin-left:107.55pt;margin-top:754.55pt;height:14pt;width:80pt;mso-position-horizontal-relative:page;mso-position-vertical-relative:page;z-index:-276179968;mso-width-relative:page;mso-height-relative:page;" filled="f" stroked="f" coordsize="21600,21600" o:gfxdata="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eN5b2gAAAA0BAAAPAAAAAAAAAAEAIAAAACIAAABkcnMvZG93bnJldi54bWxQ&#10;SwECFAAUAAAACACHTuJAjWjc17wBAAB2AwAADgAAAAAAAAABACAAAAApAQAAZHJzL2Uyb0RvYy54&#10;bWxQSwUGAAAAAAYABgBZAQAAVwUAAAAA&#10;">
              <v:fill on="f" focussize="0,0"/>
              <v:stroke on="f"/>
              <v:imagedata o:title=""/>
              <o:lock v:ext="edit" aspectratio="f"/>
              <v:textbox inset="0mm,0mm,0mm,0mm">
                <w:txbxContent>
                  <w:p>
                    <w:pPr>
                      <w:pStyle w:val="4"/>
                      <w:spacing w:line="280" w:lineRule="exact"/>
                      <w:ind w:left="20"/>
                    </w:pPr>
                    <w:r>
                      <w:t>（2）处罚标准</w:t>
                    </w:r>
                  </w:p>
                </w:txbxContent>
              </v:textbox>
            </v:shape>
          </w:pict>
        </mc:Fallback>
      </mc:AlternateContent>
    </w:r>
    <w:r>
      <mc:AlternateContent>
        <mc:Choice Requires="wps">
          <w:drawing>
            <wp:anchor distT="0" distB="0" distL="114300" distR="114300" simplePos="0" relativeHeight="22713753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42" name="文本框 23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675</w:t>
                          </w:r>
                          <w:r>
                            <w:fldChar w:fldCharType="end"/>
                          </w:r>
                          <w:r>
                            <w:rPr>
                              <w:sz w:val="21"/>
                            </w:rPr>
                            <w:t xml:space="preserve"> —</w:t>
                          </w:r>
                        </w:p>
                      </w:txbxContent>
                    </wps:txbx>
                    <wps:bodyPr lIns="0" tIns="0" rIns="0" bIns="0" upright="1"/>
                  </wps:wsp>
                </a:graphicData>
              </a:graphic>
            </wp:anchor>
          </w:drawing>
        </mc:Choice>
        <mc:Fallback>
          <w:pict>
            <v:shape id="文本框 236" o:spid="_x0000_s1026" o:spt="202" type="#_x0000_t202" style="position:absolute;left:0pt;margin-left:470.45pt;margin-top:779.15pt;height:12.6pt;width:49.2pt;mso-position-horizontal-relative:page;mso-position-vertical-relative:page;z-index:-27617894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LKYAjW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675</w:t>
                    </w:r>
                    <w:r>
                      <w:fldChar w:fldCharType="end"/>
                    </w:r>
                    <w:r>
                      <w:rPr>
                        <w:sz w:val="21"/>
                      </w:rPr>
                      <w:t xml:space="preserve"> —</w:t>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856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43" name="文本框 23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676</w:t>
                          </w:r>
                          <w:r>
                            <w:fldChar w:fldCharType="end"/>
                          </w:r>
                          <w:r>
                            <w:rPr>
                              <w:sz w:val="21"/>
                            </w:rPr>
                            <w:t xml:space="preserve"> —</w:t>
                          </w:r>
                        </w:p>
                      </w:txbxContent>
                    </wps:txbx>
                    <wps:bodyPr lIns="0" tIns="0" rIns="0" bIns="0" upright="1"/>
                  </wps:wsp>
                </a:graphicData>
              </a:graphic>
            </wp:anchor>
          </w:drawing>
        </mc:Choice>
        <mc:Fallback>
          <w:pict>
            <v:shape id="文本框 237" o:spid="_x0000_s1026" o:spt="202" type="#_x0000_t202" style="position:absolute;left:0pt;margin-left:75.55pt;margin-top:779.15pt;height:12.6pt;width:49.2pt;mso-position-horizontal-relative:page;mso-position-vertical-relative:page;z-index:-27617792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FbDnsu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676</w:t>
                    </w:r>
                    <w:r>
                      <w:fldChar w:fldCharType="end"/>
                    </w:r>
                    <w:r>
                      <w:rPr>
                        <w:sz w:val="21"/>
                      </w:rPr>
                      <w:t xml:space="preserve"> —</w:t>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3958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44" name="文本框 23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679</w:t>
                          </w:r>
                          <w:r>
                            <w:fldChar w:fldCharType="end"/>
                          </w:r>
                          <w:r>
                            <w:rPr>
                              <w:sz w:val="21"/>
                            </w:rPr>
                            <w:t xml:space="preserve"> —</w:t>
                          </w:r>
                        </w:p>
                      </w:txbxContent>
                    </wps:txbx>
                    <wps:bodyPr lIns="0" tIns="0" rIns="0" bIns="0" upright="1"/>
                  </wps:wsp>
                </a:graphicData>
              </a:graphic>
            </wp:anchor>
          </w:drawing>
        </mc:Choice>
        <mc:Fallback>
          <w:pict>
            <v:shape id="文本框 238" o:spid="_x0000_s1026" o:spt="202" type="#_x0000_t202" style="position:absolute;left:0pt;margin-left:470.45pt;margin-top:779.15pt;height:12.6pt;width:49.2pt;mso-position-horizontal-relative:page;mso-position-vertical-relative:page;z-index:-27617689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mvcap7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679</w:t>
                    </w:r>
                    <w:r>
                      <w:fldChar w:fldCharType="end"/>
                    </w:r>
                    <w:r>
                      <w:rPr>
                        <w:sz w:val="21"/>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171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41" name="文本框 3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120</w:t>
                          </w:r>
                          <w:r>
                            <w:fldChar w:fldCharType="end"/>
                          </w:r>
                          <w:r>
                            <w:rPr>
                              <w:sz w:val="21"/>
                            </w:rPr>
                            <w:t xml:space="preserve"> —</w:t>
                          </w:r>
                        </w:p>
                      </w:txbxContent>
                    </wps:txbx>
                    <wps:bodyPr lIns="0" tIns="0" rIns="0" bIns="0" upright="1"/>
                  </wps:wsp>
                </a:graphicData>
              </a:graphic>
            </wp:anchor>
          </w:drawing>
        </mc:Choice>
        <mc:Fallback>
          <w:pict>
            <v:shape id="文本框 35" o:spid="_x0000_s1026" o:spt="202" type="#_x0000_t202" style="position:absolute;left:0pt;margin-left:75.55pt;margin-top:779.15pt;height:12.6pt;width:49.2pt;mso-position-horizontal-relative:page;mso-position-vertical-relative:page;z-index:-27638476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90mtQ7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120</w:t>
                    </w:r>
                    <w:r>
                      <w:fldChar w:fldCharType="end"/>
                    </w:r>
                    <w:r>
                      <w:rPr>
                        <w:sz w:val="21"/>
                      </w:rPr>
                      <w:t xml:space="preserve"> —</w:t>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060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45" name="文本框 23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680</w:t>
                          </w:r>
                          <w:r>
                            <w:fldChar w:fldCharType="end"/>
                          </w:r>
                          <w:r>
                            <w:rPr>
                              <w:sz w:val="21"/>
                            </w:rPr>
                            <w:t xml:space="preserve"> —</w:t>
                          </w:r>
                        </w:p>
                      </w:txbxContent>
                    </wps:txbx>
                    <wps:bodyPr lIns="0" tIns="0" rIns="0" bIns="0" upright="1"/>
                  </wps:wsp>
                </a:graphicData>
              </a:graphic>
            </wp:anchor>
          </w:drawing>
        </mc:Choice>
        <mc:Fallback>
          <w:pict>
            <v:shape id="文本框 239" o:spid="_x0000_s1026" o:spt="202" type="#_x0000_t202" style="position:absolute;left:0pt;margin-left:75.55pt;margin-top:779.15pt;height:12.6pt;width:49.2pt;mso-position-horizontal-relative:page;mso-position-vertical-relative:page;z-index:-27617587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H6shlm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680</w:t>
                    </w:r>
                    <w:r>
                      <w:fldChar w:fldCharType="end"/>
                    </w:r>
                    <w:r>
                      <w:rPr>
                        <w:sz w:val="21"/>
                      </w:rPr>
                      <w:t xml:space="preserve"> —</w:t>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163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46" name="文本框 24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681</w:t>
                          </w:r>
                          <w:r>
                            <w:fldChar w:fldCharType="end"/>
                          </w:r>
                          <w:r>
                            <w:rPr>
                              <w:sz w:val="21"/>
                            </w:rPr>
                            <w:t xml:space="preserve"> —</w:t>
                          </w:r>
                        </w:p>
                      </w:txbxContent>
                    </wps:txbx>
                    <wps:bodyPr lIns="0" tIns="0" rIns="0" bIns="0" upright="1"/>
                  </wps:wsp>
                </a:graphicData>
              </a:graphic>
            </wp:anchor>
          </w:drawing>
        </mc:Choice>
        <mc:Fallback>
          <w:pict>
            <v:shape id="文本框 240" o:spid="_x0000_s1026" o:spt="202" type="#_x0000_t202" style="position:absolute;left:0pt;margin-left:470.45pt;margin-top:779.15pt;height:12.6pt;width:49.2pt;mso-position-horizontal-relative:page;mso-position-vertical-relative:page;z-index:-27617484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DCqhXQ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681</w:t>
                    </w:r>
                    <w:r>
                      <w:fldChar w:fldCharType="end"/>
                    </w:r>
                    <w:r>
                      <w:rPr>
                        <w:sz w:val="21"/>
                      </w:rPr>
                      <w:t xml:space="preserve"> —</w:t>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265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47" name="文本框 24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682</w:t>
                          </w:r>
                          <w:r>
                            <w:fldChar w:fldCharType="end"/>
                          </w:r>
                          <w:r>
                            <w:rPr>
                              <w:sz w:val="21"/>
                            </w:rPr>
                            <w:t xml:space="preserve"> —</w:t>
                          </w:r>
                        </w:p>
                      </w:txbxContent>
                    </wps:txbx>
                    <wps:bodyPr lIns="0" tIns="0" rIns="0" bIns="0" upright="1"/>
                  </wps:wsp>
                </a:graphicData>
              </a:graphic>
            </wp:anchor>
          </w:drawing>
        </mc:Choice>
        <mc:Fallback>
          <w:pict>
            <v:shape id="文本框 241" o:spid="_x0000_s1026" o:spt="202" type="#_x0000_t202" style="position:absolute;left:0pt;margin-left:75.55pt;margin-top:779.15pt;height:12.6pt;width:49.2pt;mso-position-horizontal-relative:page;mso-position-vertical-relative:page;z-index:-27617382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CbxiS6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682</w:t>
                    </w:r>
                    <w:r>
                      <w:fldChar w:fldCharType="end"/>
                    </w:r>
                    <w:r>
                      <w:rPr>
                        <w:sz w:val="21"/>
                      </w:rPr>
                      <w:t xml:space="preserve"> —</w:t>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470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49" name="文本框 24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691</w:t>
                          </w:r>
                          <w:r>
                            <w:fldChar w:fldCharType="end"/>
                          </w:r>
                          <w:r>
                            <w:rPr>
                              <w:sz w:val="21"/>
                            </w:rPr>
                            <w:t xml:space="preserve"> —</w:t>
                          </w:r>
                        </w:p>
                      </w:txbxContent>
                    </wps:txbx>
                    <wps:bodyPr lIns="0" tIns="0" rIns="0" bIns="0" upright="1"/>
                  </wps:wsp>
                </a:graphicData>
              </a:graphic>
            </wp:anchor>
          </w:drawing>
        </mc:Choice>
        <mc:Fallback>
          <w:pict>
            <v:shape id="文本框 243" o:spid="_x0000_s1026" o:spt="202" type="#_x0000_t202" style="position:absolute;left:0pt;margin-left:470.45pt;margin-top:779.15pt;height:12.6pt;width:49.2pt;mso-position-horizontal-relative:page;mso-position-vertical-relative:page;z-index:-27617177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NOFbrS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691</w:t>
                    </w:r>
                    <w:r>
                      <w:fldChar w:fldCharType="end"/>
                    </w:r>
                    <w:r>
                      <w:rPr>
                        <w:sz w:val="21"/>
                      </w:rPr>
                      <w:t xml:space="preserve"> —</w:t>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368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48" name="文本框 24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690</w:t>
                          </w:r>
                          <w:r>
                            <w:fldChar w:fldCharType="end"/>
                          </w:r>
                          <w:r>
                            <w:rPr>
                              <w:sz w:val="21"/>
                            </w:rPr>
                            <w:t xml:space="preserve"> —</w:t>
                          </w:r>
                        </w:p>
                      </w:txbxContent>
                    </wps:txbx>
                    <wps:bodyPr lIns="0" tIns="0" rIns="0" bIns="0" upright="1"/>
                  </wps:wsp>
                </a:graphicData>
              </a:graphic>
            </wp:anchor>
          </w:drawing>
        </mc:Choice>
        <mc:Fallback>
          <w:pict>
            <v:shape id="文本框 242" o:spid="_x0000_s1026" o:spt="202" type="#_x0000_t202" style="position:absolute;left:0pt;margin-left:75.55pt;margin-top:779.15pt;height:12.6pt;width:49.2pt;mso-position-horizontal-relative:page;mso-position-vertical-relative:page;z-index:-27617280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A33vJK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690</w:t>
                    </w:r>
                    <w:r>
                      <w:fldChar w:fldCharType="end"/>
                    </w:r>
                    <w:r>
                      <w:rPr>
                        <w:sz w:val="21"/>
                      </w:rPr>
                      <w:t xml:space="preserve"> —</w:t>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675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51" name="文本框 24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701</w:t>
                          </w:r>
                          <w:r>
                            <w:fldChar w:fldCharType="end"/>
                          </w:r>
                          <w:r>
                            <w:rPr>
                              <w:sz w:val="21"/>
                            </w:rPr>
                            <w:t xml:space="preserve"> —</w:t>
                          </w:r>
                        </w:p>
                      </w:txbxContent>
                    </wps:txbx>
                    <wps:bodyPr lIns="0" tIns="0" rIns="0" bIns="0" upright="1"/>
                  </wps:wsp>
                </a:graphicData>
              </a:graphic>
            </wp:anchor>
          </w:drawing>
        </mc:Choice>
        <mc:Fallback>
          <w:pict>
            <v:shape id="文本框 245" o:spid="_x0000_s1026" o:spt="202" type="#_x0000_t202" style="position:absolute;left:0pt;margin-left:470.45pt;margin-top:779.15pt;height:12.6pt;width:49.2pt;mso-position-horizontal-relative:page;mso-position-vertical-relative:page;z-index:-27616972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BKRfgG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701</w:t>
                    </w:r>
                    <w:r>
                      <w:fldChar w:fldCharType="end"/>
                    </w:r>
                    <w:r>
                      <w:rPr>
                        <w:sz w:val="21"/>
                      </w:rPr>
                      <w:t xml:space="preserve"> —</w:t>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572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50" name="文本框 24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700</w:t>
                          </w:r>
                          <w:r>
                            <w:fldChar w:fldCharType="end"/>
                          </w:r>
                          <w:r>
                            <w:rPr>
                              <w:sz w:val="21"/>
                            </w:rPr>
                            <w:t xml:space="preserve"> —</w:t>
                          </w:r>
                        </w:p>
                      </w:txbxContent>
                    </wps:txbx>
                    <wps:bodyPr lIns="0" tIns="0" rIns="0" bIns="0" upright="1"/>
                  </wps:wsp>
                </a:graphicData>
              </a:graphic>
            </wp:anchor>
          </w:drawing>
        </mc:Choice>
        <mc:Fallback>
          <w:pict>
            <v:shape id="文本框 244" o:spid="_x0000_s1026" o:spt="202" type="#_x0000_t202" style="position:absolute;left:0pt;margin-left:75.55pt;margin-top:779.15pt;height:12.6pt;width:49.2pt;mso-position-horizontal-relative:page;mso-position-vertical-relative:page;z-index:-27617075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9sri/7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700</w:t>
                    </w:r>
                    <w:r>
                      <w:fldChar w:fldCharType="end"/>
                    </w:r>
                    <w:r>
                      <w:rPr>
                        <w:sz w:val="21"/>
                      </w:rPr>
                      <w:t xml:space="preserve"> —</w:t>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880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53" name="文本框 24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711</w:t>
                          </w:r>
                          <w:r>
                            <w:fldChar w:fldCharType="end"/>
                          </w:r>
                          <w:r>
                            <w:rPr>
                              <w:sz w:val="21"/>
                            </w:rPr>
                            <w:t xml:space="preserve"> —</w:t>
                          </w:r>
                        </w:p>
                      </w:txbxContent>
                    </wps:txbx>
                    <wps:bodyPr lIns="0" tIns="0" rIns="0" bIns="0" upright="1"/>
                  </wps:wsp>
                </a:graphicData>
              </a:graphic>
            </wp:anchor>
          </w:drawing>
        </mc:Choice>
        <mc:Fallback>
          <w:pict>
            <v:shape id="文本框 247" o:spid="_x0000_s1026" o:spt="202" type="#_x0000_t202" style="position:absolute;left:0pt;margin-left:470.45pt;margin-top:779.15pt;height:12.6pt;width:49.2pt;mso-position-horizontal-relative:page;mso-position-vertical-relative:page;z-index:-27616768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JsgNye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711</w:t>
                    </w:r>
                    <w:r>
                      <w:fldChar w:fldCharType="end"/>
                    </w:r>
                    <w:r>
                      <w:rPr>
                        <w:sz w:val="21"/>
                      </w:rPr>
                      <w:t xml:space="preserve"> —</w:t>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4777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52" name="文本框 24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710</w:t>
                          </w:r>
                          <w:r>
                            <w:fldChar w:fldCharType="end"/>
                          </w:r>
                          <w:r>
                            <w:rPr>
                              <w:sz w:val="21"/>
                            </w:rPr>
                            <w:t xml:space="preserve"> —</w:t>
                          </w:r>
                        </w:p>
                      </w:txbxContent>
                    </wps:txbx>
                    <wps:bodyPr lIns="0" tIns="0" rIns="0" bIns="0" upright="1"/>
                  </wps:wsp>
                </a:graphicData>
              </a:graphic>
            </wp:anchor>
          </w:drawing>
        </mc:Choice>
        <mc:Fallback>
          <w:pict>
            <v:shape id="文本框 246" o:spid="_x0000_s1026" o:spt="202" type="#_x0000_t202" style="position:absolute;left:0pt;margin-left:75.55pt;margin-top:779.15pt;height:12.6pt;width:49.2pt;mso-position-horizontal-relative:page;mso-position-vertical-relative:page;z-index:-27616870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H97q9m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710</w:t>
                    </w:r>
                    <w:r>
                      <w:fldChar w:fldCharType="end"/>
                    </w:r>
                    <w:r>
                      <w:rPr>
                        <w:sz w:val="21"/>
                      </w:rPr>
                      <w:t xml:space="preserve"> —</w:t>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5904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63" name="文本框 25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761</w:t>
                          </w:r>
                          <w:r>
                            <w:fldChar w:fldCharType="end"/>
                          </w:r>
                          <w:r>
                            <w:rPr>
                              <w:sz w:val="21"/>
                            </w:rPr>
                            <w:t xml:space="preserve"> —</w:t>
                          </w:r>
                        </w:p>
                      </w:txbxContent>
                    </wps:txbx>
                    <wps:bodyPr lIns="0" tIns="0" rIns="0" bIns="0" upright="1"/>
                  </wps:wsp>
                </a:graphicData>
              </a:graphic>
            </wp:anchor>
          </w:drawing>
        </mc:Choice>
        <mc:Fallback>
          <w:pict>
            <v:shape id="文本框 257" o:spid="_x0000_s1026" o:spt="202" type="#_x0000_t202" style="position:absolute;left:0pt;margin-left:470.45pt;margin-top:779.15pt;height:12.6pt;width:49.2pt;mso-position-horizontal-relative:page;mso-position-vertical-relative:page;z-index:-27615744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Yj2ZHaAAAADgEAAA8AAAAAAAAAAQAgAAAAIgAAAGRycy9kb3ducmV2Lnht&#10;bFBLAQIUABQAAAAIAIdO4kAGIiybvgEAAHUDAAAOAAAAAAAAAAEAIAAAACkBAABkcnMvZTJvRG9j&#10;LnhtbFBLBQYAAAAABgAGAFkBAABZ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761</w:t>
                    </w:r>
                    <w:r>
                      <w:fldChar w:fldCharType="end"/>
                    </w:r>
                    <w:r>
                      <w:rPr>
                        <w:sz w:val="21"/>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478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44" name="文本框 3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131</w:t>
                          </w:r>
                          <w:r>
                            <w:fldChar w:fldCharType="end"/>
                          </w:r>
                          <w:r>
                            <w:rPr>
                              <w:sz w:val="21"/>
                            </w:rPr>
                            <w:t xml:space="preserve"> —</w:t>
                          </w:r>
                        </w:p>
                      </w:txbxContent>
                    </wps:txbx>
                    <wps:bodyPr lIns="0" tIns="0" rIns="0" bIns="0" upright="1"/>
                  </wps:wsp>
                </a:graphicData>
              </a:graphic>
            </wp:anchor>
          </w:drawing>
        </mc:Choice>
        <mc:Fallback>
          <w:pict>
            <v:shape id="文本框 38" o:spid="_x0000_s1026" o:spt="202" type="#_x0000_t202" style="position:absolute;left:0pt;margin-left:470.45pt;margin-top:779.15pt;height:12.6pt;width:49.2pt;mso-position-horizontal-relative:page;mso-position-vertical-relative:page;z-index:-27638169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F3dKt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131</w:t>
                    </w:r>
                    <w:r>
                      <w:fldChar w:fldCharType="end"/>
                    </w:r>
                    <w:r>
                      <w:rPr>
                        <w:sz w:val="21"/>
                      </w:rPr>
                      <w:t xml:space="preserve"> —</w:t>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5801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62" name="文本框 25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760</w:t>
                          </w:r>
                          <w:r>
                            <w:fldChar w:fldCharType="end"/>
                          </w:r>
                          <w:r>
                            <w:rPr>
                              <w:sz w:val="21"/>
                            </w:rPr>
                            <w:t xml:space="preserve"> —</w:t>
                          </w:r>
                        </w:p>
                      </w:txbxContent>
                    </wps:txbx>
                    <wps:bodyPr lIns="0" tIns="0" rIns="0" bIns="0" upright="1"/>
                  </wps:wsp>
                </a:graphicData>
              </a:graphic>
            </wp:anchor>
          </w:drawing>
        </mc:Choice>
        <mc:Fallback>
          <w:pict>
            <v:shape id="文本框 256" o:spid="_x0000_s1026" o:spt="202" type="#_x0000_t202" style="position:absolute;left:0pt;margin-left:75.55pt;margin-top:779.15pt;height:12.6pt;width:49.2pt;mso-position-horizontal-relative:page;mso-position-vertical-relative:page;z-index:-27615846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4nmwZ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760</w:t>
                    </w:r>
                    <w:r>
                      <w:fldChar w:fldCharType="end"/>
                    </w:r>
                    <w:r>
                      <w:rPr>
                        <w:sz w:val="21"/>
                      </w:rPr>
                      <w:t xml:space="preserve"> —</w:t>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6860" w:firstLineChars="2450"/>
      <w:rPr>
        <w:rFonts w:ascii="宋体" w:hAnsi="宋体" w:eastAsia="宋体"/>
        <w:sz w:val="28"/>
      </w:rPr>
    </w:pPr>
    <w:r>
      <w:rPr>
        <w:rFonts w:hint="eastAsia" w:ascii="宋体" w:hAnsi="宋体" w:eastAsia="宋体"/>
        <w:kern w:val="0"/>
        <w:sz w:val="28"/>
        <w:szCs w:val="21"/>
      </w:rPr>
      <w:t xml:space="preserve">— </w:t>
    </w:r>
    <w:r>
      <w:rPr>
        <w:rFonts w:ascii="宋体" w:hAnsi="宋体" w:eastAsia="宋体"/>
        <w:kern w:val="0"/>
        <w:sz w:val="28"/>
        <w:szCs w:val="21"/>
      </w:rPr>
      <w:fldChar w:fldCharType="begin"/>
    </w:r>
    <w:r>
      <w:rPr>
        <w:rFonts w:ascii="宋体" w:hAnsi="宋体" w:eastAsia="宋体"/>
        <w:kern w:val="0"/>
        <w:sz w:val="28"/>
        <w:szCs w:val="21"/>
      </w:rPr>
      <w:instrText xml:space="preserve"> PAGE </w:instrText>
    </w:r>
    <w:r>
      <w:rPr>
        <w:rFonts w:ascii="宋体" w:hAnsi="宋体" w:eastAsia="宋体"/>
        <w:kern w:val="0"/>
        <w:sz w:val="28"/>
        <w:szCs w:val="21"/>
      </w:rPr>
      <w:fldChar w:fldCharType="separate"/>
    </w:r>
    <w:r>
      <w:rPr>
        <w:rFonts w:ascii="宋体" w:hAnsi="宋体" w:eastAsia="宋体"/>
        <w:kern w:val="0"/>
        <w:sz w:val="28"/>
        <w:szCs w:val="21"/>
      </w:rPr>
      <w:t>45</w:t>
    </w:r>
    <w:r>
      <w:rPr>
        <w:rFonts w:ascii="宋体" w:hAnsi="宋体" w:eastAsia="宋体"/>
        <w:kern w:val="0"/>
        <w:sz w:val="28"/>
        <w:szCs w:val="21"/>
      </w:rPr>
      <w:fldChar w:fldCharType="end"/>
    </w:r>
    <w:r>
      <w:rPr>
        <w:rFonts w:hint="eastAsia" w:ascii="宋体" w:hAnsi="宋体" w:eastAsia="宋体"/>
        <w:kern w:val="0"/>
        <w:sz w:val="28"/>
        <w:szCs w:val="21"/>
      </w:rPr>
      <w:t xml:space="preserve"> —</w:t>
    </w:r>
    <w:r>
      <w:rPr>
        <w:rFonts w:ascii="宋体" w:hAnsi="宋体" w:eastAsia="宋体"/>
        <w:kern w:val="0"/>
        <w:sz w:val="28"/>
        <w:szCs w:val="21"/>
      </w:rPr>
      <w:t xml:space="preserve"> </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80" w:firstLineChars="100"/>
      <w:rPr>
        <w:rFonts w:ascii="宋体" w:hAnsi="宋体" w:eastAsia="宋体"/>
        <w:sz w:val="28"/>
      </w:rPr>
    </w:pPr>
    <w:r>
      <w:rPr>
        <w:rFonts w:hint="eastAsia" w:ascii="宋体" w:hAnsi="宋体" w:eastAsia="宋体"/>
        <w:kern w:val="0"/>
        <w:sz w:val="28"/>
        <w:szCs w:val="21"/>
      </w:rPr>
      <w:t xml:space="preserve">— </w:t>
    </w:r>
    <w:r>
      <w:rPr>
        <w:rFonts w:ascii="宋体" w:hAnsi="宋体" w:eastAsia="宋体"/>
        <w:kern w:val="0"/>
        <w:sz w:val="28"/>
        <w:szCs w:val="21"/>
      </w:rPr>
      <w:fldChar w:fldCharType="begin"/>
    </w:r>
    <w:r>
      <w:rPr>
        <w:rFonts w:ascii="宋体" w:hAnsi="宋体" w:eastAsia="宋体"/>
        <w:kern w:val="0"/>
        <w:sz w:val="28"/>
        <w:szCs w:val="21"/>
      </w:rPr>
      <w:instrText xml:space="preserve"> PAGE </w:instrText>
    </w:r>
    <w:r>
      <w:rPr>
        <w:rFonts w:ascii="宋体" w:hAnsi="宋体" w:eastAsia="宋体"/>
        <w:kern w:val="0"/>
        <w:sz w:val="28"/>
        <w:szCs w:val="21"/>
      </w:rPr>
      <w:fldChar w:fldCharType="separate"/>
    </w:r>
    <w:r>
      <w:rPr>
        <w:rFonts w:ascii="宋体" w:hAnsi="宋体" w:eastAsia="宋体"/>
        <w:kern w:val="0"/>
        <w:sz w:val="28"/>
        <w:szCs w:val="21"/>
      </w:rPr>
      <w:t>46</w:t>
    </w:r>
    <w:r>
      <w:rPr>
        <w:rFonts w:ascii="宋体" w:hAnsi="宋体" w:eastAsia="宋体"/>
        <w:kern w:val="0"/>
        <w:sz w:val="28"/>
        <w:szCs w:val="21"/>
      </w:rPr>
      <w:fldChar w:fldCharType="end"/>
    </w:r>
    <w:r>
      <w:rPr>
        <w:rFonts w:hint="eastAsia" w:ascii="宋体" w:hAnsi="宋体" w:eastAsia="宋体"/>
        <w:kern w:val="0"/>
        <w:sz w:val="28"/>
        <w:szCs w:val="21"/>
      </w:rPr>
      <w:t xml:space="preserve"> —</w:t>
    </w:r>
    <w:r>
      <w:rPr>
        <w:rFonts w:ascii="宋体" w:hAnsi="宋体" w:eastAsia="宋体"/>
        <w:kern w:val="0"/>
        <w:sz w:val="28"/>
        <w:szCs w:val="21"/>
      </w:rPr>
      <w:t xml:space="preserve"> </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6313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267" name="文本框 26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781</w:t>
                          </w:r>
                          <w:r>
                            <w:fldChar w:fldCharType="end"/>
                          </w:r>
                          <w:r>
                            <w:rPr>
                              <w:sz w:val="21"/>
                            </w:rPr>
                            <w:t xml:space="preserve"> —</w:t>
                          </w:r>
                        </w:p>
                      </w:txbxContent>
                    </wps:txbx>
                    <wps:bodyPr lIns="0" tIns="0" rIns="0" bIns="0" upright="1"/>
                  </wps:wsp>
                </a:graphicData>
              </a:graphic>
            </wp:anchor>
          </w:drawing>
        </mc:Choice>
        <mc:Fallback>
          <w:pict>
            <v:shape id="文本框 261" o:spid="_x0000_s1026" o:spt="202" type="#_x0000_t202" style="position:absolute;left:0pt;margin-left:470.45pt;margin-top:779.15pt;height:12.6pt;width:49.2pt;mso-position-horizontal-relative:page;mso-position-vertical-relative:page;z-index:-27615334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E4PLu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781</w:t>
                    </w:r>
                    <w:r>
                      <w:fldChar w:fldCharType="end"/>
                    </w:r>
                    <w:r>
                      <w:rPr>
                        <w:sz w:val="21"/>
                      </w:rPr>
                      <w:t xml:space="preserve"> —</w:t>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16211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266" name="文本框 26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780</w:t>
                          </w:r>
                          <w:r>
                            <w:fldChar w:fldCharType="end"/>
                          </w:r>
                          <w:r>
                            <w:rPr>
                              <w:sz w:val="21"/>
                            </w:rPr>
                            <w:t xml:space="preserve"> —</w:t>
                          </w:r>
                        </w:p>
                      </w:txbxContent>
                    </wps:txbx>
                    <wps:bodyPr lIns="0" tIns="0" rIns="0" bIns="0" upright="1"/>
                  </wps:wsp>
                </a:graphicData>
              </a:graphic>
            </wp:anchor>
          </w:drawing>
        </mc:Choice>
        <mc:Fallback>
          <w:pict>
            <v:shape id="文本框 260" o:spid="_x0000_s1026" o:spt="202" type="#_x0000_t202" style="position:absolute;left:0pt;margin-left:75.55pt;margin-top:779.15pt;height:12.6pt;width:49.2pt;mso-position-horizontal-relative:page;mso-position-vertical-relative:page;z-index:-27615436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D32FdE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780</w:t>
                    </w:r>
                    <w:r>
                      <w:fldChar w:fldCharType="end"/>
                    </w:r>
                    <w:r>
                      <w:rPr>
                        <w:sz w:val="21"/>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899968" behindDoc="1" locked="0" layoutInCell="1" allowOverlap="1">
              <wp:simplePos x="0" y="0"/>
              <wp:positionH relativeFrom="page">
                <wp:posOffset>959485</wp:posOffset>
              </wp:positionH>
              <wp:positionV relativeFrom="page">
                <wp:posOffset>9895205</wp:posOffset>
              </wp:positionV>
              <wp:extent cx="492125" cy="16002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492125"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w:t>
                          </w:r>
                          <w:r>
                            <w:fldChar w:fldCharType="end"/>
                          </w:r>
                          <w:r>
                            <w:rPr>
                              <w:sz w:val="21"/>
                            </w:rPr>
                            <w:t xml:space="preserve"> —</w:t>
                          </w:r>
                        </w:p>
                      </w:txbxContent>
                    </wps:txbx>
                    <wps:bodyPr lIns="0" tIns="0" rIns="0" bIns="0" upright="1"/>
                  </wps:wsp>
                </a:graphicData>
              </a:graphic>
            </wp:anchor>
          </w:drawing>
        </mc:Choice>
        <mc:Fallback>
          <w:pict>
            <v:shape id="文本框 4" o:spid="_x0000_s1026" o:spt="202" type="#_x0000_t202" style="position:absolute;left:0pt;margin-left:75.55pt;margin-top:779.15pt;height:12.6pt;width:38.75pt;mso-position-horizontal-relative:page;mso-position-vertical-relative:page;z-index:-276416512;mso-width-relative:page;mso-height-relative:page;" filled="f" stroked="f" coordsize="21600,21600" o:gfxdata="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c1cONoAAAANAQAADwAAAAAAAAABACAAAAAiAAAAZHJzL2Rvd25yZXYueG1sUEsB&#10;AhQAFAAAAAgAh07iQGnDhiW6AQAAcg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w:t>
                    </w:r>
                    <w:r>
                      <w:fldChar w:fldCharType="end"/>
                    </w:r>
                    <w:r>
                      <w:rPr>
                        <w:sz w:val="21"/>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376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43" name="文本框 3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130</w:t>
                          </w:r>
                          <w:r>
                            <w:fldChar w:fldCharType="end"/>
                          </w:r>
                          <w:r>
                            <w:rPr>
                              <w:sz w:val="21"/>
                            </w:rPr>
                            <w:t xml:space="preserve"> —</w:t>
                          </w:r>
                        </w:p>
                      </w:txbxContent>
                    </wps:txbx>
                    <wps:bodyPr lIns="0" tIns="0" rIns="0" bIns="0" upright="1"/>
                  </wps:wsp>
                </a:graphicData>
              </a:graphic>
            </wp:anchor>
          </w:drawing>
        </mc:Choice>
        <mc:Fallback>
          <w:pict>
            <v:shape id="文本框 37" o:spid="_x0000_s1026" o:spt="202" type="#_x0000_t202" style="position:absolute;left:0pt;margin-left:75.55pt;margin-top:779.15pt;height:12.6pt;width:49.2pt;mso-position-horizontal-relative:page;mso-position-vertical-relative:page;z-index:-27638272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PLagKL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130</w:t>
                    </w:r>
                    <w:r>
                      <w:fldChar w:fldCharType="end"/>
                    </w:r>
                    <w:r>
                      <w:rPr>
                        <w:sz w:val="21"/>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683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46" name="文本框 4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141</w:t>
                          </w:r>
                          <w:r>
                            <w:fldChar w:fldCharType="end"/>
                          </w:r>
                          <w:r>
                            <w:rPr>
                              <w:sz w:val="21"/>
                            </w:rPr>
                            <w:t xml:space="preserve"> —</w:t>
                          </w:r>
                        </w:p>
                      </w:txbxContent>
                    </wps:txbx>
                    <wps:bodyPr lIns="0" tIns="0" rIns="0" bIns="0" upright="1"/>
                  </wps:wsp>
                </a:graphicData>
              </a:graphic>
            </wp:anchor>
          </w:drawing>
        </mc:Choice>
        <mc:Fallback>
          <w:pict>
            <v:shape id="文本框 40" o:spid="_x0000_s1026" o:spt="202" type="#_x0000_t202" style="position:absolute;left:0pt;margin-left:470.45pt;margin-top:779.15pt;height:12.6pt;width:49.2pt;mso-position-horizontal-relative:page;mso-position-vertical-relative:page;z-index:-27637964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WI9mR2gAAAA4BAAAPAAAAAAAAAAEAIAAAACIAAABkcnMvZG93bnJldi54bWxQSwEC&#10;FAAUAAAACACHTuJADWQBj7kBAABzAwAADgAAAAAAAAABACAAAAApAQAAZHJzL2Uyb0RvYy54bWxQ&#10;SwUGAAAAAAYABgBZAQAAVA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141</w:t>
                    </w:r>
                    <w:r>
                      <w:fldChar w:fldCharType="end"/>
                    </w:r>
                    <w:r>
                      <w:rPr>
                        <w:sz w:val="21"/>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580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45" name="文本框 3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140</w:t>
                          </w:r>
                          <w:r>
                            <w:fldChar w:fldCharType="end"/>
                          </w:r>
                          <w:r>
                            <w:rPr>
                              <w:sz w:val="21"/>
                            </w:rPr>
                            <w:t xml:space="preserve"> —</w:t>
                          </w:r>
                        </w:p>
                      </w:txbxContent>
                    </wps:txbx>
                    <wps:bodyPr lIns="0" tIns="0" rIns="0" bIns="0" upright="1"/>
                  </wps:wsp>
                </a:graphicData>
              </a:graphic>
            </wp:anchor>
          </w:drawing>
        </mc:Choice>
        <mc:Fallback>
          <w:pict>
            <v:shape id="文本框 39" o:spid="_x0000_s1026" o:spt="202" type="#_x0000_t202" style="position:absolute;left:0pt;margin-left:75.55pt;margin-top:779.15pt;height:12.6pt;width:49.2pt;mso-position-horizontal-relative:page;mso-position-vertical-relative:page;z-index:-27638067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0gt0b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140</w:t>
                    </w:r>
                    <w:r>
                      <w:fldChar w:fldCharType="end"/>
                    </w:r>
                    <w:r>
                      <w:rPr>
                        <w:sz w:val="21"/>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888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48" name="文本框 4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151</w:t>
                          </w:r>
                          <w:r>
                            <w:fldChar w:fldCharType="end"/>
                          </w:r>
                          <w:r>
                            <w:rPr>
                              <w:sz w:val="21"/>
                            </w:rPr>
                            <w:t xml:space="preserve"> —</w:t>
                          </w:r>
                        </w:p>
                      </w:txbxContent>
                    </wps:txbx>
                    <wps:bodyPr lIns="0" tIns="0" rIns="0" bIns="0" upright="1"/>
                  </wps:wsp>
                </a:graphicData>
              </a:graphic>
            </wp:anchor>
          </w:drawing>
        </mc:Choice>
        <mc:Fallback>
          <w:pict>
            <v:shape id="文本框 42" o:spid="_x0000_s1026" o:spt="202" type="#_x0000_t202" style="position:absolute;left:0pt;margin-left:470.45pt;margin-top:779.15pt;height:12.6pt;width:49.2pt;mso-position-horizontal-relative:page;mso-position-vertical-relative:page;z-index:-27637760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B3/Uos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151</w:t>
                    </w:r>
                    <w:r>
                      <w:fldChar w:fldCharType="end"/>
                    </w:r>
                    <w:r>
                      <w:rPr>
                        <w:sz w:val="21"/>
                      </w:rP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785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47" name="文本框 4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150</w:t>
                          </w:r>
                          <w:r>
                            <w:fldChar w:fldCharType="end"/>
                          </w:r>
                          <w:r>
                            <w:rPr>
                              <w:sz w:val="21"/>
                            </w:rPr>
                            <w:t xml:space="preserve"> —</w:t>
                          </w:r>
                        </w:p>
                      </w:txbxContent>
                    </wps:txbx>
                    <wps:bodyPr lIns="0" tIns="0" rIns="0" bIns="0" upright="1"/>
                  </wps:wsp>
                </a:graphicData>
              </a:graphic>
            </wp:anchor>
          </w:drawing>
        </mc:Choice>
        <mc:Fallback>
          <w:pict>
            <v:shape id="文本框 41" o:spid="_x0000_s1026" o:spt="202" type="#_x0000_t202" style="position:absolute;left:0pt;margin-left:75.55pt;margin-top:779.15pt;height:12.6pt;width:49.2pt;mso-position-horizontal-relative:page;mso-position-vertical-relative:page;z-index:-27637862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yBg/V7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150</w:t>
                    </w:r>
                    <w:r>
                      <w:fldChar w:fldCharType="end"/>
                    </w:r>
                    <w:r>
                      <w:rPr>
                        <w:sz w:val="21"/>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4092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50" name="文本框 4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161</w:t>
                          </w:r>
                          <w:r>
                            <w:fldChar w:fldCharType="end"/>
                          </w:r>
                          <w:r>
                            <w:rPr>
                              <w:sz w:val="21"/>
                            </w:rPr>
                            <w:t xml:space="preserve"> —</w:t>
                          </w:r>
                        </w:p>
                      </w:txbxContent>
                    </wps:txbx>
                    <wps:bodyPr lIns="0" tIns="0" rIns="0" bIns="0" upright="1"/>
                  </wps:wsp>
                </a:graphicData>
              </a:graphic>
            </wp:anchor>
          </w:drawing>
        </mc:Choice>
        <mc:Fallback>
          <w:pict>
            <v:shape id="文本框 44" o:spid="_x0000_s1026" o:spt="202" type="#_x0000_t202" style="position:absolute;left:0pt;margin-left:470.45pt;margin-top:779.15pt;height:12.6pt;width:49.2pt;mso-position-horizontal-relative:page;mso-position-vertical-relative:page;z-index:-27637555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GZHU7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161</w:t>
                    </w:r>
                    <w:r>
                      <w:fldChar w:fldCharType="end"/>
                    </w:r>
                    <w:r>
                      <w:rPr>
                        <w:sz w:val="21"/>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3990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49" name="文本框 4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160</w:t>
                          </w:r>
                          <w:r>
                            <w:fldChar w:fldCharType="end"/>
                          </w:r>
                          <w:r>
                            <w:rPr>
                              <w:sz w:val="21"/>
                            </w:rPr>
                            <w:t xml:space="preserve"> —</w:t>
                          </w:r>
                        </w:p>
                      </w:txbxContent>
                    </wps:txbx>
                    <wps:bodyPr lIns="0" tIns="0" rIns="0" bIns="0" upright="1"/>
                  </wps:wsp>
                </a:graphicData>
              </a:graphic>
            </wp:anchor>
          </w:drawing>
        </mc:Choice>
        <mc:Fallback>
          <w:pict>
            <v:shape id="文本框 43" o:spid="_x0000_s1026" o:spt="202" type="#_x0000_t202" style="position:absolute;left:0pt;margin-left:75.55pt;margin-top:779.15pt;height:12.6pt;width:49.2pt;mso-position-horizontal-relative:page;mso-position-vertical-relative:page;z-index:-27637657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soF09L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160</w:t>
                    </w:r>
                    <w:r>
                      <w:fldChar w:fldCharType="end"/>
                    </w:r>
                    <w:r>
                      <w:rPr>
                        <w:sz w:val="21"/>
                      </w:rP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4707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56" name="文本框 5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169</w:t>
                          </w:r>
                          <w:r>
                            <w:fldChar w:fldCharType="end"/>
                          </w:r>
                          <w:r>
                            <w:rPr>
                              <w:sz w:val="21"/>
                            </w:rPr>
                            <w:t xml:space="preserve"> —</w:t>
                          </w:r>
                        </w:p>
                      </w:txbxContent>
                    </wps:txbx>
                    <wps:bodyPr lIns="0" tIns="0" rIns="0" bIns="0" upright="1"/>
                  </wps:wsp>
                </a:graphicData>
              </a:graphic>
            </wp:anchor>
          </w:drawing>
        </mc:Choice>
        <mc:Fallback>
          <w:pict>
            <v:shape id="文本框 50" o:spid="_x0000_s1026" o:spt="202" type="#_x0000_t202" style="position:absolute;left:0pt;margin-left:470.45pt;margin-top:779.15pt;height:12.6pt;width:49.2pt;mso-position-horizontal-relative:page;mso-position-vertical-relative:page;z-index:-27636940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iPZkdoAAAAOAQAADwAAAAAAAAABACAAAAAiAAAAZHJzL2Rvd25yZXYueG1sUEsB&#10;AhQAFAAAAAgAh07iQE5s12S6AQAAcw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169</w:t>
                    </w:r>
                    <w:r>
                      <w:fldChar w:fldCharType="end"/>
                    </w:r>
                    <w:r>
                      <w:rPr>
                        <w:sz w:val="21"/>
                      </w:rP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41952" behindDoc="1" locked="0" layoutInCell="1" allowOverlap="1">
              <wp:simplePos x="0" y="0"/>
              <wp:positionH relativeFrom="page">
                <wp:posOffset>1264285</wp:posOffset>
              </wp:positionH>
              <wp:positionV relativeFrom="page">
                <wp:posOffset>8630285</wp:posOffset>
              </wp:positionV>
              <wp:extent cx="635000" cy="177800"/>
              <wp:effectExtent l="0" t="0" r="0" b="0"/>
              <wp:wrapNone/>
              <wp:docPr id="51" name="文本框 45"/>
              <wp:cNvGraphicFramePr/>
              <a:graphic xmlns:a="http://schemas.openxmlformats.org/drawingml/2006/main">
                <a:graphicData uri="http://schemas.microsoft.com/office/word/2010/wordprocessingShape">
                  <wps:wsp>
                    <wps:cNvSpPr txBox="1"/>
                    <wps:spPr>
                      <a:xfrm>
                        <a:off x="0" y="0"/>
                        <a:ext cx="635000" cy="177800"/>
                      </a:xfrm>
                      <a:prstGeom prst="rect">
                        <a:avLst/>
                      </a:prstGeom>
                      <a:noFill/>
                      <a:ln>
                        <a:noFill/>
                      </a:ln>
                    </wps:spPr>
                    <wps:txbx>
                      <w:txbxContent>
                        <w:p>
                          <w:pPr>
                            <w:pStyle w:val="4"/>
                            <w:spacing w:line="280" w:lineRule="exact"/>
                            <w:ind w:left="20"/>
                          </w:pPr>
                          <w:r>
                            <w:t>【严重】</w:t>
                          </w:r>
                        </w:p>
                      </w:txbxContent>
                    </wps:txbx>
                    <wps:bodyPr lIns="0" tIns="0" rIns="0" bIns="0" upright="1"/>
                  </wps:wsp>
                </a:graphicData>
              </a:graphic>
            </wp:anchor>
          </w:drawing>
        </mc:Choice>
        <mc:Fallback>
          <w:pict>
            <v:shape id="文本框 45" o:spid="_x0000_s1026" o:spt="202" type="#_x0000_t202" style="position:absolute;left:0pt;margin-left:99.55pt;margin-top:679.55pt;height:14pt;width:50pt;mso-position-horizontal-relative:page;mso-position-vertical-relative:page;z-index:-276374528;mso-width-relative:page;mso-height-relative:page;" filled="f" stroked="f" coordsize="21600,21600" o:gfxdata="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ahLPLXAAAADQEAAA8AAAAAAAAAAQAgAAAAIgAAAGRycy9kb3ducmV2LnhtbFBLAQIU&#10;ABQAAAAIAIdO4kAWX8TWuwEAAHMDAAAOAAAAAAAAAAEAIAAAACYBAABkcnMvZTJvRG9jLnhtbFBL&#10;BQYAAAAABgAGAFkBAABTBQAAAAA=&#10;">
              <v:fill on="f" focussize="0,0"/>
              <v:stroke on="f"/>
              <v:imagedata o:title=""/>
              <o:lock v:ext="edit" aspectratio="f"/>
              <v:textbox inset="0mm,0mm,0mm,0mm">
                <w:txbxContent>
                  <w:p>
                    <w:pPr>
                      <w:pStyle w:val="4"/>
                      <w:spacing w:line="280" w:lineRule="exact"/>
                      <w:ind w:left="20"/>
                    </w:pPr>
                    <w:r>
                      <w:t>【严重】</w:t>
                    </w:r>
                  </w:p>
                </w:txbxContent>
              </v:textbox>
            </v:shape>
          </w:pict>
        </mc:Fallback>
      </mc:AlternateContent>
    </w:r>
    <w:r>
      <mc:AlternateContent>
        <mc:Choice Requires="wps">
          <w:drawing>
            <wp:anchor distT="0" distB="0" distL="114300" distR="114300" simplePos="0" relativeHeight="226942976" behindDoc="1" locked="0" layoutInCell="1" allowOverlap="1">
              <wp:simplePos x="0" y="0"/>
              <wp:positionH relativeFrom="page">
                <wp:posOffset>1264285</wp:posOffset>
              </wp:positionH>
              <wp:positionV relativeFrom="page">
                <wp:posOffset>8949055</wp:posOffset>
              </wp:positionV>
              <wp:extent cx="5359400" cy="177800"/>
              <wp:effectExtent l="0" t="0" r="0" b="0"/>
              <wp:wrapNone/>
              <wp:docPr id="52" name="文本框 46"/>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广告费用二十万元以上的，或者造成严重人身、财产损失或者其他严重后果的，</w:t>
                          </w:r>
                        </w:p>
                      </w:txbxContent>
                    </wps:txbx>
                    <wps:bodyPr lIns="0" tIns="0" rIns="0" bIns="0" upright="1"/>
                  </wps:wsp>
                </a:graphicData>
              </a:graphic>
            </wp:anchor>
          </w:drawing>
        </mc:Choice>
        <mc:Fallback>
          <w:pict>
            <v:shape id="文本框 46" o:spid="_x0000_s1026" o:spt="202" type="#_x0000_t202" style="position:absolute;left:0pt;margin-left:99.55pt;margin-top:704.65pt;height:14pt;width:422pt;mso-position-horizontal-relative:page;mso-position-vertical-relative:page;z-index:-276373504;mso-width-relative:page;mso-height-relative:page;" filled="f" stroked="f" coordsize="21600,21600" o:gfxdata="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i5G3B2gAAAA4BAAAPAAAAAAAAAAEAIAAAACIAAABkcnMvZG93bnJldi54bWxQ&#10;SwECFAAUAAAACACHTuJAaA986LwBAAB0AwAADgAAAAAAAAABACAAAAApAQAAZHJzL2Uyb0RvYy54&#10;bWxQSwUGAAAAAAYABgBZAQAAVwUAAAAA&#10;">
              <v:fill on="f" focussize="0,0"/>
              <v:stroke on="f"/>
              <v:imagedata o:title=""/>
              <o:lock v:ext="edit" aspectratio="f"/>
              <v:textbox inset="0mm,0mm,0mm,0mm">
                <w:txbxContent>
                  <w:p>
                    <w:pPr>
                      <w:pStyle w:val="4"/>
                      <w:spacing w:line="280" w:lineRule="exact"/>
                      <w:ind w:left="20"/>
                    </w:pPr>
                    <w:r>
                      <w:t>广告费用二十万元以上的，或者造成严重人身、财产损失或者其他严重后果的，</w:t>
                    </w:r>
                  </w:p>
                </w:txbxContent>
              </v:textbox>
            </v:shape>
          </w:pict>
        </mc:Fallback>
      </mc:AlternateContent>
    </w:r>
    <w:r>
      <mc:AlternateContent>
        <mc:Choice Requires="wps">
          <w:drawing>
            <wp:anchor distT="0" distB="0" distL="114300" distR="114300" simplePos="0" relativeHeight="226944000" behindDoc="1" locked="0" layoutInCell="1" allowOverlap="1">
              <wp:simplePos x="0" y="0"/>
              <wp:positionH relativeFrom="page">
                <wp:posOffset>959485</wp:posOffset>
              </wp:positionH>
              <wp:positionV relativeFrom="page">
                <wp:posOffset>9265920</wp:posOffset>
              </wp:positionV>
              <wp:extent cx="5641340" cy="177800"/>
              <wp:effectExtent l="0" t="0" r="0" b="0"/>
              <wp:wrapNone/>
              <wp:docPr id="53" name="文本框 47"/>
              <wp:cNvGraphicFramePr/>
              <a:graphic xmlns:a="http://schemas.openxmlformats.org/drawingml/2006/main">
                <a:graphicData uri="http://schemas.microsoft.com/office/word/2010/wordprocessingShape">
                  <wps:wsp>
                    <wps:cNvSpPr txBox="1"/>
                    <wps:spPr>
                      <a:xfrm>
                        <a:off x="0" y="0"/>
                        <a:ext cx="5641340" cy="177800"/>
                      </a:xfrm>
                      <a:prstGeom prst="rect">
                        <a:avLst/>
                      </a:prstGeom>
                      <a:noFill/>
                      <a:ln>
                        <a:noFill/>
                      </a:ln>
                    </wps:spPr>
                    <wps:txbx>
                      <w:txbxContent>
                        <w:p>
                          <w:pPr>
                            <w:pStyle w:val="4"/>
                            <w:spacing w:line="280" w:lineRule="exact"/>
                            <w:ind w:left="20"/>
                          </w:pPr>
                          <w:r>
                            <w:rPr>
                              <w:spacing w:val="-3"/>
                            </w:rPr>
                            <w:t>或者造成严重不良社会影响的，对广告主处广告费用四倍以上五倍以下的罚款；对广</w:t>
                          </w:r>
                        </w:p>
                      </w:txbxContent>
                    </wps:txbx>
                    <wps:bodyPr lIns="0" tIns="0" rIns="0" bIns="0" upright="1"/>
                  </wps:wsp>
                </a:graphicData>
              </a:graphic>
            </wp:anchor>
          </w:drawing>
        </mc:Choice>
        <mc:Fallback>
          <w:pict>
            <v:shape id="文本框 47" o:spid="_x0000_s1026" o:spt="202" type="#_x0000_t202" style="position:absolute;left:0pt;margin-left:75.55pt;margin-top:729.6pt;height:14pt;width:444.2pt;mso-position-horizontal-relative:page;mso-position-vertical-relative:page;z-index:-276372480;mso-width-relative:page;mso-height-relative:page;" filled="f" stroked="f" coordsize="21600,21600" o:gfxdata="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gdpE2wAAAA4BAAAPAAAAAAAAAAEAIAAAACIAAABkcnMvZG93bnJldi54&#10;bWxQSwECFAAUAAAACACHTuJAk59/h74BAAB0AwAADgAAAAAAAAABACAAAAAqAQAAZHJzL2Uyb0Rv&#10;Yy54bWxQSwUGAAAAAAYABgBZAQAAWgUAAAAA&#10;">
              <v:fill on="f" focussize="0,0"/>
              <v:stroke on="f"/>
              <v:imagedata o:title=""/>
              <o:lock v:ext="edit" aspectratio="f"/>
              <v:textbox inset="0mm,0mm,0mm,0mm">
                <w:txbxContent>
                  <w:p>
                    <w:pPr>
                      <w:pStyle w:val="4"/>
                      <w:spacing w:line="280" w:lineRule="exact"/>
                      <w:ind w:left="20"/>
                    </w:pPr>
                    <w:r>
                      <w:rPr>
                        <w:spacing w:val="-3"/>
                      </w:rPr>
                      <w:t>或者造成严重不良社会影响的，对广告主处广告费用四倍以上五倍以下的罚款；对广</w:t>
                    </w:r>
                  </w:p>
                </w:txbxContent>
              </v:textbox>
            </v:shape>
          </w:pict>
        </mc:Fallback>
      </mc:AlternateContent>
    </w:r>
    <w:r>
      <mc:AlternateContent>
        <mc:Choice Requires="wps">
          <w:drawing>
            <wp:anchor distT="0" distB="0" distL="114300" distR="114300" simplePos="0" relativeHeight="226945024" behindDoc="1" locked="0" layoutInCell="1" allowOverlap="1">
              <wp:simplePos x="0" y="0"/>
              <wp:positionH relativeFrom="page">
                <wp:posOffset>959485</wp:posOffset>
              </wp:positionH>
              <wp:positionV relativeFrom="page">
                <wp:posOffset>9582785</wp:posOffset>
              </wp:positionV>
              <wp:extent cx="5359400" cy="177800"/>
              <wp:effectExtent l="0" t="0" r="0" b="0"/>
              <wp:wrapNone/>
              <wp:docPr id="54" name="文本框 48"/>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告经营者、广告发布者没收广告费用，并处广告费用四倍以上五倍以下的罚款。</w:t>
                          </w:r>
                        </w:p>
                      </w:txbxContent>
                    </wps:txbx>
                    <wps:bodyPr lIns="0" tIns="0" rIns="0" bIns="0" upright="1"/>
                  </wps:wsp>
                </a:graphicData>
              </a:graphic>
            </wp:anchor>
          </w:drawing>
        </mc:Choice>
        <mc:Fallback>
          <w:pict>
            <v:shape id="文本框 48" o:spid="_x0000_s1026" o:spt="202" type="#_x0000_t202" style="position:absolute;left:0pt;margin-left:75.55pt;margin-top:754.55pt;height:14pt;width:422pt;mso-position-horizontal-relative:page;mso-position-vertical-relative:page;z-index:-276371456;mso-width-relative:page;mso-height-relative:page;" filled="f" stroked="f" coordsize="21600,21600" o:gfxdata="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7z2edgAAAANAQAADwAAAAAAAAABACAAAAAiAAAAZHJzL2Rvd25yZXYueG1sUEsB&#10;AhQAFAAAAAgAh07iQKoUi6+8AQAAdAMAAA4AAAAAAAAAAQAgAAAAJwEAAGRycy9lMm9Eb2MueG1s&#10;UEsFBgAAAAAGAAYAWQEAAFUFAAAAAA==&#10;">
              <v:fill on="f" focussize="0,0"/>
              <v:stroke on="f"/>
              <v:imagedata o:title=""/>
              <o:lock v:ext="edit" aspectratio="f"/>
              <v:textbox inset="0mm,0mm,0mm,0mm">
                <w:txbxContent>
                  <w:p>
                    <w:pPr>
                      <w:pStyle w:val="4"/>
                      <w:spacing w:line="280" w:lineRule="exact"/>
                      <w:ind w:left="20"/>
                    </w:pPr>
                    <w:r>
                      <w:t>告经营者、广告发布者没收广告费用，并处广告费用四倍以上五倍以下的罚款。</w:t>
                    </w:r>
                  </w:p>
                </w:txbxContent>
              </v:textbox>
            </v:shape>
          </w:pict>
        </mc:Fallback>
      </mc:AlternateContent>
    </w:r>
    <w:r>
      <mc:AlternateContent>
        <mc:Choice Requires="wps">
          <w:drawing>
            <wp:anchor distT="0" distB="0" distL="114300" distR="114300" simplePos="0" relativeHeight="22694604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55" name="文本框 4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168</w:t>
                          </w:r>
                          <w:r>
                            <w:fldChar w:fldCharType="end"/>
                          </w:r>
                          <w:r>
                            <w:rPr>
                              <w:sz w:val="21"/>
                            </w:rPr>
                            <w:t xml:space="preserve"> —</w:t>
                          </w:r>
                        </w:p>
                      </w:txbxContent>
                    </wps:txbx>
                    <wps:bodyPr lIns="0" tIns="0" rIns="0" bIns="0" upright="1"/>
                  </wps:wsp>
                </a:graphicData>
              </a:graphic>
            </wp:anchor>
          </w:drawing>
        </mc:Choice>
        <mc:Fallback>
          <w:pict>
            <v:shape id="文本框 49" o:spid="_x0000_s1026" o:spt="202" type="#_x0000_t202" style="position:absolute;left:0pt;margin-left:75.55pt;margin-top:779.15pt;height:12.6pt;width:49.2pt;mso-position-horizontal-relative:page;mso-position-vertical-relative:page;z-index:-27637043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ZlqSz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168</w:t>
                    </w:r>
                    <w:r>
                      <w:fldChar w:fldCharType="end"/>
                    </w:r>
                    <w:r>
                      <w:rPr>
                        <w:sz w:val="21"/>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5321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62" name="文本框 5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171</w:t>
                          </w:r>
                          <w:r>
                            <w:fldChar w:fldCharType="end"/>
                          </w:r>
                          <w:r>
                            <w:rPr>
                              <w:sz w:val="21"/>
                            </w:rPr>
                            <w:t xml:space="preserve"> —</w:t>
                          </w:r>
                        </w:p>
                      </w:txbxContent>
                    </wps:txbx>
                    <wps:bodyPr lIns="0" tIns="0" rIns="0" bIns="0" upright="1"/>
                  </wps:wsp>
                </a:graphicData>
              </a:graphic>
            </wp:anchor>
          </w:drawing>
        </mc:Choice>
        <mc:Fallback>
          <w:pict>
            <v:shape id="文本框 56" o:spid="_x0000_s1026" o:spt="202" type="#_x0000_t202" style="position:absolute;left:0pt;margin-left:470.45pt;margin-top:779.15pt;height:12.6pt;width:49.2pt;mso-position-horizontal-relative:page;mso-position-vertical-relative:page;z-index:-27636326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BbT7M4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171</w:t>
                    </w:r>
                    <w:r>
                      <w:fldChar w:fldCharType="end"/>
                    </w:r>
                    <w:r>
                      <w:rPr>
                        <w:sz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14304" behindDoc="1" locked="0" layoutInCell="1" allowOverlap="1">
              <wp:simplePos x="0" y="0"/>
              <wp:positionH relativeFrom="page">
                <wp:posOffset>6042025</wp:posOffset>
              </wp:positionH>
              <wp:positionV relativeFrom="page">
                <wp:posOffset>9895205</wp:posOffset>
              </wp:positionV>
              <wp:extent cx="557530" cy="160020"/>
              <wp:effectExtent l="0" t="0" r="0" b="0"/>
              <wp:wrapNone/>
              <wp:docPr id="24" name="文本框 18"/>
              <wp:cNvGraphicFramePr/>
              <a:graphic xmlns:a="http://schemas.openxmlformats.org/drawingml/2006/main">
                <a:graphicData uri="http://schemas.microsoft.com/office/word/2010/wordprocessingShape">
                  <wps:wsp>
                    <wps:cNvSpPr txBox="1"/>
                    <wps:spPr>
                      <a:xfrm>
                        <a:off x="0" y="0"/>
                        <a:ext cx="55753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71</w:t>
                          </w:r>
                          <w:r>
                            <w:fldChar w:fldCharType="end"/>
                          </w:r>
                          <w:r>
                            <w:rPr>
                              <w:sz w:val="21"/>
                            </w:rPr>
                            <w:t xml:space="preserve"> —</w:t>
                          </w:r>
                        </w:p>
                      </w:txbxContent>
                    </wps:txbx>
                    <wps:bodyPr lIns="0" tIns="0" rIns="0" bIns="0" upright="1"/>
                  </wps:wsp>
                </a:graphicData>
              </a:graphic>
            </wp:anchor>
          </w:drawing>
        </mc:Choice>
        <mc:Fallback>
          <w:pict>
            <v:shape id="文本框 18" o:spid="_x0000_s1026" o:spt="202" type="#_x0000_t202" style="position:absolute;left:0pt;margin-left:475.75pt;margin-top:779.15pt;height:12.6pt;width:43.9pt;mso-position-horizontal-relative:page;mso-position-vertical-relative:page;z-index:-276402176;mso-width-relative:page;mso-height-relative:page;" filled="f" stroked="f" coordsize="21600,21600" o:gfxdata="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RLCLtsAAAAOAQAADwAAAAAAAAABACAAAAAiAAAAZHJzL2Rvd25yZXYueG1s&#10;UEsBAhQAFAAAAAgAh07iQDP85Pi8AQAAcwMAAA4AAAAAAAAAAQAgAAAAKg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71</w:t>
                    </w:r>
                    <w:r>
                      <w:fldChar w:fldCharType="end"/>
                    </w:r>
                    <w:r>
                      <w:rPr>
                        <w:sz w:val="21"/>
                      </w:rP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48096" behindDoc="1" locked="0" layoutInCell="1" allowOverlap="1">
              <wp:simplePos x="0" y="0"/>
              <wp:positionH relativeFrom="page">
                <wp:posOffset>1264285</wp:posOffset>
              </wp:positionH>
              <wp:positionV relativeFrom="page">
                <wp:posOffset>8630285</wp:posOffset>
              </wp:positionV>
              <wp:extent cx="635000" cy="177800"/>
              <wp:effectExtent l="0" t="0" r="0" b="0"/>
              <wp:wrapNone/>
              <wp:docPr id="57" name="文本框 51"/>
              <wp:cNvGraphicFramePr/>
              <a:graphic xmlns:a="http://schemas.openxmlformats.org/drawingml/2006/main">
                <a:graphicData uri="http://schemas.microsoft.com/office/word/2010/wordprocessingShape">
                  <wps:wsp>
                    <wps:cNvSpPr txBox="1"/>
                    <wps:spPr>
                      <a:xfrm>
                        <a:off x="0" y="0"/>
                        <a:ext cx="635000" cy="177800"/>
                      </a:xfrm>
                      <a:prstGeom prst="rect">
                        <a:avLst/>
                      </a:prstGeom>
                      <a:noFill/>
                      <a:ln>
                        <a:noFill/>
                      </a:ln>
                    </wps:spPr>
                    <wps:txbx>
                      <w:txbxContent>
                        <w:p>
                          <w:pPr>
                            <w:pStyle w:val="4"/>
                            <w:spacing w:line="280" w:lineRule="exact"/>
                            <w:ind w:left="20"/>
                          </w:pPr>
                          <w:r>
                            <w:t>【严重】</w:t>
                          </w:r>
                        </w:p>
                      </w:txbxContent>
                    </wps:txbx>
                    <wps:bodyPr lIns="0" tIns="0" rIns="0" bIns="0" upright="1"/>
                  </wps:wsp>
                </a:graphicData>
              </a:graphic>
            </wp:anchor>
          </w:drawing>
        </mc:Choice>
        <mc:Fallback>
          <w:pict>
            <v:shape id="文本框 51" o:spid="_x0000_s1026" o:spt="202" type="#_x0000_t202" style="position:absolute;left:0pt;margin-left:99.55pt;margin-top:679.55pt;height:14pt;width:50pt;mso-position-horizontal-relative:page;mso-position-vertical-relative:page;z-index:-276368384;mso-width-relative:page;mso-height-relative:page;" filled="f" stroked="f" coordsize="21600,21600" o:gfxdata="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ahLPLXAAAADQEAAA8AAAAAAAAAAQAgAAAAIgAAAGRycy9kb3ducmV2LnhtbFBLAQIU&#10;ABQAAAAIAIdO4kDeV2aJuwEAAHMDAAAOAAAAAAAAAAEAIAAAACYBAABkcnMvZTJvRG9jLnhtbFBL&#10;BQYAAAAABgAGAFkBAABTBQAAAAA=&#10;">
              <v:fill on="f" focussize="0,0"/>
              <v:stroke on="f"/>
              <v:imagedata o:title=""/>
              <o:lock v:ext="edit" aspectratio="f"/>
              <v:textbox inset="0mm,0mm,0mm,0mm">
                <w:txbxContent>
                  <w:p>
                    <w:pPr>
                      <w:pStyle w:val="4"/>
                      <w:spacing w:line="280" w:lineRule="exact"/>
                      <w:ind w:left="20"/>
                    </w:pPr>
                    <w:r>
                      <w:t>【严重】</w:t>
                    </w:r>
                  </w:p>
                </w:txbxContent>
              </v:textbox>
            </v:shape>
          </w:pict>
        </mc:Fallback>
      </mc:AlternateContent>
    </w:r>
    <w:r>
      <mc:AlternateContent>
        <mc:Choice Requires="wps">
          <w:drawing>
            <wp:anchor distT="0" distB="0" distL="114300" distR="114300" simplePos="0" relativeHeight="226949120" behindDoc="1" locked="0" layoutInCell="1" allowOverlap="1">
              <wp:simplePos x="0" y="0"/>
              <wp:positionH relativeFrom="page">
                <wp:posOffset>1264285</wp:posOffset>
              </wp:positionH>
              <wp:positionV relativeFrom="page">
                <wp:posOffset>8949055</wp:posOffset>
              </wp:positionV>
              <wp:extent cx="5359400" cy="177800"/>
              <wp:effectExtent l="0" t="0" r="0" b="0"/>
              <wp:wrapNone/>
              <wp:docPr id="58" name="文本框 52"/>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广告费用二十万元以上的，或者造成严重人身、财产损失或者其他严重后果的，</w:t>
                          </w:r>
                        </w:p>
                      </w:txbxContent>
                    </wps:txbx>
                    <wps:bodyPr lIns="0" tIns="0" rIns="0" bIns="0" upright="1"/>
                  </wps:wsp>
                </a:graphicData>
              </a:graphic>
            </wp:anchor>
          </w:drawing>
        </mc:Choice>
        <mc:Fallback>
          <w:pict>
            <v:shape id="文本框 52" o:spid="_x0000_s1026" o:spt="202" type="#_x0000_t202" style="position:absolute;left:0pt;margin-left:99.55pt;margin-top:704.65pt;height:14pt;width:422pt;mso-position-horizontal-relative:page;mso-position-vertical-relative:page;z-index:-276367360;mso-width-relative:page;mso-height-relative:page;" filled="f" stroked="f" coordsize="21600,21600" o:gfxdata="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LkbcHaAAAADgEAAA8AAAAAAAAAAQAgAAAAIgAAAGRycy9kb3ducmV2LnhtbFBL&#10;AQIUABQAAAAIAIdO4kCeIjLBuwEAAHQDAAAOAAAAAAAAAAEAIAAAACkBAABkcnMvZTJvRG9jLnht&#10;bFBLBQYAAAAABgAGAFkBAABWBQAAAAA=&#10;">
              <v:fill on="f" focussize="0,0"/>
              <v:stroke on="f"/>
              <v:imagedata o:title=""/>
              <o:lock v:ext="edit" aspectratio="f"/>
              <v:textbox inset="0mm,0mm,0mm,0mm">
                <w:txbxContent>
                  <w:p>
                    <w:pPr>
                      <w:pStyle w:val="4"/>
                      <w:spacing w:line="280" w:lineRule="exact"/>
                      <w:ind w:left="20"/>
                    </w:pPr>
                    <w:r>
                      <w:t>广告费用二十万元以上的，或者造成严重人身、财产损失或者其他严重后果的，</w:t>
                    </w:r>
                  </w:p>
                </w:txbxContent>
              </v:textbox>
            </v:shape>
          </w:pict>
        </mc:Fallback>
      </mc:AlternateContent>
    </w:r>
    <w:r>
      <mc:AlternateContent>
        <mc:Choice Requires="wps">
          <w:drawing>
            <wp:anchor distT="0" distB="0" distL="114300" distR="114300" simplePos="0" relativeHeight="226950144" behindDoc="1" locked="0" layoutInCell="1" allowOverlap="1">
              <wp:simplePos x="0" y="0"/>
              <wp:positionH relativeFrom="page">
                <wp:posOffset>959485</wp:posOffset>
              </wp:positionH>
              <wp:positionV relativeFrom="page">
                <wp:posOffset>9265920</wp:posOffset>
              </wp:positionV>
              <wp:extent cx="5641340" cy="177800"/>
              <wp:effectExtent l="0" t="0" r="0" b="0"/>
              <wp:wrapNone/>
              <wp:docPr id="59" name="文本框 53"/>
              <wp:cNvGraphicFramePr/>
              <a:graphic xmlns:a="http://schemas.openxmlformats.org/drawingml/2006/main">
                <a:graphicData uri="http://schemas.microsoft.com/office/word/2010/wordprocessingShape">
                  <wps:wsp>
                    <wps:cNvSpPr txBox="1"/>
                    <wps:spPr>
                      <a:xfrm>
                        <a:off x="0" y="0"/>
                        <a:ext cx="5641340" cy="177800"/>
                      </a:xfrm>
                      <a:prstGeom prst="rect">
                        <a:avLst/>
                      </a:prstGeom>
                      <a:noFill/>
                      <a:ln>
                        <a:noFill/>
                      </a:ln>
                    </wps:spPr>
                    <wps:txbx>
                      <w:txbxContent>
                        <w:p>
                          <w:pPr>
                            <w:pStyle w:val="4"/>
                            <w:spacing w:line="280" w:lineRule="exact"/>
                            <w:ind w:left="20"/>
                          </w:pPr>
                          <w:r>
                            <w:rPr>
                              <w:spacing w:val="-3"/>
                            </w:rPr>
                            <w:t>或者造成严重不良社会影响的，对广告主处广告费用四倍以上五倍以下的罚款；对广</w:t>
                          </w:r>
                        </w:p>
                      </w:txbxContent>
                    </wps:txbx>
                    <wps:bodyPr lIns="0" tIns="0" rIns="0" bIns="0" upright="1"/>
                  </wps:wsp>
                </a:graphicData>
              </a:graphic>
            </wp:anchor>
          </w:drawing>
        </mc:Choice>
        <mc:Fallback>
          <w:pict>
            <v:shape id="文本框 53" o:spid="_x0000_s1026" o:spt="202" type="#_x0000_t202" style="position:absolute;left:0pt;margin-left:75.55pt;margin-top:729.6pt;height:14pt;width:444.2pt;mso-position-horizontal-relative:page;mso-position-vertical-relative:page;z-index:-276366336;mso-width-relative:page;mso-height-relative:page;" filled="f" stroked="f" coordsize="21600,21600" o:gfxdata="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gdpE2wAAAA4BAAAPAAAAAAAAAAEAIAAAACIAAABkcnMvZG93bnJldi54&#10;bWxQSwECFAAUAAAACACHTuJAZbIxrr4BAAB0AwAADgAAAAAAAAABACAAAAAqAQAAZHJzL2Uyb0Rv&#10;Yy54bWxQSwUGAAAAAAYABgBZAQAAWgUAAAAA&#10;">
              <v:fill on="f" focussize="0,0"/>
              <v:stroke on="f"/>
              <v:imagedata o:title=""/>
              <o:lock v:ext="edit" aspectratio="f"/>
              <v:textbox inset="0mm,0mm,0mm,0mm">
                <w:txbxContent>
                  <w:p>
                    <w:pPr>
                      <w:pStyle w:val="4"/>
                      <w:spacing w:line="280" w:lineRule="exact"/>
                      <w:ind w:left="20"/>
                    </w:pPr>
                    <w:r>
                      <w:rPr>
                        <w:spacing w:val="-3"/>
                      </w:rPr>
                      <w:t>或者造成严重不良社会影响的，对广告主处广告费用四倍以上五倍以下的罚款；对广</w:t>
                    </w:r>
                  </w:p>
                </w:txbxContent>
              </v:textbox>
            </v:shape>
          </w:pict>
        </mc:Fallback>
      </mc:AlternateContent>
    </w:r>
    <w:r>
      <mc:AlternateContent>
        <mc:Choice Requires="wps">
          <w:drawing>
            <wp:anchor distT="0" distB="0" distL="114300" distR="114300" simplePos="0" relativeHeight="226951168" behindDoc="1" locked="0" layoutInCell="1" allowOverlap="1">
              <wp:simplePos x="0" y="0"/>
              <wp:positionH relativeFrom="page">
                <wp:posOffset>959485</wp:posOffset>
              </wp:positionH>
              <wp:positionV relativeFrom="page">
                <wp:posOffset>9582785</wp:posOffset>
              </wp:positionV>
              <wp:extent cx="5359400" cy="177800"/>
              <wp:effectExtent l="0" t="0" r="0" b="0"/>
              <wp:wrapNone/>
              <wp:docPr id="60" name="文本框 54"/>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告经营者、广告发布者没收广告费用，并处广告费用四倍以上五倍以下的罚款。</w:t>
                          </w:r>
                        </w:p>
                      </w:txbxContent>
                    </wps:txbx>
                    <wps:bodyPr lIns="0" tIns="0" rIns="0" bIns="0" upright="1"/>
                  </wps:wsp>
                </a:graphicData>
              </a:graphic>
            </wp:anchor>
          </w:drawing>
        </mc:Choice>
        <mc:Fallback>
          <w:pict>
            <v:shape id="文本框 54" o:spid="_x0000_s1026" o:spt="202" type="#_x0000_t202" style="position:absolute;left:0pt;margin-left:75.55pt;margin-top:754.55pt;height:14pt;width:422pt;mso-position-horizontal-relative:page;mso-position-vertical-relative:page;z-index:-276365312;mso-width-relative:page;mso-height-relative:page;" filled="f" stroked="f" coordsize="21600,21600" o:gfxdata="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7z2edgAAAANAQAADwAAAAAAAAABACAAAAAiAAAAZHJzL2Rvd25yZXYueG1sUEsB&#10;AhQAFAAAAAgAh07iQCpnHRC8AQAAdAMAAA4AAAAAAAAAAQAgAAAAJwEAAGRycy9lMm9Eb2MueG1s&#10;UEsFBgAAAAAGAAYAWQEAAFUFAAAAAA==&#10;">
              <v:fill on="f" focussize="0,0"/>
              <v:stroke on="f"/>
              <v:imagedata o:title=""/>
              <o:lock v:ext="edit" aspectratio="f"/>
              <v:textbox inset="0mm,0mm,0mm,0mm">
                <w:txbxContent>
                  <w:p>
                    <w:pPr>
                      <w:pStyle w:val="4"/>
                      <w:spacing w:line="280" w:lineRule="exact"/>
                      <w:ind w:left="20"/>
                    </w:pPr>
                    <w:r>
                      <w:t>告经营者、广告发布者没收广告费用，并处广告费用四倍以上五倍以下的罚款。</w:t>
                    </w:r>
                  </w:p>
                </w:txbxContent>
              </v:textbox>
            </v:shape>
          </w:pict>
        </mc:Fallback>
      </mc:AlternateContent>
    </w:r>
    <w:r>
      <mc:AlternateContent>
        <mc:Choice Requires="wps">
          <w:drawing>
            <wp:anchor distT="0" distB="0" distL="114300" distR="114300" simplePos="0" relativeHeight="22695219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61" name="文本框 5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170</w:t>
                          </w:r>
                          <w:r>
                            <w:fldChar w:fldCharType="end"/>
                          </w:r>
                          <w:r>
                            <w:rPr>
                              <w:sz w:val="21"/>
                            </w:rPr>
                            <w:t xml:space="preserve"> —</w:t>
                          </w:r>
                        </w:p>
                      </w:txbxContent>
                    </wps:txbx>
                    <wps:bodyPr lIns="0" tIns="0" rIns="0" bIns="0" upright="1"/>
                  </wps:wsp>
                </a:graphicData>
              </a:graphic>
            </wp:anchor>
          </w:drawing>
        </mc:Choice>
        <mc:Fallback>
          <w:pict>
            <v:shape id="文本框 55" o:spid="_x0000_s1026" o:spt="202" type="#_x0000_t202" style="position:absolute;left:0pt;margin-left:75.55pt;margin-top:779.15pt;height:12.6pt;width:49.2pt;mso-position-horizontal-relative:page;mso-position-vertical-relative:page;z-index:-27636428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BVzICL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170</w:t>
                    </w:r>
                    <w:r>
                      <w:fldChar w:fldCharType="end"/>
                    </w:r>
                    <w:r>
                      <w:rPr>
                        <w:sz w:val="21"/>
                      </w:rP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5526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64" name="文本框 5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173</w:t>
                          </w:r>
                          <w:r>
                            <w:fldChar w:fldCharType="end"/>
                          </w:r>
                          <w:r>
                            <w:rPr>
                              <w:sz w:val="21"/>
                            </w:rPr>
                            <w:t xml:space="preserve"> —</w:t>
                          </w:r>
                        </w:p>
                      </w:txbxContent>
                    </wps:txbx>
                    <wps:bodyPr lIns="0" tIns="0" rIns="0" bIns="0" upright="1"/>
                  </wps:wsp>
                </a:graphicData>
              </a:graphic>
            </wp:anchor>
          </w:drawing>
        </mc:Choice>
        <mc:Fallback>
          <w:pict>
            <v:shape id="文本框 58" o:spid="_x0000_s1026" o:spt="202" type="#_x0000_t202" style="position:absolute;left:0pt;margin-left:470.45pt;margin-top:779.15pt;height:12.6pt;width:49.2pt;mso-position-horizontal-relative:page;mso-position-vertical-relative:page;z-index:-27636121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tfJnf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173</w:t>
                    </w:r>
                    <w:r>
                      <w:fldChar w:fldCharType="end"/>
                    </w:r>
                    <w:r>
                      <w:rPr>
                        <w:sz w:val="21"/>
                      </w:rP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5424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63" name="文本框 5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172</w:t>
                          </w:r>
                          <w:r>
                            <w:fldChar w:fldCharType="end"/>
                          </w:r>
                          <w:r>
                            <w:rPr>
                              <w:sz w:val="21"/>
                            </w:rPr>
                            <w:t xml:space="preserve"> —</w:t>
                          </w:r>
                        </w:p>
                      </w:txbxContent>
                    </wps:txbx>
                    <wps:bodyPr lIns="0" tIns="0" rIns="0" bIns="0" upright="1"/>
                  </wps:wsp>
                </a:graphicData>
              </a:graphic>
            </wp:anchor>
          </w:drawing>
        </mc:Choice>
        <mc:Fallback>
          <w:pict>
            <v:shape id="文本框 57" o:spid="_x0000_s1026" o:spt="202" type="#_x0000_t202" style="position:absolute;left:0pt;margin-left:75.55pt;margin-top:779.15pt;height:12.6pt;width:49.2pt;mso-position-horizontal-relative:page;mso-position-vertical-relative:page;z-index:-27636224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njON4L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172</w:t>
                    </w:r>
                    <w:r>
                      <w:fldChar w:fldCharType="end"/>
                    </w:r>
                    <w:r>
                      <w:rPr>
                        <w:sz w:val="21"/>
                      </w:rP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6345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72" name="文本框 6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179</w:t>
                          </w:r>
                          <w:r>
                            <w:fldChar w:fldCharType="end"/>
                          </w:r>
                          <w:r>
                            <w:rPr>
                              <w:sz w:val="21"/>
                            </w:rPr>
                            <w:t xml:space="preserve"> —</w:t>
                          </w:r>
                        </w:p>
                      </w:txbxContent>
                    </wps:txbx>
                    <wps:bodyPr lIns="0" tIns="0" rIns="0" bIns="0" upright="1"/>
                  </wps:wsp>
                </a:graphicData>
              </a:graphic>
            </wp:anchor>
          </w:drawing>
        </mc:Choice>
        <mc:Fallback>
          <w:pict>
            <v:shape id="文本框 66" o:spid="_x0000_s1026" o:spt="202" type="#_x0000_t202" style="position:absolute;left:0pt;margin-left:470.45pt;margin-top:779.15pt;height:12.6pt;width:49.2pt;mso-position-horizontal-relative:page;mso-position-vertical-relative:page;z-index:-27635302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KjaVc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179</w:t>
                    </w:r>
                    <w:r>
                      <w:fldChar w:fldCharType="end"/>
                    </w:r>
                    <w:r>
                      <w:rPr>
                        <w:sz w:val="21"/>
                      </w:rP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56288" behindDoc="1" locked="0" layoutInCell="1" allowOverlap="1">
              <wp:simplePos x="0" y="0"/>
              <wp:positionH relativeFrom="page">
                <wp:posOffset>1264285</wp:posOffset>
              </wp:positionH>
              <wp:positionV relativeFrom="page">
                <wp:posOffset>7996555</wp:posOffset>
              </wp:positionV>
              <wp:extent cx="635000" cy="177800"/>
              <wp:effectExtent l="0" t="0" r="0" b="0"/>
              <wp:wrapNone/>
              <wp:docPr id="65" name="文本框 59"/>
              <wp:cNvGraphicFramePr/>
              <a:graphic xmlns:a="http://schemas.openxmlformats.org/drawingml/2006/main">
                <a:graphicData uri="http://schemas.microsoft.com/office/word/2010/wordprocessingShape">
                  <wps:wsp>
                    <wps:cNvSpPr txBox="1"/>
                    <wps:spPr>
                      <a:xfrm>
                        <a:off x="0" y="0"/>
                        <a:ext cx="635000" cy="177800"/>
                      </a:xfrm>
                      <a:prstGeom prst="rect">
                        <a:avLst/>
                      </a:prstGeom>
                      <a:noFill/>
                      <a:ln>
                        <a:noFill/>
                      </a:ln>
                    </wps:spPr>
                    <wps:txbx>
                      <w:txbxContent>
                        <w:p>
                          <w:pPr>
                            <w:pStyle w:val="4"/>
                            <w:spacing w:line="280" w:lineRule="exact"/>
                            <w:ind w:left="20"/>
                          </w:pPr>
                          <w:r>
                            <w:t>【严重】</w:t>
                          </w:r>
                        </w:p>
                      </w:txbxContent>
                    </wps:txbx>
                    <wps:bodyPr lIns="0" tIns="0" rIns="0" bIns="0" upright="1"/>
                  </wps:wsp>
                </a:graphicData>
              </a:graphic>
            </wp:anchor>
          </w:drawing>
        </mc:Choice>
        <mc:Fallback>
          <w:pict>
            <v:shape id="文本框 59" o:spid="_x0000_s1026" o:spt="202" type="#_x0000_t202" style="position:absolute;left:0pt;margin-left:99.55pt;margin-top:629.65pt;height:14pt;width:50pt;mso-position-horizontal-relative:page;mso-position-vertical-relative:page;z-index:-276360192;mso-width-relative:page;mso-height-relative:page;" filled="f" stroked="f" coordsize="21600,21600" o:gfxdata="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Oux7naAAAADQEAAA8AAAAAAAAAAQAgAAAAIgAAAGRycy9kb3ducmV2LnhtbFBL&#10;AQIUABQAAAAIAIdO4kAlydaQuwEAAHMDAAAOAAAAAAAAAAEAIAAAACkBAABkcnMvZTJvRG9jLnht&#10;bFBLBQYAAAAABgAGAFkBAABWBQAAAAA=&#10;">
              <v:fill on="f" focussize="0,0"/>
              <v:stroke on="f"/>
              <v:imagedata o:title=""/>
              <o:lock v:ext="edit" aspectratio="f"/>
              <v:textbox inset="0mm,0mm,0mm,0mm">
                <w:txbxContent>
                  <w:p>
                    <w:pPr>
                      <w:pStyle w:val="4"/>
                      <w:spacing w:line="280" w:lineRule="exact"/>
                      <w:ind w:left="20"/>
                    </w:pPr>
                    <w:r>
                      <w:t>【严重】</w:t>
                    </w:r>
                  </w:p>
                </w:txbxContent>
              </v:textbox>
            </v:shape>
          </w:pict>
        </mc:Fallback>
      </mc:AlternateContent>
    </w:r>
    <w:r>
      <mc:AlternateContent>
        <mc:Choice Requires="wps">
          <w:drawing>
            <wp:anchor distT="0" distB="0" distL="114300" distR="114300" simplePos="0" relativeHeight="226957312" behindDoc="1" locked="0" layoutInCell="1" allowOverlap="1">
              <wp:simplePos x="0" y="0"/>
              <wp:positionH relativeFrom="page">
                <wp:posOffset>1264285</wp:posOffset>
              </wp:positionH>
              <wp:positionV relativeFrom="page">
                <wp:posOffset>8313420</wp:posOffset>
              </wp:positionV>
              <wp:extent cx="5359400" cy="177800"/>
              <wp:effectExtent l="0" t="0" r="0" b="0"/>
              <wp:wrapNone/>
              <wp:docPr id="66" name="文本框 60"/>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广告费用二十万元以上的，或者造成严重人身、财产损失或者其他严重后果的，</w:t>
                          </w:r>
                        </w:p>
                      </w:txbxContent>
                    </wps:txbx>
                    <wps:bodyPr lIns="0" tIns="0" rIns="0" bIns="0" upright="1"/>
                  </wps:wsp>
                </a:graphicData>
              </a:graphic>
            </wp:anchor>
          </w:drawing>
        </mc:Choice>
        <mc:Fallback>
          <w:pict>
            <v:shape id="文本框 60" o:spid="_x0000_s1026" o:spt="202" type="#_x0000_t202" style="position:absolute;left:0pt;margin-left:99.55pt;margin-top:654.6pt;height:14pt;width:422pt;mso-position-horizontal-relative:page;mso-position-vertical-relative:page;z-index:-276359168;mso-width-relative:page;mso-height-relative:page;" filled="f" stroked="f" coordsize="21600,21600" o:gfxdata="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vDkezaAAAADgEAAA8AAAAAAAAAAQAgAAAAIgAAAGRycy9kb3ducmV2LnhtbFBL&#10;AQIUABQAAAAIAIdO4kACvXObuwEAAHQDAAAOAAAAAAAAAAEAIAAAACkBAABkcnMvZTJvRG9jLnht&#10;bFBLBQYAAAAABgAGAFkBAABWBQAAAAA=&#10;">
              <v:fill on="f" focussize="0,0"/>
              <v:stroke on="f"/>
              <v:imagedata o:title=""/>
              <o:lock v:ext="edit" aspectratio="f"/>
              <v:textbox inset="0mm,0mm,0mm,0mm">
                <w:txbxContent>
                  <w:p>
                    <w:pPr>
                      <w:pStyle w:val="4"/>
                      <w:spacing w:line="280" w:lineRule="exact"/>
                      <w:ind w:left="20"/>
                    </w:pPr>
                    <w:r>
                      <w:t>广告费用二十万元以上的，或者造成严重人身、财产损失或者其他严重后果的，</w:t>
                    </w:r>
                  </w:p>
                </w:txbxContent>
              </v:textbox>
            </v:shape>
          </w:pict>
        </mc:Fallback>
      </mc:AlternateContent>
    </w:r>
    <w:r>
      <mc:AlternateContent>
        <mc:Choice Requires="wps">
          <w:drawing>
            <wp:anchor distT="0" distB="0" distL="114300" distR="114300" simplePos="0" relativeHeight="226958336" behindDoc="1" locked="0" layoutInCell="1" allowOverlap="1">
              <wp:simplePos x="0" y="0"/>
              <wp:positionH relativeFrom="page">
                <wp:posOffset>959485</wp:posOffset>
              </wp:positionH>
              <wp:positionV relativeFrom="page">
                <wp:posOffset>8630285</wp:posOffset>
              </wp:positionV>
              <wp:extent cx="5641340" cy="177800"/>
              <wp:effectExtent l="0" t="0" r="0" b="0"/>
              <wp:wrapNone/>
              <wp:docPr id="67" name="文本框 61"/>
              <wp:cNvGraphicFramePr/>
              <a:graphic xmlns:a="http://schemas.openxmlformats.org/drawingml/2006/main">
                <a:graphicData uri="http://schemas.microsoft.com/office/word/2010/wordprocessingShape">
                  <wps:wsp>
                    <wps:cNvSpPr txBox="1"/>
                    <wps:spPr>
                      <a:xfrm>
                        <a:off x="0" y="0"/>
                        <a:ext cx="5641340" cy="177800"/>
                      </a:xfrm>
                      <a:prstGeom prst="rect">
                        <a:avLst/>
                      </a:prstGeom>
                      <a:noFill/>
                      <a:ln>
                        <a:noFill/>
                      </a:ln>
                    </wps:spPr>
                    <wps:txbx>
                      <w:txbxContent>
                        <w:p>
                          <w:pPr>
                            <w:pStyle w:val="4"/>
                            <w:spacing w:line="280" w:lineRule="exact"/>
                            <w:ind w:left="20"/>
                          </w:pPr>
                          <w:r>
                            <w:rPr>
                              <w:spacing w:val="-3"/>
                            </w:rPr>
                            <w:t>或者造成严重不良社会影响的，对广告主处广告费用四倍以上五倍以下的罚款；对广</w:t>
                          </w:r>
                        </w:p>
                      </w:txbxContent>
                    </wps:txbx>
                    <wps:bodyPr lIns="0" tIns="0" rIns="0" bIns="0" upright="1"/>
                  </wps:wsp>
                </a:graphicData>
              </a:graphic>
            </wp:anchor>
          </w:drawing>
        </mc:Choice>
        <mc:Fallback>
          <w:pict>
            <v:shape id="文本框 61" o:spid="_x0000_s1026" o:spt="202" type="#_x0000_t202" style="position:absolute;left:0pt;margin-left:75.55pt;margin-top:679.55pt;height:14pt;width:444.2pt;mso-position-horizontal-relative:page;mso-position-vertical-relative:page;z-index:-276358144;mso-width-relative:page;mso-height-relative:page;" filled="f" stroked="f" coordsize="21600,21600" o:gfxdata="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eAgNoAAAAOAQAADwAAAAAAAAABACAAAAAiAAAAZHJzL2Rvd25yZXYueG1s&#10;UEsBAhQAFAAAAAgAh07iQPktcPS9AQAAdAMAAA4AAAAAAAAAAQAgAAAAKQEAAGRycy9lMm9Eb2Mu&#10;eG1sUEsFBgAAAAAGAAYAWQEAAFgFAAAAAA==&#10;">
              <v:fill on="f" focussize="0,0"/>
              <v:stroke on="f"/>
              <v:imagedata o:title=""/>
              <o:lock v:ext="edit" aspectratio="f"/>
              <v:textbox inset="0mm,0mm,0mm,0mm">
                <w:txbxContent>
                  <w:p>
                    <w:pPr>
                      <w:pStyle w:val="4"/>
                      <w:spacing w:line="280" w:lineRule="exact"/>
                      <w:ind w:left="20"/>
                    </w:pPr>
                    <w:r>
                      <w:rPr>
                        <w:spacing w:val="-3"/>
                      </w:rPr>
                      <w:t>或者造成严重不良社会影响的，对广告主处广告费用四倍以上五倍以下的罚款；对广</w:t>
                    </w:r>
                  </w:p>
                </w:txbxContent>
              </v:textbox>
            </v:shape>
          </w:pict>
        </mc:Fallback>
      </mc:AlternateContent>
    </w:r>
    <w:r>
      <mc:AlternateContent>
        <mc:Choice Requires="wps">
          <w:drawing>
            <wp:anchor distT="0" distB="0" distL="114300" distR="114300" simplePos="0" relativeHeight="226959360" behindDoc="1" locked="0" layoutInCell="1" allowOverlap="1">
              <wp:simplePos x="0" y="0"/>
              <wp:positionH relativeFrom="page">
                <wp:posOffset>959485</wp:posOffset>
              </wp:positionH>
              <wp:positionV relativeFrom="page">
                <wp:posOffset>8949055</wp:posOffset>
              </wp:positionV>
              <wp:extent cx="5359400" cy="177800"/>
              <wp:effectExtent l="0" t="0" r="0" b="0"/>
              <wp:wrapNone/>
              <wp:docPr id="68" name="文本框 62"/>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告经营者、广告发布者没收广告费用，并处广告费用四倍以上五倍以下的罚款。</w:t>
                          </w:r>
                        </w:p>
                      </w:txbxContent>
                    </wps:txbx>
                    <wps:bodyPr lIns="0" tIns="0" rIns="0" bIns="0" upright="1"/>
                  </wps:wsp>
                </a:graphicData>
              </a:graphic>
            </wp:anchor>
          </w:drawing>
        </mc:Choice>
        <mc:Fallback>
          <w:pict>
            <v:shape id="文本框 62" o:spid="_x0000_s1026" o:spt="202" type="#_x0000_t202" style="position:absolute;left:0pt;margin-left:75.55pt;margin-top:704.65pt;height:14pt;width:422pt;mso-position-horizontal-relative:page;mso-position-vertical-relative:page;z-index:-276357120;mso-width-relative:page;mso-height-relative:page;" filled="f" stroked="f" coordsize="21600,21600" o:gfxdata="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azHTLaAAAADQEAAA8AAAAAAAAAAQAgAAAAIgAAAGRycy9kb3ducmV2LnhtbFBL&#10;AQIUABQAAAAIAIdO4kC5bgAruwEAAHQDAAAOAAAAAAAAAAEAIAAAACkBAABkcnMvZTJvRG9jLnht&#10;bFBLBQYAAAAABgAGAFkBAABWBQAAAAA=&#10;">
              <v:fill on="f" focussize="0,0"/>
              <v:stroke on="f"/>
              <v:imagedata o:title=""/>
              <o:lock v:ext="edit" aspectratio="f"/>
              <v:textbox inset="0mm,0mm,0mm,0mm">
                <w:txbxContent>
                  <w:p>
                    <w:pPr>
                      <w:pStyle w:val="4"/>
                      <w:spacing w:line="280" w:lineRule="exact"/>
                      <w:ind w:left="20"/>
                    </w:pPr>
                    <w:r>
                      <w:t>告经营者、广告发布者没收广告费用，并处广告费用四倍以上五倍以下的罚款。</w:t>
                    </w:r>
                  </w:p>
                </w:txbxContent>
              </v:textbox>
            </v:shape>
          </w:pict>
        </mc:Fallback>
      </mc:AlternateContent>
    </w:r>
    <w:r>
      <mc:AlternateContent>
        <mc:Choice Requires="wps">
          <w:drawing>
            <wp:anchor distT="0" distB="0" distL="114300" distR="114300" simplePos="0" relativeHeight="226960384" behindDoc="1" locked="0" layoutInCell="1" allowOverlap="1">
              <wp:simplePos x="0" y="0"/>
              <wp:positionH relativeFrom="page">
                <wp:posOffset>1264285</wp:posOffset>
              </wp:positionH>
              <wp:positionV relativeFrom="page">
                <wp:posOffset>9265920</wp:posOffset>
              </wp:positionV>
              <wp:extent cx="5359400" cy="177800"/>
              <wp:effectExtent l="0" t="0" r="0" b="0"/>
              <wp:wrapNone/>
              <wp:docPr id="69" name="文本框 63"/>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造成严重人身、财产损失或者其他严重后果的，或者造成严重不良社会影响的，</w:t>
                          </w:r>
                        </w:p>
                      </w:txbxContent>
                    </wps:txbx>
                    <wps:bodyPr lIns="0" tIns="0" rIns="0" bIns="0" upright="1"/>
                  </wps:wsp>
                </a:graphicData>
              </a:graphic>
            </wp:anchor>
          </w:drawing>
        </mc:Choice>
        <mc:Fallback>
          <w:pict>
            <v:shape id="文本框 63" o:spid="_x0000_s1026" o:spt="202" type="#_x0000_t202" style="position:absolute;left:0pt;margin-left:99.55pt;margin-top:729.6pt;height:14pt;width:422pt;mso-position-horizontal-relative:page;mso-position-vertical-relative:page;z-index:-276356096;mso-width-relative:page;mso-height-relative:page;" filled="f" stroked="f" coordsize="21600,21600" o:gfxdata="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TpB+NoAAAAOAQAADwAAAAAAAAABACAAAAAiAAAAZHJzL2Rvd25yZXYueG1s&#10;UEsBAhQAFAAAAAgAh07iQPpm1sC9AQAAdAMAAA4AAAAAAAAAAQAgAAAAKQEAAGRycy9lMm9Eb2Mu&#10;eG1sUEsFBgAAAAAGAAYAWQEAAFgFAAAAAA==&#10;">
              <v:fill on="f" focussize="0,0"/>
              <v:stroke on="f"/>
              <v:imagedata o:title=""/>
              <o:lock v:ext="edit" aspectratio="f"/>
              <v:textbox inset="0mm,0mm,0mm,0mm">
                <w:txbxContent>
                  <w:p>
                    <w:pPr>
                      <w:pStyle w:val="4"/>
                      <w:spacing w:line="280" w:lineRule="exact"/>
                      <w:ind w:left="20"/>
                    </w:pPr>
                    <w:r>
                      <w:t>造成严重人身、财产损失或者其他严重后果的，或者造成严重不良社会影响的，</w:t>
                    </w:r>
                  </w:p>
                </w:txbxContent>
              </v:textbox>
            </v:shape>
          </w:pict>
        </mc:Fallback>
      </mc:AlternateContent>
    </w:r>
    <w:r>
      <mc:AlternateContent>
        <mc:Choice Requires="wps">
          <w:drawing>
            <wp:anchor distT="0" distB="0" distL="114300" distR="114300" simplePos="0" relativeHeight="226961408" behindDoc="1" locked="0" layoutInCell="1" allowOverlap="1">
              <wp:simplePos x="0" y="0"/>
              <wp:positionH relativeFrom="page">
                <wp:posOffset>959485</wp:posOffset>
              </wp:positionH>
              <wp:positionV relativeFrom="page">
                <wp:posOffset>9582785</wp:posOffset>
              </wp:positionV>
              <wp:extent cx="5641340" cy="177800"/>
              <wp:effectExtent l="0" t="0" r="0" b="0"/>
              <wp:wrapNone/>
              <wp:docPr id="70" name="文本框 64"/>
              <wp:cNvGraphicFramePr/>
              <a:graphic xmlns:a="http://schemas.openxmlformats.org/drawingml/2006/main">
                <a:graphicData uri="http://schemas.microsoft.com/office/word/2010/wordprocessingShape">
                  <wps:wsp>
                    <wps:cNvSpPr txBox="1"/>
                    <wps:spPr>
                      <a:xfrm>
                        <a:off x="0" y="0"/>
                        <a:ext cx="5641340" cy="177800"/>
                      </a:xfrm>
                      <a:prstGeom prst="rect">
                        <a:avLst/>
                      </a:prstGeom>
                      <a:noFill/>
                      <a:ln>
                        <a:noFill/>
                      </a:ln>
                    </wps:spPr>
                    <wps:txbx>
                      <w:txbxContent>
                        <w:p>
                          <w:pPr>
                            <w:pStyle w:val="4"/>
                            <w:spacing w:line="280" w:lineRule="exact"/>
                            <w:ind w:left="20"/>
                          </w:pPr>
                          <w:r>
                            <w:rPr>
                              <w:spacing w:val="-3"/>
                            </w:rPr>
                            <w:t>且广告费用无法计算或者明显偏低的，对广告主、广告经营者、广告发布者处以五十</w:t>
                          </w:r>
                        </w:p>
                      </w:txbxContent>
                    </wps:txbx>
                    <wps:bodyPr lIns="0" tIns="0" rIns="0" bIns="0" upright="1"/>
                  </wps:wsp>
                </a:graphicData>
              </a:graphic>
            </wp:anchor>
          </w:drawing>
        </mc:Choice>
        <mc:Fallback>
          <w:pict>
            <v:shape id="文本框 64" o:spid="_x0000_s1026" o:spt="202" type="#_x0000_t202" style="position:absolute;left:0pt;margin-left:75.55pt;margin-top:754.55pt;height:14pt;width:444.2pt;mso-position-horizontal-relative:page;mso-position-vertical-relative:page;z-index:-276355072;mso-width-relative:page;mso-height-relative:page;" filled="f" stroked="f" coordsize="21600,21600" o:gfxdata="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rkEi2QAAAA4BAAAPAAAAAAAAAAEAIAAAACIAAABkcnMvZG93bnJldi54bWxQ&#10;SwECFAAUAAAACACHTuJAEgt4Zb0BAAB0AwAADgAAAAAAAAABACAAAAAoAQAAZHJzL2Uyb0RvYy54&#10;bWxQSwUGAAAAAAYABgBZAQAAVwUAAAAA&#10;">
              <v:fill on="f" focussize="0,0"/>
              <v:stroke on="f"/>
              <v:imagedata o:title=""/>
              <o:lock v:ext="edit" aspectratio="f"/>
              <v:textbox inset="0mm,0mm,0mm,0mm">
                <w:txbxContent>
                  <w:p>
                    <w:pPr>
                      <w:pStyle w:val="4"/>
                      <w:spacing w:line="280" w:lineRule="exact"/>
                      <w:ind w:left="20"/>
                    </w:pPr>
                    <w:r>
                      <w:rPr>
                        <w:spacing w:val="-3"/>
                      </w:rPr>
                      <w:t>且广告费用无法计算或者明显偏低的，对广告主、广告经营者、广告发布者处以五十</w:t>
                    </w:r>
                  </w:p>
                </w:txbxContent>
              </v:textbox>
            </v:shape>
          </w:pict>
        </mc:Fallback>
      </mc:AlternateContent>
    </w:r>
    <w:r>
      <mc:AlternateContent>
        <mc:Choice Requires="wps">
          <w:drawing>
            <wp:anchor distT="0" distB="0" distL="114300" distR="114300" simplePos="0" relativeHeight="22696243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71" name="文本框 6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178</w:t>
                          </w:r>
                          <w:r>
                            <w:fldChar w:fldCharType="end"/>
                          </w:r>
                          <w:r>
                            <w:rPr>
                              <w:sz w:val="21"/>
                            </w:rPr>
                            <w:t xml:space="preserve"> —</w:t>
                          </w:r>
                        </w:p>
                      </w:txbxContent>
                    </wps:txbx>
                    <wps:bodyPr lIns="0" tIns="0" rIns="0" bIns="0" upright="1"/>
                  </wps:wsp>
                </a:graphicData>
              </a:graphic>
            </wp:anchor>
          </w:drawing>
        </mc:Choice>
        <mc:Fallback>
          <w:pict>
            <v:shape id="文本框 65" o:spid="_x0000_s1026" o:spt="202" type="#_x0000_t202" style="position:absolute;left:0pt;margin-left:75.55pt;margin-top:779.15pt;height:12.6pt;width:49.2pt;mso-position-horizontal-relative:page;mso-position-vertical-relative:page;z-index:-27635404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CEDpbv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178</w:t>
                    </w:r>
                    <w:r>
                      <w:fldChar w:fldCharType="end"/>
                    </w:r>
                    <w:r>
                      <w:rPr>
                        <w:sz w:val="21"/>
                      </w:rP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164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80" name="文本框 7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181</w:t>
                          </w:r>
                          <w:r>
                            <w:fldChar w:fldCharType="end"/>
                          </w:r>
                          <w:r>
                            <w:rPr>
                              <w:sz w:val="21"/>
                            </w:rPr>
                            <w:t xml:space="preserve"> —</w:t>
                          </w:r>
                        </w:p>
                      </w:txbxContent>
                    </wps:txbx>
                    <wps:bodyPr lIns="0" tIns="0" rIns="0" bIns="0" upright="1"/>
                  </wps:wsp>
                </a:graphicData>
              </a:graphic>
            </wp:anchor>
          </w:drawing>
        </mc:Choice>
        <mc:Fallback>
          <w:pict>
            <v:shape id="文本框 74" o:spid="_x0000_s1026" o:spt="202" type="#_x0000_t202" style="position:absolute;left:0pt;margin-left:470.45pt;margin-top:779.15pt;height:12.6pt;width:49.2pt;mso-position-horizontal-relative:page;mso-position-vertical-relative:page;z-index:-27634483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ArY83j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181</w:t>
                    </w:r>
                    <w:r>
                      <w:fldChar w:fldCharType="end"/>
                    </w:r>
                    <w:r>
                      <w:rPr>
                        <w:sz w:val="21"/>
                      </w:rPr>
                      <w:t xml:space="preserve">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64480" behindDoc="1" locked="0" layoutInCell="1" allowOverlap="1">
              <wp:simplePos x="0" y="0"/>
              <wp:positionH relativeFrom="page">
                <wp:posOffset>1264285</wp:posOffset>
              </wp:positionH>
              <wp:positionV relativeFrom="page">
                <wp:posOffset>7996555</wp:posOffset>
              </wp:positionV>
              <wp:extent cx="635000" cy="177800"/>
              <wp:effectExtent l="0" t="0" r="0" b="0"/>
              <wp:wrapNone/>
              <wp:docPr id="73" name="文本框 67"/>
              <wp:cNvGraphicFramePr/>
              <a:graphic xmlns:a="http://schemas.openxmlformats.org/drawingml/2006/main">
                <a:graphicData uri="http://schemas.microsoft.com/office/word/2010/wordprocessingShape">
                  <wps:wsp>
                    <wps:cNvSpPr txBox="1"/>
                    <wps:spPr>
                      <a:xfrm>
                        <a:off x="0" y="0"/>
                        <a:ext cx="635000" cy="177800"/>
                      </a:xfrm>
                      <a:prstGeom prst="rect">
                        <a:avLst/>
                      </a:prstGeom>
                      <a:noFill/>
                      <a:ln>
                        <a:noFill/>
                      </a:ln>
                    </wps:spPr>
                    <wps:txbx>
                      <w:txbxContent>
                        <w:p>
                          <w:pPr>
                            <w:pStyle w:val="4"/>
                            <w:spacing w:line="280" w:lineRule="exact"/>
                            <w:ind w:left="20"/>
                          </w:pPr>
                          <w:r>
                            <w:t>【严重】</w:t>
                          </w:r>
                        </w:p>
                      </w:txbxContent>
                    </wps:txbx>
                    <wps:bodyPr lIns="0" tIns="0" rIns="0" bIns="0" upright="1"/>
                  </wps:wsp>
                </a:graphicData>
              </a:graphic>
            </wp:anchor>
          </w:drawing>
        </mc:Choice>
        <mc:Fallback>
          <w:pict>
            <v:shape id="文本框 67" o:spid="_x0000_s1026" o:spt="202" type="#_x0000_t202" style="position:absolute;left:0pt;margin-left:99.55pt;margin-top:629.65pt;height:14pt;width:50pt;mso-position-horizontal-relative:page;mso-position-vertical-relative:page;z-index:-276352000;mso-width-relative:page;mso-height-relative:page;" filled="f" stroked="f" coordsize="21600,21600" o:gfxdata="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Oux7naAAAADQEAAA8AAAAAAAAAAQAgAAAAIgAAAGRycy9kb3ducmV2LnhtbFBL&#10;AQIUABQAAAAIAIdO4kAathSxuwEAAHMDAAAOAAAAAAAAAAEAIAAAACkBAABkcnMvZTJvRG9jLnht&#10;bFBLBQYAAAAABgAGAFkBAABWBQAAAAA=&#10;">
              <v:fill on="f" focussize="0,0"/>
              <v:stroke on="f"/>
              <v:imagedata o:title=""/>
              <o:lock v:ext="edit" aspectratio="f"/>
              <v:textbox inset="0mm,0mm,0mm,0mm">
                <w:txbxContent>
                  <w:p>
                    <w:pPr>
                      <w:pStyle w:val="4"/>
                      <w:spacing w:line="280" w:lineRule="exact"/>
                      <w:ind w:left="20"/>
                    </w:pPr>
                    <w:r>
                      <w:t>【严重】</w:t>
                    </w:r>
                  </w:p>
                </w:txbxContent>
              </v:textbox>
            </v:shape>
          </w:pict>
        </mc:Fallback>
      </mc:AlternateContent>
    </w:r>
    <w:r>
      <mc:AlternateContent>
        <mc:Choice Requires="wps">
          <w:drawing>
            <wp:anchor distT="0" distB="0" distL="114300" distR="114300" simplePos="0" relativeHeight="226965504" behindDoc="1" locked="0" layoutInCell="1" allowOverlap="1">
              <wp:simplePos x="0" y="0"/>
              <wp:positionH relativeFrom="page">
                <wp:posOffset>1264285</wp:posOffset>
              </wp:positionH>
              <wp:positionV relativeFrom="page">
                <wp:posOffset>8313420</wp:posOffset>
              </wp:positionV>
              <wp:extent cx="5359400" cy="177800"/>
              <wp:effectExtent l="0" t="0" r="0" b="0"/>
              <wp:wrapNone/>
              <wp:docPr id="74" name="文本框 68"/>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广告费用二十万元以上的，或者造成严重人身、财产损失或者其他严重后果的，</w:t>
                          </w:r>
                        </w:p>
                      </w:txbxContent>
                    </wps:txbx>
                    <wps:bodyPr lIns="0" tIns="0" rIns="0" bIns="0" upright="1"/>
                  </wps:wsp>
                </a:graphicData>
              </a:graphic>
            </wp:anchor>
          </w:drawing>
        </mc:Choice>
        <mc:Fallback>
          <w:pict>
            <v:shape id="文本框 68" o:spid="_x0000_s1026" o:spt="202" type="#_x0000_t202" style="position:absolute;left:0pt;margin-left:99.55pt;margin-top:654.6pt;height:14pt;width:422pt;mso-position-horizontal-relative:page;mso-position-vertical-relative:page;z-index:-276350976;mso-width-relative:page;mso-height-relative:page;" filled="f" stroked="f" coordsize="21600,21600" o:gfxdata="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8OR7NoAAAAOAQAADwAAAAAAAAABACAAAAAiAAAAZHJzL2Rvd25yZXYueG1s&#10;UEsBAhQAFAAAAAgAh07iQK+eh6q9AQAAdAMAAA4AAAAAAAAAAQAgAAAAKQEAAGRycy9lMm9Eb2Mu&#10;eG1sUEsFBgAAAAAGAAYAWQEAAFgFAAAAAA==&#10;">
              <v:fill on="f" focussize="0,0"/>
              <v:stroke on="f"/>
              <v:imagedata o:title=""/>
              <o:lock v:ext="edit" aspectratio="f"/>
              <v:textbox inset="0mm,0mm,0mm,0mm">
                <w:txbxContent>
                  <w:p>
                    <w:pPr>
                      <w:pStyle w:val="4"/>
                      <w:spacing w:line="280" w:lineRule="exact"/>
                      <w:ind w:left="20"/>
                    </w:pPr>
                    <w:r>
                      <w:t>广告费用二十万元以上的，或者造成严重人身、财产损失或者其他严重后果的，</w:t>
                    </w:r>
                  </w:p>
                </w:txbxContent>
              </v:textbox>
            </v:shape>
          </w:pict>
        </mc:Fallback>
      </mc:AlternateContent>
    </w:r>
    <w:r>
      <mc:AlternateContent>
        <mc:Choice Requires="wps">
          <w:drawing>
            <wp:anchor distT="0" distB="0" distL="114300" distR="114300" simplePos="0" relativeHeight="226966528" behindDoc="1" locked="0" layoutInCell="1" allowOverlap="1">
              <wp:simplePos x="0" y="0"/>
              <wp:positionH relativeFrom="page">
                <wp:posOffset>959485</wp:posOffset>
              </wp:positionH>
              <wp:positionV relativeFrom="page">
                <wp:posOffset>8630285</wp:posOffset>
              </wp:positionV>
              <wp:extent cx="5641340" cy="177800"/>
              <wp:effectExtent l="0" t="0" r="0" b="0"/>
              <wp:wrapNone/>
              <wp:docPr id="75" name="文本框 69"/>
              <wp:cNvGraphicFramePr/>
              <a:graphic xmlns:a="http://schemas.openxmlformats.org/drawingml/2006/main">
                <a:graphicData uri="http://schemas.microsoft.com/office/word/2010/wordprocessingShape">
                  <wps:wsp>
                    <wps:cNvSpPr txBox="1"/>
                    <wps:spPr>
                      <a:xfrm>
                        <a:off x="0" y="0"/>
                        <a:ext cx="5641340" cy="177800"/>
                      </a:xfrm>
                      <a:prstGeom prst="rect">
                        <a:avLst/>
                      </a:prstGeom>
                      <a:noFill/>
                      <a:ln>
                        <a:noFill/>
                      </a:ln>
                    </wps:spPr>
                    <wps:txbx>
                      <w:txbxContent>
                        <w:p>
                          <w:pPr>
                            <w:pStyle w:val="4"/>
                            <w:spacing w:line="280" w:lineRule="exact"/>
                            <w:ind w:left="20"/>
                          </w:pPr>
                          <w:r>
                            <w:rPr>
                              <w:spacing w:val="-3"/>
                            </w:rPr>
                            <w:t>或者造成严重不良社会影响的，对广告主处广告费用四倍以上五倍以下的罚款；对广</w:t>
                          </w:r>
                        </w:p>
                      </w:txbxContent>
                    </wps:txbx>
                    <wps:bodyPr lIns="0" tIns="0" rIns="0" bIns="0" upright="1"/>
                  </wps:wsp>
                </a:graphicData>
              </a:graphic>
            </wp:anchor>
          </w:drawing>
        </mc:Choice>
        <mc:Fallback>
          <w:pict>
            <v:shape id="文本框 69" o:spid="_x0000_s1026" o:spt="202" type="#_x0000_t202" style="position:absolute;left:0pt;margin-left:75.55pt;margin-top:679.55pt;height:14pt;width:444.2pt;mso-position-horizontal-relative:page;mso-position-vertical-relative:page;z-index:-276349952;mso-width-relative:page;mso-height-relative:page;" filled="f" stroked="f" coordsize="21600,21600" o:gfxdata="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G3gIDaAAAADgEAAA8AAAAAAAAAAQAgAAAAIgAAAGRycy9kb3ducmV2Lnht&#10;bFBLAQIUABQAAAAIAIdO4kBUDoTFvgEAAHQDAAAOAAAAAAAAAAEAIAAAACkBAABkcnMvZTJvRG9j&#10;LnhtbFBLBQYAAAAABgAGAFkBAABZBQAAAAA=&#10;">
              <v:fill on="f" focussize="0,0"/>
              <v:stroke on="f"/>
              <v:imagedata o:title=""/>
              <o:lock v:ext="edit" aspectratio="f"/>
              <v:textbox inset="0mm,0mm,0mm,0mm">
                <w:txbxContent>
                  <w:p>
                    <w:pPr>
                      <w:pStyle w:val="4"/>
                      <w:spacing w:line="280" w:lineRule="exact"/>
                      <w:ind w:left="20"/>
                    </w:pPr>
                    <w:r>
                      <w:rPr>
                        <w:spacing w:val="-3"/>
                      </w:rPr>
                      <w:t>或者造成严重不良社会影响的，对广告主处广告费用四倍以上五倍以下的罚款；对广</w:t>
                    </w:r>
                  </w:p>
                </w:txbxContent>
              </v:textbox>
            </v:shape>
          </w:pict>
        </mc:Fallback>
      </mc:AlternateContent>
    </w:r>
    <w:r>
      <mc:AlternateContent>
        <mc:Choice Requires="wps">
          <w:drawing>
            <wp:anchor distT="0" distB="0" distL="114300" distR="114300" simplePos="0" relativeHeight="226967552" behindDoc="1" locked="0" layoutInCell="1" allowOverlap="1">
              <wp:simplePos x="0" y="0"/>
              <wp:positionH relativeFrom="page">
                <wp:posOffset>959485</wp:posOffset>
              </wp:positionH>
              <wp:positionV relativeFrom="page">
                <wp:posOffset>8949055</wp:posOffset>
              </wp:positionV>
              <wp:extent cx="5359400" cy="177800"/>
              <wp:effectExtent l="0" t="0" r="0" b="0"/>
              <wp:wrapNone/>
              <wp:docPr id="76" name="文本框 70"/>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告经营者、广告发布者没收广告费用，并处广告费用四倍以上五倍以下的罚款。</w:t>
                          </w:r>
                        </w:p>
                      </w:txbxContent>
                    </wps:txbx>
                    <wps:bodyPr lIns="0" tIns="0" rIns="0" bIns="0" upright="1"/>
                  </wps:wsp>
                </a:graphicData>
              </a:graphic>
            </wp:anchor>
          </w:drawing>
        </mc:Choice>
        <mc:Fallback>
          <w:pict>
            <v:shape id="文本框 70" o:spid="_x0000_s1026" o:spt="202" type="#_x0000_t202" style="position:absolute;left:0pt;margin-left:75.55pt;margin-top:704.65pt;height:14pt;width:422pt;mso-position-horizontal-relative:page;mso-position-vertical-relative:page;z-index:-276348928;mso-width-relative:page;mso-height-relative:page;" filled="f" stroked="f" coordsize="21600,21600" o:gfxdata="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rMdMtoAAAANAQAADwAAAAAAAAABACAAAAAiAAAAZHJzL2Rvd25yZXYueG1sUEsB&#10;AhQAFAAAAAgAh07iQCB7TXS6AQAAdAMAAA4AAAAAAAAAAQAgAAAAKQEAAGRycy9lMm9Eb2MueG1s&#10;UEsFBgAAAAAGAAYAWQEAAFUFAAAAAA==&#10;">
              <v:fill on="f" focussize="0,0"/>
              <v:stroke on="f"/>
              <v:imagedata o:title=""/>
              <o:lock v:ext="edit" aspectratio="f"/>
              <v:textbox inset="0mm,0mm,0mm,0mm">
                <w:txbxContent>
                  <w:p>
                    <w:pPr>
                      <w:pStyle w:val="4"/>
                      <w:spacing w:line="280" w:lineRule="exact"/>
                      <w:ind w:left="20"/>
                    </w:pPr>
                    <w:r>
                      <w:t>告经营者、广告发布者没收广告费用，并处广告费用四倍以上五倍以下的罚款。</w:t>
                    </w:r>
                  </w:p>
                </w:txbxContent>
              </v:textbox>
            </v:shape>
          </w:pict>
        </mc:Fallback>
      </mc:AlternateContent>
    </w:r>
    <w:r>
      <mc:AlternateContent>
        <mc:Choice Requires="wps">
          <w:drawing>
            <wp:anchor distT="0" distB="0" distL="114300" distR="114300" simplePos="0" relativeHeight="226968576" behindDoc="1" locked="0" layoutInCell="1" allowOverlap="1">
              <wp:simplePos x="0" y="0"/>
              <wp:positionH relativeFrom="page">
                <wp:posOffset>1264285</wp:posOffset>
              </wp:positionH>
              <wp:positionV relativeFrom="page">
                <wp:posOffset>9265920</wp:posOffset>
              </wp:positionV>
              <wp:extent cx="5359400" cy="177800"/>
              <wp:effectExtent l="0" t="0" r="0" b="0"/>
              <wp:wrapNone/>
              <wp:docPr id="77" name="文本框 71"/>
              <wp:cNvGraphicFramePr/>
              <a:graphic xmlns:a="http://schemas.openxmlformats.org/drawingml/2006/main">
                <a:graphicData uri="http://schemas.microsoft.com/office/word/2010/wordprocessingShape">
                  <wps:wsp>
                    <wps:cNvSpPr txBox="1"/>
                    <wps:spPr>
                      <a:xfrm>
                        <a:off x="0" y="0"/>
                        <a:ext cx="5359400" cy="177800"/>
                      </a:xfrm>
                      <a:prstGeom prst="rect">
                        <a:avLst/>
                      </a:prstGeom>
                      <a:noFill/>
                      <a:ln>
                        <a:noFill/>
                      </a:ln>
                    </wps:spPr>
                    <wps:txbx>
                      <w:txbxContent>
                        <w:p>
                          <w:pPr>
                            <w:pStyle w:val="4"/>
                            <w:spacing w:line="280" w:lineRule="exact"/>
                            <w:ind w:left="20"/>
                          </w:pPr>
                          <w:r>
                            <w:t>造成严重人身、财产损失或者其他严重后果的，或者造成严重不良社会影响的，</w:t>
                          </w:r>
                        </w:p>
                      </w:txbxContent>
                    </wps:txbx>
                    <wps:bodyPr lIns="0" tIns="0" rIns="0" bIns="0" upright="1"/>
                  </wps:wsp>
                </a:graphicData>
              </a:graphic>
            </wp:anchor>
          </w:drawing>
        </mc:Choice>
        <mc:Fallback>
          <w:pict>
            <v:shape id="文本框 71" o:spid="_x0000_s1026" o:spt="202" type="#_x0000_t202" style="position:absolute;left:0pt;margin-left:99.55pt;margin-top:729.6pt;height:14pt;width:422pt;mso-position-horizontal-relative:page;mso-position-vertical-relative:page;z-index:-276347904;mso-width-relative:page;mso-height-relative:page;" filled="f" stroked="f" coordsize="21600,21600" o:gfxdata="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OkH42gAAAA4BAAAPAAAAAAAAAAEAIAAAACIAAABkcnMvZG93bnJldi54bWxQ&#10;SwECFAAUAAAACACHTuJAY3Obn7wBAAB0AwAADgAAAAAAAAABACAAAAApAQAAZHJzL2Uyb0RvYy54&#10;bWxQSwUGAAAAAAYABgBZAQAAVwUAAAAA&#10;">
              <v:fill on="f" focussize="0,0"/>
              <v:stroke on="f"/>
              <v:imagedata o:title=""/>
              <o:lock v:ext="edit" aspectratio="f"/>
              <v:textbox inset="0mm,0mm,0mm,0mm">
                <w:txbxContent>
                  <w:p>
                    <w:pPr>
                      <w:pStyle w:val="4"/>
                      <w:spacing w:line="280" w:lineRule="exact"/>
                      <w:ind w:left="20"/>
                    </w:pPr>
                    <w:r>
                      <w:t>造成严重人身、财产损失或者其他严重后果的，或者造成严重不良社会影响的，</w:t>
                    </w:r>
                  </w:p>
                </w:txbxContent>
              </v:textbox>
            </v:shape>
          </w:pict>
        </mc:Fallback>
      </mc:AlternateContent>
    </w:r>
    <w:r>
      <mc:AlternateContent>
        <mc:Choice Requires="wps">
          <w:drawing>
            <wp:anchor distT="0" distB="0" distL="114300" distR="114300" simplePos="0" relativeHeight="226969600" behindDoc="1" locked="0" layoutInCell="1" allowOverlap="1">
              <wp:simplePos x="0" y="0"/>
              <wp:positionH relativeFrom="page">
                <wp:posOffset>959485</wp:posOffset>
              </wp:positionH>
              <wp:positionV relativeFrom="page">
                <wp:posOffset>9582785</wp:posOffset>
              </wp:positionV>
              <wp:extent cx="5641340" cy="177800"/>
              <wp:effectExtent l="0" t="0" r="0" b="0"/>
              <wp:wrapNone/>
              <wp:docPr id="78" name="文本框 72"/>
              <wp:cNvGraphicFramePr/>
              <a:graphic xmlns:a="http://schemas.openxmlformats.org/drawingml/2006/main">
                <a:graphicData uri="http://schemas.microsoft.com/office/word/2010/wordprocessingShape">
                  <wps:wsp>
                    <wps:cNvSpPr txBox="1"/>
                    <wps:spPr>
                      <a:xfrm>
                        <a:off x="0" y="0"/>
                        <a:ext cx="5641340" cy="177800"/>
                      </a:xfrm>
                      <a:prstGeom prst="rect">
                        <a:avLst/>
                      </a:prstGeom>
                      <a:noFill/>
                      <a:ln>
                        <a:noFill/>
                      </a:ln>
                    </wps:spPr>
                    <wps:txbx>
                      <w:txbxContent>
                        <w:p>
                          <w:pPr>
                            <w:pStyle w:val="4"/>
                            <w:spacing w:line="280" w:lineRule="exact"/>
                            <w:ind w:left="20"/>
                          </w:pPr>
                          <w:r>
                            <w:rPr>
                              <w:spacing w:val="-3"/>
                            </w:rPr>
                            <w:t>且广告费用无法计算或者明显偏低的，对广告主、广告经营者、广告发布者处以五十</w:t>
                          </w:r>
                        </w:p>
                      </w:txbxContent>
                    </wps:txbx>
                    <wps:bodyPr lIns="0" tIns="0" rIns="0" bIns="0" upright="1"/>
                  </wps:wsp>
                </a:graphicData>
              </a:graphic>
            </wp:anchor>
          </w:drawing>
        </mc:Choice>
        <mc:Fallback>
          <w:pict>
            <v:shape id="文本框 72" o:spid="_x0000_s1026" o:spt="202" type="#_x0000_t202" style="position:absolute;left:0pt;margin-left:75.55pt;margin-top:754.55pt;height:14pt;width:444.2pt;mso-position-horizontal-relative:page;mso-position-vertical-relative:page;z-index:-276346880;mso-width-relative:page;mso-height-relative:page;" filled="f" stroked="f" coordsize="21600,21600" o:gfxdata="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rkEi2QAAAA4BAAAPAAAAAAAAAAEAIAAAACIAAABkcnMvZG93bnJldi54bWxQ&#10;SwECFAAUAAAACACHTuJAIzDrQL0BAAB0AwAADgAAAAAAAAABACAAAAAoAQAAZHJzL2Uyb0RvYy54&#10;bWxQSwUGAAAAAAYABgBZAQAAVwUAAAAA&#10;">
              <v:fill on="f" focussize="0,0"/>
              <v:stroke on="f"/>
              <v:imagedata o:title=""/>
              <o:lock v:ext="edit" aspectratio="f"/>
              <v:textbox inset="0mm,0mm,0mm,0mm">
                <w:txbxContent>
                  <w:p>
                    <w:pPr>
                      <w:pStyle w:val="4"/>
                      <w:spacing w:line="280" w:lineRule="exact"/>
                      <w:ind w:left="20"/>
                    </w:pPr>
                    <w:r>
                      <w:rPr>
                        <w:spacing w:val="-3"/>
                      </w:rPr>
                      <w:t>且广告费用无法计算或者明显偏低的，对广告主、广告经营者、广告发布者处以五十</w:t>
                    </w:r>
                  </w:p>
                </w:txbxContent>
              </v:textbox>
            </v:shape>
          </w:pict>
        </mc:Fallback>
      </mc:AlternateContent>
    </w:r>
    <w:r>
      <mc:AlternateContent>
        <mc:Choice Requires="wps">
          <w:drawing>
            <wp:anchor distT="0" distB="0" distL="114300" distR="114300" simplePos="0" relativeHeight="22697062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79" name="文本框 7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180</w:t>
                          </w:r>
                          <w:r>
                            <w:fldChar w:fldCharType="end"/>
                          </w:r>
                          <w:r>
                            <w:rPr>
                              <w:sz w:val="21"/>
                            </w:rPr>
                            <w:t xml:space="preserve"> —</w:t>
                          </w:r>
                        </w:p>
                      </w:txbxContent>
                    </wps:txbx>
                    <wps:bodyPr lIns="0" tIns="0" rIns="0" bIns="0" upright="1"/>
                  </wps:wsp>
                </a:graphicData>
              </a:graphic>
            </wp:anchor>
          </w:drawing>
        </mc:Choice>
        <mc:Fallback>
          <w:pict>
            <v:shape id="文本框 73" o:spid="_x0000_s1026" o:spt="202" type="#_x0000_t202" style="position:absolute;left:0pt;margin-left:75.55pt;margin-top:779.15pt;height:12.6pt;width:49.2pt;mso-position-horizontal-relative:page;mso-position-vertical-relative:page;z-index:-27634585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DaffxO9AQAAcw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180</w:t>
                    </w:r>
                    <w:r>
                      <w:fldChar w:fldCharType="end"/>
                    </w:r>
                    <w:r>
                      <w:rPr>
                        <w:sz w:val="21"/>
                      </w:rPr>
                      <w:t xml:space="preserve">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369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82" name="文本框 7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183</w:t>
                          </w:r>
                          <w:r>
                            <w:fldChar w:fldCharType="end"/>
                          </w:r>
                          <w:r>
                            <w:rPr>
                              <w:sz w:val="21"/>
                            </w:rPr>
                            <w:t xml:space="preserve"> —</w:t>
                          </w:r>
                        </w:p>
                      </w:txbxContent>
                    </wps:txbx>
                    <wps:bodyPr lIns="0" tIns="0" rIns="0" bIns="0" upright="1"/>
                  </wps:wsp>
                </a:graphicData>
              </a:graphic>
            </wp:anchor>
          </w:drawing>
        </mc:Choice>
        <mc:Fallback>
          <w:pict>
            <v:shape id="文本框 76" o:spid="_x0000_s1026" o:spt="202" type="#_x0000_t202" style="position:absolute;left:0pt;margin-left:470.45pt;margin-top:779.15pt;height:12.6pt;width:49.2pt;mso-position-horizontal-relative:page;mso-position-vertical-relative:page;z-index:-27634278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DgnMCI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183</w:t>
                    </w:r>
                    <w:r>
                      <w:fldChar w:fldCharType="end"/>
                    </w:r>
                    <w:r>
                      <w:rPr>
                        <w:sz w:val="21"/>
                      </w:rP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267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81" name="文本框 7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182</w:t>
                          </w:r>
                          <w:r>
                            <w:fldChar w:fldCharType="end"/>
                          </w:r>
                          <w:r>
                            <w:rPr>
                              <w:sz w:val="21"/>
                            </w:rPr>
                            <w:t xml:space="preserve"> —</w:t>
                          </w:r>
                        </w:p>
                      </w:txbxContent>
                    </wps:txbx>
                    <wps:bodyPr lIns="0" tIns="0" rIns="0" bIns="0" upright="1"/>
                  </wps:wsp>
                </a:graphicData>
              </a:graphic>
            </wp:anchor>
          </w:drawing>
        </mc:Choice>
        <mc:Fallback>
          <w:pict>
            <v:shape id="文本框 75" o:spid="_x0000_s1026" o:spt="202" type="#_x0000_t202" style="position:absolute;left:0pt;margin-left:75.55pt;margin-top:779.15pt;height:12.6pt;width:49.2pt;mso-position-horizontal-relative:page;mso-position-vertical-relative:page;z-index:-27634380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7h/zO7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182</w:t>
                    </w:r>
                    <w:r>
                      <w:fldChar w:fldCharType="end"/>
                    </w:r>
                    <w:r>
                      <w:rPr>
                        <w:sz w:val="21"/>
                      </w:rP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574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84" name="文本框 7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191</w:t>
                          </w:r>
                          <w:r>
                            <w:fldChar w:fldCharType="end"/>
                          </w:r>
                          <w:r>
                            <w:rPr>
                              <w:sz w:val="21"/>
                            </w:rPr>
                            <w:t xml:space="preserve"> —</w:t>
                          </w:r>
                        </w:p>
                      </w:txbxContent>
                    </wps:txbx>
                    <wps:bodyPr lIns="0" tIns="0" rIns="0" bIns="0" upright="1"/>
                  </wps:wsp>
                </a:graphicData>
              </a:graphic>
            </wp:anchor>
          </w:drawing>
        </mc:Choice>
        <mc:Fallback>
          <w:pict>
            <v:shape id="文本框 78" o:spid="_x0000_s1026" o:spt="202" type="#_x0000_t202" style="position:absolute;left:0pt;margin-left:470.45pt;margin-top:779.15pt;height:12.6pt;width:49.2pt;mso-position-horizontal-relative:page;mso-position-vertical-relative:page;z-index:-27634073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DiEUz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191</w:t>
                    </w:r>
                    <w:r>
                      <w:fldChar w:fldCharType="end"/>
                    </w:r>
                    <w:r>
                      <w:rPr>
                        <w:sz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13280" behindDoc="1" locked="0" layoutInCell="1" allowOverlap="1">
              <wp:simplePos x="0" y="0"/>
              <wp:positionH relativeFrom="page">
                <wp:posOffset>959485</wp:posOffset>
              </wp:positionH>
              <wp:positionV relativeFrom="page">
                <wp:posOffset>9895205</wp:posOffset>
              </wp:positionV>
              <wp:extent cx="557530" cy="160020"/>
              <wp:effectExtent l="0" t="0" r="0" b="0"/>
              <wp:wrapNone/>
              <wp:docPr id="23" name="文本框 17"/>
              <wp:cNvGraphicFramePr/>
              <a:graphic xmlns:a="http://schemas.openxmlformats.org/drawingml/2006/main">
                <a:graphicData uri="http://schemas.microsoft.com/office/word/2010/wordprocessingShape">
                  <wps:wsp>
                    <wps:cNvSpPr txBox="1"/>
                    <wps:spPr>
                      <a:xfrm>
                        <a:off x="0" y="0"/>
                        <a:ext cx="55753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70</w:t>
                          </w:r>
                          <w:r>
                            <w:fldChar w:fldCharType="end"/>
                          </w:r>
                          <w:r>
                            <w:rPr>
                              <w:sz w:val="21"/>
                            </w:rPr>
                            <w:t xml:space="preserve"> —</w:t>
                          </w:r>
                        </w:p>
                      </w:txbxContent>
                    </wps:txbx>
                    <wps:bodyPr lIns="0" tIns="0" rIns="0" bIns="0" upright="1"/>
                  </wps:wsp>
                </a:graphicData>
              </a:graphic>
            </wp:anchor>
          </w:drawing>
        </mc:Choice>
        <mc:Fallback>
          <w:pict>
            <v:shape id="文本框 17" o:spid="_x0000_s1026" o:spt="202" type="#_x0000_t202" style="position:absolute;left:0pt;margin-left:75.55pt;margin-top:779.15pt;height:12.6pt;width:43.9pt;mso-position-horizontal-relative:page;mso-position-vertical-relative:page;z-index:-276403200;mso-width-relative:page;mso-height-relative:page;" filled="f" stroked="f" coordsize="21600,21600" o:gfxdata="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D6QFq2gAAAA0BAAAPAAAAAAAAAAEAIAAAACIAAABkcnMvZG93bnJldi54bWxQ&#10;SwECFAAUAAAACACHTuJAGD0OZ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70</w:t>
                    </w:r>
                    <w:r>
                      <w:fldChar w:fldCharType="end"/>
                    </w:r>
                    <w:r>
                      <w:rPr>
                        <w:sz w:val="21"/>
                      </w:rP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472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83" name="文本框 7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190</w:t>
                          </w:r>
                          <w:r>
                            <w:fldChar w:fldCharType="end"/>
                          </w:r>
                          <w:r>
                            <w:rPr>
                              <w:sz w:val="21"/>
                            </w:rPr>
                            <w:t xml:space="preserve"> —</w:t>
                          </w:r>
                        </w:p>
                      </w:txbxContent>
                    </wps:txbx>
                    <wps:bodyPr lIns="0" tIns="0" rIns="0" bIns="0" upright="1"/>
                  </wps:wsp>
                </a:graphicData>
              </a:graphic>
            </wp:anchor>
          </w:drawing>
        </mc:Choice>
        <mc:Fallback>
          <w:pict>
            <v:shape id="文本框 77" o:spid="_x0000_s1026" o:spt="202" type="#_x0000_t202" style="position:absolute;left:0pt;margin-left:75.55pt;margin-top:779.15pt;height:12.6pt;width:49.2pt;mso-position-horizontal-relative:page;mso-position-vertical-relative:page;z-index:-27634176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JeD+UL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190</w:t>
                    </w:r>
                    <w:r>
                      <w:fldChar w:fldCharType="end"/>
                    </w:r>
                    <w:r>
                      <w:rPr>
                        <w:sz w:val="21"/>
                      </w:rPr>
                      <w:t xml:space="preserve">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779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86" name="文本框 8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201</w:t>
                          </w:r>
                          <w:r>
                            <w:fldChar w:fldCharType="end"/>
                          </w:r>
                          <w:r>
                            <w:rPr>
                              <w:sz w:val="21"/>
                            </w:rPr>
                            <w:t xml:space="preserve"> —</w:t>
                          </w:r>
                        </w:p>
                      </w:txbxContent>
                    </wps:txbx>
                    <wps:bodyPr lIns="0" tIns="0" rIns="0" bIns="0" upright="1"/>
                  </wps:wsp>
                </a:graphicData>
              </a:graphic>
            </wp:anchor>
          </w:drawing>
        </mc:Choice>
        <mc:Fallback>
          <w:pict>
            <v:shape id="文本框 80" o:spid="_x0000_s1026" o:spt="202" type="#_x0000_t202" style="position:absolute;left:0pt;margin-left:470.45pt;margin-top:779.15pt;height:12.6pt;width:49.2pt;mso-position-horizontal-relative:page;mso-position-vertical-relative:page;z-index:-27633868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iPZkdoAAAAOAQAADwAAAAAAAAABACAAAAAiAAAAZHJzL2Rvd25yZXYueG1sUEsB&#10;AhQAFAAAAAgAh07iQJ8Sz6W6AQAAcw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201</w:t>
                    </w:r>
                    <w:r>
                      <w:fldChar w:fldCharType="end"/>
                    </w:r>
                    <w:r>
                      <w:rPr>
                        <w:sz w:val="21"/>
                      </w:rP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676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85" name="文本框 7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200</w:t>
                          </w:r>
                          <w:r>
                            <w:fldChar w:fldCharType="end"/>
                          </w:r>
                          <w:r>
                            <w:rPr>
                              <w:sz w:val="21"/>
                            </w:rPr>
                            <w:t xml:space="preserve"> —</w:t>
                          </w:r>
                        </w:p>
                      </w:txbxContent>
                    </wps:txbx>
                    <wps:bodyPr lIns="0" tIns="0" rIns="0" bIns="0" upright="1"/>
                  </wps:wsp>
                </a:graphicData>
              </a:graphic>
            </wp:anchor>
          </w:drawing>
        </mc:Choice>
        <mc:Fallback>
          <w:pict>
            <v:shape id="文本框 79" o:spid="_x0000_s1026" o:spt="202" type="#_x0000_t202" style="position:absolute;left:0pt;margin-left:75.55pt;margin-top:779.15pt;height:12.6pt;width:49.2pt;mso-position-horizontal-relative:page;mso-position-vertical-relative:page;z-index:-27633971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y10qF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200</w:t>
                    </w:r>
                    <w:r>
                      <w:fldChar w:fldCharType="end"/>
                    </w:r>
                    <w:r>
                      <w:rPr>
                        <w:sz w:val="21"/>
                      </w:rP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984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88" name="文本框 8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211</w:t>
                          </w:r>
                          <w:r>
                            <w:fldChar w:fldCharType="end"/>
                          </w:r>
                          <w:r>
                            <w:rPr>
                              <w:sz w:val="21"/>
                            </w:rPr>
                            <w:t xml:space="preserve"> —</w:t>
                          </w:r>
                        </w:p>
                      </w:txbxContent>
                    </wps:txbx>
                    <wps:bodyPr lIns="0" tIns="0" rIns="0" bIns="0" upright="1"/>
                  </wps:wsp>
                </a:graphicData>
              </a:graphic>
            </wp:anchor>
          </w:drawing>
        </mc:Choice>
        <mc:Fallback>
          <w:pict>
            <v:shape id="文本框 82" o:spid="_x0000_s1026" o:spt="202" type="#_x0000_t202" style="position:absolute;left:0pt;margin-left:470.45pt;margin-top:779.15pt;height:12.6pt;width:49.2pt;mso-position-horizontal-relative:page;mso-position-vertical-relative:page;z-index:-27633664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Dli4QG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211</w:t>
                    </w:r>
                    <w:r>
                      <w:fldChar w:fldCharType="end"/>
                    </w:r>
                    <w:r>
                      <w:rPr>
                        <w:sz w:val="21"/>
                      </w:rPr>
                      <w:t xml:space="preserve"> —</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7881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87" name="文本框 8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210</w:t>
                          </w:r>
                          <w:r>
                            <w:fldChar w:fldCharType="end"/>
                          </w:r>
                          <w:r>
                            <w:rPr>
                              <w:sz w:val="21"/>
                            </w:rPr>
                            <w:t xml:space="preserve"> —</w:t>
                          </w:r>
                        </w:p>
                      </w:txbxContent>
                    </wps:txbx>
                    <wps:bodyPr lIns="0" tIns="0" rIns="0" bIns="0" upright="1"/>
                  </wps:wsp>
                </a:graphicData>
              </a:graphic>
            </wp:anchor>
          </w:drawing>
        </mc:Choice>
        <mc:Fallback>
          <w:pict>
            <v:shape id="文本框 81" o:spid="_x0000_s1026" o:spt="202" type="#_x0000_t202" style="position:absolute;left:0pt;margin-left:75.55pt;margin-top:779.15pt;height:12.6pt;width:49.2pt;mso-position-horizontal-relative:page;mso-position-vertical-relative:page;z-index:-27633766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Wm7xf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210</w:t>
                    </w:r>
                    <w:r>
                      <w:fldChar w:fldCharType="end"/>
                    </w:r>
                    <w:r>
                      <w:rPr>
                        <w:sz w:val="21"/>
                      </w:rPr>
                      <w:t xml:space="preserve">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188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90" name="文本框 8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221</w:t>
                          </w:r>
                          <w:r>
                            <w:fldChar w:fldCharType="end"/>
                          </w:r>
                          <w:r>
                            <w:rPr>
                              <w:sz w:val="21"/>
                            </w:rPr>
                            <w:t xml:space="preserve"> —</w:t>
                          </w:r>
                        </w:p>
                      </w:txbxContent>
                    </wps:txbx>
                    <wps:bodyPr lIns="0" tIns="0" rIns="0" bIns="0" upright="1"/>
                  </wps:wsp>
                </a:graphicData>
              </a:graphic>
            </wp:anchor>
          </w:drawing>
        </mc:Choice>
        <mc:Fallback>
          <w:pict>
            <v:shape id="文本框 84" o:spid="_x0000_s1026" o:spt="202" type="#_x0000_t202" style="position:absolute;left:0pt;margin-left:470.45pt;margin-top:779.15pt;height:12.6pt;width:49.2pt;mso-position-horizontal-relative:page;mso-position-vertical-relative:page;z-index:-27633459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AUErsR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221</w:t>
                    </w:r>
                    <w:r>
                      <w:fldChar w:fldCharType="end"/>
                    </w:r>
                    <w:r>
                      <w:rPr>
                        <w:sz w:val="21"/>
                      </w:rP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086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89" name="文本框 8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220</w:t>
                          </w:r>
                          <w:r>
                            <w:fldChar w:fldCharType="end"/>
                          </w:r>
                          <w:r>
                            <w:rPr>
                              <w:sz w:val="21"/>
                            </w:rPr>
                            <w:t xml:space="preserve"> —</w:t>
                          </w:r>
                        </w:p>
                      </w:txbxContent>
                    </wps:txbx>
                    <wps:bodyPr lIns="0" tIns="0" rIns="0" bIns="0" upright="1"/>
                  </wps:wsp>
                </a:graphicData>
              </a:graphic>
            </wp:anchor>
          </w:drawing>
        </mc:Choice>
        <mc:Fallback>
          <w:pict>
            <v:shape id="文本框 83" o:spid="_x0000_s1026" o:spt="202" type="#_x0000_t202" style="position:absolute;left:0pt;margin-left:75.55pt;margin-top:779.15pt;height:12.6pt;width:49.2pt;mso-position-horizontal-relative:page;mso-position-vertical-relative:page;z-index:-27633561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IPe63r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220</w:t>
                    </w:r>
                    <w:r>
                      <w:fldChar w:fldCharType="end"/>
                    </w:r>
                    <w:r>
                      <w:rPr>
                        <w:sz w:val="21"/>
                      </w:rP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393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92" name="文本框 8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231</w:t>
                          </w:r>
                          <w:r>
                            <w:fldChar w:fldCharType="end"/>
                          </w:r>
                          <w:r>
                            <w:rPr>
                              <w:sz w:val="21"/>
                            </w:rPr>
                            <w:t xml:space="preserve"> —</w:t>
                          </w:r>
                        </w:p>
                      </w:txbxContent>
                    </wps:txbx>
                    <wps:bodyPr lIns="0" tIns="0" rIns="0" bIns="0" upright="1"/>
                  </wps:wsp>
                </a:graphicData>
              </a:graphic>
            </wp:anchor>
          </w:drawing>
        </mc:Choice>
        <mc:Fallback>
          <w:pict>
            <v:shape id="文本框 86" o:spid="_x0000_s1026" o:spt="202" type="#_x0000_t202" style="position:absolute;left:0pt;margin-left:470.45pt;margin-top:779.15pt;height:12.6pt;width:49.2pt;mso-position-horizontal-relative:page;mso-position-vertical-relative:page;z-index:-27633254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Df7bZ6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231</w:t>
                    </w:r>
                    <w:r>
                      <w:fldChar w:fldCharType="end"/>
                    </w:r>
                    <w:r>
                      <w:rPr>
                        <w:sz w:val="21"/>
                      </w:rPr>
                      <w:t xml:space="preserve"> —</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291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91" name="文本框 8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230</w:t>
                          </w:r>
                          <w:r>
                            <w:fldChar w:fldCharType="end"/>
                          </w:r>
                          <w:r>
                            <w:rPr>
                              <w:sz w:val="21"/>
                            </w:rPr>
                            <w:t xml:space="preserve"> —</w:t>
                          </w:r>
                        </w:p>
                      </w:txbxContent>
                    </wps:txbx>
                    <wps:bodyPr lIns="0" tIns="0" rIns="0" bIns="0" upright="1"/>
                  </wps:wsp>
                </a:graphicData>
              </a:graphic>
            </wp:anchor>
          </w:drawing>
        </mc:Choice>
        <mc:Fallback>
          <w:pict>
            <v:shape id="文本框 85" o:spid="_x0000_s1026" o:spt="202" type="#_x0000_t202" style="position:absolute;left:0pt;margin-left:75.55pt;margin-top:779.15pt;height:12.6pt;width:49.2pt;mso-position-horizontal-relative:page;mso-position-vertical-relative:page;z-index:-27633356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0W6Fy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230</w:t>
                    </w:r>
                    <w:r>
                      <w:fldChar w:fldCharType="end"/>
                    </w:r>
                    <w:r>
                      <w:rPr>
                        <w:sz w:val="21"/>
                      </w:rPr>
                      <w:t xml:space="preserve"> —</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598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94" name="文本框 8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241</w:t>
                          </w:r>
                          <w:r>
                            <w:fldChar w:fldCharType="end"/>
                          </w:r>
                          <w:r>
                            <w:rPr>
                              <w:sz w:val="21"/>
                            </w:rPr>
                            <w:t xml:space="preserve"> —</w:t>
                          </w:r>
                        </w:p>
                      </w:txbxContent>
                    </wps:txbx>
                    <wps:bodyPr lIns="0" tIns="0" rIns="0" bIns="0" upright="1"/>
                  </wps:wsp>
                </a:graphicData>
              </a:graphic>
            </wp:anchor>
          </w:drawing>
        </mc:Choice>
        <mc:Fallback>
          <w:pict>
            <v:shape id="文本框 88" o:spid="_x0000_s1026" o:spt="202" type="#_x0000_t202" style="position:absolute;left:0pt;margin-left:470.45pt;margin-top:779.15pt;height:12.6pt;width:49.2pt;mso-position-horizontal-relative:page;mso-position-vertical-relative:page;z-index:-27633049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MVBiP7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241</w:t>
                    </w:r>
                    <w:r>
                      <w:fldChar w:fldCharType="end"/>
                    </w:r>
                    <w:r>
                      <w:rPr>
                        <w:sz w:val="21"/>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16352" behindDoc="1" locked="0" layoutInCell="1" allowOverlap="1">
              <wp:simplePos x="0" y="0"/>
              <wp:positionH relativeFrom="page">
                <wp:posOffset>6042025</wp:posOffset>
              </wp:positionH>
              <wp:positionV relativeFrom="page">
                <wp:posOffset>9895205</wp:posOffset>
              </wp:positionV>
              <wp:extent cx="557530" cy="160020"/>
              <wp:effectExtent l="0" t="0" r="0" b="0"/>
              <wp:wrapNone/>
              <wp:docPr id="26" name="文本框 20"/>
              <wp:cNvGraphicFramePr/>
              <a:graphic xmlns:a="http://schemas.openxmlformats.org/drawingml/2006/main">
                <a:graphicData uri="http://schemas.microsoft.com/office/word/2010/wordprocessingShape">
                  <wps:wsp>
                    <wps:cNvSpPr txBox="1"/>
                    <wps:spPr>
                      <a:xfrm>
                        <a:off x="0" y="0"/>
                        <a:ext cx="55753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81</w:t>
                          </w:r>
                          <w:r>
                            <w:fldChar w:fldCharType="end"/>
                          </w:r>
                          <w:r>
                            <w:rPr>
                              <w:sz w:val="21"/>
                            </w:rPr>
                            <w:t xml:space="preserve"> —</w:t>
                          </w:r>
                        </w:p>
                      </w:txbxContent>
                    </wps:txbx>
                    <wps:bodyPr lIns="0" tIns="0" rIns="0" bIns="0" upright="1"/>
                  </wps:wsp>
                </a:graphicData>
              </a:graphic>
            </wp:anchor>
          </w:drawing>
        </mc:Choice>
        <mc:Fallback>
          <w:pict>
            <v:shape id="文本框 20" o:spid="_x0000_s1026" o:spt="202" type="#_x0000_t202" style="position:absolute;left:0pt;margin-left:475.75pt;margin-top:779.15pt;height:12.6pt;width:43.9pt;mso-position-horizontal-relative:page;mso-position-vertical-relative:page;z-index:-276400128;mso-width-relative:page;mso-height-relative:page;" filled="f" stroked="f" coordsize="21600,21600" o:gfxdata="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RLCLtsAAAAOAQAADwAAAAAAAAABACAAAAAiAAAAZHJzL2Rvd25yZXYueG1sUEsB&#10;AhQAFAAAAAgAh07iQEx8Xwa5AQAAcwMAAA4AAAAAAAAAAQAgAAAAKg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81</w:t>
                    </w:r>
                    <w:r>
                      <w:fldChar w:fldCharType="end"/>
                    </w:r>
                    <w:r>
                      <w:rPr>
                        <w:sz w:val="21"/>
                      </w:rP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496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93" name="文本框 8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240</w:t>
                          </w:r>
                          <w:r>
                            <w:fldChar w:fldCharType="end"/>
                          </w:r>
                          <w:r>
                            <w:rPr>
                              <w:sz w:val="21"/>
                            </w:rPr>
                            <w:t xml:space="preserve"> —</w:t>
                          </w:r>
                        </w:p>
                      </w:txbxContent>
                    </wps:txbx>
                    <wps:bodyPr lIns="0" tIns="0" rIns="0" bIns="0" upright="1"/>
                  </wps:wsp>
                </a:graphicData>
              </a:graphic>
            </wp:anchor>
          </w:drawing>
        </mc:Choice>
        <mc:Fallback>
          <w:pict>
            <v:shape id="文本框 87" o:spid="_x0000_s1026" o:spt="202" type="#_x0000_t202" style="position:absolute;left:0pt;margin-left:75.55pt;margin-top:779.15pt;height:12.6pt;width:49.2pt;mso-position-horizontal-relative:page;mso-position-vertical-relative:page;z-index:-27633152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GpGIor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240</w:t>
                    </w:r>
                    <w:r>
                      <w:fldChar w:fldCharType="end"/>
                    </w:r>
                    <w:r>
                      <w:rPr>
                        <w:sz w:val="21"/>
                      </w:rP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803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96" name="文本框 9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251</w:t>
                          </w:r>
                          <w:r>
                            <w:fldChar w:fldCharType="end"/>
                          </w:r>
                          <w:r>
                            <w:rPr>
                              <w:sz w:val="21"/>
                            </w:rPr>
                            <w:t xml:space="preserve"> —</w:t>
                          </w:r>
                        </w:p>
                      </w:txbxContent>
                    </wps:txbx>
                    <wps:bodyPr lIns="0" tIns="0" rIns="0" bIns="0" upright="1"/>
                  </wps:wsp>
                </a:graphicData>
              </a:graphic>
            </wp:anchor>
          </w:drawing>
        </mc:Choice>
        <mc:Fallback>
          <w:pict>
            <v:shape id="文本框 90" o:spid="_x0000_s1026" o:spt="202" type="#_x0000_t202" style="position:absolute;left:0pt;margin-left:470.45pt;margin-top:779.15pt;height:12.6pt;width:49.2pt;mso-position-horizontal-relative:page;mso-position-vertical-relative:page;z-index:-27632844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iPZkdoAAAAOAQAADwAAAAAAAAABACAAAAAiAAAAZHJzL2Rvd25yZXYueG1sUEsB&#10;AhQAFAAAAAgAh07iQNwaGU66AQAAcw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251</w:t>
                    </w:r>
                    <w:r>
                      <w:fldChar w:fldCharType="end"/>
                    </w:r>
                    <w:r>
                      <w:rPr>
                        <w:sz w:val="21"/>
                      </w:rPr>
                      <w:t xml:space="preserve"> —</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700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95" name="文本框 8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250</w:t>
                          </w:r>
                          <w:r>
                            <w:fldChar w:fldCharType="end"/>
                          </w:r>
                          <w:r>
                            <w:rPr>
                              <w:sz w:val="21"/>
                            </w:rPr>
                            <w:t xml:space="preserve"> —</w:t>
                          </w:r>
                        </w:p>
                      </w:txbxContent>
                    </wps:txbx>
                    <wps:bodyPr lIns="0" tIns="0" rIns="0" bIns="0" upright="1"/>
                  </wps:wsp>
                </a:graphicData>
              </a:graphic>
            </wp:anchor>
          </w:drawing>
        </mc:Choice>
        <mc:Fallback>
          <w:pict>
            <v:shape id="文本框 89" o:spid="_x0000_s1026" o:spt="202" type="#_x0000_t202" style="position:absolute;left:0pt;margin-left:75.55pt;margin-top:779.15pt;height:12.6pt;width:49.2pt;mso-position-horizontal-relative:page;mso-position-vertical-relative:page;z-index:-27632947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9Cxc57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250</w:t>
                    </w:r>
                    <w:r>
                      <w:fldChar w:fldCharType="end"/>
                    </w:r>
                    <w:r>
                      <w:rPr>
                        <w:sz w:val="21"/>
                      </w:rPr>
                      <w:t xml:space="preserve"> —</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008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98" name="文本框 9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261</w:t>
                          </w:r>
                          <w:r>
                            <w:fldChar w:fldCharType="end"/>
                          </w:r>
                          <w:r>
                            <w:rPr>
                              <w:sz w:val="21"/>
                            </w:rPr>
                            <w:t xml:space="preserve"> —</w:t>
                          </w:r>
                        </w:p>
                      </w:txbxContent>
                    </wps:txbx>
                    <wps:bodyPr lIns="0" tIns="0" rIns="0" bIns="0" upright="1"/>
                  </wps:wsp>
                </a:graphicData>
              </a:graphic>
            </wp:anchor>
          </w:drawing>
        </mc:Choice>
        <mc:Fallback>
          <w:pict>
            <v:shape id="文本框 92" o:spid="_x0000_s1026" o:spt="202" type="#_x0000_t202" style="position:absolute;left:0pt;margin-left:470.45pt;margin-top:779.15pt;height:12.6pt;width:49.2pt;mso-position-horizontal-relative:page;mso-position-vertical-relative:page;z-index:-27632640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mg1Lt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261</w:t>
                    </w:r>
                    <w:r>
                      <w:fldChar w:fldCharType="end"/>
                    </w:r>
                    <w:r>
                      <w:rPr>
                        <w:sz w:val="21"/>
                      </w:rP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8905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97" name="文本框 9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260</w:t>
                          </w:r>
                          <w:r>
                            <w:fldChar w:fldCharType="end"/>
                          </w:r>
                          <w:r>
                            <w:rPr>
                              <w:sz w:val="21"/>
                            </w:rPr>
                            <w:t xml:space="preserve"> —</w:t>
                          </w:r>
                        </w:p>
                      </w:txbxContent>
                    </wps:txbx>
                    <wps:bodyPr lIns="0" tIns="0" rIns="0" bIns="0" upright="1"/>
                  </wps:wsp>
                </a:graphicData>
              </a:graphic>
            </wp:anchor>
          </w:drawing>
        </mc:Choice>
        <mc:Fallback>
          <w:pict>
            <v:shape id="文本框 91" o:spid="_x0000_s1026" o:spt="202" type="#_x0000_t202" style="position:absolute;left:0pt;margin-left:75.55pt;margin-top:779.15pt;height:12.6pt;width:49.2pt;mso-position-horizontal-relative:page;mso-position-vertical-relative:page;z-index:-27632742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GWYnlr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260</w:t>
                    </w:r>
                    <w:r>
                      <w:fldChar w:fldCharType="end"/>
                    </w:r>
                    <w:r>
                      <w:rPr>
                        <w:sz w:val="21"/>
                      </w:rPr>
                      <w:t xml:space="preserve">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212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00" name="文本框 9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271</w:t>
                          </w:r>
                          <w:r>
                            <w:fldChar w:fldCharType="end"/>
                          </w:r>
                          <w:r>
                            <w:rPr>
                              <w:sz w:val="21"/>
                            </w:rPr>
                            <w:t xml:space="preserve"> —</w:t>
                          </w:r>
                        </w:p>
                      </w:txbxContent>
                    </wps:txbx>
                    <wps:bodyPr lIns="0" tIns="0" rIns="0" bIns="0" upright="1"/>
                  </wps:wsp>
                </a:graphicData>
              </a:graphic>
            </wp:anchor>
          </w:drawing>
        </mc:Choice>
        <mc:Fallback>
          <w:pict>
            <v:shape id="文本框 94" o:spid="_x0000_s1026" o:spt="202" type="#_x0000_t202" style="position:absolute;left:0pt;margin-left:470.45pt;margin-top:779.15pt;height:12.6pt;width:49.2pt;mso-position-horizontal-relative:page;mso-position-vertical-relative:page;z-index:-27632435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zlK6UuwEAAHQ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271</w:t>
                    </w:r>
                    <w:r>
                      <w:fldChar w:fldCharType="end"/>
                    </w:r>
                    <w:r>
                      <w:rPr>
                        <w:sz w:val="21"/>
                      </w:rPr>
                      <w:t xml:space="preserve">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110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99" name="文本框 9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270</w:t>
                          </w:r>
                          <w:r>
                            <w:fldChar w:fldCharType="end"/>
                          </w:r>
                          <w:r>
                            <w:rPr>
                              <w:sz w:val="21"/>
                            </w:rPr>
                            <w:t xml:space="preserve"> —</w:t>
                          </w:r>
                        </w:p>
                      </w:txbxContent>
                    </wps:txbx>
                    <wps:bodyPr lIns="0" tIns="0" rIns="0" bIns="0" upright="1"/>
                  </wps:wsp>
                </a:graphicData>
              </a:graphic>
            </wp:anchor>
          </w:drawing>
        </mc:Choice>
        <mc:Fallback>
          <w:pict>
            <v:shape id="文本框 93" o:spid="_x0000_s1026" o:spt="202" type="#_x0000_t202" style="position:absolute;left:0pt;margin-left:75.55pt;margin-top:779.15pt;height:12.6pt;width:49.2pt;mso-position-horizontal-relative:page;mso-position-vertical-relative:page;z-index:-27632537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Y/9sNb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270</w:t>
                    </w:r>
                    <w:r>
                      <w:fldChar w:fldCharType="end"/>
                    </w:r>
                    <w:r>
                      <w:rPr>
                        <w:sz w:val="21"/>
                      </w:rPr>
                      <w:t xml:space="preserve">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417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02" name="文本框 9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281</w:t>
                          </w:r>
                          <w:r>
                            <w:fldChar w:fldCharType="end"/>
                          </w:r>
                          <w:r>
                            <w:rPr>
                              <w:sz w:val="21"/>
                            </w:rPr>
                            <w:t xml:space="preserve"> —</w:t>
                          </w:r>
                        </w:p>
                      </w:txbxContent>
                    </wps:txbx>
                    <wps:bodyPr lIns="0" tIns="0" rIns="0" bIns="0" upright="1"/>
                  </wps:wsp>
                </a:graphicData>
              </a:graphic>
            </wp:anchor>
          </w:drawing>
        </mc:Choice>
        <mc:Fallback>
          <w:pict>
            <v:shape id="文本框 96" o:spid="_x0000_s1026" o:spt="202" type="#_x0000_t202" style="position:absolute;left:0pt;margin-left:470.45pt;margin-top:779.15pt;height:12.6pt;width:49.2pt;mso-position-horizontal-relative:page;mso-position-vertical-relative:page;z-index:-27632230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B4a6P/uwEAAHQ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281</w:t>
                    </w:r>
                    <w:r>
                      <w:fldChar w:fldCharType="end"/>
                    </w:r>
                    <w:r>
                      <w:rPr>
                        <w:sz w:val="21"/>
                      </w:rPr>
                      <w:t xml:space="preserve">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315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01" name="文本框 9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280</w:t>
                          </w:r>
                          <w:r>
                            <w:fldChar w:fldCharType="end"/>
                          </w:r>
                          <w:r>
                            <w:rPr>
                              <w:sz w:val="21"/>
                            </w:rPr>
                            <w:t xml:space="preserve"> —</w:t>
                          </w:r>
                        </w:p>
                      </w:txbxContent>
                    </wps:txbx>
                    <wps:bodyPr lIns="0" tIns="0" rIns="0" bIns="0" upright="1"/>
                  </wps:wsp>
                </a:graphicData>
              </a:graphic>
            </wp:anchor>
          </w:drawing>
        </mc:Choice>
        <mc:Fallback>
          <w:pict>
            <v:shape id="文本框 95" o:spid="_x0000_s1026" o:spt="202" type="#_x0000_t202" style="position:absolute;left:0pt;margin-left:75.55pt;margin-top:779.15pt;height:12.6pt;width:49.2pt;mso-position-horizontal-relative:page;mso-position-vertical-relative:page;z-index:-27632332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B26JBMuwEAAHQ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280</w:t>
                    </w:r>
                    <w:r>
                      <w:fldChar w:fldCharType="end"/>
                    </w:r>
                    <w:r>
                      <w:rPr>
                        <w:sz w:val="21"/>
                      </w:rPr>
                      <w:t xml:space="preserve">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622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04" name="文本框 9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291</w:t>
                          </w:r>
                          <w:r>
                            <w:fldChar w:fldCharType="end"/>
                          </w:r>
                          <w:r>
                            <w:rPr>
                              <w:sz w:val="21"/>
                            </w:rPr>
                            <w:t xml:space="preserve"> —</w:t>
                          </w:r>
                        </w:p>
                      </w:txbxContent>
                    </wps:txbx>
                    <wps:bodyPr lIns="0" tIns="0" rIns="0" bIns="0" upright="1"/>
                  </wps:wsp>
                </a:graphicData>
              </a:graphic>
            </wp:anchor>
          </w:drawing>
        </mc:Choice>
        <mc:Fallback>
          <w:pict>
            <v:shape id="文本框 98" o:spid="_x0000_s1026" o:spt="202" type="#_x0000_t202" style="position:absolute;left:0pt;margin-left:470.45pt;margin-top:779.15pt;height:12.6pt;width:49.2pt;mso-position-horizontal-relative:page;mso-position-vertical-relative:page;z-index:-27632025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ltZ3urwBAAB0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291</w:t>
                    </w:r>
                    <w:r>
                      <w:fldChar w:fldCharType="end"/>
                    </w:r>
                    <w:r>
                      <w:rPr>
                        <w:sz w:val="21"/>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15328" behindDoc="1" locked="0" layoutInCell="1" allowOverlap="1">
              <wp:simplePos x="0" y="0"/>
              <wp:positionH relativeFrom="page">
                <wp:posOffset>959485</wp:posOffset>
              </wp:positionH>
              <wp:positionV relativeFrom="page">
                <wp:posOffset>9895205</wp:posOffset>
              </wp:positionV>
              <wp:extent cx="557530" cy="160020"/>
              <wp:effectExtent l="0" t="0" r="0" b="0"/>
              <wp:wrapNone/>
              <wp:docPr id="25" name="文本框 19"/>
              <wp:cNvGraphicFramePr/>
              <a:graphic xmlns:a="http://schemas.openxmlformats.org/drawingml/2006/main">
                <a:graphicData uri="http://schemas.microsoft.com/office/word/2010/wordprocessingShape">
                  <wps:wsp>
                    <wps:cNvSpPr txBox="1"/>
                    <wps:spPr>
                      <a:xfrm>
                        <a:off x="0" y="0"/>
                        <a:ext cx="55753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80</w:t>
                          </w:r>
                          <w:r>
                            <w:fldChar w:fldCharType="end"/>
                          </w:r>
                          <w:r>
                            <w:rPr>
                              <w:sz w:val="21"/>
                            </w:rPr>
                            <w:t xml:space="preserve"> —</w:t>
                          </w:r>
                        </w:p>
                      </w:txbxContent>
                    </wps:txbx>
                    <wps:bodyPr lIns="0" tIns="0" rIns="0" bIns="0" upright="1"/>
                  </wps:wsp>
                </a:graphicData>
              </a:graphic>
            </wp:anchor>
          </w:drawing>
        </mc:Choice>
        <mc:Fallback>
          <w:pict>
            <v:shape id="文本框 19" o:spid="_x0000_s1026" o:spt="202" type="#_x0000_t202" style="position:absolute;left:0pt;margin-left:75.55pt;margin-top:779.15pt;height:12.6pt;width:43.9pt;mso-position-horizontal-relative:page;mso-position-vertical-relative:page;z-index:-276401152;mso-width-relative:page;mso-height-relative:page;" filled="f" stroked="f" coordsize="21600,21600" o:gfxdata="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D6QFq2gAAAA0BAAAPAAAAAAAAAAEAIAAAACIAAABkcnMvZG93bnJldi54bWxQ&#10;SwECFAAUAAAACACHTuJA9oDaIL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80</w:t>
                    </w:r>
                    <w:r>
                      <w:fldChar w:fldCharType="end"/>
                    </w:r>
                    <w:r>
                      <w:rPr>
                        <w:sz w:val="21"/>
                      </w:rPr>
                      <w:t xml:space="preserve"> —</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520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03" name="文本框 9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290</w:t>
                          </w:r>
                          <w:r>
                            <w:fldChar w:fldCharType="end"/>
                          </w:r>
                          <w:r>
                            <w:rPr>
                              <w:sz w:val="21"/>
                            </w:rPr>
                            <w:t xml:space="preserve"> —</w:t>
                          </w:r>
                        </w:p>
                      </w:txbxContent>
                    </wps:txbx>
                    <wps:bodyPr lIns="0" tIns="0" rIns="0" bIns="0" upright="1"/>
                  </wps:wsp>
                </a:graphicData>
              </a:graphic>
            </wp:anchor>
          </w:drawing>
        </mc:Choice>
        <mc:Fallback>
          <w:pict>
            <v:shape id="文本框 97" o:spid="_x0000_s1026" o:spt="202" type="#_x0000_t202" style="position:absolute;left:0pt;margin-left:75.55pt;margin-top:779.15pt;height:12.6pt;width:49.2pt;mso-position-horizontal-relative:page;mso-position-vertical-relative:page;z-index:-27632128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vRedJ7wBAAB0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290</w:t>
                    </w:r>
                    <w:r>
                      <w:fldChar w:fldCharType="end"/>
                    </w:r>
                    <w:r>
                      <w:rPr>
                        <w:sz w:val="21"/>
                      </w:rPr>
                      <w:t xml:space="preserve">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827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06" name="文本框 10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301</w:t>
                          </w:r>
                          <w:r>
                            <w:fldChar w:fldCharType="end"/>
                          </w:r>
                          <w:r>
                            <w:rPr>
                              <w:sz w:val="21"/>
                            </w:rPr>
                            <w:t xml:space="preserve"> —</w:t>
                          </w:r>
                        </w:p>
                      </w:txbxContent>
                    </wps:txbx>
                    <wps:bodyPr lIns="0" tIns="0" rIns="0" bIns="0" upright="1"/>
                  </wps:wsp>
                </a:graphicData>
              </a:graphic>
            </wp:anchor>
          </w:drawing>
        </mc:Choice>
        <mc:Fallback>
          <w:pict>
            <v:shape id="文本框 100" o:spid="_x0000_s1026" o:spt="202" type="#_x0000_t202" style="position:absolute;left:0pt;margin-left:470.45pt;margin-top:779.15pt;height:12.6pt;width:49.2pt;mso-position-horizontal-relative:page;mso-position-vertical-relative:page;z-index:-27631820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wjmyz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301</w:t>
                    </w:r>
                    <w:r>
                      <w:fldChar w:fldCharType="end"/>
                    </w:r>
                    <w:r>
                      <w:rPr>
                        <w:sz w:val="21"/>
                      </w:rPr>
                      <w:t xml:space="preserve"> —</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724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05" name="文本框 9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300</w:t>
                          </w:r>
                          <w:r>
                            <w:fldChar w:fldCharType="end"/>
                          </w:r>
                          <w:r>
                            <w:rPr>
                              <w:sz w:val="21"/>
                            </w:rPr>
                            <w:t xml:space="preserve"> —</w:t>
                          </w:r>
                        </w:p>
                      </w:txbxContent>
                    </wps:txbx>
                    <wps:bodyPr lIns="0" tIns="0" rIns="0" bIns="0" upright="1"/>
                  </wps:wsp>
                </a:graphicData>
              </a:graphic>
            </wp:anchor>
          </w:drawing>
        </mc:Choice>
        <mc:Fallback>
          <w:pict>
            <v:shape id="文本框 99" o:spid="_x0000_s1026" o:spt="202" type="#_x0000_t202" style="position:absolute;left:0pt;margin-left:75.55pt;margin-top:779.15pt;height:12.6pt;width:49.2pt;mso-position-horizontal-relative:page;mso-position-vertical-relative:page;z-index:-27631923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U6pJYrwBAAB0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300</w:t>
                    </w:r>
                    <w:r>
                      <w:fldChar w:fldCharType="end"/>
                    </w:r>
                    <w:r>
                      <w:rPr>
                        <w:sz w:val="21"/>
                      </w:rPr>
                      <w:t xml:space="preserve"> —</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99296"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07" name="文本框 101"/>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（1）违法情形</w:t>
                          </w:r>
                        </w:p>
                      </w:txbxContent>
                    </wps:txbx>
                    <wps:bodyPr lIns="0" tIns="0" rIns="0" bIns="0" upright="1"/>
                  </wps:wsp>
                </a:graphicData>
              </a:graphic>
            </wp:anchor>
          </w:drawing>
        </mc:Choice>
        <mc:Fallback>
          <w:pict>
            <v:shape id="文本框 101" o:spid="_x0000_s1026" o:spt="202" type="#_x0000_t202" style="position:absolute;left:0pt;margin-left:99.55pt;margin-top:754.55pt;height:14pt;width:80pt;mso-position-horizontal-relative:page;mso-position-vertical-relative:page;z-index:-276317184;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gobAHYAAAADQEAAA8AAAAAAAAAAQAgAAAAIgAAAGRycy9kb3ducmV2LnhtbFBLAQIU&#10;ABQAAAAIAIdO4kCCFRatugEAAHYDAAAOAAAAAAAAAAEAIAAAACcBAABkcnMvZTJvRG9jLnhtbFBL&#10;BQYAAAAABgAGAFkBAABTBQAAAAA=&#10;">
              <v:fill on="f" focussize="0,0"/>
              <v:stroke on="f"/>
              <v:imagedata o:title=""/>
              <o:lock v:ext="edit" aspectratio="f"/>
              <v:textbox inset="0mm,0mm,0mm,0mm">
                <w:txbxContent>
                  <w:p>
                    <w:pPr>
                      <w:pStyle w:val="4"/>
                      <w:spacing w:line="280" w:lineRule="exact"/>
                      <w:ind w:left="20"/>
                    </w:pPr>
                    <w:r>
                      <w:t>（1）违法情形</w:t>
                    </w:r>
                  </w:p>
                </w:txbxContent>
              </v:textbox>
            </v:shape>
          </w:pict>
        </mc:Fallback>
      </mc:AlternateContent>
    </w:r>
    <w:r>
      <mc:AlternateContent>
        <mc:Choice Requires="wps">
          <w:drawing>
            <wp:anchor distT="0" distB="0" distL="114300" distR="114300" simplePos="0" relativeHeight="22700032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08" name="文本框 10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305</w:t>
                          </w:r>
                          <w:r>
                            <w:fldChar w:fldCharType="end"/>
                          </w:r>
                          <w:r>
                            <w:rPr>
                              <w:sz w:val="21"/>
                            </w:rPr>
                            <w:t xml:space="preserve"> —</w:t>
                          </w:r>
                        </w:p>
                      </w:txbxContent>
                    </wps:txbx>
                    <wps:bodyPr lIns="0" tIns="0" rIns="0" bIns="0" upright="1"/>
                  </wps:wsp>
                </a:graphicData>
              </a:graphic>
            </wp:anchor>
          </w:drawing>
        </mc:Choice>
        <mc:Fallback>
          <w:pict>
            <v:shape id="文本框 102" o:spid="_x0000_s1026" o:spt="202" type="#_x0000_t202" style="position:absolute;left:0pt;margin-left:470.45pt;margin-top:779.15pt;height:12.6pt;width:49.2pt;mso-position-horizontal-relative:page;mso-position-vertical-relative:page;z-index:-27631616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BF+osp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305</w:t>
                    </w:r>
                    <w:r>
                      <w:fldChar w:fldCharType="end"/>
                    </w:r>
                    <w:r>
                      <w:rPr>
                        <w:sz w:val="21"/>
                      </w:rPr>
                      <w:t xml:space="preserve">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134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09" name="文本框 10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306</w:t>
                          </w:r>
                          <w:r>
                            <w:fldChar w:fldCharType="end"/>
                          </w:r>
                          <w:r>
                            <w:rPr>
                              <w:sz w:val="21"/>
                            </w:rPr>
                            <w:t xml:space="preserve"> —</w:t>
                          </w:r>
                        </w:p>
                      </w:txbxContent>
                    </wps:txbx>
                    <wps:bodyPr lIns="0" tIns="0" rIns="0" bIns="0" upright="1"/>
                  </wps:wsp>
                </a:graphicData>
              </a:graphic>
            </wp:anchor>
          </w:drawing>
        </mc:Choice>
        <mc:Fallback>
          <w:pict>
            <v:shape id="文本框 103" o:spid="_x0000_s1026" o:spt="202" type="#_x0000_t202" style="position:absolute;left:0pt;margin-left:75.55pt;margin-top:779.15pt;height:12.6pt;width:49.2pt;mso-position-horizontal-relative:page;mso-position-vertical-relative:page;z-index:-27631513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KGhF9e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306</w:t>
                    </w:r>
                    <w:r>
                      <w:fldChar w:fldCharType="end"/>
                    </w:r>
                    <w:r>
                      <w:rPr>
                        <w:sz w:val="21"/>
                      </w:rPr>
                      <w:t xml:space="preserve">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236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10" name="文本框 10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309</w:t>
                          </w:r>
                          <w:r>
                            <w:fldChar w:fldCharType="end"/>
                          </w:r>
                          <w:r>
                            <w:rPr>
                              <w:sz w:val="21"/>
                            </w:rPr>
                            <w:t xml:space="preserve"> —</w:t>
                          </w:r>
                        </w:p>
                      </w:txbxContent>
                    </wps:txbx>
                    <wps:bodyPr lIns="0" tIns="0" rIns="0" bIns="0" upright="1"/>
                  </wps:wsp>
                </a:graphicData>
              </a:graphic>
            </wp:anchor>
          </w:drawing>
        </mc:Choice>
        <mc:Fallback>
          <w:pict>
            <v:shape id="文本框 104" o:spid="_x0000_s1026" o:spt="202" type="#_x0000_t202" style="position:absolute;left:0pt;margin-left:470.45pt;margin-top:779.15pt;height:12.6pt;width:49.2pt;mso-position-horizontal-relative:page;mso-position-vertical-relative:page;z-index:-27631411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E7puc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309</w:t>
                    </w:r>
                    <w:r>
                      <w:fldChar w:fldCharType="end"/>
                    </w:r>
                    <w:r>
                      <w:rPr>
                        <w:sz w:val="21"/>
                      </w:rPr>
                      <w:t xml:space="preserve"> —</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339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11" name="文本框 10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310</w:t>
                          </w:r>
                          <w:r>
                            <w:fldChar w:fldCharType="end"/>
                          </w:r>
                          <w:r>
                            <w:rPr>
                              <w:sz w:val="21"/>
                            </w:rPr>
                            <w:t xml:space="preserve"> —</w:t>
                          </w:r>
                        </w:p>
                      </w:txbxContent>
                    </wps:txbx>
                    <wps:bodyPr lIns="0" tIns="0" rIns="0" bIns="0" upright="1"/>
                  </wps:wsp>
                </a:graphicData>
              </a:graphic>
            </wp:anchor>
          </w:drawing>
        </mc:Choice>
        <mc:Fallback>
          <w:pict>
            <v:shape id="文本框 105" o:spid="_x0000_s1026" o:spt="202" type="#_x0000_t202" style="position:absolute;left:0pt;margin-left:75.55pt;margin-top:779.15pt;height:12.6pt;width:49.2pt;mso-position-horizontal-relative:page;mso-position-vertical-relative:page;z-index:-27631308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YLUHY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310</w:t>
                    </w:r>
                    <w:r>
                      <w:fldChar w:fldCharType="end"/>
                    </w:r>
                    <w:r>
                      <w:rPr>
                        <w:sz w:val="21"/>
                      </w:rPr>
                      <w:t xml:space="preserve"> —</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441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12" name="文本框 10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311</w:t>
                          </w:r>
                          <w:r>
                            <w:fldChar w:fldCharType="end"/>
                          </w:r>
                          <w:r>
                            <w:rPr>
                              <w:sz w:val="21"/>
                            </w:rPr>
                            <w:t xml:space="preserve"> —</w:t>
                          </w:r>
                        </w:p>
                      </w:txbxContent>
                    </wps:txbx>
                    <wps:bodyPr lIns="0" tIns="0" rIns="0" bIns="0" upright="1"/>
                  </wps:wsp>
                </a:graphicData>
              </a:graphic>
            </wp:anchor>
          </w:drawing>
        </mc:Choice>
        <mc:Fallback>
          <w:pict>
            <v:shape id="文本框 106" o:spid="_x0000_s1026" o:spt="202" type="#_x0000_t202" style="position:absolute;left:0pt;margin-left:470.45pt;margin-top:779.15pt;height:12.6pt;width:49.2pt;mso-position-horizontal-relative:page;mso-position-vertical-relative:page;z-index:-27631206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DV/Su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311</w:t>
                    </w:r>
                    <w:r>
                      <w:fldChar w:fldCharType="end"/>
                    </w:r>
                    <w:r>
                      <w:rPr>
                        <w:sz w:val="21"/>
                      </w:rPr>
                      <w:t xml:space="preserve"> —</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544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13" name="文本框 10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312</w:t>
                          </w:r>
                          <w:r>
                            <w:fldChar w:fldCharType="end"/>
                          </w:r>
                          <w:r>
                            <w:rPr>
                              <w:sz w:val="21"/>
                            </w:rPr>
                            <w:t xml:space="preserve"> —</w:t>
                          </w:r>
                        </w:p>
                      </w:txbxContent>
                    </wps:txbx>
                    <wps:bodyPr lIns="0" tIns="0" rIns="0" bIns="0" upright="1"/>
                  </wps:wsp>
                </a:graphicData>
              </a:graphic>
            </wp:anchor>
          </w:drawing>
        </mc:Choice>
        <mc:Fallback>
          <w:pict>
            <v:shape id="文本框 107" o:spid="_x0000_s1026" o:spt="202" type="#_x0000_t202" style="position:absolute;left:0pt;margin-left:75.55pt;margin-top:779.15pt;height:12.6pt;width:49.2pt;mso-position-horizontal-relative:page;mso-position-vertical-relative:page;z-index:-27631104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OkETkS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312</w:t>
                    </w:r>
                    <w:r>
                      <w:fldChar w:fldCharType="end"/>
                    </w:r>
                    <w:r>
                      <w:rPr>
                        <w:sz w:val="21"/>
                      </w:rPr>
                      <w:t xml:space="preserve"> —</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748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15" name="文本框 10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321</w:t>
                          </w:r>
                          <w:r>
                            <w:fldChar w:fldCharType="end"/>
                          </w:r>
                          <w:r>
                            <w:rPr>
                              <w:sz w:val="21"/>
                            </w:rPr>
                            <w:t xml:space="preserve"> —</w:t>
                          </w:r>
                        </w:p>
                      </w:txbxContent>
                    </wps:txbx>
                    <wps:bodyPr lIns="0" tIns="0" rIns="0" bIns="0" upright="1"/>
                  </wps:wsp>
                </a:graphicData>
              </a:graphic>
            </wp:anchor>
          </w:drawing>
        </mc:Choice>
        <mc:Fallback>
          <w:pict>
            <v:shape id="文本框 109" o:spid="_x0000_s1026" o:spt="202" type="#_x0000_t202" style="position:absolute;left:0pt;margin-left:470.45pt;margin-top:779.15pt;height:12.6pt;width:49.2pt;mso-position-horizontal-relative:page;mso-position-vertical-relative:page;z-index:-27630899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MFrVta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321</w:t>
                    </w:r>
                    <w:r>
                      <w:fldChar w:fldCharType="end"/>
                    </w:r>
                    <w:r>
                      <w:rPr>
                        <w:sz w:val="21"/>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18400" behindDoc="1" locked="0" layoutInCell="1" allowOverlap="1">
              <wp:simplePos x="0" y="0"/>
              <wp:positionH relativeFrom="page">
                <wp:posOffset>6042025</wp:posOffset>
              </wp:positionH>
              <wp:positionV relativeFrom="page">
                <wp:posOffset>9895205</wp:posOffset>
              </wp:positionV>
              <wp:extent cx="557530" cy="160020"/>
              <wp:effectExtent l="0" t="0" r="0" b="0"/>
              <wp:wrapNone/>
              <wp:docPr id="28" name="文本框 22"/>
              <wp:cNvGraphicFramePr/>
              <a:graphic xmlns:a="http://schemas.openxmlformats.org/drawingml/2006/main">
                <a:graphicData uri="http://schemas.microsoft.com/office/word/2010/wordprocessingShape">
                  <wps:wsp>
                    <wps:cNvSpPr txBox="1"/>
                    <wps:spPr>
                      <a:xfrm>
                        <a:off x="0" y="0"/>
                        <a:ext cx="55753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91</w:t>
                          </w:r>
                          <w:r>
                            <w:fldChar w:fldCharType="end"/>
                          </w:r>
                          <w:r>
                            <w:rPr>
                              <w:sz w:val="21"/>
                            </w:rPr>
                            <w:t xml:space="preserve"> —</w:t>
                          </w:r>
                        </w:p>
                      </w:txbxContent>
                    </wps:txbx>
                    <wps:bodyPr lIns="0" tIns="0" rIns="0" bIns="0" upright="1"/>
                  </wps:wsp>
                </a:graphicData>
              </a:graphic>
            </wp:anchor>
          </w:drawing>
        </mc:Choice>
        <mc:Fallback>
          <w:pict>
            <v:shape id="文本框 22" o:spid="_x0000_s1026" o:spt="202" type="#_x0000_t202" style="position:absolute;left:0pt;margin-left:475.75pt;margin-top:779.15pt;height:12.6pt;width:43.9pt;mso-position-horizontal-relative:page;mso-position-vertical-relative:page;z-index:-276398080;mso-width-relative:page;mso-height-relative:page;" filled="f" stroked="f" coordsize="21600,21600" o:gfxdata="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EsIu2wAAAA4BAAAPAAAAAAAAAAEAIAAAACIAAABkcnMvZG93bnJldi54bWxQ&#10;SwECFAAUAAAACACHTuJANuUUpbsBAABzAwAADgAAAAAAAAABACAAAAAq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91</w:t>
                    </w:r>
                    <w:r>
                      <w:fldChar w:fldCharType="end"/>
                    </w:r>
                    <w:r>
                      <w:rPr>
                        <w:sz w:val="21"/>
                      </w:rPr>
                      <w:t xml:space="preserve"> —</w:t>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646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14" name="文本框 10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320</w:t>
                          </w:r>
                          <w:r>
                            <w:fldChar w:fldCharType="end"/>
                          </w:r>
                          <w:r>
                            <w:rPr>
                              <w:sz w:val="21"/>
                            </w:rPr>
                            <w:t xml:space="preserve"> —</w:t>
                          </w:r>
                        </w:p>
                      </w:txbxContent>
                    </wps:txbx>
                    <wps:bodyPr lIns="0" tIns="0" rIns="0" bIns="0" upright="1"/>
                  </wps:wsp>
                </a:graphicData>
              </a:graphic>
            </wp:anchor>
          </w:drawing>
        </mc:Choice>
        <mc:Fallback>
          <w:pict>
            <v:shape id="文本框 108" o:spid="_x0000_s1026" o:spt="202" type="#_x0000_t202" style="position:absolute;left:0pt;margin-left:75.55pt;margin-top:779.15pt;height:12.6pt;width:49.2pt;mso-position-horizontal-relative:page;mso-position-vertical-relative:page;z-index:-27631001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JTDKK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320</w:t>
                    </w:r>
                    <w:r>
                      <w:fldChar w:fldCharType="end"/>
                    </w:r>
                    <w:r>
                      <w:rPr>
                        <w:sz w:val="21"/>
                      </w:rPr>
                      <w:t xml:space="preserve"> —</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953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17" name="文本框 11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331</w:t>
                          </w:r>
                          <w:r>
                            <w:fldChar w:fldCharType="end"/>
                          </w:r>
                          <w:r>
                            <w:rPr>
                              <w:sz w:val="21"/>
                            </w:rPr>
                            <w:t xml:space="preserve"> —</w:t>
                          </w:r>
                        </w:p>
                      </w:txbxContent>
                    </wps:txbx>
                    <wps:bodyPr lIns="0" tIns="0" rIns="0" bIns="0" upright="1"/>
                  </wps:wsp>
                </a:graphicData>
              </a:graphic>
            </wp:anchor>
          </w:drawing>
        </mc:Choice>
        <mc:Fallback>
          <w:pict>
            <v:shape id="文本框 111" o:spid="_x0000_s1026" o:spt="202" type="#_x0000_t202" style="position:absolute;left:0pt;margin-left:470.45pt;margin-top:779.15pt;height:12.6pt;width:49.2pt;mso-position-horizontal-relative:page;mso-position-vertical-relative:page;z-index:-27630694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bm9p6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331</w:t>
                    </w:r>
                    <w:r>
                      <w:fldChar w:fldCharType="end"/>
                    </w:r>
                    <w:r>
                      <w:rPr>
                        <w:sz w:val="21"/>
                      </w:rPr>
                      <w:t xml:space="preserve"> —</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0851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16" name="文本框 11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330</w:t>
                          </w:r>
                          <w:r>
                            <w:fldChar w:fldCharType="end"/>
                          </w:r>
                          <w:r>
                            <w:rPr>
                              <w:sz w:val="21"/>
                            </w:rPr>
                            <w:t xml:space="preserve"> —</w:t>
                          </w:r>
                        </w:p>
                      </w:txbxContent>
                    </wps:txbx>
                    <wps:bodyPr lIns="0" tIns="0" rIns="0" bIns="0" upright="1"/>
                  </wps:wsp>
                </a:graphicData>
              </a:graphic>
            </wp:anchor>
          </w:drawing>
        </mc:Choice>
        <mc:Fallback>
          <w:pict>
            <v:shape id="文本框 110" o:spid="_x0000_s1026" o:spt="202" type="#_x0000_t202" style="position:absolute;left:0pt;margin-left:75.55pt;margin-top:779.15pt;height:12.6pt;width:49.2pt;mso-position-horizontal-relative:page;mso-position-vertical-relative:page;z-index:-27630796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CKNPUU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330</w:t>
                    </w:r>
                    <w:r>
                      <w:fldChar w:fldCharType="end"/>
                    </w:r>
                    <w:r>
                      <w:rPr>
                        <w:sz w:val="21"/>
                      </w:rPr>
                      <w:t xml:space="preserve"> —</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1158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19" name="文本框 11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341</w:t>
                          </w:r>
                          <w:r>
                            <w:fldChar w:fldCharType="end"/>
                          </w:r>
                          <w:r>
                            <w:rPr>
                              <w:sz w:val="21"/>
                            </w:rPr>
                            <w:t xml:space="preserve"> —</w:t>
                          </w:r>
                        </w:p>
                      </w:txbxContent>
                    </wps:txbx>
                    <wps:bodyPr lIns="0" tIns="0" rIns="0" bIns="0" upright="1"/>
                  </wps:wsp>
                </a:graphicData>
              </a:graphic>
            </wp:anchor>
          </w:drawing>
        </mc:Choice>
        <mc:Fallback>
          <w:pict>
            <v:shape id="文本框 113" o:spid="_x0000_s1026" o:spt="202" type="#_x0000_t202" style="position:absolute;left:0pt;margin-left:470.45pt;margin-top:779.15pt;height:12.6pt;width:49.2pt;mso-position-horizontal-relative:page;mso-position-vertical-relative:page;z-index:-27630489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JsbjnC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341</w:t>
                    </w:r>
                    <w:r>
                      <w:fldChar w:fldCharType="end"/>
                    </w:r>
                    <w:r>
                      <w:rPr>
                        <w:sz w:val="21"/>
                      </w:rPr>
                      <w:t xml:space="preserve"> —</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1056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18" name="文本框 11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340</w:t>
                          </w:r>
                          <w:r>
                            <w:fldChar w:fldCharType="end"/>
                          </w:r>
                          <w:r>
                            <w:rPr>
                              <w:sz w:val="21"/>
                            </w:rPr>
                            <w:t xml:space="preserve"> —</w:t>
                          </w:r>
                        </w:p>
                      </w:txbxContent>
                    </wps:txbx>
                    <wps:bodyPr lIns="0" tIns="0" rIns="0" bIns="0" upright="1"/>
                  </wps:wsp>
                </a:graphicData>
              </a:graphic>
            </wp:anchor>
          </w:drawing>
        </mc:Choice>
        <mc:Fallback>
          <w:pict>
            <v:shape id="文本框 112" o:spid="_x0000_s1026" o:spt="202" type="#_x0000_t202" style="position:absolute;left:0pt;margin-left:75.55pt;margin-top:779.15pt;height:12.6pt;width:49.2pt;mso-position-horizontal-relative:page;mso-position-vertical-relative:page;z-index:-27630592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83ZIfaAAAADQEAAA8AAAAAAAAAAQAgAAAAIgAAAGRycy9kb3ducmV2LnhtbFBL&#10;AQIUABQAAAAIAIdO4kB/QBKO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340</w:t>
                    </w:r>
                    <w:r>
                      <w:fldChar w:fldCharType="end"/>
                    </w:r>
                    <w:r>
                      <w:rPr>
                        <w:sz w:val="21"/>
                      </w:rPr>
                      <w:t xml:space="preserve"> —</w:t>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1363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21" name="文本框 11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351</w:t>
                          </w:r>
                          <w:r>
                            <w:fldChar w:fldCharType="end"/>
                          </w:r>
                          <w:r>
                            <w:rPr>
                              <w:sz w:val="21"/>
                            </w:rPr>
                            <w:t xml:space="preserve"> —</w:t>
                          </w:r>
                        </w:p>
                      </w:txbxContent>
                    </wps:txbx>
                    <wps:bodyPr lIns="0" tIns="0" rIns="0" bIns="0" upright="1"/>
                  </wps:wsp>
                </a:graphicData>
              </a:graphic>
            </wp:anchor>
          </w:drawing>
        </mc:Choice>
        <mc:Fallback>
          <w:pict>
            <v:shape id="文本框 115" o:spid="_x0000_s1026" o:spt="202" type="#_x0000_t202" style="position:absolute;left:0pt;margin-left:470.45pt;margin-top:779.15pt;height:12.6pt;width:49.2pt;mso-position-horizontal-relative:page;mso-position-vertical-relative:page;z-index:-27630284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bcc3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351</w:t>
                    </w:r>
                    <w:r>
                      <w:fldChar w:fldCharType="end"/>
                    </w:r>
                    <w:r>
                      <w:rPr>
                        <w:sz w:val="21"/>
                      </w:rPr>
                      <w:t xml:space="preserve"> —</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1260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20" name="文本框 11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350</w:t>
                          </w:r>
                          <w:r>
                            <w:fldChar w:fldCharType="end"/>
                          </w:r>
                          <w:r>
                            <w:rPr>
                              <w:sz w:val="21"/>
                            </w:rPr>
                            <w:t xml:space="preserve"> —</w:t>
                          </w:r>
                        </w:p>
                      </w:txbxContent>
                    </wps:txbx>
                    <wps:bodyPr lIns="0" tIns="0" rIns="0" bIns="0" upright="1"/>
                  </wps:wsp>
                </a:graphicData>
              </a:graphic>
            </wp:anchor>
          </w:drawing>
        </mc:Choice>
        <mc:Fallback>
          <w:pict>
            <v:shape id="文本框 114" o:spid="_x0000_s1026" o:spt="202" type="#_x0000_t202" style="position:absolute;left:0pt;margin-left:75.55pt;margin-top:779.15pt;height:12.6pt;width:49.2pt;mso-position-horizontal-relative:page;mso-position-vertical-relative:page;z-index:-27630387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zdkh9oAAAANAQAADwAAAAAAAAABACAAAAAiAAAAZHJzL2Rvd25yZXYueG1sUEsB&#10;AhQAFAAAAAgAh07iQBnsgCC6AQAAdQ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350</w:t>
                    </w:r>
                    <w:r>
                      <w:fldChar w:fldCharType="end"/>
                    </w:r>
                    <w:r>
                      <w:rPr>
                        <w:sz w:val="21"/>
                      </w:rPr>
                      <w:t xml:space="preserve"> —</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1875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26" name="文本框 12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353</w:t>
                          </w:r>
                          <w:r>
                            <w:fldChar w:fldCharType="end"/>
                          </w:r>
                          <w:r>
                            <w:rPr>
                              <w:sz w:val="21"/>
                            </w:rPr>
                            <w:t xml:space="preserve"> —</w:t>
                          </w:r>
                        </w:p>
                      </w:txbxContent>
                    </wps:txbx>
                    <wps:bodyPr lIns="0" tIns="0" rIns="0" bIns="0" upright="1"/>
                  </wps:wsp>
                </a:graphicData>
              </a:graphic>
            </wp:anchor>
          </w:drawing>
        </mc:Choice>
        <mc:Fallback>
          <w:pict>
            <v:shape id="文本框 120" o:spid="_x0000_s1026" o:spt="202" type="#_x0000_t202" style="position:absolute;left:0pt;margin-left:470.45pt;margin-top:779.15pt;height:12.6pt;width:49.2pt;mso-position-horizontal-relative:page;mso-position-vertical-relative:page;z-index:-27629772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iPZkdoAAAAOAQAADwAAAAAAAAABACAAAAAiAAAAZHJzL2Rvd25yZXYueG1sUEsB&#10;AhQAFAAAAAgAh07iQIX8Lie6AQAAdQ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353</w:t>
                    </w:r>
                    <w:r>
                      <w:fldChar w:fldCharType="end"/>
                    </w:r>
                    <w:r>
                      <w:rPr>
                        <w:sz w:val="21"/>
                      </w:rPr>
                      <w:t xml:space="preserve"> —</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14656" behindDoc="1" locked="0" layoutInCell="1" allowOverlap="1">
              <wp:simplePos x="0" y="0"/>
              <wp:positionH relativeFrom="page">
                <wp:posOffset>1257935</wp:posOffset>
              </wp:positionH>
              <wp:positionV relativeFrom="page">
                <wp:posOffset>8949055</wp:posOffset>
              </wp:positionV>
              <wp:extent cx="1095375" cy="177800"/>
              <wp:effectExtent l="0" t="0" r="0" b="0"/>
              <wp:wrapNone/>
              <wp:docPr id="122" name="文本框 116"/>
              <wp:cNvGraphicFramePr/>
              <a:graphic xmlns:a="http://schemas.openxmlformats.org/drawingml/2006/main">
                <a:graphicData uri="http://schemas.microsoft.com/office/word/2010/wordprocessingShape">
                  <wps:wsp>
                    <wps:cNvSpPr txBox="1"/>
                    <wps:spPr>
                      <a:xfrm>
                        <a:off x="0" y="0"/>
                        <a:ext cx="1095375" cy="177800"/>
                      </a:xfrm>
                      <a:prstGeom prst="rect">
                        <a:avLst/>
                      </a:prstGeom>
                      <a:noFill/>
                      <a:ln>
                        <a:noFill/>
                      </a:ln>
                    </wps:spPr>
                    <wps:txbx>
                      <w:txbxContent>
                        <w:p>
                          <w:pPr>
                            <w:spacing w:before="0" w:line="280" w:lineRule="exact"/>
                            <w:ind w:left="20" w:right="0" w:firstLine="0"/>
                            <w:jc w:val="left"/>
                            <w:rPr>
                              <w:b/>
                              <w:sz w:val="24"/>
                            </w:rPr>
                          </w:pPr>
                          <w:r>
                            <w:rPr>
                              <w:b/>
                              <w:sz w:val="24"/>
                            </w:rPr>
                            <w:t>（二）裁量标准</w:t>
                          </w:r>
                        </w:p>
                      </w:txbxContent>
                    </wps:txbx>
                    <wps:bodyPr lIns="0" tIns="0" rIns="0" bIns="0" upright="1"/>
                  </wps:wsp>
                </a:graphicData>
              </a:graphic>
            </wp:anchor>
          </w:drawing>
        </mc:Choice>
        <mc:Fallback>
          <w:pict>
            <v:shape id="文本框 116" o:spid="_x0000_s1026" o:spt="202" type="#_x0000_t202" style="position:absolute;left:0pt;margin-left:99.05pt;margin-top:704.65pt;height:14pt;width:86.25pt;mso-position-horizontal-relative:page;mso-position-vertical-relative:page;z-index:-276301824;mso-width-relative:page;mso-height-relative:page;" filled="f" stroked="f" coordsize="21600,21600" o:gfxdata="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gtYC7aAAAADQEAAA8AAAAAAAAAAQAgAAAAIgAAAGRycy9kb3ducmV2Lnht&#10;bFBLAQIUABQAAAAIAIdO4kD+ikG7vgEAAHYDAAAOAAAAAAAAAAEAIAAAACkBAABkcnMvZTJvRG9j&#10;LnhtbFBLBQYAAAAABgAGAFkBAABZBQAAAAA=&#10;">
              <v:fill on="f" focussize="0,0"/>
              <v:stroke on="f"/>
              <v:imagedata o:title=""/>
              <o:lock v:ext="edit" aspectratio="f"/>
              <v:textbox inset="0mm,0mm,0mm,0mm">
                <w:txbxContent>
                  <w:p>
                    <w:pPr>
                      <w:spacing w:before="0" w:line="280" w:lineRule="exact"/>
                      <w:ind w:left="20" w:right="0" w:firstLine="0"/>
                      <w:jc w:val="left"/>
                      <w:rPr>
                        <w:b/>
                        <w:sz w:val="24"/>
                      </w:rPr>
                    </w:pPr>
                    <w:r>
                      <w:rPr>
                        <w:b/>
                        <w:sz w:val="24"/>
                      </w:rPr>
                      <w:t>（二）裁量标准</w:t>
                    </w:r>
                  </w:p>
                </w:txbxContent>
              </v:textbox>
            </v:shape>
          </w:pict>
        </mc:Fallback>
      </mc:AlternateContent>
    </w:r>
    <w:r>
      <mc:AlternateContent>
        <mc:Choice Requires="wps">
          <w:drawing>
            <wp:anchor distT="0" distB="0" distL="114300" distR="114300" simplePos="0" relativeHeight="227015680" behindDoc="1" locked="0" layoutInCell="1" allowOverlap="1">
              <wp:simplePos x="0" y="0"/>
              <wp:positionH relativeFrom="page">
                <wp:posOffset>1264285</wp:posOffset>
              </wp:positionH>
              <wp:positionV relativeFrom="page">
                <wp:posOffset>9265920</wp:posOffset>
              </wp:positionV>
              <wp:extent cx="787400" cy="177800"/>
              <wp:effectExtent l="0" t="0" r="0" b="0"/>
              <wp:wrapNone/>
              <wp:docPr id="123" name="文本框 117"/>
              <wp:cNvGraphicFramePr/>
              <a:graphic xmlns:a="http://schemas.openxmlformats.org/drawingml/2006/main">
                <a:graphicData uri="http://schemas.microsoft.com/office/word/2010/wordprocessingShape">
                  <wps:wsp>
                    <wps:cNvSpPr txBox="1"/>
                    <wps:spPr>
                      <a:xfrm>
                        <a:off x="0" y="0"/>
                        <a:ext cx="787400" cy="177800"/>
                      </a:xfrm>
                      <a:prstGeom prst="rect">
                        <a:avLst/>
                      </a:prstGeom>
                      <a:noFill/>
                      <a:ln>
                        <a:noFill/>
                      </a:ln>
                    </wps:spPr>
                    <wps:txbx>
                      <w:txbxContent>
                        <w:p>
                          <w:pPr>
                            <w:pStyle w:val="4"/>
                            <w:spacing w:line="280" w:lineRule="exact"/>
                            <w:ind w:left="20"/>
                          </w:pPr>
                          <w:r>
                            <w:t>1</w:t>
                          </w:r>
                          <w:r>
                            <w:rPr>
                              <w:spacing w:val="-24"/>
                            </w:rPr>
                            <w:t>、【较轻】</w:t>
                          </w:r>
                        </w:p>
                      </w:txbxContent>
                    </wps:txbx>
                    <wps:bodyPr lIns="0" tIns="0" rIns="0" bIns="0" upright="1"/>
                  </wps:wsp>
                </a:graphicData>
              </a:graphic>
            </wp:anchor>
          </w:drawing>
        </mc:Choice>
        <mc:Fallback>
          <w:pict>
            <v:shape id="文本框 117" o:spid="_x0000_s1026" o:spt="202" type="#_x0000_t202" style="position:absolute;left:0pt;margin-left:99.55pt;margin-top:729.6pt;height:14pt;width:62pt;mso-position-horizontal-relative:page;mso-position-vertical-relative:page;z-index:-276300800;mso-width-relative:page;mso-height-relative:page;" filled="f" stroked="f" coordsize="21600,21600" o:gfxdata="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xCxFnaAAAADQEAAA8AAAAAAAAAAQAgAAAAIgAAAGRycy9kb3ducmV2LnhtbFBL&#10;AQIUABQAAAAIAIdO4kBrvTP7uwEAAHUDAAAOAAAAAAAAAAEAIAAAACkBAABkcnMvZTJvRG9jLnht&#10;bFBLBQYAAAAABgAGAFkBAABWBQAAAAA=&#10;">
              <v:fill on="f" focussize="0,0"/>
              <v:stroke on="f"/>
              <v:imagedata o:title=""/>
              <o:lock v:ext="edit" aspectratio="f"/>
              <v:textbox inset="0mm,0mm,0mm,0mm">
                <w:txbxContent>
                  <w:p>
                    <w:pPr>
                      <w:pStyle w:val="4"/>
                      <w:spacing w:line="280" w:lineRule="exact"/>
                      <w:ind w:left="20"/>
                    </w:pPr>
                    <w:r>
                      <w:t>1</w:t>
                    </w:r>
                    <w:r>
                      <w:rPr>
                        <w:spacing w:val="-24"/>
                      </w:rPr>
                      <w:t>、【较轻】</w:t>
                    </w:r>
                  </w:p>
                </w:txbxContent>
              </v:textbox>
            </v:shape>
          </w:pict>
        </mc:Fallback>
      </mc:AlternateContent>
    </w:r>
    <w:r>
      <mc:AlternateContent>
        <mc:Choice Requires="wps">
          <w:drawing>
            <wp:anchor distT="0" distB="0" distL="114300" distR="114300" simplePos="0" relativeHeight="227016704"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24" name="文本框 118"/>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（1）违法情形</w:t>
                          </w:r>
                        </w:p>
                      </w:txbxContent>
                    </wps:txbx>
                    <wps:bodyPr lIns="0" tIns="0" rIns="0" bIns="0" upright="1"/>
                  </wps:wsp>
                </a:graphicData>
              </a:graphic>
            </wp:anchor>
          </w:drawing>
        </mc:Choice>
        <mc:Fallback>
          <w:pict>
            <v:shape id="文本框 118" o:spid="_x0000_s1026" o:spt="202" type="#_x0000_t202" style="position:absolute;left:0pt;margin-left:99.55pt;margin-top:754.55pt;height:14pt;width:80pt;mso-position-horizontal-relative:page;mso-position-vertical-relative:page;z-index:-276299776;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KGwB2AAAAA0BAAAPAAAAAAAAAAEAIAAAACIAAABkcnMvZG93bnJldi54bWxQSwEC&#10;FAAUAAAACACHTuJANppzBLsBAAB2AwAADgAAAAAAAAABACAAAAAnAQAAZHJzL2Uyb0RvYy54bWxQ&#10;SwUGAAAAAAYABgBZAQAAVAUAAAAA&#10;">
              <v:fill on="f" focussize="0,0"/>
              <v:stroke on="f"/>
              <v:imagedata o:title=""/>
              <o:lock v:ext="edit" aspectratio="f"/>
              <v:textbox inset="0mm,0mm,0mm,0mm">
                <w:txbxContent>
                  <w:p>
                    <w:pPr>
                      <w:pStyle w:val="4"/>
                      <w:spacing w:line="280" w:lineRule="exact"/>
                      <w:ind w:left="20"/>
                    </w:pPr>
                    <w:r>
                      <w:t>（1）违法情形</w:t>
                    </w:r>
                  </w:p>
                </w:txbxContent>
              </v:textbox>
            </v:shape>
          </w:pict>
        </mc:Fallback>
      </mc:AlternateContent>
    </w:r>
    <w:r>
      <mc:AlternateContent>
        <mc:Choice Requires="wps">
          <w:drawing>
            <wp:anchor distT="0" distB="0" distL="114300" distR="114300" simplePos="0" relativeHeight="22701772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25" name="文本框 11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352</w:t>
                          </w:r>
                          <w:r>
                            <w:fldChar w:fldCharType="end"/>
                          </w:r>
                          <w:r>
                            <w:rPr>
                              <w:sz w:val="21"/>
                            </w:rPr>
                            <w:t xml:space="preserve"> —</w:t>
                          </w:r>
                        </w:p>
                      </w:txbxContent>
                    </wps:txbx>
                    <wps:bodyPr lIns="0" tIns="0" rIns="0" bIns="0" upright="1"/>
                  </wps:wsp>
                </a:graphicData>
              </a:graphic>
            </wp:anchor>
          </w:drawing>
        </mc:Choice>
        <mc:Fallback>
          <w:pict>
            <v:shape id="文本框 119" o:spid="_x0000_s1026" o:spt="202" type="#_x0000_t202" style="position:absolute;left:0pt;margin-left:75.55pt;margin-top:779.15pt;height:12.6pt;width:49.2pt;mso-position-horizontal-relative:page;mso-position-vertical-relative:page;z-index:-27629875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XGlNa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352</w:t>
                    </w:r>
                    <w:r>
                      <w:fldChar w:fldCharType="end"/>
                    </w:r>
                    <w:r>
                      <w:rPr>
                        <w:sz w:val="21"/>
                      </w:rPr>
                      <w:t xml:space="preserve"> —</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2080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28" name="文本框 12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357</w:t>
                          </w:r>
                          <w:r>
                            <w:fldChar w:fldCharType="end"/>
                          </w:r>
                          <w:r>
                            <w:rPr>
                              <w:sz w:val="21"/>
                            </w:rPr>
                            <w:t xml:space="preserve"> —</w:t>
                          </w:r>
                        </w:p>
                      </w:txbxContent>
                    </wps:txbx>
                    <wps:bodyPr lIns="0" tIns="0" rIns="0" bIns="0" upright="1"/>
                  </wps:wsp>
                </a:graphicData>
              </a:graphic>
            </wp:anchor>
          </w:drawing>
        </mc:Choice>
        <mc:Fallback>
          <w:pict>
            <v:shape id="文本框 122" o:spid="_x0000_s1026" o:spt="202" type="#_x0000_t202" style="position:absolute;left:0pt;margin-left:470.45pt;margin-top:779.15pt;height:12.6pt;width:49.2pt;mso-position-horizontal-relative:page;mso-position-vertical-relative:page;z-index:-27629568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BwiMm9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357</w:t>
                    </w:r>
                    <w:r>
                      <w:fldChar w:fldCharType="end"/>
                    </w:r>
                    <w:r>
                      <w:rPr>
                        <w:sz w:val="21"/>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17376" behindDoc="1" locked="0" layoutInCell="1" allowOverlap="1">
              <wp:simplePos x="0" y="0"/>
              <wp:positionH relativeFrom="page">
                <wp:posOffset>959485</wp:posOffset>
              </wp:positionH>
              <wp:positionV relativeFrom="page">
                <wp:posOffset>9895205</wp:posOffset>
              </wp:positionV>
              <wp:extent cx="557530" cy="160020"/>
              <wp:effectExtent l="0" t="0" r="0" b="0"/>
              <wp:wrapNone/>
              <wp:docPr id="27" name="文本框 21"/>
              <wp:cNvGraphicFramePr/>
              <a:graphic xmlns:a="http://schemas.openxmlformats.org/drawingml/2006/main">
                <a:graphicData uri="http://schemas.microsoft.com/office/word/2010/wordprocessingShape">
                  <wps:wsp>
                    <wps:cNvSpPr txBox="1"/>
                    <wps:spPr>
                      <a:xfrm>
                        <a:off x="0" y="0"/>
                        <a:ext cx="55753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90</w:t>
                          </w:r>
                          <w:r>
                            <w:fldChar w:fldCharType="end"/>
                          </w:r>
                          <w:r>
                            <w:rPr>
                              <w:sz w:val="21"/>
                            </w:rPr>
                            <w:t xml:space="preserve"> —</w:t>
                          </w:r>
                        </w:p>
                      </w:txbxContent>
                    </wps:txbx>
                    <wps:bodyPr lIns="0" tIns="0" rIns="0" bIns="0" upright="1"/>
                  </wps:wsp>
                </a:graphicData>
              </a:graphic>
            </wp:anchor>
          </w:drawing>
        </mc:Choice>
        <mc:Fallback>
          <w:pict>
            <v:shape id="文本框 21" o:spid="_x0000_s1026" o:spt="202" type="#_x0000_t202" style="position:absolute;left:0pt;margin-left:75.55pt;margin-top:779.15pt;height:12.6pt;width:43.9pt;mso-position-horizontal-relative:page;mso-position-vertical-relative:page;z-index:-276399104;mso-width-relative:page;mso-height-relative:page;" filled="f" stroked="f" coordsize="21600,21600" o:gfxdata="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D6QFq2gAAAA0BAAAPAAAAAAAAAAEAIAAAACIAAABkcnMvZG93bnJldi54bWxQ&#10;SwECFAAUAAAACACHTuJAiQBh3rwBAABz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90</w:t>
                    </w:r>
                    <w:r>
                      <w:fldChar w:fldCharType="end"/>
                    </w:r>
                    <w:r>
                      <w:rPr>
                        <w:sz w:val="21"/>
                      </w:rPr>
                      <w:t xml:space="preserve"> —</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1977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27" name="文本框 12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356</w:t>
                          </w:r>
                          <w:r>
                            <w:fldChar w:fldCharType="end"/>
                          </w:r>
                          <w:r>
                            <w:rPr>
                              <w:sz w:val="21"/>
                            </w:rPr>
                            <w:t xml:space="preserve"> —</w:t>
                          </w:r>
                        </w:p>
                      </w:txbxContent>
                    </wps:txbx>
                    <wps:bodyPr lIns="0" tIns="0" rIns="0" bIns="0" upright="1"/>
                  </wps:wsp>
                </a:graphicData>
              </a:graphic>
            </wp:anchor>
          </w:drawing>
        </mc:Choice>
        <mc:Fallback>
          <w:pict>
            <v:shape id="文本框 121" o:spid="_x0000_s1026" o:spt="202" type="#_x0000_t202" style="position:absolute;left:0pt;margin-left:75.55pt;margin-top:779.15pt;height:12.6pt;width:49.2pt;mso-position-horizontal-relative:page;mso-position-vertical-relative:page;z-index:-27629670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Yaey2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356</w:t>
                    </w:r>
                    <w:r>
                      <w:fldChar w:fldCharType="end"/>
                    </w:r>
                    <w:r>
                      <w:rPr>
                        <w:sz w:val="21"/>
                      </w:rP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2284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30" name="文本框 12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361</w:t>
                          </w:r>
                          <w:r>
                            <w:fldChar w:fldCharType="end"/>
                          </w:r>
                          <w:r>
                            <w:rPr>
                              <w:sz w:val="21"/>
                            </w:rPr>
                            <w:t xml:space="preserve"> —</w:t>
                          </w:r>
                        </w:p>
                      </w:txbxContent>
                    </wps:txbx>
                    <wps:bodyPr lIns="0" tIns="0" rIns="0" bIns="0" upright="1"/>
                  </wps:wsp>
                </a:graphicData>
              </a:graphic>
            </wp:anchor>
          </w:drawing>
        </mc:Choice>
        <mc:Fallback>
          <w:pict>
            <v:shape id="文本框 124" o:spid="_x0000_s1026" o:spt="202" type="#_x0000_t202" style="position:absolute;left:0pt;margin-left:470.45pt;margin-top:779.15pt;height:12.6pt;width:49.2pt;mso-position-horizontal-relative:page;mso-position-vertical-relative:page;z-index:-27629363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sZzZCL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361</w:t>
                    </w:r>
                    <w:r>
                      <w:fldChar w:fldCharType="end"/>
                    </w:r>
                    <w:r>
                      <w:rPr>
                        <w:sz w:val="21"/>
                      </w:rPr>
                      <w:t xml:space="preserve"> —</w:t>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2182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29" name="文本框 12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360</w:t>
                          </w:r>
                          <w:r>
                            <w:fldChar w:fldCharType="end"/>
                          </w:r>
                          <w:r>
                            <w:rPr>
                              <w:sz w:val="21"/>
                            </w:rPr>
                            <w:t xml:space="preserve"> —</w:t>
                          </w:r>
                        </w:p>
                      </w:txbxContent>
                    </wps:txbx>
                    <wps:bodyPr lIns="0" tIns="0" rIns="0" bIns="0" upright="1"/>
                  </wps:wsp>
                </a:graphicData>
              </a:graphic>
            </wp:anchor>
          </w:drawing>
        </mc:Choice>
        <mc:Fallback>
          <w:pict>
            <v:shape id="文本框 123" o:spid="_x0000_s1026" o:spt="202" type="#_x0000_t202" style="position:absolute;left:0pt;margin-left:75.55pt;margin-top:779.15pt;height:12.6pt;width:49.2pt;mso-position-horizontal-relative:page;mso-position-vertical-relative:page;z-index:-27629465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JTTVUO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360</w:t>
                    </w:r>
                    <w:r>
                      <w:fldChar w:fldCharType="end"/>
                    </w:r>
                    <w:r>
                      <w:rPr>
                        <w:sz w:val="21"/>
                      </w:rPr>
                      <w:t xml:space="preserve"> —</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2592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33" name="文本框 12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369</w:t>
                          </w:r>
                          <w:r>
                            <w:fldChar w:fldCharType="end"/>
                          </w:r>
                          <w:r>
                            <w:rPr>
                              <w:sz w:val="21"/>
                            </w:rPr>
                            <w:t xml:space="preserve"> —</w:t>
                          </w:r>
                        </w:p>
                      </w:txbxContent>
                    </wps:txbx>
                    <wps:bodyPr lIns="0" tIns="0" rIns="0" bIns="0" upright="1"/>
                  </wps:wsp>
                </a:graphicData>
              </a:graphic>
            </wp:anchor>
          </w:drawing>
        </mc:Choice>
        <mc:Fallback>
          <w:pict>
            <v:shape id="文本框 127" o:spid="_x0000_s1026" o:spt="202" type="#_x0000_t202" style="position:absolute;left:0pt;margin-left:470.45pt;margin-top:779.15pt;height:12.6pt;width:49.2pt;mso-position-horizontal-relative:page;mso-position-vertical-relative:page;z-index:-27629056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Nx2DNC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369</w:t>
                    </w:r>
                    <w:r>
                      <w:fldChar w:fldCharType="end"/>
                    </w:r>
                    <w:r>
                      <w:rPr>
                        <w:sz w:val="21"/>
                      </w:rPr>
                      <w:t xml:space="preserve"> —</w:t>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23872"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31" name="文本框 125"/>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（2）处罚标准</w:t>
                          </w:r>
                        </w:p>
                      </w:txbxContent>
                    </wps:txbx>
                    <wps:bodyPr lIns="0" tIns="0" rIns="0" bIns="0" upright="1"/>
                  </wps:wsp>
                </a:graphicData>
              </a:graphic>
            </wp:anchor>
          </w:drawing>
        </mc:Choice>
        <mc:Fallback>
          <w:pict>
            <v:shape id="文本框 125" o:spid="_x0000_s1026" o:spt="202" type="#_x0000_t202" style="position:absolute;left:0pt;margin-left:99.55pt;margin-top:754.55pt;height:14pt;width:80pt;mso-position-horizontal-relative:page;mso-position-vertical-relative:page;z-index:-276292608;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KGwB2AAAAA0BAAAPAAAAAAAAAAEAIAAAACIAAABkcnMvZG93bnJldi54bWxQSwEC&#10;FAAUAAAACACHTuJABpCq2rsBAAB2AwAADgAAAAAAAAABACAAAAAnAQAAZHJzL2Uyb0RvYy54bWxQ&#10;SwUGAAAAAAYABgBZAQAAVAUAAAAA&#10;">
              <v:fill on="f" focussize="0,0"/>
              <v:stroke on="f"/>
              <v:imagedata o:title=""/>
              <o:lock v:ext="edit" aspectratio="f"/>
              <v:textbox inset="0mm,0mm,0mm,0mm">
                <w:txbxContent>
                  <w:p>
                    <w:pPr>
                      <w:pStyle w:val="4"/>
                      <w:spacing w:line="280" w:lineRule="exact"/>
                      <w:ind w:left="20"/>
                    </w:pPr>
                    <w:r>
                      <w:t>（2）处罚标准</w:t>
                    </w:r>
                  </w:p>
                </w:txbxContent>
              </v:textbox>
            </v:shape>
          </w:pict>
        </mc:Fallback>
      </mc:AlternateContent>
    </w:r>
    <w:r>
      <mc:AlternateContent>
        <mc:Choice Requires="wps">
          <w:drawing>
            <wp:anchor distT="0" distB="0" distL="114300" distR="114300" simplePos="0" relativeHeight="22702489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32" name="文本框 12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368</w:t>
                          </w:r>
                          <w:r>
                            <w:fldChar w:fldCharType="end"/>
                          </w:r>
                          <w:r>
                            <w:rPr>
                              <w:sz w:val="21"/>
                            </w:rPr>
                            <w:t xml:space="preserve"> —</w:t>
                          </w:r>
                        </w:p>
                      </w:txbxContent>
                    </wps:txbx>
                    <wps:bodyPr lIns="0" tIns="0" rIns="0" bIns="0" upright="1"/>
                  </wps:wsp>
                </a:graphicData>
              </a:graphic>
            </wp:anchor>
          </w:drawing>
        </mc:Choice>
        <mc:Fallback>
          <w:pict>
            <v:shape id="文本框 126" o:spid="_x0000_s1026" o:spt="202" type="#_x0000_t202" style="position:absolute;left:0pt;margin-left:75.55pt;margin-top:779.15pt;height:12.6pt;width:49.2pt;mso-position-horizontal-relative:page;mso-position-vertical-relative:page;z-index:-27629158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OC2QL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368</w:t>
                    </w:r>
                    <w:r>
                      <w:fldChar w:fldCharType="end"/>
                    </w:r>
                    <w:r>
                      <w:rPr>
                        <w:sz w:val="21"/>
                      </w:rPr>
                      <w:t xml:space="preserve"> —</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2899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36" name="文本框 13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371</w:t>
                          </w:r>
                          <w:r>
                            <w:fldChar w:fldCharType="end"/>
                          </w:r>
                          <w:r>
                            <w:rPr>
                              <w:sz w:val="21"/>
                            </w:rPr>
                            <w:t xml:space="preserve"> —</w:t>
                          </w:r>
                        </w:p>
                      </w:txbxContent>
                    </wps:txbx>
                    <wps:bodyPr lIns="0" tIns="0" rIns="0" bIns="0" upright="1"/>
                  </wps:wsp>
                </a:graphicData>
              </a:graphic>
            </wp:anchor>
          </w:drawing>
        </mc:Choice>
        <mc:Fallback>
          <w:pict>
            <v:shape id="文本框 130" o:spid="_x0000_s1026" o:spt="202" type="#_x0000_t202" style="position:absolute;left:0pt;margin-left:470.45pt;margin-top:779.15pt;height:12.6pt;width:49.2pt;mso-position-horizontal-relative:page;mso-position-vertical-relative:page;z-index:-27628748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C/RreAuwEAAHU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371</w:t>
                    </w:r>
                    <w:r>
                      <w:fldChar w:fldCharType="end"/>
                    </w:r>
                    <w:r>
                      <w:rPr>
                        <w:sz w:val="21"/>
                      </w:rPr>
                      <w:t xml:space="preserve"> —</w:t>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26944"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34" name="文本框 128"/>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（2）处罚标准</w:t>
                          </w:r>
                        </w:p>
                      </w:txbxContent>
                    </wps:txbx>
                    <wps:bodyPr lIns="0" tIns="0" rIns="0" bIns="0" upright="1"/>
                  </wps:wsp>
                </a:graphicData>
              </a:graphic>
            </wp:anchor>
          </w:drawing>
        </mc:Choice>
        <mc:Fallback>
          <w:pict>
            <v:shape id="文本框 128" o:spid="_x0000_s1026" o:spt="202" type="#_x0000_t202" style="position:absolute;left:0pt;margin-left:99.55pt;margin-top:754.55pt;height:14pt;width:80pt;mso-position-horizontal-relative:page;mso-position-vertical-relative:page;z-index:-276289536;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ChsAdgAAAANAQAADwAAAAAAAAABACAAAAAiAAAAZHJzL2Rvd25yZXYueG1sUEsB&#10;AhQAFAAAAAgAh07iQJzoVty8AQAAdgMAAA4AAAAAAAAAAQAgAAAAJwEAAGRycy9lMm9Eb2MueG1s&#10;UEsFBgAAAAAGAAYAWQEAAFUFAAAAAA==&#10;">
              <v:fill on="f" focussize="0,0"/>
              <v:stroke on="f"/>
              <v:imagedata o:title=""/>
              <o:lock v:ext="edit" aspectratio="f"/>
              <v:textbox inset="0mm,0mm,0mm,0mm">
                <w:txbxContent>
                  <w:p>
                    <w:pPr>
                      <w:pStyle w:val="4"/>
                      <w:spacing w:line="280" w:lineRule="exact"/>
                      <w:ind w:left="20"/>
                    </w:pPr>
                    <w:r>
                      <w:t>（2）处罚标准</w:t>
                    </w:r>
                  </w:p>
                </w:txbxContent>
              </v:textbox>
            </v:shape>
          </w:pict>
        </mc:Fallback>
      </mc:AlternateContent>
    </w:r>
    <w:r>
      <mc:AlternateContent>
        <mc:Choice Requires="wps">
          <w:drawing>
            <wp:anchor distT="0" distB="0" distL="114300" distR="114300" simplePos="0" relativeHeight="22702796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35" name="文本框 12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370</w:t>
                          </w:r>
                          <w:r>
                            <w:fldChar w:fldCharType="end"/>
                          </w:r>
                          <w:r>
                            <w:rPr>
                              <w:sz w:val="21"/>
                            </w:rPr>
                            <w:t xml:space="preserve"> —</w:t>
                          </w:r>
                        </w:p>
                      </w:txbxContent>
                    </wps:txbx>
                    <wps:bodyPr lIns="0" tIns="0" rIns="0" bIns="0" upright="1"/>
                  </wps:wsp>
                </a:graphicData>
              </a:graphic>
            </wp:anchor>
          </w:drawing>
        </mc:Choice>
        <mc:Fallback>
          <w:pict>
            <v:shape id="文本框 129" o:spid="_x0000_s1026" o:spt="202" type="#_x0000_t202" style="position:absolute;left:0pt;margin-left:75.55pt;margin-top:779.15pt;height:12.6pt;width:49.2pt;mso-position-horizontal-relative:page;mso-position-vertical-relative:page;z-index:-27628851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PQZFEK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370</w:t>
                    </w:r>
                    <w:r>
                      <w:fldChar w:fldCharType="end"/>
                    </w:r>
                    <w:r>
                      <w:rPr>
                        <w:sz w:val="21"/>
                      </w:rPr>
                      <w:t xml:space="preserve"> —</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1040"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38" name="文本框 13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373</w:t>
                          </w:r>
                          <w:r>
                            <w:fldChar w:fldCharType="end"/>
                          </w:r>
                          <w:r>
                            <w:rPr>
                              <w:sz w:val="21"/>
                            </w:rPr>
                            <w:t xml:space="preserve"> —</w:t>
                          </w:r>
                        </w:p>
                      </w:txbxContent>
                    </wps:txbx>
                    <wps:bodyPr lIns="0" tIns="0" rIns="0" bIns="0" upright="1"/>
                  </wps:wsp>
                </a:graphicData>
              </a:graphic>
            </wp:anchor>
          </w:drawing>
        </mc:Choice>
        <mc:Fallback>
          <w:pict>
            <v:shape id="文本框 132" o:spid="_x0000_s1026" o:spt="202" type="#_x0000_t202" style="position:absolute;left:0pt;margin-left:470.45pt;margin-top:779.15pt;height:12.6pt;width:49.2pt;mso-position-horizontal-relative:page;mso-position-vertical-relative:page;z-index:-276285440;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SjJQG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373</w:t>
                    </w:r>
                    <w:r>
                      <w:fldChar w:fldCharType="end"/>
                    </w:r>
                    <w:r>
                      <w:rPr>
                        <w:sz w:val="21"/>
                      </w:rPr>
                      <w:t xml:space="preserve"> —</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0016"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37" name="文本框 131"/>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372</w:t>
                          </w:r>
                          <w:r>
                            <w:fldChar w:fldCharType="end"/>
                          </w:r>
                          <w:r>
                            <w:rPr>
                              <w:sz w:val="21"/>
                            </w:rPr>
                            <w:t xml:space="preserve"> —</w:t>
                          </w:r>
                        </w:p>
                      </w:txbxContent>
                    </wps:txbx>
                    <wps:bodyPr lIns="0" tIns="0" rIns="0" bIns="0" upright="1"/>
                  </wps:wsp>
                </a:graphicData>
              </a:graphic>
            </wp:anchor>
          </w:drawing>
        </mc:Choice>
        <mc:Fallback>
          <w:pict>
            <v:shape id="文本框 131" o:spid="_x0000_s1026" o:spt="202" type="#_x0000_t202" style="position:absolute;left:0pt;margin-left:75.55pt;margin-top:779.15pt;height:12.6pt;width:49.2pt;mso-position-horizontal-relative:page;mso-position-vertical-relative:page;z-index:-276286464;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FsdK36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372</w:t>
                    </w:r>
                    <w:r>
                      <w:fldChar w:fldCharType="end"/>
                    </w:r>
                    <w:r>
                      <w:rPr>
                        <w:sz w:val="21"/>
                      </w:rPr>
                      <w:t xml:space="preserve"> —</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308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40" name="文本框 13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381</w:t>
                          </w:r>
                          <w:r>
                            <w:fldChar w:fldCharType="end"/>
                          </w:r>
                          <w:r>
                            <w:rPr>
                              <w:sz w:val="21"/>
                            </w:rPr>
                            <w:t xml:space="preserve"> —</w:t>
                          </w:r>
                        </w:p>
                      </w:txbxContent>
                    </wps:txbx>
                    <wps:bodyPr lIns="0" tIns="0" rIns="0" bIns="0" upright="1"/>
                  </wps:wsp>
                </a:graphicData>
              </a:graphic>
            </wp:anchor>
          </w:drawing>
        </mc:Choice>
        <mc:Fallback>
          <w:pict>
            <v:shape id="文本框 134" o:spid="_x0000_s1026" o:spt="202" type="#_x0000_t202" style="position:absolute;left:0pt;margin-left:470.45pt;margin-top:779.15pt;height:12.6pt;width:49.2pt;mso-position-horizontal-relative:page;mso-position-vertical-relative:page;z-index:-27628339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Yu/Hg7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381</w:t>
                    </w:r>
                    <w:r>
                      <w:fldChar w:fldCharType="end"/>
                    </w:r>
                    <w:r>
                      <w:rPr>
                        <w:sz w:val="21"/>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6920448"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30" name="文本框 24"/>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101</w:t>
                          </w:r>
                          <w:r>
                            <w:fldChar w:fldCharType="end"/>
                          </w:r>
                          <w:r>
                            <w:rPr>
                              <w:sz w:val="21"/>
                            </w:rPr>
                            <w:t xml:space="preserve"> —</w:t>
                          </w:r>
                        </w:p>
                      </w:txbxContent>
                    </wps:txbx>
                    <wps:bodyPr lIns="0" tIns="0" rIns="0" bIns="0" upright="1"/>
                  </wps:wsp>
                </a:graphicData>
              </a:graphic>
            </wp:anchor>
          </w:drawing>
        </mc:Choice>
        <mc:Fallback>
          <w:pict>
            <v:shape id="文本框 24" o:spid="_x0000_s1026" o:spt="202" type="#_x0000_t202" style="position:absolute;left:0pt;margin-left:470.45pt;margin-top:779.15pt;height:12.6pt;width:49.2pt;mso-position-horizontal-relative:page;mso-position-vertical-relative:page;z-index:-276396032;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j2ZHaAAAADgEAAA8AAAAAAAAAAQAgAAAAIgAAAGRycy9kb3ducmV2LnhtbFBL&#10;AQIUABQAAAAIAIdO4kDPXxIuuwEAAHMDAAAOAAAAAAAAAAEAIAAAACkBAABkcnMvZTJvRG9jLnht&#10;bFBLBQYAAAAABgAGAFkBAABWBQ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101</w:t>
                    </w:r>
                    <w:r>
                      <w:fldChar w:fldCharType="end"/>
                    </w:r>
                    <w:r>
                      <w:rPr>
                        <w:sz w:val="21"/>
                      </w:rPr>
                      <w:t xml:space="preserve"> —</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2064"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39" name="文本框 13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380</w:t>
                          </w:r>
                          <w:r>
                            <w:fldChar w:fldCharType="end"/>
                          </w:r>
                          <w:r>
                            <w:rPr>
                              <w:sz w:val="21"/>
                            </w:rPr>
                            <w:t xml:space="preserve"> —</w:t>
                          </w:r>
                        </w:p>
                      </w:txbxContent>
                    </wps:txbx>
                    <wps:bodyPr lIns="0" tIns="0" rIns="0" bIns="0" upright="1"/>
                  </wps:wsp>
                </a:graphicData>
              </a:graphic>
            </wp:anchor>
          </w:drawing>
        </mc:Choice>
        <mc:Fallback>
          <w:pict>
            <v:shape id="文本框 133" o:spid="_x0000_s1026" o:spt="202" type="#_x0000_t202" style="position:absolute;left:0pt;margin-left:75.55pt;margin-top:779.15pt;height:12.6pt;width:49.2pt;mso-position-horizontal-relative:page;mso-position-vertical-relative:page;z-index:-276284416;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K5pzOS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380</w:t>
                    </w:r>
                    <w:r>
                      <w:fldChar w:fldCharType="end"/>
                    </w:r>
                    <w:r>
                      <w:rPr>
                        <w:sz w:val="21"/>
                      </w:rPr>
                      <w:t xml:space="preserve"> —</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5136"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42" name="文本框 136"/>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391</w:t>
                          </w:r>
                          <w:r>
                            <w:fldChar w:fldCharType="end"/>
                          </w:r>
                          <w:r>
                            <w:rPr>
                              <w:sz w:val="21"/>
                            </w:rPr>
                            <w:t xml:space="preserve"> —</w:t>
                          </w:r>
                        </w:p>
                      </w:txbxContent>
                    </wps:txbx>
                    <wps:bodyPr lIns="0" tIns="0" rIns="0" bIns="0" upright="1"/>
                  </wps:wsp>
                </a:graphicData>
              </a:graphic>
            </wp:anchor>
          </w:drawing>
        </mc:Choice>
        <mc:Fallback>
          <w:pict>
            <v:shape id="文本框 136" o:spid="_x0000_s1026" o:spt="202" type="#_x0000_t202" style="position:absolute;left:0pt;margin-left:470.45pt;margin-top:779.15pt;height:12.6pt;width:49.2pt;mso-position-horizontal-relative:page;mso-position-vertical-relative:page;z-index:-276281344;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616Op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391</w:t>
                    </w:r>
                    <w:r>
                      <w:fldChar w:fldCharType="end"/>
                    </w:r>
                    <w:r>
                      <w:rPr>
                        <w:sz w:val="21"/>
                      </w:rPr>
                      <w:t xml:space="preserve"> —</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4112"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41" name="文本框 13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390</w:t>
                          </w:r>
                          <w:r>
                            <w:fldChar w:fldCharType="end"/>
                          </w:r>
                          <w:r>
                            <w:rPr>
                              <w:sz w:val="21"/>
                            </w:rPr>
                            <w:t xml:space="preserve"> —</w:t>
                          </w:r>
                        </w:p>
                      </w:txbxContent>
                    </wps:txbx>
                    <wps:bodyPr lIns="0" tIns="0" rIns="0" bIns="0" upright="1"/>
                  </wps:wsp>
                </a:graphicData>
              </a:graphic>
            </wp:anchor>
          </w:drawing>
        </mc:Choice>
        <mc:Fallback>
          <w:pict>
            <v:shape id="文本框 135" o:spid="_x0000_s1026" o:spt="202" type="#_x0000_t202" style="position:absolute;left:0pt;margin-left:75.55pt;margin-top:779.15pt;height:12.6pt;width:49.2pt;mso-position-horizontal-relative:page;mso-position-vertical-relative:page;z-index:-276282368;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hrRbf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390</w:t>
                    </w:r>
                    <w:r>
                      <w:fldChar w:fldCharType="end"/>
                    </w:r>
                    <w:r>
                      <w:rPr>
                        <w:sz w:val="21"/>
                      </w:rPr>
                      <w:t xml:space="preserve"> —</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718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44" name="文本框 138"/>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401</w:t>
                          </w:r>
                          <w:r>
                            <w:fldChar w:fldCharType="end"/>
                          </w:r>
                          <w:r>
                            <w:rPr>
                              <w:sz w:val="21"/>
                            </w:rPr>
                            <w:t xml:space="preserve"> —</w:t>
                          </w:r>
                        </w:p>
                      </w:txbxContent>
                    </wps:txbx>
                    <wps:bodyPr lIns="0" tIns="0" rIns="0" bIns="0" upright="1"/>
                  </wps:wsp>
                </a:graphicData>
              </a:graphic>
            </wp:anchor>
          </w:drawing>
        </mc:Choice>
        <mc:Fallback>
          <w:pict>
            <v:shape id="文本框 138" o:spid="_x0000_s1026" o:spt="202" type="#_x0000_t202" style="position:absolute;left:0pt;margin-left:470.45pt;margin-top:779.15pt;height:12.6pt;width:49.2pt;mso-position-horizontal-relative:page;mso-position-vertical-relative:page;z-index:-27627929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MMxlje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401</w:t>
                    </w:r>
                    <w:r>
                      <w:fldChar w:fldCharType="end"/>
                    </w:r>
                    <w:r>
                      <w:rPr>
                        <w:sz w:val="21"/>
                      </w:rPr>
                      <w:t xml:space="preserve"> —</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616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43" name="文本框 137"/>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400</w:t>
                          </w:r>
                          <w:r>
                            <w:fldChar w:fldCharType="end"/>
                          </w:r>
                          <w:r>
                            <w:rPr>
                              <w:sz w:val="21"/>
                            </w:rPr>
                            <w:t xml:space="preserve"> —</w:t>
                          </w:r>
                        </w:p>
                      </w:txbxContent>
                    </wps:txbx>
                    <wps:bodyPr lIns="0" tIns="0" rIns="0" bIns="0" upright="1"/>
                  </wps:wsp>
                </a:graphicData>
              </a:graphic>
            </wp:anchor>
          </w:drawing>
        </mc:Choice>
        <mc:Fallback>
          <w:pict>
            <v:shape id="文本框 137" o:spid="_x0000_s1026" o:spt="202" type="#_x0000_t202" style="position:absolute;left:0pt;margin-left:75.55pt;margin-top:779.15pt;height:12.6pt;width:49.2pt;mso-position-horizontal-relative:page;mso-position-vertical-relative:page;z-index:-27628032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A8FElu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400</w:t>
                    </w:r>
                    <w:r>
                      <w:fldChar w:fldCharType="end"/>
                    </w:r>
                    <w:r>
                      <w:rPr>
                        <w:sz w:val="21"/>
                      </w:rPr>
                      <w:t xml:space="preserve"> —</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923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46" name="文本框 140"/>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411</w:t>
                          </w:r>
                          <w:r>
                            <w:fldChar w:fldCharType="end"/>
                          </w:r>
                          <w:r>
                            <w:rPr>
                              <w:sz w:val="21"/>
                            </w:rPr>
                            <w:t xml:space="preserve"> —</w:t>
                          </w:r>
                        </w:p>
                      </w:txbxContent>
                    </wps:txbx>
                    <wps:bodyPr lIns="0" tIns="0" rIns="0" bIns="0" upright="1"/>
                  </wps:wsp>
                </a:graphicData>
              </a:graphic>
            </wp:anchor>
          </w:drawing>
        </mc:Choice>
        <mc:Fallback>
          <w:pict>
            <v:shape id="文本框 140" o:spid="_x0000_s1026" o:spt="202" type="#_x0000_t202" style="position:absolute;left:0pt;margin-left:470.45pt;margin-top:779.15pt;height:12.6pt;width:49.2pt;mso-position-horizontal-relative:page;mso-position-vertical-relative:page;z-index:-27627724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iPZkdoAAAAOAQAADwAAAAAAAAABACAAAAAiAAAAZHJzL2Rvd25yZXYueG1sUEsB&#10;AhQAFAAAAAgAh07iQJtsmUC6AQAAdQMAAA4AAAAAAAAAAQAgAAAAKQEAAGRycy9lMm9Eb2MueG1s&#10;UEsFBgAAAAAGAAYAWQEAAFU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411</w:t>
                    </w:r>
                    <w:r>
                      <w:fldChar w:fldCharType="end"/>
                    </w:r>
                    <w:r>
                      <w:rPr>
                        <w:sz w:val="21"/>
                      </w:rPr>
                      <w:t xml:space="preserve"> —</w:t>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38208"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45" name="文本框 139"/>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410</w:t>
                          </w:r>
                          <w:r>
                            <w:fldChar w:fldCharType="end"/>
                          </w:r>
                          <w:r>
                            <w:rPr>
                              <w:sz w:val="21"/>
                            </w:rPr>
                            <w:t xml:space="preserve"> —</w:t>
                          </w:r>
                        </w:p>
                      </w:txbxContent>
                    </wps:txbx>
                    <wps:bodyPr lIns="0" tIns="0" rIns="0" bIns="0" upright="1"/>
                  </wps:wsp>
                </a:graphicData>
              </a:graphic>
            </wp:anchor>
          </w:drawing>
        </mc:Choice>
        <mc:Fallback>
          <w:pict>
            <v:shape id="文本框 139" o:spid="_x0000_s1026" o:spt="202" type="#_x0000_t202" style="position:absolute;left:0pt;margin-left:75.55pt;margin-top:779.15pt;height:12.6pt;width:49.2pt;mso-position-horizontal-relative:page;mso-position-vertical-relative:page;z-index:-276278272;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zdkh9oAAAANAQAADwAAAAAAAAABACAAAAAiAAAAZHJzL2Rvd25yZXYueG1s&#10;UEsBAhQAFAAAAAgAh07iQCdqCsm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410</w:t>
                    </w:r>
                    <w:r>
                      <w:fldChar w:fldCharType="end"/>
                    </w:r>
                    <w:r>
                      <w:rPr>
                        <w:sz w:val="21"/>
                      </w:rPr>
                      <w:t xml:space="preserve"> —</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42304"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49" name="文本框 143"/>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415</w:t>
                          </w:r>
                          <w:r>
                            <w:fldChar w:fldCharType="end"/>
                          </w:r>
                          <w:r>
                            <w:rPr>
                              <w:sz w:val="21"/>
                            </w:rPr>
                            <w:t xml:space="preserve"> —</w:t>
                          </w:r>
                        </w:p>
                      </w:txbxContent>
                    </wps:txbx>
                    <wps:bodyPr lIns="0" tIns="0" rIns="0" bIns="0" upright="1"/>
                  </wps:wsp>
                </a:graphicData>
              </a:graphic>
            </wp:anchor>
          </w:drawing>
        </mc:Choice>
        <mc:Fallback>
          <w:pict>
            <v:shape id="文本框 143" o:spid="_x0000_s1026" o:spt="202" type="#_x0000_t202" style="position:absolute;left:0pt;margin-left:470.45pt;margin-top:779.15pt;height:12.6pt;width:49.2pt;mso-position-horizontal-relative:page;mso-position-vertical-relative:page;z-index:-276274176;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iPZkdoAAAAOAQAADwAAAAAAAAABACAAAAAiAAAAZHJzL2Rvd25yZXYueG1s&#10;UEsBAhQAFAAAAAgAh07iQIpD4iS9AQAAdQMAAA4AAAAAAAAAAQAgAAAAKQEAAGRycy9lMm9Eb2Mu&#10;eG1sUEsFBgAAAAAGAAYAWQEAAFgFA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415</w:t>
                    </w:r>
                    <w:r>
                      <w:fldChar w:fldCharType="end"/>
                    </w:r>
                    <w:r>
                      <w:rPr>
                        <w:sz w:val="21"/>
                      </w:rPr>
                      <w:t xml:space="preserve"> —</w:t>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40256" behindDoc="1" locked="0" layoutInCell="1" allowOverlap="1">
              <wp:simplePos x="0" y="0"/>
              <wp:positionH relativeFrom="page">
                <wp:posOffset>1264285</wp:posOffset>
              </wp:positionH>
              <wp:positionV relativeFrom="page">
                <wp:posOffset>9582785</wp:posOffset>
              </wp:positionV>
              <wp:extent cx="1016000" cy="177800"/>
              <wp:effectExtent l="0" t="0" r="0" b="0"/>
              <wp:wrapNone/>
              <wp:docPr id="147" name="文本框 141"/>
              <wp:cNvGraphicFramePr/>
              <a:graphic xmlns:a="http://schemas.openxmlformats.org/drawingml/2006/main">
                <a:graphicData uri="http://schemas.microsoft.com/office/word/2010/wordprocessingShape">
                  <wps:wsp>
                    <wps:cNvSpPr txBox="1"/>
                    <wps:spPr>
                      <a:xfrm>
                        <a:off x="0" y="0"/>
                        <a:ext cx="1016000" cy="177800"/>
                      </a:xfrm>
                      <a:prstGeom prst="rect">
                        <a:avLst/>
                      </a:prstGeom>
                      <a:noFill/>
                      <a:ln>
                        <a:noFill/>
                      </a:ln>
                    </wps:spPr>
                    <wps:txbx>
                      <w:txbxContent>
                        <w:p>
                          <w:pPr>
                            <w:pStyle w:val="4"/>
                            <w:spacing w:line="280" w:lineRule="exact"/>
                            <w:ind w:left="20"/>
                          </w:pPr>
                          <w:r>
                            <w:t>（2）处罚标准</w:t>
                          </w:r>
                        </w:p>
                      </w:txbxContent>
                    </wps:txbx>
                    <wps:bodyPr lIns="0" tIns="0" rIns="0" bIns="0" upright="1"/>
                  </wps:wsp>
                </a:graphicData>
              </a:graphic>
            </wp:anchor>
          </w:drawing>
        </mc:Choice>
        <mc:Fallback>
          <w:pict>
            <v:shape id="文本框 141" o:spid="_x0000_s1026" o:spt="202" type="#_x0000_t202" style="position:absolute;left:0pt;margin-left:99.55pt;margin-top:754.55pt;height:14pt;width:80pt;mso-position-horizontal-relative:page;mso-position-vertical-relative:page;z-index:-276276224;mso-width-relative:page;mso-height-relative:page;" filled="f" stroked="f" coordsize="21600,21600" o:gfxdata="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KGwB2AAAAA0BAAAPAAAAAAAAAAEAIAAAACIAAABkcnMvZG93bnJldi54bWxQSwEC&#10;FAAUAAAACACHTuJAIBlZAbsBAAB2AwAADgAAAAAAAAABACAAAAAnAQAAZHJzL2Uyb0RvYy54bWxQ&#10;SwUGAAAAAAYABgBZAQAAVAUAAAAA&#10;">
              <v:fill on="f" focussize="0,0"/>
              <v:stroke on="f"/>
              <v:imagedata o:title=""/>
              <o:lock v:ext="edit" aspectratio="f"/>
              <v:textbox inset="0mm,0mm,0mm,0mm">
                <w:txbxContent>
                  <w:p>
                    <w:pPr>
                      <w:pStyle w:val="4"/>
                      <w:spacing w:line="280" w:lineRule="exact"/>
                      <w:ind w:left="20"/>
                    </w:pPr>
                    <w:r>
                      <w:t>（2）处罚标准</w:t>
                    </w:r>
                  </w:p>
                </w:txbxContent>
              </v:textbox>
            </v:shape>
          </w:pict>
        </mc:Fallback>
      </mc:AlternateContent>
    </w:r>
    <w:r>
      <mc:AlternateContent>
        <mc:Choice Requires="wps">
          <w:drawing>
            <wp:anchor distT="0" distB="0" distL="114300" distR="114300" simplePos="0" relativeHeight="227041280" behindDoc="1" locked="0" layoutInCell="1" allowOverlap="1">
              <wp:simplePos x="0" y="0"/>
              <wp:positionH relativeFrom="page">
                <wp:posOffset>959485</wp:posOffset>
              </wp:positionH>
              <wp:positionV relativeFrom="page">
                <wp:posOffset>9895205</wp:posOffset>
              </wp:positionV>
              <wp:extent cx="624840" cy="160020"/>
              <wp:effectExtent l="0" t="0" r="0" b="0"/>
              <wp:wrapNone/>
              <wp:docPr id="148" name="文本框 142"/>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414</w:t>
                          </w:r>
                          <w:r>
                            <w:fldChar w:fldCharType="end"/>
                          </w:r>
                          <w:r>
                            <w:rPr>
                              <w:sz w:val="21"/>
                            </w:rPr>
                            <w:t xml:space="preserve"> —</w:t>
                          </w:r>
                        </w:p>
                      </w:txbxContent>
                    </wps:txbx>
                    <wps:bodyPr lIns="0" tIns="0" rIns="0" bIns="0" upright="1"/>
                  </wps:wsp>
                </a:graphicData>
              </a:graphic>
            </wp:anchor>
          </w:drawing>
        </mc:Choice>
        <mc:Fallback>
          <w:pict>
            <v:shape id="文本框 142" o:spid="_x0000_s1026" o:spt="202" type="#_x0000_t202" style="position:absolute;left:0pt;margin-left:75.55pt;margin-top:779.15pt;height:12.6pt;width:49.2pt;mso-position-horizontal-relative:page;mso-position-vertical-relative:page;z-index:-276275200;mso-width-relative:page;mso-height-relative:page;" filled="f" stroked="f" coordsize="21600,21600" o:gfxdata="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N2SH2gAAAA0BAAAPAAAAAAAAAAEAIAAAACIAAABkcnMvZG93bnJldi54bWxQ&#10;SwECFAAUAAAACACHTuJAbhh+2r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414</w:t>
                    </w:r>
                    <w:r>
                      <w:fldChar w:fldCharType="end"/>
                    </w:r>
                    <w:r>
                      <w:rPr>
                        <w:sz w:val="21"/>
                      </w:rPr>
                      <w:t xml:space="preserve"> —</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27044352" behindDoc="1" locked="0" layoutInCell="1" allowOverlap="1">
              <wp:simplePos x="0" y="0"/>
              <wp:positionH relativeFrom="page">
                <wp:posOffset>5974715</wp:posOffset>
              </wp:positionH>
              <wp:positionV relativeFrom="page">
                <wp:posOffset>9895205</wp:posOffset>
              </wp:positionV>
              <wp:extent cx="624840" cy="160020"/>
              <wp:effectExtent l="0" t="0" r="0" b="0"/>
              <wp:wrapNone/>
              <wp:docPr id="151" name="文本框 145"/>
              <wp:cNvGraphicFramePr/>
              <a:graphic xmlns:a="http://schemas.openxmlformats.org/drawingml/2006/main">
                <a:graphicData uri="http://schemas.microsoft.com/office/word/2010/wordprocessingShape">
                  <wps:wsp>
                    <wps:cNvSpPr txBox="1"/>
                    <wps:spPr>
                      <a:xfrm>
                        <a:off x="0" y="0"/>
                        <a:ext cx="624840" cy="160020"/>
                      </a:xfrm>
                      <a:prstGeom prst="rect">
                        <a:avLst/>
                      </a:prstGeom>
                      <a:noFill/>
                      <a:ln>
                        <a:noFill/>
                      </a:ln>
                    </wps:spPr>
                    <wps:txbx>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419</w:t>
                          </w:r>
                          <w:r>
                            <w:fldChar w:fldCharType="end"/>
                          </w:r>
                          <w:r>
                            <w:rPr>
                              <w:sz w:val="21"/>
                            </w:rPr>
                            <w:t xml:space="preserve"> —</w:t>
                          </w:r>
                        </w:p>
                      </w:txbxContent>
                    </wps:txbx>
                    <wps:bodyPr lIns="0" tIns="0" rIns="0" bIns="0" upright="1"/>
                  </wps:wsp>
                </a:graphicData>
              </a:graphic>
            </wp:anchor>
          </w:drawing>
        </mc:Choice>
        <mc:Fallback>
          <w:pict>
            <v:shape id="文本框 145" o:spid="_x0000_s1026" o:spt="202" type="#_x0000_t202" style="position:absolute;left:0pt;margin-left:470.45pt;margin-top:779.15pt;height:12.6pt;width:49.2pt;mso-position-horizontal-relative:page;mso-position-vertical-relative:page;z-index:-276272128;mso-width-relative:page;mso-height-relative:page;" filled="f" stroked="f" coordsize="21600,21600" o:gfxdata="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I9mR2gAAAA4BAAAPAAAAAAAAAAEAIAAAACIAAABkcnMvZG93bnJldi54bWxQ&#10;SwECFAAUAAAACACHTuJAS1fykbwBAAB1AwAADgAAAAAAAAABACAAAAApAQAAZHJzL2Uyb0RvYy54&#10;bWxQSwUGAAAAAAYABgBZAQAAVwUAAAAA&#10;">
              <v:fill on="f" focussize="0,0"/>
              <v:stroke on="f"/>
              <v:imagedata o:title=""/>
              <o:lock v:ext="edit" aspectratio="f"/>
              <v:textbox inset="0mm,0mm,0mm,0mm">
                <w:txbxContent>
                  <w:p>
                    <w:pPr>
                      <w:spacing w:before="0" w:line="251" w:lineRule="exact"/>
                      <w:ind w:left="20" w:right="0" w:firstLine="0"/>
                      <w:jc w:val="left"/>
                      <w:rPr>
                        <w:sz w:val="21"/>
                      </w:rPr>
                    </w:pPr>
                    <w:r>
                      <w:rPr>
                        <w:sz w:val="21"/>
                      </w:rPr>
                      <w:t xml:space="preserve">— </w:t>
                    </w:r>
                    <w:r>
                      <w:fldChar w:fldCharType="begin"/>
                    </w:r>
                    <w:r>
                      <w:rPr>
                        <w:sz w:val="21"/>
                      </w:rPr>
                      <w:instrText xml:space="preserve"> PAGE </w:instrText>
                    </w:r>
                    <w:r>
                      <w:fldChar w:fldCharType="separate"/>
                    </w:r>
                    <w:r>
                      <w:t>419</w:t>
                    </w:r>
                    <w:r>
                      <w:fldChar w:fldCharType="end"/>
                    </w:r>
                    <w:r>
                      <w:rPr>
                        <w:sz w:val="21"/>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
    <w:nsid w:val="805C5B1F"/>
    <w:multiLevelType w:val="multilevel"/>
    <w:tmpl w:val="805C5B1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
    <w:nsid w:val="806E7C5A"/>
    <w:multiLevelType w:val="multilevel"/>
    <w:tmpl w:val="806E7C5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
    <w:nsid w:val="807DED65"/>
    <w:multiLevelType w:val="multilevel"/>
    <w:tmpl w:val="807DED6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
    <w:nsid w:val="80819091"/>
    <w:multiLevelType w:val="multilevel"/>
    <w:tmpl w:val="80819091"/>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5">
    <w:nsid w:val="809FB798"/>
    <w:multiLevelType w:val="multilevel"/>
    <w:tmpl w:val="809FB79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
    <w:nsid w:val="80A6BCCC"/>
    <w:multiLevelType w:val="multilevel"/>
    <w:tmpl w:val="80A6BCCC"/>
    <w:lvl w:ilvl="0" w:tentative="0">
      <w:start w:val="1"/>
      <w:numFmt w:val="decimal"/>
      <w:lvlText w:val="%1."/>
      <w:lvlJc w:val="left"/>
      <w:pPr>
        <w:ind w:left="591" w:hanging="24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241"/>
      </w:pPr>
      <w:rPr>
        <w:rFonts w:hint="default"/>
        <w:lang w:val="zh-CN" w:eastAsia="zh-CN" w:bidi="zh-CN"/>
      </w:rPr>
    </w:lvl>
    <w:lvl w:ilvl="2" w:tentative="0">
      <w:start w:val="0"/>
      <w:numFmt w:val="bullet"/>
      <w:lvlText w:val="•"/>
      <w:lvlJc w:val="left"/>
      <w:pPr>
        <w:ind w:left="2325" w:hanging="241"/>
      </w:pPr>
      <w:rPr>
        <w:rFonts w:hint="default"/>
        <w:lang w:val="zh-CN" w:eastAsia="zh-CN" w:bidi="zh-CN"/>
      </w:rPr>
    </w:lvl>
    <w:lvl w:ilvl="3" w:tentative="0">
      <w:start w:val="0"/>
      <w:numFmt w:val="bullet"/>
      <w:lvlText w:val="•"/>
      <w:lvlJc w:val="left"/>
      <w:pPr>
        <w:ind w:left="3187" w:hanging="241"/>
      </w:pPr>
      <w:rPr>
        <w:rFonts w:hint="default"/>
        <w:lang w:val="zh-CN" w:eastAsia="zh-CN" w:bidi="zh-CN"/>
      </w:rPr>
    </w:lvl>
    <w:lvl w:ilvl="4" w:tentative="0">
      <w:start w:val="0"/>
      <w:numFmt w:val="bullet"/>
      <w:lvlText w:val="•"/>
      <w:lvlJc w:val="left"/>
      <w:pPr>
        <w:ind w:left="4050" w:hanging="241"/>
      </w:pPr>
      <w:rPr>
        <w:rFonts w:hint="default"/>
        <w:lang w:val="zh-CN" w:eastAsia="zh-CN" w:bidi="zh-CN"/>
      </w:rPr>
    </w:lvl>
    <w:lvl w:ilvl="5" w:tentative="0">
      <w:start w:val="0"/>
      <w:numFmt w:val="bullet"/>
      <w:lvlText w:val="•"/>
      <w:lvlJc w:val="left"/>
      <w:pPr>
        <w:ind w:left="4913" w:hanging="241"/>
      </w:pPr>
      <w:rPr>
        <w:rFonts w:hint="default"/>
        <w:lang w:val="zh-CN" w:eastAsia="zh-CN" w:bidi="zh-CN"/>
      </w:rPr>
    </w:lvl>
    <w:lvl w:ilvl="6" w:tentative="0">
      <w:start w:val="0"/>
      <w:numFmt w:val="bullet"/>
      <w:lvlText w:val="•"/>
      <w:lvlJc w:val="left"/>
      <w:pPr>
        <w:ind w:left="5775" w:hanging="241"/>
      </w:pPr>
      <w:rPr>
        <w:rFonts w:hint="default"/>
        <w:lang w:val="zh-CN" w:eastAsia="zh-CN" w:bidi="zh-CN"/>
      </w:rPr>
    </w:lvl>
    <w:lvl w:ilvl="7" w:tentative="0">
      <w:start w:val="0"/>
      <w:numFmt w:val="bullet"/>
      <w:lvlText w:val="•"/>
      <w:lvlJc w:val="left"/>
      <w:pPr>
        <w:ind w:left="6638" w:hanging="241"/>
      </w:pPr>
      <w:rPr>
        <w:rFonts w:hint="default"/>
        <w:lang w:val="zh-CN" w:eastAsia="zh-CN" w:bidi="zh-CN"/>
      </w:rPr>
    </w:lvl>
    <w:lvl w:ilvl="8" w:tentative="0">
      <w:start w:val="0"/>
      <w:numFmt w:val="bullet"/>
      <w:lvlText w:val="•"/>
      <w:lvlJc w:val="left"/>
      <w:pPr>
        <w:ind w:left="7500" w:hanging="241"/>
      </w:pPr>
      <w:rPr>
        <w:rFonts w:hint="default"/>
        <w:lang w:val="zh-CN" w:eastAsia="zh-CN" w:bidi="zh-CN"/>
      </w:rPr>
    </w:lvl>
  </w:abstractNum>
  <w:abstractNum w:abstractNumId="7">
    <w:nsid w:val="80AF8B78"/>
    <w:multiLevelType w:val="singleLevel"/>
    <w:tmpl w:val="80AF8B78"/>
    <w:lvl w:ilvl="0" w:tentative="0">
      <w:start w:val="2"/>
      <w:numFmt w:val="chineseCounting"/>
      <w:suff w:val="nothing"/>
      <w:lvlText w:val="（%1）"/>
      <w:lvlJc w:val="left"/>
      <w:rPr>
        <w:rFonts w:hint="eastAsia"/>
      </w:rPr>
    </w:lvl>
  </w:abstractNum>
  <w:abstractNum w:abstractNumId="8">
    <w:nsid w:val="810E8653"/>
    <w:multiLevelType w:val="multilevel"/>
    <w:tmpl w:val="810E865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
    <w:nsid w:val="813A4B87"/>
    <w:multiLevelType w:val="multilevel"/>
    <w:tmpl w:val="813A4B87"/>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0">
    <w:nsid w:val="816B7349"/>
    <w:multiLevelType w:val="multilevel"/>
    <w:tmpl w:val="816B734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
    <w:nsid w:val="817E7E6A"/>
    <w:multiLevelType w:val="multilevel"/>
    <w:tmpl w:val="817E7E6A"/>
    <w:lvl w:ilvl="0" w:tentative="0">
      <w:start w:val="1"/>
      <w:numFmt w:val="decimal"/>
      <w:lvlText w:val="%1."/>
      <w:lvlJc w:val="left"/>
      <w:pPr>
        <w:ind w:left="111" w:hanging="24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2">
    <w:nsid w:val="824D95A1"/>
    <w:multiLevelType w:val="multilevel"/>
    <w:tmpl w:val="824D95A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
    <w:nsid w:val="825EC3C5"/>
    <w:multiLevelType w:val="multilevel"/>
    <w:tmpl w:val="825EC3C5"/>
    <w:lvl w:ilvl="0" w:tentative="0">
      <w:start w:val="1"/>
      <w:numFmt w:val="decimal"/>
      <w:lvlText w:val="%1."/>
      <w:lvlJc w:val="left"/>
      <w:pPr>
        <w:ind w:left="111" w:hanging="24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4">
    <w:nsid w:val="8273E4B2"/>
    <w:multiLevelType w:val="multilevel"/>
    <w:tmpl w:val="8273E4B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
    <w:nsid w:val="82964536"/>
    <w:multiLevelType w:val="multilevel"/>
    <w:tmpl w:val="8296453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
    <w:nsid w:val="82BFE5E8"/>
    <w:multiLevelType w:val="multilevel"/>
    <w:tmpl w:val="82BFE5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1353"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234" w:hanging="601"/>
      </w:pPr>
      <w:rPr>
        <w:rFonts w:hint="default"/>
        <w:lang w:val="zh-CN" w:eastAsia="zh-CN" w:bidi="zh-CN"/>
      </w:rPr>
    </w:lvl>
    <w:lvl w:ilvl="3" w:tentative="0">
      <w:start w:val="0"/>
      <w:numFmt w:val="bullet"/>
      <w:lvlText w:val="•"/>
      <w:lvlJc w:val="left"/>
      <w:pPr>
        <w:ind w:left="3108" w:hanging="601"/>
      </w:pPr>
      <w:rPr>
        <w:rFonts w:hint="default"/>
        <w:lang w:val="zh-CN" w:eastAsia="zh-CN" w:bidi="zh-CN"/>
      </w:rPr>
    </w:lvl>
    <w:lvl w:ilvl="4" w:tentative="0">
      <w:start w:val="0"/>
      <w:numFmt w:val="bullet"/>
      <w:lvlText w:val="•"/>
      <w:lvlJc w:val="left"/>
      <w:pPr>
        <w:ind w:left="3982" w:hanging="601"/>
      </w:pPr>
      <w:rPr>
        <w:rFonts w:hint="default"/>
        <w:lang w:val="zh-CN" w:eastAsia="zh-CN" w:bidi="zh-CN"/>
      </w:rPr>
    </w:lvl>
    <w:lvl w:ilvl="5" w:tentative="0">
      <w:start w:val="0"/>
      <w:numFmt w:val="bullet"/>
      <w:lvlText w:val="•"/>
      <w:lvlJc w:val="left"/>
      <w:pPr>
        <w:ind w:left="4856" w:hanging="601"/>
      </w:pPr>
      <w:rPr>
        <w:rFonts w:hint="default"/>
        <w:lang w:val="zh-CN" w:eastAsia="zh-CN" w:bidi="zh-CN"/>
      </w:rPr>
    </w:lvl>
    <w:lvl w:ilvl="6" w:tentative="0">
      <w:start w:val="0"/>
      <w:numFmt w:val="bullet"/>
      <w:lvlText w:val="•"/>
      <w:lvlJc w:val="left"/>
      <w:pPr>
        <w:ind w:left="5730" w:hanging="601"/>
      </w:pPr>
      <w:rPr>
        <w:rFonts w:hint="default"/>
        <w:lang w:val="zh-CN" w:eastAsia="zh-CN" w:bidi="zh-CN"/>
      </w:rPr>
    </w:lvl>
    <w:lvl w:ilvl="7" w:tentative="0">
      <w:start w:val="0"/>
      <w:numFmt w:val="bullet"/>
      <w:lvlText w:val="•"/>
      <w:lvlJc w:val="left"/>
      <w:pPr>
        <w:ind w:left="6604" w:hanging="601"/>
      </w:pPr>
      <w:rPr>
        <w:rFonts w:hint="default"/>
        <w:lang w:val="zh-CN" w:eastAsia="zh-CN" w:bidi="zh-CN"/>
      </w:rPr>
    </w:lvl>
    <w:lvl w:ilvl="8" w:tentative="0">
      <w:start w:val="0"/>
      <w:numFmt w:val="bullet"/>
      <w:lvlText w:val="•"/>
      <w:lvlJc w:val="left"/>
      <w:pPr>
        <w:ind w:left="7478" w:hanging="601"/>
      </w:pPr>
      <w:rPr>
        <w:rFonts w:hint="default"/>
        <w:lang w:val="zh-CN" w:eastAsia="zh-CN" w:bidi="zh-CN"/>
      </w:rPr>
    </w:lvl>
  </w:abstractNum>
  <w:abstractNum w:abstractNumId="17">
    <w:nsid w:val="82E447C7"/>
    <w:multiLevelType w:val="multilevel"/>
    <w:tmpl w:val="82E447C7"/>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18">
    <w:nsid w:val="82F059E2"/>
    <w:multiLevelType w:val="multilevel"/>
    <w:tmpl w:val="82F059E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9">
    <w:nsid w:val="8302E5D4"/>
    <w:multiLevelType w:val="multilevel"/>
    <w:tmpl w:val="8302E5D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0">
    <w:nsid w:val="833CD52A"/>
    <w:multiLevelType w:val="multilevel"/>
    <w:tmpl w:val="833CD52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
    <w:nsid w:val="8391AFC5"/>
    <w:multiLevelType w:val="multilevel"/>
    <w:tmpl w:val="8391AFC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2">
    <w:nsid w:val="83DCDCF3"/>
    <w:multiLevelType w:val="multilevel"/>
    <w:tmpl w:val="83DCDCF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3">
    <w:nsid w:val="83FE5FDC"/>
    <w:multiLevelType w:val="multilevel"/>
    <w:tmpl w:val="83FE5FD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4">
    <w:nsid w:val="843A0A49"/>
    <w:multiLevelType w:val="multilevel"/>
    <w:tmpl w:val="843A0A4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5">
    <w:nsid w:val="845B5372"/>
    <w:multiLevelType w:val="multilevel"/>
    <w:tmpl w:val="845B5372"/>
    <w:lvl w:ilvl="0" w:tentative="0">
      <w:start w:val="2"/>
      <w:numFmt w:val="decimal"/>
      <w:lvlText w:val="%1"/>
      <w:lvlJc w:val="left"/>
      <w:pPr>
        <w:ind w:left="320" w:hanging="361"/>
        <w:jc w:val="left"/>
      </w:pPr>
      <w:rPr>
        <w:rFonts w:hint="default"/>
        <w:lang w:val="zh-CN" w:eastAsia="zh-CN" w:bidi="zh-CN"/>
      </w:rPr>
    </w:lvl>
    <w:lvl w:ilvl="1" w:tentative="0">
      <w:start w:val="1"/>
      <w:numFmt w:val="decimal"/>
      <w:lvlText w:val="%1-%2"/>
      <w:lvlJc w:val="left"/>
      <w:pPr>
        <w:ind w:left="320" w:hanging="361"/>
        <w:jc w:val="left"/>
      </w:pPr>
      <w:rPr>
        <w:rFonts w:hint="default" w:ascii="宋体" w:hAnsi="宋体" w:eastAsia="宋体" w:cs="宋体"/>
        <w:spacing w:val="-19"/>
        <w:w w:val="100"/>
        <w:sz w:val="22"/>
        <w:szCs w:val="22"/>
        <w:lang w:val="zh-CN" w:eastAsia="zh-CN" w:bidi="zh-CN"/>
      </w:rPr>
    </w:lvl>
    <w:lvl w:ilvl="2" w:tentative="0">
      <w:start w:val="0"/>
      <w:numFmt w:val="bullet"/>
      <w:lvlText w:val="•"/>
      <w:lvlJc w:val="left"/>
      <w:pPr>
        <w:ind w:left="2101" w:hanging="361"/>
      </w:pPr>
      <w:rPr>
        <w:rFonts w:hint="default"/>
        <w:lang w:val="zh-CN" w:eastAsia="zh-CN" w:bidi="zh-CN"/>
      </w:rPr>
    </w:lvl>
    <w:lvl w:ilvl="3" w:tentative="0">
      <w:start w:val="0"/>
      <w:numFmt w:val="bullet"/>
      <w:lvlText w:val="•"/>
      <w:lvlJc w:val="left"/>
      <w:pPr>
        <w:ind w:left="2991" w:hanging="361"/>
      </w:pPr>
      <w:rPr>
        <w:rFonts w:hint="default"/>
        <w:lang w:val="zh-CN" w:eastAsia="zh-CN" w:bidi="zh-CN"/>
      </w:rPr>
    </w:lvl>
    <w:lvl w:ilvl="4" w:tentative="0">
      <w:start w:val="0"/>
      <w:numFmt w:val="bullet"/>
      <w:lvlText w:val="•"/>
      <w:lvlJc w:val="left"/>
      <w:pPr>
        <w:ind w:left="3882" w:hanging="361"/>
      </w:pPr>
      <w:rPr>
        <w:rFonts w:hint="default"/>
        <w:lang w:val="zh-CN" w:eastAsia="zh-CN" w:bidi="zh-CN"/>
      </w:rPr>
    </w:lvl>
    <w:lvl w:ilvl="5" w:tentative="0">
      <w:start w:val="0"/>
      <w:numFmt w:val="bullet"/>
      <w:lvlText w:val="•"/>
      <w:lvlJc w:val="left"/>
      <w:pPr>
        <w:ind w:left="4773" w:hanging="361"/>
      </w:pPr>
      <w:rPr>
        <w:rFonts w:hint="default"/>
        <w:lang w:val="zh-CN" w:eastAsia="zh-CN" w:bidi="zh-CN"/>
      </w:rPr>
    </w:lvl>
    <w:lvl w:ilvl="6" w:tentative="0">
      <w:start w:val="0"/>
      <w:numFmt w:val="bullet"/>
      <w:lvlText w:val="•"/>
      <w:lvlJc w:val="left"/>
      <w:pPr>
        <w:ind w:left="5663" w:hanging="361"/>
      </w:pPr>
      <w:rPr>
        <w:rFonts w:hint="default"/>
        <w:lang w:val="zh-CN" w:eastAsia="zh-CN" w:bidi="zh-CN"/>
      </w:rPr>
    </w:lvl>
    <w:lvl w:ilvl="7" w:tentative="0">
      <w:start w:val="0"/>
      <w:numFmt w:val="bullet"/>
      <w:lvlText w:val="•"/>
      <w:lvlJc w:val="left"/>
      <w:pPr>
        <w:ind w:left="6554" w:hanging="361"/>
      </w:pPr>
      <w:rPr>
        <w:rFonts w:hint="default"/>
        <w:lang w:val="zh-CN" w:eastAsia="zh-CN" w:bidi="zh-CN"/>
      </w:rPr>
    </w:lvl>
    <w:lvl w:ilvl="8" w:tentative="0">
      <w:start w:val="0"/>
      <w:numFmt w:val="bullet"/>
      <w:lvlText w:val="•"/>
      <w:lvlJc w:val="left"/>
      <w:pPr>
        <w:ind w:left="7444" w:hanging="361"/>
      </w:pPr>
      <w:rPr>
        <w:rFonts w:hint="default"/>
        <w:lang w:val="zh-CN" w:eastAsia="zh-CN" w:bidi="zh-CN"/>
      </w:rPr>
    </w:lvl>
  </w:abstractNum>
  <w:abstractNum w:abstractNumId="26">
    <w:nsid w:val="8461FADE"/>
    <w:multiLevelType w:val="multilevel"/>
    <w:tmpl w:val="8461FADE"/>
    <w:lvl w:ilvl="0" w:tentative="0">
      <w:start w:val="1"/>
      <w:numFmt w:val="decimal"/>
      <w:lvlText w:val="%1."/>
      <w:lvlJc w:val="left"/>
      <w:pPr>
        <w:ind w:left="833"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3"/>
      </w:pPr>
      <w:rPr>
        <w:rFonts w:hint="default"/>
        <w:lang w:val="zh-CN" w:eastAsia="zh-CN" w:bidi="zh-CN"/>
      </w:rPr>
    </w:lvl>
    <w:lvl w:ilvl="2" w:tentative="0">
      <w:start w:val="0"/>
      <w:numFmt w:val="bullet"/>
      <w:lvlText w:val="•"/>
      <w:lvlJc w:val="left"/>
      <w:pPr>
        <w:ind w:left="2517" w:hanging="243"/>
      </w:pPr>
      <w:rPr>
        <w:rFonts w:hint="default"/>
        <w:lang w:val="zh-CN" w:eastAsia="zh-CN" w:bidi="zh-CN"/>
      </w:rPr>
    </w:lvl>
    <w:lvl w:ilvl="3" w:tentative="0">
      <w:start w:val="0"/>
      <w:numFmt w:val="bullet"/>
      <w:lvlText w:val="•"/>
      <w:lvlJc w:val="left"/>
      <w:pPr>
        <w:ind w:left="3355" w:hanging="243"/>
      </w:pPr>
      <w:rPr>
        <w:rFonts w:hint="default"/>
        <w:lang w:val="zh-CN" w:eastAsia="zh-CN" w:bidi="zh-CN"/>
      </w:rPr>
    </w:lvl>
    <w:lvl w:ilvl="4" w:tentative="0">
      <w:start w:val="0"/>
      <w:numFmt w:val="bullet"/>
      <w:lvlText w:val="•"/>
      <w:lvlJc w:val="left"/>
      <w:pPr>
        <w:ind w:left="4194" w:hanging="243"/>
      </w:pPr>
      <w:rPr>
        <w:rFonts w:hint="default"/>
        <w:lang w:val="zh-CN" w:eastAsia="zh-CN" w:bidi="zh-CN"/>
      </w:rPr>
    </w:lvl>
    <w:lvl w:ilvl="5" w:tentative="0">
      <w:start w:val="0"/>
      <w:numFmt w:val="bullet"/>
      <w:lvlText w:val="•"/>
      <w:lvlJc w:val="left"/>
      <w:pPr>
        <w:ind w:left="5033" w:hanging="243"/>
      </w:pPr>
      <w:rPr>
        <w:rFonts w:hint="default"/>
        <w:lang w:val="zh-CN" w:eastAsia="zh-CN" w:bidi="zh-CN"/>
      </w:rPr>
    </w:lvl>
    <w:lvl w:ilvl="6" w:tentative="0">
      <w:start w:val="0"/>
      <w:numFmt w:val="bullet"/>
      <w:lvlText w:val="•"/>
      <w:lvlJc w:val="left"/>
      <w:pPr>
        <w:ind w:left="5871" w:hanging="243"/>
      </w:pPr>
      <w:rPr>
        <w:rFonts w:hint="default"/>
        <w:lang w:val="zh-CN" w:eastAsia="zh-CN" w:bidi="zh-CN"/>
      </w:rPr>
    </w:lvl>
    <w:lvl w:ilvl="7" w:tentative="0">
      <w:start w:val="0"/>
      <w:numFmt w:val="bullet"/>
      <w:lvlText w:val="•"/>
      <w:lvlJc w:val="left"/>
      <w:pPr>
        <w:ind w:left="6710" w:hanging="243"/>
      </w:pPr>
      <w:rPr>
        <w:rFonts w:hint="default"/>
        <w:lang w:val="zh-CN" w:eastAsia="zh-CN" w:bidi="zh-CN"/>
      </w:rPr>
    </w:lvl>
    <w:lvl w:ilvl="8" w:tentative="0">
      <w:start w:val="0"/>
      <w:numFmt w:val="bullet"/>
      <w:lvlText w:val="•"/>
      <w:lvlJc w:val="left"/>
      <w:pPr>
        <w:ind w:left="7548" w:hanging="243"/>
      </w:pPr>
      <w:rPr>
        <w:rFonts w:hint="default"/>
        <w:lang w:val="zh-CN" w:eastAsia="zh-CN" w:bidi="zh-CN"/>
      </w:rPr>
    </w:lvl>
  </w:abstractNum>
  <w:abstractNum w:abstractNumId="27">
    <w:nsid w:val="84710EA8"/>
    <w:multiLevelType w:val="multilevel"/>
    <w:tmpl w:val="84710E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8">
    <w:nsid w:val="84994F45"/>
    <w:multiLevelType w:val="multilevel"/>
    <w:tmpl w:val="84994F4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9">
    <w:nsid w:val="84BFEB96"/>
    <w:multiLevelType w:val="multilevel"/>
    <w:tmpl w:val="84BFEB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
    <w:nsid w:val="8521ECAD"/>
    <w:multiLevelType w:val="multilevel"/>
    <w:tmpl w:val="8521ECA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
    <w:nsid w:val="854EA6E7"/>
    <w:multiLevelType w:val="multilevel"/>
    <w:tmpl w:val="854EA6E7"/>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32">
    <w:nsid w:val="85636E95"/>
    <w:multiLevelType w:val="multilevel"/>
    <w:tmpl w:val="85636E9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3">
    <w:nsid w:val="8591E4E5"/>
    <w:multiLevelType w:val="multilevel"/>
    <w:tmpl w:val="8591E4E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4">
    <w:nsid w:val="8621BA6C"/>
    <w:multiLevelType w:val="multilevel"/>
    <w:tmpl w:val="8621BA6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
    <w:nsid w:val="863D9D8C"/>
    <w:multiLevelType w:val="multilevel"/>
    <w:tmpl w:val="863D9D8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6">
    <w:nsid w:val="865F32F4"/>
    <w:multiLevelType w:val="multilevel"/>
    <w:tmpl w:val="865F32F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7">
    <w:nsid w:val="866AB49B"/>
    <w:multiLevelType w:val="multilevel"/>
    <w:tmpl w:val="866AB49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8">
    <w:nsid w:val="866E522E"/>
    <w:multiLevelType w:val="multilevel"/>
    <w:tmpl w:val="866E522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1353"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234" w:hanging="601"/>
      </w:pPr>
      <w:rPr>
        <w:rFonts w:hint="default"/>
        <w:lang w:val="zh-CN" w:eastAsia="zh-CN" w:bidi="zh-CN"/>
      </w:rPr>
    </w:lvl>
    <w:lvl w:ilvl="3" w:tentative="0">
      <w:start w:val="0"/>
      <w:numFmt w:val="bullet"/>
      <w:lvlText w:val="•"/>
      <w:lvlJc w:val="left"/>
      <w:pPr>
        <w:ind w:left="3108" w:hanging="601"/>
      </w:pPr>
      <w:rPr>
        <w:rFonts w:hint="default"/>
        <w:lang w:val="zh-CN" w:eastAsia="zh-CN" w:bidi="zh-CN"/>
      </w:rPr>
    </w:lvl>
    <w:lvl w:ilvl="4" w:tentative="0">
      <w:start w:val="0"/>
      <w:numFmt w:val="bullet"/>
      <w:lvlText w:val="•"/>
      <w:lvlJc w:val="left"/>
      <w:pPr>
        <w:ind w:left="3982" w:hanging="601"/>
      </w:pPr>
      <w:rPr>
        <w:rFonts w:hint="default"/>
        <w:lang w:val="zh-CN" w:eastAsia="zh-CN" w:bidi="zh-CN"/>
      </w:rPr>
    </w:lvl>
    <w:lvl w:ilvl="5" w:tentative="0">
      <w:start w:val="0"/>
      <w:numFmt w:val="bullet"/>
      <w:lvlText w:val="•"/>
      <w:lvlJc w:val="left"/>
      <w:pPr>
        <w:ind w:left="4856" w:hanging="601"/>
      </w:pPr>
      <w:rPr>
        <w:rFonts w:hint="default"/>
        <w:lang w:val="zh-CN" w:eastAsia="zh-CN" w:bidi="zh-CN"/>
      </w:rPr>
    </w:lvl>
    <w:lvl w:ilvl="6" w:tentative="0">
      <w:start w:val="0"/>
      <w:numFmt w:val="bullet"/>
      <w:lvlText w:val="•"/>
      <w:lvlJc w:val="left"/>
      <w:pPr>
        <w:ind w:left="5730" w:hanging="601"/>
      </w:pPr>
      <w:rPr>
        <w:rFonts w:hint="default"/>
        <w:lang w:val="zh-CN" w:eastAsia="zh-CN" w:bidi="zh-CN"/>
      </w:rPr>
    </w:lvl>
    <w:lvl w:ilvl="7" w:tentative="0">
      <w:start w:val="0"/>
      <w:numFmt w:val="bullet"/>
      <w:lvlText w:val="•"/>
      <w:lvlJc w:val="left"/>
      <w:pPr>
        <w:ind w:left="6604" w:hanging="601"/>
      </w:pPr>
      <w:rPr>
        <w:rFonts w:hint="default"/>
        <w:lang w:val="zh-CN" w:eastAsia="zh-CN" w:bidi="zh-CN"/>
      </w:rPr>
    </w:lvl>
    <w:lvl w:ilvl="8" w:tentative="0">
      <w:start w:val="0"/>
      <w:numFmt w:val="bullet"/>
      <w:lvlText w:val="•"/>
      <w:lvlJc w:val="left"/>
      <w:pPr>
        <w:ind w:left="7478" w:hanging="601"/>
      </w:pPr>
      <w:rPr>
        <w:rFonts w:hint="default"/>
        <w:lang w:val="zh-CN" w:eastAsia="zh-CN" w:bidi="zh-CN"/>
      </w:rPr>
    </w:lvl>
  </w:abstractNum>
  <w:abstractNum w:abstractNumId="39">
    <w:nsid w:val="86721767"/>
    <w:multiLevelType w:val="multilevel"/>
    <w:tmpl w:val="867217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0">
    <w:nsid w:val="868EB7BE"/>
    <w:multiLevelType w:val="multilevel"/>
    <w:tmpl w:val="868EB7B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1">
    <w:nsid w:val="86A2A78B"/>
    <w:multiLevelType w:val="multilevel"/>
    <w:tmpl w:val="86A2A78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2">
    <w:nsid w:val="86B24886"/>
    <w:multiLevelType w:val="multilevel"/>
    <w:tmpl w:val="86B2488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3">
    <w:nsid w:val="86EF785F"/>
    <w:multiLevelType w:val="multilevel"/>
    <w:tmpl w:val="86EF785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4">
    <w:nsid w:val="87219AA5"/>
    <w:multiLevelType w:val="multilevel"/>
    <w:tmpl w:val="87219AA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5">
    <w:nsid w:val="874197CD"/>
    <w:multiLevelType w:val="multilevel"/>
    <w:tmpl w:val="874197C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6">
    <w:nsid w:val="878C81EC"/>
    <w:multiLevelType w:val="multilevel"/>
    <w:tmpl w:val="878C81EC"/>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47">
    <w:nsid w:val="87ACB520"/>
    <w:multiLevelType w:val="multilevel"/>
    <w:tmpl w:val="87ACB5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8">
    <w:nsid w:val="87B75F0A"/>
    <w:multiLevelType w:val="multilevel"/>
    <w:tmpl w:val="87B75F0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9">
    <w:nsid w:val="87C29E4B"/>
    <w:multiLevelType w:val="multilevel"/>
    <w:tmpl w:val="87C29E4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0">
    <w:nsid w:val="881843E7"/>
    <w:multiLevelType w:val="multilevel"/>
    <w:tmpl w:val="881843E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1">
    <w:nsid w:val="881B6E56"/>
    <w:multiLevelType w:val="multilevel"/>
    <w:tmpl w:val="881B6E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
    <w:nsid w:val="883094FC"/>
    <w:multiLevelType w:val="multilevel"/>
    <w:tmpl w:val="883094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
    <w:nsid w:val="883B3669"/>
    <w:multiLevelType w:val="multilevel"/>
    <w:tmpl w:val="883B366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54">
    <w:nsid w:val="8845539D"/>
    <w:multiLevelType w:val="multilevel"/>
    <w:tmpl w:val="8845539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5">
    <w:nsid w:val="886A818A"/>
    <w:multiLevelType w:val="multilevel"/>
    <w:tmpl w:val="886A818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6">
    <w:nsid w:val="887A052B"/>
    <w:multiLevelType w:val="multilevel"/>
    <w:tmpl w:val="887A05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7">
    <w:nsid w:val="88DC3253"/>
    <w:multiLevelType w:val="multilevel"/>
    <w:tmpl w:val="88DC325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8">
    <w:nsid w:val="8909642E"/>
    <w:multiLevelType w:val="multilevel"/>
    <w:tmpl w:val="8909642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9">
    <w:nsid w:val="891523D9"/>
    <w:multiLevelType w:val="multilevel"/>
    <w:tmpl w:val="891523D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
    <w:nsid w:val="89215F71"/>
    <w:multiLevelType w:val="multilevel"/>
    <w:tmpl w:val="89215F7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1">
    <w:nsid w:val="8943D41C"/>
    <w:multiLevelType w:val="multilevel"/>
    <w:tmpl w:val="8943D41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2">
    <w:nsid w:val="8947A419"/>
    <w:multiLevelType w:val="multilevel"/>
    <w:tmpl w:val="8947A41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
    <w:nsid w:val="8960AB1D"/>
    <w:multiLevelType w:val="multilevel"/>
    <w:tmpl w:val="8960AB1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
    <w:nsid w:val="8988C616"/>
    <w:multiLevelType w:val="multilevel"/>
    <w:tmpl w:val="8988C61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5">
    <w:nsid w:val="899583F0"/>
    <w:multiLevelType w:val="multilevel"/>
    <w:tmpl w:val="899583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6">
    <w:nsid w:val="8997B308"/>
    <w:multiLevelType w:val="multilevel"/>
    <w:tmpl w:val="8997B30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7">
    <w:nsid w:val="89AEE8CE"/>
    <w:multiLevelType w:val="multilevel"/>
    <w:tmpl w:val="89AEE8C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8">
    <w:nsid w:val="89C1D176"/>
    <w:multiLevelType w:val="multilevel"/>
    <w:tmpl w:val="89C1D17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
    <w:nsid w:val="89D270FF"/>
    <w:multiLevelType w:val="multilevel"/>
    <w:tmpl w:val="89D270F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0">
    <w:nsid w:val="89F7FBCA"/>
    <w:multiLevelType w:val="multilevel"/>
    <w:tmpl w:val="89F7FB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
    <w:nsid w:val="89F8B526"/>
    <w:multiLevelType w:val="singleLevel"/>
    <w:tmpl w:val="89F8B526"/>
    <w:lvl w:ilvl="0" w:tentative="0">
      <w:start w:val="2"/>
      <w:numFmt w:val="chineseCounting"/>
      <w:suff w:val="nothing"/>
      <w:lvlText w:val="（%1）"/>
      <w:lvlJc w:val="left"/>
      <w:rPr>
        <w:rFonts w:hint="eastAsia"/>
      </w:rPr>
    </w:lvl>
  </w:abstractNum>
  <w:abstractNum w:abstractNumId="72">
    <w:nsid w:val="8A08A6D7"/>
    <w:multiLevelType w:val="multilevel"/>
    <w:tmpl w:val="8A08A6D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3">
    <w:nsid w:val="8A39546C"/>
    <w:multiLevelType w:val="multilevel"/>
    <w:tmpl w:val="8A39546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
    <w:nsid w:val="8A46DD27"/>
    <w:multiLevelType w:val="multilevel"/>
    <w:tmpl w:val="8A46DD2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
    <w:nsid w:val="8A5934C5"/>
    <w:multiLevelType w:val="multilevel"/>
    <w:tmpl w:val="8A5934C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
    <w:nsid w:val="8A633546"/>
    <w:multiLevelType w:val="multilevel"/>
    <w:tmpl w:val="8A63354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
    <w:nsid w:val="8AE058F2"/>
    <w:multiLevelType w:val="multilevel"/>
    <w:tmpl w:val="8AE058F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8">
    <w:nsid w:val="8B5F3B5D"/>
    <w:multiLevelType w:val="multilevel"/>
    <w:tmpl w:val="8B5F3B5D"/>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79">
    <w:nsid w:val="8B6752F6"/>
    <w:multiLevelType w:val="multilevel"/>
    <w:tmpl w:val="8B6752F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
    <w:nsid w:val="8B847C42"/>
    <w:multiLevelType w:val="multilevel"/>
    <w:tmpl w:val="8B847C4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1">
    <w:nsid w:val="8BAFDCDE"/>
    <w:multiLevelType w:val="multilevel"/>
    <w:tmpl w:val="8BAFDCD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2">
    <w:nsid w:val="8BEF3A28"/>
    <w:multiLevelType w:val="multilevel"/>
    <w:tmpl w:val="8BEF3A28"/>
    <w:lvl w:ilvl="0" w:tentative="0">
      <w:start w:val="1"/>
      <w:numFmt w:val="decimal"/>
      <w:lvlText w:val="%1."/>
      <w:lvlJc w:val="left"/>
      <w:pPr>
        <w:ind w:left="111" w:hanging="24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83">
    <w:nsid w:val="8BF868F0"/>
    <w:multiLevelType w:val="multilevel"/>
    <w:tmpl w:val="8BF868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4">
    <w:nsid w:val="8C057F00"/>
    <w:multiLevelType w:val="multilevel"/>
    <w:tmpl w:val="8C057F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
    <w:nsid w:val="8C1287DF"/>
    <w:multiLevelType w:val="multilevel"/>
    <w:tmpl w:val="8C1287D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
    <w:nsid w:val="8C1B8993"/>
    <w:multiLevelType w:val="multilevel"/>
    <w:tmpl w:val="8C1B8993"/>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87">
    <w:nsid w:val="8C44BCB9"/>
    <w:multiLevelType w:val="multilevel"/>
    <w:tmpl w:val="8C44BCB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8">
    <w:nsid w:val="8C80BB06"/>
    <w:multiLevelType w:val="multilevel"/>
    <w:tmpl w:val="8C80BB0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9">
    <w:nsid w:val="8CAEB125"/>
    <w:multiLevelType w:val="multilevel"/>
    <w:tmpl w:val="8CAEB12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90">
    <w:nsid w:val="8CB67B1E"/>
    <w:multiLevelType w:val="multilevel"/>
    <w:tmpl w:val="8CB67B1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
    <w:nsid w:val="8CB934A2"/>
    <w:multiLevelType w:val="multilevel"/>
    <w:tmpl w:val="8CB934A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2">
    <w:nsid w:val="8CD9F5DD"/>
    <w:multiLevelType w:val="multilevel"/>
    <w:tmpl w:val="8CD9F5D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
    <w:nsid w:val="8CEC4423"/>
    <w:multiLevelType w:val="multilevel"/>
    <w:tmpl w:val="8CEC442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
    <w:nsid w:val="8CF07CCA"/>
    <w:multiLevelType w:val="multilevel"/>
    <w:tmpl w:val="8CF07C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5">
    <w:nsid w:val="8D190C21"/>
    <w:multiLevelType w:val="singleLevel"/>
    <w:tmpl w:val="8D190C21"/>
    <w:lvl w:ilvl="0" w:tentative="0">
      <w:start w:val="1"/>
      <w:numFmt w:val="chineseCounting"/>
      <w:suff w:val="nothing"/>
      <w:lvlText w:val="（%1）"/>
      <w:lvlJc w:val="left"/>
      <w:rPr>
        <w:rFonts w:hint="eastAsia"/>
      </w:rPr>
    </w:lvl>
  </w:abstractNum>
  <w:abstractNum w:abstractNumId="96">
    <w:nsid w:val="8D1A295F"/>
    <w:multiLevelType w:val="multilevel"/>
    <w:tmpl w:val="8D1A295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7">
    <w:nsid w:val="8D4BB15A"/>
    <w:multiLevelType w:val="multilevel"/>
    <w:tmpl w:val="8D4BB15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8">
    <w:nsid w:val="8D4C421C"/>
    <w:multiLevelType w:val="multilevel"/>
    <w:tmpl w:val="8D4C421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9">
    <w:nsid w:val="8D861A3E"/>
    <w:multiLevelType w:val="multilevel"/>
    <w:tmpl w:val="8D861A3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
    <w:nsid w:val="8DAEBF89"/>
    <w:multiLevelType w:val="multilevel"/>
    <w:tmpl w:val="8DAEBF8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1">
    <w:nsid w:val="8DB0B2FE"/>
    <w:multiLevelType w:val="multilevel"/>
    <w:tmpl w:val="8DB0B2F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
    <w:nsid w:val="8DD56536"/>
    <w:multiLevelType w:val="multilevel"/>
    <w:tmpl w:val="8DD565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
    <w:nsid w:val="8DFCABA3"/>
    <w:multiLevelType w:val="multilevel"/>
    <w:tmpl w:val="8DFCABA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
    <w:nsid w:val="8DFFE4F1"/>
    <w:multiLevelType w:val="multilevel"/>
    <w:tmpl w:val="8DFFE4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5">
    <w:nsid w:val="8E31DECC"/>
    <w:multiLevelType w:val="multilevel"/>
    <w:tmpl w:val="8E31DE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
    <w:nsid w:val="8E5D00DD"/>
    <w:multiLevelType w:val="multilevel"/>
    <w:tmpl w:val="8E5D00D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7">
    <w:nsid w:val="8E6C06B4"/>
    <w:multiLevelType w:val="multilevel"/>
    <w:tmpl w:val="8E6C06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8">
    <w:nsid w:val="8E6D16C5"/>
    <w:multiLevelType w:val="multilevel"/>
    <w:tmpl w:val="8E6D16C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
    <w:nsid w:val="8E7B650B"/>
    <w:multiLevelType w:val="multilevel"/>
    <w:tmpl w:val="8E7B650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0">
    <w:nsid w:val="8E7D78EB"/>
    <w:multiLevelType w:val="multilevel"/>
    <w:tmpl w:val="8E7D78E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1">
    <w:nsid w:val="8E8B3E8B"/>
    <w:multiLevelType w:val="multilevel"/>
    <w:tmpl w:val="8E8B3E8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2">
    <w:nsid w:val="8EA5076F"/>
    <w:multiLevelType w:val="multilevel"/>
    <w:tmpl w:val="8EA5076F"/>
    <w:lvl w:ilvl="0" w:tentative="0">
      <w:start w:val="1"/>
      <w:numFmt w:val="decimal"/>
      <w:lvlText w:val="%1."/>
      <w:lvlJc w:val="left"/>
      <w:pPr>
        <w:ind w:left="11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13">
    <w:nsid w:val="8ED742EC"/>
    <w:multiLevelType w:val="multilevel"/>
    <w:tmpl w:val="8ED742E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4">
    <w:nsid w:val="8EF4009F"/>
    <w:multiLevelType w:val="multilevel"/>
    <w:tmpl w:val="8EF4009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5">
    <w:nsid w:val="8F1C8EBC"/>
    <w:multiLevelType w:val="multilevel"/>
    <w:tmpl w:val="8F1C8EB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6">
    <w:nsid w:val="8F1FD2E6"/>
    <w:multiLevelType w:val="multilevel"/>
    <w:tmpl w:val="8F1FD2E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7">
    <w:nsid w:val="8F3E5119"/>
    <w:multiLevelType w:val="multilevel"/>
    <w:tmpl w:val="8F3E511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
    <w:nsid w:val="8F4213F9"/>
    <w:multiLevelType w:val="multilevel"/>
    <w:tmpl w:val="8F4213F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9">
    <w:nsid w:val="8F8BBFB2"/>
    <w:multiLevelType w:val="multilevel"/>
    <w:tmpl w:val="8F8BBFB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0">
    <w:nsid w:val="8F9D3B24"/>
    <w:multiLevelType w:val="multilevel"/>
    <w:tmpl w:val="8F9D3B2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1">
    <w:nsid w:val="8FB0CBB5"/>
    <w:multiLevelType w:val="multilevel"/>
    <w:tmpl w:val="8FB0CBB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
    <w:nsid w:val="8FB8824E"/>
    <w:multiLevelType w:val="multilevel"/>
    <w:tmpl w:val="8FB8824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3">
    <w:nsid w:val="8FDAB220"/>
    <w:multiLevelType w:val="multilevel"/>
    <w:tmpl w:val="8FDAB2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4">
    <w:nsid w:val="8FEE8AE9"/>
    <w:multiLevelType w:val="multilevel"/>
    <w:tmpl w:val="8FEE8AE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
    <w:nsid w:val="9017BA21"/>
    <w:multiLevelType w:val="multilevel"/>
    <w:tmpl w:val="9017BA2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6">
    <w:nsid w:val="902E5977"/>
    <w:multiLevelType w:val="multilevel"/>
    <w:tmpl w:val="902E597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7">
    <w:nsid w:val="90315A10"/>
    <w:multiLevelType w:val="multilevel"/>
    <w:tmpl w:val="90315A1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8">
    <w:nsid w:val="90C3ECD1"/>
    <w:multiLevelType w:val="multilevel"/>
    <w:tmpl w:val="90C3ECD1"/>
    <w:lvl w:ilvl="0" w:tentative="0">
      <w:start w:val="2"/>
      <w:numFmt w:val="decimal"/>
      <w:lvlText w:val="（%1）"/>
      <w:lvlJc w:val="left"/>
      <w:pPr>
        <w:ind w:left="1072"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1192"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091" w:hanging="601"/>
      </w:pPr>
      <w:rPr>
        <w:rFonts w:hint="default"/>
        <w:lang w:val="zh-CN" w:eastAsia="zh-CN" w:bidi="zh-CN"/>
      </w:rPr>
    </w:lvl>
    <w:lvl w:ilvl="3" w:tentative="0">
      <w:start w:val="0"/>
      <w:numFmt w:val="bullet"/>
      <w:lvlText w:val="•"/>
      <w:lvlJc w:val="left"/>
      <w:pPr>
        <w:ind w:left="2983" w:hanging="601"/>
      </w:pPr>
      <w:rPr>
        <w:rFonts w:hint="default"/>
        <w:lang w:val="zh-CN" w:eastAsia="zh-CN" w:bidi="zh-CN"/>
      </w:rPr>
    </w:lvl>
    <w:lvl w:ilvl="4" w:tentative="0">
      <w:start w:val="0"/>
      <w:numFmt w:val="bullet"/>
      <w:lvlText w:val="•"/>
      <w:lvlJc w:val="left"/>
      <w:pPr>
        <w:ind w:left="3875" w:hanging="601"/>
      </w:pPr>
      <w:rPr>
        <w:rFonts w:hint="default"/>
        <w:lang w:val="zh-CN" w:eastAsia="zh-CN" w:bidi="zh-CN"/>
      </w:rPr>
    </w:lvl>
    <w:lvl w:ilvl="5" w:tentative="0">
      <w:start w:val="0"/>
      <w:numFmt w:val="bullet"/>
      <w:lvlText w:val="•"/>
      <w:lvlJc w:val="left"/>
      <w:pPr>
        <w:ind w:left="4767" w:hanging="601"/>
      </w:pPr>
      <w:rPr>
        <w:rFonts w:hint="default"/>
        <w:lang w:val="zh-CN" w:eastAsia="zh-CN" w:bidi="zh-CN"/>
      </w:rPr>
    </w:lvl>
    <w:lvl w:ilvl="6" w:tentative="0">
      <w:start w:val="0"/>
      <w:numFmt w:val="bullet"/>
      <w:lvlText w:val="•"/>
      <w:lvlJc w:val="left"/>
      <w:pPr>
        <w:ind w:left="5658" w:hanging="601"/>
      </w:pPr>
      <w:rPr>
        <w:rFonts w:hint="default"/>
        <w:lang w:val="zh-CN" w:eastAsia="zh-CN" w:bidi="zh-CN"/>
      </w:rPr>
    </w:lvl>
    <w:lvl w:ilvl="7" w:tentative="0">
      <w:start w:val="0"/>
      <w:numFmt w:val="bullet"/>
      <w:lvlText w:val="•"/>
      <w:lvlJc w:val="left"/>
      <w:pPr>
        <w:ind w:left="6550" w:hanging="601"/>
      </w:pPr>
      <w:rPr>
        <w:rFonts w:hint="default"/>
        <w:lang w:val="zh-CN" w:eastAsia="zh-CN" w:bidi="zh-CN"/>
      </w:rPr>
    </w:lvl>
    <w:lvl w:ilvl="8" w:tentative="0">
      <w:start w:val="0"/>
      <w:numFmt w:val="bullet"/>
      <w:lvlText w:val="•"/>
      <w:lvlJc w:val="left"/>
      <w:pPr>
        <w:ind w:left="7442" w:hanging="601"/>
      </w:pPr>
      <w:rPr>
        <w:rFonts w:hint="default"/>
        <w:lang w:val="zh-CN" w:eastAsia="zh-CN" w:bidi="zh-CN"/>
      </w:rPr>
    </w:lvl>
  </w:abstractNum>
  <w:abstractNum w:abstractNumId="129">
    <w:nsid w:val="90D96B34"/>
    <w:multiLevelType w:val="multilevel"/>
    <w:tmpl w:val="90D96B3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
    <w:nsid w:val="914DBCA9"/>
    <w:multiLevelType w:val="multilevel"/>
    <w:tmpl w:val="914DBCA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
    <w:nsid w:val="916AA5A0"/>
    <w:multiLevelType w:val="multilevel"/>
    <w:tmpl w:val="916AA5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2">
    <w:nsid w:val="918B650C"/>
    <w:multiLevelType w:val="multilevel"/>
    <w:tmpl w:val="918B650C"/>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3">
    <w:nsid w:val="9192D315"/>
    <w:multiLevelType w:val="multilevel"/>
    <w:tmpl w:val="9192D3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4">
    <w:nsid w:val="91995D4F"/>
    <w:multiLevelType w:val="multilevel"/>
    <w:tmpl w:val="91995D4F"/>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5">
    <w:nsid w:val="91A710E4"/>
    <w:multiLevelType w:val="multilevel"/>
    <w:tmpl w:val="91A710E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
    <w:nsid w:val="91B69C97"/>
    <w:multiLevelType w:val="multilevel"/>
    <w:tmpl w:val="91B69C9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7">
    <w:nsid w:val="91F750AC"/>
    <w:multiLevelType w:val="multilevel"/>
    <w:tmpl w:val="91F750AC"/>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38">
    <w:nsid w:val="91F9E123"/>
    <w:multiLevelType w:val="multilevel"/>
    <w:tmpl w:val="91F9E12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9">
    <w:nsid w:val="922AD0EE"/>
    <w:multiLevelType w:val="multilevel"/>
    <w:tmpl w:val="922AD0E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
    <w:nsid w:val="9239341B"/>
    <w:multiLevelType w:val="multilevel"/>
    <w:tmpl w:val="9239341B"/>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41">
    <w:nsid w:val="923B680C"/>
    <w:multiLevelType w:val="multilevel"/>
    <w:tmpl w:val="923B680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2">
    <w:nsid w:val="923DA49F"/>
    <w:multiLevelType w:val="multilevel"/>
    <w:tmpl w:val="923DA49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
    <w:nsid w:val="9243EB0B"/>
    <w:multiLevelType w:val="multilevel"/>
    <w:tmpl w:val="9243EB0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4">
    <w:nsid w:val="9288B902"/>
    <w:multiLevelType w:val="multilevel"/>
    <w:tmpl w:val="9288B90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5">
    <w:nsid w:val="928EC74D"/>
    <w:multiLevelType w:val="multilevel"/>
    <w:tmpl w:val="928EC74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6">
    <w:nsid w:val="92C4F22A"/>
    <w:multiLevelType w:val="multilevel"/>
    <w:tmpl w:val="92C4F22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7">
    <w:nsid w:val="930EE254"/>
    <w:multiLevelType w:val="multilevel"/>
    <w:tmpl w:val="930EE254"/>
    <w:lvl w:ilvl="0" w:tentative="0">
      <w:start w:val="1"/>
      <w:numFmt w:val="decimal"/>
      <w:lvlText w:val="%1."/>
      <w:lvlJc w:val="left"/>
      <w:pPr>
        <w:ind w:left="111" w:hanging="24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48">
    <w:nsid w:val="93197E2E"/>
    <w:multiLevelType w:val="multilevel"/>
    <w:tmpl w:val="93197E2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9">
    <w:nsid w:val="932CF7E4"/>
    <w:multiLevelType w:val="multilevel"/>
    <w:tmpl w:val="932CF7E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0">
    <w:nsid w:val="93406A01"/>
    <w:multiLevelType w:val="multilevel"/>
    <w:tmpl w:val="93406A0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1">
    <w:nsid w:val="93604A86"/>
    <w:multiLevelType w:val="multilevel"/>
    <w:tmpl w:val="93604A8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2">
    <w:nsid w:val="9364E594"/>
    <w:multiLevelType w:val="multilevel"/>
    <w:tmpl w:val="9364E59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3">
    <w:nsid w:val="9377BC45"/>
    <w:multiLevelType w:val="multilevel"/>
    <w:tmpl w:val="9377BC4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
    <w:nsid w:val="93C26894"/>
    <w:multiLevelType w:val="multilevel"/>
    <w:tmpl w:val="93C2689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5">
    <w:nsid w:val="941D12A9"/>
    <w:multiLevelType w:val="multilevel"/>
    <w:tmpl w:val="941D12A9"/>
    <w:lvl w:ilvl="0" w:tentative="0">
      <w:start w:val="1"/>
      <w:numFmt w:val="decimal"/>
      <w:lvlText w:val="%1."/>
      <w:lvlJc w:val="left"/>
      <w:pPr>
        <w:ind w:left="833"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3"/>
      </w:pPr>
      <w:rPr>
        <w:rFonts w:hint="default"/>
        <w:lang w:val="zh-CN" w:eastAsia="zh-CN" w:bidi="zh-CN"/>
      </w:rPr>
    </w:lvl>
    <w:lvl w:ilvl="2" w:tentative="0">
      <w:start w:val="0"/>
      <w:numFmt w:val="bullet"/>
      <w:lvlText w:val="•"/>
      <w:lvlJc w:val="left"/>
      <w:pPr>
        <w:ind w:left="2517" w:hanging="243"/>
      </w:pPr>
      <w:rPr>
        <w:rFonts w:hint="default"/>
        <w:lang w:val="zh-CN" w:eastAsia="zh-CN" w:bidi="zh-CN"/>
      </w:rPr>
    </w:lvl>
    <w:lvl w:ilvl="3" w:tentative="0">
      <w:start w:val="0"/>
      <w:numFmt w:val="bullet"/>
      <w:lvlText w:val="•"/>
      <w:lvlJc w:val="left"/>
      <w:pPr>
        <w:ind w:left="3355" w:hanging="243"/>
      </w:pPr>
      <w:rPr>
        <w:rFonts w:hint="default"/>
        <w:lang w:val="zh-CN" w:eastAsia="zh-CN" w:bidi="zh-CN"/>
      </w:rPr>
    </w:lvl>
    <w:lvl w:ilvl="4" w:tentative="0">
      <w:start w:val="0"/>
      <w:numFmt w:val="bullet"/>
      <w:lvlText w:val="•"/>
      <w:lvlJc w:val="left"/>
      <w:pPr>
        <w:ind w:left="4194" w:hanging="243"/>
      </w:pPr>
      <w:rPr>
        <w:rFonts w:hint="default"/>
        <w:lang w:val="zh-CN" w:eastAsia="zh-CN" w:bidi="zh-CN"/>
      </w:rPr>
    </w:lvl>
    <w:lvl w:ilvl="5" w:tentative="0">
      <w:start w:val="0"/>
      <w:numFmt w:val="bullet"/>
      <w:lvlText w:val="•"/>
      <w:lvlJc w:val="left"/>
      <w:pPr>
        <w:ind w:left="5033" w:hanging="243"/>
      </w:pPr>
      <w:rPr>
        <w:rFonts w:hint="default"/>
        <w:lang w:val="zh-CN" w:eastAsia="zh-CN" w:bidi="zh-CN"/>
      </w:rPr>
    </w:lvl>
    <w:lvl w:ilvl="6" w:tentative="0">
      <w:start w:val="0"/>
      <w:numFmt w:val="bullet"/>
      <w:lvlText w:val="•"/>
      <w:lvlJc w:val="left"/>
      <w:pPr>
        <w:ind w:left="5871" w:hanging="243"/>
      </w:pPr>
      <w:rPr>
        <w:rFonts w:hint="default"/>
        <w:lang w:val="zh-CN" w:eastAsia="zh-CN" w:bidi="zh-CN"/>
      </w:rPr>
    </w:lvl>
    <w:lvl w:ilvl="7" w:tentative="0">
      <w:start w:val="0"/>
      <w:numFmt w:val="bullet"/>
      <w:lvlText w:val="•"/>
      <w:lvlJc w:val="left"/>
      <w:pPr>
        <w:ind w:left="6710" w:hanging="243"/>
      </w:pPr>
      <w:rPr>
        <w:rFonts w:hint="default"/>
        <w:lang w:val="zh-CN" w:eastAsia="zh-CN" w:bidi="zh-CN"/>
      </w:rPr>
    </w:lvl>
    <w:lvl w:ilvl="8" w:tentative="0">
      <w:start w:val="0"/>
      <w:numFmt w:val="bullet"/>
      <w:lvlText w:val="•"/>
      <w:lvlJc w:val="left"/>
      <w:pPr>
        <w:ind w:left="7548" w:hanging="243"/>
      </w:pPr>
      <w:rPr>
        <w:rFonts w:hint="default"/>
        <w:lang w:val="zh-CN" w:eastAsia="zh-CN" w:bidi="zh-CN"/>
      </w:rPr>
    </w:lvl>
  </w:abstractNum>
  <w:abstractNum w:abstractNumId="156">
    <w:nsid w:val="942AABE5"/>
    <w:multiLevelType w:val="multilevel"/>
    <w:tmpl w:val="942AABE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
    <w:nsid w:val="9481616F"/>
    <w:multiLevelType w:val="multilevel"/>
    <w:tmpl w:val="9481616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
    <w:nsid w:val="9497C164"/>
    <w:multiLevelType w:val="multilevel"/>
    <w:tmpl w:val="9497C16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
    <w:nsid w:val="949C90E5"/>
    <w:multiLevelType w:val="multilevel"/>
    <w:tmpl w:val="949C90E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
    <w:nsid w:val="94D4EACA"/>
    <w:multiLevelType w:val="multilevel"/>
    <w:tmpl w:val="94D4EA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1">
    <w:nsid w:val="94F6067D"/>
    <w:multiLevelType w:val="multilevel"/>
    <w:tmpl w:val="94F606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2">
    <w:nsid w:val="952530A5"/>
    <w:multiLevelType w:val="multilevel"/>
    <w:tmpl w:val="952530A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3">
    <w:nsid w:val="952BDB8C"/>
    <w:multiLevelType w:val="multilevel"/>
    <w:tmpl w:val="952BDB8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4">
    <w:nsid w:val="952DBEC2"/>
    <w:multiLevelType w:val="multilevel"/>
    <w:tmpl w:val="952DBEC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5">
    <w:nsid w:val="95400793"/>
    <w:multiLevelType w:val="multilevel"/>
    <w:tmpl w:val="95400793"/>
    <w:lvl w:ilvl="0" w:tentative="0">
      <w:start w:val="1"/>
      <w:numFmt w:val="decimal"/>
      <w:lvlText w:val="（%1）"/>
      <w:lvlJc w:val="left"/>
      <w:pPr>
        <w:ind w:left="581" w:hanging="601"/>
        <w:jc w:val="left"/>
      </w:pPr>
      <w:rPr>
        <w:rFonts w:hint="default" w:ascii="宋体" w:hAnsi="宋体" w:eastAsia="宋体" w:cs="宋体"/>
        <w:spacing w:val="-16"/>
        <w:w w:val="100"/>
        <w:sz w:val="22"/>
        <w:szCs w:val="22"/>
        <w:lang w:val="zh-CN" w:eastAsia="zh-CN" w:bidi="zh-CN"/>
      </w:rPr>
    </w:lvl>
    <w:lvl w:ilvl="1" w:tentative="0">
      <w:start w:val="0"/>
      <w:numFmt w:val="bullet"/>
      <w:lvlText w:val="•"/>
      <w:lvlJc w:val="left"/>
      <w:pPr>
        <w:ind w:left="1444" w:hanging="601"/>
      </w:pPr>
      <w:rPr>
        <w:rFonts w:hint="default"/>
        <w:lang w:val="zh-CN" w:eastAsia="zh-CN" w:bidi="zh-CN"/>
      </w:rPr>
    </w:lvl>
    <w:lvl w:ilvl="2" w:tentative="0">
      <w:start w:val="0"/>
      <w:numFmt w:val="bullet"/>
      <w:lvlText w:val="•"/>
      <w:lvlJc w:val="left"/>
      <w:pPr>
        <w:ind w:left="2309" w:hanging="601"/>
      </w:pPr>
      <w:rPr>
        <w:rFonts w:hint="default"/>
        <w:lang w:val="zh-CN" w:eastAsia="zh-CN" w:bidi="zh-CN"/>
      </w:rPr>
    </w:lvl>
    <w:lvl w:ilvl="3" w:tentative="0">
      <w:start w:val="0"/>
      <w:numFmt w:val="bullet"/>
      <w:lvlText w:val="•"/>
      <w:lvlJc w:val="left"/>
      <w:pPr>
        <w:ind w:left="3173" w:hanging="601"/>
      </w:pPr>
      <w:rPr>
        <w:rFonts w:hint="default"/>
        <w:lang w:val="zh-CN" w:eastAsia="zh-CN" w:bidi="zh-CN"/>
      </w:rPr>
    </w:lvl>
    <w:lvl w:ilvl="4" w:tentative="0">
      <w:start w:val="0"/>
      <w:numFmt w:val="bullet"/>
      <w:lvlText w:val="•"/>
      <w:lvlJc w:val="left"/>
      <w:pPr>
        <w:ind w:left="4038" w:hanging="601"/>
      </w:pPr>
      <w:rPr>
        <w:rFonts w:hint="default"/>
        <w:lang w:val="zh-CN" w:eastAsia="zh-CN" w:bidi="zh-CN"/>
      </w:rPr>
    </w:lvl>
    <w:lvl w:ilvl="5" w:tentative="0">
      <w:start w:val="0"/>
      <w:numFmt w:val="bullet"/>
      <w:lvlText w:val="•"/>
      <w:lvlJc w:val="left"/>
      <w:pPr>
        <w:ind w:left="4903" w:hanging="601"/>
      </w:pPr>
      <w:rPr>
        <w:rFonts w:hint="default"/>
        <w:lang w:val="zh-CN" w:eastAsia="zh-CN" w:bidi="zh-CN"/>
      </w:rPr>
    </w:lvl>
    <w:lvl w:ilvl="6" w:tentative="0">
      <w:start w:val="0"/>
      <w:numFmt w:val="bullet"/>
      <w:lvlText w:val="•"/>
      <w:lvlJc w:val="left"/>
      <w:pPr>
        <w:ind w:left="5767" w:hanging="601"/>
      </w:pPr>
      <w:rPr>
        <w:rFonts w:hint="default"/>
        <w:lang w:val="zh-CN" w:eastAsia="zh-CN" w:bidi="zh-CN"/>
      </w:rPr>
    </w:lvl>
    <w:lvl w:ilvl="7" w:tentative="0">
      <w:start w:val="0"/>
      <w:numFmt w:val="bullet"/>
      <w:lvlText w:val="•"/>
      <w:lvlJc w:val="left"/>
      <w:pPr>
        <w:ind w:left="6632" w:hanging="601"/>
      </w:pPr>
      <w:rPr>
        <w:rFonts w:hint="default"/>
        <w:lang w:val="zh-CN" w:eastAsia="zh-CN" w:bidi="zh-CN"/>
      </w:rPr>
    </w:lvl>
    <w:lvl w:ilvl="8" w:tentative="0">
      <w:start w:val="0"/>
      <w:numFmt w:val="bullet"/>
      <w:lvlText w:val="•"/>
      <w:lvlJc w:val="left"/>
      <w:pPr>
        <w:ind w:left="7496" w:hanging="601"/>
      </w:pPr>
      <w:rPr>
        <w:rFonts w:hint="default"/>
        <w:lang w:val="zh-CN" w:eastAsia="zh-CN" w:bidi="zh-CN"/>
      </w:rPr>
    </w:lvl>
  </w:abstractNum>
  <w:abstractNum w:abstractNumId="166">
    <w:nsid w:val="954BD641"/>
    <w:multiLevelType w:val="multilevel"/>
    <w:tmpl w:val="954BD641"/>
    <w:lvl w:ilvl="0" w:tentative="0">
      <w:start w:val="1"/>
      <w:numFmt w:val="decimal"/>
      <w:lvlText w:val="%1."/>
      <w:lvlJc w:val="left"/>
      <w:pPr>
        <w:ind w:left="111" w:hanging="24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67">
    <w:nsid w:val="95B15005"/>
    <w:multiLevelType w:val="multilevel"/>
    <w:tmpl w:val="95B1500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8">
    <w:nsid w:val="95B2790A"/>
    <w:multiLevelType w:val="multilevel"/>
    <w:tmpl w:val="95B2790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9">
    <w:nsid w:val="95E682A1"/>
    <w:multiLevelType w:val="multilevel"/>
    <w:tmpl w:val="95E682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0">
    <w:nsid w:val="96076BB5"/>
    <w:multiLevelType w:val="multilevel"/>
    <w:tmpl w:val="96076BB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
    <w:nsid w:val="968AB9BA"/>
    <w:multiLevelType w:val="multilevel"/>
    <w:tmpl w:val="968AB9B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2">
    <w:nsid w:val="96A26EB4"/>
    <w:multiLevelType w:val="multilevel"/>
    <w:tmpl w:val="96A26E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
    <w:nsid w:val="96AB9962"/>
    <w:multiLevelType w:val="multilevel"/>
    <w:tmpl w:val="96AB996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
    <w:nsid w:val="96ABA450"/>
    <w:multiLevelType w:val="multilevel"/>
    <w:tmpl w:val="96ABA45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5">
    <w:nsid w:val="96E5236C"/>
    <w:multiLevelType w:val="multilevel"/>
    <w:tmpl w:val="96E5236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6">
    <w:nsid w:val="9751EB44"/>
    <w:multiLevelType w:val="multilevel"/>
    <w:tmpl w:val="9751EB4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
    <w:nsid w:val="97523C9B"/>
    <w:multiLevelType w:val="multilevel"/>
    <w:tmpl w:val="97523C9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8">
    <w:nsid w:val="976AC7AE"/>
    <w:multiLevelType w:val="multilevel"/>
    <w:tmpl w:val="976AC7A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9">
    <w:nsid w:val="979DCBCD"/>
    <w:multiLevelType w:val="multilevel"/>
    <w:tmpl w:val="979DCBC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80">
    <w:nsid w:val="97DDC4D7"/>
    <w:multiLevelType w:val="multilevel"/>
    <w:tmpl w:val="97DDC4D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81">
    <w:nsid w:val="980F46E2"/>
    <w:multiLevelType w:val="multilevel"/>
    <w:tmpl w:val="980F46E2"/>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82">
    <w:nsid w:val="98216DBE"/>
    <w:multiLevelType w:val="multilevel"/>
    <w:tmpl w:val="98216DB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3">
    <w:nsid w:val="98448B74"/>
    <w:multiLevelType w:val="multilevel"/>
    <w:tmpl w:val="98448B7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
    <w:nsid w:val="98C1C196"/>
    <w:multiLevelType w:val="multilevel"/>
    <w:tmpl w:val="98C1C1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
    <w:nsid w:val="98CD717A"/>
    <w:multiLevelType w:val="multilevel"/>
    <w:tmpl w:val="98CD717A"/>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86">
    <w:nsid w:val="98DF20F4"/>
    <w:multiLevelType w:val="multilevel"/>
    <w:tmpl w:val="98DF20F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7">
    <w:nsid w:val="98E286FB"/>
    <w:multiLevelType w:val="multilevel"/>
    <w:tmpl w:val="98E286F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8">
    <w:nsid w:val="993728BA"/>
    <w:multiLevelType w:val="multilevel"/>
    <w:tmpl w:val="993728B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9">
    <w:nsid w:val="99D419CA"/>
    <w:multiLevelType w:val="multilevel"/>
    <w:tmpl w:val="99D419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90">
    <w:nsid w:val="99D87763"/>
    <w:multiLevelType w:val="multilevel"/>
    <w:tmpl w:val="99D8776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91">
    <w:nsid w:val="99DE7BBB"/>
    <w:multiLevelType w:val="multilevel"/>
    <w:tmpl w:val="99DE7BB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92">
    <w:nsid w:val="9A31107A"/>
    <w:multiLevelType w:val="multilevel"/>
    <w:tmpl w:val="9A31107A"/>
    <w:lvl w:ilvl="0" w:tentative="0">
      <w:start w:val="1"/>
      <w:numFmt w:val="decimal"/>
      <w:lvlText w:val="%1."/>
      <w:lvlJc w:val="left"/>
      <w:pPr>
        <w:ind w:left="111"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93">
    <w:nsid w:val="9A773E2D"/>
    <w:multiLevelType w:val="multilevel"/>
    <w:tmpl w:val="9A773E2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94">
    <w:nsid w:val="9A7BB173"/>
    <w:multiLevelType w:val="multilevel"/>
    <w:tmpl w:val="9A7BB173"/>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95">
    <w:nsid w:val="9AB3E09D"/>
    <w:multiLevelType w:val="multilevel"/>
    <w:tmpl w:val="9AB3E09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96">
    <w:nsid w:val="9AC09128"/>
    <w:multiLevelType w:val="multilevel"/>
    <w:tmpl w:val="9AC0912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97">
    <w:nsid w:val="9ACF65A0"/>
    <w:multiLevelType w:val="multilevel"/>
    <w:tmpl w:val="9ACF65A0"/>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98">
    <w:nsid w:val="9B1F845E"/>
    <w:multiLevelType w:val="multilevel"/>
    <w:tmpl w:val="9B1F845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99">
    <w:nsid w:val="9B30641F"/>
    <w:multiLevelType w:val="multilevel"/>
    <w:tmpl w:val="9B30641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00">
    <w:nsid w:val="9B5A0547"/>
    <w:multiLevelType w:val="multilevel"/>
    <w:tmpl w:val="9B5A0547"/>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201">
    <w:nsid w:val="9B739393"/>
    <w:multiLevelType w:val="multilevel"/>
    <w:tmpl w:val="9B73939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02">
    <w:nsid w:val="9B813CDC"/>
    <w:multiLevelType w:val="multilevel"/>
    <w:tmpl w:val="9B813CD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03">
    <w:nsid w:val="9B9AF6C5"/>
    <w:multiLevelType w:val="multilevel"/>
    <w:tmpl w:val="9B9AF6C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04">
    <w:nsid w:val="9BA6347D"/>
    <w:multiLevelType w:val="multilevel"/>
    <w:tmpl w:val="9BA634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05">
    <w:nsid w:val="9C0FD8D2"/>
    <w:multiLevelType w:val="multilevel"/>
    <w:tmpl w:val="9C0FD8D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06">
    <w:nsid w:val="9C11E984"/>
    <w:multiLevelType w:val="multilevel"/>
    <w:tmpl w:val="9C11E98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07">
    <w:nsid w:val="9C14A7F2"/>
    <w:multiLevelType w:val="multilevel"/>
    <w:tmpl w:val="9C14A7F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08">
    <w:nsid w:val="9C2F1BD9"/>
    <w:multiLevelType w:val="multilevel"/>
    <w:tmpl w:val="9C2F1BD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09">
    <w:nsid w:val="9C7198AA"/>
    <w:multiLevelType w:val="multilevel"/>
    <w:tmpl w:val="9C7198A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0">
    <w:nsid w:val="9C77B7D1"/>
    <w:multiLevelType w:val="multilevel"/>
    <w:tmpl w:val="9C77B7D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1">
    <w:nsid w:val="9C8AC8EF"/>
    <w:multiLevelType w:val="multilevel"/>
    <w:tmpl w:val="9C8AC8EF"/>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12">
    <w:nsid w:val="9C919DE1"/>
    <w:multiLevelType w:val="multilevel"/>
    <w:tmpl w:val="9C919DE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3">
    <w:nsid w:val="9CD0C84A"/>
    <w:multiLevelType w:val="multilevel"/>
    <w:tmpl w:val="9CD0C84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4">
    <w:nsid w:val="9CD3ADC2"/>
    <w:multiLevelType w:val="multilevel"/>
    <w:tmpl w:val="9CD3ADC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5">
    <w:nsid w:val="9CDD5371"/>
    <w:multiLevelType w:val="multilevel"/>
    <w:tmpl w:val="9CDD53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6">
    <w:nsid w:val="9D36168F"/>
    <w:multiLevelType w:val="multilevel"/>
    <w:tmpl w:val="9D36168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7">
    <w:nsid w:val="9D39AF5E"/>
    <w:multiLevelType w:val="multilevel"/>
    <w:tmpl w:val="9D39AF5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18">
    <w:nsid w:val="9D4C15E6"/>
    <w:multiLevelType w:val="multilevel"/>
    <w:tmpl w:val="9D4C15E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19">
    <w:nsid w:val="9D504922"/>
    <w:multiLevelType w:val="multilevel"/>
    <w:tmpl w:val="9D50492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20">
    <w:nsid w:val="9D5D7490"/>
    <w:multiLevelType w:val="multilevel"/>
    <w:tmpl w:val="9D5D749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21">
    <w:nsid w:val="9D6B79A2"/>
    <w:multiLevelType w:val="multilevel"/>
    <w:tmpl w:val="9D6B79A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22">
    <w:nsid w:val="9D7EB8E6"/>
    <w:multiLevelType w:val="multilevel"/>
    <w:tmpl w:val="9D7EB8E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23">
    <w:nsid w:val="9D9520F8"/>
    <w:multiLevelType w:val="multilevel"/>
    <w:tmpl w:val="9D9520F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24">
    <w:nsid w:val="9D9F4F4D"/>
    <w:multiLevelType w:val="multilevel"/>
    <w:tmpl w:val="9D9F4F4D"/>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25">
    <w:nsid w:val="9DAF8378"/>
    <w:multiLevelType w:val="multilevel"/>
    <w:tmpl w:val="9DAF837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26">
    <w:nsid w:val="9DBBCAF3"/>
    <w:multiLevelType w:val="multilevel"/>
    <w:tmpl w:val="9DBBCAF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27">
    <w:nsid w:val="9DC21951"/>
    <w:multiLevelType w:val="multilevel"/>
    <w:tmpl w:val="9DC2195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28">
    <w:nsid w:val="9DFC6F65"/>
    <w:multiLevelType w:val="multilevel"/>
    <w:tmpl w:val="9DFC6F65"/>
    <w:lvl w:ilvl="0" w:tentative="0">
      <w:start w:val="1"/>
      <w:numFmt w:val="decimal"/>
      <w:lvlText w:val="（%1）"/>
      <w:lvlJc w:val="left"/>
      <w:pPr>
        <w:ind w:left="111" w:hanging="608"/>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1030" w:hanging="608"/>
      </w:pPr>
      <w:rPr>
        <w:rFonts w:hint="default"/>
        <w:lang w:val="zh-CN" w:eastAsia="zh-CN" w:bidi="zh-CN"/>
      </w:rPr>
    </w:lvl>
    <w:lvl w:ilvl="2" w:tentative="0">
      <w:start w:val="0"/>
      <w:numFmt w:val="bullet"/>
      <w:lvlText w:val="•"/>
      <w:lvlJc w:val="left"/>
      <w:pPr>
        <w:ind w:left="1941" w:hanging="608"/>
      </w:pPr>
      <w:rPr>
        <w:rFonts w:hint="default"/>
        <w:lang w:val="zh-CN" w:eastAsia="zh-CN" w:bidi="zh-CN"/>
      </w:rPr>
    </w:lvl>
    <w:lvl w:ilvl="3" w:tentative="0">
      <w:start w:val="0"/>
      <w:numFmt w:val="bullet"/>
      <w:lvlText w:val="•"/>
      <w:lvlJc w:val="left"/>
      <w:pPr>
        <w:ind w:left="2851" w:hanging="608"/>
      </w:pPr>
      <w:rPr>
        <w:rFonts w:hint="default"/>
        <w:lang w:val="zh-CN" w:eastAsia="zh-CN" w:bidi="zh-CN"/>
      </w:rPr>
    </w:lvl>
    <w:lvl w:ilvl="4" w:tentative="0">
      <w:start w:val="0"/>
      <w:numFmt w:val="bullet"/>
      <w:lvlText w:val="•"/>
      <w:lvlJc w:val="left"/>
      <w:pPr>
        <w:ind w:left="3762" w:hanging="608"/>
      </w:pPr>
      <w:rPr>
        <w:rFonts w:hint="default"/>
        <w:lang w:val="zh-CN" w:eastAsia="zh-CN" w:bidi="zh-CN"/>
      </w:rPr>
    </w:lvl>
    <w:lvl w:ilvl="5" w:tentative="0">
      <w:start w:val="0"/>
      <w:numFmt w:val="bullet"/>
      <w:lvlText w:val="•"/>
      <w:lvlJc w:val="left"/>
      <w:pPr>
        <w:ind w:left="4673" w:hanging="608"/>
      </w:pPr>
      <w:rPr>
        <w:rFonts w:hint="default"/>
        <w:lang w:val="zh-CN" w:eastAsia="zh-CN" w:bidi="zh-CN"/>
      </w:rPr>
    </w:lvl>
    <w:lvl w:ilvl="6" w:tentative="0">
      <w:start w:val="0"/>
      <w:numFmt w:val="bullet"/>
      <w:lvlText w:val="•"/>
      <w:lvlJc w:val="left"/>
      <w:pPr>
        <w:ind w:left="5583" w:hanging="608"/>
      </w:pPr>
      <w:rPr>
        <w:rFonts w:hint="default"/>
        <w:lang w:val="zh-CN" w:eastAsia="zh-CN" w:bidi="zh-CN"/>
      </w:rPr>
    </w:lvl>
    <w:lvl w:ilvl="7" w:tentative="0">
      <w:start w:val="0"/>
      <w:numFmt w:val="bullet"/>
      <w:lvlText w:val="•"/>
      <w:lvlJc w:val="left"/>
      <w:pPr>
        <w:ind w:left="6494" w:hanging="608"/>
      </w:pPr>
      <w:rPr>
        <w:rFonts w:hint="default"/>
        <w:lang w:val="zh-CN" w:eastAsia="zh-CN" w:bidi="zh-CN"/>
      </w:rPr>
    </w:lvl>
    <w:lvl w:ilvl="8" w:tentative="0">
      <w:start w:val="0"/>
      <w:numFmt w:val="bullet"/>
      <w:lvlText w:val="•"/>
      <w:lvlJc w:val="left"/>
      <w:pPr>
        <w:ind w:left="7404" w:hanging="608"/>
      </w:pPr>
      <w:rPr>
        <w:rFonts w:hint="default"/>
        <w:lang w:val="zh-CN" w:eastAsia="zh-CN" w:bidi="zh-CN"/>
      </w:rPr>
    </w:lvl>
  </w:abstractNum>
  <w:abstractNum w:abstractNumId="229">
    <w:nsid w:val="9E0B2D88"/>
    <w:multiLevelType w:val="multilevel"/>
    <w:tmpl w:val="9E0B2D88"/>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30">
    <w:nsid w:val="9E1BAE29"/>
    <w:multiLevelType w:val="multilevel"/>
    <w:tmpl w:val="9E1BAE2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31">
    <w:nsid w:val="9E47BB39"/>
    <w:multiLevelType w:val="multilevel"/>
    <w:tmpl w:val="9E47BB3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32">
    <w:nsid w:val="9E61437E"/>
    <w:multiLevelType w:val="multilevel"/>
    <w:tmpl w:val="9E61437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33">
    <w:nsid w:val="9E6D3087"/>
    <w:multiLevelType w:val="multilevel"/>
    <w:tmpl w:val="9E6D308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34">
    <w:nsid w:val="9E70581B"/>
    <w:multiLevelType w:val="multilevel"/>
    <w:tmpl w:val="9E70581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35">
    <w:nsid w:val="9EA7A2A4"/>
    <w:multiLevelType w:val="multilevel"/>
    <w:tmpl w:val="9EA7A2A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36">
    <w:nsid w:val="9EAFA38B"/>
    <w:multiLevelType w:val="multilevel"/>
    <w:tmpl w:val="9EAFA38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37">
    <w:nsid w:val="9ED1B480"/>
    <w:multiLevelType w:val="multilevel"/>
    <w:tmpl w:val="9ED1B48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38">
    <w:nsid w:val="9EDEC2B1"/>
    <w:multiLevelType w:val="multilevel"/>
    <w:tmpl w:val="9EDEC2B1"/>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39">
    <w:nsid w:val="9EE30434"/>
    <w:multiLevelType w:val="multilevel"/>
    <w:tmpl w:val="9EE3043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40">
    <w:nsid w:val="9F022DF8"/>
    <w:multiLevelType w:val="multilevel"/>
    <w:tmpl w:val="9F022DF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41">
    <w:nsid w:val="9F0810BC"/>
    <w:multiLevelType w:val="multilevel"/>
    <w:tmpl w:val="9F0810B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42">
    <w:nsid w:val="9F2A3661"/>
    <w:multiLevelType w:val="multilevel"/>
    <w:tmpl w:val="9F2A366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43">
    <w:nsid w:val="9F5484A8"/>
    <w:multiLevelType w:val="multilevel"/>
    <w:tmpl w:val="9F5484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44">
    <w:nsid w:val="9F7E0A41"/>
    <w:multiLevelType w:val="multilevel"/>
    <w:tmpl w:val="9F7E0A4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45">
    <w:nsid w:val="9F81B9F9"/>
    <w:multiLevelType w:val="multilevel"/>
    <w:tmpl w:val="9F81B9F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46">
    <w:nsid w:val="9F859DE7"/>
    <w:multiLevelType w:val="multilevel"/>
    <w:tmpl w:val="9F859DE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47">
    <w:nsid w:val="9F91FE98"/>
    <w:multiLevelType w:val="multilevel"/>
    <w:tmpl w:val="9F91FE9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48">
    <w:nsid w:val="9F94E439"/>
    <w:multiLevelType w:val="multilevel"/>
    <w:tmpl w:val="9F94E43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49">
    <w:nsid w:val="A02D88D7"/>
    <w:multiLevelType w:val="multilevel"/>
    <w:tmpl w:val="A02D88D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50">
    <w:nsid w:val="A0579EAD"/>
    <w:multiLevelType w:val="multilevel"/>
    <w:tmpl w:val="A0579EA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51">
    <w:nsid w:val="A0722A1D"/>
    <w:multiLevelType w:val="multilevel"/>
    <w:tmpl w:val="A0722A1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52">
    <w:nsid w:val="A07D193A"/>
    <w:multiLevelType w:val="multilevel"/>
    <w:tmpl w:val="A07D19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53">
    <w:nsid w:val="A0C93552"/>
    <w:multiLevelType w:val="multilevel"/>
    <w:tmpl w:val="A0C93552"/>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54">
    <w:nsid w:val="A0C96352"/>
    <w:multiLevelType w:val="multilevel"/>
    <w:tmpl w:val="A0C9635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55">
    <w:nsid w:val="A0E5C72A"/>
    <w:multiLevelType w:val="multilevel"/>
    <w:tmpl w:val="A0E5C72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56">
    <w:nsid w:val="A0F05207"/>
    <w:multiLevelType w:val="multilevel"/>
    <w:tmpl w:val="A0F05207"/>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257">
    <w:nsid w:val="A0F25EF7"/>
    <w:multiLevelType w:val="multilevel"/>
    <w:tmpl w:val="A0F25EF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58">
    <w:nsid w:val="A10EAA63"/>
    <w:multiLevelType w:val="multilevel"/>
    <w:tmpl w:val="A10EAA6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59">
    <w:nsid w:val="A125D1D3"/>
    <w:multiLevelType w:val="multilevel"/>
    <w:tmpl w:val="A125D1D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0">
    <w:nsid w:val="A1419710"/>
    <w:multiLevelType w:val="multilevel"/>
    <w:tmpl w:val="A141971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1">
    <w:nsid w:val="A1711AE1"/>
    <w:multiLevelType w:val="multilevel"/>
    <w:tmpl w:val="A1711AE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62">
    <w:nsid w:val="A1860C61"/>
    <w:multiLevelType w:val="multilevel"/>
    <w:tmpl w:val="A1860C6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3">
    <w:nsid w:val="A19CE751"/>
    <w:multiLevelType w:val="multilevel"/>
    <w:tmpl w:val="A19CE75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4">
    <w:nsid w:val="A1CD1D7D"/>
    <w:multiLevelType w:val="multilevel"/>
    <w:tmpl w:val="A1CD1D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5">
    <w:nsid w:val="A1DC36BF"/>
    <w:multiLevelType w:val="multilevel"/>
    <w:tmpl w:val="A1DC36B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6">
    <w:nsid w:val="A1E5F70E"/>
    <w:multiLevelType w:val="multilevel"/>
    <w:tmpl w:val="A1E5F70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7">
    <w:nsid w:val="A201318D"/>
    <w:multiLevelType w:val="multilevel"/>
    <w:tmpl w:val="A201318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8">
    <w:nsid w:val="A20A9F5F"/>
    <w:multiLevelType w:val="multilevel"/>
    <w:tmpl w:val="A20A9F5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69">
    <w:nsid w:val="A242B70D"/>
    <w:multiLevelType w:val="multilevel"/>
    <w:tmpl w:val="A242B70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70">
    <w:nsid w:val="A25F19CE"/>
    <w:multiLevelType w:val="multilevel"/>
    <w:tmpl w:val="A25F19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71">
    <w:nsid w:val="A2639E83"/>
    <w:multiLevelType w:val="multilevel"/>
    <w:tmpl w:val="A2639E8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72">
    <w:nsid w:val="A27F1EC0"/>
    <w:multiLevelType w:val="multilevel"/>
    <w:tmpl w:val="A27F1EC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73">
    <w:nsid w:val="A2BA2956"/>
    <w:multiLevelType w:val="multilevel"/>
    <w:tmpl w:val="A2BA29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74">
    <w:nsid w:val="A2BD8046"/>
    <w:multiLevelType w:val="multilevel"/>
    <w:tmpl w:val="A2BD804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75">
    <w:nsid w:val="A346B821"/>
    <w:multiLevelType w:val="multilevel"/>
    <w:tmpl w:val="A346B82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76">
    <w:nsid w:val="A362769C"/>
    <w:multiLevelType w:val="multilevel"/>
    <w:tmpl w:val="A362769C"/>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277">
    <w:nsid w:val="A3AA24F1"/>
    <w:multiLevelType w:val="multilevel"/>
    <w:tmpl w:val="A3AA24F1"/>
    <w:lvl w:ilvl="0" w:tentative="0">
      <w:start w:val="1"/>
      <w:numFmt w:val="decimal"/>
      <w:lvlText w:val="（%1）"/>
      <w:lvlJc w:val="left"/>
      <w:pPr>
        <w:ind w:left="752" w:hanging="601"/>
        <w:jc w:val="left"/>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606" w:hanging="601"/>
      </w:pPr>
      <w:rPr>
        <w:rFonts w:hint="default"/>
        <w:lang w:val="zh-CN" w:eastAsia="zh-CN" w:bidi="zh-CN"/>
      </w:rPr>
    </w:lvl>
    <w:lvl w:ilvl="2" w:tentative="0">
      <w:start w:val="0"/>
      <w:numFmt w:val="bullet"/>
      <w:lvlText w:val="•"/>
      <w:lvlJc w:val="left"/>
      <w:pPr>
        <w:ind w:left="2453" w:hanging="601"/>
      </w:pPr>
      <w:rPr>
        <w:rFonts w:hint="default"/>
        <w:lang w:val="zh-CN" w:eastAsia="zh-CN" w:bidi="zh-CN"/>
      </w:rPr>
    </w:lvl>
    <w:lvl w:ilvl="3" w:tentative="0">
      <w:start w:val="0"/>
      <w:numFmt w:val="bullet"/>
      <w:lvlText w:val="•"/>
      <w:lvlJc w:val="left"/>
      <w:pPr>
        <w:ind w:left="3299" w:hanging="601"/>
      </w:pPr>
      <w:rPr>
        <w:rFonts w:hint="default"/>
        <w:lang w:val="zh-CN" w:eastAsia="zh-CN" w:bidi="zh-CN"/>
      </w:rPr>
    </w:lvl>
    <w:lvl w:ilvl="4" w:tentative="0">
      <w:start w:val="0"/>
      <w:numFmt w:val="bullet"/>
      <w:lvlText w:val="•"/>
      <w:lvlJc w:val="left"/>
      <w:pPr>
        <w:ind w:left="4146" w:hanging="601"/>
      </w:pPr>
      <w:rPr>
        <w:rFonts w:hint="default"/>
        <w:lang w:val="zh-CN" w:eastAsia="zh-CN" w:bidi="zh-CN"/>
      </w:rPr>
    </w:lvl>
    <w:lvl w:ilvl="5" w:tentative="0">
      <w:start w:val="0"/>
      <w:numFmt w:val="bullet"/>
      <w:lvlText w:val="•"/>
      <w:lvlJc w:val="left"/>
      <w:pPr>
        <w:ind w:left="4993" w:hanging="601"/>
      </w:pPr>
      <w:rPr>
        <w:rFonts w:hint="default"/>
        <w:lang w:val="zh-CN" w:eastAsia="zh-CN" w:bidi="zh-CN"/>
      </w:rPr>
    </w:lvl>
    <w:lvl w:ilvl="6" w:tentative="0">
      <w:start w:val="0"/>
      <w:numFmt w:val="bullet"/>
      <w:lvlText w:val="•"/>
      <w:lvlJc w:val="left"/>
      <w:pPr>
        <w:ind w:left="5839" w:hanging="601"/>
      </w:pPr>
      <w:rPr>
        <w:rFonts w:hint="default"/>
        <w:lang w:val="zh-CN" w:eastAsia="zh-CN" w:bidi="zh-CN"/>
      </w:rPr>
    </w:lvl>
    <w:lvl w:ilvl="7" w:tentative="0">
      <w:start w:val="0"/>
      <w:numFmt w:val="bullet"/>
      <w:lvlText w:val="•"/>
      <w:lvlJc w:val="left"/>
      <w:pPr>
        <w:ind w:left="6686" w:hanging="601"/>
      </w:pPr>
      <w:rPr>
        <w:rFonts w:hint="default"/>
        <w:lang w:val="zh-CN" w:eastAsia="zh-CN" w:bidi="zh-CN"/>
      </w:rPr>
    </w:lvl>
    <w:lvl w:ilvl="8" w:tentative="0">
      <w:start w:val="0"/>
      <w:numFmt w:val="bullet"/>
      <w:lvlText w:val="•"/>
      <w:lvlJc w:val="left"/>
      <w:pPr>
        <w:ind w:left="7532" w:hanging="601"/>
      </w:pPr>
      <w:rPr>
        <w:rFonts w:hint="default"/>
        <w:lang w:val="zh-CN" w:eastAsia="zh-CN" w:bidi="zh-CN"/>
      </w:rPr>
    </w:lvl>
  </w:abstractNum>
  <w:abstractNum w:abstractNumId="278">
    <w:nsid w:val="A3CE94AE"/>
    <w:multiLevelType w:val="multilevel"/>
    <w:tmpl w:val="A3CE94A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79">
    <w:nsid w:val="A3E6FB55"/>
    <w:multiLevelType w:val="multilevel"/>
    <w:tmpl w:val="A3E6FB5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80">
    <w:nsid w:val="A426AB83"/>
    <w:multiLevelType w:val="multilevel"/>
    <w:tmpl w:val="A426AB8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81">
    <w:nsid w:val="A4433E0D"/>
    <w:multiLevelType w:val="multilevel"/>
    <w:tmpl w:val="A4433E0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82">
    <w:nsid w:val="A4D57BE8"/>
    <w:multiLevelType w:val="multilevel"/>
    <w:tmpl w:val="A4D57B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83">
    <w:nsid w:val="A4D875FC"/>
    <w:multiLevelType w:val="multilevel"/>
    <w:tmpl w:val="A4D875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84">
    <w:nsid w:val="A521A01A"/>
    <w:multiLevelType w:val="multilevel"/>
    <w:tmpl w:val="A521A01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85">
    <w:nsid w:val="A5435042"/>
    <w:multiLevelType w:val="multilevel"/>
    <w:tmpl w:val="A5435042"/>
    <w:lvl w:ilvl="0" w:tentative="0">
      <w:start w:val="2"/>
      <w:numFmt w:val="decimal"/>
      <w:lvlText w:val="%1"/>
      <w:lvlJc w:val="left"/>
      <w:pPr>
        <w:ind w:left="111" w:hanging="361"/>
        <w:jc w:val="left"/>
      </w:pPr>
      <w:rPr>
        <w:rFonts w:hint="default"/>
        <w:lang w:val="zh-CN" w:eastAsia="zh-CN" w:bidi="zh-CN"/>
      </w:rPr>
    </w:lvl>
    <w:lvl w:ilvl="1" w:tentative="0">
      <w:start w:val="1"/>
      <w:numFmt w:val="decimal"/>
      <w:lvlText w:val="%1-%2"/>
      <w:lvlJc w:val="left"/>
      <w:pPr>
        <w:ind w:left="111"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1"/>
      </w:pPr>
      <w:rPr>
        <w:rFonts w:hint="default"/>
        <w:lang w:val="zh-CN" w:eastAsia="zh-CN" w:bidi="zh-CN"/>
      </w:rPr>
    </w:lvl>
    <w:lvl w:ilvl="3" w:tentative="0">
      <w:start w:val="0"/>
      <w:numFmt w:val="bullet"/>
      <w:lvlText w:val="•"/>
      <w:lvlJc w:val="left"/>
      <w:pPr>
        <w:ind w:left="2851" w:hanging="361"/>
      </w:pPr>
      <w:rPr>
        <w:rFonts w:hint="default"/>
        <w:lang w:val="zh-CN" w:eastAsia="zh-CN" w:bidi="zh-CN"/>
      </w:rPr>
    </w:lvl>
    <w:lvl w:ilvl="4" w:tentative="0">
      <w:start w:val="0"/>
      <w:numFmt w:val="bullet"/>
      <w:lvlText w:val="•"/>
      <w:lvlJc w:val="left"/>
      <w:pPr>
        <w:ind w:left="3762" w:hanging="361"/>
      </w:pPr>
      <w:rPr>
        <w:rFonts w:hint="default"/>
        <w:lang w:val="zh-CN" w:eastAsia="zh-CN" w:bidi="zh-CN"/>
      </w:rPr>
    </w:lvl>
    <w:lvl w:ilvl="5" w:tentative="0">
      <w:start w:val="0"/>
      <w:numFmt w:val="bullet"/>
      <w:lvlText w:val="•"/>
      <w:lvlJc w:val="left"/>
      <w:pPr>
        <w:ind w:left="4673" w:hanging="361"/>
      </w:pPr>
      <w:rPr>
        <w:rFonts w:hint="default"/>
        <w:lang w:val="zh-CN" w:eastAsia="zh-CN" w:bidi="zh-CN"/>
      </w:rPr>
    </w:lvl>
    <w:lvl w:ilvl="6" w:tentative="0">
      <w:start w:val="0"/>
      <w:numFmt w:val="bullet"/>
      <w:lvlText w:val="•"/>
      <w:lvlJc w:val="left"/>
      <w:pPr>
        <w:ind w:left="5583" w:hanging="361"/>
      </w:pPr>
      <w:rPr>
        <w:rFonts w:hint="default"/>
        <w:lang w:val="zh-CN" w:eastAsia="zh-CN" w:bidi="zh-CN"/>
      </w:rPr>
    </w:lvl>
    <w:lvl w:ilvl="7" w:tentative="0">
      <w:start w:val="0"/>
      <w:numFmt w:val="bullet"/>
      <w:lvlText w:val="•"/>
      <w:lvlJc w:val="left"/>
      <w:pPr>
        <w:ind w:left="6494" w:hanging="361"/>
      </w:pPr>
      <w:rPr>
        <w:rFonts w:hint="default"/>
        <w:lang w:val="zh-CN" w:eastAsia="zh-CN" w:bidi="zh-CN"/>
      </w:rPr>
    </w:lvl>
    <w:lvl w:ilvl="8" w:tentative="0">
      <w:start w:val="0"/>
      <w:numFmt w:val="bullet"/>
      <w:lvlText w:val="•"/>
      <w:lvlJc w:val="left"/>
      <w:pPr>
        <w:ind w:left="7404" w:hanging="361"/>
      </w:pPr>
      <w:rPr>
        <w:rFonts w:hint="default"/>
        <w:lang w:val="zh-CN" w:eastAsia="zh-CN" w:bidi="zh-CN"/>
      </w:rPr>
    </w:lvl>
  </w:abstractNum>
  <w:abstractNum w:abstractNumId="286">
    <w:nsid w:val="A548E790"/>
    <w:multiLevelType w:val="multilevel"/>
    <w:tmpl w:val="A548E79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87">
    <w:nsid w:val="A56DDDDB"/>
    <w:multiLevelType w:val="multilevel"/>
    <w:tmpl w:val="A56DDDDB"/>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288">
    <w:nsid w:val="A5813306"/>
    <w:multiLevelType w:val="multilevel"/>
    <w:tmpl w:val="A581330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89">
    <w:nsid w:val="A581B6AB"/>
    <w:multiLevelType w:val="multilevel"/>
    <w:tmpl w:val="A581B6A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90">
    <w:nsid w:val="A5987499"/>
    <w:multiLevelType w:val="multilevel"/>
    <w:tmpl w:val="A598749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91">
    <w:nsid w:val="A639EC4A"/>
    <w:multiLevelType w:val="multilevel"/>
    <w:tmpl w:val="A639EC4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92">
    <w:nsid w:val="A6482E03"/>
    <w:multiLevelType w:val="multilevel"/>
    <w:tmpl w:val="A6482E0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93">
    <w:nsid w:val="A669F063"/>
    <w:multiLevelType w:val="multilevel"/>
    <w:tmpl w:val="A669F06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294">
    <w:nsid w:val="A68D076A"/>
    <w:multiLevelType w:val="multilevel"/>
    <w:tmpl w:val="A68D076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95">
    <w:nsid w:val="A6966633"/>
    <w:multiLevelType w:val="multilevel"/>
    <w:tmpl w:val="A696663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96">
    <w:nsid w:val="A6DC1671"/>
    <w:multiLevelType w:val="multilevel"/>
    <w:tmpl w:val="A6DC16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97">
    <w:nsid w:val="A6E60070"/>
    <w:multiLevelType w:val="multilevel"/>
    <w:tmpl w:val="A6E6007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298">
    <w:nsid w:val="A71BEED0"/>
    <w:multiLevelType w:val="multilevel"/>
    <w:tmpl w:val="A71BEED0"/>
    <w:lvl w:ilvl="0" w:tentative="0">
      <w:start w:val="1"/>
      <w:numFmt w:val="decimal"/>
      <w:lvlText w:val="%1."/>
      <w:lvlJc w:val="left"/>
      <w:pPr>
        <w:ind w:left="111" w:hanging="24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299">
    <w:nsid w:val="A7290756"/>
    <w:multiLevelType w:val="multilevel"/>
    <w:tmpl w:val="A72907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0">
    <w:nsid w:val="A750D230"/>
    <w:multiLevelType w:val="multilevel"/>
    <w:tmpl w:val="A750D23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1">
    <w:nsid w:val="A7C8314B"/>
    <w:multiLevelType w:val="multilevel"/>
    <w:tmpl w:val="A7C8314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2">
    <w:nsid w:val="A7CF62F0"/>
    <w:multiLevelType w:val="multilevel"/>
    <w:tmpl w:val="A7CF62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3">
    <w:nsid w:val="A7DF7C18"/>
    <w:multiLevelType w:val="multilevel"/>
    <w:tmpl w:val="A7DF7C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4">
    <w:nsid w:val="A7EA1E1D"/>
    <w:multiLevelType w:val="multilevel"/>
    <w:tmpl w:val="A7EA1E1D"/>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05">
    <w:nsid w:val="A7FB96C9"/>
    <w:multiLevelType w:val="multilevel"/>
    <w:tmpl w:val="A7FB96C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6">
    <w:nsid w:val="A80F8680"/>
    <w:multiLevelType w:val="multilevel"/>
    <w:tmpl w:val="A80F868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7">
    <w:nsid w:val="A8678557"/>
    <w:multiLevelType w:val="multilevel"/>
    <w:tmpl w:val="A867855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08">
    <w:nsid w:val="A873922C"/>
    <w:multiLevelType w:val="multilevel"/>
    <w:tmpl w:val="A873922C"/>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09">
    <w:nsid w:val="A8B74863"/>
    <w:multiLevelType w:val="multilevel"/>
    <w:tmpl w:val="A8B7486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0">
    <w:nsid w:val="A8C84627"/>
    <w:multiLevelType w:val="multilevel"/>
    <w:tmpl w:val="A8C8462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1">
    <w:nsid w:val="A8E23EBE"/>
    <w:multiLevelType w:val="multilevel"/>
    <w:tmpl w:val="A8E23EB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2">
    <w:nsid w:val="A904AA35"/>
    <w:multiLevelType w:val="multilevel"/>
    <w:tmpl w:val="A904AA3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3">
    <w:nsid w:val="A9136B6B"/>
    <w:multiLevelType w:val="multilevel"/>
    <w:tmpl w:val="A9136B6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4">
    <w:nsid w:val="A9779F72"/>
    <w:multiLevelType w:val="multilevel"/>
    <w:tmpl w:val="A9779F7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15">
    <w:nsid w:val="A97D620A"/>
    <w:multiLevelType w:val="multilevel"/>
    <w:tmpl w:val="A97D620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6">
    <w:nsid w:val="A9AC3AA7"/>
    <w:multiLevelType w:val="multilevel"/>
    <w:tmpl w:val="A9AC3AA7"/>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17">
    <w:nsid w:val="A9FF6F36"/>
    <w:multiLevelType w:val="multilevel"/>
    <w:tmpl w:val="A9FF6F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8">
    <w:nsid w:val="AA736F10"/>
    <w:multiLevelType w:val="multilevel"/>
    <w:tmpl w:val="AA736F1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19">
    <w:nsid w:val="AAC575F9"/>
    <w:multiLevelType w:val="multilevel"/>
    <w:tmpl w:val="AAC575F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20">
    <w:nsid w:val="AAF3F3FA"/>
    <w:multiLevelType w:val="multilevel"/>
    <w:tmpl w:val="AAF3F3F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21">
    <w:nsid w:val="AB0E52DC"/>
    <w:multiLevelType w:val="multilevel"/>
    <w:tmpl w:val="AB0E52D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22">
    <w:nsid w:val="AB2BB306"/>
    <w:multiLevelType w:val="multilevel"/>
    <w:tmpl w:val="AB2BB30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23">
    <w:nsid w:val="AB2E9453"/>
    <w:multiLevelType w:val="multilevel"/>
    <w:tmpl w:val="AB2E945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24">
    <w:nsid w:val="AB41EE9B"/>
    <w:multiLevelType w:val="multilevel"/>
    <w:tmpl w:val="AB41EE9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25">
    <w:nsid w:val="AB4C5C4B"/>
    <w:multiLevelType w:val="multilevel"/>
    <w:tmpl w:val="AB4C5C4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26">
    <w:nsid w:val="AB721CF3"/>
    <w:multiLevelType w:val="multilevel"/>
    <w:tmpl w:val="AB721CF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27">
    <w:nsid w:val="ABB77A1D"/>
    <w:multiLevelType w:val="multilevel"/>
    <w:tmpl w:val="ABB77A1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28">
    <w:nsid w:val="ABFEDA60"/>
    <w:multiLevelType w:val="multilevel"/>
    <w:tmpl w:val="ABFEDA6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1353"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234" w:hanging="601"/>
      </w:pPr>
      <w:rPr>
        <w:rFonts w:hint="default"/>
        <w:lang w:val="zh-CN" w:eastAsia="zh-CN" w:bidi="zh-CN"/>
      </w:rPr>
    </w:lvl>
    <w:lvl w:ilvl="3" w:tentative="0">
      <w:start w:val="0"/>
      <w:numFmt w:val="bullet"/>
      <w:lvlText w:val="•"/>
      <w:lvlJc w:val="left"/>
      <w:pPr>
        <w:ind w:left="3108" w:hanging="601"/>
      </w:pPr>
      <w:rPr>
        <w:rFonts w:hint="default"/>
        <w:lang w:val="zh-CN" w:eastAsia="zh-CN" w:bidi="zh-CN"/>
      </w:rPr>
    </w:lvl>
    <w:lvl w:ilvl="4" w:tentative="0">
      <w:start w:val="0"/>
      <w:numFmt w:val="bullet"/>
      <w:lvlText w:val="•"/>
      <w:lvlJc w:val="left"/>
      <w:pPr>
        <w:ind w:left="3982" w:hanging="601"/>
      </w:pPr>
      <w:rPr>
        <w:rFonts w:hint="default"/>
        <w:lang w:val="zh-CN" w:eastAsia="zh-CN" w:bidi="zh-CN"/>
      </w:rPr>
    </w:lvl>
    <w:lvl w:ilvl="5" w:tentative="0">
      <w:start w:val="0"/>
      <w:numFmt w:val="bullet"/>
      <w:lvlText w:val="•"/>
      <w:lvlJc w:val="left"/>
      <w:pPr>
        <w:ind w:left="4856" w:hanging="601"/>
      </w:pPr>
      <w:rPr>
        <w:rFonts w:hint="default"/>
        <w:lang w:val="zh-CN" w:eastAsia="zh-CN" w:bidi="zh-CN"/>
      </w:rPr>
    </w:lvl>
    <w:lvl w:ilvl="6" w:tentative="0">
      <w:start w:val="0"/>
      <w:numFmt w:val="bullet"/>
      <w:lvlText w:val="•"/>
      <w:lvlJc w:val="left"/>
      <w:pPr>
        <w:ind w:left="5730" w:hanging="601"/>
      </w:pPr>
      <w:rPr>
        <w:rFonts w:hint="default"/>
        <w:lang w:val="zh-CN" w:eastAsia="zh-CN" w:bidi="zh-CN"/>
      </w:rPr>
    </w:lvl>
    <w:lvl w:ilvl="7" w:tentative="0">
      <w:start w:val="0"/>
      <w:numFmt w:val="bullet"/>
      <w:lvlText w:val="•"/>
      <w:lvlJc w:val="left"/>
      <w:pPr>
        <w:ind w:left="6604" w:hanging="601"/>
      </w:pPr>
      <w:rPr>
        <w:rFonts w:hint="default"/>
        <w:lang w:val="zh-CN" w:eastAsia="zh-CN" w:bidi="zh-CN"/>
      </w:rPr>
    </w:lvl>
    <w:lvl w:ilvl="8" w:tentative="0">
      <w:start w:val="0"/>
      <w:numFmt w:val="bullet"/>
      <w:lvlText w:val="•"/>
      <w:lvlJc w:val="left"/>
      <w:pPr>
        <w:ind w:left="7478" w:hanging="601"/>
      </w:pPr>
      <w:rPr>
        <w:rFonts w:hint="default"/>
        <w:lang w:val="zh-CN" w:eastAsia="zh-CN" w:bidi="zh-CN"/>
      </w:rPr>
    </w:lvl>
  </w:abstractNum>
  <w:abstractNum w:abstractNumId="329">
    <w:nsid w:val="AC04E6E0"/>
    <w:multiLevelType w:val="multilevel"/>
    <w:tmpl w:val="AC04E6E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30">
    <w:nsid w:val="AC11273D"/>
    <w:multiLevelType w:val="multilevel"/>
    <w:tmpl w:val="AC11273D"/>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31">
    <w:nsid w:val="AC38AFEB"/>
    <w:multiLevelType w:val="multilevel"/>
    <w:tmpl w:val="AC38AFE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32">
    <w:nsid w:val="ACB488C1"/>
    <w:multiLevelType w:val="multilevel"/>
    <w:tmpl w:val="ACB488C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33">
    <w:nsid w:val="ACE26987"/>
    <w:multiLevelType w:val="multilevel"/>
    <w:tmpl w:val="ACE2698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34">
    <w:nsid w:val="ACEACDDD"/>
    <w:multiLevelType w:val="multilevel"/>
    <w:tmpl w:val="ACEACDD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35">
    <w:nsid w:val="ACF74BB0"/>
    <w:multiLevelType w:val="multilevel"/>
    <w:tmpl w:val="ACF74BB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36">
    <w:nsid w:val="AD23EE13"/>
    <w:multiLevelType w:val="multilevel"/>
    <w:tmpl w:val="AD23EE1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37">
    <w:nsid w:val="AD25FBEA"/>
    <w:multiLevelType w:val="multilevel"/>
    <w:tmpl w:val="AD25FBE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38">
    <w:nsid w:val="AD37AD84"/>
    <w:multiLevelType w:val="multilevel"/>
    <w:tmpl w:val="AD37AD8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39">
    <w:nsid w:val="AD564883"/>
    <w:multiLevelType w:val="multilevel"/>
    <w:tmpl w:val="AD56488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40">
    <w:nsid w:val="AD6AD314"/>
    <w:multiLevelType w:val="multilevel"/>
    <w:tmpl w:val="AD6AD31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41">
    <w:nsid w:val="AD6BADC4"/>
    <w:multiLevelType w:val="multilevel"/>
    <w:tmpl w:val="AD6BADC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42">
    <w:nsid w:val="AD6E0A3E"/>
    <w:multiLevelType w:val="multilevel"/>
    <w:tmpl w:val="AD6E0A3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43">
    <w:nsid w:val="AD8D0E0B"/>
    <w:multiLevelType w:val="multilevel"/>
    <w:tmpl w:val="AD8D0E0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44">
    <w:nsid w:val="ADC3CBB4"/>
    <w:multiLevelType w:val="multilevel"/>
    <w:tmpl w:val="ADC3CB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45">
    <w:nsid w:val="AE25E9AE"/>
    <w:multiLevelType w:val="multilevel"/>
    <w:tmpl w:val="AE25E9A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46">
    <w:nsid w:val="AE2CC4B4"/>
    <w:multiLevelType w:val="multilevel"/>
    <w:tmpl w:val="AE2CC4B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47">
    <w:nsid w:val="AE474817"/>
    <w:multiLevelType w:val="multilevel"/>
    <w:tmpl w:val="AE47481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48">
    <w:nsid w:val="AE5180A9"/>
    <w:multiLevelType w:val="multilevel"/>
    <w:tmpl w:val="AE5180A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49">
    <w:nsid w:val="AE811F76"/>
    <w:multiLevelType w:val="multilevel"/>
    <w:tmpl w:val="AE811F7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0">
    <w:nsid w:val="AE8D15D1"/>
    <w:multiLevelType w:val="multilevel"/>
    <w:tmpl w:val="AE8D15D1"/>
    <w:lvl w:ilvl="0" w:tentative="0">
      <w:start w:val="1"/>
      <w:numFmt w:val="decimal"/>
      <w:lvlText w:val="（%1）"/>
      <w:lvlJc w:val="left"/>
      <w:pPr>
        <w:ind w:left="752" w:hanging="601"/>
        <w:jc w:val="left"/>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606" w:hanging="601"/>
      </w:pPr>
      <w:rPr>
        <w:rFonts w:hint="default"/>
        <w:lang w:val="zh-CN" w:eastAsia="zh-CN" w:bidi="zh-CN"/>
      </w:rPr>
    </w:lvl>
    <w:lvl w:ilvl="2" w:tentative="0">
      <w:start w:val="0"/>
      <w:numFmt w:val="bullet"/>
      <w:lvlText w:val="•"/>
      <w:lvlJc w:val="left"/>
      <w:pPr>
        <w:ind w:left="2453" w:hanging="601"/>
      </w:pPr>
      <w:rPr>
        <w:rFonts w:hint="default"/>
        <w:lang w:val="zh-CN" w:eastAsia="zh-CN" w:bidi="zh-CN"/>
      </w:rPr>
    </w:lvl>
    <w:lvl w:ilvl="3" w:tentative="0">
      <w:start w:val="0"/>
      <w:numFmt w:val="bullet"/>
      <w:lvlText w:val="•"/>
      <w:lvlJc w:val="left"/>
      <w:pPr>
        <w:ind w:left="3299" w:hanging="601"/>
      </w:pPr>
      <w:rPr>
        <w:rFonts w:hint="default"/>
        <w:lang w:val="zh-CN" w:eastAsia="zh-CN" w:bidi="zh-CN"/>
      </w:rPr>
    </w:lvl>
    <w:lvl w:ilvl="4" w:tentative="0">
      <w:start w:val="0"/>
      <w:numFmt w:val="bullet"/>
      <w:lvlText w:val="•"/>
      <w:lvlJc w:val="left"/>
      <w:pPr>
        <w:ind w:left="4146" w:hanging="601"/>
      </w:pPr>
      <w:rPr>
        <w:rFonts w:hint="default"/>
        <w:lang w:val="zh-CN" w:eastAsia="zh-CN" w:bidi="zh-CN"/>
      </w:rPr>
    </w:lvl>
    <w:lvl w:ilvl="5" w:tentative="0">
      <w:start w:val="0"/>
      <w:numFmt w:val="bullet"/>
      <w:lvlText w:val="•"/>
      <w:lvlJc w:val="left"/>
      <w:pPr>
        <w:ind w:left="4993" w:hanging="601"/>
      </w:pPr>
      <w:rPr>
        <w:rFonts w:hint="default"/>
        <w:lang w:val="zh-CN" w:eastAsia="zh-CN" w:bidi="zh-CN"/>
      </w:rPr>
    </w:lvl>
    <w:lvl w:ilvl="6" w:tentative="0">
      <w:start w:val="0"/>
      <w:numFmt w:val="bullet"/>
      <w:lvlText w:val="•"/>
      <w:lvlJc w:val="left"/>
      <w:pPr>
        <w:ind w:left="5839" w:hanging="601"/>
      </w:pPr>
      <w:rPr>
        <w:rFonts w:hint="default"/>
        <w:lang w:val="zh-CN" w:eastAsia="zh-CN" w:bidi="zh-CN"/>
      </w:rPr>
    </w:lvl>
    <w:lvl w:ilvl="7" w:tentative="0">
      <w:start w:val="0"/>
      <w:numFmt w:val="bullet"/>
      <w:lvlText w:val="•"/>
      <w:lvlJc w:val="left"/>
      <w:pPr>
        <w:ind w:left="6686" w:hanging="601"/>
      </w:pPr>
      <w:rPr>
        <w:rFonts w:hint="default"/>
        <w:lang w:val="zh-CN" w:eastAsia="zh-CN" w:bidi="zh-CN"/>
      </w:rPr>
    </w:lvl>
    <w:lvl w:ilvl="8" w:tentative="0">
      <w:start w:val="0"/>
      <w:numFmt w:val="bullet"/>
      <w:lvlText w:val="•"/>
      <w:lvlJc w:val="left"/>
      <w:pPr>
        <w:ind w:left="7532" w:hanging="601"/>
      </w:pPr>
      <w:rPr>
        <w:rFonts w:hint="default"/>
        <w:lang w:val="zh-CN" w:eastAsia="zh-CN" w:bidi="zh-CN"/>
      </w:rPr>
    </w:lvl>
  </w:abstractNum>
  <w:abstractNum w:abstractNumId="351">
    <w:nsid w:val="AEB678A5"/>
    <w:multiLevelType w:val="multilevel"/>
    <w:tmpl w:val="AEB678A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2">
    <w:nsid w:val="AF139D7D"/>
    <w:multiLevelType w:val="multilevel"/>
    <w:tmpl w:val="AF139D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3">
    <w:nsid w:val="AF2AF925"/>
    <w:multiLevelType w:val="multilevel"/>
    <w:tmpl w:val="AF2AF92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4">
    <w:nsid w:val="AFCA8A48"/>
    <w:multiLevelType w:val="multilevel"/>
    <w:tmpl w:val="AFCA8A4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5">
    <w:nsid w:val="AFDE7C4B"/>
    <w:multiLevelType w:val="multilevel"/>
    <w:tmpl w:val="AFDE7C4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6">
    <w:nsid w:val="AFFA848E"/>
    <w:multiLevelType w:val="multilevel"/>
    <w:tmpl w:val="AFFA848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7">
    <w:nsid w:val="B0082E4F"/>
    <w:multiLevelType w:val="multilevel"/>
    <w:tmpl w:val="B0082E4F"/>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58">
    <w:nsid w:val="B02A9460"/>
    <w:multiLevelType w:val="multilevel"/>
    <w:tmpl w:val="B02A946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59">
    <w:nsid w:val="B064CA0C"/>
    <w:multiLevelType w:val="multilevel"/>
    <w:tmpl w:val="B064CA0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60">
    <w:nsid w:val="B074DC71"/>
    <w:multiLevelType w:val="multilevel"/>
    <w:tmpl w:val="B074DC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61">
    <w:nsid w:val="B08374AC"/>
    <w:multiLevelType w:val="multilevel"/>
    <w:tmpl w:val="B08374A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62">
    <w:nsid w:val="B08B4E02"/>
    <w:multiLevelType w:val="multilevel"/>
    <w:tmpl w:val="B08B4E0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63">
    <w:nsid w:val="B0AC9ADF"/>
    <w:multiLevelType w:val="singleLevel"/>
    <w:tmpl w:val="B0AC9ADF"/>
    <w:lvl w:ilvl="0" w:tentative="0">
      <w:start w:val="1"/>
      <w:numFmt w:val="chineseCounting"/>
      <w:suff w:val="nothing"/>
      <w:lvlText w:val="（%1）"/>
      <w:lvlJc w:val="left"/>
      <w:rPr>
        <w:rFonts w:hint="eastAsia"/>
      </w:rPr>
    </w:lvl>
  </w:abstractNum>
  <w:abstractNum w:abstractNumId="364">
    <w:nsid w:val="B0ED9BEA"/>
    <w:multiLevelType w:val="multilevel"/>
    <w:tmpl w:val="B0ED9BEA"/>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65">
    <w:nsid w:val="B0F1ACD9"/>
    <w:multiLevelType w:val="multilevel"/>
    <w:tmpl w:val="B0F1ACD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66">
    <w:nsid w:val="B119E573"/>
    <w:multiLevelType w:val="multilevel"/>
    <w:tmpl w:val="B119E57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67">
    <w:nsid w:val="B12CDDDE"/>
    <w:multiLevelType w:val="multilevel"/>
    <w:tmpl w:val="B12CDDD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68">
    <w:nsid w:val="B15ABE86"/>
    <w:multiLevelType w:val="multilevel"/>
    <w:tmpl w:val="B15ABE86"/>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69">
    <w:nsid w:val="B1CC6FF1"/>
    <w:multiLevelType w:val="multilevel"/>
    <w:tmpl w:val="B1CC6FF1"/>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70">
    <w:nsid w:val="B1E2901C"/>
    <w:multiLevelType w:val="multilevel"/>
    <w:tmpl w:val="B1E2901C"/>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71">
    <w:nsid w:val="B216FAF1"/>
    <w:multiLevelType w:val="multilevel"/>
    <w:tmpl w:val="B216FA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72">
    <w:nsid w:val="B23A94A9"/>
    <w:multiLevelType w:val="multilevel"/>
    <w:tmpl w:val="B23A94A9"/>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373">
    <w:nsid w:val="B278378B"/>
    <w:multiLevelType w:val="multilevel"/>
    <w:tmpl w:val="B278378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74">
    <w:nsid w:val="B2982282"/>
    <w:multiLevelType w:val="multilevel"/>
    <w:tmpl w:val="B298228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75">
    <w:nsid w:val="B2AA0723"/>
    <w:multiLevelType w:val="multilevel"/>
    <w:tmpl w:val="B2AA072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76">
    <w:nsid w:val="B2CB5728"/>
    <w:multiLevelType w:val="multilevel"/>
    <w:tmpl w:val="B2CB572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77">
    <w:nsid w:val="B2D99D32"/>
    <w:multiLevelType w:val="multilevel"/>
    <w:tmpl w:val="B2D99D3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78">
    <w:nsid w:val="B2E3BD62"/>
    <w:multiLevelType w:val="multilevel"/>
    <w:tmpl w:val="B2E3BD6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79">
    <w:nsid w:val="B2EDAF49"/>
    <w:multiLevelType w:val="multilevel"/>
    <w:tmpl w:val="B2EDAF4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80">
    <w:nsid w:val="B2F9100D"/>
    <w:multiLevelType w:val="multilevel"/>
    <w:tmpl w:val="B2F9100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81">
    <w:nsid w:val="B34F1B72"/>
    <w:multiLevelType w:val="multilevel"/>
    <w:tmpl w:val="B34F1B7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82">
    <w:nsid w:val="B37809D0"/>
    <w:multiLevelType w:val="multilevel"/>
    <w:tmpl w:val="B37809D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83">
    <w:nsid w:val="B37D2CD2"/>
    <w:multiLevelType w:val="multilevel"/>
    <w:tmpl w:val="B37D2CD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84">
    <w:nsid w:val="B37D6883"/>
    <w:multiLevelType w:val="multilevel"/>
    <w:tmpl w:val="B37D688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85">
    <w:nsid w:val="B3AFDA01"/>
    <w:multiLevelType w:val="multilevel"/>
    <w:tmpl w:val="B3AFDA0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86">
    <w:nsid w:val="B3D18769"/>
    <w:multiLevelType w:val="multilevel"/>
    <w:tmpl w:val="B3D1876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387">
    <w:nsid w:val="B3F671D4"/>
    <w:multiLevelType w:val="multilevel"/>
    <w:tmpl w:val="B3F671D4"/>
    <w:lvl w:ilvl="0" w:tentative="0">
      <w:start w:val="1"/>
      <w:numFmt w:val="decimal"/>
      <w:lvlText w:val="（%1）"/>
      <w:lvlJc w:val="left"/>
      <w:pPr>
        <w:ind w:left="752" w:hanging="601"/>
        <w:jc w:val="left"/>
      </w:pPr>
      <w:rPr>
        <w:rFonts w:hint="default" w:ascii="宋体" w:hAnsi="宋体" w:eastAsia="宋体" w:cs="宋体"/>
        <w:spacing w:val="-18"/>
        <w:w w:val="100"/>
        <w:sz w:val="22"/>
        <w:szCs w:val="22"/>
        <w:lang w:val="zh-CN" w:eastAsia="zh-CN" w:bidi="zh-CN"/>
      </w:rPr>
    </w:lvl>
    <w:lvl w:ilvl="1" w:tentative="0">
      <w:start w:val="0"/>
      <w:numFmt w:val="bullet"/>
      <w:lvlText w:val="•"/>
      <w:lvlJc w:val="left"/>
      <w:pPr>
        <w:ind w:left="1606" w:hanging="601"/>
      </w:pPr>
      <w:rPr>
        <w:rFonts w:hint="default"/>
        <w:lang w:val="zh-CN" w:eastAsia="zh-CN" w:bidi="zh-CN"/>
      </w:rPr>
    </w:lvl>
    <w:lvl w:ilvl="2" w:tentative="0">
      <w:start w:val="0"/>
      <w:numFmt w:val="bullet"/>
      <w:lvlText w:val="•"/>
      <w:lvlJc w:val="left"/>
      <w:pPr>
        <w:ind w:left="2453" w:hanging="601"/>
      </w:pPr>
      <w:rPr>
        <w:rFonts w:hint="default"/>
        <w:lang w:val="zh-CN" w:eastAsia="zh-CN" w:bidi="zh-CN"/>
      </w:rPr>
    </w:lvl>
    <w:lvl w:ilvl="3" w:tentative="0">
      <w:start w:val="0"/>
      <w:numFmt w:val="bullet"/>
      <w:lvlText w:val="•"/>
      <w:lvlJc w:val="left"/>
      <w:pPr>
        <w:ind w:left="3299" w:hanging="601"/>
      </w:pPr>
      <w:rPr>
        <w:rFonts w:hint="default"/>
        <w:lang w:val="zh-CN" w:eastAsia="zh-CN" w:bidi="zh-CN"/>
      </w:rPr>
    </w:lvl>
    <w:lvl w:ilvl="4" w:tentative="0">
      <w:start w:val="0"/>
      <w:numFmt w:val="bullet"/>
      <w:lvlText w:val="•"/>
      <w:lvlJc w:val="left"/>
      <w:pPr>
        <w:ind w:left="4146" w:hanging="601"/>
      </w:pPr>
      <w:rPr>
        <w:rFonts w:hint="default"/>
        <w:lang w:val="zh-CN" w:eastAsia="zh-CN" w:bidi="zh-CN"/>
      </w:rPr>
    </w:lvl>
    <w:lvl w:ilvl="5" w:tentative="0">
      <w:start w:val="0"/>
      <w:numFmt w:val="bullet"/>
      <w:lvlText w:val="•"/>
      <w:lvlJc w:val="left"/>
      <w:pPr>
        <w:ind w:left="4993" w:hanging="601"/>
      </w:pPr>
      <w:rPr>
        <w:rFonts w:hint="default"/>
        <w:lang w:val="zh-CN" w:eastAsia="zh-CN" w:bidi="zh-CN"/>
      </w:rPr>
    </w:lvl>
    <w:lvl w:ilvl="6" w:tentative="0">
      <w:start w:val="0"/>
      <w:numFmt w:val="bullet"/>
      <w:lvlText w:val="•"/>
      <w:lvlJc w:val="left"/>
      <w:pPr>
        <w:ind w:left="5839" w:hanging="601"/>
      </w:pPr>
      <w:rPr>
        <w:rFonts w:hint="default"/>
        <w:lang w:val="zh-CN" w:eastAsia="zh-CN" w:bidi="zh-CN"/>
      </w:rPr>
    </w:lvl>
    <w:lvl w:ilvl="7" w:tentative="0">
      <w:start w:val="0"/>
      <w:numFmt w:val="bullet"/>
      <w:lvlText w:val="•"/>
      <w:lvlJc w:val="left"/>
      <w:pPr>
        <w:ind w:left="6686" w:hanging="601"/>
      </w:pPr>
      <w:rPr>
        <w:rFonts w:hint="default"/>
        <w:lang w:val="zh-CN" w:eastAsia="zh-CN" w:bidi="zh-CN"/>
      </w:rPr>
    </w:lvl>
    <w:lvl w:ilvl="8" w:tentative="0">
      <w:start w:val="0"/>
      <w:numFmt w:val="bullet"/>
      <w:lvlText w:val="•"/>
      <w:lvlJc w:val="left"/>
      <w:pPr>
        <w:ind w:left="7532" w:hanging="601"/>
      </w:pPr>
      <w:rPr>
        <w:rFonts w:hint="default"/>
        <w:lang w:val="zh-CN" w:eastAsia="zh-CN" w:bidi="zh-CN"/>
      </w:rPr>
    </w:lvl>
  </w:abstractNum>
  <w:abstractNum w:abstractNumId="388">
    <w:nsid w:val="B43F255D"/>
    <w:multiLevelType w:val="multilevel"/>
    <w:tmpl w:val="B43F255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89">
    <w:nsid w:val="B460BF57"/>
    <w:multiLevelType w:val="multilevel"/>
    <w:tmpl w:val="B460BF5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90">
    <w:nsid w:val="B4829311"/>
    <w:multiLevelType w:val="multilevel"/>
    <w:tmpl w:val="B482931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91">
    <w:nsid w:val="B4913A69"/>
    <w:multiLevelType w:val="multilevel"/>
    <w:tmpl w:val="B4913A6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92">
    <w:nsid w:val="B4C8DC27"/>
    <w:multiLevelType w:val="singleLevel"/>
    <w:tmpl w:val="B4C8DC27"/>
    <w:lvl w:ilvl="0" w:tentative="0">
      <w:start w:val="1"/>
      <w:numFmt w:val="chineseCounting"/>
      <w:suff w:val="nothing"/>
      <w:lvlText w:val="（%1）"/>
      <w:lvlJc w:val="left"/>
      <w:pPr>
        <w:ind w:left="843" w:leftChars="0" w:firstLine="0" w:firstLineChars="0"/>
      </w:pPr>
      <w:rPr>
        <w:rFonts w:hint="eastAsia"/>
      </w:rPr>
    </w:lvl>
  </w:abstractNum>
  <w:abstractNum w:abstractNumId="393">
    <w:nsid w:val="B4E02BC3"/>
    <w:multiLevelType w:val="multilevel"/>
    <w:tmpl w:val="B4E02BC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94">
    <w:nsid w:val="B4E12318"/>
    <w:multiLevelType w:val="multilevel"/>
    <w:tmpl w:val="B4E123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95">
    <w:nsid w:val="B4EC45C2"/>
    <w:multiLevelType w:val="multilevel"/>
    <w:tmpl w:val="B4EC45C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96">
    <w:nsid w:val="B53F3350"/>
    <w:multiLevelType w:val="multilevel"/>
    <w:tmpl w:val="B53F3350"/>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397">
    <w:nsid w:val="B5601969"/>
    <w:multiLevelType w:val="multilevel"/>
    <w:tmpl w:val="B560196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98">
    <w:nsid w:val="B5701DD1"/>
    <w:multiLevelType w:val="multilevel"/>
    <w:tmpl w:val="B5701DD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399">
    <w:nsid w:val="B59A6526"/>
    <w:multiLevelType w:val="multilevel"/>
    <w:tmpl w:val="B59A652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00">
    <w:nsid w:val="B5C72DC2"/>
    <w:multiLevelType w:val="multilevel"/>
    <w:tmpl w:val="B5C72DC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01">
    <w:nsid w:val="B5CF74F5"/>
    <w:multiLevelType w:val="multilevel"/>
    <w:tmpl w:val="B5CF74F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02">
    <w:nsid w:val="B5E306ED"/>
    <w:multiLevelType w:val="multilevel"/>
    <w:tmpl w:val="B5E306ED"/>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03">
    <w:nsid w:val="B62DFF5B"/>
    <w:multiLevelType w:val="multilevel"/>
    <w:tmpl w:val="B62DFF5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04">
    <w:nsid w:val="B64EAD00"/>
    <w:multiLevelType w:val="multilevel"/>
    <w:tmpl w:val="B64EAD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05">
    <w:nsid w:val="B6B923CF"/>
    <w:multiLevelType w:val="multilevel"/>
    <w:tmpl w:val="B6B923C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06">
    <w:nsid w:val="B6BDE84A"/>
    <w:multiLevelType w:val="multilevel"/>
    <w:tmpl w:val="B6BDE84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07">
    <w:nsid w:val="B73F9BDB"/>
    <w:multiLevelType w:val="multilevel"/>
    <w:tmpl w:val="B73F9BD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08">
    <w:nsid w:val="B77FA8F1"/>
    <w:multiLevelType w:val="multilevel"/>
    <w:tmpl w:val="B77FA8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09">
    <w:nsid w:val="B78E37B8"/>
    <w:multiLevelType w:val="multilevel"/>
    <w:tmpl w:val="B78E37B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10">
    <w:nsid w:val="B7CBB8D4"/>
    <w:multiLevelType w:val="multilevel"/>
    <w:tmpl w:val="B7CBB8D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11">
    <w:nsid w:val="B828274A"/>
    <w:multiLevelType w:val="multilevel"/>
    <w:tmpl w:val="B828274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12">
    <w:nsid w:val="B88D21A8"/>
    <w:multiLevelType w:val="multilevel"/>
    <w:tmpl w:val="B88D21A8"/>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13">
    <w:nsid w:val="B88F7C84"/>
    <w:multiLevelType w:val="multilevel"/>
    <w:tmpl w:val="B88F7C8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14">
    <w:nsid w:val="B8CEF35B"/>
    <w:multiLevelType w:val="multilevel"/>
    <w:tmpl w:val="B8CEF35B"/>
    <w:lvl w:ilvl="0" w:tentative="0">
      <w:start w:val="2"/>
      <w:numFmt w:val="decimal"/>
      <w:lvlText w:val="%1"/>
      <w:lvlJc w:val="left"/>
      <w:pPr>
        <w:ind w:left="111" w:hanging="361"/>
        <w:jc w:val="left"/>
      </w:pPr>
      <w:rPr>
        <w:rFonts w:hint="default"/>
        <w:lang w:val="zh-CN" w:eastAsia="zh-CN" w:bidi="zh-CN"/>
      </w:rPr>
    </w:lvl>
    <w:lvl w:ilvl="1" w:tentative="0">
      <w:start w:val="1"/>
      <w:numFmt w:val="decimal"/>
      <w:lvlText w:val="%1-%2"/>
      <w:lvlJc w:val="left"/>
      <w:pPr>
        <w:ind w:left="111" w:hanging="361"/>
        <w:jc w:val="left"/>
      </w:pPr>
      <w:rPr>
        <w:rFonts w:hint="default" w:ascii="宋体" w:hAnsi="宋体" w:eastAsia="宋体" w:cs="宋体"/>
        <w:spacing w:val="-17"/>
        <w:w w:val="100"/>
        <w:sz w:val="22"/>
        <w:szCs w:val="22"/>
        <w:lang w:val="zh-CN" w:eastAsia="zh-CN" w:bidi="zh-CN"/>
      </w:rPr>
    </w:lvl>
    <w:lvl w:ilvl="2" w:tentative="0">
      <w:start w:val="0"/>
      <w:numFmt w:val="bullet"/>
      <w:lvlText w:val="•"/>
      <w:lvlJc w:val="left"/>
      <w:pPr>
        <w:ind w:left="1941" w:hanging="361"/>
      </w:pPr>
      <w:rPr>
        <w:rFonts w:hint="default"/>
        <w:lang w:val="zh-CN" w:eastAsia="zh-CN" w:bidi="zh-CN"/>
      </w:rPr>
    </w:lvl>
    <w:lvl w:ilvl="3" w:tentative="0">
      <w:start w:val="0"/>
      <w:numFmt w:val="bullet"/>
      <w:lvlText w:val="•"/>
      <w:lvlJc w:val="left"/>
      <w:pPr>
        <w:ind w:left="2851" w:hanging="361"/>
      </w:pPr>
      <w:rPr>
        <w:rFonts w:hint="default"/>
        <w:lang w:val="zh-CN" w:eastAsia="zh-CN" w:bidi="zh-CN"/>
      </w:rPr>
    </w:lvl>
    <w:lvl w:ilvl="4" w:tentative="0">
      <w:start w:val="0"/>
      <w:numFmt w:val="bullet"/>
      <w:lvlText w:val="•"/>
      <w:lvlJc w:val="left"/>
      <w:pPr>
        <w:ind w:left="3762" w:hanging="361"/>
      </w:pPr>
      <w:rPr>
        <w:rFonts w:hint="default"/>
        <w:lang w:val="zh-CN" w:eastAsia="zh-CN" w:bidi="zh-CN"/>
      </w:rPr>
    </w:lvl>
    <w:lvl w:ilvl="5" w:tentative="0">
      <w:start w:val="0"/>
      <w:numFmt w:val="bullet"/>
      <w:lvlText w:val="•"/>
      <w:lvlJc w:val="left"/>
      <w:pPr>
        <w:ind w:left="4673" w:hanging="361"/>
      </w:pPr>
      <w:rPr>
        <w:rFonts w:hint="default"/>
        <w:lang w:val="zh-CN" w:eastAsia="zh-CN" w:bidi="zh-CN"/>
      </w:rPr>
    </w:lvl>
    <w:lvl w:ilvl="6" w:tentative="0">
      <w:start w:val="0"/>
      <w:numFmt w:val="bullet"/>
      <w:lvlText w:val="•"/>
      <w:lvlJc w:val="left"/>
      <w:pPr>
        <w:ind w:left="5583" w:hanging="361"/>
      </w:pPr>
      <w:rPr>
        <w:rFonts w:hint="default"/>
        <w:lang w:val="zh-CN" w:eastAsia="zh-CN" w:bidi="zh-CN"/>
      </w:rPr>
    </w:lvl>
    <w:lvl w:ilvl="7" w:tentative="0">
      <w:start w:val="0"/>
      <w:numFmt w:val="bullet"/>
      <w:lvlText w:val="•"/>
      <w:lvlJc w:val="left"/>
      <w:pPr>
        <w:ind w:left="6494" w:hanging="361"/>
      </w:pPr>
      <w:rPr>
        <w:rFonts w:hint="default"/>
        <w:lang w:val="zh-CN" w:eastAsia="zh-CN" w:bidi="zh-CN"/>
      </w:rPr>
    </w:lvl>
    <w:lvl w:ilvl="8" w:tentative="0">
      <w:start w:val="0"/>
      <w:numFmt w:val="bullet"/>
      <w:lvlText w:val="•"/>
      <w:lvlJc w:val="left"/>
      <w:pPr>
        <w:ind w:left="7404" w:hanging="361"/>
      </w:pPr>
      <w:rPr>
        <w:rFonts w:hint="default"/>
        <w:lang w:val="zh-CN" w:eastAsia="zh-CN" w:bidi="zh-CN"/>
      </w:rPr>
    </w:lvl>
  </w:abstractNum>
  <w:abstractNum w:abstractNumId="415">
    <w:nsid w:val="B8DB259A"/>
    <w:multiLevelType w:val="singleLevel"/>
    <w:tmpl w:val="B8DB259A"/>
    <w:lvl w:ilvl="0" w:tentative="0">
      <w:start w:val="2"/>
      <w:numFmt w:val="chineseCounting"/>
      <w:suff w:val="nothing"/>
      <w:lvlText w:val="（%1）"/>
      <w:lvlJc w:val="left"/>
      <w:rPr>
        <w:rFonts w:hint="eastAsia"/>
      </w:rPr>
    </w:lvl>
  </w:abstractNum>
  <w:abstractNum w:abstractNumId="416">
    <w:nsid w:val="B8EAA228"/>
    <w:multiLevelType w:val="multilevel"/>
    <w:tmpl w:val="B8EAA22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17">
    <w:nsid w:val="B903574B"/>
    <w:multiLevelType w:val="multilevel"/>
    <w:tmpl w:val="B903574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18">
    <w:nsid w:val="B906B944"/>
    <w:multiLevelType w:val="multilevel"/>
    <w:tmpl w:val="B906B94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19">
    <w:nsid w:val="B9276A52"/>
    <w:multiLevelType w:val="multilevel"/>
    <w:tmpl w:val="B9276A5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20">
    <w:nsid w:val="B9293BE4"/>
    <w:multiLevelType w:val="multilevel"/>
    <w:tmpl w:val="B9293BE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21">
    <w:nsid w:val="B959CD1F"/>
    <w:multiLevelType w:val="multilevel"/>
    <w:tmpl w:val="B959CD1F"/>
    <w:lvl w:ilvl="0" w:tentative="0">
      <w:start w:val="1"/>
      <w:numFmt w:val="decimal"/>
      <w:lvlText w:val="%1."/>
      <w:lvlJc w:val="left"/>
      <w:pPr>
        <w:ind w:left="111" w:hanging="241"/>
        <w:jc w:val="left"/>
      </w:pPr>
      <w:rPr>
        <w:rFonts w:hint="default" w:ascii="宋体" w:hAnsi="宋体" w:eastAsia="宋体" w:cs="宋体"/>
        <w:spacing w:val="-32"/>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422">
    <w:nsid w:val="B9637847"/>
    <w:multiLevelType w:val="multilevel"/>
    <w:tmpl w:val="B963784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23">
    <w:nsid w:val="B9935BA6"/>
    <w:multiLevelType w:val="multilevel"/>
    <w:tmpl w:val="B9935BA6"/>
    <w:lvl w:ilvl="0" w:tentative="0">
      <w:start w:val="1"/>
      <w:numFmt w:val="decimal"/>
      <w:lvlText w:val="%1."/>
      <w:lvlJc w:val="left"/>
      <w:pPr>
        <w:ind w:left="111" w:hanging="24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424">
    <w:nsid w:val="B99465BD"/>
    <w:multiLevelType w:val="multilevel"/>
    <w:tmpl w:val="B99465BD"/>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25">
    <w:nsid w:val="B9BECB20"/>
    <w:multiLevelType w:val="multilevel"/>
    <w:tmpl w:val="B9BECB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26">
    <w:nsid w:val="B9C742DF"/>
    <w:multiLevelType w:val="multilevel"/>
    <w:tmpl w:val="B9C742D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27">
    <w:nsid w:val="B9DED075"/>
    <w:multiLevelType w:val="multilevel"/>
    <w:tmpl w:val="B9DED075"/>
    <w:lvl w:ilvl="0" w:tentative="0">
      <w:start w:val="1"/>
      <w:numFmt w:val="decimal"/>
      <w:lvlText w:val="%1."/>
      <w:lvlJc w:val="left"/>
      <w:pPr>
        <w:ind w:left="111" w:hanging="24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428">
    <w:nsid w:val="BA122492"/>
    <w:multiLevelType w:val="multilevel"/>
    <w:tmpl w:val="BA12249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29">
    <w:nsid w:val="BA53782E"/>
    <w:multiLevelType w:val="multilevel"/>
    <w:tmpl w:val="BA53782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30">
    <w:nsid w:val="BA550FDB"/>
    <w:multiLevelType w:val="multilevel"/>
    <w:tmpl w:val="BA550FDB"/>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31">
    <w:nsid w:val="BA676C24"/>
    <w:multiLevelType w:val="multilevel"/>
    <w:tmpl w:val="BA676C2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32">
    <w:nsid w:val="BA7381E1"/>
    <w:multiLevelType w:val="multilevel"/>
    <w:tmpl w:val="BA7381E1"/>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433">
    <w:nsid w:val="BAAB619A"/>
    <w:multiLevelType w:val="multilevel"/>
    <w:tmpl w:val="BAAB619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34">
    <w:nsid w:val="BADA614F"/>
    <w:multiLevelType w:val="multilevel"/>
    <w:tmpl w:val="BADA614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35">
    <w:nsid w:val="BB01E1DA"/>
    <w:multiLevelType w:val="multilevel"/>
    <w:tmpl w:val="BB01E1D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36">
    <w:nsid w:val="BB16745B"/>
    <w:multiLevelType w:val="multilevel"/>
    <w:tmpl w:val="BB16745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37">
    <w:nsid w:val="BB264DCB"/>
    <w:multiLevelType w:val="multilevel"/>
    <w:tmpl w:val="BB264DC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38">
    <w:nsid w:val="BB31DCBB"/>
    <w:multiLevelType w:val="multilevel"/>
    <w:tmpl w:val="BB31DCB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39">
    <w:nsid w:val="BB531B50"/>
    <w:multiLevelType w:val="multilevel"/>
    <w:tmpl w:val="BB531B5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0">
    <w:nsid w:val="BB64CFA9"/>
    <w:multiLevelType w:val="multilevel"/>
    <w:tmpl w:val="BB64CFA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41">
    <w:nsid w:val="BB6DFD32"/>
    <w:multiLevelType w:val="multilevel"/>
    <w:tmpl w:val="BB6DFD3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2">
    <w:nsid w:val="BB7503E5"/>
    <w:multiLevelType w:val="multilevel"/>
    <w:tmpl w:val="BB7503E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3">
    <w:nsid w:val="BB8F5C33"/>
    <w:multiLevelType w:val="multilevel"/>
    <w:tmpl w:val="BB8F5C3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4">
    <w:nsid w:val="BB90E335"/>
    <w:multiLevelType w:val="multilevel"/>
    <w:tmpl w:val="BB90E33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5">
    <w:nsid w:val="BBB9C840"/>
    <w:multiLevelType w:val="multilevel"/>
    <w:tmpl w:val="BBB9C8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6">
    <w:nsid w:val="BBF1673A"/>
    <w:multiLevelType w:val="multilevel"/>
    <w:tmpl w:val="BBF167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7">
    <w:nsid w:val="BC267377"/>
    <w:multiLevelType w:val="multilevel"/>
    <w:tmpl w:val="BC26737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8">
    <w:nsid w:val="BC476C90"/>
    <w:multiLevelType w:val="multilevel"/>
    <w:tmpl w:val="BC476C9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49">
    <w:nsid w:val="BC660D1E"/>
    <w:multiLevelType w:val="multilevel"/>
    <w:tmpl w:val="BC660D1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50">
    <w:nsid w:val="BC704E90"/>
    <w:multiLevelType w:val="multilevel"/>
    <w:tmpl w:val="BC704E9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51">
    <w:nsid w:val="BC7B78D9"/>
    <w:multiLevelType w:val="multilevel"/>
    <w:tmpl w:val="BC7B78D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52">
    <w:nsid w:val="BC837A95"/>
    <w:multiLevelType w:val="multilevel"/>
    <w:tmpl w:val="BC837A95"/>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53">
    <w:nsid w:val="BCB7EA04"/>
    <w:multiLevelType w:val="multilevel"/>
    <w:tmpl w:val="BCB7EA0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54">
    <w:nsid w:val="BCECA0B4"/>
    <w:multiLevelType w:val="multilevel"/>
    <w:tmpl w:val="BCECA0B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55">
    <w:nsid w:val="BD2096B8"/>
    <w:multiLevelType w:val="multilevel"/>
    <w:tmpl w:val="BD2096B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56">
    <w:nsid w:val="BD22F213"/>
    <w:multiLevelType w:val="multilevel"/>
    <w:tmpl w:val="BD22F21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57">
    <w:nsid w:val="BD3097EA"/>
    <w:multiLevelType w:val="multilevel"/>
    <w:tmpl w:val="BD3097E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58">
    <w:nsid w:val="BD46AEF4"/>
    <w:multiLevelType w:val="multilevel"/>
    <w:tmpl w:val="BD46AEF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59">
    <w:nsid w:val="BD5B9D2D"/>
    <w:multiLevelType w:val="multilevel"/>
    <w:tmpl w:val="BD5B9D2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60">
    <w:nsid w:val="BD6A14E8"/>
    <w:multiLevelType w:val="multilevel"/>
    <w:tmpl w:val="BD6A14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61">
    <w:nsid w:val="BDA1395C"/>
    <w:multiLevelType w:val="multilevel"/>
    <w:tmpl w:val="BDA1395C"/>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62">
    <w:nsid w:val="BDBE1046"/>
    <w:multiLevelType w:val="multilevel"/>
    <w:tmpl w:val="BDBE104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63">
    <w:nsid w:val="BDE76EE4"/>
    <w:multiLevelType w:val="multilevel"/>
    <w:tmpl w:val="BDE76EE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64">
    <w:nsid w:val="BE390117"/>
    <w:multiLevelType w:val="multilevel"/>
    <w:tmpl w:val="BE39011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65">
    <w:nsid w:val="BE5AB988"/>
    <w:multiLevelType w:val="multilevel"/>
    <w:tmpl w:val="BE5AB98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66">
    <w:nsid w:val="BE84A7F5"/>
    <w:multiLevelType w:val="singleLevel"/>
    <w:tmpl w:val="BE84A7F5"/>
    <w:lvl w:ilvl="0" w:tentative="0">
      <w:start w:val="1"/>
      <w:numFmt w:val="decimal"/>
      <w:lvlText w:val="%1."/>
      <w:lvlJc w:val="left"/>
      <w:pPr>
        <w:tabs>
          <w:tab w:val="left" w:pos="312"/>
        </w:tabs>
      </w:pPr>
    </w:lvl>
  </w:abstractNum>
  <w:abstractNum w:abstractNumId="467">
    <w:nsid w:val="BE8A4F4C"/>
    <w:multiLevelType w:val="multilevel"/>
    <w:tmpl w:val="BE8A4F4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68">
    <w:nsid w:val="BE8CA2E7"/>
    <w:multiLevelType w:val="multilevel"/>
    <w:tmpl w:val="BE8CA2E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69">
    <w:nsid w:val="BE8CED7D"/>
    <w:multiLevelType w:val="multilevel"/>
    <w:tmpl w:val="BE8CED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70">
    <w:nsid w:val="BE923771"/>
    <w:multiLevelType w:val="multilevel"/>
    <w:tmpl w:val="BE923771"/>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71">
    <w:nsid w:val="BE9789B4"/>
    <w:multiLevelType w:val="multilevel"/>
    <w:tmpl w:val="BE9789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72">
    <w:nsid w:val="BEB044FC"/>
    <w:multiLevelType w:val="multilevel"/>
    <w:tmpl w:val="BEB044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73">
    <w:nsid w:val="BEDBFA51"/>
    <w:multiLevelType w:val="multilevel"/>
    <w:tmpl w:val="BEDBFA5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74">
    <w:nsid w:val="BEF3144C"/>
    <w:multiLevelType w:val="multilevel"/>
    <w:tmpl w:val="BEF3144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75">
    <w:nsid w:val="BF0EF92C"/>
    <w:multiLevelType w:val="multilevel"/>
    <w:tmpl w:val="BF0EF92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76">
    <w:nsid w:val="BF205925"/>
    <w:multiLevelType w:val="multilevel"/>
    <w:tmpl w:val="BF20592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77">
    <w:nsid w:val="BF21FCB4"/>
    <w:multiLevelType w:val="multilevel"/>
    <w:tmpl w:val="BF21FC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78">
    <w:nsid w:val="BF3339D0"/>
    <w:multiLevelType w:val="multilevel"/>
    <w:tmpl w:val="BF3339D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79">
    <w:nsid w:val="BF35BF67"/>
    <w:multiLevelType w:val="multilevel"/>
    <w:tmpl w:val="BF35BF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80">
    <w:nsid w:val="BF35F2C0"/>
    <w:multiLevelType w:val="multilevel"/>
    <w:tmpl w:val="BF35F2C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81">
    <w:nsid w:val="BF498318"/>
    <w:multiLevelType w:val="multilevel"/>
    <w:tmpl w:val="BF4983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82">
    <w:nsid w:val="BF50FE6B"/>
    <w:multiLevelType w:val="multilevel"/>
    <w:tmpl w:val="BF50FE6B"/>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483">
    <w:nsid w:val="BF853527"/>
    <w:multiLevelType w:val="multilevel"/>
    <w:tmpl w:val="BF853527"/>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484">
    <w:nsid w:val="BF90AAF0"/>
    <w:multiLevelType w:val="multilevel"/>
    <w:tmpl w:val="BF90AA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85">
    <w:nsid w:val="BFBB3F01"/>
    <w:multiLevelType w:val="multilevel"/>
    <w:tmpl w:val="BFBB3F0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86">
    <w:nsid w:val="C0101A38"/>
    <w:multiLevelType w:val="singleLevel"/>
    <w:tmpl w:val="C0101A38"/>
    <w:lvl w:ilvl="0" w:tentative="0">
      <w:start w:val="2"/>
      <w:numFmt w:val="chineseCounting"/>
      <w:suff w:val="nothing"/>
      <w:lvlText w:val="（%1）"/>
      <w:lvlJc w:val="left"/>
      <w:rPr>
        <w:rFonts w:hint="eastAsia"/>
      </w:rPr>
    </w:lvl>
  </w:abstractNum>
  <w:abstractNum w:abstractNumId="487">
    <w:nsid w:val="C01E6688"/>
    <w:multiLevelType w:val="multilevel"/>
    <w:tmpl w:val="C01E668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88">
    <w:nsid w:val="C0283A65"/>
    <w:multiLevelType w:val="multilevel"/>
    <w:tmpl w:val="C0283A65"/>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489">
    <w:nsid w:val="C038483D"/>
    <w:multiLevelType w:val="multilevel"/>
    <w:tmpl w:val="C038483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90">
    <w:nsid w:val="C05071E2"/>
    <w:multiLevelType w:val="multilevel"/>
    <w:tmpl w:val="C05071E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91">
    <w:nsid w:val="C0596C00"/>
    <w:multiLevelType w:val="multilevel"/>
    <w:tmpl w:val="C0596C0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492">
    <w:nsid w:val="C0857044"/>
    <w:multiLevelType w:val="multilevel"/>
    <w:tmpl w:val="C085704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93">
    <w:nsid w:val="C0915F4F"/>
    <w:multiLevelType w:val="multilevel"/>
    <w:tmpl w:val="C0915F4F"/>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494">
    <w:nsid w:val="C0B9FDCE"/>
    <w:multiLevelType w:val="multilevel"/>
    <w:tmpl w:val="C0B9FD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95">
    <w:nsid w:val="C0D8C7AF"/>
    <w:multiLevelType w:val="multilevel"/>
    <w:tmpl w:val="C0D8C7A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96">
    <w:nsid w:val="C0F08A07"/>
    <w:multiLevelType w:val="multilevel"/>
    <w:tmpl w:val="C0F08A0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97">
    <w:nsid w:val="C103A74F"/>
    <w:multiLevelType w:val="multilevel"/>
    <w:tmpl w:val="C103A74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98">
    <w:nsid w:val="C14E78F5"/>
    <w:multiLevelType w:val="multilevel"/>
    <w:tmpl w:val="C14E78F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499">
    <w:nsid w:val="C152FBF6"/>
    <w:multiLevelType w:val="multilevel"/>
    <w:tmpl w:val="C152FBF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00">
    <w:nsid w:val="C17C4D43"/>
    <w:multiLevelType w:val="multilevel"/>
    <w:tmpl w:val="C17C4D4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01">
    <w:nsid w:val="C18B2A64"/>
    <w:multiLevelType w:val="multilevel"/>
    <w:tmpl w:val="C18B2A6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02">
    <w:nsid w:val="C1947083"/>
    <w:multiLevelType w:val="multilevel"/>
    <w:tmpl w:val="C194708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03">
    <w:nsid w:val="C1AF2395"/>
    <w:multiLevelType w:val="multilevel"/>
    <w:tmpl w:val="C1AF239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04">
    <w:nsid w:val="C1D0D3DC"/>
    <w:multiLevelType w:val="multilevel"/>
    <w:tmpl w:val="C1D0D3D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05">
    <w:nsid w:val="C1DE5EC2"/>
    <w:multiLevelType w:val="multilevel"/>
    <w:tmpl w:val="C1DE5EC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06">
    <w:nsid w:val="C1F8C497"/>
    <w:multiLevelType w:val="multilevel"/>
    <w:tmpl w:val="C1F8C49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07">
    <w:nsid w:val="C2037A7C"/>
    <w:multiLevelType w:val="multilevel"/>
    <w:tmpl w:val="C2037A7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08">
    <w:nsid w:val="C242AAE9"/>
    <w:multiLevelType w:val="multilevel"/>
    <w:tmpl w:val="C242AAE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09">
    <w:nsid w:val="C24DF028"/>
    <w:multiLevelType w:val="multilevel"/>
    <w:tmpl w:val="C24DF02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10">
    <w:nsid w:val="C285EB5D"/>
    <w:multiLevelType w:val="multilevel"/>
    <w:tmpl w:val="C285EB5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11">
    <w:nsid w:val="C28BBC69"/>
    <w:multiLevelType w:val="multilevel"/>
    <w:tmpl w:val="C28BBC6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12">
    <w:nsid w:val="C2AECC5C"/>
    <w:multiLevelType w:val="multilevel"/>
    <w:tmpl w:val="C2AECC5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13">
    <w:nsid w:val="C2D3C316"/>
    <w:multiLevelType w:val="multilevel"/>
    <w:tmpl w:val="C2D3C31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14">
    <w:nsid w:val="C2F6FA71"/>
    <w:multiLevelType w:val="multilevel"/>
    <w:tmpl w:val="C2F6FA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15">
    <w:nsid w:val="C2F8FC79"/>
    <w:multiLevelType w:val="multilevel"/>
    <w:tmpl w:val="C2F8FC7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16">
    <w:nsid w:val="C3272226"/>
    <w:multiLevelType w:val="multilevel"/>
    <w:tmpl w:val="C327222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17">
    <w:nsid w:val="C3354EAF"/>
    <w:multiLevelType w:val="multilevel"/>
    <w:tmpl w:val="C3354EA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18">
    <w:nsid w:val="C3661862"/>
    <w:multiLevelType w:val="multilevel"/>
    <w:tmpl w:val="C366186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19">
    <w:nsid w:val="C369BBEF"/>
    <w:multiLevelType w:val="multilevel"/>
    <w:tmpl w:val="C369BBE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0">
    <w:nsid w:val="C37F0D2B"/>
    <w:multiLevelType w:val="multilevel"/>
    <w:tmpl w:val="C37F0D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1">
    <w:nsid w:val="C38612D6"/>
    <w:multiLevelType w:val="multilevel"/>
    <w:tmpl w:val="C38612D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2">
    <w:nsid w:val="C3A60B99"/>
    <w:multiLevelType w:val="multilevel"/>
    <w:tmpl w:val="C3A60B9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3">
    <w:nsid w:val="C3B9E02F"/>
    <w:multiLevelType w:val="multilevel"/>
    <w:tmpl w:val="C3B9E02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4">
    <w:nsid w:val="C402271E"/>
    <w:multiLevelType w:val="multilevel"/>
    <w:tmpl w:val="C402271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5">
    <w:nsid w:val="C40E0AB0"/>
    <w:multiLevelType w:val="multilevel"/>
    <w:tmpl w:val="C40E0AB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6">
    <w:nsid w:val="C4268129"/>
    <w:multiLevelType w:val="multilevel"/>
    <w:tmpl w:val="C426812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27">
    <w:nsid w:val="C450DBBA"/>
    <w:multiLevelType w:val="multilevel"/>
    <w:tmpl w:val="C450DBBA"/>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528">
    <w:nsid w:val="C4E0D24A"/>
    <w:multiLevelType w:val="multilevel"/>
    <w:tmpl w:val="C4E0D24A"/>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529">
    <w:nsid w:val="C4EA4DBF"/>
    <w:multiLevelType w:val="multilevel"/>
    <w:tmpl w:val="C4EA4DB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0">
    <w:nsid w:val="C51D5284"/>
    <w:multiLevelType w:val="multilevel"/>
    <w:tmpl w:val="C51D528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31">
    <w:nsid w:val="C52864EF"/>
    <w:multiLevelType w:val="multilevel"/>
    <w:tmpl w:val="C52864E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2">
    <w:nsid w:val="C542370E"/>
    <w:multiLevelType w:val="multilevel"/>
    <w:tmpl w:val="C542370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3">
    <w:nsid w:val="C560195F"/>
    <w:multiLevelType w:val="multilevel"/>
    <w:tmpl w:val="C560195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4">
    <w:nsid w:val="C560BE57"/>
    <w:multiLevelType w:val="multilevel"/>
    <w:tmpl w:val="C560BE5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5">
    <w:nsid w:val="C56A74DE"/>
    <w:multiLevelType w:val="multilevel"/>
    <w:tmpl w:val="C56A74D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6">
    <w:nsid w:val="C56B3183"/>
    <w:multiLevelType w:val="multilevel"/>
    <w:tmpl w:val="C56B318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7">
    <w:nsid w:val="C5A15339"/>
    <w:multiLevelType w:val="multilevel"/>
    <w:tmpl w:val="C5A1533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8">
    <w:nsid w:val="C5ADFEAE"/>
    <w:multiLevelType w:val="multilevel"/>
    <w:tmpl w:val="C5ADFEA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39">
    <w:nsid w:val="C5BE682D"/>
    <w:multiLevelType w:val="multilevel"/>
    <w:tmpl w:val="C5BE682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0">
    <w:nsid w:val="C5C268A9"/>
    <w:multiLevelType w:val="multilevel"/>
    <w:tmpl w:val="C5C268A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1">
    <w:nsid w:val="C5C503C9"/>
    <w:multiLevelType w:val="multilevel"/>
    <w:tmpl w:val="C5C503C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2">
    <w:nsid w:val="C5C82FCE"/>
    <w:multiLevelType w:val="multilevel"/>
    <w:tmpl w:val="C5C82FC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43">
    <w:nsid w:val="C62E5426"/>
    <w:multiLevelType w:val="multilevel"/>
    <w:tmpl w:val="C62E542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4">
    <w:nsid w:val="C655EF1D"/>
    <w:multiLevelType w:val="multilevel"/>
    <w:tmpl w:val="C655EF1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5">
    <w:nsid w:val="C688DAC0"/>
    <w:multiLevelType w:val="multilevel"/>
    <w:tmpl w:val="C688DAC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6">
    <w:nsid w:val="C6A9CFC6"/>
    <w:multiLevelType w:val="multilevel"/>
    <w:tmpl w:val="C6A9CFC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7">
    <w:nsid w:val="C6D38D73"/>
    <w:multiLevelType w:val="multilevel"/>
    <w:tmpl w:val="C6D38D7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8">
    <w:nsid w:val="C70147B2"/>
    <w:multiLevelType w:val="multilevel"/>
    <w:tmpl w:val="C70147B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49">
    <w:nsid w:val="C73D7B56"/>
    <w:multiLevelType w:val="multilevel"/>
    <w:tmpl w:val="C73D7B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50">
    <w:nsid w:val="C7E0A899"/>
    <w:multiLevelType w:val="multilevel"/>
    <w:tmpl w:val="C7E0A89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51">
    <w:nsid w:val="C8068F9A"/>
    <w:multiLevelType w:val="multilevel"/>
    <w:tmpl w:val="C8068F9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52">
    <w:nsid w:val="C82AED10"/>
    <w:multiLevelType w:val="singleLevel"/>
    <w:tmpl w:val="C82AED10"/>
    <w:lvl w:ilvl="0" w:tentative="0">
      <w:start w:val="1"/>
      <w:numFmt w:val="chineseCounting"/>
      <w:suff w:val="nothing"/>
      <w:lvlText w:val="（%1）"/>
      <w:lvlJc w:val="left"/>
      <w:pPr>
        <w:ind w:left="1084" w:leftChars="0" w:firstLine="0" w:firstLineChars="0"/>
      </w:pPr>
      <w:rPr>
        <w:rFonts w:hint="eastAsia"/>
      </w:rPr>
    </w:lvl>
  </w:abstractNum>
  <w:abstractNum w:abstractNumId="553">
    <w:nsid w:val="C83AAF60"/>
    <w:multiLevelType w:val="multilevel"/>
    <w:tmpl w:val="C83AAF6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54">
    <w:nsid w:val="C83F77F7"/>
    <w:multiLevelType w:val="multilevel"/>
    <w:tmpl w:val="C83F77F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55">
    <w:nsid w:val="C8879AEF"/>
    <w:multiLevelType w:val="multilevel"/>
    <w:tmpl w:val="C8879AE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56">
    <w:nsid w:val="C8889C59"/>
    <w:multiLevelType w:val="multilevel"/>
    <w:tmpl w:val="C8889C5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57">
    <w:nsid w:val="C8943CF8"/>
    <w:multiLevelType w:val="multilevel"/>
    <w:tmpl w:val="C8943CF8"/>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558">
    <w:nsid w:val="C8C24CDC"/>
    <w:multiLevelType w:val="multilevel"/>
    <w:tmpl w:val="C8C24CD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59">
    <w:nsid w:val="C8DD3975"/>
    <w:multiLevelType w:val="multilevel"/>
    <w:tmpl w:val="C8DD397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60">
    <w:nsid w:val="C8E23410"/>
    <w:multiLevelType w:val="multilevel"/>
    <w:tmpl w:val="C8E2341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61">
    <w:nsid w:val="C8F5095F"/>
    <w:multiLevelType w:val="multilevel"/>
    <w:tmpl w:val="C8F5095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62">
    <w:nsid w:val="C90D1B09"/>
    <w:multiLevelType w:val="multilevel"/>
    <w:tmpl w:val="C90D1B0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563">
    <w:nsid w:val="C91742EA"/>
    <w:multiLevelType w:val="multilevel"/>
    <w:tmpl w:val="C91742E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64">
    <w:nsid w:val="C93FD7B6"/>
    <w:multiLevelType w:val="multilevel"/>
    <w:tmpl w:val="C93FD7B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65">
    <w:nsid w:val="C9412743"/>
    <w:multiLevelType w:val="multilevel"/>
    <w:tmpl w:val="C941274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66">
    <w:nsid w:val="C95C6E0D"/>
    <w:multiLevelType w:val="multilevel"/>
    <w:tmpl w:val="C95C6E0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67">
    <w:nsid w:val="C97CE0A0"/>
    <w:multiLevelType w:val="multilevel"/>
    <w:tmpl w:val="C97CE0A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68">
    <w:nsid w:val="C9A04862"/>
    <w:multiLevelType w:val="multilevel"/>
    <w:tmpl w:val="C9A0486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69">
    <w:nsid w:val="C9A9B5D5"/>
    <w:multiLevelType w:val="multilevel"/>
    <w:tmpl w:val="C9A9B5D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70">
    <w:nsid w:val="C9C05784"/>
    <w:multiLevelType w:val="multilevel"/>
    <w:tmpl w:val="C9C0578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71">
    <w:nsid w:val="C9ED0B17"/>
    <w:multiLevelType w:val="multilevel"/>
    <w:tmpl w:val="C9ED0B1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72">
    <w:nsid w:val="CA175847"/>
    <w:multiLevelType w:val="multilevel"/>
    <w:tmpl w:val="CA17584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73">
    <w:nsid w:val="CA4B5781"/>
    <w:multiLevelType w:val="multilevel"/>
    <w:tmpl w:val="CA4B578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74">
    <w:nsid w:val="CA5323D6"/>
    <w:multiLevelType w:val="multilevel"/>
    <w:tmpl w:val="CA5323D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75">
    <w:nsid w:val="CA556884"/>
    <w:multiLevelType w:val="multilevel"/>
    <w:tmpl w:val="CA55688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76">
    <w:nsid w:val="CA7B52CE"/>
    <w:multiLevelType w:val="multilevel"/>
    <w:tmpl w:val="CA7B52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77">
    <w:nsid w:val="CA87BD4F"/>
    <w:multiLevelType w:val="multilevel"/>
    <w:tmpl w:val="CA87BD4F"/>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578">
    <w:nsid w:val="CA90BD06"/>
    <w:multiLevelType w:val="multilevel"/>
    <w:tmpl w:val="CA90BD0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79">
    <w:nsid w:val="CAFBB0D1"/>
    <w:multiLevelType w:val="multilevel"/>
    <w:tmpl w:val="CAFBB0D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80">
    <w:nsid w:val="CB091BE8"/>
    <w:multiLevelType w:val="multilevel"/>
    <w:tmpl w:val="CB091BE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81">
    <w:nsid w:val="CB0CECA5"/>
    <w:multiLevelType w:val="multilevel"/>
    <w:tmpl w:val="CB0CECA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82">
    <w:nsid w:val="CB45ABA1"/>
    <w:multiLevelType w:val="multilevel"/>
    <w:tmpl w:val="CB45AB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83">
    <w:nsid w:val="CB5F9A72"/>
    <w:multiLevelType w:val="multilevel"/>
    <w:tmpl w:val="CB5F9A7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84">
    <w:nsid w:val="CB94649F"/>
    <w:multiLevelType w:val="multilevel"/>
    <w:tmpl w:val="CB94649F"/>
    <w:lvl w:ilvl="0" w:tentative="0">
      <w:start w:val="1"/>
      <w:numFmt w:val="decimal"/>
      <w:lvlText w:val="%1."/>
      <w:lvlJc w:val="left"/>
      <w:pPr>
        <w:ind w:left="833"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3"/>
      </w:pPr>
      <w:rPr>
        <w:rFonts w:hint="default"/>
        <w:lang w:val="zh-CN" w:eastAsia="zh-CN" w:bidi="zh-CN"/>
      </w:rPr>
    </w:lvl>
    <w:lvl w:ilvl="2" w:tentative="0">
      <w:start w:val="0"/>
      <w:numFmt w:val="bullet"/>
      <w:lvlText w:val="•"/>
      <w:lvlJc w:val="left"/>
      <w:pPr>
        <w:ind w:left="2517" w:hanging="243"/>
      </w:pPr>
      <w:rPr>
        <w:rFonts w:hint="default"/>
        <w:lang w:val="zh-CN" w:eastAsia="zh-CN" w:bidi="zh-CN"/>
      </w:rPr>
    </w:lvl>
    <w:lvl w:ilvl="3" w:tentative="0">
      <w:start w:val="0"/>
      <w:numFmt w:val="bullet"/>
      <w:lvlText w:val="•"/>
      <w:lvlJc w:val="left"/>
      <w:pPr>
        <w:ind w:left="3355" w:hanging="243"/>
      </w:pPr>
      <w:rPr>
        <w:rFonts w:hint="default"/>
        <w:lang w:val="zh-CN" w:eastAsia="zh-CN" w:bidi="zh-CN"/>
      </w:rPr>
    </w:lvl>
    <w:lvl w:ilvl="4" w:tentative="0">
      <w:start w:val="0"/>
      <w:numFmt w:val="bullet"/>
      <w:lvlText w:val="•"/>
      <w:lvlJc w:val="left"/>
      <w:pPr>
        <w:ind w:left="4194" w:hanging="243"/>
      </w:pPr>
      <w:rPr>
        <w:rFonts w:hint="default"/>
        <w:lang w:val="zh-CN" w:eastAsia="zh-CN" w:bidi="zh-CN"/>
      </w:rPr>
    </w:lvl>
    <w:lvl w:ilvl="5" w:tentative="0">
      <w:start w:val="0"/>
      <w:numFmt w:val="bullet"/>
      <w:lvlText w:val="•"/>
      <w:lvlJc w:val="left"/>
      <w:pPr>
        <w:ind w:left="5033" w:hanging="243"/>
      </w:pPr>
      <w:rPr>
        <w:rFonts w:hint="default"/>
        <w:lang w:val="zh-CN" w:eastAsia="zh-CN" w:bidi="zh-CN"/>
      </w:rPr>
    </w:lvl>
    <w:lvl w:ilvl="6" w:tentative="0">
      <w:start w:val="0"/>
      <w:numFmt w:val="bullet"/>
      <w:lvlText w:val="•"/>
      <w:lvlJc w:val="left"/>
      <w:pPr>
        <w:ind w:left="5871" w:hanging="243"/>
      </w:pPr>
      <w:rPr>
        <w:rFonts w:hint="default"/>
        <w:lang w:val="zh-CN" w:eastAsia="zh-CN" w:bidi="zh-CN"/>
      </w:rPr>
    </w:lvl>
    <w:lvl w:ilvl="7" w:tentative="0">
      <w:start w:val="0"/>
      <w:numFmt w:val="bullet"/>
      <w:lvlText w:val="•"/>
      <w:lvlJc w:val="left"/>
      <w:pPr>
        <w:ind w:left="6710" w:hanging="243"/>
      </w:pPr>
      <w:rPr>
        <w:rFonts w:hint="default"/>
        <w:lang w:val="zh-CN" w:eastAsia="zh-CN" w:bidi="zh-CN"/>
      </w:rPr>
    </w:lvl>
    <w:lvl w:ilvl="8" w:tentative="0">
      <w:start w:val="0"/>
      <w:numFmt w:val="bullet"/>
      <w:lvlText w:val="•"/>
      <w:lvlJc w:val="left"/>
      <w:pPr>
        <w:ind w:left="7548" w:hanging="243"/>
      </w:pPr>
      <w:rPr>
        <w:rFonts w:hint="default"/>
        <w:lang w:val="zh-CN" w:eastAsia="zh-CN" w:bidi="zh-CN"/>
      </w:rPr>
    </w:lvl>
  </w:abstractNum>
  <w:abstractNum w:abstractNumId="585">
    <w:nsid w:val="CB9FFFD3"/>
    <w:multiLevelType w:val="multilevel"/>
    <w:tmpl w:val="CB9FFFD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86">
    <w:nsid w:val="CC158F2D"/>
    <w:multiLevelType w:val="multilevel"/>
    <w:tmpl w:val="CC158F2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87">
    <w:nsid w:val="CC18560F"/>
    <w:multiLevelType w:val="multilevel"/>
    <w:tmpl w:val="CC18560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88">
    <w:nsid w:val="CC1D41CF"/>
    <w:multiLevelType w:val="multilevel"/>
    <w:tmpl w:val="CC1D41C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89">
    <w:nsid w:val="CC2BF587"/>
    <w:multiLevelType w:val="multilevel"/>
    <w:tmpl w:val="CC2BF587"/>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590">
    <w:nsid w:val="CC60C01A"/>
    <w:multiLevelType w:val="multilevel"/>
    <w:tmpl w:val="CC60C01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91">
    <w:nsid w:val="CCAA8586"/>
    <w:multiLevelType w:val="multilevel"/>
    <w:tmpl w:val="CCAA8586"/>
    <w:lvl w:ilvl="0" w:tentative="0">
      <w:start w:val="1"/>
      <w:numFmt w:val="decimal"/>
      <w:lvlText w:val="%1."/>
      <w:lvlJc w:val="left"/>
      <w:pPr>
        <w:ind w:left="111" w:hanging="241"/>
        <w:jc w:val="left"/>
      </w:pPr>
      <w:rPr>
        <w:rFonts w:hint="default" w:ascii="宋体" w:hAnsi="宋体" w:eastAsia="宋体" w:cs="宋体"/>
        <w:spacing w:val="-39"/>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592">
    <w:nsid w:val="CCAF070D"/>
    <w:multiLevelType w:val="multilevel"/>
    <w:tmpl w:val="CCAF070D"/>
    <w:lvl w:ilvl="0" w:tentative="0">
      <w:start w:val="1"/>
      <w:numFmt w:val="decimal"/>
      <w:lvlText w:val="%1."/>
      <w:lvlJc w:val="left"/>
      <w:pPr>
        <w:ind w:left="111" w:hanging="241"/>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593">
    <w:nsid w:val="CCB7C50E"/>
    <w:multiLevelType w:val="multilevel"/>
    <w:tmpl w:val="CCB7C50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94">
    <w:nsid w:val="CD14C5F9"/>
    <w:multiLevelType w:val="multilevel"/>
    <w:tmpl w:val="CD14C5F9"/>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595">
    <w:nsid w:val="CD1B39CC"/>
    <w:multiLevelType w:val="multilevel"/>
    <w:tmpl w:val="CD1B39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596">
    <w:nsid w:val="CD28BDF9"/>
    <w:multiLevelType w:val="multilevel"/>
    <w:tmpl w:val="CD28BDF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97">
    <w:nsid w:val="CD699D1D"/>
    <w:multiLevelType w:val="multilevel"/>
    <w:tmpl w:val="CD699D1D"/>
    <w:lvl w:ilvl="0" w:tentative="0">
      <w:start w:val="1"/>
      <w:numFmt w:val="decimal"/>
      <w:lvlText w:val="（%1）"/>
      <w:lvlJc w:val="left"/>
      <w:pPr>
        <w:ind w:left="1198" w:hanging="608"/>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2002" w:hanging="608"/>
      </w:pPr>
      <w:rPr>
        <w:rFonts w:hint="default"/>
        <w:lang w:val="zh-CN" w:eastAsia="zh-CN" w:bidi="zh-CN"/>
      </w:rPr>
    </w:lvl>
    <w:lvl w:ilvl="2" w:tentative="0">
      <w:start w:val="0"/>
      <w:numFmt w:val="bullet"/>
      <w:lvlText w:val="•"/>
      <w:lvlJc w:val="left"/>
      <w:pPr>
        <w:ind w:left="2805" w:hanging="608"/>
      </w:pPr>
      <w:rPr>
        <w:rFonts w:hint="default"/>
        <w:lang w:val="zh-CN" w:eastAsia="zh-CN" w:bidi="zh-CN"/>
      </w:rPr>
    </w:lvl>
    <w:lvl w:ilvl="3" w:tentative="0">
      <w:start w:val="0"/>
      <w:numFmt w:val="bullet"/>
      <w:lvlText w:val="•"/>
      <w:lvlJc w:val="left"/>
      <w:pPr>
        <w:ind w:left="3607" w:hanging="608"/>
      </w:pPr>
      <w:rPr>
        <w:rFonts w:hint="default"/>
        <w:lang w:val="zh-CN" w:eastAsia="zh-CN" w:bidi="zh-CN"/>
      </w:rPr>
    </w:lvl>
    <w:lvl w:ilvl="4" w:tentative="0">
      <w:start w:val="0"/>
      <w:numFmt w:val="bullet"/>
      <w:lvlText w:val="•"/>
      <w:lvlJc w:val="left"/>
      <w:pPr>
        <w:ind w:left="4410" w:hanging="608"/>
      </w:pPr>
      <w:rPr>
        <w:rFonts w:hint="default"/>
        <w:lang w:val="zh-CN" w:eastAsia="zh-CN" w:bidi="zh-CN"/>
      </w:rPr>
    </w:lvl>
    <w:lvl w:ilvl="5" w:tentative="0">
      <w:start w:val="0"/>
      <w:numFmt w:val="bullet"/>
      <w:lvlText w:val="•"/>
      <w:lvlJc w:val="left"/>
      <w:pPr>
        <w:ind w:left="5213" w:hanging="608"/>
      </w:pPr>
      <w:rPr>
        <w:rFonts w:hint="default"/>
        <w:lang w:val="zh-CN" w:eastAsia="zh-CN" w:bidi="zh-CN"/>
      </w:rPr>
    </w:lvl>
    <w:lvl w:ilvl="6" w:tentative="0">
      <w:start w:val="0"/>
      <w:numFmt w:val="bullet"/>
      <w:lvlText w:val="•"/>
      <w:lvlJc w:val="left"/>
      <w:pPr>
        <w:ind w:left="6015" w:hanging="608"/>
      </w:pPr>
      <w:rPr>
        <w:rFonts w:hint="default"/>
        <w:lang w:val="zh-CN" w:eastAsia="zh-CN" w:bidi="zh-CN"/>
      </w:rPr>
    </w:lvl>
    <w:lvl w:ilvl="7" w:tentative="0">
      <w:start w:val="0"/>
      <w:numFmt w:val="bullet"/>
      <w:lvlText w:val="•"/>
      <w:lvlJc w:val="left"/>
      <w:pPr>
        <w:ind w:left="6818" w:hanging="608"/>
      </w:pPr>
      <w:rPr>
        <w:rFonts w:hint="default"/>
        <w:lang w:val="zh-CN" w:eastAsia="zh-CN" w:bidi="zh-CN"/>
      </w:rPr>
    </w:lvl>
    <w:lvl w:ilvl="8" w:tentative="0">
      <w:start w:val="0"/>
      <w:numFmt w:val="bullet"/>
      <w:lvlText w:val="•"/>
      <w:lvlJc w:val="left"/>
      <w:pPr>
        <w:ind w:left="7620" w:hanging="608"/>
      </w:pPr>
      <w:rPr>
        <w:rFonts w:hint="default"/>
        <w:lang w:val="zh-CN" w:eastAsia="zh-CN" w:bidi="zh-CN"/>
      </w:rPr>
    </w:lvl>
  </w:abstractNum>
  <w:abstractNum w:abstractNumId="598">
    <w:nsid w:val="CD9080EB"/>
    <w:multiLevelType w:val="multilevel"/>
    <w:tmpl w:val="CD9080E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599">
    <w:nsid w:val="CDA276A1"/>
    <w:multiLevelType w:val="multilevel"/>
    <w:tmpl w:val="CDA276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0">
    <w:nsid w:val="CDBA0249"/>
    <w:multiLevelType w:val="multilevel"/>
    <w:tmpl w:val="CDBA024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1">
    <w:nsid w:val="CE586AE2"/>
    <w:multiLevelType w:val="multilevel"/>
    <w:tmpl w:val="CE586AE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2">
    <w:nsid w:val="CE6FB43A"/>
    <w:multiLevelType w:val="multilevel"/>
    <w:tmpl w:val="CE6FB4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3">
    <w:nsid w:val="CE7037B4"/>
    <w:multiLevelType w:val="multilevel"/>
    <w:tmpl w:val="CE7037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4">
    <w:nsid w:val="CF092B84"/>
    <w:multiLevelType w:val="multilevel"/>
    <w:tmpl w:val="CF092B8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605">
    <w:nsid w:val="CF10C1A1"/>
    <w:multiLevelType w:val="multilevel"/>
    <w:tmpl w:val="CF10C1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6">
    <w:nsid w:val="CF775F49"/>
    <w:multiLevelType w:val="multilevel"/>
    <w:tmpl w:val="CF775F4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7">
    <w:nsid w:val="CF926A83"/>
    <w:multiLevelType w:val="multilevel"/>
    <w:tmpl w:val="CF926A8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8">
    <w:nsid w:val="CFA508D2"/>
    <w:multiLevelType w:val="multilevel"/>
    <w:tmpl w:val="CFA508D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09">
    <w:nsid w:val="CFB1A9D2"/>
    <w:multiLevelType w:val="multilevel"/>
    <w:tmpl w:val="CFB1A9D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0">
    <w:nsid w:val="CFE59907"/>
    <w:multiLevelType w:val="multilevel"/>
    <w:tmpl w:val="CFE5990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1">
    <w:nsid w:val="CFE6FE93"/>
    <w:multiLevelType w:val="multilevel"/>
    <w:tmpl w:val="CFE6FE9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2">
    <w:nsid w:val="D022FEA2"/>
    <w:multiLevelType w:val="multilevel"/>
    <w:tmpl w:val="D022FEA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3">
    <w:nsid w:val="D03BB483"/>
    <w:multiLevelType w:val="multilevel"/>
    <w:tmpl w:val="D03BB48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4">
    <w:nsid w:val="D06E7AE1"/>
    <w:multiLevelType w:val="multilevel"/>
    <w:tmpl w:val="D06E7AE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5">
    <w:nsid w:val="D0A2D8CB"/>
    <w:multiLevelType w:val="multilevel"/>
    <w:tmpl w:val="D0A2D8C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6">
    <w:nsid w:val="D0C19ACC"/>
    <w:multiLevelType w:val="multilevel"/>
    <w:tmpl w:val="D0C19AC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17">
    <w:nsid w:val="D0CEF580"/>
    <w:multiLevelType w:val="multilevel"/>
    <w:tmpl w:val="D0CEF58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8">
    <w:nsid w:val="D10D8031"/>
    <w:multiLevelType w:val="multilevel"/>
    <w:tmpl w:val="D10D803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19">
    <w:nsid w:val="D14D3FF1"/>
    <w:multiLevelType w:val="multilevel"/>
    <w:tmpl w:val="D14D3F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20">
    <w:nsid w:val="D1508C12"/>
    <w:multiLevelType w:val="multilevel"/>
    <w:tmpl w:val="D1508C1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21">
    <w:nsid w:val="D151A6E6"/>
    <w:multiLevelType w:val="multilevel"/>
    <w:tmpl w:val="D151A6E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22">
    <w:nsid w:val="D1723FD0"/>
    <w:multiLevelType w:val="multilevel"/>
    <w:tmpl w:val="D1723FD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23">
    <w:nsid w:val="D17CD76F"/>
    <w:multiLevelType w:val="multilevel"/>
    <w:tmpl w:val="D17CD76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24">
    <w:nsid w:val="D1817A99"/>
    <w:multiLevelType w:val="multilevel"/>
    <w:tmpl w:val="D1817A9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25">
    <w:nsid w:val="D1A79140"/>
    <w:multiLevelType w:val="multilevel"/>
    <w:tmpl w:val="D1A791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26">
    <w:nsid w:val="D1D67CF7"/>
    <w:multiLevelType w:val="multilevel"/>
    <w:tmpl w:val="D1D67CF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27">
    <w:nsid w:val="D1EB1714"/>
    <w:multiLevelType w:val="multilevel"/>
    <w:tmpl w:val="D1EB171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628">
    <w:nsid w:val="D215047D"/>
    <w:multiLevelType w:val="multilevel"/>
    <w:tmpl w:val="D21504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29">
    <w:nsid w:val="D2223758"/>
    <w:multiLevelType w:val="multilevel"/>
    <w:tmpl w:val="D222375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0">
    <w:nsid w:val="D23AE8D9"/>
    <w:multiLevelType w:val="multilevel"/>
    <w:tmpl w:val="D23AE8D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1">
    <w:nsid w:val="D27F840B"/>
    <w:multiLevelType w:val="multilevel"/>
    <w:tmpl w:val="D27F840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2">
    <w:nsid w:val="D288C6CE"/>
    <w:multiLevelType w:val="multilevel"/>
    <w:tmpl w:val="D288C6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3">
    <w:nsid w:val="D2B2DAFD"/>
    <w:multiLevelType w:val="multilevel"/>
    <w:tmpl w:val="D2B2DAF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4">
    <w:nsid w:val="D2FB79C3"/>
    <w:multiLevelType w:val="multilevel"/>
    <w:tmpl w:val="D2FB79C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5">
    <w:nsid w:val="D2FC656E"/>
    <w:multiLevelType w:val="multilevel"/>
    <w:tmpl w:val="D2FC656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6">
    <w:nsid w:val="D330E0CC"/>
    <w:multiLevelType w:val="multilevel"/>
    <w:tmpl w:val="D330E0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7">
    <w:nsid w:val="D33C2F10"/>
    <w:multiLevelType w:val="multilevel"/>
    <w:tmpl w:val="D33C2F1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38">
    <w:nsid w:val="D35B62D0"/>
    <w:multiLevelType w:val="multilevel"/>
    <w:tmpl w:val="D35B62D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39">
    <w:nsid w:val="D3A3AA82"/>
    <w:multiLevelType w:val="multilevel"/>
    <w:tmpl w:val="D3A3AA8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0">
    <w:nsid w:val="D4025C6C"/>
    <w:multiLevelType w:val="multilevel"/>
    <w:tmpl w:val="D4025C6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41">
    <w:nsid w:val="D41F42EB"/>
    <w:multiLevelType w:val="multilevel"/>
    <w:tmpl w:val="D41F42E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2">
    <w:nsid w:val="D42187FE"/>
    <w:multiLevelType w:val="multilevel"/>
    <w:tmpl w:val="D42187F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3">
    <w:nsid w:val="D43B90B4"/>
    <w:multiLevelType w:val="multilevel"/>
    <w:tmpl w:val="D43B90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4">
    <w:nsid w:val="D4471BD8"/>
    <w:multiLevelType w:val="multilevel"/>
    <w:tmpl w:val="D4471BD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5">
    <w:nsid w:val="D45C7215"/>
    <w:multiLevelType w:val="multilevel"/>
    <w:tmpl w:val="D45C72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6">
    <w:nsid w:val="D476509B"/>
    <w:multiLevelType w:val="multilevel"/>
    <w:tmpl w:val="D476509B"/>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647">
    <w:nsid w:val="D481363A"/>
    <w:multiLevelType w:val="multilevel"/>
    <w:tmpl w:val="D48136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8">
    <w:nsid w:val="D4A0BCBC"/>
    <w:multiLevelType w:val="multilevel"/>
    <w:tmpl w:val="D4A0BCB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49">
    <w:nsid w:val="D4B28100"/>
    <w:multiLevelType w:val="multilevel"/>
    <w:tmpl w:val="D4B281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50">
    <w:nsid w:val="D4E7624C"/>
    <w:multiLevelType w:val="multilevel"/>
    <w:tmpl w:val="D4E7624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51">
    <w:nsid w:val="D501340A"/>
    <w:multiLevelType w:val="multilevel"/>
    <w:tmpl w:val="D501340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52">
    <w:nsid w:val="D51325A1"/>
    <w:multiLevelType w:val="multilevel"/>
    <w:tmpl w:val="D51325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53">
    <w:nsid w:val="D54127EC"/>
    <w:multiLevelType w:val="multilevel"/>
    <w:tmpl w:val="D54127EC"/>
    <w:lvl w:ilvl="0" w:tentative="0">
      <w:start w:val="1"/>
      <w:numFmt w:val="decimal"/>
      <w:lvlText w:val="（%1）"/>
      <w:lvlJc w:val="left"/>
      <w:pPr>
        <w:ind w:left="118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84" w:hanging="601"/>
      </w:pPr>
      <w:rPr>
        <w:rFonts w:hint="default"/>
        <w:lang w:val="zh-CN" w:eastAsia="zh-CN" w:bidi="zh-CN"/>
      </w:rPr>
    </w:lvl>
    <w:lvl w:ilvl="2" w:tentative="0">
      <w:start w:val="0"/>
      <w:numFmt w:val="bullet"/>
      <w:lvlText w:val="•"/>
      <w:lvlJc w:val="left"/>
      <w:pPr>
        <w:ind w:left="2789" w:hanging="601"/>
      </w:pPr>
      <w:rPr>
        <w:rFonts w:hint="default"/>
        <w:lang w:val="zh-CN" w:eastAsia="zh-CN" w:bidi="zh-CN"/>
      </w:rPr>
    </w:lvl>
    <w:lvl w:ilvl="3" w:tentative="0">
      <w:start w:val="0"/>
      <w:numFmt w:val="bullet"/>
      <w:lvlText w:val="•"/>
      <w:lvlJc w:val="left"/>
      <w:pPr>
        <w:ind w:left="3593" w:hanging="601"/>
      </w:pPr>
      <w:rPr>
        <w:rFonts w:hint="default"/>
        <w:lang w:val="zh-CN" w:eastAsia="zh-CN" w:bidi="zh-CN"/>
      </w:rPr>
    </w:lvl>
    <w:lvl w:ilvl="4" w:tentative="0">
      <w:start w:val="0"/>
      <w:numFmt w:val="bullet"/>
      <w:lvlText w:val="•"/>
      <w:lvlJc w:val="left"/>
      <w:pPr>
        <w:ind w:left="4398"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007" w:hanging="601"/>
      </w:pPr>
      <w:rPr>
        <w:rFonts w:hint="default"/>
        <w:lang w:val="zh-CN" w:eastAsia="zh-CN" w:bidi="zh-CN"/>
      </w:rPr>
    </w:lvl>
    <w:lvl w:ilvl="7" w:tentative="0">
      <w:start w:val="0"/>
      <w:numFmt w:val="bullet"/>
      <w:lvlText w:val="•"/>
      <w:lvlJc w:val="left"/>
      <w:pPr>
        <w:ind w:left="6812" w:hanging="601"/>
      </w:pPr>
      <w:rPr>
        <w:rFonts w:hint="default"/>
        <w:lang w:val="zh-CN" w:eastAsia="zh-CN" w:bidi="zh-CN"/>
      </w:rPr>
    </w:lvl>
    <w:lvl w:ilvl="8" w:tentative="0">
      <w:start w:val="0"/>
      <w:numFmt w:val="bullet"/>
      <w:lvlText w:val="•"/>
      <w:lvlJc w:val="left"/>
      <w:pPr>
        <w:ind w:left="7616" w:hanging="601"/>
      </w:pPr>
      <w:rPr>
        <w:rFonts w:hint="default"/>
        <w:lang w:val="zh-CN" w:eastAsia="zh-CN" w:bidi="zh-CN"/>
      </w:rPr>
    </w:lvl>
  </w:abstractNum>
  <w:abstractNum w:abstractNumId="654">
    <w:nsid w:val="D595572F"/>
    <w:multiLevelType w:val="multilevel"/>
    <w:tmpl w:val="D595572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55">
    <w:nsid w:val="D5E18EE7"/>
    <w:multiLevelType w:val="multilevel"/>
    <w:tmpl w:val="D5E18EE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56">
    <w:nsid w:val="D5F12F34"/>
    <w:multiLevelType w:val="multilevel"/>
    <w:tmpl w:val="D5F12F3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657">
    <w:nsid w:val="D62E5F16"/>
    <w:multiLevelType w:val="multilevel"/>
    <w:tmpl w:val="D62E5F1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58">
    <w:nsid w:val="D6301C8D"/>
    <w:multiLevelType w:val="multilevel"/>
    <w:tmpl w:val="D6301C8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59">
    <w:nsid w:val="D6508B03"/>
    <w:multiLevelType w:val="multilevel"/>
    <w:tmpl w:val="D6508B0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60">
    <w:nsid w:val="D65B435F"/>
    <w:multiLevelType w:val="multilevel"/>
    <w:tmpl w:val="D65B435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61">
    <w:nsid w:val="D6641F00"/>
    <w:multiLevelType w:val="multilevel"/>
    <w:tmpl w:val="D6641F0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62">
    <w:nsid w:val="D6AD184E"/>
    <w:multiLevelType w:val="multilevel"/>
    <w:tmpl w:val="D6AD184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63">
    <w:nsid w:val="D7164B18"/>
    <w:multiLevelType w:val="multilevel"/>
    <w:tmpl w:val="D7164B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64">
    <w:nsid w:val="D73C6DA0"/>
    <w:multiLevelType w:val="multilevel"/>
    <w:tmpl w:val="D73C6D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65">
    <w:nsid w:val="D772C73B"/>
    <w:multiLevelType w:val="multilevel"/>
    <w:tmpl w:val="D772C73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66">
    <w:nsid w:val="D777E1D4"/>
    <w:multiLevelType w:val="multilevel"/>
    <w:tmpl w:val="D777E1D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67">
    <w:nsid w:val="D7936317"/>
    <w:multiLevelType w:val="multilevel"/>
    <w:tmpl w:val="D793631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68">
    <w:nsid w:val="D7947C3B"/>
    <w:multiLevelType w:val="multilevel"/>
    <w:tmpl w:val="D7947C3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69">
    <w:nsid w:val="D7C251C7"/>
    <w:multiLevelType w:val="multilevel"/>
    <w:tmpl w:val="D7C251C7"/>
    <w:lvl w:ilvl="0" w:tentative="0">
      <w:start w:val="1"/>
      <w:numFmt w:val="decimal"/>
      <w:lvlText w:val="%1."/>
      <w:lvlJc w:val="left"/>
      <w:pPr>
        <w:ind w:left="772" w:hanging="181"/>
        <w:jc w:val="left"/>
      </w:pPr>
      <w:rPr>
        <w:rFonts w:hint="default"/>
        <w:w w:val="100"/>
        <w:lang w:val="zh-CN" w:eastAsia="zh-CN" w:bidi="zh-CN"/>
      </w:rPr>
    </w:lvl>
    <w:lvl w:ilvl="1" w:tentative="0">
      <w:start w:val="0"/>
      <w:numFmt w:val="bullet"/>
      <w:lvlText w:val="•"/>
      <w:lvlJc w:val="left"/>
      <w:pPr>
        <w:ind w:left="1624" w:hanging="181"/>
      </w:pPr>
      <w:rPr>
        <w:rFonts w:hint="default"/>
        <w:lang w:val="zh-CN" w:eastAsia="zh-CN" w:bidi="zh-CN"/>
      </w:rPr>
    </w:lvl>
    <w:lvl w:ilvl="2" w:tentative="0">
      <w:start w:val="0"/>
      <w:numFmt w:val="bullet"/>
      <w:lvlText w:val="•"/>
      <w:lvlJc w:val="left"/>
      <w:pPr>
        <w:ind w:left="2469" w:hanging="181"/>
      </w:pPr>
      <w:rPr>
        <w:rFonts w:hint="default"/>
        <w:lang w:val="zh-CN" w:eastAsia="zh-CN" w:bidi="zh-CN"/>
      </w:rPr>
    </w:lvl>
    <w:lvl w:ilvl="3" w:tentative="0">
      <w:start w:val="0"/>
      <w:numFmt w:val="bullet"/>
      <w:lvlText w:val="•"/>
      <w:lvlJc w:val="left"/>
      <w:pPr>
        <w:ind w:left="3313" w:hanging="181"/>
      </w:pPr>
      <w:rPr>
        <w:rFonts w:hint="default"/>
        <w:lang w:val="zh-CN" w:eastAsia="zh-CN" w:bidi="zh-CN"/>
      </w:rPr>
    </w:lvl>
    <w:lvl w:ilvl="4" w:tentative="0">
      <w:start w:val="0"/>
      <w:numFmt w:val="bullet"/>
      <w:lvlText w:val="•"/>
      <w:lvlJc w:val="left"/>
      <w:pPr>
        <w:ind w:left="4158" w:hanging="181"/>
      </w:pPr>
      <w:rPr>
        <w:rFonts w:hint="default"/>
        <w:lang w:val="zh-CN" w:eastAsia="zh-CN" w:bidi="zh-CN"/>
      </w:rPr>
    </w:lvl>
    <w:lvl w:ilvl="5" w:tentative="0">
      <w:start w:val="0"/>
      <w:numFmt w:val="bullet"/>
      <w:lvlText w:val="•"/>
      <w:lvlJc w:val="left"/>
      <w:pPr>
        <w:ind w:left="5003" w:hanging="181"/>
      </w:pPr>
      <w:rPr>
        <w:rFonts w:hint="default"/>
        <w:lang w:val="zh-CN" w:eastAsia="zh-CN" w:bidi="zh-CN"/>
      </w:rPr>
    </w:lvl>
    <w:lvl w:ilvl="6" w:tentative="0">
      <w:start w:val="0"/>
      <w:numFmt w:val="bullet"/>
      <w:lvlText w:val="•"/>
      <w:lvlJc w:val="left"/>
      <w:pPr>
        <w:ind w:left="5847" w:hanging="181"/>
      </w:pPr>
      <w:rPr>
        <w:rFonts w:hint="default"/>
        <w:lang w:val="zh-CN" w:eastAsia="zh-CN" w:bidi="zh-CN"/>
      </w:rPr>
    </w:lvl>
    <w:lvl w:ilvl="7" w:tentative="0">
      <w:start w:val="0"/>
      <w:numFmt w:val="bullet"/>
      <w:lvlText w:val="•"/>
      <w:lvlJc w:val="left"/>
      <w:pPr>
        <w:ind w:left="6692" w:hanging="181"/>
      </w:pPr>
      <w:rPr>
        <w:rFonts w:hint="default"/>
        <w:lang w:val="zh-CN" w:eastAsia="zh-CN" w:bidi="zh-CN"/>
      </w:rPr>
    </w:lvl>
    <w:lvl w:ilvl="8" w:tentative="0">
      <w:start w:val="0"/>
      <w:numFmt w:val="bullet"/>
      <w:lvlText w:val="•"/>
      <w:lvlJc w:val="left"/>
      <w:pPr>
        <w:ind w:left="7536" w:hanging="181"/>
      </w:pPr>
      <w:rPr>
        <w:rFonts w:hint="default"/>
        <w:lang w:val="zh-CN" w:eastAsia="zh-CN" w:bidi="zh-CN"/>
      </w:rPr>
    </w:lvl>
  </w:abstractNum>
  <w:abstractNum w:abstractNumId="670">
    <w:nsid w:val="D7D140E4"/>
    <w:multiLevelType w:val="multilevel"/>
    <w:tmpl w:val="D7D140E4"/>
    <w:lvl w:ilvl="0" w:tentative="0">
      <w:start w:val="1"/>
      <w:numFmt w:val="decimal"/>
      <w:lvlText w:val="%1."/>
      <w:lvlJc w:val="left"/>
      <w:pPr>
        <w:ind w:left="111" w:hanging="241"/>
        <w:jc w:val="left"/>
      </w:pPr>
      <w:rPr>
        <w:rFonts w:hint="default" w:ascii="宋体" w:hAnsi="宋体" w:eastAsia="宋体" w:cs="宋体"/>
        <w:spacing w:val="-39"/>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671">
    <w:nsid w:val="D7D50C15"/>
    <w:multiLevelType w:val="multilevel"/>
    <w:tmpl w:val="D7D50C1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72">
    <w:nsid w:val="D7F9FE59"/>
    <w:multiLevelType w:val="multilevel"/>
    <w:tmpl w:val="D7F9FE5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673">
    <w:nsid w:val="D802670E"/>
    <w:multiLevelType w:val="multilevel"/>
    <w:tmpl w:val="D802670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74">
    <w:nsid w:val="D80357FD"/>
    <w:multiLevelType w:val="multilevel"/>
    <w:tmpl w:val="D80357F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75">
    <w:nsid w:val="D806EEAC"/>
    <w:multiLevelType w:val="multilevel"/>
    <w:tmpl w:val="D806EEA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76">
    <w:nsid w:val="D824849B"/>
    <w:multiLevelType w:val="multilevel"/>
    <w:tmpl w:val="D824849B"/>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677">
    <w:nsid w:val="D82E1FFF"/>
    <w:multiLevelType w:val="multilevel"/>
    <w:tmpl w:val="D82E1FF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78">
    <w:nsid w:val="D852E51F"/>
    <w:multiLevelType w:val="multilevel"/>
    <w:tmpl w:val="D852E51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79">
    <w:nsid w:val="D8728C17"/>
    <w:multiLevelType w:val="multilevel"/>
    <w:tmpl w:val="D8728C1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80">
    <w:nsid w:val="D8E1A49F"/>
    <w:multiLevelType w:val="multilevel"/>
    <w:tmpl w:val="D8E1A49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81">
    <w:nsid w:val="D8F42C8D"/>
    <w:multiLevelType w:val="multilevel"/>
    <w:tmpl w:val="D8F42C8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82">
    <w:nsid w:val="D92065A2"/>
    <w:multiLevelType w:val="multilevel"/>
    <w:tmpl w:val="D92065A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83">
    <w:nsid w:val="D9302AED"/>
    <w:multiLevelType w:val="singleLevel"/>
    <w:tmpl w:val="D9302AED"/>
    <w:lvl w:ilvl="0" w:tentative="0">
      <w:start w:val="2"/>
      <w:numFmt w:val="chineseCounting"/>
      <w:suff w:val="nothing"/>
      <w:lvlText w:val="（%1）"/>
      <w:lvlJc w:val="left"/>
      <w:rPr>
        <w:rFonts w:hint="eastAsia"/>
      </w:rPr>
    </w:lvl>
  </w:abstractNum>
  <w:abstractNum w:abstractNumId="684">
    <w:nsid w:val="D939EFF5"/>
    <w:multiLevelType w:val="multilevel"/>
    <w:tmpl w:val="D939EFF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85">
    <w:nsid w:val="D9E8264D"/>
    <w:multiLevelType w:val="multilevel"/>
    <w:tmpl w:val="D9E8264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86">
    <w:nsid w:val="DAD3A854"/>
    <w:multiLevelType w:val="multilevel"/>
    <w:tmpl w:val="DAD3A854"/>
    <w:lvl w:ilvl="0" w:tentative="0">
      <w:start w:val="1"/>
      <w:numFmt w:val="decimal"/>
      <w:lvlText w:val="%1."/>
      <w:lvlJc w:val="left"/>
      <w:pPr>
        <w:ind w:left="111" w:hanging="241"/>
        <w:jc w:val="left"/>
      </w:pPr>
      <w:rPr>
        <w:rFonts w:hint="default" w:ascii="宋体" w:hAnsi="宋体" w:eastAsia="宋体" w:cs="宋体"/>
        <w:spacing w:val="-53"/>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687">
    <w:nsid w:val="DADEF5D5"/>
    <w:multiLevelType w:val="singleLevel"/>
    <w:tmpl w:val="DADEF5D5"/>
    <w:lvl w:ilvl="0" w:tentative="0">
      <w:start w:val="1"/>
      <w:numFmt w:val="chineseCounting"/>
      <w:suff w:val="nothing"/>
      <w:lvlText w:val="（%1）"/>
      <w:lvlJc w:val="left"/>
      <w:pPr>
        <w:ind w:left="963" w:leftChars="0" w:firstLine="0" w:firstLineChars="0"/>
      </w:pPr>
      <w:rPr>
        <w:rFonts w:hint="eastAsia"/>
      </w:rPr>
    </w:lvl>
  </w:abstractNum>
  <w:abstractNum w:abstractNumId="688">
    <w:nsid w:val="DAE62134"/>
    <w:multiLevelType w:val="multilevel"/>
    <w:tmpl w:val="DAE6213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89">
    <w:nsid w:val="DAF63FD3"/>
    <w:multiLevelType w:val="multilevel"/>
    <w:tmpl w:val="DAF63FD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0">
    <w:nsid w:val="DB234836"/>
    <w:multiLevelType w:val="multilevel"/>
    <w:tmpl w:val="DB2348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1">
    <w:nsid w:val="DB25337C"/>
    <w:multiLevelType w:val="multilevel"/>
    <w:tmpl w:val="DB25337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2">
    <w:nsid w:val="DB2ACBCE"/>
    <w:multiLevelType w:val="multilevel"/>
    <w:tmpl w:val="DB2ACB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3">
    <w:nsid w:val="DB2C5634"/>
    <w:multiLevelType w:val="multilevel"/>
    <w:tmpl w:val="DB2C563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4">
    <w:nsid w:val="DB553DB7"/>
    <w:multiLevelType w:val="multilevel"/>
    <w:tmpl w:val="DB553DB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695">
    <w:nsid w:val="DB5586F3"/>
    <w:multiLevelType w:val="multilevel"/>
    <w:tmpl w:val="DB5586F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6">
    <w:nsid w:val="DB559CFC"/>
    <w:multiLevelType w:val="multilevel"/>
    <w:tmpl w:val="DB559C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7">
    <w:nsid w:val="DB650698"/>
    <w:multiLevelType w:val="multilevel"/>
    <w:tmpl w:val="DB650698"/>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698">
    <w:nsid w:val="DB7C37FB"/>
    <w:multiLevelType w:val="multilevel"/>
    <w:tmpl w:val="DB7C37F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699">
    <w:nsid w:val="DBC4EE5E"/>
    <w:multiLevelType w:val="multilevel"/>
    <w:tmpl w:val="DBC4EE5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700">
    <w:nsid w:val="DBD2827F"/>
    <w:multiLevelType w:val="multilevel"/>
    <w:tmpl w:val="DBD2827F"/>
    <w:lvl w:ilvl="0" w:tentative="0">
      <w:start w:val="1"/>
      <w:numFmt w:val="decimal"/>
      <w:lvlText w:val="%1."/>
      <w:lvlJc w:val="left"/>
      <w:pPr>
        <w:ind w:left="111" w:hanging="24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701">
    <w:nsid w:val="DC0508EF"/>
    <w:multiLevelType w:val="multilevel"/>
    <w:tmpl w:val="DC0508E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02">
    <w:nsid w:val="DC2CACCA"/>
    <w:multiLevelType w:val="multilevel"/>
    <w:tmpl w:val="DC2CAC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03">
    <w:nsid w:val="DCBA6B53"/>
    <w:multiLevelType w:val="multilevel"/>
    <w:tmpl w:val="DCBA6B53"/>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704">
    <w:nsid w:val="DCCD2F72"/>
    <w:multiLevelType w:val="multilevel"/>
    <w:tmpl w:val="DCCD2F7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05">
    <w:nsid w:val="DCE739D2"/>
    <w:multiLevelType w:val="multilevel"/>
    <w:tmpl w:val="DCE739D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06">
    <w:nsid w:val="DD02F921"/>
    <w:multiLevelType w:val="multilevel"/>
    <w:tmpl w:val="DD02F92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07">
    <w:nsid w:val="DD17FAF1"/>
    <w:multiLevelType w:val="multilevel"/>
    <w:tmpl w:val="DD17FA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08">
    <w:nsid w:val="DD3DB379"/>
    <w:multiLevelType w:val="multilevel"/>
    <w:tmpl w:val="DD3DB37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09">
    <w:nsid w:val="DD3DC48D"/>
    <w:multiLevelType w:val="multilevel"/>
    <w:tmpl w:val="DD3DC48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0">
    <w:nsid w:val="DD474A30"/>
    <w:multiLevelType w:val="multilevel"/>
    <w:tmpl w:val="DD474A3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1">
    <w:nsid w:val="DD7CDFF5"/>
    <w:multiLevelType w:val="multilevel"/>
    <w:tmpl w:val="DD7CDFF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2">
    <w:nsid w:val="DDD160AB"/>
    <w:multiLevelType w:val="multilevel"/>
    <w:tmpl w:val="DDD160A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3">
    <w:nsid w:val="DDD1C140"/>
    <w:multiLevelType w:val="multilevel"/>
    <w:tmpl w:val="DDD1C1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4">
    <w:nsid w:val="DDEC22BA"/>
    <w:multiLevelType w:val="multilevel"/>
    <w:tmpl w:val="DDEC22B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715">
    <w:nsid w:val="DE6D3B5D"/>
    <w:multiLevelType w:val="multilevel"/>
    <w:tmpl w:val="DE6D3B5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6">
    <w:nsid w:val="DE90EF5D"/>
    <w:multiLevelType w:val="multilevel"/>
    <w:tmpl w:val="DE90EF5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7">
    <w:nsid w:val="DE9385D2"/>
    <w:multiLevelType w:val="multilevel"/>
    <w:tmpl w:val="DE9385D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8">
    <w:nsid w:val="DEA50F67"/>
    <w:multiLevelType w:val="multilevel"/>
    <w:tmpl w:val="DEA50F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19">
    <w:nsid w:val="DEBCA2DA"/>
    <w:multiLevelType w:val="multilevel"/>
    <w:tmpl w:val="DEBCA2D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0">
    <w:nsid w:val="DED44C4A"/>
    <w:multiLevelType w:val="multilevel"/>
    <w:tmpl w:val="DED44C4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1">
    <w:nsid w:val="DF325FA1"/>
    <w:multiLevelType w:val="multilevel"/>
    <w:tmpl w:val="DF325F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2">
    <w:nsid w:val="DF48F1D4"/>
    <w:multiLevelType w:val="multilevel"/>
    <w:tmpl w:val="DF48F1D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3">
    <w:nsid w:val="DF9A5126"/>
    <w:multiLevelType w:val="multilevel"/>
    <w:tmpl w:val="DF9A512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4">
    <w:nsid w:val="E011375A"/>
    <w:multiLevelType w:val="multilevel"/>
    <w:tmpl w:val="E011375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5">
    <w:nsid w:val="E0239804"/>
    <w:multiLevelType w:val="multilevel"/>
    <w:tmpl w:val="E023980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6">
    <w:nsid w:val="E0294EC7"/>
    <w:multiLevelType w:val="multilevel"/>
    <w:tmpl w:val="E0294EC7"/>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727">
    <w:nsid w:val="E04DA218"/>
    <w:multiLevelType w:val="multilevel"/>
    <w:tmpl w:val="E04DA2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8">
    <w:nsid w:val="E07A4F0E"/>
    <w:multiLevelType w:val="multilevel"/>
    <w:tmpl w:val="E07A4F0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29">
    <w:nsid w:val="E093A4B0"/>
    <w:multiLevelType w:val="multilevel"/>
    <w:tmpl w:val="E093A4B0"/>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730">
    <w:nsid w:val="E0DB47F9"/>
    <w:multiLevelType w:val="multilevel"/>
    <w:tmpl w:val="E0DB47F9"/>
    <w:lvl w:ilvl="0" w:tentative="0">
      <w:start w:val="2"/>
      <w:numFmt w:val="decimal"/>
      <w:lvlText w:val="（%1）"/>
      <w:lvlJc w:val="left"/>
      <w:pPr>
        <w:ind w:left="1189"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1353"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234" w:hanging="601"/>
      </w:pPr>
      <w:rPr>
        <w:rFonts w:hint="default"/>
        <w:lang w:val="zh-CN" w:eastAsia="zh-CN" w:bidi="zh-CN"/>
      </w:rPr>
    </w:lvl>
    <w:lvl w:ilvl="3" w:tentative="0">
      <w:start w:val="0"/>
      <w:numFmt w:val="bullet"/>
      <w:lvlText w:val="•"/>
      <w:lvlJc w:val="left"/>
      <w:pPr>
        <w:ind w:left="3108" w:hanging="601"/>
      </w:pPr>
      <w:rPr>
        <w:rFonts w:hint="default"/>
        <w:lang w:val="zh-CN" w:eastAsia="zh-CN" w:bidi="zh-CN"/>
      </w:rPr>
    </w:lvl>
    <w:lvl w:ilvl="4" w:tentative="0">
      <w:start w:val="0"/>
      <w:numFmt w:val="bullet"/>
      <w:lvlText w:val="•"/>
      <w:lvlJc w:val="left"/>
      <w:pPr>
        <w:ind w:left="3982" w:hanging="601"/>
      </w:pPr>
      <w:rPr>
        <w:rFonts w:hint="default"/>
        <w:lang w:val="zh-CN" w:eastAsia="zh-CN" w:bidi="zh-CN"/>
      </w:rPr>
    </w:lvl>
    <w:lvl w:ilvl="5" w:tentative="0">
      <w:start w:val="0"/>
      <w:numFmt w:val="bullet"/>
      <w:lvlText w:val="•"/>
      <w:lvlJc w:val="left"/>
      <w:pPr>
        <w:ind w:left="4856" w:hanging="601"/>
      </w:pPr>
      <w:rPr>
        <w:rFonts w:hint="default"/>
        <w:lang w:val="zh-CN" w:eastAsia="zh-CN" w:bidi="zh-CN"/>
      </w:rPr>
    </w:lvl>
    <w:lvl w:ilvl="6" w:tentative="0">
      <w:start w:val="0"/>
      <w:numFmt w:val="bullet"/>
      <w:lvlText w:val="•"/>
      <w:lvlJc w:val="left"/>
      <w:pPr>
        <w:ind w:left="5730" w:hanging="601"/>
      </w:pPr>
      <w:rPr>
        <w:rFonts w:hint="default"/>
        <w:lang w:val="zh-CN" w:eastAsia="zh-CN" w:bidi="zh-CN"/>
      </w:rPr>
    </w:lvl>
    <w:lvl w:ilvl="7" w:tentative="0">
      <w:start w:val="0"/>
      <w:numFmt w:val="bullet"/>
      <w:lvlText w:val="•"/>
      <w:lvlJc w:val="left"/>
      <w:pPr>
        <w:ind w:left="6604" w:hanging="601"/>
      </w:pPr>
      <w:rPr>
        <w:rFonts w:hint="default"/>
        <w:lang w:val="zh-CN" w:eastAsia="zh-CN" w:bidi="zh-CN"/>
      </w:rPr>
    </w:lvl>
    <w:lvl w:ilvl="8" w:tentative="0">
      <w:start w:val="0"/>
      <w:numFmt w:val="bullet"/>
      <w:lvlText w:val="•"/>
      <w:lvlJc w:val="left"/>
      <w:pPr>
        <w:ind w:left="7478" w:hanging="601"/>
      </w:pPr>
      <w:rPr>
        <w:rFonts w:hint="default"/>
        <w:lang w:val="zh-CN" w:eastAsia="zh-CN" w:bidi="zh-CN"/>
      </w:rPr>
    </w:lvl>
  </w:abstractNum>
  <w:abstractNum w:abstractNumId="731">
    <w:nsid w:val="E0EED142"/>
    <w:multiLevelType w:val="multilevel"/>
    <w:tmpl w:val="E0EED14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32">
    <w:nsid w:val="E1094838"/>
    <w:multiLevelType w:val="multilevel"/>
    <w:tmpl w:val="E109483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33">
    <w:nsid w:val="E170F862"/>
    <w:multiLevelType w:val="multilevel"/>
    <w:tmpl w:val="E170F862"/>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734">
    <w:nsid w:val="E17CFA08"/>
    <w:multiLevelType w:val="multilevel"/>
    <w:tmpl w:val="E17CFA0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35">
    <w:nsid w:val="E18C0F79"/>
    <w:multiLevelType w:val="multilevel"/>
    <w:tmpl w:val="E18C0F7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36">
    <w:nsid w:val="E19C23B8"/>
    <w:multiLevelType w:val="multilevel"/>
    <w:tmpl w:val="E19C23B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37">
    <w:nsid w:val="E1B86A3A"/>
    <w:multiLevelType w:val="multilevel"/>
    <w:tmpl w:val="E1B86A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38">
    <w:nsid w:val="E1C8CEC3"/>
    <w:multiLevelType w:val="multilevel"/>
    <w:tmpl w:val="E1C8CEC3"/>
    <w:lvl w:ilvl="0" w:tentative="0">
      <w:start w:val="1"/>
      <w:numFmt w:val="decimal"/>
      <w:lvlText w:val="%1."/>
      <w:lvlJc w:val="left"/>
      <w:pPr>
        <w:ind w:left="832"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739">
    <w:nsid w:val="E254E003"/>
    <w:multiLevelType w:val="multilevel"/>
    <w:tmpl w:val="E254E00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0">
    <w:nsid w:val="E29EF19C"/>
    <w:multiLevelType w:val="multilevel"/>
    <w:tmpl w:val="E29EF19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1">
    <w:nsid w:val="E2A7A4B4"/>
    <w:multiLevelType w:val="multilevel"/>
    <w:tmpl w:val="E2A7A4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2">
    <w:nsid w:val="E3241836"/>
    <w:multiLevelType w:val="multilevel"/>
    <w:tmpl w:val="E32418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3">
    <w:nsid w:val="E334C29D"/>
    <w:multiLevelType w:val="multilevel"/>
    <w:tmpl w:val="E334C29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4">
    <w:nsid w:val="E33FB084"/>
    <w:multiLevelType w:val="multilevel"/>
    <w:tmpl w:val="E33FB08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5">
    <w:nsid w:val="E38D2F49"/>
    <w:multiLevelType w:val="multilevel"/>
    <w:tmpl w:val="E38D2F4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6">
    <w:nsid w:val="E3C01079"/>
    <w:multiLevelType w:val="multilevel"/>
    <w:tmpl w:val="E3C0107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7">
    <w:nsid w:val="E3C9D6D8"/>
    <w:multiLevelType w:val="multilevel"/>
    <w:tmpl w:val="E3C9D6D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748">
    <w:nsid w:val="E3E676CE"/>
    <w:multiLevelType w:val="multilevel"/>
    <w:tmpl w:val="E3E676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49">
    <w:nsid w:val="E3ED260F"/>
    <w:multiLevelType w:val="multilevel"/>
    <w:tmpl w:val="E3ED260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0">
    <w:nsid w:val="E3FD29E8"/>
    <w:multiLevelType w:val="multilevel"/>
    <w:tmpl w:val="E3FD29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1">
    <w:nsid w:val="E43A259A"/>
    <w:multiLevelType w:val="multilevel"/>
    <w:tmpl w:val="E43A259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752">
    <w:nsid w:val="E43A772E"/>
    <w:multiLevelType w:val="multilevel"/>
    <w:tmpl w:val="E43A772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3">
    <w:nsid w:val="E445A3C5"/>
    <w:multiLevelType w:val="multilevel"/>
    <w:tmpl w:val="E445A3C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4">
    <w:nsid w:val="E4700917"/>
    <w:multiLevelType w:val="multilevel"/>
    <w:tmpl w:val="E470091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5">
    <w:nsid w:val="E4836A2F"/>
    <w:multiLevelType w:val="multilevel"/>
    <w:tmpl w:val="E4836A2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756">
    <w:nsid w:val="E4851A29"/>
    <w:multiLevelType w:val="multilevel"/>
    <w:tmpl w:val="E4851A2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7">
    <w:nsid w:val="E48AB804"/>
    <w:multiLevelType w:val="multilevel"/>
    <w:tmpl w:val="E48AB80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8">
    <w:nsid w:val="E4A1C207"/>
    <w:multiLevelType w:val="multilevel"/>
    <w:tmpl w:val="E4A1C20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59">
    <w:nsid w:val="E4AF1865"/>
    <w:multiLevelType w:val="multilevel"/>
    <w:tmpl w:val="E4AF186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0">
    <w:nsid w:val="E4D85DB5"/>
    <w:multiLevelType w:val="multilevel"/>
    <w:tmpl w:val="E4D85DB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1">
    <w:nsid w:val="E4D8E422"/>
    <w:multiLevelType w:val="multilevel"/>
    <w:tmpl w:val="E4D8E42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2">
    <w:nsid w:val="E4FB3EFE"/>
    <w:multiLevelType w:val="multilevel"/>
    <w:tmpl w:val="E4FB3EF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3">
    <w:nsid w:val="E504947C"/>
    <w:multiLevelType w:val="multilevel"/>
    <w:tmpl w:val="E504947C"/>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764">
    <w:nsid w:val="E5262523"/>
    <w:multiLevelType w:val="multilevel"/>
    <w:tmpl w:val="E526252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5">
    <w:nsid w:val="E52CEF00"/>
    <w:multiLevelType w:val="multilevel"/>
    <w:tmpl w:val="E52CEF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6">
    <w:nsid w:val="E52D9448"/>
    <w:multiLevelType w:val="multilevel"/>
    <w:tmpl w:val="E52D9448"/>
    <w:lvl w:ilvl="0" w:tentative="0">
      <w:start w:val="1"/>
      <w:numFmt w:val="decimal"/>
      <w:lvlText w:val="（%1）"/>
      <w:lvlJc w:val="left"/>
      <w:pPr>
        <w:ind w:left="111" w:hanging="608"/>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1030" w:hanging="608"/>
      </w:pPr>
      <w:rPr>
        <w:rFonts w:hint="default"/>
        <w:lang w:val="zh-CN" w:eastAsia="zh-CN" w:bidi="zh-CN"/>
      </w:rPr>
    </w:lvl>
    <w:lvl w:ilvl="2" w:tentative="0">
      <w:start w:val="0"/>
      <w:numFmt w:val="bullet"/>
      <w:lvlText w:val="•"/>
      <w:lvlJc w:val="left"/>
      <w:pPr>
        <w:ind w:left="1941" w:hanging="608"/>
      </w:pPr>
      <w:rPr>
        <w:rFonts w:hint="default"/>
        <w:lang w:val="zh-CN" w:eastAsia="zh-CN" w:bidi="zh-CN"/>
      </w:rPr>
    </w:lvl>
    <w:lvl w:ilvl="3" w:tentative="0">
      <w:start w:val="0"/>
      <w:numFmt w:val="bullet"/>
      <w:lvlText w:val="•"/>
      <w:lvlJc w:val="left"/>
      <w:pPr>
        <w:ind w:left="2851" w:hanging="608"/>
      </w:pPr>
      <w:rPr>
        <w:rFonts w:hint="default"/>
        <w:lang w:val="zh-CN" w:eastAsia="zh-CN" w:bidi="zh-CN"/>
      </w:rPr>
    </w:lvl>
    <w:lvl w:ilvl="4" w:tentative="0">
      <w:start w:val="0"/>
      <w:numFmt w:val="bullet"/>
      <w:lvlText w:val="•"/>
      <w:lvlJc w:val="left"/>
      <w:pPr>
        <w:ind w:left="3762" w:hanging="608"/>
      </w:pPr>
      <w:rPr>
        <w:rFonts w:hint="default"/>
        <w:lang w:val="zh-CN" w:eastAsia="zh-CN" w:bidi="zh-CN"/>
      </w:rPr>
    </w:lvl>
    <w:lvl w:ilvl="5" w:tentative="0">
      <w:start w:val="0"/>
      <w:numFmt w:val="bullet"/>
      <w:lvlText w:val="•"/>
      <w:lvlJc w:val="left"/>
      <w:pPr>
        <w:ind w:left="4673" w:hanging="608"/>
      </w:pPr>
      <w:rPr>
        <w:rFonts w:hint="default"/>
        <w:lang w:val="zh-CN" w:eastAsia="zh-CN" w:bidi="zh-CN"/>
      </w:rPr>
    </w:lvl>
    <w:lvl w:ilvl="6" w:tentative="0">
      <w:start w:val="0"/>
      <w:numFmt w:val="bullet"/>
      <w:lvlText w:val="•"/>
      <w:lvlJc w:val="left"/>
      <w:pPr>
        <w:ind w:left="5583" w:hanging="608"/>
      </w:pPr>
      <w:rPr>
        <w:rFonts w:hint="default"/>
        <w:lang w:val="zh-CN" w:eastAsia="zh-CN" w:bidi="zh-CN"/>
      </w:rPr>
    </w:lvl>
    <w:lvl w:ilvl="7" w:tentative="0">
      <w:start w:val="0"/>
      <w:numFmt w:val="bullet"/>
      <w:lvlText w:val="•"/>
      <w:lvlJc w:val="left"/>
      <w:pPr>
        <w:ind w:left="6494" w:hanging="608"/>
      </w:pPr>
      <w:rPr>
        <w:rFonts w:hint="default"/>
        <w:lang w:val="zh-CN" w:eastAsia="zh-CN" w:bidi="zh-CN"/>
      </w:rPr>
    </w:lvl>
    <w:lvl w:ilvl="8" w:tentative="0">
      <w:start w:val="0"/>
      <w:numFmt w:val="bullet"/>
      <w:lvlText w:val="•"/>
      <w:lvlJc w:val="left"/>
      <w:pPr>
        <w:ind w:left="7404" w:hanging="608"/>
      </w:pPr>
      <w:rPr>
        <w:rFonts w:hint="default"/>
        <w:lang w:val="zh-CN" w:eastAsia="zh-CN" w:bidi="zh-CN"/>
      </w:rPr>
    </w:lvl>
  </w:abstractNum>
  <w:abstractNum w:abstractNumId="767">
    <w:nsid w:val="E5623AC0"/>
    <w:multiLevelType w:val="multilevel"/>
    <w:tmpl w:val="E5623AC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8">
    <w:nsid w:val="E58E9E57"/>
    <w:multiLevelType w:val="multilevel"/>
    <w:tmpl w:val="E58E9E5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69">
    <w:nsid w:val="E5B167C1"/>
    <w:multiLevelType w:val="multilevel"/>
    <w:tmpl w:val="E5B167C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0">
    <w:nsid w:val="E632BF3E"/>
    <w:multiLevelType w:val="multilevel"/>
    <w:tmpl w:val="E632BF3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1">
    <w:nsid w:val="E641AD5D"/>
    <w:multiLevelType w:val="multilevel"/>
    <w:tmpl w:val="E641AD5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772">
    <w:nsid w:val="E668C244"/>
    <w:multiLevelType w:val="multilevel"/>
    <w:tmpl w:val="E668C24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3">
    <w:nsid w:val="E67E22E0"/>
    <w:multiLevelType w:val="multilevel"/>
    <w:tmpl w:val="E67E22E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774">
    <w:nsid w:val="E697AF95"/>
    <w:multiLevelType w:val="multilevel"/>
    <w:tmpl w:val="E697AF9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5">
    <w:nsid w:val="E6AE6F87"/>
    <w:multiLevelType w:val="multilevel"/>
    <w:tmpl w:val="E6AE6F8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6">
    <w:nsid w:val="E6E93B2A"/>
    <w:multiLevelType w:val="multilevel"/>
    <w:tmpl w:val="E6E93B2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7">
    <w:nsid w:val="E6E98F67"/>
    <w:multiLevelType w:val="multilevel"/>
    <w:tmpl w:val="E6E98F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8">
    <w:nsid w:val="E6F38F6C"/>
    <w:multiLevelType w:val="multilevel"/>
    <w:tmpl w:val="E6F38F6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79">
    <w:nsid w:val="E7B27C5B"/>
    <w:multiLevelType w:val="multilevel"/>
    <w:tmpl w:val="E7B27C5B"/>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780">
    <w:nsid w:val="E7CB1AF3"/>
    <w:multiLevelType w:val="multilevel"/>
    <w:tmpl w:val="E7CB1AF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81">
    <w:nsid w:val="E7E24C3C"/>
    <w:multiLevelType w:val="multilevel"/>
    <w:tmpl w:val="E7E24C3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82">
    <w:nsid w:val="E8106D4C"/>
    <w:multiLevelType w:val="multilevel"/>
    <w:tmpl w:val="E8106D4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83">
    <w:nsid w:val="E846696F"/>
    <w:multiLevelType w:val="multilevel"/>
    <w:tmpl w:val="E846696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84">
    <w:nsid w:val="E85F9D1D"/>
    <w:multiLevelType w:val="multilevel"/>
    <w:tmpl w:val="E85F9D1D"/>
    <w:lvl w:ilvl="0" w:tentative="0">
      <w:start w:val="1"/>
      <w:numFmt w:val="decimal"/>
      <w:lvlText w:val="%1."/>
      <w:lvlJc w:val="left"/>
      <w:pPr>
        <w:ind w:left="111" w:hanging="24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785">
    <w:nsid w:val="E8608312"/>
    <w:multiLevelType w:val="multilevel"/>
    <w:tmpl w:val="E860831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86">
    <w:nsid w:val="E879A022"/>
    <w:multiLevelType w:val="multilevel"/>
    <w:tmpl w:val="E879A02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87">
    <w:nsid w:val="E887D337"/>
    <w:multiLevelType w:val="multilevel"/>
    <w:tmpl w:val="E887D33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88">
    <w:nsid w:val="E891B387"/>
    <w:multiLevelType w:val="multilevel"/>
    <w:tmpl w:val="E891B387"/>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789">
    <w:nsid w:val="E8C7E059"/>
    <w:multiLevelType w:val="multilevel"/>
    <w:tmpl w:val="E8C7E05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0">
    <w:nsid w:val="E8EF957D"/>
    <w:multiLevelType w:val="multilevel"/>
    <w:tmpl w:val="E8EF95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1">
    <w:nsid w:val="E911E228"/>
    <w:multiLevelType w:val="multilevel"/>
    <w:tmpl w:val="E911E22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2">
    <w:nsid w:val="E932E818"/>
    <w:multiLevelType w:val="multilevel"/>
    <w:tmpl w:val="E932E8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3">
    <w:nsid w:val="E93EBC56"/>
    <w:multiLevelType w:val="multilevel"/>
    <w:tmpl w:val="E93EBC56"/>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794">
    <w:nsid w:val="E9436807"/>
    <w:multiLevelType w:val="multilevel"/>
    <w:tmpl w:val="E943680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5">
    <w:nsid w:val="E95BBE9C"/>
    <w:multiLevelType w:val="multilevel"/>
    <w:tmpl w:val="E95BBE9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6">
    <w:nsid w:val="E9630B91"/>
    <w:multiLevelType w:val="multilevel"/>
    <w:tmpl w:val="E9630B9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7">
    <w:nsid w:val="E9692BA8"/>
    <w:multiLevelType w:val="multilevel"/>
    <w:tmpl w:val="E9692B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8">
    <w:nsid w:val="E9B7C000"/>
    <w:multiLevelType w:val="multilevel"/>
    <w:tmpl w:val="E9B7C0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799">
    <w:nsid w:val="E9ECA72A"/>
    <w:multiLevelType w:val="multilevel"/>
    <w:tmpl w:val="E9ECA72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0">
    <w:nsid w:val="EA15A30F"/>
    <w:multiLevelType w:val="multilevel"/>
    <w:tmpl w:val="EA15A30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1">
    <w:nsid w:val="EA28CC15"/>
    <w:multiLevelType w:val="multilevel"/>
    <w:tmpl w:val="EA28CC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2">
    <w:nsid w:val="EA2ED2C6"/>
    <w:multiLevelType w:val="multilevel"/>
    <w:tmpl w:val="EA2ED2C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3">
    <w:nsid w:val="EA32F4ED"/>
    <w:multiLevelType w:val="multilevel"/>
    <w:tmpl w:val="EA32F4E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4">
    <w:nsid w:val="EA36720E"/>
    <w:multiLevelType w:val="multilevel"/>
    <w:tmpl w:val="EA36720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05">
    <w:nsid w:val="EA4513CD"/>
    <w:multiLevelType w:val="multilevel"/>
    <w:tmpl w:val="EA4513C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6">
    <w:nsid w:val="EA6075A0"/>
    <w:multiLevelType w:val="multilevel"/>
    <w:tmpl w:val="EA6075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7">
    <w:nsid w:val="EA6756E5"/>
    <w:multiLevelType w:val="multilevel"/>
    <w:tmpl w:val="EA6756E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8">
    <w:nsid w:val="EAAD4E33"/>
    <w:multiLevelType w:val="multilevel"/>
    <w:tmpl w:val="EAAD4E3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09">
    <w:nsid w:val="EAC148EE"/>
    <w:multiLevelType w:val="multilevel"/>
    <w:tmpl w:val="EAC148E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10">
    <w:nsid w:val="EB1B02D4"/>
    <w:multiLevelType w:val="multilevel"/>
    <w:tmpl w:val="EB1B02D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11">
    <w:nsid w:val="EB4F67A5"/>
    <w:multiLevelType w:val="multilevel"/>
    <w:tmpl w:val="EB4F67A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12">
    <w:nsid w:val="EB53B21A"/>
    <w:multiLevelType w:val="multilevel"/>
    <w:tmpl w:val="EB53B21A"/>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813">
    <w:nsid w:val="EBBE6348"/>
    <w:multiLevelType w:val="multilevel"/>
    <w:tmpl w:val="EBBE634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14">
    <w:nsid w:val="EC09C9A2"/>
    <w:multiLevelType w:val="multilevel"/>
    <w:tmpl w:val="EC09C9A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15">
    <w:nsid w:val="EC1A3DF1"/>
    <w:multiLevelType w:val="multilevel"/>
    <w:tmpl w:val="EC1A3D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16">
    <w:nsid w:val="EC7D337D"/>
    <w:multiLevelType w:val="multilevel"/>
    <w:tmpl w:val="EC7D33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17">
    <w:nsid w:val="EC7EA071"/>
    <w:multiLevelType w:val="multilevel"/>
    <w:tmpl w:val="EC7EA0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18">
    <w:nsid w:val="EC9A25EA"/>
    <w:multiLevelType w:val="multilevel"/>
    <w:tmpl w:val="EC9A25EA"/>
    <w:lvl w:ilvl="0" w:tentative="0">
      <w:start w:val="1"/>
      <w:numFmt w:val="decimal"/>
      <w:lvlText w:val="%1."/>
      <w:lvlJc w:val="left"/>
      <w:pPr>
        <w:ind w:left="111"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819">
    <w:nsid w:val="ECBB5318"/>
    <w:multiLevelType w:val="multilevel"/>
    <w:tmpl w:val="ECBB531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20">
    <w:nsid w:val="ECE6AE44"/>
    <w:multiLevelType w:val="multilevel"/>
    <w:tmpl w:val="ECE6AE4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21">
    <w:nsid w:val="ED68DBF5"/>
    <w:multiLevelType w:val="multilevel"/>
    <w:tmpl w:val="ED68DBF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22">
    <w:nsid w:val="ED7348A7"/>
    <w:multiLevelType w:val="multilevel"/>
    <w:tmpl w:val="ED7348A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23">
    <w:nsid w:val="ED7B349D"/>
    <w:multiLevelType w:val="multilevel"/>
    <w:tmpl w:val="ED7B349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24">
    <w:nsid w:val="ED8DBA1E"/>
    <w:multiLevelType w:val="multilevel"/>
    <w:tmpl w:val="ED8DBA1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25">
    <w:nsid w:val="EE0CF063"/>
    <w:multiLevelType w:val="multilevel"/>
    <w:tmpl w:val="EE0CF06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26">
    <w:nsid w:val="EE4DCEC7"/>
    <w:multiLevelType w:val="multilevel"/>
    <w:tmpl w:val="EE4DCEC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27">
    <w:nsid w:val="EE9CE50F"/>
    <w:multiLevelType w:val="multilevel"/>
    <w:tmpl w:val="EE9CE50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28">
    <w:nsid w:val="EEB9E3FB"/>
    <w:multiLevelType w:val="multilevel"/>
    <w:tmpl w:val="EEB9E3F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29">
    <w:nsid w:val="EEE9A735"/>
    <w:multiLevelType w:val="multilevel"/>
    <w:tmpl w:val="EEE9A735"/>
    <w:lvl w:ilvl="0" w:tentative="0">
      <w:start w:val="1"/>
      <w:numFmt w:val="decimal"/>
      <w:lvlText w:val="%1."/>
      <w:lvlJc w:val="left"/>
      <w:pPr>
        <w:ind w:left="111"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830">
    <w:nsid w:val="EF3EE811"/>
    <w:multiLevelType w:val="multilevel"/>
    <w:tmpl w:val="EF3EE81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31">
    <w:nsid w:val="EF7094CF"/>
    <w:multiLevelType w:val="multilevel"/>
    <w:tmpl w:val="EF7094C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32">
    <w:nsid w:val="EF7CC6E6"/>
    <w:multiLevelType w:val="multilevel"/>
    <w:tmpl w:val="EF7CC6E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33">
    <w:nsid w:val="EFCECDC7"/>
    <w:multiLevelType w:val="multilevel"/>
    <w:tmpl w:val="EFCECDC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34">
    <w:nsid w:val="EFF1A5A0"/>
    <w:multiLevelType w:val="multilevel"/>
    <w:tmpl w:val="EFF1A5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35">
    <w:nsid w:val="F018F459"/>
    <w:multiLevelType w:val="multilevel"/>
    <w:tmpl w:val="F018F45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36">
    <w:nsid w:val="F066642F"/>
    <w:multiLevelType w:val="multilevel"/>
    <w:tmpl w:val="F066642F"/>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837">
    <w:nsid w:val="F06FBBE8"/>
    <w:multiLevelType w:val="multilevel"/>
    <w:tmpl w:val="F06FBB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38">
    <w:nsid w:val="F084A6B1"/>
    <w:multiLevelType w:val="multilevel"/>
    <w:tmpl w:val="F084A6B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39">
    <w:nsid w:val="F095F002"/>
    <w:multiLevelType w:val="multilevel"/>
    <w:tmpl w:val="F095F00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40">
    <w:nsid w:val="F0AE400A"/>
    <w:multiLevelType w:val="multilevel"/>
    <w:tmpl w:val="F0AE400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41">
    <w:nsid w:val="F0B7359A"/>
    <w:multiLevelType w:val="multilevel"/>
    <w:tmpl w:val="F0B7359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42">
    <w:nsid w:val="F0C0D7AE"/>
    <w:multiLevelType w:val="multilevel"/>
    <w:tmpl w:val="F0C0D7A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43">
    <w:nsid w:val="F0E89278"/>
    <w:multiLevelType w:val="multilevel"/>
    <w:tmpl w:val="F0E89278"/>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844">
    <w:nsid w:val="F0F7E8A8"/>
    <w:multiLevelType w:val="multilevel"/>
    <w:tmpl w:val="F0F7E8A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45">
    <w:nsid w:val="F1AF345F"/>
    <w:multiLevelType w:val="multilevel"/>
    <w:tmpl w:val="F1AF345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46">
    <w:nsid w:val="F1C6D786"/>
    <w:multiLevelType w:val="multilevel"/>
    <w:tmpl w:val="F1C6D78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47">
    <w:nsid w:val="F1D3D993"/>
    <w:multiLevelType w:val="multilevel"/>
    <w:tmpl w:val="F1D3D99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48">
    <w:nsid w:val="F1F690F5"/>
    <w:multiLevelType w:val="multilevel"/>
    <w:tmpl w:val="F1F690F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49">
    <w:nsid w:val="F1F6A971"/>
    <w:multiLevelType w:val="multilevel"/>
    <w:tmpl w:val="F1F6A9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0">
    <w:nsid w:val="F1FCDEFA"/>
    <w:multiLevelType w:val="multilevel"/>
    <w:tmpl w:val="F1FCDEF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1">
    <w:nsid w:val="F230A4EF"/>
    <w:multiLevelType w:val="multilevel"/>
    <w:tmpl w:val="F230A4E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2">
    <w:nsid w:val="F237ACA1"/>
    <w:multiLevelType w:val="multilevel"/>
    <w:tmpl w:val="F237AC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3">
    <w:nsid w:val="F2A81E1A"/>
    <w:multiLevelType w:val="multilevel"/>
    <w:tmpl w:val="F2A81E1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4">
    <w:nsid w:val="F2AE70F4"/>
    <w:multiLevelType w:val="multilevel"/>
    <w:tmpl w:val="F2AE70F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5">
    <w:nsid w:val="F2E0186E"/>
    <w:multiLevelType w:val="multilevel"/>
    <w:tmpl w:val="F2E0186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6">
    <w:nsid w:val="F30FC083"/>
    <w:multiLevelType w:val="multilevel"/>
    <w:tmpl w:val="F30FC083"/>
    <w:lvl w:ilvl="0" w:tentative="0">
      <w:start w:val="1"/>
      <w:numFmt w:val="decimal"/>
      <w:lvlText w:val="%1."/>
      <w:lvlJc w:val="left"/>
      <w:pPr>
        <w:ind w:left="111" w:hanging="24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857">
    <w:nsid w:val="F30FF6D8"/>
    <w:multiLevelType w:val="multilevel"/>
    <w:tmpl w:val="F30FF6D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8">
    <w:nsid w:val="F3259715"/>
    <w:multiLevelType w:val="multilevel"/>
    <w:tmpl w:val="F32597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59">
    <w:nsid w:val="F35B3A9E"/>
    <w:multiLevelType w:val="multilevel"/>
    <w:tmpl w:val="F35B3A9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60">
    <w:nsid w:val="F367AF0D"/>
    <w:multiLevelType w:val="multilevel"/>
    <w:tmpl w:val="F367AF0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1">
    <w:nsid w:val="F38918C2"/>
    <w:multiLevelType w:val="multilevel"/>
    <w:tmpl w:val="F38918C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2">
    <w:nsid w:val="F3A33954"/>
    <w:multiLevelType w:val="multilevel"/>
    <w:tmpl w:val="F3A33954"/>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863">
    <w:nsid w:val="F3B956F0"/>
    <w:multiLevelType w:val="multilevel"/>
    <w:tmpl w:val="F3B956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4">
    <w:nsid w:val="F411B296"/>
    <w:multiLevelType w:val="multilevel"/>
    <w:tmpl w:val="F411B2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5">
    <w:nsid w:val="F41BFFF2"/>
    <w:multiLevelType w:val="multilevel"/>
    <w:tmpl w:val="F41BFFF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6">
    <w:nsid w:val="F4384ED6"/>
    <w:multiLevelType w:val="multilevel"/>
    <w:tmpl w:val="F4384ED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7">
    <w:nsid w:val="F44B9A21"/>
    <w:multiLevelType w:val="multilevel"/>
    <w:tmpl w:val="F44B9A2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8">
    <w:nsid w:val="F455E291"/>
    <w:multiLevelType w:val="multilevel"/>
    <w:tmpl w:val="F455E29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69">
    <w:nsid w:val="F46CCC20"/>
    <w:multiLevelType w:val="multilevel"/>
    <w:tmpl w:val="F46CCC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70">
    <w:nsid w:val="F49C0EB3"/>
    <w:multiLevelType w:val="multilevel"/>
    <w:tmpl w:val="F49C0EB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71">
    <w:nsid w:val="F4A58DC3"/>
    <w:multiLevelType w:val="multilevel"/>
    <w:tmpl w:val="F4A58DC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72">
    <w:nsid w:val="F4A942FE"/>
    <w:multiLevelType w:val="multilevel"/>
    <w:tmpl w:val="F4A942FE"/>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873">
    <w:nsid w:val="F4B5D9F5"/>
    <w:multiLevelType w:val="multilevel"/>
    <w:tmpl w:val="F4B5D9F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874">
    <w:nsid w:val="F4E65452"/>
    <w:multiLevelType w:val="multilevel"/>
    <w:tmpl w:val="F4E6545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75">
    <w:nsid w:val="F516F153"/>
    <w:multiLevelType w:val="multilevel"/>
    <w:tmpl w:val="F516F15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76">
    <w:nsid w:val="F573EB9D"/>
    <w:multiLevelType w:val="multilevel"/>
    <w:tmpl w:val="F573EB9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77">
    <w:nsid w:val="F585BF25"/>
    <w:multiLevelType w:val="multilevel"/>
    <w:tmpl w:val="F585BF2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878">
    <w:nsid w:val="F6221216"/>
    <w:multiLevelType w:val="multilevel"/>
    <w:tmpl w:val="F622121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79">
    <w:nsid w:val="F644C9BC"/>
    <w:multiLevelType w:val="multilevel"/>
    <w:tmpl w:val="F644C9B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80">
    <w:nsid w:val="F666914F"/>
    <w:multiLevelType w:val="multilevel"/>
    <w:tmpl w:val="F666914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81">
    <w:nsid w:val="F667B174"/>
    <w:multiLevelType w:val="singleLevel"/>
    <w:tmpl w:val="F667B174"/>
    <w:lvl w:ilvl="0" w:tentative="0">
      <w:start w:val="2"/>
      <w:numFmt w:val="chineseCounting"/>
      <w:suff w:val="nothing"/>
      <w:lvlText w:val="（%1）"/>
      <w:lvlJc w:val="left"/>
      <w:rPr>
        <w:rFonts w:hint="eastAsia"/>
      </w:rPr>
    </w:lvl>
  </w:abstractNum>
  <w:abstractNum w:abstractNumId="882">
    <w:nsid w:val="F6774D8A"/>
    <w:multiLevelType w:val="multilevel"/>
    <w:tmpl w:val="F6774D8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83">
    <w:nsid w:val="F689643B"/>
    <w:multiLevelType w:val="multilevel"/>
    <w:tmpl w:val="F689643B"/>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884">
    <w:nsid w:val="F6B799C0"/>
    <w:multiLevelType w:val="multilevel"/>
    <w:tmpl w:val="F6B799C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85">
    <w:nsid w:val="F6CF37B7"/>
    <w:multiLevelType w:val="multilevel"/>
    <w:tmpl w:val="F6CF37B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86">
    <w:nsid w:val="F6F715B8"/>
    <w:multiLevelType w:val="singleLevel"/>
    <w:tmpl w:val="F6F715B8"/>
    <w:lvl w:ilvl="0" w:tentative="0">
      <w:start w:val="12"/>
      <w:numFmt w:val="chineseCounting"/>
      <w:suff w:val="nothing"/>
      <w:lvlText w:val="%1、"/>
      <w:lvlJc w:val="left"/>
      <w:rPr>
        <w:rFonts w:hint="eastAsia"/>
      </w:rPr>
    </w:lvl>
  </w:abstractNum>
  <w:abstractNum w:abstractNumId="887">
    <w:nsid w:val="F733D9FE"/>
    <w:multiLevelType w:val="multilevel"/>
    <w:tmpl w:val="F733D9F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88">
    <w:nsid w:val="F7632770"/>
    <w:multiLevelType w:val="multilevel"/>
    <w:tmpl w:val="F763277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89">
    <w:nsid w:val="F7735DC9"/>
    <w:multiLevelType w:val="multilevel"/>
    <w:tmpl w:val="F7735DC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890">
    <w:nsid w:val="F794CDAB"/>
    <w:multiLevelType w:val="multilevel"/>
    <w:tmpl w:val="F794CDA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91">
    <w:nsid w:val="F7CA1D92"/>
    <w:multiLevelType w:val="multilevel"/>
    <w:tmpl w:val="F7CA1D9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92">
    <w:nsid w:val="F8012662"/>
    <w:multiLevelType w:val="multilevel"/>
    <w:tmpl w:val="F801266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93">
    <w:nsid w:val="F815003A"/>
    <w:multiLevelType w:val="multilevel"/>
    <w:tmpl w:val="F81500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94">
    <w:nsid w:val="F8520829"/>
    <w:multiLevelType w:val="multilevel"/>
    <w:tmpl w:val="F852082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895">
    <w:nsid w:val="F8644EC4"/>
    <w:multiLevelType w:val="multilevel"/>
    <w:tmpl w:val="F8644EC4"/>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896">
    <w:nsid w:val="F87B7212"/>
    <w:multiLevelType w:val="multilevel"/>
    <w:tmpl w:val="F87B721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97">
    <w:nsid w:val="F889C77F"/>
    <w:multiLevelType w:val="multilevel"/>
    <w:tmpl w:val="F889C77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98">
    <w:nsid w:val="F8949042"/>
    <w:multiLevelType w:val="multilevel"/>
    <w:tmpl w:val="F894904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899">
    <w:nsid w:val="F918E78F"/>
    <w:multiLevelType w:val="multilevel"/>
    <w:tmpl w:val="F918E78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00">
    <w:nsid w:val="F930C2E2"/>
    <w:multiLevelType w:val="multilevel"/>
    <w:tmpl w:val="F930C2E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01">
    <w:nsid w:val="F93A8219"/>
    <w:multiLevelType w:val="multilevel"/>
    <w:tmpl w:val="F93A8219"/>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902">
    <w:nsid w:val="F9609DEB"/>
    <w:multiLevelType w:val="multilevel"/>
    <w:tmpl w:val="F9609DE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03">
    <w:nsid w:val="F9718D3C"/>
    <w:multiLevelType w:val="multilevel"/>
    <w:tmpl w:val="F9718D3C"/>
    <w:lvl w:ilvl="0" w:tentative="0">
      <w:start w:val="2"/>
      <w:numFmt w:val="decimal"/>
      <w:lvlText w:val="%1"/>
      <w:lvlJc w:val="left"/>
      <w:pPr>
        <w:ind w:left="111" w:hanging="361"/>
        <w:jc w:val="left"/>
      </w:pPr>
      <w:rPr>
        <w:rFonts w:hint="default"/>
        <w:lang w:val="zh-CN" w:eastAsia="zh-CN" w:bidi="zh-CN"/>
      </w:rPr>
    </w:lvl>
    <w:lvl w:ilvl="1" w:tentative="0">
      <w:start w:val="1"/>
      <w:numFmt w:val="decimal"/>
      <w:lvlText w:val="%1-%2"/>
      <w:lvlJc w:val="left"/>
      <w:pPr>
        <w:ind w:left="111"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1"/>
      </w:pPr>
      <w:rPr>
        <w:rFonts w:hint="default"/>
        <w:lang w:val="zh-CN" w:eastAsia="zh-CN" w:bidi="zh-CN"/>
      </w:rPr>
    </w:lvl>
    <w:lvl w:ilvl="3" w:tentative="0">
      <w:start w:val="0"/>
      <w:numFmt w:val="bullet"/>
      <w:lvlText w:val="•"/>
      <w:lvlJc w:val="left"/>
      <w:pPr>
        <w:ind w:left="2851" w:hanging="361"/>
      </w:pPr>
      <w:rPr>
        <w:rFonts w:hint="default"/>
        <w:lang w:val="zh-CN" w:eastAsia="zh-CN" w:bidi="zh-CN"/>
      </w:rPr>
    </w:lvl>
    <w:lvl w:ilvl="4" w:tentative="0">
      <w:start w:val="0"/>
      <w:numFmt w:val="bullet"/>
      <w:lvlText w:val="•"/>
      <w:lvlJc w:val="left"/>
      <w:pPr>
        <w:ind w:left="3762" w:hanging="361"/>
      </w:pPr>
      <w:rPr>
        <w:rFonts w:hint="default"/>
        <w:lang w:val="zh-CN" w:eastAsia="zh-CN" w:bidi="zh-CN"/>
      </w:rPr>
    </w:lvl>
    <w:lvl w:ilvl="5" w:tentative="0">
      <w:start w:val="0"/>
      <w:numFmt w:val="bullet"/>
      <w:lvlText w:val="•"/>
      <w:lvlJc w:val="left"/>
      <w:pPr>
        <w:ind w:left="4673" w:hanging="361"/>
      </w:pPr>
      <w:rPr>
        <w:rFonts w:hint="default"/>
        <w:lang w:val="zh-CN" w:eastAsia="zh-CN" w:bidi="zh-CN"/>
      </w:rPr>
    </w:lvl>
    <w:lvl w:ilvl="6" w:tentative="0">
      <w:start w:val="0"/>
      <w:numFmt w:val="bullet"/>
      <w:lvlText w:val="•"/>
      <w:lvlJc w:val="left"/>
      <w:pPr>
        <w:ind w:left="5583" w:hanging="361"/>
      </w:pPr>
      <w:rPr>
        <w:rFonts w:hint="default"/>
        <w:lang w:val="zh-CN" w:eastAsia="zh-CN" w:bidi="zh-CN"/>
      </w:rPr>
    </w:lvl>
    <w:lvl w:ilvl="7" w:tentative="0">
      <w:start w:val="0"/>
      <w:numFmt w:val="bullet"/>
      <w:lvlText w:val="•"/>
      <w:lvlJc w:val="left"/>
      <w:pPr>
        <w:ind w:left="6494" w:hanging="361"/>
      </w:pPr>
      <w:rPr>
        <w:rFonts w:hint="default"/>
        <w:lang w:val="zh-CN" w:eastAsia="zh-CN" w:bidi="zh-CN"/>
      </w:rPr>
    </w:lvl>
    <w:lvl w:ilvl="8" w:tentative="0">
      <w:start w:val="0"/>
      <w:numFmt w:val="bullet"/>
      <w:lvlText w:val="•"/>
      <w:lvlJc w:val="left"/>
      <w:pPr>
        <w:ind w:left="7404" w:hanging="361"/>
      </w:pPr>
      <w:rPr>
        <w:rFonts w:hint="default"/>
        <w:lang w:val="zh-CN" w:eastAsia="zh-CN" w:bidi="zh-CN"/>
      </w:rPr>
    </w:lvl>
  </w:abstractNum>
  <w:abstractNum w:abstractNumId="904">
    <w:nsid w:val="F97CED97"/>
    <w:multiLevelType w:val="multilevel"/>
    <w:tmpl w:val="F97CED97"/>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905">
    <w:nsid w:val="F9962636"/>
    <w:multiLevelType w:val="multilevel"/>
    <w:tmpl w:val="F99626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06">
    <w:nsid w:val="F9DC7280"/>
    <w:multiLevelType w:val="multilevel"/>
    <w:tmpl w:val="F9DC728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07">
    <w:nsid w:val="FA003885"/>
    <w:multiLevelType w:val="multilevel"/>
    <w:tmpl w:val="FA00388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08">
    <w:nsid w:val="FA24F414"/>
    <w:multiLevelType w:val="multilevel"/>
    <w:tmpl w:val="FA24F41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09">
    <w:nsid w:val="FA3AF9CE"/>
    <w:multiLevelType w:val="multilevel"/>
    <w:tmpl w:val="FA3AF9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0">
    <w:nsid w:val="FA490960"/>
    <w:multiLevelType w:val="multilevel"/>
    <w:tmpl w:val="FA49096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1">
    <w:nsid w:val="FA618440"/>
    <w:multiLevelType w:val="multilevel"/>
    <w:tmpl w:val="FA618440"/>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912">
    <w:nsid w:val="FA952B36"/>
    <w:multiLevelType w:val="multilevel"/>
    <w:tmpl w:val="FA952B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3">
    <w:nsid w:val="FABC7A9B"/>
    <w:multiLevelType w:val="multilevel"/>
    <w:tmpl w:val="FABC7A9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4">
    <w:nsid w:val="FB235541"/>
    <w:multiLevelType w:val="multilevel"/>
    <w:tmpl w:val="FB23554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5">
    <w:nsid w:val="FB61A137"/>
    <w:multiLevelType w:val="multilevel"/>
    <w:tmpl w:val="FB61A137"/>
    <w:lvl w:ilvl="0" w:tentative="0">
      <w:start w:val="1"/>
      <w:numFmt w:val="decimal"/>
      <w:lvlText w:val="%1."/>
      <w:lvlJc w:val="left"/>
      <w:pPr>
        <w:ind w:left="11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916">
    <w:nsid w:val="FB67034D"/>
    <w:multiLevelType w:val="multilevel"/>
    <w:tmpl w:val="FB67034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7">
    <w:nsid w:val="FB67EE4D"/>
    <w:multiLevelType w:val="multilevel"/>
    <w:tmpl w:val="FB67EE4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8">
    <w:nsid w:val="FB6CC0E2"/>
    <w:multiLevelType w:val="multilevel"/>
    <w:tmpl w:val="FB6CC0E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19">
    <w:nsid w:val="FB88799C"/>
    <w:multiLevelType w:val="multilevel"/>
    <w:tmpl w:val="FB88799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20">
    <w:nsid w:val="FC1F6BCC"/>
    <w:multiLevelType w:val="multilevel"/>
    <w:tmpl w:val="FC1F6B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21">
    <w:nsid w:val="FC96012C"/>
    <w:multiLevelType w:val="multilevel"/>
    <w:tmpl w:val="FC96012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22">
    <w:nsid w:val="FCC85EE2"/>
    <w:multiLevelType w:val="multilevel"/>
    <w:tmpl w:val="FCC85EE2"/>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923">
    <w:nsid w:val="FCD24A89"/>
    <w:multiLevelType w:val="multilevel"/>
    <w:tmpl w:val="FCD24A8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24">
    <w:nsid w:val="FCE9D541"/>
    <w:multiLevelType w:val="multilevel"/>
    <w:tmpl w:val="FCE9D54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25">
    <w:nsid w:val="FD53A3CD"/>
    <w:multiLevelType w:val="multilevel"/>
    <w:tmpl w:val="FD53A3C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26">
    <w:nsid w:val="FDAF5448"/>
    <w:multiLevelType w:val="multilevel"/>
    <w:tmpl w:val="FDAF544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27">
    <w:nsid w:val="FDC42EF4"/>
    <w:multiLevelType w:val="multilevel"/>
    <w:tmpl w:val="FDC42EF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28">
    <w:nsid w:val="FDD189FC"/>
    <w:multiLevelType w:val="multilevel"/>
    <w:tmpl w:val="FDD189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29">
    <w:nsid w:val="FDEFFF67"/>
    <w:multiLevelType w:val="multilevel"/>
    <w:tmpl w:val="FDEFFF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0">
    <w:nsid w:val="FE04BDCE"/>
    <w:multiLevelType w:val="multilevel"/>
    <w:tmpl w:val="FE04BD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1">
    <w:nsid w:val="FE127DF4"/>
    <w:multiLevelType w:val="multilevel"/>
    <w:tmpl w:val="FE127DF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32">
    <w:nsid w:val="FE24C528"/>
    <w:multiLevelType w:val="multilevel"/>
    <w:tmpl w:val="FE24C52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3">
    <w:nsid w:val="FE745E58"/>
    <w:multiLevelType w:val="multilevel"/>
    <w:tmpl w:val="FE745E5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4">
    <w:nsid w:val="FEC2EA36"/>
    <w:multiLevelType w:val="multilevel"/>
    <w:tmpl w:val="FEC2EA36"/>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935">
    <w:nsid w:val="FEC61E55"/>
    <w:multiLevelType w:val="multilevel"/>
    <w:tmpl w:val="FEC61E5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6">
    <w:nsid w:val="FEC923EB"/>
    <w:multiLevelType w:val="multilevel"/>
    <w:tmpl w:val="FEC923E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7">
    <w:nsid w:val="FEDBB0B1"/>
    <w:multiLevelType w:val="multilevel"/>
    <w:tmpl w:val="FEDBB0B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8">
    <w:nsid w:val="FEEA4F71"/>
    <w:multiLevelType w:val="multilevel"/>
    <w:tmpl w:val="FEEA4F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39">
    <w:nsid w:val="FF393818"/>
    <w:multiLevelType w:val="multilevel"/>
    <w:tmpl w:val="FF3938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0">
    <w:nsid w:val="FF5D0334"/>
    <w:multiLevelType w:val="multilevel"/>
    <w:tmpl w:val="FF5D033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1">
    <w:nsid w:val="FF7FB719"/>
    <w:multiLevelType w:val="multilevel"/>
    <w:tmpl w:val="FF7FB71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2">
    <w:nsid w:val="FF861C54"/>
    <w:multiLevelType w:val="multilevel"/>
    <w:tmpl w:val="FF861C5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3">
    <w:nsid w:val="FF9F9DD0"/>
    <w:multiLevelType w:val="multilevel"/>
    <w:tmpl w:val="FF9F9DD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4">
    <w:nsid w:val="FFD3F04B"/>
    <w:multiLevelType w:val="multilevel"/>
    <w:tmpl w:val="FFD3F04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5">
    <w:nsid w:val="FFFB3244"/>
    <w:multiLevelType w:val="multilevel"/>
    <w:tmpl w:val="FFFB324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6">
    <w:nsid w:val="0039509F"/>
    <w:multiLevelType w:val="multilevel"/>
    <w:tmpl w:val="0039509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7">
    <w:nsid w:val="0053208E"/>
    <w:multiLevelType w:val="multilevel"/>
    <w:tmpl w:val="0053208E"/>
    <w:lvl w:ilvl="0" w:tentative="0">
      <w:start w:val="1"/>
      <w:numFmt w:val="decimal"/>
      <w:lvlText w:val="（%1）"/>
      <w:lvlJc w:val="left"/>
      <w:pPr>
        <w:ind w:left="1072"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1192"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091" w:hanging="601"/>
      </w:pPr>
      <w:rPr>
        <w:rFonts w:hint="default"/>
        <w:lang w:val="zh-CN" w:eastAsia="zh-CN" w:bidi="zh-CN"/>
      </w:rPr>
    </w:lvl>
    <w:lvl w:ilvl="3" w:tentative="0">
      <w:start w:val="0"/>
      <w:numFmt w:val="bullet"/>
      <w:lvlText w:val="•"/>
      <w:lvlJc w:val="left"/>
      <w:pPr>
        <w:ind w:left="2983" w:hanging="601"/>
      </w:pPr>
      <w:rPr>
        <w:rFonts w:hint="default"/>
        <w:lang w:val="zh-CN" w:eastAsia="zh-CN" w:bidi="zh-CN"/>
      </w:rPr>
    </w:lvl>
    <w:lvl w:ilvl="4" w:tentative="0">
      <w:start w:val="0"/>
      <w:numFmt w:val="bullet"/>
      <w:lvlText w:val="•"/>
      <w:lvlJc w:val="left"/>
      <w:pPr>
        <w:ind w:left="3875" w:hanging="601"/>
      </w:pPr>
      <w:rPr>
        <w:rFonts w:hint="default"/>
        <w:lang w:val="zh-CN" w:eastAsia="zh-CN" w:bidi="zh-CN"/>
      </w:rPr>
    </w:lvl>
    <w:lvl w:ilvl="5" w:tentative="0">
      <w:start w:val="0"/>
      <w:numFmt w:val="bullet"/>
      <w:lvlText w:val="•"/>
      <w:lvlJc w:val="left"/>
      <w:pPr>
        <w:ind w:left="4767" w:hanging="601"/>
      </w:pPr>
      <w:rPr>
        <w:rFonts w:hint="default"/>
        <w:lang w:val="zh-CN" w:eastAsia="zh-CN" w:bidi="zh-CN"/>
      </w:rPr>
    </w:lvl>
    <w:lvl w:ilvl="6" w:tentative="0">
      <w:start w:val="0"/>
      <w:numFmt w:val="bullet"/>
      <w:lvlText w:val="•"/>
      <w:lvlJc w:val="left"/>
      <w:pPr>
        <w:ind w:left="5658" w:hanging="601"/>
      </w:pPr>
      <w:rPr>
        <w:rFonts w:hint="default"/>
        <w:lang w:val="zh-CN" w:eastAsia="zh-CN" w:bidi="zh-CN"/>
      </w:rPr>
    </w:lvl>
    <w:lvl w:ilvl="7" w:tentative="0">
      <w:start w:val="0"/>
      <w:numFmt w:val="bullet"/>
      <w:lvlText w:val="•"/>
      <w:lvlJc w:val="left"/>
      <w:pPr>
        <w:ind w:left="6550" w:hanging="601"/>
      </w:pPr>
      <w:rPr>
        <w:rFonts w:hint="default"/>
        <w:lang w:val="zh-CN" w:eastAsia="zh-CN" w:bidi="zh-CN"/>
      </w:rPr>
    </w:lvl>
    <w:lvl w:ilvl="8" w:tentative="0">
      <w:start w:val="0"/>
      <w:numFmt w:val="bullet"/>
      <w:lvlText w:val="•"/>
      <w:lvlJc w:val="left"/>
      <w:pPr>
        <w:ind w:left="7442" w:hanging="601"/>
      </w:pPr>
      <w:rPr>
        <w:rFonts w:hint="default"/>
        <w:lang w:val="zh-CN" w:eastAsia="zh-CN" w:bidi="zh-CN"/>
      </w:rPr>
    </w:lvl>
  </w:abstractNum>
  <w:abstractNum w:abstractNumId="948">
    <w:nsid w:val="0055BA75"/>
    <w:multiLevelType w:val="multilevel"/>
    <w:tmpl w:val="0055BA7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49">
    <w:nsid w:val="008E0A4A"/>
    <w:multiLevelType w:val="multilevel"/>
    <w:tmpl w:val="008E0A4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50">
    <w:nsid w:val="00F2F5D5"/>
    <w:multiLevelType w:val="multilevel"/>
    <w:tmpl w:val="00F2F5D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51">
    <w:nsid w:val="0114CFFB"/>
    <w:multiLevelType w:val="multilevel"/>
    <w:tmpl w:val="0114CFF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52">
    <w:nsid w:val="015FDDD7"/>
    <w:multiLevelType w:val="multilevel"/>
    <w:tmpl w:val="015FDDD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53">
    <w:nsid w:val="017AFB90"/>
    <w:multiLevelType w:val="multilevel"/>
    <w:tmpl w:val="017AFB9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54">
    <w:nsid w:val="01D7E1C7"/>
    <w:multiLevelType w:val="multilevel"/>
    <w:tmpl w:val="01D7E1C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55">
    <w:nsid w:val="02075CA7"/>
    <w:multiLevelType w:val="multilevel"/>
    <w:tmpl w:val="02075CA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56">
    <w:nsid w:val="02077849"/>
    <w:multiLevelType w:val="multilevel"/>
    <w:tmpl w:val="02077849"/>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957">
    <w:nsid w:val="0248C179"/>
    <w:multiLevelType w:val="multilevel"/>
    <w:tmpl w:val="0248C17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58">
    <w:nsid w:val="0258E135"/>
    <w:multiLevelType w:val="multilevel"/>
    <w:tmpl w:val="0258E13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59">
    <w:nsid w:val="025EB27A"/>
    <w:multiLevelType w:val="multilevel"/>
    <w:tmpl w:val="025EB27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60">
    <w:nsid w:val="026080B5"/>
    <w:multiLevelType w:val="multilevel"/>
    <w:tmpl w:val="026080B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61">
    <w:nsid w:val="02B91DA4"/>
    <w:multiLevelType w:val="multilevel"/>
    <w:tmpl w:val="02B91DA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62">
    <w:nsid w:val="02F39BB8"/>
    <w:multiLevelType w:val="multilevel"/>
    <w:tmpl w:val="02F39BB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63">
    <w:nsid w:val="036704D4"/>
    <w:multiLevelType w:val="multilevel"/>
    <w:tmpl w:val="036704D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64">
    <w:nsid w:val="038850C6"/>
    <w:multiLevelType w:val="multilevel"/>
    <w:tmpl w:val="038850C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65">
    <w:nsid w:val="03AEFF62"/>
    <w:multiLevelType w:val="multilevel"/>
    <w:tmpl w:val="03AEFF62"/>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966">
    <w:nsid w:val="03B46CF1"/>
    <w:multiLevelType w:val="multilevel"/>
    <w:tmpl w:val="03B46C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67">
    <w:nsid w:val="03B6F3FC"/>
    <w:multiLevelType w:val="multilevel"/>
    <w:tmpl w:val="03B6F3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68">
    <w:nsid w:val="03C240C0"/>
    <w:multiLevelType w:val="multilevel"/>
    <w:tmpl w:val="03C240C0"/>
    <w:lvl w:ilvl="0" w:tentative="0">
      <w:start w:val="1"/>
      <w:numFmt w:val="decimal"/>
      <w:lvlText w:val="（%1）"/>
      <w:lvlJc w:val="left"/>
      <w:pPr>
        <w:ind w:left="111" w:hanging="608"/>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1030" w:hanging="608"/>
      </w:pPr>
      <w:rPr>
        <w:rFonts w:hint="default"/>
        <w:lang w:val="zh-CN" w:eastAsia="zh-CN" w:bidi="zh-CN"/>
      </w:rPr>
    </w:lvl>
    <w:lvl w:ilvl="2" w:tentative="0">
      <w:start w:val="0"/>
      <w:numFmt w:val="bullet"/>
      <w:lvlText w:val="•"/>
      <w:lvlJc w:val="left"/>
      <w:pPr>
        <w:ind w:left="1941" w:hanging="608"/>
      </w:pPr>
      <w:rPr>
        <w:rFonts w:hint="default"/>
        <w:lang w:val="zh-CN" w:eastAsia="zh-CN" w:bidi="zh-CN"/>
      </w:rPr>
    </w:lvl>
    <w:lvl w:ilvl="3" w:tentative="0">
      <w:start w:val="0"/>
      <w:numFmt w:val="bullet"/>
      <w:lvlText w:val="•"/>
      <w:lvlJc w:val="left"/>
      <w:pPr>
        <w:ind w:left="2851" w:hanging="608"/>
      </w:pPr>
      <w:rPr>
        <w:rFonts w:hint="default"/>
        <w:lang w:val="zh-CN" w:eastAsia="zh-CN" w:bidi="zh-CN"/>
      </w:rPr>
    </w:lvl>
    <w:lvl w:ilvl="4" w:tentative="0">
      <w:start w:val="0"/>
      <w:numFmt w:val="bullet"/>
      <w:lvlText w:val="•"/>
      <w:lvlJc w:val="left"/>
      <w:pPr>
        <w:ind w:left="3762" w:hanging="608"/>
      </w:pPr>
      <w:rPr>
        <w:rFonts w:hint="default"/>
        <w:lang w:val="zh-CN" w:eastAsia="zh-CN" w:bidi="zh-CN"/>
      </w:rPr>
    </w:lvl>
    <w:lvl w:ilvl="5" w:tentative="0">
      <w:start w:val="0"/>
      <w:numFmt w:val="bullet"/>
      <w:lvlText w:val="•"/>
      <w:lvlJc w:val="left"/>
      <w:pPr>
        <w:ind w:left="4673" w:hanging="608"/>
      </w:pPr>
      <w:rPr>
        <w:rFonts w:hint="default"/>
        <w:lang w:val="zh-CN" w:eastAsia="zh-CN" w:bidi="zh-CN"/>
      </w:rPr>
    </w:lvl>
    <w:lvl w:ilvl="6" w:tentative="0">
      <w:start w:val="0"/>
      <w:numFmt w:val="bullet"/>
      <w:lvlText w:val="•"/>
      <w:lvlJc w:val="left"/>
      <w:pPr>
        <w:ind w:left="5583" w:hanging="608"/>
      </w:pPr>
      <w:rPr>
        <w:rFonts w:hint="default"/>
        <w:lang w:val="zh-CN" w:eastAsia="zh-CN" w:bidi="zh-CN"/>
      </w:rPr>
    </w:lvl>
    <w:lvl w:ilvl="7" w:tentative="0">
      <w:start w:val="0"/>
      <w:numFmt w:val="bullet"/>
      <w:lvlText w:val="•"/>
      <w:lvlJc w:val="left"/>
      <w:pPr>
        <w:ind w:left="6494" w:hanging="608"/>
      </w:pPr>
      <w:rPr>
        <w:rFonts w:hint="default"/>
        <w:lang w:val="zh-CN" w:eastAsia="zh-CN" w:bidi="zh-CN"/>
      </w:rPr>
    </w:lvl>
    <w:lvl w:ilvl="8" w:tentative="0">
      <w:start w:val="0"/>
      <w:numFmt w:val="bullet"/>
      <w:lvlText w:val="•"/>
      <w:lvlJc w:val="left"/>
      <w:pPr>
        <w:ind w:left="7404" w:hanging="608"/>
      </w:pPr>
      <w:rPr>
        <w:rFonts w:hint="default"/>
        <w:lang w:val="zh-CN" w:eastAsia="zh-CN" w:bidi="zh-CN"/>
      </w:rPr>
    </w:lvl>
  </w:abstractNum>
  <w:abstractNum w:abstractNumId="969">
    <w:nsid w:val="03CB0143"/>
    <w:multiLevelType w:val="multilevel"/>
    <w:tmpl w:val="03CB014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70">
    <w:nsid w:val="03D269BB"/>
    <w:multiLevelType w:val="multilevel"/>
    <w:tmpl w:val="03D269B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71">
    <w:nsid w:val="03D62ECE"/>
    <w:multiLevelType w:val="multilevel"/>
    <w:tmpl w:val="03D62ECE"/>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972">
    <w:nsid w:val="03DF0596"/>
    <w:multiLevelType w:val="multilevel"/>
    <w:tmpl w:val="03DF05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73">
    <w:nsid w:val="03EDA4C1"/>
    <w:multiLevelType w:val="multilevel"/>
    <w:tmpl w:val="03EDA4C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74">
    <w:nsid w:val="03EF4B97"/>
    <w:multiLevelType w:val="multilevel"/>
    <w:tmpl w:val="03EF4B9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75">
    <w:nsid w:val="03F45099"/>
    <w:multiLevelType w:val="multilevel"/>
    <w:tmpl w:val="03F4509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76">
    <w:nsid w:val="0428A825"/>
    <w:multiLevelType w:val="multilevel"/>
    <w:tmpl w:val="0428A82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77">
    <w:nsid w:val="04539A7F"/>
    <w:multiLevelType w:val="multilevel"/>
    <w:tmpl w:val="04539A7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78">
    <w:nsid w:val="04C1F4F1"/>
    <w:multiLevelType w:val="multilevel"/>
    <w:tmpl w:val="04C1F4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79">
    <w:nsid w:val="04D2AF2D"/>
    <w:multiLevelType w:val="multilevel"/>
    <w:tmpl w:val="04D2AF2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80">
    <w:nsid w:val="052B69A3"/>
    <w:multiLevelType w:val="multilevel"/>
    <w:tmpl w:val="052B69A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81">
    <w:nsid w:val="053BE26E"/>
    <w:multiLevelType w:val="multilevel"/>
    <w:tmpl w:val="053BE26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82">
    <w:nsid w:val="05475598"/>
    <w:multiLevelType w:val="multilevel"/>
    <w:tmpl w:val="0547559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83">
    <w:nsid w:val="0553AD27"/>
    <w:multiLevelType w:val="multilevel"/>
    <w:tmpl w:val="0553AD2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84">
    <w:nsid w:val="058766AE"/>
    <w:multiLevelType w:val="multilevel"/>
    <w:tmpl w:val="058766A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85">
    <w:nsid w:val="05AC2586"/>
    <w:multiLevelType w:val="multilevel"/>
    <w:tmpl w:val="05AC258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86">
    <w:nsid w:val="05D1AB89"/>
    <w:multiLevelType w:val="multilevel"/>
    <w:tmpl w:val="05D1AB8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87">
    <w:nsid w:val="05D9A6EC"/>
    <w:multiLevelType w:val="multilevel"/>
    <w:tmpl w:val="05D9A6E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88">
    <w:nsid w:val="05DEFD42"/>
    <w:multiLevelType w:val="multilevel"/>
    <w:tmpl w:val="05DEFD4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89">
    <w:nsid w:val="05E426C4"/>
    <w:multiLevelType w:val="multilevel"/>
    <w:tmpl w:val="05E426C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90">
    <w:nsid w:val="066A6E4B"/>
    <w:multiLevelType w:val="multilevel"/>
    <w:tmpl w:val="066A6E4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91">
    <w:nsid w:val="0681E294"/>
    <w:multiLevelType w:val="multilevel"/>
    <w:tmpl w:val="0681E29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92">
    <w:nsid w:val="069AF03A"/>
    <w:multiLevelType w:val="multilevel"/>
    <w:tmpl w:val="069AF0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93">
    <w:nsid w:val="06FB4636"/>
    <w:multiLevelType w:val="multilevel"/>
    <w:tmpl w:val="06FB4636"/>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994">
    <w:nsid w:val="0709FD3E"/>
    <w:multiLevelType w:val="multilevel"/>
    <w:tmpl w:val="0709FD3E"/>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995">
    <w:nsid w:val="07152449"/>
    <w:multiLevelType w:val="multilevel"/>
    <w:tmpl w:val="0715244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996">
    <w:nsid w:val="07317492"/>
    <w:multiLevelType w:val="singleLevel"/>
    <w:tmpl w:val="07317492"/>
    <w:lvl w:ilvl="0" w:tentative="0">
      <w:start w:val="1"/>
      <w:numFmt w:val="chineseCounting"/>
      <w:suff w:val="nothing"/>
      <w:lvlText w:val="（%1）"/>
      <w:lvlJc w:val="left"/>
      <w:pPr>
        <w:ind w:left="1080" w:leftChars="0" w:firstLine="0" w:firstLineChars="0"/>
      </w:pPr>
      <w:rPr>
        <w:rFonts w:hint="eastAsia"/>
      </w:rPr>
    </w:lvl>
  </w:abstractNum>
  <w:abstractNum w:abstractNumId="997">
    <w:nsid w:val="0735E271"/>
    <w:multiLevelType w:val="multilevel"/>
    <w:tmpl w:val="0735E27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998">
    <w:nsid w:val="074E6E0F"/>
    <w:multiLevelType w:val="multilevel"/>
    <w:tmpl w:val="074E6E0F"/>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999">
    <w:nsid w:val="077C5CE6"/>
    <w:multiLevelType w:val="multilevel"/>
    <w:tmpl w:val="077C5CE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0">
    <w:nsid w:val="07A7FDAB"/>
    <w:multiLevelType w:val="multilevel"/>
    <w:tmpl w:val="07A7FDA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1">
    <w:nsid w:val="07BAEE43"/>
    <w:multiLevelType w:val="multilevel"/>
    <w:tmpl w:val="07BAEE4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2">
    <w:nsid w:val="07F2E950"/>
    <w:multiLevelType w:val="multilevel"/>
    <w:tmpl w:val="07F2E95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3">
    <w:nsid w:val="07F5BCC3"/>
    <w:multiLevelType w:val="multilevel"/>
    <w:tmpl w:val="07F5BCC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4">
    <w:nsid w:val="08084014"/>
    <w:multiLevelType w:val="multilevel"/>
    <w:tmpl w:val="0808401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05">
    <w:nsid w:val="08315420"/>
    <w:multiLevelType w:val="multilevel"/>
    <w:tmpl w:val="083154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6">
    <w:nsid w:val="0832E0D2"/>
    <w:multiLevelType w:val="singleLevel"/>
    <w:tmpl w:val="0832E0D2"/>
    <w:lvl w:ilvl="0" w:tentative="0">
      <w:start w:val="2"/>
      <w:numFmt w:val="chineseCounting"/>
      <w:suff w:val="nothing"/>
      <w:lvlText w:val="（%1）"/>
      <w:lvlJc w:val="left"/>
      <w:rPr>
        <w:rFonts w:hint="eastAsia"/>
      </w:rPr>
    </w:lvl>
  </w:abstractNum>
  <w:abstractNum w:abstractNumId="1007">
    <w:nsid w:val="083808D7"/>
    <w:multiLevelType w:val="multilevel"/>
    <w:tmpl w:val="083808D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8">
    <w:nsid w:val="08385A2C"/>
    <w:multiLevelType w:val="multilevel"/>
    <w:tmpl w:val="08385A2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09">
    <w:nsid w:val="0840C86A"/>
    <w:multiLevelType w:val="multilevel"/>
    <w:tmpl w:val="0840C86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10">
    <w:nsid w:val="0850E2DB"/>
    <w:multiLevelType w:val="multilevel"/>
    <w:tmpl w:val="0850E2D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11">
    <w:nsid w:val="08780941"/>
    <w:multiLevelType w:val="multilevel"/>
    <w:tmpl w:val="0878094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12">
    <w:nsid w:val="0881C2D9"/>
    <w:multiLevelType w:val="multilevel"/>
    <w:tmpl w:val="0881C2D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13">
    <w:nsid w:val="08A21A85"/>
    <w:multiLevelType w:val="multilevel"/>
    <w:tmpl w:val="08A21A8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14">
    <w:nsid w:val="08CEE4A4"/>
    <w:multiLevelType w:val="multilevel"/>
    <w:tmpl w:val="08CEE4A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15">
    <w:nsid w:val="09623402"/>
    <w:multiLevelType w:val="multilevel"/>
    <w:tmpl w:val="0962340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16">
    <w:nsid w:val="096DF5AA"/>
    <w:multiLevelType w:val="multilevel"/>
    <w:tmpl w:val="096DF5A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17">
    <w:nsid w:val="0994384C"/>
    <w:multiLevelType w:val="multilevel"/>
    <w:tmpl w:val="0994384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18">
    <w:nsid w:val="099A3A10"/>
    <w:multiLevelType w:val="multilevel"/>
    <w:tmpl w:val="099A3A1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19">
    <w:nsid w:val="09E63A9F"/>
    <w:multiLevelType w:val="multilevel"/>
    <w:tmpl w:val="09E63A9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0">
    <w:nsid w:val="0A5BBA67"/>
    <w:multiLevelType w:val="multilevel"/>
    <w:tmpl w:val="0A5BBA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1">
    <w:nsid w:val="0A6D4233"/>
    <w:multiLevelType w:val="multilevel"/>
    <w:tmpl w:val="0A6D423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2">
    <w:nsid w:val="0A7858D9"/>
    <w:multiLevelType w:val="multilevel"/>
    <w:tmpl w:val="0A7858D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3">
    <w:nsid w:val="0A81FF81"/>
    <w:multiLevelType w:val="multilevel"/>
    <w:tmpl w:val="0A81FF8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4">
    <w:nsid w:val="0A97485F"/>
    <w:multiLevelType w:val="multilevel"/>
    <w:tmpl w:val="0A97485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5">
    <w:nsid w:val="0AA02BFA"/>
    <w:multiLevelType w:val="multilevel"/>
    <w:tmpl w:val="0AA02BF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26">
    <w:nsid w:val="0AA6C551"/>
    <w:multiLevelType w:val="multilevel"/>
    <w:tmpl w:val="0AA6C55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7">
    <w:nsid w:val="0AD47A64"/>
    <w:multiLevelType w:val="multilevel"/>
    <w:tmpl w:val="0AD47A6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8">
    <w:nsid w:val="0AFA00D7"/>
    <w:multiLevelType w:val="multilevel"/>
    <w:tmpl w:val="0AFA00D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29">
    <w:nsid w:val="0B06FAA2"/>
    <w:multiLevelType w:val="multilevel"/>
    <w:tmpl w:val="0B06FAA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0">
    <w:nsid w:val="0B1B6603"/>
    <w:multiLevelType w:val="multilevel"/>
    <w:tmpl w:val="0B1B660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1">
    <w:nsid w:val="0B425CC3"/>
    <w:multiLevelType w:val="multilevel"/>
    <w:tmpl w:val="0B425CC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2">
    <w:nsid w:val="0BCFF5F6"/>
    <w:multiLevelType w:val="multilevel"/>
    <w:tmpl w:val="0BCFF5F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3">
    <w:nsid w:val="0C03A2FB"/>
    <w:multiLevelType w:val="multilevel"/>
    <w:tmpl w:val="0C03A2F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4">
    <w:nsid w:val="0C0E1E13"/>
    <w:multiLevelType w:val="multilevel"/>
    <w:tmpl w:val="0C0E1E1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5">
    <w:nsid w:val="0C1D7C85"/>
    <w:multiLevelType w:val="multilevel"/>
    <w:tmpl w:val="0C1D7C8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6">
    <w:nsid w:val="0C44804F"/>
    <w:multiLevelType w:val="multilevel"/>
    <w:tmpl w:val="0C44804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37">
    <w:nsid w:val="0C4F2E24"/>
    <w:multiLevelType w:val="multilevel"/>
    <w:tmpl w:val="0C4F2E2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8">
    <w:nsid w:val="0C9E28C4"/>
    <w:multiLevelType w:val="multilevel"/>
    <w:tmpl w:val="0C9E28C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39">
    <w:nsid w:val="0CCB9E98"/>
    <w:multiLevelType w:val="multilevel"/>
    <w:tmpl w:val="0CCB9E9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0">
    <w:nsid w:val="0D1B511C"/>
    <w:multiLevelType w:val="multilevel"/>
    <w:tmpl w:val="0D1B511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1">
    <w:nsid w:val="0D269C13"/>
    <w:multiLevelType w:val="multilevel"/>
    <w:tmpl w:val="0D269C13"/>
    <w:lvl w:ilvl="0" w:tentative="0">
      <w:start w:val="1"/>
      <w:numFmt w:val="decimal"/>
      <w:lvlText w:val="%1."/>
      <w:lvlJc w:val="left"/>
      <w:pPr>
        <w:ind w:left="111" w:hanging="241"/>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042">
    <w:nsid w:val="0D3E5FEC"/>
    <w:multiLevelType w:val="multilevel"/>
    <w:tmpl w:val="0D3E5FE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3">
    <w:nsid w:val="0D5680AA"/>
    <w:multiLevelType w:val="multilevel"/>
    <w:tmpl w:val="0D5680A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4">
    <w:nsid w:val="0D5D5740"/>
    <w:multiLevelType w:val="multilevel"/>
    <w:tmpl w:val="0D5D57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5">
    <w:nsid w:val="0D762CE0"/>
    <w:multiLevelType w:val="multilevel"/>
    <w:tmpl w:val="0D762CE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6">
    <w:nsid w:val="0D7E1BAD"/>
    <w:multiLevelType w:val="multilevel"/>
    <w:tmpl w:val="0D7E1BA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7">
    <w:nsid w:val="0DBDD408"/>
    <w:multiLevelType w:val="multilevel"/>
    <w:tmpl w:val="0DBDD40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8">
    <w:nsid w:val="0DC629B0"/>
    <w:multiLevelType w:val="multilevel"/>
    <w:tmpl w:val="0DC629B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49">
    <w:nsid w:val="0DD1BDBC"/>
    <w:multiLevelType w:val="singleLevel"/>
    <w:tmpl w:val="0DD1BDBC"/>
    <w:lvl w:ilvl="0" w:tentative="0">
      <w:start w:val="2"/>
      <w:numFmt w:val="chineseCounting"/>
      <w:suff w:val="nothing"/>
      <w:lvlText w:val="（%1）"/>
      <w:lvlJc w:val="left"/>
      <w:rPr>
        <w:rFonts w:hint="eastAsia"/>
      </w:rPr>
    </w:lvl>
  </w:abstractNum>
  <w:abstractNum w:abstractNumId="1050">
    <w:nsid w:val="0DDDD28E"/>
    <w:multiLevelType w:val="multilevel"/>
    <w:tmpl w:val="0DDDD28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51">
    <w:nsid w:val="0DFD09D4"/>
    <w:multiLevelType w:val="multilevel"/>
    <w:tmpl w:val="0DFD09D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52">
    <w:nsid w:val="0E25F602"/>
    <w:multiLevelType w:val="multilevel"/>
    <w:tmpl w:val="0E25F602"/>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053">
    <w:nsid w:val="0E432479"/>
    <w:multiLevelType w:val="multilevel"/>
    <w:tmpl w:val="0E43247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54">
    <w:nsid w:val="0E58A8B6"/>
    <w:multiLevelType w:val="multilevel"/>
    <w:tmpl w:val="0E58A8B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55">
    <w:nsid w:val="0E61EC25"/>
    <w:multiLevelType w:val="multilevel"/>
    <w:tmpl w:val="0E61EC2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56">
    <w:nsid w:val="0E640482"/>
    <w:multiLevelType w:val="multilevel"/>
    <w:tmpl w:val="0E640482"/>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057">
    <w:nsid w:val="0E6E74B5"/>
    <w:multiLevelType w:val="multilevel"/>
    <w:tmpl w:val="0E6E74B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58">
    <w:nsid w:val="0E8CEC5D"/>
    <w:multiLevelType w:val="multilevel"/>
    <w:tmpl w:val="0E8CEC5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59">
    <w:nsid w:val="0EBB575B"/>
    <w:multiLevelType w:val="multilevel"/>
    <w:tmpl w:val="0EBB575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0">
    <w:nsid w:val="0ED40F67"/>
    <w:multiLevelType w:val="multilevel"/>
    <w:tmpl w:val="0ED40F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1">
    <w:nsid w:val="0ED64060"/>
    <w:multiLevelType w:val="multilevel"/>
    <w:tmpl w:val="0ED6406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2">
    <w:nsid w:val="0EF77645"/>
    <w:multiLevelType w:val="multilevel"/>
    <w:tmpl w:val="0EF7764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3">
    <w:nsid w:val="0F2EE480"/>
    <w:multiLevelType w:val="multilevel"/>
    <w:tmpl w:val="0F2EE48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4">
    <w:nsid w:val="0F440E88"/>
    <w:multiLevelType w:val="multilevel"/>
    <w:tmpl w:val="0F440E88"/>
    <w:lvl w:ilvl="0" w:tentative="0">
      <w:start w:val="3"/>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1"/>
      <w:numFmt w:val="decimal"/>
      <w:lvlText w:val="（%2）"/>
      <w:lvlJc w:val="left"/>
      <w:pPr>
        <w:ind w:left="1353"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234" w:hanging="601"/>
      </w:pPr>
      <w:rPr>
        <w:rFonts w:hint="default"/>
        <w:lang w:val="zh-CN" w:eastAsia="zh-CN" w:bidi="zh-CN"/>
      </w:rPr>
    </w:lvl>
    <w:lvl w:ilvl="3" w:tentative="0">
      <w:start w:val="0"/>
      <w:numFmt w:val="bullet"/>
      <w:lvlText w:val="•"/>
      <w:lvlJc w:val="left"/>
      <w:pPr>
        <w:ind w:left="3108" w:hanging="601"/>
      </w:pPr>
      <w:rPr>
        <w:rFonts w:hint="default"/>
        <w:lang w:val="zh-CN" w:eastAsia="zh-CN" w:bidi="zh-CN"/>
      </w:rPr>
    </w:lvl>
    <w:lvl w:ilvl="4" w:tentative="0">
      <w:start w:val="0"/>
      <w:numFmt w:val="bullet"/>
      <w:lvlText w:val="•"/>
      <w:lvlJc w:val="left"/>
      <w:pPr>
        <w:ind w:left="3982" w:hanging="601"/>
      </w:pPr>
      <w:rPr>
        <w:rFonts w:hint="default"/>
        <w:lang w:val="zh-CN" w:eastAsia="zh-CN" w:bidi="zh-CN"/>
      </w:rPr>
    </w:lvl>
    <w:lvl w:ilvl="5" w:tentative="0">
      <w:start w:val="0"/>
      <w:numFmt w:val="bullet"/>
      <w:lvlText w:val="•"/>
      <w:lvlJc w:val="left"/>
      <w:pPr>
        <w:ind w:left="4856" w:hanging="601"/>
      </w:pPr>
      <w:rPr>
        <w:rFonts w:hint="default"/>
        <w:lang w:val="zh-CN" w:eastAsia="zh-CN" w:bidi="zh-CN"/>
      </w:rPr>
    </w:lvl>
    <w:lvl w:ilvl="6" w:tentative="0">
      <w:start w:val="0"/>
      <w:numFmt w:val="bullet"/>
      <w:lvlText w:val="•"/>
      <w:lvlJc w:val="left"/>
      <w:pPr>
        <w:ind w:left="5730" w:hanging="601"/>
      </w:pPr>
      <w:rPr>
        <w:rFonts w:hint="default"/>
        <w:lang w:val="zh-CN" w:eastAsia="zh-CN" w:bidi="zh-CN"/>
      </w:rPr>
    </w:lvl>
    <w:lvl w:ilvl="7" w:tentative="0">
      <w:start w:val="0"/>
      <w:numFmt w:val="bullet"/>
      <w:lvlText w:val="•"/>
      <w:lvlJc w:val="left"/>
      <w:pPr>
        <w:ind w:left="6604" w:hanging="601"/>
      </w:pPr>
      <w:rPr>
        <w:rFonts w:hint="default"/>
        <w:lang w:val="zh-CN" w:eastAsia="zh-CN" w:bidi="zh-CN"/>
      </w:rPr>
    </w:lvl>
    <w:lvl w:ilvl="8" w:tentative="0">
      <w:start w:val="0"/>
      <w:numFmt w:val="bullet"/>
      <w:lvlText w:val="•"/>
      <w:lvlJc w:val="left"/>
      <w:pPr>
        <w:ind w:left="7478" w:hanging="601"/>
      </w:pPr>
      <w:rPr>
        <w:rFonts w:hint="default"/>
        <w:lang w:val="zh-CN" w:eastAsia="zh-CN" w:bidi="zh-CN"/>
      </w:rPr>
    </w:lvl>
  </w:abstractNum>
  <w:abstractNum w:abstractNumId="1065">
    <w:nsid w:val="0F44FB56"/>
    <w:multiLevelType w:val="multilevel"/>
    <w:tmpl w:val="0F44FB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6">
    <w:nsid w:val="0F63553C"/>
    <w:multiLevelType w:val="multilevel"/>
    <w:tmpl w:val="0F63553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67">
    <w:nsid w:val="0F929F01"/>
    <w:multiLevelType w:val="multilevel"/>
    <w:tmpl w:val="0F929F0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8">
    <w:nsid w:val="0FB7FDF6"/>
    <w:multiLevelType w:val="multilevel"/>
    <w:tmpl w:val="0FB7FDF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69">
    <w:nsid w:val="0FD9CEB8"/>
    <w:multiLevelType w:val="multilevel"/>
    <w:tmpl w:val="0FD9CEB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70">
    <w:nsid w:val="101BFE3F"/>
    <w:multiLevelType w:val="multilevel"/>
    <w:tmpl w:val="101BFE3F"/>
    <w:lvl w:ilvl="0" w:tentative="0">
      <w:start w:val="1"/>
      <w:numFmt w:val="decimal"/>
      <w:lvlText w:val="%1."/>
      <w:lvlJc w:val="left"/>
      <w:pPr>
        <w:ind w:left="111" w:hanging="24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071">
    <w:nsid w:val="104AE681"/>
    <w:multiLevelType w:val="multilevel"/>
    <w:tmpl w:val="104AE68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72">
    <w:nsid w:val="10502DFD"/>
    <w:multiLevelType w:val="multilevel"/>
    <w:tmpl w:val="10502DF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73">
    <w:nsid w:val="1050A087"/>
    <w:multiLevelType w:val="multilevel"/>
    <w:tmpl w:val="1050A087"/>
    <w:lvl w:ilvl="0" w:tentative="0">
      <w:start w:val="1"/>
      <w:numFmt w:val="decimal"/>
      <w:lvlText w:val="%1."/>
      <w:lvlJc w:val="left"/>
      <w:pPr>
        <w:ind w:left="11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074">
    <w:nsid w:val="1050CA1F"/>
    <w:multiLevelType w:val="multilevel"/>
    <w:tmpl w:val="1050CA1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75">
    <w:nsid w:val="1062B8F3"/>
    <w:multiLevelType w:val="multilevel"/>
    <w:tmpl w:val="1062B8F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76">
    <w:nsid w:val="107F7189"/>
    <w:multiLevelType w:val="multilevel"/>
    <w:tmpl w:val="107F718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77">
    <w:nsid w:val="10B923A8"/>
    <w:multiLevelType w:val="multilevel"/>
    <w:tmpl w:val="10B923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78">
    <w:nsid w:val="10C25DCC"/>
    <w:multiLevelType w:val="multilevel"/>
    <w:tmpl w:val="10C25D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79">
    <w:nsid w:val="10CDBC40"/>
    <w:multiLevelType w:val="multilevel"/>
    <w:tmpl w:val="10CDBC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80">
    <w:nsid w:val="10D591E5"/>
    <w:multiLevelType w:val="multilevel"/>
    <w:tmpl w:val="10D591E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081">
    <w:nsid w:val="10F0DB0B"/>
    <w:multiLevelType w:val="multilevel"/>
    <w:tmpl w:val="10F0DB0B"/>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082">
    <w:nsid w:val="110FA08B"/>
    <w:multiLevelType w:val="multilevel"/>
    <w:tmpl w:val="110FA08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83">
    <w:nsid w:val="1114FB80"/>
    <w:multiLevelType w:val="multilevel"/>
    <w:tmpl w:val="1114FB8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84">
    <w:nsid w:val="1188A971"/>
    <w:multiLevelType w:val="multilevel"/>
    <w:tmpl w:val="1188A9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85">
    <w:nsid w:val="11A38BD5"/>
    <w:multiLevelType w:val="multilevel"/>
    <w:tmpl w:val="11A38BD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86">
    <w:nsid w:val="11B0F97B"/>
    <w:multiLevelType w:val="multilevel"/>
    <w:tmpl w:val="11B0F97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87">
    <w:nsid w:val="11BD8BC5"/>
    <w:multiLevelType w:val="multilevel"/>
    <w:tmpl w:val="11BD8BC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88">
    <w:nsid w:val="12078EB9"/>
    <w:multiLevelType w:val="multilevel"/>
    <w:tmpl w:val="12078EB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89">
    <w:nsid w:val="121B372B"/>
    <w:multiLevelType w:val="multilevel"/>
    <w:tmpl w:val="121B37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0">
    <w:nsid w:val="121B9859"/>
    <w:multiLevelType w:val="multilevel"/>
    <w:tmpl w:val="121B985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1">
    <w:nsid w:val="122EBC2A"/>
    <w:multiLevelType w:val="multilevel"/>
    <w:tmpl w:val="122EBC2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2">
    <w:nsid w:val="1235D097"/>
    <w:multiLevelType w:val="multilevel"/>
    <w:tmpl w:val="1235D09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3">
    <w:nsid w:val="126096EB"/>
    <w:multiLevelType w:val="multilevel"/>
    <w:tmpl w:val="126096E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4">
    <w:nsid w:val="12BA06A0"/>
    <w:multiLevelType w:val="multilevel"/>
    <w:tmpl w:val="12BA06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5">
    <w:nsid w:val="12C680F2"/>
    <w:multiLevelType w:val="multilevel"/>
    <w:tmpl w:val="12C680F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096">
    <w:nsid w:val="12C7B628"/>
    <w:multiLevelType w:val="multilevel"/>
    <w:tmpl w:val="12C7B62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7">
    <w:nsid w:val="12EADF99"/>
    <w:multiLevelType w:val="multilevel"/>
    <w:tmpl w:val="12EADF9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098">
    <w:nsid w:val="13011CCC"/>
    <w:multiLevelType w:val="multilevel"/>
    <w:tmpl w:val="13011C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099">
    <w:nsid w:val="1329A20A"/>
    <w:multiLevelType w:val="multilevel"/>
    <w:tmpl w:val="1329A20A"/>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100">
    <w:nsid w:val="134B8EBD"/>
    <w:multiLevelType w:val="multilevel"/>
    <w:tmpl w:val="134B8EBD"/>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101">
    <w:nsid w:val="13660E3F"/>
    <w:multiLevelType w:val="multilevel"/>
    <w:tmpl w:val="13660E3F"/>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02">
    <w:nsid w:val="1392D064"/>
    <w:multiLevelType w:val="multilevel"/>
    <w:tmpl w:val="1392D06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03">
    <w:nsid w:val="13C29BF4"/>
    <w:multiLevelType w:val="multilevel"/>
    <w:tmpl w:val="13C29BF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04">
    <w:nsid w:val="13C46104"/>
    <w:multiLevelType w:val="multilevel"/>
    <w:tmpl w:val="13C4610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05">
    <w:nsid w:val="13F41F11"/>
    <w:multiLevelType w:val="multilevel"/>
    <w:tmpl w:val="13F41F1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06">
    <w:nsid w:val="14182346"/>
    <w:multiLevelType w:val="multilevel"/>
    <w:tmpl w:val="1418234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07">
    <w:nsid w:val="144C33B5"/>
    <w:multiLevelType w:val="multilevel"/>
    <w:tmpl w:val="144C33B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08">
    <w:nsid w:val="1450273B"/>
    <w:multiLevelType w:val="multilevel"/>
    <w:tmpl w:val="1450273B"/>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09">
    <w:nsid w:val="1483906D"/>
    <w:multiLevelType w:val="multilevel"/>
    <w:tmpl w:val="1483906D"/>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110">
    <w:nsid w:val="14A3B151"/>
    <w:multiLevelType w:val="multilevel"/>
    <w:tmpl w:val="14A3B15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11">
    <w:nsid w:val="14ED8191"/>
    <w:multiLevelType w:val="multilevel"/>
    <w:tmpl w:val="14ED819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12">
    <w:nsid w:val="155D1A6D"/>
    <w:multiLevelType w:val="multilevel"/>
    <w:tmpl w:val="155D1A6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13">
    <w:nsid w:val="156A4D69"/>
    <w:multiLevelType w:val="multilevel"/>
    <w:tmpl w:val="156A4D6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14">
    <w:nsid w:val="156C8688"/>
    <w:multiLevelType w:val="multilevel"/>
    <w:tmpl w:val="156C868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15">
    <w:nsid w:val="165CA270"/>
    <w:multiLevelType w:val="multilevel"/>
    <w:tmpl w:val="165CA27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16">
    <w:nsid w:val="168619FA"/>
    <w:multiLevelType w:val="multilevel"/>
    <w:tmpl w:val="168619F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17">
    <w:nsid w:val="16893A82"/>
    <w:multiLevelType w:val="multilevel"/>
    <w:tmpl w:val="16893A8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18">
    <w:nsid w:val="16D6010C"/>
    <w:multiLevelType w:val="multilevel"/>
    <w:tmpl w:val="16D6010C"/>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19">
    <w:nsid w:val="16DFB5F7"/>
    <w:multiLevelType w:val="multilevel"/>
    <w:tmpl w:val="16DFB5F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20">
    <w:nsid w:val="1705F6FB"/>
    <w:multiLevelType w:val="multilevel"/>
    <w:tmpl w:val="1705F6FB"/>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121">
    <w:nsid w:val="17371721"/>
    <w:multiLevelType w:val="multilevel"/>
    <w:tmpl w:val="1737172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22">
    <w:nsid w:val="176A97AE"/>
    <w:multiLevelType w:val="multilevel"/>
    <w:tmpl w:val="176A97A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23">
    <w:nsid w:val="17F3A6E5"/>
    <w:multiLevelType w:val="multilevel"/>
    <w:tmpl w:val="17F3A6E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24">
    <w:nsid w:val="182AD4A0"/>
    <w:multiLevelType w:val="multilevel"/>
    <w:tmpl w:val="182AD4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25">
    <w:nsid w:val="18542E92"/>
    <w:multiLevelType w:val="multilevel"/>
    <w:tmpl w:val="18542E9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26">
    <w:nsid w:val="18701FDF"/>
    <w:multiLevelType w:val="multilevel"/>
    <w:tmpl w:val="18701FDF"/>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27">
    <w:nsid w:val="187DFE7D"/>
    <w:multiLevelType w:val="multilevel"/>
    <w:tmpl w:val="187DFE7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28">
    <w:nsid w:val="18934006"/>
    <w:multiLevelType w:val="multilevel"/>
    <w:tmpl w:val="1893400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29">
    <w:nsid w:val="18A5DC09"/>
    <w:multiLevelType w:val="multilevel"/>
    <w:tmpl w:val="18A5DC0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30">
    <w:nsid w:val="18F74015"/>
    <w:multiLevelType w:val="multilevel"/>
    <w:tmpl w:val="18F7401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31">
    <w:nsid w:val="190B3876"/>
    <w:multiLevelType w:val="multilevel"/>
    <w:tmpl w:val="190B387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32">
    <w:nsid w:val="192B173A"/>
    <w:multiLevelType w:val="multilevel"/>
    <w:tmpl w:val="192B17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33">
    <w:nsid w:val="194EE8B5"/>
    <w:multiLevelType w:val="multilevel"/>
    <w:tmpl w:val="194EE8B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34">
    <w:nsid w:val="198036A7"/>
    <w:multiLevelType w:val="multilevel"/>
    <w:tmpl w:val="198036A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35">
    <w:nsid w:val="198E42FF"/>
    <w:multiLevelType w:val="multilevel"/>
    <w:tmpl w:val="198E42F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36">
    <w:nsid w:val="19ECCE46"/>
    <w:multiLevelType w:val="multilevel"/>
    <w:tmpl w:val="19ECCE4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37">
    <w:nsid w:val="19FEFB31"/>
    <w:multiLevelType w:val="singleLevel"/>
    <w:tmpl w:val="19FEFB31"/>
    <w:lvl w:ilvl="0" w:tentative="0">
      <w:start w:val="2"/>
      <w:numFmt w:val="chineseCounting"/>
      <w:suff w:val="nothing"/>
      <w:lvlText w:val="（%1）"/>
      <w:lvlJc w:val="left"/>
      <w:rPr>
        <w:rFonts w:hint="eastAsia"/>
      </w:rPr>
    </w:lvl>
  </w:abstractNum>
  <w:abstractNum w:abstractNumId="1138">
    <w:nsid w:val="1A0EC75D"/>
    <w:multiLevelType w:val="multilevel"/>
    <w:tmpl w:val="1A0EC75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39">
    <w:nsid w:val="1A18D2BF"/>
    <w:multiLevelType w:val="multilevel"/>
    <w:tmpl w:val="1A18D2B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40">
    <w:nsid w:val="1A1F6104"/>
    <w:multiLevelType w:val="multilevel"/>
    <w:tmpl w:val="1A1F610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41">
    <w:nsid w:val="1A2E8226"/>
    <w:multiLevelType w:val="multilevel"/>
    <w:tmpl w:val="1A2E822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42">
    <w:nsid w:val="1A79278E"/>
    <w:multiLevelType w:val="multilevel"/>
    <w:tmpl w:val="1A79278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43">
    <w:nsid w:val="1A95692C"/>
    <w:multiLevelType w:val="multilevel"/>
    <w:tmpl w:val="1A95692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44">
    <w:nsid w:val="1AC52A5E"/>
    <w:multiLevelType w:val="multilevel"/>
    <w:tmpl w:val="1AC52A5E"/>
    <w:lvl w:ilvl="0" w:tentative="0">
      <w:start w:val="1"/>
      <w:numFmt w:val="decimal"/>
      <w:lvlText w:val="%1."/>
      <w:lvlJc w:val="left"/>
      <w:pPr>
        <w:ind w:left="111" w:hanging="24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145">
    <w:nsid w:val="1ACDE60F"/>
    <w:multiLevelType w:val="multilevel"/>
    <w:tmpl w:val="1ACDE60F"/>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46">
    <w:nsid w:val="1AD50295"/>
    <w:multiLevelType w:val="multilevel"/>
    <w:tmpl w:val="1AD5029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47">
    <w:nsid w:val="1AF2C9F0"/>
    <w:multiLevelType w:val="multilevel"/>
    <w:tmpl w:val="1AF2C9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48">
    <w:nsid w:val="1B3FCE26"/>
    <w:multiLevelType w:val="multilevel"/>
    <w:tmpl w:val="1B3FCE26"/>
    <w:lvl w:ilvl="0" w:tentative="0">
      <w:start w:val="2"/>
      <w:numFmt w:val="decimal"/>
      <w:lvlText w:val="%1."/>
      <w:lvlJc w:val="left"/>
      <w:pPr>
        <w:ind w:left="712" w:hanging="241"/>
        <w:jc w:val="left"/>
      </w:pPr>
      <w:rPr>
        <w:rFonts w:hint="default" w:ascii="宋体" w:hAnsi="宋体" w:eastAsia="宋体" w:cs="宋体"/>
        <w:w w:val="100"/>
        <w:sz w:val="22"/>
        <w:szCs w:val="22"/>
        <w:lang w:val="zh-CN" w:eastAsia="zh-CN" w:bidi="zh-CN"/>
      </w:rPr>
    </w:lvl>
    <w:lvl w:ilvl="1" w:tentative="0">
      <w:start w:val="2"/>
      <w:numFmt w:val="decimal"/>
      <w:lvlText w:val="%2."/>
      <w:lvlJc w:val="left"/>
      <w:pPr>
        <w:ind w:left="832" w:hanging="24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771" w:hanging="241"/>
      </w:pPr>
      <w:rPr>
        <w:rFonts w:hint="default"/>
        <w:lang w:val="zh-CN" w:eastAsia="zh-CN" w:bidi="zh-CN"/>
      </w:rPr>
    </w:lvl>
    <w:lvl w:ilvl="3" w:tentative="0">
      <w:start w:val="0"/>
      <w:numFmt w:val="bullet"/>
      <w:lvlText w:val="•"/>
      <w:lvlJc w:val="left"/>
      <w:pPr>
        <w:ind w:left="2703" w:hanging="241"/>
      </w:pPr>
      <w:rPr>
        <w:rFonts w:hint="default"/>
        <w:lang w:val="zh-CN" w:eastAsia="zh-CN" w:bidi="zh-CN"/>
      </w:rPr>
    </w:lvl>
    <w:lvl w:ilvl="4" w:tentative="0">
      <w:start w:val="0"/>
      <w:numFmt w:val="bullet"/>
      <w:lvlText w:val="•"/>
      <w:lvlJc w:val="left"/>
      <w:pPr>
        <w:ind w:left="3635" w:hanging="241"/>
      </w:pPr>
      <w:rPr>
        <w:rFonts w:hint="default"/>
        <w:lang w:val="zh-CN" w:eastAsia="zh-CN" w:bidi="zh-CN"/>
      </w:rPr>
    </w:lvl>
    <w:lvl w:ilvl="5" w:tentative="0">
      <w:start w:val="0"/>
      <w:numFmt w:val="bullet"/>
      <w:lvlText w:val="•"/>
      <w:lvlJc w:val="left"/>
      <w:pPr>
        <w:ind w:left="4567" w:hanging="241"/>
      </w:pPr>
      <w:rPr>
        <w:rFonts w:hint="default"/>
        <w:lang w:val="zh-CN" w:eastAsia="zh-CN" w:bidi="zh-CN"/>
      </w:rPr>
    </w:lvl>
    <w:lvl w:ilvl="6" w:tentative="0">
      <w:start w:val="0"/>
      <w:numFmt w:val="bullet"/>
      <w:lvlText w:val="•"/>
      <w:lvlJc w:val="left"/>
      <w:pPr>
        <w:ind w:left="5498" w:hanging="241"/>
      </w:pPr>
      <w:rPr>
        <w:rFonts w:hint="default"/>
        <w:lang w:val="zh-CN" w:eastAsia="zh-CN" w:bidi="zh-CN"/>
      </w:rPr>
    </w:lvl>
    <w:lvl w:ilvl="7" w:tentative="0">
      <w:start w:val="0"/>
      <w:numFmt w:val="bullet"/>
      <w:lvlText w:val="•"/>
      <w:lvlJc w:val="left"/>
      <w:pPr>
        <w:ind w:left="6430" w:hanging="241"/>
      </w:pPr>
      <w:rPr>
        <w:rFonts w:hint="default"/>
        <w:lang w:val="zh-CN" w:eastAsia="zh-CN" w:bidi="zh-CN"/>
      </w:rPr>
    </w:lvl>
    <w:lvl w:ilvl="8" w:tentative="0">
      <w:start w:val="0"/>
      <w:numFmt w:val="bullet"/>
      <w:lvlText w:val="•"/>
      <w:lvlJc w:val="left"/>
      <w:pPr>
        <w:ind w:left="7362" w:hanging="241"/>
      </w:pPr>
      <w:rPr>
        <w:rFonts w:hint="default"/>
        <w:lang w:val="zh-CN" w:eastAsia="zh-CN" w:bidi="zh-CN"/>
      </w:rPr>
    </w:lvl>
  </w:abstractNum>
  <w:abstractNum w:abstractNumId="1149">
    <w:nsid w:val="1BA2F41E"/>
    <w:multiLevelType w:val="multilevel"/>
    <w:tmpl w:val="1BA2F41E"/>
    <w:lvl w:ilvl="0" w:tentative="0">
      <w:start w:val="1"/>
      <w:numFmt w:val="decimal"/>
      <w:lvlText w:val="%1."/>
      <w:lvlJc w:val="left"/>
      <w:pPr>
        <w:ind w:left="111" w:hanging="241"/>
        <w:jc w:val="left"/>
      </w:pPr>
      <w:rPr>
        <w:rFonts w:hint="default" w:ascii="宋体" w:hAnsi="宋体" w:eastAsia="宋体" w:cs="宋体"/>
        <w:spacing w:val="-12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150">
    <w:nsid w:val="1BCBBCF0"/>
    <w:multiLevelType w:val="multilevel"/>
    <w:tmpl w:val="1BCBBC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51">
    <w:nsid w:val="1BF814CF"/>
    <w:multiLevelType w:val="multilevel"/>
    <w:tmpl w:val="1BF814C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52">
    <w:nsid w:val="1C01D09A"/>
    <w:multiLevelType w:val="multilevel"/>
    <w:tmpl w:val="1C01D09A"/>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53">
    <w:nsid w:val="1C1011BE"/>
    <w:multiLevelType w:val="multilevel"/>
    <w:tmpl w:val="1C1011B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54">
    <w:nsid w:val="1C257C7B"/>
    <w:multiLevelType w:val="multilevel"/>
    <w:tmpl w:val="1C257C7B"/>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155">
    <w:nsid w:val="1C32D992"/>
    <w:multiLevelType w:val="multilevel"/>
    <w:tmpl w:val="1C32D99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56">
    <w:nsid w:val="1C8888C5"/>
    <w:multiLevelType w:val="multilevel"/>
    <w:tmpl w:val="1C8888C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57">
    <w:nsid w:val="1CC88F42"/>
    <w:multiLevelType w:val="multilevel"/>
    <w:tmpl w:val="1CC88F4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58">
    <w:nsid w:val="1CCECDCD"/>
    <w:multiLevelType w:val="multilevel"/>
    <w:tmpl w:val="1CCECDC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59">
    <w:nsid w:val="1CD5B8CE"/>
    <w:multiLevelType w:val="multilevel"/>
    <w:tmpl w:val="1CD5B8C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60">
    <w:nsid w:val="1D26195F"/>
    <w:multiLevelType w:val="singleLevel"/>
    <w:tmpl w:val="1D26195F"/>
    <w:lvl w:ilvl="0" w:tentative="0">
      <w:start w:val="2"/>
      <w:numFmt w:val="chineseCounting"/>
      <w:suff w:val="nothing"/>
      <w:lvlText w:val="（%1）"/>
      <w:lvlJc w:val="left"/>
      <w:rPr>
        <w:rFonts w:hint="eastAsia"/>
      </w:rPr>
    </w:lvl>
  </w:abstractNum>
  <w:abstractNum w:abstractNumId="1161">
    <w:nsid w:val="1D6DAF0C"/>
    <w:multiLevelType w:val="multilevel"/>
    <w:tmpl w:val="1D6DAF0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62">
    <w:nsid w:val="1D9A05A5"/>
    <w:multiLevelType w:val="multilevel"/>
    <w:tmpl w:val="1D9A05A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63">
    <w:nsid w:val="1DEB737C"/>
    <w:multiLevelType w:val="multilevel"/>
    <w:tmpl w:val="1DEB737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64">
    <w:nsid w:val="1DF1A7CD"/>
    <w:multiLevelType w:val="multilevel"/>
    <w:tmpl w:val="1DF1A7C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65">
    <w:nsid w:val="1E999919"/>
    <w:multiLevelType w:val="multilevel"/>
    <w:tmpl w:val="1E99991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66">
    <w:nsid w:val="1EABE6B2"/>
    <w:multiLevelType w:val="multilevel"/>
    <w:tmpl w:val="1EABE6B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67">
    <w:nsid w:val="1ECF1797"/>
    <w:multiLevelType w:val="multilevel"/>
    <w:tmpl w:val="1ECF179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68">
    <w:nsid w:val="1F02C320"/>
    <w:multiLevelType w:val="multilevel"/>
    <w:tmpl w:val="1F02C3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69">
    <w:nsid w:val="1F95E9F5"/>
    <w:multiLevelType w:val="multilevel"/>
    <w:tmpl w:val="1F95E9F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0">
    <w:nsid w:val="1F9ED767"/>
    <w:multiLevelType w:val="multilevel"/>
    <w:tmpl w:val="1F9ED7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1">
    <w:nsid w:val="1FAF2786"/>
    <w:multiLevelType w:val="multilevel"/>
    <w:tmpl w:val="1FAF278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2">
    <w:nsid w:val="2006E06D"/>
    <w:multiLevelType w:val="multilevel"/>
    <w:tmpl w:val="2006E06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3">
    <w:nsid w:val="2007DCFD"/>
    <w:multiLevelType w:val="multilevel"/>
    <w:tmpl w:val="2007DCF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4">
    <w:nsid w:val="205B7091"/>
    <w:multiLevelType w:val="multilevel"/>
    <w:tmpl w:val="205B709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5">
    <w:nsid w:val="207A96BE"/>
    <w:multiLevelType w:val="multilevel"/>
    <w:tmpl w:val="207A96B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6">
    <w:nsid w:val="20AD8CBF"/>
    <w:multiLevelType w:val="multilevel"/>
    <w:tmpl w:val="20AD8CB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7">
    <w:nsid w:val="20CDEC22"/>
    <w:multiLevelType w:val="multilevel"/>
    <w:tmpl w:val="20CDEC2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78">
    <w:nsid w:val="20D56906"/>
    <w:multiLevelType w:val="multilevel"/>
    <w:tmpl w:val="20D5690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79">
    <w:nsid w:val="20E06AF1"/>
    <w:multiLevelType w:val="multilevel"/>
    <w:tmpl w:val="20E06A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0">
    <w:nsid w:val="217E2A2E"/>
    <w:multiLevelType w:val="multilevel"/>
    <w:tmpl w:val="217E2A2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1">
    <w:nsid w:val="2187EE65"/>
    <w:multiLevelType w:val="multilevel"/>
    <w:tmpl w:val="2187EE6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2">
    <w:nsid w:val="21B3B1B1"/>
    <w:multiLevelType w:val="multilevel"/>
    <w:tmpl w:val="21B3B1B1"/>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83">
    <w:nsid w:val="21CE3556"/>
    <w:multiLevelType w:val="multilevel"/>
    <w:tmpl w:val="21CE35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4">
    <w:nsid w:val="2239F2A4"/>
    <w:multiLevelType w:val="multilevel"/>
    <w:tmpl w:val="2239F2A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5">
    <w:nsid w:val="227C9188"/>
    <w:multiLevelType w:val="multilevel"/>
    <w:tmpl w:val="227C918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6">
    <w:nsid w:val="22E958DB"/>
    <w:multiLevelType w:val="multilevel"/>
    <w:tmpl w:val="22E958DB"/>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87">
    <w:nsid w:val="23BE88EB"/>
    <w:multiLevelType w:val="multilevel"/>
    <w:tmpl w:val="23BE88E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8">
    <w:nsid w:val="23C8D8BA"/>
    <w:multiLevelType w:val="multilevel"/>
    <w:tmpl w:val="23C8D8B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89">
    <w:nsid w:val="23C8E86F"/>
    <w:multiLevelType w:val="multilevel"/>
    <w:tmpl w:val="23C8E86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90">
    <w:nsid w:val="23CF5DFF"/>
    <w:multiLevelType w:val="multilevel"/>
    <w:tmpl w:val="23CF5DF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91">
    <w:nsid w:val="23E1AABD"/>
    <w:multiLevelType w:val="multilevel"/>
    <w:tmpl w:val="23E1AAB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92">
    <w:nsid w:val="23E97754"/>
    <w:multiLevelType w:val="multilevel"/>
    <w:tmpl w:val="23E9775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93">
    <w:nsid w:val="243FCF68"/>
    <w:multiLevelType w:val="multilevel"/>
    <w:tmpl w:val="243FCF68"/>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194">
    <w:nsid w:val="2456130E"/>
    <w:multiLevelType w:val="multilevel"/>
    <w:tmpl w:val="2456130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95">
    <w:nsid w:val="2470EC97"/>
    <w:multiLevelType w:val="multilevel"/>
    <w:tmpl w:val="2470EC97"/>
    <w:lvl w:ilvl="0" w:tentative="0">
      <w:start w:val="1"/>
      <w:numFmt w:val="decimal"/>
      <w:lvlText w:val="（%1）"/>
      <w:lvlJc w:val="left"/>
      <w:pPr>
        <w:ind w:left="1198" w:hanging="608"/>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2002" w:hanging="608"/>
      </w:pPr>
      <w:rPr>
        <w:rFonts w:hint="default"/>
        <w:lang w:val="zh-CN" w:eastAsia="zh-CN" w:bidi="zh-CN"/>
      </w:rPr>
    </w:lvl>
    <w:lvl w:ilvl="2" w:tentative="0">
      <w:start w:val="0"/>
      <w:numFmt w:val="bullet"/>
      <w:lvlText w:val="•"/>
      <w:lvlJc w:val="left"/>
      <w:pPr>
        <w:ind w:left="2805" w:hanging="608"/>
      </w:pPr>
      <w:rPr>
        <w:rFonts w:hint="default"/>
        <w:lang w:val="zh-CN" w:eastAsia="zh-CN" w:bidi="zh-CN"/>
      </w:rPr>
    </w:lvl>
    <w:lvl w:ilvl="3" w:tentative="0">
      <w:start w:val="0"/>
      <w:numFmt w:val="bullet"/>
      <w:lvlText w:val="•"/>
      <w:lvlJc w:val="left"/>
      <w:pPr>
        <w:ind w:left="3607" w:hanging="608"/>
      </w:pPr>
      <w:rPr>
        <w:rFonts w:hint="default"/>
        <w:lang w:val="zh-CN" w:eastAsia="zh-CN" w:bidi="zh-CN"/>
      </w:rPr>
    </w:lvl>
    <w:lvl w:ilvl="4" w:tentative="0">
      <w:start w:val="0"/>
      <w:numFmt w:val="bullet"/>
      <w:lvlText w:val="•"/>
      <w:lvlJc w:val="left"/>
      <w:pPr>
        <w:ind w:left="4410" w:hanging="608"/>
      </w:pPr>
      <w:rPr>
        <w:rFonts w:hint="default"/>
        <w:lang w:val="zh-CN" w:eastAsia="zh-CN" w:bidi="zh-CN"/>
      </w:rPr>
    </w:lvl>
    <w:lvl w:ilvl="5" w:tentative="0">
      <w:start w:val="0"/>
      <w:numFmt w:val="bullet"/>
      <w:lvlText w:val="•"/>
      <w:lvlJc w:val="left"/>
      <w:pPr>
        <w:ind w:left="5213" w:hanging="608"/>
      </w:pPr>
      <w:rPr>
        <w:rFonts w:hint="default"/>
        <w:lang w:val="zh-CN" w:eastAsia="zh-CN" w:bidi="zh-CN"/>
      </w:rPr>
    </w:lvl>
    <w:lvl w:ilvl="6" w:tentative="0">
      <w:start w:val="0"/>
      <w:numFmt w:val="bullet"/>
      <w:lvlText w:val="•"/>
      <w:lvlJc w:val="left"/>
      <w:pPr>
        <w:ind w:left="6015" w:hanging="608"/>
      </w:pPr>
      <w:rPr>
        <w:rFonts w:hint="default"/>
        <w:lang w:val="zh-CN" w:eastAsia="zh-CN" w:bidi="zh-CN"/>
      </w:rPr>
    </w:lvl>
    <w:lvl w:ilvl="7" w:tentative="0">
      <w:start w:val="0"/>
      <w:numFmt w:val="bullet"/>
      <w:lvlText w:val="•"/>
      <w:lvlJc w:val="left"/>
      <w:pPr>
        <w:ind w:left="6818" w:hanging="608"/>
      </w:pPr>
      <w:rPr>
        <w:rFonts w:hint="default"/>
        <w:lang w:val="zh-CN" w:eastAsia="zh-CN" w:bidi="zh-CN"/>
      </w:rPr>
    </w:lvl>
    <w:lvl w:ilvl="8" w:tentative="0">
      <w:start w:val="0"/>
      <w:numFmt w:val="bullet"/>
      <w:lvlText w:val="•"/>
      <w:lvlJc w:val="left"/>
      <w:pPr>
        <w:ind w:left="7620" w:hanging="608"/>
      </w:pPr>
      <w:rPr>
        <w:rFonts w:hint="default"/>
        <w:lang w:val="zh-CN" w:eastAsia="zh-CN" w:bidi="zh-CN"/>
      </w:rPr>
    </w:lvl>
  </w:abstractNum>
  <w:abstractNum w:abstractNumId="1196">
    <w:nsid w:val="249218D2"/>
    <w:multiLevelType w:val="multilevel"/>
    <w:tmpl w:val="249218D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97">
    <w:nsid w:val="249DD600"/>
    <w:multiLevelType w:val="multilevel"/>
    <w:tmpl w:val="249DD6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198">
    <w:nsid w:val="24B59040"/>
    <w:multiLevelType w:val="multilevel"/>
    <w:tmpl w:val="24B5904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199">
    <w:nsid w:val="24D0CBB6"/>
    <w:multiLevelType w:val="multilevel"/>
    <w:tmpl w:val="24D0CBB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00">
    <w:nsid w:val="24D7133C"/>
    <w:multiLevelType w:val="multilevel"/>
    <w:tmpl w:val="24D7133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01">
    <w:nsid w:val="24DCFC00"/>
    <w:multiLevelType w:val="multilevel"/>
    <w:tmpl w:val="24DCFC0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02">
    <w:nsid w:val="24DEA6D7"/>
    <w:multiLevelType w:val="multilevel"/>
    <w:tmpl w:val="24DEA6D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03">
    <w:nsid w:val="24E08DDF"/>
    <w:multiLevelType w:val="multilevel"/>
    <w:tmpl w:val="24E08DD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04">
    <w:nsid w:val="251342A6"/>
    <w:multiLevelType w:val="multilevel"/>
    <w:tmpl w:val="251342A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05">
    <w:nsid w:val="251DC481"/>
    <w:multiLevelType w:val="multilevel"/>
    <w:tmpl w:val="251DC48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06">
    <w:nsid w:val="2526B1D4"/>
    <w:multiLevelType w:val="multilevel"/>
    <w:tmpl w:val="2526B1D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07">
    <w:nsid w:val="252BF6AB"/>
    <w:multiLevelType w:val="multilevel"/>
    <w:tmpl w:val="252BF6A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08">
    <w:nsid w:val="25B654F3"/>
    <w:multiLevelType w:val="multilevel"/>
    <w:tmpl w:val="25B654F3"/>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209">
    <w:nsid w:val="25D327E9"/>
    <w:multiLevelType w:val="multilevel"/>
    <w:tmpl w:val="25D327E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10">
    <w:nsid w:val="25ED39A2"/>
    <w:multiLevelType w:val="multilevel"/>
    <w:tmpl w:val="25ED39A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11">
    <w:nsid w:val="25F55FC0"/>
    <w:multiLevelType w:val="multilevel"/>
    <w:tmpl w:val="25F55FC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12">
    <w:nsid w:val="25F96763"/>
    <w:multiLevelType w:val="multilevel"/>
    <w:tmpl w:val="25F9676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13">
    <w:nsid w:val="26107EA8"/>
    <w:multiLevelType w:val="multilevel"/>
    <w:tmpl w:val="26107E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14">
    <w:nsid w:val="262771B7"/>
    <w:multiLevelType w:val="multilevel"/>
    <w:tmpl w:val="262771B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15">
    <w:nsid w:val="269945CE"/>
    <w:multiLevelType w:val="multilevel"/>
    <w:tmpl w:val="269945CE"/>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216">
    <w:nsid w:val="26C3C0B7"/>
    <w:multiLevelType w:val="multilevel"/>
    <w:tmpl w:val="26C3C0B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17">
    <w:nsid w:val="26ED07C6"/>
    <w:multiLevelType w:val="singleLevel"/>
    <w:tmpl w:val="26ED07C6"/>
    <w:lvl w:ilvl="0" w:tentative="0">
      <w:start w:val="1"/>
      <w:numFmt w:val="chineseCounting"/>
      <w:suff w:val="nothing"/>
      <w:lvlText w:val="（%1）"/>
      <w:lvlJc w:val="left"/>
      <w:rPr>
        <w:rFonts w:hint="eastAsia"/>
      </w:rPr>
    </w:lvl>
  </w:abstractNum>
  <w:abstractNum w:abstractNumId="1218">
    <w:nsid w:val="26F29DDD"/>
    <w:multiLevelType w:val="multilevel"/>
    <w:tmpl w:val="26F29DD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19">
    <w:nsid w:val="26F7CC15"/>
    <w:multiLevelType w:val="multilevel"/>
    <w:tmpl w:val="26F7CC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0">
    <w:nsid w:val="27100879"/>
    <w:multiLevelType w:val="multilevel"/>
    <w:tmpl w:val="2710087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1">
    <w:nsid w:val="271CCF3B"/>
    <w:multiLevelType w:val="multilevel"/>
    <w:tmpl w:val="271CCF3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2">
    <w:nsid w:val="273B1DAE"/>
    <w:multiLevelType w:val="multilevel"/>
    <w:tmpl w:val="273B1DA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3">
    <w:nsid w:val="274D3D9B"/>
    <w:multiLevelType w:val="multilevel"/>
    <w:tmpl w:val="274D3D9B"/>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224">
    <w:nsid w:val="27511190"/>
    <w:multiLevelType w:val="multilevel"/>
    <w:tmpl w:val="2751119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25">
    <w:nsid w:val="27530360"/>
    <w:multiLevelType w:val="multilevel"/>
    <w:tmpl w:val="2753036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6">
    <w:nsid w:val="27FA7897"/>
    <w:multiLevelType w:val="multilevel"/>
    <w:tmpl w:val="27FA789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7">
    <w:nsid w:val="28234265"/>
    <w:multiLevelType w:val="multilevel"/>
    <w:tmpl w:val="2823426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8">
    <w:nsid w:val="28443724"/>
    <w:multiLevelType w:val="multilevel"/>
    <w:tmpl w:val="2844372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29">
    <w:nsid w:val="2852B9E1"/>
    <w:multiLevelType w:val="multilevel"/>
    <w:tmpl w:val="2852B9E1"/>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230">
    <w:nsid w:val="28A4874A"/>
    <w:multiLevelType w:val="multilevel"/>
    <w:tmpl w:val="28A4874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31">
    <w:nsid w:val="28A9CCBB"/>
    <w:multiLevelType w:val="multilevel"/>
    <w:tmpl w:val="28A9CCB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32">
    <w:nsid w:val="28DD0C15"/>
    <w:multiLevelType w:val="multilevel"/>
    <w:tmpl w:val="28DD0C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33">
    <w:nsid w:val="28F580AA"/>
    <w:multiLevelType w:val="multilevel"/>
    <w:tmpl w:val="28F580A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34">
    <w:nsid w:val="2928378A"/>
    <w:multiLevelType w:val="multilevel"/>
    <w:tmpl w:val="2928378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35">
    <w:nsid w:val="293F15C2"/>
    <w:multiLevelType w:val="multilevel"/>
    <w:tmpl w:val="293F15C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36">
    <w:nsid w:val="29485217"/>
    <w:multiLevelType w:val="multilevel"/>
    <w:tmpl w:val="29485217"/>
    <w:lvl w:ilvl="0" w:tentative="0">
      <w:start w:val="1"/>
      <w:numFmt w:val="decimal"/>
      <w:lvlText w:val="%1."/>
      <w:lvlJc w:val="left"/>
      <w:pPr>
        <w:ind w:left="111"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237">
    <w:nsid w:val="296758A0"/>
    <w:multiLevelType w:val="multilevel"/>
    <w:tmpl w:val="296758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38">
    <w:nsid w:val="2A346C2F"/>
    <w:multiLevelType w:val="multilevel"/>
    <w:tmpl w:val="2A346C2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39">
    <w:nsid w:val="2A505C15"/>
    <w:multiLevelType w:val="multilevel"/>
    <w:tmpl w:val="2A505C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40">
    <w:nsid w:val="2A51DF24"/>
    <w:multiLevelType w:val="multilevel"/>
    <w:tmpl w:val="2A51DF2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41">
    <w:nsid w:val="2A6772FC"/>
    <w:multiLevelType w:val="multilevel"/>
    <w:tmpl w:val="2A6772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42">
    <w:nsid w:val="2A8F537B"/>
    <w:multiLevelType w:val="multilevel"/>
    <w:tmpl w:val="2A8F537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43">
    <w:nsid w:val="2ABD6A1C"/>
    <w:multiLevelType w:val="multilevel"/>
    <w:tmpl w:val="2ABD6A1C"/>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244">
    <w:nsid w:val="2AE0B401"/>
    <w:multiLevelType w:val="multilevel"/>
    <w:tmpl w:val="2AE0B40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45">
    <w:nsid w:val="2B0469BD"/>
    <w:multiLevelType w:val="multilevel"/>
    <w:tmpl w:val="2B0469B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46">
    <w:nsid w:val="2B131D4F"/>
    <w:multiLevelType w:val="multilevel"/>
    <w:tmpl w:val="2B131D4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47">
    <w:nsid w:val="2B1E4B25"/>
    <w:multiLevelType w:val="multilevel"/>
    <w:tmpl w:val="2B1E4B2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48">
    <w:nsid w:val="2B3F3F89"/>
    <w:multiLevelType w:val="multilevel"/>
    <w:tmpl w:val="2B3F3F89"/>
    <w:lvl w:ilvl="0" w:tentative="0">
      <w:start w:val="1"/>
      <w:numFmt w:val="decimal"/>
      <w:lvlText w:val="（%1）"/>
      <w:lvlJc w:val="left"/>
      <w:pPr>
        <w:ind w:left="111" w:hanging="608"/>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1030" w:hanging="608"/>
      </w:pPr>
      <w:rPr>
        <w:rFonts w:hint="default"/>
        <w:lang w:val="zh-CN" w:eastAsia="zh-CN" w:bidi="zh-CN"/>
      </w:rPr>
    </w:lvl>
    <w:lvl w:ilvl="2" w:tentative="0">
      <w:start w:val="0"/>
      <w:numFmt w:val="bullet"/>
      <w:lvlText w:val="•"/>
      <w:lvlJc w:val="left"/>
      <w:pPr>
        <w:ind w:left="1941" w:hanging="608"/>
      </w:pPr>
      <w:rPr>
        <w:rFonts w:hint="default"/>
        <w:lang w:val="zh-CN" w:eastAsia="zh-CN" w:bidi="zh-CN"/>
      </w:rPr>
    </w:lvl>
    <w:lvl w:ilvl="3" w:tentative="0">
      <w:start w:val="0"/>
      <w:numFmt w:val="bullet"/>
      <w:lvlText w:val="•"/>
      <w:lvlJc w:val="left"/>
      <w:pPr>
        <w:ind w:left="2851" w:hanging="608"/>
      </w:pPr>
      <w:rPr>
        <w:rFonts w:hint="default"/>
        <w:lang w:val="zh-CN" w:eastAsia="zh-CN" w:bidi="zh-CN"/>
      </w:rPr>
    </w:lvl>
    <w:lvl w:ilvl="4" w:tentative="0">
      <w:start w:val="0"/>
      <w:numFmt w:val="bullet"/>
      <w:lvlText w:val="•"/>
      <w:lvlJc w:val="left"/>
      <w:pPr>
        <w:ind w:left="3762" w:hanging="608"/>
      </w:pPr>
      <w:rPr>
        <w:rFonts w:hint="default"/>
        <w:lang w:val="zh-CN" w:eastAsia="zh-CN" w:bidi="zh-CN"/>
      </w:rPr>
    </w:lvl>
    <w:lvl w:ilvl="5" w:tentative="0">
      <w:start w:val="0"/>
      <w:numFmt w:val="bullet"/>
      <w:lvlText w:val="•"/>
      <w:lvlJc w:val="left"/>
      <w:pPr>
        <w:ind w:left="4673" w:hanging="608"/>
      </w:pPr>
      <w:rPr>
        <w:rFonts w:hint="default"/>
        <w:lang w:val="zh-CN" w:eastAsia="zh-CN" w:bidi="zh-CN"/>
      </w:rPr>
    </w:lvl>
    <w:lvl w:ilvl="6" w:tentative="0">
      <w:start w:val="0"/>
      <w:numFmt w:val="bullet"/>
      <w:lvlText w:val="•"/>
      <w:lvlJc w:val="left"/>
      <w:pPr>
        <w:ind w:left="5583" w:hanging="608"/>
      </w:pPr>
      <w:rPr>
        <w:rFonts w:hint="default"/>
        <w:lang w:val="zh-CN" w:eastAsia="zh-CN" w:bidi="zh-CN"/>
      </w:rPr>
    </w:lvl>
    <w:lvl w:ilvl="7" w:tentative="0">
      <w:start w:val="0"/>
      <w:numFmt w:val="bullet"/>
      <w:lvlText w:val="•"/>
      <w:lvlJc w:val="left"/>
      <w:pPr>
        <w:ind w:left="6494" w:hanging="608"/>
      </w:pPr>
      <w:rPr>
        <w:rFonts w:hint="default"/>
        <w:lang w:val="zh-CN" w:eastAsia="zh-CN" w:bidi="zh-CN"/>
      </w:rPr>
    </w:lvl>
    <w:lvl w:ilvl="8" w:tentative="0">
      <w:start w:val="0"/>
      <w:numFmt w:val="bullet"/>
      <w:lvlText w:val="•"/>
      <w:lvlJc w:val="left"/>
      <w:pPr>
        <w:ind w:left="7404" w:hanging="608"/>
      </w:pPr>
      <w:rPr>
        <w:rFonts w:hint="default"/>
        <w:lang w:val="zh-CN" w:eastAsia="zh-CN" w:bidi="zh-CN"/>
      </w:rPr>
    </w:lvl>
  </w:abstractNum>
  <w:abstractNum w:abstractNumId="1249">
    <w:nsid w:val="2B4069AC"/>
    <w:multiLevelType w:val="multilevel"/>
    <w:tmpl w:val="2B4069A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0">
    <w:nsid w:val="2B4AFE0F"/>
    <w:multiLevelType w:val="multilevel"/>
    <w:tmpl w:val="2B4AFE0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51">
    <w:nsid w:val="2B62DA62"/>
    <w:multiLevelType w:val="multilevel"/>
    <w:tmpl w:val="2B62DA6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2">
    <w:nsid w:val="2B8BF6AB"/>
    <w:multiLevelType w:val="singleLevel"/>
    <w:tmpl w:val="2B8BF6AB"/>
    <w:lvl w:ilvl="0" w:tentative="0">
      <w:start w:val="1"/>
      <w:numFmt w:val="chineseCounting"/>
      <w:suff w:val="nothing"/>
      <w:lvlText w:val="（%1）"/>
      <w:lvlJc w:val="left"/>
      <w:rPr>
        <w:rFonts w:hint="eastAsia"/>
      </w:rPr>
    </w:lvl>
  </w:abstractNum>
  <w:abstractNum w:abstractNumId="1253">
    <w:nsid w:val="2BC516A1"/>
    <w:multiLevelType w:val="multilevel"/>
    <w:tmpl w:val="2BC516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4">
    <w:nsid w:val="2BD464CA"/>
    <w:multiLevelType w:val="multilevel"/>
    <w:tmpl w:val="2BD464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5">
    <w:nsid w:val="2BF85AC6"/>
    <w:multiLevelType w:val="multilevel"/>
    <w:tmpl w:val="2BF85AC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6">
    <w:nsid w:val="2C262349"/>
    <w:multiLevelType w:val="multilevel"/>
    <w:tmpl w:val="2C26234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7">
    <w:nsid w:val="2C26ABA8"/>
    <w:multiLevelType w:val="multilevel"/>
    <w:tmpl w:val="2C26AB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8">
    <w:nsid w:val="2C583171"/>
    <w:multiLevelType w:val="multilevel"/>
    <w:tmpl w:val="2C5831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59">
    <w:nsid w:val="2C75C9E8"/>
    <w:multiLevelType w:val="singleLevel"/>
    <w:tmpl w:val="2C75C9E8"/>
    <w:lvl w:ilvl="0" w:tentative="0">
      <w:start w:val="1"/>
      <w:numFmt w:val="chineseCounting"/>
      <w:suff w:val="nothing"/>
      <w:lvlText w:val="（%1）"/>
      <w:lvlJc w:val="left"/>
      <w:pPr>
        <w:ind w:left="963" w:leftChars="0" w:firstLine="0" w:firstLineChars="0"/>
      </w:pPr>
      <w:rPr>
        <w:rFonts w:hint="eastAsia"/>
      </w:rPr>
    </w:lvl>
  </w:abstractNum>
  <w:abstractNum w:abstractNumId="1260">
    <w:nsid w:val="2C9424EE"/>
    <w:multiLevelType w:val="multilevel"/>
    <w:tmpl w:val="2C9424E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61">
    <w:nsid w:val="2CA8A535"/>
    <w:multiLevelType w:val="multilevel"/>
    <w:tmpl w:val="2CA8A53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62">
    <w:nsid w:val="2CB48C2D"/>
    <w:multiLevelType w:val="multilevel"/>
    <w:tmpl w:val="2CB48C2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63">
    <w:nsid w:val="2CE3198B"/>
    <w:multiLevelType w:val="multilevel"/>
    <w:tmpl w:val="2CE3198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64">
    <w:nsid w:val="2D080DA8"/>
    <w:multiLevelType w:val="multilevel"/>
    <w:tmpl w:val="2D080D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65">
    <w:nsid w:val="2D0EF0BD"/>
    <w:multiLevelType w:val="multilevel"/>
    <w:tmpl w:val="2D0EF0B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66">
    <w:nsid w:val="2D1371ED"/>
    <w:multiLevelType w:val="multilevel"/>
    <w:tmpl w:val="2D1371E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67">
    <w:nsid w:val="2D1F1362"/>
    <w:multiLevelType w:val="multilevel"/>
    <w:tmpl w:val="2D1F1362"/>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268">
    <w:nsid w:val="2D2F6D6D"/>
    <w:multiLevelType w:val="multilevel"/>
    <w:tmpl w:val="2D2F6D6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69">
    <w:nsid w:val="2D457064"/>
    <w:multiLevelType w:val="multilevel"/>
    <w:tmpl w:val="2D45706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70">
    <w:nsid w:val="2D7AD87C"/>
    <w:multiLevelType w:val="multilevel"/>
    <w:tmpl w:val="2D7AD87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71">
    <w:nsid w:val="2DA52A20"/>
    <w:multiLevelType w:val="multilevel"/>
    <w:tmpl w:val="2DA52A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72">
    <w:nsid w:val="2DD3915B"/>
    <w:multiLevelType w:val="multilevel"/>
    <w:tmpl w:val="2DD3915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73">
    <w:nsid w:val="2DDAE0FA"/>
    <w:multiLevelType w:val="multilevel"/>
    <w:tmpl w:val="2DDAE0F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74">
    <w:nsid w:val="2DF2D26D"/>
    <w:multiLevelType w:val="multilevel"/>
    <w:tmpl w:val="2DF2D26D"/>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275">
    <w:nsid w:val="2E30988B"/>
    <w:multiLevelType w:val="multilevel"/>
    <w:tmpl w:val="2E30988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76">
    <w:nsid w:val="2E40CEF6"/>
    <w:multiLevelType w:val="multilevel"/>
    <w:tmpl w:val="2E40CEF6"/>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277">
    <w:nsid w:val="2E4EE447"/>
    <w:multiLevelType w:val="multilevel"/>
    <w:tmpl w:val="2E4EE44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78">
    <w:nsid w:val="2E6EEFCC"/>
    <w:multiLevelType w:val="multilevel"/>
    <w:tmpl w:val="2E6EEF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79">
    <w:nsid w:val="2E7D4F45"/>
    <w:multiLevelType w:val="multilevel"/>
    <w:tmpl w:val="2E7D4F4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80">
    <w:nsid w:val="2EAA8B68"/>
    <w:multiLevelType w:val="multilevel"/>
    <w:tmpl w:val="2EAA8B6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81">
    <w:nsid w:val="2EC3FBD6"/>
    <w:multiLevelType w:val="multilevel"/>
    <w:tmpl w:val="2EC3FBD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282">
    <w:nsid w:val="2ED48100"/>
    <w:multiLevelType w:val="multilevel"/>
    <w:tmpl w:val="2ED481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83">
    <w:nsid w:val="2F2D79CE"/>
    <w:multiLevelType w:val="multilevel"/>
    <w:tmpl w:val="2F2D79CE"/>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771" w:hanging="363"/>
      </w:pPr>
      <w:rPr>
        <w:rFonts w:hint="default"/>
        <w:lang w:val="zh-CN" w:eastAsia="zh-CN" w:bidi="zh-CN"/>
      </w:rPr>
    </w:lvl>
    <w:lvl w:ilvl="3" w:tentative="0">
      <w:start w:val="0"/>
      <w:numFmt w:val="bullet"/>
      <w:lvlText w:val="•"/>
      <w:lvlJc w:val="left"/>
      <w:pPr>
        <w:ind w:left="2703" w:hanging="363"/>
      </w:pPr>
      <w:rPr>
        <w:rFonts w:hint="default"/>
        <w:lang w:val="zh-CN" w:eastAsia="zh-CN" w:bidi="zh-CN"/>
      </w:rPr>
    </w:lvl>
    <w:lvl w:ilvl="4" w:tentative="0">
      <w:start w:val="0"/>
      <w:numFmt w:val="bullet"/>
      <w:lvlText w:val="•"/>
      <w:lvlJc w:val="left"/>
      <w:pPr>
        <w:ind w:left="3635" w:hanging="363"/>
      </w:pPr>
      <w:rPr>
        <w:rFonts w:hint="default"/>
        <w:lang w:val="zh-CN" w:eastAsia="zh-CN" w:bidi="zh-CN"/>
      </w:rPr>
    </w:lvl>
    <w:lvl w:ilvl="5" w:tentative="0">
      <w:start w:val="0"/>
      <w:numFmt w:val="bullet"/>
      <w:lvlText w:val="•"/>
      <w:lvlJc w:val="left"/>
      <w:pPr>
        <w:ind w:left="4567" w:hanging="363"/>
      </w:pPr>
      <w:rPr>
        <w:rFonts w:hint="default"/>
        <w:lang w:val="zh-CN" w:eastAsia="zh-CN" w:bidi="zh-CN"/>
      </w:rPr>
    </w:lvl>
    <w:lvl w:ilvl="6" w:tentative="0">
      <w:start w:val="0"/>
      <w:numFmt w:val="bullet"/>
      <w:lvlText w:val="•"/>
      <w:lvlJc w:val="left"/>
      <w:pPr>
        <w:ind w:left="5498" w:hanging="363"/>
      </w:pPr>
      <w:rPr>
        <w:rFonts w:hint="default"/>
        <w:lang w:val="zh-CN" w:eastAsia="zh-CN" w:bidi="zh-CN"/>
      </w:rPr>
    </w:lvl>
    <w:lvl w:ilvl="7" w:tentative="0">
      <w:start w:val="0"/>
      <w:numFmt w:val="bullet"/>
      <w:lvlText w:val="•"/>
      <w:lvlJc w:val="left"/>
      <w:pPr>
        <w:ind w:left="6430" w:hanging="363"/>
      </w:pPr>
      <w:rPr>
        <w:rFonts w:hint="default"/>
        <w:lang w:val="zh-CN" w:eastAsia="zh-CN" w:bidi="zh-CN"/>
      </w:rPr>
    </w:lvl>
    <w:lvl w:ilvl="8" w:tentative="0">
      <w:start w:val="0"/>
      <w:numFmt w:val="bullet"/>
      <w:lvlText w:val="•"/>
      <w:lvlJc w:val="left"/>
      <w:pPr>
        <w:ind w:left="7362" w:hanging="363"/>
      </w:pPr>
      <w:rPr>
        <w:rFonts w:hint="default"/>
        <w:lang w:val="zh-CN" w:eastAsia="zh-CN" w:bidi="zh-CN"/>
      </w:rPr>
    </w:lvl>
  </w:abstractNum>
  <w:abstractNum w:abstractNumId="1284">
    <w:nsid w:val="2FA2953F"/>
    <w:multiLevelType w:val="multilevel"/>
    <w:tmpl w:val="2FA2953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85">
    <w:nsid w:val="300A3415"/>
    <w:multiLevelType w:val="multilevel"/>
    <w:tmpl w:val="300A34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86">
    <w:nsid w:val="3034B36D"/>
    <w:multiLevelType w:val="multilevel"/>
    <w:tmpl w:val="3034B36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87">
    <w:nsid w:val="30A0AC00"/>
    <w:multiLevelType w:val="multilevel"/>
    <w:tmpl w:val="30A0AC00"/>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288">
    <w:nsid w:val="30FC5B15"/>
    <w:multiLevelType w:val="multilevel"/>
    <w:tmpl w:val="30FC5B1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289">
    <w:nsid w:val="311C370E"/>
    <w:multiLevelType w:val="multilevel"/>
    <w:tmpl w:val="311C370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0">
    <w:nsid w:val="311F749C"/>
    <w:multiLevelType w:val="multilevel"/>
    <w:tmpl w:val="311F749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1">
    <w:nsid w:val="3128E9CA"/>
    <w:multiLevelType w:val="multilevel"/>
    <w:tmpl w:val="3128E9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2">
    <w:nsid w:val="31BBF52E"/>
    <w:multiLevelType w:val="multilevel"/>
    <w:tmpl w:val="31BBF52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3">
    <w:nsid w:val="31D6AAFD"/>
    <w:multiLevelType w:val="multilevel"/>
    <w:tmpl w:val="31D6AAF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4">
    <w:nsid w:val="31DDA9F7"/>
    <w:multiLevelType w:val="multilevel"/>
    <w:tmpl w:val="31DDA9F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5">
    <w:nsid w:val="31E89345"/>
    <w:multiLevelType w:val="multilevel"/>
    <w:tmpl w:val="31E8934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6">
    <w:nsid w:val="3215EB96"/>
    <w:multiLevelType w:val="multilevel"/>
    <w:tmpl w:val="3215EB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7">
    <w:nsid w:val="322D85CA"/>
    <w:multiLevelType w:val="multilevel"/>
    <w:tmpl w:val="322D85CA"/>
    <w:lvl w:ilvl="0" w:tentative="0">
      <w:start w:val="2"/>
      <w:numFmt w:val="decimal"/>
      <w:lvlText w:val="%1"/>
      <w:lvlJc w:val="left"/>
      <w:pPr>
        <w:ind w:left="111" w:hanging="361"/>
        <w:jc w:val="left"/>
      </w:pPr>
      <w:rPr>
        <w:rFonts w:hint="default"/>
        <w:lang w:val="zh-CN" w:eastAsia="zh-CN" w:bidi="zh-CN"/>
      </w:rPr>
    </w:lvl>
    <w:lvl w:ilvl="1" w:tentative="0">
      <w:start w:val="1"/>
      <w:numFmt w:val="decimal"/>
      <w:lvlText w:val="%1-%2"/>
      <w:lvlJc w:val="left"/>
      <w:pPr>
        <w:ind w:left="111"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1"/>
      </w:pPr>
      <w:rPr>
        <w:rFonts w:hint="default"/>
        <w:lang w:val="zh-CN" w:eastAsia="zh-CN" w:bidi="zh-CN"/>
      </w:rPr>
    </w:lvl>
    <w:lvl w:ilvl="3" w:tentative="0">
      <w:start w:val="0"/>
      <w:numFmt w:val="bullet"/>
      <w:lvlText w:val="•"/>
      <w:lvlJc w:val="left"/>
      <w:pPr>
        <w:ind w:left="2851" w:hanging="361"/>
      </w:pPr>
      <w:rPr>
        <w:rFonts w:hint="default"/>
        <w:lang w:val="zh-CN" w:eastAsia="zh-CN" w:bidi="zh-CN"/>
      </w:rPr>
    </w:lvl>
    <w:lvl w:ilvl="4" w:tentative="0">
      <w:start w:val="0"/>
      <w:numFmt w:val="bullet"/>
      <w:lvlText w:val="•"/>
      <w:lvlJc w:val="left"/>
      <w:pPr>
        <w:ind w:left="3762" w:hanging="361"/>
      </w:pPr>
      <w:rPr>
        <w:rFonts w:hint="default"/>
        <w:lang w:val="zh-CN" w:eastAsia="zh-CN" w:bidi="zh-CN"/>
      </w:rPr>
    </w:lvl>
    <w:lvl w:ilvl="5" w:tentative="0">
      <w:start w:val="0"/>
      <w:numFmt w:val="bullet"/>
      <w:lvlText w:val="•"/>
      <w:lvlJc w:val="left"/>
      <w:pPr>
        <w:ind w:left="4673" w:hanging="361"/>
      </w:pPr>
      <w:rPr>
        <w:rFonts w:hint="default"/>
        <w:lang w:val="zh-CN" w:eastAsia="zh-CN" w:bidi="zh-CN"/>
      </w:rPr>
    </w:lvl>
    <w:lvl w:ilvl="6" w:tentative="0">
      <w:start w:val="0"/>
      <w:numFmt w:val="bullet"/>
      <w:lvlText w:val="•"/>
      <w:lvlJc w:val="left"/>
      <w:pPr>
        <w:ind w:left="5583" w:hanging="361"/>
      </w:pPr>
      <w:rPr>
        <w:rFonts w:hint="default"/>
        <w:lang w:val="zh-CN" w:eastAsia="zh-CN" w:bidi="zh-CN"/>
      </w:rPr>
    </w:lvl>
    <w:lvl w:ilvl="7" w:tentative="0">
      <w:start w:val="0"/>
      <w:numFmt w:val="bullet"/>
      <w:lvlText w:val="•"/>
      <w:lvlJc w:val="left"/>
      <w:pPr>
        <w:ind w:left="6494" w:hanging="361"/>
      </w:pPr>
      <w:rPr>
        <w:rFonts w:hint="default"/>
        <w:lang w:val="zh-CN" w:eastAsia="zh-CN" w:bidi="zh-CN"/>
      </w:rPr>
    </w:lvl>
    <w:lvl w:ilvl="8" w:tentative="0">
      <w:start w:val="0"/>
      <w:numFmt w:val="bullet"/>
      <w:lvlText w:val="•"/>
      <w:lvlJc w:val="left"/>
      <w:pPr>
        <w:ind w:left="7404" w:hanging="361"/>
      </w:pPr>
      <w:rPr>
        <w:rFonts w:hint="default"/>
        <w:lang w:val="zh-CN" w:eastAsia="zh-CN" w:bidi="zh-CN"/>
      </w:rPr>
    </w:lvl>
  </w:abstractNum>
  <w:abstractNum w:abstractNumId="1298">
    <w:nsid w:val="323D642A"/>
    <w:multiLevelType w:val="multilevel"/>
    <w:tmpl w:val="323D642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299">
    <w:nsid w:val="3264E745"/>
    <w:multiLevelType w:val="multilevel"/>
    <w:tmpl w:val="3264E74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0">
    <w:nsid w:val="327E65B1"/>
    <w:multiLevelType w:val="multilevel"/>
    <w:tmpl w:val="327E65B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1">
    <w:nsid w:val="32803FAA"/>
    <w:multiLevelType w:val="multilevel"/>
    <w:tmpl w:val="32803FA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2">
    <w:nsid w:val="3287CD95"/>
    <w:multiLevelType w:val="multilevel"/>
    <w:tmpl w:val="3287CD9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3">
    <w:nsid w:val="329A4FD1"/>
    <w:multiLevelType w:val="multilevel"/>
    <w:tmpl w:val="329A4FD1"/>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304">
    <w:nsid w:val="32AD3375"/>
    <w:multiLevelType w:val="multilevel"/>
    <w:tmpl w:val="32AD337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5">
    <w:nsid w:val="32BA17AD"/>
    <w:multiLevelType w:val="multilevel"/>
    <w:tmpl w:val="32BA17A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6">
    <w:nsid w:val="3314E217"/>
    <w:multiLevelType w:val="multilevel"/>
    <w:tmpl w:val="3314E21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7">
    <w:nsid w:val="3315E9DF"/>
    <w:multiLevelType w:val="multilevel"/>
    <w:tmpl w:val="3315E9D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08">
    <w:nsid w:val="332A1511"/>
    <w:multiLevelType w:val="multilevel"/>
    <w:tmpl w:val="332A1511"/>
    <w:lvl w:ilvl="0" w:tentative="0">
      <w:start w:val="1"/>
      <w:numFmt w:val="decimal"/>
      <w:lvlText w:val="%1."/>
      <w:lvlJc w:val="left"/>
      <w:pPr>
        <w:ind w:left="111" w:hanging="241"/>
        <w:jc w:val="left"/>
      </w:pPr>
      <w:rPr>
        <w:rFonts w:hint="default" w:ascii="宋体" w:hAnsi="宋体" w:eastAsia="宋体" w:cs="宋体"/>
        <w:spacing w:val="-63"/>
        <w:w w:val="99"/>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309">
    <w:nsid w:val="333E8B90"/>
    <w:multiLevelType w:val="multilevel"/>
    <w:tmpl w:val="333E8B90"/>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10">
    <w:nsid w:val="335F5C49"/>
    <w:multiLevelType w:val="multilevel"/>
    <w:tmpl w:val="335F5C4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1">
    <w:nsid w:val="336CD42B"/>
    <w:multiLevelType w:val="multilevel"/>
    <w:tmpl w:val="336CD4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2">
    <w:nsid w:val="33A09093"/>
    <w:multiLevelType w:val="multilevel"/>
    <w:tmpl w:val="33A0909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3">
    <w:nsid w:val="33A75A5E"/>
    <w:multiLevelType w:val="multilevel"/>
    <w:tmpl w:val="33A75A5E"/>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14">
    <w:nsid w:val="33BA3830"/>
    <w:multiLevelType w:val="multilevel"/>
    <w:tmpl w:val="33BA383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5">
    <w:nsid w:val="33CE8213"/>
    <w:multiLevelType w:val="multilevel"/>
    <w:tmpl w:val="33CE821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6">
    <w:nsid w:val="33E1C07E"/>
    <w:multiLevelType w:val="multilevel"/>
    <w:tmpl w:val="33E1C07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7">
    <w:nsid w:val="33ED4666"/>
    <w:multiLevelType w:val="multilevel"/>
    <w:tmpl w:val="33ED466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8">
    <w:nsid w:val="33F1A2D2"/>
    <w:multiLevelType w:val="multilevel"/>
    <w:tmpl w:val="33F1A2D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19">
    <w:nsid w:val="345DBE53"/>
    <w:multiLevelType w:val="multilevel"/>
    <w:tmpl w:val="345DBE5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20">
    <w:nsid w:val="3462653D"/>
    <w:multiLevelType w:val="multilevel"/>
    <w:tmpl w:val="3462653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21">
    <w:nsid w:val="34A54C4C"/>
    <w:multiLevelType w:val="multilevel"/>
    <w:tmpl w:val="34A54C4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22">
    <w:nsid w:val="34DC1B1E"/>
    <w:multiLevelType w:val="multilevel"/>
    <w:tmpl w:val="34DC1B1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23">
    <w:nsid w:val="3536F2BF"/>
    <w:multiLevelType w:val="multilevel"/>
    <w:tmpl w:val="3536F2B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24">
    <w:nsid w:val="354FEA8D"/>
    <w:multiLevelType w:val="multilevel"/>
    <w:tmpl w:val="354FEA8D"/>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25">
    <w:nsid w:val="3551F3FE"/>
    <w:multiLevelType w:val="multilevel"/>
    <w:tmpl w:val="3551F3F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26">
    <w:nsid w:val="3585B9FC"/>
    <w:multiLevelType w:val="multilevel"/>
    <w:tmpl w:val="3585B9FC"/>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27">
    <w:nsid w:val="35B3720D"/>
    <w:multiLevelType w:val="singleLevel"/>
    <w:tmpl w:val="35B3720D"/>
    <w:lvl w:ilvl="0" w:tentative="0">
      <w:start w:val="2"/>
      <w:numFmt w:val="chineseCounting"/>
      <w:suff w:val="nothing"/>
      <w:lvlText w:val="（%1）"/>
      <w:lvlJc w:val="left"/>
      <w:rPr>
        <w:rFonts w:hint="eastAsia"/>
      </w:rPr>
    </w:lvl>
  </w:abstractNum>
  <w:abstractNum w:abstractNumId="1328">
    <w:nsid w:val="35BFF8B4"/>
    <w:multiLevelType w:val="multilevel"/>
    <w:tmpl w:val="35BFF8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29">
    <w:nsid w:val="35D41ABC"/>
    <w:multiLevelType w:val="multilevel"/>
    <w:tmpl w:val="35D41AB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30">
    <w:nsid w:val="35E83B33"/>
    <w:multiLevelType w:val="multilevel"/>
    <w:tmpl w:val="35E83B33"/>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331">
    <w:nsid w:val="35ECE9CB"/>
    <w:multiLevelType w:val="multilevel"/>
    <w:tmpl w:val="35ECE9CB"/>
    <w:lvl w:ilvl="0" w:tentative="0">
      <w:start w:val="3"/>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32">
    <w:nsid w:val="36166F3A"/>
    <w:multiLevelType w:val="multilevel"/>
    <w:tmpl w:val="36166F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33">
    <w:nsid w:val="3664A4D1"/>
    <w:multiLevelType w:val="multilevel"/>
    <w:tmpl w:val="3664A4D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34">
    <w:nsid w:val="36E9EB75"/>
    <w:multiLevelType w:val="multilevel"/>
    <w:tmpl w:val="36E9EB7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35">
    <w:nsid w:val="37118F75"/>
    <w:multiLevelType w:val="multilevel"/>
    <w:tmpl w:val="37118F7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36">
    <w:nsid w:val="37136D92"/>
    <w:multiLevelType w:val="multilevel"/>
    <w:tmpl w:val="37136D92"/>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337">
    <w:nsid w:val="37212135"/>
    <w:multiLevelType w:val="multilevel"/>
    <w:tmpl w:val="3721213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38">
    <w:nsid w:val="377FAB63"/>
    <w:multiLevelType w:val="multilevel"/>
    <w:tmpl w:val="377FAB6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39">
    <w:nsid w:val="37801BA0"/>
    <w:multiLevelType w:val="multilevel"/>
    <w:tmpl w:val="37801B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40">
    <w:nsid w:val="37B12009"/>
    <w:multiLevelType w:val="multilevel"/>
    <w:tmpl w:val="37B1200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41">
    <w:nsid w:val="37ECDBAA"/>
    <w:multiLevelType w:val="multilevel"/>
    <w:tmpl w:val="37ECDBAA"/>
    <w:lvl w:ilvl="0" w:tentative="0">
      <w:start w:val="1"/>
      <w:numFmt w:val="decimal"/>
      <w:lvlText w:val="%1."/>
      <w:lvlJc w:val="left"/>
      <w:pPr>
        <w:ind w:left="111" w:hanging="241"/>
        <w:jc w:val="left"/>
      </w:pPr>
      <w:rPr>
        <w:rFonts w:hint="default" w:ascii="宋体" w:hAnsi="宋体" w:eastAsia="宋体" w:cs="宋体"/>
        <w:spacing w:val="-39"/>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342">
    <w:nsid w:val="389036F6"/>
    <w:multiLevelType w:val="multilevel"/>
    <w:tmpl w:val="389036F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43">
    <w:nsid w:val="38BD5B66"/>
    <w:multiLevelType w:val="multilevel"/>
    <w:tmpl w:val="38BD5B6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44">
    <w:nsid w:val="38E67F81"/>
    <w:multiLevelType w:val="multilevel"/>
    <w:tmpl w:val="38E67F8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45">
    <w:nsid w:val="38EAC418"/>
    <w:multiLevelType w:val="multilevel"/>
    <w:tmpl w:val="38EAC418"/>
    <w:lvl w:ilvl="0" w:tentative="0">
      <w:start w:val="2"/>
      <w:numFmt w:val="decimal"/>
      <w:lvlText w:val="%1"/>
      <w:lvlJc w:val="left"/>
      <w:pPr>
        <w:ind w:left="952" w:hanging="361"/>
        <w:jc w:val="left"/>
      </w:pPr>
      <w:rPr>
        <w:rFonts w:hint="default"/>
        <w:lang w:val="zh-CN" w:eastAsia="zh-CN" w:bidi="zh-CN"/>
      </w:rPr>
    </w:lvl>
    <w:lvl w:ilvl="1" w:tentative="0">
      <w:start w:val="1"/>
      <w:numFmt w:val="decimal"/>
      <w:lvlText w:val="%1-%2"/>
      <w:lvlJc w:val="left"/>
      <w:pPr>
        <w:ind w:left="952"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613" w:hanging="361"/>
      </w:pPr>
      <w:rPr>
        <w:rFonts w:hint="default"/>
        <w:lang w:val="zh-CN" w:eastAsia="zh-CN" w:bidi="zh-CN"/>
      </w:rPr>
    </w:lvl>
    <w:lvl w:ilvl="3" w:tentative="0">
      <w:start w:val="0"/>
      <w:numFmt w:val="bullet"/>
      <w:lvlText w:val="•"/>
      <w:lvlJc w:val="left"/>
      <w:pPr>
        <w:ind w:left="3439" w:hanging="361"/>
      </w:pPr>
      <w:rPr>
        <w:rFonts w:hint="default"/>
        <w:lang w:val="zh-CN" w:eastAsia="zh-CN" w:bidi="zh-CN"/>
      </w:rPr>
    </w:lvl>
    <w:lvl w:ilvl="4" w:tentative="0">
      <w:start w:val="0"/>
      <w:numFmt w:val="bullet"/>
      <w:lvlText w:val="•"/>
      <w:lvlJc w:val="left"/>
      <w:pPr>
        <w:ind w:left="4266" w:hanging="361"/>
      </w:pPr>
      <w:rPr>
        <w:rFonts w:hint="default"/>
        <w:lang w:val="zh-CN" w:eastAsia="zh-CN" w:bidi="zh-CN"/>
      </w:rPr>
    </w:lvl>
    <w:lvl w:ilvl="5" w:tentative="0">
      <w:start w:val="0"/>
      <w:numFmt w:val="bullet"/>
      <w:lvlText w:val="•"/>
      <w:lvlJc w:val="left"/>
      <w:pPr>
        <w:ind w:left="5093" w:hanging="361"/>
      </w:pPr>
      <w:rPr>
        <w:rFonts w:hint="default"/>
        <w:lang w:val="zh-CN" w:eastAsia="zh-CN" w:bidi="zh-CN"/>
      </w:rPr>
    </w:lvl>
    <w:lvl w:ilvl="6" w:tentative="0">
      <w:start w:val="0"/>
      <w:numFmt w:val="bullet"/>
      <w:lvlText w:val="•"/>
      <w:lvlJc w:val="left"/>
      <w:pPr>
        <w:ind w:left="5919" w:hanging="361"/>
      </w:pPr>
      <w:rPr>
        <w:rFonts w:hint="default"/>
        <w:lang w:val="zh-CN" w:eastAsia="zh-CN" w:bidi="zh-CN"/>
      </w:rPr>
    </w:lvl>
    <w:lvl w:ilvl="7" w:tentative="0">
      <w:start w:val="0"/>
      <w:numFmt w:val="bullet"/>
      <w:lvlText w:val="•"/>
      <w:lvlJc w:val="left"/>
      <w:pPr>
        <w:ind w:left="6746" w:hanging="361"/>
      </w:pPr>
      <w:rPr>
        <w:rFonts w:hint="default"/>
        <w:lang w:val="zh-CN" w:eastAsia="zh-CN" w:bidi="zh-CN"/>
      </w:rPr>
    </w:lvl>
    <w:lvl w:ilvl="8" w:tentative="0">
      <w:start w:val="0"/>
      <w:numFmt w:val="bullet"/>
      <w:lvlText w:val="•"/>
      <w:lvlJc w:val="left"/>
      <w:pPr>
        <w:ind w:left="7572" w:hanging="361"/>
      </w:pPr>
      <w:rPr>
        <w:rFonts w:hint="default"/>
        <w:lang w:val="zh-CN" w:eastAsia="zh-CN" w:bidi="zh-CN"/>
      </w:rPr>
    </w:lvl>
  </w:abstractNum>
  <w:abstractNum w:abstractNumId="1346">
    <w:nsid w:val="39009AF2"/>
    <w:multiLevelType w:val="multilevel"/>
    <w:tmpl w:val="39009AF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47">
    <w:nsid w:val="396A2A3B"/>
    <w:multiLevelType w:val="multilevel"/>
    <w:tmpl w:val="396A2A3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48">
    <w:nsid w:val="397D494B"/>
    <w:multiLevelType w:val="multilevel"/>
    <w:tmpl w:val="397D494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49">
    <w:nsid w:val="399885CC"/>
    <w:multiLevelType w:val="multilevel"/>
    <w:tmpl w:val="399885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50">
    <w:nsid w:val="39A0D9AC"/>
    <w:multiLevelType w:val="multilevel"/>
    <w:tmpl w:val="39A0D9AC"/>
    <w:lvl w:ilvl="0" w:tentative="0">
      <w:start w:val="1"/>
      <w:numFmt w:val="decimal"/>
      <w:lvlText w:val="%1."/>
      <w:lvlJc w:val="left"/>
      <w:pPr>
        <w:ind w:left="832" w:hanging="24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51">
    <w:nsid w:val="39DC87B2"/>
    <w:multiLevelType w:val="multilevel"/>
    <w:tmpl w:val="39DC87B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52">
    <w:nsid w:val="3A10D79C"/>
    <w:multiLevelType w:val="multilevel"/>
    <w:tmpl w:val="3A10D79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53">
    <w:nsid w:val="3A7FBA26"/>
    <w:multiLevelType w:val="multilevel"/>
    <w:tmpl w:val="3A7FBA2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54">
    <w:nsid w:val="3A8860C4"/>
    <w:multiLevelType w:val="multilevel"/>
    <w:tmpl w:val="3A8860C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55">
    <w:nsid w:val="3AB9B13A"/>
    <w:multiLevelType w:val="multilevel"/>
    <w:tmpl w:val="3AB9B1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56">
    <w:nsid w:val="3AC7F9CF"/>
    <w:multiLevelType w:val="multilevel"/>
    <w:tmpl w:val="3AC7F9C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57">
    <w:nsid w:val="3AFAD903"/>
    <w:multiLevelType w:val="multilevel"/>
    <w:tmpl w:val="3AFAD90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58">
    <w:nsid w:val="3B2861A4"/>
    <w:multiLevelType w:val="multilevel"/>
    <w:tmpl w:val="3B2861A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59">
    <w:nsid w:val="3B35976B"/>
    <w:multiLevelType w:val="multilevel"/>
    <w:tmpl w:val="3B35976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60">
    <w:nsid w:val="3B42FD62"/>
    <w:multiLevelType w:val="multilevel"/>
    <w:tmpl w:val="3B42FD6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1">
    <w:nsid w:val="3B8127DF"/>
    <w:multiLevelType w:val="multilevel"/>
    <w:tmpl w:val="3B8127DF"/>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62">
    <w:nsid w:val="3BA9DFE8"/>
    <w:multiLevelType w:val="multilevel"/>
    <w:tmpl w:val="3BA9DF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3">
    <w:nsid w:val="3BAFF4BA"/>
    <w:multiLevelType w:val="multilevel"/>
    <w:tmpl w:val="3BAFF4B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4">
    <w:nsid w:val="3BE3A276"/>
    <w:multiLevelType w:val="multilevel"/>
    <w:tmpl w:val="3BE3A27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5">
    <w:nsid w:val="3BE490EE"/>
    <w:multiLevelType w:val="multilevel"/>
    <w:tmpl w:val="3BE490E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6">
    <w:nsid w:val="3BED40E8"/>
    <w:multiLevelType w:val="multilevel"/>
    <w:tmpl w:val="3BED40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7">
    <w:nsid w:val="3BF193B1"/>
    <w:multiLevelType w:val="multilevel"/>
    <w:tmpl w:val="3BF193B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8">
    <w:nsid w:val="3BFFAEE5"/>
    <w:multiLevelType w:val="multilevel"/>
    <w:tmpl w:val="3BFFAEE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69">
    <w:nsid w:val="3C11373C"/>
    <w:multiLevelType w:val="multilevel"/>
    <w:tmpl w:val="3C11373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70">
    <w:nsid w:val="3C5FCBCB"/>
    <w:multiLevelType w:val="multilevel"/>
    <w:tmpl w:val="3C5FCBC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71">
    <w:nsid w:val="3C78858A"/>
    <w:multiLevelType w:val="multilevel"/>
    <w:tmpl w:val="3C78858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72">
    <w:nsid w:val="3CB1C579"/>
    <w:multiLevelType w:val="multilevel"/>
    <w:tmpl w:val="3CB1C57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73">
    <w:nsid w:val="3CE3ED85"/>
    <w:multiLevelType w:val="multilevel"/>
    <w:tmpl w:val="3CE3ED8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74">
    <w:nsid w:val="3D07B957"/>
    <w:multiLevelType w:val="multilevel"/>
    <w:tmpl w:val="3D07B957"/>
    <w:lvl w:ilvl="0" w:tentative="0">
      <w:start w:val="2"/>
      <w:numFmt w:val="decimal"/>
      <w:lvlText w:val="（%1）"/>
      <w:lvlJc w:val="left"/>
      <w:pPr>
        <w:ind w:left="1072"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1192"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091" w:hanging="601"/>
      </w:pPr>
      <w:rPr>
        <w:rFonts w:hint="default"/>
        <w:lang w:val="zh-CN" w:eastAsia="zh-CN" w:bidi="zh-CN"/>
      </w:rPr>
    </w:lvl>
    <w:lvl w:ilvl="3" w:tentative="0">
      <w:start w:val="0"/>
      <w:numFmt w:val="bullet"/>
      <w:lvlText w:val="•"/>
      <w:lvlJc w:val="left"/>
      <w:pPr>
        <w:ind w:left="2983" w:hanging="601"/>
      </w:pPr>
      <w:rPr>
        <w:rFonts w:hint="default"/>
        <w:lang w:val="zh-CN" w:eastAsia="zh-CN" w:bidi="zh-CN"/>
      </w:rPr>
    </w:lvl>
    <w:lvl w:ilvl="4" w:tentative="0">
      <w:start w:val="0"/>
      <w:numFmt w:val="bullet"/>
      <w:lvlText w:val="•"/>
      <w:lvlJc w:val="left"/>
      <w:pPr>
        <w:ind w:left="3875" w:hanging="601"/>
      </w:pPr>
      <w:rPr>
        <w:rFonts w:hint="default"/>
        <w:lang w:val="zh-CN" w:eastAsia="zh-CN" w:bidi="zh-CN"/>
      </w:rPr>
    </w:lvl>
    <w:lvl w:ilvl="5" w:tentative="0">
      <w:start w:val="0"/>
      <w:numFmt w:val="bullet"/>
      <w:lvlText w:val="•"/>
      <w:lvlJc w:val="left"/>
      <w:pPr>
        <w:ind w:left="4767" w:hanging="601"/>
      </w:pPr>
      <w:rPr>
        <w:rFonts w:hint="default"/>
        <w:lang w:val="zh-CN" w:eastAsia="zh-CN" w:bidi="zh-CN"/>
      </w:rPr>
    </w:lvl>
    <w:lvl w:ilvl="6" w:tentative="0">
      <w:start w:val="0"/>
      <w:numFmt w:val="bullet"/>
      <w:lvlText w:val="•"/>
      <w:lvlJc w:val="left"/>
      <w:pPr>
        <w:ind w:left="5658" w:hanging="601"/>
      </w:pPr>
      <w:rPr>
        <w:rFonts w:hint="default"/>
        <w:lang w:val="zh-CN" w:eastAsia="zh-CN" w:bidi="zh-CN"/>
      </w:rPr>
    </w:lvl>
    <w:lvl w:ilvl="7" w:tentative="0">
      <w:start w:val="0"/>
      <w:numFmt w:val="bullet"/>
      <w:lvlText w:val="•"/>
      <w:lvlJc w:val="left"/>
      <w:pPr>
        <w:ind w:left="6550" w:hanging="601"/>
      </w:pPr>
      <w:rPr>
        <w:rFonts w:hint="default"/>
        <w:lang w:val="zh-CN" w:eastAsia="zh-CN" w:bidi="zh-CN"/>
      </w:rPr>
    </w:lvl>
    <w:lvl w:ilvl="8" w:tentative="0">
      <w:start w:val="0"/>
      <w:numFmt w:val="bullet"/>
      <w:lvlText w:val="•"/>
      <w:lvlJc w:val="left"/>
      <w:pPr>
        <w:ind w:left="7442" w:hanging="601"/>
      </w:pPr>
      <w:rPr>
        <w:rFonts w:hint="default"/>
        <w:lang w:val="zh-CN" w:eastAsia="zh-CN" w:bidi="zh-CN"/>
      </w:rPr>
    </w:lvl>
  </w:abstractNum>
  <w:abstractNum w:abstractNumId="1375">
    <w:nsid w:val="3D0F1E6B"/>
    <w:multiLevelType w:val="multilevel"/>
    <w:tmpl w:val="3D0F1E6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76">
    <w:nsid w:val="3D950AF9"/>
    <w:multiLevelType w:val="multilevel"/>
    <w:tmpl w:val="3D950AF9"/>
    <w:lvl w:ilvl="0" w:tentative="0">
      <w:start w:val="3"/>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377">
    <w:nsid w:val="3DD0C005"/>
    <w:multiLevelType w:val="multilevel"/>
    <w:tmpl w:val="3DD0C00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78">
    <w:nsid w:val="3E50977A"/>
    <w:multiLevelType w:val="multilevel"/>
    <w:tmpl w:val="3E50977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79">
    <w:nsid w:val="3ED9DDFF"/>
    <w:multiLevelType w:val="multilevel"/>
    <w:tmpl w:val="3ED9DDF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0">
    <w:nsid w:val="3EEE3506"/>
    <w:multiLevelType w:val="multilevel"/>
    <w:tmpl w:val="3EEE350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1">
    <w:nsid w:val="3F111825"/>
    <w:multiLevelType w:val="multilevel"/>
    <w:tmpl w:val="3F111825"/>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1382">
    <w:nsid w:val="3F1717E6"/>
    <w:multiLevelType w:val="multilevel"/>
    <w:tmpl w:val="3F1717E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3">
    <w:nsid w:val="3FA5DF97"/>
    <w:multiLevelType w:val="multilevel"/>
    <w:tmpl w:val="3FA5DF9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4">
    <w:nsid w:val="3FB2CEC3"/>
    <w:multiLevelType w:val="multilevel"/>
    <w:tmpl w:val="3FB2CEC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5">
    <w:nsid w:val="3FCD2433"/>
    <w:multiLevelType w:val="multilevel"/>
    <w:tmpl w:val="3FCD243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6">
    <w:nsid w:val="3FE315B6"/>
    <w:multiLevelType w:val="multilevel"/>
    <w:tmpl w:val="3FE315B6"/>
    <w:lvl w:ilvl="0" w:tentative="0">
      <w:start w:val="1"/>
      <w:numFmt w:val="decimal"/>
      <w:lvlText w:val="（%1）"/>
      <w:lvlJc w:val="left"/>
      <w:pPr>
        <w:ind w:left="1192" w:hanging="601"/>
        <w:jc w:val="left"/>
      </w:pPr>
      <w:rPr>
        <w:rFonts w:hint="default"/>
        <w:w w:val="100"/>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7">
    <w:nsid w:val="3FF06E8E"/>
    <w:multiLevelType w:val="multilevel"/>
    <w:tmpl w:val="3FF06E8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8">
    <w:nsid w:val="3FF739CD"/>
    <w:multiLevelType w:val="multilevel"/>
    <w:tmpl w:val="3FF739C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89">
    <w:nsid w:val="40337FD6"/>
    <w:multiLevelType w:val="multilevel"/>
    <w:tmpl w:val="40337FD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90">
    <w:nsid w:val="406A3F6D"/>
    <w:multiLevelType w:val="multilevel"/>
    <w:tmpl w:val="406A3F6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91">
    <w:nsid w:val="4083AF1B"/>
    <w:multiLevelType w:val="multilevel"/>
    <w:tmpl w:val="4083AF1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92">
    <w:nsid w:val="408860E8"/>
    <w:multiLevelType w:val="multilevel"/>
    <w:tmpl w:val="408860E8"/>
    <w:lvl w:ilvl="0" w:tentative="0">
      <w:start w:val="2"/>
      <w:numFmt w:val="decimal"/>
      <w:lvlText w:val="%1"/>
      <w:lvlJc w:val="left"/>
      <w:pPr>
        <w:ind w:left="952" w:hanging="361"/>
        <w:jc w:val="left"/>
      </w:pPr>
      <w:rPr>
        <w:rFonts w:hint="default"/>
        <w:lang w:val="zh-CN" w:eastAsia="zh-CN" w:bidi="zh-CN"/>
      </w:rPr>
    </w:lvl>
    <w:lvl w:ilvl="1" w:tentative="0">
      <w:start w:val="1"/>
      <w:numFmt w:val="decimal"/>
      <w:lvlText w:val="%1-%2"/>
      <w:lvlJc w:val="left"/>
      <w:pPr>
        <w:ind w:left="952"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613" w:hanging="361"/>
      </w:pPr>
      <w:rPr>
        <w:rFonts w:hint="default"/>
        <w:lang w:val="zh-CN" w:eastAsia="zh-CN" w:bidi="zh-CN"/>
      </w:rPr>
    </w:lvl>
    <w:lvl w:ilvl="3" w:tentative="0">
      <w:start w:val="0"/>
      <w:numFmt w:val="bullet"/>
      <w:lvlText w:val="•"/>
      <w:lvlJc w:val="left"/>
      <w:pPr>
        <w:ind w:left="3439" w:hanging="361"/>
      </w:pPr>
      <w:rPr>
        <w:rFonts w:hint="default"/>
        <w:lang w:val="zh-CN" w:eastAsia="zh-CN" w:bidi="zh-CN"/>
      </w:rPr>
    </w:lvl>
    <w:lvl w:ilvl="4" w:tentative="0">
      <w:start w:val="0"/>
      <w:numFmt w:val="bullet"/>
      <w:lvlText w:val="•"/>
      <w:lvlJc w:val="left"/>
      <w:pPr>
        <w:ind w:left="4266" w:hanging="361"/>
      </w:pPr>
      <w:rPr>
        <w:rFonts w:hint="default"/>
        <w:lang w:val="zh-CN" w:eastAsia="zh-CN" w:bidi="zh-CN"/>
      </w:rPr>
    </w:lvl>
    <w:lvl w:ilvl="5" w:tentative="0">
      <w:start w:val="0"/>
      <w:numFmt w:val="bullet"/>
      <w:lvlText w:val="•"/>
      <w:lvlJc w:val="left"/>
      <w:pPr>
        <w:ind w:left="5093" w:hanging="361"/>
      </w:pPr>
      <w:rPr>
        <w:rFonts w:hint="default"/>
        <w:lang w:val="zh-CN" w:eastAsia="zh-CN" w:bidi="zh-CN"/>
      </w:rPr>
    </w:lvl>
    <w:lvl w:ilvl="6" w:tentative="0">
      <w:start w:val="0"/>
      <w:numFmt w:val="bullet"/>
      <w:lvlText w:val="•"/>
      <w:lvlJc w:val="left"/>
      <w:pPr>
        <w:ind w:left="5919" w:hanging="361"/>
      </w:pPr>
      <w:rPr>
        <w:rFonts w:hint="default"/>
        <w:lang w:val="zh-CN" w:eastAsia="zh-CN" w:bidi="zh-CN"/>
      </w:rPr>
    </w:lvl>
    <w:lvl w:ilvl="7" w:tentative="0">
      <w:start w:val="0"/>
      <w:numFmt w:val="bullet"/>
      <w:lvlText w:val="•"/>
      <w:lvlJc w:val="left"/>
      <w:pPr>
        <w:ind w:left="6746" w:hanging="361"/>
      </w:pPr>
      <w:rPr>
        <w:rFonts w:hint="default"/>
        <w:lang w:val="zh-CN" w:eastAsia="zh-CN" w:bidi="zh-CN"/>
      </w:rPr>
    </w:lvl>
    <w:lvl w:ilvl="8" w:tentative="0">
      <w:start w:val="0"/>
      <w:numFmt w:val="bullet"/>
      <w:lvlText w:val="•"/>
      <w:lvlJc w:val="left"/>
      <w:pPr>
        <w:ind w:left="7572" w:hanging="361"/>
      </w:pPr>
      <w:rPr>
        <w:rFonts w:hint="default"/>
        <w:lang w:val="zh-CN" w:eastAsia="zh-CN" w:bidi="zh-CN"/>
      </w:rPr>
    </w:lvl>
  </w:abstractNum>
  <w:abstractNum w:abstractNumId="1393">
    <w:nsid w:val="40A0B2A8"/>
    <w:multiLevelType w:val="multilevel"/>
    <w:tmpl w:val="40A0B2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94">
    <w:nsid w:val="40B249F9"/>
    <w:multiLevelType w:val="multilevel"/>
    <w:tmpl w:val="40B249F9"/>
    <w:lvl w:ilvl="0" w:tentative="0">
      <w:start w:val="1"/>
      <w:numFmt w:val="decimal"/>
      <w:lvlText w:val="%1."/>
      <w:lvlJc w:val="left"/>
      <w:pPr>
        <w:ind w:left="111" w:hanging="24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395">
    <w:nsid w:val="40F245EA"/>
    <w:multiLevelType w:val="multilevel"/>
    <w:tmpl w:val="40F245E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96">
    <w:nsid w:val="40F3C299"/>
    <w:multiLevelType w:val="multilevel"/>
    <w:tmpl w:val="40F3C29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397">
    <w:nsid w:val="40F4A1BA"/>
    <w:multiLevelType w:val="multilevel"/>
    <w:tmpl w:val="40F4A1B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98">
    <w:nsid w:val="4134F84D"/>
    <w:multiLevelType w:val="multilevel"/>
    <w:tmpl w:val="4134F84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399">
    <w:nsid w:val="414B399B"/>
    <w:multiLevelType w:val="multilevel"/>
    <w:tmpl w:val="414B399B"/>
    <w:lvl w:ilvl="0" w:tentative="0">
      <w:start w:val="2"/>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1353"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234" w:hanging="601"/>
      </w:pPr>
      <w:rPr>
        <w:rFonts w:hint="default"/>
        <w:lang w:val="zh-CN" w:eastAsia="zh-CN" w:bidi="zh-CN"/>
      </w:rPr>
    </w:lvl>
    <w:lvl w:ilvl="3" w:tentative="0">
      <w:start w:val="0"/>
      <w:numFmt w:val="bullet"/>
      <w:lvlText w:val="•"/>
      <w:lvlJc w:val="left"/>
      <w:pPr>
        <w:ind w:left="3108" w:hanging="601"/>
      </w:pPr>
      <w:rPr>
        <w:rFonts w:hint="default"/>
        <w:lang w:val="zh-CN" w:eastAsia="zh-CN" w:bidi="zh-CN"/>
      </w:rPr>
    </w:lvl>
    <w:lvl w:ilvl="4" w:tentative="0">
      <w:start w:val="0"/>
      <w:numFmt w:val="bullet"/>
      <w:lvlText w:val="•"/>
      <w:lvlJc w:val="left"/>
      <w:pPr>
        <w:ind w:left="3982" w:hanging="601"/>
      </w:pPr>
      <w:rPr>
        <w:rFonts w:hint="default"/>
        <w:lang w:val="zh-CN" w:eastAsia="zh-CN" w:bidi="zh-CN"/>
      </w:rPr>
    </w:lvl>
    <w:lvl w:ilvl="5" w:tentative="0">
      <w:start w:val="0"/>
      <w:numFmt w:val="bullet"/>
      <w:lvlText w:val="•"/>
      <w:lvlJc w:val="left"/>
      <w:pPr>
        <w:ind w:left="4856" w:hanging="601"/>
      </w:pPr>
      <w:rPr>
        <w:rFonts w:hint="default"/>
        <w:lang w:val="zh-CN" w:eastAsia="zh-CN" w:bidi="zh-CN"/>
      </w:rPr>
    </w:lvl>
    <w:lvl w:ilvl="6" w:tentative="0">
      <w:start w:val="0"/>
      <w:numFmt w:val="bullet"/>
      <w:lvlText w:val="•"/>
      <w:lvlJc w:val="left"/>
      <w:pPr>
        <w:ind w:left="5730" w:hanging="601"/>
      </w:pPr>
      <w:rPr>
        <w:rFonts w:hint="default"/>
        <w:lang w:val="zh-CN" w:eastAsia="zh-CN" w:bidi="zh-CN"/>
      </w:rPr>
    </w:lvl>
    <w:lvl w:ilvl="7" w:tentative="0">
      <w:start w:val="0"/>
      <w:numFmt w:val="bullet"/>
      <w:lvlText w:val="•"/>
      <w:lvlJc w:val="left"/>
      <w:pPr>
        <w:ind w:left="6604" w:hanging="601"/>
      </w:pPr>
      <w:rPr>
        <w:rFonts w:hint="default"/>
        <w:lang w:val="zh-CN" w:eastAsia="zh-CN" w:bidi="zh-CN"/>
      </w:rPr>
    </w:lvl>
    <w:lvl w:ilvl="8" w:tentative="0">
      <w:start w:val="0"/>
      <w:numFmt w:val="bullet"/>
      <w:lvlText w:val="•"/>
      <w:lvlJc w:val="left"/>
      <w:pPr>
        <w:ind w:left="7478" w:hanging="601"/>
      </w:pPr>
      <w:rPr>
        <w:rFonts w:hint="default"/>
        <w:lang w:val="zh-CN" w:eastAsia="zh-CN" w:bidi="zh-CN"/>
      </w:rPr>
    </w:lvl>
  </w:abstractNum>
  <w:abstractNum w:abstractNumId="1400">
    <w:nsid w:val="4178CDB6"/>
    <w:multiLevelType w:val="multilevel"/>
    <w:tmpl w:val="4178CDB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1">
    <w:nsid w:val="417E8840"/>
    <w:multiLevelType w:val="multilevel"/>
    <w:tmpl w:val="417E88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2">
    <w:nsid w:val="4186D212"/>
    <w:multiLevelType w:val="multilevel"/>
    <w:tmpl w:val="4186D21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3">
    <w:nsid w:val="4195D791"/>
    <w:multiLevelType w:val="multilevel"/>
    <w:tmpl w:val="4195D79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4">
    <w:nsid w:val="41A0DD8D"/>
    <w:multiLevelType w:val="multilevel"/>
    <w:tmpl w:val="41A0DD8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5">
    <w:nsid w:val="41AA89E8"/>
    <w:multiLevelType w:val="multilevel"/>
    <w:tmpl w:val="41AA89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6">
    <w:nsid w:val="41C656F5"/>
    <w:multiLevelType w:val="multilevel"/>
    <w:tmpl w:val="41C656F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7">
    <w:nsid w:val="41CADD07"/>
    <w:multiLevelType w:val="multilevel"/>
    <w:tmpl w:val="41CADD0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08">
    <w:nsid w:val="421092F7"/>
    <w:multiLevelType w:val="multilevel"/>
    <w:tmpl w:val="421092F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09">
    <w:nsid w:val="42318CE8"/>
    <w:multiLevelType w:val="multilevel"/>
    <w:tmpl w:val="42318CE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10">
    <w:nsid w:val="4258023A"/>
    <w:multiLevelType w:val="multilevel"/>
    <w:tmpl w:val="4258023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11">
    <w:nsid w:val="427DE389"/>
    <w:multiLevelType w:val="multilevel"/>
    <w:tmpl w:val="427DE38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12">
    <w:nsid w:val="428544FE"/>
    <w:multiLevelType w:val="multilevel"/>
    <w:tmpl w:val="428544F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13">
    <w:nsid w:val="429CD0B5"/>
    <w:multiLevelType w:val="multilevel"/>
    <w:tmpl w:val="429CD0B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414">
    <w:nsid w:val="42CE943E"/>
    <w:multiLevelType w:val="multilevel"/>
    <w:tmpl w:val="42CE943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15">
    <w:nsid w:val="430C9F6B"/>
    <w:multiLevelType w:val="multilevel"/>
    <w:tmpl w:val="430C9F6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16">
    <w:nsid w:val="435059D9"/>
    <w:multiLevelType w:val="multilevel"/>
    <w:tmpl w:val="435059D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17">
    <w:nsid w:val="43610CD0"/>
    <w:multiLevelType w:val="multilevel"/>
    <w:tmpl w:val="43610CD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18">
    <w:nsid w:val="436757D6"/>
    <w:multiLevelType w:val="multilevel"/>
    <w:tmpl w:val="436757D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19">
    <w:nsid w:val="437893CB"/>
    <w:multiLevelType w:val="multilevel"/>
    <w:tmpl w:val="437893C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20">
    <w:nsid w:val="43897448"/>
    <w:multiLevelType w:val="multilevel"/>
    <w:tmpl w:val="43897448"/>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421">
    <w:nsid w:val="43BC03C6"/>
    <w:multiLevelType w:val="multilevel"/>
    <w:tmpl w:val="43BC03C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22">
    <w:nsid w:val="43C0186E"/>
    <w:multiLevelType w:val="multilevel"/>
    <w:tmpl w:val="43C0186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23">
    <w:nsid w:val="43D68054"/>
    <w:multiLevelType w:val="multilevel"/>
    <w:tmpl w:val="43D6805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24">
    <w:nsid w:val="43E9314F"/>
    <w:multiLevelType w:val="multilevel"/>
    <w:tmpl w:val="43E9314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25">
    <w:nsid w:val="4402E5E7"/>
    <w:multiLevelType w:val="multilevel"/>
    <w:tmpl w:val="4402E5E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26">
    <w:nsid w:val="4404C3B6"/>
    <w:multiLevelType w:val="multilevel"/>
    <w:tmpl w:val="4404C3B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27">
    <w:nsid w:val="4415A508"/>
    <w:multiLevelType w:val="multilevel"/>
    <w:tmpl w:val="4415A50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28">
    <w:nsid w:val="4432279A"/>
    <w:multiLevelType w:val="multilevel"/>
    <w:tmpl w:val="4432279A"/>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1429">
    <w:nsid w:val="446EAEE1"/>
    <w:multiLevelType w:val="multilevel"/>
    <w:tmpl w:val="446EAEE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0">
    <w:nsid w:val="4497E2F8"/>
    <w:multiLevelType w:val="multilevel"/>
    <w:tmpl w:val="4497E2F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1">
    <w:nsid w:val="44B235A0"/>
    <w:multiLevelType w:val="multilevel"/>
    <w:tmpl w:val="44B235A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2">
    <w:nsid w:val="44EE22F7"/>
    <w:multiLevelType w:val="multilevel"/>
    <w:tmpl w:val="44EE22F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3">
    <w:nsid w:val="45ABBA0B"/>
    <w:multiLevelType w:val="multilevel"/>
    <w:tmpl w:val="45ABBA0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4">
    <w:nsid w:val="45D50446"/>
    <w:multiLevelType w:val="multilevel"/>
    <w:tmpl w:val="45D5044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35">
    <w:nsid w:val="45F98ED2"/>
    <w:multiLevelType w:val="multilevel"/>
    <w:tmpl w:val="45F98ED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6">
    <w:nsid w:val="4624B9CF"/>
    <w:multiLevelType w:val="multilevel"/>
    <w:tmpl w:val="4624B9C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7">
    <w:nsid w:val="462D7576"/>
    <w:multiLevelType w:val="multilevel"/>
    <w:tmpl w:val="462D757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38">
    <w:nsid w:val="462E35D6"/>
    <w:multiLevelType w:val="multilevel"/>
    <w:tmpl w:val="462E35D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39">
    <w:nsid w:val="4649D27C"/>
    <w:multiLevelType w:val="multilevel"/>
    <w:tmpl w:val="4649D27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40">
    <w:nsid w:val="46A08BB8"/>
    <w:multiLevelType w:val="multilevel"/>
    <w:tmpl w:val="46A08BB8"/>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441">
    <w:nsid w:val="46FBFE33"/>
    <w:multiLevelType w:val="multilevel"/>
    <w:tmpl w:val="46FBFE33"/>
    <w:lvl w:ilvl="0" w:tentative="0">
      <w:start w:val="1"/>
      <w:numFmt w:val="decimal"/>
      <w:lvlText w:val="（%1）"/>
      <w:lvlJc w:val="left"/>
      <w:pPr>
        <w:ind w:left="118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84" w:hanging="601"/>
      </w:pPr>
      <w:rPr>
        <w:rFonts w:hint="default"/>
        <w:lang w:val="zh-CN" w:eastAsia="zh-CN" w:bidi="zh-CN"/>
      </w:rPr>
    </w:lvl>
    <w:lvl w:ilvl="2" w:tentative="0">
      <w:start w:val="0"/>
      <w:numFmt w:val="bullet"/>
      <w:lvlText w:val="•"/>
      <w:lvlJc w:val="left"/>
      <w:pPr>
        <w:ind w:left="2789" w:hanging="601"/>
      </w:pPr>
      <w:rPr>
        <w:rFonts w:hint="default"/>
        <w:lang w:val="zh-CN" w:eastAsia="zh-CN" w:bidi="zh-CN"/>
      </w:rPr>
    </w:lvl>
    <w:lvl w:ilvl="3" w:tentative="0">
      <w:start w:val="0"/>
      <w:numFmt w:val="bullet"/>
      <w:lvlText w:val="•"/>
      <w:lvlJc w:val="left"/>
      <w:pPr>
        <w:ind w:left="3593" w:hanging="601"/>
      </w:pPr>
      <w:rPr>
        <w:rFonts w:hint="default"/>
        <w:lang w:val="zh-CN" w:eastAsia="zh-CN" w:bidi="zh-CN"/>
      </w:rPr>
    </w:lvl>
    <w:lvl w:ilvl="4" w:tentative="0">
      <w:start w:val="0"/>
      <w:numFmt w:val="bullet"/>
      <w:lvlText w:val="•"/>
      <w:lvlJc w:val="left"/>
      <w:pPr>
        <w:ind w:left="4398"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007" w:hanging="601"/>
      </w:pPr>
      <w:rPr>
        <w:rFonts w:hint="default"/>
        <w:lang w:val="zh-CN" w:eastAsia="zh-CN" w:bidi="zh-CN"/>
      </w:rPr>
    </w:lvl>
    <w:lvl w:ilvl="7" w:tentative="0">
      <w:start w:val="0"/>
      <w:numFmt w:val="bullet"/>
      <w:lvlText w:val="•"/>
      <w:lvlJc w:val="left"/>
      <w:pPr>
        <w:ind w:left="6812" w:hanging="601"/>
      </w:pPr>
      <w:rPr>
        <w:rFonts w:hint="default"/>
        <w:lang w:val="zh-CN" w:eastAsia="zh-CN" w:bidi="zh-CN"/>
      </w:rPr>
    </w:lvl>
    <w:lvl w:ilvl="8" w:tentative="0">
      <w:start w:val="0"/>
      <w:numFmt w:val="bullet"/>
      <w:lvlText w:val="•"/>
      <w:lvlJc w:val="left"/>
      <w:pPr>
        <w:ind w:left="7616" w:hanging="601"/>
      </w:pPr>
      <w:rPr>
        <w:rFonts w:hint="default"/>
        <w:lang w:val="zh-CN" w:eastAsia="zh-CN" w:bidi="zh-CN"/>
      </w:rPr>
    </w:lvl>
  </w:abstractNum>
  <w:abstractNum w:abstractNumId="1442">
    <w:nsid w:val="47048D2B"/>
    <w:multiLevelType w:val="multilevel"/>
    <w:tmpl w:val="47048D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43">
    <w:nsid w:val="470C4DDC"/>
    <w:multiLevelType w:val="multilevel"/>
    <w:tmpl w:val="470C4DD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44">
    <w:nsid w:val="471C2618"/>
    <w:multiLevelType w:val="multilevel"/>
    <w:tmpl w:val="471C26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45">
    <w:nsid w:val="479D07F6"/>
    <w:multiLevelType w:val="multilevel"/>
    <w:tmpl w:val="479D07F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46">
    <w:nsid w:val="4853637A"/>
    <w:multiLevelType w:val="multilevel"/>
    <w:tmpl w:val="4853637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47">
    <w:nsid w:val="48595778"/>
    <w:multiLevelType w:val="multilevel"/>
    <w:tmpl w:val="48595778"/>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48">
    <w:nsid w:val="485AC48A"/>
    <w:multiLevelType w:val="multilevel"/>
    <w:tmpl w:val="485AC48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49">
    <w:nsid w:val="486C7473"/>
    <w:multiLevelType w:val="multilevel"/>
    <w:tmpl w:val="486C747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50">
    <w:nsid w:val="48BC5D5A"/>
    <w:multiLevelType w:val="multilevel"/>
    <w:tmpl w:val="48BC5D5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51">
    <w:nsid w:val="48C53B35"/>
    <w:multiLevelType w:val="multilevel"/>
    <w:tmpl w:val="48C53B3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52">
    <w:nsid w:val="48CC578B"/>
    <w:multiLevelType w:val="multilevel"/>
    <w:tmpl w:val="48CC578B"/>
    <w:lvl w:ilvl="0" w:tentative="0">
      <w:start w:val="1"/>
      <w:numFmt w:val="decimal"/>
      <w:lvlText w:val="（%1）"/>
      <w:lvlJc w:val="left"/>
      <w:pPr>
        <w:ind w:left="118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84" w:hanging="601"/>
      </w:pPr>
      <w:rPr>
        <w:rFonts w:hint="default"/>
        <w:lang w:val="zh-CN" w:eastAsia="zh-CN" w:bidi="zh-CN"/>
      </w:rPr>
    </w:lvl>
    <w:lvl w:ilvl="2" w:tentative="0">
      <w:start w:val="0"/>
      <w:numFmt w:val="bullet"/>
      <w:lvlText w:val="•"/>
      <w:lvlJc w:val="left"/>
      <w:pPr>
        <w:ind w:left="2789" w:hanging="601"/>
      </w:pPr>
      <w:rPr>
        <w:rFonts w:hint="default"/>
        <w:lang w:val="zh-CN" w:eastAsia="zh-CN" w:bidi="zh-CN"/>
      </w:rPr>
    </w:lvl>
    <w:lvl w:ilvl="3" w:tentative="0">
      <w:start w:val="0"/>
      <w:numFmt w:val="bullet"/>
      <w:lvlText w:val="•"/>
      <w:lvlJc w:val="left"/>
      <w:pPr>
        <w:ind w:left="3593" w:hanging="601"/>
      </w:pPr>
      <w:rPr>
        <w:rFonts w:hint="default"/>
        <w:lang w:val="zh-CN" w:eastAsia="zh-CN" w:bidi="zh-CN"/>
      </w:rPr>
    </w:lvl>
    <w:lvl w:ilvl="4" w:tentative="0">
      <w:start w:val="0"/>
      <w:numFmt w:val="bullet"/>
      <w:lvlText w:val="•"/>
      <w:lvlJc w:val="left"/>
      <w:pPr>
        <w:ind w:left="4398"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007" w:hanging="601"/>
      </w:pPr>
      <w:rPr>
        <w:rFonts w:hint="default"/>
        <w:lang w:val="zh-CN" w:eastAsia="zh-CN" w:bidi="zh-CN"/>
      </w:rPr>
    </w:lvl>
    <w:lvl w:ilvl="7" w:tentative="0">
      <w:start w:val="0"/>
      <w:numFmt w:val="bullet"/>
      <w:lvlText w:val="•"/>
      <w:lvlJc w:val="left"/>
      <w:pPr>
        <w:ind w:left="6812" w:hanging="601"/>
      </w:pPr>
      <w:rPr>
        <w:rFonts w:hint="default"/>
        <w:lang w:val="zh-CN" w:eastAsia="zh-CN" w:bidi="zh-CN"/>
      </w:rPr>
    </w:lvl>
    <w:lvl w:ilvl="8" w:tentative="0">
      <w:start w:val="0"/>
      <w:numFmt w:val="bullet"/>
      <w:lvlText w:val="•"/>
      <w:lvlJc w:val="left"/>
      <w:pPr>
        <w:ind w:left="7616" w:hanging="601"/>
      </w:pPr>
      <w:rPr>
        <w:rFonts w:hint="default"/>
        <w:lang w:val="zh-CN" w:eastAsia="zh-CN" w:bidi="zh-CN"/>
      </w:rPr>
    </w:lvl>
  </w:abstractNum>
  <w:abstractNum w:abstractNumId="1453">
    <w:nsid w:val="48D169F7"/>
    <w:multiLevelType w:val="multilevel"/>
    <w:tmpl w:val="48D169F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54">
    <w:nsid w:val="492918DE"/>
    <w:multiLevelType w:val="multilevel"/>
    <w:tmpl w:val="492918D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55">
    <w:nsid w:val="4953767C"/>
    <w:multiLevelType w:val="multilevel"/>
    <w:tmpl w:val="4953767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56">
    <w:nsid w:val="4956EAB2"/>
    <w:multiLevelType w:val="multilevel"/>
    <w:tmpl w:val="4956EAB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57">
    <w:nsid w:val="495BAFA5"/>
    <w:multiLevelType w:val="multilevel"/>
    <w:tmpl w:val="495BAFA5"/>
    <w:lvl w:ilvl="0" w:tentative="0">
      <w:start w:val="1"/>
      <w:numFmt w:val="decimal"/>
      <w:lvlText w:val="%1."/>
      <w:lvlJc w:val="left"/>
      <w:pPr>
        <w:ind w:left="111" w:hanging="241"/>
        <w:jc w:val="left"/>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458">
    <w:nsid w:val="49F13196"/>
    <w:multiLevelType w:val="multilevel"/>
    <w:tmpl w:val="49F131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59">
    <w:nsid w:val="4A1E1A18"/>
    <w:multiLevelType w:val="multilevel"/>
    <w:tmpl w:val="4A1E1A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0">
    <w:nsid w:val="4A3B112B"/>
    <w:multiLevelType w:val="multilevel"/>
    <w:tmpl w:val="4A3B11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1">
    <w:nsid w:val="4A43BC63"/>
    <w:multiLevelType w:val="multilevel"/>
    <w:tmpl w:val="4A43BC6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2">
    <w:nsid w:val="4A487046"/>
    <w:multiLevelType w:val="multilevel"/>
    <w:tmpl w:val="4A48704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3">
    <w:nsid w:val="4A51D704"/>
    <w:multiLevelType w:val="multilevel"/>
    <w:tmpl w:val="4A51D70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4">
    <w:nsid w:val="4A5718B2"/>
    <w:multiLevelType w:val="multilevel"/>
    <w:tmpl w:val="4A5718B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5">
    <w:nsid w:val="4AB3E542"/>
    <w:multiLevelType w:val="multilevel"/>
    <w:tmpl w:val="4AB3E54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6">
    <w:nsid w:val="4ACAF395"/>
    <w:multiLevelType w:val="multilevel"/>
    <w:tmpl w:val="4ACAF39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7">
    <w:nsid w:val="4AD1D84F"/>
    <w:multiLevelType w:val="multilevel"/>
    <w:tmpl w:val="4AD1D84F"/>
    <w:lvl w:ilvl="0" w:tentative="0">
      <w:start w:val="2"/>
      <w:numFmt w:val="decimal"/>
      <w:lvlText w:val="%1"/>
      <w:lvlJc w:val="left"/>
      <w:pPr>
        <w:ind w:left="953" w:hanging="363"/>
        <w:jc w:val="left"/>
      </w:pPr>
      <w:rPr>
        <w:rFonts w:hint="default"/>
        <w:lang w:val="zh-CN" w:eastAsia="zh-CN" w:bidi="zh-CN"/>
      </w:rPr>
    </w:lvl>
    <w:lvl w:ilvl="1" w:tentative="0">
      <w:start w:val="1"/>
      <w:numFmt w:val="decimal"/>
      <w:lvlText w:val="%1-%2"/>
      <w:lvlJc w:val="left"/>
      <w:pPr>
        <w:ind w:left="953"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613" w:hanging="363"/>
      </w:pPr>
      <w:rPr>
        <w:rFonts w:hint="default"/>
        <w:lang w:val="zh-CN" w:eastAsia="zh-CN" w:bidi="zh-CN"/>
      </w:rPr>
    </w:lvl>
    <w:lvl w:ilvl="3" w:tentative="0">
      <w:start w:val="0"/>
      <w:numFmt w:val="bullet"/>
      <w:lvlText w:val="•"/>
      <w:lvlJc w:val="left"/>
      <w:pPr>
        <w:ind w:left="3439" w:hanging="363"/>
      </w:pPr>
      <w:rPr>
        <w:rFonts w:hint="default"/>
        <w:lang w:val="zh-CN" w:eastAsia="zh-CN" w:bidi="zh-CN"/>
      </w:rPr>
    </w:lvl>
    <w:lvl w:ilvl="4" w:tentative="0">
      <w:start w:val="0"/>
      <w:numFmt w:val="bullet"/>
      <w:lvlText w:val="•"/>
      <w:lvlJc w:val="left"/>
      <w:pPr>
        <w:ind w:left="4266" w:hanging="363"/>
      </w:pPr>
      <w:rPr>
        <w:rFonts w:hint="default"/>
        <w:lang w:val="zh-CN" w:eastAsia="zh-CN" w:bidi="zh-CN"/>
      </w:rPr>
    </w:lvl>
    <w:lvl w:ilvl="5" w:tentative="0">
      <w:start w:val="0"/>
      <w:numFmt w:val="bullet"/>
      <w:lvlText w:val="•"/>
      <w:lvlJc w:val="left"/>
      <w:pPr>
        <w:ind w:left="5093" w:hanging="363"/>
      </w:pPr>
      <w:rPr>
        <w:rFonts w:hint="default"/>
        <w:lang w:val="zh-CN" w:eastAsia="zh-CN" w:bidi="zh-CN"/>
      </w:rPr>
    </w:lvl>
    <w:lvl w:ilvl="6" w:tentative="0">
      <w:start w:val="0"/>
      <w:numFmt w:val="bullet"/>
      <w:lvlText w:val="•"/>
      <w:lvlJc w:val="left"/>
      <w:pPr>
        <w:ind w:left="5919" w:hanging="363"/>
      </w:pPr>
      <w:rPr>
        <w:rFonts w:hint="default"/>
        <w:lang w:val="zh-CN" w:eastAsia="zh-CN" w:bidi="zh-CN"/>
      </w:rPr>
    </w:lvl>
    <w:lvl w:ilvl="7" w:tentative="0">
      <w:start w:val="0"/>
      <w:numFmt w:val="bullet"/>
      <w:lvlText w:val="•"/>
      <w:lvlJc w:val="left"/>
      <w:pPr>
        <w:ind w:left="6746" w:hanging="363"/>
      </w:pPr>
      <w:rPr>
        <w:rFonts w:hint="default"/>
        <w:lang w:val="zh-CN" w:eastAsia="zh-CN" w:bidi="zh-CN"/>
      </w:rPr>
    </w:lvl>
    <w:lvl w:ilvl="8" w:tentative="0">
      <w:start w:val="0"/>
      <w:numFmt w:val="bullet"/>
      <w:lvlText w:val="•"/>
      <w:lvlJc w:val="left"/>
      <w:pPr>
        <w:ind w:left="7572" w:hanging="363"/>
      </w:pPr>
      <w:rPr>
        <w:rFonts w:hint="default"/>
        <w:lang w:val="zh-CN" w:eastAsia="zh-CN" w:bidi="zh-CN"/>
      </w:rPr>
    </w:lvl>
  </w:abstractNum>
  <w:abstractNum w:abstractNumId="1468">
    <w:nsid w:val="4AD4128D"/>
    <w:multiLevelType w:val="multilevel"/>
    <w:tmpl w:val="4AD4128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69">
    <w:nsid w:val="4AD5C471"/>
    <w:multiLevelType w:val="multilevel"/>
    <w:tmpl w:val="4AD5C47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70">
    <w:nsid w:val="4B217F31"/>
    <w:multiLevelType w:val="multilevel"/>
    <w:tmpl w:val="4B217F3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71">
    <w:nsid w:val="4B334B8C"/>
    <w:multiLevelType w:val="multilevel"/>
    <w:tmpl w:val="4B334B8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72">
    <w:nsid w:val="4B74B076"/>
    <w:multiLevelType w:val="multilevel"/>
    <w:tmpl w:val="4B74B07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73">
    <w:nsid w:val="4B98F436"/>
    <w:multiLevelType w:val="multilevel"/>
    <w:tmpl w:val="4B98F4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74">
    <w:nsid w:val="4BE513CA"/>
    <w:multiLevelType w:val="multilevel"/>
    <w:tmpl w:val="4BE513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75">
    <w:nsid w:val="4C1BAE26"/>
    <w:multiLevelType w:val="multilevel"/>
    <w:tmpl w:val="4C1BAE26"/>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476">
    <w:nsid w:val="4C3D7A74"/>
    <w:multiLevelType w:val="multilevel"/>
    <w:tmpl w:val="4C3D7A7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477">
    <w:nsid w:val="4C4DA959"/>
    <w:multiLevelType w:val="multilevel"/>
    <w:tmpl w:val="4C4DA95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78">
    <w:nsid w:val="4C51B927"/>
    <w:multiLevelType w:val="multilevel"/>
    <w:tmpl w:val="4C51B92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79">
    <w:nsid w:val="4C7B9017"/>
    <w:multiLevelType w:val="multilevel"/>
    <w:tmpl w:val="4C7B901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80">
    <w:nsid w:val="4C82B0EC"/>
    <w:multiLevelType w:val="multilevel"/>
    <w:tmpl w:val="4C82B0E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81">
    <w:nsid w:val="4C83BD66"/>
    <w:multiLevelType w:val="multilevel"/>
    <w:tmpl w:val="4C83BD6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82">
    <w:nsid w:val="4CAFA515"/>
    <w:multiLevelType w:val="multilevel"/>
    <w:tmpl w:val="4CAFA51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83">
    <w:nsid w:val="4CB4A4F5"/>
    <w:multiLevelType w:val="multilevel"/>
    <w:tmpl w:val="4CB4A4F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84">
    <w:nsid w:val="4CD1E351"/>
    <w:multiLevelType w:val="multilevel"/>
    <w:tmpl w:val="4CD1E351"/>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485">
    <w:nsid w:val="4CD4AA2D"/>
    <w:multiLevelType w:val="multilevel"/>
    <w:tmpl w:val="4CD4AA2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86">
    <w:nsid w:val="4CF509F8"/>
    <w:multiLevelType w:val="multilevel"/>
    <w:tmpl w:val="4CF509F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87">
    <w:nsid w:val="4D05B285"/>
    <w:multiLevelType w:val="multilevel"/>
    <w:tmpl w:val="4D05B28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88">
    <w:nsid w:val="4D0992DE"/>
    <w:multiLevelType w:val="multilevel"/>
    <w:tmpl w:val="4D0992D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89">
    <w:nsid w:val="4D297448"/>
    <w:multiLevelType w:val="multilevel"/>
    <w:tmpl w:val="4D29744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90">
    <w:nsid w:val="4D4DC07F"/>
    <w:multiLevelType w:val="multilevel"/>
    <w:tmpl w:val="4D4DC07F"/>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491">
    <w:nsid w:val="4D626FE9"/>
    <w:multiLevelType w:val="multilevel"/>
    <w:tmpl w:val="4D626FE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92">
    <w:nsid w:val="4D63189B"/>
    <w:multiLevelType w:val="multilevel"/>
    <w:tmpl w:val="4D63189B"/>
    <w:lvl w:ilvl="0" w:tentative="0">
      <w:start w:val="1"/>
      <w:numFmt w:val="decimal"/>
      <w:lvlText w:val="（%1）"/>
      <w:lvlJc w:val="left"/>
      <w:pPr>
        <w:ind w:left="1192" w:hanging="601"/>
        <w:jc w:val="left"/>
      </w:pPr>
      <w:rPr>
        <w:rFonts w:hint="default" w:ascii="宋体" w:hAnsi="宋体" w:eastAsia="宋体" w:cs="宋体"/>
        <w:color w:val="161616"/>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93">
    <w:nsid w:val="4D94DA66"/>
    <w:multiLevelType w:val="multilevel"/>
    <w:tmpl w:val="4D94DA66"/>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494">
    <w:nsid w:val="4D9DE5FB"/>
    <w:multiLevelType w:val="multilevel"/>
    <w:tmpl w:val="4D9DE5F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495">
    <w:nsid w:val="4DE59020"/>
    <w:multiLevelType w:val="multilevel"/>
    <w:tmpl w:val="4DE590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96">
    <w:nsid w:val="4E24F342"/>
    <w:multiLevelType w:val="multilevel"/>
    <w:tmpl w:val="4E24F34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97">
    <w:nsid w:val="4E5CF631"/>
    <w:multiLevelType w:val="multilevel"/>
    <w:tmpl w:val="4E5CF63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98">
    <w:nsid w:val="4E709187"/>
    <w:multiLevelType w:val="multilevel"/>
    <w:tmpl w:val="4E70918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499">
    <w:nsid w:val="4E731B36"/>
    <w:multiLevelType w:val="multilevel"/>
    <w:tmpl w:val="4E731B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00">
    <w:nsid w:val="4E81EE9F"/>
    <w:multiLevelType w:val="multilevel"/>
    <w:tmpl w:val="4E81EE9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01">
    <w:nsid w:val="4E81FB56"/>
    <w:multiLevelType w:val="multilevel"/>
    <w:tmpl w:val="4E81FB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02">
    <w:nsid w:val="4EA76503"/>
    <w:multiLevelType w:val="multilevel"/>
    <w:tmpl w:val="4EA76503"/>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503">
    <w:nsid w:val="4EB6FB1E"/>
    <w:multiLevelType w:val="multilevel"/>
    <w:tmpl w:val="4EB6FB1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04">
    <w:nsid w:val="4EC60AD0"/>
    <w:multiLevelType w:val="multilevel"/>
    <w:tmpl w:val="4EC60AD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05">
    <w:nsid w:val="4EECDF38"/>
    <w:multiLevelType w:val="multilevel"/>
    <w:tmpl w:val="4EECDF3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06">
    <w:nsid w:val="4F00C6B4"/>
    <w:multiLevelType w:val="multilevel"/>
    <w:tmpl w:val="4F00C6B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507">
    <w:nsid w:val="4F2DAE85"/>
    <w:multiLevelType w:val="multilevel"/>
    <w:tmpl w:val="4F2DAE8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08">
    <w:nsid w:val="4F3D2668"/>
    <w:multiLevelType w:val="multilevel"/>
    <w:tmpl w:val="4F3D266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09">
    <w:nsid w:val="4F4102C4"/>
    <w:multiLevelType w:val="multilevel"/>
    <w:tmpl w:val="4F4102C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10">
    <w:nsid w:val="4F447283"/>
    <w:multiLevelType w:val="multilevel"/>
    <w:tmpl w:val="4F447283"/>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11">
    <w:nsid w:val="4F704EFF"/>
    <w:multiLevelType w:val="multilevel"/>
    <w:tmpl w:val="4F704EF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12">
    <w:nsid w:val="4F84D42E"/>
    <w:multiLevelType w:val="multilevel"/>
    <w:tmpl w:val="4F84D42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13">
    <w:nsid w:val="4FA20022"/>
    <w:multiLevelType w:val="multilevel"/>
    <w:tmpl w:val="4FA2002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14">
    <w:nsid w:val="4FA7FC34"/>
    <w:multiLevelType w:val="multilevel"/>
    <w:tmpl w:val="4FA7FC34"/>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515">
    <w:nsid w:val="4FB438A5"/>
    <w:multiLevelType w:val="multilevel"/>
    <w:tmpl w:val="4FB438A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16">
    <w:nsid w:val="4FC06537"/>
    <w:multiLevelType w:val="multilevel"/>
    <w:tmpl w:val="4FC0653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17">
    <w:nsid w:val="503DFF2C"/>
    <w:multiLevelType w:val="multilevel"/>
    <w:tmpl w:val="503DFF2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18">
    <w:nsid w:val="505BBA96"/>
    <w:multiLevelType w:val="multilevel"/>
    <w:tmpl w:val="505BBA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19">
    <w:nsid w:val="506A3C3E"/>
    <w:multiLevelType w:val="multilevel"/>
    <w:tmpl w:val="506A3C3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20">
    <w:nsid w:val="50EA671E"/>
    <w:multiLevelType w:val="multilevel"/>
    <w:tmpl w:val="50EA671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21">
    <w:nsid w:val="50FA2479"/>
    <w:multiLevelType w:val="multilevel"/>
    <w:tmpl w:val="50FA247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22">
    <w:nsid w:val="5119A603"/>
    <w:multiLevelType w:val="multilevel"/>
    <w:tmpl w:val="5119A60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23">
    <w:nsid w:val="511C5FF0"/>
    <w:multiLevelType w:val="multilevel"/>
    <w:tmpl w:val="511C5F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24">
    <w:nsid w:val="511DC95D"/>
    <w:multiLevelType w:val="multilevel"/>
    <w:tmpl w:val="511DC95D"/>
    <w:lvl w:ilvl="0" w:tentative="0">
      <w:start w:val="1"/>
      <w:numFmt w:val="decimal"/>
      <w:lvlText w:val="（%1）"/>
      <w:lvlJc w:val="left"/>
      <w:pPr>
        <w:ind w:left="581" w:hanging="601"/>
        <w:jc w:val="left"/>
      </w:pPr>
      <w:rPr>
        <w:rFonts w:hint="default" w:ascii="宋体" w:hAnsi="宋体" w:eastAsia="宋体" w:cs="宋体"/>
        <w:spacing w:val="-16"/>
        <w:w w:val="100"/>
        <w:sz w:val="22"/>
        <w:szCs w:val="22"/>
        <w:lang w:val="zh-CN" w:eastAsia="zh-CN" w:bidi="zh-CN"/>
      </w:rPr>
    </w:lvl>
    <w:lvl w:ilvl="1" w:tentative="0">
      <w:start w:val="0"/>
      <w:numFmt w:val="bullet"/>
      <w:lvlText w:val="•"/>
      <w:lvlJc w:val="left"/>
      <w:pPr>
        <w:ind w:left="1444" w:hanging="601"/>
      </w:pPr>
      <w:rPr>
        <w:rFonts w:hint="default"/>
        <w:lang w:val="zh-CN" w:eastAsia="zh-CN" w:bidi="zh-CN"/>
      </w:rPr>
    </w:lvl>
    <w:lvl w:ilvl="2" w:tentative="0">
      <w:start w:val="0"/>
      <w:numFmt w:val="bullet"/>
      <w:lvlText w:val="•"/>
      <w:lvlJc w:val="left"/>
      <w:pPr>
        <w:ind w:left="2309" w:hanging="601"/>
      </w:pPr>
      <w:rPr>
        <w:rFonts w:hint="default"/>
        <w:lang w:val="zh-CN" w:eastAsia="zh-CN" w:bidi="zh-CN"/>
      </w:rPr>
    </w:lvl>
    <w:lvl w:ilvl="3" w:tentative="0">
      <w:start w:val="0"/>
      <w:numFmt w:val="bullet"/>
      <w:lvlText w:val="•"/>
      <w:lvlJc w:val="left"/>
      <w:pPr>
        <w:ind w:left="3173" w:hanging="601"/>
      </w:pPr>
      <w:rPr>
        <w:rFonts w:hint="default"/>
        <w:lang w:val="zh-CN" w:eastAsia="zh-CN" w:bidi="zh-CN"/>
      </w:rPr>
    </w:lvl>
    <w:lvl w:ilvl="4" w:tentative="0">
      <w:start w:val="0"/>
      <w:numFmt w:val="bullet"/>
      <w:lvlText w:val="•"/>
      <w:lvlJc w:val="left"/>
      <w:pPr>
        <w:ind w:left="4038" w:hanging="601"/>
      </w:pPr>
      <w:rPr>
        <w:rFonts w:hint="default"/>
        <w:lang w:val="zh-CN" w:eastAsia="zh-CN" w:bidi="zh-CN"/>
      </w:rPr>
    </w:lvl>
    <w:lvl w:ilvl="5" w:tentative="0">
      <w:start w:val="0"/>
      <w:numFmt w:val="bullet"/>
      <w:lvlText w:val="•"/>
      <w:lvlJc w:val="left"/>
      <w:pPr>
        <w:ind w:left="4903" w:hanging="601"/>
      </w:pPr>
      <w:rPr>
        <w:rFonts w:hint="default"/>
        <w:lang w:val="zh-CN" w:eastAsia="zh-CN" w:bidi="zh-CN"/>
      </w:rPr>
    </w:lvl>
    <w:lvl w:ilvl="6" w:tentative="0">
      <w:start w:val="0"/>
      <w:numFmt w:val="bullet"/>
      <w:lvlText w:val="•"/>
      <w:lvlJc w:val="left"/>
      <w:pPr>
        <w:ind w:left="5767" w:hanging="601"/>
      </w:pPr>
      <w:rPr>
        <w:rFonts w:hint="default"/>
        <w:lang w:val="zh-CN" w:eastAsia="zh-CN" w:bidi="zh-CN"/>
      </w:rPr>
    </w:lvl>
    <w:lvl w:ilvl="7" w:tentative="0">
      <w:start w:val="0"/>
      <w:numFmt w:val="bullet"/>
      <w:lvlText w:val="•"/>
      <w:lvlJc w:val="left"/>
      <w:pPr>
        <w:ind w:left="6632" w:hanging="601"/>
      </w:pPr>
      <w:rPr>
        <w:rFonts w:hint="default"/>
        <w:lang w:val="zh-CN" w:eastAsia="zh-CN" w:bidi="zh-CN"/>
      </w:rPr>
    </w:lvl>
    <w:lvl w:ilvl="8" w:tentative="0">
      <w:start w:val="0"/>
      <w:numFmt w:val="bullet"/>
      <w:lvlText w:val="•"/>
      <w:lvlJc w:val="left"/>
      <w:pPr>
        <w:ind w:left="7496" w:hanging="601"/>
      </w:pPr>
      <w:rPr>
        <w:rFonts w:hint="default"/>
        <w:lang w:val="zh-CN" w:eastAsia="zh-CN" w:bidi="zh-CN"/>
      </w:rPr>
    </w:lvl>
  </w:abstractNum>
  <w:abstractNum w:abstractNumId="1525">
    <w:nsid w:val="512A6C53"/>
    <w:multiLevelType w:val="multilevel"/>
    <w:tmpl w:val="512A6C5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26">
    <w:nsid w:val="512D61A1"/>
    <w:multiLevelType w:val="multilevel"/>
    <w:tmpl w:val="512D61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27">
    <w:nsid w:val="514B7C69"/>
    <w:multiLevelType w:val="multilevel"/>
    <w:tmpl w:val="514B7C6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28">
    <w:nsid w:val="515E38F0"/>
    <w:multiLevelType w:val="multilevel"/>
    <w:tmpl w:val="515E38F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29">
    <w:nsid w:val="5190733E"/>
    <w:multiLevelType w:val="multilevel"/>
    <w:tmpl w:val="5190733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30">
    <w:nsid w:val="51AC44CB"/>
    <w:multiLevelType w:val="singleLevel"/>
    <w:tmpl w:val="51AC44CB"/>
    <w:lvl w:ilvl="0" w:tentative="0">
      <w:start w:val="1"/>
      <w:numFmt w:val="chineseCounting"/>
      <w:suff w:val="nothing"/>
      <w:lvlText w:val="（%1）"/>
      <w:lvlJc w:val="left"/>
      <w:rPr>
        <w:rFonts w:hint="eastAsia"/>
      </w:rPr>
    </w:lvl>
  </w:abstractNum>
  <w:abstractNum w:abstractNumId="1531">
    <w:nsid w:val="51C4BC33"/>
    <w:multiLevelType w:val="multilevel"/>
    <w:tmpl w:val="51C4BC33"/>
    <w:lvl w:ilvl="0" w:tentative="0">
      <w:start w:val="1"/>
      <w:numFmt w:val="decimal"/>
      <w:lvlText w:val="（%1）"/>
      <w:lvlJc w:val="left"/>
      <w:pPr>
        <w:ind w:left="111" w:hanging="608"/>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1030" w:hanging="608"/>
      </w:pPr>
      <w:rPr>
        <w:rFonts w:hint="default"/>
        <w:lang w:val="zh-CN" w:eastAsia="zh-CN" w:bidi="zh-CN"/>
      </w:rPr>
    </w:lvl>
    <w:lvl w:ilvl="2" w:tentative="0">
      <w:start w:val="0"/>
      <w:numFmt w:val="bullet"/>
      <w:lvlText w:val="•"/>
      <w:lvlJc w:val="left"/>
      <w:pPr>
        <w:ind w:left="1941" w:hanging="608"/>
      </w:pPr>
      <w:rPr>
        <w:rFonts w:hint="default"/>
        <w:lang w:val="zh-CN" w:eastAsia="zh-CN" w:bidi="zh-CN"/>
      </w:rPr>
    </w:lvl>
    <w:lvl w:ilvl="3" w:tentative="0">
      <w:start w:val="0"/>
      <w:numFmt w:val="bullet"/>
      <w:lvlText w:val="•"/>
      <w:lvlJc w:val="left"/>
      <w:pPr>
        <w:ind w:left="2851" w:hanging="608"/>
      </w:pPr>
      <w:rPr>
        <w:rFonts w:hint="default"/>
        <w:lang w:val="zh-CN" w:eastAsia="zh-CN" w:bidi="zh-CN"/>
      </w:rPr>
    </w:lvl>
    <w:lvl w:ilvl="4" w:tentative="0">
      <w:start w:val="0"/>
      <w:numFmt w:val="bullet"/>
      <w:lvlText w:val="•"/>
      <w:lvlJc w:val="left"/>
      <w:pPr>
        <w:ind w:left="3762" w:hanging="608"/>
      </w:pPr>
      <w:rPr>
        <w:rFonts w:hint="default"/>
        <w:lang w:val="zh-CN" w:eastAsia="zh-CN" w:bidi="zh-CN"/>
      </w:rPr>
    </w:lvl>
    <w:lvl w:ilvl="5" w:tentative="0">
      <w:start w:val="0"/>
      <w:numFmt w:val="bullet"/>
      <w:lvlText w:val="•"/>
      <w:lvlJc w:val="left"/>
      <w:pPr>
        <w:ind w:left="4673" w:hanging="608"/>
      </w:pPr>
      <w:rPr>
        <w:rFonts w:hint="default"/>
        <w:lang w:val="zh-CN" w:eastAsia="zh-CN" w:bidi="zh-CN"/>
      </w:rPr>
    </w:lvl>
    <w:lvl w:ilvl="6" w:tentative="0">
      <w:start w:val="0"/>
      <w:numFmt w:val="bullet"/>
      <w:lvlText w:val="•"/>
      <w:lvlJc w:val="left"/>
      <w:pPr>
        <w:ind w:left="5583" w:hanging="608"/>
      </w:pPr>
      <w:rPr>
        <w:rFonts w:hint="default"/>
        <w:lang w:val="zh-CN" w:eastAsia="zh-CN" w:bidi="zh-CN"/>
      </w:rPr>
    </w:lvl>
    <w:lvl w:ilvl="7" w:tentative="0">
      <w:start w:val="0"/>
      <w:numFmt w:val="bullet"/>
      <w:lvlText w:val="•"/>
      <w:lvlJc w:val="left"/>
      <w:pPr>
        <w:ind w:left="6494" w:hanging="608"/>
      </w:pPr>
      <w:rPr>
        <w:rFonts w:hint="default"/>
        <w:lang w:val="zh-CN" w:eastAsia="zh-CN" w:bidi="zh-CN"/>
      </w:rPr>
    </w:lvl>
    <w:lvl w:ilvl="8" w:tentative="0">
      <w:start w:val="0"/>
      <w:numFmt w:val="bullet"/>
      <w:lvlText w:val="•"/>
      <w:lvlJc w:val="left"/>
      <w:pPr>
        <w:ind w:left="7404" w:hanging="608"/>
      </w:pPr>
      <w:rPr>
        <w:rFonts w:hint="default"/>
        <w:lang w:val="zh-CN" w:eastAsia="zh-CN" w:bidi="zh-CN"/>
      </w:rPr>
    </w:lvl>
  </w:abstractNum>
  <w:abstractNum w:abstractNumId="1532">
    <w:nsid w:val="51CEA2F3"/>
    <w:multiLevelType w:val="multilevel"/>
    <w:tmpl w:val="51CEA2F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33">
    <w:nsid w:val="51F49DDE"/>
    <w:multiLevelType w:val="multilevel"/>
    <w:tmpl w:val="51F49DD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34">
    <w:nsid w:val="52148E00"/>
    <w:multiLevelType w:val="multilevel"/>
    <w:tmpl w:val="52148E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35">
    <w:nsid w:val="52189D80"/>
    <w:multiLevelType w:val="multilevel"/>
    <w:tmpl w:val="52189D8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36">
    <w:nsid w:val="525CCC1F"/>
    <w:multiLevelType w:val="multilevel"/>
    <w:tmpl w:val="525CCC1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37">
    <w:nsid w:val="527875AF"/>
    <w:multiLevelType w:val="multilevel"/>
    <w:tmpl w:val="527875A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38">
    <w:nsid w:val="527DF63D"/>
    <w:multiLevelType w:val="multilevel"/>
    <w:tmpl w:val="527DF63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39">
    <w:nsid w:val="52CF016B"/>
    <w:multiLevelType w:val="multilevel"/>
    <w:tmpl w:val="52CF016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0">
    <w:nsid w:val="531619AC"/>
    <w:multiLevelType w:val="multilevel"/>
    <w:tmpl w:val="531619A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1">
    <w:nsid w:val="53171713"/>
    <w:multiLevelType w:val="multilevel"/>
    <w:tmpl w:val="5317171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2">
    <w:nsid w:val="532FCC4A"/>
    <w:multiLevelType w:val="multilevel"/>
    <w:tmpl w:val="532FCC4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3">
    <w:nsid w:val="5378EABE"/>
    <w:multiLevelType w:val="multilevel"/>
    <w:tmpl w:val="5378EAB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44">
    <w:nsid w:val="53931333"/>
    <w:multiLevelType w:val="multilevel"/>
    <w:tmpl w:val="5393133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5">
    <w:nsid w:val="53980849"/>
    <w:multiLevelType w:val="multilevel"/>
    <w:tmpl w:val="5398084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6">
    <w:nsid w:val="5398758C"/>
    <w:multiLevelType w:val="multilevel"/>
    <w:tmpl w:val="5398758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7">
    <w:nsid w:val="53C14BF2"/>
    <w:multiLevelType w:val="multilevel"/>
    <w:tmpl w:val="53C14BF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8">
    <w:nsid w:val="53E2DC2C"/>
    <w:multiLevelType w:val="multilevel"/>
    <w:tmpl w:val="53E2DC2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49">
    <w:nsid w:val="53EC9420"/>
    <w:multiLevelType w:val="singleLevel"/>
    <w:tmpl w:val="53EC9420"/>
    <w:lvl w:ilvl="0" w:tentative="0">
      <w:start w:val="1"/>
      <w:numFmt w:val="chineseCounting"/>
      <w:suff w:val="nothing"/>
      <w:lvlText w:val="（%1）"/>
      <w:lvlJc w:val="left"/>
      <w:pPr>
        <w:ind w:left="1084" w:leftChars="0" w:firstLine="0" w:firstLineChars="0"/>
      </w:pPr>
      <w:rPr>
        <w:rFonts w:hint="eastAsia"/>
      </w:rPr>
    </w:lvl>
  </w:abstractNum>
  <w:abstractNum w:abstractNumId="1550">
    <w:nsid w:val="54134035"/>
    <w:multiLevelType w:val="multilevel"/>
    <w:tmpl w:val="5413403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51">
    <w:nsid w:val="54320C49"/>
    <w:multiLevelType w:val="multilevel"/>
    <w:tmpl w:val="54320C4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52">
    <w:nsid w:val="54724881"/>
    <w:multiLevelType w:val="multilevel"/>
    <w:tmpl w:val="5472488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53">
    <w:nsid w:val="5486DFBA"/>
    <w:multiLevelType w:val="multilevel"/>
    <w:tmpl w:val="5486DFB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54">
    <w:nsid w:val="55078575"/>
    <w:multiLevelType w:val="multilevel"/>
    <w:tmpl w:val="5507857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55">
    <w:nsid w:val="553D3464"/>
    <w:multiLevelType w:val="multilevel"/>
    <w:tmpl w:val="553D346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56">
    <w:nsid w:val="55628DC1"/>
    <w:multiLevelType w:val="multilevel"/>
    <w:tmpl w:val="55628DC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57">
    <w:nsid w:val="556FF646"/>
    <w:multiLevelType w:val="multilevel"/>
    <w:tmpl w:val="556FF64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58">
    <w:nsid w:val="55852A7F"/>
    <w:multiLevelType w:val="multilevel"/>
    <w:tmpl w:val="55852A7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59">
    <w:nsid w:val="55A3564C"/>
    <w:multiLevelType w:val="multilevel"/>
    <w:tmpl w:val="55A3564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60">
    <w:nsid w:val="5626B241"/>
    <w:multiLevelType w:val="multilevel"/>
    <w:tmpl w:val="5626B24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61">
    <w:nsid w:val="56493DDB"/>
    <w:multiLevelType w:val="multilevel"/>
    <w:tmpl w:val="56493DD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62">
    <w:nsid w:val="564F5E16"/>
    <w:multiLevelType w:val="multilevel"/>
    <w:tmpl w:val="564F5E1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63">
    <w:nsid w:val="56539E5B"/>
    <w:multiLevelType w:val="multilevel"/>
    <w:tmpl w:val="56539E5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64">
    <w:nsid w:val="566190E2"/>
    <w:multiLevelType w:val="multilevel"/>
    <w:tmpl w:val="566190E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65">
    <w:nsid w:val="568750A4"/>
    <w:multiLevelType w:val="multilevel"/>
    <w:tmpl w:val="568750A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66">
    <w:nsid w:val="5690720B"/>
    <w:multiLevelType w:val="multilevel"/>
    <w:tmpl w:val="5690720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567">
    <w:nsid w:val="56CDF4E6"/>
    <w:multiLevelType w:val="multilevel"/>
    <w:tmpl w:val="56CDF4E6"/>
    <w:lvl w:ilvl="0" w:tentative="0">
      <w:start w:val="1"/>
      <w:numFmt w:val="decimal"/>
      <w:lvlText w:val="%1."/>
      <w:lvlJc w:val="left"/>
      <w:pPr>
        <w:ind w:left="111" w:hanging="24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568">
    <w:nsid w:val="56F14F65"/>
    <w:multiLevelType w:val="multilevel"/>
    <w:tmpl w:val="56F14F6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69">
    <w:nsid w:val="5729DA27"/>
    <w:multiLevelType w:val="multilevel"/>
    <w:tmpl w:val="5729DA2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0">
    <w:nsid w:val="572CF3DA"/>
    <w:multiLevelType w:val="multilevel"/>
    <w:tmpl w:val="572CF3DA"/>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571">
    <w:nsid w:val="574742BB"/>
    <w:multiLevelType w:val="multilevel"/>
    <w:tmpl w:val="574742B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2">
    <w:nsid w:val="577016B9"/>
    <w:multiLevelType w:val="multilevel"/>
    <w:tmpl w:val="577016B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3">
    <w:nsid w:val="57D7D3A6"/>
    <w:multiLevelType w:val="multilevel"/>
    <w:tmpl w:val="57D7D3A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4">
    <w:nsid w:val="57DED440"/>
    <w:multiLevelType w:val="multilevel"/>
    <w:tmpl w:val="57DED4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5">
    <w:nsid w:val="5806B795"/>
    <w:multiLevelType w:val="multilevel"/>
    <w:tmpl w:val="5806B79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6">
    <w:nsid w:val="5846E8A9"/>
    <w:multiLevelType w:val="multilevel"/>
    <w:tmpl w:val="5846E8A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7">
    <w:nsid w:val="58492F80"/>
    <w:multiLevelType w:val="multilevel"/>
    <w:tmpl w:val="58492F8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8">
    <w:nsid w:val="58765686"/>
    <w:multiLevelType w:val="multilevel"/>
    <w:tmpl w:val="5876568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79">
    <w:nsid w:val="588B654D"/>
    <w:multiLevelType w:val="multilevel"/>
    <w:tmpl w:val="588B654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0">
    <w:nsid w:val="58D3E832"/>
    <w:multiLevelType w:val="multilevel"/>
    <w:tmpl w:val="58D3E83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1">
    <w:nsid w:val="58ED9A51"/>
    <w:multiLevelType w:val="multilevel"/>
    <w:tmpl w:val="58ED9A5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2">
    <w:nsid w:val="59030502"/>
    <w:multiLevelType w:val="multilevel"/>
    <w:tmpl w:val="5903050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3">
    <w:nsid w:val="596E00A2"/>
    <w:multiLevelType w:val="multilevel"/>
    <w:tmpl w:val="596E00A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4">
    <w:nsid w:val="598D2F2B"/>
    <w:multiLevelType w:val="multilevel"/>
    <w:tmpl w:val="598D2F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5">
    <w:nsid w:val="598DAF6D"/>
    <w:multiLevelType w:val="multilevel"/>
    <w:tmpl w:val="598DAF6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6">
    <w:nsid w:val="59ADCABA"/>
    <w:multiLevelType w:val="multilevel"/>
    <w:tmpl w:val="59ADCABA"/>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587">
    <w:nsid w:val="59CFA2ED"/>
    <w:multiLevelType w:val="multilevel"/>
    <w:tmpl w:val="59CFA2ED"/>
    <w:lvl w:ilvl="0" w:tentative="0">
      <w:start w:val="1"/>
      <w:numFmt w:val="decimal"/>
      <w:lvlText w:val="（%1）"/>
      <w:lvlJc w:val="left"/>
      <w:pPr>
        <w:ind w:left="581" w:hanging="601"/>
        <w:jc w:val="left"/>
      </w:pPr>
      <w:rPr>
        <w:rFonts w:hint="default" w:ascii="宋体" w:hAnsi="宋体" w:eastAsia="宋体" w:cs="宋体"/>
        <w:spacing w:val="-16"/>
        <w:w w:val="100"/>
        <w:sz w:val="22"/>
        <w:szCs w:val="22"/>
        <w:lang w:val="zh-CN" w:eastAsia="zh-CN" w:bidi="zh-CN"/>
      </w:rPr>
    </w:lvl>
    <w:lvl w:ilvl="1" w:tentative="0">
      <w:start w:val="0"/>
      <w:numFmt w:val="bullet"/>
      <w:lvlText w:val="•"/>
      <w:lvlJc w:val="left"/>
      <w:pPr>
        <w:ind w:left="1444" w:hanging="601"/>
      </w:pPr>
      <w:rPr>
        <w:rFonts w:hint="default"/>
        <w:lang w:val="zh-CN" w:eastAsia="zh-CN" w:bidi="zh-CN"/>
      </w:rPr>
    </w:lvl>
    <w:lvl w:ilvl="2" w:tentative="0">
      <w:start w:val="0"/>
      <w:numFmt w:val="bullet"/>
      <w:lvlText w:val="•"/>
      <w:lvlJc w:val="left"/>
      <w:pPr>
        <w:ind w:left="2309" w:hanging="601"/>
      </w:pPr>
      <w:rPr>
        <w:rFonts w:hint="default"/>
        <w:lang w:val="zh-CN" w:eastAsia="zh-CN" w:bidi="zh-CN"/>
      </w:rPr>
    </w:lvl>
    <w:lvl w:ilvl="3" w:tentative="0">
      <w:start w:val="0"/>
      <w:numFmt w:val="bullet"/>
      <w:lvlText w:val="•"/>
      <w:lvlJc w:val="left"/>
      <w:pPr>
        <w:ind w:left="3173" w:hanging="601"/>
      </w:pPr>
      <w:rPr>
        <w:rFonts w:hint="default"/>
        <w:lang w:val="zh-CN" w:eastAsia="zh-CN" w:bidi="zh-CN"/>
      </w:rPr>
    </w:lvl>
    <w:lvl w:ilvl="4" w:tentative="0">
      <w:start w:val="0"/>
      <w:numFmt w:val="bullet"/>
      <w:lvlText w:val="•"/>
      <w:lvlJc w:val="left"/>
      <w:pPr>
        <w:ind w:left="4038" w:hanging="601"/>
      </w:pPr>
      <w:rPr>
        <w:rFonts w:hint="default"/>
        <w:lang w:val="zh-CN" w:eastAsia="zh-CN" w:bidi="zh-CN"/>
      </w:rPr>
    </w:lvl>
    <w:lvl w:ilvl="5" w:tentative="0">
      <w:start w:val="0"/>
      <w:numFmt w:val="bullet"/>
      <w:lvlText w:val="•"/>
      <w:lvlJc w:val="left"/>
      <w:pPr>
        <w:ind w:left="4903" w:hanging="601"/>
      </w:pPr>
      <w:rPr>
        <w:rFonts w:hint="default"/>
        <w:lang w:val="zh-CN" w:eastAsia="zh-CN" w:bidi="zh-CN"/>
      </w:rPr>
    </w:lvl>
    <w:lvl w:ilvl="6" w:tentative="0">
      <w:start w:val="0"/>
      <w:numFmt w:val="bullet"/>
      <w:lvlText w:val="•"/>
      <w:lvlJc w:val="left"/>
      <w:pPr>
        <w:ind w:left="5767" w:hanging="601"/>
      </w:pPr>
      <w:rPr>
        <w:rFonts w:hint="default"/>
        <w:lang w:val="zh-CN" w:eastAsia="zh-CN" w:bidi="zh-CN"/>
      </w:rPr>
    </w:lvl>
    <w:lvl w:ilvl="7" w:tentative="0">
      <w:start w:val="0"/>
      <w:numFmt w:val="bullet"/>
      <w:lvlText w:val="•"/>
      <w:lvlJc w:val="left"/>
      <w:pPr>
        <w:ind w:left="6632" w:hanging="601"/>
      </w:pPr>
      <w:rPr>
        <w:rFonts w:hint="default"/>
        <w:lang w:val="zh-CN" w:eastAsia="zh-CN" w:bidi="zh-CN"/>
      </w:rPr>
    </w:lvl>
    <w:lvl w:ilvl="8" w:tentative="0">
      <w:start w:val="0"/>
      <w:numFmt w:val="bullet"/>
      <w:lvlText w:val="•"/>
      <w:lvlJc w:val="left"/>
      <w:pPr>
        <w:ind w:left="7496" w:hanging="601"/>
      </w:pPr>
      <w:rPr>
        <w:rFonts w:hint="default"/>
        <w:lang w:val="zh-CN" w:eastAsia="zh-CN" w:bidi="zh-CN"/>
      </w:rPr>
    </w:lvl>
  </w:abstractNum>
  <w:abstractNum w:abstractNumId="1588">
    <w:nsid w:val="59E16EEE"/>
    <w:multiLevelType w:val="multilevel"/>
    <w:tmpl w:val="59E16EE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89">
    <w:nsid w:val="59EEFD2A"/>
    <w:multiLevelType w:val="multilevel"/>
    <w:tmpl w:val="59EEFD2A"/>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590">
    <w:nsid w:val="59F4E2ED"/>
    <w:multiLevelType w:val="multilevel"/>
    <w:tmpl w:val="59F4E2E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1">
    <w:nsid w:val="5A241D34"/>
    <w:multiLevelType w:val="multilevel"/>
    <w:tmpl w:val="5A241D3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2">
    <w:nsid w:val="5A8377A7"/>
    <w:multiLevelType w:val="multilevel"/>
    <w:tmpl w:val="5A8377A7"/>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593">
    <w:nsid w:val="5A9EB8F4"/>
    <w:multiLevelType w:val="multilevel"/>
    <w:tmpl w:val="5A9EB8F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4">
    <w:nsid w:val="5AF675B9"/>
    <w:multiLevelType w:val="multilevel"/>
    <w:tmpl w:val="5AF675B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5">
    <w:nsid w:val="5AFEAE37"/>
    <w:multiLevelType w:val="multilevel"/>
    <w:tmpl w:val="5AFEAE3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6">
    <w:nsid w:val="5B1CE604"/>
    <w:multiLevelType w:val="multilevel"/>
    <w:tmpl w:val="5B1CE60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7">
    <w:nsid w:val="5B316E3C"/>
    <w:multiLevelType w:val="multilevel"/>
    <w:tmpl w:val="5B316E3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8">
    <w:nsid w:val="5B49FBCD"/>
    <w:multiLevelType w:val="multilevel"/>
    <w:tmpl w:val="5B49FBC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599">
    <w:nsid w:val="5B648C4F"/>
    <w:multiLevelType w:val="multilevel"/>
    <w:tmpl w:val="5B648C4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0">
    <w:nsid w:val="5BB06BAB"/>
    <w:multiLevelType w:val="multilevel"/>
    <w:tmpl w:val="5BB06BA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1">
    <w:nsid w:val="5BB53567"/>
    <w:multiLevelType w:val="multilevel"/>
    <w:tmpl w:val="5BB535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2">
    <w:nsid w:val="5BE6E6CC"/>
    <w:multiLevelType w:val="multilevel"/>
    <w:tmpl w:val="5BE6E6C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3">
    <w:nsid w:val="5C2CFD80"/>
    <w:multiLevelType w:val="multilevel"/>
    <w:tmpl w:val="5C2CFD8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4">
    <w:nsid w:val="5C3F7FDD"/>
    <w:multiLevelType w:val="multilevel"/>
    <w:tmpl w:val="5C3F7FD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5">
    <w:nsid w:val="5C5D3499"/>
    <w:multiLevelType w:val="multilevel"/>
    <w:tmpl w:val="5C5D349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6">
    <w:nsid w:val="5C62908E"/>
    <w:multiLevelType w:val="multilevel"/>
    <w:tmpl w:val="5C62908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7">
    <w:nsid w:val="5C6667B6"/>
    <w:multiLevelType w:val="multilevel"/>
    <w:tmpl w:val="5C6667B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08">
    <w:nsid w:val="5C6AC283"/>
    <w:multiLevelType w:val="multilevel"/>
    <w:tmpl w:val="5C6AC28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09">
    <w:nsid w:val="5C938D8A"/>
    <w:multiLevelType w:val="multilevel"/>
    <w:tmpl w:val="5C938D8A"/>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10">
    <w:nsid w:val="5CFE3973"/>
    <w:multiLevelType w:val="multilevel"/>
    <w:tmpl w:val="5CFE397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11">
    <w:nsid w:val="5D711867"/>
    <w:multiLevelType w:val="multilevel"/>
    <w:tmpl w:val="5D71186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12">
    <w:nsid w:val="5D916191"/>
    <w:multiLevelType w:val="singleLevel"/>
    <w:tmpl w:val="5D916191"/>
    <w:lvl w:ilvl="0" w:tentative="0">
      <w:start w:val="1"/>
      <w:numFmt w:val="decimal"/>
      <w:suff w:val="nothing"/>
      <w:lvlText w:val="%1."/>
      <w:lvlJc w:val="left"/>
    </w:lvl>
  </w:abstractNum>
  <w:abstractNum w:abstractNumId="1613">
    <w:nsid w:val="5D9177F9"/>
    <w:multiLevelType w:val="singleLevel"/>
    <w:tmpl w:val="5D9177F9"/>
    <w:lvl w:ilvl="0" w:tentative="0">
      <w:start w:val="1"/>
      <w:numFmt w:val="decimal"/>
      <w:suff w:val="nothing"/>
      <w:lvlText w:val="%1."/>
      <w:lvlJc w:val="left"/>
    </w:lvl>
  </w:abstractNum>
  <w:abstractNum w:abstractNumId="1614">
    <w:nsid w:val="5D91AA7C"/>
    <w:multiLevelType w:val="singleLevel"/>
    <w:tmpl w:val="5D91AA7C"/>
    <w:lvl w:ilvl="0" w:tentative="0">
      <w:start w:val="1"/>
      <w:numFmt w:val="decimal"/>
      <w:suff w:val="nothing"/>
      <w:lvlText w:val="%1."/>
      <w:lvlJc w:val="left"/>
    </w:lvl>
  </w:abstractNum>
  <w:abstractNum w:abstractNumId="1615">
    <w:nsid w:val="5D95BA0B"/>
    <w:multiLevelType w:val="singleLevel"/>
    <w:tmpl w:val="5D95BA0B"/>
    <w:lvl w:ilvl="0" w:tentative="0">
      <w:start w:val="1"/>
      <w:numFmt w:val="decimal"/>
      <w:suff w:val="nothing"/>
      <w:lvlText w:val="%1."/>
      <w:lvlJc w:val="left"/>
    </w:lvl>
  </w:abstractNum>
  <w:abstractNum w:abstractNumId="1616">
    <w:nsid w:val="5D95CA5D"/>
    <w:multiLevelType w:val="singleLevel"/>
    <w:tmpl w:val="5D95CA5D"/>
    <w:lvl w:ilvl="0" w:tentative="0">
      <w:start w:val="1"/>
      <w:numFmt w:val="decimal"/>
      <w:suff w:val="nothing"/>
      <w:lvlText w:val="%1."/>
      <w:lvlJc w:val="left"/>
    </w:lvl>
  </w:abstractNum>
  <w:abstractNum w:abstractNumId="1617">
    <w:nsid w:val="5D961DA7"/>
    <w:multiLevelType w:val="multilevel"/>
    <w:tmpl w:val="5D961DA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18">
    <w:nsid w:val="5E29AB5A"/>
    <w:multiLevelType w:val="multilevel"/>
    <w:tmpl w:val="5E29AB5A"/>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19">
    <w:nsid w:val="5E39E71E"/>
    <w:multiLevelType w:val="multilevel"/>
    <w:tmpl w:val="5E39E71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20">
    <w:nsid w:val="5E549096"/>
    <w:multiLevelType w:val="multilevel"/>
    <w:tmpl w:val="5E5490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21">
    <w:nsid w:val="5E54D66B"/>
    <w:multiLevelType w:val="multilevel"/>
    <w:tmpl w:val="5E54D66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22">
    <w:nsid w:val="5E588D89"/>
    <w:multiLevelType w:val="multilevel"/>
    <w:tmpl w:val="5E588D8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23">
    <w:nsid w:val="5E64DB20"/>
    <w:multiLevelType w:val="multilevel"/>
    <w:tmpl w:val="5E64DB2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24">
    <w:nsid w:val="5E93CED7"/>
    <w:multiLevelType w:val="multilevel"/>
    <w:tmpl w:val="5E93CED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25">
    <w:nsid w:val="5EAC0334"/>
    <w:multiLevelType w:val="multilevel"/>
    <w:tmpl w:val="5EAC033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26">
    <w:nsid w:val="5EB36A89"/>
    <w:multiLevelType w:val="multilevel"/>
    <w:tmpl w:val="5EB36A8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27">
    <w:nsid w:val="5EBCE7A7"/>
    <w:multiLevelType w:val="multilevel"/>
    <w:tmpl w:val="5EBCE7A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28">
    <w:nsid w:val="5ED1DC8F"/>
    <w:multiLevelType w:val="multilevel"/>
    <w:tmpl w:val="5ED1DC8F"/>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29">
    <w:nsid w:val="5EFA165B"/>
    <w:multiLevelType w:val="multilevel"/>
    <w:tmpl w:val="5EFA165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30">
    <w:nsid w:val="5EFCBBDA"/>
    <w:multiLevelType w:val="multilevel"/>
    <w:tmpl w:val="5EFCBBD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31">
    <w:nsid w:val="5F098F1B"/>
    <w:multiLevelType w:val="multilevel"/>
    <w:tmpl w:val="5F098F1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32">
    <w:nsid w:val="5F36E1FB"/>
    <w:multiLevelType w:val="multilevel"/>
    <w:tmpl w:val="5F36E1F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33">
    <w:nsid w:val="5F3AF6AE"/>
    <w:multiLevelType w:val="multilevel"/>
    <w:tmpl w:val="5F3AF6A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34">
    <w:nsid w:val="5FB3A0AC"/>
    <w:multiLevelType w:val="multilevel"/>
    <w:tmpl w:val="5FB3A0A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35">
    <w:nsid w:val="5FBA3375"/>
    <w:multiLevelType w:val="multilevel"/>
    <w:tmpl w:val="5FBA337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36">
    <w:nsid w:val="5FCE4367"/>
    <w:multiLevelType w:val="multilevel"/>
    <w:tmpl w:val="5FCE4367"/>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37">
    <w:nsid w:val="5FE51B55"/>
    <w:multiLevelType w:val="multilevel"/>
    <w:tmpl w:val="5FE51B5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38">
    <w:nsid w:val="5FFFB1A7"/>
    <w:multiLevelType w:val="multilevel"/>
    <w:tmpl w:val="5FFFB1A7"/>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39">
    <w:nsid w:val="60054CB4"/>
    <w:multiLevelType w:val="multilevel"/>
    <w:tmpl w:val="60054C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40">
    <w:nsid w:val="60382F6E"/>
    <w:multiLevelType w:val="multilevel"/>
    <w:tmpl w:val="60382F6E"/>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41">
    <w:nsid w:val="603A41D5"/>
    <w:multiLevelType w:val="multilevel"/>
    <w:tmpl w:val="603A41D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42">
    <w:nsid w:val="603E6203"/>
    <w:multiLevelType w:val="multilevel"/>
    <w:tmpl w:val="603E620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43">
    <w:nsid w:val="6088D130"/>
    <w:multiLevelType w:val="multilevel"/>
    <w:tmpl w:val="6088D13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44">
    <w:nsid w:val="608C7EF0"/>
    <w:multiLevelType w:val="multilevel"/>
    <w:tmpl w:val="608C7EF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45">
    <w:nsid w:val="6093059A"/>
    <w:multiLevelType w:val="multilevel"/>
    <w:tmpl w:val="6093059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46">
    <w:nsid w:val="60A06456"/>
    <w:multiLevelType w:val="multilevel"/>
    <w:tmpl w:val="60A064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47">
    <w:nsid w:val="610EFE5C"/>
    <w:multiLevelType w:val="multilevel"/>
    <w:tmpl w:val="610EFE5C"/>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48">
    <w:nsid w:val="612CBFCA"/>
    <w:multiLevelType w:val="multilevel"/>
    <w:tmpl w:val="612CBFC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49">
    <w:nsid w:val="6192A81A"/>
    <w:multiLevelType w:val="multilevel"/>
    <w:tmpl w:val="6192A81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0">
    <w:nsid w:val="619B9752"/>
    <w:multiLevelType w:val="multilevel"/>
    <w:tmpl w:val="619B975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1">
    <w:nsid w:val="61A7E121"/>
    <w:multiLevelType w:val="multilevel"/>
    <w:tmpl w:val="61A7E12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2">
    <w:nsid w:val="61AE4EA3"/>
    <w:multiLevelType w:val="multilevel"/>
    <w:tmpl w:val="61AE4EA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3">
    <w:nsid w:val="61AEA9B7"/>
    <w:multiLevelType w:val="multilevel"/>
    <w:tmpl w:val="61AEA9B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4">
    <w:nsid w:val="61B1864E"/>
    <w:multiLevelType w:val="multilevel"/>
    <w:tmpl w:val="61B1864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5">
    <w:nsid w:val="61B89BA7"/>
    <w:multiLevelType w:val="multilevel"/>
    <w:tmpl w:val="61B89BA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6">
    <w:nsid w:val="61DFA2DE"/>
    <w:multiLevelType w:val="multilevel"/>
    <w:tmpl w:val="61DFA2D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7">
    <w:nsid w:val="620A1401"/>
    <w:multiLevelType w:val="multilevel"/>
    <w:tmpl w:val="620A140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8">
    <w:nsid w:val="62647CE7"/>
    <w:multiLevelType w:val="multilevel"/>
    <w:tmpl w:val="62647CE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59">
    <w:nsid w:val="629F7852"/>
    <w:multiLevelType w:val="multilevel"/>
    <w:tmpl w:val="629F785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60">
    <w:nsid w:val="62A51EF1"/>
    <w:multiLevelType w:val="multilevel"/>
    <w:tmpl w:val="62A51EF1"/>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61">
    <w:nsid w:val="62A9576F"/>
    <w:multiLevelType w:val="multilevel"/>
    <w:tmpl w:val="62A9576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62">
    <w:nsid w:val="62B44E1D"/>
    <w:multiLevelType w:val="multilevel"/>
    <w:tmpl w:val="62B44E1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63">
    <w:nsid w:val="62DC3BBB"/>
    <w:multiLevelType w:val="multilevel"/>
    <w:tmpl w:val="62DC3BB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64">
    <w:nsid w:val="631DC361"/>
    <w:multiLevelType w:val="multilevel"/>
    <w:tmpl w:val="631DC36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65">
    <w:nsid w:val="63645CC9"/>
    <w:multiLevelType w:val="multilevel"/>
    <w:tmpl w:val="63645CC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66">
    <w:nsid w:val="636B5C77"/>
    <w:multiLevelType w:val="multilevel"/>
    <w:tmpl w:val="636B5C77"/>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67">
    <w:nsid w:val="6373D07A"/>
    <w:multiLevelType w:val="multilevel"/>
    <w:tmpl w:val="6373D07A"/>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68">
    <w:nsid w:val="63AEA264"/>
    <w:multiLevelType w:val="multilevel"/>
    <w:tmpl w:val="63AEA26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69">
    <w:nsid w:val="63B12E74"/>
    <w:multiLevelType w:val="multilevel"/>
    <w:tmpl w:val="63B12E7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70">
    <w:nsid w:val="63F8A122"/>
    <w:multiLevelType w:val="multilevel"/>
    <w:tmpl w:val="63F8A12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71">
    <w:nsid w:val="64574ED8"/>
    <w:multiLevelType w:val="multilevel"/>
    <w:tmpl w:val="64574ED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72">
    <w:nsid w:val="64B5E6EF"/>
    <w:multiLevelType w:val="multilevel"/>
    <w:tmpl w:val="64B5E6E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73">
    <w:nsid w:val="64C0CB79"/>
    <w:multiLevelType w:val="multilevel"/>
    <w:tmpl w:val="64C0CB79"/>
    <w:lvl w:ilvl="0" w:tentative="0">
      <w:start w:val="2"/>
      <w:numFmt w:val="decimal"/>
      <w:lvlText w:val="%1"/>
      <w:lvlJc w:val="left"/>
      <w:pPr>
        <w:ind w:left="111" w:hanging="363"/>
        <w:jc w:val="left"/>
      </w:pPr>
      <w:rPr>
        <w:rFonts w:hint="default"/>
        <w:lang w:val="zh-CN" w:eastAsia="zh-CN" w:bidi="zh-CN"/>
      </w:rPr>
    </w:lvl>
    <w:lvl w:ilvl="1" w:tentative="0">
      <w:start w:val="1"/>
      <w:numFmt w:val="decimal"/>
      <w:lvlText w:val="%1-%2"/>
      <w:lvlJc w:val="left"/>
      <w:pPr>
        <w:ind w:left="111" w:hanging="363"/>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1941" w:hanging="363"/>
      </w:pPr>
      <w:rPr>
        <w:rFonts w:hint="default"/>
        <w:lang w:val="zh-CN" w:eastAsia="zh-CN" w:bidi="zh-CN"/>
      </w:rPr>
    </w:lvl>
    <w:lvl w:ilvl="3" w:tentative="0">
      <w:start w:val="0"/>
      <w:numFmt w:val="bullet"/>
      <w:lvlText w:val="•"/>
      <w:lvlJc w:val="left"/>
      <w:pPr>
        <w:ind w:left="2851" w:hanging="363"/>
      </w:pPr>
      <w:rPr>
        <w:rFonts w:hint="default"/>
        <w:lang w:val="zh-CN" w:eastAsia="zh-CN" w:bidi="zh-CN"/>
      </w:rPr>
    </w:lvl>
    <w:lvl w:ilvl="4" w:tentative="0">
      <w:start w:val="0"/>
      <w:numFmt w:val="bullet"/>
      <w:lvlText w:val="•"/>
      <w:lvlJc w:val="left"/>
      <w:pPr>
        <w:ind w:left="3762" w:hanging="363"/>
      </w:pPr>
      <w:rPr>
        <w:rFonts w:hint="default"/>
        <w:lang w:val="zh-CN" w:eastAsia="zh-CN" w:bidi="zh-CN"/>
      </w:rPr>
    </w:lvl>
    <w:lvl w:ilvl="5" w:tentative="0">
      <w:start w:val="0"/>
      <w:numFmt w:val="bullet"/>
      <w:lvlText w:val="•"/>
      <w:lvlJc w:val="left"/>
      <w:pPr>
        <w:ind w:left="4673" w:hanging="363"/>
      </w:pPr>
      <w:rPr>
        <w:rFonts w:hint="default"/>
        <w:lang w:val="zh-CN" w:eastAsia="zh-CN" w:bidi="zh-CN"/>
      </w:rPr>
    </w:lvl>
    <w:lvl w:ilvl="6" w:tentative="0">
      <w:start w:val="0"/>
      <w:numFmt w:val="bullet"/>
      <w:lvlText w:val="•"/>
      <w:lvlJc w:val="left"/>
      <w:pPr>
        <w:ind w:left="5583" w:hanging="363"/>
      </w:pPr>
      <w:rPr>
        <w:rFonts w:hint="default"/>
        <w:lang w:val="zh-CN" w:eastAsia="zh-CN" w:bidi="zh-CN"/>
      </w:rPr>
    </w:lvl>
    <w:lvl w:ilvl="7" w:tentative="0">
      <w:start w:val="0"/>
      <w:numFmt w:val="bullet"/>
      <w:lvlText w:val="•"/>
      <w:lvlJc w:val="left"/>
      <w:pPr>
        <w:ind w:left="6494" w:hanging="363"/>
      </w:pPr>
      <w:rPr>
        <w:rFonts w:hint="default"/>
        <w:lang w:val="zh-CN" w:eastAsia="zh-CN" w:bidi="zh-CN"/>
      </w:rPr>
    </w:lvl>
    <w:lvl w:ilvl="8" w:tentative="0">
      <w:start w:val="0"/>
      <w:numFmt w:val="bullet"/>
      <w:lvlText w:val="•"/>
      <w:lvlJc w:val="left"/>
      <w:pPr>
        <w:ind w:left="7404" w:hanging="363"/>
      </w:pPr>
      <w:rPr>
        <w:rFonts w:hint="default"/>
        <w:lang w:val="zh-CN" w:eastAsia="zh-CN" w:bidi="zh-CN"/>
      </w:rPr>
    </w:lvl>
  </w:abstractNum>
  <w:abstractNum w:abstractNumId="1674">
    <w:nsid w:val="64FF8316"/>
    <w:multiLevelType w:val="multilevel"/>
    <w:tmpl w:val="64FF831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75">
    <w:nsid w:val="650BD6E7"/>
    <w:multiLevelType w:val="multilevel"/>
    <w:tmpl w:val="650BD6E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76">
    <w:nsid w:val="650EA3C6"/>
    <w:multiLevelType w:val="multilevel"/>
    <w:tmpl w:val="650EA3C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77">
    <w:nsid w:val="651250D8"/>
    <w:multiLevelType w:val="multilevel"/>
    <w:tmpl w:val="651250D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78">
    <w:nsid w:val="651422BE"/>
    <w:multiLevelType w:val="multilevel"/>
    <w:tmpl w:val="651422BE"/>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79">
    <w:nsid w:val="651AF6BB"/>
    <w:multiLevelType w:val="multilevel"/>
    <w:tmpl w:val="651AF6B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80">
    <w:nsid w:val="65257540"/>
    <w:multiLevelType w:val="multilevel"/>
    <w:tmpl w:val="652575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81">
    <w:nsid w:val="6583C1BB"/>
    <w:multiLevelType w:val="multilevel"/>
    <w:tmpl w:val="6583C1B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82">
    <w:nsid w:val="658C3765"/>
    <w:multiLevelType w:val="multilevel"/>
    <w:tmpl w:val="658C376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83">
    <w:nsid w:val="659EB354"/>
    <w:multiLevelType w:val="multilevel"/>
    <w:tmpl w:val="659EB35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84">
    <w:nsid w:val="65B8160E"/>
    <w:multiLevelType w:val="multilevel"/>
    <w:tmpl w:val="65B8160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85">
    <w:nsid w:val="65C9231D"/>
    <w:multiLevelType w:val="multilevel"/>
    <w:tmpl w:val="65C9231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86">
    <w:nsid w:val="65CD0074"/>
    <w:multiLevelType w:val="multilevel"/>
    <w:tmpl w:val="65CD007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687">
    <w:nsid w:val="65FB771D"/>
    <w:multiLevelType w:val="multilevel"/>
    <w:tmpl w:val="65FB771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88">
    <w:nsid w:val="660E47BE"/>
    <w:multiLevelType w:val="multilevel"/>
    <w:tmpl w:val="660E47B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89">
    <w:nsid w:val="664B0323"/>
    <w:multiLevelType w:val="multilevel"/>
    <w:tmpl w:val="664B032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90">
    <w:nsid w:val="66817F3A"/>
    <w:multiLevelType w:val="multilevel"/>
    <w:tmpl w:val="66817F3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91">
    <w:nsid w:val="66BB09DB"/>
    <w:multiLevelType w:val="multilevel"/>
    <w:tmpl w:val="66BB09D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92">
    <w:nsid w:val="66D7EBAC"/>
    <w:multiLevelType w:val="multilevel"/>
    <w:tmpl w:val="66D7EBA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93">
    <w:nsid w:val="6731AC0E"/>
    <w:multiLevelType w:val="multilevel"/>
    <w:tmpl w:val="6731AC0E"/>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94">
    <w:nsid w:val="67342651"/>
    <w:multiLevelType w:val="singleLevel"/>
    <w:tmpl w:val="67342651"/>
    <w:lvl w:ilvl="0" w:tentative="0">
      <w:start w:val="2"/>
      <w:numFmt w:val="chineseCounting"/>
      <w:suff w:val="nothing"/>
      <w:lvlText w:val="（%1）"/>
      <w:lvlJc w:val="left"/>
      <w:rPr>
        <w:rFonts w:hint="eastAsia"/>
      </w:rPr>
    </w:lvl>
  </w:abstractNum>
  <w:abstractNum w:abstractNumId="1695">
    <w:nsid w:val="6764C469"/>
    <w:multiLevelType w:val="multilevel"/>
    <w:tmpl w:val="6764C46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96">
    <w:nsid w:val="67D3EE7D"/>
    <w:multiLevelType w:val="multilevel"/>
    <w:tmpl w:val="67D3EE7D"/>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1697">
    <w:nsid w:val="68259700"/>
    <w:multiLevelType w:val="multilevel"/>
    <w:tmpl w:val="6825970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698">
    <w:nsid w:val="685AAA19"/>
    <w:multiLevelType w:val="multilevel"/>
    <w:tmpl w:val="685AAA19"/>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699">
    <w:nsid w:val="6882ABDA"/>
    <w:multiLevelType w:val="multilevel"/>
    <w:tmpl w:val="6882ABD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00">
    <w:nsid w:val="68B298F7"/>
    <w:multiLevelType w:val="multilevel"/>
    <w:tmpl w:val="68B298F7"/>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701">
    <w:nsid w:val="68BC4679"/>
    <w:multiLevelType w:val="multilevel"/>
    <w:tmpl w:val="68BC467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02">
    <w:nsid w:val="68FD76AA"/>
    <w:multiLevelType w:val="multilevel"/>
    <w:tmpl w:val="68FD76A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03">
    <w:nsid w:val="6908CA22"/>
    <w:multiLevelType w:val="multilevel"/>
    <w:tmpl w:val="6908CA22"/>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04">
    <w:nsid w:val="69184F95"/>
    <w:multiLevelType w:val="multilevel"/>
    <w:tmpl w:val="69184F9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05">
    <w:nsid w:val="69193CF1"/>
    <w:multiLevelType w:val="multilevel"/>
    <w:tmpl w:val="69193C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06">
    <w:nsid w:val="69414294"/>
    <w:multiLevelType w:val="multilevel"/>
    <w:tmpl w:val="69414294"/>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07">
    <w:nsid w:val="69484477"/>
    <w:multiLevelType w:val="multilevel"/>
    <w:tmpl w:val="6948447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08">
    <w:nsid w:val="695AF73B"/>
    <w:multiLevelType w:val="multilevel"/>
    <w:tmpl w:val="695AF73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09">
    <w:nsid w:val="696476D1"/>
    <w:multiLevelType w:val="multilevel"/>
    <w:tmpl w:val="696476D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0">
    <w:nsid w:val="698BD973"/>
    <w:multiLevelType w:val="multilevel"/>
    <w:tmpl w:val="698BD97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1">
    <w:nsid w:val="69C9AA86"/>
    <w:multiLevelType w:val="multilevel"/>
    <w:tmpl w:val="69C9AA8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2">
    <w:nsid w:val="69CE7336"/>
    <w:multiLevelType w:val="multilevel"/>
    <w:tmpl w:val="69CE733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3">
    <w:nsid w:val="69DB512B"/>
    <w:multiLevelType w:val="multilevel"/>
    <w:tmpl w:val="69DB51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4">
    <w:nsid w:val="6A9EF409"/>
    <w:multiLevelType w:val="multilevel"/>
    <w:tmpl w:val="6A9EF40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5">
    <w:nsid w:val="6AABDF48"/>
    <w:multiLevelType w:val="multilevel"/>
    <w:tmpl w:val="6AABDF4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6">
    <w:nsid w:val="6AD77C02"/>
    <w:multiLevelType w:val="multilevel"/>
    <w:tmpl w:val="6AD77C0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7">
    <w:nsid w:val="6AFC2A1C"/>
    <w:multiLevelType w:val="multilevel"/>
    <w:tmpl w:val="6AFC2A1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8">
    <w:nsid w:val="6B20502E"/>
    <w:multiLevelType w:val="multilevel"/>
    <w:tmpl w:val="6B20502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19">
    <w:nsid w:val="6B2347A3"/>
    <w:multiLevelType w:val="multilevel"/>
    <w:tmpl w:val="6B2347A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0">
    <w:nsid w:val="6B293770"/>
    <w:multiLevelType w:val="multilevel"/>
    <w:tmpl w:val="6B29377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1">
    <w:nsid w:val="6B9A26C2"/>
    <w:multiLevelType w:val="multilevel"/>
    <w:tmpl w:val="6B9A26C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2">
    <w:nsid w:val="6BB00B02"/>
    <w:multiLevelType w:val="multilevel"/>
    <w:tmpl w:val="6BB00B0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3">
    <w:nsid w:val="6C05E8B2"/>
    <w:multiLevelType w:val="multilevel"/>
    <w:tmpl w:val="6C05E8B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4">
    <w:nsid w:val="6C0BE2D1"/>
    <w:multiLevelType w:val="multilevel"/>
    <w:tmpl w:val="6C0BE2D1"/>
    <w:lvl w:ilvl="0" w:tentative="0">
      <w:start w:val="2"/>
      <w:numFmt w:val="decimal"/>
      <w:lvlText w:val="%1"/>
      <w:lvlJc w:val="left"/>
      <w:pPr>
        <w:ind w:left="111" w:hanging="363"/>
        <w:jc w:val="left"/>
      </w:pPr>
      <w:rPr>
        <w:rFonts w:hint="default"/>
        <w:lang w:val="zh-CN" w:eastAsia="zh-CN" w:bidi="zh-CN"/>
      </w:rPr>
    </w:lvl>
    <w:lvl w:ilvl="1" w:tentative="0">
      <w:start w:val="4"/>
      <w:numFmt w:val="decimal"/>
      <w:lvlText w:val="%1-%2"/>
      <w:lvlJc w:val="left"/>
      <w:pPr>
        <w:ind w:left="111" w:hanging="363"/>
        <w:jc w:val="right"/>
      </w:pPr>
      <w:rPr>
        <w:rFonts w:hint="default" w:ascii="宋体" w:hAnsi="宋体" w:eastAsia="宋体" w:cs="宋体"/>
        <w:w w:val="100"/>
        <w:sz w:val="22"/>
        <w:szCs w:val="22"/>
        <w:lang w:val="zh-CN" w:eastAsia="zh-CN" w:bidi="zh-CN"/>
      </w:rPr>
    </w:lvl>
    <w:lvl w:ilvl="2" w:tentative="0">
      <w:start w:val="1"/>
      <w:numFmt w:val="decimal"/>
      <w:lvlText w:val="%3."/>
      <w:lvlJc w:val="left"/>
      <w:pPr>
        <w:ind w:left="111" w:hanging="241"/>
        <w:jc w:val="left"/>
      </w:pPr>
      <w:rPr>
        <w:rFonts w:hint="default" w:ascii="宋体" w:hAnsi="宋体" w:eastAsia="宋体" w:cs="宋体"/>
        <w:spacing w:val="-20"/>
        <w:w w:val="100"/>
        <w:sz w:val="22"/>
        <w:szCs w:val="22"/>
        <w:lang w:val="zh-CN" w:eastAsia="zh-CN" w:bidi="zh-CN"/>
      </w:rPr>
    </w:lvl>
    <w:lvl w:ilvl="3" w:tentative="0">
      <w:start w:val="1"/>
      <w:numFmt w:val="decimal"/>
      <w:lvlText w:val="（%4）"/>
      <w:lvlJc w:val="left"/>
      <w:pPr>
        <w:ind w:left="1192"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875" w:hanging="601"/>
      </w:pPr>
      <w:rPr>
        <w:rFonts w:hint="default"/>
        <w:lang w:val="zh-CN" w:eastAsia="zh-CN" w:bidi="zh-CN"/>
      </w:rPr>
    </w:lvl>
    <w:lvl w:ilvl="5" w:tentative="0">
      <w:start w:val="0"/>
      <w:numFmt w:val="bullet"/>
      <w:lvlText w:val="•"/>
      <w:lvlJc w:val="left"/>
      <w:pPr>
        <w:ind w:left="4767" w:hanging="601"/>
      </w:pPr>
      <w:rPr>
        <w:rFonts w:hint="default"/>
        <w:lang w:val="zh-CN" w:eastAsia="zh-CN" w:bidi="zh-CN"/>
      </w:rPr>
    </w:lvl>
    <w:lvl w:ilvl="6" w:tentative="0">
      <w:start w:val="0"/>
      <w:numFmt w:val="bullet"/>
      <w:lvlText w:val="•"/>
      <w:lvlJc w:val="left"/>
      <w:pPr>
        <w:ind w:left="5658" w:hanging="601"/>
      </w:pPr>
      <w:rPr>
        <w:rFonts w:hint="default"/>
        <w:lang w:val="zh-CN" w:eastAsia="zh-CN" w:bidi="zh-CN"/>
      </w:rPr>
    </w:lvl>
    <w:lvl w:ilvl="7" w:tentative="0">
      <w:start w:val="0"/>
      <w:numFmt w:val="bullet"/>
      <w:lvlText w:val="•"/>
      <w:lvlJc w:val="left"/>
      <w:pPr>
        <w:ind w:left="6550" w:hanging="601"/>
      </w:pPr>
      <w:rPr>
        <w:rFonts w:hint="default"/>
        <w:lang w:val="zh-CN" w:eastAsia="zh-CN" w:bidi="zh-CN"/>
      </w:rPr>
    </w:lvl>
    <w:lvl w:ilvl="8" w:tentative="0">
      <w:start w:val="0"/>
      <w:numFmt w:val="bullet"/>
      <w:lvlText w:val="•"/>
      <w:lvlJc w:val="left"/>
      <w:pPr>
        <w:ind w:left="7442" w:hanging="601"/>
      </w:pPr>
      <w:rPr>
        <w:rFonts w:hint="default"/>
        <w:lang w:val="zh-CN" w:eastAsia="zh-CN" w:bidi="zh-CN"/>
      </w:rPr>
    </w:lvl>
  </w:abstractNum>
  <w:abstractNum w:abstractNumId="1725">
    <w:nsid w:val="6C1A1EF6"/>
    <w:multiLevelType w:val="multilevel"/>
    <w:tmpl w:val="6C1A1EF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6">
    <w:nsid w:val="6C2606E4"/>
    <w:multiLevelType w:val="multilevel"/>
    <w:tmpl w:val="6C2606E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7">
    <w:nsid w:val="6C6B92AA"/>
    <w:multiLevelType w:val="multilevel"/>
    <w:tmpl w:val="6C6B92A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8">
    <w:nsid w:val="6C740873"/>
    <w:multiLevelType w:val="multilevel"/>
    <w:tmpl w:val="6C74087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29">
    <w:nsid w:val="6CBA3E9B"/>
    <w:multiLevelType w:val="multilevel"/>
    <w:tmpl w:val="6CBA3E9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0">
    <w:nsid w:val="6D1778F2"/>
    <w:multiLevelType w:val="multilevel"/>
    <w:tmpl w:val="6D1778F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1">
    <w:nsid w:val="6D2B18F7"/>
    <w:multiLevelType w:val="multilevel"/>
    <w:tmpl w:val="6D2B18F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2">
    <w:nsid w:val="6D423078"/>
    <w:multiLevelType w:val="multilevel"/>
    <w:tmpl w:val="6D42307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3">
    <w:nsid w:val="6D5D496F"/>
    <w:multiLevelType w:val="multilevel"/>
    <w:tmpl w:val="6D5D496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4">
    <w:nsid w:val="6D807FB0"/>
    <w:multiLevelType w:val="multilevel"/>
    <w:tmpl w:val="6D807FB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35">
    <w:nsid w:val="6E1E7FBA"/>
    <w:multiLevelType w:val="multilevel"/>
    <w:tmpl w:val="6E1E7FB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36">
    <w:nsid w:val="6E4D7807"/>
    <w:multiLevelType w:val="multilevel"/>
    <w:tmpl w:val="6E4D780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7">
    <w:nsid w:val="6E4E6954"/>
    <w:multiLevelType w:val="multilevel"/>
    <w:tmpl w:val="6E4E695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8">
    <w:nsid w:val="6E840AC9"/>
    <w:multiLevelType w:val="multilevel"/>
    <w:tmpl w:val="6E840AC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39">
    <w:nsid w:val="6E97899E"/>
    <w:multiLevelType w:val="multilevel"/>
    <w:tmpl w:val="6E97899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0">
    <w:nsid w:val="6EA36B0A"/>
    <w:multiLevelType w:val="multilevel"/>
    <w:tmpl w:val="6EA36B0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1">
    <w:nsid w:val="6EA3DCF1"/>
    <w:multiLevelType w:val="multilevel"/>
    <w:tmpl w:val="6EA3DCF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2">
    <w:nsid w:val="6ED483D6"/>
    <w:multiLevelType w:val="multilevel"/>
    <w:tmpl w:val="6ED483D6"/>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43">
    <w:nsid w:val="6EEF45DF"/>
    <w:multiLevelType w:val="multilevel"/>
    <w:tmpl w:val="6EEF45D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4">
    <w:nsid w:val="6F148A18"/>
    <w:multiLevelType w:val="multilevel"/>
    <w:tmpl w:val="6F148A1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5">
    <w:nsid w:val="6F2F616C"/>
    <w:multiLevelType w:val="multilevel"/>
    <w:tmpl w:val="6F2F616C"/>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46">
    <w:nsid w:val="6F50180D"/>
    <w:multiLevelType w:val="multilevel"/>
    <w:tmpl w:val="6F50180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7">
    <w:nsid w:val="6F600250"/>
    <w:multiLevelType w:val="multilevel"/>
    <w:tmpl w:val="6F60025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8">
    <w:nsid w:val="6F6D4E87"/>
    <w:multiLevelType w:val="multilevel"/>
    <w:tmpl w:val="6F6D4E8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49">
    <w:nsid w:val="6FAFF6A1"/>
    <w:multiLevelType w:val="multilevel"/>
    <w:tmpl w:val="6FAFF6A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50">
    <w:nsid w:val="700FDCEF"/>
    <w:multiLevelType w:val="multilevel"/>
    <w:tmpl w:val="700FDCEF"/>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751">
    <w:nsid w:val="70381596"/>
    <w:multiLevelType w:val="multilevel"/>
    <w:tmpl w:val="7038159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52">
    <w:nsid w:val="705BA509"/>
    <w:multiLevelType w:val="multilevel"/>
    <w:tmpl w:val="705BA50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53">
    <w:nsid w:val="707C3AC2"/>
    <w:multiLevelType w:val="multilevel"/>
    <w:tmpl w:val="707C3AC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54">
    <w:nsid w:val="70AE371C"/>
    <w:multiLevelType w:val="multilevel"/>
    <w:tmpl w:val="70AE371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55">
    <w:nsid w:val="70CE2A7B"/>
    <w:multiLevelType w:val="multilevel"/>
    <w:tmpl w:val="70CE2A7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56">
    <w:nsid w:val="70D660B3"/>
    <w:multiLevelType w:val="multilevel"/>
    <w:tmpl w:val="70D660B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57">
    <w:nsid w:val="70E284AC"/>
    <w:multiLevelType w:val="multilevel"/>
    <w:tmpl w:val="70E284A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58">
    <w:nsid w:val="70F95E71"/>
    <w:multiLevelType w:val="multilevel"/>
    <w:tmpl w:val="70F95E71"/>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759">
    <w:nsid w:val="71016A68"/>
    <w:multiLevelType w:val="multilevel"/>
    <w:tmpl w:val="71016A6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60">
    <w:nsid w:val="7122F36F"/>
    <w:multiLevelType w:val="multilevel"/>
    <w:tmpl w:val="7122F36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61">
    <w:nsid w:val="712D2BFC"/>
    <w:multiLevelType w:val="multilevel"/>
    <w:tmpl w:val="712D2B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62">
    <w:nsid w:val="713385F9"/>
    <w:multiLevelType w:val="multilevel"/>
    <w:tmpl w:val="713385F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63">
    <w:nsid w:val="71564423"/>
    <w:multiLevelType w:val="multilevel"/>
    <w:tmpl w:val="7156442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64">
    <w:nsid w:val="71618046"/>
    <w:multiLevelType w:val="multilevel"/>
    <w:tmpl w:val="7161804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65">
    <w:nsid w:val="71903346"/>
    <w:multiLevelType w:val="multilevel"/>
    <w:tmpl w:val="71903346"/>
    <w:lvl w:ilvl="0" w:tentative="0">
      <w:start w:val="1"/>
      <w:numFmt w:val="decimal"/>
      <w:lvlText w:val="%1."/>
      <w:lvlJc w:val="left"/>
      <w:pPr>
        <w:ind w:left="111"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030" w:hanging="241"/>
      </w:pPr>
      <w:rPr>
        <w:rFonts w:hint="default"/>
        <w:lang w:val="zh-CN" w:eastAsia="zh-CN" w:bidi="zh-CN"/>
      </w:rPr>
    </w:lvl>
    <w:lvl w:ilvl="2" w:tentative="0">
      <w:start w:val="0"/>
      <w:numFmt w:val="bullet"/>
      <w:lvlText w:val="•"/>
      <w:lvlJc w:val="left"/>
      <w:pPr>
        <w:ind w:left="1941" w:hanging="241"/>
      </w:pPr>
      <w:rPr>
        <w:rFonts w:hint="default"/>
        <w:lang w:val="zh-CN" w:eastAsia="zh-CN" w:bidi="zh-CN"/>
      </w:rPr>
    </w:lvl>
    <w:lvl w:ilvl="3" w:tentative="0">
      <w:start w:val="0"/>
      <w:numFmt w:val="bullet"/>
      <w:lvlText w:val="•"/>
      <w:lvlJc w:val="left"/>
      <w:pPr>
        <w:ind w:left="2851" w:hanging="241"/>
      </w:pPr>
      <w:rPr>
        <w:rFonts w:hint="default"/>
        <w:lang w:val="zh-CN" w:eastAsia="zh-CN" w:bidi="zh-CN"/>
      </w:rPr>
    </w:lvl>
    <w:lvl w:ilvl="4" w:tentative="0">
      <w:start w:val="0"/>
      <w:numFmt w:val="bullet"/>
      <w:lvlText w:val="•"/>
      <w:lvlJc w:val="left"/>
      <w:pPr>
        <w:ind w:left="3762" w:hanging="241"/>
      </w:pPr>
      <w:rPr>
        <w:rFonts w:hint="default"/>
        <w:lang w:val="zh-CN" w:eastAsia="zh-CN" w:bidi="zh-CN"/>
      </w:rPr>
    </w:lvl>
    <w:lvl w:ilvl="5" w:tentative="0">
      <w:start w:val="0"/>
      <w:numFmt w:val="bullet"/>
      <w:lvlText w:val="•"/>
      <w:lvlJc w:val="left"/>
      <w:pPr>
        <w:ind w:left="4673" w:hanging="241"/>
      </w:pPr>
      <w:rPr>
        <w:rFonts w:hint="default"/>
        <w:lang w:val="zh-CN" w:eastAsia="zh-CN" w:bidi="zh-CN"/>
      </w:rPr>
    </w:lvl>
    <w:lvl w:ilvl="6" w:tentative="0">
      <w:start w:val="0"/>
      <w:numFmt w:val="bullet"/>
      <w:lvlText w:val="•"/>
      <w:lvlJc w:val="left"/>
      <w:pPr>
        <w:ind w:left="5583" w:hanging="241"/>
      </w:pPr>
      <w:rPr>
        <w:rFonts w:hint="default"/>
        <w:lang w:val="zh-CN" w:eastAsia="zh-CN" w:bidi="zh-CN"/>
      </w:rPr>
    </w:lvl>
    <w:lvl w:ilvl="7" w:tentative="0">
      <w:start w:val="0"/>
      <w:numFmt w:val="bullet"/>
      <w:lvlText w:val="•"/>
      <w:lvlJc w:val="left"/>
      <w:pPr>
        <w:ind w:left="6494" w:hanging="241"/>
      </w:pPr>
      <w:rPr>
        <w:rFonts w:hint="default"/>
        <w:lang w:val="zh-CN" w:eastAsia="zh-CN" w:bidi="zh-CN"/>
      </w:rPr>
    </w:lvl>
    <w:lvl w:ilvl="8" w:tentative="0">
      <w:start w:val="0"/>
      <w:numFmt w:val="bullet"/>
      <w:lvlText w:val="•"/>
      <w:lvlJc w:val="left"/>
      <w:pPr>
        <w:ind w:left="7404" w:hanging="241"/>
      </w:pPr>
      <w:rPr>
        <w:rFonts w:hint="default"/>
        <w:lang w:val="zh-CN" w:eastAsia="zh-CN" w:bidi="zh-CN"/>
      </w:rPr>
    </w:lvl>
  </w:abstractNum>
  <w:abstractNum w:abstractNumId="1766">
    <w:nsid w:val="71E44D55"/>
    <w:multiLevelType w:val="multilevel"/>
    <w:tmpl w:val="71E44D55"/>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1767">
    <w:nsid w:val="72183CF9"/>
    <w:multiLevelType w:val="multilevel"/>
    <w:tmpl w:val="72183CF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768">
    <w:nsid w:val="722F5ACF"/>
    <w:multiLevelType w:val="multilevel"/>
    <w:tmpl w:val="722F5AC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69">
    <w:nsid w:val="722F5D32"/>
    <w:multiLevelType w:val="multilevel"/>
    <w:tmpl w:val="722F5D3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0">
    <w:nsid w:val="724BD372"/>
    <w:multiLevelType w:val="multilevel"/>
    <w:tmpl w:val="724BD37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1">
    <w:nsid w:val="724ED522"/>
    <w:multiLevelType w:val="multilevel"/>
    <w:tmpl w:val="724ED52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2">
    <w:nsid w:val="72779460"/>
    <w:multiLevelType w:val="multilevel"/>
    <w:tmpl w:val="7277946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3">
    <w:nsid w:val="72A98CCD"/>
    <w:multiLevelType w:val="multilevel"/>
    <w:tmpl w:val="72A98CC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4">
    <w:nsid w:val="72D3F746"/>
    <w:multiLevelType w:val="multilevel"/>
    <w:tmpl w:val="72D3F74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5">
    <w:nsid w:val="72D8DA4C"/>
    <w:multiLevelType w:val="multilevel"/>
    <w:tmpl w:val="72D8DA4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6">
    <w:nsid w:val="72E803E3"/>
    <w:multiLevelType w:val="multilevel"/>
    <w:tmpl w:val="72E803E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7">
    <w:nsid w:val="730C0324"/>
    <w:multiLevelType w:val="multilevel"/>
    <w:tmpl w:val="730C032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8">
    <w:nsid w:val="7321C756"/>
    <w:multiLevelType w:val="multilevel"/>
    <w:tmpl w:val="7321C75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79">
    <w:nsid w:val="735F53EB"/>
    <w:multiLevelType w:val="multilevel"/>
    <w:tmpl w:val="735F53EB"/>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80">
    <w:nsid w:val="73E619FF"/>
    <w:multiLevelType w:val="multilevel"/>
    <w:tmpl w:val="73E619F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81">
    <w:nsid w:val="740F4911"/>
    <w:multiLevelType w:val="multilevel"/>
    <w:tmpl w:val="740F491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82">
    <w:nsid w:val="743C6C2D"/>
    <w:multiLevelType w:val="multilevel"/>
    <w:tmpl w:val="743C6C2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83">
    <w:nsid w:val="744F3566"/>
    <w:multiLevelType w:val="multilevel"/>
    <w:tmpl w:val="744F3566"/>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784">
    <w:nsid w:val="746DB97C"/>
    <w:multiLevelType w:val="multilevel"/>
    <w:tmpl w:val="746DB97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85">
    <w:nsid w:val="7477CDC8"/>
    <w:multiLevelType w:val="multilevel"/>
    <w:tmpl w:val="7477CDC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86">
    <w:nsid w:val="7499D7B3"/>
    <w:multiLevelType w:val="multilevel"/>
    <w:tmpl w:val="7499D7B3"/>
    <w:lvl w:ilvl="0" w:tentative="0">
      <w:start w:val="2"/>
      <w:numFmt w:val="decimal"/>
      <w:lvlText w:val="%1"/>
      <w:lvlJc w:val="left"/>
      <w:pPr>
        <w:ind w:left="952" w:hanging="361"/>
        <w:jc w:val="left"/>
      </w:pPr>
      <w:rPr>
        <w:rFonts w:hint="default"/>
        <w:lang w:val="zh-CN" w:eastAsia="zh-CN" w:bidi="zh-CN"/>
      </w:rPr>
    </w:lvl>
    <w:lvl w:ilvl="1" w:tentative="0">
      <w:start w:val="1"/>
      <w:numFmt w:val="decimal"/>
      <w:lvlText w:val="%1-%2"/>
      <w:lvlJc w:val="left"/>
      <w:pPr>
        <w:ind w:left="952"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613" w:hanging="361"/>
      </w:pPr>
      <w:rPr>
        <w:rFonts w:hint="default"/>
        <w:lang w:val="zh-CN" w:eastAsia="zh-CN" w:bidi="zh-CN"/>
      </w:rPr>
    </w:lvl>
    <w:lvl w:ilvl="3" w:tentative="0">
      <w:start w:val="0"/>
      <w:numFmt w:val="bullet"/>
      <w:lvlText w:val="•"/>
      <w:lvlJc w:val="left"/>
      <w:pPr>
        <w:ind w:left="3439" w:hanging="361"/>
      </w:pPr>
      <w:rPr>
        <w:rFonts w:hint="default"/>
        <w:lang w:val="zh-CN" w:eastAsia="zh-CN" w:bidi="zh-CN"/>
      </w:rPr>
    </w:lvl>
    <w:lvl w:ilvl="4" w:tentative="0">
      <w:start w:val="0"/>
      <w:numFmt w:val="bullet"/>
      <w:lvlText w:val="•"/>
      <w:lvlJc w:val="left"/>
      <w:pPr>
        <w:ind w:left="4266" w:hanging="361"/>
      </w:pPr>
      <w:rPr>
        <w:rFonts w:hint="default"/>
        <w:lang w:val="zh-CN" w:eastAsia="zh-CN" w:bidi="zh-CN"/>
      </w:rPr>
    </w:lvl>
    <w:lvl w:ilvl="5" w:tentative="0">
      <w:start w:val="0"/>
      <w:numFmt w:val="bullet"/>
      <w:lvlText w:val="•"/>
      <w:lvlJc w:val="left"/>
      <w:pPr>
        <w:ind w:left="5093" w:hanging="361"/>
      </w:pPr>
      <w:rPr>
        <w:rFonts w:hint="default"/>
        <w:lang w:val="zh-CN" w:eastAsia="zh-CN" w:bidi="zh-CN"/>
      </w:rPr>
    </w:lvl>
    <w:lvl w:ilvl="6" w:tentative="0">
      <w:start w:val="0"/>
      <w:numFmt w:val="bullet"/>
      <w:lvlText w:val="•"/>
      <w:lvlJc w:val="left"/>
      <w:pPr>
        <w:ind w:left="5919" w:hanging="361"/>
      </w:pPr>
      <w:rPr>
        <w:rFonts w:hint="default"/>
        <w:lang w:val="zh-CN" w:eastAsia="zh-CN" w:bidi="zh-CN"/>
      </w:rPr>
    </w:lvl>
    <w:lvl w:ilvl="7" w:tentative="0">
      <w:start w:val="0"/>
      <w:numFmt w:val="bullet"/>
      <w:lvlText w:val="•"/>
      <w:lvlJc w:val="left"/>
      <w:pPr>
        <w:ind w:left="6746" w:hanging="361"/>
      </w:pPr>
      <w:rPr>
        <w:rFonts w:hint="default"/>
        <w:lang w:val="zh-CN" w:eastAsia="zh-CN" w:bidi="zh-CN"/>
      </w:rPr>
    </w:lvl>
    <w:lvl w:ilvl="8" w:tentative="0">
      <w:start w:val="0"/>
      <w:numFmt w:val="bullet"/>
      <w:lvlText w:val="•"/>
      <w:lvlJc w:val="left"/>
      <w:pPr>
        <w:ind w:left="7572" w:hanging="361"/>
      </w:pPr>
      <w:rPr>
        <w:rFonts w:hint="default"/>
        <w:lang w:val="zh-CN" w:eastAsia="zh-CN" w:bidi="zh-CN"/>
      </w:rPr>
    </w:lvl>
  </w:abstractNum>
  <w:abstractNum w:abstractNumId="1787">
    <w:nsid w:val="74AF2C44"/>
    <w:multiLevelType w:val="multilevel"/>
    <w:tmpl w:val="74AF2C4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88">
    <w:nsid w:val="74C28B35"/>
    <w:multiLevelType w:val="multilevel"/>
    <w:tmpl w:val="74C28B35"/>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789">
    <w:nsid w:val="74DBB1BC"/>
    <w:multiLevelType w:val="multilevel"/>
    <w:tmpl w:val="74DBB1B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0">
    <w:nsid w:val="7510FF4C"/>
    <w:multiLevelType w:val="multilevel"/>
    <w:tmpl w:val="7510FF4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1">
    <w:nsid w:val="7531B1A9"/>
    <w:multiLevelType w:val="multilevel"/>
    <w:tmpl w:val="7531B1A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2">
    <w:nsid w:val="753B48DE"/>
    <w:multiLevelType w:val="multilevel"/>
    <w:tmpl w:val="753B48D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3">
    <w:nsid w:val="7548D7C8"/>
    <w:multiLevelType w:val="multilevel"/>
    <w:tmpl w:val="7548D7C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4">
    <w:nsid w:val="7561DCBD"/>
    <w:multiLevelType w:val="multilevel"/>
    <w:tmpl w:val="7561DCBD"/>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795">
    <w:nsid w:val="75713984"/>
    <w:multiLevelType w:val="multilevel"/>
    <w:tmpl w:val="7571398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6">
    <w:nsid w:val="757CBE2A"/>
    <w:multiLevelType w:val="multilevel"/>
    <w:tmpl w:val="757CBE2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7">
    <w:nsid w:val="759ED76C"/>
    <w:multiLevelType w:val="multilevel"/>
    <w:tmpl w:val="759ED76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8">
    <w:nsid w:val="75C77F0D"/>
    <w:multiLevelType w:val="multilevel"/>
    <w:tmpl w:val="75C77F0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799">
    <w:nsid w:val="75D92A5D"/>
    <w:multiLevelType w:val="multilevel"/>
    <w:tmpl w:val="75D92A5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0">
    <w:nsid w:val="75F9BBC2"/>
    <w:multiLevelType w:val="multilevel"/>
    <w:tmpl w:val="75F9BBC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1">
    <w:nsid w:val="761AFD5F"/>
    <w:multiLevelType w:val="multilevel"/>
    <w:tmpl w:val="761AFD5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2">
    <w:nsid w:val="7642948D"/>
    <w:multiLevelType w:val="multilevel"/>
    <w:tmpl w:val="7642948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3">
    <w:nsid w:val="76533657"/>
    <w:multiLevelType w:val="multilevel"/>
    <w:tmpl w:val="7653365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4">
    <w:nsid w:val="7657892B"/>
    <w:multiLevelType w:val="multilevel"/>
    <w:tmpl w:val="7657892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5">
    <w:nsid w:val="76A26DF9"/>
    <w:multiLevelType w:val="multilevel"/>
    <w:tmpl w:val="76A26DF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6">
    <w:nsid w:val="770D371C"/>
    <w:multiLevelType w:val="multilevel"/>
    <w:tmpl w:val="770D371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7">
    <w:nsid w:val="772AFBD5"/>
    <w:multiLevelType w:val="multilevel"/>
    <w:tmpl w:val="772AFBD5"/>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808">
    <w:nsid w:val="773C851D"/>
    <w:multiLevelType w:val="multilevel"/>
    <w:tmpl w:val="773C851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09">
    <w:nsid w:val="775F36A8"/>
    <w:multiLevelType w:val="multilevel"/>
    <w:tmpl w:val="775F36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10">
    <w:nsid w:val="77633216"/>
    <w:multiLevelType w:val="multilevel"/>
    <w:tmpl w:val="77633216"/>
    <w:lvl w:ilvl="0" w:tentative="0">
      <w:start w:val="1"/>
      <w:numFmt w:val="decimal"/>
      <w:lvlText w:val="%1."/>
      <w:lvlJc w:val="left"/>
      <w:pPr>
        <w:ind w:left="111"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30" w:hanging="243"/>
      </w:pPr>
      <w:rPr>
        <w:rFonts w:hint="default"/>
        <w:lang w:val="zh-CN" w:eastAsia="zh-CN" w:bidi="zh-CN"/>
      </w:rPr>
    </w:lvl>
    <w:lvl w:ilvl="2" w:tentative="0">
      <w:start w:val="0"/>
      <w:numFmt w:val="bullet"/>
      <w:lvlText w:val="•"/>
      <w:lvlJc w:val="left"/>
      <w:pPr>
        <w:ind w:left="1941" w:hanging="243"/>
      </w:pPr>
      <w:rPr>
        <w:rFonts w:hint="default"/>
        <w:lang w:val="zh-CN" w:eastAsia="zh-CN" w:bidi="zh-CN"/>
      </w:rPr>
    </w:lvl>
    <w:lvl w:ilvl="3" w:tentative="0">
      <w:start w:val="0"/>
      <w:numFmt w:val="bullet"/>
      <w:lvlText w:val="•"/>
      <w:lvlJc w:val="left"/>
      <w:pPr>
        <w:ind w:left="2851" w:hanging="243"/>
      </w:pPr>
      <w:rPr>
        <w:rFonts w:hint="default"/>
        <w:lang w:val="zh-CN" w:eastAsia="zh-CN" w:bidi="zh-CN"/>
      </w:rPr>
    </w:lvl>
    <w:lvl w:ilvl="4" w:tentative="0">
      <w:start w:val="0"/>
      <w:numFmt w:val="bullet"/>
      <w:lvlText w:val="•"/>
      <w:lvlJc w:val="left"/>
      <w:pPr>
        <w:ind w:left="3762" w:hanging="243"/>
      </w:pPr>
      <w:rPr>
        <w:rFonts w:hint="default"/>
        <w:lang w:val="zh-CN" w:eastAsia="zh-CN" w:bidi="zh-CN"/>
      </w:rPr>
    </w:lvl>
    <w:lvl w:ilvl="5" w:tentative="0">
      <w:start w:val="0"/>
      <w:numFmt w:val="bullet"/>
      <w:lvlText w:val="•"/>
      <w:lvlJc w:val="left"/>
      <w:pPr>
        <w:ind w:left="4673" w:hanging="243"/>
      </w:pPr>
      <w:rPr>
        <w:rFonts w:hint="default"/>
        <w:lang w:val="zh-CN" w:eastAsia="zh-CN" w:bidi="zh-CN"/>
      </w:rPr>
    </w:lvl>
    <w:lvl w:ilvl="6" w:tentative="0">
      <w:start w:val="0"/>
      <w:numFmt w:val="bullet"/>
      <w:lvlText w:val="•"/>
      <w:lvlJc w:val="left"/>
      <w:pPr>
        <w:ind w:left="5583" w:hanging="243"/>
      </w:pPr>
      <w:rPr>
        <w:rFonts w:hint="default"/>
        <w:lang w:val="zh-CN" w:eastAsia="zh-CN" w:bidi="zh-CN"/>
      </w:rPr>
    </w:lvl>
    <w:lvl w:ilvl="7" w:tentative="0">
      <w:start w:val="0"/>
      <w:numFmt w:val="bullet"/>
      <w:lvlText w:val="•"/>
      <w:lvlJc w:val="left"/>
      <w:pPr>
        <w:ind w:left="6494" w:hanging="243"/>
      </w:pPr>
      <w:rPr>
        <w:rFonts w:hint="default"/>
        <w:lang w:val="zh-CN" w:eastAsia="zh-CN" w:bidi="zh-CN"/>
      </w:rPr>
    </w:lvl>
    <w:lvl w:ilvl="8" w:tentative="0">
      <w:start w:val="0"/>
      <w:numFmt w:val="bullet"/>
      <w:lvlText w:val="•"/>
      <w:lvlJc w:val="left"/>
      <w:pPr>
        <w:ind w:left="7404" w:hanging="243"/>
      </w:pPr>
      <w:rPr>
        <w:rFonts w:hint="default"/>
        <w:lang w:val="zh-CN" w:eastAsia="zh-CN" w:bidi="zh-CN"/>
      </w:rPr>
    </w:lvl>
  </w:abstractNum>
  <w:abstractNum w:abstractNumId="1811">
    <w:nsid w:val="7774D78C"/>
    <w:multiLevelType w:val="multilevel"/>
    <w:tmpl w:val="7774D78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12">
    <w:nsid w:val="77CAAD87"/>
    <w:multiLevelType w:val="multilevel"/>
    <w:tmpl w:val="77CAAD87"/>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813">
    <w:nsid w:val="77D50EF8"/>
    <w:multiLevelType w:val="multilevel"/>
    <w:tmpl w:val="77D50EF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14">
    <w:nsid w:val="77ECEA79"/>
    <w:multiLevelType w:val="multilevel"/>
    <w:tmpl w:val="77ECEA7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815">
    <w:nsid w:val="77EEFC05"/>
    <w:multiLevelType w:val="multilevel"/>
    <w:tmpl w:val="77EEFC0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16">
    <w:nsid w:val="7815FD7C"/>
    <w:multiLevelType w:val="multilevel"/>
    <w:tmpl w:val="7815FD7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17">
    <w:nsid w:val="7893F7FD"/>
    <w:multiLevelType w:val="multilevel"/>
    <w:tmpl w:val="7893F7FD"/>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18">
    <w:nsid w:val="78AFD25B"/>
    <w:multiLevelType w:val="multilevel"/>
    <w:tmpl w:val="78AFD25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19">
    <w:nsid w:val="7923FEFA"/>
    <w:multiLevelType w:val="multilevel"/>
    <w:tmpl w:val="7923FEFA"/>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820">
    <w:nsid w:val="7952E711"/>
    <w:multiLevelType w:val="multilevel"/>
    <w:tmpl w:val="7952E71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21">
    <w:nsid w:val="7960BB30"/>
    <w:multiLevelType w:val="multilevel"/>
    <w:tmpl w:val="7960BB3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22">
    <w:nsid w:val="799E81DA"/>
    <w:multiLevelType w:val="multilevel"/>
    <w:tmpl w:val="799E81D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23">
    <w:nsid w:val="79AA4FA4"/>
    <w:multiLevelType w:val="multilevel"/>
    <w:tmpl w:val="79AA4FA4"/>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824">
    <w:nsid w:val="79BA7F40"/>
    <w:multiLevelType w:val="multilevel"/>
    <w:tmpl w:val="79BA7F40"/>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25">
    <w:nsid w:val="79CD4FA0"/>
    <w:multiLevelType w:val="multilevel"/>
    <w:tmpl w:val="79CD4FA0"/>
    <w:lvl w:ilvl="0" w:tentative="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46" w:hanging="601"/>
      </w:pPr>
      <w:rPr>
        <w:rFonts w:hint="default"/>
        <w:lang w:val="zh-CN" w:eastAsia="zh-CN" w:bidi="zh-CN"/>
      </w:rPr>
    </w:lvl>
    <w:lvl w:ilvl="2" w:tentative="0">
      <w:start w:val="0"/>
      <w:numFmt w:val="bullet"/>
      <w:lvlText w:val="•"/>
      <w:lvlJc w:val="left"/>
      <w:pPr>
        <w:ind w:left="2933" w:hanging="601"/>
      </w:pPr>
      <w:rPr>
        <w:rFonts w:hint="default"/>
        <w:lang w:val="zh-CN" w:eastAsia="zh-CN" w:bidi="zh-CN"/>
      </w:rPr>
    </w:lvl>
    <w:lvl w:ilvl="3" w:tentative="0">
      <w:start w:val="0"/>
      <w:numFmt w:val="bullet"/>
      <w:lvlText w:val="•"/>
      <w:lvlJc w:val="left"/>
      <w:pPr>
        <w:ind w:left="3719" w:hanging="601"/>
      </w:pPr>
      <w:rPr>
        <w:rFonts w:hint="default"/>
        <w:lang w:val="zh-CN" w:eastAsia="zh-CN" w:bidi="zh-CN"/>
      </w:rPr>
    </w:lvl>
    <w:lvl w:ilvl="4" w:tentative="0">
      <w:start w:val="0"/>
      <w:numFmt w:val="bullet"/>
      <w:lvlText w:val="•"/>
      <w:lvlJc w:val="left"/>
      <w:pPr>
        <w:ind w:left="4506" w:hanging="601"/>
      </w:pPr>
      <w:rPr>
        <w:rFonts w:hint="default"/>
        <w:lang w:val="zh-CN" w:eastAsia="zh-CN" w:bidi="zh-CN"/>
      </w:rPr>
    </w:lvl>
    <w:lvl w:ilvl="5" w:tentative="0">
      <w:start w:val="0"/>
      <w:numFmt w:val="bullet"/>
      <w:lvlText w:val="•"/>
      <w:lvlJc w:val="left"/>
      <w:pPr>
        <w:ind w:left="5293" w:hanging="601"/>
      </w:pPr>
      <w:rPr>
        <w:rFonts w:hint="default"/>
        <w:lang w:val="zh-CN" w:eastAsia="zh-CN" w:bidi="zh-CN"/>
      </w:rPr>
    </w:lvl>
    <w:lvl w:ilvl="6" w:tentative="0">
      <w:start w:val="0"/>
      <w:numFmt w:val="bullet"/>
      <w:lvlText w:val="•"/>
      <w:lvlJc w:val="left"/>
      <w:pPr>
        <w:ind w:left="6079" w:hanging="601"/>
      </w:pPr>
      <w:rPr>
        <w:rFonts w:hint="default"/>
        <w:lang w:val="zh-CN" w:eastAsia="zh-CN" w:bidi="zh-CN"/>
      </w:rPr>
    </w:lvl>
    <w:lvl w:ilvl="7" w:tentative="0">
      <w:start w:val="0"/>
      <w:numFmt w:val="bullet"/>
      <w:lvlText w:val="•"/>
      <w:lvlJc w:val="left"/>
      <w:pPr>
        <w:ind w:left="6866" w:hanging="601"/>
      </w:pPr>
      <w:rPr>
        <w:rFonts w:hint="default"/>
        <w:lang w:val="zh-CN" w:eastAsia="zh-CN" w:bidi="zh-CN"/>
      </w:rPr>
    </w:lvl>
    <w:lvl w:ilvl="8" w:tentative="0">
      <w:start w:val="0"/>
      <w:numFmt w:val="bullet"/>
      <w:lvlText w:val="•"/>
      <w:lvlJc w:val="left"/>
      <w:pPr>
        <w:ind w:left="7652" w:hanging="601"/>
      </w:pPr>
      <w:rPr>
        <w:rFonts w:hint="default"/>
        <w:lang w:val="zh-CN" w:eastAsia="zh-CN" w:bidi="zh-CN"/>
      </w:rPr>
    </w:lvl>
  </w:abstractNum>
  <w:abstractNum w:abstractNumId="1826">
    <w:nsid w:val="7A529A12"/>
    <w:multiLevelType w:val="singleLevel"/>
    <w:tmpl w:val="7A529A12"/>
    <w:lvl w:ilvl="0" w:tentative="0">
      <w:start w:val="2"/>
      <w:numFmt w:val="chineseCounting"/>
      <w:suff w:val="nothing"/>
      <w:lvlText w:val="（%1）"/>
      <w:lvlJc w:val="left"/>
      <w:rPr>
        <w:rFonts w:hint="eastAsia"/>
      </w:rPr>
    </w:lvl>
  </w:abstractNum>
  <w:abstractNum w:abstractNumId="1827">
    <w:nsid w:val="7A62A804"/>
    <w:multiLevelType w:val="multilevel"/>
    <w:tmpl w:val="7A62A80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28">
    <w:nsid w:val="7B1D3397"/>
    <w:multiLevelType w:val="multilevel"/>
    <w:tmpl w:val="7B1D3397"/>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829">
    <w:nsid w:val="7B1E29B8"/>
    <w:multiLevelType w:val="multilevel"/>
    <w:tmpl w:val="7B1E29B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30">
    <w:nsid w:val="7B5EF1B4"/>
    <w:multiLevelType w:val="multilevel"/>
    <w:tmpl w:val="7B5EF1B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31">
    <w:nsid w:val="7B8651A7"/>
    <w:multiLevelType w:val="multilevel"/>
    <w:tmpl w:val="7B8651A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32">
    <w:nsid w:val="7B8DFF38"/>
    <w:multiLevelType w:val="multilevel"/>
    <w:tmpl w:val="7B8DFF3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33">
    <w:nsid w:val="7BA4F5AA"/>
    <w:multiLevelType w:val="multilevel"/>
    <w:tmpl w:val="7BA4F5A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34">
    <w:nsid w:val="7BDF9A9C"/>
    <w:multiLevelType w:val="singleLevel"/>
    <w:tmpl w:val="7BDF9A9C"/>
    <w:lvl w:ilvl="0" w:tentative="0">
      <w:start w:val="2"/>
      <w:numFmt w:val="chineseCounting"/>
      <w:suff w:val="nothing"/>
      <w:lvlText w:val="（%1）"/>
      <w:lvlJc w:val="left"/>
      <w:rPr>
        <w:rFonts w:hint="eastAsia"/>
      </w:rPr>
    </w:lvl>
  </w:abstractNum>
  <w:abstractNum w:abstractNumId="1835">
    <w:nsid w:val="7BEC6457"/>
    <w:multiLevelType w:val="multilevel"/>
    <w:tmpl w:val="7BEC6457"/>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36">
    <w:nsid w:val="7C246926"/>
    <w:multiLevelType w:val="multilevel"/>
    <w:tmpl w:val="7C246926"/>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37">
    <w:nsid w:val="7C8A6F6D"/>
    <w:multiLevelType w:val="multilevel"/>
    <w:tmpl w:val="7C8A6F6D"/>
    <w:lvl w:ilvl="0" w:tentative="0">
      <w:start w:val="1"/>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838">
    <w:nsid w:val="7CA70407"/>
    <w:multiLevelType w:val="multilevel"/>
    <w:tmpl w:val="7CA70407"/>
    <w:lvl w:ilvl="0" w:tentative="0">
      <w:start w:val="1"/>
      <w:numFmt w:val="decimal"/>
      <w:lvlText w:val="（%1）"/>
      <w:lvlJc w:val="left"/>
      <w:pPr>
        <w:ind w:left="591"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462" w:hanging="601"/>
      </w:pPr>
      <w:rPr>
        <w:rFonts w:hint="default"/>
        <w:lang w:val="zh-CN" w:eastAsia="zh-CN" w:bidi="zh-CN"/>
      </w:rPr>
    </w:lvl>
    <w:lvl w:ilvl="2" w:tentative="0">
      <w:start w:val="0"/>
      <w:numFmt w:val="bullet"/>
      <w:lvlText w:val="•"/>
      <w:lvlJc w:val="left"/>
      <w:pPr>
        <w:ind w:left="2325" w:hanging="601"/>
      </w:pPr>
      <w:rPr>
        <w:rFonts w:hint="default"/>
        <w:lang w:val="zh-CN" w:eastAsia="zh-CN" w:bidi="zh-CN"/>
      </w:rPr>
    </w:lvl>
    <w:lvl w:ilvl="3" w:tentative="0">
      <w:start w:val="0"/>
      <w:numFmt w:val="bullet"/>
      <w:lvlText w:val="•"/>
      <w:lvlJc w:val="left"/>
      <w:pPr>
        <w:ind w:left="3187" w:hanging="601"/>
      </w:pPr>
      <w:rPr>
        <w:rFonts w:hint="default"/>
        <w:lang w:val="zh-CN" w:eastAsia="zh-CN" w:bidi="zh-CN"/>
      </w:rPr>
    </w:lvl>
    <w:lvl w:ilvl="4" w:tentative="0">
      <w:start w:val="0"/>
      <w:numFmt w:val="bullet"/>
      <w:lvlText w:val="•"/>
      <w:lvlJc w:val="left"/>
      <w:pPr>
        <w:ind w:left="4050" w:hanging="601"/>
      </w:pPr>
      <w:rPr>
        <w:rFonts w:hint="default"/>
        <w:lang w:val="zh-CN" w:eastAsia="zh-CN" w:bidi="zh-CN"/>
      </w:rPr>
    </w:lvl>
    <w:lvl w:ilvl="5" w:tentative="0">
      <w:start w:val="0"/>
      <w:numFmt w:val="bullet"/>
      <w:lvlText w:val="•"/>
      <w:lvlJc w:val="left"/>
      <w:pPr>
        <w:ind w:left="4913" w:hanging="601"/>
      </w:pPr>
      <w:rPr>
        <w:rFonts w:hint="default"/>
        <w:lang w:val="zh-CN" w:eastAsia="zh-CN" w:bidi="zh-CN"/>
      </w:rPr>
    </w:lvl>
    <w:lvl w:ilvl="6" w:tentative="0">
      <w:start w:val="0"/>
      <w:numFmt w:val="bullet"/>
      <w:lvlText w:val="•"/>
      <w:lvlJc w:val="left"/>
      <w:pPr>
        <w:ind w:left="5775" w:hanging="601"/>
      </w:pPr>
      <w:rPr>
        <w:rFonts w:hint="default"/>
        <w:lang w:val="zh-CN" w:eastAsia="zh-CN" w:bidi="zh-CN"/>
      </w:rPr>
    </w:lvl>
    <w:lvl w:ilvl="7" w:tentative="0">
      <w:start w:val="0"/>
      <w:numFmt w:val="bullet"/>
      <w:lvlText w:val="•"/>
      <w:lvlJc w:val="left"/>
      <w:pPr>
        <w:ind w:left="6638" w:hanging="601"/>
      </w:pPr>
      <w:rPr>
        <w:rFonts w:hint="default"/>
        <w:lang w:val="zh-CN" w:eastAsia="zh-CN" w:bidi="zh-CN"/>
      </w:rPr>
    </w:lvl>
    <w:lvl w:ilvl="8" w:tentative="0">
      <w:start w:val="0"/>
      <w:numFmt w:val="bullet"/>
      <w:lvlText w:val="•"/>
      <w:lvlJc w:val="left"/>
      <w:pPr>
        <w:ind w:left="7500" w:hanging="601"/>
      </w:pPr>
      <w:rPr>
        <w:rFonts w:hint="default"/>
        <w:lang w:val="zh-CN" w:eastAsia="zh-CN" w:bidi="zh-CN"/>
      </w:rPr>
    </w:lvl>
  </w:abstractNum>
  <w:abstractNum w:abstractNumId="1839">
    <w:nsid w:val="7CF2E71A"/>
    <w:multiLevelType w:val="multilevel"/>
    <w:tmpl w:val="7CF2E71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0">
    <w:nsid w:val="7D215591"/>
    <w:multiLevelType w:val="multilevel"/>
    <w:tmpl w:val="7D21559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1">
    <w:nsid w:val="7D7A3D02"/>
    <w:multiLevelType w:val="multilevel"/>
    <w:tmpl w:val="7D7A3D0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2">
    <w:nsid w:val="7DA0E853"/>
    <w:multiLevelType w:val="multilevel"/>
    <w:tmpl w:val="7DA0E853"/>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3">
    <w:nsid w:val="7DA21F4E"/>
    <w:multiLevelType w:val="multilevel"/>
    <w:tmpl w:val="7DA21F4E"/>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4">
    <w:nsid w:val="7DEC2089"/>
    <w:multiLevelType w:val="multilevel"/>
    <w:tmpl w:val="7DEC2089"/>
    <w:lvl w:ilvl="0" w:tentative="0">
      <w:start w:val="2"/>
      <w:numFmt w:val="decimal"/>
      <w:lvlText w:val="%1."/>
      <w:lvlJc w:val="left"/>
      <w:pPr>
        <w:ind w:left="832"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78" w:hanging="241"/>
      </w:pPr>
      <w:rPr>
        <w:rFonts w:hint="default"/>
        <w:lang w:val="zh-CN" w:eastAsia="zh-CN" w:bidi="zh-CN"/>
      </w:rPr>
    </w:lvl>
    <w:lvl w:ilvl="2" w:tentative="0">
      <w:start w:val="0"/>
      <w:numFmt w:val="bullet"/>
      <w:lvlText w:val="•"/>
      <w:lvlJc w:val="left"/>
      <w:pPr>
        <w:ind w:left="2517" w:hanging="241"/>
      </w:pPr>
      <w:rPr>
        <w:rFonts w:hint="default"/>
        <w:lang w:val="zh-CN" w:eastAsia="zh-CN" w:bidi="zh-CN"/>
      </w:rPr>
    </w:lvl>
    <w:lvl w:ilvl="3" w:tentative="0">
      <w:start w:val="0"/>
      <w:numFmt w:val="bullet"/>
      <w:lvlText w:val="•"/>
      <w:lvlJc w:val="left"/>
      <w:pPr>
        <w:ind w:left="3355" w:hanging="241"/>
      </w:pPr>
      <w:rPr>
        <w:rFonts w:hint="default"/>
        <w:lang w:val="zh-CN" w:eastAsia="zh-CN" w:bidi="zh-CN"/>
      </w:rPr>
    </w:lvl>
    <w:lvl w:ilvl="4" w:tentative="0">
      <w:start w:val="0"/>
      <w:numFmt w:val="bullet"/>
      <w:lvlText w:val="•"/>
      <w:lvlJc w:val="left"/>
      <w:pPr>
        <w:ind w:left="4194"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71" w:hanging="241"/>
      </w:pPr>
      <w:rPr>
        <w:rFonts w:hint="default"/>
        <w:lang w:val="zh-CN" w:eastAsia="zh-CN" w:bidi="zh-CN"/>
      </w:rPr>
    </w:lvl>
    <w:lvl w:ilvl="7" w:tentative="0">
      <w:start w:val="0"/>
      <w:numFmt w:val="bullet"/>
      <w:lvlText w:val="•"/>
      <w:lvlJc w:val="left"/>
      <w:pPr>
        <w:ind w:left="6710"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1845">
    <w:nsid w:val="7E17FE69"/>
    <w:multiLevelType w:val="multilevel"/>
    <w:tmpl w:val="7E17FE6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6">
    <w:nsid w:val="7E1A29B9"/>
    <w:multiLevelType w:val="multilevel"/>
    <w:tmpl w:val="7E1A29B9"/>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7">
    <w:nsid w:val="7E7F5F1F"/>
    <w:multiLevelType w:val="multilevel"/>
    <w:tmpl w:val="7E7F5F1F"/>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8">
    <w:nsid w:val="7EA6B7A8"/>
    <w:multiLevelType w:val="multilevel"/>
    <w:tmpl w:val="7EA6B7A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49">
    <w:nsid w:val="7EC20FC4"/>
    <w:multiLevelType w:val="multilevel"/>
    <w:tmpl w:val="7EC20FC4"/>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0">
    <w:nsid w:val="7EF724CA"/>
    <w:multiLevelType w:val="multilevel"/>
    <w:tmpl w:val="7EF724CA"/>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1">
    <w:nsid w:val="7F01D358"/>
    <w:multiLevelType w:val="multilevel"/>
    <w:tmpl w:val="7F01D35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2">
    <w:nsid w:val="7F5F03EB"/>
    <w:multiLevelType w:val="multilevel"/>
    <w:tmpl w:val="7F5F03EB"/>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3">
    <w:nsid w:val="7F83D662"/>
    <w:multiLevelType w:val="multilevel"/>
    <w:tmpl w:val="7F83D662"/>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4">
    <w:nsid w:val="7F9D4825"/>
    <w:multiLevelType w:val="multilevel"/>
    <w:tmpl w:val="7F9D482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5">
    <w:nsid w:val="7FA228FC"/>
    <w:multiLevelType w:val="multilevel"/>
    <w:tmpl w:val="7FA228FC"/>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6">
    <w:nsid w:val="7FA66301"/>
    <w:multiLevelType w:val="multilevel"/>
    <w:tmpl w:val="7FA66301"/>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7">
    <w:nsid w:val="7FD05E58"/>
    <w:multiLevelType w:val="multilevel"/>
    <w:tmpl w:val="7FD05E58"/>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abstractNum w:abstractNumId="1858">
    <w:nsid w:val="7FDCBC05"/>
    <w:multiLevelType w:val="multilevel"/>
    <w:tmpl w:val="7FDCBC05"/>
    <w:lvl w:ilvl="0" w:tentative="0">
      <w:start w:val="1"/>
      <w:numFmt w:val="decimal"/>
      <w:lvlText w:val="（%1）"/>
      <w:lvlJc w:val="left"/>
      <w:pPr>
        <w:ind w:left="1192"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02" w:hanging="601"/>
      </w:pPr>
      <w:rPr>
        <w:rFonts w:hint="default"/>
        <w:lang w:val="zh-CN" w:eastAsia="zh-CN" w:bidi="zh-CN"/>
      </w:rPr>
    </w:lvl>
    <w:lvl w:ilvl="2" w:tentative="0">
      <w:start w:val="0"/>
      <w:numFmt w:val="bullet"/>
      <w:lvlText w:val="•"/>
      <w:lvlJc w:val="left"/>
      <w:pPr>
        <w:ind w:left="2805" w:hanging="601"/>
      </w:pPr>
      <w:rPr>
        <w:rFonts w:hint="default"/>
        <w:lang w:val="zh-CN" w:eastAsia="zh-CN" w:bidi="zh-CN"/>
      </w:rPr>
    </w:lvl>
    <w:lvl w:ilvl="3" w:tentative="0">
      <w:start w:val="0"/>
      <w:numFmt w:val="bullet"/>
      <w:lvlText w:val="•"/>
      <w:lvlJc w:val="left"/>
      <w:pPr>
        <w:ind w:left="3607" w:hanging="601"/>
      </w:pPr>
      <w:rPr>
        <w:rFonts w:hint="default"/>
        <w:lang w:val="zh-CN" w:eastAsia="zh-CN" w:bidi="zh-CN"/>
      </w:rPr>
    </w:lvl>
    <w:lvl w:ilvl="4" w:tentative="0">
      <w:start w:val="0"/>
      <w:numFmt w:val="bullet"/>
      <w:lvlText w:val="•"/>
      <w:lvlJc w:val="left"/>
      <w:pPr>
        <w:ind w:left="4410" w:hanging="601"/>
      </w:pPr>
      <w:rPr>
        <w:rFonts w:hint="default"/>
        <w:lang w:val="zh-CN" w:eastAsia="zh-CN" w:bidi="zh-CN"/>
      </w:rPr>
    </w:lvl>
    <w:lvl w:ilvl="5" w:tentative="0">
      <w:start w:val="0"/>
      <w:numFmt w:val="bullet"/>
      <w:lvlText w:val="•"/>
      <w:lvlJc w:val="left"/>
      <w:pPr>
        <w:ind w:left="5213" w:hanging="601"/>
      </w:pPr>
      <w:rPr>
        <w:rFonts w:hint="default"/>
        <w:lang w:val="zh-CN" w:eastAsia="zh-CN" w:bidi="zh-CN"/>
      </w:rPr>
    </w:lvl>
    <w:lvl w:ilvl="6" w:tentative="0">
      <w:start w:val="0"/>
      <w:numFmt w:val="bullet"/>
      <w:lvlText w:val="•"/>
      <w:lvlJc w:val="left"/>
      <w:pPr>
        <w:ind w:left="6015" w:hanging="601"/>
      </w:pPr>
      <w:rPr>
        <w:rFonts w:hint="default"/>
        <w:lang w:val="zh-CN" w:eastAsia="zh-CN" w:bidi="zh-CN"/>
      </w:rPr>
    </w:lvl>
    <w:lvl w:ilvl="7" w:tentative="0">
      <w:start w:val="0"/>
      <w:numFmt w:val="bullet"/>
      <w:lvlText w:val="•"/>
      <w:lvlJc w:val="left"/>
      <w:pPr>
        <w:ind w:left="6818" w:hanging="601"/>
      </w:pPr>
      <w:rPr>
        <w:rFonts w:hint="default"/>
        <w:lang w:val="zh-CN" w:eastAsia="zh-CN" w:bidi="zh-CN"/>
      </w:rPr>
    </w:lvl>
    <w:lvl w:ilvl="8" w:tentative="0">
      <w:start w:val="0"/>
      <w:numFmt w:val="bullet"/>
      <w:lvlText w:val="•"/>
      <w:lvlJc w:val="left"/>
      <w:pPr>
        <w:ind w:left="7620" w:hanging="601"/>
      </w:pPr>
      <w:rPr>
        <w:rFonts w:hint="default"/>
        <w:lang w:val="zh-CN" w:eastAsia="zh-CN" w:bidi="zh-CN"/>
      </w:rPr>
    </w:lvl>
  </w:abstractNum>
  <w:num w:numId="1">
    <w:abstractNumId w:val="1694"/>
  </w:num>
  <w:num w:numId="2">
    <w:abstractNumId w:val="947"/>
  </w:num>
  <w:num w:numId="3">
    <w:abstractNumId w:val="604"/>
  </w:num>
  <w:num w:numId="4">
    <w:abstractNumId w:val="1586"/>
  </w:num>
  <w:num w:numId="5">
    <w:abstractNumId w:val="476"/>
  </w:num>
  <w:num w:numId="6">
    <w:abstractNumId w:val="402"/>
  </w:num>
  <w:num w:numId="7">
    <w:abstractNumId w:val="971"/>
  </w:num>
  <w:num w:numId="8">
    <w:abstractNumId w:val="1208"/>
  </w:num>
  <w:num w:numId="9">
    <w:abstractNumId w:val="1767"/>
  </w:num>
  <w:num w:numId="10">
    <w:abstractNumId w:val="881"/>
  </w:num>
  <w:num w:numId="11">
    <w:abstractNumId w:val="886"/>
  </w:num>
  <w:num w:numId="12">
    <w:abstractNumId w:val="957"/>
  </w:num>
  <w:num w:numId="13">
    <w:abstractNumId w:val="1834"/>
  </w:num>
  <w:num w:numId="14">
    <w:abstractNumId w:val="140"/>
  </w:num>
  <w:num w:numId="15">
    <w:abstractNumId w:val="1242"/>
  </w:num>
  <w:num w:numId="16">
    <w:abstractNumId w:val="1591"/>
  </w:num>
  <w:num w:numId="17">
    <w:abstractNumId w:val="555"/>
  </w:num>
  <w:num w:numId="18">
    <w:abstractNumId w:val="1490"/>
  </w:num>
  <w:num w:numId="19">
    <w:abstractNumId w:val="873"/>
  </w:num>
  <w:num w:numId="20">
    <w:abstractNumId w:val="1195"/>
  </w:num>
  <w:num w:numId="21">
    <w:abstractNumId w:val="415"/>
  </w:num>
  <w:num w:numId="22">
    <w:abstractNumId w:val="466"/>
  </w:num>
  <w:num w:numId="23">
    <w:abstractNumId w:val="703"/>
  </w:num>
  <w:num w:numId="24">
    <w:abstractNumId w:val="672"/>
  </w:num>
  <w:num w:numId="25">
    <w:abstractNumId w:val="211"/>
  </w:num>
  <w:num w:numId="26">
    <w:abstractNumId w:val="1475"/>
  </w:num>
  <w:num w:numId="27">
    <w:abstractNumId w:val="1640"/>
  </w:num>
  <w:num w:numId="28">
    <w:abstractNumId w:val="1056"/>
  </w:num>
  <w:num w:numId="29">
    <w:abstractNumId w:val="1440"/>
  </w:num>
  <w:num w:numId="30">
    <w:abstractNumId w:val="486"/>
  </w:num>
  <w:num w:numId="31">
    <w:abstractNumId w:val="365"/>
  </w:num>
  <w:num w:numId="32">
    <w:abstractNumId w:val="1836"/>
  </w:num>
  <w:num w:numId="33">
    <w:abstractNumId w:val="1814"/>
  </w:num>
  <w:num w:numId="34">
    <w:abstractNumId w:val="470"/>
  </w:num>
  <w:num w:numId="35">
    <w:abstractNumId w:val="1659"/>
  </w:num>
  <w:num w:numId="36">
    <w:abstractNumId w:val="144"/>
  </w:num>
  <w:num w:numId="37">
    <w:abstractNumId w:val="1049"/>
  </w:num>
  <w:num w:numId="38">
    <w:abstractNumId w:val="1350"/>
  </w:num>
  <w:num w:numId="39">
    <w:abstractNumId w:val="26"/>
  </w:num>
  <w:num w:numId="40">
    <w:abstractNumId w:val="1578"/>
  </w:num>
  <w:num w:numId="41">
    <w:abstractNumId w:val="1844"/>
  </w:num>
  <w:num w:numId="42">
    <w:abstractNumId w:val="9"/>
  </w:num>
  <w:num w:numId="43">
    <w:abstractNumId w:val="1193"/>
  </w:num>
  <w:num w:numId="44">
    <w:abstractNumId w:val="1493"/>
  </w:num>
  <w:num w:numId="45">
    <w:abstractNumId w:val="889"/>
  </w:num>
  <w:num w:numId="46">
    <w:abstractNumId w:val="729"/>
  </w:num>
  <w:num w:numId="47">
    <w:abstractNumId w:val="1288"/>
  </w:num>
  <w:num w:numId="48">
    <w:abstractNumId w:val="1823"/>
  </w:num>
  <w:num w:numId="49">
    <w:abstractNumId w:val="440"/>
  </w:num>
  <w:num w:numId="50">
    <w:abstractNumId w:val="134"/>
  </w:num>
  <w:num w:numId="51">
    <w:abstractNumId w:val="414"/>
  </w:num>
  <w:num w:numId="52">
    <w:abstractNumId w:val="1618"/>
  </w:num>
  <w:num w:numId="53">
    <w:abstractNumId w:val="25"/>
  </w:num>
  <w:num w:numId="54">
    <w:abstractNumId w:val="1145"/>
  </w:num>
  <w:num w:numId="55">
    <w:abstractNumId w:val="89"/>
  </w:num>
  <w:num w:numId="56">
    <w:abstractNumId w:val="1638"/>
  </w:num>
  <w:num w:numId="57">
    <w:abstractNumId w:val="1788"/>
  </w:num>
  <w:num w:numId="58">
    <w:abstractNumId w:val="1476"/>
  </w:num>
  <w:num w:numId="59">
    <w:abstractNumId w:val="1297"/>
  </w:num>
  <w:num w:numId="60">
    <w:abstractNumId w:val="1686"/>
  </w:num>
  <w:num w:numId="61">
    <w:abstractNumId w:val="994"/>
  </w:num>
  <w:num w:numId="62">
    <w:abstractNumId w:val="670"/>
  </w:num>
  <w:num w:numId="63">
    <w:abstractNumId w:val="1154"/>
  </w:num>
  <w:num w:numId="64">
    <w:abstractNumId w:val="843"/>
  </w:num>
  <w:num w:numId="65">
    <w:abstractNumId w:val="1192"/>
  </w:num>
  <w:num w:numId="66">
    <w:abstractNumId w:val="396"/>
  </w:num>
  <w:num w:numId="67">
    <w:abstractNumId w:val="1394"/>
  </w:num>
  <w:num w:numId="68">
    <w:abstractNumId w:val="683"/>
  </w:num>
  <w:num w:numId="69">
    <w:abstractNumId w:val="1330"/>
  </w:num>
  <w:num w:numId="70">
    <w:abstractNumId w:val="493"/>
  </w:num>
  <w:num w:numId="71">
    <w:abstractNumId w:val="1097"/>
  </w:num>
  <w:num w:numId="72">
    <w:abstractNumId w:val="372"/>
  </w:num>
  <w:num w:numId="73">
    <w:abstractNumId w:val="1361"/>
  </w:num>
  <w:num w:numId="74">
    <w:abstractNumId w:val="256"/>
  </w:num>
  <w:num w:numId="75">
    <w:abstractNumId w:val="883"/>
  </w:num>
  <w:num w:numId="76">
    <w:abstractNumId w:val="1287"/>
  </w:num>
  <w:num w:numId="77">
    <w:abstractNumId w:val="934"/>
  </w:num>
  <w:num w:numId="78">
    <w:abstractNumId w:val="1130"/>
  </w:num>
  <w:num w:numId="79">
    <w:abstractNumId w:val="1750"/>
  </w:num>
  <w:num w:numId="80">
    <w:abstractNumId w:val="763"/>
  </w:num>
  <w:num w:numId="81">
    <w:abstractNumId w:val="528"/>
  </w:num>
  <w:num w:numId="82">
    <w:abstractNumId w:val="253"/>
  </w:num>
  <w:num w:numId="83">
    <w:abstractNumId w:val="1810"/>
  </w:num>
  <w:num w:numId="84">
    <w:abstractNumId w:val="686"/>
  </w:num>
  <w:num w:numId="85">
    <w:abstractNumId w:val="412"/>
  </w:num>
  <w:num w:numId="86">
    <w:abstractNumId w:val="1283"/>
  </w:num>
  <w:num w:numId="87">
    <w:abstractNumId w:val="779"/>
  </w:num>
  <w:num w:numId="88">
    <w:abstractNumId w:val="197"/>
  </w:num>
  <w:num w:numId="89">
    <w:abstractNumId w:val="1589"/>
  </w:num>
  <w:num w:numId="90">
    <w:abstractNumId w:val="461"/>
  </w:num>
  <w:num w:numId="91">
    <w:abstractNumId w:val="364"/>
  </w:num>
  <w:num w:numId="92">
    <w:abstractNumId w:val="153"/>
  </w:num>
  <w:num w:numId="93">
    <w:abstractNumId w:val="220"/>
  </w:num>
  <w:num w:numId="94">
    <w:abstractNumId w:val="320"/>
  </w:num>
  <w:num w:numId="95">
    <w:abstractNumId w:val="136"/>
  </w:num>
  <w:num w:numId="96">
    <w:abstractNumId w:val="1150"/>
  </w:num>
  <w:num w:numId="97">
    <w:abstractNumId w:val="467"/>
  </w:num>
  <w:num w:numId="98">
    <w:abstractNumId w:val="1108"/>
  </w:num>
  <w:num w:numId="99">
    <w:abstractNumId w:val="627"/>
  </w:num>
  <w:num w:numId="100">
    <w:abstractNumId w:val="1700"/>
  </w:num>
  <w:num w:numId="101">
    <w:abstractNumId w:val="0"/>
  </w:num>
  <w:num w:numId="102">
    <w:abstractNumId w:val="454"/>
  </w:num>
  <w:num w:numId="103">
    <w:abstractNumId w:val="877"/>
  </w:num>
  <w:num w:numId="104">
    <w:abstractNumId w:val="1484"/>
  </w:num>
  <w:num w:numId="105">
    <w:abstractNumId w:val="1080"/>
  </w:num>
  <w:num w:numId="106">
    <w:abstractNumId w:val="206"/>
  </w:num>
  <w:num w:numId="107">
    <w:abstractNumId w:val="726"/>
  </w:num>
  <w:num w:numId="108">
    <w:abstractNumId w:val="1146"/>
  </w:num>
  <w:num w:numId="109">
    <w:abstractNumId w:val="1463"/>
  </w:num>
  <w:num w:numId="110">
    <w:abstractNumId w:val="316"/>
  </w:num>
  <w:num w:numId="111">
    <w:abstractNumId w:val="1647"/>
  </w:num>
  <w:num w:numId="112">
    <w:abstractNumId w:val="13"/>
  </w:num>
  <w:num w:numId="113">
    <w:abstractNumId w:val="53"/>
  </w:num>
  <w:num w:numId="114">
    <w:abstractNumId w:val="71"/>
  </w:num>
  <w:num w:numId="115">
    <w:abstractNumId w:val="245"/>
  </w:num>
  <w:num w:numId="116">
    <w:abstractNumId w:val="482"/>
  </w:num>
  <w:num w:numId="117">
    <w:abstractNumId w:val="562"/>
  </w:num>
  <w:num w:numId="118">
    <w:abstractNumId w:val="872"/>
  </w:num>
  <w:num w:numId="119">
    <w:abstractNumId w:val="1636"/>
  </w:num>
  <w:num w:numId="120">
    <w:abstractNumId w:val="862"/>
  </w:num>
  <w:num w:numId="121">
    <w:abstractNumId w:val="1182"/>
  </w:num>
  <w:num w:numId="122">
    <w:abstractNumId w:val="185"/>
  </w:num>
  <w:num w:numId="123">
    <w:abstractNumId w:val="968"/>
  </w:num>
  <w:num w:numId="124">
    <w:abstractNumId w:val="228"/>
  </w:num>
  <w:num w:numId="125">
    <w:abstractNumId w:val="1248"/>
  </w:num>
  <w:num w:numId="126">
    <w:abstractNumId w:val="1531"/>
  </w:num>
  <w:num w:numId="127">
    <w:abstractNumId w:val="597"/>
  </w:num>
  <w:num w:numId="128">
    <w:abstractNumId w:val="209"/>
  </w:num>
  <w:num w:numId="129">
    <w:abstractNumId w:val="1204"/>
  </w:num>
  <w:num w:numId="130">
    <w:abstractNumId w:val="1395"/>
  </w:num>
  <w:num w:numId="131">
    <w:abstractNumId w:val="1081"/>
  </w:num>
  <w:num w:numId="132">
    <w:abstractNumId w:val="1492"/>
  </w:num>
  <w:num w:numId="133">
    <w:abstractNumId w:val="1515"/>
  </w:num>
  <w:num w:numId="134">
    <w:abstractNumId w:val="1185"/>
  </w:num>
  <w:num w:numId="135">
    <w:abstractNumId w:val="766"/>
  </w:num>
  <w:num w:numId="136">
    <w:abstractNumId w:val="222"/>
  </w:num>
  <w:num w:numId="137">
    <w:abstractNumId w:val="1353"/>
  </w:num>
  <w:num w:numId="138">
    <w:abstractNumId w:val="1386"/>
  </w:num>
  <w:num w:numId="139">
    <w:abstractNumId w:val="1048"/>
  </w:num>
  <w:num w:numId="140">
    <w:abstractNumId w:val="1732"/>
  </w:num>
  <w:num w:numId="141">
    <w:abstractNumId w:val="752"/>
  </w:num>
  <w:num w:numId="142">
    <w:abstractNumId w:val="1173"/>
  </w:num>
  <w:num w:numId="143">
    <w:abstractNumId w:val="1034"/>
  </w:num>
  <w:num w:numId="144">
    <w:abstractNumId w:val="801"/>
  </w:num>
  <w:num w:numId="145">
    <w:abstractNumId w:val="852"/>
  </w:num>
  <w:num w:numId="146">
    <w:abstractNumId w:val="667"/>
  </w:num>
  <w:num w:numId="147">
    <w:abstractNumId w:val="1410"/>
  </w:num>
  <w:num w:numId="148">
    <w:abstractNumId w:val="869"/>
  </w:num>
  <w:num w:numId="149">
    <w:abstractNumId w:val="169"/>
  </w:num>
  <w:num w:numId="150">
    <w:abstractNumId w:val="850"/>
  </w:num>
  <w:num w:numId="151">
    <w:abstractNumId w:val="954"/>
  </w:num>
  <w:num w:numId="152">
    <w:abstractNumId w:val="565"/>
  </w:num>
  <w:num w:numId="153">
    <w:abstractNumId w:val="1345"/>
  </w:num>
  <w:num w:numId="154">
    <w:abstractNumId w:val="1717"/>
  </w:num>
  <w:num w:numId="155">
    <w:abstractNumId w:val="688"/>
  </w:num>
  <w:num w:numId="156">
    <w:abstractNumId w:val="315"/>
  </w:num>
  <w:num w:numId="157">
    <w:abstractNumId w:val="48"/>
  </w:num>
  <w:num w:numId="158">
    <w:abstractNumId w:val="361"/>
  </w:num>
  <w:num w:numId="159">
    <w:abstractNumId w:val="1003"/>
  </w:num>
  <w:num w:numId="160">
    <w:abstractNumId w:val="393"/>
  </w:num>
  <w:num w:numId="161">
    <w:abstractNumId w:val="853"/>
  </w:num>
  <w:num w:numId="162">
    <w:abstractNumId w:val="1207"/>
  </w:num>
  <w:num w:numId="163">
    <w:abstractNumId w:val="1467"/>
  </w:num>
  <w:num w:numId="164">
    <w:abstractNumId w:val="369"/>
  </w:num>
  <w:num w:numId="165">
    <w:abstractNumId w:val="1327"/>
  </w:num>
  <w:num w:numId="166">
    <w:abstractNumId w:val="1376"/>
  </w:num>
  <w:num w:numId="167">
    <w:abstractNumId w:val="1148"/>
  </w:num>
  <w:num w:numId="168">
    <w:abstractNumId w:val="1109"/>
  </w:num>
  <w:num w:numId="169">
    <w:abstractNumId w:val="903"/>
  </w:num>
  <w:num w:numId="170">
    <w:abstractNumId w:val="1331"/>
  </w:num>
  <w:num w:numId="171">
    <w:abstractNumId w:val="488"/>
  </w:num>
  <w:num w:numId="172">
    <w:abstractNumId w:val="1514"/>
  </w:num>
  <w:num w:numId="173">
    <w:abstractNumId w:val="1392"/>
  </w:num>
  <w:num w:numId="174">
    <w:abstractNumId w:val="1223"/>
  </w:num>
  <w:num w:numId="175">
    <w:abstractNumId w:val="836"/>
  </w:num>
  <w:num w:numId="176">
    <w:abstractNumId w:val="285"/>
  </w:num>
  <w:num w:numId="177">
    <w:abstractNumId w:val="1786"/>
  </w:num>
  <w:num w:numId="178">
    <w:abstractNumId w:val="1215"/>
  </w:num>
  <w:num w:numId="179">
    <w:abstractNumId w:val="1724"/>
  </w:num>
  <w:num w:numId="180">
    <w:abstractNumId w:val="7"/>
  </w:num>
  <w:num w:numId="181">
    <w:abstractNumId w:val="155"/>
  </w:num>
  <w:num w:numId="182">
    <w:abstractNumId w:val="1683"/>
  </w:num>
  <w:num w:numId="183">
    <w:abstractNumId w:val="584"/>
  </w:num>
  <w:num w:numId="184">
    <w:abstractNumId w:val="1669"/>
  </w:num>
  <w:num w:numId="185">
    <w:abstractNumId w:val="1303"/>
  </w:num>
  <w:num w:numId="186">
    <w:abstractNumId w:val="1783"/>
  </w:num>
  <w:num w:numId="187">
    <w:abstractNumId w:val="1758"/>
  </w:num>
  <w:num w:numId="188">
    <w:abstractNumId w:val="656"/>
  </w:num>
  <w:num w:numId="189">
    <w:abstractNumId w:val="856"/>
  </w:num>
  <w:num w:numId="190">
    <w:abstractNumId w:val="922"/>
  </w:num>
  <w:num w:numId="191">
    <w:abstractNumId w:val="147"/>
  </w:num>
  <w:num w:numId="192">
    <w:abstractNumId w:val="397"/>
  </w:num>
  <w:num w:numId="193">
    <w:abstractNumId w:val="1413"/>
  </w:num>
  <w:num w:numId="194">
    <w:abstractNumId w:val="401"/>
  </w:num>
  <w:num w:numId="195">
    <w:abstractNumId w:val="1673"/>
  </w:num>
  <w:num w:numId="196">
    <w:abstractNumId w:val="1506"/>
  </w:num>
  <w:num w:numId="197">
    <w:abstractNumId w:val="1592"/>
  </w:num>
  <w:num w:numId="198">
    <w:abstractNumId w:val="452"/>
  </w:num>
  <w:num w:numId="199">
    <w:abstractNumId w:val="1309"/>
  </w:num>
  <w:num w:numId="200">
    <w:abstractNumId w:val="793"/>
  </w:num>
  <w:num w:numId="201">
    <w:abstractNumId w:val="1152"/>
  </w:num>
  <w:num w:numId="202">
    <w:abstractNumId w:val="28"/>
  </w:num>
  <w:num w:numId="203">
    <w:abstractNumId w:val="357"/>
  </w:num>
  <w:num w:numId="204">
    <w:abstractNumId w:val="1101"/>
  </w:num>
  <w:num w:numId="205">
    <w:abstractNumId w:val="1502"/>
  </w:num>
  <w:num w:numId="206">
    <w:abstractNumId w:val="1678"/>
  </w:num>
  <w:num w:numId="207">
    <w:abstractNumId w:val="424"/>
  </w:num>
  <w:num w:numId="208">
    <w:abstractNumId w:val="224"/>
  </w:num>
  <w:num w:numId="209">
    <w:abstractNumId w:val="1132"/>
  </w:num>
  <w:num w:numId="210">
    <w:abstractNumId w:val="904"/>
  </w:num>
  <w:num w:numId="211">
    <w:abstractNumId w:val="430"/>
  </w:num>
  <w:num w:numId="212">
    <w:abstractNumId w:val="368"/>
  </w:num>
  <w:num w:numId="213">
    <w:abstractNumId w:val="1039"/>
  </w:num>
  <w:num w:numId="214">
    <w:abstractNumId w:val="1067"/>
  </w:num>
  <w:num w:numId="215">
    <w:abstractNumId w:val="1333"/>
  </w:num>
  <w:num w:numId="216">
    <w:abstractNumId w:val="958"/>
  </w:num>
  <w:num w:numId="217">
    <w:abstractNumId w:val="198"/>
  </w:num>
  <w:num w:numId="218">
    <w:abstractNumId w:val="1585"/>
  </w:num>
  <w:num w:numId="219">
    <w:abstractNumId w:val="247"/>
  </w:num>
  <w:num w:numId="220">
    <w:abstractNumId w:val="125"/>
  </w:num>
  <w:num w:numId="221">
    <w:abstractNumId w:val="1498"/>
  </w:num>
  <w:num w:numId="222">
    <w:abstractNumId w:val="213"/>
  </w:num>
  <w:num w:numId="223">
    <w:abstractNumId w:val="1002"/>
  </w:num>
  <w:num w:numId="224">
    <w:abstractNumId w:val="833"/>
  </w:num>
  <w:num w:numId="225">
    <w:abstractNumId w:val="212"/>
  </w:num>
  <w:num w:numId="226">
    <w:abstractNumId w:val="162"/>
  </w:num>
  <w:num w:numId="227">
    <w:abstractNumId w:val="581"/>
  </w:num>
  <w:num w:numId="228">
    <w:abstractNumId w:val="175"/>
  </w:num>
  <w:num w:numId="229">
    <w:abstractNumId w:val="331"/>
  </w:num>
  <w:num w:numId="230">
    <w:abstractNumId w:val="1429"/>
  </w:num>
  <w:num w:numId="231">
    <w:abstractNumId w:val="534"/>
  </w:num>
  <w:num w:numId="232">
    <w:abstractNumId w:val="1163"/>
  </w:num>
  <w:num w:numId="233">
    <w:abstractNumId w:val="760"/>
  </w:num>
  <w:num w:numId="234">
    <w:abstractNumId w:val="777"/>
  </w:num>
  <w:num w:numId="235">
    <w:abstractNumId w:val="1302"/>
  </w:num>
  <w:num w:numId="236">
    <w:abstractNumId w:val="864"/>
  </w:num>
  <w:num w:numId="237">
    <w:abstractNumId w:val="257"/>
  </w:num>
  <w:num w:numId="238">
    <w:abstractNumId w:val="1423"/>
  </w:num>
  <w:num w:numId="239">
    <w:abstractNumId w:val="570"/>
  </w:num>
  <w:num w:numId="240">
    <w:abstractNumId w:val="1829"/>
  </w:num>
  <w:num w:numId="241">
    <w:abstractNumId w:val="689"/>
  </w:num>
  <w:num w:numId="242">
    <w:abstractNumId w:val="146"/>
  </w:num>
  <w:num w:numId="243">
    <w:abstractNumId w:val="1290"/>
  </w:num>
  <w:num w:numId="244">
    <w:abstractNumId w:val="974"/>
  </w:num>
  <w:num w:numId="245">
    <w:abstractNumId w:val="1260"/>
  </w:num>
  <w:num w:numId="246">
    <w:abstractNumId w:val="338"/>
  </w:num>
  <w:num w:numId="247">
    <w:abstractNumId w:val="1631"/>
  </w:num>
  <w:num w:numId="248">
    <w:abstractNumId w:val="276"/>
  </w:num>
  <w:num w:numId="249">
    <w:abstractNumId w:val="898"/>
  </w:num>
  <w:num w:numId="250">
    <w:abstractNumId w:val="529"/>
  </w:num>
  <w:num w:numId="251">
    <w:abstractNumId w:val="959"/>
  </w:num>
  <w:num w:numId="252">
    <w:abstractNumId w:val="1574"/>
  </w:num>
  <w:num w:numId="253">
    <w:abstractNumId w:val="1121"/>
  </w:num>
  <w:num w:numId="254">
    <w:abstractNumId w:val="1565"/>
  </w:num>
  <w:num w:numId="255">
    <w:abstractNumId w:val="59"/>
  </w:num>
  <w:num w:numId="256">
    <w:abstractNumId w:val="1808"/>
  </w:num>
  <w:num w:numId="257">
    <w:abstractNumId w:val="706"/>
  </w:num>
  <w:num w:numId="258">
    <w:abstractNumId w:val="129"/>
  </w:num>
  <w:num w:numId="259">
    <w:abstractNumId w:val="708"/>
  </w:num>
  <w:num w:numId="260">
    <w:abstractNumId w:val="710"/>
  </w:num>
  <w:num w:numId="261">
    <w:abstractNumId w:val="642"/>
  </w:num>
  <w:num w:numId="262">
    <w:abstractNumId w:val="787"/>
  </w:num>
  <w:num w:numId="263">
    <w:abstractNumId w:val="1754"/>
  </w:num>
  <w:num w:numId="264">
    <w:abstractNumId w:val="633"/>
  </w:num>
  <w:num w:numId="265">
    <w:abstractNumId w:val="946"/>
  </w:num>
  <w:num w:numId="266">
    <w:abstractNumId w:val="1072"/>
  </w:num>
  <w:num w:numId="267">
    <w:abstractNumId w:val="352"/>
  </w:num>
  <w:num w:numId="268">
    <w:abstractNumId w:val="1196"/>
  </w:num>
  <w:num w:numId="269">
    <w:abstractNumId w:val="978"/>
  </w:num>
  <w:num w:numId="270">
    <w:abstractNumId w:val="1047"/>
  </w:num>
  <w:num w:numId="271">
    <w:abstractNumId w:val="1738"/>
  </w:num>
  <w:num w:numId="272">
    <w:abstractNumId w:val="1671"/>
  </w:num>
  <w:num w:numId="273">
    <w:abstractNumId w:val="987"/>
  </w:num>
  <w:num w:numId="274">
    <w:abstractNumId w:val="270"/>
  </w:num>
  <w:num w:numId="275">
    <w:abstractNumId w:val="1805"/>
  </w:num>
  <w:num w:numId="276">
    <w:abstractNumId w:val="553"/>
  </w:num>
  <w:num w:numId="277">
    <w:abstractNumId w:val="204"/>
  </w:num>
  <w:num w:numId="278">
    <w:abstractNumId w:val="500"/>
  </w:num>
  <w:num w:numId="279">
    <w:abstractNumId w:val="403"/>
  </w:num>
  <w:num w:numId="280">
    <w:abstractNumId w:val="281"/>
  </w:num>
  <w:num w:numId="281">
    <w:abstractNumId w:val="358"/>
  </w:num>
  <w:num w:numId="282">
    <w:abstractNumId w:val="1464"/>
  </w:num>
  <w:num w:numId="283">
    <w:abstractNumId w:val="1382"/>
  </w:num>
  <w:num w:numId="284">
    <w:abstractNumId w:val="863"/>
  </w:num>
  <w:num w:numId="285">
    <w:abstractNumId w:val="248"/>
  </w:num>
  <w:num w:numId="286">
    <w:abstractNumId w:val="473"/>
  </w:num>
  <w:num w:numId="287">
    <w:abstractNumId w:val="259"/>
  </w:num>
  <w:num w:numId="288">
    <w:abstractNumId w:val="810"/>
  </w:num>
  <w:num w:numId="289">
    <w:abstractNumId w:val="1778"/>
  </w:num>
  <w:num w:numId="290">
    <w:abstractNumId w:val="1282"/>
  </w:num>
  <w:num w:numId="291">
    <w:abstractNumId w:val="435"/>
  </w:num>
  <w:num w:numId="292">
    <w:abstractNumId w:val="1024"/>
  </w:num>
  <w:num w:numId="293">
    <w:abstractNumId w:val="108"/>
  </w:num>
  <w:num w:numId="294">
    <w:abstractNumId w:val="1068"/>
  </w:num>
  <w:num w:numId="295">
    <w:abstractNumId w:val="189"/>
  </w:num>
  <w:num w:numId="296">
    <w:abstractNumId w:val="312"/>
  </w:num>
  <w:num w:numId="297">
    <w:abstractNumId w:val="300"/>
  </w:num>
  <w:num w:numId="298">
    <w:abstractNumId w:val="1343"/>
  </w:num>
  <w:num w:numId="299">
    <w:abstractNumId w:val="1852"/>
  </w:num>
  <w:num w:numId="300">
    <w:abstractNumId w:val="1747"/>
  </w:num>
  <w:num w:numId="301">
    <w:abstractNumId w:val="1641"/>
  </w:num>
  <w:num w:numId="302">
    <w:abstractNumId w:val="445"/>
  </w:num>
  <w:num w:numId="303">
    <w:abstractNumId w:val="294"/>
  </w:num>
  <w:num w:numId="304">
    <w:abstractNumId w:val="453"/>
  </w:num>
  <w:num w:numId="305">
    <w:abstractNumId w:val="1610"/>
  </w:num>
  <w:num w:numId="306">
    <w:abstractNumId w:val="630"/>
  </w:num>
  <w:num w:numId="307">
    <w:abstractNumId w:val="717"/>
  </w:num>
  <w:num w:numId="308">
    <w:abstractNumId w:val="1715"/>
  </w:num>
  <w:num w:numId="309">
    <w:abstractNumId w:val="1238"/>
  </w:num>
  <w:num w:numId="310">
    <w:abstractNumId w:val="177"/>
  </w:num>
  <w:num w:numId="311">
    <w:abstractNumId w:val="157"/>
  </w:num>
  <w:num w:numId="312">
    <w:abstractNumId w:val="807"/>
  </w:num>
  <w:num w:numId="313">
    <w:abstractNumId w:val="605"/>
  </w:num>
  <w:num w:numId="314">
    <w:abstractNumId w:val="540"/>
  </w:num>
  <w:num w:numId="315">
    <w:abstractNumId w:val="1665"/>
  </w:num>
  <w:num w:numId="316">
    <w:abstractNumId w:val="1296"/>
  </w:num>
  <w:num w:numId="317">
    <w:abstractNumId w:val="1006"/>
  </w:num>
  <w:num w:numId="318">
    <w:abstractNumId w:val="1655"/>
  </w:num>
  <w:num w:numId="319">
    <w:abstractNumId w:val="1305"/>
  </w:num>
  <w:num w:numId="320">
    <w:abstractNumId w:val="513"/>
  </w:num>
  <w:num w:numId="321">
    <w:abstractNumId w:val="1775"/>
  </w:num>
  <w:num w:numId="322">
    <w:abstractNumId w:val="1801"/>
  </w:num>
  <w:num w:numId="323">
    <w:abstractNumId w:val="1375"/>
  </w:num>
  <w:num w:numId="324">
    <w:abstractNumId w:val="814"/>
  </w:num>
  <w:num w:numId="325">
    <w:abstractNumId w:val="1065"/>
  </w:num>
  <w:num w:numId="326">
    <w:abstractNumId w:val="481"/>
  </w:num>
  <w:num w:numId="327">
    <w:abstractNumId w:val="790"/>
  </w:num>
  <w:num w:numId="328">
    <w:abstractNumId w:val="99"/>
  </w:num>
  <w:num w:numId="329">
    <w:abstractNumId w:val="575"/>
  </w:num>
  <w:num w:numId="330">
    <w:abstractNumId w:val="439"/>
  </w:num>
  <w:num w:numId="331">
    <w:abstractNumId w:val="725"/>
  </w:num>
  <w:num w:numId="332">
    <w:abstractNumId w:val="1679"/>
  </w:num>
  <w:num w:numId="333">
    <w:abstractNumId w:val="297"/>
  </w:num>
  <w:num w:numId="334">
    <w:abstractNumId w:val="502"/>
  </w:num>
  <w:num w:numId="335">
    <w:abstractNumId w:val="1059"/>
  </w:num>
  <w:num w:numId="336">
    <w:abstractNumId w:val="1579"/>
  </w:num>
  <w:num w:numId="337">
    <w:abstractNumId w:val="1749"/>
  </w:num>
  <w:num w:numId="338">
    <w:abstractNumId w:val="1473"/>
  </w:num>
  <w:num w:numId="339">
    <w:abstractNumId w:val="1107"/>
  </w:num>
  <w:num w:numId="340">
    <w:abstractNumId w:val="1197"/>
  </w:num>
  <w:num w:numId="341">
    <w:abstractNumId w:val="1634"/>
  </w:num>
  <w:num w:numId="342">
    <w:abstractNumId w:val="614"/>
  </w:num>
  <w:num w:numId="343">
    <w:abstractNumId w:val="1405"/>
  </w:num>
  <w:num w:numId="344">
    <w:abstractNumId w:val="1355"/>
  </w:num>
  <w:num w:numId="345">
    <w:abstractNumId w:val="744"/>
  </w:num>
  <w:num w:numId="346">
    <w:abstractNumId w:val="1022"/>
  </w:num>
  <w:num w:numId="347">
    <w:abstractNumId w:val="1596"/>
  </w:num>
  <w:num w:numId="348">
    <w:abstractNumId w:val="762"/>
  </w:num>
  <w:num w:numId="349">
    <w:abstractNumId w:val="796"/>
  </w:num>
  <w:num w:numId="350">
    <w:abstractNumId w:val="944"/>
  </w:num>
  <w:num w:numId="351">
    <w:abstractNumId w:val="663"/>
  </w:num>
  <w:num w:numId="352">
    <w:abstractNumId w:val="1452"/>
  </w:num>
  <w:num w:numId="353">
    <w:abstractNumId w:val="463"/>
  </w:num>
  <w:num w:numId="354">
    <w:abstractNumId w:val="284"/>
  </w:num>
  <w:num w:numId="355">
    <w:abstractNumId w:val="622"/>
  </w:num>
  <w:num w:numId="356">
    <w:abstractNumId w:val="1639"/>
  </w:num>
  <w:num w:numId="357">
    <w:abstractNumId w:val="746"/>
  </w:num>
  <w:num w:numId="358">
    <w:abstractNumId w:val="1776"/>
  </w:num>
  <w:num w:numId="359">
    <w:abstractNumId w:val="1718"/>
  </w:num>
  <w:num w:numId="360">
    <w:abstractNumId w:val="2"/>
  </w:num>
  <w:num w:numId="361">
    <w:abstractNumId w:val="782"/>
  </w:num>
  <w:num w:numId="362">
    <w:abstractNumId w:val="535"/>
  </w:num>
  <w:num w:numId="363">
    <w:abstractNumId w:val="602"/>
  </w:num>
  <w:num w:numId="364">
    <w:abstractNumId w:val="70"/>
  </w:num>
  <w:num w:numId="365">
    <w:abstractNumId w:val="290"/>
  </w:num>
  <w:num w:numId="366">
    <w:abstractNumId w:val="1630"/>
  </w:num>
  <w:num w:numId="367">
    <w:abstractNumId w:val="121"/>
  </w:num>
  <w:num w:numId="368">
    <w:abstractNumId w:val="1542"/>
  </w:num>
  <w:num w:numId="369">
    <w:abstractNumId w:val="840"/>
  </w:num>
  <w:num w:numId="370">
    <w:abstractNumId w:val="761"/>
  </w:num>
  <w:num w:numId="371">
    <w:abstractNumId w:val="272"/>
  </w:num>
  <w:num w:numId="372">
    <w:abstractNumId w:val="1728"/>
  </w:num>
  <w:num w:numId="373">
    <w:abstractNumId w:val="1187"/>
  </w:num>
  <w:num w:numId="374">
    <w:abstractNumId w:val="349"/>
  </w:num>
  <w:num w:numId="375">
    <w:abstractNumId w:val="201"/>
  </w:num>
  <w:num w:numId="376">
    <w:abstractNumId w:val="624"/>
  </w:num>
  <w:num w:numId="377">
    <w:abstractNumId w:val="24"/>
  </w:num>
  <w:num w:numId="378">
    <w:abstractNumId w:val="484"/>
  </w:num>
  <w:num w:numId="379">
    <w:abstractNumId w:val="1804"/>
  </w:num>
  <w:num w:numId="380">
    <w:abstractNumId w:val="262"/>
  </w:num>
  <w:num w:numId="381">
    <w:abstractNumId w:val="893"/>
  </w:num>
  <w:num w:numId="382">
    <w:abstractNumId w:val="1427"/>
  </w:num>
  <w:num w:numId="383">
    <w:abstractNumId w:val="187"/>
  </w:num>
  <w:num w:numId="384">
    <w:abstractNumId w:val="1798"/>
  </w:num>
  <w:num w:numId="385">
    <w:abstractNumId w:val="967"/>
  </w:num>
  <w:num w:numId="386">
    <w:abstractNumId w:val="1695"/>
  </w:num>
  <w:num w:numId="387">
    <w:abstractNumId w:val="1458"/>
  </w:num>
  <w:num w:numId="388">
    <w:abstractNumId w:val="1741"/>
  </w:num>
  <w:num w:numId="389">
    <w:abstractNumId w:val="56"/>
  </w:num>
  <w:num w:numId="390">
    <w:abstractNumId w:val="711"/>
  </w:num>
  <w:num w:numId="391">
    <w:abstractNumId w:val="1555"/>
  </w:num>
  <w:num w:numId="392">
    <w:abstractNumId w:val="118"/>
  </w:num>
  <w:num w:numId="393">
    <w:abstractNumId w:val="1362"/>
  </w:num>
  <w:num w:numId="394">
    <w:abstractNumId w:val="885"/>
  </w:num>
  <w:num w:numId="395">
    <w:abstractNumId w:val="1102"/>
  </w:num>
  <w:num w:numId="396">
    <w:abstractNumId w:val="1855"/>
  </w:num>
  <w:num w:numId="397">
    <w:abstractNumId w:val="1495"/>
  </w:num>
  <w:num w:numId="398">
    <w:abstractNumId w:val="172"/>
  </w:num>
  <w:num w:numId="399">
    <w:abstractNumId w:val="119"/>
  </w:num>
  <w:num w:numId="400">
    <w:abstractNumId w:val="1489"/>
  </w:num>
  <w:num w:numId="401">
    <w:abstractNumId w:val="1358"/>
  </w:num>
  <w:num w:numId="402">
    <w:abstractNumId w:val="749"/>
  </w:num>
  <w:num w:numId="403">
    <w:abstractNumId w:val="935"/>
  </w:num>
  <w:num w:numId="404">
    <w:abstractNumId w:val="1406"/>
  </w:num>
  <w:num w:numId="405">
    <w:abstractNumId w:val="1360"/>
  </w:num>
  <w:num w:numId="406">
    <w:abstractNumId w:val="1038"/>
  </w:num>
  <w:num w:numId="407">
    <w:abstractNumId w:val="1445"/>
  </w:num>
  <w:num w:numId="408">
    <w:abstractNumId w:val="1710"/>
  </w:num>
  <w:num w:numId="409">
    <w:abstractNumId w:val="1466"/>
  </w:num>
  <w:num w:numId="410">
    <w:abstractNumId w:val="861"/>
  </w:num>
  <w:num w:numId="411">
    <w:abstractNumId w:val="583"/>
  </w:num>
  <w:num w:numId="412">
    <w:abstractNumId w:val="719"/>
  </w:num>
  <w:num w:numId="413">
    <w:abstractNumId w:val="1430"/>
  </w:num>
  <w:num w:numId="414">
    <w:abstractNumId w:val="1176"/>
  </w:num>
  <w:num w:numId="415">
    <w:abstractNumId w:val="1264"/>
  </w:num>
  <w:num w:numId="416">
    <w:abstractNumId w:val="1784"/>
  </w:num>
  <w:num w:numId="417">
    <w:abstractNumId w:val="966"/>
  </w:num>
  <w:num w:numId="418">
    <w:abstractNumId w:val="586"/>
  </w:num>
  <w:num w:numId="419">
    <w:abstractNumId w:val="1479"/>
  </w:num>
  <w:num w:numId="420">
    <w:abstractNumId w:val="668"/>
  </w:num>
  <w:num w:numId="421">
    <w:abstractNumId w:val="989"/>
  </w:num>
  <w:num w:numId="422">
    <w:abstractNumId w:val="1597"/>
  </w:num>
  <w:num w:numId="423">
    <w:abstractNumId w:val="1275"/>
  </w:num>
  <w:num w:numId="424">
    <w:abstractNumId w:val="472"/>
  </w:num>
  <w:num w:numId="425">
    <w:abstractNumId w:val="40"/>
  </w:num>
  <w:num w:numId="426">
    <w:abstractNumId w:val="1231"/>
  </w:num>
  <w:num w:numId="427">
    <w:abstractNumId w:val="999"/>
  </w:num>
  <w:num w:numId="428">
    <w:abstractNumId w:val="1385"/>
  </w:num>
  <w:num w:numId="429">
    <w:abstractNumId w:val="73"/>
  </w:num>
  <w:num w:numId="430">
    <w:abstractNumId w:val="828"/>
  </w:num>
  <w:num w:numId="431">
    <w:abstractNumId w:val="1222"/>
  </w:num>
  <w:num w:numId="432">
    <w:abstractNumId w:val="764"/>
  </w:num>
  <w:num w:numId="433">
    <w:abstractNumId w:val="632"/>
  </w:num>
  <w:num w:numId="434">
    <w:abstractNumId w:val="329"/>
  </w:num>
  <w:num w:numId="435">
    <w:abstractNumId w:val="857"/>
  </w:num>
  <w:num w:numId="436">
    <w:abstractNumId w:val="183"/>
  </w:num>
  <w:num w:numId="437">
    <w:abstractNumId w:val="1304"/>
  </w:num>
  <w:num w:numId="438">
    <w:abstractNumId w:val="1594"/>
  </w:num>
  <w:num w:numId="439">
    <w:abstractNumId w:val="366"/>
  </w:num>
  <w:num w:numId="440">
    <w:abstractNumId w:val="919"/>
  </w:num>
  <w:num w:numId="441">
    <w:abstractNumId w:val="1370"/>
  </w:num>
  <w:num w:numId="442">
    <w:abstractNumId w:val="1544"/>
  </w:num>
  <w:num w:numId="443">
    <w:abstractNumId w:val="1560"/>
  </w:num>
  <w:num w:numId="444">
    <w:abstractNumId w:val="1462"/>
  </w:num>
  <w:num w:numId="445">
    <w:abstractNumId w:val="459"/>
  </w:num>
  <w:num w:numId="446">
    <w:abstractNumId w:val="354"/>
  </w:num>
  <w:num w:numId="447">
    <w:abstractNumId w:val="1076"/>
  </w:num>
  <w:num w:numId="448">
    <w:abstractNumId w:val="1572"/>
  </w:num>
  <w:num w:numId="449">
    <w:abstractNumId w:val="983"/>
  </w:num>
  <w:num w:numId="450">
    <w:abstractNumId w:val="76"/>
  </w:num>
  <w:num w:numId="451">
    <w:abstractNumId w:val="548"/>
  </w:num>
  <w:num w:numId="452">
    <w:abstractNumId w:val="511"/>
  </w:num>
  <w:num w:numId="453">
    <w:abstractNumId w:val="1727"/>
  </w:num>
  <w:num w:numId="454">
    <w:abstractNumId w:val="1751"/>
  </w:num>
  <w:num w:numId="455">
    <w:abstractNumId w:val="1432"/>
  </w:num>
  <w:num w:numId="456">
    <w:abstractNumId w:val="916"/>
  </w:num>
  <w:num w:numId="457">
    <w:abstractNumId w:val="1091"/>
  </w:num>
  <w:num w:numId="458">
    <w:abstractNumId w:val="702"/>
  </w:num>
  <w:num w:numId="459">
    <w:abstractNumId w:val="1459"/>
  </w:num>
  <w:num w:numId="460">
    <w:abstractNumId w:val="1256"/>
  </w:num>
  <w:num w:numId="461">
    <w:abstractNumId w:val="1488"/>
  </w:num>
  <w:num w:numId="462">
    <w:abstractNumId w:val="1114"/>
  </w:num>
  <w:num w:numId="463">
    <w:abstractNumId w:val="1340"/>
  </w:num>
  <w:num w:numId="464">
    <w:abstractNumId w:val="265"/>
  </w:num>
  <w:num w:numId="465">
    <w:abstractNumId w:val="508"/>
  </w:num>
  <w:num w:numId="466">
    <w:abstractNumId w:val="1446"/>
  </w:num>
  <w:num w:numId="467">
    <w:abstractNumId w:val="130"/>
  </w:num>
  <w:num w:numId="468">
    <w:abstractNumId w:val="585"/>
  </w:num>
  <w:num w:numId="469">
    <w:abstractNumId w:val="233"/>
  </w:num>
  <w:num w:numId="470">
    <w:abstractNumId w:val="1292"/>
  </w:num>
  <w:num w:numId="471">
    <w:abstractNumId w:val="1027"/>
  </w:num>
  <w:num w:numId="472">
    <w:abstractNumId w:val="1697"/>
  </w:num>
  <w:num w:numId="473">
    <w:abstractNumId w:val="772"/>
  </w:num>
  <w:num w:numId="474">
    <w:abstractNumId w:val="1322"/>
  </w:num>
  <w:num w:numId="475">
    <w:abstractNumId w:val="1593"/>
  </w:num>
  <w:num w:numId="476">
    <w:abstractNumId w:val="906"/>
  </w:num>
  <w:num w:numId="477">
    <w:abstractNumId w:val="1580"/>
  </w:num>
  <w:num w:numId="478">
    <w:abstractNumId w:val="1312"/>
  </w:num>
  <w:num w:numId="479">
    <w:abstractNumId w:val="52"/>
  </w:num>
  <w:num w:numId="480">
    <w:abstractNumId w:val="1134"/>
  </w:num>
  <w:num w:numId="481">
    <w:abstractNumId w:val="674"/>
  </w:num>
  <w:num w:numId="482">
    <w:abstractNumId w:val="953"/>
  </w:num>
  <w:num w:numId="483">
    <w:abstractNumId w:val="831"/>
  </w:num>
  <w:num w:numId="484">
    <w:abstractNumId w:val="479"/>
  </w:num>
  <w:num w:numId="485">
    <w:abstractNumId w:val="647"/>
  </w:num>
  <w:num w:numId="486">
    <w:abstractNumId w:val="558"/>
  </w:num>
  <w:num w:numId="487">
    <w:abstractNumId w:val="359"/>
  </w:num>
  <w:num w:numId="488">
    <w:abstractNumId w:val="1139"/>
  </w:num>
  <w:num w:numId="489">
    <w:abstractNumId w:val="356"/>
  </w:num>
  <w:num w:numId="490">
    <w:abstractNumId w:val="1354"/>
  </w:num>
  <w:num w:numId="491">
    <w:abstractNumId w:val="518"/>
  </w:num>
  <w:num w:numId="492">
    <w:abstractNumId w:val="1055"/>
  </w:num>
  <w:num w:numId="493">
    <w:abstractNumId w:val="128"/>
  </w:num>
  <w:num w:numId="494">
    <w:abstractNumId w:val="731"/>
  </w:num>
  <w:num w:numId="495">
    <w:abstractNumId w:val="1713"/>
  </w:num>
  <w:num w:numId="496">
    <w:abstractNumId w:val="848"/>
  </w:num>
  <w:num w:numId="497">
    <w:abstractNumId w:val="227"/>
  </w:num>
  <w:num w:numId="498">
    <w:abstractNumId w:val="1723"/>
  </w:num>
  <w:num w:numId="499">
    <w:abstractNumId w:val="1311"/>
  </w:num>
  <w:num w:numId="500">
    <w:abstractNumId w:val="246"/>
  </w:num>
  <w:num w:numId="501">
    <w:abstractNumId w:val="1147"/>
  </w:num>
  <w:num w:numId="502">
    <w:abstractNumId w:val="1522"/>
  </w:num>
  <w:num w:numId="503">
    <w:abstractNumId w:val="1516"/>
  </w:num>
  <w:num w:numId="504">
    <w:abstractNumId w:val="1816"/>
  </w:num>
  <w:num w:numId="505">
    <w:abstractNumId w:val="1621"/>
  </w:num>
  <w:num w:numId="506">
    <w:abstractNumId w:val="158"/>
  </w:num>
  <w:num w:numId="507">
    <w:abstractNumId w:val="1672"/>
  </w:num>
  <w:num w:numId="508">
    <w:abstractNumId w:val="1720"/>
  </w:num>
  <w:num w:numId="509">
    <w:abstractNumId w:val="1113"/>
  </w:num>
  <w:num w:numId="510">
    <w:abstractNumId w:val="1115"/>
  </w:num>
  <w:num w:numId="511">
    <w:abstractNumId w:val="258"/>
  </w:num>
  <w:num w:numId="512">
    <w:abstractNumId w:val="219"/>
  </w:num>
  <w:num w:numId="513">
    <w:abstractNumId w:val="636"/>
  </w:num>
  <w:num w:numId="514">
    <w:abstractNumId w:val="1342"/>
  </w:num>
  <w:num w:numId="515">
    <w:abstractNumId w:val="1421"/>
  </w:num>
  <w:num w:numId="516">
    <w:abstractNumId w:val="532"/>
  </w:num>
  <w:num w:numId="517">
    <w:abstractNumId w:val="1624"/>
  </w:num>
  <w:num w:numId="518">
    <w:abstractNumId w:val="1346"/>
  </w:num>
  <w:num w:numId="519">
    <w:abstractNumId w:val="1512"/>
  </w:num>
  <w:num w:numId="520">
    <w:abstractNumId w:val="665"/>
  </w:num>
  <w:num w:numId="521">
    <w:abstractNumId w:val="422"/>
  </w:num>
  <w:num w:numId="522">
    <w:abstractNumId w:val="1111"/>
  </w:num>
  <w:num w:numId="523">
    <w:abstractNumId w:val="275"/>
  </w:num>
  <w:num w:numId="524">
    <w:abstractNumId w:val="1124"/>
  </w:num>
  <w:num w:numId="525">
    <w:abstractNumId w:val="1573"/>
  </w:num>
  <w:num w:numId="526">
    <w:abstractNumId w:val="1511"/>
  </w:num>
  <w:num w:numId="527">
    <w:abstractNumId w:val="1280"/>
  </w:num>
  <w:num w:numId="528">
    <w:abstractNumId w:val="1257"/>
  </w:num>
  <w:num w:numId="529">
    <w:abstractNumId w:val="3"/>
  </w:num>
  <w:num w:numId="530">
    <w:abstractNumId w:val="1770"/>
  </w:num>
  <w:num w:numId="531">
    <w:abstractNumId w:val="1830"/>
  </w:num>
  <w:num w:numId="532">
    <w:abstractNumId w:val="1383"/>
  </w:num>
  <w:num w:numId="533">
    <w:abstractNumId w:val="1482"/>
  </w:num>
  <w:num w:numId="534">
    <w:abstractNumId w:val="260"/>
  </w:num>
  <w:num w:numId="535">
    <w:abstractNumId w:val="1414"/>
  </w:num>
  <w:num w:numId="536">
    <w:abstractNumId w:val="701"/>
  </w:num>
  <w:num w:numId="537">
    <w:abstractNumId w:val="1403"/>
  </w:num>
  <w:num w:numId="538">
    <w:abstractNumId w:val="1123"/>
  </w:num>
  <w:num w:numId="539">
    <w:abstractNumId w:val="1448"/>
  </w:num>
  <w:num w:numId="540">
    <w:abstractNumId w:val="22"/>
  </w:num>
  <w:num w:numId="541">
    <w:abstractNumId w:val="905"/>
  </w:num>
  <w:num w:numId="542">
    <w:abstractNumId w:val="802"/>
  </w:num>
  <w:num w:numId="543">
    <w:abstractNumId w:val="1285"/>
  </w:num>
  <w:num w:numId="544">
    <w:abstractNumId w:val="343"/>
  </w:num>
  <w:num w:numId="545">
    <w:abstractNumId w:val="659"/>
  </w:num>
  <w:num w:numId="546">
    <w:abstractNumId w:val="720"/>
  </w:num>
  <w:num w:numId="547">
    <w:abstractNumId w:val="69"/>
  </w:num>
  <w:num w:numId="548">
    <w:abstractNumId w:val="1320"/>
  </w:num>
  <w:num w:numId="549">
    <w:abstractNumId w:val="1307"/>
  </w:num>
  <w:num w:numId="550">
    <w:abstractNumId w:val="455"/>
  </w:num>
  <w:num w:numId="551">
    <w:abstractNumId w:val="564"/>
  </w:num>
  <w:num w:numId="552">
    <w:abstractNumId w:val="676"/>
  </w:num>
  <w:num w:numId="553">
    <w:abstractNumId w:val="1069"/>
  </w:num>
  <w:num w:numId="554">
    <w:abstractNumId w:val="757"/>
  </w:num>
  <w:num w:numId="555">
    <w:abstractNumId w:val="1653"/>
  </w:num>
  <w:num w:numId="556">
    <w:abstractNumId w:val="743"/>
  </w:num>
  <w:num w:numId="557">
    <w:abstractNumId w:val="332"/>
  </w:num>
  <w:num w:numId="558">
    <w:abstractNumId w:val="44"/>
  </w:num>
  <w:num w:numId="559">
    <w:abstractNumId w:val="475"/>
  </w:num>
  <w:num w:numId="560">
    <w:abstractNumId w:val="115"/>
  </w:num>
  <w:num w:numId="561">
    <w:abstractNumId w:val="1050"/>
  </w:num>
  <w:num w:numId="562">
    <w:abstractNumId w:val="1620"/>
  </w:num>
  <w:num w:numId="563">
    <w:abstractNumId w:val="1540"/>
  </w:num>
  <w:num w:numId="564">
    <w:abstractNumId w:val="1384"/>
  </w:num>
  <w:num w:numId="565">
    <w:abstractNumId w:val="724"/>
  </w:num>
  <w:num w:numId="566">
    <w:abstractNumId w:val="1299"/>
  </w:num>
  <w:num w:numId="567">
    <w:abstractNumId w:val="1743"/>
  </w:num>
  <w:num w:numId="568">
    <w:abstractNumId w:val="1261"/>
  </w:num>
  <w:num w:numId="569">
    <w:abstractNumId w:val="399"/>
  </w:num>
  <w:num w:numId="570">
    <w:abstractNumId w:val="1035"/>
  </w:num>
  <w:num w:numId="571">
    <w:abstractNumId w:val="1180"/>
  </w:num>
  <w:num w:numId="572">
    <w:abstractNumId w:val="135"/>
  </w:num>
  <w:num w:numId="573">
    <w:abstractNumId w:val="1103"/>
  </w:num>
  <w:num w:numId="574">
    <w:abstractNumId w:val="1707"/>
  </w:num>
  <w:num w:numId="575">
    <w:abstractNumId w:val="628"/>
  </w:num>
  <w:num w:numId="576">
    <w:abstractNumId w:val="924"/>
  </w:num>
  <w:num w:numId="577">
    <w:abstractNumId w:val="1453"/>
  </w:num>
  <w:num w:numId="578">
    <w:abstractNumId w:val="1472"/>
  </w:num>
  <w:num w:numId="579">
    <w:abstractNumId w:val="608"/>
  </w:num>
  <w:num w:numId="580">
    <w:abstractNumId w:val="644"/>
  </w:num>
  <w:num w:numId="581">
    <w:abstractNumId w:val="14"/>
  </w:num>
  <w:num w:numId="582">
    <w:abstractNumId w:val="1820"/>
  </w:num>
  <w:num w:numId="583">
    <w:abstractNumId w:val="88"/>
  </w:num>
  <w:num w:numId="584">
    <w:abstractNumId w:val="311"/>
  </w:num>
  <w:num w:numId="585">
    <w:abstractNumId w:val="1157"/>
  </w:num>
  <w:num w:numId="586">
    <w:abstractNumId w:val="578"/>
  </w:num>
  <w:num w:numId="587">
    <w:abstractNumId w:val="469"/>
  </w:num>
  <w:num w:numId="588">
    <w:abstractNumId w:val="1761"/>
  </w:num>
  <w:num w:numId="589">
    <w:abstractNumId w:val="264"/>
  </w:num>
  <w:num w:numId="590">
    <w:abstractNumId w:val="657"/>
  </w:num>
  <w:num w:numId="591">
    <w:abstractNumId w:val="1151"/>
  </w:num>
  <w:num w:numId="592">
    <w:abstractNumId w:val="1402"/>
  </w:num>
  <w:num w:numId="593">
    <w:abstractNumId w:val="1763"/>
  </w:num>
  <w:num w:numId="594">
    <w:abstractNumId w:val="696"/>
  </w:num>
  <w:num w:numId="595">
    <w:abstractNumId w:val="817"/>
  </w:num>
  <w:num w:numId="596">
    <w:abstractNumId w:val="200"/>
  </w:num>
  <w:num w:numId="597">
    <w:abstractNumId w:val="64"/>
  </w:num>
  <w:num w:numId="598">
    <w:abstractNumId w:val="1372"/>
  </w:num>
  <w:num w:numId="599">
    <w:abstractNumId w:val="1220"/>
  </w:num>
  <w:num w:numId="600">
    <w:abstractNumId w:val="808"/>
  </w:num>
  <w:num w:numId="601">
    <w:abstractNumId w:val="1696"/>
  </w:num>
  <w:num w:numId="602">
    <w:abstractNumId w:val="1689"/>
  </w:num>
  <w:num w:numId="603">
    <w:abstractNumId w:val="1550"/>
  </w:num>
  <w:num w:numId="604">
    <w:abstractNumId w:val="1460"/>
  </w:num>
  <w:num w:numId="605">
    <w:abstractNumId w:val="1827"/>
  </w:num>
  <w:num w:numId="606">
    <w:abstractNumId w:val="1799"/>
  </w:num>
  <w:num w:numId="607">
    <w:abstractNumId w:val="815"/>
  </w:num>
  <w:num w:numId="608">
    <w:abstractNumId w:val="1213"/>
  </w:num>
  <w:num w:numId="609">
    <w:abstractNumId w:val="1140"/>
  </w:num>
  <w:num w:numId="610">
    <w:abstractNumId w:val="1842"/>
  </w:num>
  <w:num w:numId="611">
    <w:abstractNumId w:val="1719"/>
  </w:num>
  <w:num w:numId="612">
    <w:abstractNumId w:val="648"/>
  </w:num>
  <w:num w:numId="613">
    <w:abstractNumId w:val="30"/>
  </w:num>
  <w:num w:numId="614">
    <w:abstractNumId w:val="426"/>
  </w:num>
  <w:num w:numId="615">
    <w:abstractNumId w:val="613"/>
  </w:num>
  <w:num w:numId="616">
    <w:abstractNumId w:val="465"/>
  </w:num>
  <w:num w:numId="617">
    <w:abstractNumId w:val="625"/>
  </w:num>
  <w:num w:numId="618">
    <w:abstractNumId w:val="126"/>
  </w:num>
  <w:num w:numId="619">
    <w:abstractNumId w:val="504"/>
  </w:num>
  <w:num w:numId="620">
    <w:abstractNumId w:val="1253"/>
  </w:num>
  <w:num w:numId="621">
    <w:abstractNumId w:val="1529"/>
  </w:num>
  <w:num w:numId="622">
    <w:abstractNumId w:val="376"/>
  </w:num>
  <w:num w:numId="623">
    <w:abstractNumId w:val="1054"/>
  </w:num>
  <w:num w:numId="624">
    <w:abstractNumId w:val="1535"/>
  </w:num>
  <w:num w:numId="625">
    <w:abstractNumId w:val="1622"/>
  </w:num>
  <w:num w:numId="626">
    <w:abstractNumId w:val="1371"/>
  </w:num>
  <w:num w:numId="627">
    <w:abstractNumId w:val="501"/>
  </w:num>
  <w:num w:numId="628">
    <w:abstractNumId w:val="404"/>
  </w:num>
  <w:num w:numId="629">
    <w:abstractNumId w:val="984"/>
  </w:num>
  <w:num w:numId="630">
    <w:abstractNumId w:val="1174"/>
  </w:num>
  <w:num w:numId="631">
    <w:abstractNumId w:val="34"/>
  </w:num>
  <w:num w:numId="632">
    <w:abstractNumId w:val="1849"/>
  </w:num>
  <w:num w:numId="633">
    <w:abstractNumId w:val="101"/>
  </w:num>
  <w:num w:numId="634">
    <w:abstractNumId w:val="522"/>
  </w:num>
  <w:num w:numId="635">
    <w:abstractNumId w:val="84"/>
  </w:num>
  <w:num w:numId="636">
    <w:abstractNumId w:val="582"/>
  </w:num>
  <w:num w:numId="637">
    <w:abstractNumId w:val="1474"/>
  </w:num>
  <w:num w:numId="638">
    <w:abstractNumId w:val="1138"/>
  </w:num>
  <w:num w:numId="639">
    <w:abstractNumId w:val="321"/>
  </w:num>
  <w:num w:numId="640">
    <w:abstractNumId w:val="327"/>
  </w:num>
  <w:num w:numId="641">
    <w:abstractNumId w:val="503"/>
  </w:num>
  <w:num w:numId="642">
    <w:abstractNumId w:val="1156"/>
  </w:num>
  <w:num w:numId="643">
    <w:abstractNumId w:val="909"/>
  </w:num>
  <w:num w:numId="644">
    <w:abstractNumId w:val="595"/>
  </w:num>
  <w:num w:numId="645">
    <w:abstractNumId w:val="1832"/>
  </w:num>
  <w:num w:numId="646">
    <w:abstractNumId w:val="854"/>
  </w:num>
  <w:num w:numId="647">
    <w:abstractNumId w:val="151"/>
  </w:num>
  <w:num w:numId="648">
    <w:abstractNumId w:val="1792"/>
  </w:num>
  <w:num w:numId="649">
    <w:abstractNumId w:val="303"/>
  </w:num>
  <w:num w:numId="650">
    <w:abstractNumId w:val="295"/>
  </w:num>
  <w:num w:numId="651">
    <w:abstractNumId w:val="441"/>
  </w:num>
  <w:num w:numId="652">
    <w:abstractNumId w:val="759"/>
  </w:num>
  <w:num w:numId="653">
    <w:abstractNumId w:val="715"/>
  </w:num>
  <w:num w:numId="654">
    <w:abstractNumId w:val="437"/>
  </w:num>
  <w:num w:numId="655">
    <w:abstractNumId w:val="1221"/>
  </w:num>
  <w:num w:numId="656">
    <w:abstractNumId w:val="408"/>
  </w:num>
  <w:num w:numId="657">
    <w:abstractNumId w:val="1074"/>
  </w:num>
  <w:num w:numId="658">
    <w:abstractNumId w:val="1839"/>
  </w:num>
  <w:num w:numId="659">
    <w:abstractNumId w:val="156"/>
  </w:num>
  <w:num w:numId="660">
    <w:abstractNumId w:val="1604"/>
  </w:num>
  <w:num w:numId="661">
    <w:abstractNumId w:val="1127"/>
  </w:num>
  <w:num w:numId="662">
    <w:abstractNumId w:val="1682"/>
  </w:num>
  <w:num w:numId="663">
    <w:abstractNumId w:val="1744"/>
  </w:num>
  <w:num w:numId="664">
    <w:abstractNumId w:val="1349"/>
  </w:num>
  <w:num w:numId="665">
    <w:abstractNumId w:val="758"/>
  </w:num>
  <w:num w:numId="666">
    <w:abstractNumId w:val="1709"/>
  </w:num>
  <w:num w:numId="667">
    <w:abstractNumId w:val="458"/>
  </w:num>
  <w:num w:numId="668">
    <w:abstractNumId w:val="193"/>
  </w:num>
  <w:num w:numId="669">
    <w:abstractNumId w:val="351"/>
  </w:num>
  <w:num w:numId="670">
    <w:abstractNumId w:val="51"/>
  </w:num>
  <w:num w:numId="671">
    <w:abstractNumId w:val="972"/>
  </w:num>
  <w:num w:numId="672">
    <w:abstractNumId w:val="897"/>
  </w:num>
  <w:num w:numId="673">
    <w:abstractNumId w:val="1380"/>
  </w:num>
  <w:num w:numId="674">
    <w:abstractNumId w:val="1809"/>
  </w:num>
  <w:num w:numId="675">
    <w:abstractNumId w:val="1663"/>
  </w:num>
  <w:num w:numId="676">
    <w:abstractNumId w:val="460"/>
  </w:num>
  <w:num w:numId="677">
    <w:abstractNumId w:val="345"/>
  </w:num>
  <w:num w:numId="678">
    <w:abstractNumId w:val="489"/>
  </w:num>
  <w:num w:numId="679">
    <w:abstractNumId w:val="215"/>
  </w:num>
  <w:num w:numId="680">
    <w:abstractNumId w:val="1092"/>
  </w:num>
  <w:num w:numId="681">
    <w:abstractNumId w:val="255"/>
  </w:num>
  <w:num w:numId="682">
    <w:abstractNumId w:val="1219"/>
  </w:num>
  <w:num w:numId="683">
    <w:abstractNumId w:val="1416"/>
  </w:num>
  <w:num w:numId="684">
    <w:abstractNumId w:val="654"/>
  </w:num>
  <w:num w:numId="685">
    <w:abstractNumId w:val="1774"/>
  </w:num>
  <w:num w:numId="686">
    <w:abstractNumId w:val="398"/>
  </w:num>
  <w:num w:numId="687">
    <w:abstractNumId w:val="480"/>
  </w:num>
  <w:num w:numId="688">
    <w:abstractNumId w:val="1519"/>
  </w:num>
  <w:num w:numId="689">
    <w:abstractNumId w:val="1465"/>
  </w:num>
  <w:num w:numId="690">
    <w:abstractNumId w:val="1387"/>
  </w:num>
  <w:num w:numId="691">
    <w:abstractNumId w:val="1737"/>
  </w:num>
  <w:num w:numId="692">
    <w:abstractNumId w:val="495"/>
  </w:num>
  <w:num w:numId="693">
    <w:abstractNumId w:val="113"/>
  </w:num>
  <w:num w:numId="694">
    <w:abstractNumId w:val="451"/>
  </w:num>
  <w:num w:numId="695">
    <w:abstractNumId w:val="92"/>
  </w:num>
  <w:num w:numId="696">
    <w:abstractNumId w:val="1548"/>
  </w:num>
  <w:num w:numId="697">
    <w:abstractNumId w:val="371"/>
  </w:num>
  <w:num w:numId="698">
    <w:abstractNumId w:val="1431"/>
  </w:num>
  <w:num w:numId="699">
    <w:abstractNumId w:val="1189"/>
  </w:num>
  <w:num w:numId="700">
    <w:abstractNumId w:val="289"/>
  </w:num>
  <w:num w:numId="701">
    <w:abstractNumId w:val="619"/>
  </w:num>
  <w:num w:numId="702">
    <w:abstractNumId w:val="1141"/>
  </w:num>
  <w:num w:numId="703">
    <w:abstractNumId w:val="384"/>
  </w:num>
  <w:num w:numId="704">
    <w:abstractNumId w:val="1633"/>
  </w:num>
  <w:num w:numId="705">
    <w:abstractNumId w:val="1133"/>
  </w:num>
  <w:num w:numId="706">
    <w:abstractNumId w:val="31"/>
  </w:num>
  <w:num w:numId="707">
    <w:abstractNumId w:val="634"/>
  </w:num>
  <w:num w:numId="708">
    <w:abstractNumId w:val="1042"/>
  </w:num>
  <w:num w:numId="709">
    <w:abstractNumId w:val="1733"/>
  </w:num>
  <w:num w:numId="710">
    <w:abstractNumId w:val="774"/>
  </w:num>
  <w:num w:numId="711">
    <w:abstractNumId w:val="1833"/>
  </w:num>
  <w:num w:numId="712">
    <w:abstractNumId w:val="506"/>
  </w:num>
  <w:num w:numId="713">
    <w:abstractNumId w:val="1436"/>
  </w:num>
  <w:num w:numId="714">
    <w:abstractNumId w:val="631"/>
  </w:num>
  <w:num w:numId="715">
    <w:abstractNumId w:val="1347"/>
  </w:num>
  <w:num w:numId="716">
    <w:abstractNumId w:val="249"/>
  </w:num>
  <w:num w:numId="717">
    <w:abstractNumId w:val="1398"/>
  </w:num>
  <w:num w:numId="718">
    <w:abstractNumId w:val="123"/>
  </w:num>
  <w:num w:numId="719">
    <w:abstractNumId w:val="890"/>
  </w:num>
  <w:num w:numId="720">
    <w:abstractNumId w:val="745"/>
  </w:num>
  <w:num w:numId="721">
    <w:abstractNumId w:val="1581"/>
  </w:num>
  <w:num w:numId="722">
    <w:abstractNumId w:val="615"/>
  </w:num>
  <w:num w:numId="723">
    <w:abstractNumId w:val="266"/>
  </w:num>
  <w:num w:numId="724">
    <w:abstractNumId w:val="1857"/>
  </w:num>
  <w:num w:numId="725">
    <w:abstractNumId w:val="1374"/>
  </w:num>
  <w:num w:numId="726">
    <w:abstractNumId w:val="925"/>
  </w:num>
  <w:num w:numId="727">
    <w:abstractNumId w:val="1536"/>
  </w:num>
  <w:num w:numId="728">
    <w:abstractNumId w:val="826"/>
  </w:num>
  <w:num w:numId="729">
    <w:abstractNumId w:val="520"/>
  </w:num>
  <w:num w:numId="730">
    <w:abstractNumId w:val="809"/>
  </w:num>
  <w:num w:numId="731">
    <w:abstractNumId w:val="1419"/>
  </w:num>
  <w:num w:numId="732">
    <w:abstractNumId w:val="1408"/>
  </w:num>
  <w:num w:numId="733">
    <w:abstractNumId w:val="800"/>
  </w:num>
  <w:num w:numId="734">
    <w:abstractNumId w:val="1537"/>
  </w:num>
  <w:num w:numId="735">
    <w:abstractNumId w:val="1379"/>
  </w:num>
  <w:num w:numId="736">
    <w:abstractNumId w:val="1142"/>
  </w:num>
  <w:num w:numId="737">
    <w:abstractNumId w:val="1642"/>
  </w:num>
  <w:num w:numId="738">
    <w:abstractNumId w:val="768"/>
  </w:num>
  <w:num w:numId="739">
    <w:abstractNumId w:val="492"/>
  </w:num>
  <w:num w:numId="740">
    <w:abstractNumId w:val="87"/>
  </w:num>
  <w:num w:numId="741">
    <w:abstractNumId w:val="1085"/>
  </w:num>
  <w:num w:numId="742">
    <w:abstractNumId w:val="1533"/>
  </w:num>
  <w:num w:numId="743">
    <w:abstractNumId w:val="41"/>
  </w:num>
  <w:num w:numId="744">
    <w:abstractNumId w:val="188"/>
  </w:num>
  <w:num w:numId="745">
    <w:abstractNumId w:val="313"/>
  </w:num>
  <w:num w:numId="746">
    <w:abstractNumId w:val="1093"/>
  </w:num>
  <w:num w:numId="747">
    <w:abstractNumId w:val="538"/>
  </w:num>
  <w:num w:numId="748">
    <w:abstractNumId w:val="1496"/>
  </w:num>
  <w:num w:numId="749">
    <w:abstractNumId w:val="23"/>
  </w:num>
  <w:num w:numId="750">
    <w:abstractNumId w:val="1645"/>
  </w:num>
  <w:num w:numId="751">
    <w:abstractNumId w:val="419"/>
  </w:num>
  <w:num w:numId="752">
    <w:abstractNumId w:val="1169"/>
  </w:num>
  <w:num w:numId="753">
    <w:abstractNumId w:val="1057"/>
  </w:num>
  <w:num w:numId="754">
    <w:abstractNumId w:val="1184"/>
  </w:num>
  <w:num w:numId="755">
    <w:abstractNumId w:val="559"/>
  </w:num>
  <w:num w:numId="756">
    <w:abstractNumId w:val="214"/>
  </w:num>
  <w:num w:numId="757">
    <w:abstractNumId w:val="941"/>
  </w:num>
  <w:num w:numId="758">
    <w:abstractNumId w:val="1228"/>
  </w:num>
  <w:num w:numId="759">
    <w:abstractNumId w:val="912"/>
  </w:num>
  <w:num w:numId="760">
    <w:abstractNumId w:val="1084"/>
  </w:num>
  <w:num w:numId="761">
    <w:abstractNumId w:val="1736"/>
  </w:num>
  <w:num w:numId="762">
    <w:abstractNumId w:val="184"/>
  </w:num>
  <w:num w:numId="763">
    <w:abstractNumId w:val="783"/>
  </w:num>
  <w:num w:numId="764">
    <w:abstractNumId w:val="1273"/>
  </w:num>
  <w:num w:numId="765">
    <w:abstractNumId w:val="1338"/>
  </w:num>
  <w:num w:numId="766">
    <w:abstractNumId w:val="692"/>
  </w:num>
  <w:num w:numId="767">
    <w:abstractNumId w:val="855"/>
  </w:num>
  <w:num w:numId="768">
    <w:abstractNumId w:val="1486"/>
  </w:num>
  <w:num w:numId="769">
    <w:abstractNumId w:val="323"/>
  </w:num>
  <w:num w:numId="770">
    <w:abstractNumId w:val="722"/>
  </w:num>
  <w:num w:numId="771">
    <w:abstractNumId w:val="797"/>
  </w:num>
  <w:num w:numId="772">
    <w:abstractNumId w:val="1769"/>
  </w:num>
  <w:num w:numId="773">
    <w:abstractNumId w:val="917"/>
  </w:num>
  <w:num w:numId="774">
    <w:abstractNumId w:val="1116"/>
  </w:num>
  <w:num w:numId="775">
    <w:abstractNumId w:val="704"/>
  </w:num>
  <w:num w:numId="776">
    <w:abstractNumId w:val="159"/>
  </w:num>
  <w:num w:numId="777">
    <w:abstractNumId w:val="1664"/>
  </w:num>
  <w:num w:numId="778">
    <w:abstractNumId w:val="891"/>
  </w:num>
  <w:num w:numId="779">
    <w:abstractNumId w:val="1575"/>
  </w:num>
  <w:num w:numId="780">
    <w:abstractNumId w:val="1525"/>
  </w:num>
  <w:num w:numId="781">
    <w:abstractNumId w:val="1843"/>
  </w:num>
  <w:num w:numId="782">
    <w:abstractNumId w:val="1685"/>
  </w:num>
  <w:num w:numId="783">
    <w:abstractNumId w:val="394"/>
  </w:num>
  <w:num w:numId="784">
    <w:abstractNumId w:val="199"/>
  </w:num>
  <w:num w:numId="785">
    <w:abstractNumId w:val="546"/>
  </w:num>
  <w:num w:numId="786">
    <w:abstractNumId w:val="610"/>
  </w:num>
  <w:num w:numId="787">
    <w:abstractNumId w:val="531"/>
  </w:num>
  <w:num w:numId="788">
    <w:abstractNumId w:val="21"/>
  </w:num>
  <w:num w:numId="789">
    <w:abstractNumId w:val="433"/>
  </w:num>
  <w:num w:numId="790">
    <w:abstractNumId w:val="1681"/>
  </w:num>
  <w:num w:numId="791">
    <w:abstractNumId w:val="55"/>
  </w:num>
  <w:num w:numId="792">
    <w:abstractNumId w:val="347"/>
  </w:num>
  <w:num w:numId="793">
    <w:abstractNumId w:val="124"/>
  </w:num>
  <w:num w:numId="794">
    <w:abstractNumId w:val="1316"/>
  </w:num>
  <w:num w:numId="795">
    <w:abstractNumId w:val="1214"/>
  </w:num>
  <w:num w:numId="796">
    <w:abstractNumId w:val="111"/>
  </w:num>
  <w:num w:numId="797">
    <w:abstractNumId w:val="945"/>
  </w:num>
  <w:num w:numId="798">
    <w:abstractNumId w:val="39"/>
  </w:num>
  <w:num w:numId="799">
    <w:abstractNumId w:val="756"/>
  </w:num>
  <w:num w:numId="800">
    <w:abstractNumId w:val="952"/>
  </w:num>
  <w:num w:numId="801">
    <w:abstractNumId w:val="1135"/>
  </w:num>
  <w:num w:numId="802">
    <w:abstractNumId w:val="1654"/>
  </w:num>
  <w:num w:numId="803">
    <w:abstractNumId w:val="1545"/>
  </w:num>
  <w:num w:numId="804">
    <w:abstractNumId w:val="1625"/>
  </w:num>
  <w:num w:numId="805">
    <w:abstractNumId w:val="148"/>
  </w:num>
  <w:num w:numId="806">
    <w:abstractNumId w:val="1753"/>
  </w:num>
  <w:num w:numId="807">
    <w:abstractNumId w:val="1676"/>
  </w:num>
  <w:num w:numId="808">
    <w:abstractNumId w:val="186"/>
  </w:num>
  <w:num w:numId="809">
    <w:abstractNumId w:val="168"/>
  </w:num>
  <w:num w:numId="810">
    <w:abstractNumId w:val="1366"/>
  </w:num>
  <w:num w:numId="811">
    <w:abstractNumId w:val="307"/>
  </w:num>
  <w:num w:numId="812">
    <w:abstractNumId w:val="18"/>
  </w:num>
  <w:num w:numId="813">
    <w:abstractNumId w:val="1817"/>
  </w:num>
  <w:num w:numId="814">
    <w:abstractNumId w:val="985"/>
  </w:num>
  <w:num w:numId="815">
    <w:abstractNumId w:val="1668"/>
  </w:num>
  <w:num w:numId="816">
    <w:abstractNumId w:val="652"/>
  </w:num>
  <w:num w:numId="817">
    <w:abstractNumId w:val="1675"/>
  </w:num>
  <w:num w:numId="818">
    <w:abstractNumId w:val="1159"/>
  </w:num>
  <w:num w:numId="819">
    <w:abstractNumId w:val="494"/>
  </w:num>
  <w:num w:numId="820">
    <w:abstractNumId w:val="1001"/>
  </w:num>
  <w:num w:numId="821">
    <w:abstractNumId w:val="1595"/>
  </w:num>
  <w:num w:numId="822">
    <w:abstractNumId w:val="981"/>
  </w:num>
  <w:num w:numId="823">
    <w:abstractNumId w:val="547"/>
  </w:num>
  <w:num w:numId="824">
    <w:abstractNumId w:val="216"/>
  </w:num>
  <w:num w:numId="825">
    <w:abstractNumId w:val="102"/>
  </w:num>
  <w:num w:numId="826">
    <w:abstractNumId w:val="1455"/>
  </w:num>
  <w:num w:numId="827">
    <w:abstractNumId w:val="1582"/>
  </w:num>
  <w:num w:numId="828">
    <w:abstractNumId w:val="847"/>
  </w:num>
  <w:num w:numId="829">
    <w:abstractNumId w:val="138"/>
  </w:num>
  <w:num w:numId="830">
    <w:abstractNumId w:val="1501"/>
  </w:num>
  <w:num w:numId="831">
    <w:abstractNumId w:val="841"/>
  </w:num>
  <w:num w:numId="832">
    <w:abstractNumId w:val="1241"/>
  </w:num>
  <w:num w:numId="833">
    <w:abstractNumId w:val="1539"/>
  </w:num>
  <w:num w:numId="834">
    <w:abstractNumId w:val="975"/>
  </w:num>
  <w:num w:numId="835">
    <w:abstractNumId w:val="1487"/>
  </w:num>
  <w:num w:numId="836">
    <w:abstractNumId w:val="1583"/>
  </w:num>
  <w:num w:numId="837">
    <w:abstractNumId w:val="1454"/>
  </w:num>
  <w:num w:numId="838">
    <w:abstractNumId w:val="524"/>
  </w:num>
  <w:num w:numId="839">
    <w:abstractNumId w:val="601"/>
  </w:num>
  <w:num w:numId="840">
    <w:abstractNumId w:val="1773"/>
  </w:num>
  <w:num w:numId="841">
    <w:abstractNumId w:val="805"/>
  </w:num>
  <w:num w:numId="842">
    <w:abstractNumId w:val="1388"/>
  </w:num>
  <w:num w:numId="843">
    <w:abstractNumId w:val="406"/>
  </w:num>
  <w:num w:numId="844">
    <w:abstractNumId w:val="1206"/>
  </w:num>
  <w:num w:numId="845">
    <w:abstractNumId w:val="549"/>
  </w:num>
  <w:num w:numId="846">
    <w:abstractNumId w:val="603"/>
  </w:num>
  <w:num w:numId="847">
    <w:abstractNumId w:val="991"/>
  </w:num>
  <w:num w:numId="848">
    <w:abstractNumId w:val="1317"/>
  </w:num>
  <w:num w:numId="849">
    <w:abstractNumId w:val="1554"/>
  </w:num>
  <w:num w:numId="850">
    <w:abstractNumId w:val="866"/>
  </w:num>
  <w:num w:numId="851">
    <w:abstractNumId w:val="1270"/>
  </w:num>
  <w:num w:numId="852">
    <w:abstractNumId w:val="1674"/>
  </w:num>
  <w:num w:numId="853">
    <w:abstractNumId w:val="650"/>
  </w:num>
  <w:num w:numId="854">
    <w:abstractNumId w:val="1854"/>
  </w:num>
  <w:num w:numId="855">
    <w:abstractNumId w:val="1450"/>
  </w:num>
  <w:num w:numId="856">
    <w:abstractNumId w:val="241"/>
  </w:num>
  <w:num w:numId="857">
    <w:abstractNumId w:val="1557"/>
  </w:num>
  <w:num w:numId="858">
    <w:abstractNumId w:val="1053"/>
  </w:num>
  <w:num w:numId="859">
    <w:abstractNumId w:val="1199"/>
  </w:num>
  <w:num w:numId="860">
    <w:abstractNumId w:val="1491"/>
  </w:num>
  <w:num w:numId="861">
    <w:abstractNumId w:val="1424"/>
  </w:num>
  <w:num w:numId="862">
    <w:abstractNumId w:val="1558"/>
  </w:num>
  <w:num w:numId="863">
    <w:abstractNumId w:val="449"/>
  </w:num>
  <w:num w:numId="864">
    <w:abstractNumId w:val="273"/>
  </w:num>
  <w:num w:numId="865">
    <w:abstractNumId w:val="36"/>
  </w:num>
  <w:num w:numId="866">
    <w:abstractNumId w:val="982"/>
  </w:num>
  <w:num w:numId="867">
    <w:abstractNumId w:val="1721"/>
  </w:num>
  <w:num w:numId="868">
    <w:abstractNumId w:val="629"/>
  </w:num>
  <w:num w:numId="869">
    <w:abstractNumId w:val="170"/>
  </w:num>
  <w:num w:numId="870">
    <w:abstractNumId w:val="218"/>
  </w:num>
  <w:num w:numId="871">
    <w:abstractNumId w:val="120"/>
  </w:num>
  <w:num w:numId="872">
    <w:abstractNumId w:val="662"/>
  </w:num>
  <w:num w:numId="873">
    <w:abstractNumId w:val="143"/>
  </w:num>
  <w:num w:numId="874">
    <w:abstractNumId w:val="1040"/>
  </w:num>
  <w:num w:numId="875">
    <w:abstractNumId w:val="579"/>
  </w:num>
  <w:num w:numId="876">
    <w:abstractNumId w:val="734"/>
  </w:num>
  <w:num w:numId="877">
    <w:abstractNumId w:val="525"/>
  </w:num>
  <w:num w:numId="878">
    <w:abstractNumId w:val="1802"/>
  </w:num>
  <w:num w:numId="879">
    <w:abstractNumId w:val="292"/>
  </w:num>
  <w:num w:numId="880">
    <w:abstractNumId w:val="990"/>
  </w:num>
  <w:num w:numId="881">
    <w:abstractNumId w:val="72"/>
  </w:num>
  <w:num w:numId="882">
    <w:abstractNumId w:val="794"/>
  </w:num>
  <w:num w:numId="883">
    <w:abstractNumId w:val="533"/>
  </w:num>
  <w:num w:numId="884">
    <w:abstractNumId w:val="1381"/>
  </w:num>
  <w:num w:numId="885">
    <w:abstractNumId w:val="1200"/>
  </w:num>
  <w:num w:numId="886">
    <w:abstractNumId w:val="1789"/>
  </w:num>
  <w:num w:numId="887">
    <w:abstractNumId w:val="1704"/>
  </w:num>
  <w:num w:numId="888">
    <w:abstractNumId w:val="1608"/>
  </w:num>
  <w:num w:numId="889">
    <w:abstractNumId w:val="1603"/>
  </w:num>
  <w:num w:numId="890">
    <w:abstractNumId w:val="1637"/>
  </w:num>
  <w:num w:numId="891">
    <w:abstractNumId w:val="1796"/>
  </w:num>
  <w:num w:numId="892">
    <w:abstractNumId w:val="938"/>
  </w:num>
  <w:num w:numId="893">
    <w:abstractNumId w:val="1782"/>
  </w:num>
  <w:num w:numId="894">
    <w:abstractNumId w:val="769"/>
  </w:num>
  <w:num w:numId="895">
    <w:abstractNumId w:val="390"/>
  </w:num>
  <w:num w:numId="896">
    <w:abstractNumId w:val="1265"/>
  </w:num>
  <w:num w:numId="897">
    <w:abstractNumId w:val="1722"/>
  </w:num>
  <w:num w:numId="898">
    <w:abstractNumId w:val="1485"/>
  </w:num>
  <w:num w:numId="899">
    <w:abstractNumId w:val="97"/>
  </w:num>
  <w:num w:numId="900">
    <w:abstractNumId w:val="252"/>
  </w:num>
  <w:num w:numId="901">
    <w:abstractNumId w:val="908"/>
  </w:num>
  <w:num w:numId="902">
    <w:abstractNumId w:val="362"/>
  </w:num>
  <w:num w:numId="903">
    <w:abstractNumId w:val="780"/>
  </w:num>
  <w:num w:numId="904">
    <w:abstractNumId w:val="1650"/>
  </w:num>
  <w:num w:numId="905">
    <w:abstractNumId w:val="1444"/>
  </w:num>
  <w:num w:numId="906">
    <w:abstractNumId w:val="1553"/>
  </w:num>
  <w:num w:numId="907">
    <w:abstractNumId w:val="1790"/>
  </w:num>
  <w:num w:numId="908">
    <w:abstractNumId w:val="568"/>
  </w:num>
  <w:num w:numId="909">
    <w:abstractNumId w:val="623"/>
  </w:num>
  <w:num w:numId="910">
    <w:abstractNumId w:val="695"/>
  </w:num>
  <w:num w:numId="911">
    <w:abstractNumId w:val="1105"/>
  </w:num>
  <w:num w:numId="912">
    <w:abstractNumId w:val="20"/>
  </w:num>
  <w:num w:numId="913">
    <w:abstractNumId w:val="1853"/>
  </w:num>
  <w:num w:numId="914">
    <w:abstractNumId w:val="1337"/>
  </w:num>
  <w:num w:numId="915">
    <w:abstractNumId w:val="75"/>
  </w:num>
  <w:num w:numId="916">
    <w:abstractNumId w:val="263"/>
  </w:num>
  <w:num w:numId="917">
    <w:abstractNumId w:val="1508"/>
  </w:num>
  <w:num w:numId="918">
    <w:abstractNumId w:val="336"/>
  </w:num>
  <w:num w:numId="919">
    <w:abstractNumId w:val="1468"/>
  </w:num>
  <w:num w:numId="920">
    <w:abstractNumId w:val="1688"/>
  </w:num>
  <w:num w:numId="921">
    <w:abstractNumId w:val="244"/>
  </w:num>
  <w:num w:numId="922">
    <w:abstractNumId w:val="519"/>
  </w:num>
  <w:num w:numId="923">
    <w:abstractNumId w:val="1850"/>
  </w:num>
  <w:num w:numId="924">
    <w:abstractNumId w:val="587"/>
  </w:num>
  <w:num w:numId="925">
    <w:abstractNumId w:val="63"/>
  </w:num>
  <w:num w:numId="926">
    <w:abstractNumId w:val="1762"/>
  </w:num>
  <w:num w:numId="927">
    <w:abstractNumId w:val="1051"/>
  </w:num>
  <w:num w:numId="928">
    <w:abstractNumId w:val="1781"/>
  </w:num>
  <w:num w:numId="929">
    <w:abstractNumId w:val="1409"/>
  </w:num>
  <w:num w:numId="930">
    <w:abstractNumId w:val="1712"/>
  </w:num>
  <w:num w:numId="931">
    <w:abstractNumId w:val="675"/>
  </w:num>
  <w:num w:numId="932">
    <w:abstractNumId w:val="976"/>
  </w:num>
  <w:num w:numId="933">
    <w:abstractNumId w:val="929"/>
  </w:num>
  <w:num w:numId="934">
    <w:abstractNumId w:val="685"/>
  </w:num>
  <w:num w:numId="935">
    <w:abstractNumId w:val="712"/>
  </w:num>
  <w:num w:numId="936">
    <w:abstractNumId w:val="182"/>
  </w:num>
  <w:num w:numId="937">
    <w:abstractNumId w:val="1461"/>
  </w:num>
  <w:num w:numId="938">
    <w:abstractNumId w:val="1748"/>
  </w:num>
  <w:num w:numId="939">
    <w:abstractNumId w:val="93"/>
  </w:num>
  <w:num w:numId="940">
    <w:abstractNumId w:val="1571"/>
  </w:num>
  <w:num w:numId="941">
    <w:abstractNumId w:val="1590"/>
  </w:num>
  <w:num w:numId="942">
    <w:abstractNumId w:val="970"/>
  </w:num>
  <w:num w:numId="943">
    <w:abstractNumId w:val="786"/>
  </w:num>
  <w:num w:numId="944">
    <w:abstractNumId w:val="563"/>
  </w:num>
  <w:num w:numId="945">
    <w:abstractNumId w:val="1344"/>
  </w:num>
  <w:num w:numId="946">
    <w:abstractNumId w:val="497"/>
  </w:num>
  <w:num w:numId="947">
    <w:abstractNumId w:val="544"/>
  </w:num>
  <w:num w:numId="948">
    <w:abstractNumId w:val="948"/>
  </w:num>
  <w:num w:numId="949">
    <w:abstractNumId w:val="1643"/>
  </w:num>
  <w:num w:numId="950">
    <w:abstractNumId w:val="1129"/>
  </w:num>
  <w:num w:numId="951">
    <w:abstractNumId w:val="680"/>
  </w:num>
  <w:num w:numId="952">
    <w:abstractNumId w:val="1321"/>
  </w:num>
  <w:num w:numId="953">
    <w:abstractNumId w:val="282"/>
  </w:num>
  <w:num w:numId="954">
    <w:abstractNumId w:val="1826"/>
  </w:num>
  <w:num w:numId="955">
    <w:abstractNumId w:val="1687"/>
  </w:num>
  <w:num w:numId="956">
    <w:abstractNumId w:val="457"/>
  </w:num>
  <w:num w:numId="957">
    <w:abstractNumId w:val="740"/>
  </w:num>
  <w:num w:numId="958">
    <w:abstractNumId w:val="846"/>
  </w:num>
  <w:num w:numId="959">
    <w:abstractNumId w:val="141"/>
  </w:num>
  <w:num w:numId="960">
    <w:abstractNumId w:val="541"/>
  </w:num>
  <w:num w:numId="961">
    <w:abstractNumId w:val="1021"/>
  </w:num>
  <w:num w:numId="962">
    <w:abstractNumId w:val="620"/>
  </w:num>
  <w:num w:numId="963">
    <w:abstractNumId w:val="152"/>
  </w:num>
  <w:num w:numId="964">
    <w:abstractNumId w:val="425"/>
  </w:num>
  <w:num w:numId="965">
    <w:abstractNumId w:val="283"/>
  </w:num>
  <w:num w:numId="966">
    <w:abstractNumId w:val="1293"/>
  </w:num>
  <w:num w:numId="967">
    <w:abstractNumId w:val="1162"/>
  </w:num>
  <w:num w:numId="968">
    <w:abstractNumId w:val="1393"/>
  </w:num>
  <w:num w:numId="969">
    <w:abstractNumId w:val="778"/>
  </w:num>
  <w:num w:numId="970">
    <w:abstractNumId w:val="1680"/>
  </w:num>
  <w:num w:numId="971">
    <w:abstractNumId w:val="1629"/>
  </w:num>
  <w:num w:numId="972">
    <w:abstractNumId w:val="1301"/>
  </w:num>
  <w:num w:numId="973">
    <w:abstractNumId w:val="1725"/>
  </w:num>
  <w:num w:numId="974">
    <w:abstractNumId w:val="611"/>
  </w:num>
  <w:num w:numId="975">
    <w:abstractNumId w:val="1164"/>
  </w:num>
  <w:num w:numId="976">
    <w:abstractNumId w:val="29"/>
  </w:num>
  <w:num w:numId="977">
    <w:abstractNumId w:val="718"/>
  </w:num>
  <w:num w:numId="978">
    <w:abstractNumId w:val="1404"/>
  </w:num>
  <w:num w:numId="979">
    <w:abstractNumId w:val="1089"/>
  </w:num>
  <w:num w:numId="980">
    <w:abstractNumId w:val="1031"/>
  </w:num>
  <w:num w:numId="981">
    <w:abstractNumId w:val="1334"/>
  </w:num>
  <w:num w:numId="982">
    <w:abstractNumId w:val="1731"/>
  </w:num>
  <w:num w:numId="983">
    <w:abstractNumId w:val="607"/>
  </w:num>
  <w:num w:numId="984">
    <w:abstractNumId w:val="543"/>
  </w:num>
  <w:num w:numId="985">
    <w:abstractNumId w:val="1232"/>
  </w:num>
  <w:num w:numId="986">
    <w:abstractNumId w:val="1822"/>
  </w:num>
  <w:num w:numId="987">
    <w:abstractNumId w:val="1158"/>
  </w:num>
  <w:num w:numId="988">
    <w:abstractNumId w:val="865"/>
  </w:num>
  <w:num w:numId="989">
    <w:abstractNumId w:val="677"/>
  </w:num>
  <w:num w:numId="990">
    <w:abstractNumId w:val="1191"/>
  </w:num>
  <w:num w:numId="991">
    <w:abstractNumId w:val="1028"/>
  </w:num>
  <w:num w:numId="992">
    <w:abstractNumId w:val="254"/>
  </w:num>
  <w:num w:numId="993">
    <w:abstractNumId w:val="1716"/>
  </w:num>
  <w:num w:numId="994">
    <w:abstractNumId w:val="1699"/>
  </w:num>
  <w:num w:numId="995">
    <w:abstractNumId w:val="310"/>
  </w:num>
  <w:num w:numId="996">
    <w:abstractNumId w:val="785"/>
  </w:num>
  <w:num w:numId="997">
    <w:abstractNumId w:val="142"/>
  </w:num>
  <w:num w:numId="998">
    <w:abstractNumId w:val="1277"/>
  </w:num>
  <w:num w:numId="999">
    <w:abstractNumId w:val="302"/>
  </w:num>
  <w:num w:numId="1000">
    <w:abstractNumId w:val="299"/>
  </w:num>
  <w:num w:numId="1001">
    <w:abstractNumId w:val="274"/>
  </w:num>
  <w:num w:numId="1002">
    <w:abstractNumId w:val="792"/>
  </w:num>
  <w:num w:numId="1003">
    <w:abstractNumId w:val="590"/>
  </w:num>
  <w:num w:numId="1004">
    <w:abstractNumId w:val="600"/>
  </w:num>
  <w:num w:numId="1005">
    <w:abstractNumId w:val="1532"/>
  </w:num>
  <w:num w:numId="1006">
    <w:abstractNumId w:val="344"/>
  </w:num>
  <w:num w:numId="1007">
    <w:abstractNumId w:val="1858"/>
  </w:num>
  <w:num w:numId="1008">
    <w:abstractNumId w:val="1087"/>
  </w:num>
  <w:num w:numId="1009">
    <w:abstractNumId w:val="374"/>
  </w:num>
  <w:num w:numId="1010">
    <w:abstractNumId w:val="337"/>
  </w:num>
  <w:num w:numId="1011">
    <w:abstractNumId w:val="1617"/>
  </w:num>
  <w:num w:numId="1012">
    <w:abstractNumId w:val="1306"/>
  </w:num>
  <w:num w:numId="1013">
    <w:abstractNumId w:val="58"/>
  </w:num>
  <w:num w:numId="1014">
    <w:abstractNumId w:val="133"/>
  </w:num>
  <w:num w:numId="1015">
    <w:abstractNumId w:val="1090"/>
  </w:num>
  <w:num w:numId="1016">
    <w:abstractNumId w:val="100"/>
  </w:num>
  <w:num w:numId="1017">
    <w:abstractNumId w:val="79"/>
  </w:num>
  <w:num w:numId="1018">
    <w:abstractNumId w:val="381"/>
  </w:num>
  <w:num w:numId="1019">
    <w:abstractNumId w:val="1677"/>
  </w:num>
  <w:num w:numId="1020">
    <w:abstractNumId w:val="1284"/>
  </w:num>
  <w:num w:numId="1021">
    <w:abstractNumId w:val="318"/>
  </w:num>
  <w:num w:numId="1022">
    <w:abstractNumId w:val="230"/>
  </w:num>
  <w:num w:numId="1023">
    <w:abstractNumId w:val="537"/>
  </w:num>
  <w:num w:numId="1024">
    <w:abstractNumId w:val="1255"/>
  </w:num>
  <w:num w:numId="1025">
    <w:abstractNumId w:val="892"/>
  </w:num>
  <w:num w:numId="1026">
    <w:abstractNumId w:val="721"/>
  </w:num>
  <w:num w:numId="1027">
    <w:abstractNumId w:val="1291"/>
  </w:num>
  <w:num w:numId="1028">
    <w:abstractNumId w:val="1656"/>
  </w:num>
  <w:num w:numId="1029">
    <w:abstractNumId w:val="1425"/>
  </w:num>
  <w:num w:numId="1030">
    <w:abstractNumId w:val="154"/>
  </w:num>
  <w:num w:numId="1031">
    <w:abstractNumId w:val="593"/>
  </w:num>
  <w:num w:numId="1032">
    <w:abstractNumId w:val="1752"/>
  </w:num>
  <w:num w:numId="1033">
    <w:abstractNumId w:val="1005"/>
  </w:num>
  <w:num w:numId="1034">
    <w:abstractNumId w:val="355"/>
  </w:num>
  <w:num w:numId="1035">
    <w:abstractNumId w:val="1014"/>
  </w:num>
  <w:num w:numId="1036">
    <w:abstractNumId w:val="1058"/>
  </w:num>
  <w:num w:numId="1037">
    <w:abstractNumId w:val="428"/>
  </w:num>
  <w:num w:numId="1038">
    <w:abstractNumId w:val="1800"/>
  </w:num>
  <w:num w:numId="1039">
    <w:abstractNumId w:val="301"/>
  </w:num>
  <w:num w:numId="1040">
    <w:abstractNumId w:val="1"/>
  </w:num>
  <w:num w:numId="1041">
    <w:abstractNumId w:val="1149"/>
  </w:num>
  <w:num w:numId="1042">
    <w:abstractNumId w:val="1119"/>
  </w:num>
  <w:num w:numId="1043">
    <w:abstractNumId w:val="1848"/>
  </w:num>
  <w:num w:numId="1044">
    <w:abstractNumId w:val="1635"/>
  </w:num>
  <w:num w:numId="1045">
    <w:abstractNumId w:val="271"/>
  </w:num>
  <w:num w:numId="1046">
    <w:abstractNumId w:val="851"/>
  </w:num>
  <w:num w:numId="1047">
    <w:abstractNumId w:val="1449"/>
  </w:num>
  <w:num w:numId="1048">
    <w:abstractNumId w:val="1771"/>
  </w:num>
  <w:num w:numId="1049">
    <w:abstractNumId w:val="94"/>
  </w:num>
  <w:num w:numId="1050">
    <w:abstractNumId w:val="1746"/>
  </w:num>
  <w:num w:numId="1051">
    <w:abstractNumId w:val="1670"/>
  </w:num>
  <w:num w:numId="1052">
    <w:abstractNumId w:val="523"/>
  </w:num>
  <w:num w:numId="1053">
    <w:abstractNumId w:val="477"/>
  </w:num>
  <w:num w:numId="1054">
    <w:abstractNumId w:val="776"/>
  </w:num>
  <w:num w:numId="1055">
    <w:abstractNumId w:val="645"/>
  </w:num>
  <w:num w:numId="1056">
    <w:abstractNumId w:val="448"/>
  </w:num>
  <w:num w:numId="1057">
    <w:abstractNumId w:val="921"/>
  </w:num>
  <w:num w:numId="1058">
    <w:abstractNumId w:val="160"/>
  </w:num>
  <w:num w:numId="1059">
    <w:abstractNumId w:val="1601"/>
  </w:num>
  <w:num w:numId="1060">
    <w:abstractNumId w:val="1726"/>
  </w:num>
  <w:num w:numId="1061">
    <w:abstractNumId w:val="191"/>
  </w:num>
  <w:num w:numId="1062">
    <w:abstractNumId w:val="1026"/>
  </w:num>
  <w:num w:numId="1063">
    <w:abstractNumId w:val="1012"/>
  </w:num>
  <w:num w:numId="1064">
    <w:abstractNumId w:val="516"/>
  </w:num>
  <w:num w:numId="1065">
    <w:abstractNumId w:val="1368"/>
  </w:num>
  <w:num w:numId="1066">
    <w:abstractNumId w:val="1143"/>
  </w:num>
  <w:num w:numId="1067">
    <w:abstractNumId w:val="1045"/>
  </w:num>
  <w:num w:numId="1068">
    <w:abstractNumId w:val="820"/>
  </w:num>
  <w:num w:numId="1069">
    <w:abstractNumId w:val="471"/>
  </w:num>
  <w:num w:numId="1070">
    <w:abstractNumId w:val="380"/>
  </w:num>
  <w:num w:numId="1071">
    <w:abstractNumId w:val="1364"/>
  </w:num>
  <w:num w:numId="1072">
    <w:abstractNumId w:val="65"/>
  </w:num>
  <w:num w:numId="1073">
    <w:abstractNumId w:val="679"/>
  </w:num>
  <w:num w:numId="1074">
    <w:abstractNumId w:val="269"/>
  </w:num>
  <w:num w:numId="1075">
    <w:abstractNumId w:val="896"/>
  </w:num>
  <w:num w:numId="1076">
    <w:abstractNumId w:val="914"/>
  </w:num>
  <w:num w:numId="1077">
    <w:abstractNumId w:val="174"/>
  </w:num>
  <w:num w:numId="1078">
    <w:abstractNumId w:val="442"/>
  </w:num>
  <w:num w:numId="1079">
    <w:abstractNumId w:val="961"/>
  </w:num>
  <w:num w:numId="1080">
    <w:abstractNumId w:val="1851"/>
  </w:num>
  <w:num w:numId="1081">
    <w:abstractNumId w:val="1437"/>
  </w:num>
  <w:num w:numId="1082">
    <w:abstractNumId w:val="1541"/>
  </w:num>
  <w:num w:numId="1083">
    <w:abstractNumId w:val="775"/>
  </w:num>
  <w:num w:numId="1084">
    <w:abstractNumId w:val="1478"/>
  </w:num>
  <w:num w:numId="1085">
    <w:abstractNumId w:val="748"/>
  </w:num>
  <w:num w:numId="1086">
    <w:abstractNumId w:val="90"/>
  </w:num>
  <w:num w:numId="1087">
    <w:abstractNumId w:val="1764"/>
  </w:num>
  <w:num w:numId="1088">
    <w:abstractNumId w:val="1740"/>
  </w:num>
  <w:num w:numId="1089">
    <w:abstractNumId w:val="325"/>
  </w:num>
  <w:num w:numId="1090">
    <w:abstractNumId w:val="1756"/>
  </w:num>
  <w:num w:numId="1091">
    <w:abstractNumId w:val="943"/>
  </w:num>
  <w:num w:numId="1092">
    <w:abstractNumId w:val="163"/>
  </w:num>
  <w:num w:numId="1093">
    <w:abstractNumId w:val="698"/>
  </w:num>
  <w:num w:numId="1094">
    <w:abstractNumId w:val="1418"/>
  </w:num>
  <w:num w:numId="1095">
    <w:abstractNumId w:val="940"/>
  </w:num>
  <w:num w:numId="1096">
    <w:abstractNumId w:val="109"/>
  </w:num>
  <w:num w:numId="1097">
    <w:abstractNumId w:val="1469"/>
  </w:num>
  <w:num w:numId="1098">
    <w:abstractNumId w:val="1096"/>
  </w:num>
  <w:num w:numId="1099">
    <w:abstractNumId w:val="1831"/>
  </w:num>
  <w:num w:numId="1100">
    <w:abstractNumId w:val="309"/>
  </w:num>
  <w:num w:numId="1101">
    <w:abstractNumId w:val="732"/>
  </w:num>
  <w:num w:numId="1102">
    <w:abstractNumId w:val="887"/>
  </w:num>
  <w:num w:numId="1103">
    <w:abstractNumId w:val="1020"/>
  </w:num>
  <w:num w:numId="1104">
    <w:abstractNumId w:val="348"/>
  </w:num>
  <w:num w:numId="1105">
    <w:abstractNumId w:val="122"/>
  </w:num>
  <w:num w:numId="1106">
    <w:abstractNumId w:val="913"/>
  </w:num>
  <w:num w:numId="1107">
    <w:abstractNumId w:val="879"/>
  </w:num>
  <w:num w:numId="1108">
    <w:abstractNumId w:val="407"/>
  </w:num>
  <w:num w:numId="1109">
    <w:abstractNumId w:val="735"/>
  </w:num>
  <w:num w:numId="1110">
    <w:abstractNumId w:val="1183"/>
  </w:num>
  <w:num w:numId="1111">
    <w:abstractNumId w:val="900"/>
  </w:num>
  <w:num w:numId="1112">
    <w:abstractNumId w:val="42"/>
  </w:num>
  <w:num w:numId="1113">
    <w:abstractNumId w:val="410"/>
  </w:num>
  <w:num w:numId="1114">
    <w:abstractNumId w:val="85"/>
  </w:num>
  <w:num w:numId="1115">
    <w:abstractNumId w:val="1658"/>
  </w:num>
  <w:num w:numId="1116">
    <w:abstractNumId w:val="339"/>
  </w:num>
  <w:num w:numId="1117">
    <w:abstractNumId w:val="1499"/>
  </w:num>
  <w:num w:numId="1118">
    <w:abstractNumId w:val="1212"/>
  </w:num>
  <w:num w:numId="1119">
    <w:abstractNumId w:val="937"/>
  </w:num>
  <w:num w:numId="1120">
    <w:abstractNumId w:val="1226"/>
  </w:num>
  <w:num w:numId="1121">
    <w:abstractNumId w:val="1167"/>
  </w:num>
  <w:num w:numId="1122">
    <w:abstractNumId w:val="741"/>
  </w:num>
  <w:num w:numId="1123">
    <w:abstractNumId w:val="207"/>
  </w:num>
  <w:num w:numId="1124">
    <w:abstractNumId w:val="377"/>
  </w:num>
  <w:num w:numId="1125">
    <w:abstractNumId w:val="413"/>
  </w:num>
  <w:num w:numId="1126">
    <w:abstractNumId w:val="882"/>
  </w:num>
  <w:num w:numId="1127">
    <w:abstractNumId w:val="1841"/>
  </w:num>
  <w:num w:numId="1128">
    <w:abstractNumId w:val="62"/>
  </w:num>
  <w:num w:numId="1129">
    <w:abstractNumId w:val="1237"/>
  </w:num>
  <w:num w:numId="1130">
    <w:abstractNumId w:val="1019"/>
  </w:num>
  <w:num w:numId="1131">
    <w:abstractNumId w:val="208"/>
  </w:num>
  <w:num w:numId="1132">
    <w:abstractNumId w:val="571"/>
  </w:num>
  <w:num w:numId="1133">
    <w:abstractNumId w:val="1030"/>
  </w:num>
  <w:num w:numId="1134">
    <w:abstractNumId w:val="707"/>
  </w:num>
  <w:num w:numId="1135">
    <w:abstractNumId w:val="1015"/>
  </w:num>
  <w:num w:numId="1136">
    <w:abstractNumId w:val="1339"/>
  </w:num>
  <w:num w:numId="1137">
    <w:abstractNumId w:val="612"/>
  </w:num>
  <w:num w:numId="1138">
    <w:abstractNumId w:val="1547"/>
  </w:num>
  <w:num w:numId="1139">
    <w:abstractNumId w:val="1471"/>
  </w:num>
  <w:num w:numId="1140">
    <w:abstractNumId w:val="103"/>
  </w:num>
  <w:num w:numId="1141">
    <w:abstractNumId w:val="1691"/>
  </w:num>
  <w:num w:numId="1142">
    <w:abstractNumId w:val="1652"/>
  </w:num>
  <w:num w:numId="1143">
    <w:abstractNumId w:val="1033"/>
  </w:num>
  <w:num w:numId="1144">
    <w:abstractNumId w:val="1194"/>
  </w:num>
  <w:num w:numId="1145">
    <w:abstractNumId w:val="576"/>
  </w:num>
  <w:num w:numId="1146">
    <w:abstractNumId w:val="609"/>
  </w:num>
  <w:num w:numId="1147">
    <w:abstractNumId w:val="867"/>
  </w:num>
  <w:num w:numId="1148">
    <w:abstractNumId w:val="1094"/>
  </w:num>
  <w:num w:numId="1149">
    <w:abstractNumId w:val="210"/>
  </w:num>
  <w:num w:numId="1150">
    <w:abstractNumId w:val="1524"/>
  </w:num>
  <w:num w:numId="1151">
    <w:abstractNumId w:val="993"/>
  </w:num>
  <w:num w:numId="1152">
    <w:abstractNumId w:val="165"/>
  </w:num>
  <w:num w:numId="1153">
    <w:abstractNumId w:val="1587"/>
  </w:num>
  <w:num w:numId="1154">
    <w:abstractNumId w:val="737"/>
  </w:num>
  <w:num w:numId="1155">
    <w:abstractNumId w:val="1576"/>
  </w:num>
  <w:num w:numId="1156">
    <w:abstractNumId w:val="742"/>
  </w:num>
  <w:num w:numId="1157">
    <w:abstractNumId w:val="1451"/>
  </w:num>
  <w:num w:numId="1158">
    <w:abstractNumId w:val="753"/>
  </w:num>
  <w:num w:numId="1159">
    <w:abstractNumId w:val="1806"/>
  </w:num>
  <w:num w:numId="1160">
    <w:abstractNumId w:val="1300"/>
  </w:num>
  <w:num w:numId="1161">
    <w:abstractNumId w:val="389"/>
  </w:num>
  <w:num w:numId="1162">
    <w:abstractNumId w:val="902"/>
  </w:num>
  <w:num w:numId="1163">
    <w:abstractNumId w:val="1646"/>
  </w:num>
  <w:num w:numId="1164">
    <w:abstractNumId w:val="1175"/>
  </w:num>
  <w:num w:numId="1165">
    <w:abstractNumId w:val="110"/>
  </w:num>
  <w:num w:numId="1166">
    <w:abstractNumId w:val="995"/>
  </w:num>
  <w:num w:numId="1167">
    <w:abstractNumId w:val="1569"/>
  </w:num>
  <w:num w:numId="1168">
    <w:abstractNumId w:val="1332"/>
  </w:num>
  <w:num w:numId="1169">
    <w:abstractNumId w:val="1075"/>
  </w:num>
  <w:num w:numId="1170">
    <w:abstractNumId w:val="1701"/>
  </w:num>
  <w:num w:numId="1171">
    <w:abstractNumId w:val="1772"/>
  </w:num>
  <w:num w:numId="1172">
    <w:abstractNumId w:val="498"/>
  </w:num>
  <w:num w:numId="1173">
    <w:abstractNumId w:val="1766"/>
  </w:num>
  <w:num w:numId="1174">
    <w:abstractNumId w:val="483"/>
  </w:num>
  <w:num w:numId="1175">
    <w:abstractNumId w:val="1417"/>
  </w:num>
  <w:num w:numId="1176">
    <w:abstractNumId w:val="434"/>
  </w:num>
  <w:num w:numId="1177">
    <w:abstractNumId w:val="1505"/>
  </w:num>
  <w:num w:numId="1178">
    <w:abstractNumId w:val="1599"/>
  </w:num>
  <w:num w:numId="1179">
    <w:abstractNumId w:val="1649"/>
  </w:num>
  <w:num w:numId="1180">
    <w:abstractNumId w:val="837"/>
  </w:num>
  <w:num w:numId="1181">
    <w:abstractNumId w:val="639"/>
  </w:num>
  <w:num w:numId="1182">
    <w:abstractNumId w:val="391"/>
  </w:num>
  <w:num w:numId="1183">
    <w:abstractNumId w:val="1367"/>
  </w:num>
  <w:num w:numId="1184">
    <w:abstractNumId w:val="1251"/>
  </w:num>
  <w:num w:numId="1185">
    <w:abstractNumId w:val="1441"/>
  </w:num>
  <w:num w:numId="1186">
    <w:abstractNumId w:val="823"/>
  </w:num>
  <w:num w:numId="1187">
    <w:abstractNumId w:val="963"/>
  </w:num>
  <w:num w:numId="1188">
    <w:abstractNumId w:val="83"/>
  </w:num>
  <w:num w:numId="1189">
    <w:abstractNumId w:val="1032"/>
  </w:num>
  <w:num w:numId="1190">
    <w:abstractNumId w:val="653"/>
  </w:num>
  <w:num w:numId="1191">
    <w:abstractNumId w:val="1009"/>
  </w:num>
  <w:num w:numId="1192">
    <w:abstractNumId w:val="618"/>
  </w:num>
  <w:num w:numId="1193">
    <w:abstractNumId w:val="360"/>
  </w:num>
  <w:num w:numId="1194">
    <w:abstractNumId w:val="1661"/>
  </w:num>
  <w:num w:numId="1195">
    <w:abstractNumId w:val="1657"/>
  </w:num>
  <w:num w:numId="1196">
    <w:abstractNumId w:val="527"/>
  </w:num>
  <w:num w:numId="1197">
    <w:abstractNumId w:val="1202"/>
  </w:num>
  <w:num w:numId="1198">
    <w:abstractNumId w:val="1170"/>
  </w:num>
  <w:num w:numId="1199">
    <w:abstractNumId w:val="1351"/>
  </w:num>
  <w:num w:numId="1200">
    <w:abstractNumId w:val="19"/>
  </w:num>
  <w:num w:numId="1201">
    <w:abstractNumId w:val="353"/>
  </w:num>
  <w:num w:numId="1202">
    <w:abstractNumId w:val="1840"/>
  </w:num>
  <w:num w:numId="1203">
    <w:abstractNumId w:val="117"/>
  </w:num>
  <w:num w:numId="1204">
    <w:abstractNumId w:val="690"/>
  </w:num>
  <w:num w:numId="1205">
    <w:abstractNumId w:val="405"/>
  </w:num>
  <w:num w:numId="1206">
    <w:abstractNumId w:val="49"/>
  </w:num>
  <w:num w:numId="1207">
    <w:abstractNumId w:val="1160"/>
  </w:num>
  <w:num w:numId="1208">
    <w:abstractNumId w:val="606"/>
  </w:num>
  <w:num w:numId="1209">
    <w:abstractNumId w:val="1791"/>
  </w:num>
  <w:num w:numId="1210">
    <w:abstractNumId w:val="928"/>
  </w:num>
  <w:num w:numId="1211">
    <w:abstractNumId w:val="870"/>
  </w:num>
  <w:num w:numId="1212">
    <w:abstractNumId w:val="1122"/>
  </w:num>
  <w:num w:numId="1213">
    <w:abstractNumId w:val="960"/>
  </w:num>
  <w:num w:numId="1214">
    <w:abstractNumId w:val="1651"/>
  </w:num>
  <w:num w:numId="1215">
    <w:abstractNumId w:val="936"/>
  </w:num>
  <w:num w:numId="1216">
    <w:abstractNumId w:val="1815"/>
  </w:num>
  <w:num w:numId="1217">
    <w:abstractNumId w:val="1225"/>
  </w:num>
  <w:num w:numId="1218">
    <w:abstractNumId w:val="418"/>
  </w:num>
  <w:num w:numId="1219">
    <w:abstractNumId w:val="1044"/>
  </w:num>
  <w:num w:numId="1220">
    <w:abstractNumId w:val="1110"/>
  </w:num>
  <w:num w:numId="1221">
    <w:abstractNumId w:val="1598"/>
  </w:num>
  <w:num w:numId="1222">
    <w:abstractNumId w:val="795"/>
  </w:num>
  <w:num w:numId="1223">
    <w:abstractNumId w:val="190"/>
  </w:num>
  <w:num w:numId="1224">
    <w:abstractNumId w:val="1793"/>
  </w:num>
  <w:num w:numId="1225">
    <w:abstractNumId w:val="1780"/>
  </w:num>
  <w:num w:numId="1226">
    <w:abstractNumId w:val="574"/>
  </w:num>
  <w:num w:numId="1227">
    <w:abstractNumId w:val="1507"/>
  </w:num>
  <w:num w:numId="1228">
    <w:abstractNumId w:val="736"/>
  </w:num>
  <w:num w:numId="1229">
    <w:abstractNumId w:val="1112"/>
  </w:num>
  <w:num w:numId="1230">
    <w:abstractNumId w:val="834"/>
  </w:num>
  <w:num w:numId="1231">
    <w:abstractNumId w:val="682"/>
  </w:num>
  <w:num w:numId="1232">
    <w:abstractNumId w:val="1171"/>
  </w:num>
  <w:num w:numId="1233">
    <w:abstractNumId w:val="478"/>
  </w:num>
  <w:num w:numId="1234">
    <w:abstractNumId w:val="858"/>
  </w:num>
  <w:num w:numId="1235">
    <w:abstractNumId w:val="1605"/>
  </w:num>
  <w:num w:numId="1236">
    <w:abstractNumId w:val="1729"/>
  </w:num>
  <w:num w:numId="1237">
    <w:abstractNumId w:val="341"/>
  </w:num>
  <w:num w:numId="1238">
    <w:abstractNumId w:val="1520"/>
  </w:num>
  <w:num w:numId="1239">
    <w:abstractNumId w:val="1060"/>
  </w:num>
  <w:num w:numId="1240">
    <w:abstractNumId w:val="1011"/>
  </w:num>
  <w:num w:numId="1241">
    <w:abstractNumId w:val="1439"/>
  </w:num>
  <w:num w:numId="1242">
    <w:abstractNumId w:val="1813"/>
  </w:num>
  <w:num w:numId="1243">
    <w:abstractNumId w:val="789"/>
  </w:num>
  <w:num w:numId="1244">
    <w:abstractNumId w:val="1245"/>
  </w:num>
  <w:num w:numId="1245">
    <w:abstractNumId w:val="1481"/>
  </w:num>
  <w:num w:numId="1246">
    <w:abstractNumId w:val="1155"/>
  </w:num>
  <w:num w:numId="1247">
    <w:abstractNumId w:val="770"/>
  </w:num>
  <w:num w:numId="1248">
    <w:abstractNumId w:val="456"/>
  </w:num>
  <w:num w:numId="1249">
    <w:abstractNumId w:val="104"/>
  </w:num>
  <w:num w:numId="1250">
    <w:abstractNumId w:val="1714"/>
  </w:num>
  <w:num w:numId="1251">
    <w:abstractNumId w:val="617"/>
  </w:num>
  <w:num w:numId="1252">
    <w:abstractNumId w:val="322"/>
  </w:num>
  <w:num w:numId="1253">
    <w:abstractNumId w:val="1442"/>
  </w:num>
  <w:num w:numId="1254">
    <w:abstractNumId w:val="1289"/>
  </w:num>
  <w:num w:numId="1255">
    <w:abstractNumId w:val="1023"/>
  </w:num>
  <w:num w:numId="1256">
    <w:abstractNumId w:val="1239"/>
  </w:num>
  <w:num w:numId="1257">
    <w:abstractNumId w:val="849"/>
  </w:num>
  <w:num w:numId="1258">
    <w:abstractNumId w:val="173"/>
  </w:num>
  <w:num w:numId="1259">
    <w:abstractNumId w:val="1518"/>
  </w:num>
  <w:num w:numId="1260">
    <w:abstractNumId w:val="556"/>
  </w:num>
  <w:num w:numId="1261">
    <w:abstractNumId w:val="444"/>
  </w:num>
  <w:num w:numId="1262">
    <w:abstractNumId w:val="1821"/>
  </w:num>
  <w:num w:numId="1263">
    <w:abstractNumId w:val="825"/>
  </w:num>
  <w:num w:numId="1264">
    <w:abstractNumId w:val="237"/>
  </w:num>
  <w:num w:numId="1265">
    <w:abstractNumId w:val="1546"/>
  </w:num>
  <w:num w:numId="1266">
    <w:abstractNumId w:val="1029"/>
  </w:num>
  <w:num w:numId="1267">
    <w:abstractNumId w:val="1588"/>
  </w:num>
  <w:num w:numId="1268">
    <w:abstractNumId w:val="1846"/>
  </w:num>
  <w:num w:numId="1269">
    <w:abstractNumId w:val="1534"/>
  </w:num>
  <w:num w:numId="1270">
    <w:abstractNumId w:val="526"/>
  </w:num>
  <w:num w:numId="1271">
    <w:abstractNumId w:val="367"/>
  </w:num>
  <w:num w:numId="1272">
    <w:abstractNumId w:val="1739"/>
  </w:num>
  <w:num w:numId="1273">
    <w:abstractNumId w:val="791"/>
  </w:num>
  <w:num w:numId="1274">
    <w:abstractNumId w:val="1433"/>
  </w:num>
  <w:num w:numId="1275">
    <w:abstractNumId w:val="1043"/>
  </w:num>
  <w:num w:numId="1276">
    <w:abstractNumId w:val="1584"/>
  </w:num>
  <w:num w:numId="1277">
    <w:abstractNumId w:val="1144"/>
  </w:num>
  <w:num w:numId="1278">
    <w:abstractNumId w:val="1397"/>
  </w:num>
  <w:num w:numId="1279">
    <w:abstractNumId w:val="1235"/>
  </w:num>
  <w:num w:numId="1280">
    <w:abstractNumId w:val="1328"/>
  </w:num>
  <w:num w:numId="1281">
    <w:abstractNumId w:val="1258"/>
  </w:num>
  <w:num w:numId="1282">
    <w:abstractNumId w:val="933"/>
  </w:num>
  <w:num w:numId="1283">
    <w:abstractNumId w:val="1509"/>
  </w:num>
  <w:num w:numId="1284">
    <w:abstractNumId w:val="105"/>
  </w:num>
  <w:num w:numId="1285">
    <w:abstractNumId w:val="96"/>
  </w:num>
  <w:num w:numId="1286">
    <w:abstractNumId w:val="196"/>
  </w:num>
  <w:num w:numId="1287">
    <w:abstractNumId w:val="1000"/>
  </w:num>
  <w:num w:numId="1288">
    <w:abstractNumId w:val="443"/>
  </w:num>
  <w:num w:numId="1289">
    <w:abstractNumId w:val="803"/>
  </w:num>
  <w:num w:numId="1290">
    <w:abstractNumId w:val="139"/>
  </w:num>
  <w:num w:numId="1291">
    <w:abstractNumId w:val="1856"/>
  </w:num>
  <w:num w:numId="1292">
    <w:abstractNumId w:val="305"/>
  </w:num>
  <w:num w:numId="1293">
    <w:abstractNumId w:val="296"/>
  </w:num>
  <w:num w:numId="1294">
    <w:abstractNumId w:val="378"/>
  </w:num>
  <w:num w:numId="1295">
    <w:abstractNumId w:val="1178"/>
  </w:num>
  <w:num w:numId="1296">
    <w:abstractNumId w:val="1795"/>
  </w:num>
  <w:num w:numId="1297">
    <w:abstractNumId w:val="1760"/>
  </w:num>
  <w:num w:numId="1298">
    <w:abstractNumId w:val="1046"/>
  </w:num>
  <w:num w:numId="1299">
    <w:abstractNumId w:val="1523"/>
  </w:num>
  <w:num w:numId="1300">
    <w:abstractNumId w:val="716"/>
  </w:num>
  <w:num w:numId="1301">
    <w:abstractNumId w:val="1246"/>
  </w:num>
  <w:num w:numId="1302">
    <w:abstractNumId w:val="920"/>
  </w:num>
  <w:num w:numId="1303">
    <w:abstractNumId w:val="637"/>
  </w:num>
  <w:num w:numId="1304">
    <w:abstractNumId w:val="317"/>
  </w:num>
  <w:num w:numId="1305">
    <w:abstractNumId w:val="728"/>
  </w:num>
  <w:num w:numId="1306">
    <w:abstractNumId w:val="673"/>
  </w:num>
  <w:num w:numId="1307">
    <w:abstractNumId w:val="485"/>
  </w:num>
  <w:num w:numId="1308">
    <w:abstractNumId w:val="1007"/>
  </w:num>
  <w:num w:numId="1309">
    <w:abstractNumId w:val="951"/>
  </w:num>
  <w:num w:numId="1310">
    <w:abstractNumId w:val="1797"/>
  </w:num>
  <w:num w:numId="1311">
    <w:abstractNumId w:val="106"/>
  </w:num>
  <w:num w:numId="1312">
    <w:abstractNumId w:val="1318"/>
  </w:num>
  <w:num w:numId="1313">
    <w:abstractNumId w:val="176"/>
  </w:num>
  <w:num w:numId="1314">
    <w:abstractNumId w:val="939"/>
  </w:num>
  <w:num w:numId="1315">
    <w:abstractNumId w:val="1227"/>
  </w:num>
  <w:num w:numId="1316">
    <w:abstractNumId w:val="1263"/>
  </w:num>
  <w:num w:numId="1317">
    <w:abstractNumId w:val="383"/>
  </w:num>
  <w:num w:numId="1318">
    <w:abstractNumId w:val="1435"/>
  </w:num>
  <w:num w:numId="1319">
    <w:abstractNumId w:val="1824"/>
  </w:num>
  <w:num w:numId="1320">
    <w:abstractNumId w:val="765"/>
  </w:num>
  <w:num w:numId="1321">
    <w:abstractNumId w:val="521"/>
  </w:num>
  <w:num w:numId="1322">
    <w:abstractNumId w:val="1181"/>
  </w:num>
  <w:num w:numId="1323">
    <w:abstractNumId w:val="1847"/>
  </w:num>
  <w:num w:numId="1324">
    <w:abstractNumId w:val="420"/>
  </w:num>
  <w:num w:numId="1325">
    <w:abstractNumId w:val="1063"/>
  </w:num>
  <w:num w:numId="1326">
    <w:abstractNumId w:val="878"/>
  </w:num>
  <w:num w:numId="1327">
    <w:abstractNumId w:val="1365"/>
  </w:num>
  <w:num w:numId="1328">
    <w:abstractNumId w:val="68"/>
  </w:num>
  <w:num w:numId="1329">
    <w:abstractNumId w:val="1078"/>
  </w:num>
  <w:num w:numId="1330">
    <w:abstractNumId w:val="901"/>
  </w:num>
  <w:num w:numId="1331">
    <w:abstractNumId w:val="288"/>
  </w:num>
  <w:num w:numId="1332">
    <w:abstractNumId w:val="1527"/>
  </w:num>
  <w:num w:numId="1333">
    <w:abstractNumId w:val="739"/>
  </w:num>
  <w:num w:numId="1334">
    <w:abstractNumId w:val="1480"/>
  </w:num>
  <w:num w:numId="1335">
    <w:abstractNumId w:val="733"/>
  </w:num>
  <w:num w:numId="1336">
    <w:abstractNumId w:val="77"/>
  </w:num>
  <w:num w:numId="1337">
    <w:abstractNumId w:val="1811"/>
  </w:num>
  <w:num w:numId="1338">
    <w:abstractNumId w:val="46"/>
  </w:num>
  <w:num w:numId="1339">
    <w:abstractNumId w:val="767"/>
  </w:num>
  <w:num w:numId="1340">
    <w:abstractNumId w:val="1428"/>
  </w:num>
  <w:num w:numId="1341">
    <w:abstractNumId w:val="697"/>
  </w:num>
  <w:num w:numId="1342">
    <w:abstractNumId w:val="550"/>
  </w:num>
  <w:num w:numId="1343">
    <w:abstractNumId w:val="750"/>
  </w:num>
  <w:num w:numId="1344">
    <w:abstractNumId w:val="1295"/>
  </w:num>
  <w:num w:numId="1345">
    <w:abstractNumId w:val="1254"/>
  </w:num>
  <w:num w:numId="1346">
    <w:abstractNumId w:val="723"/>
  </w:num>
  <w:num w:numId="1347">
    <w:abstractNumId w:val="17"/>
  </w:num>
  <w:num w:numId="1348">
    <w:abstractNumId w:val="234"/>
  </w:num>
  <w:num w:numId="1349">
    <w:abstractNumId w:val="50"/>
  </w:num>
  <w:num w:numId="1350">
    <w:abstractNumId w:val="432"/>
  </w:num>
  <w:num w:numId="1351">
    <w:abstractNumId w:val="1526"/>
  </w:num>
  <w:num w:numId="1352">
    <w:abstractNumId w:val="78"/>
  </w:num>
  <w:num w:numId="1353">
    <w:abstractNumId w:val="333"/>
  </w:num>
  <w:num w:numId="1354">
    <w:abstractNumId w:val="131"/>
  </w:num>
  <w:num w:numId="1355">
    <w:abstractNumId w:val="1803"/>
  </w:num>
  <w:num w:numId="1356">
    <w:abstractNumId w:val="709"/>
  </w:num>
  <w:num w:numId="1357">
    <w:abstractNumId w:val="1785"/>
  </w:num>
  <w:num w:numId="1358">
    <w:abstractNumId w:val="979"/>
  </w:num>
  <w:num w:numId="1359">
    <w:abstractNumId w:val="1086"/>
  </w:num>
  <w:num w:numId="1360">
    <w:abstractNumId w:val="799"/>
  </w:num>
  <w:num w:numId="1361">
    <w:abstractNumId w:val="860"/>
  </w:num>
  <w:num w:numId="1362">
    <w:abstractNumId w:val="395"/>
  </w:num>
  <w:num w:numId="1363">
    <w:abstractNumId w:val="1411"/>
  </w:num>
  <w:num w:numId="1364">
    <w:abstractNumId w:val="1400"/>
  </w:num>
  <w:num w:numId="1365">
    <w:abstractNumId w:val="1711"/>
  </w:num>
  <w:num w:numId="1366">
    <w:abstractNumId w:val="1759"/>
  </w:num>
  <w:num w:numId="1367">
    <w:abstractNumId w:val="1517"/>
  </w:num>
  <w:num w:numId="1368">
    <w:abstractNumId w:val="1016"/>
  </w:num>
  <w:num w:numId="1369">
    <w:abstractNumId w:val="496"/>
  </w:num>
  <w:num w:numId="1370">
    <w:abstractNumId w:val="161"/>
  </w:num>
  <w:num w:numId="1371">
    <w:abstractNumId w:val="813"/>
  </w:num>
  <w:num w:numId="1372">
    <w:abstractNumId w:val="512"/>
  </w:num>
  <w:num w:numId="1373">
    <w:abstractNumId w:val="599"/>
  </w:num>
  <w:num w:numId="1374">
    <w:abstractNumId w:val="340"/>
  </w:num>
  <w:num w:numId="1375">
    <w:abstractNumId w:val="949"/>
  </w:num>
  <w:num w:numId="1376">
    <w:abstractNumId w:val="626"/>
  </w:num>
  <w:num w:numId="1377">
    <w:abstractNumId w:val="1061"/>
  </w:num>
  <w:num w:numId="1378">
    <w:abstractNumId w:val="910"/>
  </w:num>
  <w:num w:numId="1379">
    <w:abstractNumId w:val="1062"/>
  </w:num>
  <w:num w:numId="1380">
    <w:abstractNumId w:val="268"/>
  </w:num>
  <w:num w:numId="1381">
    <w:abstractNumId w:val="1179"/>
  </w:num>
  <w:num w:numId="1382">
    <w:abstractNumId w:val="781"/>
  </w:num>
  <w:num w:numId="1383">
    <w:abstractNumId w:val="38"/>
  </w:num>
  <w:num w:numId="1384">
    <w:abstractNumId w:val="429"/>
  </w:num>
  <w:num w:numId="1385">
    <w:abstractNumId w:val="217"/>
  </w:num>
  <w:num w:numId="1386">
    <w:abstractNumId w:val="1117"/>
  </w:num>
  <w:num w:numId="1387">
    <w:abstractNumId w:val="1128"/>
  </w:num>
  <w:num w:numId="1388">
    <w:abstractNumId w:val="221"/>
  </w:num>
  <w:num w:numId="1389">
    <w:abstractNumId w:val="235"/>
  </w:num>
  <w:num w:numId="1390">
    <w:abstractNumId w:val="1013"/>
  </w:num>
  <w:num w:numId="1391">
    <w:abstractNumId w:val="1838"/>
  </w:num>
  <w:num w:numId="1392">
    <w:abstractNumId w:val="589"/>
  </w:num>
  <w:num w:numId="1393">
    <w:abstractNumId w:val="267"/>
  </w:num>
  <w:num w:numId="1394">
    <w:abstractNumId w:val="1064"/>
  </w:num>
  <w:num w:numId="1395">
    <w:abstractNumId w:val="202"/>
  </w:num>
  <w:num w:numId="1396">
    <w:abstractNumId w:val="509"/>
  </w:num>
  <w:num w:numId="1397">
    <w:abstractNumId w:val="915"/>
  </w:num>
  <w:num w:numId="1398">
    <w:abstractNumId w:val="98"/>
  </w:num>
  <w:num w:numId="1399">
    <w:abstractNumId w:val="205"/>
  </w:num>
  <w:num w:numId="1400">
    <w:abstractNumId w:val="1434"/>
  </w:num>
  <w:num w:numId="1401">
    <w:abstractNumId w:val="180"/>
  </w:num>
  <w:num w:numId="1402">
    <w:abstractNumId w:val="1233"/>
  </w:num>
  <w:num w:numId="1403">
    <w:abstractNumId w:val="554"/>
  </w:num>
  <w:num w:numId="1404">
    <w:abstractNumId w:val="730"/>
  </w:num>
  <w:num w:numId="1405">
    <w:abstractNumId w:val="1422"/>
  </w:num>
  <w:num w:numId="1406">
    <w:abstractNumId w:val="973"/>
  </w:num>
  <w:num w:numId="1407">
    <w:abstractNumId w:val="510"/>
  </w:num>
  <w:num w:numId="1408">
    <w:abstractNumId w:val="714"/>
  </w:num>
  <w:num w:numId="1409">
    <w:abstractNumId w:val="1269"/>
  </w:num>
  <w:num w:numId="1410">
    <w:abstractNumId w:val="137"/>
  </w:num>
  <w:num w:numId="1411">
    <w:abstractNumId w:val="969"/>
  </w:num>
  <w:num w:numId="1412">
    <w:abstractNumId w:val="239"/>
  </w:num>
  <w:num w:numId="1413">
    <w:abstractNumId w:val="699"/>
  </w:num>
  <w:num w:numId="1414">
    <w:abstractNumId w:val="1211"/>
  </w:num>
  <w:num w:numId="1415">
    <w:abstractNumId w:val="1136"/>
  </w:num>
  <w:num w:numId="1416">
    <w:abstractNumId w:val="291"/>
  </w:num>
  <w:num w:numId="1417">
    <w:abstractNumId w:val="1543"/>
  </w:num>
  <w:num w:numId="1418">
    <w:abstractNumId w:val="598"/>
  </w:num>
  <w:num w:numId="1419">
    <w:abstractNumId w:val="236"/>
  </w:num>
  <w:num w:numId="1420">
    <w:abstractNumId w:val="1244"/>
  </w:num>
  <w:num w:numId="1421">
    <w:abstractNumId w:val="225"/>
  </w:num>
  <w:num w:numId="1422">
    <w:abstractNumId w:val="150"/>
  </w:num>
  <w:num w:numId="1423">
    <w:abstractNumId w:val="1632"/>
  </w:num>
  <w:num w:numId="1424">
    <w:abstractNumId w:val="112"/>
  </w:num>
  <w:num w:numId="1425">
    <w:abstractNumId w:val="1734"/>
  </w:num>
  <w:num w:numId="1426">
    <w:abstractNumId w:val="474"/>
  </w:num>
  <w:num w:numId="1427">
    <w:abstractNumId w:val="328"/>
  </w:num>
  <w:num w:numId="1428">
    <w:abstractNumId w:val="114"/>
  </w:num>
  <w:num w:numId="1429">
    <w:abstractNumId w:val="1131"/>
  </w:num>
  <w:num w:numId="1430">
    <w:abstractNumId w:val="1266"/>
  </w:num>
  <w:num w:numId="1431">
    <w:abstractNumId w:val="1456"/>
  </w:num>
  <w:num w:numId="1432">
    <w:abstractNumId w:val="54"/>
  </w:num>
  <w:num w:numId="1433">
    <w:abstractNumId w:val="242"/>
  </w:num>
  <w:num w:numId="1434">
    <w:abstractNumId w:val="1551"/>
  </w:num>
  <w:num w:numId="1435">
    <w:abstractNumId w:val="894"/>
  </w:num>
  <w:num w:numId="1436">
    <w:abstractNumId w:val="279"/>
  </w:num>
  <w:num w:numId="1437">
    <w:abstractNumId w:val="845"/>
  </w:num>
  <w:num w:numId="1438">
    <w:abstractNumId w:val="1083"/>
  </w:num>
  <w:num w:numId="1439">
    <w:abstractNumId w:val="1071"/>
  </w:num>
  <w:num w:numId="1440">
    <w:abstractNumId w:val="1447"/>
  </w:num>
  <w:num w:numId="1441">
    <w:abstractNumId w:val="1369"/>
  </w:num>
  <w:num w:numId="1442">
    <w:abstractNumId w:val="621"/>
  </w:num>
  <w:num w:numId="1443">
    <w:abstractNumId w:val="1177"/>
  </w:num>
  <w:num w:numId="1444">
    <w:abstractNumId w:val="280"/>
  </w:num>
  <w:num w:numId="1445">
    <w:abstractNumId w:val="1626"/>
  </w:num>
  <w:num w:numId="1446">
    <w:abstractNumId w:val="1319"/>
  </w:num>
  <w:num w:numId="1447">
    <w:abstractNumId w:val="1106"/>
  </w:num>
  <w:num w:numId="1448">
    <w:abstractNumId w:val="324"/>
  </w:num>
  <w:num w:numId="1449">
    <w:abstractNumId w:val="1566"/>
  </w:num>
  <w:num w:numId="1450">
    <w:abstractNumId w:val="438"/>
  </w:num>
  <w:num w:numId="1451">
    <w:abstractNumId w:val="572"/>
  </w:num>
  <w:num w:numId="1452">
    <w:abstractNumId w:val="1628"/>
  </w:num>
  <w:num w:numId="1453">
    <w:abstractNumId w:val="567"/>
  </w:num>
  <w:num w:numId="1454">
    <w:abstractNumId w:val="232"/>
  </w:num>
  <w:num w:numId="1455">
    <w:abstractNumId w:val="278"/>
  </w:num>
  <w:num w:numId="1456">
    <w:abstractNumId w:val="409"/>
  </w:num>
  <w:num w:numId="1457">
    <w:abstractNumId w:val="1742"/>
  </w:num>
  <w:num w:numId="1458">
    <w:abstractNumId w:val="1660"/>
  </w:num>
  <w:num w:numId="1459">
    <w:abstractNumId w:val="888"/>
  </w:num>
  <w:num w:numId="1460">
    <w:abstractNumId w:val="1025"/>
  </w:num>
  <w:num w:numId="1461">
    <w:abstractNumId w:val="91"/>
  </w:num>
  <w:num w:numId="1462">
    <w:abstractNumId w:val="1426"/>
  </w:num>
  <w:num w:numId="1463">
    <w:abstractNumId w:val="755"/>
  </w:num>
  <w:num w:numId="1464">
    <w:abstractNumId w:val="1396"/>
  </w:num>
  <w:num w:numId="1465">
    <w:abstractNumId w:val="1407"/>
  </w:num>
  <w:num w:numId="1466">
    <w:abstractNumId w:val="1066"/>
  </w:num>
  <w:num w:numId="1467">
    <w:abstractNumId w:val="10"/>
  </w:num>
  <w:num w:numId="1468">
    <w:abstractNumId w:val="417"/>
  </w:num>
  <w:num w:numId="1469">
    <w:abstractNumId w:val="638"/>
  </w:num>
  <w:num w:numId="1470">
    <w:abstractNumId w:val="15"/>
  </w:num>
  <w:num w:numId="1471">
    <w:abstractNumId w:val="678"/>
  </w:num>
  <w:num w:numId="1472">
    <w:abstractNumId w:val="1250"/>
  </w:num>
  <w:num w:numId="1473">
    <w:abstractNumId w:val="411"/>
  </w:num>
  <w:num w:numId="1474">
    <w:abstractNumId w:val="580"/>
  </w:num>
  <w:num w:numId="1475">
    <w:abstractNumId w:val="342"/>
  </w:num>
  <w:num w:numId="1476">
    <w:abstractNumId w:val="1703"/>
  </w:num>
  <w:num w:numId="1477">
    <w:abstractNumId w:val="179"/>
  </w:num>
  <w:num w:numId="1478">
    <w:abstractNumId w:val="1356"/>
  </w:num>
  <w:num w:numId="1479">
    <w:abstractNumId w:val="32"/>
  </w:num>
  <w:num w:numId="1480">
    <w:abstractNumId w:val="1494"/>
  </w:num>
  <w:num w:numId="1481">
    <w:abstractNumId w:val="876"/>
  </w:num>
  <w:num w:numId="1482">
    <w:abstractNumId w:val="588"/>
  </w:num>
  <w:num w:numId="1483">
    <w:abstractNumId w:val="751"/>
  </w:num>
  <w:num w:numId="1484">
    <w:abstractNumId w:val="431"/>
  </w:num>
  <w:num w:numId="1485">
    <w:abstractNumId w:val="507"/>
  </w:num>
  <w:num w:numId="1486">
    <w:abstractNumId w:val="81"/>
  </w:num>
  <w:num w:numId="1487">
    <w:abstractNumId w:val="1373"/>
  </w:num>
  <w:num w:numId="1488">
    <w:abstractNumId w:val="875"/>
  </w:num>
  <w:num w:numId="1489">
    <w:abstractNumId w:val="43"/>
  </w:num>
  <w:num w:numId="1490">
    <w:abstractNumId w:val="8"/>
  </w:num>
  <w:num w:numId="1491">
    <w:abstractNumId w:val="60"/>
  </w:num>
  <w:num w:numId="1492">
    <w:abstractNumId w:val="1391"/>
  </w:num>
  <w:num w:numId="1493">
    <w:abstractNumId w:val="1698"/>
  </w:num>
  <w:num w:numId="1494">
    <w:abstractNumId w:val="1272"/>
  </w:num>
  <w:num w:numId="1495">
    <w:abstractNumId w:val="955"/>
  </w:num>
  <w:num w:numId="1496">
    <w:abstractNumId w:val="1004"/>
  </w:num>
  <w:num w:numId="1497">
    <w:abstractNumId w:val="375"/>
  </w:num>
  <w:num w:numId="1498">
    <w:abstractNumId w:val="1359"/>
  </w:num>
  <w:num w:numId="1499">
    <w:abstractNumId w:val="844"/>
  </w:num>
  <w:num w:numId="1500">
    <w:abstractNumId w:val="1794"/>
  </w:num>
  <w:num w:numId="1501">
    <w:abstractNumId w:val="1262"/>
  </w:num>
  <w:num w:numId="1502">
    <w:abstractNumId w:val="1735"/>
  </w:num>
  <w:num w:numId="1503">
    <w:abstractNumId w:val="1082"/>
  </w:num>
  <w:num w:numId="1504">
    <w:abstractNumId w:val="561"/>
  </w:num>
  <w:num w:numId="1505">
    <w:abstractNumId w:val="773"/>
  </w:num>
  <w:num w:numId="1506">
    <w:abstractNumId w:val="1825"/>
  </w:num>
  <w:num w:numId="1507">
    <w:abstractNumId w:val="1819"/>
  </w:num>
  <w:num w:numId="1508">
    <w:abstractNumId w:val="1483"/>
  </w:num>
  <w:num w:numId="1509">
    <w:abstractNumId w:val="450"/>
  </w:num>
  <w:num w:numId="1510">
    <w:abstractNumId w:val="560"/>
  </w:num>
  <w:num w:numId="1511">
    <w:abstractNumId w:val="35"/>
  </w:num>
  <w:num w:numId="1512">
    <w:abstractNumId w:val="1348"/>
  </w:num>
  <w:num w:numId="1513">
    <w:abstractNumId w:val="1443"/>
  </w:num>
  <w:num w:numId="1514">
    <w:abstractNumId w:val="651"/>
  </w:num>
  <w:num w:numId="1515">
    <w:abstractNumId w:val="468"/>
  </w:num>
  <w:num w:numId="1516">
    <w:abstractNumId w:val="1692"/>
  </w:num>
  <w:num w:numId="1517">
    <w:abstractNumId w:val="1745"/>
  </w:num>
  <w:num w:numId="1518">
    <w:abstractNumId w:val="1201"/>
  </w:num>
  <w:num w:numId="1519">
    <w:abstractNumId w:val="1203"/>
  </w:num>
  <w:num w:numId="1520">
    <w:abstractNumId w:val="1161"/>
  </w:num>
  <w:num w:numId="1521">
    <w:abstractNumId w:val="1627"/>
  </w:num>
  <w:num w:numId="1522">
    <w:abstractNumId w:val="57"/>
  </w:num>
  <w:num w:numId="1523">
    <w:abstractNumId w:val="871"/>
  </w:num>
  <w:num w:numId="1524">
    <w:abstractNumId w:val="747"/>
  </w:num>
  <w:num w:numId="1525">
    <w:abstractNumId w:val="988"/>
  </w:num>
  <w:num w:numId="1526">
    <w:abstractNumId w:val="346"/>
  </w:num>
  <w:num w:numId="1527">
    <w:abstractNumId w:val="1378"/>
  </w:num>
  <w:num w:numId="1528">
    <w:abstractNumId w:val="226"/>
  </w:num>
  <w:num w:numId="1529">
    <w:abstractNumId w:val="819"/>
  </w:num>
  <w:num w:numId="1530">
    <w:abstractNumId w:val="250"/>
  </w:num>
  <w:num w:numId="1531">
    <w:abstractNumId w:val="1607"/>
  </w:num>
  <w:num w:numId="1532">
    <w:abstractNumId w:val="658"/>
  </w:num>
  <w:num w:numId="1533">
    <w:abstractNumId w:val="67"/>
  </w:num>
  <w:num w:numId="1534">
    <w:abstractNumId w:val="1528"/>
  </w:num>
  <w:num w:numId="1535">
    <w:abstractNumId w:val="416"/>
  </w:num>
  <w:num w:numId="1536">
    <w:abstractNumId w:val="80"/>
  </w:num>
  <w:num w:numId="1537">
    <w:abstractNumId w:val="640"/>
  </w:num>
  <w:num w:numId="1538">
    <w:abstractNumId w:val="490"/>
  </w:num>
  <w:num w:numId="1539">
    <w:abstractNumId w:val="694"/>
  </w:num>
  <w:num w:numId="1540">
    <w:abstractNumId w:val="1564"/>
  </w:num>
  <w:num w:numId="1541">
    <w:abstractNumId w:val="1470"/>
  </w:num>
  <w:num w:numId="1542">
    <w:abstractNumId w:val="661"/>
  </w:num>
  <w:num w:numId="1543">
    <w:abstractNumId w:val="1336"/>
  </w:num>
  <w:num w:numId="1544">
    <w:abstractNumId w:val="1415"/>
  </w:num>
  <w:num w:numId="1545">
    <w:abstractNumId w:val="1240"/>
  </w:num>
  <w:num w:numId="1546">
    <w:abstractNumId w:val="145"/>
  </w:num>
  <w:num w:numId="1547">
    <w:abstractNumId w:val="373"/>
  </w:num>
  <w:num w:numId="1548">
    <w:abstractNumId w:val="1325"/>
  </w:num>
  <w:num w:numId="1549">
    <w:abstractNumId w:val="950"/>
  </w:num>
  <w:num w:numId="1550">
    <w:abstractNumId w:val="203"/>
  </w:num>
  <w:num w:numId="1551">
    <w:abstractNumId w:val="1619"/>
  </w:num>
  <w:num w:numId="1552">
    <w:abstractNumId w:val="1281"/>
  </w:num>
  <w:num w:numId="1553">
    <w:abstractNumId w:val="1693"/>
  </w:num>
  <w:num w:numId="1554">
    <w:abstractNumId w:val="616"/>
  </w:num>
  <w:num w:numId="1555">
    <w:abstractNumId w:val="1556"/>
  </w:num>
  <w:num w:numId="1556">
    <w:abstractNumId w:val="1513"/>
  </w:num>
  <w:num w:numId="1557">
    <w:abstractNumId w:val="997"/>
  </w:num>
  <w:num w:numId="1558">
    <w:abstractNumId w:val="842"/>
  </w:num>
  <w:num w:numId="1559">
    <w:abstractNumId w:val="1377"/>
  </w:num>
  <w:num w:numId="1560">
    <w:abstractNumId w:val="804"/>
  </w:num>
  <w:num w:numId="1561">
    <w:abstractNumId w:val="379"/>
  </w:num>
  <w:num w:numId="1562">
    <w:abstractNumId w:val="832"/>
  </w:num>
  <w:num w:numId="1563">
    <w:abstractNumId w:val="1648"/>
  </w:num>
  <w:num w:numId="1564">
    <w:abstractNumId w:val="5"/>
  </w:num>
  <w:num w:numId="1565">
    <w:abstractNumId w:val="464"/>
  </w:num>
  <w:num w:numId="1566">
    <w:abstractNumId w:val="1088"/>
  </w:num>
  <w:num w:numId="1567">
    <w:abstractNumId w:val="660"/>
  </w:num>
  <w:num w:numId="1568">
    <w:abstractNumId w:val="980"/>
  </w:num>
  <w:num w:numId="1569">
    <w:abstractNumId w:val="1559"/>
  </w:num>
  <w:num w:numId="1570">
    <w:abstractNumId w:val="1706"/>
  </w:num>
  <w:num w:numId="1571">
    <w:abstractNumId w:val="382"/>
  </w:num>
  <w:num w:numId="1572">
    <w:abstractNumId w:val="1323"/>
  </w:num>
  <w:num w:numId="1573">
    <w:abstractNumId w:val="1018"/>
  </w:num>
  <w:num w:numId="1574">
    <w:abstractNumId w:val="515"/>
  </w:num>
  <w:num w:numId="1575">
    <w:abstractNumId w:val="491"/>
  </w:num>
  <w:num w:numId="1576">
    <w:abstractNumId w:val="1690"/>
  </w:num>
  <w:num w:numId="1577">
    <w:abstractNumId w:val="1438"/>
  </w:num>
  <w:num w:numId="1578">
    <w:abstractNumId w:val="314"/>
  </w:num>
  <w:num w:numId="1579">
    <w:abstractNumId w:val="261"/>
  </w:num>
  <w:num w:numId="1580">
    <w:abstractNumId w:val="240"/>
  </w:num>
  <w:num w:numId="1581">
    <w:abstractNumId w:val="830"/>
  </w:num>
  <w:num w:numId="1582">
    <w:abstractNumId w:val="66"/>
  </w:num>
  <w:num w:numId="1583">
    <w:abstractNumId w:val="859"/>
  </w:num>
  <w:num w:numId="1584">
    <w:abstractNumId w:val="1510"/>
  </w:num>
  <w:num w:numId="1585">
    <w:abstractNumId w:val="684"/>
  </w:num>
  <w:num w:numId="1586">
    <w:abstractNumId w:val="178"/>
  </w:num>
  <w:num w:numId="1587">
    <w:abstractNumId w:val="1504"/>
  </w:num>
  <w:num w:numId="1588">
    <w:abstractNumId w:val="45"/>
  </w:num>
  <w:num w:numId="1589">
    <w:abstractNumId w:val="1562"/>
  </w:num>
  <w:num w:numId="1590">
    <w:abstractNumId w:val="61"/>
  </w:num>
  <w:num w:numId="1591">
    <w:abstractNumId w:val="335"/>
  </w:num>
  <w:num w:numId="1592">
    <w:abstractNumId w:val="926"/>
  </w:num>
  <w:num w:numId="1593">
    <w:abstractNumId w:val="127"/>
  </w:num>
  <w:num w:numId="1594">
    <w:abstractNumId w:val="499"/>
  </w:num>
  <w:num w:numId="1595">
    <w:abstractNumId w:val="1198"/>
  </w:num>
  <w:num w:numId="1596">
    <w:abstractNumId w:val="505"/>
  </w:num>
  <w:num w:numId="1597">
    <w:abstractNumId w:val="771"/>
  </w:num>
  <w:num w:numId="1598">
    <w:abstractNumId w:val="927"/>
  </w:num>
  <w:num w:numId="1599">
    <w:abstractNumId w:val="1812"/>
  </w:num>
  <w:num w:numId="1600">
    <w:abstractNumId w:val="835"/>
  </w:num>
  <w:num w:numId="1601">
    <w:abstractNumId w:val="1010"/>
  </w:num>
  <w:num w:numId="1602">
    <w:abstractNumId w:val="1224"/>
  </w:num>
  <w:num w:numId="1603">
    <w:abstractNumId w:val="1702"/>
  </w:num>
  <w:num w:numId="1604">
    <w:abstractNumId w:val="1390"/>
  </w:num>
  <w:num w:numId="1605">
    <w:abstractNumId w:val="986"/>
  </w:num>
  <w:num w:numId="1606">
    <w:abstractNumId w:val="1563"/>
  </w:num>
  <w:num w:numId="1607">
    <w:abstractNumId w:val="1538"/>
  </w:num>
  <w:num w:numId="1608">
    <w:abstractNumId w:val="551"/>
  </w:num>
  <w:num w:numId="1609">
    <w:abstractNumId w:val="1017"/>
  </w:num>
  <w:num w:numId="1610">
    <w:abstractNumId w:val="293"/>
  </w:num>
  <w:num w:numId="1611">
    <w:abstractNumId w:val="874"/>
  </w:num>
  <w:num w:numId="1612">
    <w:abstractNumId w:val="530"/>
  </w:num>
  <w:num w:numId="1613">
    <w:abstractNumId w:val="907"/>
  </w:num>
  <w:num w:numId="1614">
    <w:abstractNumId w:val="838"/>
  </w:num>
  <w:num w:numId="1615">
    <w:abstractNumId w:val="884"/>
  </w:num>
  <w:num w:numId="1616">
    <w:abstractNumId w:val="596"/>
  </w:num>
  <w:num w:numId="1617">
    <w:abstractNumId w:val="400"/>
  </w:num>
  <w:num w:numId="1618">
    <w:abstractNumId w:val="964"/>
  </w:num>
  <w:num w:numId="1619">
    <w:abstractNumId w:val="1036"/>
  </w:num>
  <w:num w:numId="1620">
    <w:abstractNumId w:val="1329"/>
  </w:num>
  <w:num w:numId="1621">
    <w:abstractNumId w:val="1205"/>
  </w:num>
  <w:num w:numId="1622">
    <w:abstractNumId w:val="1779"/>
  </w:num>
  <w:num w:numId="1623">
    <w:abstractNumId w:val="1389"/>
  </w:num>
  <w:num w:numId="1624">
    <w:abstractNumId w:val="1073"/>
  </w:num>
  <w:num w:numId="1625">
    <w:abstractNumId w:val="666"/>
  </w:num>
  <w:num w:numId="1626">
    <w:abstractNumId w:val="171"/>
  </w:num>
  <w:num w:numId="1627">
    <w:abstractNumId w:val="1552"/>
  </w:num>
  <w:num w:numId="1628">
    <w:abstractNumId w:val="116"/>
  </w:num>
  <w:num w:numId="1629">
    <w:abstractNumId w:val="1684"/>
  </w:num>
  <w:num w:numId="1630">
    <w:abstractNumId w:val="573"/>
  </w:num>
  <w:num w:numId="1631">
    <w:abstractNumId w:val="385"/>
  </w:num>
  <w:num w:numId="1632">
    <w:abstractNumId w:val="1279"/>
  </w:num>
  <w:num w:numId="1633">
    <w:abstractNumId w:val="1521"/>
  </w:num>
  <w:num w:numId="1634">
    <w:abstractNumId w:val="164"/>
  </w:num>
  <w:num w:numId="1635">
    <w:abstractNumId w:val="811"/>
  </w:num>
  <w:num w:numId="1636">
    <w:abstractNumId w:val="1807"/>
  </w:num>
  <w:num w:numId="1637">
    <w:abstractNumId w:val="167"/>
  </w:num>
  <w:num w:numId="1638">
    <w:abstractNumId w:val="487"/>
  </w:num>
  <w:num w:numId="1639">
    <w:abstractNumId w:val="1210"/>
  </w:num>
  <w:num w:numId="1640">
    <w:abstractNumId w:val="386"/>
  </w:num>
  <w:num w:numId="1641">
    <w:abstractNumId w:val="326"/>
  </w:num>
  <w:num w:numId="1642">
    <w:abstractNumId w:val="931"/>
  </w:num>
  <w:num w:numId="1643">
    <w:abstractNumId w:val="231"/>
  </w:num>
  <w:num w:numId="1644">
    <w:abstractNumId w:val="1755"/>
  </w:num>
  <w:num w:numId="1645">
    <w:abstractNumId w:val="1234"/>
  </w:num>
  <w:num w:numId="1646">
    <w:abstractNumId w:val="1352"/>
  </w:num>
  <w:num w:numId="1647">
    <w:abstractNumId w:val="16"/>
  </w:num>
  <w:num w:numId="1648">
    <w:abstractNumId w:val="1165"/>
  </w:num>
  <w:num w:numId="1649">
    <w:abstractNumId w:val="542"/>
  </w:num>
  <w:num w:numId="1650">
    <w:abstractNumId w:val="1190"/>
  </w:num>
  <w:num w:numId="1651">
    <w:abstractNumId w:val="1399"/>
  </w:num>
  <w:num w:numId="1652">
    <w:abstractNumId w:val="350"/>
  </w:num>
  <w:num w:numId="1653">
    <w:abstractNumId w:val="824"/>
  </w:num>
  <w:num w:numId="1654">
    <w:abstractNumId w:val="1095"/>
  </w:num>
  <w:num w:numId="1655">
    <w:abstractNumId w:val="387"/>
  </w:num>
  <w:num w:numId="1656">
    <w:abstractNumId w:val="12"/>
  </w:num>
  <w:num w:numId="1657">
    <w:abstractNumId w:val="277"/>
  </w:num>
  <w:num w:numId="1658">
    <w:abstractNumId w:val="671"/>
  </w:num>
  <w:num w:numId="1659">
    <w:abstractNumId w:val="1209"/>
  </w:num>
  <w:num w:numId="1660">
    <w:abstractNumId w:val="33"/>
  </w:num>
  <w:num w:numId="1661">
    <w:abstractNumId w:val="788"/>
  </w:num>
  <w:num w:numId="1662">
    <w:abstractNumId w:val="166"/>
  </w:num>
  <w:num w:numId="1663">
    <w:abstractNumId w:val="308"/>
  </w:num>
  <w:num w:numId="1664">
    <w:abstractNumId w:val="577"/>
  </w:num>
  <w:num w:numId="1665">
    <w:abstractNumId w:val="1609"/>
  </w:num>
  <w:num w:numId="1666">
    <w:abstractNumId w:val="1326"/>
  </w:num>
  <w:num w:numId="1667">
    <w:abstractNumId w:val="370"/>
  </w:num>
  <w:num w:numId="1668">
    <w:abstractNumId w:val="6"/>
  </w:num>
  <w:num w:numId="1669">
    <w:abstractNumId w:val="1570"/>
  </w:num>
  <w:num w:numId="1670">
    <w:abstractNumId w:val="181"/>
  </w:num>
  <w:num w:numId="1671">
    <w:abstractNumId w:val="1828"/>
  </w:num>
  <w:num w:numId="1672">
    <w:abstractNumId w:val="229"/>
  </w:num>
  <w:num w:numId="1673">
    <w:abstractNumId w:val="1243"/>
  </w:num>
  <w:num w:numId="1674">
    <w:abstractNumId w:val="1041"/>
  </w:num>
  <w:num w:numId="1675">
    <w:abstractNumId w:val="1120"/>
  </w:num>
  <w:num w:numId="1676">
    <w:abstractNumId w:val="1100"/>
  </w:num>
  <w:num w:numId="1677">
    <w:abstractNumId w:val="591"/>
  </w:num>
  <w:num w:numId="1678">
    <w:abstractNumId w:val="1341"/>
  </w:num>
  <w:num w:numId="1679">
    <w:abstractNumId w:val="427"/>
  </w:num>
  <w:num w:numId="1680">
    <w:abstractNumId w:val="738"/>
  </w:num>
  <w:num w:numId="1681">
    <w:abstractNumId w:val="192"/>
  </w:num>
  <w:num w:numId="1682">
    <w:abstractNumId w:val="829"/>
  </w:num>
  <w:num w:numId="1683">
    <w:abstractNumId w:val="1236"/>
  </w:num>
  <w:num w:numId="1684">
    <w:abstractNumId w:val="818"/>
  </w:num>
  <w:num w:numId="1685">
    <w:abstractNumId w:val="1765"/>
  </w:num>
  <w:num w:numId="1686">
    <w:abstractNumId w:val="1308"/>
  </w:num>
  <w:num w:numId="1687">
    <w:abstractNumId w:val="592"/>
  </w:num>
  <w:num w:numId="1688">
    <w:abstractNumId w:val="700"/>
  </w:num>
  <w:num w:numId="1689">
    <w:abstractNumId w:val="669"/>
  </w:num>
  <w:num w:numId="1690">
    <w:abstractNumId w:val="655"/>
  </w:num>
  <w:num w:numId="1691">
    <w:abstractNumId w:val="1561"/>
  </w:num>
  <w:num w:numId="1692">
    <w:abstractNumId w:val="806"/>
  </w:num>
  <w:num w:numId="1693">
    <w:abstractNumId w:val="1662"/>
  </w:num>
  <w:num w:numId="1694">
    <w:abstractNumId w:val="754"/>
  </w:num>
  <w:num w:numId="1695">
    <w:abstractNumId w:val="1837"/>
  </w:num>
  <w:num w:numId="1696">
    <w:abstractNumId w:val="880"/>
  </w:num>
  <w:num w:numId="1697">
    <w:abstractNumId w:val="1172"/>
  </w:num>
  <w:num w:numId="1698">
    <w:abstractNumId w:val="1777"/>
  </w:num>
  <w:num w:numId="1699">
    <w:abstractNumId w:val="447"/>
  </w:num>
  <w:num w:numId="1700">
    <w:abstractNumId w:val="330"/>
  </w:num>
  <w:num w:numId="1701">
    <w:abstractNumId w:val="1286"/>
  </w:num>
  <w:num w:numId="1702">
    <w:abstractNumId w:val="713"/>
  </w:num>
  <w:num w:numId="1703">
    <w:abstractNumId w:val="194"/>
  </w:num>
  <w:num w:numId="1704">
    <w:abstractNumId w:val="1186"/>
  </w:num>
  <w:num w:numId="1705">
    <w:abstractNumId w:val="1497"/>
  </w:num>
  <w:num w:numId="1706">
    <w:abstractNumId w:val="1125"/>
  </w:num>
  <w:num w:numId="1707">
    <w:abstractNumId w:val="1644"/>
  </w:num>
  <w:num w:numId="1708">
    <w:abstractNumId w:val="539"/>
  </w:num>
  <w:num w:numId="1709">
    <w:abstractNumId w:val="1188"/>
  </w:num>
  <w:num w:numId="1710">
    <w:abstractNumId w:val="545"/>
  </w:num>
  <w:num w:numId="1711">
    <w:abstractNumId w:val="705"/>
  </w:num>
  <w:num w:numId="1712">
    <w:abstractNumId w:val="82"/>
  </w:num>
  <w:num w:numId="1713">
    <w:abstractNumId w:val="1420"/>
  </w:num>
  <w:num w:numId="1714">
    <w:abstractNumId w:val="47"/>
  </w:num>
  <w:num w:numId="1715">
    <w:abstractNumId w:val="149"/>
  </w:num>
  <w:num w:numId="1716">
    <w:abstractNumId w:val="436"/>
  </w:num>
  <w:num w:numId="1717">
    <w:abstractNumId w:val="1008"/>
  </w:num>
  <w:num w:numId="1718">
    <w:abstractNumId w:val="1567"/>
  </w:num>
  <w:num w:numId="1719">
    <w:abstractNumId w:val="594"/>
  </w:num>
  <w:num w:numId="1720">
    <w:abstractNumId w:val="1166"/>
  </w:num>
  <w:num w:numId="1721">
    <w:abstractNumId w:val="566"/>
  </w:num>
  <w:num w:numId="1722">
    <w:abstractNumId w:val="1249"/>
  </w:num>
  <w:num w:numId="1723">
    <w:abstractNumId w:val="319"/>
  </w:num>
  <w:num w:numId="1724">
    <w:abstractNumId w:val="1070"/>
  </w:num>
  <w:num w:numId="1725">
    <w:abstractNumId w:val="287"/>
  </w:num>
  <w:num w:numId="1726">
    <w:abstractNumId w:val="1623"/>
  </w:num>
  <w:num w:numId="1727">
    <w:abstractNumId w:val="1037"/>
  </w:num>
  <w:num w:numId="1728">
    <w:abstractNumId w:val="1577"/>
  </w:num>
  <w:num w:numId="1729">
    <w:abstractNumId w:val="251"/>
  </w:num>
  <w:num w:numId="1730">
    <w:abstractNumId w:val="132"/>
  </w:num>
  <w:num w:numId="1731">
    <w:abstractNumId w:val="839"/>
  </w:num>
  <w:num w:numId="1732">
    <w:abstractNumId w:val="1503"/>
  </w:num>
  <w:num w:numId="1733">
    <w:abstractNumId w:val="899"/>
  </w:num>
  <w:num w:numId="1734">
    <w:abstractNumId w:val="646"/>
  </w:num>
  <w:num w:numId="1735">
    <w:abstractNumId w:val="992"/>
  </w:num>
  <w:num w:numId="1736">
    <w:abstractNumId w:val="286"/>
  </w:num>
  <w:num w:numId="1737">
    <w:abstractNumId w:val="1477"/>
  </w:num>
  <w:num w:numId="1738">
    <w:abstractNumId w:val="977"/>
  </w:num>
  <w:num w:numId="1739">
    <w:abstractNumId w:val="1457"/>
  </w:num>
  <w:num w:numId="1740">
    <w:abstractNumId w:val="1126"/>
  </w:num>
  <w:num w:numId="1741">
    <w:abstractNumId w:val="243"/>
  </w:num>
  <w:num w:numId="1742">
    <w:abstractNumId w:val="693"/>
  </w:num>
  <w:num w:numId="1743">
    <w:abstractNumId w:val="932"/>
  </w:num>
  <w:num w:numId="1744">
    <w:abstractNumId w:val="446"/>
  </w:num>
  <w:num w:numId="1745">
    <w:abstractNumId w:val="784"/>
  </w:num>
  <w:num w:numId="1746">
    <w:abstractNumId w:val="304"/>
  </w:num>
  <w:num w:numId="1747">
    <w:abstractNumId w:val="822"/>
  </w:num>
  <w:num w:numId="1748">
    <w:abstractNumId w:val="1153"/>
  </w:num>
  <w:num w:numId="1749">
    <w:abstractNumId w:val="1271"/>
  </w:num>
  <w:num w:numId="1750">
    <w:abstractNumId w:val="1216"/>
  </w:num>
  <w:num w:numId="1751">
    <w:abstractNumId w:val="1276"/>
  </w:num>
  <w:num w:numId="1752">
    <w:abstractNumId w:val="812"/>
  </w:num>
  <w:num w:numId="1753">
    <w:abstractNumId w:val="635"/>
  </w:num>
  <w:num w:numId="1754">
    <w:abstractNumId w:val="1768"/>
  </w:num>
  <w:num w:numId="1755">
    <w:abstractNumId w:val="1602"/>
  </w:num>
  <w:num w:numId="1756">
    <w:abstractNumId w:val="1787"/>
  </w:num>
  <w:num w:numId="1757">
    <w:abstractNumId w:val="1274"/>
  </w:num>
  <w:num w:numId="1758">
    <w:abstractNumId w:val="27"/>
  </w:num>
  <w:num w:numId="1759">
    <w:abstractNumId w:val="107"/>
  </w:num>
  <w:num w:numId="1760">
    <w:abstractNumId w:val="74"/>
  </w:num>
  <w:num w:numId="1761">
    <w:abstractNumId w:val="895"/>
  </w:num>
  <w:num w:numId="1762">
    <w:abstractNumId w:val="1401"/>
  </w:num>
  <w:num w:numId="1763">
    <w:abstractNumId w:val="821"/>
  </w:num>
  <w:num w:numId="1764">
    <w:abstractNumId w:val="1230"/>
  </w:num>
  <w:num w:numId="1765">
    <w:abstractNumId w:val="423"/>
  </w:num>
  <w:num w:numId="1766">
    <w:abstractNumId w:val="11"/>
  </w:num>
  <w:num w:numId="1767">
    <w:abstractNumId w:val="1324"/>
  </w:num>
  <w:num w:numId="1768">
    <w:abstractNumId w:val="37"/>
  </w:num>
  <w:num w:numId="1769">
    <w:abstractNumId w:val="462"/>
  </w:num>
  <w:num w:numId="1770">
    <w:abstractNumId w:val="1104"/>
  </w:num>
  <w:num w:numId="1771">
    <w:abstractNumId w:val="998"/>
  </w:num>
  <w:num w:numId="1772">
    <w:abstractNumId w:val="557"/>
  </w:num>
  <w:num w:numId="1773">
    <w:abstractNumId w:val="388"/>
  </w:num>
  <w:num w:numId="1774">
    <w:abstractNumId w:val="1298"/>
  </w:num>
  <w:num w:numId="1775">
    <w:abstractNumId w:val="1600"/>
  </w:num>
  <w:num w:numId="1776">
    <w:abstractNumId w:val="1099"/>
  </w:num>
  <w:num w:numId="1777">
    <w:abstractNumId w:val="86"/>
  </w:num>
  <w:num w:numId="1778">
    <w:abstractNumId w:val="1611"/>
  </w:num>
  <w:num w:numId="1779">
    <w:abstractNumId w:val="827"/>
  </w:num>
  <w:num w:numId="1780">
    <w:abstractNumId w:val="1278"/>
  </w:num>
  <w:num w:numId="1781">
    <w:abstractNumId w:val="298"/>
  </w:num>
  <w:num w:numId="1782">
    <w:abstractNumId w:val="1137"/>
  </w:num>
  <w:num w:numId="1783">
    <w:abstractNumId w:val="942"/>
  </w:num>
  <w:num w:numId="1784">
    <w:abstractNumId w:val="1818"/>
  </w:num>
  <w:num w:numId="1785">
    <w:abstractNumId w:val="918"/>
  </w:num>
  <w:num w:numId="1786">
    <w:abstractNumId w:val="4"/>
  </w:num>
  <w:num w:numId="1787">
    <w:abstractNumId w:val="1357"/>
  </w:num>
  <w:num w:numId="1788">
    <w:abstractNumId w:val="1606"/>
  </w:num>
  <w:num w:numId="1789">
    <w:abstractNumId w:val="1363"/>
  </w:num>
  <w:num w:numId="1790">
    <w:abstractNumId w:val="1267"/>
  </w:num>
  <w:num w:numId="1791">
    <w:abstractNumId w:val="1218"/>
  </w:num>
  <w:num w:numId="1792">
    <w:abstractNumId w:val="962"/>
  </w:num>
  <w:num w:numId="1793">
    <w:abstractNumId w:val="223"/>
  </w:num>
  <w:num w:numId="1794">
    <w:abstractNumId w:val="1667"/>
  </w:num>
  <w:num w:numId="1795">
    <w:abstractNumId w:val="798"/>
  </w:num>
  <w:num w:numId="1796">
    <w:abstractNumId w:val="1835"/>
  </w:num>
  <w:num w:numId="1797">
    <w:abstractNumId w:val="1568"/>
  </w:num>
  <w:num w:numId="1798">
    <w:abstractNumId w:val="956"/>
  </w:num>
  <w:num w:numId="1799">
    <w:abstractNumId w:val="517"/>
  </w:num>
  <w:num w:numId="1800">
    <w:abstractNumId w:val="1077"/>
  </w:num>
  <w:num w:numId="1801">
    <w:abstractNumId w:val="1708"/>
  </w:num>
  <w:num w:numId="1802">
    <w:abstractNumId w:val="1229"/>
  </w:num>
  <w:num w:numId="1803">
    <w:abstractNumId w:val="1079"/>
  </w:num>
  <w:num w:numId="1804">
    <w:abstractNumId w:val="923"/>
  </w:num>
  <w:num w:numId="1805">
    <w:abstractNumId w:val="643"/>
  </w:num>
  <w:num w:numId="1806">
    <w:abstractNumId w:val="1052"/>
  </w:num>
  <w:num w:numId="1807">
    <w:abstractNumId w:val="1314"/>
  </w:num>
  <w:num w:numId="1808">
    <w:abstractNumId w:val="1412"/>
  </w:num>
  <w:num w:numId="1809">
    <w:abstractNumId w:val="536"/>
  </w:num>
  <w:num w:numId="1810">
    <w:abstractNumId w:val="965"/>
  </w:num>
  <w:num w:numId="1811">
    <w:abstractNumId w:val="1294"/>
  </w:num>
  <w:num w:numId="1812">
    <w:abstractNumId w:val="641"/>
  </w:num>
  <w:num w:numId="1813">
    <w:abstractNumId w:val="727"/>
  </w:num>
  <w:num w:numId="1814">
    <w:abstractNumId w:val="1705"/>
  </w:num>
  <w:num w:numId="1815">
    <w:abstractNumId w:val="569"/>
  </w:num>
  <w:num w:numId="1816">
    <w:abstractNumId w:val="1310"/>
  </w:num>
  <w:num w:numId="1817">
    <w:abstractNumId w:val="1313"/>
  </w:num>
  <w:num w:numId="1818">
    <w:abstractNumId w:val="1268"/>
  </w:num>
  <w:num w:numId="1819">
    <w:abstractNumId w:val="691"/>
  </w:num>
  <w:num w:numId="1820">
    <w:abstractNumId w:val="868"/>
  </w:num>
  <w:num w:numId="1821">
    <w:abstractNumId w:val="238"/>
  </w:num>
  <w:num w:numId="1822">
    <w:abstractNumId w:val="306"/>
  </w:num>
  <w:num w:numId="1823">
    <w:abstractNumId w:val="664"/>
  </w:num>
  <w:num w:numId="1824">
    <w:abstractNumId w:val="195"/>
  </w:num>
  <w:num w:numId="1825">
    <w:abstractNumId w:val="649"/>
  </w:num>
  <w:num w:numId="1826">
    <w:abstractNumId w:val="1118"/>
  </w:num>
  <w:num w:numId="1827">
    <w:abstractNumId w:val="1500"/>
  </w:num>
  <w:num w:numId="1828">
    <w:abstractNumId w:val="1757"/>
  </w:num>
  <w:num w:numId="1829">
    <w:abstractNumId w:val="816"/>
  </w:num>
  <w:num w:numId="1830">
    <w:abstractNumId w:val="1247"/>
  </w:num>
  <w:num w:numId="1831">
    <w:abstractNumId w:val="1315"/>
  </w:num>
  <w:num w:numId="1832">
    <w:abstractNumId w:val="1666"/>
  </w:num>
  <w:num w:numId="1833">
    <w:abstractNumId w:val="1168"/>
  </w:num>
  <w:num w:numId="1834">
    <w:abstractNumId w:val="1730"/>
  </w:num>
  <w:num w:numId="1835">
    <w:abstractNumId w:val="681"/>
  </w:num>
  <w:num w:numId="1836">
    <w:abstractNumId w:val="421"/>
  </w:num>
  <w:num w:numId="1837">
    <w:abstractNumId w:val="514"/>
  </w:num>
  <w:num w:numId="1838">
    <w:abstractNumId w:val="1098"/>
  </w:num>
  <w:num w:numId="1839">
    <w:abstractNumId w:val="1845"/>
  </w:num>
  <w:num w:numId="1840">
    <w:abstractNumId w:val="911"/>
  </w:num>
  <w:num w:numId="1841">
    <w:abstractNumId w:val="1335"/>
  </w:num>
  <w:num w:numId="1842">
    <w:abstractNumId w:val="334"/>
  </w:num>
  <w:num w:numId="1843">
    <w:abstractNumId w:val="930"/>
  </w:num>
  <w:num w:numId="1844">
    <w:abstractNumId w:val="363"/>
  </w:num>
  <w:num w:numId="1845">
    <w:abstractNumId w:val="1252"/>
  </w:num>
  <w:num w:numId="1846">
    <w:abstractNumId w:val="1530"/>
  </w:num>
  <w:num w:numId="1847">
    <w:abstractNumId w:val="1259"/>
  </w:num>
  <w:num w:numId="1848">
    <w:abstractNumId w:val="1217"/>
  </w:num>
  <w:num w:numId="1849">
    <w:abstractNumId w:val="392"/>
  </w:num>
  <w:num w:numId="1850">
    <w:abstractNumId w:val="1549"/>
  </w:num>
  <w:num w:numId="1851">
    <w:abstractNumId w:val="687"/>
  </w:num>
  <w:num w:numId="1852">
    <w:abstractNumId w:val="996"/>
  </w:num>
  <w:num w:numId="1853">
    <w:abstractNumId w:val="95"/>
  </w:num>
  <w:num w:numId="1854">
    <w:abstractNumId w:val="552"/>
  </w:num>
  <w:num w:numId="1855">
    <w:abstractNumId w:val="1615"/>
  </w:num>
  <w:num w:numId="1856">
    <w:abstractNumId w:val="1616"/>
  </w:num>
  <w:num w:numId="1857">
    <w:abstractNumId w:val="1612"/>
  </w:num>
  <w:num w:numId="1858">
    <w:abstractNumId w:val="1614"/>
  </w:num>
  <w:num w:numId="1859">
    <w:abstractNumId w:val="16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671D8B"/>
    <w:rsid w:val="01212B57"/>
    <w:rsid w:val="04B376EC"/>
    <w:rsid w:val="065C773D"/>
    <w:rsid w:val="07A3706F"/>
    <w:rsid w:val="0D571024"/>
    <w:rsid w:val="13074BEB"/>
    <w:rsid w:val="2982782D"/>
    <w:rsid w:val="2FCF2D5D"/>
    <w:rsid w:val="34023118"/>
    <w:rsid w:val="35386A25"/>
    <w:rsid w:val="3D687F4A"/>
    <w:rsid w:val="4516168F"/>
    <w:rsid w:val="48671D8B"/>
    <w:rsid w:val="5E662055"/>
    <w:rsid w:val="655A1089"/>
    <w:rsid w:val="68A57C4A"/>
    <w:rsid w:val="698341E4"/>
    <w:rsid w:val="6A7D56CC"/>
    <w:rsid w:val="76260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591"/>
      <w:outlineLvl w:val="1"/>
    </w:pPr>
    <w:rPr>
      <w:rFonts w:ascii="宋体" w:hAnsi="宋体" w:eastAsia="宋体" w:cs="宋体"/>
      <w:b/>
      <w:bCs/>
      <w:sz w:val="24"/>
      <w:szCs w:val="24"/>
      <w:lang w:val="zh-CN" w:eastAsia="zh-CN" w:bidi="zh-CN"/>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ind w:left="111"/>
    </w:pPr>
    <w:rPr>
      <w:rFonts w:ascii="宋体" w:hAnsi="宋体" w:eastAsia="宋体" w:cs="宋体"/>
      <w:sz w:val="24"/>
      <w:szCs w:val="24"/>
      <w:lang w:val="zh-CN" w:eastAsia="zh-CN" w:bidi="zh-CN"/>
    </w:rPr>
  </w:style>
  <w:style w:type="paragraph" w:styleId="5">
    <w:name w:val="toc 3"/>
    <w:basedOn w:val="1"/>
    <w:next w:val="1"/>
    <w:qFormat/>
    <w:uiPriority w:val="1"/>
    <w:pPr>
      <w:ind w:left="591"/>
    </w:pPr>
    <w:rPr>
      <w:rFonts w:ascii="宋体" w:hAnsi="宋体" w:eastAsia="宋体" w:cs="宋体"/>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qFormat/>
    <w:uiPriority w:val="1"/>
    <w:pPr>
      <w:spacing w:before="173"/>
      <w:ind w:right="268"/>
      <w:jc w:val="right"/>
    </w:pPr>
    <w:rPr>
      <w:rFonts w:ascii="宋体" w:hAnsi="宋体" w:eastAsia="宋体" w:cs="宋体"/>
      <w:sz w:val="24"/>
      <w:szCs w:val="24"/>
      <w:lang w:val="zh-CN" w:eastAsia="zh-CN" w:bidi="zh-CN"/>
    </w:rPr>
  </w:style>
  <w:style w:type="paragraph" w:styleId="8">
    <w:name w:val="toc 2"/>
    <w:basedOn w:val="1"/>
    <w:next w:val="1"/>
    <w:qFormat/>
    <w:uiPriority w:val="1"/>
    <w:pPr>
      <w:spacing w:before="40"/>
      <w:ind w:left="586"/>
    </w:pPr>
    <w:rPr>
      <w:rFonts w:ascii="Microsoft JhengHei" w:hAnsi="Microsoft JhengHei" w:eastAsia="Microsoft JhengHei" w:cs="Microsoft JhengHei"/>
      <w:b/>
      <w:bCs/>
      <w:sz w:val="28"/>
      <w:szCs w:val="28"/>
      <w:lang w:val="zh-CN" w:eastAsia="zh-CN" w:bidi="zh-CN"/>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Hyperlink"/>
    <w:basedOn w:val="11"/>
    <w:qFormat/>
    <w:uiPriority w:val="0"/>
    <w:rPr>
      <w:color w:val="0000FF"/>
      <w:u w:val="single"/>
    </w:rPr>
  </w:style>
  <w:style w:type="paragraph" w:styleId="13">
    <w:name w:val="List Paragraph"/>
    <w:basedOn w:val="1"/>
    <w:qFormat/>
    <w:uiPriority w:val="1"/>
    <w:pPr>
      <w:ind w:left="1192" w:hanging="60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footer" Target="footer97.xml"/><Relationship Id="rId98" Type="http://schemas.openxmlformats.org/officeDocument/2006/relationships/footer" Target="footer96.xml"/><Relationship Id="rId97" Type="http://schemas.openxmlformats.org/officeDocument/2006/relationships/footer" Target="footer95.xml"/><Relationship Id="rId96" Type="http://schemas.openxmlformats.org/officeDocument/2006/relationships/footer" Target="footer94.xml"/><Relationship Id="rId95" Type="http://schemas.openxmlformats.org/officeDocument/2006/relationships/footer" Target="footer93.xml"/><Relationship Id="rId94" Type="http://schemas.openxmlformats.org/officeDocument/2006/relationships/footer" Target="footer92.xml"/><Relationship Id="rId93" Type="http://schemas.openxmlformats.org/officeDocument/2006/relationships/footer" Target="footer91.xml"/><Relationship Id="rId92" Type="http://schemas.openxmlformats.org/officeDocument/2006/relationships/footer" Target="footer90.xml"/><Relationship Id="rId91" Type="http://schemas.openxmlformats.org/officeDocument/2006/relationships/footer" Target="footer89.xml"/><Relationship Id="rId90" Type="http://schemas.openxmlformats.org/officeDocument/2006/relationships/footer" Target="footer88.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0" Type="http://schemas.openxmlformats.org/officeDocument/2006/relationships/fontTable" Target="fontTable.xml"/><Relationship Id="rId20" Type="http://schemas.openxmlformats.org/officeDocument/2006/relationships/footer" Target="footer18.xml"/><Relationship Id="rId2" Type="http://schemas.openxmlformats.org/officeDocument/2006/relationships/settings" Target="settings.xml"/><Relationship Id="rId199" Type="http://schemas.openxmlformats.org/officeDocument/2006/relationships/numbering" Target="numbering.xml"/><Relationship Id="rId198" Type="http://schemas.openxmlformats.org/officeDocument/2006/relationships/customXml" Target="../customXml/item1.xml"/><Relationship Id="rId197" Type="http://schemas.openxmlformats.org/officeDocument/2006/relationships/theme" Target="theme/theme1.xml"/><Relationship Id="rId196" Type="http://schemas.openxmlformats.org/officeDocument/2006/relationships/footer" Target="footer194.xml"/><Relationship Id="rId195" Type="http://schemas.openxmlformats.org/officeDocument/2006/relationships/footer" Target="footer193.xml"/><Relationship Id="rId194" Type="http://schemas.openxmlformats.org/officeDocument/2006/relationships/footer" Target="footer192.xml"/><Relationship Id="rId193" Type="http://schemas.openxmlformats.org/officeDocument/2006/relationships/footer" Target="footer191.xml"/><Relationship Id="rId192" Type="http://schemas.openxmlformats.org/officeDocument/2006/relationships/footer" Target="footer190.xml"/><Relationship Id="rId191" Type="http://schemas.openxmlformats.org/officeDocument/2006/relationships/footer" Target="footer189.xml"/><Relationship Id="rId190" Type="http://schemas.openxmlformats.org/officeDocument/2006/relationships/footer" Target="footer188.xml"/><Relationship Id="rId19" Type="http://schemas.openxmlformats.org/officeDocument/2006/relationships/footer" Target="footer17.xml"/><Relationship Id="rId189" Type="http://schemas.openxmlformats.org/officeDocument/2006/relationships/footer" Target="footer187.xml"/><Relationship Id="rId188" Type="http://schemas.openxmlformats.org/officeDocument/2006/relationships/footer" Target="footer186.xml"/><Relationship Id="rId187" Type="http://schemas.openxmlformats.org/officeDocument/2006/relationships/footer" Target="footer185.xml"/><Relationship Id="rId186" Type="http://schemas.openxmlformats.org/officeDocument/2006/relationships/footer" Target="footer184.xml"/><Relationship Id="rId185" Type="http://schemas.openxmlformats.org/officeDocument/2006/relationships/footer" Target="footer183.xml"/><Relationship Id="rId184" Type="http://schemas.openxmlformats.org/officeDocument/2006/relationships/footer" Target="footer182.xml"/><Relationship Id="rId183" Type="http://schemas.openxmlformats.org/officeDocument/2006/relationships/footer" Target="footer181.xml"/><Relationship Id="rId182" Type="http://schemas.openxmlformats.org/officeDocument/2006/relationships/footer" Target="footer180.xml"/><Relationship Id="rId181" Type="http://schemas.openxmlformats.org/officeDocument/2006/relationships/footer" Target="footer179.xml"/><Relationship Id="rId180" Type="http://schemas.openxmlformats.org/officeDocument/2006/relationships/footer" Target="footer178.xml"/><Relationship Id="rId18" Type="http://schemas.openxmlformats.org/officeDocument/2006/relationships/footer" Target="footer16.xml"/><Relationship Id="rId179" Type="http://schemas.openxmlformats.org/officeDocument/2006/relationships/footer" Target="footer177.xml"/><Relationship Id="rId178" Type="http://schemas.openxmlformats.org/officeDocument/2006/relationships/footer" Target="footer176.xml"/><Relationship Id="rId177" Type="http://schemas.openxmlformats.org/officeDocument/2006/relationships/footer" Target="footer175.xml"/><Relationship Id="rId176" Type="http://schemas.openxmlformats.org/officeDocument/2006/relationships/footer" Target="footer174.xml"/><Relationship Id="rId175" Type="http://schemas.openxmlformats.org/officeDocument/2006/relationships/footer" Target="footer173.xml"/><Relationship Id="rId174" Type="http://schemas.openxmlformats.org/officeDocument/2006/relationships/footer" Target="footer172.xml"/><Relationship Id="rId173" Type="http://schemas.openxmlformats.org/officeDocument/2006/relationships/footer" Target="footer171.xml"/><Relationship Id="rId172" Type="http://schemas.openxmlformats.org/officeDocument/2006/relationships/footer" Target="footer170.xml"/><Relationship Id="rId171" Type="http://schemas.openxmlformats.org/officeDocument/2006/relationships/footer" Target="footer169.xml"/><Relationship Id="rId170" Type="http://schemas.openxmlformats.org/officeDocument/2006/relationships/footer" Target="footer168.xml"/><Relationship Id="rId17" Type="http://schemas.openxmlformats.org/officeDocument/2006/relationships/footer" Target="footer15.xml"/><Relationship Id="rId169" Type="http://schemas.openxmlformats.org/officeDocument/2006/relationships/footer" Target="footer167.xml"/><Relationship Id="rId168" Type="http://schemas.openxmlformats.org/officeDocument/2006/relationships/footer" Target="footer166.xml"/><Relationship Id="rId167" Type="http://schemas.openxmlformats.org/officeDocument/2006/relationships/footer" Target="footer165.xml"/><Relationship Id="rId166" Type="http://schemas.openxmlformats.org/officeDocument/2006/relationships/footer" Target="footer164.xml"/><Relationship Id="rId165" Type="http://schemas.openxmlformats.org/officeDocument/2006/relationships/footer" Target="footer163.xml"/><Relationship Id="rId164" Type="http://schemas.openxmlformats.org/officeDocument/2006/relationships/footer" Target="footer162.xml"/><Relationship Id="rId163" Type="http://schemas.openxmlformats.org/officeDocument/2006/relationships/footer" Target="footer161.xml"/><Relationship Id="rId162" Type="http://schemas.openxmlformats.org/officeDocument/2006/relationships/footer" Target="footer160.xml"/><Relationship Id="rId161" Type="http://schemas.openxmlformats.org/officeDocument/2006/relationships/footer" Target="footer159.xml"/><Relationship Id="rId160" Type="http://schemas.openxmlformats.org/officeDocument/2006/relationships/footer" Target="footer158.xml"/><Relationship Id="rId16" Type="http://schemas.openxmlformats.org/officeDocument/2006/relationships/footer" Target="footer14.xml"/><Relationship Id="rId159" Type="http://schemas.openxmlformats.org/officeDocument/2006/relationships/footer" Target="footer157.xml"/><Relationship Id="rId158" Type="http://schemas.openxmlformats.org/officeDocument/2006/relationships/footer" Target="footer156.xml"/><Relationship Id="rId157" Type="http://schemas.openxmlformats.org/officeDocument/2006/relationships/footer" Target="footer155.xml"/><Relationship Id="rId156" Type="http://schemas.openxmlformats.org/officeDocument/2006/relationships/footer" Target="footer154.xml"/><Relationship Id="rId155" Type="http://schemas.openxmlformats.org/officeDocument/2006/relationships/footer" Target="footer153.xml"/><Relationship Id="rId154" Type="http://schemas.openxmlformats.org/officeDocument/2006/relationships/footer" Target="footer152.xml"/><Relationship Id="rId153" Type="http://schemas.openxmlformats.org/officeDocument/2006/relationships/footer" Target="footer151.xml"/><Relationship Id="rId152" Type="http://schemas.openxmlformats.org/officeDocument/2006/relationships/footer" Target="footer150.xml"/><Relationship Id="rId151" Type="http://schemas.openxmlformats.org/officeDocument/2006/relationships/footer" Target="footer149.xml"/><Relationship Id="rId150" Type="http://schemas.openxmlformats.org/officeDocument/2006/relationships/footer" Target="footer148.xml"/><Relationship Id="rId15" Type="http://schemas.openxmlformats.org/officeDocument/2006/relationships/footer" Target="footer13.xml"/><Relationship Id="rId149" Type="http://schemas.openxmlformats.org/officeDocument/2006/relationships/footer" Target="footer147.xml"/><Relationship Id="rId148" Type="http://schemas.openxmlformats.org/officeDocument/2006/relationships/footer" Target="footer146.xml"/><Relationship Id="rId147" Type="http://schemas.openxmlformats.org/officeDocument/2006/relationships/footer" Target="footer145.xml"/><Relationship Id="rId146" Type="http://schemas.openxmlformats.org/officeDocument/2006/relationships/footer" Target="footer144.xml"/><Relationship Id="rId145" Type="http://schemas.openxmlformats.org/officeDocument/2006/relationships/footer" Target="footer143.xml"/><Relationship Id="rId144" Type="http://schemas.openxmlformats.org/officeDocument/2006/relationships/footer" Target="footer142.xml"/><Relationship Id="rId143" Type="http://schemas.openxmlformats.org/officeDocument/2006/relationships/footer" Target="footer141.xml"/><Relationship Id="rId142" Type="http://schemas.openxmlformats.org/officeDocument/2006/relationships/footer" Target="footer140.xml"/><Relationship Id="rId141" Type="http://schemas.openxmlformats.org/officeDocument/2006/relationships/footer" Target="footer139.xml"/><Relationship Id="rId140" Type="http://schemas.openxmlformats.org/officeDocument/2006/relationships/footer" Target="footer138.xml"/><Relationship Id="rId14" Type="http://schemas.openxmlformats.org/officeDocument/2006/relationships/footer" Target="footer12.xml"/><Relationship Id="rId139" Type="http://schemas.openxmlformats.org/officeDocument/2006/relationships/footer" Target="footer137.xml"/><Relationship Id="rId138" Type="http://schemas.openxmlformats.org/officeDocument/2006/relationships/footer" Target="footer136.xml"/><Relationship Id="rId137" Type="http://schemas.openxmlformats.org/officeDocument/2006/relationships/footer" Target="footer135.xml"/><Relationship Id="rId136" Type="http://schemas.openxmlformats.org/officeDocument/2006/relationships/footer" Target="footer134.xml"/><Relationship Id="rId135" Type="http://schemas.openxmlformats.org/officeDocument/2006/relationships/footer" Target="footer133.xml"/><Relationship Id="rId134" Type="http://schemas.openxmlformats.org/officeDocument/2006/relationships/footer" Target="footer132.xml"/><Relationship Id="rId133" Type="http://schemas.openxmlformats.org/officeDocument/2006/relationships/footer" Target="footer131.xml"/><Relationship Id="rId132" Type="http://schemas.openxmlformats.org/officeDocument/2006/relationships/footer" Target="footer130.xml"/><Relationship Id="rId131" Type="http://schemas.openxmlformats.org/officeDocument/2006/relationships/footer" Target="footer129.xml"/><Relationship Id="rId130" Type="http://schemas.openxmlformats.org/officeDocument/2006/relationships/footer" Target="footer128.xml"/><Relationship Id="rId13" Type="http://schemas.openxmlformats.org/officeDocument/2006/relationships/footer" Target="footer11.xml"/><Relationship Id="rId129" Type="http://schemas.openxmlformats.org/officeDocument/2006/relationships/footer" Target="footer127.xml"/><Relationship Id="rId128" Type="http://schemas.openxmlformats.org/officeDocument/2006/relationships/footer" Target="footer126.xml"/><Relationship Id="rId127" Type="http://schemas.openxmlformats.org/officeDocument/2006/relationships/footer" Target="footer125.xml"/><Relationship Id="rId126" Type="http://schemas.openxmlformats.org/officeDocument/2006/relationships/footer" Target="footer124.xml"/><Relationship Id="rId125" Type="http://schemas.openxmlformats.org/officeDocument/2006/relationships/footer" Target="footer123.xml"/><Relationship Id="rId124" Type="http://schemas.openxmlformats.org/officeDocument/2006/relationships/footer" Target="footer122.xml"/><Relationship Id="rId123" Type="http://schemas.openxmlformats.org/officeDocument/2006/relationships/footer" Target="footer121.xml"/><Relationship Id="rId122" Type="http://schemas.openxmlformats.org/officeDocument/2006/relationships/footer" Target="footer120.xml"/><Relationship Id="rId121" Type="http://schemas.openxmlformats.org/officeDocument/2006/relationships/footer" Target="footer119.xml"/><Relationship Id="rId120" Type="http://schemas.openxmlformats.org/officeDocument/2006/relationships/footer" Target="footer118.xml"/><Relationship Id="rId12" Type="http://schemas.openxmlformats.org/officeDocument/2006/relationships/footer" Target="footer10.xml"/><Relationship Id="rId119" Type="http://schemas.openxmlformats.org/officeDocument/2006/relationships/footer" Target="footer117.xml"/><Relationship Id="rId118" Type="http://schemas.openxmlformats.org/officeDocument/2006/relationships/footer" Target="footer116.xml"/><Relationship Id="rId117" Type="http://schemas.openxmlformats.org/officeDocument/2006/relationships/footer" Target="footer115.xml"/><Relationship Id="rId116" Type="http://schemas.openxmlformats.org/officeDocument/2006/relationships/footer" Target="footer114.xml"/><Relationship Id="rId115" Type="http://schemas.openxmlformats.org/officeDocument/2006/relationships/footer" Target="footer113.xml"/><Relationship Id="rId114" Type="http://schemas.openxmlformats.org/officeDocument/2006/relationships/footer" Target="footer112.xml"/><Relationship Id="rId113" Type="http://schemas.openxmlformats.org/officeDocument/2006/relationships/footer" Target="footer111.xml"/><Relationship Id="rId112" Type="http://schemas.openxmlformats.org/officeDocument/2006/relationships/footer" Target="footer110.xml"/><Relationship Id="rId111" Type="http://schemas.openxmlformats.org/officeDocument/2006/relationships/footer" Target="footer109.xml"/><Relationship Id="rId110" Type="http://schemas.openxmlformats.org/officeDocument/2006/relationships/footer" Target="footer108.xml"/><Relationship Id="rId11" Type="http://schemas.openxmlformats.org/officeDocument/2006/relationships/footer" Target="footer9.xml"/><Relationship Id="rId109" Type="http://schemas.openxmlformats.org/officeDocument/2006/relationships/footer" Target="footer107.xml"/><Relationship Id="rId108" Type="http://schemas.openxmlformats.org/officeDocument/2006/relationships/footer" Target="footer106.xml"/><Relationship Id="rId107" Type="http://schemas.openxmlformats.org/officeDocument/2006/relationships/footer" Target="footer105.xml"/><Relationship Id="rId106" Type="http://schemas.openxmlformats.org/officeDocument/2006/relationships/footer" Target="footer104.xml"/><Relationship Id="rId105" Type="http://schemas.openxmlformats.org/officeDocument/2006/relationships/footer" Target="footer103.xml"/><Relationship Id="rId104" Type="http://schemas.openxmlformats.org/officeDocument/2006/relationships/footer" Target="footer102.xml"/><Relationship Id="rId103" Type="http://schemas.openxmlformats.org/officeDocument/2006/relationships/footer" Target="footer101.xml"/><Relationship Id="rId102" Type="http://schemas.openxmlformats.org/officeDocument/2006/relationships/footer" Target="footer100.xml"/><Relationship Id="rId101" Type="http://schemas.openxmlformats.org/officeDocument/2006/relationships/footer" Target="footer99.xml"/><Relationship Id="rId100" Type="http://schemas.openxmlformats.org/officeDocument/2006/relationships/footer" Target="footer98.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54</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2020-11-05T08:32:00Z</dcterms:created>
  <dc:creator>向阳花</dc:creator>
  <cp:lastModifiedBy>向阳花</cp:lastModifiedBy>
  <cp:lastPrinted>2020-11-17T08:45:00Z</cp:lastPrinted>
  <dcterms:modified xsi:type="dcterms:W3CDTF">2020-11-23T01:41:36Z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