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BC7B08">
        <w:tc>
          <w:tcPr>
            <w:tcW w:w="509" w:type="dxa"/>
          </w:tcPr>
          <w:p w:rsidR="00BC7B08" w:rsidRDefault="00C4356C">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BC7B08" w:rsidRDefault="00C4356C">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ICS</w:t>
            </w:r>
            <w:r>
              <w:rPr>
                <w:rFonts w:ascii="黑体" w:eastAsia="黑体" w:hAnsi="黑体"/>
                <w:sz w:val="21"/>
                <w:szCs w:val="21"/>
              </w:rPr>
              <w:t>号</w:t>
            </w:r>
            <w:r>
              <w:rPr>
                <w:rFonts w:ascii="黑体" w:eastAsia="黑体" w:hAnsi="黑体"/>
                <w:sz w:val="21"/>
                <w:szCs w:val="21"/>
              </w:rPr>
              <w:fldChar w:fldCharType="end"/>
            </w:r>
            <w:bookmarkEnd w:id="0"/>
          </w:p>
        </w:tc>
      </w:tr>
      <w:tr w:rsidR="00BC7B08">
        <w:tc>
          <w:tcPr>
            <w:tcW w:w="509" w:type="dxa"/>
          </w:tcPr>
          <w:p w:rsidR="00BC7B08" w:rsidRDefault="00C4356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BC7B08" w:rsidRDefault="00C4356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BC7B08">
        <w:tc>
          <w:tcPr>
            <w:tcW w:w="6407" w:type="dxa"/>
          </w:tcPr>
          <w:p w:rsidR="00BC7B08" w:rsidRDefault="00C4356C">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3704</w:t>
            </w:r>
            <w:r>
              <w:fldChar w:fldCharType="end"/>
            </w:r>
            <w:bookmarkEnd w:id="3"/>
          </w:p>
        </w:tc>
      </w:tr>
    </w:tbl>
    <w:p w:rsidR="00BC7B08" w:rsidRDefault="00C4356C">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枣庄市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BC7B08" w:rsidRDefault="00C4356C">
      <w:pPr>
        <w:pStyle w:val="afffffffffb"/>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3704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BC7B08" w:rsidRDefault="00C4356C">
      <w:pPr>
        <w:pStyle w:val="afffffffffc"/>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BC7B08" w:rsidRDefault="00C4356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rsidR="00BC7B08" w:rsidRDefault="00BC7B08">
      <w:pPr>
        <w:pStyle w:val="affff9"/>
        <w:framePr w:w="9639" w:h="6976" w:hRule="exact" w:hSpace="0" w:vSpace="0" w:wrap="around" w:hAnchor="page" w:y="6408"/>
        <w:jc w:val="center"/>
        <w:rPr>
          <w:rFonts w:ascii="黑体" w:eastAsia="黑体" w:hAnsi="黑体"/>
          <w:b w:val="0"/>
          <w:bCs w:val="0"/>
          <w:w w:val="100"/>
        </w:rPr>
      </w:pPr>
    </w:p>
    <w:p w:rsidR="00BC7B08" w:rsidRDefault="00C4356C">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伏里土陶</w:t>
      </w:r>
      <w:r>
        <w:fldChar w:fldCharType="end"/>
      </w:r>
      <w:bookmarkEnd w:id="9"/>
    </w:p>
    <w:p w:rsidR="00BC7B08" w:rsidRDefault="00BC7B08">
      <w:pPr>
        <w:framePr w:w="9639" w:h="6974" w:hRule="exact" w:wrap="around" w:vAnchor="page" w:hAnchor="page" w:x="1419" w:y="6408" w:anchorLock="1"/>
        <w:ind w:left="-1418"/>
      </w:pPr>
    </w:p>
    <w:p w:rsidR="00BC7B08" w:rsidRDefault="00C4356C">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rsidR="00BC7B08" w:rsidRDefault="00BC7B08">
      <w:pPr>
        <w:framePr w:w="9639" w:h="6974" w:hRule="exact" w:wrap="around" w:vAnchor="page" w:hAnchor="page" w:x="1419" w:y="6408" w:anchorLock="1"/>
        <w:spacing w:line="760" w:lineRule="exact"/>
        <w:ind w:left="-1418"/>
      </w:pPr>
    </w:p>
    <w:p w:rsidR="00BC7B08" w:rsidRDefault="00BC7B08">
      <w:pPr>
        <w:pStyle w:val="afffffff1"/>
        <w:framePr w:w="9639" w:h="6974" w:hRule="exact" w:wrap="around" w:vAnchor="page" w:hAnchor="page" w:x="1419" w:y="6408" w:anchorLock="1"/>
        <w:textAlignment w:val="bottom"/>
        <w:rPr>
          <w:rFonts w:eastAsia="黑体"/>
          <w:szCs w:val="28"/>
        </w:rPr>
      </w:pPr>
    </w:p>
    <w:p w:rsidR="00BC7B08" w:rsidRDefault="00C4356C">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BC7B08" w:rsidRDefault="00C4356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BC7B08" w:rsidRDefault="00C4356C">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BC7B08" w:rsidRDefault="00C4356C">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BC7B08" w:rsidRDefault="00C4356C">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BC7B08" w:rsidRDefault="00C4356C">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枣庄市市场监督管理局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BC7B08" w:rsidRDefault="00C4356C">
      <w:pPr>
        <w:rPr>
          <w:rFonts w:ascii="宋体" w:hAnsi="宋体"/>
          <w:sz w:val="28"/>
          <w:szCs w:val="28"/>
        </w:rPr>
        <w:sectPr w:rsidR="00BC7B0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rsidR="00BC7B08" w:rsidRDefault="00C4356C">
      <w:pPr>
        <w:pStyle w:val="a6"/>
        <w:spacing w:after="468"/>
      </w:pPr>
      <w:bookmarkStart w:id="21" w:name="BookMark2"/>
      <w:r>
        <w:rPr>
          <w:spacing w:val="320"/>
        </w:rPr>
        <w:lastRenderedPageBreak/>
        <w:t>前</w:t>
      </w:r>
      <w:r>
        <w:t>言</w:t>
      </w:r>
    </w:p>
    <w:p w:rsidR="00BC7B08" w:rsidRDefault="00C4356C">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BC7B08" w:rsidRDefault="00C4356C">
      <w:pPr>
        <w:pStyle w:val="affffe"/>
        <w:ind w:firstLine="420"/>
      </w:pPr>
      <w:r>
        <w:rPr>
          <w:rFonts w:hint="eastAsia"/>
        </w:rPr>
        <w:t>本文件由</w:t>
      </w:r>
      <w:proofErr w:type="gramStart"/>
      <w:r>
        <w:rPr>
          <w:rFonts w:hint="eastAsia"/>
        </w:rPr>
        <w:t>枣庄市伏里</w:t>
      </w:r>
      <w:proofErr w:type="gramEnd"/>
      <w:r>
        <w:rPr>
          <w:rFonts w:hint="eastAsia"/>
        </w:rPr>
        <w:t>土陶研究协会提出。</w:t>
      </w:r>
    </w:p>
    <w:p w:rsidR="00BC7B08" w:rsidRDefault="00C4356C">
      <w:pPr>
        <w:pStyle w:val="affffe"/>
        <w:ind w:firstLine="420"/>
      </w:pPr>
      <w:r>
        <w:rPr>
          <w:rFonts w:hint="eastAsia"/>
        </w:rPr>
        <w:t>本文件由</w:t>
      </w:r>
      <w:r>
        <w:rPr>
          <w:rFonts w:hint="eastAsia"/>
        </w:rPr>
        <w:t>XXX</w:t>
      </w:r>
      <w:r>
        <w:rPr>
          <w:rFonts w:hint="eastAsia"/>
        </w:rPr>
        <w:t>归口。</w:t>
      </w:r>
    </w:p>
    <w:p w:rsidR="00BC7B08" w:rsidRDefault="00C4356C">
      <w:pPr>
        <w:pStyle w:val="affffe"/>
        <w:ind w:firstLine="420"/>
      </w:pPr>
      <w:r>
        <w:rPr>
          <w:rFonts w:hint="eastAsia"/>
        </w:rPr>
        <w:t>本文件起草单位：</w:t>
      </w:r>
      <w:proofErr w:type="gramStart"/>
      <w:r>
        <w:rPr>
          <w:rFonts w:hint="eastAsia"/>
        </w:rPr>
        <w:t>枣庄市伏里</w:t>
      </w:r>
      <w:proofErr w:type="gramEnd"/>
      <w:r>
        <w:rPr>
          <w:rFonts w:hint="eastAsia"/>
        </w:rPr>
        <w:t>土陶研究协会</w:t>
      </w:r>
      <w:r>
        <w:rPr>
          <w:rFonts w:hint="eastAsia"/>
        </w:rPr>
        <w:t>。</w:t>
      </w:r>
    </w:p>
    <w:p w:rsidR="00BC7B08" w:rsidRDefault="00C4356C">
      <w:pPr>
        <w:pStyle w:val="affffe"/>
        <w:ind w:firstLine="420"/>
      </w:pPr>
      <w:r>
        <w:rPr>
          <w:rFonts w:hint="eastAsia"/>
        </w:rPr>
        <w:t>本文件主要起草人：甘信喜、甘志友、甘言军、甘言地、甘志连、甘志彬、甘信华</w:t>
      </w:r>
      <w:r>
        <w:rPr>
          <w:rFonts w:hint="eastAsia"/>
        </w:rPr>
        <w:t>。</w:t>
      </w:r>
    </w:p>
    <w:p w:rsidR="00BC7B08" w:rsidRDefault="00BC7B08">
      <w:pPr>
        <w:pStyle w:val="affffe"/>
        <w:ind w:firstLine="420"/>
      </w:pPr>
    </w:p>
    <w:p w:rsidR="00BC7B08" w:rsidRDefault="00BC7B08">
      <w:pPr>
        <w:pStyle w:val="affffe"/>
        <w:ind w:firstLine="420"/>
        <w:sectPr w:rsidR="00BC7B08">
          <w:headerReference w:type="even" r:id="rId18"/>
          <w:headerReference w:type="default" r:id="rId19"/>
          <w:footerReference w:type="default" r:id="rId20"/>
          <w:pgSz w:w="11906" w:h="16838"/>
          <w:pgMar w:top="567" w:right="1134" w:bottom="1134" w:left="1134" w:header="1418" w:footer="1134" w:gutter="284"/>
          <w:pgNumType w:fmt="upperRoman" w:start="1"/>
          <w:cols w:space="425"/>
          <w:formProt w:val="0"/>
          <w:docGrid w:type="lines" w:linePitch="312"/>
        </w:sectPr>
      </w:pPr>
    </w:p>
    <w:p w:rsidR="00BC7B08" w:rsidRDefault="00BC7B08">
      <w:pPr>
        <w:spacing w:line="20" w:lineRule="exact"/>
        <w:jc w:val="center"/>
        <w:rPr>
          <w:rFonts w:ascii="黑体" w:eastAsia="黑体" w:hAnsi="黑体"/>
          <w:sz w:val="32"/>
          <w:szCs w:val="32"/>
        </w:rPr>
      </w:pPr>
      <w:bookmarkStart w:id="22" w:name="BookMark4"/>
      <w:bookmarkEnd w:id="21"/>
    </w:p>
    <w:p w:rsidR="00BC7B08" w:rsidRDefault="00BC7B08">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37570786EC874A19BE3F6C962393EFDB"/>
        </w:placeholder>
      </w:sdtPr>
      <w:sdtEndPr/>
      <w:sdtContent>
        <w:p w:rsidR="00BC7B08" w:rsidRDefault="00C4356C">
          <w:pPr>
            <w:pStyle w:val="afffffffff1"/>
            <w:spacing w:beforeLines="100" w:before="312" w:afterLines="220" w:after="686"/>
          </w:pPr>
          <w:r>
            <w:rPr>
              <w:rFonts w:hint="eastAsia"/>
            </w:rPr>
            <w:t>伏里土陶</w:t>
          </w:r>
        </w:p>
      </w:sdtContent>
    </w:sdt>
    <w:p w:rsidR="00BC7B08" w:rsidRDefault="00C4356C">
      <w:pPr>
        <w:pStyle w:val="affc"/>
        <w:spacing w:before="312" w:after="312"/>
      </w:pPr>
      <w:bookmarkStart w:id="24" w:name="_Toc24884218"/>
      <w:bookmarkStart w:id="25" w:name="_Toc26718930"/>
      <w:bookmarkStart w:id="26" w:name="_Toc26648465"/>
      <w:bookmarkStart w:id="27" w:name="_Toc24884211"/>
      <w:bookmarkStart w:id="28" w:name="_Toc26986771"/>
      <w:bookmarkStart w:id="29" w:name="_Toc26986530"/>
      <w:bookmarkStart w:id="30" w:name="_Toc17233325"/>
      <w:bookmarkStart w:id="31" w:name="_Toc17233333"/>
      <w:bookmarkEnd w:id="23"/>
      <w:r>
        <w:rPr>
          <w:rFonts w:hint="eastAsia"/>
        </w:rPr>
        <w:t>范围</w:t>
      </w:r>
      <w:bookmarkEnd w:id="24"/>
      <w:bookmarkEnd w:id="25"/>
      <w:bookmarkEnd w:id="26"/>
      <w:bookmarkEnd w:id="27"/>
      <w:bookmarkEnd w:id="28"/>
      <w:bookmarkEnd w:id="29"/>
      <w:bookmarkEnd w:id="30"/>
      <w:bookmarkEnd w:id="31"/>
    </w:p>
    <w:p w:rsidR="00BC7B08" w:rsidRDefault="00C4356C">
      <w:pPr>
        <w:pStyle w:val="affffe"/>
        <w:ind w:firstLine="420"/>
      </w:pPr>
      <w:bookmarkStart w:id="32" w:name="_Toc26648466"/>
      <w:bookmarkStart w:id="33" w:name="_Toc17233334"/>
      <w:bookmarkStart w:id="34" w:name="_Toc17233326"/>
      <w:bookmarkStart w:id="35" w:name="_Toc24884219"/>
      <w:bookmarkStart w:id="36" w:name="_Toc24884212"/>
      <w:r>
        <w:rPr>
          <w:rFonts w:hint="eastAsia"/>
        </w:rPr>
        <w:t>本标准规定了伏里土陶的术语和定义、产品分类、要求、试验方法、检验规则、标志、包装、运输和贮存。</w:t>
      </w:r>
    </w:p>
    <w:p w:rsidR="00BC7B08" w:rsidRDefault="00C4356C">
      <w:pPr>
        <w:pStyle w:val="affffe"/>
        <w:ind w:firstLine="420"/>
      </w:pPr>
      <w:r>
        <w:rPr>
          <w:rFonts w:hint="eastAsia"/>
        </w:rPr>
        <w:t>本标准适用于伏里土陶产品：祭祀、赏玩、生活用品。</w:t>
      </w:r>
    </w:p>
    <w:p w:rsidR="00BC7B08" w:rsidRDefault="00C4356C">
      <w:pPr>
        <w:pStyle w:val="affc"/>
        <w:spacing w:before="312" w:after="312"/>
      </w:pPr>
      <w:bookmarkStart w:id="37" w:name="_Toc26986531"/>
      <w:bookmarkStart w:id="38" w:name="_Toc26986772"/>
      <w:bookmarkStart w:id="39" w:name="_Toc267189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B8906C55FC1A4AC3A76E69C4E63B17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C7B08" w:rsidRDefault="00C4356C">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C7B08" w:rsidRDefault="00C4356C">
      <w:pPr>
        <w:pStyle w:val="affffe"/>
        <w:ind w:firstLine="420"/>
      </w:pPr>
      <w:r>
        <w:rPr>
          <w:rFonts w:hint="eastAsia"/>
        </w:rPr>
        <w:t xml:space="preserve">GB/T 2828.1   </w:t>
      </w:r>
      <w:r>
        <w:rPr>
          <w:rFonts w:hint="eastAsia"/>
        </w:rPr>
        <w:t>计数抽样检验程序</w:t>
      </w:r>
      <w:r>
        <w:rPr>
          <w:rFonts w:hint="eastAsia"/>
        </w:rPr>
        <w:t xml:space="preserve"> </w:t>
      </w:r>
      <w:r>
        <w:rPr>
          <w:rFonts w:hint="eastAsia"/>
        </w:rPr>
        <w:t>第</w:t>
      </w:r>
      <w:r>
        <w:rPr>
          <w:rFonts w:hint="eastAsia"/>
        </w:rPr>
        <w:t>1</w:t>
      </w:r>
      <w:r>
        <w:rPr>
          <w:rFonts w:hint="eastAsia"/>
        </w:rPr>
        <w:t>部分：按接收质量限（</w:t>
      </w:r>
      <w:r>
        <w:rPr>
          <w:rFonts w:hint="eastAsia"/>
        </w:rPr>
        <w:t>AQL</w:t>
      </w:r>
      <w:r>
        <w:rPr>
          <w:rFonts w:hint="eastAsia"/>
        </w:rPr>
        <w:t>）检索的逐批检验抽样计划</w:t>
      </w:r>
    </w:p>
    <w:p w:rsidR="00BC7B08" w:rsidRDefault="00C4356C">
      <w:pPr>
        <w:pStyle w:val="affffe"/>
        <w:ind w:firstLine="420"/>
      </w:pPr>
      <w:r>
        <w:rPr>
          <w:rFonts w:hint="eastAsia"/>
        </w:rPr>
        <w:t xml:space="preserve">GB/T 3298     </w:t>
      </w:r>
      <w:r>
        <w:rPr>
          <w:rFonts w:hint="eastAsia"/>
        </w:rPr>
        <w:t>日用陶瓷器抗热震性测定方法</w:t>
      </w:r>
    </w:p>
    <w:p w:rsidR="00BC7B08" w:rsidRDefault="00C4356C">
      <w:pPr>
        <w:pStyle w:val="affffe"/>
        <w:ind w:firstLine="420"/>
      </w:pPr>
      <w:r>
        <w:rPr>
          <w:rFonts w:hint="eastAsia"/>
        </w:rPr>
        <w:t xml:space="preserve">GB/T 3299     </w:t>
      </w:r>
      <w:r>
        <w:rPr>
          <w:rFonts w:hint="eastAsia"/>
        </w:rPr>
        <w:t>日用陶瓷器吸水率测定方法</w:t>
      </w:r>
    </w:p>
    <w:p w:rsidR="00BC7B08" w:rsidRDefault="00C4356C">
      <w:pPr>
        <w:pStyle w:val="affffe"/>
        <w:ind w:firstLine="420"/>
      </w:pPr>
      <w:r>
        <w:rPr>
          <w:rFonts w:hint="eastAsia"/>
        </w:rPr>
        <w:t xml:space="preserve">GB/T 3301     </w:t>
      </w:r>
      <w:r>
        <w:rPr>
          <w:rFonts w:hint="eastAsia"/>
        </w:rPr>
        <w:t>与食物接触的陶瓷制品铅、镉溶出</w:t>
      </w:r>
      <w:proofErr w:type="gramStart"/>
      <w:r>
        <w:rPr>
          <w:rFonts w:hint="eastAsia"/>
        </w:rPr>
        <w:t>量允许</w:t>
      </w:r>
      <w:proofErr w:type="gramEnd"/>
      <w:r>
        <w:rPr>
          <w:rFonts w:hint="eastAsia"/>
        </w:rPr>
        <w:t>极限</w:t>
      </w:r>
    </w:p>
    <w:p w:rsidR="00BC7B08" w:rsidRDefault="00C4356C">
      <w:pPr>
        <w:pStyle w:val="affffe"/>
        <w:ind w:firstLine="420"/>
      </w:pPr>
      <w:r>
        <w:rPr>
          <w:rFonts w:hint="eastAsia"/>
        </w:rPr>
        <w:t xml:space="preserve">GB/T 3302     </w:t>
      </w:r>
      <w:r>
        <w:rPr>
          <w:rFonts w:hint="eastAsia"/>
        </w:rPr>
        <w:t>日用陶瓷器包装、标志、运输、贮存规则</w:t>
      </w:r>
    </w:p>
    <w:p w:rsidR="00BC7B08" w:rsidRDefault="00C4356C">
      <w:pPr>
        <w:pStyle w:val="affffe"/>
        <w:ind w:firstLine="420"/>
      </w:pPr>
      <w:r>
        <w:rPr>
          <w:rFonts w:hint="eastAsia"/>
        </w:rPr>
        <w:t xml:space="preserve">GB/T 3303     </w:t>
      </w:r>
      <w:r>
        <w:rPr>
          <w:rFonts w:hint="eastAsia"/>
        </w:rPr>
        <w:t>日用陶瓷器缺陷术语</w:t>
      </w:r>
    </w:p>
    <w:p w:rsidR="00BC7B08" w:rsidRDefault="00C4356C">
      <w:pPr>
        <w:pStyle w:val="affffe"/>
        <w:ind w:firstLine="420"/>
      </w:pPr>
      <w:r>
        <w:rPr>
          <w:rFonts w:hint="eastAsia"/>
        </w:rPr>
        <w:t xml:space="preserve">GB/T 3534     </w:t>
      </w:r>
      <w:r>
        <w:rPr>
          <w:rFonts w:hint="eastAsia"/>
        </w:rPr>
        <w:t>日用陶瓷器铅、镉溶出量的测定方法</w:t>
      </w:r>
    </w:p>
    <w:p w:rsidR="00BC7B08" w:rsidRDefault="00C4356C">
      <w:pPr>
        <w:pStyle w:val="affffe"/>
        <w:ind w:firstLine="420"/>
      </w:pPr>
      <w:r>
        <w:rPr>
          <w:rFonts w:hint="eastAsia"/>
        </w:rPr>
        <w:t xml:space="preserve">GB/T 4741     </w:t>
      </w:r>
      <w:r>
        <w:rPr>
          <w:rFonts w:hint="eastAsia"/>
        </w:rPr>
        <w:t>陶瓷材料抗弯曲强度试验方法</w:t>
      </w:r>
    </w:p>
    <w:p w:rsidR="00BC7B08" w:rsidRDefault="00C4356C">
      <w:pPr>
        <w:pStyle w:val="affffe"/>
        <w:ind w:firstLine="420"/>
      </w:pPr>
      <w:r>
        <w:rPr>
          <w:rFonts w:hint="eastAsia"/>
        </w:rPr>
        <w:t xml:space="preserve">GB/T 5000     </w:t>
      </w:r>
      <w:r>
        <w:rPr>
          <w:rFonts w:hint="eastAsia"/>
        </w:rPr>
        <w:t>日用陶瓷名词术语</w:t>
      </w:r>
    </w:p>
    <w:p w:rsidR="00BC7B08" w:rsidRDefault="00C4356C">
      <w:pPr>
        <w:pStyle w:val="affc"/>
        <w:spacing w:before="312" w:after="312"/>
      </w:pPr>
      <w:r>
        <w:rPr>
          <w:rFonts w:hint="eastAsia"/>
          <w:szCs w:val="21"/>
        </w:rPr>
        <w:t>术语和定义</w:t>
      </w:r>
    </w:p>
    <w:bookmarkStart w:id="40" w:name="_Toc26986532" w:displacedByCustomXml="next"/>
    <w:bookmarkEnd w:id="40" w:displacedByCustomXml="next"/>
    <w:sdt>
      <w:sdtPr>
        <w:id w:val="-1909835108"/>
        <w:placeholder>
          <w:docPart w:val="29ED77BBC0E4402F83576FD88EDC4B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BC7B08" w:rsidRDefault="00C4356C">
          <w:pPr>
            <w:pStyle w:val="affffe"/>
            <w:ind w:firstLine="420"/>
          </w:pPr>
          <w:r>
            <w:t>下列术语和定义适用于本文件。</w:t>
          </w:r>
        </w:p>
      </w:sdtContent>
    </w:sdt>
    <w:p w:rsidR="00BC7B08" w:rsidRDefault="00C4356C">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表面装饰</w:t>
      </w:r>
      <w:r>
        <w:rPr>
          <w:rFonts w:ascii="黑体" w:eastAsia="黑体" w:hAnsi="黑体" w:hint="eastAsia"/>
        </w:rPr>
        <w:t xml:space="preserve"> </w:t>
      </w:r>
    </w:p>
    <w:p w:rsidR="00BC7B08" w:rsidRDefault="00C4356C">
      <w:pPr>
        <w:pStyle w:val="affffe"/>
        <w:ind w:firstLine="420"/>
      </w:pPr>
      <w:r>
        <w:rPr>
          <w:rFonts w:hint="eastAsia"/>
        </w:rPr>
        <w:t>产品的内外表面采用画、雕、刻、贴等手段进行对产品的</w:t>
      </w:r>
      <w:r>
        <w:rPr>
          <w:rFonts w:hint="eastAsia"/>
        </w:rPr>
        <w:t>装饰。</w:t>
      </w:r>
    </w:p>
    <w:p w:rsidR="00BC7B08" w:rsidRDefault="00C4356C">
      <w:pPr>
        <w:pStyle w:val="affc"/>
        <w:spacing w:before="312" w:after="312"/>
      </w:pPr>
      <w:r>
        <w:rPr>
          <w:rFonts w:hint="eastAsia"/>
        </w:rPr>
        <w:t>产品分类</w:t>
      </w:r>
    </w:p>
    <w:p w:rsidR="00BC7B08" w:rsidRDefault="00C4356C">
      <w:pPr>
        <w:pStyle w:val="affd"/>
        <w:spacing w:before="156" w:after="156"/>
      </w:pPr>
      <w:r>
        <w:rPr>
          <w:rFonts w:hint="eastAsia"/>
        </w:rPr>
        <w:t>按产品用途分为：祭祀类，赏玩类及生活用品类。</w:t>
      </w:r>
    </w:p>
    <w:p w:rsidR="00BC7B08" w:rsidRDefault="00C4356C">
      <w:pPr>
        <w:pStyle w:val="affffffffa"/>
      </w:pPr>
      <w:r>
        <w:rPr>
          <w:rFonts w:hint="eastAsia"/>
        </w:rPr>
        <w:t>祭祀类包括：香炉、香挂、大避邪等。</w:t>
      </w:r>
    </w:p>
    <w:p w:rsidR="00BC7B08" w:rsidRDefault="00C4356C">
      <w:pPr>
        <w:pStyle w:val="affffffffa"/>
      </w:pPr>
      <w:r>
        <w:rPr>
          <w:rFonts w:hint="eastAsia"/>
        </w:rPr>
        <w:t>赏玩类包括：蟾蜍、大站狮、孩儿枕、陶鬶等。</w:t>
      </w:r>
    </w:p>
    <w:p w:rsidR="00BC7B08" w:rsidRDefault="00C4356C">
      <w:pPr>
        <w:pStyle w:val="affffffffa"/>
      </w:pPr>
      <w:r>
        <w:rPr>
          <w:rFonts w:hint="eastAsia"/>
        </w:rPr>
        <w:t>生活用品类包括：陶壶、陶罐等。</w:t>
      </w:r>
    </w:p>
    <w:p w:rsidR="00BC7B08" w:rsidRDefault="00C4356C">
      <w:pPr>
        <w:pStyle w:val="affd"/>
        <w:spacing w:before="156" w:after="156"/>
      </w:pPr>
      <w:r>
        <w:rPr>
          <w:rFonts w:hint="eastAsia"/>
        </w:rPr>
        <w:t>按产品外观质量划分为：特级品、一等品和合格品。</w:t>
      </w:r>
    </w:p>
    <w:p w:rsidR="00BC7B08" w:rsidRDefault="00C4356C">
      <w:pPr>
        <w:pStyle w:val="affc"/>
        <w:spacing w:before="312" w:after="312"/>
      </w:pPr>
      <w:r>
        <w:rPr>
          <w:rFonts w:hint="eastAsia"/>
        </w:rPr>
        <w:t>要求</w:t>
      </w:r>
    </w:p>
    <w:p w:rsidR="00BC7B08" w:rsidRDefault="00C4356C">
      <w:pPr>
        <w:pStyle w:val="affd"/>
        <w:spacing w:before="156" w:after="156"/>
      </w:pPr>
      <w:r>
        <w:rPr>
          <w:rFonts w:hint="eastAsia"/>
        </w:rPr>
        <w:lastRenderedPageBreak/>
        <w:t>产品规格尺寸</w:t>
      </w:r>
    </w:p>
    <w:p w:rsidR="00BC7B08" w:rsidRDefault="00C4356C">
      <w:pPr>
        <w:pStyle w:val="afffffffffff4"/>
      </w:pPr>
      <w:r>
        <w:rPr>
          <w:rFonts w:hint="eastAsia"/>
        </w:rPr>
        <w:t>产品的尺寸规格根据合同和设计要求确定。</w:t>
      </w:r>
    </w:p>
    <w:p w:rsidR="00BC7B08" w:rsidRDefault="00C4356C">
      <w:pPr>
        <w:pStyle w:val="affd"/>
        <w:spacing w:before="156" w:after="156"/>
      </w:pPr>
      <w:r>
        <w:rPr>
          <w:rFonts w:hint="eastAsia"/>
        </w:rPr>
        <w:t>产品等级的划分应符合表</w:t>
      </w:r>
      <w:r>
        <w:rPr>
          <w:rFonts w:hint="eastAsia"/>
        </w:rPr>
        <w:t>1</w:t>
      </w:r>
      <w:r>
        <w:rPr>
          <w:rFonts w:hint="eastAsia"/>
        </w:rPr>
        <w:t>的规定。</w:t>
      </w:r>
    </w:p>
    <w:p w:rsidR="00BC7B08" w:rsidRDefault="00C4356C">
      <w:pPr>
        <w:pStyle w:val="afffffffffff5"/>
        <w:numPr>
          <w:ilvl w:val="0"/>
          <w:numId w:val="32"/>
        </w:numPr>
        <w:spacing w:before="156" w:after="156"/>
      </w:pPr>
      <w:r>
        <w:rPr>
          <w:rFonts w:hint="eastAsia"/>
        </w:rPr>
        <w:t xml:space="preserve"> </w:t>
      </w:r>
      <w:r>
        <w:rPr>
          <w:rFonts w:hint="eastAsia"/>
        </w:rPr>
        <w:t>产品等级划分标准</w:t>
      </w:r>
    </w:p>
    <w:tbl>
      <w:tblPr>
        <w:tblStyle w:val="affff1"/>
        <w:tblW w:w="0" w:type="auto"/>
        <w:tblLook w:val="04A0" w:firstRow="1" w:lastRow="0" w:firstColumn="1" w:lastColumn="0" w:noHBand="0" w:noVBand="1"/>
      </w:tblPr>
      <w:tblGrid>
        <w:gridCol w:w="948"/>
        <w:gridCol w:w="1155"/>
        <w:gridCol w:w="1890"/>
        <w:gridCol w:w="5577"/>
      </w:tblGrid>
      <w:tr w:rsidR="00BC7B08">
        <w:tc>
          <w:tcPr>
            <w:tcW w:w="948" w:type="dxa"/>
            <w:vMerge w:val="restart"/>
            <w:tcBorders>
              <w:top w:val="single" w:sz="4" w:space="0" w:color="000000"/>
              <w:left w:val="single" w:sz="4" w:space="0" w:color="000000"/>
              <w:bottom w:val="single" w:sz="4" w:space="0" w:color="000000"/>
              <w:right w:val="single" w:sz="4" w:space="0" w:color="000000"/>
            </w:tcBorders>
            <w:vAlign w:val="center"/>
          </w:tcPr>
          <w:p w:rsidR="00BC7B08" w:rsidRDefault="00C4356C">
            <w:pPr>
              <w:pStyle w:val="afffffffffff4"/>
              <w:spacing w:before="120" w:after="120"/>
              <w:ind w:firstLineChars="0" w:firstLine="0"/>
              <w:jc w:val="center"/>
            </w:pPr>
            <w:r>
              <w:rPr>
                <w:rFonts w:hint="eastAsia"/>
              </w:rPr>
              <w:t>特级品</w:t>
            </w:r>
          </w:p>
        </w:tc>
        <w:tc>
          <w:tcPr>
            <w:tcW w:w="1155" w:type="dxa"/>
            <w:tcBorders>
              <w:top w:val="single" w:sz="4" w:space="0" w:color="000000"/>
              <w:left w:val="nil"/>
              <w:bottom w:val="single" w:sz="4" w:space="0" w:color="000000"/>
              <w:right w:val="single" w:sz="4" w:space="0" w:color="000000"/>
            </w:tcBorders>
            <w:vAlign w:val="center"/>
          </w:tcPr>
          <w:p w:rsidR="00BC7B08" w:rsidRDefault="00C4356C">
            <w:pPr>
              <w:pStyle w:val="afffffffffff4"/>
              <w:ind w:firstLineChars="0" w:firstLine="0"/>
              <w:jc w:val="center"/>
            </w:pPr>
            <w:r>
              <w:rPr>
                <w:rFonts w:hint="eastAsia"/>
              </w:rPr>
              <w:t>基本要求</w:t>
            </w:r>
          </w:p>
        </w:tc>
        <w:tc>
          <w:tcPr>
            <w:tcW w:w="7467" w:type="dxa"/>
            <w:gridSpan w:val="2"/>
            <w:tcBorders>
              <w:top w:val="single" w:sz="4" w:space="0" w:color="000000"/>
              <w:left w:val="nil"/>
              <w:bottom w:val="single" w:sz="4" w:space="0" w:color="000000"/>
              <w:right w:val="single" w:sz="4" w:space="0" w:color="000000"/>
            </w:tcBorders>
            <w:vAlign w:val="center"/>
          </w:tcPr>
          <w:p w:rsidR="00BC7B08" w:rsidRDefault="00C4356C">
            <w:pPr>
              <w:pStyle w:val="afffffffffff4"/>
              <w:ind w:firstLineChars="0" w:firstLine="0"/>
            </w:pPr>
            <w:r>
              <w:rPr>
                <w:rFonts w:hint="eastAsia"/>
              </w:rPr>
              <w:t>色泽一致，对比色强烈，调和色协调，润色好，造型美观、规矩，图案生动、活泼、匀称，边线宽窄一致，无磕碰、裂纹。</w:t>
            </w:r>
          </w:p>
        </w:tc>
      </w:tr>
      <w:tr w:rsidR="00BC7B08">
        <w:tc>
          <w:tcPr>
            <w:tcW w:w="0" w:type="auto"/>
            <w:vMerge/>
            <w:tcBorders>
              <w:top w:val="single" w:sz="4" w:space="0" w:color="000000"/>
              <w:left w:val="single" w:sz="4" w:space="0" w:color="000000"/>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1155" w:type="dxa"/>
            <w:vMerge w:val="restart"/>
            <w:tcBorders>
              <w:top w:val="nil"/>
              <w:left w:val="nil"/>
              <w:bottom w:val="single" w:sz="4" w:space="0" w:color="000000"/>
              <w:right w:val="single" w:sz="4" w:space="0" w:color="000000"/>
            </w:tcBorders>
            <w:vAlign w:val="center"/>
          </w:tcPr>
          <w:p w:rsidR="00BC7B08" w:rsidRDefault="00C4356C">
            <w:pPr>
              <w:pStyle w:val="afffffffffff4"/>
              <w:ind w:firstLineChars="0" w:firstLine="0"/>
              <w:jc w:val="center"/>
            </w:pPr>
            <w:r>
              <w:rPr>
                <w:rFonts w:hint="eastAsia"/>
              </w:rPr>
              <w:t>缺陷名称</w:t>
            </w:r>
          </w:p>
        </w:tc>
        <w:tc>
          <w:tcPr>
            <w:tcW w:w="1890"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变形（口径</w:t>
            </w:r>
            <w:r>
              <w:rPr>
                <w:rFonts w:hint="eastAsia"/>
              </w:rPr>
              <w:t>/mm</w:t>
            </w:r>
            <w:r>
              <w:rPr>
                <w:rFonts w:hint="eastAsia"/>
              </w:rPr>
              <w:t>）</w:t>
            </w:r>
          </w:p>
        </w:tc>
        <w:tc>
          <w:tcPr>
            <w:tcW w:w="5577" w:type="dxa"/>
            <w:vMerge w:val="restart"/>
            <w:tcBorders>
              <w:top w:val="single" w:sz="4" w:space="0" w:color="000000"/>
              <w:left w:val="nil"/>
              <w:bottom w:val="single" w:sz="4" w:space="0" w:color="000000"/>
              <w:right w:val="single" w:sz="4" w:space="0" w:color="000000"/>
            </w:tcBorders>
            <w:vAlign w:val="center"/>
          </w:tcPr>
          <w:p w:rsidR="00BC7B08" w:rsidRDefault="00C4356C">
            <w:pPr>
              <w:pStyle w:val="afffffffffff4"/>
              <w:ind w:firstLineChars="0" w:firstLine="0"/>
              <w:jc w:val="center"/>
            </w:pPr>
            <w:r>
              <w:rPr>
                <w:rFonts w:hint="eastAsia"/>
              </w:rPr>
              <w:t>不</w:t>
            </w:r>
            <w:r>
              <w:rPr>
                <w:rFonts w:hint="eastAsia"/>
              </w:rPr>
              <w:t xml:space="preserve"> </w:t>
            </w:r>
            <w:r>
              <w:rPr>
                <w:rFonts w:hint="eastAsia"/>
              </w:rPr>
              <w:t>允</w:t>
            </w:r>
            <w:r>
              <w:rPr>
                <w:rFonts w:hint="eastAsia"/>
              </w:rPr>
              <w:t xml:space="preserve"> </w:t>
            </w:r>
            <w:r>
              <w:rPr>
                <w:rFonts w:hint="eastAsia"/>
              </w:rPr>
              <w:t>许</w:t>
            </w:r>
          </w:p>
        </w:tc>
      </w:tr>
      <w:tr w:rsidR="00BC7B08">
        <w:tc>
          <w:tcPr>
            <w:tcW w:w="0" w:type="auto"/>
            <w:vMerge/>
            <w:tcBorders>
              <w:top w:val="single" w:sz="4" w:space="0" w:color="000000"/>
              <w:left w:val="single" w:sz="4" w:space="0" w:color="000000"/>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0" w:type="auto"/>
            <w:vMerge/>
            <w:tcBorders>
              <w:top w:val="nil"/>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1890"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斑点（直径</w:t>
            </w:r>
            <w:r>
              <w:rPr>
                <w:rFonts w:hint="eastAsia"/>
              </w:rPr>
              <w:t>/mm</w:t>
            </w:r>
            <w:r>
              <w:rPr>
                <w:rFonts w:hint="eastAsia"/>
              </w:rPr>
              <w:t>）</w:t>
            </w:r>
          </w:p>
        </w:tc>
        <w:tc>
          <w:tcPr>
            <w:tcW w:w="0" w:type="auto"/>
            <w:vMerge/>
            <w:tcBorders>
              <w:top w:val="single" w:sz="4" w:space="0" w:color="000000"/>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r>
      <w:tr w:rsidR="00BC7B08">
        <w:tc>
          <w:tcPr>
            <w:tcW w:w="0" w:type="auto"/>
            <w:vMerge/>
            <w:tcBorders>
              <w:top w:val="single" w:sz="4" w:space="0" w:color="000000"/>
              <w:left w:val="single" w:sz="4" w:space="0" w:color="000000"/>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0" w:type="auto"/>
            <w:vMerge/>
            <w:tcBorders>
              <w:top w:val="nil"/>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1890"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疙瘩（直径</w:t>
            </w:r>
            <w:r>
              <w:rPr>
                <w:rFonts w:hint="eastAsia"/>
              </w:rPr>
              <w:t>/mm</w:t>
            </w:r>
            <w:r>
              <w:rPr>
                <w:rFonts w:hint="eastAsia"/>
              </w:rPr>
              <w:t>）</w:t>
            </w:r>
          </w:p>
        </w:tc>
        <w:tc>
          <w:tcPr>
            <w:tcW w:w="0" w:type="auto"/>
            <w:vMerge/>
            <w:tcBorders>
              <w:top w:val="single" w:sz="4" w:space="0" w:color="000000"/>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r>
      <w:tr w:rsidR="00BC7B08">
        <w:tc>
          <w:tcPr>
            <w:tcW w:w="0" w:type="auto"/>
            <w:vMerge/>
            <w:tcBorders>
              <w:top w:val="single" w:sz="4" w:space="0" w:color="000000"/>
              <w:left w:val="single" w:sz="4" w:space="0" w:color="000000"/>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0" w:type="auto"/>
            <w:vMerge/>
            <w:tcBorders>
              <w:top w:val="nil"/>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1890"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色脏（面积</w:t>
            </w:r>
            <w:r>
              <w:rPr>
                <w:rFonts w:hint="eastAsia"/>
              </w:rPr>
              <w:t>/mm</w:t>
            </w:r>
            <w:r>
              <w:rPr>
                <w:rFonts w:hint="eastAsia"/>
                <w:vertAlign w:val="superscript"/>
              </w:rPr>
              <w:t>2</w:t>
            </w:r>
            <w:r>
              <w:rPr>
                <w:rFonts w:hint="eastAsia"/>
              </w:rPr>
              <w:t>）</w:t>
            </w:r>
          </w:p>
        </w:tc>
        <w:tc>
          <w:tcPr>
            <w:tcW w:w="0" w:type="auto"/>
            <w:vMerge/>
            <w:tcBorders>
              <w:top w:val="single" w:sz="4" w:space="0" w:color="000000"/>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r>
      <w:tr w:rsidR="00BC7B08">
        <w:tc>
          <w:tcPr>
            <w:tcW w:w="0" w:type="auto"/>
            <w:vMerge/>
            <w:tcBorders>
              <w:top w:val="single" w:sz="4" w:space="0" w:color="000000"/>
              <w:left w:val="single" w:sz="4" w:space="0" w:color="000000"/>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0" w:type="auto"/>
            <w:vMerge/>
            <w:tcBorders>
              <w:top w:val="nil"/>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1890"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裂纹（长度</w:t>
            </w:r>
            <w:r>
              <w:rPr>
                <w:rFonts w:hint="eastAsia"/>
              </w:rPr>
              <w:t>/mm</w:t>
            </w:r>
            <w:r>
              <w:rPr>
                <w:rFonts w:hint="eastAsia"/>
              </w:rPr>
              <w:t>）</w:t>
            </w:r>
          </w:p>
        </w:tc>
        <w:tc>
          <w:tcPr>
            <w:tcW w:w="0" w:type="auto"/>
            <w:vMerge/>
            <w:tcBorders>
              <w:top w:val="single" w:sz="4" w:space="0" w:color="000000"/>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r>
      <w:tr w:rsidR="00BC7B08">
        <w:tc>
          <w:tcPr>
            <w:tcW w:w="948" w:type="dxa"/>
            <w:vMerge w:val="restart"/>
            <w:tcBorders>
              <w:top w:val="nil"/>
              <w:left w:val="single" w:sz="4" w:space="0" w:color="000000"/>
              <w:bottom w:val="single" w:sz="4" w:space="0" w:color="000000"/>
              <w:right w:val="single" w:sz="4" w:space="0" w:color="000000"/>
            </w:tcBorders>
            <w:vAlign w:val="center"/>
          </w:tcPr>
          <w:p w:rsidR="00BC7B08" w:rsidRDefault="00C4356C">
            <w:pPr>
              <w:pStyle w:val="afffffffffff4"/>
              <w:spacing w:before="120" w:after="120"/>
              <w:ind w:firstLineChars="0" w:firstLine="0"/>
              <w:jc w:val="center"/>
            </w:pPr>
            <w:r>
              <w:rPr>
                <w:rFonts w:hint="eastAsia"/>
              </w:rPr>
              <w:t>一等品</w:t>
            </w:r>
          </w:p>
        </w:tc>
        <w:tc>
          <w:tcPr>
            <w:tcW w:w="1155" w:type="dxa"/>
            <w:tcBorders>
              <w:top w:val="single" w:sz="4" w:space="0" w:color="000000"/>
              <w:left w:val="nil"/>
              <w:bottom w:val="single" w:sz="4" w:space="0" w:color="000000"/>
              <w:right w:val="single" w:sz="4" w:space="0" w:color="000000"/>
            </w:tcBorders>
            <w:vAlign w:val="center"/>
          </w:tcPr>
          <w:p w:rsidR="00BC7B08" w:rsidRDefault="00C4356C">
            <w:pPr>
              <w:pStyle w:val="afffffffffff4"/>
              <w:ind w:firstLineChars="0" w:firstLine="0"/>
              <w:jc w:val="center"/>
            </w:pPr>
            <w:r>
              <w:rPr>
                <w:rFonts w:hint="eastAsia"/>
              </w:rPr>
              <w:t>基本要求</w:t>
            </w:r>
          </w:p>
        </w:tc>
        <w:tc>
          <w:tcPr>
            <w:tcW w:w="7467" w:type="dxa"/>
            <w:gridSpan w:val="2"/>
            <w:tcBorders>
              <w:top w:val="single" w:sz="4" w:space="0" w:color="000000"/>
              <w:left w:val="nil"/>
              <w:bottom w:val="single" w:sz="4" w:space="0" w:color="000000"/>
              <w:right w:val="single" w:sz="4" w:space="0" w:color="000000"/>
            </w:tcBorders>
            <w:vAlign w:val="center"/>
          </w:tcPr>
          <w:p w:rsidR="00BC7B08" w:rsidRDefault="00C4356C">
            <w:pPr>
              <w:pStyle w:val="afffffffffff4"/>
              <w:ind w:firstLineChars="0" w:firstLine="0"/>
            </w:pPr>
            <w:r>
              <w:rPr>
                <w:rFonts w:hint="eastAsia"/>
              </w:rPr>
              <w:t>色泽应基本一致，造型美观，图案生动、活泼、规矩、匀称，边线宽窄一致，无磕碰、裂纹，应与设计图样或标准样品基本一致。</w:t>
            </w:r>
          </w:p>
        </w:tc>
      </w:tr>
      <w:tr w:rsidR="00BC7B08">
        <w:tc>
          <w:tcPr>
            <w:tcW w:w="0" w:type="auto"/>
            <w:vMerge/>
            <w:tcBorders>
              <w:top w:val="nil"/>
              <w:left w:val="single" w:sz="4" w:space="0" w:color="000000"/>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1155" w:type="dxa"/>
            <w:vMerge w:val="restart"/>
            <w:tcBorders>
              <w:top w:val="nil"/>
              <w:left w:val="nil"/>
              <w:bottom w:val="single" w:sz="4" w:space="0" w:color="000000"/>
              <w:right w:val="single" w:sz="4" w:space="0" w:color="000000"/>
            </w:tcBorders>
            <w:vAlign w:val="center"/>
          </w:tcPr>
          <w:p w:rsidR="00BC7B08" w:rsidRDefault="00C4356C">
            <w:pPr>
              <w:pStyle w:val="afffffffffff4"/>
              <w:ind w:firstLineChars="0" w:firstLine="0"/>
              <w:jc w:val="center"/>
            </w:pPr>
            <w:r>
              <w:rPr>
                <w:rFonts w:hint="eastAsia"/>
              </w:rPr>
              <w:t>允许缺陷</w:t>
            </w:r>
          </w:p>
        </w:tc>
        <w:tc>
          <w:tcPr>
            <w:tcW w:w="1890"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变形（口径</w:t>
            </w:r>
            <w:r>
              <w:rPr>
                <w:rFonts w:hint="eastAsia"/>
              </w:rPr>
              <w:t>/mm</w:t>
            </w:r>
            <w:r>
              <w:rPr>
                <w:rFonts w:hint="eastAsia"/>
              </w:rPr>
              <w:t>）</w:t>
            </w:r>
          </w:p>
        </w:tc>
        <w:tc>
          <w:tcPr>
            <w:tcW w:w="5577"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小于</w:t>
            </w:r>
            <w:r>
              <w:rPr>
                <w:rFonts w:hint="eastAsia"/>
              </w:rPr>
              <w:t>1.0</w:t>
            </w:r>
          </w:p>
        </w:tc>
      </w:tr>
      <w:tr w:rsidR="00BC7B08">
        <w:tc>
          <w:tcPr>
            <w:tcW w:w="0" w:type="auto"/>
            <w:vMerge/>
            <w:tcBorders>
              <w:top w:val="nil"/>
              <w:left w:val="single" w:sz="4" w:space="0" w:color="000000"/>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0" w:type="auto"/>
            <w:vMerge/>
            <w:tcBorders>
              <w:top w:val="nil"/>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1890"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斑点（直径</w:t>
            </w:r>
            <w:r>
              <w:rPr>
                <w:rFonts w:hint="eastAsia"/>
              </w:rPr>
              <w:t>/mm</w:t>
            </w:r>
            <w:r>
              <w:rPr>
                <w:rFonts w:hint="eastAsia"/>
              </w:rPr>
              <w:t>）</w:t>
            </w:r>
          </w:p>
        </w:tc>
        <w:tc>
          <w:tcPr>
            <w:tcW w:w="5577"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小于</w:t>
            </w:r>
            <w:r>
              <w:rPr>
                <w:rFonts w:hint="eastAsia"/>
              </w:rPr>
              <w:t>1.0</w:t>
            </w:r>
            <w:r>
              <w:rPr>
                <w:rFonts w:hint="eastAsia"/>
              </w:rPr>
              <w:t>，限</w:t>
            </w:r>
            <w:r>
              <w:rPr>
                <w:rFonts w:hint="eastAsia"/>
              </w:rPr>
              <w:t>2</w:t>
            </w:r>
            <w:r>
              <w:rPr>
                <w:rFonts w:hint="eastAsia"/>
              </w:rPr>
              <w:t>个</w:t>
            </w:r>
          </w:p>
        </w:tc>
      </w:tr>
      <w:tr w:rsidR="00BC7B08">
        <w:tc>
          <w:tcPr>
            <w:tcW w:w="0" w:type="auto"/>
            <w:vMerge/>
            <w:tcBorders>
              <w:top w:val="nil"/>
              <w:left w:val="single" w:sz="4" w:space="0" w:color="000000"/>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0" w:type="auto"/>
            <w:vMerge/>
            <w:tcBorders>
              <w:top w:val="nil"/>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1890"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疙瘩（直径</w:t>
            </w:r>
            <w:r>
              <w:rPr>
                <w:rFonts w:hint="eastAsia"/>
              </w:rPr>
              <w:t>/mm</w:t>
            </w:r>
            <w:r>
              <w:rPr>
                <w:rFonts w:hint="eastAsia"/>
              </w:rPr>
              <w:t>）</w:t>
            </w:r>
          </w:p>
        </w:tc>
        <w:tc>
          <w:tcPr>
            <w:tcW w:w="5577"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小于</w:t>
            </w:r>
            <w:r>
              <w:rPr>
                <w:rFonts w:hint="eastAsia"/>
              </w:rPr>
              <w:t>1.0</w:t>
            </w:r>
            <w:r>
              <w:rPr>
                <w:rFonts w:hint="eastAsia"/>
              </w:rPr>
              <w:t>，限</w:t>
            </w:r>
            <w:r>
              <w:rPr>
                <w:rFonts w:hint="eastAsia"/>
              </w:rPr>
              <w:t>1</w:t>
            </w:r>
            <w:r>
              <w:rPr>
                <w:rFonts w:hint="eastAsia"/>
              </w:rPr>
              <w:t>个</w:t>
            </w:r>
          </w:p>
        </w:tc>
      </w:tr>
      <w:tr w:rsidR="00BC7B08">
        <w:tc>
          <w:tcPr>
            <w:tcW w:w="0" w:type="auto"/>
            <w:vMerge/>
            <w:tcBorders>
              <w:top w:val="nil"/>
              <w:left w:val="single" w:sz="4" w:space="0" w:color="000000"/>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0" w:type="auto"/>
            <w:vMerge/>
            <w:tcBorders>
              <w:top w:val="nil"/>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1890"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色脏（面积</w:t>
            </w:r>
            <w:r>
              <w:rPr>
                <w:rFonts w:hint="eastAsia"/>
              </w:rPr>
              <w:t>/mm</w:t>
            </w:r>
            <w:r>
              <w:rPr>
                <w:rFonts w:hint="eastAsia"/>
                <w:vertAlign w:val="superscript"/>
              </w:rPr>
              <w:t>2</w:t>
            </w:r>
            <w:r>
              <w:rPr>
                <w:rFonts w:hint="eastAsia"/>
              </w:rPr>
              <w:t>）</w:t>
            </w:r>
          </w:p>
        </w:tc>
        <w:tc>
          <w:tcPr>
            <w:tcW w:w="5577"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显见面不允许；非显见面小于</w:t>
            </w:r>
            <w:r>
              <w:rPr>
                <w:rFonts w:hint="eastAsia"/>
              </w:rPr>
              <w:t>3.0</w:t>
            </w:r>
            <w:r>
              <w:rPr>
                <w:rFonts w:hint="eastAsia"/>
              </w:rPr>
              <w:t>，限</w:t>
            </w:r>
            <w:r>
              <w:rPr>
                <w:rFonts w:hint="eastAsia"/>
              </w:rPr>
              <w:t>1</w:t>
            </w:r>
            <w:r>
              <w:rPr>
                <w:rFonts w:hint="eastAsia"/>
              </w:rPr>
              <w:t>个</w:t>
            </w:r>
          </w:p>
        </w:tc>
      </w:tr>
      <w:tr w:rsidR="00BC7B08">
        <w:tc>
          <w:tcPr>
            <w:tcW w:w="0" w:type="auto"/>
            <w:vMerge/>
            <w:tcBorders>
              <w:top w:val="nil"/>
              <w:left w:val="single" w:sz="4" w:space="0" w:color="000000"/>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0" w:type="auto"/>
            <w:vMerge/>
            <w:tcBorders>
              <w:top w:val="nil"/>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1890"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裂纹（长度</w:t>
            </w:r>
            <w:r>
              <w:rPr>
                <w:rFonts w:hint="eastAsia"/>
              </w:rPr>
              <w:t>/mm</w:t>
            </w:r>
            <w:r>
              <w:rPr>
                <w:rFonts w:hint="eastAsia"/>
              </w:rPr>
              <w:t>）</w:t>
            </w:r>
          </w:p>
        </w:tc>
        <w:tc>
          <w:tcPr>
            <w:tcW w:w="5577"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不允许</w:t>
            </w:r>
          </w:p>
        </w:tc>
      </w:tr>
      <w:tr w:rsidR="00BC7B08">
        <w:tc>
          <w:tcPr>
            <w:tcW w:w="948" w:type="dxa"/>
            <w:vMerge w:val="restart"/>
            <w:tcBorders>
              <w:top w:val="nil"/>
              <w:left w:val="single" w:sz="4" w:space="0" w:color="000000"/>
              <w:bottom w:val="single" w:sz="4" w:space="0" w:color="000000"/>
              <w:right w:val="single" w:sz="4" w:space="0" w:color="000000"/>
            </w:tcBorders>
            <w:vAlign w:val="center"/>
          </w:tcPr>
          <w:p w:rsidR="00BC7B08" w:rsidRDefault="00C4356C">
            <w:pPr>
              <w:pStyle w:val="afffffffffff4"/>
              <w:spacing w:before="120" w:after="120"/>
              <w:ind w:firstLineChars="0" w:firstLine="0"/>
              <w:jc w:val="center"/>
            </w:pPr>
            <w:r>
              <w:rPr>
                <w:rFonts w:hint="eastAsia"/>
              </w:rPr>
              <w:t>合格品</w:t>
            </w:r>
          </w:p>
        </w:tc>
        <w:tc>
          <w:tcPr>
            <w:tcW w:w="1155" w:type="dxa"/>
            <w:tcBorders>
              <w:top w:val="single" w:sz="4" w:space="0" w:color="000000"/>
              <w:left w:val="nil"/>
              <w:bottom w:val="single" w:sz="4" w:space="0" w:color="000000"/>
              <w:right w:val="single" w:sz="4" w:space="0" w:color="000000"/>
            </w:tcBorders>
            <w:vAlign w:val="center"/>
          </w:tcPr>
          <w:p w:rsidR="00BC7B08" w:rsidRDefault="00C4356C">
            <w:pPr>
              <w:pStyle w:val="afffffffffff4"/>
              <w:ind w:firstLineChars="0" w:firstLine="0"/>
              <w:jc w:val="center"/>
            </w:pPr>
            <w:r>
              <w:rPr>
                <w:rFonts w:hint="eastAsia"/>
              </w:rPr>
              <w:t>基本要求</w:t>
            </w:r>
          </w:p>
        </w:tc>
        <w:tc>
          <w:tcPr>
            <w:tcW w:w="7467" w:type="dxa"/>
            <w:gridSpan w:val="2"/>
            <w:tcBorders>
              <w:top w:val="single" w:sz="4" w:space="0" w:color="000000"/>
              <w:left w:val="nil"/>
              <w:bottom w:val="single" w:sz="4" w:space="0" w:color="000000"/>
              <w:right w:val="single" w:sz="4" w:space="0" w:color="000000"/>
            </w:tcBorders>
            <w:vAlign w:val="center"/>
          </w:tcPr>
          <w:p w:rsidR="00BC7B08" w:rsidRDefault="00C4356C">
            <w:pPr>
              <w:pStyle w:val="afffffffffff4"/>
              <w:ind w:firstLineChars="0" w:firstLine="0"/>
            </w:pPr>
            <w:r>
              <w:rPr>
                <w:rFonts w:hint="eastAsia"/>
              </w:rPr>
              <w:t>色泽应基本一致，显见面不得出现明显色差。造型美观，图案生动、规矩、匀称，边线宽窄基本一致，主要部位无明显斑点、裂纹、磕碰。</w:t>
            </w:r>
          </w:p>
        </w:tc>
      </w:tr>
      <w:tr w:rsidR="00BC7B08">
        <w:tc>
          <w:tcPr>
            <w:tcW w:w="0" w:type="auto"/>
            <w:vMerge/>
            <w:tcBorders>
              <w:top w:val="nil"/>
              <w:left w:val="single" w:sz="4" w:space="0" w:color="000000"/>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1155" w:type="dxa"/>
            <w:vMerge w:val="restart"/>
            <w:tcBorders>
              <w:top w:val="nil"/>
              <w:left w:val="nil"/>
              <w:bottom w:val="single" w:sz="4" w:space="0" w:color="000000"/>
              <w:right w:val="single" w:sz="4" w:space="0" w:color="000000"/>
            </w:tcBorders>
            <w:vAlign w:val="center"/>
          </w:tcPr>
          <w:p w:rsidR="00BC7B08" w:rsidRDefault="00C4356C">
            <w:pPr>
              <w:pStyle w:val="afffffffffff4"/>
              <w:ind w:firstLineChars="0" w:firstLine="0"/>
              <w:jc w:val="center"/>
            </w:pPr>
            <w:r>
              <w:rPr>
                <w:rFonts w:hint="eastAsia"/>
              </w:rPr>
              <w:t>允许缺陷</w:t>
            </w:r>
          </w:p>
        </w:tc>
        <w:tc>
          <w:tcPr>
            <w:tcW w:w="1890"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变形（口径</w:t>
            </w:r>
            <w:r>
              <w:rPr>
                <w:rFonts w:hint="eastAsia"/>
              </w:rPr>
              <w:t>/mm</w:t>
            </w:r>
            <w:r>
              <w:rPr>
                <w:rFonts w:hint="eastAsia"/>
              </w:rPr>
              <w:t>）</w:t>
            </w:r>
          </w:p>
        </w:tc>
        <w:tc>
          <w:tcPr>
            <w:tcW w:w="5577"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小于</w:t>
            </w:r>
            <w:r>
              <w:rPr>
                <w:rFonts w:hint="eastAsia"/>
              </w:rPr>
              <w:t>2.0</w:t>
            </w:r>
          </w:p>
        </w:tc>
      </w:tr>
      <w:tr w:rsidR="00BC7B08">
        <w:tc>
          <w:tcPr>
            <w:tcW w:w="0" w:type="auto"/>
            <w:vMerge/>
            <w:tcBorders>
              <w:top w:val="nil"/>
              <w:left w:val="single" w:sz="4" w:space="0" w:color="000000"/>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0" w:type="auto"/>
            <w:vMerge/>
            <w:tcBorders>
              <w:top w:val="nil"/>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1890"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斑点（直径</w:t>
            </w:r>
            <w:r>
              <w:rPr>
                <w:rFonts w:hint="eastAsia"/>
              </w:rPr>
              <w:t>/mm</w:t>
            </w:r>
            <w:r>
              <w:rPr>
                <w:rFonts w:hint="eastAsia"/>
              </w:rPr>
              <w:t>）</w:t>
            </w:r>
          </w:p>
        </w:tc>
        <w:tc>
          <w:tcPr>
            <w:tcW w:w="5577"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小于</w:t>
            </w:r>
            <w:r>
              <w:rPr>
                <w:rFonts w:hint="eastAsia"/>
              </w:rPr>
              <w:t>2.0</w:t>
            </w:r>
            <w:r>
              <w:rPr>
                <w:rFonts w:hint="eastAsia"/>
              </w:rPr>
              <w:t>，限</w:t>
            </w:r>
            <w:r>
              <w:rPr>
                <w:rFonts w:hint="eastAsia"/>
              </w:rPr>
              <w:t>3</w:t>
            </w:r>
            <w:r>
              <w:rPr>
                <w:rFonts w:hint="eastAsia"/>
              </w:rPr>
              <w:t>个</w:t>
            </w:r>
          </w:p>
        </w:tc>
      </w:tr>
      <w:tr w:rsidR="00BC7B08">
        <w:tc>
          <w:tcPr>
            <w:tcW w:w="0" w:type="auto"/>
            <w:vMerge/>
            <w:tcBorders>
              <w:top w:val="nil"/>
              <w:left w:val="single" w:sz="4" w:space="0" w:color="000000"/>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0" w:type="auto"/>
            <w:vMerge/>
            <w:tcBorders>
              <w:top w:val="nil"/>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1890"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疙瘩（直径</w:t>
            </w:r>
            <w:r>
              <w:rPr>
                <w:rFonts w:hint="eastAsia"/>
              </w:rPr>
              <w:t>/mm</w:t>
            </w:r>
            <w:r>
              <w:rPr>
                <w:rFonts w:hint="eastAsia"/>
              </w:rPr>
              <w:t>）</w:t>
            </w:r>
          </w:p>
        </w:tc>
        <w:tc>
          <w:tcPr>
            <w:tcW w:w="5577"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小于</w:t>
            </w:r>
            <w:r>
              <w:rPr>
                <w:rFonts w:hint="eastAsia"/>
              </w:rPr>
              <w:t>2.0</w:t>
            </w:r>
            <w:r>
              <w:rPr>
                <w:rFonts w:hint="eastAsia"/>
              </w:rPr>
              <w:t>，限</w:t>
            </w:r>
            <w:r>
              <w:rPr>
                <w:rFonts w:hint="eastAsia"/>
              </w:rPr>
              <w:t>1</w:t>
            </w:r>
            <w:r>
              <w:rPr>
                <w:rFonts w:hint="eastAsia"/>
              </w:rPr>
              <w:t>个</w:t>
            </w:r>
          </w:p>
        </w:tc>
      </w:tr>
      <w:tr w:rsidR="00BC7B08">
        <w:tc>
          <w:tcPr>
            <w:tcW w:w="0" w:type="auto"/>
            <w:vMerge/>
            <w:tcBorders>
              <w:top w:val="nil"/>
              <w:left w:val="single" w:sz="4" w:space="0" w:color="000000"/>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0" w:type="auto"/>
            <w:vMerge/>
            <w:tcBorders>
              <w:top w:val="nil"/>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1890"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色脏（面积</w:t>
            </w:r>
            <w:r>
              <w:rPr>
                <w:rFonts w:hint="eastAsia"/>
              </w:rPr>
              <w:t>/mm</w:t>
            </w:r>
            <w:r>
              <w:rPr>
                <w:rFonts w:hint="eastAsia"/>
                <w:vertAlign w:val="superscript"/>
              </w:rPr>
              <w:t>2</w:t>
            </w:r>
            <w:r>
              <w:rPr>
                <w:rFonts w:hint="eastAsia"/>
              </w:rPr>
              <w:t>）</w:t>
            </w:r>
          </w:p>
        </w:tc>
        <w:tc>
          <w:tcPr>
            <w:tcW w:w="5577"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显见面不允许；非显见面小于</w:t>
            </w:r>
            <w:r>
              <w:rPr>
                <w:rFonts w:hint="eastAsia"/>
              </w:rPr>
              <w:t>4.0</w:t>
            </w:r>
            <w:r>
              <w:rPr>
                <w:rFonts w:hint="eastAsia"/>
              </w:rPr>
              <w:t>，限</w:t>
            </w:r>
            <w:r>
              <w:rPr>
                <w:rFonts w:hint="eastAsia"/>
              </w:rPr>
              <w:t>2</w:t>
            </w:r>
            <w:r>
              <w:rPr>
                <w:rFonts w:hint="eastAsia"/>
              </w:rPr>
              <w:t>个</w:t>
            </w:r>
          </w:p>
        </w:tc>
      </w:tr>
      <w:tr w:rsidR="00BC7B08">
        <w:tc>
          <w:tcPr>
            <w:tcW w:w="0" w:type="auto"/>
            <w:vMerge/>
            <w:tcBorders>
              <w:top w:val="nil"/>
              <w:left w:val="single" w:sz="4" w:space="0" w:color="000000"/>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0" w:type="auto"/>
            <w:vMerge/>
            <w:tcBorders>
              <w:top w:val="nil"/>
              <w:left w:val="nil"/>
              <w:bottom w:val="single" w:sz="4" w:space="0" w:color="000000"/>
              <w:right w:val="single" w:sz="4" w:space="0" w:color="000000"/>
            </w:tcBorders>
            <w:vAlign w:val="center"/>
          </w:tcPr>
          <w:p w:rsidR="00BC7B08" w:rsidRDefault="00BC7B08">
            <w:pPr>
              <w:widowControl/>
              <w:adjustRightInd/>
              <w:spacing w:line="240" w:lineRule="auto"/>
              <w:jc w:val="left"/>
              <w:rPr>
                <w:rFonts w:ascii="宋体" w:hAnsi="宋体" w:cs="宋体"/>
                <w:kern w:val="0"/>
                <w:sz w:val="18"/>
                <w:szCs w:val="18"/>
              </w:rPr>
            </w:pPr>
          </w:p>
        </w:tc>
        <w:tc>
          <w:tcPr>
            <w:tcW w:w="1890"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裂纹（长度</w:t>
            </w:r>
            <w:r>
              <w:rPr>
                <w:rFonts w:hint="eastAsia"/>
              </w:rPr>
              <w:t>/mm</w:t>
            </w:r>
            <w:r>
              <w:rPr>
                <w:rFonts w:hint="eastAsia"/>
              </w:rPr>
              <w:t>）</w:t>
            </w:r>
          </w:p>
        </w:tc>
        <w:tc>
          <w:tcPr>
            <w:tcW w:w="5577" w:type="dxa"/>
            <w:tcBorders>
              <w:top w:val="single" w:sz="4" w:space="0" w:color="000000"/>
              <w:left w:val="nil"/>
              <w:bottom w:val="single" w:sz="4" w:space="0" w:color="000000"/>
              <w:right w:val="single" w:sz="4" w:space="0" w:color="000000"/>
            </w:tcBorders>
          </w:tcPr>
          <w:p w:rsidR="00BC7B08" w:rsidRDefault="00C4356C">
            <w:pPr>
              <w:pStyle w:val="afffffffffff4"/>
              <w:ind w:firstLineChars="0" w:firstLine="0"/>
              <w:jc w:val="center"/>
            </w:pPr>
            <w:r>
              <w:rPr>
                <w:rFonts w:hint="eastAsia"/>
              </w:rPr>
              <w:t>显见面不允许；非显见面小于</w:t>
            </w:r>
            <w:r>
              <w:rPr>
                <w:rFonts w:hint="eastAsia"/>
              </w:rPr>
              <w:t>3.0</w:t>
            </w:r>
            <w:r>
              <w:rPr>
                <w:rFonts w:hint="eastAsia"/>
              </w:rPr>
              <w:t>，限</w:t>
            </w:r>
            <w:r>
              <w:rPr>
                <w:rFonts w:hint="eastAsia"/>
              </w:rPr>
              <w:t>1</w:t>
            </w:r>
            <w:r>
              <w:rPr>
                <w:rFonts w:hint="eastAsia"/>
              </w:rPr>
              <w:t>条</w:t>
            </w:r>
          </w:p>
        </w:tc>
      </w:tr>
      <w:tr w:rsidR="00BC7B08">
        <w:trPr>
          <w:trHeight w:val="400"/>
        </w:trPr>
        <w:tc>
          <w:tcPr>
            <w:tcW w:w="9570" w:type="dxa"/>
            <w:gridSpan w:val="4"/>
            <w:tcBorders>
              <w:top w:val="single" w:sz="4" w:space="0" w:color="000000"/>
              <w:left w:val="single" w:sz="4" w:space="0" w:color="000000"/>
              <w:bottom w:val="single" w:sz="4" w:space="0" w:color="000000"/>
              <w:right w:val="single" w:sz="4" w:space="0" w:color="000000"/>
            </w:tcBorders>
          </w:tcPr>
          <w:p w:rsidR="00BC7B08" w:rsidRDefault="00C4356C">
            <w:pPr>
              <w:pStyle w:val="afffffffffff4"/>
              <w:spacing w:before="120" w:after="120"/>
              <w:ind w:firstLineChars="100" w:firstLine="210"/>
            </w:pPr>
            <w:r>
              <w:rPr>
                <w:rFonts w:hint="eastAsia"/>
              </w:rPr>
              <w:t>注：缺陷折算规定如下：</w:t>
            </w:r>
          </w:p>
          <w:p w:rsidR="00BC7B08" w:rsidRDefault="00C4356C">
            <w:pPr>
              <w:pStyle w:val="afffffffffff4"/>
              <w:widowControl w:val="0"/>
              <w:numPr>
                <w:ilvl w:val="0"/>
                <w:numId w:val="33"/>
              </w:numPr>
              <w:ind w:firstLineChars="0"/>
            </w:pPr>
            <w:r>
              <w:rPr>
                <w:rFonts w:hint="eastAsia"/>
              </w:rPr>
              <w:t>除已明确规定的缺陷外，表中所规定的缺陷允许范围均指显见面，非显见面的缺陷均可按显见</w:t>
            </w:r>
            <w:proofErr w:type="gramStart"/>
            <w:r>
              <w:rPr>
                <w:rFonts w:hint="eastAsia"/>
              </w:rPr>
              <w:t>面规定</w:t>
            </w:r>
            <w:proofErr w:type="gramEnd"/>
            <w:r>
              <w:rPr>
                <w:rFonts w:hint="eastAsia"/>
              </w:rPr>
              <w:t>的尺寸增大</w:t>
            </w:r>
            <w:r>
              <w:rPr>
                <w:rFonts w:hint="eastAsia"/>
              </w:rPr>
              <w:t>50%</w:t>
            </w:r>
            <w:r>
              <w:rPr>
                <w:rFonts w:hint="eastAsia"/>
              </w:rPr>
              <w:t>。</w:t>
            </w:r>
          </w:p>
          <w:p w:rsidR="00BC7B08" w:rsidRDefault="00C4356C">
            <w:pPr>
              <w:pStyle w:val="afffffffffff4"/>
              <w:widowControl w:val="0"/>
              <w:numPr>
                <w:ilvl w:val="0"/>
                <w:numId w:val="33"/>
              </w:numPr>
              <w:ind w:firstLineChars="0"/>
            </w:pPr>
            <w:r>
              <w:rPr>
                <w:rFonts w:hint="eastAsia"/>
              </w:rPr>
              <w:t>在允许范围内的浅色斑点，其个数可放宽</w:t>
            </w:r>
            <w:r>
              <w:rPr>
                <w:rFonts w:hint="eastAsia"/>
              </w:rPr>
              <w:t>50%</w:t>
            </w:r>
            <w:r>
              <w:rPr>
                <w:rFonts w:hint="eastAsia"/>
              </w:rPr>
              <w:t>。</w:t>
            </w:r>
          </w:p>
          <w:p w:rsidR="00BC7B08" w:rsidRDefault="00C4356C">
            <w:pPr>
              <w:pStyle w:val="afffffffffff4"/>
              <w:widowControl w:val="0"/>
              <w:numPr>
                <w:ilvl w:val="0"/>
                <w:numId w:val="33"/>
              </w:numPr>
              <w:ind w:firstLineChars="0"/>
            </w:pPr>
            <w:r>
              <w:rPr>
                <w:rFonts w:hint="eastAsia"/>
              </w:rPr>
              <w:t>本标准未能包括的缺陷，可按相似缺陷处理。</w:t>
            </w:r>
          </w:p>
        </w:tc>
      </w:tr>
    </w:tbl>
    <w:p w:rsidR="00BC7B08" w:rsidRDefault="00C4356C">
      <w:pPr>
        <w:pStyle w:val="affd"/>
        <w:spacing w:before="156" w:after="156"/>
        <w:rPr>
          <w:rFonts w:hAnsi="黑体" w:cs="宋体"/>
          <w:szCs w:val="21"/>
        </w:rPr>
      </w:pPr>
      <w:r>
        <w:rPr>
          <w:rFonts w:hint="eastAsia"/>
        </w:rPr>
        <w:t>有</w:t>
      </w:r>
      <w:proofErr w:type="gramStart"/>
      <w:r>
        <w:rPr>
          <w:rFonts w:hint="eastAsia"/>
        </w:rPr>
        <w:t>盖产品</w:t>
      </w:r>
      <w:proofErr w:type="gramEnd"/>
      <w:r>
        <w:rPr>
          <w:rFonts w:hint="eastAsia"/>
        </w:rPr>
        <w:t>的盖与口应吻合。</w:t>
      </w:r>
    </w:p>
    <w:p w:rsidR="00BC7B08" w:rsidRDefault="00C4356C">
      <w:pPr>
        <w:pStyle w:val="affd"/>
        <w:spacing w:before="156" w:after="156"/>
      </w:pPr>
      <w:proofErr w:type="gramStart"/>
      <w:r>
        <w:rPr>
          <w:rFonts w:hint="eastAsia"/>
        </w:rPr>
        <w:t>壶类产品</w:t>
      </w:r>
      <w:proofErr w:type="gramEnd"/>
      <w:r>
        <w:rPr>
          <w:rFonts w:hint="eastAsia"/>
        </w:rPr>
        <w:t>在倾斜</w:t>
      </w:r>
      <w:r>
        <w:rPr>
          <w:rFonts w:hint="eastAsia"/>
        </w:rPr>
        <w:t>70</w:t>
      </w:r>
      <w:r>
        <w:rPr>
          <w:rFonts w:hint="eastAsia"/>
        </w:rPr>
        <w:t>°时，盖子不应脱落。</w:t>
      </w:r>
    </w:p>
    <w:p w:rsidR="00BC7B08" w:rsidRDefault="00C4356C">
      <w:pPr>
        <w:pStyle w:val="affd"/>
        <w:spacing w:before="156" w:after="156"/>
      </w:pPr>
      <w:r>
        <w:rPr>
          <w:rFonts w:hint="eastAsia"/>
        </w:rPr>
        <w:t>成套产品的色泽应基本一致。</w:t>
      </w:r>
    </w:p>
    <w:p w:rsidR="00BC7B08" w:rsidRDefault="00C4356C">
      <w:pPr>
        <w:pStyle w:val="affd"/>
        <w:spacing w:before="156" w:after="156"/>
      </w:pPr>
      <w:r>
        <w:rPr>
          <w:rFonts w:hint="eastAsia"/>
        </w:rPr>
        <w:t>抗弯强度不小于</w:t>
      </w:r>
      <w:r>
        <w:rPr>
          <w:rFonts w:hint="eastAsia"/>
        </w:rPr>
        <w:t>15Mpa</w:t>
      </w:r>
      <w:r>
        <w:rPr>
          <w:rFonts w:hint="eastAsia"/>
        </w:rPr>
        <w:t>。</w:t>
      </w:r>
    </w:p>
    <w:p w:rsidR="00BC7B08" w:rsidRDefault="00C4356C">
      <w:pPr>
        <w:pStyle w:val="affd"/>
        <w:spacing w:before="156" w:after="156"/>
      </w:pPr>
      <w:r>
        <w:rPr>
          <w:rFonts w:hint="eastAsia"/>
        </w:rPr>
        <w:t>吸水率不大于</w:t>
      </w:r>
      <w:r>
        <w:rPr>
          <w:rFonts w:hint="eastAsia"/>
        </w:rPr>
        <w:t>20%</w:t>
      </w:r>
      <w:r>
        <w:rPr>
          <w:rFonts w:hint="eastAsia"/>
        </w:rPr>
        <w:t>。</w:t>
      </w:r>
    </w:p>
    <w:p w:rsidR="00BC7B08" w:rsidRDefault="00C4356C">
      <w:pPr>
        <w:pStyle w:val="affd"/>
        <w:spacing w:before="156" w:after="156"/>
      </w:pPr>
      <w:r>
        <w:rPr>
          <w:rFonts w:hint="eastAsia"/>
        </w:rPr>
        <w:t>抗热震性：</w:t>
      </w:r>
      <w:r>
        <w:rPr>
          <w:rFonts w:hint="eastAsia"/>
        </w:rPr>
        <w:t>180</w:t>
      </w:r>
      <w:r>
        <w:rPr>
          <w:rFonts w:hint="eastAsia"/>
        </w:rPr>
        <w:t>℃至</w:t>
      </w:r>
      <w:r>
        <w:rPr>
          <w:rFonts w:hint="eastAsia"/>
        </w:rPr>
        <w:t>20</w:t>
      </w:r>
      <w:r>
        <w:rPr>
          <w:rFonts w:hint="eastAsia"/>
        </w:rPr>
        <w:t>℃水中热交换一次不裂。</w:t>
      </w:r>
    </w:p>
    <w:p w:rsidR="00BC7B08" w:rsidRDefault="00C4356C">
      <w:pPr>
        <w:pStyle w:val="affd"/>
        <w:spacing w:before="156" w:after="156"/>
      </w:pPr>
      <w:r>
        <w:rPr>
          <w:rFonts w:hint="eastAsia"/>
        </w:rPr>
        <w:lastRenderedPageBreak/>
        <w:t>铅、镉溶出</w:t>
      </w:r>
      <w:proofErr w:type="gramStart"/>
      <w:r>
        <w:rPr>
          <w:rFonts w:hint="eastAsia"/>
        </w:rPr>
        <w:t>量允许</w:t>
      </w:r>
      <w:proofErr w:type="gramEnd"/>
      <w:r>
        <w:rPr>
          <w:rFonts w:hint="eastAsia"/>
        </w:rPr>
        <w:t>极限符合</w:t>
      </w:r>
      <w:r>
        <w:rPr>
          <w:rFonts w:hint="eastAsia"/>
        </w:rPr>
        <w:t>GB 12651</w:t>
      </w:r>
      <w:r>
        <w:rPr>
          <w:rFonts w:hint="eastAsia"/>
        </w:rPr>
        <w:t>的规定。</w:t>
      </w:r>
    </w:p>
    <w:p w:rsidR="00BC7B08" w:rsidRDefault="00C4356C">
      <w:pPr>
        <w:pStyle w:val="affd"/>
        <w:spacing w:before="156" w:after="156"/>
      </w:pPr>
      <w:r>
        <w:rPr>
          <w:rFonts w:hint="eastAsia"/>
        </w:rPr>
        <w:t>所有等级产品不应有渗漏。</w:t>
      </w:r>
    </w:p>
    <w:p w:rsidR="00BC7B08" w:rsidRDefault="00C4356C">
      <w:pPr>
        <w:pStyle w:val="affd"/>
        <w:spacing w:before="156" w:after="156"/>
      </w:pPr>
      <w:r>
        <w:rPr>
          <w:rFonts w:hint="eastAsia"/>
        </w:rPr>
        <w:t>所有产品的表面装饰不得采用有机物加工处理。</w:t>
      </w:r>
    </w:p>
    <w:p w:rsidR="00BC7B08" w:rsidRDefault="00C4356C">
      <w:pPr>
        <w:pStyle w:val="affc"/>
        <w:spacing w:before="312" w:after="312"/>
      </w:pPr>
      <w:r>
        <w:rPr>
          <w:rFonts w:hint="eastAsia"/>
        </w:rPr>
        <w:t>试验方法</w:t>
      </w:r>
    </w:p>
    <w:p w:rsidR="00BC7B08" w:rsidRDefault="00C4356C">
      <w:pPr>
        <w:pStyle w:val="affd"/>
        <w:spacing w:before="156" w:after="156"/>
      </w:pPr>
      <w:r>
        <w:rPr>
          <w:rFonts w:hint="eastAsia"/>
        </w:rPr>
        <w:t>尺寸规格、质量等级</w:t>
      </w:r>
    </w:p>
    <w:p w:rsidR="00BC7B08" w:rsidRDefault="00C4356C">
      <w:pPr>
        <w:pStyle w:val="afffffffffff4"/>
      </w:pPr>
      <w:r>
        <w:rPr>
          <w:rFonts w:hint="eastAsia"/>
        </w:rPr>
        <w:t>在自然光或灯光下逐件进行检验，尺寸规格用钢卷尺或钢直尺测量，其他项目为视检或手感检查。</w:t>
      </w:r>
    </w:p>
    <w:p w:rsidR="00BC7B08" w:rsidRDefault="00C4356C">
      <w:pPr>
        <w:pStyle w:val="affd"/>
        <w:spacing w:before="156" w:after="156"/>
      </w:pPr>
      <w:r>
        <w:rPr>
          <w:rFonts w:hint="eastAsia"/>
        </w:rPr>
        <w:t>变形</w:t>
      </w:r>
    </w:p>
    <w:p w:rsidR="00BC7B08" w:rsidRDefault="00C4356C">
      <w:pPr>
        <w:pStyle w:val="afffffffffff4"/>
      </w:pPr>
      <w:r>
        <w:rPr>
          <w:rFonts w:hint="eastAsia"/>
        </w:rPr>
        <w:t>按</w:t>
      </w:r>
      <w:r>
        <w:rPr>
          <w:rFonts w:hint="eastAsia"/>
        </w:rPr>
        <w:t>GB/T 3300</w:t>
      </w:r>
      <w:r>
        <w:rPr>
          <w:rFonts w:hint="eastAsia"/>
        </w:rPr>
        <w:t>规定执行。</w:t>
      </w:r>
    </w:p>
    <w:p w:rsidR="00BC7B08" w:rsidRDefault="00C4356C">
      <w:pPr>
        <w:pStyle w:val="affd"/>
        <w:spacing w:before="156" w:after="156"/>
      </w:pPr>
      <w:r>
        <w:rPr>
          <w:rFonts w:hint="eastAsia"/>
        </w:rPr>
        <w:t>抗弯强度</w:t>
      </w:r>
    </w:p>
    <w:p w:rsidR="00BC7B08" w:rsidRDefault="00C4356C">
      <w:pPr>
        <w:pStyle w:val="afffffffffff4"/>
      </w:pPr>
      <w:r>
        <w:rPr>
          <w:rFonts w:hint="eastAsia"/>
        </w:rPr>
        <w:t>按</w:t>
      </w:r>
      <w:r>
        <w:rPr>
          <w:rFonts w:hint="eastAsia"/>
        </w:rPr>
        <w:t>GB/T 4741</w:t>
      </w:r>
      <w:r>
        <w:rPr>
          <w:rFonts w:hint="eastAsia"/>
        </w:rPr>
        <w:t>的规定执行。</w:t>
      </w:r>
    </w:p>
    <w:p w:rsidR="00BC7B08" w:rsidRDefault="00C4356C">
      <w:pPr>
        <w:pStyle w:val="affd"/>
        <w:spacing w:before="156" w:after="156"/>
      </w:pPr>
      <w:r>
        <w:rPr>
          <w:rFonts w:hint="eastAsia"/>
        </w:rPr>
        <w:t>吸水率</w:t>
      </w:r>
    </w:p>
    <w:p w:rsidR="00BC7B08" w:rsidRDefault="00C4356C">
      <w:pPr>
        <w:pStyle w:val="afffffffffff4"/>
      </w:pPr>
      <w:r>
        <w:rPr>
          <w:rFonts w:hint="eastAsia"/>
        </w:rPr>
        <w:t>按</w:t>
      </w:r>
      <w:r>
        <w:rPr>
          <w:rFonts w:hint="eastAsia"/>
        </w:rPr>
        <w:t>GB/T 3299</w:t>
      </w:r>
      <w:r>
        <w:rPr>
          <w:rFonts w:hint="eastAsia"/>
        </w:rPr>
        <w:t>的规定执行。</w:t>
      </w:r>
    </w:p>
    <w:p w:rsidR="00BC7B08" w:rsidRDefault="00C4356C">
      <w:pPr>
        <w:pStyle w:val="affd"/>
        <w:spacing w:before="156" w:after="156"/>
      </w:pPr>
      <w:r>
        <w:rPr>
          <w:rFonts w:hint="eastAsia"/>
        </w:rPr>
        <w:t>抗热震性</w:t>
      </w:r>
    </w:p>
    <w:p w:rsidR="00BC7B08" w:rsidRDefault="00C4356C">
      <w:pPr>
        <w:pStyle w:val="afffffffffff4"/>
      </w:pPr>
      <w:r>
        <w:rPr>
          <w:rFonts w:hint="eastAsia"/>
        </w:rPr>
        <w:t>按</w:t>
      </w:r>
      <w:r>
        <w:rPr>
          <w:rFonts w:hint="eastAsia"/>
        </w:rPr>
        <w:t>GB/T 3298</w:t>
      </w:r>
      <w:r>
        <w:rPr>
          <w:rFonts w:hint="eastAsia"/>
        </w:rPr>
        <w:t>的规定执行。</w:t>
      </w:r>
    </w:p>
    <w:p w:rsidR="00BC7B08" w:rsidRDefault="00C4356C">
      <w:pPr>
        <w:pStyle w:val="affd"/>
        <w:spacing w:before="156" w:after="156"/>
      </w:pPr>
      <w:r>
        <w:rPr>
          <w:rFonts w:hint="eastAsia"/>
        </w:rPr>
        <w:t>铅、镉溶出量</w:t>
      </w:r>
    </w:p>
    <w:p w:rsidR="00BC7B08" w:rsidRDefault="00C4356C">
      <w:pPr>
        <w:pStyle w:val="afffffffffff4"/>
      </w:pPr>
      <w:r>
        <w:rPr>
          <w:rFonts w:hint="eastAsia"/>
        </w:rPr>
        <w:t>按</w:t>
      </w:r>
      <w:r>
        <w:rPr>
          <w:rFonts w:hint="eastAsia"/>
        </w:rPr>
        <w:t>GB/T 12651</w:t>
      </w:r>
      <w:r>
        <w:rPr>
          <w:rFonts w:hint="eastAsia"/>
        </w:rPr>
        <w:t>的规定执行。</w:t>
      </w:r>
    </w:p>
    <w:p w:rsidR="00BC7B08" w:rsidRDefault="00C4356C">
      <w:pPr>
        <w:pStyle w:val="affd"/>
        <w:spacing w:before="156" w:after="156"/>
      </w:pPr>
      <w:r>
        <w:rPr>
          <w:rFonts w:hint="eastAsia"/>
        </w:rPr>
        <w:t>渗漏</w:t>
      </w:r>
    </w:p>
    <w:p w:rsidR="00BC7B08" w:rsidRDefault="00C4356C">
      <w:pPr>
        <w:pStyle w:val="afffffffffff4"/>
      </w:pPr>
      <w:r>
        <w:rPr>
          <w:rFonts w:hint="eastAsia"/>
        </w:rPr>
        <w:t>将试样盛满水后，静置</w:t>
      </w:r>
      <w:r>
        <w:rPr>
          <w:rFonts w:hint="eastAsia"/>
        </w:rPr>
        <w:t>24h</w:t>
      </w:r>
      <w:r>
        <w:rPr>
          <w:rFonts w:hint="eastAsia"/>
        </w:rPr>
        <w:t>，观察制品外部有无水印或水珠。</w:t>
      </w:r>
    </w:p>
    <w:p w:rsidR="00BC7B08" w:rsidRDefault="00C4356C">
      <w:pPr>
        <w:pStyle w:val="affc"/>
        <w:spacing w:before="312" w:after="312"/>
      </w:pPr>
      <w:r>
        <w:rPr>
          <w:rFonts w:hint="eastAsia"/>
        </w:rPr>
        <w:t>检验规则</w:t>
      </w:r>
    </w:p>
    <w:p w:rsidR="00BC7B08" w:rsidRDefault="00C4356C">
      <w:pPr>
        <w:pStyle w:val="affd"/>
        <w:spacing w:before="156" w:after="156"/>
      </w:pPr>
      <w:r>
        <w:rPr>
          <w:rFonts w:hint="eastAsia"/>
        </w:rPr>
        <w:t>组批</w:t>
      </w:r>
    </w:p>
    <w:p w:rsidR="00BC7B08" w:rsidRDefault="00C4356C">
      <w:pPr>
        <w:pStyle w:val="afffffffffff4"/>
      </w:pPr>
      <w:r>
        <w:rPr>
          <w:rFonts w:hint="eastAsia"/>
        </w:rPr>
        <w:t>由同种材料、相同工艺制成的同型号产品为一批。</w:t>
      </w:r>
    </w:p>
    <w:p w:rsidR="00BC7B08" w:rsidRDefault="00C4356C">
      <w:pPr>
        <w:pStyle w:val="affd"/>
        <w:spacing w:before="156" w:after="156"/>
      </w:pPr>
      <w:r>
        <w:rPr>
          <w:rFonts w:hint="eastAsia"/>
        </w:rPr>
        <w:t>抽样</w:t>
      </w:r>
    </w:p>
    <w:p w:rsidR="00BC7B08" w:rsidRDefault="00C4356C">
      <w:pPr>
        <w:pStyle w:val="afffffffffff4"/>
      </w:pPr>
      <w:r>
        <w:rPr>
          <w:rFonts w:hint="eastAsia"/>
        </w:rPr>
        <w:t>按</w:t>
      </w:r>
      <w:r>
        <w:rPr>
          <w:rFonts w:hint="eastAsia"/>
        </w:rPr>
        <w:t>GB/T 2828.1</w:t>
      </w:r>
      <w:r>
        <w:rPr>
          <w:rFonts w:hint="eastAsia"/>
        </w:rPr>
        <w:t>执行。</w:t>
      </w:r>
    </w:p>
    <w:p w:rsidR="00BC7B08" w:rsidRDefault="00C4356C">
      <w:pPr>
        <w:pStyle w:val="affd"/>
        <w:spacing w:before="156" w:after="156"/>
      </w:pPr>
      <w:r>
        <w:rPr>
          <w:rFonts w:hint="eastAsia"/>
        </w:rPr>
        <w:t>检验分类</w:t>
      </w:r>
    </w:p>
    <w:p w:rsidR="00BC7B08" w:rsidRDefault="00C4356C">
      <w:pPr>
        <w:pStyle w:val="afffffffffff4"/>
      </w:pPr>
      <w:r>
        <w:rPr>
          <w:rFonts w:hint="eastAsia"/>
        </w:rPr>
        <w:t>检验分为出厂检验和型式检验。</w:t>
      </w:r>
    </w:p>
    <w:p w:rsidR="00BC7B08" w:rsidRDefault="00C4356C">
      <w:pPr>
        <w:pStyle w:val="affd"/>
        <w:spacing w:before="156" w:after="156"/>
      </w:pPr>
      <w:r>
        <w:rPr>
          <w:rFonts w:hint="eastAsia"/>
        </w:rPr>
        <w:t>出厂检验</w:t>
      </w:r>
    </w:p>
    <w:p w:rsidR="00BC7B08" w:rsidRDefault="00C4356C">
      <w:pPr>
        <w:pStyle w:val="affffffffa"/>
      </w:pPr>
      <w:r>
        <w:rPr>
          <w:rFonts w:hint="eastAsia"/>
        </w:rPr>
        <w:t>每批产品经质量检验部门检验合格</w:t>
      </w:r>
      <w:r>
        <w:rPr>
          <w:rFonts w:hint="eastAsia"/>
        </w:rPr>
        <w:t>,</w:t>
      </w:r>
      <w:r>
        <w:rPr>
          <w:rFonts w:hint="eastAsia"/>
        </w:rPr>
        <w:t>并签发合格证后方可出厂。</w:t>
      </w:r>
    </w:p>
    <w:p w:rsidR="00BC7B08" w:rsidRDefault="00C4356C">
      <w:pPr>
        <w:pStyle w:val="affffffffa"/>
      </w:pPr>
      <w:r>
        <w:rPr>
          <w:rFonts w:hint="eastAsia"/>
        </w:rPr>
        <w:t>出厂检验项目包括：规格尺寸、外观质量。</w:t>
      </w:r>
    </w:p>
    <w:p w:rsidR="00BC7B08" w:rsidRDefault="00C4356C">
      <w:pPr>
        <w:pStyle w:val="affd"/>
        <w:spacing w:before="156" w:after="156"/>
        <w:rPr>
          <w:rFonts w:hAnsi="黑体"/>
        </w:rPr>
      </w:pPr>
      <w:r>
        <w:rPr>
          <w:rFonts w:hint="eastAsia"/>
        </w:rPr>
        <w:lastRenderedPageBreak/>
        <w:t>型式检验</w:t>
      </w:r>
    </w:p>
    <w:p w:rsidR="00BC7B08" w:rsidRDefault="00C4356C">
      <w:pPr>
        <w:pStyle w:val="affffffffa"/>
      </w:pPr>
      <w:r>
        <w:rPr>
          <w:rFonts w:hint="eastAsia"/>
        </w:rPr>
        <w:t>型式检验项目包括本标准第</w:t>
      </w:r>
      <w:r>
        <w:rPr>
          <w:rFonts w:hint="eastAsia"/>
        </w:rPr>
        <w:t>5</w:t>
      </w:r>
      <w:r>
        <w:rPr>
          <w:rFonts w:hint="eastAsia"/>
        </w:rPr>
        <w:t>章的全部内容。其中吸水率、抗热震性和铅、镉溶出量每半年进行一次，其他项目每年进行一次，</w:t>
      </w:r>
    </w:p>
    <w:p w:rsidR="00BC7B08" w:rsidRDefault="00C4356C">
      <w:pPr>
        <w:pStyle w:val="affffffffa"/>
      </w:pPr>
      <w:r>
        <w:rPr>
          <w:rFonts w:hint="eastAsia"/>
        </w:rPr>
        <w:t>有下列情况之一时，应进行型式检验：</w:t>
      </w:r>
    </w:p>
    <w:p w:rsidR="00BC7B08" w:rsidRDefault="00C4356C" w:rsidP="009C7322">
      <w:pPr>
        <w:pStyle w:val="af5"/>
      </w:pPr>
      <w:bookmarkStart w:id="41" w:name="_GoBack"/>
      <w:bookmarkEnd w:id="41"/>
      <w:r>
        <w:rPr>
          <w:rFonts w:hint="eastAsia"/>
        </w:rPr>
        <w:t>产品原料改变时；</w:t>
      </w:r>
    </w:p>
    <w:p w:rsidR="00BC7B08" w:rsidRDefault="00C4356C" w:rsidP="009C7322">
      <w:pPr>
        <w:pStyle w:val="af5"/>
      </w:pPr>
      <w:r>
        <w:rPr>
          <w:rFonts w:hint="eastAsia"/>
        </w:rPr>
        <w:t>生产中，如产品结构、材料、工艺等有较大改变，可能引起产品性能改变时；</w:t>
      </w:r>
    </w:p>
    <w:p w:rsidR="00BC7B08" w:rsidRDefault="00C4356C" w:rsidP="009C7322">
      <w:pPr>
        <w:pStyle w:val="af5"/>
      </w:pPr>
      <w:r>
        <w:rPr>
          <w:rFonts w:hint="eastAsia"/>
        </w:rPr>
        <w:t>产品停产</w:t>
      </w:r>
      <w:r>
        <w:rPr>
          <w:rFonts w:hint="eastAsia"/>
        </w:rPr>
        <w:t>6</w:t>
      </w:r>
      <w:r>
        <w:rPr>
          <w:rFonts w:hint="eastAsia"/>
        </w:rPr>
        <w:t>个月以上再恢复生产时；</w:t>
      </w:r>
    </w:p>
    <w:p w:rsidR="00BC7B08" w:rsidRDefault="00C4356C" w:rsidP="009C7322">
      <w:pPr>
        <w:pStyle w:val="af5"/>
      </w:pPr>
      <w:r>
        <w:rPr>
          <w:rFonts w:hint="eastAsia"/>
        </w:rPr>
        <w:t>出厂检验结果与上次型式检验检查结果有较大差异时；</w:t>
      </w:r>
    </w:p>
    <w:p w:rsidR="00BC7B08" w:rsidRDefault="00C4356C" w:rsidP="009C7322">
      <w:pPr>
        <w:pStyle w:val="af5"/>
      </w:pPr>
      <w:r>
        <w:rPr>
          <w:rFonts w:hint="eastAsia"/>
        </w:rPr>
        <w:t>国家质量监督检验机构提出检验要求时。</w:t>
      </w:r>
    </w:p>
    <w:p w:rsidR="00BC7B08" w:rsidRDefault="00C4356C">
      <w:pPr>
        <w:pStyle w:val="affd"/>
        <w:spacing w:before="156" w:after="156"/>
      </w:pPr>
      <w:r>
        <w:rPr>
          <w:rFonts w:hint="eastAsia"/>
        </w:rPr>
        <w:t>判定规则</w:t>
      </w:r>
    </w:p>
    <w:p w:rsidR="00BC7B08" w:rsidRDefault="00C4356C">
      <w:pPr>
        <w:pStyle w:val="affffffffa"/>
      </w:pPr>
      <w:r>
        <w:rPr>
          <w:rFonts w:hint="eastAsia"/>
        </w:rPr>
        <w:t>出厂检验项目合格判定条件，根据规定的出厂检验项目，出厂产品必须达到检验项目的技术要求或按供需双方合同判定。</w:t>
      </w:r>
    </w:p>
    <w:p w:rsidR="00BC7B08" w:rsidRDefault="00C4356C">
      <w:pPr>
        <w:pStyle w:val="affffffffa"/>
        <w:rPr>
          <w:rFonts w:ascii="黑体" w:eastAsia="黑体" w:hAnsi="黑体"/>
        </w:rPr>
      </w:pPr>
      <w:r>
        <w:rPr>
          <w:rFonts w:hint="eastAsia"/>
        </w:rPr>
        <w:t>型式检验项目合格判定条件须以受检的产品全部合格方判为合格。在型式检验中，如有不合格项目，可加倍抽样，对不合格项目重复进行试验。重复试验仍有不合格时，则判型式检验为不合格。</w:t>
      </w:r>
    </w:p>
    <w:p w:rsidR="00BC7B08" w:rsidRDefault="00C4356C">
      <w:pPr>
        <w:pStyle w:val="affc"/>
        <w:spacing w:before="312" w:after="312"/>
      </w:pPr>
      <w:r>
        <w:rPr>
          <w:rFonts w:hint="eastAsia"/>
        </w:rPr>
        <w:t>标志、包装、运输和贮存</w:t>
      </w:r>
    </w:p>
    <w:p w:rsidR="00BC7B08" w:rsidRDefault="00C4356C">
      <w:pPr>
        <w:pStyle w:val="afffffffffff4"/>
      </w:pPr>
      <w:r>
        <w:rPr>
          <w:rFonts w:hint="eastAsia"/>
        </w:rPr>
        <w:t>产品的标志、包装、运输和</w:t>
      </w:r>
      <w:proofErr w:type="gramStart"/>
      <w:r>
        <w:rPr>
          <w:rFonts w:hint="eastAsia"/>
        </w:rPr>
        <w:t>贮存按</w:t>
      </w:r>
      <w:proofErr w:type="gramEnd"/>
      <w:r>
        <w:rPr>
          <w:rFonts w:hint="eastAsia"/>
        </w:rPr>
        <w:t>GB/T 3302</w:t>
      </w:r>
      <w:r>
        <w:rPr>
          <w:rFonts w:hint="eastAsia"/>
        </w:rPr>
        <w:t>的规定执行。</w:t>
      </w:r>
    </w:p>
    <w:p w:rsidR="00BC7B08" w:rsidRDefault="00C4356C">
      <w:pPr>
        <w:pStyle w:val="affffe"/>
        <w:ind w:firstLineChars="0" w:firstLine="0"/>
        <w:jc w:val="center"/>
      </w:pPr>
      <w:bookmarkStart w:id="42" w:name="BookMark8"/>
      <w:bookmarkEnd w:id="22"/>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stretch>
                      <a:fillRect/>
                    </a:stretch>
                  </pic:blipFill>
                  <pic:spPr>
                    <a:xfrm>
                      <a:off x="0" y="0"/>
                      <a:ext cx="1485900" cy="317500"/>
                    </a:xfrm>
                    <a:prstGeom prst="rect">
                      <a:avLst/>
                    </a:prstGeom>
                  </pic:spPr>
                </pic:pic>
              </a:graphicData>
            </a:graphic>
          </wp:inline>
        </w:drawing>
      </w:r>
      <w:bookmarkEnd w:id="42"/>
    </w:p>
    <w:sectPr w:rsidR="00BC7B08">
      <w:pgSz w:w="11906" w:h="16838"/>
      <w:pgMar w:top="567" w:right="1134" w:bottom="1134" w:left="1134" w:header="1418" w:footer="1134" w:gutter="284"/>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6C" w:rsidRDefault="00C4356C">
      <w:pPr>
        <w:spacing w:line="240" w:lineRule="auto"/>
      </w:pPr>
      <w:r>
        <w:separator/>
      </w:r>
    </w:p>
  </w:endnote>
  <w:endnote w:type="continuationSeparator" w:id="0">
    <w:p w:rsidR="00C4356C" w:rsidRDefault="00C43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08" w:rsidRDefault="00C4356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08" w:rsidRDefault="00BC7B08">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08" w:rsidRDefault="00BC7B08">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08" w:rsidRDefault="00C4356C">
    <w:pPr>
      <w:pStyle w:val="affffb"/>
    </w:pPr>
    <w:r>
      <w:fldChar w:fldCharType="begin"/>
    </w:r>
    <w:r>
      <w:instrText>PAGE   \* MERGEFORMAT</w:instrText>
    </w:r>
    <w:r>
      <w:fldChar w:fldCharType="separate"/>
    </w:r>
    <w:r w:rsidR="009C7322" w:rsidRPr="009C7322">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6C" w:rsidRDefault="00C4356C">
      <w:pPr>
        <w:spacing w:line="240" w:lineRule="auto"/>
      </w:pPr>
      <w:r>
        <w:separator/>
      </w:r>
    </w:p>
  </w:footnote>
  <w:footnote w:type="continuationSeparator" w:id="0">
    <w:p w:rsidR="00C4356C" w:rsidRDefault="00C435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08" w:rsidRDefault="00BC7B08">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08" w:rsidRDefault="00C4356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08" w:rsidRDefault="00BC7B08">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08" w:rsidRDefault="00C4356C">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3704/T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08" w:rsidRDefault="00C4356C">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7322">
      <w:rPr>
        <w:noProof/>
      </w:rPr>
      <w:t>DB 3704/T XXXX</w:t>
    </w:r>
    <w:r w:rsidR="009C7322">
      <w:rPr>
        <w:noProof/>
      </w:rPr>
      <w:t>—</w:t>
    </w:r>
    <w:r w:rsidR="009C7322">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0F64DF3"/>
    <w:multiLevelType w:val="multilevel"/>
    <w:tmpl w:val="10F64DF3"/>
    <w:lvl w:ilvl="0">
      <w:start w:val="1"/>
      <w:numFmt w:val="decimal"/>
      <w:suff w:val="nothing"/>
      <w:lvlText w:val="表%1　"/>
      <w:lvlJc w:val="left"/>
      <w:pPr>
        <w:ind w:left="0" w:firstLine="0"/>
      </w:pPr>
      <w:rPr>
        <w:rFonts w:ascii="黑体" w:eastAsia="黑体" w:hAnsi="Times New Roman" w:hint="eastAsia"/>
        <w:b w:val="0"/>
        <w:bCs w:val="0"/>
        <w:i w:val="0"/>
        <w:iCs w:val="0"/>
        <w:sz w:val="21"/>
        <w:szCs w:val="21"/>
      </w:rPr>
    </w:lvl>
    <w:lvl w:ilvl="1">
      <w:start w:val="1"/>
      <w:numFmt w:val="decimal"/>
      <w:lvlText w:val="%1.%2"/>
      <w:lvlJc w:val="left"/>
      <w:pPr>
        <w:tabs>
          <w:tab w:val="left" w:pos="992"/>
        </w:tabs>
        <w:ind w:left="992" w:hanging="567"/>
      </w:pPr>
      <w:rPr>
        <w:rFonts w:ascii="宋体" w:eastAsia="宋体" w:hAnsi="宋体" w:hint="eastAsia"/>
      </w:rPr>
    </w:lvl>
    <w:lvl w:ilvl="2">
      <w:start w:val="1"/>
      <w:numFmt w:val="decimal"/>
      <w:lvlText w:val="%1.%2.%3"/>
      <w:lvlJc w:val="left"/>
      <w:pPr>
        <w:tabs>
          <w:tab w:val="left" w:pos="1418"/>
        </w:tabs>
        <w:ind w:left="1418" w:hanging="567"/>
      </w:pPr>
      <w:rPr>
        <w:rFonts w:ascii="宋体" w:eastAsia="宋体" w:hAnsi="宋体" w:hint="eastAsia"/>
      </w:rPr>
    </w:lvl>
    <w:lvl w:ilvl="3">
      <w:start w:val="1"/>
      <w:numFmt w:val="decimal"/>
      <w:lvlText w:val="%1.%2.%3.%4"/>
      <w:lvlJc w:val="left"/>
      <w:pPr>
        <w:tabs>
          <w:tab w:val="left" w:pos="1984"/>
        </w:tabs>
        <w:ind w:left="1984" w:hanging="708"/>
      </w:pPr>
      <w:rPr>
        <w:rFonts w:ascii="宋体" w:eastAsia="宋体" w:hAnsi="宋体" w:hint="eastAsia"/>
      </w:rPr>
    </w:lvl>
    <w:lvl w:ilvl="4">
      <w:start w:val="1"/>
      <w:numFmt w:val="decimal"/>
      <w:lvlText w:val="%1.%2.%3.%4.%5"/>
      <w:lvlJc w:val="left"/>
      <w:pPr>
        <w:tabs>
          <w:tab w:val="left" w:pos="2551"/>
        </w:tabs>
        <w:ind w:left="2551" w:hanging="850"/>
      </w:pPr>
      <w:rPr>
        <w:rFonts w:ascii="宋体" w:eastAsia="宋体" w:hAnsi="宋体" w:hint="eastAsia"/>
      </w:rPr>
    </w:lvl>
    <w:lvl w:ilvl="5">
      <w:start w:val="1"/>
      <w:numFmt w:val="decimal"/>
      <w:lvlText w:val="%1.%2.%3.%4.%5.%6"/>
      <w:lvlJc w:val="left"/>
      <w:pPr>
        <w:tabs>
          <w:tab w:val="left" w:pos="3260"/>
        </w:tabs>
        <w:ind w:left="3260" w:hanging="1134"/>
      </w:pPr>
      <w:rPr>
        <w:rFonts w:ascii="宋体" w:eastAsia="宋体" w:hAnsi="宋体" w:hint="eastAsia"/>
      </w:rPr>
    </w:lvl>
    <w:lvl w:ilvl="6">
      <w:start w:val="1"/>
      <w:numFmt w:val="decimal"/>
      <w:lvlText w:val="%1.%2.%3.%4.%5.%6.%7"/>
      <w:lvlJc w:val="left"/>
      <w:pPr>
        <w:tabs>
          <w:tab w:val="left" w:pos="3827"/>
        </w:tabs>
        <w:ind w:left="3827" w:hanging="1276"/>
      </w:pPr>
      <w:rPr>
        <w:rFonts w:ascii="宋体" w:eastAsia="宋体" w:hAnsi="宋体" w:hint="eastAsia"/>
      </w:rPr>
    </w:lvl>
    <w:lvl w:ilvl="7">
      <w:start w:val="1"/>
      <w:numFmt w:val="decimal"/>
      <w:lvlText w:val="%1.%2.%3.%4.%5.%6.%7.%8"/>
      <w:lvlJc w:val="left"/>
      <w:pPr>
        <w:tabs>
          <w:tab w:val="left" w:pos="4394"/>
        </w:tabs>
        <w:ind w:left="4394" w:hanging="1418"/>
      </w:pPr>
      <w:rPr>
        <w:rFonts w:ascii="宋体" w:eastAsia="宋体" w:hAnsi="宋体" w:hint="eastAsia"/>
      </w:rPr>
    </w:lvl>
    <w:lvl w:ilvl="8">
      <w:start w:val="1"/>
      <w:numFmt w:val="decimal"/>
      <w:lvlText w:val="%1.%2.%3.%4.%5.%6.%7.%8.%9"/>
      <w:lvlJc w:val="left"/>
      <w:pPr>
        <w:tabs>
          <w:tab w:val="left" w:pos="5102"/>
        </w:tabs>
        <w:ind w:left="5102" w:hanging="1700"/>
      </w:pPr>
      <w:rPr>
        <w:rFonts w:ascii="宋体" w:eastAsia="宋体" w:hAnsi="宋体"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1F97299E"/>
    <w:multiLevelType w:val="multilevel"/>
    <w:tmpl w:val="1F97299E"/>
    <w:lvl w:ilvl="0">
      <w:start w:val="1"/>
      <w:numFmt w:val="decimal"/>
      <w:lvlText w:val="%1、"/>
      <w:lvlJc w:val="left"/>
      <w:pPr>
        <w:tabs>
          <w:tab w:val="left" w:pos="810"/>
        </w:tabs>
        <w:ind w:left="810" w:hanging="450"/>
      </w:pPr>
      <w:rPr>
        <w:rFonts w:ascii="Times New Roman" w:hAnsi="Times New Roman" w:cs="Times New Roman" w:hint="default"/>
      </w:rPr>
    </w:lvl>
    <w:lvl w:ilvl="1">
      <w:start w:val="1"/>
      <w:numFmt w:val="lowerLetter"/>
      <w:lvlText w:val="%2)"/>
      <w:lvlJc w:val="left"/>
      <w:pPr>
        <w:tabs>
          <w:tab w:val="left" w:pos="1200"/>
        </w:tabs>
        <w:ind w:left="1200" w:hanging="420"/>
      </w:pPr>
      <w:rPr>
        <w:rFonts w:ascii="Times New Roman" w:hAnsi="Times New Roman" w:cs="Times New Roman" w:hint="default"/>
      </w:rPr>
    </w:lvl>
    <w:lvl w:ilvl="2">
      <w:start w:val="1"/>
      <w:numFmt w:val="lowerRoman"/>
      <w:lvlText w:val="%3."/>
      <w:lvlJc w:val="right"/>
      <w:pPr>
        <w:tabs>
          <w:tab w:val="left" w:pos="1620"/>
        </w:tabs>
        <w:ind w:left="1620" w:hanging="420"/>
      </w:pPr>
      <w:rPr>
        <w:rFonts w:ascii="Times New Roman" w:hAnsi="Times New Roman" w:cs="Times New Roman" w:hint="default"/>
      </w:rPr>
    </w:lvl>
    <w:lvl w:ilvl="3">
      <w:start w:val="1"/>
      <w:numFmt w:val="decimal"/>
      <w:lvlText w:val="%4."/>
      <w:lvlJc w:val="left"/>
      <w:pPr>
        <w:tabs>
          <w:tab w:val="left" w:pos="2040"/>
        </w:tabs>
        <w:ind w:left="2040" w:hanging="420"/>
      </w:pPr>
      <w:rPr>
        <w:rFonts w:ascii="Times New Roman" w:hAnsi="Times New Roman" w:cs="Times New Roman" w:hint="default"/>
      </w:rPr>
    </w:lvl>
    <w:lvl w:ilvl="4">
      <w:start w:val="1"/>
      <w:numFmt w:val="lowerLetter"/>
      <w:lvlText w:val="%5)"/>
      <w:lvlJc w:val="left"/>
      <w:pPr>
        <w:tabs>
          <w:tab w:val="left" w:pos="2460"/>
        </w:tabs>
        <w:ind w:left="2460" w:hanging="420"/>
      </w:pPr>
      <w:rPr>
        <w:rFonts w:ascii="Times New Roman" w:hAnsi="Times New Roman" w:cs="Times New Roman" w:hint="default"/>
      </w:rPr>
    </w:lvl>
    <w:lvl w:ilvl="5">
      <w:start w:val="1"/>
      <w:numFmt w:val="lowerRoman"/>
      <w:lvlText w:val="%6."/>
      <w:lvlJc w:val="right"/>
      <w:pPr>
        <w:tabs>
          <w:tab w:val="left" w:pos="2880"/>
        </w:tabs>
        <w:ind w:left="2880" w:hanging="420"/>
      </w:pPr>
      <w:rPr>
        <w:rFonts w:ascii="Times New Roman" w:hAnsi="Times New Roman" w:cs="Times New Roman" w:hint="default"/>
      </w:rPr>
    </w:lvl>
    <w:lvl w:ilvl="6">
      <w:start w:val="1"/>
      <w:numFmt w:val="decimal"/>
      <w:lvlText w:val="%7."/>
      <w:lvlJc w:val="left"/>
      <w:pPr>
        <w:tabs>
          <w:tab w:val="left" w:pos="3300"/>
        </w:tabs>
        <w:ind w:left="3300" w:hanging="420"/>
      </w:pPr>
      <w:rPr>
        <w:rFonts w:ascii="Times New Roman" w:hAnsi="Times New Roman" w:cs="Times New Roman" w:hint="default"/>
      </w:rPr>
    </w:lvl>
    <w:lvl w:ilvl="7">
      <w:start w:val="1"/>
      <w:numFmt w:val="lowerLetter"/>
      <w:lvlText w:val="%8)"/>
      <w:lvlJc w:val="left"/>
      <w:pPr>
        <w:tabs>
          <w:tab w:val="left" w:pos="3720"/>
        </w:tabs>
        <w:ind w:left="3720" w:hanging="420"/>
      </w:pPr>
      <w:rPr>
        <w:rFonts w:ascii="Times New Roman" w:hAnsi="Times New Roman" w:cs="Times New Roman" w:hint="default"/>
      </w:rPr>
    </w:lvl>
    <w:lvl w:ilvl="8">
      <w:start w:val="1"/>
      <w:numFmt w:val="lowerRoman"/>
      <w:lvlText w:val="%9."/>
      <w:lvlJc w:val="right"/>
      <w:pPr>
        <w:tabs>
          <w:tab w:val="left" w:pos="4140"/>
        </w:tabs>
        <w:ind w:left="4140" w:hanging="420"/>
      </w:pPr>
      <w:rPr>
        <w:rFonts w:ascii="Times New Roman" w:hAnsi="Times New Roman" w:cs="Times New Roman" w:hint="default"/>
      </w:rPr>
    </w:lvl>
  </w:abstractNum>
  <w:abstractNum w:abstractNumId="12">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BAA3008"/>
    <w:multiLevelType w:val="multilevel"/>
    <w:tmpl w:val="6BAA3008"/>
    <w:lvl w:ilvl="0">
      <w:start w:val="1"/>
      <w:numFmt w:val="lowerLetter"/>
      <w:lvlText w:val="%1)"/>
      <w:lvlJc w:val="left"/>
      <w:pPr>
        <w:tabs>
          <w:tab w:val="left" w:pos="839"/>
        </w:tabs>
        <w:ind w:left="839" w:hanging="419"/>
      </w:pPr>
      <w:rPr>
        <w:rFonts w:ascii="宋体" w:eastAsia="宋体" w:hAnsi="宋体" w:hint="eastAsia"/>
        <w:b w:val="0"/>
        <w:bCs w:val="0"/>
        <w:i w:val="0"/>
        <w:iCs w:val="0"/>
        <w:sz w:val="20"/>
        <w:szCs w:val="20"/>
      </w:rPr>
    </w:lvl>
    <w:lvl w:ilvl="1">
      <w:start w:val="1"/>
      <w:numFmt w:val="decimal"/>
      <w:lvlText w:val="%2)"/>
      <w:lvlJc w:val="left"/>
      <w:pPr>
        <w:tabs>
          <w:tab w:val="left" w:pos="1259"/>
        </w:tabs>
        <w:ind w:left="1259" w:hanging="420"/>
      </w:pPr>
      <w:rPr>
        <w:rFonts w:ascii="宋体" w:eastAsia="宋体" w:hAnsi="宋体"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hint="eastAsia"/>
        <w:b w:val="0"/>
        <w:bCs w:val="0"/>
        <w:i w:val="0"/>
        <w:iCs w:val="0"/>
        <w:sz w:val="20"/>
        <w:szCs w:val="20"/>
      </w:rPr>
    </w:lvl>
    <w:lvl w:ilvl="3">
      <w:start w:val="1"/>
      <w:numFmt w:val="decimal"/>
      <w:lvlText w:val="%4."/>
      <w:lvlJc w:val="left"/>
      <w:pPr>
        <w:tabs>
          <w:tab w:val="left" w:pos="2098"/>
        </w:tabs>
        <w:ind w:left="2098" w:hanging="420"/>
      </w:pPr>
      <w:rPr>
        <w:rFonts w:ascii="黑体" w:eastAsia="黑体" w:hAnsi="Times New Roman" w:hint="eastAsia"/>
        <w:b w:val="0"/>
        <w:bCs w:val="0"/>
        <w:i w:val="0"/>
        <w:iCs w:val="0"/>
        <w:sz w:val="21"/>
        <w:szCs w:val="21"/>
      </w:rPr>
    </w:lvl>
    <w:lvl w:ilvl="4">
      <w:start w:val="1"/>
      <w:numFmt w:val="lowerLetter"/>
      <w:lvlText w:val="%5)"/>
      <w:lvlJc w:val="left"/>
      <w:pPr>
        <w:tabs>
          <w:tab w:val="left" w:pos="2517"/>
        </w:tabs>
        <w:ind w:left="2517" w:hanging="419"/>
      </w:pPr>
      <w:rPr>
        <w:rFonts w:ascii="黑体" w:eastAsia="黑体" w:hAnsi="Times New Roman" w:hint="eastAsia"/>
        <w:b w:val="0"/>
        <w:bCs w:val="0"/>
        <w:i w:val="0"/>
        <w:iCs w:val="0"/>
        <w:sz w:val="21"/>
        <w:szCs w:val="21"/>
      </w:rPr>
    </w:lvl>
    <w:lvl w:ilvl="5">
      <w:start w:val="1"/>
      <w:numFmt w:val="lowerRoman"/>
      <w:lvlText w:val="%6."/>
      <w:lvlJc w:val="right"/>
      <w:pPr>
        <w:tabs>
          <w:tab w:val="left" w:pos="2942"/>
        </w:tabs>
        <w:ind w:left="2937" w:hanging="420"/>
      </w:pPr>
      <w:rPr>
        <w:rFonts w:ascii="黑体" w:eastAsia="黑体" w:hAnsi="Times New Roman" w:hint="eastAsia"/>
        <w:b w:val="0"/>
        <w:bCs w:val="0"/>
        <w:i w:val="0"/>
        <w:iCs w:val="0"/>
        <w:sz w:val="21"/>
        <w:szCs w:val="21"/>
      </w:rPr>
    </w:lvl>
    <w:lvl w:ilvl="6">
      <w:start w:val="1"/>
      <w:numFmt w:val="decimal"/>
      <w:lvlText w:val="%7."/>
      <w:lvlJc w:val="left"/>
      <w:pPr>
        <w:tabs>
          <w:tab w:val="left" w:pos="3362"/>
        </w:tabs>
        <w:ind w:left="3356" w:hanging="414"/>
      </w:pPr>
      <w:rPr>
        <w:rFonts w:ascii="黑体" w:eastAsia="黑体" w:hAnsi="Times New Roman" w:hint="eastAsia"/>
        <w:b w:val="0"/>
        <w:bCs w:val="0"/>
        <w:i w:val="0"/>
        <w:iCs w:val="0"/>
        <w:sz w:val="21"/>
        <w:szCs w:val="21"/>
      </w:rPr>
    </w:lvl>
    <w:lvl w:ilvl="7">
      <w:start w:val="1"/>
      <w:numFmt w:val="lowerLetter"/>
      <w:lvlText w:val="%8)"/>
      <w:lvlJc w:val="left"/>
      <w:pPr>
        <w:tabs>
          <w:tab w:val="left" w:pos="3781"/>
        </w:tabs>
        <w:ind w:left="3776" w:hanging="414"/>
      </w:pPr>
      <w:rPr>
        <w:rFonts w:ascii="宋体" w:eastAsia="宋体" w:hAnsi="宋体" w:hint="eastAsia"/>
      </w:rPr>
    </w:lvl>
    <w:lvl w:ilvl="8">
      <w:start w:val="1"/>
      <w:numFmt w:val="lowerRoman"/>
      <w:lvlText w:val="%9."/>
      <w:lvlJc w:val="right"/>
      <w:pPr>
        <w:tabs>
          <w:tab w:val="left" w:pos="4201"/>
        </w:tabs>
        <w:ind w:left="4201" w:hanging="420"/>
      </w:pPr>
      <w:rPr>
        <w:rFonts w:ascii="宋体" w:eastAsia="宋体" w:hAnsi="宋体" w:hint="eastAsia"/>
      </w:rPr>
    </w:lvl>
  </w:abstractNum>
  <w:abstractNum w:abstractNumId="28">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8"/>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2"/>
  </w:num>
  <w:num w:numId="19">
    <w:abstractNumId w:val="17"/>
  </w:num>
  <w:num w:numId="20">
    <w:abstractNumId w:val="1"/>
  </w:num>
  <w:num w:numId="21">
    <w:abstractNumId w:val="12"/>
  </w:num>
  <w:num w:numId="22">
    <w:abstractNumId w:val="33"/>
  </w:num>
  <w:num w:numId="23">
    <w:abstractNumId w:val="22"/>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6"/>
  </w:num>
  <w:num w:numId="31">
    <w:abstractNumId w:val="24"/>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8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73AF"/>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C7322"/>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C7B0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356C"/>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48E"/>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E2C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pPr>
  </w:style>
  <w:style w:type="paragraph" w:customStyle="1" w:styleId="affffff3">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eastAsia="宋体" w:hAnsi="Times New Roman" w:cs="Times New Roman"/>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round"/>
      <w:spacing w:before="57"/>
    </w:pPr>
    <w:rPr>
      <w:sz w:val="21"/>
    </w:rPr>
  </w:style>
  <w:style w:type="paragraph" w:customStyle="1" w:styleId="afffffffffd">
    <w:name w:val="标准文件_文件名称"/>
    <w:basedOn w:val="affffe"/>
    <w:next w:val="affff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paragraph" w:customStyle="1" w:styleId="afffffffffff3">
    <w:name w:val="字母编号列项（一级）"/>
    <w:basedOn w:val="afff5"/>
    <w:pPr>
      <w:widowControl/>
      <w:adjustRightInd/>
      <w:spacing w:before="100" w:beforeAutospacing="1" w:after="100" w:afterAutospacing="1" w:line="240" w:lineRule="auto"/>
      <w:ind w:left="839" w:hanging="419"/>
    </w:pPr>
    <w:rPr>
      <w:rFonts w:ascii="宋体" w:hAnsi="宋体" w:cs="宋体"/>
      <w:kern w:val="0"/>
    </w:rPr>
  </w:style>
  <w:style w:type="paragraph" w:customStyle="1" w:styleId="afffffffffff4">
    <w:name w:val="段"/>
    <w:basedOn w:val="afff5"/>
    <w:pPr>
      <w:widowControl/>
      <w:autoSpaceDE w:val="0"/>
      <w:autoSpaceDN w:val="0"/>
      <w:adjustRightInd/>
      <w:spacing w:line="240" w:lineRule="auto"/>
      <w:ind w:firstLineChars="200" w:firstLine="420"/>
    </w:pPr>
    <w:rPr>
      <w:rFonts w:ascii="宋体" w:hAnsi="宋体" w:cs="宋体"/>
      <w:kern w:val="0"/>
    </w:rPr>
  </w:style>
  <w:style w:type="paragraph" w:customStyle="1" w:styleId="afffffffffff5">
    <w:name w:val="正文表标题"/>
    <w:basedOn w:val="afff5"/>
    <w:next w:val="afffffffffff4"/>
    <w:pPr>
      <w:widowControl/>
      <w:adjustRightInd/>
      <w:spacing w:beforeLines="50" w:afterLines="50" w:line="240" w:lineRule="auto"/>
      <w:jc w:val="center"/>
    </w:pPr>
    <w:rPr>
      <w:rFonts w:ascii="黑体" w:eastAsia="黑体" w:hAnsi="黑体" w:cs="宋体"/>
      <w:kern w:val="0"/>
    </w:rPr>
  </w:style>
  <w:style w:type="paragraph" w:customStyle="1" w:styleId="afffffffffff6">
    <w:name w:val="一级条标题"/>
    <w:basedOn w:val="afff5"/>
    <w:next w:val="afffffffffff4"/>
    <w:pPr>
      <w:widowControl/>
      <w:adjustRightInd/>
      <w:spacing w:beforeLines="50" w:afterLines="50" w:line="240" w:lineRule="auto"/>
      <w:jc w:val="left"/>
      <w:outlineLvl w:val="2"/>
    </w:pPr>
    <w:rPr>
      <w:rFonts w:ascii="黑体" w:eastAsia="黑体" w:hAnsi="黑体" w:cs="宋体"/>
      <w:kern w:val="0"/>
    </w:rPr>
  </w:style>
  <w:style w:type="paragraph" w:customStyle="1" w:styleId="afffffffffff7">
    <w:name w:val="章标题"/>
    <w:basedOn w:val="afff5"/>
    <w:next w:val="afffffffffff4"/>
    <w:pPr>
      <w:widowControl/>
      <w:adjustRightInd/>
      <w:spacing w:beforeLines="100" w:afterLines="100" w:line="240" w:lineRule="auto"/>
      <w:outlineLvl w:val="1"/>
    </w:pPr>
    <w:rPr>
      <w:rFonts w:ascii="黑体" w:eastAsia="黑体" w:hAnsi="黑体" w:cs="宋体"/>
      <w:kern w:val="0"/>
    </w:rPr>
  </w:style>
  <w:style w:type="paragraph" w:customStyle="1" w:styleId="afffffffffff8">
    <w:name w:val="二级条标题"/>
    <w:basedOn w:val="afffffffffff6"/>
    <w:next w:val="afffffffffff4"/>
    <w:pPr>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pPr>
  </w:style>
  <w:style w:type="paragraph" w:customStyle="1" w:styleId="affffff3">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eastAsia="宋体" w:hAnsi="Times New Roman" w:cs="Times New Roman"/>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round"/>
      <w:spacing w:before="57"/>
    </w:pPr>
    <w:rPr>
      <w:sz w:val="21"/>
    </w:rPr>
  </w:style>
  <w:style w:type="paragraph" w:customStyle="1" w:styleId="afffffffffd">
    <w:name w:val="标准文件_文件名称"/>
    <w:basedOn w:val="affffe"/>
    <w:next w:val="affff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paragraph" w:customStyle="1" w:styleId="afffffffffff3">
    <w:name w:val="字母编号列项（一级）"/>
    <w:basedOn w:val="afff5"/>
    <w:pPr>
      <w:widowControl/>
      <w:adjustRightInd/>
      <w:spacing w:before="100" w:beforeAutospacing="1" w:after="100" w:afterAutospacing="1" w:line="240" w:lineRule="auto"/>
      <w:ind w:left="839" w:hanging="419"/>
    </w:pPr>
    <w:rPr>
      <w:rFonts w:ascii="宋体" w:hAnsi="宋体" w:cs="宋体"/>
      <w:kern w:val="0"/>
    </w:rPr>
  </w:style>
  <w:style w:type="paragraph" w:customStyle="1" w:styleId="afffffffffff4">
    <w:name w:val="段"/>
    <w:basedOn w:val="afff5"/>
    <w:pPr>
      <w:widowControl/>
      <w:autoSpaceDE w:val="0"/>
      <w:autoSpaceDN w:val="0"/>
      <w:adjustRightInd/>
      <w:spacing w:line="240" w:lineRule="auto"/>
      <w:ind w:firstLineChars="200" w:firstLine="420"/>
    </w:pPr>
    <w:rPr>
      <w:rFonts w:ascii="宋体" w:hAnsi="宋体" w:cs="宋体"/>
      <w:kern w:val="0"/>
    </w:rPr>
  </w:style>
  <w:style w:type="paragraph" w:customStyle="1" w:styleId="afffffffffff5">
    <w:name w:val="正文表标题"/>
    <w:basedOn w:val="afff5"/>
    <w:next w:val="afffffffffff4"/>
    <w:pPr>
      <w:widowControl/>
      <w:adjustRightInd/>
      <w:spacing w:beforeLines="50" w:afterLines="50" w:line="240" w:lineRule="auto"/>
      <w:jc w:val="center"/>
    </w:pPr>
    <w:rPr>
      <w:rFonts w:ascii="黑体" w:eastAsia="黑体" w:hAnsi="黑体" w:cs="宋体"/>
      <w:kern w:val="0"/>
    </w:rPr>
  </w:style>
  <w:style w:type="paragraph" w:customStyle="1" w:styleId="afffffffffff6">
    <w:name w:val="一级条标题"/>
    <w:basedOn w:val="afff5"/>
    <w:next w:val="afffffffffff4"/>
    <w:pPr>
      <w:widowControl/>
      <w:adjustRightInd/>
      <w:spacing w:beforeLines="50" w:afterLines="50" w:line="240" w:lineRule="auto"/>
      <w:jc w:val="left"/>
      <w:outlineLvl w:val="2"/>
    </w:pPr>
    <w:rPr>
      <w:rFonts w:ascii="黑体" w:eastAsia="黑体" w:hAnsi="黑体" w:cs="宋体"/>
      <w:kern w:val="0"/>
    </w:rPr>
  </w:style>
  <w:style w:type="paragraph" w:customStyle="1" w:styleId="afffffffffff7">
    <w:name w:val="章标题"/>
    <w:basedOn w:val="afff5"/>
    <w:next w:val="afffffffffff4"/>
    <w:pPr>
      <w:widowControl/>
      <w:adjustRightInd/>
      <w:spacing w:beforeLines="100" w:afterLines="100" w:line="240" w:lineRule="auto"/>
      <w:outlineLvl w:val="1"/>
    </w:pPr>
    <w:rPr>
      <w:rFonts w:ascii="黑体" w:eastAsia="黑体" w:hAnsi="黑体" w:cs="宋体"/>
      <w:kern w:val="0"/>
    </w:rPr>
  </w:style>
  <w:style w:type="paragraph" w:customStyle="1" w:styleId="afffffffffff8">
    <w:name w:val="二级条标题"/>
    <w:basedOn w:val="afffffffffff6"/>
    <w:next w:val="afffffffffff4"/>
    <w:p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4.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570786EC874A19BE3F6C962393EFDB"/>
        <w:category>
          <w:name w:val="常规"/>
          <w:gallery w:val="placeholder"/>
        </w:category>
        <w:types>
          <w:type w:val="bbPlcHdr"/>
        </w:types>
        <w:behaviors>
          <w:behavior w:val="content"/>
        </w:behaviors>
        <w:guid w:val="{6EF99C8C-6855-4C1F-B78E-DBCD9E5C1BB7}"/>
      </w:docPartPr>
      <w:docPartBody>
        <w:p w:rsidR="0036408F" w:rsidRDefault="00884336">
          <w:pPr>
            <w:pStyle w:val="37570786EC874A19BE3F6C962393EFDB"/>
          </w:pPr>
          <w:r>
            <w:rPr>
              <w:rStyle w:val="a3"/>
              <w:rFonts w:hint="eastAsia"/>
            </w:rPr>
            <w:t>单击或点击此处输入文字。</w:t>
          </w:r>
        </w:p>
      </w:docPartBody>
    </w:docPart>
    <w:docPart>
      <w:docPartPr>
        <w:name w:val="B8906C55FC1A4AC3A76E69C4E63B1773"/>
        <w:category>
          <w:name w:val="常规"/>
          <w:gallery w:val="placeholder"/>
        </w:category>
        <w:types>
          <w:type w:val="bbPlcHdr"/>
        </w:types>
        <w:behaviors>
          <w:behavior w:val="content"/>
        </w:behaviors>
        <w:guid w:val="{2617B50C-08B9-44B5-A08E-6AC630181078}"/>
      </w:docPartPr>
      <w:docPartBody>
        <w:p w:rsidR="0036408F" w:rsidRDefault="00884336">
          <w:pPr>
            <w:pStyle w:val="B8906C55FC1A4AC3A76E69C4E63B1773"/>
          </w:pPr>
          <w:r>
            <w:rPr>
              <w:rStyle w:val="a3"/>
              <w:rFonts w:hint="eastAsia"/>
            </w:rPr>
            <w:t>选择一项。</w:t>
          </w:r>
        </w:p>
      </w:docPartBody>
    </w:docPart>
    <w:docPart>
      <w:docPartPr>
        <w:name w:val="29ED77BBC0E4402F83576FD88EDC4BF7"/>
        <w:category>
          <w:name w:val="常规"/>
          <w:gallery w:val="placeholder"/>
        </w:category>
        <w:types>
          <w:type w:val="bbPlcHdr"/>
        </w:types>
        <w:behaviors>
          <w:behavior w:val="content"/>
        </w:behaviors>
        <w:guid w:val="{162CBD81-F217-4EBE-8670-A396A85E4BD6}"/>
      </w:docPartPr>
      <w:docPartBody>
        <w:p w:rsidR="0036408F" w:rsidRDefault="00884336">
          <w:pPr>
            <w:pStyle w:val="29ED77BBC0E4402F83576FD88EDC4BF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2B"/>
    <w:rsid w:val="0036408F"/>
    <w:rsid w:val="00884336"/>
    <w:rsid w:val="00F54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7570786EC874A19BE3F6C962393EFDB">
    <w:name w:val="37570786EC874A19BE3F6C962393EFDB"/>
    <w:pPr>
      <w:widowControl w:val="0"/>
      <w:jc w:val="both"/>
    </w:pPr>
    <w:rPr>
      <w:kern w:val="2"/>
      <w:sz w:val="21"/>
      <w:szCs w:val="22"/>
    </w:rPr>
  </w:style>
  <w:style w:type="paragraph" w:customStyle="1" w:styleId="B8906C55FC1A4AC3A76E69C4E63B1773">
    <w:name w:val="B8906C55FC1A4AC3A76E69C4E63B1773"/>
    <w:pPr>
      <w:widowControl w:val="0"/>
      <w:jc w:val="both"/>
    </w:pPr>
    <w:rPr>
      <w:kern w:val="2"/>
      <w:sz w:val="21"/>
      <w:szCs w:val="22"/>
    </w:rPr>
  </w:style>
  <w:style w:type="paragraph" w:customStyle="1" w:styleId="29ED77BBC0E4402F83576FD88EDC4BF7">
    <w:name w:val="29ED77BBC0E4402F83576FD88EDC4BF7"/>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7570786EC874A19BE3F6C962393EFDB">
    <w:name w:val="37570786EC874A19BE3F6C962393EFDB"/>
    <w:pPr>
      <w:widowControl w:val="0"/>
      <w:jc w:val="both"/>
    </w:pPr>
    <w:rPr>
      <w:kern w:val="2"/>
      <w:sz w:val="21"/>
      <w:szCs w:val="22"/>
    </w:rPr>
  </w:style>
  <w:style w:type="paragraph" w:customStyle="1" w:styleId="B8906C55FC1A4AC3A76E69C4E63B1773">
    <w:name w:val="B8906C55FC1A4AC3A76E69C4E63B1773"/>
    <w:pPr>
      <w:widowControl w:val="0"/>
      <w:jc w:val="both"/>
    </w:pPr>
    <w:rPr>
      <w:kern w:val="2"/>
      <w:sz w:val="21"/>
      <w:szCs w:val="22"/>
    </w:rPr>
  </w:style>
  <w:style w:type="paragraph" w:customStyle="1" w:styleId="29ED77BBC0E4402F83576FD88EDC4BF7">
    <w:name w:val="29ED77BBC0E4402F83576FD88EDC4BF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CC221-4059-4FA4-9D1E-38ECCBF0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6</TotalTime>
  <Pages>6</Pages>
  <Words>418</Words>
  <Characters>2384</Characters>
  <Application>Microsoft Office Word</Application>
  <DocSecurity>0</DocSecurity>
  <Lines>19</Lines>
  <Paragraphs>5</Paragraphs>
  <ScaleCrop>false</ScaleCrop>
  <Company>PCMI</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孟露露</dc:creator>
  <dc:description>&lt;config cover="true" show_menu="true" version="1.0.0" doctype="SDKXY"&gt;_x000d_
&lt;/config&gt;</dc:description>
  <cp:lastModifiedBy>孟露露</cp:lastModifiedBy>
  <cp:revision>2</cp:revision>
  <cp:lastPrinted>2020-08-30T10:00:00Z</cp:lastPrinted>
  <dcterms:created xsi:type="dcterms:W3CDTF">2022-09-28T03:31:00Z</dcterms:created>
  <dcterms:modified xsi:type="dcterms:W3CDTF">2022-09-28T03:46:00Z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2052-11.8.6.8810</vt:lpwstr>
  </property>
</Properties>
</file>