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ED740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D740B" w:rsidRPr="00ED740B">
              <w:rPr>
                <w:rFonts w:ascii="黑体" w:eastAsia="黑体" w:hAnsi="黑体"/>
                <w:sz w:val="21"/>
                <w:szCs w:val="21"/>
              </w:rPr>
              <w:t>67.120.30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ED740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ED740B" w:rsidRPr="00672BFD">
              <w:rPr>
                <w:rFonts w:ascii="黑体" w:eastAsia="黑体" w:hAnsi="黑体"/>
                <w:sz w:val="21"/>
                <w:szCs w:val="21"/>
              </w:rPr>
            </w:r>
            <w:r w:rsidRPr="00672BFD">
              <w:rPr>
                <w:rFonts w:ascii="黑体" w:eastAsia="黑体" w:hAnsi="黑体"/>
                <w:sz w:val="21"/>
                <w:szCs w:val="21"/>
              </w:rPr>
              <w:fldChar w:fldCharType="separate"/>
            </w:r>
            <w:r w:rsidR="00ED740B">
              <w:rPr>
                <w:rFonts w:ascii="黑体" w:eastAsia="黑体" w:hAnsi="黑体" w:hint="eastAsia"/>
                <w:sz w:val="21"/>
                <w:szCs w:val="21"/>
              </w:rPr>
              <w:t>B 51</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ED740B">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ED740B">
              <w:rPr>
                <w:rFonts w:hint="eastAsia"/>
              </w:rPr>
              <w:t>3704</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ED740B" w:rsidRPr="001A4CF3">
        <w:rPr>
          <w:rFonts w:ascii="黑体" w:eastAsia="黑体"/>
          <w:b w:val="0"/>
          <w:w w:val="100"/>
          <w:sz w:val="48"/>
        </w:rPr>
      </w:r>
      <w:r w:rsidRPr="001A4CF3">
        <w:rPr>
          <w:rFonts w:ascii="黑体" w:eastAsia="黑体"/>
          <w:b w:val="0"/>
          <w:w w:val="100"/>
          <w:sz w:val="48"/>
        </w:rPr>
        <w:fldChar w:fldCharType="separate"/>
      </w:r>
      <w:r w:rsidR="00ED740B">
        <w:rPr>
          <w:rFonts w:ascii="黑体" w:eastAsia="黑体" w:hint="eastAsia"/>
          <w:b w:val="0"/>
          <w:w w:val="100"/>
          <w:sz w:val="48"/>
        </w:rPr>
        <w:t>枣庄市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ED740B">
        <w:rPr>
          <w:rFonts w:hint="eastAsia"/>
          <w:lang w:val="fr-FR"/>
        </w:rPr>
        <w:t>3704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D740B">
        <w:rPr>
          <w:rFonts w:hint="eastAsia"/>
        </w:rPr>
        <w:t>地理标志产品 山亭火樱桃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ED740B" w:rsidRPr="004C7E8B">
        <w:rPr>
          <w:rFonts w:hAnsi="黑体"/>
          <w:w w:val="100"/>
          <w:sz w:val="28"/>
        </w:rPr>
      </w:r>
      <w:r w:rsidRPr="004C7E8B">
        <w:rPr>
          <w:rFonts w:hAnsi="黑体"/>
          <w:w w:val="100"/>
          <w:sz w:val="28"/>
        </w:rPr>
        <w:fldChar w:fldCharType="separate"/>
      </w:r>
      <w:r w:rsidR="00ED740B">
        <w:rPr>
          <w:rFonts w:hAnsi="黑体" w:hint="eastAsia"/>
          <w:w w:val="100"/>
          <w:sz w:val="28"/>
        </w:rPr>
        <w:t>枣庄市市场监督管理局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66E0A" w:rsidRDefault="00966E0A" w:rsidP="00966E0A">
      <w:pPr>
        <w:pStyle w:val="a6"/>
        <w:spacing w:after="468"/>
      </w:pPr>
      <w:bookmarkStart w:id="21" w:name="BookMark2"/>
      <w:r w:rsidRPr="00966E0A">
        <w:rPr>
          <w:spacing w:val="320"/>
        </w:rPr>
        <w:lastRenderedPageBreak/>
        <w:t>前</w:t>
      </w:r>
      <w:r>
        <w:t>言</w:t>
      </w:r>
    </w:p>
    <w:p w:rsidR="00966E0A" w:rsidRDefault="00966E0A" w:rsidP="00966E0A">
      <w:pPr>
        <w:pStyle w:val="affff6"/>
        <w:ind w:firstLine="420"/>
        <w:rPr>
          <w:rFonts w:hint="eastAsia"/>
        </w:rPr>
      </w:pPr>
      <w:r>
        <w:rPr>
          <w:rFonts w:hint="eastAsia"/>
        </w:rPr>
        <w:t>本文件按照GB/T 1.1—2020《标准化工作导则  第1部分：标准化文件的结构和起草规则》的规定起草。</w:t>
      </w:r>
    </w:p>
    <w:p w:rsidR="00966E0A" w:rsidRPr="00966E0A" w:rsidRDefault="00966E0A" w:rsidP="00966E0A">
      <w:pPr>
        <w:pStyle w:val="affff6"/>
        <w:ind w:firstLine="420"/>
      </w:pPr>
      <w:r w:rsidRPr="00966E0A">
        <w:rPr>
          <w:rFonts w:hint="eastAsia"/>
        </w:rPr>
        <w:t>请注意本文件的某些内容可能涉及专利。本文件的发布机构不承担识别专利的责任。</w:t>
      </w:r>
    </w:p>
    <w:p w:rsidR="00966E0A" w:rsidRDefault="00966E0A" w:rsidP="00966E0A">
      <w:pPr>
        <w:pStyle w:val="affff6"/>
        <w:ind w:firstLine="420"/>
        <w:rPr>
          <w:rFonts w:hint="eastAsia"/>
        </w:rPr>
      </w:pPr>
      <w:r>
        <w:rPr>
          <w:rFonts w:hint="eastAsia"/>
        </w:rPr>
        <w:t>本文件由××××提出。</w:t>
      </w:r>
    </w:p>
    <w:p w:rsidR="00966E0A" w:rsidRDefault="00966E0A" w:rsidP="00966E0A">
      <w:pPr>
        <w:pStyle w:val="affff6"/>
        <w:ind w:firstLine="420"/>
        <w:rPr>
          <w:rFonts w:hint="eastAsia"/>
        </w:rPr>
      </w:pPr>
      <w:r>
        <w:rPr>
          <w:rFonts w:hint="eastAsia"/>
        </w:rPr>
        <w:t>本文件由××××归口。</w:t>
      </w:r>
    </w:p>
    <w:p w:rsidR="00966E0A" w:rsidRDefault="00966E0A" w:rsidP="00966E0A">
      <w:pPr>
        <w:pStyle w:val="affff6"/>
        <w:ind w:firstLine="420"/>
      </w:pPr>
      <w:bookmarkStart w:id="22" w:name="_GoBack"/>
      <w:bookmarkEnd w:id="22"/>
    </w:p>
    <w:p w:rsidR="00966E0A" w:rsidRPr="00966E0A" w:rsidRDefault="00966E0A" w:rsidP="00966E0A">
      <w:pPr>
        <w:pStyle w:val="affff6"/>
        <w:ind w:firstLine="420"/>
        <w:sectPr w:rsidR="00966E0A" w:rsidRPr="00966E0A" w:rsidSect="00966E0A">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722A4779D2A44E8A6D59CC5099611EF"/>
        </w:placeholder>
      </w:sdtPr>
      <w:sdtEndPr/>
      <w:sdtContent>
        <w:bookmarkStart w:id="24" w:name="NEW_STAND_NAME" w:displacedByCustomXml="prev"/>
        <w:p w:rsidR="00F26B7E" w:rsidRPr="00F26B7E" w:rsidRDefault="00ED740B" w:rsidP="00ED740B">
          <w:pPr>
            <w:pStyle w:val="afffffffff1"/>
            <w:spacing w:beforeLines="100" w:before="312" w:afterLines="220" w:after="686"/>
          </w:pPr>
          <w:r>
            <w:rPr>
              <w:rFonts w:hint="eastAsia"/>
            </w:rPr>
            <w:t>地理标志产品</w:t>
          </w:r>
          <w:r>
            <w:t xml:space="preserve"> 山亭火樱桃</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rsidR="00ED740B" w:rsidRDefault="00ED740B" w:rsidP="00ED740B">
      <w:pPr>
        <w:pStyle w:val="affff6"/>
        <w:ind w:firstLine="420"/>
        <w:rPr>
          <w:rFonts w:hint="eastAsia"/>
        </w:rPr>
      </w:pPr>
      <w:bookmarkStart w:id="34" w:name="_Toc17233326"/>
      <w:bookmarkStart w:id="35" w:name="_Toc17233334"/>
      <w:bookmarkStart w:id="36" w:name="_Toc24884212"/>
      <w:bookmarkStart w:id="37" w:name="_Toc24884219"/>
      <w:bookmarkStart w:id="38" w:name="_Toc26648466"/>
      <w:r>
        <w:rPr>
          <w:rFonts w:hint="eastAsia"/>
        </w:rPr>
        <w:t>本标准规定了山亭火樱桃的地理标志保护范围、要求、试验方法、检验规则及标志、标签、包装、运输、贮存。</w:t>
      </w:r>
    </w:p>
    <w:p w:rsidR="008B0C9C" w:rsidRDefault="00ED740B" w:rsidP="00ED740B">
      <w:pPr>
        <w:pStyle w:val="affff6"/>
        <w:ind w:firstLine="420"/>
      </w:pPr>
      <w:r>
        <w:rPr>
          <w:rFonts w:hint="eastAsia"/>
        </w:rPr>
        <w:t>本标准适用于地理标志产品 山亭火樱桃。</w:t>
      </w:r>
    </w:p>
    <w:p w:rsidR="00E2552F" w:rsidRDefault="00E2552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E1E2A32B58D848558B39FA040AA9BB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D740B" w:rsidRDefault="00ED740B" w:rsidP="00ED740B">
      <w:pPr>
        <w:pStyle w:val="affff6"/>
        <w:ind w:firstLine="420"/>
        <w:rPr>
          <w:rFonts w:hint="eastAsia"/>
        </w:rPr>
      </w:pPr>
      <w:r>
        <w:rPr>
          <w:rFonts w:hint="eastAsia"/>
        </w:rPr>
        <w:t>GB/T 5009.12  食品中铅的测定</w:t>
      </w:r>
    </w:p>
    <w:p w:rsidR="00ED740B" w:rsidRDefault="00ED740B" w:rsidP="00ED740B">
      <w:pPr>
        <w:pStyle w:val="affff6"/>
        <w:ind w:firstLine="420"/>
        <w:rPr>
          <w:rFonts w:hint="eastAsia"/>
        </w:rPr>
      </w:pPr>
      <w:r>
        <w:rPr>
          <w:rFonts w:hint="eastAsia"/>
        </w:rPr>
        <w:t>GB/T 8855  新鲜水果和蔬菜 取样方法</w:t>
      </w:r>
    </w:p>
    <w:p w:rsidR="00AA6EC9" w:rsidRPr="008A57E6" w:rsidRDefault="00ED740B" w:rsidP="00ED740B">
      <w:pPr>
        <w:pStyle w:val="affff6"/>
        <w:ind w:firstLine="420"/>
      </w:pPr>
      <w:r>
        <w:rPr>
          <w:rFonts w:hint="eastAsia"/>
        </w:rPr>
        <w:t>NY/T 2637  水果和蔬菜可溶性固形物含量的测定 折射仪法</w:t>
      </w:r>
    </w:p>
    <w:p w:rsidR="00B265BC" w:rsidRPr="00E030F9" w:rsidRDefault="00FD59EB" w:rsidP="00FD59EB">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CF60F6BBAD844EE0BAA3E0EB530BC23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D740B" w:rsidP="00BA263B">
          <w:pPr>
            <w:pStyle w:val="affff6"/>
            <w:ind w:firstLine="420"/>
          </w:pPr>
          <w:r>
            <w:t>本文件没有需要界定的术语和定义。</w:t>
          </w:r>
        </w:p>
      </w:sdtContent>
    </w:sdt>
    <w:p w:rsidR="00ED740B" w:rsidRPr="00ED740B" w:rsidRDefault="00ED740B" w:rsidP="00ED740B">
      <w:pPr>
        <w:pStyle w:val="affc"/>
        <w:spacing w:before="312" w:after="312"/>
        <w:rPr>
          <w:rFonts w:hint="eastAsia"/>
        </w:rPr>
      </w:pPr>
      <w:r w:rsidRPr="00ED740B">
        <w:rPr>
          <w:rFonts w:hint="eastAsia"/>
        </w:rPr>
        <w:t>地理标志保护范围</w:t>
      </w:r>
    </w:p>
    <w:p w:rsidR="00ED740B" w:rsidRPr="00ED740B" w:rsidRDefault="00ED740B" w:rsidP="00ED740B">
      <w:pPr>
        <w:pStyle w:val="affff6"/>
        <w:ind w:firstLine="420"/>
        <w:rPr>
          <w:rFonts w:hint="eastAsia"/>
        </w:rPr>
      </w:pPr>
      <w:r w:rsidRPr="00ED740B">
        <w:rPr>
          <w:rFonts w:hint="eastAsia"/>
        </w:rPr>
        <w:t>山亭火樱桃地理标志保护范围为山东省枣庄市山亭区水泉镇所辖的全部行政区域内。</w:t>
      </w:r>
    </w:p>
    <w:p w:rsidR="00ED740B" w:rsidRPr="00ED740B" w:rsidRDefault="00ED740B" w:rsidP="00ED740B">
      <w:pPr>
        <w:pStyle w:val="affc"/>
        <w:spacing w:before="312" w:after="312"/>
        <w:rPr>
          <w:rFonts w:hint="eastAsia"/>
        </w:rPr>
      </w:pPr>
      <w:r w:rsidRPr="00ED740B">
        <w:rPr>
          <w:rFonts w:hint="eastAsia"/>
        </w:rPr>
        <w:t>要求</w:t>
      </w:r>
    </w:p>
    <w:p w:rsidR="00ED740B" w:rsidRPr="00ED740B" w:rsidRDefault="00ED740B" w:rsidP="00ED740B">
      <w:pPr>
        <w:pStyle w:val="affd"/>
        <w:spacing w:before="156" w:after="156"/>
        <w:rPr>
          <w:rFonts w:hint="eastAsia"/>
        </w:rPr>
      </w:pPr>
      <w:r w:rsidRPr="00ED740B">
        <w:rPr>
          <w:rFonts w:hint="eastAsia"/>
        </w:rPr>
        <w:t>立地条件。</w:t>
      </w:r>
    </w:p>
    <w:p w:rsidR="00ED740B" w:rsidRPr="00ED740B" w:rsidRDefault="00ED740B" w:rsidP="00ED740B">
      <w:pPr>
        <w:pStyle w:val="affff6"/>
        <w:ind w:firstLine="420"/>
        <w:rPr>
          <w:rFonts w:hint="eastAsia"/>
        </w:rPr>
      </w:pPr>
      <w:r w:rsidRPr="00ED740B">
        <w:rPr>
          <w:rFonts w:hint="eastAsia"/>
        </w:rPr>
        <w:t>砂壤土、砂质壤土或砾质壤土，土层厚度≥</w:t>
      </w:r>
      <w:smartTag w:uri="urn:schemas-microsoft-com:office:smarttags" w:element="chmetcnv">
        <w:smartTagPr>
          <w:attr w:name="UnitName" w:val="厘米"/>
          <w:attr w:name="SourceValue" w:val="50"/>
          <w:attr w:name="HasSpace" w:val="False"/>
          <w:attr w:name="Negative" w:val="False"/>
          <w:attr w:name="NumberType" w:val="1"/>
          <w:attr w:name="TCSC" w:val="0"/>
        </w:smartTagPr>
        <w:r w:rsidRPr="00ED740B">
          <w:rPr>
            <w:rFonts w:hint="eastAsia"/>
          </w:rPr>
          <w:t>50厘米</w:t>
        </w:r>
      </w:smartTag>
      <w:r w:rsidRPr="00ED740B">
        <w:rPr>
          <w:rFonts w:hint="eastAsia"/>
        </w:rPr>
        <w:t>，排水良好，土壤pH值为6.0至7.5。有机质含量≥1.0％。</w:t>
      </w:r>
    </w:p>
    <w:p w:rsidR="00ED740B" w:rsidRPr="00ED740B" w:rsidRDefault="00ED740B" w:rsidP="00ED740B">
      <w:pPr>
        <w:pStyle w:val="affd"/>
        <w:spacing w:before="156" w:after="156"/>
        <w:rPr>
          <w:rFonts w:hint="eastAsia"/>
        </w:rPr>
      </w:pPr>
      <w:r w:rsidRPr="00ED740B">
        <w:rPr>
          <w:rFonts w:hint="eastAsia"/>
        </w:rPr>
        <w:t>感官指标</w:t>
      </w:r>
    </w:p>
    <w:p w:rsidR="00ED740B" w:rsidRPr="00ED740B" w:rsidRDefault="00ED740B" w:rsidP="00ED740B">
      <w:pPr>
        <w:adjustRightInd/>
        <w:spacing w:line="240" w:lineRule="auto"/>
        <w:ind w:firstLine="425"/>
        <w:rPr>
          <w:rFonts w:ascii="宋体" w:hAnsi="Times New Roman" w:hint="eastAsia"/>
          <w:szCs w:val="20"/>
        </w:rPr>
      </w:pPr>
      <w:r w:rsidRPr="00ED740B">
        <w:rPr>
          <w:rFonts w:ascii="宋体" w:hAnsi="Times New Roman" w:hint="eastAsia"/>
          <w:szCs w:val="20"/>
        </w:rPr>
        <w:t>感官指标见表1。</w:t>
      </w:r>
    </w:p>
    <w:p w:rsidR="00ED740B" w:rsidRPr="00ED740B" w:rsidRDefault="00ED740B" w:rsidP="00ED740B">
      <w:pPr>
        <w:adjustRightInd/>
        <w:spacing w:line="240" w:lineRule="auto"/>
        <w:jc w:val="center"/>
        <w:rPr>
          <w:rFonts w:ascii="黑体" w:eastAsia="黑体" w:hAnsi="Times New Roman" w:hint="eastAsia"/>
          <w:szCs w:val="20"/>
        </w:rPr>
      </w:pPr>
      <w:r w:rsidRPr="00ED740B">
        <w:rPr>
          <w:rFonts w:ascii="黑体" w:eastAsia="黑体" w:hAnsi="Times New Roman" w:hint="eastAsia"/>
          <w:szCs w:val="20"/>
        </w:rPr>
        <w:t>表1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8"/>
        <w:gridCol w:w="5021"/>
      </w:tblGrid>
      <w:tr w:rsidR="00ED740B" w:rsidRPr="00ED740B" w:rsidTr="00A20DD6">
        <w:trPr>
          <w:cantSplit/>
          <w:trHeight w:val="339"/>
          <w:jc w:val="center"/>
        </w:trPr>
        <w:tc>
          <w:tcPr>
            <w:tcW w:w="4278" w:type="dxa"/>
            <w:vAlign w:val="center"/>
          </w:tcPr>
          <w:p w:rsidR="00ED740B" w:rsidRPr="00ED740B" w:rsidRDefault="00ED740B" w:rsidP="00ED740B">
            <w:pPr>
              <w:adjustRightInd/>
              <w:spacing w:line="340" w:lineRule="exact"/>
              <w:ind w:firstLine="360"/>
              <w:jc w:val="center"/>
              <w:rPr>
                <w:rFonts w:ascii="宋体" w:hAnsi="宋体"/>
                <w:sz w:val="18"/>
                <w:szCs w:val="18"/>
              </w:rPr>
            </w:pPr>
            <w:r w:rsidRPr="00ED740B">
              <w:rPr>
                <w:rFonts w:ascii="宋体" w:hAnsi="宋体" w:hint="eastAsia"/>
                <w:sz w:val="18"/>
                <w:szCs w:val="18"/>
              </w:rPr>
              <w:t>项   目</w:t>
            </w:r>
          </w:p>
        </w:tc>
        <w:tc>
          <w:tcPr>
            <w:tcW w:w="5021" w:type="dxa"/>
            <w:vAlign w:val="center"/>
          </w:tcPr>
          <w:p w:rsidR="00ED740B" w:rsidRPr="00ED740B" w:rsidRDefault="00ED740B" w:rsidP="00ED740B">
            <w:pPr>
              <w:adjustRightInd/>
              <w:spacing w:line="340" w:lineRule="exact"/>
              <w:ind w:firstLine="360"/>
              <w:jc w:val="center"/>
              <w:rPr>
                <w:rFonts w:ascii="宋体" w:hAnsi="宋体" w:hint="eastAsia"/>
                <w:sz w:val="18"/>
                <w:szCs w:val="18"/>
              </w:rPr>
            </w:pPr>
            <w:r w:rsidRPr="00ED740B">
              <w:rPr>
                <w:rFonts w:ascii="宋体" w:hAnsi="宋体" w:hint="eastAsia"/>
                <w:sz w:val="18"/>
                <w:szCs w:val="18"/>
              </w:rPr>
              <w:t>指    标</w:t>
            </w:r>
          </w:p>
        </w:tc>
      </w:tr>
      <w:tr w:rsidR="00ED740B" w:rsidRPr="00ED740B" w:rsidTr="00A20DD6">
        <w:trPr>
          <w:trHeight w:val="206"/>
          <w:jc w:val="center"/>
        </w:trPr>
        <w:tc>
          <w:tcPr>
            <w:tcW w:w="4278" w:type="dxa"/>
            <w:vAlign w:val="center"/>
          </w:tcPr>
          <w:p w:rsidR="00ED740B" w:rsidRPr="00ED740B" w:rsidRDefault="00ED740B" w:rsidP="00ED740B">
            <w:pPr>
              <w:widowControl/>
              <w:adjustRightInd/>
              <w:spacing w:line="260" w:lineRule="exact"/>
              <w:jc w:val="center"/>
              <w:rPr>
                <w:rFonts w:ascii="宋体" w:hAnsi="Times New Roman" w:hint="eastAsia"/>
                <w:kern w:val="0"/>
                <w:sz w:val="18"/>
                <w:szCs w:val="18"/>
              </w:rPr>
            </w:pPr>
            <w:r w:rsidRPr="00ED740B">
              <w:rPr>
                <w:rFonts w:ascii="宋体" w:hAnsi="Times New Roman" w:hint="eastAsia"/>
                <w:kern w:val="0"/>
                <w:sz w:val="18"/>
                <w:szCs w:val="18"/>
              </w:rPr>
              <w:t>色泽</w:t>
            </w:r>
          </w:p>
        </w:tc>
        <w:tc>
          <w:tcPr>
            <w:tcW w:w="5021" w:type="dxa"/>
            <w:vAlign w:val="center"/>
          </w:tcPr>
          <w:p w:rsidR="00ED740B" w:rsidRPr="00ED740B" w:rsidRDefault="00ED740B" w:rsidP="00ED740B">
            <w:pPr>
              <w:widowControl/>
              <w:adjustRightInd/>
              <w:spacing w:line="340" w:lineRule="exact"/>
              <w:ind w:leftChars="14" w:left="389" w:hangingChars="200" w:hanging="360"/>
              <w:jc w:val="center"/>
              <w:rPr>
                <w:rFonts w:ascii="宋体" w:hAnsi="宋体" w:hint="eastAsia"/>
                <w:kern w:val="0"/>
                <w:sz w:val="18"/>
                <w:szCs w:val="18"/>
              </w:rPr>
            </w:pPr>
            <w:r w:rsidRPr="00ED740B">
              <w:rPr>
                <w:rFonts w:ascii="宋体" w:hAnsi="宋体" w:hint="eastAsia"/>
                <w:kern w:val="0"/>
                <w:sz w:val="18"/>
                <w:szCs w:val="18"/>
              </w:rPr>
              <w:t>果皮呈红色或紫红色，有光泽</w:t>
            </w:r>
          </w:p>
        </w:tc>
      </w:tr>
      <w:tr w:rsidR="00ED740B" w:rsidRPr="00ED740B" w:rsidTr="00A20DD6">
        <w:trPr>
          <w:trHeight w:val="141"/>
          <w:jc w:val="center"/>
        </w:trPr>
        <w:tc>
          <w:tcPr>
            <w:tcW w:w="4278" w:type="dxa"/>
            <w:vAlign w:val="center"/>
          </w:tcPr>
          <w:p w:rsidR="00ED740B" w:rsidRPr="00ED740B" w:rsidRDefault="00ED740B" w:rsidP="00ED740B">
            <w:pPr>
              <w:widowControl/>
              <w:adjustRightInd/>
              <w:spacing w:line="260" w:lineRule="exact"/>
              <w:jc w:val="center"/>
              <w:rPr>
                <w:rFonts w:ascii="宋体" w:hAnsi="Times New Roman" w:hint="eastAsia"/>
                <w:kern w:val="0"/>
                <w:sz w:val="18"/>
                <w:szCs w:val="18"/>
              </w:rPr>
            </w:pPr>
            <w:r w:rsidRPr="00ED740B">
              <w:rPr>
                <w:rFonts w:ascii="宋体" w:hAnsi="Times New Roman" w:hint="eastAsia"/>
                <w:kern w:val="0"/>
                <w:sz w:val="18"/>
                <w:szCs w:val="18"/>
              </w:rPr>
              <w:t>滋味</w:t>
            </w:r>
          </w:p>
        </w:tc>
        <w:tc>
          <w:tcPr>
            <w:tcW w:w="5021" w:type="dxa"/>
            <w:vAlign w:val="center"/>
          </w:tcPr>
          <w:p w:rsidR="00ED740B" w:rsidRPr="00ED740B" w:rsidRDefault="00ED740B" w:rsidP="00ED740B">
            <w:pPr>
              <w:widowControl/>
              <w:adjustRightInd/>
              <w:spacing w:line="340" w:lineRule="exact"/>
              <w:ind w:leftChars="14" w:left="389" w:hangingChars="200" w:hanging="360"/>
              <w:jc w:val="center"/>
              <w:rPr>
                <w:rFonts w:ascii="宋体" w:hAnsi="宋体" w:hint="eastAsia"/>
                <w:kern w:val="0"/>
                <w:sz w:val="18"/>
                <w:szCs w:val="18"/>
              </w:rPr>
            </w:pPr>
            <w:r w:rsidRPr="00ED740B">
              <w:rPr>
                <w:rFonts w:ascii="宋体" w:hAnsi="宋体" w:hint="eastAsia"/>
                <w:kern w:val="0"/>
                <w:sz w:val="18"/>
                <w:szCs w:val="18"/>
              </w:rPr>
              <w:t>果肉较硬，肉嫩多汁，酸甜适口</w:t>
            </w:r>
          </w:p>
        </w:tc>
      </w:tr>
      <w:tr w:rsidR="00ED740B" w:rsidRPr="00ED740B" w:rsidTr="00A20DD6">
        <w:trPr>
          <w:trHeight w:val="209"/>
          <w:jc w:val="center"/>
        </w:trPr>
        <w:tc>
          <w:tcPr>
            <w:tcW w:w="4278" w:type="dxa"/>
            <w:vAlign w:val="center"/>
          </w:tcPr>
          <w:p w:rsidR="00ED740B" w:rsidRPr="00ED740B" w:rsidRDefault="00ED740B" w:rsidP="00ED740B">
            <w:pPr>
              <w:widowControl/>
              <w:adjustRightInd/>
              <w:spacing w:line="260" w:lineRule="exact"/>
              <w:jc w:val="center"/>
              <w:rPr>
                <w:rFonts w:ascii="宋体" w:hAnsi="Times New Roman" w:hint="eastAsia"/>
                <w:kern w:val="0"/>
                <w:sz w:val="18"/>
                <w:szCs w:val="18"/>
              </w:rPr>
            </w:pPr>
            <w:r w:rsidRPr="00ED740B">
              <w:rPr>
                <w:rFonts w:ascii="宋体" w:hAnsi="Times New Roman" w:hint="eastAsia"/>
                <w:kern w:val="0"/>
                <w:sz w:val="18"/>
                <w:szCs w:val="18"/>
              </w:rPr>
              <w:t>组织形态</w:t>
            </w:r>
          </w:p>
        </w:tc>
        <w:tc>
          <w:tcPr>
            <w:tcW w:w="5021" w:type="dxa"/>
            <w:vAlign w:val="center"/>
          </w:tcPr>
          <w:p w:rsidR="00ED740B" w:rsidRPr="00ED740B" w:rsidRDefault="00ED740B" w:rsidP="00ED740B">
            <w:pPr>
              <w:widowControl/>
              <w:adjustRightInd/>
              <w:spacing w:line="340" w:lineRule="exact"/>
              <w:ind w:leftChars="14" w:left="389" w:hangingChars="200" w:hanging="360"/>
              <w:jc w:val="center"/>
              <w:rPr>
                <w:rFonts w:ascii="宋体" w:hAnsi="宋体" w:hint="eastAsia"/>
                <w:kern w:val="0"/>
                <w:sz w:val="18"/>
                <w:szCs w:val="18"/>
              </w:rPr>
            </w:pPr>
            <w:r w:rsidRPr="00ED740B">
              <w:rPr>
                <w:rFonts w:ascii="宋体" w:hAnsi="宋体" w:hint="eastAsia"/>
                <w:kern w:val="0"/>
                <w:sz w:val="18"/>
                <w:szCs w:val="18"/>
              </w:rPr>
              <w:t>果实呈肾脏形</w:t>
            </w:r>
          </w:p>
        </w:tc>
      </w:tr>
    </w:tbl>
    <w:p w:rsidR="00ED740B" w:rsidRPr="00ED740B" w:rsidRDefault="00ED740B" w:rsidP="00ED740B">
      <w:pPr>
        <w:adjustRightInd/>
        <w:spacing w:line="240" w:lineRule="auto"/>
        <w:jc w:val="center"/>
        <w:rPr>
          <w:rFonts w:ascii="黑体" w:eastAsia="黑体" w:hAnsi="Times New Roman" w:hint="eastAsia"/>
          <w:szCs w:val="20"/>
        </w:rPr>
      </w:pPr>
    </w:p>
    <w:p w:rsidR="00ED740B" w:rsidRPr="00ED740B" w:rsidRDefault="00ED740B" w:rsidP="00ED740B">
      <w:pPr>
        <w:pStyle w:val="affd"/>
        <w:spacing w:before="156" w:after="156"/>
        <w:rPr>
          <w:rFonts w:hint="eastAsia"/>
        </w:rPr>
      </w:pPr>
      <w:r w:rsidRPr="00ED740B">
        <w:rPr>
          <w:rFonts w:hint="eastAsia"/>
        </w:rPr>
        <w:lastRenderedPageBreak/>
        <w:t>理化指标</w:t>
      </w:r>
    </w:p>
    <w:p w:rsidR="00ED740B" w:rsidRPr="00ED740B" w:rsidRDefault="00ED740B" w:rsidP="00ED740B">
      <w:pPr>
        <w:adjustRightInd/>
        <w:spacing w:line="240" w:lineRule="auto"/>
        <w:ind w:firstLine="425"/>
        <w:rPr>
          <w:rFonts w:ascii="宋体" w:hAnsi="Times New Roman" w:hint="eastAsia"/>
          <w:szCs w:val="20"/>
        </w:rPr>
      </w:pPr>
      <w:r w:rsidRPr="00ED740B">
        <w:rPr>
          <w:rFonts w:ascii="宋体" w:hAnsi="Times New Roman" w:hint="eastAsia"/>
          <w:szCs w:val="20"/>
        </w:rPr>
        <w:t>理化指标见表2。</w:t>
      </w:r>
    </w:p>
    <w:p w:rsidR="00ED740B" w:rsidRPr="00ED740B" w:rsidRDefault="00ED740B" w:rsidP="00ED740B">
      <w:pPr>
        <w:adjustRightInd/>
        <w:spacing w:line="240" w:lineRule="auto"/>
        <w:jc w:val="center"/>
        <w:rPr>
          <w:rFonts w:ascii="黑体" w:eastAsia="黑体" w:hAnsi="Times New Roman" w:hint="eastAsia"/>
          <w:szCs w:val="20"/>
        </w:rPr>
      </w:pPr>
      <w:r w:rsidRPr="00ED740B">
        <w:rPr>
          <w:rFonts w:ascii="黑体" w:eastAsia="黑体" w:hAnsi="Times New Roman" w:hint="eastAsia"/>
          <w:szCs w:val="20"/>
        </w:rPr>
        <w:t>表2</w:t>
      </w:r>
    </w:p>
    <w:tbl>
      <w:tblPr>
        <w:tblW w:w="0" w:type="auto"/>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1"/>
        <w:gridCol w:w="3577"/>
      </w:tblGrid>
      <w:tr w:rsidR="00ED740B" w:rsidRPr="00ED740B" w:rsidTr="00A20DD6">
        <w:trPr>
          <w:cantSplit/>
          <w:jc w:val="center"/>
        </w:trPr>
        <w:tc>
          <w:tcPr>
            <w:tcW w:w="5751" w:type="dxa"/>
            <w:vAlign w:val="center"/>
          </w:tcPr>
          <w:p w:rsidR="00ED740B" w:rsidRPr="00ED740B" w:rsidRDefault="00ED740B" w:rsidP="00ED740B">
            <w:pPr>
              <w:adjustRightInd/>
              <w:spacing w:line="340" w:lineRule="exact"/>
              <w:ind w:firstLine="360"/>
              <w:jc w:val="center"/>
              <w:rPr>
                <w:rFonts w:ascii="宋体" w:hAnsi="宋体"/>
                <w:sz w:val="18"/>
                <w:szCs w:val="18"/>
              </w:rPr>
            </w:pPr>
            <w:r w:rsidRPr="00ED740B">
              <w:rPr>
                <w:rFonts w:ascii="宋体" w:hAnsi="宋体" w:hint="eastAsia"/>
                <w:sz w:val="18"/>
                <w:szCs w:val="18"/>
              </w:rPr>
              <w:t>项   目</w:t>
            </w:r>
          </w:p>
        </w:tc>
        <w:tc>
          <w:tcPr>
            <w:tcW w:w="3577" w:type="dxa"/>
            <w:vAlign w:val="center"/>
          </w:tcPr>
          <w:p w:rsidR="00ED740B" w:rsidRPr="00ED740B" w:rsidRDefault="00ED740B" w:rsidP="00ED740B">
            <w:pPr>
              <w:adjustRightInd/>
              <w:spacing w:line="340" w:lineRule="exact"/>
              <w:ind w:firstLine="360"/>
              <w:jc w:val="center"/>
              <w:rPr>
                <w:rFonts w:ascii="宋体" w:hAnsi="宋体" w:hint="eastAsia"/>
                <w:sz w:val="18"/>
                <w:szCs w:val="18"/>
              </w:rPr>
            </w:pPr>
            <w:r w:rsidRPr="00ED740B">
              <w:rPr>
                <w:rFonts w:ascii="宋体" w:hAnsi="宋体" w:hint="eastAsia"/>
                <w:sz w:val="18"/>
                <w:szCs w:val="18"/>
              </w:rPr>
              <w:t>指    标</w:t>
            </w:r>
          </w:p>
        </w:tc>
      </w:tr>
      <w:tr w:rsidR="00ED740B" w:rsidRPr="00ED740B" w:rsidTr="00A20DD6">
        <w:trPr>
          <w:trHeight w:val="256"/>
          <w:jc w:val="center"/>
        </w:trPr>
        <w:tc>
          <w:tcPr>
            <w:tcW w:w="5751" w:type="dxa"/>
            <w:vAlign w:val="center"/>
          </w:tcPr>
          <w:p w:rsidR="00ED740B" w:rsidRPr="00ED740B" w:rsidRDefault="00ED740B" w:rsidP="00ED740B">
            <w:pPr>
              <w:adjustRightInd/>
              <w:spacing w:line="340" w:lineRule="exact"/>
              <w:ind w:firstLineChars="50" w:firstLine="90"/>
              <w:rPr>
                <w:rFonts w:ascii="宋体" w:hAnsi="宋体" w:hint="eastAsia"/>
                <w:sz w:val="18"/>
                <w:szCs w:val="18"/>
              </w:rPr>
            </w:pPr>
            <w:r w:rsidRPr="00ED740B">
              <w:rPr>
                <w:rFonts w:ascii="宋体" w:hAnsi="宋体" w:hint="eastAsia"/>
                <w:sz w:val="18"/>
                <w:szCs w:val="18"/>
              </w:rPr>
              <w:t>单果重/(g)                                          ≥</w:t>
            </w:r>
          </w:p>
        </w:tc>
        <w:tc>
          <w:tcPr>
            <w:tcW w:w="3577" w:type="dxa"/>
            <w:vAlign w:val="center"/>
          </w:tcPr>
          <w:p w:rsidR="00ED740B" w:rsidRPr="00ED740B" w:rsidRDefault="00ED740B" w:rsidP="00ED740B">
            <w:pPr>
              <w:adjustRightInd/>
              <w:spacing w:line="340" w:lineRule="exact"/>
              <w:ind w:firstLine="360"/>
              <w:jc w:val="center"/>
              <w:rPr>
                <w:rFonts w:ascii="宋体" w:hAnsi="宋体" w:hint="eastAsia"/>
                <w:sz w:val="18"/>
                <w:szCs w:val="18"/>
              </w:rPr>
            </w:pPr>
            <w:r w:rsidRPr="00ED740B">
              <w:rPr>
                <w:rFonts w:ascii="宋体" w:hAnsi="宋体" w:hint="eastAsia"/>
                <w:sz w:val="18"/>
                <w:szCs w:val="18"/>
              </w:rPr>
              <w:t>8.5</w:t>
            </w:r>
          </w:p>
        </w:tc>
      </w:tr>
      <w:tr w:rsidR="00ED740B" w:rsidRPr="00ED740B" w:rsidTr="00A20DD6">
        <w:trPr>
          <w:trHeight w:val="94"/>
          <w:jc w:val="center"/>
        </w:trPr>
        <w:tc>
          <w:tcPr>
            <w:tcW w:w="5751" w:type="dxa"/>
            <w:vAlign w:val="center"/>
          </w:tcPr>
          <w:p w:rsidR="00ED740B" w:rsidRPr="00ED740B" w:rsidRDefault="00ED740B" w:rsidP="00ED740B">
            <w:pPr>
              <w:adjustRightInd/>
              <w:spacing w:line="340" w:lineRule="exact"/>
              <w:ind w:firstLineChars="50" w:firstLine="90"/>
              <w:rPr>
                <w:rFonts w:ascii="宋体" w:hAnsi="宋体" w:hint="eastAsia"/>
                <w:sz w:val="18"/>
                <w:szCs w:val="18"/>
              </w:rPr>
            </w:pPr>
            <w:r w:rsidRPr="00ED740B">
              <w:rPr>
                <w:rFonts w:ascii="宋体" w:hAnsi="宋体" w:hint="eastAsia"/>
                <w:sz w:val="18"/>
                <w:szCs w:val="18"/>
              </w:rPr>
              <w:t>可食率/(%)                                          ≥</w:t>
            </w:r>
          </w:p>
        </w:tc>
        <w:tc>
          <w:tcPr>
            <w:tcW w:w="3577" w:type="dxa"/>
            <w:vAlign w:val="center"/>
          </w:tcPr>
          <w:p w:rsidR="00ED740B" w:rsidRPr="00ED740B" w:rsidRDefault="00ED740B" w:rsidP="00ED740B">
            <w:pPr>
              <w:adjustRightInd/>
              <w:spacing w:line="340" w:lineRule="exact"/>
              <w:ind w:firstLine="360"/>
              <w:jc w:val="center"/>
              <w:rPr>
                <w:rFonts w:ascii="宋体" w:hAnsi="宋体" w:hint="eastAsia"/>
                <w:sz w:val="18"/>
                <w:szCs w:val="18"/>
              </w:rPr>
            </w:pPr>
            <w:r w:rsidRPr="00ED740B">
              <w:rPr>
                <w:rFonts w:ascii="宋体" w:hAnsi="宋体" w:hint="eastAsia"/>
                <w:sz w:val="18"/>
                <w:szCs w:val="18"/>
              </w:rPr>
              <w:t>90</w:t>
            </w:r>
          </w:p>
        </w:tc>
      </w:tr>
      <w:tr w:rsidR="00ED740B" w:rsidRPr="00ED740B" w:rsidTr="00A20DD6">
        <w:trPr>
          <w:trHeight w:val="94"/>
          <w:jc w:val="center"/>
        </w:trPr>
        <w:tc>
          <w:tcPr>
            <w:tcW w:w="5751" w:type="dxa"/>
            <w:vAlign w:val="center"/>
          </w:tcPr>
          <w:p w:rsidR="00ED740B" w:rsidRPr="00ED740B" w:rsidRDefault="00ED740B" w:rsidP="00ED740B">
            <w:pPr>
              <w:adjustRightInd/>
              <w:spacing w:line="340" w:lineRule="exact"/>
              <w:ind w:firstLineChars="50" w:firstLine="90"/>
              <w:rPr>
                <w:rFonts w:ascii="宋体" w:hAnsi="宋体" w:hint="eastAsia"/>
                <w:sz w:val="18"/>
                <w:szCs w:val="18"/>
              </w:rPr>
            </w:pPr>
            <w:r w:rsidRPr="00ED740B">
              <w:rPr>
                <w:rFonts w:ascii="宋体" w:hAnsi="宋体" w:hint="eastAsia"/>
                <w:sz w:val="18"/>
                <w:szCs w:val="18"/>
              </w:rPr>
              <w:t xml:space="preserve">可溶性固形物含量/(%)                                ≥ </w:t>
            </w:r>
          </w:p>
        </w:tc>
        <w:tc>
          <w:tcPr>
            <w:tcW w:w="3577" w:type="dxa"/>
            <w:vAlign w:val="center"/>
          </w:tcPr>
          <w:p w:rsidR="00ED740B" w:rsidRPr="00ED740B" w:rsidRDefault="00ED740B" w:rsidP="00ED740B">
            <w:pPr>
              <w:adjustRightInd/>
              <w:spacing w:line="340" w:lineRule="exact"/>
              <w:ind w:firstLine="360"/>
              <w:jc w:val="center"/>
              <w:rPr>
                <w:rFonts w:ascii="宋体" w:hAnsi="宋体" w:hint="eastAsia"/>
                <w:sz w:val="18"/>
                <w:szCs w:val="18"/>
              </w:rPr>
            </w:pPr>
            <w:r w:rsidRPr="00ED740B">
              <w:rPr>
                <w:rFonts w:ascii="宋体" w:hAnsi="宋体" w:hint="eastAsia"/>
                <w:sz w:val="18"/>
                <w:szCs w:val="18"/>
              </w:rPr>
              <w:t>15</w:t>
            </w:r>
          </w:p>
        </w:tc>
      </w:tr>
      <w:tr w:rsidR="00ED740B" w:rsidRPr="00ED740B" w:rsidTr="00A20DD6">
        <w:trPr>
          <w:jc w:val="center"/>
        </w:trPr>
        <w:tc>
          <w:tcPr>
            <w:tcW w:w="5751" w:type="dxa"/>
            <w:vAlign w:val="center"/>
          </w:tcPr>
          <w:p w:rsidR="00ED740B" w:rsidRPr="00ED740B" w:rsidRDefault="00ED740B" w:rsidP="00ED740B">
            <w:pPr>
              <w:adjustRightInd/>
              <w:spacing w:line="340" w:lineRule="exact"/>
              <w:ind w:firstLineChars="50" w:firstLine="90"/>
              <w:rPr>
                <w:rFonts w:ascii="宋体" w:hAnsi="宋体" w:hint="eastAsia"/>
                <w:sz w:val="18"/>
                <w:szCs w:val="18"/>
              </w:rPr>
            </w:pPr>
            <w:r w:rsidRPr="00ED740B">
              <w:rPr>
                <w:rFonts w:ascii="宋体" w:hAnsi="宋体" w:hint="eastAsia"/>
                <w:sz w:val="18"/>
                <w:szCs w:val="18"/>
              </w:rPr>
              <w:t>铅（以</w:t>
            </w:r>
            <w:proofErr w:type="spellStart"/>
            <w:r w:rsidRPr="00ED740B">
              <w:rPr>
                <w:rFonts w:ascii="宋体" w:hAnsi="宋体" w:hint="eastAsia"/>
                <w:sz w:val="18"/>
                <w:szCs w:val="18"/>
              </w:rPr>
              <w:t>Pb</w:t>
            </w:r>
            <w:proofErr w:type="spellEnd"/>
            <w:r w:rsidRPr="00ED740B">
              <w:rPr>
                <w:rFonts w:ascii="宋体" w:hAnsi="宋体" w:hint="eastAsia"/>
                <w:sz w:val="18"/>
                <w:szCs w:val="18"/>
              </w:rPr>
              <w:t>计）/(mg/kg)                               ≤</w:t>
            </w:r>
          </w:p>
        </w:tc>
        <w:tc>
          <w:tcPr>
            <w:tcW w:w="3577" w:type="dxa"/>
            <w:vAlign w:val="center"/>
          </w:tcPr>
          <w:p w:rsidR="00ED740B" w:rsidRPr="00ED740B" w:rsidRDefault="00ED740B" w:rsidP="00ED740B">
            <w:pPr>
              <w:adjustRightInd/>
              <w:spacing w:line="340" w:lineRule="exact"/>
              <w:ind w:firstLine="360"/>
              <w:jc w:val="center"/>
              <w:rPr>
                <w:rFonts w:ascii="宋体" w:hAnsi="宋体" w:hint="eastAsia"/>
                <w:sz w:val="18"/>
                <w:szCs w:val="18"/>
              </w:rPr>
            </w:pPr>
            <w:r w:rsidRPr="00ED740B">
              <w:rPr>
                <w:rFonts w:ascii="宋体" w:hAnsi="宋体" w:hint="eastAsia"/>
                <w:sz w:val="18"/>
                <w:szCs w:val="18"/>
              </w:rPr>
              <w:t>0.1</w:t>
            </w:r>
          </w:p>
        </w:tc>
      </w:tr>
    </w:tbl>
    <w:p w:rsidR="00ED740B" w:rsidRPr="00ED740B" w:rsidRDefault="00ED740B" w:rsidP="00ED740B">
      <w:pPr>
        <w:pStyle w:val="affc"/>
        <w:spacing w:before="312" w:after="312"/>
        <w:rPr>
          <w:rFonts w:hint="eastAsia"/>
        </w:rPr>
      </w:pPr>
      <w:r w:rsidRPr="00ED740B">
        <w:rPr>
          <w:rFonts w:hint="eastAsia"/>
        </w:rPr>
        <w:t>试验方法</w:t>
      </w:r>
    </w:p>
    <w:p w:rsidR="00ED740B" w:rsidRPr="00ED740B" w:rsidRDefault="00ED740B" w:rsidP="00ED740B">
      <w:pPr>
        <w:pStyle w:val="affd"/>
        <w:spacing w:before="156" w:after="156"/>
        <w:rPr>
          <w:rFonts w:ascii="宋体" w:hint="eastAsia"/>
        </w:rPr>
      </w:pPr>
      <w:r w:rsidRPr="00ED740B">
        <w:rPr>
          <w:rFonts w:hint="eastAsia"/>
        </w:rPr>
        <w:t>感官指标检验</w:t>
      </w:r>
    </w:p>
    <w:p w:rsidR="00ED740B" w:rsidRPr="00ED740B" w:rsidRDefault="00ED740B" w:rsidP="00ED740B">
      <w:pPr>
        <w:adjustRightInd/>
        <w:spacing w:line="240" w:lineRule="auto"/>
        <w:ind w:firstLine="425"/>
        <w:rPr>
          <w:rFonts w:ascii="宋体" w:hAnsi="Times New Roman" w:hint="eastAsia"/>
          <w:szCs w:val="20"/>
        </w:rPr>
      </w:pPr>
      <w:r w:rsidRPr="00ED740B">
        <w:rPr>
          <w:rFonts w:ascii="宋体" w:hAnsi="Times New Roman" w:hint="eastAsia"/>
          <w:szCs w:val="20"/>
        </w:rPr>
        <w:t>目测其色泽、外形，品尝其滋味。</w:t>
      </w:r>
    </w:p>
    <w:p w:rsidR="00ED740B" w:rsidRPr="00ED740B" w:rsidRDefault="00ED740B" w:rsidP="00ED740B">
      <w:pPr>
        <w:pStyle w:val="affd"/>
        <w:spacing w:before="156" w:after="156"/>
        <w:rPr>
          <w:rFonts w:ascii="宋体" w:hAnsi="宋体" w:hint="eastAsia"/>
        </w:rPr>
      </w:pPr>
      <w:r w:rsidRPr="00ED740B">
        <w:rPr>
          <w:rFonts w:hint="eastAsia"/>
        </w:rPr>
        <w:t>理化指标检验</w:t>
      </w:r>
    </w:p>
    <w:p w:rsidR="00ED740B" w:rsidRPr="00ED740B" w:rsidRDefault="00ED740B" w:rsidP="00ED740B">
      <w:pPr>
        <w:pStyle w:val="affe"/>
        <w:spacing w:before="156" w:after="156"/>
        <w:rPr>
          <w:rFonts w:hint="eastAsia"/>
        </w:rPr>
      </w:pPr>
      <w:r w:rsidRPr="00ED740B">
        <w:rPr>
          <w:rFonts w:hint="eastAsia"/>
        </w:rPr>
        <w:t>单果重</w:t>
      </w:r>
    </w:p>
    <w:p w:rsidR="00ED740B" w:rsidRPr="00ED740B" w:rsidRDefault="00ED740B" w:rsidP="00ED740B">
      <w:pPr>
        <w:pStyle w:val="affff6"/>
        <w:ind w:firstLine="420"/>
        <w:rPr>
          <w:rFonts w:hint="eastAsia"/>
        </w:rPr>
      </w:pPr>
      <w:r w:rsidRPr="00ED740B">
        <w:rPr>
          <w:rFonts w:hint="eastAsia"/>
        </w:rPr>
        <w:t>随机抽取100粒果实，用最大称量</w:t>
      </w:r>
      <w:smartTag w:uri="urn:schemas-microsoft-com:office:smarttags" w:element="chmetcnv">
        <w:smartTagPr>
          <w:attr w:name="UnitName" w:val="g"/>
          <w:attr w:name="SourceValue" w:val="1000"/>
          <w:attr w:name="HasSpace" w:val="False"/>
          <w:attr w:name="Negative" w:val="False"/>
          <w:attr w:name="NumberType" w:val="1"/>
          <w:attr w:name="TCSC" w:val="0"/>
        </w:smartTagPr>
        <w:r w:rsidRPr="00ED740B">
          <w:rPr>
            <w:rFonts w:hint="eastAsia"/>
          </w:rPr>
          <w:t>1000g</w:t>
        </w:r>
      </w:smartTag>
      <w:r w:rsidRPr="00ED740B">
        <w:rPr>
          <w:rFonts w:hint="eastAsia"/>
        </w:rPr>
        <w:t>、感量为</w:t>
      </w:r>
      <w:smartTag w:uri="urn:schemas-microsoft-com:office:smarttags" w:element="chmetcnv">
        <w:smartTagPr>
          <w:attr w:name="UnitName" w:val="g"/>
          <w:attr w:name="SourceValue" w:val="0.1"/>
          <w:attr w:name="HasSpace" w:val="False"/>
          <w:attr w:name="Negative" w:val="False"/>
          <w:attr w:name="NumberType" w:val="1"/>
          <w:attr w:name="TCSC" w:val="0"/>
        </w:smartTagPr>
        <w:r w:rsidRPr="00ED740B">
          <w:rPr>
            <w:rFonts w:hint="eastAsia"/>
          </w:rPr>
          <w:t>0.1g</w:t>
        </w:r>
      </w:smartTag>
      <w:r w:rsidRPr="00ED740B">
        <w:rPr>
          <w:rFonts w:hint="eastAsia"/>
        </w:rPr>
        <w:t>的天平称取的总重除以100，其平均值为单果重。</w:t>
      </w:r>
    </w:p>
    <w:p w:rsidR="00ED740B" w:rsidRPr="00ED740B" w:rsidRDefault="00ED740B" w:rsidP="00ED740B">
      <w:pPr>
        <w:pStyle w:val="affe"/>
        <w:spacing w:before="156" w:after="156"/>
        <w:rPr>
          <w:rFonts w:hint="eastAsia"/>
        </w:rPr>
      </w:pPr>
      <w:r w:rsidRPr="00ED740B">
        <w:rPr>
          <w:rFonts w:hint="eastAsia"/>
        </w:rPr>
        <w:t>可食率</w:t>
      </w:r>
    </w:p>
    <w:p w:rsidR="00ED740B" w:rsidRPr="00ED740B" w:rsidRDefault="00ED740B" w:rsidP="00ED740B">
      <w:pPr>
        <w:adjustRightInd/>
        <w:spacing w:line="240" w:lineRule="auto"/>
        <w:ind w:firstLine="425"/>
        <w:rPr>
          <w:rFonts w:ascii="宋体" w:hAnsi="Times New Roman" w:hint="eastAsia"/>
          <w:szCs w:val="20"/>
        </w:rPr>
      </w:pPr>
      <w:r w:rsidRPr="00ED740B">
        <w:rPr>
          <w:rFonts w:ascii="宋体" w:hAnsi="Times New Roman" w:hint="eastAsia"/>
          <w:szCs w:val="20"/>
        </w:rPr>
        <w:t>抽取100粒果实称重，然后将果核、果柄剔除称重。</w:t>
      </w:r>
    </w:p>
    <w:p w:rsidR="00ED740B" w:rsidRPr="00ED740B" w:rsidRDefault="00ED740B" w:rsidP="00ED740B">
      <w:pPr>
        <w:adjustRightInd/>
        <w:spacing w:line="240" w:lineRule="auto"/>
        <w:ind w:firstLine="425"/>
        <w:rPr>
          <w:rFonts w:ascii="宋体" w:hAnsi="Times New Roman" w:hint="eastAsia"/>
          <w:szCs w:val="20"/>
        </w:rPr>
      </w:pPr>
      <w:r w:rsidRPr="00ED740B">
        <w:rPr>
          <w:rFonts w:ascii="宋体" w:hAnsi="Times New Roman" w:hint="eastAsia"/>
          <w:szCs w:val="20"/>
        </w:rPr>
        <w:t>计算公式：</w:t>
      </w:r>
    </w:p>
    <w:p w:rsidR="00ED740B" w:rsidRPr="00ED740B" w:rsidRDefault="00ED740B" w:rsidP="00ED740B">
      <w:pPr>
        <w:adjustRightInd/>
        <w:spacing w:line="240" w:lineRule="auto"/>
        <w:ind w:firstLine="425"/>
        <w:rPr>
          <w:rFonts w:ascii="宋体" w:hAnsi="Times New Roman" w:hint="eastAsia"/>
          <w:szCs w:val="20"/>
        </w:rPr>
      </w:pPr>
      <w:r w:rsidRPr="00ED740B">
        <w:rPr>
          <w:rFonts w:ascii="宋体" w:hAnsi="Times New Roman" w:hint="eastAsia"/>
          <w:szCs w:val="20"/>
        </w:rPr>
        <w:t>可食率=［(100粒果实总重-100粒核柄总重) /100粒果实总重］×100%</w:t>
      </w:r>
    </w:p>
    <w:p w:rsidR="00ED740B" w:rsidRPr="00ED740B" w:rsidRDefault="00ED740B" w:rsidP="00ED740B">
      <w:pPr>
        <w:pStyle w:val="affe"/>
        <w:spacing w:before="156" w:after="156"/>
        <w:rPr>
          <w:rFonts w:hint="eastAsia"/>
        </w:rPr>
      </w:pPr>
      <w:r w:rsidRPr="00ED740B">
        <w:rPr>
          <w:rFonts w:hint="eastAsia"/>
        </w:rPr>
        <w:t>可溶性固形物</w:t>
      </w:r>
    </w:p>
    <w:p w:rsidR="00ED740B" w:rsidRPr="00ED740B" w:rsidRDefault="00ED740B" w:rsidP="00ED740B">
      <w:pPr>
        <w:pStyle w:val="affff6"/>
        <w:ind w:firstLine="420"/>
        <w:rPr>
          <w:rFonts w:hint="eastAsia"/>
        </w:rPr>
      </w:pPr>
      <w:r w:rsidRPr="00ED740B">
        <w:rPr>
          <w:rFonts w:hint="eastAsia"/>
        </w:rPr>
        <w:t>按NY/T 2637的规定执行。</w:t>
      </w:r>
    </w:p>
    <w:p w:rsidR="00ED740B" w:rsidRPr="00ED740B" w:rsidRDefault="00ED740B" w:rsidP="00ED740B">
      <w:pPr>
        <w:pStyle w:val="affe"/>
        <w:spacing w:before="156" w:after="156"/>
        <w:rPr>
          <w:rFonts w:hint="eastAsia"/>
        </w:rPr>
      </w:pPr>
      <w:r w:rsidRPr="00ED740B">
        <w:rPr>
          <w:rFonts w:hint="eastAsia"/>
        </w:rPr>
        <w:t>铅</w:t>
      </w:r>
    </w:p>
    <w:p w:rsidR="00ED740B" w:rsidRPr="00ED740B" w:rsidRDefault="00ED740B" w:rsidP="00ED740B">
      <w:pPr>
        <w:pStyle w:val="affff6"/>
        <w:ind w:firstLine="420"/>
        <w:rPr>
          <w:rFonts w:hint="eastAsia"/>
        </w:rPr>
      </w:pPr>
      <w:r w:rsidRPr="00ED740B">
        <w:rPr>
          <w:rFonts w:hint="eastAsia"/>
        </w:rPr>
        <w:t>按GB/T 5009.12的规定执行。</w:t>
      </w:r>
    </w:p>
    <w:p w:rsidR="00ED740B" w:rsidRPr="00ED740B" w:rsidRDefault="00ED740B" w:rsidP="00ED740B">
      <w:pPr>
        <w:pStyle w:val="affc"/>
        <w:spacing w:before="312" w:after="312"/>
        <w:rPr>
          <w:rFonts w:hint="eastAsia"/>
        </w:rPr>
      </w:pPr>
      <w:r w:rsidRPr="00ED740B">
        <w:rPr>
          <w:rFonts w:hint="eastAsia"/>
        </w:rPr>
        <w:t>检验规则</w:t>
      </w:r>
    </w:p>
    <w:p w:rsidR="00ED740B" w:rsidRPr="00ED740B" w:rsidRDefault="00ED740B" w:rsidP="00ED740B">
      <w:pPr>
        <w:pStyle w:val="affd"/>
        <w:spacing w:before="156" w:after="156"/>
        <w:rPr>
          <w:rFonts w:hint="eastAsia"/>
        </w:rPr>
      </w:pPr>
      <w:r w:rsidRPr="00ED740B">
        <w:rPr>
          <w:rFonts w:hint="eastAsia"/>
        </w:rPr>
        <w:t>组批</w:t>
      </w:r>
    </w:p>
    <w:p w:rsidR="00ED740B" w:rsidRPr="00ED740B" w:rsidRDefault="00ED740B" w:rsidP="00ED740B">
      <w:pPr>
        <w:adjustRightInd/>
        <w:spacing w:line="240" w:lineRule="auto"/>
        <w:ind w:firstLine="425"/>
        <w:rPr>
          <w:rFonts w:ascii="宋体" w:hAnsi="Times New Roman" w:hint="eastAsia"/>
          <w:szCs w:val="20"/>
        </w:rPr>
      </w:pPr>
      <w:r w:rsidRPr="00ED740B">
        <w:rPr>
          <w:rFonts w:ascii="宋体" w:hAnsi="Times New Roman" w:hint="eastAsia"/>
          <w:szCs w:val="20"/>
        </w:rPr>
        <w:t>同一产地、同期收获的樱桃为一检验批。</w:t>
      </w:r>
    </w:p>
    <w:p w:rsidR="00ED740B" w:rsidRPr="00ED740B" w:rsidRDefault="00ED740B" w:rsidP="00ED740B">
      <w:pPr>
        <w:pStyle w:val="affd"/>
        <w:spacing w:before="156" w:after="156"/>
        <w:rPr>
          <w:rFonts w:hint="eastAsia"/>
        </w:rPr>
      </w:pPr>
      <w:r w:rsidRPr="00ED740B">
        <w:rPr>
          <w:rFonts w:hint="eastAsia"/>
        </w:rPr>
        <w:t>抽样方法</w:t>
      </w:r>
    </w:p>
    <w:p w:rsidR="00ED740B" w:rsidRPr="00ED740B" w:rsidRDefault="00ED740B" w:rsidP="00ED740B">
      <w:pPr>
        <w:pStyle w:val="affff6"/>
        <w:ind w:firstLine="420"/>
        <w:rPr>
          <w:rFonts w:hint="eastAsia"/>
        </w:rPr>
      </w:pPr>
      <w:r w:rsidRPr="00ED740B">
        <w:rPr>
          <w:rFonts w:hint="eastAsia"/>
        </w:rPr>
        <w:t>按GB/T 8855的规定执行。</w:t>
      </w:r>
    </w:p>
    <w:p w:rsidR="00ED740B" w:rsidRPr="00ED740B" w:rsidRDefault="00ED740B" w:rsidP="00ED740B">
      <w:pPr>
        <w:pStyle w:val="affd"/>
        <w:spacing w:before="156" w:after="156"/>
        <w:rPr>
          <w:rFonts w:hint="eastAsia"/>
        </w:rPr>
      </w:pPr>
      <w:r w:rsidRPr="00ED740B">
        <w:rPr>
          <w:rFonts w:hint="eastAsia"/>
        </w:rPr>
        <w:t>判定规则</w:t>
      </w:r>
    </w:p>
    <w:p w:rsidR="00ED740B" w:rsidRPr="00ED740B" w:rsidRDefault="00ED740B" w:rsidP="00ED740B">
      <w:pPr>
        <w:pStyle w:val="affff6"/>
        <w:ind w:firstLine="420"/>
        <w:rPr>
          <w:rFonts w:hint="eastAsia"/>
        </w:rPr>
      </w:pPr>
      <w:r w:rsidRPr="00ED740B">
        <w:rPr>
          <w:rFonts w:hint="eastAsia"/>
        </w:rPr>
        <w:lastRenderedPageBreak/>
        <w:t>每批受检样品的感官指标平均不合格率不应超过5%。理化指标如有一项以上</w:t>
      </w:r>
      <w:r w:rsidRPr="00ED740B">
        <w:t>(</w:t>
      </w:r>
      <w:r w:rsidRPr="00ED740B">
        <w:rPr>
          <w:rFonts w:hint="eastAsia"/>
        </w:rPr>
        <w:t>含一项</w:t>
      </w:r>
      <w:r w:rsidRPr="00ED740B">
        <w:t>)</w:t>
      </w:r>
      <w:r w:rsidRPr="00ED740B">
        <w:rPr>
          <w:rFonts w:hint="eastAsia"/>
        </w:rPr>
        <w:t xml:space="preserve"> 项目不合格，应在同批产品中加倍抽样复验，以复验结果为准。若复验项目仍有一项不合格，则判该批产品为不合格品。重金属指标如不合格，则判定该批次产品不合格。</w:t>
      </w:r>
    </w:p>
    <w:p w:rsidR="00ED740B" w:rsidRPr="00ED740B" w:rsidRDefault="00ED740B" w:rsidP="00ED740B">
      <w:pPr>
        <w:pStyle w:val="affc"/>
        <w:spacing w:before="312" w:after="312"/>
        <w:rPr>
          <w:rFonts w:hint="eastAsia"/>
        </w:rPr>
      </w:pPr>
      <w:r w:rsidRPr="00ED740B">
        <w:rPr>
          <w:rFonts w:hint="eastAsia"/>
        </w:rPr>
        <w:t>包装、标志、运输和贮存</w:t>
      </w:r>
    </w:p>
    <w:p w:rsidR="00ED740B" w:rsidRPr="00ED740B" w:rsidRDefault="00ED740B" w:rsidP="00ED740B">
      <w:pPr>
        <w:pStyle w:val="affd"/>
        <w:spacing w:before="156" w:after="156"/>
        <w:rPr>
          <w:rFonts w:hint="eastAsia"/>
        </w:rPr>
      </w:pPr>
      <w:r w:rsidRPr="00ED740B">
        <w:rPr>
          <w:rFonts w:hint="eastAsia"/>
        </w:rPr>
        <w:t>包装与标志</w:t>
      </w:r>
    </w:p>
    <w:p w:rsidR="00ED740B" w:rsidRPr="00ED740B" w:rsidRDefault="00ED740B" w:rsidP="00ED740B">
      <w:pPr>
        <w:pStyle w:val="affffffffa"/>
        <w:rPr>
          <w:rFonts w:hint="eastAsia"/>
          <w:sz w:val="22"/>
          <w:szCs w:val="22"/>
        </w:rPr>
      </w:pPr>
      <w:r w:rsidRPr="00ED740B">
        <w:rPr>
          <w:rFonts w:hint="eastAsia"/>
        </w:rPr>
        <w:t>包装容器与标志必须清洁卫生、干燥无异味，应有透气孔、坚实耐压、完整牢固，无破损、无水湿、无尖突、无污染、易分解、内外光滑。包装可采用纸箱、木箱等容器，且规格不宜过大。具体大</w:t>
      </w:r>
      <w:r w:rsidRPr="00ED740B">
        <w:rPr>
          <w:rFonts w:hint="eastAsia"/>
          <w:sz w:val="22"/>
          <w:szCs w:val="22"/>
        </w:rPr>
        <w:t>小根据市场要求而定。</w:t>
      </w:r>
    </w:p>
    <w:p w:rsidR="00ED740B" w:rsidRPr="00ED740B" w:rsidRDefault="00ED740B" w:rsidP="00ED740B">
      <w:pPr>
        <w:pStyle w:val="affffffffa"/>
        <w:rPr>
          <w:rFonts w:hint="eastAsia"/>
        </w:rPr>
      </w:pPr>
      <w:r w:rsidRPr="00ED740B">
        <w:rPr>
          <w:rFonts w:hint="eastAsia"/>
        </w:rPr>
        <w:t xml:space="preserve">产品外包装应有标志，内容包括:产品名称、品种名称、商标、净重、产地或企业名称、包装日期,要求字迹清晰、完整、准确 </w:t>
      </w:r>
      <w:r w:rsidRPr="00ED740B">
        <w:rPr>
          <w:rFonts w:hint="eastAsia"/>
          <w:sz w:val="20"/>
        </w:rPr>
        <w:t>。</w:t>
      </w:r>
    </w:p>
    <w:p w:rsidR="00ED740B" w:rsidRPr="00ED740B" w:rsidRDefault="00ED740B" w:rsidP="00ED740B">
      <w:pPr>
        <w:pStyle w:val="affd"/>
        <w:spacing w:before="156" w:after="156"/>
        <w:rPr>
          <w:rFonts w:hint="eastAsia"/>
        </w:rPr>
      </w:pPr>
      <w:r w:rsidRPr="00ED740B">
        <w:rPr>
          <w:rFonts w:hint="eastAsia"/>
        </w:rPr>
        <w:t>运输与贮存</w:t>
      </w:r>
    </w:p>
    <w:p w:rsidR="00ED740B" w:rsidRPr="00ED740B" w:rsidRDefault="00ED740B" w:rsidP="00ED740B">
      <w:pPr>
        <w:pStyle w:val="affff6"/>
        <w:ind w:firstLine="420"/>
        <w:rPr>
          <w:rFonts w:hint="eastAsia"/>
        </w:rPr>
      </w:pPr>
      <w:bookmarkStart w:id="45" w:name="附录"/>
      <w:bookmarkStart w:id="46" w:name="参考文献"/>
      <w:bookmarkStart w:id="47" w:name="索引"/>
      <w:bookmarkStart w:id="48" w:name="分割线"/>
      <w:bookmarkStart w:id="49" w:name="封底"/>
      <w:bookmarkEnd w:id="45"/>
      <w:bookmarkEnd w:id="46"/>
      <w:bookmarkEnd w:id="47"/>
      <w:bookmarkEnd w:id="48"/>
      <w:bookmarkEnd w:id="49"/>
      <w:r w:rsidRPr="00ED740B">
        <w:rPr>
          <w:rFonts w:hint="eastAsia"/>
        </w:rPr>
        <w:t>樱桃采收后. 立即进行包装和运输贮藏。运输过程中轻拿轻放，快装快运，严禁烈日曝晒、雨淋。 常温下超过24小时应采取冷藏措施。包装箱或包装盒内的果实要比较紧密， 振动时互相之间不会擦伤。 存放时，要码放整齐，环境要求清洁. 通风良好。严禁与有毒有异味的有害物品混装混运。可贮藏在</w:t>
      </w:r>
      <w:smartTag w:uri="urn:schemas-microsoft-com:office:smarttags" w:element="chmetcnv">
        <w:smartTagPr>
          <w:attr w:name="TCSC" w:val="0"/>
          <w:attr w:name="NumberType" w:val="1"/>
          <w:attr w:name="Negative" w:val="False"/>
          <w:attr w:name="HasSpace" w:val="False"/>
          <w:attr w:name="SourceValue" w:val="0"/>
          <w:attr w:name="UnitName" w:val="℃"/>
        </w:smartTagPr>
        <w:r w:rsidRPr="00ED740B">
          <w:rPr>
            <w:rFonts w:hint="eastAsia"/>
          </w:rPr>
          <w:t>0℃</w:t>
        </w:r>
      </w:smartTag>
      <w:r w:rsidRPr="00ED740B">
        <w:rPr>
          <w:rFonts w:hint="eastAsia"/>
        </w:rPr>
        <w:t xml:space="preserve">一 </w:t>
      </w:r>
      <w:smartTag w:uri="urn:schemas-microsoft-com:office:smarttags" w:element="chmetcnv">
        <w:smartTagPr>
          <w:attr w:name="TCSC" w:val="0"/>
          <w:attr w:name="NumberType" w:val="1"/>
          <w:attr w:name="Negative" w:val="False"/>
          <w:attr w:name="HasSpace" w:val="False"/>
          <w:attr w:name="SourceValue" w:val="4"/>
          <w:attr w:name="UnitName" w:val="℃"/>
        </w:smartTagPr>
        <w:r w:rsidRPr="00ED740B">
          <w:rPr>
            <w:rFonts w:hint="eastAsia"/>
          </w:rPr>
          <w:t>4℃</w:t>
        </w:r>
      </w:smartTag>
      <w:r w:rsidRPr="00ED740B">
        <w:rPr>
          <w:rFonts w:hint="eastAsia"/>
        </w:rPr>
        <w:t>的冷库中。</w:t>
      </w:r>
    </w:p>
    <w:p w:rsidR="004B3E93" w:rsidRDefault="004B3E93" w:rsidP="002A1260">
      <w:pPr>
        <w:pStyle w:val="affff6"/>
        <w:ind w:firstLine="420"/>
      </w:pPr>
    </w:p>
    <w:p w:rsidR="002A1260" w:rsidRDefault="002A1260" w:rsidP="00653FED">
      <w:pPr>
        <w:pStyle w:val="affff6"/>
        <w:ind w:firstLine="420"/>
      </w:pPr>
    </w:p>
    <w:p w:rsidR="001D212F" w:rsidRDefault="001D212F" w:rsidP="00E60C63">
      <w:pPr>
        <w:pStyle w:val="affff6"/>
        <w:ind w:firstLine="420"/>
      </w:pPr>
    </w:p>
    <w:p w:rsidR="00CD561D" w:rsidRDefault="00CD561D" w:rsidP="00CD561D">
      <w:pPr>
        <w:pStyle w:val="affff6"/>
        <w:ind w:firstLine="420"/>
      </w:pPr>
    </w:p>
    <w:p w:rsidR="00CD561D" w:rsidRDefault="00ED740B" w:rsidP="00ED740B">
      <w:pPr>
        <w:pStyle w:val="affff6"/>
        <w:ind w:firstLineChars="0" w:firstLine="0"/>
        <w:jc w:val="center"/>
      </w:pPr>
      <w:bookmarkStart w:id="50" w:name="BookMark8"/>
      <w:bookmarkEnd w:id="23"/>
      <w:r>
        <w:drawing>
          <wp:inline distT="0" distB="0" distL="0" distR="0" wp14:anchorId="0F9A6E16" wp14:editId="327E0A1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50"/>
    </w:p>
    <w:sectPr w:rsidR="00CD561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E5" w:rsidRDefault="003078E5" w:rsidP="00D86DB7">
      <w:r>
        <w:separator/>
      </w:r>
    </w:p>
    <w:p w:rsidR="003078E5" w:rsidRDefault="003078E5"/>
    <w:p w:rsidR="003078E5" w:rsidRDefault="003078E5"/>
  </w:endnote>
  <w:endnote w:type="continuationSeparator" w:id="0">
    <w:p w:rsidR="003078E5" w:rsidRDefault="003078E5" w:rsidP="00D86DB7">
      <w:r>
        <w:continuationSeparator/>
      </w:r>
    </w:p>
    <w:p w:rsidR="003078E5" w:rsidRDefault="003078E5"/>
    <w:p w:rsidR="003078E5" w:rsidRDefault="00307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966E0A" w:rsidRPr="00966E0A">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E5" w:rsidRDefault="003078E5" w:rsidP="00D86DB7">
      <w:r>
        <w:separator/>
      </w:r>
    </w:p>
  </w:footnote>
  <w:footnote w:type="continuationSeparator" w:id="0">
    <w:p w:rsidR="003078E5" w:rsidRDefault="003078E5" w:rsidP="00D86DB7">
      <w:r>
        <w:continuationSeparator/>
      </w:r>
    </w:p>
    <w:p w:rsidR="003078E5" w:rsidRDefault="003078E5"/>
    <w:p w:rsidR="003078E5" w:rsidRDefault="003078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F735D5">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966E0A">
      <w:t>DB 3704/T XXXX</w:t>
    </w:r>
    <w:r w:rsidR="00966E0A">
      <w:t>—</w:t>
    </w:r>
    <w:r w:rsidR="00966E0A">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D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8E5"/>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6E0A"/>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740B"/>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5D5"/>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96F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22A4779D2A44E8A6D59CC5099611EF"/>
        <w:category>
          <w:name w:val="常规"/>
          <w:gallery w:val="placeholder"/>
        </w:category>
        <w:types>
          <w:type w:val="bbPlcHdr"/>
        </w:types>
        <w:behaviors>
          <w:behavior w:val="content"/>
        </w:behaviors>
        <w:guid w:val="{E6BF5C44-3EFF-4A2F-9C2E-431F41C9E220}"/>
      </w:docPartPr>
      <w:docPartBody>
        <w:p w:rsidR="00000000" w:rsidRDefault="007F59FA">
          <w:pPr>
            <w:pStyle w:val="9722A4779D2A44E8A6D59CC5099611EF"/>
          </w:pPr>
          <w:r w:rsidRPr="00751A05">
            <w:rPr>
              <w:rStyle w:val="a3"/>
              <w:rFonts w:hint="eastAsia"/>
            </w:rPr>
            <w:t>单击或点击此处输入文字。</w:t>
          </w:r>
        </w:p>
      </w:docPartBody>
    </w:docPart>
    <w:docPart>
      <w:docPartPr>
        <w:name w:val="E1E2A32B58D848558B39FA040AA9BB79"/>
        <w:category>
          <w:name w:val="常规"/>
          <w:gallery w:val="placeholder"/>
        </w:category>
        <w:types>
          <w:type w:val="bbPlcHdr"/>
        </w:types>
        <w:behaviors>
          <w:behavior w:val="content"/>
        </w:behaviors>
        <w:guid w:val="{757FBE3B-5F15-4C51-BCC9-44AABE7AA43A}"/>
      </w:docPartPr>
      <w:docPartBody>
        <w:p w:rsidR="00000000" w:rsidRDefault="007F59FA">
          <w:pPr>
            <w:pStyle w:val="E1E2A32B58D848558B39FA040AA9BB79"/>
          </w:pPr>
          <w:r w:rsidRPr="00FB6243">
            <w:rPr>
              <w:rStyle w:val="a3"/>
              <w:rFonts w:hint="eastAsia"/>
            </w:rPr>
            <w:t>选择一项。</w:t>
          </w:r>
        </w:p>
      </w:docPartBody>
    </w:docPart>
    <w:docPart>
      <w:docPartPr>
        <w:name w:val="CF60F6BBAD844EE0BAA3E0EB530BC239"/>
        <w:category>
          <w:name w:val="常规"/>
          <w:gallery w:val="placeholder"/>
        </w:category>
        <w:types>
          <w:type w:val="bbPlcHdr"/>
        </w:types>
        <w:behaviors>
          <w:behavior w:val="content"/>
        </w:behaviors>
        <w:guid w:val="{5BC7F81B-FD42-4C9D-AB12-67772CC965D0}"/>
      </w:docPartPr>
      <w:docPartBody>
        <w:p w:rsidR="00000000" w:rsidRDefault="007F59FA">
          <w:pPr>
            <w:pStyle w:val="CF60F6BBAD844EE0BAA3E0EB530BC23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FA"/>
    <w:rsid w:val="007F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722A4779D2A44E8A6D59CC5099611EF">
    <w:name w:val="9722A4779D2A44E8A6D59CC5099611EF"/>
    <w:pPr>
      <w:widowControl w:val="0"/>
      <w:jc w:val="both"/>
    </w:pPr>
  </w:style>
  <w:style w:type="paragraph" w:customStyle="1" w:styleId="E1E2A32B58D848558B39FA040AA9BB79">
    <w:name w:val="E1E2A32B58D848558B39FA040AA9BB79"/>
    <w:pPr>
      <w:widowControl w:val="0"/>
      <w:jc w:val="both"/>
    </w:pPr>
  </w:style>
  <w:style w:type="paragraph" w:customStyle="1" w:styleId="CF60F6BBAD844EE0BAA3E0EB530BC239">
    <w:name w:val="CF60F6BBAD844EE0BAA3E0EB530BC23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722A4779D2A44E8A6D59CC5099611EF">
    <w:name w:val="9722A4779D2A44E8A6D59CC5099611EF"/>
    <w:pPr>
      <w:widowControl w:val="0"/>
      <w:jc w:val="both"/>
    </w:pPr>
  </w:style>
  <w:style w:type="paragraph" w:customStyle="1" w:styleId="E1E2A32B58D848558B39FA040AA9BB79">
    <w:name w:val="E1E2A32B58D848558B39FA040AA9BB79"/>
    <w:pPr>
      <w:widowControl w:val="0"/>
      <w:jc w:val="both"/>
    </w:pPr>
  </w:style>
  <w:style w:type="paragraph" w:customStyle="1" w:styleId="CF60F6BBAD844EE0BAA3E0EB530BC239">
    <w:name w:val="CF60F6BBAD844EE0BAA3E0EB530BC2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D6EDF1"/>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78060-6BE6-49C7-B8CD-83EF74B5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TotalTime>
  <Pages>5</Pages>
  <Words>901</Words>
  <Characters>1127</Characters>
  <Application>Microsoft Office Word</Application>
  <DocSecurity>0</DocSecurity>
  <Lines>187</Lines>
  <Paragraphs>168</Paragraphs>
  <ScaleCrop>false</ScaleCrop>
  <Company>PCMI</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潘婷婷</dc:creator>
  <dc:description>&lt;config cover="true" show_menu="true" version="1.0.0" doctype="SDKXY"&gt;_x000d_
&lt;/config&gt;</dc:description>
  <cp:lastModifiedBy>潘婷婷</cp:lastModifiedBy>
  <cp:revision>6</cp:revision>
  <cp:lastPrinted>2020-08-30T10:00:00Z</cp:lastPrinted>
  <dcterms:created xsi:type="dcterms:W3CDTF">2022-09-28T03:33:00Z</dcterms:created>
  <dcterms:modified xsi:type="dcterms:W3CDTF">2022-09-28T03:39:00Z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