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28"/>
          <w:szCs w:val="28"/>
        </w:rPr>
      </w:pPr>
      <w:r>
        <w:rPr>
          <w:rFonts w:hint="eastAsia" w:ascii="仿宋_GB2312" w:eastAsia="仿宋_GB2312"/>
          <w:sz w:val="28"/>
          <w:szCs w:val="28"/>
        </w:rPr>
        <w:t xml:space="preserve">附件5：      </w:t>
      </w:r>
    </w:p>
    <w:p>
      <w:pPr>
        <w:jc w:val="center"/>
        <w:rPr>
          <w:rFonts w:hint="eastAsia" w:ascii="方正仿宋简体"/>
          <w:sz w:val="32"/>
        </w:rPr>
      </w:pPr>
    </w:p>
    <w:p>
      <w:pPr>
        <w:rPr>
          <w:rFonts w:hint="eastAsia" w:ascii="方正仿宋简体"/>
          <w:sz w:val="32"/>
        </w:rPr>
      </w:pPr>
    </w:p>
    <w:p>
      <w:pPr>
        <w:jc w:val="center"/>
        <w:rPr>
          <w:rFonts w:hint="eastAsia" w:ascii="华文中宋" w:hAnsi="华文中宋" w:eastAsia="华文中宋"/>
          <w:sz w:val="52"/>
          <w:szCs w:val="52"/>
        </w:rPr>
      </w:pPr>
      <w:r>
        <w:rPr>
          <w:rFonts w:ascii="华文中宋" w:hAnsi="华文中宋" w:eastAsia="华文中宋"/>
          <w:sz w:val="52"/>
          <w:szCs w:val="52"/>
        </w:rPr>
        <w:t>地方标准编制说明</w:t>
      </w:r>
      <w:r>
        <w:rPr>
          <w:rFonts w:hint="eastAsia" w:ascii="华文中宋" w:hAnsi="华文中宋" w:eastAsia="华文中宋"/>
          <w:sz w:val="52"/>
          <w:szCs w:val="52"/>
        </w:rPr>
        <w:cr/>
      </w:r>
    </w:p>
    <w:p>
      <w:pPr>
        <w:jc w:val="center"/>
        <w:rPr>
          <w:rFonts w:hint="eastAsia" w:ascii="方正小标宋简体"/>
          <w:sz w:val="32"/>
        </w:rPr>
      </w:pPr>
    </w:p>
    <w:p>
      <w:pPr>
        <w:jc w:val="center"/>
        <w:rPr>
          <w:rFonts w:hint="eastAsia" w:ascii="方正小标宋简体"/>
          <w:sz w:val="32"/>
        </w:rPr>
      </w:pPr>
    </w:p>
    <w:p>
      <w:pPr>
        <w:jc w:val="center"/>
        <w:rPr>
          <w:rFonts w:hint="eastAsia" w:ascii="方正小标宋简体"/>
          <w:sz w:val="32"/>
        </w:rPr>
      </w:pPr>
    </w:p>
    <w:p>
      <w:pPr>
        <w:jc w:val="center"/>
        <w:rPr>
          <w:rFonts w:hint="eastAsia" w:ascii="方正小标宋简体"/>
          <w:sz w:val="32"/>
        </w:rPr>
      </w:pPr>
    </w:p>
    <w:p>
      <w:pPr>
        <w:jc w:val="center"/>
        <w:rPr>
          <w:rFonts w:hint="eastAsia"/>
          <w:sz w:val="32"/>
        </w:rPr>
      </w:pPr>
    </w:p>
    <w:p>
      <w:pPr>
        <w:rPr>
          <w:rFonts w:hint="eastAsia"/>
        </w:rPr>
      </w:pPr>
      <w:r>
        <w:rPr>
          <w:rFonts w:hint="eastAsia" w:ascii="仿宋_GB2312" w:eastAsia="仿宋_GB2312"/>
          <w:sz w:val="32"/>
          <w:szCs w:val="32"/>
        </w:rPr>
        <w:t>标   准  名   称：</w:t>
      </w:r>
      <w:r>
        <w:rPr>
          <w:rFonts w:hint="eastAsia" w:ascii="仿宋_GB2312" w:eastAsia="仿宋_GB2312"/>
          <w:sz w:val="32"/>
          <w:szCs w:val="32"/>
          <w:u w:val="single"/>
        </w:rPr>
        <w:t xml:space="preserve">   </w:t>
      </w:r>
      <w:r>
        <w:rPr>
          <w:rFonts w:hint="eastAsia" w:ascii="仿宋_GB2312" w:eastAsia="仿宋_GB2312"/>
          <w:sz w:val="36"/>
          <w:szCs w:val="36"/>
          <w:u w:val="single"/>
        </w:rPr>
        <w:t>食品生产许可服务</w:t>
      </w:r>
      <w:r>
        <w:rPr>
          <w:rFonts w:hint="eastAsia" w:ascii="仿宋_GB2312" w:eastAsia="仿宋_GB2312"/>
          <w:sz w:val="36"/>
          <w:szCs w:val="36"/>
          <w:u w:val="single"/>
          <w:lang w:eastAsia="zh-CN"/>
        </w:rPr>
        <w:t>规范</w:t>
      </w:r>
      <w:r>
        <w:rPr>
          <w:rFonts w:hint="eastAsia" w:ascii="仿宋_GB2312" w:eastAsia="仿宋_GB2312"/>
          <w:sz w:val="32"/>
          <w:szCs w:val="32"/>
          <w:u w:val="single"/>
        </w:rPr>
        <w:t xml:space="preserve">        </w:t>
      </w:r>
    </w:p>
    <w:p>
      <w:pPr>
        <w:spacing w:before="146" w:beforeLines="50" w:after="146" w:afterLines="50" w:line="480" w:lineRule="auto"/>
        <w:rPr>
          <w:rFonts w:hint="eastAsia" w:ascii="仿宋_GB2312" w:eastAsia="仿宋_GB2312"/>
          <w:sz w:val="32"/>
          <w:szCs w:val="32"/>
          <w:u w:val="single"/>
        </w:rPr>
      </w:pPr>
      <w:r>
        <w:rPr>
          <w:rFonts w:hint="eastAsia" w:ascii="仿宋_GB2312" w:eastAsia="仿宋_GB2312"/>
          <w:sz w:val="32"/>
          <w:szCs w:val="32"/>
        </w:rPr>
        <w:t>类            别：</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社会管理和公共服务类         </w:t>
      </w:r>
    </w:p>
    <w:p>
      <w:pPr>
        <w:spacing w:before="146" w:beforeLines="50" w:after="146" w:afterLines="50" w:line="480" w:lineRule="auto"/>
        <w:rPr>
          <w:rFonts w:hint="eastAsia" w:ascii="仿宋_GB2312" w:eastAsia="仿宋_GB2312"/>
          <w:sz w:val="32"/>
          <w:szCs w:val="32"/>
          <w:u w:val="single"/>
        </w:rPr>
      </w:pPr>
      <w:r>
        <w:rPr>
          <w:rFonts w:hint="eastAsia" w:ascii="仿宋_GB2312" w:eastAsia="仿宋_GB2312"/>
          <w:sz w:val="32"/>
          <w:szCs w:val="32"/>
        </w:rPr>
        <w:t>申</w:t>
      </w:r>
      <w:r>
        <w:rPr>
          <w:rFonts w:hint="eastAsia" w:ascii="仿宋_GB2312" w:eastAsia="仿宋_GB2312"/>
          <w:spacing w:val="-10"/>
          <w:sz w:val="32"/>
          <w:szCs w:val="32"/>
        </w:rPr>
        <w:t xml:space="preserve">   </w:t>
      </w:r>
      <w:r>
        <w:rPr>
          <w:rFonts w:hint="eastAsia" w:ascii="仿宋_GB2312" w:eastAsia="仿宋_GB2312"/>
          <w:sz w:val="32"/>
          <w:szCs w:val="32"/>
        </w:rPr>
        <w:t>报</w:t>
      </w:r>
      <w:r>
        <w:rPr>
          <w:rFonts w:hint="eastAsia" w:ascii="仿宋_GB2312" w:eastAsia="仿宋_GB2312"/>
          <w:spacing w:val="-10"/>
          <w:sz w:val="32"/>
          <w:szCs w:val="32"/>
        </w:rPr>
        <w:t xml:space="preserve">   </w:t>
      </w:r>
      <w:r>
        <w:rPr>
          <w:rFonts w:hint="eastAsia" w:ascii="仿宋_GB2312" w:eastAsia="仿宋_GB2312"/>
          <w:sz w:val="32"/>
          <w:szCs w:val="32"/>
        </w:rPr>
        <w:t>单</w:t>
      </w:r>
      <w:r>
        <w:rPr>
          <w:rFonts w:hint="eastAsia" w:ascii="仿宋_GB2312" w:eastAsia="仿宋_GB2312"/>
          <w:spacing w:val="-10"/>
          <w:sz w:val="32"/>
          <w:szCs w:val="32"/>
        </w:rPr>
        <w:t xml:space="preserve">   </w:t>
      </w:r>
      <w:r>
        <w:rPr>
          <w:rFonts w:hint="eastAsia" w:ascii="仿宋_GB2312" w:eastAsia="仿宋_GB2312"/>
          <w:sz w:val="32"/>
          <w:szCs w:val="32"/>
        </w:rPr>
        <w:t>位（盖章）：</w:t>
      </w:r>
      <w:r>
        <w:rPr>
          <w:rFonts w:hint="eastAsia" w:ascii="仿宋_GB2312" w:eastAsia="仿宋_GB2312"/>
          <w:sz w:val="32"/>
          <w:szCs w:val="32"/>
          <w:u w:val="single"/>
        </w:rPr>
        <w:t xml:space="preserve">   枣庄市行政审批服务局   </w:t>
      </w:r>
    </w:p>
    <w:p>
      <w:pPr>
        <w:spacing w:before="146" w:beforeLines="50" w:after="146" w:afterLines="50" w:line="480" w:lineRule="auto"/>
        <w:rPr>
          <w:rFonts w:hint="eastAsia" w:ascii="仿宋_GB2312" w:eastAsia="仿宋_GB2312"/>
          <w:sz w:val="32"/>
          <w:szCs w:val="32"/>
          <w:u w:val="single"/>
        </w:rPr>
      </w:pPr>
      <w:r>
        <w:rPr>
          <w:rFonts w:hint="eastAsia" w:ascii="仿宋_GB2312" w:eastAsia="仿宋_GB2312"/>
          <w:spacing w:val="20"/>
          <w:sz w:val="32"/>
          <w:szCs w:val="32"/>
        </w:rPr>
        <w:t>填  表  日  期：</w:t>
      </w:r>
      <w:r>
        <w:rPr>
          <w:rFonts w:hint="eastAsia" w:ascii="仿宋_GB2312" w:eastAsia="仿宋_GB2312"/>
          <w:sz w:val="32"/>
          <w:szCs w:val="32"/>
          <w:u w:val="single"/>
        </w:rPr>
        <w:t xml:space="preserve">     2022 年  11 月20  日      </w:t>
      </w:r>
    </w:p>
    <w:p>
      <w:pPr>
        <w:spacing w:line="360" w:lineRule="auto"/>
        <w:rPr>
          <w:rFonts w:hint="eastAsia" w:ascii="方正小标宋简体" w:hAnsi="宋体" w:eastAsia="方正小标宋简体"/>
          <w:b/>
          <w:sz w:val="36"/>
        </w:rPr>
      </w:pPr>
    </w:p>
    <w:p>
      <w:pPr>
        <w:spacing w:line="360" w:lineRule="auto"/>
        <w:jc w:val="center"/>
        <w:rPr>
          <w:rFonts w:hint="eastAsia" w:ascii="黑体" w:hAnsi="宋体" w:eastAsia="黑体"/>
          <w:b/>
          <w:sz w:val="36"/>
        </w:rPr>
      </w:pPr>
    </w:p>
    <w:tbl>
      <w:tblPr>
        <w:tblStyle w:val="18"/>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41" w:hRule="atLeast"/>
        </w:trPr>
        <w:tc>
          <w:tcPr>
            <w:tcW w:w="9224" w:type="dxa"/>
            <w:gridSpan w:val="2"/>
            <w:vAlign w:val="top"/>
          </w:tcPr>
          <w:p>
            <w:pPr>
              <w:spacing w:before="292" w:beforeLines="100" w:line="360" w:lineRule="auto"/>
              <w:rPr>
                <w:rFonts w:hint="eastAsia" w:ascii="宋体" w:hAnsi="宋体"/>
                <w:sz w:val="24"/>
              </w:rPr>
            </w:pPr>
            <w:r>
              <w:rPr>
                <w:rFonts w:hint="eastAsia" w:ascii="宋体" w:hAnsi="宋体"/>
                <w:sz w:val="24"/>
              </w:rPr>
              <w:t>一、</w:t>
            </w:r>
            <w:r>
              <w:rPr>
                <w:rFonts w:ascii="宋体" w:hAnsi="宋体"/>
                <w:sz w:val="24"/>
              </w:rPr>
              <w:t>项目背景</w:t>
            </w:r>
            <w:r>
              <w:rPr>
                <w:rFonts w:hint="eastAsia" w:ascii="宋体" w:hAnsi="宋体"/>
                <w:sz w:val="24"/>
              </w:rPr>
              <w:t>（</w:t>
            </w:r>
            <w:r>
              <w:rPr>
                <w:rFonts w:ascii="宋体" w:hAnsi="宋体"/>
                <w:sz w:val="24"/>
              </w:rPr>
              <w:t>包括全</w:t>
            </w:r>
            <w:r>
              <w:rPr>
                <w:rFonts w:hint="eastAsia" w:ascii="宋体" w:hAnsi="宋体"/>
                <w:sz w:val="24"/>
              </w:rPr>
              <w:t>市</w:t>
            </w:r>
            <w:r>
              <w:rPr>
                <w:rFonts w:ascii="宋体" w:hAnsi="宋体"/>
                <w:sz w:val="24"/>
              </w:rPr>
              <w:t>产业现状、立项背景及必要性等</w:t>
            </w:r>
            <w:r>
              <w:rPr>
                <w:rFonts w:hint="eastAsia" w:ascii="宋体" w:hAnsi="宋体"/>
                <w:sz w:val="24"/>
              </w:rPr>
              <w:t>）</w:t>
            </w:r>
          </w:p>
          <w:p>
            <w:pPr>
              <w:rPr>
                <w:rFonts w:ascii="宋体" w:hAnsi="宋体"/>
                <w:sz w:val="28"/>
                <w:szCs w:val="28"/>
              </w:rPr>
            </w:pPr>
            <w:r>
              <w:rPr>
                <w:rFonts w:hint="eastAsia" w:ascii="宋体" w:hAnsi="宋体"/>
                <w:sz w:val="24"/>
              </w:rPr>
              <w:t xml:space="preserve">      </w:t>
            </w:r>
            <w:r>
              <w:rPr>
                <w:rFonts w:ascii="宋体" w:hAnsi="宋体"/>
                <w:sz w:val="28"/>
                <w:szCs w:val="28"/>
              </w:rPr>
              <w:t>2018年12月底，枣庄市行政审批服务局成立，食品生产许可的受理审批等工作由市场监管部门划转到同级审批服务部门。虽然市审批服务局、市市场监管局联合组织了多次培训，但由于专业基础薄弱，各级审批服务部门对食品生产许可受理、审核、审批相关法规政策的理解不统一，影响了食品生产许可工作质效，也间接影响了食品生产安全。2022年3月，国务院印发《关于加快推进政务服务标准化规范化便利化的指导意见》，推进审批服务标准化规范化。枣庄市审批服务局作为食品生产许可责任单位，有责任有义务制定食品生产许可工作规范，梳理相关法律法规、规章等许可依据和规范性文件，明确受理、现场检查、审核审批流程及相关要求，防止审批服务工作人员不作为、乱作为，推进“市县同权”“跨域通办”，以地方标准促进食品生产许可规范化，促进我市食品生产企业高质量发展。</w:t>
            </w:r>
          </w:p>
          <w:p>
            <w:pPr>
              <w:spacing w:before="292" w:beforeLines="100"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27" w:hRule="atLeast"/>
        </w:trPr>
        <w:tc>
          <w:tcPr>
            <w:tcW w:w="9224" w:type="dxa"/>
            <w:gridSpan w:val="2"/>
            <w:vAlign w:val="top"/>
          </w:tcPr>
          <w:p>
            <w:pPr>
              <w:spacing w:before="146" w:beforeLines="50"/>
              <w:rPr>
                <w:rFonts w:hint="eastAsia" w:ascii="宋体" w:hAnsi="宋体"/>
                <w:sz w:val="24"/>
              </w:rPr>
            </w:pPr>
            <w:r>
              <w:rPr>
                <w:rFonts w:hint="eastAsia" w:ascii="宋体" w:hAnsi="宋体"/>
                <w:sz w:val="24"/>
              </w:rPr>
              <w:t>二、</w:t>
            </w:r>
            <w:r>
              <w:rPr>
                <w:rFonts w:ascii="宋体" w:hAnsi="宋体"/>
                <w:sz w:val="24"/>
              </w:rPr>
              <w:t>工作简况</w:t>
            </w:r>
            <w:r>
              <w:rPr>
                <w:rFonts w:hint="eastAsia" w:ascii="宋体" w:hAnsi="宋体"/>
                <w:sz w:val="24"/>
              </w:rPr>
              <w:t>（</w:t>
            </w:r>
            <w:r>
              <w:rPr>
                <w:rFonts w:ascii="宋体" w:hAnsi="宋体"/>
                <w:sz w:val="24"/>
              </w:rPr>
              <w:t>包括任务来源、协作单位、主要工作过程、主要起草人及其所做的工作等</w:t>
            </w:r>
            <w:r>
              <w:rPr>
                <w:rFonts w:hint="eastAsia" w:ascii="宋体" w:hAnsi="宋体"/>
                <w:sz w:val="24"/>
              </w:rPr>
              <w:t>）</w:t>
            </w:r>
          </w:p>
          <w:p>
            <w:pPr>
              <w:ind w:firstLine="444" w:firstLineChars="200"/>
              <w:rPr>
                <w:rFonts w:ascii="宋体" w:hAnsi="宋体"/>
                <w:sz w:val="28"/>
                <w:szCs w:val="28"/>
              </w:rPr>
            </w:pPr>
            <w:r>
              <w:rPr>
                <w:rFonts w:hint="eastAsia" w:ascii="宋体" w:hAnsi="宋体"/>
                <w:sz w:val="24"/>
              </w:rPr>
              <w:t xml:space="preserve"> </w:t>
            </w:r>
            <w:r>
              <w:rPr>
                <w:rFonts w:hint="eastAsia" w:ascii="宋体" w:hAnsi="宋体"/>
                <w:sz w:val="28"/>
                <w:szCs w:val="28"/>
              </w:rPr>
              <w:t>食品生产许可服务规范</w:t>
            </w:r>
            <w:r>
              <w:rPr>
                <w:rFonts w:ascii="宋体" w:hAnsi="宋体"/>
                <w:sz w:val="28"/>
                <w:szCs w:val="28"/>
              </w:rPr>
              <w:t xml:space="preserve">经过立项审核、专家论证和网上公示等程序，被枣庄市市场监督管理局列入2022年枣庄市地方标准计划项目，牵头起草人和主要起草人利用产业优势，积极提供技术支撑和样本数据，主要开展了以下工作：        </w:t>
            </w:r>
          </w:p>
          <w:p>
            <w:pPr>
              <w:rPr>
                <w:rFonts w:ascii="宋体" w:hAnsi="宋体"/>
                <w:sz w:val="28"/>
                <w:szCs w:val="28"/>
              </w:rPr>
            </w:pPr>
            <w:r>
              <w:rPr>
                <w:rFonts w:ascii="宋体" w:hAnsi="宋体"/>
                <w:sz w:val="28"/>
                <w:szCs w:val="28"/>
              </w:rPr>
              <w:t>（一）调研征求意见阶段。到市、区（市）市场监管部门、审批服务部门调研食品生产许可工作情况，以申请人身份办理业务“走流程”，查阅许可档案资料，与个别业务骨干谈话了解工作情况，征求意见建议。同时征求了生产企业、监管部门及相关人员、有关行业组织意见。</w:t>
            </w:r>
          </w:p>
          <w:p>
            <w:pPr>
              <w:rPr>
                <w:rFonts w:hint="eastAsia" w:ascii="宋体" w:hAnsi="宋体"/>
                <w:sz w:val="24"/>
              </w:rPr>
            </w:pPr>
            <w:r>
              <w:rPr>
                <w:rFonts w:ascii="宋体" w:hAnsi="宋体"/>
                <w:sz w:val="28"/>
                <w:szCs w:val="28"/>
              </w:rPr>
              <w:t>（二）标准草案制定发布阶段。组织技术力量以集中研讨等方式拟定标准草案，报市市场监督管理局、市标准化协会等部门征求意见。</w:t>
            </w:r>
            <w:r>
              <w:rPr>
                <w:rFonts w:hint="eastAsia" w:ascii="宋体" w:hAnsi="宋体"/>
                <w:sz w:val="28"/>
                <w:szCs w:val="28"/>
                <w:lang w:eastAsia="zh-CN"/>
              </w:rPr>
              <w:t>通过发函和在枣庄市行政审批服务局官网</w:t>
            </w:r>
            <w:r>
              <w:rPr>
                <w:rFonts w:ascii="宋体" w:hAnsi="宋体"/>
                <w:sz w:val="28"/>
                <w:szCs w:val="28"/>
              </w:rPr>
              <w:t>对外发出征求意见，收回意见5份，经过沟通交流，</w:t>
            </w:r>
            <w:r>
              <w:rPr>
                <w:rFonts w:hint="eastAsia" w:ascii="宋体" w:hAnsi="宋体"/>
                <w:sz w:val="28"/>
                <w:szCs w:val="28"/>
                <w:lang w:val="en-US" w:eastAsia="zh-CN"/>
              </w:rPr>
              <w:t>就标准草案反馈得到的意见反复讨论，逐一完善，</w:t>
            </w:r>
            <w:r>
              <w:rPr>
                <w:rFonts w:hint="eastAsia" w:ascii="宋体" w:hAnsi="宋体"/>
                <w:sz w:val="28"/>
                <w:szCs w:val="28"/>
                <w:lang w:eastAsia="zh-CN"/>
              </w:rPr>
              <w:t>采</w:t>
            </w:r>
            <w:r>
              <w:rPr>
                <w:rFonts w:ascii="宋体" w:hAnsi="宋体"/>
                <w:sz w:val="28"/>
                <w:szCs w:val="28"/>
              </w:rPr>
              <w:t>用4项</w:t>
            </w:r>
            <w:r>
              <w:rPr>
                <w:rFonts w:hint="eastAsia" w:ascii="宋体" w:hAnsi="宋体"/>
                <w:sz w:val="28"/>
                <w:szCs w:val="28"/>
                <w:lang w:eastAsia="zh-CN"/>
              </w:rPr>
              <w:t>，</w:t>
            </w:r>
            <w:r>
              <w:rPr>
                <w:rFonts w:ascii="宋体" w:hAnsi="宋体"/>
                <w:sz w:val="28"/>
                <w:szCs w:val="28"/>
              </w:rPr>
              <w:t>其余均达成一致。</w:t>
            </w:r>
          </w:p>
          <w:p>
            <w:pPr>
              <w:spacing w:before="146" w:beforeLines="50"/>
              <w:rPr>
                <w:rFonts w:hint="eastAsia" w:ascii="宋体" w:hAnsi="宋体"/>
                <w:sz w:val="24"/>
              </w:rPr>
            </w:pPr>
          </w:p>
          <w:p>
            <w:pPr>
              <w:spacing w:before="146" w:beforeLines="50"/>
              <w:rPr>
                <w:rFonts w:hint="eastAsia" w:ascii="宋体" w:hAnsi="宋体"/>
                <w:sz w:val="24"/>
              </w:rPr>
            </w:pPr>
          </w:p>
          <w:p>
            <w:pPr>
              <w:spacing w:before="146" w:beforeLines="50"/>
              <w:rPr>
                <w:rFonts w:hint="eastAsia" w:ascii="宋体" w:hAnsi="宋体"/>
                <w:sz w:val="24"/>
              </w:rPr>
            </w:pPr>
          </w:p>
          <w:p>
            <w:pPr>
              <w:spacing w:before="292" w:beforeLines="10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8" w:hRule="atLeast"/>
        </w:trPr>
        <w:tc>
          <w:tcPr>
            <w:tcW w:w="9224" w:type="dxa"/>
            <w:gridSpan w:val="2"/>
            <w:tcBorders>
              <w:top w:val="single" w:color="auto" w:sz="4" w:space="0"/>
              <w:left w:val="single" w:color="auto" w:sz="4" w:space="0"/>
              <w:bottom w:val="single" w:color="auto" w:sz="4" w:space="0"/>
              <w:right w:val="single" w:color="auto" w:sz="4" w:space="0"/>
            </w:tcBorders>
            <w:vAlign w:val="top"/>
          </w:tcPr>
          <w:p>
            <w:pPr>
              <w:spacing w:before="292" w:beforeLines="100" w:line="360" w:lineRule="auto"/>
              <w:rPr>
                <w:rFonts w:hint="eastAsia" w:ascii="宋体" w:hAnsi="宋体"/>
                <w:sz w:val="24"/>
              </w:rPr>
            </w:pPr>
            <w:r>
              <w:rPr>
                <w:rFonts w:hint="eastAsia" w:ascii="宋体" w:hAnsi="宋体"/>
                <w:sz w:val="24"/>
              </w:rPr>
              <w:t>三、地方</w:t>
            </w:r>
            <w:r>
              <w:rPr>
                <w:rFonts w:ascii="宋体" w:hAnsi="宋体"/>
                <w:sz w:val="24"/>
              </w:rPr>
              <w:t>标准编制原则和确定地方标准主要内容的依据</w:t>
            </w:r>
            <w:r>
              <w:rPr>
                <w:rFonts w:hint="eastAsia" w:ascii="宋体" w:hAnsi="宋体"/>
                <w:sz w:val="24"/>
              </w:rPr>
              <w:t>（</w:t>
            </w:r>
            <w:r>
              <w:rPr>
                <w:rFonts w:ascii="宋体" w:hAnsi="宋体"/>
                <w:sz w:val="24"/>
              </w:rPr>
              <w:t>地方标准修订项目，应当列出和原标准主要差异情况</w:t>
            </w:r>
            <w:r>
              <w:rPr>
                <w:rFonts w:hint="eastAsia" w:ascii="宋体" w:hAnsi="宋体"/>
                <w:sz w:val="24"/>
              </w:rPr>
              <w:t>）</w:t>
            </w:r>
          </w:p>
          <w:p>
            <w:pPr>
              <w:ind w:firstLine="645"/>
              <w:rPr>
                <w:rFonts w:hint="eastAsia" w:ascii="方正仿宋简体" w:eastAsia="宋体"/>
                <w:sz w:val="28"/>
                <w:szCs w:val="28"/>
                <w:lang w:eastAsia="zh-CN"/>
              </w:rPr>
            </w:pPr>
            <w:r>
              <w:rPr>
                <w:rFonts w:ascii="方正仿宋简体" w:hAnsi="方正仿宋简体"/>
                <w:sz w:val="28"/>
                <w:szCs w:val="28"/>
              </w:rPr>
              <w:t>该地方标准的编写内容与格式严格按照</w:t>
            </w:r>
            <w:r>
              <w:rPr>
                <w:rFonts w:ascii="方正仿宋简体"/>
                <w:sz w:val="28"/>
                <w:szCs w:val="28"/>
              </w:rPr>
              <w:t>GB/T 1.1-2020《标准化工作导则 第1部分：标准化文件的结构和起草规则》的要求进行，主要遵循了先进性、协调性、实用性原则。</w:t>
            </w:r>
          </w:p>
          <w:p>
            <w:pPr>
              <w:ind w:firstLine="645"/>
              <w:rPr>
                <w:rFonts w:hint="eastAsia" w:ascii="方正仿宋简体" w:eastAsia="宋体"/>
                <w:sz w:val="28"/>
                <w:szCs w:val="28"/>
                <w:lang w:eastAsia="zh-CN"/>
              </w:rPr>
            </w:pPr>
            <w:r>
              <w:rPr>
                <w:rFonts w:hint="eastAsia" w:ascii="方正仿宋简体"/>
                <w:sz w:val="28"/>
                <w:szCs w:val="28"/>
                <w:lang w:eastAsia="zh-CN"/>
              </w:rPr>
              <w:t>该地方标准主要内容的依据为《食品生产许可管理办法》（</w:t>
            </w:r>
            <w:r>
              <w:rPr>
                <w:rFonts w:hint="eastAsia" w:ascii="方正仿宋简体"/>
                <w:sz w:val="28"/>
                <w:szCs w:val="28"/>
                <w:lang w:val="en-US" w:eastAsia="zh-CN"/>
              </w:rPr>
              <w:t>2020年1月2日国家市场监督管理总局令第24号公布</w:t>
            </w:r>
            <w:r>
              <w:rPr>
                <w:rFonts w:hint="eastAsia" w:ascii="方正仿宋简体"/>
                <w:sz w:val="28"/>
                <w:szCs w:val="28"/>
                <w:lang w:eastAsia="zh-CN"/>
              </w:rPr>
              <w:t>），</w:t>
            </w:r>
            <w:r>
              <w:rPr>
                <w:rFonts w:hint="eastAsia" w:ascii="方正仿宋简体"/>
                <w:sz w:val="28"/>
                <w:szCs w:val="28"/>
                <w:lang w:val="en-US" w:eastAsia="zh-CN"/>
              </w:rPr>
              <w:t>《食品生产许可审查通则（2022版）》。</w:t>
            </w:r>
          </w:p>
          <w:p>
            <w:pPr>
              <w:spacing w:before="292" w:beforeLines="10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7" w:hRule="atLeast"/>
        </w:trPr>
        <w:tc>
          <w:tcPr>
            <w:tcW w:w="9224" w:type="dxa"/>
            <w:gridSpan w:val="2"/>
            <w:tcBorders>
              <w:top w:val="single" w:color="auto" w:sz="4" w:space="0"/>
              <w:left w:val="single" w:color="auto" w:sz="4" w:space="0"/>
              <w:bottom w:val="single" w:color="auto" w:sz="4" w:space="0"/>
              <w:right w:val="single" w:color="auto" w:sz="4" w:space="0"/>
            </w:tcBorders>
            <w:vAlign w:val="top"/>
          </w:tcPr>
          <w:p>
            <w:pPr>
              <w:spacing w:before="292" w:beforeLines="100" w:line="360" w:lineRule="auto"/>
              <w:rPr>
                <w:rFonts w:hint="eastAsia" w:ascii="宋体" w:hAnsi="宋体"/>
                <w:sz w:val="24"/>
              </w:rPr>
            </w:pPr>
            <w:r>
              <w:rPr>
                <w:rFonts w:hint="eastAsia" w:ascii="宋体" w:hAnsi="宋体"/>
                <w:sz w:val="24"/>
              </w:rPr>
              <w:t>四、</w:t>
            </w:r>
            <w:r>
              <w:rPr>
                <w:rFonts w:ascii="宋体" w:hAnsi="宋体"/>
                <w:sz w:val="24"/>
              </w:rPr>
              <w:t>主要试验（或验证）的分析报告、相关技术和经济影响论证</w:t>
            </w:r>
          </w:p>
          <w:p>
            <w:pPr>
              <w:rPr>
                <w:sz w:val="28"/>
                <w:szCs w:val="28"/>
              </w:rPr>
            </w:pPr>
            <w:r>
              <w:rPr>
                <w:rFonts w:hint="eastAsia" w:ascii="宋体" w:hAnsi="宋体"/>
                <w:sz w:val="24"/>
              </w:rPr>
              <w:t xml:space="preserve">    </w:t>
            </w:r>
            <w:bookmarkStart w:id="0" w:name="_GoBack"/>
            <w:bookmarkEnd w:id="0"/>
          </w:p>
          <w:p>
            <w:pPr>
              <w:spacing w:before="292" w:beforeLines="10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24" w:type="dxa"/>
            <w:gridSpan w:val="2"/>
            <w:tcBorders>
              <w:top w:val="single" w:color="auto" w:sz="4" w:space="0"/>
              <w:left w:val="single" w:color="auto" w:sz="4" w:space="0"/>
              <w:bottom w:val="single" w:color="auto" w:sz="4" w:space="0"/>
              <w:right w:val="single" w:color="auto" w:sz="4" w:space="0"/>
            </w:tcBorders>
            <w:vAlign w:val="top"/>
          </w:tcPr>
          <w:p>
            <w:pPr>
              <w:spacing w:before="292" w:beforeLines="100" w:line="360" w:lineRule="auto"/>
              <w:rPr>
                <w:rFonts w:hint="eastAsia" w:ascii="宋体" w:hAnsi="宋体"/>
                <w:sz w:val="24"/>
              </w:rPr>
            </w:pPr>
            <w:r>
              <w:rPr>
                <w:rFonts w:hint="eastAsia" w:ascii="宋体" w:hAnsi="宋体"/>
                <w:sz w:val="24"/>
              </w:rPr>
              <w:t>五、</w:t>
            </w:r>
            <w:r>
              <w:rPr>
                <w:rFonts w:ascii="宋体" w:hAnsi="宋体"/>
                <w:sz w:val="24"/>
              </w:rPr>
              <w:t>国内外</w:t>
            </w:r>
            <w:r>
              <w:rPr>
                <w:rFonts w:hint="eastAsia" w:ascii="宋体" w:hAnsi="宋体"/>
                <w:sz w:val="24"/>
              </w:rPr>
              <w:t>及省内</w:t>
            </w:r>
            <w:r>
              <w:rPr>
                <w:rFonts w:ascii="宋体" w:hAnsi="宋体"/>
                <w:sz w:val="24"/>
              </w:rPr>
              <w:t>现行相关法律、法规和强制性国家标准的情况</w:t>
            </w:r>
          </w:p>
          <w:p>
            <w:pPr>
              <w:rPr>
                <w:sz w:val="28"/>
                <w:szCs w:val="28"/>
              </w:rPr>
            </w:pPr>
            <w:r>
              <w:rPr>
                <w:rFonts w:hint="eastAsia" w:ascii="宋体" w:hAnsi="宋体"/>
                <w:sz w:val="24"/>
              </w:rPr>
              <w:t xml:space="preserve">     </w:t>
            </w:r>
            <w:r>
              <w:rPr>
                <w:rFonts w:ascii="方正仿宋简体" w:hAnsi="方正仿宋简体"/>
                <w:sz w:val="28"/>
                <w:szCs w:val="28"/>
              </w:rPr>
              <w:t>只有《食品安全法》《行政许可法》《食品生产许可管理办法》《食品生产许可审查通则》等法律、国家局规章、通知等规范性文件，无相关国家标准、行业标准等相关标准。</w:t>
            </w:r>
          </w:p>
          <w:p>
            <w:pPr>
              <w:spacing w:before="292" w:beforeLines="100" w:line="360" w:lineRule="auto"/>
              <w:rPr>
                <w:rFonts w:hint="eastAsia" w:ascii="宋体" w:hAnsi="宋体"/>
                <w:sz w:val="24"/>
              </w:rPr>
            </w:pPr>
          </w:p>
          <w:p>
            <w:pPr>
              <w:spacing w:before="292" w:beforeLines="100" w:line="360" w:lineRule="auto"/>
              <w:rPr>
                <w:rFonts w:hint="eastAsia" w:ascii="宋体" w:hAnsi="宋体"/>
                <w:sz w:val="24"/>
              </w:rPr>
            </w:pPr>
          </w:p>
          <w:p>
            <w:pPr>
              <w:spacing w:before="292" w:beforeLines="100" w:line="360" w:lineRule="auto"/>
              <w:rPr>
                <w:rFonts w:hint="eastAsia" w:ascii="宋体" w:hAnsi="宋体"/>
                <w:sz w:val="24"/>
              </w:rPr>
            </w:pPr>
          </w:p>
          <w:p>
            <w:pPr>
              <w:spacing w:before="292" w:beforeLines="100" w:line="360" w:lineRule="auto"/>
              <w:rPr>
                <w:rFonts w:hint="eastAsia" w:ascii="宋体" w:hAnsi="宋体"/>
                <w:sz w:val="24"/>
              </w:rPr>
            </w:pPr>
          </w:p>
          <w:p>
            <w:pPr>
              <w:spacing w:before="292" w:beforeLines="100" w:line="360" w:lineRule="auto"/>
              <w:rPr>
                <w:rFonts w:hint="eastAsia" w:ascii="宋体" w:hAnsi="宋体"/>
                <w:sz w:val="24"/>
              </w:rPr>
            </w:pPr>
          </w:p>
          <w:p>
            <w:pPr>
              <w:spacing w:before="292" w:beforeLines="10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24" w:type="dxa"/>
            <w:gridSpan w:val="2"/>
            <w:tcBorders>
              <w:top w:val="single" w:color="auto" w:sz="4" w:space="0"/>
              <w:left w:val="single" w:color="auto" w:sz="4" w:space="0"/>
              <w:bottom w:val="single" w:color="auto" w:sz="4" w:space="0"/>
              <w:right w:val="single" w:color="auto" w:sz="4" w:space="0"/>
            </w:tcBorders>
            <w:vAlign w:val="top"/>
          </w:tcPr>
          <w:p>
            <w:pPr>
              <w:spacing w:before="292" w:beforeLines="100" w:line="360" w:lineRule="auto"/>
              <w:rPr>
                <w:rFonts w:hint="eastAsia" w:ascii="宋体" w:hAnsi="宋体"/>
                <w:sz w:val="24"/>
              </w:rPr>
            </w:pPr>
            <w:r>
              <w:rPr>
                <w:rFonts w:hint="eastAsia" w:ascii="宋体" w:hAnsi="宋体"/>
                <w:sz w:val="24"/>
              </w:rPr>
              <w:t>六、</w:t>
            </w:r>
            <w:r>
              <w:rPr>
                <w:rFonts w:ascii="宋体" w:hAnsi="宋体"/>
                <w:sz w:val="24"/>
              </w:rPr>
              <w:t>重大意见分歧的处理依据和结果</w:t>
            </w:r>
          </w:p>
          <w:p>
            <w:pPr>
              <w:spacing w:line="400" w:lineRule="exact"/>
              <w:ind w:firstLine="444" w:firstLineChars="200"/>
              <w:rPr>
                <w:rFonts w:ascii="方正仿宋简体" w:hAnsi="方正仿宋简体"/>
                <w:sz w:val="28"/>
                <w:szCs w:val="28"/>
              </w:rPr>
            </w:pPr>
            <w:r>
              <w:rPr>
                <w:rFonts w:hint="eastAsia" w:ascii="宋体" w:hAnsi="宋体"/>
                <w:sz w:val="24"/>
              </w:rPr>
              <w:t xml:space="preserve"> </w:t>
            </w:r>
            <w:r>
              <w:rPr>
                <w:rFonts w:ascii="方正仿宋简体" w:hAnsi="方正仿宋简体"/>
                <w:sz w:val="28"/>
                <w:szCs w:val="28"/>
              </w:rPr>
              <w:t>在标准立项和起草阶段，向市、区（市）市场监管部门、审批服务部门、食品生产企业、枣庄市市场监管综合服务中心等单位和机构征集了意见，部分修改意见纳入标准文本，</w:t>
            </w:r>
            <w:r>
              <w:rPr>
                <w:rFonts w:hint="eastAsia" w:ascii="方正仿宋简体" w:hAnsi="方正仿宋简体"/>
                <w:sz w:val="28"/>
                <w:szCs w:val="28"/>
                <w:lang w:val="en-US" w:eastAsia="zh-CN"/>
              </w:rPr>
              <w:t>经充分</w:t>
            </w:r>
            <w:r>
              <w:rPr>
                <w:rFonts w:ascii="方正仿宋简体" w:hAnsi="方正仿宋简体"/>
                <w:sz w:val="28"/>
                <w:szCs w:val="28"/>
              </w:rPr>
              <w:t>沟通，</w:t>
            </w:r>
            <w:r>
              <w:rPr>
                <w:rFonts w:hint="eastAsia" w:ascii="方正仿宋简体" w:hAnsi="方正仿宋简体"/>
                <w:sz w:val="28"/>
                <w:szCs w:val="28"/>
                <w:lang w:val="en-US" w:eastAsia="zh-CN"/>
              </w:rPr>
              <w:t>无重大意见分歧</w:t>
            </w:r>
            <w:r>
              <w:rPr>
                <w:rFonts w:ascii="方正仿宋简体" w:hAnsi="方正仿宋简体"/>
                <w:sz w:val="28"/>
                <w:szCs w:val="28"/>
              </w:rPr>
              <w:t>。</w:t>
            </w:r>
          </w:p>
          <w:p>
            <w:pPr>
              <w:spacing w:line="400" w:lineRule="exact"/>
              <w:ind w:firstLine="524" w:firstLineChars="200"/>
              <w:rPr>
                <w:rFonts w:ascii="方正仿宋简体" w:hAnsi="方正仿宋简体"/>
                <w:sz w:val="28"/>
                <w:szCs w:val="28"/>
              </w:rPr>
            </w:pPr>
          </w:p>
          <w:p>
            <w:pPr>
              <w:spacing w:line="400" w:lineRule="exact"/>
              <w:ind w:firstLine="524" w:firstLineChars="200"/>
              <w:rPr>
                <w:rFonts w:ascii="方正仿宋简体" w:hAnsi="方正仿宋简体"/>
                <w:sz w:val="28"/>
                <w:szCs w:val="28"/>
              </w:rPr>
            </w:pPr>
          </w:p>
          <w:p>
            <w:pPr>
              <w:spacing w:line="400" w:lineRule="exact"/>
              <w:ind w:firstLine="524" w:firstLineChars="200"/>
              <w:rPr>
                <w:rFonts w:ascii="方正仿宋简体" w:hAnsi="方正仿宋简体"/>
                <w:sz w:val="28"/>
                <w:szCs w:val="28"/>
              </w:rPr>
            </w:pPr>
          </w:p>
          <w:p>
            <w:pPr>
              <w:spacing w:line="400" w:lineRule="exact"/>
              <w:ind w:firstLine="524" w:firstLineChars="200"/>
              <w:rPr>
                <w:rFonts w:ascii="方正仿宋简体" w:hAnsi="方正仿宋简体"/>
                <w:sz w:val="28"/>
                <w:szCs w:val="28"/>
              </w:rPr>
            </w:pPr>
          </w:p>
          <w:p>
            <w:pPr>
              <w:spacing w:before="292" w:beforeLines="10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 w:type="dxa"/>
          <w:trHeight w:val="5246" w:hRule="atLeast"/>
        </w:trPr>
        <w:tc>
          <w:tcPr>
            <w:tcW w:w="9180" w:type="dxa"/>
            <w:vAlign w:val="top"/>
          </w:tcPr>
          <w:p>
            <w:pPr>
              <w:spacing w:line="400" w:lineRule="exact"/>
              <w:rPr>
                <w:rFonts w:hint="eastAsia" w:ascii="方正仿宋简体" w:hAnsi="方正仿宋简体"/>
                <w:sz w:val="28"/>
                <w:szCs w:val="28"/>
              </w:rPr>
            </w:pPr>
            <w:r>
              <w:rPr>
                <w:rFonts w:hint="eastAsia" w:ascii="宋体" w:hAnsi="宋体"/>
                <w:sz w:val="24"/>
              </w:rPr>
              <w:t>七、</w:t>
            </w:r>
            <w:r>
              <w:rPr>
                <w:rFonts w:ascii="宋体" w:hAnsi="宋体"/>
                <w:sz w:val="24"/>
              </w:rPr>
              <w:t>预期的社会经济效益及贯彻实施标准的要求、措施等建议</w:t>
            </w:r>
          </w:p>
          <w:p>
            <w:pPr>
              <w:ind w:firstLine="522" w:firstLineChars="199"/>
              <w:rPr>
                <w:rFonts w:hint="eastAsia" w:ascii="宋体" w:hAnsi="宋体"/>
                <w:sz w:val="24"/>
              </w:rPr>
            </w:pPr>
            <w:r>
              <w:rPr>
                <w:rFonts w:ascii="方正仿宋简体" w:hAnsi="方正仿宋简体"/>
                <w:sz w:val="28"/>
                <w:szCs w:val="28"/>
              </w:rPr>
              <w:t>以制定工作规范为契机，</w:t>
            </w:r>
            <w:r>
              <w:rPr>
                <w:rFonts w:hint="eastAsia" w:ascii="方正仿宋简体" w:hAnsi="方正仿宋简体"/>
                <w:sz w:val="28"/>
                <w:szCs w:val="28"/>
                <w:lang w:val="en-US" w:eastAsia="zh-CN"/>
              </w:rPr>
              <w:t>进一步深化</w:t>
            </w:r>
            <w:r>
              <w:rPr>
                <w:rFonts w:ascii="方正仿宋简体" w:hAnsi="方正仿宋简体"/>
                <w:sz w:val="28"/>
                <w:szCs w:val="28"/>
              </w:rPr>
              <w:t>“市县同权”</w:t>
            </w:r>
            <w:r>
              <w:rPr>
                <w:rFonts w:hint="eastAsia" w:ascii="方正仿宋简体" w:hAnsi="方正仿宋简体"/>
                <w:sz w:val="28"/>
                <w:szCs w:val="28"/>
                <w:lang w:eastAsia="zh-CN"/>
              </w:rPr>
              <w:t>“</w:t>
            </w:r>
            <w:r>
              <w:rPr>
                <w:rFonts w:hint="eastAsia" w:ascii="方正仿宋简体" w:hAnsi="方正仿宋简体"/>
                <w:sz w:val="28"/>
                <w:szCs w:val="28"/>
                <w:lang w:val="en-US" w:eastAsia="zh-CN"/>
              </w:rPr>
              <w:t>证照分离</w:t>
            </w:r>
            <w:r>
              <w:rPr>
                <w:rFonts w:hint="eastAsia" w:ascii="方正仿宋简体" w:hAnsi="方正仿宋简体"/>
                <w:sz w:val="28"/>
                <w:szCs w:val="28"/>
                <w:lang w:eastAsia="zh-CN"/>
              </w:rPr>
              <w:t>”</w:t>
            </w:r>
            <w:r>
              <w:rPr>
                <w:rFonts w:ascii="方正仿宋简体" w:hAnsi="方正仿宋简体"/>
                <w:sz w:val="28"/>
                <w:szCs w:val="28"/>
              </w:rPr>
              <w:t>“跨域通办”</w:t>
            </w:r>
            <w:r>
              <w:rPr>
                <w:rFonts w:hint="eastAsia" w:ascii="方正仿宋简体" w:hAnsi="方正仿宋简体"/>
                <w:sz w:val="28"/>
                <w:szCs w:val="28"/>
                <w:lang w:val="en-US" w:eastAsia="zh-CN"/>
              </w:rPr>
              <w:t>等改革，</w:t>
            </w:r>
            <w:r>
              <w:rPr>
                <w:rFonts w:ascii="方正仿宋简体"/>
                <w:sz w:val="28"/>
                <w:szCs w:val="28"/>
              </w:rPr>
              <w:t>全面提升各级审批服务工作质效，强化审管互动，持续简化申报材料和程序，优化食品生产许可流程，减轻申请人负担，提升食品质量安全保证能力，推进食品加工业健康发展，服务“工业强市产业兴市”战略。</w:t>
            </w:r>
          </w:p>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ascii="方正仿宋简体" w:hAnsi="方正仿宋简体"/>
                <w:sz w:val="28"/>
                <w:szCs w:val="28"/>
              </w:rPr>
              <w:t>一是制定实施方案，召开宣贯培训会议，全面落实各项措施，促进食品生产许可规范化；二是分区域组织召开研讨会，解决地方标准实施遇到的困难和问题，统一解决思路，化解矛盾和问题，推进食品生产许可标准化提升；三是加强调研督导和检查指导，通过调研、暗访、走流程等方式了解地方标准执行情况，总结经验，树立典型，发现不足，适时进行通报，鼓励创先争优</w:t>
            </w:r>
            <w:r>
              <w:rPr>
                <w:rFonts w:hint="eastAsia" w:ascii="方正仿宋简体" w:hAnsi="方正仿宋简体"/>
                <w:sz w:val="28"/>
                <w:szCs w:val="28"/>
                <w:highlight w:val="none"/>
                <w:lang w:eastAsia="zh-CN"/>
              </w:rPr>
              <w:t>；</w:t>
            </w:r>
            <w:r>
              <w:rPr>
                <w:rFonts w:ascii="方正仿宋简体" w:hAnsi="方正仿宋简体"/>
                <w:sz w:val="28"/>
                <w:szCs w:val="28"/>
              </w:rPr>
              <w:t>四是收集新要求新规范，听取企业群众意见建议，结合实际修订完善标准内容，提升审批服务质效和社会满意度。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 w:type="dxa"/>
          <w:trHeight w:val="5656" w:hRule="atLeast"/>
        </w:trPr>
        <w:tc>
          <w:tcPr>
            <w:tcW w:w="9180" w:type="dxa"/>
            <w:vAlign w:val="top"/>
          </w:tcPr>
          <w:p>
            <w:pPr>
              <w:spacing w:before="292" w:beforeLines="100" w:line="400" w:lineRule="exact"/>
              <w:rPr>
                <w:rFonts w:hint="eastAsia" w:ascii="宋体" w:hAnsi="宋体"/>
                <w:sz w:val="24"/>
              </w:rPr>
            </w:pPr>
            <w:r>
              <w:rPr>
                <w:rFonts w:hint="eastAsia" w:ascii="宋体" w:hAnsi="宋体"/>
                <w:sz w:val="24"/>
              </w:rPr>
              <w:t>八、申报单位意见</w:t>
            </w: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jc w:val="right"/>
              <w:rPr>
                <w:rFonts w:hint="eastAsia" w:ascii="宋体" w:hAnsi="宋体"/>
                <w:sz w:val="24"/>
              </w:rPr>
            </w:pPr>
          </w:p>
          <w:p>
            <w:pPr>
              <w:spacing w:line="400" w:lineRule="exact"/>
              <w:jc w:val="right"/>
              <w:rPr>
                <w:rFonts w:hint="eastAsia" w:ascii="宋体" w:hAnsi="宋体"/>
                <w:sz w:val="24"/>
              </w:rPr>
            </w:pPr>
          </w:p>
          <w:p>
            <w:pPr>
              <w:spacing w:line="400" w:lineRule="exact"/>
              <w:jc w:val="right"/>
              <w:rPr>
                <w:rFonts w:hint="eastAsia" w:ascii="宋体" w:hAnsi="宋体"/>
                <w:sz w:val="24"/>
              </w:rPr>
            </w:pPr>
          </w:p>
          <w:p>
            <w:pPr>
              <w:spacing w:line="400" w:lineRule="exact"/>
              <w:ind w:right="846"/>
              <w:jc w:val="right"/>
              <w:rPr>
                <w:rFonts w:hint="eastAsia" w:ascii="宋体" w:hAnsi="宋体"/>
                <w:sz w:val="24"/>
              </w:rPr>
            </w:pPr>
            <w:r>
              <w:rPr>
                <w:rFonts w:hint="eastAsia" w:ascii="宋体" w:hAnsi="宋体"/>
                <w:sz w:val="24"/>
              </w:rPr>
              <w:t>负责人：         （签名、盖公章）</w:t>
            </w:r>
          </w:p>
          <w:p>
            <w:pPr>
              <w:spacing w:before="292" w:beforeLines="100" w:line="400" w:lineRule="exact"/>
              <w:ind w:firstLine="4385" w:firstLineChars="1975"/>
              <w:rPr>
                <w:rFonts w:hint="eastAsia" w:ascii="宋体" w:hAnsi="宋体"/>
                <w:sz w:val="24"/>
              </w:rPr>
            </w:pPr>
            <w:r>
              <w:rPr>
                <w:rFonts w:hint="eastAsia" w:ascii="宋体" w:hAnsi="宋体"/>
                <w:sz w:val="24"/>
              </w:rPr>
              <w:t>年     月    日</w:t>
            </w:r>
          </w:p>
          <w:p>
            <w:pPr>
              <w:spacing w:line="400" w:lineRule="exact"/>
              <w:rPr>
                <w:rFonts w:hint="eastAsia" w:ascii="宋体" w:hAnsi="宋体"/>
                <w:sz w:val="24"/>
              </w:rPr>
            </w:pPr>
          </w:p>
        </w:tc>
      </w:tr>
    </w:tbl>
    <w:p>
      <w:pPr>
        <w:spacing w:before="292" w:beforeLines="100" w:line="360" w:lineRule="auto"/>
        <w:ind w:right="-92" w:rightChars="-48"/>
        <w:rPr>
          <w:rFonts w:hint="eastAsia"/>
        </w:rPr>
      </w:pPr>
      <w:r>
        <w:rPr>
          <w:rFonts w:hint="eastAsia" w:ascii="方正仿宋简体" w:eastAsia="方正仿宋简体"/>
          <w:sz w:val="24"/>
        </w:rPr>
        <w:t>注：本表填写不下时可另附页。</w:t>
      </w:r>
    </w:p>
    <w:sectPr>
      <w:headerReference r:id="rId3" w:type="default"/>
      <w:footerReference r:id="rId4" w:type="default"/>
      <w:footerReference r:id="rId5" w:type="even"/>
      <w:pgSz w:w="11906" w:h="16838"/>
      <w:pgMar w:top="1701" w:right="1537" w:bottom="1701" w:left="1531" w:header="851" w:footer="1418" w:gutter="0"/>
      <w:cols w:space="720" w:num="1"/>
      <w:docGrid w:type="linesAndChars" w:linePitch="292" w:charSpace="-378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6"/>
        <w:rFonts w:hint="eastAsia" w:ascii="宋体" w:hAnsi="宋体"/>
        <w:sz w:val="28"/>
        <w:szCs w:val="28"/>
      </w:rPr>
    </w:pPr>
    <w:r>
      <w:rPr>
        <w:rStyle w:val="16"/>
        <w:rFonts w:hint="eastAsia"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6</w:t>
    </w:r>
    <w:r>
      <w:rPr>
        <w:rFonts w:ascii="宋体" w:hAnsi="宋体"/>
        <w:sz w:val="28"/>
        <w:szCs w:val="28"/>
      </w:rPr>
      <w:fldChar w:fldCharType="end"/>
    </w:r>
    <w:r>
      <w:rPr>
        <w:rStyle w:val="16"/>
        <w:rFonts w:hint="eastAsia" w:ascii="宋体" w:hAnsi="宋体"/>
        <w:sz w:val="28"/>
        <w:szCs w:val="28"/>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6"/>
      </w:rPr>
    </w:pPr>
    <w:r>
      <w:fldChar w:fldCharType="begin"/>
    </w:r>
    <w:r>
      <w:rPr>
        <w:rStyle w:val="16"/>
      </w:rPr>
      <w:instrText xml:space="preserve">PAGE  </w:instrText>
    </w:r>
    <w:r>
      <w:fldChar w:fldCharType="separate"/>
    </w:r>
    <w:r>
      <w:rPr>
        <w:rStyle w:val="16"/>
      </w:rPr>
      <w:t>4</w:t>
    </w:r>
    <w: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9696770">
    <w:nsid w:val="186B7A02"/>
    <w:multiLevelType w:val="multilevel"/>
    <w:tmpl w:val="186B7A02"/>
    <w:lvl w:ilvl="0" w:tentative="1">
      <w:start w:val="1"/>
      <w:numFmt w:val="decimal"/>
      <w:pStyle w:val="4"/>
      <w:lvlText w:val="(%1) "/>
      <w:lvlJc w:val="left"/>
      <w:pPr>
        <w:tabs>
          <w:tab w:val="left" w:pos="1504"/>
        </w:tabs>
        <w:ind w:left="1504" w:hanging="737"/>
      </w:pPr>
      <w:rPr>
        <w:rFonts w:hint="eastAsia"/>
      </w:rPr>
    </w:lvl>
    <w:lvl w:ilvl="1" w:tentative="1">
      <w:start w:val="1"/>
      <w:numFmt w:val="lowerLetter"/>
      <w:lvlText w:val="%2)"/>
      <w:lvlJc w:val="left"/>
      <w:pPr>
        <w:tabs>
          <w:tab w:val="left" w:pos="1040"/>
        </w:tabs>
        <w:ind w:left="1040" w:hanging="420"/>
      </w:pPr>
    </w:lvl>
    <w:lvl w:ilvl="2" w:tentative="1">
      <w:start w:val="1"/>
      <w:numFmt w:val="lowerRoman"/>
      <w:lvlText w:val="%3."/>
      <w:lvlJc w:val="right"/>
      <w:pPr>
        <w:tabs>
          <w:tab w:val="left" w:pos="1460"/>
        </w:tabs>
        <w:ind w:left="1460" w:hanging="420"/>
      </w:pPr>
    </w:lvl>
    <w:lvl w:ilvl="3" w:tentative="1">
      <w:start w:val="1"/>
      <w:numFmt w:val="decimal"/>
      <w:lvlText w:val="%4."/>
      <w:lvlJc w:val="left"/>
      <w:pPr>
        <w:tabs>
          <w:tab w:val="left" w:pos="1880"/>
        </w:tabs>
        <w:ind w:left="1880" w:hanging="420"/>
      </w:pPr>
    </w:lvl>
    <w:lvl w:ilvl="4" w:tentative="1">
      <w:start w:val="1"/>
      <w:numFmt w:val="lowerLetter"/>
      <w:lvlText w:val="%5)"/>
      <w:lvlJc w:val="left"/>
      <w:pPr>
        <w:tabs>
          <w:tab w:val="left" w:pos="2300"/>
        </w:tabs>
        <w:ind w:left="2300" w:hanging="420"/>
      </w:pPr>
    </w:lvl>
    <w:lvl w:ilvl="5" w:tentative="1">
      <w:start w:val="1"/>
      <w:numFmt w:val="lowerRoman"/>
      <w:lvlText w:val="%6."/>
      <w:lvlJc w:val="right"/>
      <w:pPr>
        <w:tabs>
          <w:tab w:val="left" w:pos="2720"/>
        </w:tabs>
        <w:ind w:left="2720" w:hanging="420"/>
      </w:pPr>
    </w:lvl>
    <w:lvl w:ilvl="6" w:tentative="1">
      <w:start w:val="1"/>
      <w:numFmt w:val="decimal"/>
      <w:lvlText w:val="%7."/>
      <w:lvlJc w:val="left"/>
      <w:pPr>
        <w:tabs>
          <w:tab w:val="left" w:pos="3140"/>
        </w:tabs>
        <w:ind w:left="3140" w:hanging="420"/>
      </w:pPr>
    </w:lvl>
    <w:lvl w:ilvl="7" w:tentative="1">
      <w:start w:val="1"/>
      <w:numFmt w:val="lowerLetter"/>
      <w:lvlText w:val="%8)"/>
      <w:lvlJc w:val="left"/>
      <w:pPr>
        <w:tabs>
          <w:tab w:val="left" w:pos="3560"/>
        </w:tabs>
        <w:ind w:left="3560" w:hanging="420"/>
      </w:pPr>
    </w:lvl>
    <w:lvl w:ilvl="8" w:tentative="1">
      <w:start w:val="1"/>
      <w:numFmt w:val="lowerRoman"/>
      <w:lvlText w:val="%9."/>
      <w:lvlJc w:val="right"/>
      <w:pPr>
        <w:tabs>
          <w:tab w:val="left" w:pos="3980"/>
        </w:tabs>
        <w:ind w:left="3980" w:hanging="420"/>
      </w:pPr>
    </w:lvl>
  </w:abstractNum>
  <w:num w:numId="1">
    <w:abstractNumId w:val="4096967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JkNTRkMDdkNWM2ODM1NDFhNTZjODA0ODUxZTYifQ=="/>
  </w:docVars>
  <w:rsids>
    <w:rsidRoot w:val="00822394"/>
    <w:rsid w:val="0005040C"/>
    <w:rsid w:val="00070EE9"/>
    <w:rsid w:val="00124C39"/>
    <w:rsid w:val="0012654B"/>
    <w:rsid w:val="001D53AC"/>
    <w:rsid w:val="0029237D"/>
    <w:rsid w:val="002A6207"/>
    <w:rsid w:val="002C388A"/>
    <w:rsid w:val="002C5E9C"/>
    <w:rsid w:val="00337D2E"/>
    <w:rsid w:val="00365A23"/>
    <w:rsid w:val="003869A6"/>
    <w:rsid w:val="003A6CBB"/>
    <w:rsid w:val="00603451"/>
    <w:rsid w:val="006342D6"/>
    <w:rsid w:val="00650936"/>
    <w:rsid w:val="006655AA"/>
    <w:rsid w:val="007F1396"/>
    <w:rsid w:val="00822394"/>
    <w:rsid w:val="008472F0"/>
    <w:rsid w:val="0089474D"/>
    <w:rsid w:val="00917CA4"/>
    <w:rsid w:val="00961685"/>
    <w:rsid w:val="009A5602"/>
    <w:rsid w:val="009C46A8"/>
    <w:rsid w:val="009E1205"/>
    <w:rsid w:val="009F66E6"/>
    <w:rsid w:val="00A3107A"/>
    <w:rsid w:val="00A31C77"/>
    <w:rsid w:val="00A354A9"/>
    <w:rsid w:val="00A449A6"/>
    <w:rsid w:val="00A92641"/>
    <w:rsid w:val="00AB3256"/>
    <w:rsid w:val="00AE46B7"/>
    <w:rsid w:val="00AE76D8"/>
    <w:rsid w:val="00B22866"/>
    <w:rsid w:val="00BB50DE"/>
    <w:rsid w:val="00BD6975"/>
    <w:rsid w:val="00C355D4"/>
    <w:rsid w:val="00C90DA8"/>
    <w:rsid w:val="00D87CAE"/>
    <w:rsid w:val="00DD4F9E"/>
    <w:rsid w:val="00E213C1"/>
    <w:rsid w:val="00E51BEF"/>
    <w:rsid w:val="00E84102"/>
    <w:rsid w:val="00EC0F0A"/>
    <w:rsid w:val="00ED32E1"/>
    <w:rsid w:val="00F70033"/>
    <w:rsid w:val="00F969BA"/>
    <w:rsid w:val="040B0163"/>
    <w:rsid w:val="052C05D8"/>
    <w:rsid w:val="0A8F1B29"/>
    <w:rsid w:val="2F0146C4"/>
    <w:rsid w:val="351D63F4"/>
    <w:rsid w:val="40443859"/>
    <w:rsid w:val="44FF1131"/>
    <w:rsid w:val="5CCD24AE"/>
    <w:rsid w:val="6F547FA5"/>
    <w:rsid w:val="7EEA57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20" w:lineRule="exact"/>
      <w:jc w:val="center"/>
      <w:outlineLvl w:val="0"/>
    </w:pPr>
    <w:rPr>
      <w:b/>
      <w:sz w:val="1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numPr>
        <w:ilvl w:val="0"/>
        <w:numId w:val="1"/>
      </w:numPr>
      <w:tabs>
        <w:tab w:val="left" w:pos="1504"/>
      </w:tabs>
      <w:ind w:left="200" w:leftChars="200" w:firstLine="0"/>
      <w:outlineLvl w:val="2"/>
    </w:pPr>
    <w:rPr>
      <w:rFonts w:ascii="Arial" w:hAnsi="Arial"/>
      <w:sz w:val="28"/>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Arial" w:hAnsi="Arial" w:eastAsia="仿宋_GB2312"/>
      <w:sz w:val="30"/>
    </w:rPr>
  </w:style>
  <w:style w:type="paragraph" w:styleId="6">
    <w:name w:val="Body Text"/>
    <w:basedOn w:val="1"/>
    <w:qFormat/>
    <w:uiPriority w:val="0"/>
    <w:pPr>
      <w:spacing w:after="120"/>
    </w:pPr>
  </w:style>
  <w:style w:type="paragraph" w:styleId="7">
    <w:name w:val="Body Text Indent"/>
    <w:basedOn w:val="1"/>
    <w:qFormat/>
    <w:uiPriority w:val="0"/>
    <w:pPr>
      <w:spacing w:before="156" w:beforeLines="50"/>
      <w:ind w:firstLine="640" w:firstLineChars="200"/>
    </w:pPr>
    <w:rPr>
      <w:rFonts w:ascii="仿宋_GB2312" w:eastAsia="仿宋_GB2312"/>
      <w:sz w:val="32"/>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link w:val="24"/>
    <w:qFormat/>
    <w:uiPriority w:val="0"/>
    <w:pPr>
      <w:spacing w:before="240" w:after="60"/>
      <w:jc w:val="center"/>
      <w:outlineLvl w:val="0"/>
    </w:pPr>
    <w:rPr>
      <w:rFonts w:ascii="Arial" w:hAnsi="Arial" w:cs="Arial"/>
      <w:b/>
      <w:bCs/>
    </w:r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
    <w:name w:val="newscontl"/>
    <w:basedOn w:val="1"/>
    <w:qFormat/>
    <w:uiPriority w:val="0"/>
    <w:pPr>
      <w:widowControl/>
      <w:spacing w:before="100" w:beforeAutospacing="1" w:after="100" w:afterAutospacing="1"/>
      <w:ind w:firstLine="480"/>
      <w:jc w:val="left"/>
    </w:pPr>
    <w:rPr>
      <w:rFonts w:hint="eastAsia" w:ascii="宋体" w:hAnsi="宋体"/>
      <w:color w:val="333333"/>
      <w:kern w:val="0"/>
      <w:szCs w:val="21"/>
    </w:rPr>
  </w:style>
  <w:style w:type="paragraph" w:customStyle="1" w:styleId="22">
    <w:name w:val="样式 标题 1 + 首行缩进:  2 字符"/>
    <w:basedOn w:val="2"/>
    <w:qFormat/>
    <w:uiPriority w:val="0"/>
    <w:pPr>
      <w:keepLines/>
      <w:spacing w:before="340" w:after="330" w:line="578" w:lineRule="auto"/>
    </w:pPr>
    <w:rPr>
      <w:rFonts w:eastAsia="华文中宋" w:cs="宋体"/>
      <w:bCs/>
      <w:kern w:val="44"/>
      <w:sz w:val="44"/>
    </w:rPr>
  </w:style>
  <w:style w:type="paragraph" w:customStyle="1" w:styleId="23">
    <w:name w:val="一"/>
    <w:basedOn w:val="14"/>
    <w:next w:val="1"/>
    <w:qFormat/>
    <w:uiPriority w:val="0"/>
  </w:style>
  <w:style w:type="character" w:customStyle="1" w:styleId="24">
    <w:name w:val="标题 Char"/>
    <w:basedOn w:val="15"/>
    <w:link w:val="14"/>
    <w:qFormat/>
    <w:uiPriority w:val="0"/>
    <w:rPr>
      <w:rFonts w:ascii="Arial" w:hAnsi="Arial" w:eastAsia="宋体" w:cs="Arial"/>
      <w:b/>
      <w:bCs/>
      <w:kern w:val="2"/>
      <w:sz w:val="21"/>
      <w:szCs w:val="24"/>
      <w:lang w:val="en-US" w:eastAsia="zh-CN" w:bidi="ar-SA"/>
    </w:rPr>
  </w:style>
  <w:style w:type="character" w:customStyle="1" w:styleId="25">
    <w:name w:val="标题 3 Char"/>
    <w:basedOn w:val="15"/>
    <w:link w:val="4"/>
    <w:qFormat/>
    <w:uiPriority w:val="0"/>
    <w:rPr>
      <w:rFonts w:ascii="Arial" w:hAnsi="Arial" w:eastAsia="宋体"/>
      <w:kern w:val="2"/>
      <w:sz w:val="28"/>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289</Words>
  <Characters>1649</Characters>
  <Lines>13</Lines>
  <Paragraphs>3</Paragraphs>
  <ScaleCrop>false</ScaleCrop>
  <LinksUpToDate>false</LinksUpToDate>
  <CharactersWithSpaces>1935</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2011-01-19T09:33:00Z</dcterms:created>
  <dc:creator>Administrator</dc:creator>
  <cp:lastModifiedBy>Administrator</cp:lastModifiedBy>
  <cp:lastPrinted>2022-12-07T02:15:00Z</cp:lastPrinted>
  <dcterms:modified xsi:type="dcterms:W3CDTF">2023-01-03T01:46:25Z</dcterms:modified>
  <dc:title>地方标准编制说明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9B41EEF78354450A88EEAB603D889E78</vt:lpwstr>
  </property>
</Properties>
</file>