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8"/>
      </w:pPr>
      <w:r>
        <w:rPr>
          <w:rFonts w:hint="eastAsia"/>
        </w:rPr>
        <w:t>ICS</w:t>
      </w:r>
      <w:r>
        <w:rPr>
          <w:rFonts w:hint="eastAsia" w:hAnsi="MS Mincho" w:eastAsia="MS Mincho" w:cs="MS Mincho"/>
        </w:rPr>
        <w:t> </w:t>
      </w:r>
      <w:r>
        <w:rPr>
          <w:rFonts w:hint="eastAsia" w:hAnsi="MS Mincho" w:cs="MS Mincho"/>
        </w:rPr>
        <w:t>03.080.01</w:t>
      </w:r>
    </w:p>
    <w:p>
      <w:pPr>
        <w:pStyle w:val="78"/>
      </w:pPr>
      <w:r>
        <w:rPr>
          <w:rFonts w:hint="eastAsia"/>
          <w:lang w:val="en-US" w:eastAsia="zh-CN"/>
        </w:rPr>
        <w:t xml:space="preserve">CCS </w:t>
      </w:r>
      <w:r>
        <w:rPr>
          <w:rFonts w:hint="eastAsia"/>
        </w:rPr>
        <w:t>A12</w:t>
      </w:r>
    </w:p>
    <w:tbl>
      <w:tblPr>
        <w:tblStyle w:val="3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78"/>
            </w:pPr>
          </w:p>
        </w:tc>
      </w:tr>
    </w:tbl>
    <w:p>
      <w:pPr>
        <w:pStyle w:val="58"/>
      </w:pPr>
      <w:r>
        <w:t>DB</w:t>
      </w:r>
      <w:r>
        <w:rPr>
          <w:rFonts w:hint="eastAsia"/>
        </w:rPr>
        <w:t>3704</w:t>
      </w:r>
    </w:p>
    <w:p>
      <w:pPr>
        <w:pStyle w:val="111"/>
      </w:pPr>
      <w:r>
        <w:rPr>
          <w:rFonts w:hint="eastAsia"/>
        </w:rPr>
        <w:t>枣庄市地方标准</w:t>
      </w:r>
    </w:p>
    <w:p>
      <w:pPr>
        <w:pStyle w:val="112"/>
        <w:wordWrap w:val="0"/>
      </w:pPr>
      <w:r>
        <w:rPr>
          <w:rFonts w:ascii="Times New Roman"/>
        </w:rPr>
        <w:t>DB</w:t>
      </w:r>
      <w:r>
        <w:rPr>
          <w:rFonts w:hint="eastAsia"/>
        </w:rPr>
        <w:t>3704</w:t>
      </w:r>
      <w:r>
        <w:t>/</w:t>
      </w:r>
      <w:r>
        <w:rPr>
          <w:rFonts w:hint="eastAsia"/>
        </w:rPr>
        <w:t>T</w:t>
      </w:r>
      <w:r>
        <w:rPr>
          <w:rFonts w:hint="eastAsia"/>
          <w:lang w:val="en-US" w:eastAsia="zh-CN"/>
        </w:rPr>
        <w:t xml:space="preserve"> 0017</w:t>
      </w:r>
      <w:r>
        <w:rPr>
          <w:rFonts w:hint="eastAsia"/>
        </w:rPr>
        <w:t xml:space="preserve"> </w:t>
      </w:r>
      <w:r>
        <w:t>—</w:t>
      </w:r>
      <w:r>
        <w:rPr>
          <w:rFonts w:hint="eastAsia"/>
        </w:rPr>
        <w:t>2023</w:t>
      </w:r>
    </w:p>
    <w:p>
      <w:pPr>
        <w:pStyle w:val="112"/>
      </w:pPr>
    </w:p>
    <w:p>
      <w:pPr>
        <w:pStyle w:val="112"/>
      </w:pPr>
    </w:p>
    <w:p>
      <w:pPr>
        <w:pStyle w:val="44"/>
      </w:pPr>
      <w:r>
        <w:rPr>
          <w:rFonts w:hint="eastAsia"/>
          <w:color w:val="000000"/>
          <w:szCs w:val="52"/>
        </w:rPr>
        <w:t>食品生产许可服务规范</w:t>
      </w:r>
    </w:p>
    <w:p>
      <w:pPr>
        <w:pStyle w:val="43"/>
      </w:pPr>
    </w:p>
    <w:p>
      <w:pPr>
        <w:pStyle w:val="42"/>
      </w:pPr>
    </w:p>
    <w:tbl>
      <w:tblPr>
        <w:tblStyle w:val="3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69"/>
            </w:pPr>
          </w:p>
        </w:tc>
      </w:tr>
    </w:tbl>
    <w:p>
      <w:pPr>
        <w:pStyle w:val="53"/>
      </w:pPr>
      <w:r>
        <w:rPr>
          <w:rFonts w:hint="eastAsia" w:ascii="黑体"/>
        </w:rPr>
        <w:t>2023</w:t>
      </w:r>
      <w:r>
        <w:t xml:space="preserve"> </w:t>
      </w:r>
      <w:r>
        <w:rPr>
          <w:rFonts w:ascii="黑体"/>
        </w:rPr>
        <w:t>-</w:t>
      </w:r>
      <w:r>
        <w:t xml:space="preserve"> </w:t>
      </w:r>
      <w:r>
        <w:rPr>
          <w:rFonts w:hint="eastAsia" w:ascii="黑体"/>
          <w:lang w:val="en-US" w:eastAsia="zh-CN"/>
        </w:rPr>
        <w:t>04</w:t>
      </w:r>
      <w:r>
        <w:rPr>
          <w:rFonts w:ascii="黑体"/>
        </w:rPr>
        <w:t>-</w:t>
      </w:r>
      <w:r>
        <w:t xml:space="preserve"> </w:t>
      </w:r>
      <w:r>
        <w:rPr>
          <w:rFonts w:hint="eastAsia" w:ascii="黑体"/>
          <w:lang w:val="en-US" w:eastAsia="zh-CN"/>
        </w:rPr>
        <w:t>17</w:t>
      </w:r>
      <w:r>
        <w:rPr>
          <w:rFonts w:hint="eastAsia"/>
        </w:rPr>
        <w:t>发布</w:t>
      </w:r>
      <w:r>
        <w:pict>
          <v:line id="直线 10" o:spid="_x0000_s1026" o:spt="20" style="position:absolute;left:0pt;margin-left:-0.05pt;margin-top:728.5pt;height:0pt;width:481.9pt;mso-position-vertical-relative:page;z-index:251662336;mso-width-relative:page;mso-height-relative:page;"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CWHazzWAAAACwEA&#10;AA8AAAAAAAAAAQAgAAAAOAAAAGRycy9kb3ducmV2LnhtbFBLAQIUABQAAAAIAIdO4kBiwjOOzQEA&#10;AJEDAAAOAAAAAAAAAAEAIAAAADsBAABkcnMvZTJvRG9jLnhtbFBLBQYAAAAABgAGAFkBAAB6BQAA&#10;AAA=&#10;">
            <v:path arrowok="t"/>
            <v:fill focussize="0,0"/>
            <v:stroke/>
            <v:imagedata o:title=""/>
            <o:lock v:ext="edit"/>
            <w10:anchorlock/>
          </v:line>
        </w:pict>
      </w:r>
    </w:p>
    <w:p>
      <w:pPr>
        <w:pStyle w:val="131"/>
      </w:pPr>
      <w:r>
        <w:rPr>
          <w:rFonts w:hint="eastAsia" w:ascii="黑体"/>
        </w:rPr>
        <w:t>2023</w:t>
      </w:r>
      <w:r>
        <w:t xml:space="preserve"> </w:t>
      </w:r>
      <w:r>
        <w:rPr>
          <w:rFonts w:ascii="黑体"/>
        </w:rPr>
        <w:t>-</w:t>
      </w:r>
      <w:r>
        <w:rPr>
          <w:rFonts w:hint="eastAsia" w:ascii="黑体"/>
          <w:lang w:val="en-US" w:eastAsia="zh-CN"/>
        </w:rPr>
        <w:t>05</w:t>
      </w:r>
      <w:r>
        <w:rPr>
          <w:rFonts w:ascii="黑体"/>
        </w:rPr>
        <w:t>-</w:t>
      </w:r>
      <w:r>
        <w:rPr>
          <w:rFonts w:hint="eastAsia" w:ascii="黑体"/>
          <w:lang w:val="en-US" w:eastAsia="zh-CN"/>
        </w:rPr>
        <w:t>17</w:t>
      </w:r>
      <w:r>
        <w:rPr>
          <w:rFonts w:hint="eastAsia"/>
        </w:rPr>
        <w:t>实施</w:t>
      </w:r>
    </w:p>
    <w:p>
      <w:pPr>
        <w:pStyle w:val="130"/>
      </w:pPr>
      <w:bookmarkStart w:id="0" w:name="fm"/>
      <w:r>
        <w:rPr>
          <w:w w:val="100"/>
        </w:rPr>
        <w:pict>
          <v:rect id="BAH" o:spid="_x0000_s1031" o:spt="1" style="position:absolute;left:0pt;margin-left:-41.8pt;margin-top:-705.9pt;height:15.6pt;width:68.25pt;z-index:-251655168;mso-width-relative:page;mso-height-relative:page;" stroked="f" coordsize="21600,21600" o:gfxdata="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M5MDdHbAAAADgEAAA8AAAAAAAAAAQAgAAAAOAAAAGRycy9kb3ducmV2LnhtbFBL&#10;AQIUABQAAAAIAIdO4kBRk9x7pAEAAC8DAAAOAAAAAAAAAAEAIAAAAEABAABkcnMvZTJvRG9jLnht&#10;bFBLBQYAAAAABgAGAFkBAABWBQAAAAA=&#10;">
            <v:path/>
            <v:fill focussize="0,0"/>
            <v:stroke on="f"/>
            <v:imagedata o:title=""/>
            <o:lock v:ext="edit"/>
          </v:rect>
        </w:pict>
      </w:r>
      <w:r>
        <w:rPr>
          <w:w w:val="100"/>
        </w:rPr>
        <w:pict>
          <v:rect id="RQ" o:spid="_x0000_s1030" o:spt="1" style="position:absolute;left:0pt;margin-left:122.55pt;margin-top:-285.45pt;height:20pt;width:150pt;z-index:-251656192;mso-width-relative:page;mso-height-relative:page;" stroked="f" coordsize="21600,21600" o:gfxdata="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Jv21qjYAAAADQEAAA8AAAAAAAAAAQAgAAAAOAAAAGRycy9kb3ducmV2LnhtbFBLAQIUABQAAAAI&#10;AIdO4kDguNDxngEAAC8DAAAOAAAAAAAAAAEAIAAAAD0BAABkcnMvZTJvRG9jLnhtbFBLBQYAAAAA&#10;BgAGAFkBAABNBQAAAAA=&#10;">
            <v:path/>
            <v:fill focussize="0,0"/>
            <v:stroke on="f"/>
            <v:imagedata o:title=""/>
            <o:lock v:ext="edit"/>
            <w10:anchorlock/>
          </v:rect>
        </w:pict>
      </w:r>
      <w:r>
        <w:rPr>
          <w:w w:val="100"/>
        </w:rPr>
        <w:pict>
          <v:rect id="LB" o:spid="_x0000_s1029" o:spt="1" style="position:absolute;left:0pt;margin-left:142.55pt;margin-top:-310.45pt;height:24pt;width:100pt;z-index:-251657216;mso-width-relative:page;mso-height-relative:page;" stroked="f" coordsize="21600,21600" o:gfxdata="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5te7W2QAAAA0BAAAPAAAAAAAAAAEAIAAAADgAAABkcnMvZG93bnJldi54bWxQSwECFAAUAAAA&#10;CACHTuJA5QxP9J4BAAAvAwAADgAAAAAAAAABACAAAAA+AQAAZHJzL2Uyb0RvYy54bWxQSwUGAAAA&#10;AAYABgBZAQAATgUAAAAA&#10;">
            <v:path/>
            <v:fill focussize="0,0"/>
            <v:stroke on="f"/>
            <v:imagedata o:title=""/>
            <o:lock v:ext="edit"/>
          </v:rect>
        </w:pict>
      </w:r>
      <w:r>
        <w:rPr>
          <w:w w:val="100"/>
        </w:rPr>
        <w:pict>
          <v:rect id="DT" o:spid="_x0000_s1028" o:spt="1" style="position:absolute;left:0pt;margin-left:347.55pt;margin-top:-585.45pt;height:18pt;width:90pt;z-index:-251658240;mso-width-relative:page;mso-height-relative:page;" stroked="f" coordsize="21600,21600" o:gfxdata="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38mKEdoAAAAPAQAADwAAAAAAAAABACAAAAA4AAAAZHJzL2Rvd25yZXYueG1sUEsBAhQAFAAA&#10;AAgAh07iQP1SiWWeAQAALwMAAA4AAAAAAAAAAQAgAAAAPwEAAGRycy9lMm9Eb2MueG1sUEsFBgAA&#10;AAAGAAYAWQEAAE8FAAAAAA==&#10;">
            <v:path/>
            <v:fill focussize="0,0"/>
            <v:stroke on="f"/>
            <v:imagedata o:title=""/>
            <o:lock v:ext="edit"/>
          </v:rect>
        </w:pict>
      </w:r>
      <w:r>
        <w:rPr>
          <w:w w:val="100"/>
        </w:rPr>
        <w:pict>
          <v:line id="直线 11" o:spid="_x0000_s1027" o:spt="20" style="position:absolute;left:0pt;margin-left:-36.6pt;margin-top:-552.85pt;height:0pt;width:481.9pt;z-index:251663360;mso-width-relative:page;mso-height-relative:page;" coordsize="21600,21600" o:gfxdata="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DslkaDYAAAA&#10;DwEAAA8AAAAAAAAAAQAgAAAAOAAAAGRycy9kb3ducmV2LnhtbFBLAQIUABQAAAAIAIdO4kCnuCD6&#10;zgEAAJEDAAAOAAAAAAAAAAEAIAAAAD0BAABkcnMvZTJvRG9jLnhtbFBLBQYAAAAABgAGAFkBAAB9&#10;BQAAAAA=&#10;">
            <v:path arrowok="t"/>
            <v:fill focussize="0,0"/>
            <v:stroke/>
            <v:imagedata o:title=""/>
            <o:lock v:ext="edit"/>
          </v:line>
        </w:pict>
      </w:r>
      <w:bookmarkEnd w:id="0"/>
      <w:r>
        <w:rPr>
          <w:rFonts w:hint="eastAsia"/>
        </w:rPr>
        <w:t>枣庄市市场监督管理局</w:t>
      </w:r>
      <w:r>
        <w:t>   </w:t>
      </w:r>
      <w:r>
        <w:rPr>
          <w:rStyle w:val="143"/>
          <w:rFonts w:hint="eastAsia"/>
        </w:rPr>
        <w:t>发布</w:t>
      </w:r>
    </w:p>
    <w:p>
      <w:pPr>
        <w:pStyle w:val="24"/>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720" w:num="1"/>
          <w:docGrid w:type="lines" w:linePitch="312" w:charSpace="0"/>
        </w:sectPr>
      </w:pPr>
    </w:p>
    <w:p>
      <w:pPr>
        <w:pStyle w:val="73"/>
      </w:pPr>
      <w:bookmarkStart w:id="1" w:name="_Toc950"/>
      <w:bookmarkStart w:id="2" w:name="_Toc130285891"/>
      <w:r>
        <w:rPr>
          <w:rFonts w:hint="eastAsia"/>
        </w:rPr>
        <w:t>前</w:t>
      </w:r>
      <w:bookmarkStart w:id="3" w:name="BKQY"/>
      <w:r>
        <w:t>  </w:t>
      </w:r>
      <w:r>
        <w:rPr>
          <w:rFonts w:hint="eastAsia"/>
        </w:rPr>
        <w:t>言</w:t>
      </w:r>
      <w:bookmarkEnd w:id="1"/>
      <w:bookmarkEnd w:id="2"/>
      <w:bookmarkEnd w:id="3"/>
    </w:p>
    <w:p>
      <w:pPr>
        <w:pStyle w:val="24"/>
        <w:ind w:firstLine="425"/>
      </w:pPr>
      <w:r>
        <w:rPr>
          <w:rFonts w:hint="eastAsia"/>
        </w:rPr>
        <w:t>本文件按照GB/T</w:t>
      </w:r>
      <w:r>
        <w:rPr>
          <w:rFonts w:hint="eastAsia"/>
          <w:lang w:val="en-US" w:eastAsia="zh-CN"/>
        </w:rPr>
        <w:t xml:space="preserve"> </w:t>
      </w:r>
      <w:r>
        <w:rPr>
          <w:rFonts w:hint="eastAsia"/>
        </w:rPr>
        <w:t>1.1-2020《标准化工作导则</w:t>
      </w:r>
      <w:r>
        <w:rPr>
          <w:rFonts w:hint="eastAsia"/>
          <w:lang w:val="en-US" w:eastAsia="zh-CN"/>
        </w:rPr>
        <w:t xml:space="preserve"> </w:t>
      </w:r>
      <w:r>
        <w:rPr>
          <w:rFonts w:hint="eastAsia"/>
        </w:rPr>
        <w:t>第1部分：标准化文件的结构和起草规则》的规定起草。</w:t>
      </w:r>
    </w:p>
    <w:p>
      <w:pPr>
        <w:pStyle w:val="24"/>
        <w:ind w:firstLine="425"/>
      </w:pPr>
      <w:r>
        <w:rPr>
          <w:rFonts w:hint="eastAsia"/>
        </w:rPr>
        <w:t>本文件由枣庄市行政审批服务局提出、归口并组织实施。</w:t>
      </w:r>
    </w:p>
    <w:p>
      <w:pPr>
        <w:pStyle w:val="24"/>
        <w:ind w:firstLine="425"/>
      </w:pPr>
      <w:r>
        <w:rPr>
          <w:rFonts w:hint="eastAsia"/>
        </w:rPr>
        <w:t>本文件起草单位：枣庄市行政审批服务局。</w:t>
      </w:r>
    </w:p>
    <w:p>
      <w:pPr>
        <w:pStyle w:val="24"/>
        <w:ind w:firstLine="425"/>
      </w:pPr>
      <w:r>
        <w:rPr>
          <w:rFonts w:hint="eastAsia"/>
        </w:rPr>
        <w:t>本标准主要起草人：甄红梅、任强、李刚、路宁、李朋、张波。</w:t>
      </w:r>
    </w:p>
    <w:p>
      <w:pPr>
        <w:pStyle w:val="24"/>
        <w:ind w:firstLine="425"/>
      </w:pPr>
      <w:r>
        <w:rPr>
          <w:rFonts w:hint="eastAsia"/>
        </w:rPr>
        <w:t>本文件为首次发布。</w:t>
      </w:r>
    </w:p>
    <w:p>
      <w:pPr>
        <w:pStyle w:val="67"/>
        <w:sectPr>
          <w:headerReference r:id="rId9" w:type="default"/>
          <w:footerReference r:id="rId10" w:type="default"/>
          <w:pgSz w:w="11906" w:h="16838"/>
          <w:pgMar w:top="567" w:right="1134" w:bottom="964" w:left="1418" w:header="1418" w:footer="1134" w:gutter="0"/>
          <w:pgNumType w:fmt="upperRoman" w:start="1"/>
          <w:cols w:space="720" w:num="1"/>
          <w:formProt w:val="0"/>
          <w:docGrid w:type="linesAndChars" w:linePitch="312" w:charSpace="530"/>
        </w:sectPr>
      </w:pPr>
    </w:p>
    <w:p>
      <w:pPr>
        <w:pStyle w:val="67"/>
      </w:pPr>
      <w:r>
        <w:rPr>
          <w:rFonts w:hint="eastAsia"/>
        </w:rPr>
        <w:t>食品生产许可服务规范</w:t>
      </w:r>
    </w:p>
    <w:p>
      <w:pPr>
        <w:pStyle w:val="88"/>
        <w:spacing w:before="312" w:after="312"/>
      </w:pPr>
      <w:bookmarkStart w:id="4" w:name="_Toc14704"/>
      <w:bookmarkStart w:id="5" w:name="_Toc130285894"/>
      <w:r>
        <w:rPr>
          <w:rFonts w:hint="eastAsia"/>
        </w:rPr>
        <w:t>范围</w:t>
      </w:r>
      <w:bookmarkEnd w:id="4"/>
      <w:bookmarkEnd w:id="5"/>
    </w:p>
    <w:p>
      <w:pPr>
        <w:pStyle w:val="24"/>
        <w:ind w:firstLine="425"/>
      </w:pPr>
      <w:r>
        <w:rPr>
          <w:rFonts w:hint="eastAsia"/>
        </w:rPr>
        <w:t>本文件规定了食品生产许可的申请主体、申请条件、申请材料提交、办理流程、办理方式、办理时限及办理进度查询等内容。</w:t>
      </w:r>
    </w:p>
    <w:p>
      <w:pPr>
        <w:pStyle w:val="24"/>
        <w:ind w:firstLine="425"/>
      </w:pPr>
      <w:r>
        <w:rPr>
          <w:rFonts w:hint="eastAsia"/>
        </w:rPr>
        <w:t>本文件适用于在本市各级许可机关对企业法人、合伙企业、个人独资企业、个体工商户、农民专业合作组织等，以营业执照载明的主体依法申请食品生产许可而进行的服务规范。</w:t>
      </w:r>
    </w:p>
    <w:p>
      <w:pPr>
        <w:pStyle w:val="88"/>
        <w:spacing w:before="312" w:after="312"/>
      </w:pPr>
      <w:bookmarkStart w:id="6" w:name="_Toc31639"/>
      <w:bookmarkStart w:id="7" w:name="_Toc130285895"/>
      <w:r>
        <w:rPr>
          <w:rFonts w:hint="eastAsia"/>
        </w:rPr>
        <w:t>规范性引用文件</w:t>
      </w:r>
      <w:bookmarkEnd w:id="6"/>
      <w:bookmarkEnd w:id="7"/>
    </w:p>
    <w:p>
      <w:pPr>
        <w:pStyle w:val="24"/>
        <w:ind w:firstLine="4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ind w:firstLine="425"/>
      </w:pPr>
      <w:r>
        <w:rPr>
          <w:rFonts w:hint="eastAsia"/>
        </w:rPr>
        <w:t>中华人民共和国食品安全法</w:t>
      </w:r>
    </w:p>
    <w:p>
      <w:pPr>
        <w:pStyle w:val="24"/>
        <w:ind w:firstLine="425"/>
      </w:pPr>
      <w:r>
        <w:rPr>
          <w:rFonts w:hint="eastAsia"/>
        </w:rPr>
        <w:t>中华人民共和国食品安全法实施条例</w:t>
      </w:r>
    </w:p>
    <w:p>
      <w:pPr>
        <w:pStyle w:val="24"/>
        <w:ind w:firstLine="425"/>
      </w:pPr>
      <w:r>
        <w:rPr>
          <w:rFonts w:hint="eastAsia"/>
        </w:rPr>
        <w:t>中华人民共和国行政许可法</w:t>
      </w:r>
    </w:p>
    <w:p>
      <w:pPr>
        <w:pStyle w:val="24"/>
        <w:ind w:firstLine="425"/>
      </w:pPr>
      <w:r>
        <w:t>食品生产许可管理办法</w:t>
      </w:r>
    </w:p>
    <w:p>
      <w:pPr>
        <w:pStyle w:val="24"/>
        <w:ind w:firstLine="425"/>
      </w:pPr>
      <w:r>
        <w:rPr>
          <w:rFonts w:hint="eastAsia"/>
        </w:rPr>
        <w:t>食品生产许可审查通则</w:t>
      </w:r>
    </w:p>
    <w:p>
      <w:pPr>
        <w:pStyle w:val="88"/>
        <w:spacing w:before="312" w:after="312"/>
      </w:pPr>
      <w:bookmarkStart w:id="8" w:name="_Toc130285896"/>
      <w:bookmarkStart w:id="9" w:name="_Toc29564"/>
      <w:r>
        <w:rPr>
          <w:rFonts w:hint="eastAsia"/>
        </w:rPr>
        <w:t>术语和定义</w:t>
      </w:r>
      <w:bookmarkEnd w:id="8"/>
      <w:bookmarkEnd w:id="9"/>
      <w:r>
        <w:rPr>
          <w:rFonts w:hint="eastAsia"/>
        </w:rPr>
        <w:t xml:space="preserve">                                                                                              </w:t>
      </w:r>
    </w:p>
    <w:p>
      <w:pPr>
        <w:pStyle w:val="46"/>
        <w:numPr>
          <w:ilvl w:val="3"/>
          <w:numId w:val="0"/>
        </w:numPr>
        <w:spacing w:before="156" w:after="156"/>
        <w:rPr>
          <w:rFonts w:ascii="宋体" w:hAnsi="宋体" w:eastAsia="宋体" w:cs="宋体"/>
        </w:rPr>
      </w:pPr>
      <w:r>
        <w:rPr>
          <w:rFonts w:hint="eastAsia" w:ascii="宋体" w:hAnsi="宋体" w:eastAsia="宋体" w:cs="宋体"/>
        </w:rPr>
        <w:t xml:space="preserve">    下列术语和定义适用于本标准。</w:t>
      </w:r>
    </w:p>
    <w:p>
      <w:pPr>
        <w:pStyle w:val="48"/>
        <w:spacing w:before="156" w:after="156"/>
        <w:rPr>
          <w:rFonts w:hint="eastAsia"/>
        </w:rPr>
      </w:pPr>
      <w:bookmarkStart w:id="10" w:name="_Toc130285897"/>
      <w:bookmarkEnd w:id="10"/>
      <w:bookmarkStart w:id="11" w:name="_Toc32563"/>
      <w:bookmarkEnd w:id="11"/>
    </w:p>
    <w:p>
      <w:pPr>
        <w:pStyle w:val="48"/>
        <w:numPr>
          <w:ilvl w:val="0"/>
          <w:numId w:val="0"/>
        </w:numPr>
        <w:spacing w:before="156" w:after="156"/>
        <w:ind w:left="142" w:leftChars="67" w:firstLine="208" w:firstLineChars="99"/>
      </w:pPr>
      <w:bookmarkStart w:id="12" w:name="_Toc13966"/>
      <w:bookmarkStart w:id="13" w:name="_Toc130285898"/>
      <w:r>
        <w:rPr>
          <w:rFonts w:hint="eastAsia"/>
        </w:rPr>
        <w:t>食品</w:t>
      </w:r>
      <w:bookmarkEnd w:id="12"/>
      <w:bookmarkEnd w:id="13"/>
    </w:p>
    <w:p>
      <w:pPr>
        <w:pStyle w:val="24"/>
        <w:ind w:firstLine="425"/>
        <w:rPr>
          <w:rFonts w:hAnsi="宋体" w:cs="宋体"/>
        </w:rPr>
      </w:pPr>
      <w:r>
        <w:rPr>
          <w:rFonts w:hint="eastAsia" w:hAnsi="宋体" w:cs="宋体"/>
        </w:rPr>
        <w:t>各种供人食用或者饮用的成品和原料以及按照传统既是食品又是中药材的物品，但是不包括以治疗为目的的物品，市场监督管理部门按照食品的风险程度，结合食品原料、生产工艺等因素，对食品生产实施分类许可。</w:t>
      </w:r>
    </w:p>
    <w:p>
      <w:pPr>
        <w:pStyle w:val="48"/>
        <w:spacing w:before="156" w:after="156"/>
        <w:rPr>
          <w:rFonts w:hint="eastAsia"/>
        </w:rPr>
      </w:pPr>
      <w:bookmarkStart w:id="14" w:name="_Toc130285899"/>
      <w:bookmarkEnd w:id="14"/>
      <w:bookmarkStart w:id="15" w:name="_Toc8940"/>
      <w:bookmarkEnd w:id="15"/>
    </w:p>
    <w:p>
      <w:pPr>
        <w:pStyle w:val="48"/>
        <w:numPr>
          <w:ilvl w:val="0"/>
          <w:numId w:val="0"/>
        </w:numPr>
        <w:spacing w:before="156" w:after="156"/>
        <w:ind w:left="142" w:leftChars="67" w:firstLine="208" w:firstLineChars="99"/>
      </w:pPr>
      <w:bookmarkStart w:id="16" w:name="_Toc175"/>
      <w:bookmarkStart w:id="17" w:name="_Toc130285900"/>
      <w:r>
        <w:rPr>
          <w:rFonts w:hint="eastAsia"/>
        </w:rPr>
        <w:t>食品添加剂</w:t>
      </w:r>
      <w:bookmarkEnd w:id="16"/>
      <w:bookmarkEnd w:id="17"/>
    </w:p>
    <w:p>
      <w:pPr>
        <w:pStyle w:val="24"/>
        <w:ind w:firstLine="425"/>
      </w:pPr>
      <w:r>
        <w:rPr>
          <w:rFonts w:hint="eastAsia"/>
        </w:rPr>
        <w:t>为改善食品品质和色、香、味以及为防腐、保鲜和加工工艺的需要而加入食品中的人工合成或者天然物质，包括营养强化剂。</w:t>
      </w:r>
    </w:p>
    <w:p>
      <w:pPr>
        <w:pStyle w:val="48"/>
        <w:spacing w:before="156" w:after="156"/>
        <w:rPr>
          <w:rFonts w:hint="eastAsia"/>
        </w:rPr>
      </w:pPr>
      <w:bookmarkStart w:id="18" w:name="_Toc130285901"/>
      <w:bookmarkEnd w:id="18"/>
      <w:bookmarkStart w:id="19" w:name="_Toc12352"/>
      <w:bookmarkEnd w:id="19"/>
    </w:p>
    <w:p>
      <w:pPr>
        <w:pStyle w:val="48"/>
        <w:numPr>
          <w:ilvl w:val="0"/>
          <w:numId w:val="0"/>
        </w:numPr>
        <w:spacing w:before="156" w:after="156"/>
        <w:ind w:left="142" w:leftChars="67" w:firstLine="208" w:firstLineChars="99"/>
      </w:pPr>
      <w:bookmarkStart w:id="20" w:name="_Toc29367"/>
      <w:bookmarkStart w:id="21" w:name="_Toc130285902"/>
      <w:r>
        <w:rPr>
          <w:rFonts w:hint="eastAsia"/>
        </w:rPr>
        <w:t>食品生产许可服务</w:t>
      </w:r>
      <w:bookmarkEnd w:id="20"/>
      <w:bookmarkEnd w:id="21"/>
    </w:p>
    <w:p>
      <w:pPr>
        <w:pStyle w:val="24"/>
        <w:ind w:firstLine="425"/>
      </w:pPr>
      <w:r>
        <w:rPr>
          <w:rFonts w:hint="eastAsia"/>
        </w:rPr>
        <w:t>食品生产许可事项，从申请、受理、作出许可决定、证照获取等环节，依托政务服务网及业务办理系统，实施全程网办审批服务。</w:t>
      </w:r>
    </w:p>
    <w:p>
      <w:pPr>
        <w:pStyle w:val="88"/>
        <w:spacing w:before="312" w:after="312"/>
      </w:pPr>
      <w:bookmarkStart w:id="22" w:name="_Toc130285903"/>
      <w:bookmarkStart w:id="23" w:name="_Toc29889"/>
      <w:r>
        <w:rPr>
          <w:rFonts w:hint="eastAsia"/>
        </w:rPr>
        <w:t>申请主体</w:t>
      </w:r>
      <w:bookmarkEnd w:id="22"/>
      <w:bookmarkEnd w:id="23"/>
    </w:p>
    <w:p>
      <w:pPr>
        <w:pStyle w:val="24"/>
        <w:ind w:firstLine="425"/>
      </w:pPr>
      <w:r>
        <w:rPr>
          <w:rFonts w:hint="eastAsia"/>
        </w:rPr>
        <w:t>企业法人、合伙企业、个人独资企业、个体工商户、农民专业合作组织等，以营业执照载明的主体。</w:t>
      </w:r>
    </w:p>
    <w:p>
      <w:pPr>
        <w:pStyle w:val="88"/>
        <w:spacing w:before="312" w:after="312"/>
      </w:pPr>
      <w:bookmarkStart w:id="24" w:name="_Toc7042"/>
      <w:bookmarkStart w:id="25" w:name="_Toc130285904"/>
      <w:r>
        <w:rPr>
          <w:rFonts w:hint="eastAsia"/>
        </w:rPr>
        <w:t>申请条件</w:t>
      </w:r>
      <w:bookmarkEnd w:id="24"/>
      <w:bookmarkEnd w:id="25"/>
    </w:p>
    <w:p>
      <w:pPr>
        <w:pStyle w:val="24"/>
        <w:ind w:firstLine="425"/>
      </w:pPr>
      <w:r>
        <w:rPr>
          <w:rFonts w:hint="eastAsia"/>
        </w:rPr>
        <w:t>申请食品生产许可</w:t>
      </w:r>
      <w:r>
        <w:t>，</w:t>
      </w:r>
      <w:r>
        <w:rPr>
          <w:rFonts w:hint="eastAsia"/>
        </w:rPr>
        <w:t>应当符合下列条件</w:t>
      </w:r>
      <w:r>
        <w:t>：</w:t>
      </w:r>
    </w:p>
    <w:p>
      <w:pPr>
        <w:pStyle w:val="48"/>
        <w:numPr>
          <w:ilvl w:val="0"/>
          <w:numId w:val="0"/>
        </w:numPr>
        <w:spacing w:before="156" w:after="156"/>
        <w:rPr>
          <w:rFonts w:ascii="宋体" w:hAnsi="宋体" w:eastAsia="宋体"/>
        </w:rPr>
      </w:pPr>
      <w:bookmarkStart w:id="26" w:name="_Toc17682"/>
      <w:bookmarkStart w:id="27" w:name="_Toc130285905"/>
      <w:r>
        <w:rPr>
          <w:rFonts w:hint="eastAsia" w:ascii="宋体" w:hAnsi="宋体" w:eastAsia="宋体"/>
        </w:rPr>
        <w:t>（1）具有与生产的食品品种、数量相适应的食品原料处理和食品加工、包装、贮存等场所，保持该场所环境整洁，并与有毒、有害场所以及其他污染源保持规定的距离；</w:t>
      </w:r>
      <w:bookmarkEnd w:id="26"/>
      <w:bookmarkEnd w:id="27"/>
    </w:p>
    <w:p>
      <w:pPr>
        <w:pStyle w:val="48"/>
        <w:numPr>
          <w:ilvl w:val="0"/>
          <w:numId w:val="0"/>
        </w:numPr>
        <w:spacing w:before="156" w:after="156"/>
        <w:rPr>
          <w:rFonts w:ascii="宋体" w:hAnsi="宋体" w:eastAsia="宋体"/>
        </w:rPr>
      </w:pPr>
      <w:bookmarkStart w:id="28" w:name="_Toc130285906"/>
      <w:bookmarkStart w:id="29" w:name="_Toc16788"/>
      <w:r>
        <w:rPr>
          <w:rFonts w:hint="eastAsia" w:ascii="宋体" w:hAnsi="宋体" w:eastAsia="宋体"/>
        </w:rPr>
        <w:t>（2）具有与生产的食品品种、数量相适应的生产设备或者设施，有相应的消毒、更衣、盥洗、采光、照明、通风、防腐、防尘、防蝇、防鼠、防虫、洗涤以及处理废水、存放垃圾和废弃物的设备或者设施；</w:t>
      </w:r>
      <w:bookmarkEnd w:id="28"/>
      <w:bookmarkEnd w:id="29"/>
    </w:p>
    <w:p>
      <w:pPr>
        <w:pStyle w:val="48"/>
        <w:numPr>
          <w:ilvl w:val="0"/>
          <w:numId w:val="0"/>
        </w:numPr>
        <w:spacing w:before="156" w:after="156"/>
        <w:rPr>
          <w:rFonts w:ascii="宋体" w:hAnsi="宋体" w:eastAsia="宋体"/>
        </w:rPr>
      </w:pPr>
      <w:bookmarkStart w:id="30" w:name="_Toc10347"/>
      <w:bookmarkStart w:id="31" w:name="_Toc130285907"/>
      <w:r>
        <w:rPr>
          <w:rFonts w:hint="eastAsia" w:ascii="宋体" w:hAnsi="宋体" w:eastAsia="宋体"/>
        </w:rPr>
        <w:t>（3）有专职或者兼职的食品安全专业技术人员、食品安全管理人员和保证食品安全的规章制度；</w:t>
      </w:r>
      <w:bookmarkEnd w:id="30"/>
      <w:bookmarkEnd w:id="31"/>
    </w:p>
    <w:p>
      <w:pPr>
        <w:pStyle w:val="48"/>
        <w:numPr>
          <w:ilvl w:val="0"/>
          <w:numId w:val="0"/>
        </w:numPr>
        <w:spacing w:before="156" w:after="156"/>
        <w:rPr>
          <w:rFonts w:ascii="宋体" w:hAnsi="宋体" w:eastAsia="宋体"/>
        </w:rPr>
      </w:pPr>
      <w:bookmarkStart w:id="32" w:name="_Toc130285908"/>
      <w:bookmarkStart w:id="33" w:name="_Toc18178"/>
      <w:r>
        <w:rPr>
          <w:rFonts w:hint="eastAsia" w:ascii="宋体" w:hAnsi="宋体" w:eastAsia="宋体"/>
        </w:rPr>
        <w:t>（4）具有合理的设备布局和工艺流程，防止待加工食品与直接入口食品、原料与成品交叉污染，避免食品接触有毒物、不洁物；</w:t>
      </w:r>
      <w:bookmarkEnd w:id="32"/>
      <w:bookmarkEnd w:id="33"/>
    </w:p>
    <w:p>
      <w:pPr>
        <w:pStyle w:val="48"/>
        <w:numPr>
          <w:ilvl w:val="0"/>
          <w:numId w:val="0"/>
        </w:numPr>
        <w:spacing w:before="156" w:after="156"/>
        <w:rPr>
          <w:rFonts w:ascii="宋体" w:hAnsi="宋体" w:eastAsia="宋体"/>
        </w:rPr>
      </w:pPr>
      <w:bookmarkStart w:id="34" w:name="_Toc130285909"/>
      <w:bookmarkStart w:id="35" w:name="_Toc31066"/>
      <w:r>
        <w:rPr>
          <w:rFonts w:hint="eastAsia" w:ascii="宋体" w:hAnsi="宋体" w:eastAsia="宋体"/>
        </w:rPr>
        <w:t>（5）法律、法规规定的其他条件。</w:t>
      </w:r>
      <w:bookmarkEnd w:id="34"/>
      <w:bookmarkEnd w:id="35"/>
    </w:p>
    <w:p>
      <w:pPr>
        <w:pStyle w:val="88"/>
        <w:spacing w:before="312" w:after="312"/>
      </w:pPr>
      <w:bookmarkStart w:id="36" w:name="_Toc130285910"/>
      <w:bookmarkStart w:id="37" w:name="_Toc24999"/>
      <w:r>
        <w:rPr>
          <w:rFonts w:hint="eastAsia"/>
        </w:rPr>
        <w:t>申请材料提交</w:t>
      </w:r>
      <w:bookmarkEnd w:id="36"/>
      <w:bookmarkEnd w:id="37"/>
    </w:p>
    <w:p>
      <w:pPr>
        <w:pStyle w:val="48"/>
        <w:spacing w:before="156" w:after="156"/>
      </w:pPr>
      <w:bookmarkStart w:id="38" w:name="_Toc130285911"/>
      <w:bookmarkStart w:id="39" w:name="_Toc28082"/>
      <w:r>
        <w:rPr>
          <w:rFonts w:hint="eastAsia"/>
        </w:rPr>
        <w:t>申请食品生产许可提交的材料</w:t>
      </w:r>
      <w:bookmarkEnd w:id="38"/>
      <w:bookmarkEnd w:id="39"/>
    </w:p>
    <w:p>
      <w:pPr>
        <w:pStyle w:val="47"/>
        <w:numPr>
          <w:ilvl w:val="0"/>
          <w:numId w:val="0"/>
        </w:numPr>
        <w:spacing w:before="156" w:after="156"/>
        <w:rPr>
          <w:rFonts w:ascii="宋体" w:hAnsi="宋体" w:eastAsia="宋体"/>
        </w:rPr>
      </w:pPr>
      <w:r>
        <w:rPr>
          <w:rFonts w:hint="eastAsia" w:ascii="宋体" w:hAnsi="宋体" w:eastAsia="宋体"/>
        </w:rPr>
        <w:t>（1）食品生产许可申请书；</w:t>
      </w:r>
    </w:p>
    <w:p>
      <w:pPr>
        <w:pStyle w:val="47"/>
        <w:numPr>
          <w:ilvl w:val="0"/>
          <w:numId w:val="0"/>
        </w:numPr>
        <w:spacing w:before="156" w:after="156"/>
        <w:rPr>
          <w:rFonts w:ascii="宋体" w:hAnsi="宋体" w:eastAsia="宋体"/>
        </w:rPr>
      </w:pPr>
      <w:r>
        <w:rPr>
          <w:rFonts w:hint="eastAsia" w:ascii="宋体" w:hAnsi="宋体" w:eastAsia="宋体"/>
        </w:rPr>
        <w:t>（2）食品生产设备布局图和食品生产工艺流程图；</w:t>
      </w:r>
    </w:p>
    <w:p>
      <w:pPr>
        <w:pStyle w:val="47"/>
        <w:numPr>
          <w:ilvl w:val="0"/>
          <w:numId w:val="0"/>
        </w:numPr>
        <w:spacing w:before="156" w:after="156"/>
        <w:rPr>
          <w:rFonts w:ascii="宋体" w:hAnsi="宋体" w:eastAsia="宋体"/>
        </w:rPr>
      </w:pPr>
      <w:r>
        <w:rPr>
          <w:rFonts w:hint="eastAsia" w:ascii="宋体" w:hAnsi="宋体" w:eastAsia="宋体"/>
        </w:rPr>
        <w:t>（3）食品生产主要设备、设施清单；</w:t>
      </w:r>
    </w:p>
    <w:p>
      <w:pPr>
        <w:pStyle w:val="47"/>
        <w:numPr>
          <w:ilvl w:val="0"/>
          <w:numId w:val="0"/>
        </w:numPr>
        <w:spacing w:before="156" w:after="156"/>
        <w:rPr>
          <w:rFonts w:ascii="宋体" w:hAnsi="宋体" w:eastAsia="宋体"/>
        </w:rPr>
      </w:pPr>
      <w:r>
        <w:rPr>
          <w:rFonts w:hint="eastAsia" w:ascii="宋体" w:hAnsi="宋体" w:eastAsia="宋体"/>
        </w:rPr>
        <w:t>（4）专职或者兼职的食品安全专业技术人员、食品安全管理人员信息和食品安全管理制度。</w:t>
      </w:r>
    </w:p>
    <w:p>
      <w:pPr>
        <w:pStyle w:val="24"/>
        <w:ind w:firstLine="365"/>
      </w:pPr>
      <w:r>
        <w:rPr>
          <w:rFonts w:hint="eastAsia"/>
          <w:sz w:val="18"/>
          <w:szCs w:val="18"/>
        </w:rPr>
        <w:t>注：</w:t>
      </w:r>
      <w:r>
        <w:rPr>
          <w:rFonts w:hint="eastAsia" w:hAnsi="宋体"/>
          <w:sz w:val="18"/>
          <w:szCs w:val="18"/>
        </w:rPr>
        <w:t>申请保健食品、特殊医学用途配方食品、婴幼儿配方食品等特殊食品的生产许可，还应当提交与所生产食品相适应的生产质量管理体系文件以及相关注册和备案文件。</w:t>
      </w:r>
    </w:p>
    <w:p>
      <w:pPr>
        <w:pStyle w:val="48"/>
        <w:spacing w:before="156" w:after="156"/>
      </w:pPr>
      <w:bookmarkStart w:id="40" w:name="_Toc130285912"/>
      <w:bookmarkStart w:id="41" w:name="_Toc29158"/>
      <w:r>
        <w:rPr>
          <w:rFonts w:hint="eastAsia"/>
        </w:rPr>
        <w:t>申请变更食品生产许可提交的材料</w:t>
      </w:r>
      <w:bookmarkEnd w:id="40"/>
      <w:bookmarkEnd w:id="41"/>
    </w:p>
    <w:p>
      <w:pPr>
        <w:pStyle w:val="47"/>
        <w:numPr>
          <w:ilvl w:val="2"/>
          <w:numId w:val="0"/>
        </w:numPr>
        <w:spacing w:before="156" w:after="156"/>
        <w:ind w:left="29176" w:hanging="29094" w:hangingChars="13724"/>
        <w:rPr>
          <w:rFonts w:ascii="宋体" w:hAnsi="宋体" w:eastAsia="宋体"/>
        </w:rPr>
      </w:pPr>
      <w:r>
        <w:rPr>
          <w:rFonts w:hint="eastAsia" w:ascii="宋体" w:hAnsi="宋体" w:eastAsia="宋体"/>
        </w:rPr>
        <w:t>（1）食品生产许可变更申请书；</w:t>
      </w:r>
    </w:p>
    <w:p>
      <w:pPr>
        <w:pStyle w:val="24"/>
        <w:ind w:left="29176" w:hanging="29094" w:hangingChars="13724"/>
      </w:pPr>
      <w:r>
        <w:rPr>
          <w:rFonts w:hint="eastAsia"/>
        </w:rPr>
        <w:t>（2）与变更食品生产许可事项有关的其他材料。</w:t>
      </w:r>
    </w:p>
    <w:p>
      <w:pPr>
        <w:pStyle w:val="48"/>
        <w:spacing w:before="156" w:after="156"/>
      </w:pPr>
      <w:bookmarkStart w:id="42" w:name="_Toc130285913"/>
      <w:bookmarkStart w:id="43" w:name="_Toc18113"/>
      <w:r>
        <w:rPr>
          <w:rFonts w:hint="eastAsia"/>
        </w:rPr>
        <w:t>申请延续食品生产许可提交的材料</w:t>
      </w:r>
      <w:bookmarkEnd w:id="42"/>
      <w:bookmarkEnd w:id="43"/>
    </w:p>
    <w:p>
      <w:pPr>
        <w:pStyle w:val="47"/>
        <w:numPr>
          <w:ilvl w:val="2"/>
          <w:numId w:val="0"/>
        </w:numPr>
        <w:spacing w:before="156" w:after="156"/>
        <w:ind w:left="29176" w:hanging="29094" w:hangingChars="13724"/>
        <w:rPr>
          <w:rFonts w:ascii="宋体" w:hAnsi="宋体" w:eastAsia="宋体"/>
        </w:rPr>
      </w:pPr>
      <w:r>
        <w:rPr>
          <w:rFonts w:hint="eastAsia" w:ascii="宋体" w:hAnsi="宋体" w:eastAsia="宋体"/>
        </w:rPr>
        <w:t>（1）食品生产许可延续申请书；</w:t>
      </w:r>
    </w:p>
    <w:p>
      <w:pPr>
        <w:pStyle w:val="47"/>
        <w:numPr>
          <w:ilvl w:val="2"/>
          <w:numId w:val="0"/>
        </w:numPr>
        <w:spacing w:before="156" w:after="156"/>
        <w:ind w:left="29176" w:hanging="29094" w:hangingChars="13724"/>
        <w:rPr>
          <w:rFonts w:ascii="宋体" w:hAnsi="宋体" w:eastAsia="宋体"/>
        </w:rPr>
      </w:pPr>
      <w:r>
        <w:rPr>
          <w:rFonts w:hint="eastAsia" w:ascii="宋体" w:hAnsi="宋体" w:eastAsia="宋体"/>
        </w:rPr>
        <w:t>（2）与延续食品生产许可事项有关的其他材料。</w:t>
      </w:r>
    </w:p>
    <w:p>
      <w:pPr>
        <w:pStyle w:val="24"/>
        <w:ind w:firstLine="425"/>
        <w:rPr>
          <w:rFonts w:hAnsi="宋体"/>
        </w:rPr>
      </w:pPr>
      <w:r>
        <w:rPr>
          <w:rFonts w:hint="eastAsia"/>
        </w:rPr>
        <w:t>食品</w:t>
      </w:r>
      <w:r>
        <w:rPr>
          <w:rFonts w:hint="eastAsia" w:hAnsi="宋体"/>
        </w:rPr>
        <w:t>生产者需要延续依法取得的食品生产许可的有效期的，应当在该食品生产许可有效期届满30个工作日前，向审批部门提出申请。</w:t>
      </w:r>
    </w:p>
    <w:p>
      <w:pPr>
        <w:pStyle w:val="24"/>
      </w:pPr>
      <w:r>
        <w:rPr>
          <w:rFonts w:hint="eastAsia"/>
          <w:sz w:val="18"/>
          <w:szCs w:val="18"/>
        </w:rPr>
        <w:t>注：保健食品、特殊医学用途配方食品、婴幼儿配方食品的生产企业申请延续食品生产许可的，还应当提供生产质量管理体系运行情况的自查报告。</w:t>
      </w:r>
    </w:p>
    <w:p>
      <w:pPr>
        <w:pStyle w:val="48"/>
        <w:spacing w:before="156" w:after="156"/>
      </w:pPr>
      <w:bookmarkStart w:id="44" w:name="_Toc130285914"/>
      <w:bookmarkStart w:id="45" w:name="_Toc21634"/>
      <w:r>
        <w:rPr>
          <w:rFonts w:hint="eastAsia"/>
        </w:rPr>
        <w:t>申请注销食品</w:t>
      </w:r>
      <w:bookmarkStart w:id="71" w:name="_GoBack"/>
      <w:bookmarkEnd w:id="71"/>
      <w:r>
        <w:rPr>
          <w:rFonts w:hint="eastAsia"/>
        </w:rPr>
        <w:t>生产许可提交的材料</w:t>
      </w:r>
      <w:bookmarkEnd w:id="44"/>
      <w:bookmarkEnd w:id="45"/>
    </w:p>
    <w:p>
      <w:pPr>
        <w:pStyle w:val="47"/>
        <w:numPr>
          <w:ilvl w:val="0"/>
          <w:numId w:val="0"/>
        </w:numPr>
        <w:spacing w:before="156" w:after="156"/>
        <w:ind w:firstLine="424" w:firstLineChars="200"/>
        <w:rPr>
          <w:rFonts w:ascii="宋体" w:hAnsi="宋体" w:eastAsia="宋体"/>
        </w:rPr>
      </w:pPr>
      <w:r>
        <w:rPr>
          <w:rFonts w:hint="eastAsia" w:ascii="宋体" w:hAnsi="宋体" w:eastAsia="宋体"/>
        </w:rPr>
        <w:t>食品生产许可注销申请书。</w:t>
      </w:r>
    </w:p>
    <w:p>
      <w:pPr>
        <w:pStyle w:val="24"/>
        <w:ind w:firstLine="425"/>
      </w:pPr>
      <w:r>
        <w:rPr>
          <w:rFonts w:hint="eastAsia"/>
        </w:rPr>
        <w:t>申请人应当如实向市场监督管理部门提交有关材料和反映真实情况，对申请材料的真实性负责，并在申请书等材料上签名或者盖章。</w:t>
      </w:r>
    </w:p>
    <w:p>
      <w:pPr>
        <w:pStyle w:val="48"/>
        <w:numPr>
          <w:ilvl w:val="1"/>
          <w:numId w:val="0"/>
        </w:numPr>
        <w:spacing w:before="156" w:after="156"/>
        <w:ind w:firstLine="364" w:firstLineChars="200"/>
      </w:pPr>
      <w:bookmarkStart w:id="46" w:name="_Toc130285915"/>
      <w:bookmarkStart w:id="47" w:name="_Toc13366"/>
      <w:r>
        <w:rPr>
          <w:rFonts w:hint="eastAsia"/>
          <w:sz w:val="18"/>
          <w:szCs w:val="18"/>
        </w:rPr>
        <w:t>注：</w:t>
      </w:r>
      <w:r>
        <w:rPr>
          <w:rFonts w:hint="eastAsia" w:ascii="宋体" w:hAnsi="宋体" w:eastAsia="宋体"/>
          <w:sz w:val="18"/>
          <w:szCs w:val="18"/>
        </w:rPr>
        <w:t>申请人委托他人办理食品生产许可申请的，代理人应当提交授权委托书以及代理人的身份证明文件。</w:t>
      </w:r>
      <w:bookmarkEnd w:id="46"/>
      <w:bookmarkEnd w:id="47"/>
    </w:p>
    <w:p>
      <w:pPr>
        <w:pStyle w:val="88"/>
        <w:spacing w:before="312" w:after="312"/>
      </w:pPr>
      <w:bookmarkStart w:id="48" w:name="_Toc130285916"/>
      <w:bookmarkStart w:id="49" w:name="_Toc12387"/>
      <w:r>
        <w:rPr>
          <w:rFonts w:hint="eastAsia"/>
        </w:rPr>
        <w:t>办理流程</w:t>
      </w:r>
      <w:bookmarkEnd w:id="48"/>
      <w:bookmarkEnd w:id="49"/>
    </w:p>
    <w:p>
      <w:pPr>
        <w:pStyle w:val="48"/>
        <w:spacing w:before="156" w:after="156"/>
      </w:pPr>
      <w:bookmarkStart w:id="50" w:name="_Toc130285917"/>
      <w:bookmarkStart w:id="51" w:name="_Toc1904"/>
      <w:r>
        <w:rPr>
          <w:rFonts w:hint="eastAsia"/>
        </w:rPr>
        <w:t>食品生产许可的申请</w:t>
      </w:r>
      <w:bookmarkEnd w:id="50"/>
      <w:bookmarkEnd w:id="51"/>
    </w:p>
    <w:p>
      <w:pPr>
        <w:pStyle w:val="24"/>
        <w:ind w:firstLine="0" w:firstLineChars="0"/>
        <w:jc w:val="left"/>
      </w:pPr>
      <w:r>
        <w:rPr>
          <w:rFonts w:hint="eastAsia"/>
        </w:rPr>
        <w:t xml:space="preserve">    申请人在山东省统一政务服务门户（网址：http://123.232.28.52:8899/SYNET/ssologin.jsp），</w:t>
      </w:r>
    </w:p>
    <w:p>
      <w:pPr>
        <w:pStyle w:val="24"/>
        <w:ind w:firstLine="0" w:firstLineChars="0"/>
        <w:jc w:val="left"/>
      </w:pPr>
      <w:r>
        <w:rPr>
          <w:rFonts w:hint="eastAsia"/>
        </w:rPr>
        <w:t>选择法人注册并登录，在线申报。</w:t>
      </w:r>
    </w:p>
    <w:p>
      <w:pPr>
        <w:pStyle w:val="48"/>
        <w:spacing w:before="156" w:after="156"/>
      </w:pPr>
      <w:bookmarkStart w:id="52" w:name="_Toc130285918"/>
      <w:bookmarkStart w:id="53" w:name="_Toc1847"/>
      <w:r>
        <w:rPr>
          <w:rFonts w:hint="eastAsia"/>
        </w:rPr>
        <w:t>食品生产许可的受理</w:t>
      </w:r>
      <w:bookmarkEnd w:id="52"/>
      <w:bookmarkEnd w:id="53"/>
    </w:p>
    <w:p>
      <w:pPr>
        <w:pStyle w:val="24"/>
        <w:spacing w:beforeLines="50" w:afterLines="50"/>
        <w:ind w:firstLine="0" w:firstLineChars="0"/>
      </w:pPr>
      <w:r>
        <w:rPr>
          <w:rFonts w:hint="eastAsia" w:hAnsi="宋体"/>
        </w:rPr>
        <w:t>（1）</w:t>
      </w:r>
      <w:r>
        <w:rPr>
          <w:rFonts w:hint="eastAsia"/>
        </w:rPr>
        <w:t>申请材料齐全、符合法定形式，或者申请人按照要求提交全部补正材料的，予以受理，受理机关应当出具受理通知书；</w:t>
      </w:r>
    </w:p>
    <w:p>
      <w:pPr>
        <w:pStyle w:val="24"/>
        <w:spacing w:beforeLines="50" w:afterLines="50"/>
        <w:ind w:firstLine="0" w:firstLineChars="0"/>
      </w:pPr>
      <w:r>
        <w:rPr>
          <w:rFonts w:hint="eastAsia"/>
        </w:rPr>
        <w:t>（2）决定不予受理的，受理机关应当出具不予受理通知书，说明不予受理的理由，并告知申请人依法享有申请行政复议或者提起行政诉讼的权利。</w:t>
      </w:r>
    </w:p>
    <w:p>
      <w:pPr>
        <w:pStyle w:val="48"/>
        <w:spacing w:before="156" w:after="156"/>
      </w:pPr>
      <w:bookmarkStart w:id="54" w:name="_Toc130285919"/>
      <w:bookmarkStart w:id="55" w:name="_Toc523"/>
      <w:r>
        <w:rPr>
          <w:rFonts w:hint="eastAsia"/>
        </w:rPr>
        <w:t>现场核查的组织与实施</w:t>
      </w:r>
      <w:bookmarkEnd w:id="54"/>
      <w:bookmarkEnd w:id="55"/>
    </w:p>
    <w:p>
      <w:pPr>
        <w:pStyle w:val="47"/>
        <w:spacing w:before="156" w:after="156"/>
      </w:pPr>
      <w:r>
        <w:rPr>
          <w:rFonts w:hint="eastAsia"/>
        </w:rPr>
        <w:t>现场核查</w:t>
      </w:r>
    </w:p>
    <w:p>
      <w:pPr>
        <w:pStyle w:val="24"/>
        <w:spacing w:beforeLines="50" w:afterLines="50"/>
        <w:ind w:firstLine="0" w:firstLineChars="0"/>
        <w:rPr>
          <w:rFonts w:eastAsiaTheme="minorEastAsia"/>
        </w:rPr>
      </w:pPr>
      <w:r>
        <w:rPr>
          <w:rFonts w:hint="eastAsia" w:hAnsi="宋体"/>
        </w:rPr>
        <w:t>（1）</w:t>
      </w:r>
      <w:r>
        <w:rPr>
          <w:rFonts w:hint="eastAsia"/>
        </w:rPr>
        <w:t>食品</w:t>
      </w:r>
      <w:r>
        <w:rPr>
          <w:rFonts w:hint="eastAsia" w:hAnsi="宋体" w:cs="宋体"/>
        </w:rPr>
        <w:t>对申请人提交</w:t>
      </w:r>
      <w:r>
        <w:rPr>
          <w:rFonts w:hint="eastAsia"/>
        </w:rPr>
        <w:t xml:space="preserve">的申请材料进行审查，需要对申请材料的实质内容进行核实的，应当进行现场核查。 </w:t>
      </w:r>
      <w:r>
        <w:rPr>
          <w:rFonts w:hint="eastAsia" w:asciiTheme="minorEastAsia" w:hAnsiTheme="minorEastAsia" w:eastAsiaTheme="minorEastAsia" w:cstheme="minorEastAsia"/>
        </w:rPr>
        <w:t>审批部门对需要进行现场核查的申请项目，编制现场核查计划，组建核查组。现场核查计划应提前通知申请人；</w:t>
      </w:r>
    </w:p>
    <w:p>
      <w:pPr>
        <w:pStyle w:val="24"/>
        <w:spacing w:beforeLines="50" w:afterLines="50"/>
        <w:ind w:firstLine="0" w:firstLineChars="0"/>
      </w:pPr>
      <w:r>
        <w:rPr>
          <w:rFonts w:hint="eastAsia"/>
        </w:rPr>
        <w:t>（2）核查组由食品安全监管人员组成，根据需要可以聘请专业技术人员作为核查人员参加现场核查，核查人员不得少于2人。核查人员应出示有效证件，填写食品生产许可现场核查表，制作现场核查记录，经申请人核对无误后，由核查人员和申请人在核查表和记录上签名或者盖章。申请人拒绝签名或者盖章的，核查人员应注明情况。</w:t>
      </w:r>
    </w:p>
    <w:p>
      <w:pPr>
        <w:pStyle w:val="47"/>
        <w:spacing w:before="156" w:after="156"/>
      </w:pPr>
      <w:r>
        <w:rPr>
          <w:rFonts w:hint="eastAsia"/>
        </w:rPr>
        <w:t>核查时限</w:t>
      </w:r>
    </w:p>
    <w:p>
      <w:pPr>
        <w:pStyle w:val="24"/>
        <w:spacing w:beforeLines="50" w:afterLines="50"/>
        <w:ind w:firstLine="0" w:firstLineChars="0"/>
      </w:pPr>
      <w:r>
        <w:rPr>
          <w:rFonts w:hint="eastAsia"/>
        </w:rPr>
        <w:t>（1）</w:t>
      </w:r>
      <w:r>
        <w:t>核查组应当自接受现场核查任务之日起5个工作日内完成现场核查</w:t>
      </w:r>
      <w:r>
        <w:rPr>
          <w:rFonts w:hint="eastAsia"/>
        </w:rPr>
        <w:t>；</w:t>
      </w:r>
    </w:p>
    <w:p>
      <w:pPr>
        <w:pStyle w:val="24"/>
        <w:spacing w:beforeLines="50" w:afterLines="50"/>
        <w:ind w:firstLine="0" w:firstLineChars="0"/>
      </w:pPr>
      <w:r>
        <w:rPr>
          <w:rFonts w:hint="eastAsia"/>
        </w:rPr>
        <w:t>（2）</w:t>
      </w:r>
      <w:r>
        <w:t>因不可抗力原因，或者供电、供水等客观原因导致现场核查无法开展的，申请人应当向审批部门书面提出许可中止申请。中止时间原则上不超过10个工作日，中止时间不计入食品生产许可审批时限</w:t>
      </w:r>
      <w:r>
        <w:rPr>
          <w:rFonts w:hint="eastAsia"/>
        </w:rPr>
        <w:t>；</w:t>
      </w:r>
    </w:p>
    <w:p>
      <w:pPr>
        <w:pStyle w:val="24"/>
        <w:spacing w:beforeLines="50" w:afterLines="50"/>
        <w:ind w:firstLine="0" w:firstLineChars="0"/>
      </w:pPr>
      <w:r>
        <w:rPr>
          <w:rFonts w:hint="eastAsia"/>
        </w:rPr>
        <w:t>（3）</w:t>
      </w:r>
      <w:r>
        <w:t>因自然灾害等原因造成申请人生产条件不符合规定条件的，申请人应当申请终止许可</w:t>
      </w:r>
      <w:r>
        <w:rPr>
          <w:rFonts w:hint="eastAsia"/>
        </w:rPr>
        <w:t>；</w:t>
      </w:r>
    </w:p>
    <w:p>
      <w:pPr>
        <w:pStyle w:val="24"/>
        <w:spacing w:beforeLines="50" w:afterLines="50"/>
        <w:ind w:firstLine="0" w:firstLineChars="0"/>
      </w:pPr>
      <w:r>
        <w:rPr>
          <w:rFonts w:hint="eastAsia"/>
        </w:rPr>
        <w:t>（4）</w:t>
      </w:r>
      <w:r>
        <w:t>申请人申请的中止时间到期仍不能开展现场核查的，或者申请人申请终止许可的，审批部门应当终止许可。</w:t>
      </w:r>
    </w:p>
    <w:p>
      <w:pPr>
        <w:pStyle w:val="48"/>
        <w:spacing w:before="156" w:after="156"/>
      </w:pPr>
      <w:bookmarkStart w:id="56" w:name="_Toc18504"/>
      <w:bookmarkStart w:id="57" w:name="_Toc130285920"/>
      <w:r>
        <w:rPr>
          <w:rFonts w:hint="eastAsia"/>
        </w:rPr>
        <w:t>食品生产许可的审批</w:t>
      </w:r>
      <w:bookmarkEnd w:id="56"/>
      <w:bookmarkEnd w:id="57"/>
    </w:p>
    <w:p>
      <w:pPr>
        <w:pStyle w:val="24"/>
        <w:ind w:firstLine="425"/>
      </w:pPr>
      <w:r>
        <w:rPr>
          <w:rFonts w:hint="eastAsia"/>
        </w:rPr>
        <w:t>根据申请材料审查和现场核查等情况，对符合条件的，作出予以生产许可的决定，向申请人颁发食品生产许可证；对不符合条件的，应当及时作出不予许可的书面决定并说明理由，同时告知申请人依法享有申请行政复议或者提起行政诉讼的权利。</w:t>
      </w:r>
    </w:p>
    <w:p>
      <w:pPr>
        <w:pStyle w:val="24"/>
        <w:ind w:firstLine="425"/>
      </w:pPr>
      <w:r>
        <w:rPr>
          <w:rFonts w:hint="eastAsia"/>
        </w:rPr>
        <w:t>食品生产许可证发证日期为许可决定作出的日期，有效期为5年。</w:t>
      </w:r>
    </w:p>
    <w:p>
      <w:pPr>
        <w:pStyle w:val="88"/>
        <w:spacing w:before="312" w:after="312"/>
      </w:pPr>
      <w:bookmarkStart w:id="58" w:name="_Toc130285921"/>
      <w:bookmarkStart w:id="59" w:name="_Toc8662"/>
      <w:r>
        <w:rPr>
          <w:rFonts w:hint="eastAsia"/>
        </w:rPr>
        <w:t>办理方式</w:t>
      </w:r>
      <w:bookmarkEnd w:id="58"/>
      <w:bookmarkEnd w:id="59"/>
    </w:p>
    <w:p>
      <w:pPr>
        <w:pStyle w:val="48"/>
        <w:spacing w:before="156" w:after="156"/>
      </w:pPr>
      <w:bookmarkStart w:id="60" w:name="_Toc24335"/>
      <w:bookmarkStart w:id="61" w:name="_Toc130285922"/>
      <w:r>
        <w:rPr>
          <w:rFonts w:hint="eastAsia"/>
        </w:rPr>
        <w:t>现场办理</w:t>
      </w:r>
      <w:bookmarkEnd w:id="60"/>
      <w:bookmarkEnd w:id="61"/>
    </w:p>
    <w:p>
      <w:pPr>
        <w:pStyle w:val="24"/>
        <w:ind w:firstLine="425"/>
      </w:pPr>
      <w:r>
        <w:rPr>
          <w:rFonts w:hint="eastAsia"/>
        </w:rPr>
        <w:t>申请人直接到市、区（市）市民中心提交纸质申请。</w:t>
      </w:r>
    </w:p>
    <w:p>
      <w:pPr>
        <w:pStyle w:val="48"/>
        <w:spacing w:before="156" w:after="156"/>
      </w:pPr>
      <w:bookmarkStart w:id="62" w:name="_Toc130285923"/>
      <w:bookmarkStart w:id="63" w:name="_Toc7591"/>
      <w:r>
        <w:rPr>
          <w:rFonts w:hint="eastAsia"/>
        </w:rPr>
        <w:t>线上办理</w:t>
      </w:r>
      <w:bookmarkEnd w:id="62"/>
      <w:bookmarkEnd w:id="63"/>
      <w:r>
        <w:rPr>
          <w:rFonts w:hint="eastAsia"/>
        </w:rPr>
        <w:t xml:space="preserve">          </w:t>
      </w:r>
    </w:p>
    <w:p>
      <w:pPr>
        <w:pStyle w:val="24"/>
        <w:ind w:firstLine="425"/>
      </w:pPr>
      <w:r>
        <w:rPr>
          <w:rFonts w:hint="eastAsia"/>
        </w:rPr>
        <w:t>枣庄市政务服务网－办事服务－食品生产许可－登陆－在线填报。</w:t>
      </w:r>
    </w:p>
    <w:p>
      <w:pPr>
        <w:pStyle w:val="88"/>
        <w:spacing w:before="312" w:after="312"/>
      </w:pPr>
      <w:bookmarkStart w:id="64" w:name="_Toc17222"/>
      <w:bookmarkStart w:id="65" w:name="_Toc130285924"/>
      <w:r>
        <w:rPr>
          <w:rFonts w:hint="eastAsia"/>
        </w:rPr>
        <w:t>办理时限</w:t>
      </w:r>
      <w:bookmarkEnd w:id="64"/>
      <w:bookmarkEnd w:id="65"/>
    </w:p>
    <w:p>
      <w:pPr>
        <w:pStyle w:val="24"/>
        <w:ind w:firstLine="425"/>
      </w:pPr>
      <w:bookmarkStart w:id="66" w:name="_Toc77327744"/>
      <w:r>
        <w:rPr>
          <w:rFonts w:hint="eastAsia"/>
        </w:rPr>
        <w:t>审批部门应当自受理申请之日起10个工作日内作出是否准予行政许可的决定。因特殊原因需要延长期限的，经本行政机关负责人批准，可以延长5个工作日，并应当将延长期限的理由告知申请人。</w:t>
      </w:r>
    </w:p>
    <w:bookmarkEnd w:id="66"/>
    <w:p>
      <w:pPr>
        <w:pStyle w:val="24"/>
        <w:ind w:firstLine="425"/>
      </w:pPr>
      <w:r>
        <w:rPr>
          <w:rFonts w:hint="eastAsia" w:ascii="Times New Roman"/>
        </w:rPr>
        <w:t>因申请人涉嫌食品安全违法被立案调查或者涉嫌食品安全犯罪被立案侦查的，审批部门应当中止食品生产许可程序。中止时间不计入食品生产许可审批时限。</w:t>
      </w:r>
      <w:r>
        <w:rPr>
          <w:rFonts w:hint="eastAsia" w:hAnsi="宋体" w:cs="宋体"/>
          <w:bCs/>
          <w:color w:val="3D3D3D"/>
          <w:spacing w:val="-6"/>
          <w:szCs w:val="21"/>
        </w:rPr>
        <w:t xml:space="preserve">           </w:t>
      </w:r>
    </w:p>
    <w:p>
      <w:pPr>
        <w:pStyle w:val="88"/>
        <w:spacing w:before="312" w:after="312"/>
      </w:pPr>
      <w:bookmarkStart w:id="67" w:name="_Toc8613"/>
      <w:bookmarkStart w:id="68" w:name="_Toc130285925"/>
      <w:r>
        <w:rPr>
          <w:rFonts w:hint="eastAsia"/>
        </w:rPr>
        <w:t>办理进度查询</w:t>
      </w:r>
      <w:bookmarkEnd w:id="67"/>
      <w:bookmarkEnd w:id="68"/>
    </w:p>
    <w:p>
      <w:pPr>
        <w:pStyle w:val="24"/>
        <w:ind w:firstLine="425"/>
      </w:pPr>
      <w:r>
        <w:rPr>
          <w:rFonts w:hint="eastAsia"/>
        </w:rPr>
        <w:t>申请人通过山东政务服务网或“爱山东”手机APP查询办理进度。</w:t>
      </w:r>
    </w:p>
    <w:p>
      <w:pPr>
        <w:pStyle w:val="88"/>
        <w:spacing w:before="312" w:after="312"/>
      </w:pPr>
      <w:bookmarkStart w:id="69" w:name="_Toc130285926"/>
      <w:bookmarkStart w:id="70" w:name="_Toc32383"/>
      <w:r>
        <w:rPr>
          <w:rFonts w:hint="eastAsia"/>
        </w:rPr>
        <w:t>表格获取</w:t>
      </w:r>
      <w:bookmarkEnd w:id="69"/>
      <w:bookmarkEnd w:id="70"/>
    </w:p>
    <w:p>
      <w:pPr>
        <w:pStyle w:val="24"/>
        <w:ind w:firstLine="425"/>
      </w:pPr>
      <w:r>
        <w:rPr>
          <w:rFonts w:hint="eastAsia"/>
        </w:rPr>
        <w:t>空表、样表下载网址：</w:t>
      </w:r>
    </w:p>
    <w:p>
      <w:pPr>
        <w:pStyle w:val="24"/>
        <w:ind w:firstLine="425"/>
        <w:jc w:val="left"/>
      </w:pPr>
      <w:r>
        <w:rPr>
          <w:rFonts w:hint="eastAsia"/>
        </w:rPr>
        <w:t xml:space="preserve">山东政务服务网枣庄市-办事服务-食品生产许可。（http://zzzwfw.sd.gov.cn/zz/icity/project/index） </w:t>
      </w:r>
    </w:p>
    <w:p>
      <w:pPr>
        <w:pStyle w:val="3"/>
        <w:ind w:left="0" w:right="0"/>
        <w:jc w:val="both"/>
        <w:rPr>
          <w:rFonts w:ascii="宋体" w:hAnsi="宋体" w:eastAsia="宋体" w:cs="宋体"/>
          <w:u w:val="single"/>
          <w:lang w:val="en-US"/>
        </w:rPr>
      </w:pPr>
      <w:r>
        <w:rPr>
          <w:rFonts w:hint="eastAsia" w:ascii="宋体" w:hAnsi="宋体" w:eastAsia="宋体" w:cs="宋体"/>
          <w:lang w:val="en-US"/>
        </w:rPr>
        <w:t xml:space="preserve">             </w:t>
      </w:r>
      <w:r>
        <w:rPr>
          <w:rFonts w:hint="eastAsia" w:ascii="宋体" w:hAnsi="宋体" w:eastAsia="宋体" w:cs="宋体"/>
          <w:u w:val="single"/>
          <w:lang w:val="en-US"/>
        </w:rPr>
        <w:t xml:space="preserve">             </w:t>
      </w:r>
    </w:p>
    <w:p>
      <w:pPr>
        <w:pStyle w:val="50"/>
      </w:pPr>
    </w:p>
    <w:sectPr>
      <w:footerReference r:id="rId11" w:type="default"/>
      <w:pgSz w:w="11906" w:h="16838"/>
      <w:pgMar w:top="567" w:right="1134" w:bottom="964" w:left="1418" w:header="1418" w:footer="1134" w:gutter="0"/>
      <w:pgNumType w:start="1"/>
      <w:cols w:space="720" w:num="1"/>
      <w:formProt w:val="0"/>
      <w:docGrid w:type="linesAndChars" w:linePitch="312" w:charSpace="53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crosoft JhengHei">
    <w:altName w:val="MingLiU"/>
    <w:panose1 w:val="00000000000000000000"/>
    <w:charset w:val="88"/>
    <w:family w:val="swiss"/>
    <w:pitch w:val="default"/>
    <w:sig w:usb0="00000000" w:usb1="00000000" w:usb2="00000016" w:usb3="00000000" w:csb0="00100009" w:csb1="00000000"/>
  </w:font>
  <w:font w:name="MS Mincho">
    <w:panose1 w:val="02020609040205080304"/>
    <w:charset w:val="80"/>
    <w:family w:val="modern"/>
    <w:pitch w:val="default"/>
    <w:sig w:usb0="A00002BF" w:usb1="68C7FCFB" w:usb2="00000010" w:usb3="00000000" w:csb0="4002009F" w:csb1="DFD70000"/>
  </w:font>
  <w:font w:name="MingLiU">
    <w:panose1 w:val="020203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pict>
        <v:shape id="文本框 2049" o:spid="_x0000_s2051"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M6pebnPAAAABQEAAA8A&#10;AAAAAAAAAQAgAAAAOAAAAGRycy9kb3ducmV2LnhtbFBLAQIUABQAAAAIAIdO4kAliptB0QEAAH8D&#10;AAAOAAAAAAAAAAEAIAAAADQBAABkcnMvZTJvRG9jLnhtbFBLBQYAAAAABgAGAFkBAAB3BQAAAAA=&#10;">
          <v:path/>
          <v:fill on="f" focussize="0,0"/>
          <v:stroke on="f" joinstyle="miter"/>
          <v:imagedata o:title=""/>
          <o:lock v:ext="edit"/>
          <v:textbox inset="0mm,0mm,0mm,0mm" style="mso-fit-shape-to-text:t;">
            <w:txbxContent>
              <w:p>
                <w:pPr>
                  <w:pStyle w:val="92"/>
                </w:pPr>
                <w:r>
                  <w:fldChar w:fldCharType="begin"/>
                </w:r>
                <w:r>
                  <w:instrText xml:space="preserve"> PAGE  \* MERGEFORMAT </w:instrText>
                </w:r>
                <w:r>
                  <w:fldChar w:fldCharType="separate"/>
                </w:r>
                <w:r>
                  <w:t>I</w:t>
                </w:r>
                <w:r>
                  <w:fldChar w:fldCharType="end"/>
                </w:r>
              </w:p>
              <w:p>
                <w:pPr>
                  <w:pStyle w:val="92"/>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pict>
        <v:shape id="文本框 2051" o:spid="_x0000_s2049"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zql5uc8AAAAFAQAADwAA&#10;AAAAAAABACAAAAA4AAAAZHJzL2Rvd25yZXYueG1sUEsBAhQAFAAAAAgAh07iQHXZlG7QAQAAfwMA&#10;AA4AAAAAAAAAAQAgAAAANAEAAGRycy9lMm9Eb2MueG1sUEsFBgAAAAAGAAYAWQEAAHYFAAAAAA==&#10;">
          <v:path/>
          <v:fill on="f" focussize="0,0"/>
          <v:stroke on="f" joinstyle="miter"/>
          <v:imagedata o:title=""/>
          <o:lock v:ext="edit"/>
          <v:textbox inset="0mm,0mm,0mm,0mm" style="mso-fit-shape-to-text:t;">
            <w:txbxContent>
              <w:p>
                <w:pPr>
                  <w:pStyle w:val="9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pPr>
    <w:r>
      <w:t>DB</w:t>
    </w:r>
    <w:r>
      <w:rPr>
        <w:rFonts w:hint="eastAsia"/>
      </w:rPr>
      <w:t>3704</w:t>
    </w:r>
    <w:r>
      <w:t>/</w:t>
    </w:r>
    <w:r>
      <w:rPr>
        <w:rFonts w:hint="eastAsia"/>
      </w:rPr>
      <w:t>T</w:t>
    </w:r>
    <w:r>
      <w:t xml:space="preserve"> </w:t>
    </w:r>
    <w:r>
      <w:rPr>
        <w:rFonts w:hint="eastAsia"/>
        <w:lang w:val="en-US" w:eastAsia="zh-CN"/>
      </w:rPr>
      <w:t>0017</w:t>
    </w:r>
    <w:r>
      <w:t>—</w:t>
    </w:r>
    <w:r>
      <w:rPr>
        <w:rFonts w:hint="eastAsia"/>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4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9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8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8"/>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7"/>
      <w:suff w:val="nothing"/>
      <w:lvlText w:val="%1.%2.%3　"/>
      <w:lvlJc w:val="left"/>
      <w:pPr>
        <w:ind w:left="0"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45"/>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82"/>
      <w:suff w:val="space"/>
      <w:lvlText w:val="%1"/>
      <w:lvlJc w:val="left"/>
      <w:pPr>
        <w:ind w:left="623" w:hanging="425"/>
      </w:pPr>
      <w:rPr>
        <w:rFonts w:hint="eastAsia"/>
      </w:rPr>
    </w:lvl>
    <w:lvl w:ilvl="1" w:tentative="0">
      <w:start w:val="1"/>
      <w:numFmt w:val="decimal"/>
      <w:pStyle w:val="6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94"/>
      <w:suff w:val="nothing"/>
      <w:lvlText w:val="%1——"/>
      <w:lvlJc w:val="left"/>
      <w:pPr>
        <w:ind w:left="833" w:hanging="408"/>
      </w:pPr>
      <w:rPr>
        <w:rFonts w:hint="eastAsia"/>
      </w:rPr>
    </w:lvl>
    <w:lvl w:ilvl="1" w:tentative="0">
      <w:start w:val="1"/>
      <w:numFmt w:val="bullet"/>
      <w:pStyle w:val="91"/>
      <w:lvlText w:val=""/>
      <w:lvlJc w:val="left"/>
      <w:pPr>
        <w:tabs>
          <w:tab w:val="left" w:pos="760"/>
        </w:tabs>
        <w:ind w:left="1264" w:hanging="413"/>
      </w:pPr>
      <w:rPr>
        <w:rFonts w:hint="default" w:ascii="Symbol" w:hAnsi="Symbol"/>
        <w:color w:val="auto"/>
      </w:rPr>
    </w:lvl>
    <w:lvl w:ilvl="2" w:tentative="0">
      <w:start w:val="1"/>
      <w:numFmt w:val="bullet"/>
      <w:pStyle w:val="10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2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5"/>
      <w:lvlText w:val="%2)"/>
      <w:lvlJc w:val="left"/>
      <w:pPr>
        <w:tabs>
          <w:tab w:val="left" w:pos="1260"/>
        </w:tabs>
        <w:ind w:left="1259" w:hanging="419"/>
      </w:pPr>
      <w:rPr>
        <w:rFonts w:hint="eastAsia"/>
      </w:rPr>
    </w:lvl>
    <w:lvl w:ilvl="2" w:tentative="0">
      <w:start w:val="1"/>
      <w:numFmt w:val="decimal"/>
      <w:pStyle w:val="11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8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6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35"/>
      <w:lvlText w:val="%1"/>
      <w:lvlJc w:val="left"/>
      <w:pPr>
        <w:tabs>
          <w:tab w:val="left" w:pos="0"/>
        </w:tabs>
        <w:ind w:left="0" w:hanging="425"/>
      </w:pPr>
      <w:rPr>
        <w:rFonts w:hint="eastAsia"/>
      </w:rPr>
    </w:lvl>
    <w:lvl w:ilvl="1" w:tentative="0">
      <w:start w:val="1"/>
      <w:numFmt w:val="decimal"/>
      <w:pStyle w:val="11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5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65"/>
      <w:suff w:val="nothing"/>
      <w:lvlText w:val="附　录　%1"/>
      <w:lvlJc w:val="left"/>
      <w:pPr>
        <w:ind w:left="8080" w:firstLine="0"/>
      </w:pPr>
      <w:rPr>
        <w:rFonts w:hint="eastAsia" w:ascii="黑体" w:hAnsi="Times New Roman" w:eastAsia="黑体"/>
        <w:b w:val="0"/>
        <w:i w:val="0"/>
        <w:spacing w:val="0"/>
        <w:w w:val="100"/>
        <w:sz w:val="21"/>
      </w:rPr>
    </w:lvl>
    <w:lvl w:ilvl="1" w:tentative="0">
      <w:start w:val="1"/>
      <w:numFmt w:val="decimal"/>
      <w:pStyle w:val="60"/>
      <w:suff w:val="nothing"/>
      <w:lvlText w:val="%1.%2　"/>
      <w:lvlJc w:val="left"/>
      <w:pPr>
        <w:ind w:left="8080" w:firstLine="0"/>
      </w:pPr>
      <w:rPr>
        <w:rFonts w:hint="eastAsia" w:ascii="黑体" w:hAnsi="Times New Roman" w:eastAsia="黑体"/>
        <w:b w:val="0"/>
        <w:i w:val="0"/>
        <w:snapToGrid/>
        <w:spacing w:val="0"/>
        <w:w w:val="100"/>
        <w:kern w:val="21"/>
        <w:sz w:val="21"/>
      </w:rPr>
    </w:lvl>
    <w:lvl w:ilvl="2" w:tentative="0">
      <w:start w:val="1"/>
      <w:numFmt w:val="decimal"/>
      <w:pStyle w:val="84"/>
      <w:suff w:val="nothing"/>
      <w:lvlText w:val="%1.%2.%3　"/>
      <w:lvlJc w:val="left"/>
      <w:pPr>
        <w:ind w:left="8080" w:firstLine="0"/>
      </w:pPr>
      <w:rPr>
        <w:rFonts w:hint="eastAsia" w:ascii="黑体" w:hAnsi="Times New Roman" w:eastAsia="黑体"/>
        <w:b w:val="0"/>
        <w:i w:val="0"/>
        <w:sz w:val="21"/>
      </w:rPr>
    </w:lvl>
    <w:lvl w:ilvl="3" w:tentative="0">
      <w:start w:val="1"/>
      <w:numFmt w:val="decimal"/>
      <w:pStyle w:val="57"/>
      <w:suff w:val="nothing"/>
      <w:lvlText w:val="%1.%2.%3.%4　"/>
      <w:lvlJc w:val="left"/>
      <w:pPr>
        <w:ind w:left="8080" w:firstLine="0"/>
      </w:pPr>
      <w:rPr>
        <w:rFonts w:hint="eastAsia" w:ascii="黑体" w:hAnsi="Times New Roman" w:eastAsia="黑体"/>
        <w:b w:val="0"/>
        <w:i w:val="0"/>
        <w:sz w:val="21"/>
      </w:rPr>
    </w:lvl>
    <w:lvl w:ilvl="4" w:tentative="0">
      <w:start w:val="1"/>
      <w:numFmt w:val="decimal"/>
      <w:pStyle w:val="72"/>
      <w:suff w:val="nothing"/>
      <w:lvlText w:val="%1.%2.%3.%4.%5　"/>
      <w:lvlJc w:val="left"/>
      <w:pPr>
        <w:ind w:left="8080" w:firstLine="0"/>
      </w:pPr>
      <w:rPr>
        <w:rFonts w:hint="eastAsia" w:ascii="黑体" w:hAnsi="Times New Roman" w:eastAsia="黑体"/>
        <w:b w:val="0"/>
        <w:i w:val="0"/>
        <w:sz w:val="21"/>
      </w:rPr>
    </w:lvl>
    <w:lvl w:ilvl="5" w:tentative="0">
      <w:start w:val="1"/>
      <w:numFmt w:val="decimal"/>
      <w:pStyle w:val="71"/>
      <w:suff w:val="nothing"/>
      <w:lvlText w:val="%1.%2.%3.%4.%5.%6　"/>
      <w:lvlJc w:val="left"/>
      <w:pPr>
        <w:ind w:left="8080" w:firstLine="0"/>
      </w:pPr>
      <w:rPr>
        <w:rFonts w:hint="eastAsia" w:ascii="黑体" w:hAnsi="Times New Roman" w:eastAsia="黑体"/>
        <w:b w:val="0"/>
        <w:i w:val="0"/>
        <w:sz w:val="21"/>
      </w:rPr>
    </w:lvl>
    <w:lvl w:ilvl="6" w:tentative="0">
      <w:start w:val="1"/>
      <w:numFmt w:val="decimal"/>
      <w:pStyle w:val="70"/>
      <w:suff w:val="nothing"/>
      <w:lvlText w:val="%1.%2.%3.%4.%5.%6.%7　"/>
      <w:lvlJc w:val="left"/>
      <w:pPr>
        <w:ind w:left="8080" w:firstLine="0"/>
      </w:pPr>
      <w:rPr>
        <w:rFonts w:hint="eastAsia" w:ascii="黑体" w:hAnsi="Times New Roman" w:eastAsia="黑体"/>
        <w:b w:val="0"/>
        <w:i w:val="0"/>
        <w:sz w:val="21"/>
      </w:rPr>
    </w:lvl>
    <w:lvl w:ilvl="7" w:tentative="0">
      <w:start w:val="1"/>
      <w:numFmt w:val="decimal"/>
      <w:lvlText w:val="%1.%2.%3.%4.%5.%6.%7.%8"/>
      <w:lvlJc w:val="left"/>
      <w:pPr>
        <w:tabs>
          <w:tab w:val="left" w:pos="12474"/>
        </w:tabs>
        <w:ind w:left="12474" w:hanging="1418"/>
      </w:pPr>
      <w:rPr>
        <w:rFonts w:hint="eastAsia"/>
      </w:rPr>
    </w:lvl>
    <w:lvl w:ilvl="8" w:tentative="0">
      <w:start w:val="1"/>
      <w:numFmt w:val="decimal"/>
      <w:lvlText w:val="%1.%2.%3.%4.%5.%6.%7.%8.%9"/>
      <w:lvlJc w:val="left"/>
      <w:pPr>
        <w:tabs>
          <w:tab w:val="left" w:pos="13182"/>
        </w:tabs>
        <w:ind w:left="13182" w:hanging="1700"/>
      </w:pPr>
      <w:rPr>
        <w:rFonts w:hint="eastAsia"/>
      </w:rPr>
    </w:lvl>
  </w:abstractNum>
  <w:abstractNum w:abstractNumId="15">
    <w:nsid w:val="6D6C07CD"/>
    <w:multiLevelType w:val="multilevel"/>
    <w:tmpl w:val="6D6C07CD"/>
    <w:lvl w:ilvl="0" w:tentative="0">
      <w:start w:val="1"/>
      <w:numFmt w:val="lowerLetter"/>
      <w:pStyle w:val="52"/>
      <w:lvlText w:val="%1)"/>
      <w:lvlJc w:val="left"/>
      <w:pPr>
        <w:tabs>
          <w:tab w:val="left" w:pos="839"/>
        </w:tabs>
        <w:ind w:left="839" w:hanging="419"/>
      </w:pPr>
      <w:rPr>
        <w:rFonts w:hint="eastAsia" w:ascii="宋体" w:eastAsia="宋体"/>
        <w:b w:val="0"/>
        <w:i w:val="0"/>
        <w:sz w:val="21"/>
      </w:rPr>
    </w:lvl>
    <w:lvl w:ilvl="1" w:tentative="0">
      <w:start w:val="1"/>
      <w:numFmt w:val="decimal"/>
      <w:pStyle w:val="5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8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0"/>
  </w:num>
  <w:num w:numId="4">
    <w:abstractNumId w:val="15"/>
  </w:num>
  <w:num w:numId="5">
    <w:abstractNumId w:val="13"/>
  </w:num>
  <w:num w:numId="6">
    <w:abstractNumId w:val="14"/>
  </w:num>
  <w:num w:numId="7">
    <w:abstractNumId w:val="11"/>
  </w:num>
  <w:num w:numId="8">
    <w:abstractNumId w:val="6"/>
  </w:num>
  <w:num w:numId="9">
    <w:abstractNumId w:val="4"/>
  </w:num>
  <w:num w:numId="10">
    <w:abstractNumId w:val="16"/>
  </w:num>
  <w:num w:numId="11">
    <w:abstractNumId w:val="10"/>
  </w:num>
  <w:num w:numId="12">
    <w:abstractNumId w:val="7"/>
  </w:num>
  <w:num w:numId="13">
    <w:abstractNumId w:val="9"/>
  </w:num>
  <w:num w:numId="14">
    <w:abstractNumId w:val="2"/>
  </w:num>
  <w:num w:numId="15">
    <w:abstractNumId w:val="12"/>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val="1"/>
  <w:documentProtection w:enforcement="0"/>
  <w:defaultTabStop w:val="420"/>
  <w:drawingGridHorizontalSpacing w:val="106"/>
  <w:drawingGridVerticalSpacing w:val="16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1"/>
  </w:compat>
  <w:rsids>
    <w:rsidRoot w:val="00035925"/>
    <w:rsid w:val="00000244"/>
    <w:rsid w:val="0000185F"/>
    <w:rsid w:val="000031B4"/>
    <w:rsid w:val="0000586F"/>
    <w:rsid w:val="00013D86"/>
    <w:rsid w:val="00013E02"/>
    <w:rsid w:val="0002125B"/>
    <w:rsid w:val="0002143C"/>
    <w:rsid w:val="0002347B"/>
    <w:rsid w:val="00025A65"/>
    <w:rsid w:val="00026C31"/>
    <w:rsid w:val="00027280"/>
    <w:rsid w:val="000320A7"/>
    <w:rsid w:val="00035925"/>
    <w:rsid w:val="00052AB0"/>
    <w:rsid w:val="00067CDF"/>
    <w:rsid w:val="00074FBE"/>
    <w:rsid w:val="00083A09"/>
    <w:rsid w:val="0009005E"/>
    <w:rsid w:val="00092857"/>
    <w:rsid w:val="000A20A9"/>
    <w:rsid w:val="000A48B1"/>
    <w:rsid w:val="000B3143"/>
    <w:rsid w:val="000C6B05"/>
    <w:rsid w:val="000C6DD6"/>
    <w:rsid w:val="000C73D4"/>
    <w:rsid w:val="000D1936"/>
    <w:rsid w:val="000D3D4C"/>
    <w:rsid w:val="000D4F51"/>
    <w:rsid w:val="000D718B"/>
    <w:rsid w:val="000E0C46"/>
    <w:rsid w:val="000F030C"/>
    <w:rsid w:val="000F129C"/>
    <w:rsid w:val="001056DE"/>
    <w:rsid w:val="001124C0"/>
    <w:rsid w:val="00121102"/>
    <w:rsid w:val="0013175F"/>
    <w:rsid w:val="00137C68"/>
    <w:rsid w:val="001512B4"/>
    <w:rsid w:val="00152A9A"/>
    <w:rsid w:val="001620A5"/>
    <w:rsid w:val="00162C5F"/>
    <w:rsid w:val="00164E53"/>
    <w:rsid w:val="0016699D"/>
    <w:rsid w:val="00175159"/>
    <w:rsid w:val="00176208"/>
    <w:rsid w:val="00180022"/>
    <w:rsid w:val="0018211B"/>
    <w:rsid w:val="001835E5"/>
    <w:rsid w:val="001840D3"/>
    <w:rsid w:val="00187833"/>
    <w:rsid w:val="00187E79"/>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E24B4"/>
    <w:rsid w:val="001F3A19"/>
    <w:rsid w:val="001F6C4F"/>
    <w:rsid w:val="0021572A"/>
    <w:rsid w:val="00217BA2"/>
    <w:rsid w:val="00234467"/>
    <w:rsid w:val="00237D8D"/>
    <w:rsid w:val="00241DA2"/>
    <w:rsid w:val="00247FEE"/>
    <w:rsid w:val="00250C6D"/>
    <w:rsid w:val="00250E7D"/>
    <w:rsid w:val="002565D5"/>
    <w:rsid w:val="002622C0"/>
    <w:rsid w:val="00265412"/>
    <w:rsid w:val="002778AE"/>
    <w:rsid w:val="0028269A"/>
    <w:rsid w:val="00283590"/>
    <w:rsid w:val="00286973"/>
    <w:rsid w:val="00294E70"/>
    <w:rsid w:val="00297724"/>
    <w:rsid w:val="002A1924"/>
    <w:rsid w:val="002A2A74"/>
    <w:rsid w:val="002A7420"/>
    <w:rsid w:val="002B0F12"/>
    <w:rsid w:val="002B1308"/>
    <w:rsid w:val="002B19D2"/>
    <w:rsid w:val="002B38C0"/>
    <w:rsid w:val="002B3CA8"/>
    <w:rsid w:val="002B4554"/>
    <w:rsid w:val="002C72D8"/>
    <w:rsid w:val="002D11FA"/>
    <w:rsid w:val="002E0DDF"/>
    <w:rsid w:val="002E2245"/>
    <w:rsid w:val="002E2906"/>
    <w:rsid w:val="002E5635"/>
    <w:rsid w:val="002E64C3"/>
    <w:rsid w:val="002E6A2C"/>
    <w:rsid w:val="002F1D8C"/>
    <w:rsid w:val="002F21DA"/>
    <w:rsid w:val="00301F39"/>
    <w:rsid w:val="003025E3"/>
    <w:rsid w:val="00325926"/>
    <w:rsid w:val="00327A8A"/>
    <w:rsid w:val="0033059B"/>
    <w:rsid w:val="00336610"/>
    <w:rsid w:val="00343F73"/>
    <w:rsid w:val="00345060"/>
    <w:rsid w:val="0035323B"/>
    <w:rsid w:val="00353DA2"/>
    <w:rsid w:val="003609D2"/>
    <w:rsid w:val="00363F22"/>
    <w:rsid w:val="00375564"/>
    <w:rsid w:val="003771D4"/>
    <w:rsid w:val="00383191"/>
    <w:rsid w:val="00386C04"/>
    <w:rsid w:val="00386DED"/>
    <w:rsid w:val="003912E7"/>
    <w:rsid w:val="00393947"/>
    <w:rsid w:val="003953AD"/>
    <w:rsid w:val="003A2275"/>
    <w:rsid w:val="003A4762"/>
    <w:rsid w:val="003A59C5"/>
    <w:rsid w:val="003A6A4F"/>
    <w:rsid w:val="003A7088"/>
    <w:rsid w:val="003B00DF"/>
    <w:rsid w:val="003B1275"/>
    <w:rsid w:val="003B1778"/>
    <w:rsid w:val="003B6EA8"/>
    <w:rsid w:val="003B72C5"/>
    <w:rsid w:val="003C06C3"/>
    <w:rsid w:val="003C11CB"/>
    <w:rsid w:val="003C609F"/>
    <w:rsid w:val="003C75F3"/>
    <w:rsid w:val="003C78A3"/>
    <w:rsid w:val="003D352A"/>
    <w:rsid w:val="003E1867"/>
    <w:rsid w:val="003E5729"/>
    <w:rsid w:val="003F28F1"/>
    <w:rsid w:val="003F46D8"/>
    <w:rsid w:val="003F4EE0"/>
    <w:rsid w:val="00400CB1"/>
    <w:rsid w:val="00402153"/>
    <w:rsid w:val="00402FC1"/>
    <w:rsid w:val="00414BB4"/>
    <w:rsid w:val="004244C1"/>
    <w:rsid w:val="0042494E"/>
    <w:rsid w:val="00425082"/>
    <w:rsid w:val="00431DEB"/>
    <w:rsid w:val="00443864"/>
    <w:rsid w:val="00446B29"/>
    <w:rsid w:val="00453F9A"/>
    <w:rsid w:val="0045692C"/>
    <w:rsid w:val="0046041A"/>
    <w:rsid w:val="00471216"/>
    <w:rsid w:val="00471E91"/>
    <w:rsid w:val="00474675"/>
    <w:rsid w:val="0047470C"/>
    <w:rsid w:val="004817AF"/>
    <w:rsid w:val="0049539A"/>
    <w:rsid w:val="004A0B76"/>
    <w:rsid w:val="004A1933"/>
    <w:rsid w:val="004A3269"/>
    <w:rsid w:val="004A35F9"/>
    <w:rsid w:val="004A5E7F"/>
    <w:rsid w:val="004B24C1"/>
    <w:rsid w:val="004B6DB6"/>
    <w:rsid w:val="004C292F"/>
    <w:rsid w:val="004C6ED7"/>
    <w:rsid w:val="004F06AC"/>
    <w:rsid w:val="004F1ECB"/>
    <w:rsid w:val="00510280"/>
    <w:rsid w:val="00513D73"/>
    <w:rsid w:val="00514A43"/>
    <w:rsid w:val="005174E5"/>
    <w:rsid w:val="00522393"/>
    <w:rsid w:val="00522620"/>
    <w:rsid w:val="00525656"/>
    <w:rsid w:val="00534C02"/>
    <w:rsid w:val="0054264B"/>
    <w:rsid w:val="00543786"/>
    <w:rsid w:val="005533D7"/>
    <w:rsid w:val="005678A0"/>
    <w:rsid w:val="005703DE"/>
    <w:rsid w:val="0057406D"/>
    <w:rsid w:val="0058464E"/>
    <w:rsid w:val="00590C5A"/>
    <w:rsid w:val="00591E3F"/>
    <w:rsid w:val="0059393C"/>
    <w:rsid w:val="005A01CB"/>
    <w:rsid w:val="005A0DFA"/>
    <w:rsid w:val="005A58FF"/>
    <w:rsid w:val="005A5EAF"/>
    <w:rsid w:val="005A64C0"/>
    <w:rsid w:val="005B3492"/>
    <w:rsid w:val="005B3C11"/>
    <w:rsid w:val="005C1C28"/>
    <w:rsid w:val="005C41AC"/>
    <w:rsid w:val="005C6DB5"/>
    <w:rsid w:val="005D2C3D"/>
    <w:rsid w:val="005D7B37"/>
    <w:rsid w:val="005E0C2E"/>
    <w:rsid w:val="005E19E7"/>
    <w:rsid w:val="0061716C"/>
    <w:rsid w:val="006243A1"/>
    <w:rsid w:val="00632E56"/>
    <w:rsid w:val="00635CBA"/>
    <w:rsid w:val="0064338B"/>
    <w:rsid w:val="00646542"/>
    <w:rsid w:val="006504F4"/>
    <w:rsid w:val="00654BC9"/>
    <w:rsid w:val="006552FD"/>
    <w:rsid w:val="00663AF3"/>
    <w:rsid w:val="00665F0A"/>
    <w:rsid w:val="00666B6C"/>
    <w:rsid w:val="00682682"/>
    <w:rsid w:val="00682702"/>
    <w:rsid w:val="0068461B"/>
    <w:rsid w:val="00690926"/>
    <w:rsid w:val="00692368"/>
    <w:rsid w:val="00696753"/>
    <w:rsid w:val="006A2EBC"/>
    <w:rsid w:val="006A5791"/>
    <w:rsid w:val="006A57BA"/>
    <w:rsid w:val="006A5EA0"/>
    <w:rsid w:val="006A783B"/>
    <w:rsid w:val="006A7B33"/>
    <w:rsid w:val="006B4C67"/>
    <w:rsid w:val="006B4E13"/>
    <w:rsid w:val="006B75DD"/>
    <w:rsid w:val="006C67E0"/>
    <w:rsid w:val="006C7ABA"/>
    <w:rsid w:val="006D0D60"/>
    <w:rsid w:val="006D1122"/>
    <w:rsid w:val="006D3C00"/>
    <w:rsid w:val="006E10B1"/>
    <w:rsid w:val="006E3675"/>
    <w:rsid w:val="006E4A7F"/>
    <w:rsid w:val="006F26A9"/>
    <w:rsid w:val="006F5D86"/>
    <w:rsid w:val="00704DF6"/>
    <w:rsid w:val="0070651C"/>
    <w:rsid w:val="007132A3"/>
    <w:rsid w:val="00716421"/>
    <w:rsid w:val="00724EFB"/>
    <w:rsid w:val="007419C3"/>
    <w:rsid w:val="00743727"/>
    <w:rsid w:val="007467A7"/>
    <w:rsid w:val="007469DD"/>
    <w:rsid w:val="0074741B"/>
    <w:rsid w:val="0074759E"/>
    <w:rsid w:val="007478EA"/>
    <w:rsid w:val="0075415C"/>
    <w:rsid w:val="00757152"/>
    <w:rsid w:val="007606A9"/>
    <w:rsid w:val="00763502"/>
    <w:rsid w:val="0078479F"/>
    <w:rsid w:val="007913AB"/>
    <w:rsid w:val="007914F7"/>
    <w:rsid w:val="0079182D"/>
    <w:rsid w:val="00793BC8"/>
    <w:rsid w:val="0079544E"/>
    <w:rsid w:val="007A3EE6"/>
    <w:rsid w:val="007B1625"/>
    <w:rsid w:val="007B706E"/>
    <w:rsid w:val="007B71EB"/>
    <w:rsid w:val="007C6205"/>
    <w:rsid w:val="007C686A"/>
    <w:rsid w:val="007C728E"/>
    <w:rsid w:val="007D2C53"/>
    <w:rsid w:val="007D2D98"/>
    <w:rsid w:val="007D3D60"/>
    <w:rsid w:val="007D69D0"/>
    <w:rsid w:val="007E1980"/>
    <w:rsid w:val="007E4B76"/>
    <w:rsid w:val="007E5EA8"/>
    <w:rsid w:val="007F0CF1"/>
    <w:rsid w:val="007F12A5"/>
    <w:rsid w:val="007F4CF1"/>
    <w:rsid w:val="007F758D"/>
    <w:rsid w:val="007F7D52"/>
    <w:rsid w:val="0080654C"/>
    <w:rsid w:val="008071C6"/>
    <w:rsid w:val="008148CD"/>
    <w:rsid w:val="00817A00"/>
    <w:rsid w:val="00831490"/>
    <w:rsid w:val="00834C5D"/>
    <w:rsid w:val="00835DB3"/>
    <w:rsid w:val="0083617B"/>
    <w:rsid w:val="008371BD"/>
    <w:rsid w:val="00845978"/>
    <w:rsid w:val="008504A8"/>
    <w:rsid w:val="0085282E"/>
    <w:rsid w:val="0087198C"/>
    <w:rsid w:val="00872C1F"/>
    <w:rsid w:val="00873B42"/>
    <w:rsid w:val="008856D8"/>
    <w:rsid w:val="00885E1C"/>
    <w:rsid w:val="0088639D"/>
    <w:rsid w:val="00892E82"/>
    <w:rsid w:val="008C1B58"/>
    <w:rsid w:val="008C39AE"/>
    <w:rsid w:val="008C590D"/>
    <w:rsid w:val="008C7128"/>
    <w:rsid w:val="008E031B"/>
    <w:rsid w:val="008E1A43"/>
    <w:rsid w:val="008E7029"/>
    <w:rsid w:val="008E7EF6"/>
    <w:rsid w:val="008F1F98"/>
    <w:rsid w:val="008F6758"/>
    <w:rsid w:val="009040DD"/>
    <w:rsid w:val="00905B47"/>
    <w:rsid w:val="0091331C"/>
    <w:rsid w:val="00922D60"/>
    <w:rsid w:val="00924B94"/>
    <w:rsid w:val="009279DE"/>
    <w:rsid w:val="00930116"/>
    <w:rsid w:val="00934E3A"/>
    <w:rsid w:val="00937146"/>
    <w:rsid w:val="0094212C"/>
    <w:rsid w:val="00947A09"/>
    <w:rsid w:val="0095403D"/>
    <w:rsid w:val="00954689"/>
    <w:rsid w:val="00957217"/>
    <w:rsid w:val="009617C9"/>
    <w:rsid w:val="00961C93"/>
    <w:rsid w:val="00965324"/>
    <w:rsid w:val="0097091E"/>
    <w:rsid w:val="00972B02"/>
    <w:rsid w:val="009760D3"/>
    <w:rsid w:val="00977132"/>
    <w:rsid w:val="00981A4B"/>
    <w:rsid w:val="00982501"/>
    <w:rsid w:val="009877D3"/>
    <w:rsid w:val="00994E8F"/>
    <w:rsid w:val="009951DC"/>
    <w:rsid w:val="009959BB"/>
    <w:rsid w:val="00997158"/>
    <w:rsid w:val="009A3A7C"/>
    <w:rsid w:val="009B1E70"/>
    <w:rsid w:val="009B2ADB"/>
    <w:rsid w:val="009B603A"/>
    <w:rsid w:val="009C2D0E"/>
    <w:rsid w:val="009C3DAC"/>
    <w:rsid w:val="009C42E0"/>
    <w:rsid w:val="009D5362"/>
    <w:rsid w:val="009E1415"/>
    <w:rsid w:val="009E30CE"/>
    <w:rsid w:val="009E6116"/>
    <w:rsid w:val="009F7C98"/>
    <w:rsid w:val="00A02527"/>
    <w:rsid w:val="00A02E43"/>
    <w:rsid w:val="00A03091"/>
    <w:rsid w:val="00A05099"/>
    <w:rsid w:val="00A065F9"/>
    <w:rsid w:val="00A07F34"/>
    <w:rsid w:val="00A120F6"/>
    <w:rsid w:val="00A16A72"/>
    <w:rsid w:val="00A22154"/>
    <w:rsid w:val="00A25C38"/>
    <w:rsid w:val="00A30208"/>
    <w:rsid w:val="00A36BBE"/>
    <w:rsid w:val="00A4307A"/>
    <w:rsid w:val="00A47EBB"/>
    <w:rsid w:val="00A51CDD"/>
    <w:rsid w:val="00A6730D"/>
    <w:rsid w:val="00A71625"/>
    <w:rsid w:val="00A71B9B"/>
    <w:rsid w:val="00A751C7"/>
    <w:rsid w:val="00A861A9"/>
    <w:rsid w:val="00A87844"/>
    <w:rsid w:val="00AA038C"/>
    <w:rsid w:val="00AA1C7E"/>
    <w:rsid w:val="00AA4B25"/>
    <w:rsid w:val="00AA7A09"/>
    <w:rsid w:val="00AB3B50"/>
    <w:rsid w:val="00AB40D7"/>
    <w:rsid w:val="00AC05B1"/>
    <w:rsid w:val="00AC40CF"/>
    <w:rsid w:val="00AC7583"/>
    <w:rsid w:val="00AC7B38"/>
    <w:rsid w:val="00AD356C"/>
    <w:rsid w:val="00AE2914"/>
    <w:rsid w:val="00AE6D15"/>
    <w:rsid w:val="00AF7CAF"/>
    <w:rsid w:val="00B04182"/>
    <w:rsid w:val="00B07AE3"/>
    <w:rsid w:val="00B11430"/>
    <w:rsid w:val="00B131D7"/>
    <w:rsid w:val="00B353EB"/>
    <w:rsid w:val="00B42508"/>
    <w:rsid w:val="00B439C4"/>
    <w:rsid w:val="00B4535E"/>
    <w:rsid w:val="00B52A8C"/>
    <w:rsid w:val="00B52CF8"/>
    <w:rsid w:val="00B636A8"/>
    <w:rsid w:val="00B665C6"/>
    <w:rsid w:val="00B66A51"/>
    <w:rsid w:val="00B805AF"/>
    <w:rsid w:val="00B81494"/>
    <w:rsid w:val="00B856EE"/>
    <w:rsid w:val="00B869EC"/>
    <w:rsid w:val="00B9397A"/>
    <w:rsid w:val="00B9633D"/>
    <w:rsid w:val="00BA2EBE"/>
    <w:rsid w:val="00BA3FAE"/>
    <w:rsid w:val="00BB0F28"/>
    <w:rsid w:val="00BB458A"/>
    <w:rsid w:val="00BC3FB3"/>
    <w:rsid w:val="00BD00D3"/>
    <w:rsid w:val="00BD1659"/>
    <w:rsid w:val="00BD3AA9"/>
    <w:rsid w:val="00BD4A18"/>
    <w:rsid w:val="00BD6DB2"/>
    <w:rsid w:val="00BE11CF"/>
    <w:rsid w:val="00BE1689"/>
    <w:rsid w:val="00BE21AB"/>
    <w:rsid w:val="00BE48AE"/>
    <w:rsid w:val="00BE55CB"/>
    <w:rsid w:val="00BF1388"/>
    <w:rsid w:val="00BF273D"/>
    <w:rsid w:val="00BF617A"/>
    <w:rsid w:val="00BF7206"/>
    <w:rsid w:val="00BF7D7C"/>
    <w:rsid w:val="00C0379D"/>
    <w:rsid w:val="00C03931"/>
    <w:rsid w:val="00C05966"/>
    <w:rsid w:val="00C05FE3"/>
    <w:rsid w:val="00C20D97"/>
    <w:rsid w:val="00C2136D"/>
    <w:rsid w:val="00C214EE"/>
    <w:rsid w:val="00C222A7"/>
    <w:rsid w:val="00C2314B"/>
    <w:rsid w:val="00C24971"/>
    <w:rsid w:val="00C26BE5"/>
    <w:rsid w:val="00C26E4D"/>
    <w:rsid w:val="00C27909"/>
    <w:rsid w:val="00C27B03"/>
    <w:rsid w:val="00C314E1"/>
    <w:rsid w:val="00C34397"/>
    <w:rsid w:val="00C35A00"/>
    <w:rsid w:val="00C4095D"/>
    <w:rsid w:val="00C42399"/>
    <w:rsid w:val="00C47A15"/>
    <w:rsid w:val="00C50D41"/>
    <w:rsid w:val="00C53ED5"/>
    <w:rsid w:val="00C601D2"/>
    <w:rsid w:val="00C62718"/>
    <w:rsid w:val="00C657AB"/>
    <w:rsid w:val="00C65BCC"/>
    <w:rsid w:val="00C66970"/>
    <w:rsid w:val="00C8691C"/>
    <w:rsid w:val="00CA168A"/>
    <w:rsid w:val="00CA357E"/>
    <w:rsid w:val="00CA44F9"/>
    <w:rsid w:val="00CA4A69"/>
    <w:rsid w:val="00CC3E0C"/>
    <w:rsid w:val="00CC58D3"/>
    <w:rsid w:val="00CC784D"/>
    <w:rsid w:val="00CC7E76"/>
    <w:rsid w:val="00CD00AB"/>
    <w:rsid w:val="00CD692F"/>
    <w:rsid w:val="00D0337B"/>
    <w:rsid w:val="00D079B2"/>
    <w:rsid w:val="00D114E9"/>
    <w:rsid w:val="00D156CA"/>
    <w:rsid w:val="00D256CD"/>
    <w:rsid w:val="00D413E6"/>
    <w:rsid w:val="00D41B42"/>
    <w:rsid w:val="00D429C6"/>
    <w:rsid w:val="00D47748"/>
    <w:rsid w:val="00D54CC3"/>
    <w:rsid w:val="00D6041A"/>
    <w:rsid w:val="00D633EB"/>
    <w:rsid w:val="00D677A7"/>
    <w:rsid w:val="00D7500D"/>
    <w:rsid w:val="00D82FF7"/>
    <w:rsid w:val="00D847FE"/>
    <w:rsid w:val="00D93C15"/>
    <w:rsid w:val="00D964EA"/>
    <w:rsid w:val="00D966D0"/>
    <w:rsid w:val="00DA0C59"/>
    <w:rsid w:val="00DA3991"/>
    <w:rsid w:val="00DB7E6C"/>
    <w:rsid w:val="00DD5A29"/>
    <w:rsid w:val="00DD5D9D"/>
    <w:rsid w:val="00DD64DB"/>
    <w:rsid w:val="00DE35CB"/>
    <w:rsid w:val="00DF01CC"/>
    <w:rsid w:val="00DF21E9"/>
    <w:rsid w:val="00E00F14"/>
    <w:rsid w:val="00E06386"/>
    <w:rsid w:val="00E16C5E"/>
    <w:rsid w:val="00E24EB4"/>
    <w:rsid w:val="00E25C97"/>
    <w:rsid w:val="00E320ED"/>
    <w:rsid w:val="00E32E35"/>
    <w:rsid w:val="00E33AFB"/>
    <w:rsid w:val="00E34218"/>
    <w:rsid w:val="00E426F8"/>
    <w:rsid w:val="00E44A3B"/>
    <w:rsid w:val="00E46282"/>
    <w:rsid w:val="00E46808"/>
    <w:rsid w:val="00E5216E"/>
    <w:rsid w:val="00E7269B"/>
    <w:rsid w:val="00E76270"/>
    <w:rsid w:val="00E82344"/>
    <w:rsid w:val="00E8358B"/>
    <w:rsid w:val="00E84C82"/>
    <w:rsid w:val="00E84D64"/>
    <w:rsid w:val="00E8535B"/>
    <w:rsid w:val="00E87408"/>
    <w:rsid w:val="00E914C4"/>
    <w:rsid w:val="00E934F5"/>
    <w:rsid w:val="00E96551"/>
    <w:rsid w:val="00E96961"/>
    <w:rsid w:val="00EA617C"/>
    <w:rsid w:val="00EA72EC"/>
    <w:rsid w:val="00EB11CB"/>
    <w:rsid w:val="00EB275A"/>
    <w:rsid w:val="00EB786A"/>
    <w:rsid w:val="00EC1578"/>
    <w:rsid w:val="00EC1C72"/>
    <w:rsid w:val="00EC36B6"/>
    <w:rsid w:val="00EC3CC9"/>
    <w:rsid w:val="00EC4E14"/>
    <w:rsid w:val="00EC66B5"/>
    <w:rsid w:val="00EC680A"/>
    <w:rsid w:val="00EE2BED"/>
    <w:rsid w:val="00EE374B"/>
    <w:rsid w:val="00F0347C"/>
    <w:rsid w:val="00F11BB5"/>
    <w:rsid w:val="00F1417B"/>
    <w:rsid w:val="00F27EED"/>
    <w:rsid w:val="00F30894"/>
    <w:rsid w:val="00F34B99"/>
    <w:rsid w:val="00F52DAB"/>
    <w:rsid w:val="00F543F0"/>
    <w:rsid w:val="00F61BA1"/>
    <w:rsid w:val="00F7002D"/>
    <w:rsid w:val="00F81D29"/>
    <w:rsid w:val="00F91C4D"/>
    <w:rsid w:val="00F9235F"/>
    <w:rsid w:val="00F92FD9"/>
    <w:rsid w:val="00FA230F"/>
    <w:rsid w:val="00FA6684"/>
    <w:rsid w:val="00FA6E42"/>
    <w:rsid w:val="00FA731E"/>
    <w:rsid w:val="00FB2A10"/>
    <w:rsid w:val="00FB2B38"/>
    <w:rsid w:val="00FB50D2"/>
    <w:rsid w:val="00FC5BBE"/>
    <w:rsid w:val="00FC6358"/>
    <w:rsid w:val="00FC7342"/>
    <w:rsid w:val="00FC7469"/>
    <w:rsid w:val="00FD320D"/>
    <w:rsid w:val="00FE23DE"/>
    <w:rsid w:val="00FF02AE"/>
    <w:rsid w:val="00FF44EC"/>
    <w:rsid w:val="00FF5D0B"/>
    <w:rsid w:val="022E4256"/>
    <w:rsid w:val="02FE6D03"/>
    <w:rsid w:val="044749F9"/>
    <w:rsid w:val="049042E0"/>
    <w:rsid w:val="09CF33B8"/>
    <w:rsid w:val="0A63194B"/>
    <w:rsid w:val="0A721B8A"/>
    <w:rsid w:val="0B176D62"/>
    <w:rsid w:val="0C9531D3"/>
    <w:rsid w:val="0CAF167A"/>
    <w:rsid w:val="0D3B16B9"/>
    <w:rsid w:val="0D690F54"/>
    <w:rsid w:val="0E053AF1"/>
    <w:rsid w:val="10996A56"/>
    <w:rsid w:val="128A32E6"/>
    <w:rsid w:val="131F7AD8"/>
    <w:rsid w:val="15495E56"/>
    <w:rsid w:val="15D121C9"/>
    <w:rsid w:val="163E5373"/>
    <w:rsid w:val="169769B8"/>
    <w:rsid w:val="183E4F52"/>
    <w:rsid w:val="19D20B44"/>
    <w:rsid w:val="1AB221B8"/>
    <w:rsid w:val="1AFA35AB"/>
    <w:rsid w:val="1BA52355"/>
    <w:rsid w:val="1CE26EC6"/>
    <w:rsid w:val="20D53240"/>
    <w:rsid w:val="20DA296B"/>
    <w:rsid w:val="214D12DD"/>
    <w:rsid w:val="22222375"/>
    <w:rsid w:val="23646F70"/>
    <w:rsid w:val="257F79BD"/>
    <w:rsid w:val="25E37534"/>
    <w:rsid w:val="274E10BB"/>
    <w:rsid w:val="275B3C8A"/>
    <w:rsid w:val="29024792"/>
    <w:rsid w:val="2B5248C3"/>
    <w:rsid w:val="2B732715"/>
    <w:rsid w:val="2B897D91"/>
    <w:rsid w:val="2BFB57F0"/>
    <w:rsid w:val="2CF91ED2"/>
    <w:rsid w:val="2F4C68FD"/>
    <w:rsid w:val="30051329"/>
    <w:rsid w:val="30953154"/>
    <w:rsid w:val="335D5586"/>
    <w:rsid w:val="33EE609D"/>
    <w:rsid w:val="348144C5"/>
    <w:rsid w:val="378024F6"/>
    <w:rsid w:val="384521E6"/>
    <w:rsid w:val="3B630361"/>
    <w:rsid w:val="3F094B04"/>
    <w:rsid w:val="405E73E8"/>
    <w:rsid w:val="40C43BCA"/>
    <w:rsid w:val="40C86DCE"/>
    <w:rsid w:val="4645056B"/>
    <w:rsid w:val="47663F6E"/>
    <w:rsid w:val="48C86808"/>
    <w:rsid w:val="4BB00AC3"/>
    <w:rsid w:val="4E4B7297"/>
    <w:rsid w:val="4EE31284"/>
    <w:rsid w:val="527A590D"/>
    <w:rsid w:val="52E01187"/>
    <w:rsid w:val="54864E22"/>
    <w:rsid w:val="54EC75D6"/>
    <w:rsid w:val="551C671D"/>
    <w:rsid w:val="555738D2"/>
    <w:rsid w:val="56041E11"/>
    <w:rsid w:val="57815D07"/>
    <w:rsid w:val="57F81785"/>
    <w:rsid w:val="58C453A3"/>
    <w:rsid w:val="58F17756"/>
    <w:rsid w:val="5B163604"/>
    <w:rsid w:val="5CCF3955"/>
    <w:rsid w:val="61591AEA"/>
    <w:rsid w:val="61970AA7"/>
    <w:rsid w:val="623E1F8E"/>
    <w:rsid w:val="62FD122F"/>
    <w:rsid w:val="63B335A9"/>
    <w:rsid w:val="65747C56"/>
    <w:rsid w:val="66F11A74"/>
    <w:rsid w:val="67A16D18"/>
    <w:rsid w:val="68450196"/>
    <w:rsid w:val="69A34A76"/>
    <w:rsid w:val="6B0648B7"/>
    <w:rsid w:val="6CDB6ACD"/>
    <w:rsid w:val="6DEA2B44"/>
    <w:rsid w:val="6E886C75"/>
    <w:rsid w:val="6FE91672"/>
    <w:rsid w:val="706013F4"/>
    <w:rsid w:val="709C575D"/>
    <w:rsid w:val="70BD5A6D"/>
    <w:rsid w:val="71412F51"/>
    <w:rsid w:val="72851AF7"/>
    <w:rsid w:val="75EF5896"/>
    <w:rsid w:val="76A611D2"/>
    <w:rsid w:val="770602A3"/>
    <w:rsid w:val="77543519"/>
    <w:rsid w:val="7AE439B0"/>
    <w:rsid w:val="7BD54A63"/>
    <w:rsid w:val="7D81032B"/>
    <w:rsid w:val="7F8C36ED"/>
    <w:rsid w:val="7FDF1972"/>
    <w:rsid w:val="EEF6EC8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autoSpaceDE w:val="0"/>
      <w:autoSpaceDN w:val="0"/>
      <w:spacing w:line="675" w:lineRule="exact"/>
      <w:ind w:left="1891" w:right="1910"/>
      <w:jc w:val="center"/>
      <w:outlineLvl w:val="0"/>
    </w:pPr>
    <w:rPr>
      <w:rFonts w:ascii="Microsoft JhengHei" w:hAnsi="Microsoft JhengHei" w:eastAsia="Microsoft JhengHei" w:cs="Microsoft JhengHei"/>
      <w:b/>
      <w:bCs/>
      <w:kern w:val="0"/>
      <w:sz w:val="44"/>
      <w:szCs w:val="44"/>
      <w:lang w:val="zh-CN" w:bidi="zh-CN"/>
    </w:rPr>
  </w:style>
  <w:style w:type="paragraph" w:styleId="2">
    <w:name w:val="heading 2"/>
    <w:basedOn w:val="1"/>
    <w:next w:val="1"/>
    <w:qFormat/>
    <w:uiPriority w:val="1"/>
    <w:pPr>
      <w:autoSpaceDE w:val="0"/>
      <w:autoSpaceDN w:val="0"/>
      <w:ind w:left="648"/>
      <w:jc w:val="left"/>
      <w:outlineLvl w:val="1"/>
    </w:pPr>
    <w:rPr>
      <w:rFonts w:ascii="Microsoft JhengHei" w:hAnsi="Microsoft JhengHei" w:eastAsia="Microsoft JhengHei" w:cs="Microsoft JhengHei"/>
      <w:b/>
      <w:bCs/>
      <w:kern w:val="0"/>
      <w:sz w:val="36"/>
      <w:szCs w:val="36"/>
      <w:lang w:val="zh-CN" w:bidi="zh-CN"/>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2"/>
      </w:tabs>
      <w:suppressAutoHyphens w:val="0"/>
      <w:ind w:firstLine="105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2"/>
      </w:tabs>
      <w:suppressAutoHyphens w:val="0"/>
      <w:ind w:firstLine="630" w:firstLineChars="300"/>
      <w:jc w:val="left"/>
    </w:pPr>
    <w:rPr>
      <w:rFonts w:ascii="宋体"/>
      <w:szCs w:val="21"/>
    </w:rPr>
  </w:style>
  <w:style w:type="paragraph" w:styleId="12">
    <w:name w:val="toc 3"/>
    <w:basedOn w:val="1"/>
    <w:next w:val="1"/>
    <w:qFormat/>
    <w:uiPriority w:val="39"/>
    <w:pPr>
      <w:tabs>
        <w:tab w:val="right" w:leader="dot" w:pos="9242"/>
      </w:tabs>
      <w:suppressAutoHyphens w:val="0"/>
      <w:ind w:firstLine="210" w:firstLineChars="100"/>
      <w:jc w:val="left"/>
    </w:pPr>
    <w:rPr>
      <w:rFonts w:ascii="宋体"/>
      <w:szCs w:val="21"/>
    </w:rPr>
  </w:style>
  <w:style w:type="paragraph" w:styleId="13">
    <w:name w:val="toc 8"/>
    <w:basedOn w:val="1"/>
    <w:next w:val="1"/>
    <w:semiHidden/>
    <w:qFormat/>
    <w:uiPriority w:val="0"/>
    <w:pPr>
      <w:tabs>
        <w:tab w:val="right" w:leader="dot" w:pos="9242"/>
      </w:tabs>
      <w:suppressAutoHyphens w:val="0"/>
      <w:ind w:firstLine="1260"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Date"/>
    <w:basedOn w:val="1"/>
    <w:next w:val="1"/>
    <w:link w:val="141"/>
    <w:semiHidden/>
    <w:qFormat/>
    <w:uiPriority w:val="0"/>
    <w:pPr>
      <w:ind w:left="100" w:leftChars="2500"/>
    </w:pPr>
    <w:rPr>
      <w:rFonts w:ascii="Calibri" w:hAnsi="Calibri"/>
      <w:szCs w:val="22"/>
    </w:rPr>
  </w:style>
  <w:style w:type="paragraph" w:styleId="16">
    <w:name w:val="Body Text Indent 2"/>
    <w:basedOn w:val="1"/>
    <w:qFormat/>
    <w:uiPriority w:val="0"/>
    <w:pPr>
      <w:spacing w:after="120" w:line="480" w:lineRule="auto"/>
      <w:ind w:left="420" w:leftChars="200"/>
    </w:pPr>
    <w:rPr>
      <w:kern w:val="0"/>
      <w:sz w:val="20"/>
    </w:rPr>
  </w:style>
  <w:style w:type="paragraph" w:styleId="17">
    <w:name w:val="endnote text"/>
    <w:basedOn w:val="1"/>
    <w:semiHidden/>
    <w:qFormat/>
    <w:uiPriority w:val="0"/>
    <w:pPr>
      <w:snapToGrid w:val="0"/>
      <w:jc w:val="left"/>
    </w:p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link w:val="142"/>
    <w:qFormat/>
    <w:uiPriority w:val="0"/>
    <w:pPr>
      <w:snapToGrid w:val="0"/>
      <w:jc w:val="left"/>
    </w:pPr>
    <w:rPr>
      <w:sz w:val="18"/>
      <w:szCs w:val="18"/>
    </w:rPr>
  </w:style>
  <w:style w:type="paragraph" w:styleId="20">
    <w:name w:val="toc 1"/>
    <w:basedOn w:val="1"/>
    <w:next w:val="1"/>
    <w:qFormat/>
    <w:uiPriority w:val="39"/>
    <w:pPr>
      <w:tabs>
        <w:tab w:val="right" w:leader="dot" w:pos="9242"/>
      </w:tabs>
      <w:spacing w:before="79" w:beforeLines="25" w:after="79" w:afterLines="25"/>
      <w:jc w:val="left"/>
    </w:pPr>
    <w:rPr>
      <w:rFonts w:ascii="宋体"/>
      <w:szCs w:val="21"/>
    </w:rPr>
  </w:style>
  <w:style w:type="paragraph" w:styleId="21">
    <w:name w:val="toc 4"/>
    <w:basedOn w:val="1"/>
    <w:next w:val="1"/>
    <w:semiHidden/>
    <w:qFormat/>
    <w:uiPriority w:val="0"/>
    <w:pPr>
      <w:tabs>
        <w:tab w:val="right" w:leader="dot" w:pos="9242"/>
      </w:tabs>
      <w:suppressAutoHyphens w:val="0"/>
      <w:ind w:firstLine="42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1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2"/>
      </w:tabs>
      <w:suppressAutoHyphens w:val="0"/>
      <w:ind w:firstLine="84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basedOn w:val="34"/>
    <w:semiHidden/>
    <w:qFormat/>
    <w:uiPriority w:val="0"/>
    <w:rPr>
      <w:vertAlign w:val="superscript"/>
    </w:rPr>
  </w:style>
  <w:style w:type="character" w:styleId="36">
    <w:name w:val="page number"/>
    <w:basedOn w:val="34"/>
    <w:qFormat/>
    <w:uiPriority w:val="0"/>
    <w:rPr>
      <w:rFonts w:ascii="Times New Roman" w:hAnsi="Times New Roman" w:eastAsia="宋体"/>
      <w:sz w:val="18"/>
    </w:rPr>
  </w:style>
  <w:style w:type="character" w:styleId="37">
    <w:name w:val="FollowedHyperlink"/>
    <w:basedOn w:val="34"/>
    <w:qFormat/>
    <w:uiPriority w:val="0"/>
    <w:rPr>
      <w:color w:val="800080"/>
      <w:u w:val="single"/>
    </w:rPr>
  </w:style>
  <w:style w:type="character" w:styleId="38">
    <w:name w:val="Hyperlink"/>
    <w:basedOn w:val="34"/>
    <w:qFormat/>
    <w:uiPriority w:val="99"/>
    <w:rPr>
      <w:color w:val="0000FF"/>
      <w:spacing w:val="0"/>
      <w:w w:val="100"/>
      <w:szCs w:val="21"/>
      <w:u w:val="single"/>
    </w:rPr>
  </w:style>
  <w:style w:type="character" w:styleId="39">
    <w:name w:val="footnote reference"/>
    <w:basedOn w:val="34"/>
    <w:semiHidden/>
    <w:qFormat/>
    <w:uiPriority w:val="0"/>
    <w:rPr>
      <w:vertAlign w:val="superscript"/>
    </w:rPr>
  </w:style>
  <w:style w:type="paragraph" w:customStyle="1" w:styleId="40">
    <w:name w:val="封面标准文稿类别2"/>
    <w:basedOn w:val="41"/>
    <w:qFormat/>
    <w:uiPriority w:val="0"/>
    <w:pPr>
      <w:framePr w:y="4469"/>
    </w:pPr>
  </w:style>
  <w:style w:type="paragraph" w:customStyle="1" w:styleId="41">
    <w:name w:val="封面标准文稿类别"/>
    <w:basedOn w:val="42"/>
    <w:qFormat/>
    <w:uiPriority w:val="0"/>
    <w:pPr>
      <w:spacing w:after="160" w:line="240" w:lineRule="auto"/>
    </w:pPr>
    <w:rPr>
      <w:sz w:val="24"/>
    </w:rPr>
  </w:style>
  <w:style w:type="paragraph" w:customStyle="1" w:styleId="42">
    <w:name w:val="封面一致性程度标识"/>
    <w:basedOn w:val="43"/>
    <w:qFormat/>
    <w:uiPriority w:val="0"/>
    <w:pPr>
      <w:spacing w:before="440"/>
    </w:pPr>
    <w:rPr>
      <w:rFonts w:ascii="宋体" w:eastAsia="宋体"/>
    </w:rPr>
  </w:style>
  <w:style w:type="paragraph" w:customStyle="1" w:styleId="43">
    <w:name w:val="封面标准英文名称"/>
    <w:basedOn w:val="44"/>
    <w:qFormat/>
    <w:uiPriority w:val="0"/>
    <w:pPr>
      <w:spacing w:before="370" w:line="400" w:lineRule="exact"/>
    </w:pPr>
    <w:rPr>
      <w:rFonts w:ascii="Times New Roman"/>
      <w:sz w:val="28"/>
      <w:szCs w:val="28"/>
    </w:rPr>
  </w:style>
  <w:style w:type="paragraph" w:customStyle="1" w:styleId="4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5">
    <w:name w:val="四级条标题"/>
    <w:basedOn w:val="46"/>
    <w:next w:val="24"/>
    <w:qFormat/>
    <w:uiPriority w:val="0"/>
    <w:pPr>
      <w:numPr>
        <w:ilvl w:val="4"/>
      </w:numPr>
      <w:outlineLvl w:val="5"/>
    </w:pPr>
  </w:style>
  <w:style w:type="paragraph" w:customStyle="1" w:styleId="46">
    <w:name w:val="三级条标题"/>
    <w:basedOn w:val="47"/>
    <w:next w:val="24"/>
    <w:qFormat/>
    <w:uiPriority w:val="0"/>
    <w:pPr>
      <w:numPr>
        <w:ilvl w:val="3"/>
      </w:numPr>
      <w:outlineLvl w:val="4"/>
    </w:pPr>
  </w:style>
  <w:style w:type="paragraph" w:customStyle="1" w:styleId="47">
    <w:name w:val="二级条标题"/>
    <w:basedOn w:val="48"/>
    <w:next w:val="24"/>
    <w:qFormat/>
    <w:uiPriority w:val="0"/>
    <w:pPr>
      <w:numPr>
        <w:ilvl w:val="2"/>
      </w:numPr>
      <w:spacing w:before="50" w:after="50"/>
      <w:outlineLvl w:val="3"/>
    </w:pPr>
  </w:style>
  <w:style w:type="paragraph" w:customStyle="1" w:styleId="48">
    <w:name w:val="一级条标题"/>
    <w:next w:val="2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9">
    <w:name w:val="注×："/>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50">
    <w:name w:val="终结线"/>
    <w:basedOn w:val="1"/>
    <w:qFormat/>
    <w:uiPriority w:val="0"/>
    <w:pPr>
      <w:framePr w:hSpace="181" w:vSpace="181" w:wrap="around" w:vAnchor="text" w:hAnchor="margin" w:xAlign="center" w:y="285"/>
    </w:pPr>
  </w:style>
  <w:style w:type="paragraph" w:customStyle="1" w:styleId="51">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52">
    <w:name w:val="附录字母编号列项（一级）"/>
    <w:qFormat/>
    <w:uiPriority w:val="0"/>
    <w:pPr>
      <w:numPr>
        <w:ilvl w:val="0"/>
        <w:numId w:val="4"/>
      </w:numPr>
    </w:pPr>
    <w:rPr>
      <w:rFonts w:ascii="宋体" w:hAnsi="Times New Roman" w:eastAsia="宋体" w:cs="Times New Roman"/>
      <w:sz w:val="21"/>
      <w:lang w:val="en-US" w:eastAsia="zh-CN" w:bidi="ar-SA"/>
    </w:rPr>
  </w:style>
  <w:style w:type="paragraph" w:customStyle="1" w:styleId="53">
    <w:name w:val="其他发布日期"/>
    <w:basedOn w:val="54"/>
    <w:qFormat/>
    <w:uiPriority w:val="0"/>
    <w:pPr>
      <w:framePr w:vAnchor="page" w:x="1419"/>
    </w:pPr>
  </w:style>
  <w:style w:type="paragraph" w:customStyle="1" w:styleId="5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5">
    <w:name w:val="正文表标题"/>
    <w:next w:val="24"/>
    <w:qFormat/>
    <w:uiPriority w:val="0"/>
    <w:pPr>
      <w:numPr>
        <w:ilvl w:val="0"/>
        <w:numId w:val="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56">
    <w:name w:val="附录数字编号列项（二级）"/>
    <w:qFormat/>
    <w:uiPriority w:val="0"/>
    <w:pPr>
      <w:numPr>
        <w:ilvl w:val="1"/>
        <w:numId w:val="4"/>
      </w:numPr>
    </w:pPr>
    <w:rPr>
      <w:rFonts w:ascii="宋体" w:hAnsi="Times New Roman" w:eastAsia="宋体" w:cs="Times New Roman"/>
      <w:sz w:val="21"/>
      <w:lang w:val="en-US" w:eastAsia="zh-CN" w:bidi="ar-SA"/>
    </w:rPr>
  </w:style>
  <w:style w:type="paragraph" w:customStyle="1" w:styleId="57">
    <w:name w:val="附录二级条标题"/>
    <w:basedOn w:val="1"/>
    <w:next w:val="24"/>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58">
    <w:name w:val="其他标准标志"/>
    <w:basedOn w:val="59"/>
    <w:qFormat/>
    <w:uiPriority w:val="0"/>
    <w:pPr>
      <w:framePr w:w="6101" w:vAnchor="page" w:hAnchor="page" w:x="4673" w:y="942"/>
    </w:pPr>
    <w:rPr>
      <w:w w:val="130"/>
    </w:rPr>
  </w:style>
  <w:style w:type="paragraph" w:customStyle="1" w:styleId="5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0">
    <w:name w:val="附录章标题"/>
    <w:next w:val="24"/>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2">
    <w:name w:val="正文图标题"/>
    <w:next w:val="24"/>
    <w:qFormat/>
    <w:uiPriority w:val="0"/>
    <w:pPr>
      <w:numPr>
        <w:ilvl w:val="0"/>
        <w:numId w:val="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3">
    <w:name w:val="附录图标题"/>
    <w:basedOn w:val="1"/>
    <w:next w:val="24"/>
    <w:qFormat/>
    <w:uiPriority w:val="0"/>
    <w:pPr>
      <w:numPr>
        <w:ilvl w:val="1"/>
        <w:numId w:val="8"/>
      </w:numPr>
      <w:tabs>
        <w:tab w:val="left" w:pos="363"/>
      </w:tabs>
      <w:spacing w:beforeLines="50" w:afterLines="50"/>
      <w:ind w:left="0" w:firstLine="0"/>
      <w:jc w:val="center"/>
    </w:pPr>
    <w:rPr>
      <w:rFonts w:ascii="黑体" w:eastAsia="黑体"/>
      <w:szCs w:val="21"/>
    </w:rPr>
  </w:style>
  <w:style w:type="paragraph" w:customStyle="1" w:styleId="64">
    <w:name w:val="示例后文字"/>
    <w:basedOn w:val="24"/>
    <w:next w:val="24"/>
    <w:qFormat/>
    <w:uiPriority w:val="0"/>
    <w:pPr>
      <w:ind w:firstLine="360"/>
    </w:pPr>
    <w:rPr>
      <w:sz w:val="18"/>
    </w:rPr>
  </w:style>
  <w:style w:type="paragraph" w:customStyle="1" w:styleId="65">
    <w:name w:val="附录标识"/>
    <w:basedOn w:val="1"/>
    <w:next w:val="24"/>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6">
    <w:name w:val="五级条标题"/>
    <w:basedOn w:val="45"/>
    <w:next w:val="24"/>
    <w:qFormat/>
    <w:uiPriority w:val="0"/>
    <w:pPr>
      <w:numPr>
        <w:ilvl w:val="5"/>
      </w:numPr>
      <w:outlineLvl w:val="6"/>
    </w:pPr>
  </w:style>
  <w:style w:type="paragraph" w:customStyle="1" w:styleId="67">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8">
    <w:name w:val="封面标准文稿编辑信息2"/>
    <w:basedOn w:val="69"/>
    <w:qFormat/>
    <w:uiPriority w:val="0"/>
    <w:pPr>
      <w:framePr w:y="4469"/>
    </w:pPr>
  </w:style>
  <w:style w:type="paragraph" w:customStyle="1" w:styleId="69">
    <w:name w:val="封面标准文稿编辑信息"/>
    <w:basedOn w:val="41"/>
    <w:qFormat/>
    <w:uiPriority w:val="0"/>
    <w:pPr>
      <w:spacing w:before="180" w:line="180" w:lineRule="exact"/>
    </w:pPr>
    <w:rPr>
      <w:sz w:val="21"/>
    </w:rPr>
  </w:style>
  <w:style w:type="paragraph" w:customStyle="1" w:styleId="70">
    <w:name w:val="附录五级条标题"/>
    <w:basedOn w:val="71"/>
    <w:next w:val="24"/>
    <w:qFormat/>
    <w:uiPriority w:val="0"/>
    <w:pPr>
      <w:numPr>
        <w:ilvl w:val="6"/>
      </w:numPr>
      <w:tabs>
        <w:tab w:val="left" w:pos="360"/>
      </w:tabs>
      <w:outlineLvl w:val="6"/>
    </w:pPr>
  </w:style>
  <w:style w:type="paragraph" w:customStyle="1" w:styleId="71">
    <w:name w:val="附录四级条标题"/>
    <w:basedOn w:val="72"/>
    <w:next w:val="24"/>
    <w:qFormat/>
    <w:uiPriority w:val="0"/>
    <w:pPr>
      <w:numPr>
        <w:ilvl w:val="5"/>
      </w:numPr>
      <w:tabs>
        <w:tab w:val="left" w:pos="360"/>
      </w:tabs>
      <w:outlineLvl w:val="5"/>
    </w:pPr>
  </w:style>
  <w:style w:type="paragraph" w:customStyle="1" w:styleId="72">
    <w:name w:val="附录三级条标题"/>
    <w:basedOn w:val="57"/>
    <w:next w:val="24"/>
    <w:qFormat/>
    <w:uiPriority w:val="0"/>
    <w:pPr>
      <w:numPr>
        <w:ilvl w:val="4"/>
      </w:numPr>
      <w:outlineLvl w:val="4"/>
    </w:pPr>
  </w:style>
  <w:style w:type="paragraph" w:customStyle="1" w:styleId="73">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4">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三级无"/>
    <w:basedOn w:val="46"/>
    <w:qFormat/>
    <w:uiPriority w:val="0"/>
    <w:pPr>
      <w:spacing w:beforeLines="0" w:afterLines="0"/>
    </w:pPr>
    <w:rPr>
      <w:rFonts w:ascii="宋体" w:eastAsia="宋体"/>
    </w:rPr>
  </w:style>
  <w:style w:type="paragraph" w:customStyle="1" w:styleId="76">
    <w:name w:val="附录三级无"/>
    <w:basedOn w:val="72"/>
    <w:qFormat/>
    <w:uiPriority w:val="0"/>
    <w:pPr>
      <w:tabs>
        <w:tab w:val="clear" w:pos="360"/>
      </w:tabs>
      <w:spacing w:beforeLines="0" w:afterLines="0"/>
    </w:pPr>
    <w:rPr>
      <w:rFonts w:ascii="宋体" w:eastAsia="宋体"/>
      <w:szCs w:val="21"/>
    </w:rPr>
  </w:style>
  <w:style w:type="paragraph" w:customStyle="1" w:styleId="77">
    <w:name w:val="附录标题"/>
    <w:basedOn w:val="24"/>
    <w:next w:val="24"/>
    <w:qFormat/>
    <w:uiPriority w:val="0"/>
    <w:pPr>
      <w:ind w:firstLine="0" w:firstLineChars="0"/>
      <w:jc w:val="center"/>
    </w:pPr>
    <w:rPr>
      <w:rFonts w:ascii="黑体" w:eastAsia="黑体"/>
    </w:rPr>
  </w:style>
  <w:style w:type="paragraph" w:customStyle="1" w:styleId="7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9">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80">
    <w:name w:val="附录五级无"/>
    <w:basedOn w:val="70"/>
    <w:qFormat/>
    <w:uiPriority w:val="0"/>
    <w:pPr>
      <w:tabs>
        <w:tab w:val="clear" w:pos="360"/>
      </w:tabs>
      <w:spacing w:beforeLines="0" w:afterLines="0"/>
    </w:pPr>
    <w:rPr>
      <w:rFonts w:ascii="宋体" w:eastAsia="宋体"/>
      <w:szCs w:val="21"/>
    </w:rPr>
  </w:style>
  <w:style w:type="paragraph" w:customStyle="1" w:styleId="81">
    <w:name w:val="封面正文"/>
    <w:qFormat/>
    <w:uiPriority w:val="0"/>
    <w:pPr>
      <w:jc w:val="both"/>
    </w:pPr>
    <w:rPr>
      <w:rFonts w:ascii="Times New Roman" w:hAnsi="Times New Roman" w:eastAsia="宋体" w:cs="Times New Roman"/>
      <w:lang w:val="en-US" w:eastAsia="zh-CN" w:bidi="ar-SA"/>
    </w:rPr>
  </w:style>
  <w:style w:type="paragraph" w:customStyle="1" w:styleId="82">
    <w:name w:val="附录图标号"/>
    <w:basedOn w:val="1"/>
    <w:qFormat/>
    <w:uiPriority w:val="0"/>
    <w:pPr>
      <w:keepNext/>
      <w:pageBreakBefore/>
      <w:widowControl/>
      <w:numPr>
        <w:ilvl w:val="0"/>
        <w:numId w:val="8"/>
      </w:numPr>
      <w:spacing w:line="14" w:lineRule="exact"/>
      <w:ind w:left="0" w:firstLine="363"/>
      <w:jc w:val="center"/>
      <w:outlineLvl w:val="0"/>
    </w:pPr>
    <w:rPr>
      <w:color w:val="FFFFFF"/>
    </w:rPr>
  </w:style>
  <w:style w:type="paragraph" w:customStyle="1" w:styleId="83">
    <w:name w:val="注："/>
    <w:next w:val="24"/>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84">
    <w:name w:val="附录一级条标题"/>
    <w:basedOn w:val="60"/>
    <w:next w:val="24"/>
    <w:qFormat/>
    <w:uiPriority w:val="0"/>
    <w:pPr>
      <w:numPr>
        <w:ilvl w:val="2"/>
      </w:numPr>
      <w:autoSpaceDN w:val="0"/>
      <w:spacing w:beforeLines="50" w:afterLines="50"/>
      <w:outlineLvl w:val="2"/>
    </w:pPr>
  </w:style>
  <w:style w:type="paragraph" w:customStyle="1" w:styleId="85">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86">
    <w:name w:val="附录四级无"/>
    <w:basedOn w:val="71"/>
    <w:qFormat/>
    <w:uiPriority w:val="0"/>
    <w:pPr>
      <w:tabs>
        <w:tab w:val="clear" w:pos="360"/>
      </w:tabs>
      <w:spacing w:beforeLines="0" w:afterLines="0"/>
    </w:pPr>
    <w:rPr>
      <w:rFonts w:ascii="宋体" w:eastAsia="宋体"/>
      <w:szCs w:val="21"/>
    </w:rPr>
  </w:style>
  <w:style w:type="paragraph" w:customStyle="1" w:styleId="87">
    <w:name w:val="示例×："/>
    <w:basedOn w:val="88"/>
    <w:qFormat/>
    <w:uiPriority w:val="0"/>
    <w:pPr>
      <w:numPr>
        <w:numId w:val="11"/>
      </w:numPr>
      <w:spacing w:beforeLines="0" w:afterLines="0"/>
      <w:outlineLvl w:val="9"/>
    </w:pPr>
    <w:rPr>
      <w:rFonts w:ascii="宋体" w:eastAsia="宋体"/>
      <w:sz w:val="18"/>
      <w:szCs w:val="18"/>
    </w:rPr>
  </w:style>
  <w:style w:type="paragraph" w:customStyle="1" w:styleId="88">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8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1">
    <w:name w:val="列项●（二级）"/>
    <w:qFormat/>
    <w:uiPriority w:val="0"/>
    <w:pPr>
      <w:numPr>
        <w:ilvl w:val="1"/>
        <w:numId w:val="12"/>
      </w:numPr>
      <w:tabs>
        <w:tab w:val="left" w:pos="840"/>
      </w:tabs>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列出段落1"/>
    <w:basedOn w:val="1"/>
    <w:qFormat/>
    <w:uiPriority w:val="34"/>
    <w:pPr>
      <w:ind w:firstLine="420" w:firstLineChars="200"/>
    </w:pPr>
  </w:style>
  <w:style w:type="paragraph" w:customStyle="1" w:styleId="94">
    <w:name w:val="列项——（一级）"/>
    <w:qFormat/>
    <w:uiPriority w:val="0"/>
    <w:pPr>
      <w:widowControl w:val="0"/>
      <w:numPr>
        <w:ilvl w:val="0"/>
        <w:numId w:val="12"/>
      </w:numPr>
      <w:jc w:val="both"/>
    </w:pPr>
    <w:rPr>
      <w:rFonts w:ascii="宋体" w:hAnsi="Times New Roman" w:eastAsia="宋体" w:cs="Times New Roman"/>
      <w:sz w:val="21"/>
      <w:lang w:val="en-US" w:eastAsia="zh-CN" w:bidi="ar-SA"/>
    </w:rPr>
  </w:style>
  <w:style w:type="paragraph" w:customStyle="1" w:styleId="95">
    <w:name w:val="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96">
    <w:name w:val="二级无"/>
    <w:basedOn w:val="47"/>
    <w:qFormat/>
    <w:uiPriority w:val="0"/>
    <w:pPr>
      <w:spacing w:beforeLines="0" w:afterLines="0"/>
    </w:pPr>
    <w:rPr>
      <w:rFonts w:ascii="宋体" w:eastAsia="宋体"/>
    </w:rPr>
  </w:style>
  <w:style w:type="paragraph" w:customStyle="1" w:styleId="97">
    <w:name w:val="四级无"/>
    <w:basedOn w:val="45"/>
    <w:qFormat/>
    <w:uiPriority w:val="0"/>
    <w:pPr>
      <w:spacing w:beforeLines="0" w:afterLines="0"/>
    </w:pPr>
    <w:rPr>
      <w:rFonts w:ascii="宋体" w:eastAsia="宋体"/>
    </w:rPr>
  </w:style>
  <w:style w:type="paragraph" w:customStyle="1" w:styleId="9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9">
    <w:name w:val="示例"/>
    <w:next w:val="100"/>
    <w:qFormat/>
    <w:uiPriority w:val="0"/>
    <w:pPr>
      <w:widowControl w:val="0"/>
      <w:numPr>
        <w:ilvl w:val="0"/>
        <w:numId w:val="14"/>
      </w:numPr>
      <w:jc w:val="both"/>
    </w:pPr>
    <w:rPr>
      <w:rFonts w:ascii="宋体" w:hAnsi="Times New Roman" w:eastAsia="宋体" w:cs="Times New Roman"/>
      <w:sz w:val="18"/>
      <w:szCs w:val="18"/>
      <w:lang w:val="en-US" w:eastAsia="zh-CN" w:bidi="ar-SA"/>
    </w:rPr>
  </w:style>
  <w:style w:type="paragraph" w:customStyle="1" w:styleId="10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1">
    <w:name w:val="正文公式编号制表符"/>
    <w:basedOn w:val="24"/>
    <w:next w:val="24"/>
    <w:qFormat/>
    <w:uiPriority w:val="0"/>
    <w:pPr>
      <w:ind w:firstLine="0" w:firstLineChars="0"/>
    </w:pPr>
  </w:style>
  <w:style w:type="paragraph" w:customStyle="1" w:styleId="10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标准书眉一"/>
    <w:qFormat/>
    <w:uiPriority w:val="0"/>
    <w:pPr>
      <w:jc w:val="both"/>
    </w:pPr>
    <w:rPr>
      <w:rFonts w:ascii="Times New Roman" w:hAnsi="Times New Roman" w:eastAsia="宋体" w:cs="Times New Roman"/>
      <w:lang w:val="en-US" w:eastAsia="zh-CN" w:bidi="ar-SA"/>
    </w:rPr>
  </w:style>
  <w:style w:type="paragraph" w:customStyle="1" w:styleId="104">
    <w:name w:val="封面标准英文名称2"/>
    <w:basedOn w:val="43"/>
    <w:qFormat/>
    <w:uiPriority w:val="0"/>
    <w:pPr>
      <w:framePr w:y="4469"/>
    </w:pPr>
  </w:style>
  <w:style w:type="paragraph" w:customStyle="1" w:styleId="105">
    <w:name w:val="列项◆（三级）"/>
    <w:basedOn w:val="1"/>
    <w:qFormat/>
    <w:uiPriority w:val="0"/>
    <w:pPr>
      <w:numPr>
        <w:ilvl w:val="2"/>
        <w:numId w:val="12"/>
      </w:numPr>
    </w:pPr>
    <w:rPr>
      <w:rFonts w:ascii="宋体"/>
      <w:szCs w:val="21"/>
    </w:rPr>
  </w:style>
  <w:style w:type="paragraph" w:customStyle="1" w:styleId="106">
    <w:name w:val="条文脚注"/>
    <w:basedOn w:val="25"/>
    <w:qFormat/>
    <w:uiPriority w:val="0"/>
    <w:pPr>
      <w:numPr>
        <w:numId w:val="0"/>
      </w:numPr>
      <w:jc w:val="both"/>
    </w:pPr>
  </w:style>
  <w:style w:type="paragraph" w:customStyle="1" w:styleId="107">
    <w:name w:val="封面标准名称2"/>
    <w:basedOn w:val="44"/>
    <w:qFormat/>
    <w:uiPriority w:val="0"/>
    <w:pPr>
      <w:framePr w:y="4469"/>
      <w:spacing w:beforeLines="630"/>
    </w:pPr>
  </w:style>
  <w:style w:type="paragraph" w:customStyle="1" w:styleId="108">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9">
    <w:name w:val="一级无"/>
    <w:basedOn w:val="48"/>
    <w:qFormat/>
    <w:uiPriority w:val="0"/>
    <w:pPr>
      <w:spacing w:beforeLines="0" w:afterLines="0"/>
    </w:pPr>
    <w:rPr>
      <w:rFonts w:ascii="宋体" w:eastAsia="宋体"/>
    </w:rPr>
  </w:style>
  <w:style w:type="paragraph" w:customStyle="1" w:styleId="110">
    <w:name w:val="封面一致性程度标识2"/>
    <w:basedOn w:val="42"/>
    <w:qFormat/>
    <w:uiPriority w:val="0"/>
    <w:pPr>
      <w:framePr w:y="4469"/>
    </w:p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3">
    <w:name w:val="附录表标题"/>
    <w:basedOn w:val="1"/>
    <w:next w:val="24"/>
    <w:qFormat/>
    <w:uiPriority w:val="0"/>
    <w:pPr>
      <w:numPr>
        <w:ilvl w:val="1"/>
        <w:numId w:val="15"/>
      </w:numPr>
      <w:tabs>
        <w:tab w:val="left" w:pos="180"/>
      </w:tabs>
      <w:spacing w:beforeLines="50" w:afterLines="50"/>
      <w:ind w:left="0" w:firstLine="0"/>
      <w:jc w:val="center"/>
    </w:pPr>
    <w:rPr>
      <w:rFonts w:ascii="黑体" w:eastAsia="黑体"/>
      <w:szCs w:val="21"/>
    </w:rPr>
  </w:style>
  <w:style w:type="paragraph" w:customStyle="1" w:styleId="114">
    <w:name w:val="列出段落11"/>
    <w:basedOn w:val="1"/>
    <w:qFormat/>
    <w:uiPriority w:val="0"/>
    <w:pPr>
      <w:ind w:firstLine="420" w:firstLineChars="200"/>
    </w:pPr>
    <w:rPr>
      <w:rFonts w:ascii="Calibri" w:hAnsi="Calibri"/>
      <w:szCs w:val="22"/>
    </w:rPr>
  </w:style>
  <w:style w:type="paragraph" w:customStyle="1" w:styleId="11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6">
    <w:name w:val="注：（正文）"/>
    <w:basedOn w:val="83"/>
    <w:next w:val="24"/>
    <w:qFormat/>
    <w:uiPriority w:val="0"/>
  </w:style>
  <w:style w:type="paragraph" w:customStyle="1" w:styleId="117">
    <w:name w:val="附录二级无"/>
    <w:basedOn w:val="57"/>
    <w:qFormat/>
    <w:uiPriority w:val="0"/>
    <w:pPr>
      <w:tabs>
        <w:tab w:val="clear" w:pos="360"/>
      </w:tabs>
      <w:spacing w:beforeLines="0" w:afterLines="0"/>
    </w:pPr>
    <w:rPr>
      <w:rFonts w:ascii="宋体" w:eastAsia="宋体"/>
      <w:szCs w:val="21"/>
    </w:rPr>
  </w:style>
  <w:style w:type="paragraph" w:customStyle="1" w:styleId="118">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五级无"/>
    <w:basedOn w:val="66"/>
    <w:qFormat/>
    <w:uiPriority w:val="0"/>
    <w:pPr>
      <w:spacing w:beforeLines="0" w:afterLines="0"/>
    </w:pPr>
    <w:rPr>
      <w:rFonts w:ascii="宋体" w:eastAsia="宋体"/>
    </w:rPr>
  </w:style>
  <w:style w:type="paragraph" w:customStyle="1" w:styleId="121">
    <w:name w:val="图标脚注说明"/>
    <w:basedOn w:val="24"/>
    <w:qFormat/>
    <w:uiPriority w:val="0"/>
    <w:pPr>
      <w:ind w:left="840" w:hanging="420" w:firstLineChars="0"/>
    </w:pPr>
    <w:rPr>
      <w:sz w:val="18"/>
      <w:szCs w:val="18"/>
    </w:rPr>
  </w:style>
  <w:style w:type="paragraph" w:customStyle="1" w:styleId="122">
    <w:name w:val="实施日期"/>
    <w:basedOn w:val="54"/>
    <w:qFormat/>
    <w:uiPriority w:val="0"/>
    <w:pPr>
      <w:framePr w:vAnchor="page"/>
      <w:jc w:val="right"/>
    </w:pPr>
  </w:style>
  <w:style w:type="paragraph" w:customStyle="1" w:styleId="123">
    <w:name w:val="附录公式"/>
    <w:basedOn w:val="24"/>
    <w:next w:val="24"/>
    <w:link w:val="139"/>
    <w:qFormat/>
    <w:uiPriority w:val="0"/>
  </w:style>
  <w:style w:type="paragraph" w:customStyle="1" w:styleId="124">
    <w:name w:val="图表脚注说明"/>
    <w:basedOn w:val="1"/>
    <w:qFormat/>
    <w:uiPriority w:val="0"/>
    <w:pPr>
      <w:numPr>
        <w:ilvl w:val="0"/>
        <w:numId w:val="16"/>
      </w:numPr>
    </w:pPr>
    <w:rPr>
      <w:rFonts w:ascii="宋体"/>
      <w:sz w:val="18"/>
      <w:szCs w:val="18"/>
    </w:rPr>
  </w:style>
  <w:style w:type="paragraph" w:customStyle="1" w:styleId="12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6">
    <w:name w:val="首示例"/>
    <w:next w:val="24"/>
    <w:link w:val="140"/>
    <w:qFormat/>
    <w:uiPriority w:val="0"/>
    <w:pPr>
      <w:numPr>
        <w:ilvl w:val="0"/>
        <w:numId w:val="17"/>
      </w:numPr>
      <w:tabs>
        <w:tab w:val="left" w:pos="360"/>
      </w:tabs>
      <w:ind w:firstLine="0"/>
    </w:pPr>
    <w:rPr>
      <w:rFonts w:ascii="宋体" w:hAnsi="宋体" w:eastAsia="宋体" w:cs="Times New Roman"/>
      <w:kern w:val="2"/>
      <w:sz w:val="18"/>
      <w:szCs w:val="18"/>
      <w:lang w:val="en-US" w:eastAsia="zh-CN" w:bidi="ar-SA"/>
    </w:rPr>
  </w:style>
  <w:style w:type="paragraph" w:customStyle="1" w:styleId="127">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2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9">
    <w:name w:val="附录一级无"/>
    <w:basedOn w:val="84"/>
    <w:qFormat/>
    <w:uiPriority w:val="0"/>
    <w:pPr>
      <w:tabs>
        <w:tab w:val="clear" w:pos="360"/>
      </w:tabs>
      <w:spacing w:beforeLines="0" w:afterLines="0"/>
    </w:pPr>
    <w:rPr>
      <w:rFonts w:ascii="宋体" w:eastAsia="宋体"/>
      <w:szCs w:val="21"/>
    </w:rPr>
  </w:style>
  <w:style w:type="paragraph" w:customStyle="1" w:styleId="130">
    <w:name w:val="其他发布部门"/>
    <w:basedOn w:val="108"/>
    <w:qFormat/>
    <w:uiPriority w:val="0"/>
    <w:pPr>
      <w:framePr w:y="15310"/>
      <w:spacing w:line="0" w:lineRule="atLeast"/>
    </w:pPr>
    <w:rPr>
      <w:rFonts w:ascii="黑体" w:eastAsia="黑体"/>
      <w:b w:val="0"/>
    </w:rPr>
  </w:style>
  <w:style w:type="paragraph" w:customStyle="1" w:styleId="131">
    <w:name w:val="其他实施日期"/>
    <w:basedOn w:val="122"/>
    <w:qFormat/>
    <w:uiPriority w:val="0"/>
  </w:style>
  <w:style w:type="paragraph" w:customStyle="1" w:styleId="132">
    <w:name w:val="标准书眉_偶数页"/>
    <w:basedOn w:val="90"/>
    <w:next w:val="1"/>
    <w:qFormat/>
    <w:uiPriority w:val="0"/>
    <w:pPr>
      <w:jc w:val="left"/>
    </w:pPr>
  </w:style>
  <w:style w:type="paragraph" w:customStyle="1" w:styleId="13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4">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35">
    <w:name w:val="附录表标号"/>
    <w:basedOn w:val="1"/>
    <w:next w:val="24"/>
    <w:qFormat/>
    <w:uiPriority w:val="0"/>
    <w:pPr>
      <w:numPr>
        <w:ilvl w:val="0"/>
        <w:numId w:val="15"/>
      </w:numPr>
      <w:spacing w:line="14" w:lineRule="exact"/>
      <w:ind w:left="811" w:hanging="448"/>
      <w:jc w:val="center"/>
      <w:outlineLvl w:val="0"/>
    </w:pPr>
    <w:rPr>
      <w:color w:val="FFFFFF"/>
    </w:rPr>
  </w:style>
  <w:style w:type="paragraph" w:customStyle="1" w:styleId="136">
    <w:name w:val="style17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
    <w:name w:val="style17"/>
    <w:basedOn w:val="1"/>
    <w:qFormat/>
    <w:uiPriority w:val="0"/>
    <w:pPr>
      <w:widowControl/>
      <w:spacing w:before="100" w:beforeAutospacing="1" w:after="100" w:afterAutospacing="1"/>
      <w:jc w:val="left"/>
    </w:pPr>
    <w:rPr>
      <w:rFonts w:ascii="宋体" w:hAnsi="宋体" w:cs="宋体"/>
      <w:kern w:val="0"/>
      <w:sz w:val="24"/>
    </w:rPr>
  </w:style>
  <w:style w:type="character" w:customStyle="1" w:styleId="138">
    <w:name w:val="段 Char"/>
    <w:basedOn w:val="34"/>
    <w:link w:val="24"/>
    <w:qFormat/>
    <w:uiPriority w:val="0"/>
    <w:rPr>
      <w:rFonts w:ascii="宋体"/>
      <w:sz w:val="21"/>
      <w:lang w:val="en-US" w:eastAsia="zh-CN" w:bidi="ar-SA"/>
    </w:rPr>
  </w:style>
  <w:style w:type="character" w:customStyle="1" w:styleId="139">
    <w:name w:val="附录公式 Char"/>
    <w:basedOn w:val="138"/>
    <w:link w:val="123"/>
    <w:qFormat/>
    <w:uiPriority w:val="0"/>
  </w:style>
  <w:style w:type="character" w:customStyle="1" w:styleId="140">
    <w:name w:val="首示例 Char"/>
    <w:basedOn w:val="34"/>
    <w:link w:val="126"/>
    <w:qFormat/>
    <w:uiPriority w:val="0"/>
    <w:rPr>
      <w:rFonts w:ascii="宋体" w:hAnsi="宋体"/>
      <w:kern w:val="2"/>
      <w:sz w:val="18"/>
      <w:szCs w:val="18"/>
      <w:lang w:val="en-US" w:eastAsia="zh-CN" w:bidi="ar-SA"/>
    </w:rPr>
  </w:style>
  <w:style w:type="character" w:customStyle="1" w:styleId="141">
    <w:name w:val="日期 Char"/>
    <w:basedOn w:val="34"/>
    <w:link w:val="15"/>
    <w:semiHidden/>
    <w:qFormat/>
    <w:locked/>
    <w:uiPriority w:val="0"/>
    <w:rPr>
      <w:rFonts w:ascii="Calibri" w:hAnsi="Calibri" w:eastAsia="宋体"/>
      <w:kern w:val="2"/>
      <w:sz w:val="21"/>
      <w:szCs w:val="22"/>
      <w:lang w:val="en-US" w:eastAsia="zh-CN" w:bidi="ar-SA"/>
    </w:rPr>
  </w:style>
  <w:style w:type="character" w:customStyle="1" w:styleId="142">
    <w:name w:val="页眉 Char"/>
    <w:basedOn w:val="34"/>
    <w:link w:val="19"/>
    <w:semiHidden/>
    <w:qFormat/>
    <w:locked/>
    <w:uiPriority w:val="0"/>
    <w:rPr>
      <w:rFonts w:eastAsia="宋体"/>
      <w:kern w:val="2"/>
      <w:sz w:val="18"/>
      <w:szCs w:val="18"/>
      <w:lang w:val="en-US" w:eastAsia="zh-CN" w:bidi="ar-SA"/>
    </w:rPr>
  </w:style>
  <w:style w:type="character" w:customStyle="1" w:styleId="143">
    <w:name w:val="发布"/>
    <w:basedOn w:val="34"/>
    <w:qFormat/>
    <w:uiPriority w:val="0"/>
    <w:rPr>
      <w:rFonts w:ascii="黑体" w:eastAsia="黑体"/>
      <w:spacing w:val="85"/>
      <w:w w:val="100"/>
      <w:position w:val="3"/>
      <w:sz w:val="28"/>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49"/>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3858</Words>
  <Characters>504</Characters>
  <Lines>4</Lines>
  <Paragraphs>8</Paragraphs>
  <TotalTime>12</TotalTime>
  <ScaleCrop>false</ScaleCrop>
  <LinksUpToDate>false</LinksUpToDate>
  <CharactersWithSpaces>4354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2021-10-31T16:29:00Z</dcterms:created>
  <dcterms:modified xsi:type="dcterms:W3CDTF">2023-04-17T01:57:22Z</dcterms:modified>
  <dc:title>标准名称</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